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A8347" w14:textId="08E57BD7" w:rsidR="00811440" w:rsidRPr="002829FD" w:rsidRDefault="00D74155" w:rsidP="006D2B3B">
      <w:pPr>
        <w:pStyle w:val="Title"/>
        <w:ind w:right="-2"/>
        <w:rPr>
          <w:rFonts w:ascii="Calibri" w:hAnsi="Calibri" w:cs="Calibri"/>
          <w:sz w:val="20"/>
          <w:szCs w:val="20"/>
        </w:rPr>
      </w:pPr>
      <w:r w:rsidRPr="00025378">
        <w:rPr>
          <w:rFonts w:ascii="Calibri" w:hAnsi="Calibri" w:cs="Calibri"/>
        </w:rPr>
        <w:t>D</w:t>
      </w:r>
      <w:r w:rsidR="001065CE" w:rsidRPr="00025378">
        <w:rPr>
          <w:rFonts w:ascii="Calibri" w:hAnsi="Calibri" w:cs="Calibri"/>
        </w:rPr>
        <w:t xml:space="preserve">raft </w:t>
      </w:r>
      <w:r w:rsidR="00C72227" w:rsidRPr="00025378">
        <w:rPr>
          <w:rFonts w:ascii="Calibri" w:hAnsi="Calibri" w:cs="Calibri"/>
        </w:rPr>
        <w:t xml:space="preserve">Conservation Advice </w:t>
      </w:r>
      <w:r w:rsidR="00C72227" w:rsidRPr="004A269D">
        <w:rPr>
          <w:rFonts w:ascii="Calibri" w:hAnsi="Calibri" w:cs="Calibri"/>
        </w:rPr>
        <w:t>for the</w:t>
      </w:r>
      <w:r w:rsidR="00B860C1">
        <w:rPr>
          <w:rFonts w:ascii="Calibri" w:hAnsi="Calibri" w:cs="Calibri"/>
        </w:rPr>
        <w:t xml:space="preserve"> </w:t>
      </w:r>
      <w:r w:rsidR="000D7727" w:rsidRPr="00453438">
        <w:rPr>
          <w:rFonts w:ascii="Calibri" w:hAnsi="Calibri" w:cs="Calibri"/>
          <w:i/>
          <w:iCs/>
        </w:rPr>
        <w:t xml:space="preserve">River Murray </w:t>
      </w:r>
      <w:r w:rsidR="00F37959" w:rsidRPr="00453438">
        <w:rPr>
          <w:rFonts w:ascii="Calibri" w:hAnsi="Calibri" w:cs="Calibri"/>
          <w:i/>
          <w:iCs/>
        </w:rPr>
        <w:t>downstream of the Darling River</w:t>
      </w:r>
      <w:r w:rsidR="00815C43" w:rsidRPr="00453438">
        <w:rPr>
          <w:rFonts w:ascii="Calibri" w:hAnsi="Calibri" w:cs="Calibri"/>
          <w:i/>
          <w:iCs/>
        </w:rPr>
        <w:t>,</w:t>
      </w:r>
      <w:r w:rsidR="00F37959" w:rsidRPr="00453438">
        <w:rPr>
          <w:rFonts w:ascii="Calibri" w:hAnsi="Calibri" w:cs="Calibri"/>
          <w:i/>
          <w:iCs/>
        </w:rPr>
        <w:t xml:space="preserve"> and associated aquatic and floodplain systems</w:t>
      </w:r>
      <w:r w:rsidR="00F37959" w:rsidRPr="00290705">
        <w:rPr>
          <w:rFonts w:ascii="Calibri" w:hAnsi="Calibri" w:cs="Calibri"/>
        </w:rPr>
        <w:t xml:space="preserve"> </w:t>
      </w:r>
      <w:r w:rsidR="00362D48" w:rsidRPr="00290705">
        <w:rPr>
          <w:rFonts w:ascii="Calibri" w:hAnsi="Calibri" w:cs="Calibri"/>
        </w:rPr>
        <w:t>Ecological Communit</w:t>
      </w:r>
      <w:r w:rsidR="00A22346">
        <w:rPr>
          <w:rFonts w:ascii="Calibri" w:hAnsi="Calibri" w:cs="Calibri"/>
        </w:rPr>
        <w:t>y</w:t>
      </w:r>
    </w:p>
    <w:p w14:paraId="2C09181A" w14:textId="0B0BA515" w:rsidR="00FF5523" w:rsidRPr="00D12AB7" w:rsidRDefault="00FF5523" w:rsidP="009344DE">
      <w:pPr>
        <w:pStyle w:val="Boxedtext"/>
        <w:pBdr>
          <w:bottom w:val="single" w:sz="4" w:space="3" w:color="auto"/>
          <w:right w:val="single" w:sz="4" w:space="16" w:color="auto"/>
        </w:pBdr>
        <w:jc w:val="left"/>
        <w:rPr>
          <w:b/>
          <w:bCs/>
        </w:rPr>
      </w:pPr>
      <w:bookmarkStart w:id="0" w:name="_Hlk172197153"/>
      <w:r w:rsidRPr="00D12AB7">
        <w:t xml:space="preserve">Under the EPBC Act, the Threatened Species Scientific Committee (TSSC) must invite comments on whether or not </w:t>
      </w:r>
      <w:r>
        <w:t>a</w:t>
      </w:r>
      <w:r w:rsidRPr="00D12AB7">
        <w:t xml:space="preserve"> nominated ecological community</w:t>
      </w:r>
      <w:r w:rsidR="0040410E">
        <w:t xml:space="preserve"> (EC)</w:t>
      </w:r>
      <w:r w:rsidR="00555D60">
        <w:t>,</w:t>
      </w:r>
      <w:r w:rsidRPr="00D12AB7">
        <w:t xml:space="preserve"> </w:t>
      </w:r>
      <w:r>
        <w:t xml:space="preserve">which has been prioritised for assessment, </w:t>
      </w:r>
      <w:r w:rsidRPr="00D12AB7">
        <w:t xml:space="preserve">is eligible for listing and under which threat category. </w:t>
      </w:r>
      <w:r w:rsidR="00B26173">
        <w:t>T</w:t>
      </w:r>
      <w:r w:rsidRPr="00D12AB7">
        <w:t xml:space="preserve">he TSSC and Department are also seeking comments on this </w:t>
      </w:r>
      <w:r w:rsidRPr="00D12AB7">
        <w:rPr>
          <w:i/>
          <w:iCs/>
        </w:rPr>
        <w:t>Draft Conservation Advice</w:t>
      </w:r>
      <w:r>
        <w:t xml:space="preserve"> </w:t>
      </w:r>
      <w:r w:rsidR="00B26173">
        <w:t xml:space="preserve">which is </w:t>
      </w:r>
      <w:r>
        <w:t xml:space="preserve">prioritised for assessment by </w:t>
      </w:r>
      <w:r w:rsidR="00535E2E">
        <w:t>29</w:t>
      </w:r>
      <w:r>
        <w:t xml:space="preserve"> November 2024.</w:t>
      </w:r>
      <w:r w:rsidRPr="00D12AB7">
        <w:t xml:space="preserve"> </w:t>
      </w:r>
      <w:r>
        <w:t xml:space="preserve"> </w:t>
      </w:r>
      <w:r w:rsidR="009D4721">
        <w:t xml:space="preserve">The </w:t>
      </w:r>
      <w:r w:rsidR="00C81327">
        <w:t xml:space="preserve">draft </w:t>
      </w:r>
      <w:r>
        <w:t>document</w:t>
      </w:r>
      <w:r w:rsidR="00C81327">
        <w:t xml:space="preserve"> also includes a</w:t>
      </w:r>
      <w:r w:rsidR="0040410E">
        <w:t xml:space="preserve"> </w:t>
      </w:r>
      <w:r>
        <w:t xml:space="preserve">description of the </w:t>
      </w:r>
      <w:r w:rsidR="0040410E">
        <w:t>EC</w:t>
      </w:r>
      <w:r>
        <w:t xml:space="preserve">, key threats, </w:t>
      </w:r>
      <w:r w:rsidRPr="00D12AB7">
        <w:t xml:space="preserve">and </w:t>
      </w:r>
      <w:r>
        <w:t xml:space="preserve">draft key </w:t>
      </w:r>
      <w:r w:rsidRPr="00D12AB7">
        <w:t>actions</w:t>
      </w:r>
      <w:r>
        <w:t xml:space="preserve"> to stop decline and support recovery</w:t>
      </w:r>
      <w:r w:rsidRPr="00D12AB7">
        <w:t xml:space="preserve"> for the </w:t>
      </w:r>
      <w:r w:rsidR="0040410E">
        <w:t>EC</w:t>
      </w:r>
      <w:r w:rsidRPr="00D12AB7">
        <w:rPr>
          <w:b/>
          <w:bCs/>
        </w:rPr>
        <w:t>.</w:t>
      </w:r>
    </w:p>
    <w:p w14:paraId="1A2A2DD2" w14:textId="77777777" w:rsidR="00FF5523" w:rsidRPr="00D12AB7" w:rsidRDefault="00FF5523" w:rsidP="009344DE">
      <w:pPr>
        <w:pStyle w:val="Boxedtext"/>
        <w:pBdr>
          <w:bottom w:val="single" w:sz="4" w:space="3" w:color="auto"/>
          <w:right w:val="single" w:sz="4" w:space="16" w:color="auto"/>
        </w:pBdr>
        <w:jc w:val="left"/>
        <w:rPr>
          <w:b/>
          <w:bCs/>
        </w:rPr>
      </w:pPr>
      <w:r w:rsidRPr="00D12AB7">
        <w:rPr>
          <w:b/>
          <w:bCs/>
        </w:rPr>
        <w:t>T</w:t>
      </w:r>
      <w:r>
        <w:rPr>
          <w:b/>
          <w:bCs/>
        </w:rPr>
        <w:t>he</w:t>
      </w:r>
      <w:r w:rsidRPr="00D12AB7">
        <w:rPr>
          <w:b/>
          <w:bCs/>
        </w:rPr>
        <w:t xml:space="preserve"> purpose of this consultation document is to elicit updated and additional information to better understand the threatened status of the ecological community and help inform </w:t>
      </w:r>
      <w:r>
        <w:rPr>
          <w:b/>
          <w:bCs/>
        </w:rPr>
        <w:t xml:space="preserve">its </w:t>
      </w:r>
      <w:r w:rsidRPr="00D12AB7">
        <w:rPr>
          <w:b/>
          <w:bCs/>
        </w:rPr>
        <w:t xml:space="preserve">future conservation. </w:t>
      </w:r>
    </w:p>
    <w:p w14:paraId="5F2C9373" w14:textId="77777777" w:rsidR="00FF5523" w:rsidRPr="00D12AB7" w:rsidRDefault="00FF5523" w:rsidP="009344DE">
      <w:pPr>
        <w:pStyle w:val="Boxedtext"/>
        <w:pBdr>
          <w:bottom w:val="single" w:sz="4" w:space="3" w:color="auto"/>
          <w:right w:val="single" w:sz="4" w:space="16" w:color="auto"/>
        </w:pBdr>
        <w:jc w:val="left"/>
      </w:pPr>
      <w:r w:rsidRPr="00D12AB7">
        <w:t xml:space="preserve">This </w:t>
      </w:r>
      <w:r w:rsidRPr="00D12AB7">
        <w:rPr>
          <w:i/>
          <w:iCs/>
        </w:rPr>
        <w:t>Draft Conservation Advice</w:t>
      </w:r>
      <w:r w:rsidRPr="00D12AB7">
        <w:t xml:space="preserve">, containing a preliminary listing assessment, should be considered </w:t>
      </w:r>
      <w:r w:rsidRPr="00D12AB7">
        <w:rPr>
          <w:b/>
          <w:bCs/>
          <w:u w:val="single"/>
        </w:rPr>
        <w:t>tentative</w:t>
      </w:r>
      <w:r w:rsidRPr="00D12AB7">
        <w:rPr>
          <w:u w:val="single"/>
        </w:rPr>
        <w:t xml:space="preserve"> </w:t>
      </w:r>
      <w:r w:rsidRPr="00D12AB7">
        <w:t xml:space="preserve">at this stage, as it </w:t>
      </w:r>
      <w:r>
        <w:t>is likely to be updated</w:t>
      </w:r>
      <w:r w:rsidRPr="00D12AB7">
        <w:t xml:space="preserve"> as a result of responses to this consultation process and the input of </w:t>
      </w:r>
      <w:r>
        <w:t>further</w:t>
      </w:r>
      <w:r w:rsidRPr="00D12AB7">
        <w:t xml:space="preserve"> scientific information</w:t>
      </w:r>
      <w:r>
        <w:t xml:space="preserve"> and analysis</w:t>
      </w:r>
      <w:r w:rsidRPr="00D12AB7">
        <w:t>.</w:t>
      </w:r>
    </w:p>
    <w:p w14:paraId="100ACA38" w14:textId="1A268755" w:rsidR="00DF185B" w:rsidRPr="00C81327" w:rsidRDefault="00DF185B" w:rsidP="009344DE">
      <w:pPr>
        <w:pStyle w:val="Boxedtext"/>
        <w:pBdr>
          <w:bottom w:val="single" w:sz="4" w:space="3" w:color="auto"/>
          <w:right w:val="single" w:sz="4" w:space="16" w:color="auto"/>
        </w:pBdr>
        <w:jc w:val="left"/>
        <w:rPr>
          <w:b/>
          <w:bCs/>
          <w:i/>
          <w:iCs/>
        </w:rPr>
      </w:pPr>
      <w:r w:rsidRPr="00D12AB7">
        <w:rPr>
          <w:b/>
          <w:bCs/>
          <w:i/>
          <w:iCs/>
        </w:rPr>
        <w:t>Historical Notes – 2013 Listing and Conservation Advice</w:t>
      </w:r>
      <w:r w:rsidR="00351576">
        <w:rPr>
          <w:b/>
          <w:bCs/>
          <w:i/>
          <w:iCs/>
        </w:rPr>
        <w:t xml:space="preserve">: </w:t>
      </w:r>
      <w:r w:rsidR="00522FF9">
        <w:t>T</w:t>
      </w:r>
      <w:r w:rsidRPr="00D12AB7">
        <w:t xml:space="preserve">his </w:t>
      </w:r>
      <w:r w:rsidRPr="00D12AB7">
        <w:rPr>
          <w:i/>
          <w:iCs/>
        </w:rPr>
        <w:t>Draft Conservation Advice</w:t>
      </w:r>
      <w:r w:rsidRPr="00D12AB7">
        <w:t xml:space="preserve"> is based on a previous listing assessment of the same ecological community that was listed as Critically Endangered on 5 August 2013 (then named:  </w:t>
      </w:r>
      <w:r w:rsidRPr="00D12AB7">
        <w:rPr>
          <w:i/>
          <w:iCs/>
        </w:rPr>
        <w:t>River Murray and associated wetlands, floodplains and groundwater systems—from the junction with the Darling River to the Sea</w:t>
      </w:r>
      <w:r w:rsidRPr="00D12AB7">
        <w:t>)</w:t>
      </w:r>
      <w:r w:rsidRPr="00D12AB7">
        <w:rPr>
          <w:i/>
          <w:iCs/>
        </w:rPr>
        <w:t xml:space="preserve">. </w:t>
      </w:r>
      <w:r w:rsidRPr="00D12AB7">
        <w:t>This listing remained in place for four months before a motion for its disallowance was passed on 11 December 2013 during the next sitting period of Parliament following its approval for listing.</w:t>
      </w:r>
    </w:p>
    <w:p w14:paraId="08FC79C0" w14:textId="77777777" w:rsidR="00DF185B" w:rsidRPr="00D12AB7" w:rsidRDefault="00DF185B" w:rsidP="009344DE">
      <w:pPr>
        <w:pStyle w:val="Boxedtext"/>
        <w:pBdr>
          <w:bottom w:val="single" w:sz="4" w:space="3" w:color="auto"/>
          <w:right w:val="single" w:sz="4" w:space="16" w:color="auto"/>
        </w:pBdr>
        <w:jc w:val="left"/>
      </w:pPr>
      <w:r w:rsidRPr="00D12AB7">
        <w:t xml:space="preserve">The </w:t>
      </w:r>
      <w:r w:rsidRPr="00D12AB7">
        <w:rPr>
          <w:i/>
          <w:iCs/>
        </w:rPr>
        <w:t>2013 Conservation Advice</w:t>
      </w:r>
      <w:r w:rsidRPr="00D12AB7">
        <w:t xml:space="preserve"> (with listing assessment) was developed over several years and overseen by the independent Threatened Species Scientific Committee—with input from: over 100 experts; a review of over 400 papers and reports; the outcomes of two technical workshops (published on the Department’s website); </w:t>
      </w:r>
      <w:r>
        <w:t xml:space="preserve">and </w:t>
      </w:r>
      <w:r w:rsidRPr="00D12AB7">
        <w:t>consultation with a range of industry, government, First Nations, and other community stakeholders.</w:t>
      </w:r>
    </w:p>
    <w:p w14:paraId="5967D2DD" w14:textId="79829E82" w:rsidR="00DF185B" w:rsidRPr="00351576" w:rsidRDefault="00DF185B" w:rsidP="009344DE">
      <w:pPr>
        <w:pStyle w:val="Boxedtext"/>
        <w:pBdr>
          <w:bottom w:val="single" w:sz="4" w:space="3" w:color="auto"/>
          <w:right w:val="single" w:sz="4" w:space="16" w:color="auto"/>
        </w:pBdr>
        <w:jc w:val="left"/>
        <w:rPr>
          <w:b/>
          <w:bCs/>
          <w:i/>
          <w:iCs/>
        </w:rPr>
      </w:pPr>
      <w:r w:rsidRPr="00D12AB7">
        <w:rPr>
          <w:b/>
          <w:bCs/>
          <w:i/>
          <w:iCs/>
        </w:rPr>
        <w:t>Current Assessment – October 2023 – November 2024</w:t>
      </w:r>
      <w:r w:rsidR="00351576">
        <w:rPr>
          <w:b/>
          <w:bCs/>
          <w:i/>
          <w:iCs/>
        </w:rPr>
        <w:t xml:space="preserve">: </w:t>
      </w:r>
      <w:r w:rsidRPr="00D12AB7">
        <w:t xml:space="preserve">The ecological community was nominated for listing again in 2023 and was deemed a priority by the </w:t>
      </w:r>
      <w:r>
        <w:t>TSSC</w:t>
      </w:r>
      <w:r w:rsidRPr="00D12AB7">
        <w:t xml:space="preserve"> and the Minister for the Environment, for the assessment period starting</w:t>
      </w:r>
      <w:r w:rsidR="00076106">
        <w:t xml:space="preserve"> </w:t>
      </w:r>
      <w:r w:rsidRPr="00D12AB7">
        <w:t xml:space="preserve">October 2023. </w:t>
      </w:r>
    </w:p>
    <w:bookmarkEnd w:id="0"/>
    <w:p w14:paraId="753B9614" w14:textId="0D4A1228" w:rsidR="00772020" w:rsidRPr="00351576" w:rsidRDefault="008127B5" w:rsidP="009344DE">
      <w:pPr>
        <w:pStyle w:val="Boxedtext"/>
        <w:pBdr>
          <w:bottom w:val="single" w:sz="4" w:space="3" w:color="auto"/>
          <w:right w:val="single" w:sz="4" w:space="16" w:color="auto"/>
        </w:pBdr>
        <w:jc w:val="left"/>
      </w:pPr>
      <w:r w:rsidRPr="008127B5">
        <w:t xml:space="preserve">This Draft Conservation Advice (i.e. August 2024) used the 2013 version as a foundation, with updates based on the range of scientific data and other information that has arisen in the intervening decade or so. </w:t>
      </w:r>
      <w:r w:rsidRPr="008127B5">
        <w:rPr>
          <w:b/>
          <w:bCs/>
        </w:rPr>
        <w:t>Updates</w:t>
      </w:r>
      <w:r w:rsidRPr="008127B5">
        <w:t xml:space="preserve"> have progressed prior to this public consultation period </w:t>
      </w:r>
      <w:r w:rsidRPr="008127B5">
        <w:rPr>
          <w:b/>
          <w:bCs/>
        </w:rPr>
        <w:t>but, in some sections, are not yet fully comprehensive and we await the release of upcoming Murray-Darling Basin Plan technical reports, due to be released soon.</w:t>
      </w:r>
      <w:r w:rsidRPr="008127B5">
        <w:t xml:space="preserve"> Therefore, throughout this Draft document there are text boxes with Questions/ Comments for your consideration, as part of the consultation process. These include seeking your assistance with identifying further relevant data and information, to help the Committee reach a final assessment outcome and Conservation Advice for the Minister to approve.</w:t>
      </w:r>
    </w:p>
    <w:p w14:paraId="07E26957" w14:textId="60F51EDB" w:rsidR="00675DA3" w:rsidRDefault="00876307" w:rsidP="004A269D">
      <w:r w:rsidRPr="002B1333">
        <w:lastRenderedPageBreak/>
        <w:t xml:space="preserve">This document </w:t>
      </w:r>
      <w:r w:rsidR="001F79DE" w:rsidRPr="00AF3EDD">
        <w:t>forms the</w:t>
      </w:r>
      <w:r w:rsidRPr="00AF3EDD">
        <w:t xml:space="preserve"> </w:t>
      </w:r>
      <w:r w:rsidR="001F79DE" w:rsidRPr="006E504D">
        <w:rPr>
          <w:i/>
          <w:iCs/>
          <w:color w:val="000000" w:themeColor="text1"/>
        </w:rPr>
        <w:t>Draft</w:t>
      </w:r>
      <w:r w:rsidR="00447B58" w:rsidRPr="006E504D">
        <w:rPr>
          <w:i/>
          <w:iCs/>
          <w:color w:val="000000" w:themeColor="text1"/>
        </w:rPr>
        <w:t xml:space="preserve"> </w:t>
      </w:r>
      <w:r w:rsidR="00BF089B" w:rsidRPr="006E504D">
        <w:rPr>
          <w:i/>
          <w:iCs/>
        </w:rPr>
        <w:t>C</w:t>
      </w:r>
      <w:r w:rsidRPr="006E504D">
        <w:rPr>
          <w:i/>
          <w:iCs/>
        </w:rPr>
        <w:t xml:space="preserve">onservation </w:t>
      </w:r>
      <w:r w:rsidR="00BF089B" w:rsidRPr="006E504D">
        <w:rPr>
          <w:i/>
          <w:iCs/>
        </w:rPr>
        <w:t>A</w:t>
      </w:r>
      <w:r w:rsidRPr="006E504D">
        <w:rPr>
          <w:i/>
          <w:iCs/>
        </w:rPr>
        <w:t>dvice</w:t>
      </w:r>
      <w:r w:rsidR="001F79DE">
        <w:t xml:space="preserve">, </w:t>
      </w:r>
      <w:r w:rsidR="001F79DE" w:rsidRPr="00AF3EDD">
        <w:t>including</w:t>
      </w:r>
      <w:r w:rsidRPr="00AF3EDD">
        <w:t xml:space="preserve"> </w:t>
      </w:r>
      <w:r w:rsidR="00447B58" w:rsidRPr="00AF3EDD">
        <w:t xml:space="preserve">a </w:t>
      </w:r>
      <w:r w:rsidR="00B72B4D" w:rsidRPr="00AF3EDD">
        <w:t>preliminary</w:t>
      </w:r>
      <w:r w:rsidR="001F79DE" w:rsidRPr="00AF3EDD">
        <w:t xml:space="preserve"> </w:t>
      </w:r>
      <w:r w:rsidRPr="00AF3EDD">
        <w:t>listing assessment</w:t>
      </w:r>
      <w:r w:rsidR="001F79DE">
        <w:t>,</w:t>
      </w:r>
      <w:r w:rsidRPr="002B1333">
        <w:t xml:space="preserve"> for the ecological community</w:t>
      </w:r>
      <w:r w:rsidR="00A86EC8">
        <w:t xml:space="preserve"> (EC)</w:t>
      </w:r>
      <w:r w:rsidR="000D7727">
        <w:t xml:space="preserve">, </w:t>
      </w:r>
      <w:r w:rsidR="000D7727" w:rsidRPr="000D7727">
        <w:rPr>
          <w:i/>
          <w:iCs/>
        </w:rPr>
        <w:t xml:space="preserve">River Murray </w:t>
      </w:r>
      <w:r w:rsidR="0051384B">
        <w:rPr>
          <w:i/>
          <w:iCs/>
        </w:rPr>
        <w:t>downstream of the Darling River</w:t>
      </w:r>
      <w:r w:rsidR="00815C43">
        <w:rPr>
          <w:i/>
          <w:iCs/>
        </w:rPr>
        <w:t>,</w:t>
      </w:r>
      <w:r w:rsidR="0051384B">
        <w:rPr>
          <w:i/>
          <w:iCs/>
        </w:rPr>
        <w:t xml:space="preserve"> </w:t>
      </w:r>
      <w:r w:rsidR="000D7727" w:rsidRPr="000D7727">
        <w:rPr>
          <w:i/>
          <w:iCs/>
        </w:rPr>
        <w:t xml:space="preserve">and associated </w:t>
      </w:r>
      <w:r w:rsidR="0051384B">
        <w:rPr>
          <w:i/>
          <w:iCs/>
        </w:rPr>
        <w:t xml:space="preserve">aquatic and floodplain systems </w:t>
      </w:r>
      <w:r w:rsidR="000D7727">
        <w:t xml:space="preserve">(in brief, </w:t>
      </w:r>
      <w:r w:rsidR="000D7727" w:rsidRPr="00772020">
        <w:rPr>
          <w:i/>
          <w:iCs/>
        </w:rPr>
        <w:t>River Murray—Darling to Sea</w:t>
      </w:r>
      <w:r w:rsidR="0094227C">
        <w:t>, or RMDS</w:t>
      </w:r>
      <w:r w:rsidR="000D7727">
        <w:t>)</w:t>
      </w:r>
      <w:r w:rsidRPr="002B1333">
        <w:t xml:space="preserve">. It </w:t>
      </w:r>
      <w:r w:rsidR="00395E9B">
        <w:t xml:space="preserve">aims to </w:t>
      </w:r>
      <w:r w:rsidRPr="002B1333">
        <w:t>provide a foundation</w:t>
      </w:r>
      <w:r w:rsidR="00051EC9">
        <w:t>al guide</w:t>
      </w:r>
      <w:r w:rsidRPr="002B1333">
        <w:t xml:space="preserve"> for </w:t>
      </w:r>
      <w:r w:rsidR="00051EC9">
        <w:t xml:space="preserve">protection, </w:t>
      </w:r>
      <w:r w:rsidRPr="002B1333">
        <w:t xml:space="preserve">conservation </w:t>
      </w:r>
      <w:r w:rsidR="00051EC9">
        <w:t xml:space="preserve">and recovery </w:t>
      </w:r>
      <w:r w:rsidRPr="002B1333">
        <w:t>action</w:t>
      </w:r>
      <w:r w:rsidR="00051EC9">
        <w:t>s,</w:t>
      </w:r>
      <w:r w:rsidRPr="002B1333">
        <w:t xml:space="preserve"> and further planning</w:t>
      </w:r>
      <w:r w:rsidR="006E7EA8">
        <w:t>, including threat abatement</w:t>
      </w:r>
      <w:r w:rsidRPr="002B1333">
        <w:t>.</w:t>
      </w:r>
    </w:p>
    <w:p w14:paraId="011A2253" w14:textId="46923F96" w:rsidR="00AF6082" w:rsidRPr="00AF6082" w:rsidRDefault="00C26D1E" w:rsidP="004A269D">
      <w:pPr>
        <w:rPr>
          <w:sz w:val="16"/>
          <w:szCs w:val="16"/>
        </w:rPr>
      </w:pPr>
      <w:r>
        <w:rPr>
          <w:noProof/>
        </w:rPr>
        <w:drawing>
          <wp:inline distT="0" distB="0" distL="0" distR="0" wp14:anchorId="739E41AB" wp14:editId="7F7C247C">
            <wp:extent cx="5752800" cy="2658778"/>
            <wp:effectExtent l="0" t="0" r="635" b="8255"/>
            <wp:docPr id="586412611" name="Picture 1" descr="Tourist Attractions In Murray River, Lakes &amp; Coorong | SA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ist Attractions In Murray River, Lakes &amp; Coorong | SA Touris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800" cy="2658778"/>
                    </a:xfrm>
                    <a:prstGeom prst="rect">
                      <a:avLst/>
                    </a:prstGeom>
                    <a:noFill/>
                    <a:ln>
                      <a:noFill/>
                    </a:ln>
                  </pic:spPr>
                </pic:pic>
              </a:graphicData>
            </a:graphic>
          </wp:inline>
        </w:drawing>
      </w:r>
    </w:p>
    <w:p w14:paraId="09455C5B" w14:textId="056F24FE" w:rsidR="0034418C" w:rsidRPr="0034418C" w:rsidRDefault="0034418C" w:rsidP="002D30AD">
      <w:pPr>
        <w:pStyle w:val="Tablesource"/>
        <w:spacing w:before="120"/>
        <w:jc w:val="center"/>
        <w:rPr>
          <w:color w:val="FF0000"/>
          <w:szCs w:val="18"/>
        </w:rPr>
      </w:pPr>
      <w:r w:rsidRPr="0094227C">
        <w:rPr>
          <w:color w:val="000000" w:themeColor="text1"/>
          <w:szCs w:val="18"/>
        </w:rPr>
        <w:t xml:space="preserve">Big Bend, Murray River South Australia </w:t>
      </w:r>
      <w:r w:rsidR="00876307" w:rsidRPr="0094227C">
        <w:rPr>
          <w:color w:val="000000" w:themeColor="text1"/>
          <w:szCs w:val="18"/>
        </w:rPr>
        <w:t xml:space="preserve">© </w:t>
      </w:r>
      <w:r w:rsidRPr="0094227C">
        <w:rPr>
          <w:color w:val="000000" w:themeColor="text1"/>
          <w:szCs w:val="18"/>
        </w:rPr>
        <w:t>Ben Goode</w:t>
      </w:r>
    </w:p>
    <w:p w14:paraId="66B58943" w14:textId="3B21F412" w:rsidR="00CB49A5" w:rsidRDefault="37CD884A" w:rsidP="00CB49A5">
      <w:pPr>
        <w:spacing w:before="120" w:after="120"/>
        <w:ind w:right="-286"/>
      </w:pPr>
      <w:r>
        <w:t xml:space="preserve">The </w:t>
      </w:r>
      <w:r w:rsidR="00A86EC8" w:rsidRPr="008545B6">
        <w:rPr>
          <w:i/>
          <w:iCs/>
        </w:rPr>
        <w:t>River Murray—Darling to Sea EC</w:t>
      </w:r>
      <w:r w:rsidRPr="00A86EC8">
        <w:t xml:space="preserve"> </w:t>
      </w:r>
      <w:r>
        <w:t xml:space="preserve">occurs </w:t>
      </w:r>
      <w:r w:rsidR="00484025">
        <w:t xml:space="preserve">on </w:t>
      </w:r>
      <w:r w:rsidR="51D95614">
        <w:t>C</w:t>
      </w:r>
      <w:r>
        <w:t>ountry (the traditional lands</w:t>
      </w:r>
      <w:r w:rsidR="002D2B49">
        <w:t xml:space="preserve"> and sea</w:t>
      </w:r>
      <w:r>
        <w:t xml:space="preserve">) of </w:t>
      </w:r>
      <w:r w:rsidR="002D2B49">
        <w:t xml:space="preserve">several </w:t>
      </w:r>
      <w:r w:rsidR="000548EC">
        <w:t xml:space="preserve">First </w:t>
      </w:r>
      <w:r w:rsidR="00FB363A">
        <w:t xml:space="preserve">Nations </w:t>
      </w:r>
      <w:r w:rsidR="000548EC">
        <w:t xml:space="preserve">Peoples </w:t>
      </w:r>
      <w:r w:rsidR="0079593E">
        <w:t>in South Australia</w:t>
      </w:r>
      <w:r w:rsidR="002D2B49">
        <w:t>, NSW and Victoria</w:t>
      </w:r>
      <w:r w:rsidR="004A24C2">
        <w:t>—</w:t>
      </w:r>
      <w:r w:rsidR="005674D9">
        <w:t xml:space="preserve">including </w:t>
      </w:r>
      <w:r w:rsidR="00CA671E">
        <w:t xml:space="preserve">the </w:t>
      </w:r>
      <w:r w:rsidR="00A86EC8" w:rsidRPr="007F44A5">
        <w:t>Ngarrindjeri</w:t>
      </w:r>
      <w:r w:rsidR="004A24C2" w:rsidRPr="007F44A5">
        <w:t>,</w:t>
      </w:r>
      <w:r w:rsidR="00CA671E" w:rsidRPr="007F44A5">
        <w:t xml:space="preserve"> Peramangk</w:t>
      </w:r>
      <w:r w:rsidR="00E77813" w:rsidRPr="007F44A5">
        <w:t>,</w:t>
      </w:r>
      <w:r w:rsidR="00455EF2" w:rsidRPr="007F44A5">
        <w:t xml:space="preserve"> </w:t>
      </w:r>
      <w:r w:rsidR="005656FA" w:rsidRPr="007F44A5">
        <w:t xml:space="preserve">the First Nations </w:t>
      </w:r>
      <w:r w:rsidR="00887E88">
        <w:t>of</w:t>
      </w:r>
      <w:r w:rsidR="003A7F16">
        <w:t xml:space="preserve"> the South East (southern Coorong), First </w:t>
      </w:r>
      <w:r w:rsidR="00621929" w:rsidRPr="007F44A5">
        <w:t xml:space="preserve">Peoples </w:t>
      </w:r>
      <w:r w:rsidR="005656FA" w:rsidRPr="007F44A5">
        <w:t>of the River Murr</w:t>
      </w:r>
      <w:r w:rsidR="00B047AE" w:rsidRPr="007F44A5">
        <w:t>ay</w:t>
      </w:r>
      <w:r w:rsidR="005656FA" w:rsidRPr="007F44A5">
        <w:t xml:space="preserve"> and </w:t>
      </w:r>
      <w:r w:rsidR="003A7F16">
        <w:t>Mallee,</w:t>
      </w:r>
      <w:r w:rsidR="00292D84">
        <w:t xml:space="preserve"> </w:t>
      </w:r>
      <w:r w:rsidR="00A86EC8" w:rsidRPr="007F44A5">
        <w:t>Barkindji, Latje Latje, and Kureinji</w:t>
      </w:r>
      <w:r w:rsidR="006014B4">
        <w:t>.</w:t>
      </w:r>
      <w:r w:rsidR="1126F0AA">
        <w:t xml:space="preserve"> </w:t>
      </w:r>
      <w:r w:rsidR="00852E01">
        <w:t xml:space="preserve"> </w:t>
      </w:r>
    </w:p>
    <w:p w14:paraId="2E0429C0" w14:textId="0430545B" w:rsidR="005D73DB" w:rsidRDefault="1126F0AA" w:rsidP="002D30AD">
      <w:pPr>
        <w:spacing w:before="120" w:after="120"/>
      </w:pPr>
      <w:r>
        <w:t xml:space="preserve">We acknowledge </w:t>
      </w:r>
      <w:r w:rsidR="00BB6E42">
        <w:t xml:space="preserve">all of </w:t>
      </w:r>
      <w:r w:rsidR="00797744">
        <w:t>these</w:t>
      </w:r>
      <w:r w:rsidR="0034418C">
        <w:t xml:space="preserve"> First Nations </w:t>
      </w:r>
      <w:r w:rsidR="00723162">
        <w:t>P</w:t>
      </w:r>
      <w:r w:rsidR="0034418C">
        <w:t xml:space="preserve">eoples’ </w:t>
      </w:r>
      <w:r w:rsidR="14139FB0">
        <w:t xml:space="preserve">culture and </w:t>
      </w:r>
      <w:r>
        <w:t>continu</w:t>
      </w:r>
      <w:r w:rsidR="14139FB0">
        <w:t xml:space="preserve">ing </w:t>
      </w:r>
      <w:r>
        <w:t>link to the ecological community</w:t>
      </w:r>
      <w:r w:rsidR="14139FB0">
        <w:t xml:space="preserve"> </w:t>
      </w:r>
      <w:r w:rsidR="13519406">
        <w:t>and the</w:t>
      </w:r>
      <w:r w:rsidR="14139FB0">
        <w:t xml:space="preserve"> </w:t>
      </w:r>
      <w:r w:rsidR="65B8CC82">
        <w:t>C</w:t>
      </w:r>
      <w:r w:rsidR="14139FB0">
        <w:t>ountry</w:t>
      </w:r>
      <w:r w:rsidR="13519406">
        <w:t xml:space="preserve"> </w:t>
      </w:r>
      <w:r w:rsidR="006C4D02">
        <w:t xml:space="preserve">(including land, waterways and sea) </w:t>
      </w:r>
      <w:r w:rsidR="13519406">
        <w:t>it inhabi</w:t>
      </w:r>
      <w:r w:rsidR="00C15712">
        <w:t>t</w:t>
      </w:r>
      <w:r w:rsidR="13519406">
        <w:t>s</w:t>
      </w:r>
      <w:r>
        <w:t>.</w:t>
      </w:r>
    </w:p>
    <w:p w14:paraId="0ECC3E97" w14:textId="77777777" w:rsidR="002371B3" w:rsidRDefault="002371B3" w:rsidP="002D30AD">
      <w:pPr>
        <w:spacing w:before="120" w:after="120"/>
      </w:pPr>
    </w:p>
    <w:tbl>
      <w:tblPr>
        <w:tblStyle w:val="TableGrid"/>
        <w:tblW w:w="0" w:type="auto"/>
        <w:tblLook w:val="04A0" w:firstRow="1" w:lastRow="0" w:firstColumn="1" w:lastColumn="0" w:noHBand="0" w:noVBand="1"/>
      </w:tblPr>
      <w:tblGrid>
        <w:gridCol w:w="9060"/>
      </w:tblGrid>
      <w:tr w:rsidR="00447B58" w14:paraId="2DC2FBDF" w14:textId="77777777" w:rsidTr="00447B58">
        <w:tc>
          <w:tcPr>
            <w:tcW w:w="9060" w:type="dxa"/>
            <w:shd w:val="clear" w:color="auto" w:fill="FFF2CC" w:themeFill="accent4" w:themeFillTint="33"/>
          </w:tcPr>
          <w:p w14:paraId="6DAB1176" w14:textId="0FD61089" w:rsidR="005D73DB" w:rsidRDefault="00447B58" w:rsidP="00B44382">
            <w:r w:rsidRPr="0041257B">
              <w:rPr>
                <w:b/>
                <w:bCs/>
                <w:i/>
                <w:iCs/>
              </w:rPr>
              <w:t>Note</w:t>
            </w:r>
            <w:r w:rsidR="00AE64CE" w:rsidRPr="0041257B">
              <w:rPr>
                <w:b/>
                <w:bCs/>
                <w:i/>
                <w:iCs/>
              </w:rPr>
              <w:t>:</w:t>
            </w:r>
            <w:r w:rsidR="00AE64CE" w:rsidRPr="0041257B">
              <w:rPr>
                <w:i/>
                <w:iCs/>
              </w:rPr>
              <w:t xml:space="preserve"> </w:t>
            </w:r>
            <w:r w:rsidR="0041257B" w:rsidRPr="00EE29E6">
              <w:t>T</w:t>
            </w:r>
            <w:r w:rsidR="00D4723F" w:rsidRPr="0041257B">
              <w:t xml:space="preserve">he </w:t>
            </w:r>
            <w:r w:rsidR="000A2F2E">
              <w:t xml:space="preserve">Threatened Species Scientific Committee and </w:t>
            </w:r>
            <w:r w:rsidR="00A76D46">
              <w:t xml:space="preserve">the </w:t>
            </w:r>
            <w:r w:rsidR="000A2F2E">
              <w:t xml:space="preserve">Department would appreciate input related </w:t>
            </w:r>
            <w:r w:rsidR="001F14DF">
              <w:t>to</w:t>
            </w:r>
            <w:r w:rsidR="000A2F2E">
              <w:t xml:space="preserve"> the significance of the Ecological Community occurring on First Nations</w:t>
            </w:r>
            <w:r w:rsidR="00B77ED5">
              <w:t>’</w:t>
            </w:r>
            <w:r w:rsidR="000A2F2E">
              <w:t xml:space="preserve"> Country. </w:t>
            </w:r>
            <w:r w:rsidR="001F14DF">
              <w:t xml:space="preserve">This includes information that could be appropriately acknowledged and incorporated within the final </w:t>
            </w:r>
            <w:r w:rsidR="001F14DF" w:rsidRPr="00B77ED5">
              <w:rPr>
                <w:i/>
                <w:iCs/>
              </w:rPr>
              <w:t>Conservation Advice</w:t>
            </w:r>
            <w:r w:rsidR="001F14DF">
              <w:t xml:space="preserve">. </w:t>
            </w:r>
          </w:p>
          <w:p w14:paraId="58075FD0" w14:textId="77777777" w:rsidR="00D34AA0" w:rsidRDefault="001F14DF" w:rsidP="00000140">
            <w:r>
              <w:t>In addition, First Nations’ advice on the draft description, threats, threat impacts</w:t>
            </w:r>
            <w:r w:rsidR="00B77ED5">
              <w:t>,</w:t>
            </w:r>
            <w:r>
              <w:t xml:space="preserve"> and conservation actions</w:t>
            </w:r>
            <w:r w:rsidR="00FC791E">
              <w:t>,</w:t>
            </w:r>
            <w:r>
              <w:t xml:space="preserve"> is sought. It is acknowledged that the Committee has a short </w:t>
            </w:r>
            <w:r w:rsidR="00000140">
              <w:t xml:space="preserve">statutory </w:t>
            </w:r>
            <w:r>
              <w:t xml:space="preserve">timeframe to provide its advice and for this </w:t>
            </w:r>
            <w:r w:rsidRPr="00FC791E">
              <w:rPr>
                <w:i/>
                <w:iCs/>
              </w:rPr>
              <w:t>Conservation Advice</w:t>
            </w:r>
            <w:r>
              <w:t xml:space="preserve"> to be drafted</w:t>
            </w:r>
            <w:r w:rsidR="00000140">
              <w:t xml:space="preserve">. </w:t>
            </w:r>
          </w:p>
          <w:p w14:paraId="152B009B" w14:textId="77777777" w:rsidR="00CD65EB" w:rsidRPr="00A76D46" w:rsidRDefault="00D4723F" w:rsidP="00000140">
            <w:r w:rsidRPr="0041257B">
              <w:t xml:space="preserve">Significant consultation occurred with the Ngarrindjeri for preparation of the 2013 </w:t>
            </w:r>
            <w:r w:rsidRPr="00FC791E">
              <w:rPr>
                <w:i/>
                <w:iCs/>
              </w:rPr>
              <w:t>Conservation Advice</w:t>
            </w:r>
            <w:r w:rsidRPr="0041257B">
              <w:t xml:space="preserve"> </w:t>
            </w:r>
            <w:r w:rsidR="00DF363D">
              <w:t xml:space="preserve">and </w:t>
            </w:r>
            <w:r w:rsidRPr="0041257B">
              <w:t>f</w:t>
            </w:r>
            <w:r w:rsidR="00DF4246" w:rsidRPr="0041257B">
              <w:t xml:space="preserve">urther consultation with relevant groups is </w:t>
            </w:r>
            <w:r w:rsidR="00DF363D">
              <w:t>underway</w:t>
            </w:r>
            <w:r w:rsidR="009906BA" w:rsidRPr="0041257B">
              <w:t xml:space="preserve"> </w:t>
            </w:r>
            <w:r w:rsidR="00294E56" w:rsidRPr="0041257B">
              <w:t xml:space="preserve">for the 2024 </w:t>
            </w:r>
            <w:r w:rsidR="00294E56" w:rsidRPr="00FC791E">
              <w:rPr>
                <w:i/>
                <w:iCs/>
              </w:rPr>
              <w:t>Conservation Advice</w:t>
            </w:r>
            <w:r w:rsidR="00A43CE0" w:rsidRPr="0041257B">
              <w:t>.</w:t>
            </w:r>
            <w:r w:rsidR="00772020" w:rsidRPr="0041257B">
              <w:t xml:space="preserve"> </w:t>
            </w:r>
            <w:r w:rsidR="00AA50F6">
              <w:t xml:space="preserve">Importantly, </w:t>
            </w:r>
            <w:r w:rsidR="00E701F0" w:rsidRPr="0041257B">
              <w:t>t</w:t>
            </w:r>
            <w:r w:rsidR="00772020" w:rsidRPr="0041257B">
              <w:t xml:space="preserve">he Board of the </w:t>
            </w:r>
            <w:r w:rsidR="00772020" w:rsidRPr="00AA50F6">
              <w:rPr>
                <w:i/>
                <w:iCs/>
              </w:rPr>
              <w:t>Murray Lower Darling River Indigenous Nations</w:t>
            </w:r>
            <w:r w:rsidR="00772020" w:rsidRPr="0041257B">
              <w:t xml:space="preserve"> (MLDRN) </w:t>
            </w:r>
            <w:r w:rsidR="00AA50F6">
              <w:t>has been briefed</w:t>
            </w:r>
            <w:r w:rsidR="00A76D46">
              <w:t xml:space="preserve"> and their valuable input sought.</w:t>
            </w:r>
          </w:p>
        </w:tc>
      </w:tr>
    </w:tbl>
    <w:p w14:paraId="2924E4BC" w14:textId="1B9746DE" w:rsidR="002A1AF5" w:rsidRPr="00C93289" w:rsidRDefault="002A1AF5" w:rsidP="002A1AF5">
      <w:pPr>
        <w:pStyle w:val="Title2"/>
      </w:pPr>
      <w:r w:rsidRPr="00C93289">
        <w:lastRenderedPageBreak/>
        <w:t>Proposed Conservation Status</w:t>
      </w:r>
    </w:p>
    <w:p w14:paraId="0767BE91" w14:textId="6C460CE6" w:rsidR="002A1AF5" w:rsidRDefault="7196D50D" w:rsidP="00C26D1E">
      <w:pPr>
        <w:keepLines/>
      </w:pPr>
      <w:r>
        <w:t xml:space="preserve">The </w:t>
      </w:r>
      <w:r w:rsidR="0034418C" w:rsidRPr="000D7727">
        <w:rPr>
          <w:i/>
          <w:iCs/>
        </w:rPr>
        <w:t xml:space="preserve">River Murray </w:t>
      </w:r>
      <w:r w:rsidR="0094227C">
        <w:rPr>
          <w:i/>
          <w:iCs/>
        </w:rPr>
        <w:t>downstream of the Darling River</w:t>
      </w:r>
      <w:r w:rsidR="007231C4">
        <w:rPr>
          <w:i/>
          <w:iCs/>
        </w:rPr>
        <w:t>,</w:t>
      </w:r>
      <w:r w:rsidR="004E08EF">
        <w:rPr>
          <w:i/>
          <w:iCs/>
        </w:rPr>
        <w:t xml:space="preserve"> </w:t>
      </w:r>
      <w:r w:rsidR="0094227C">
        <w:rPr>
          <w:i/>
          <w:iCs/>
        </w:rPr>
        <w:t xml:space="preserve">and associated aquatic and floodplain systems </w:t>
      </w:r>
      <w:r w:rsidR="00A86EC8" w:rsidRPr="00A86EC8">
        <w:t>E</w:t>
      </w:r>
      <w:r w:rsidR="001B49B0">
        <w:t xml:space="preserve">cological </w:t>
      </w:r>
      <w:r w:rsidR="00A86EC8" w:rsidRPr="00A86EC8">
        <w:t>C</w:t>
      </w:r>
      <w:r w:rsidR="001B49B0">
        <w:t>ommunity</w:t>
      </w:r>
      <w:r w:rsidR="00A86EC8" w:rsidRPr="00A86EC8">
        <w:t xml:space="preserve"> </w:t>
      </w:r>
      <w:r>
        <w:t xml:space="preserve">is proposed to be </w:t>
      </w:r>
      <w:r w:rsidRPr="00A86EC8">
        <w:t xml:space="preserve">listed in </w:t>
      </w:r>
      <w:r>
        <w:t xml:space="preserve">the </w:t>
      </w:r>
      <w:r w:rsidRPr="00166C94">
        <w:rPr>
          <w:b/>
          <w:bCs/>
        </w:rPr>
        <w:t>Critically</w:t>
      </w:r>
      <w:r w:rsidR="00166C94" w:rsidRPr="00166C94">
        <w:rPr>
          <w:b/>
          <w:bCs/>
        </w:rPr>
        <w:t xml:space="preserve"> </w:t>
      </w:r>
      <w:r w:rsidRPr="00166C94">
        <w:rPr>
          <w:b/>
          <w:bCs/>
        </w:rPr>
        <w:t>Endangered</w:t>
      </w:r>
      <w:r w:rsidRPr="00A86EC8">
        <w:t xml:space="preserve"> </w:t>
      </w:r>
      <w:r>
        <w:t xml:space="preserve">category of the </w:t>
      </w:r>
      <w:r w:rsidR="00723162">
        <w:t>T</w:t>
      </w:r>
      <w:r>
        <w:t xml:space="preserve">hreatened </w:t>
      </w:r>
      <w:r w:rsidR="00723162">
        <w:t>E</w:t>
      </w:r>
      <w:r>
        <w:t xml:space="preserve">cological </w:t>
      </w:r>
      <w:r w:rsidR="00723162">
        <w:t>C</w:t>
      </w:r>
      <w:r>
        <w:t xml:space="preserve">ommunities </w:t>
      </w:r>
      <w:r w:rsidR="001B49B0">
        <w:t>L</w:t>
      </w:r>
      <w:r>
        <w:t xml:space="preserve">ist under the </w:t>
      </w:r>
      <w:r w:rsidRPr="1DBD01D7">
        <w:rPr>
          <w:i/>
          <w:iCs/>
        </w:rPr>
        <w:t>Environment Protection and Biodiversity Conservation Act 1999</w:t>
      </w:r>
      <w:r>
        <w:t xml:space="preserve"> </w:t>
      </w:r>
      <w:r w:rsidR="2C155388">
        <w:t>(Cwlth</w:t>
      </w:r>
      <w:r w:rsidR="2614FD54">
        <w:t>) (</w:t>
      </w:r>
      <w:r>
        <w:t>EPBC Act).</w:t>
      </w:r>
    </w:p>
    <w:p w14:paraId="706F1F5C" w14:textId="38D164DB" w:rsidR="006464DC" w:rsidRPr="00132780" w:rsidRDefault="00395E9B" w:rsidP="001B49B0">
      <w:pPr>
        <w:tabs>
          <w:tab w:val="left" w:pos="7350"/>
        </w:tabs>
      </w:pPr>
      <w:bookmarkStart w:id="1" w:name="_Hlk40359171"/>
      <w:bookmarkStart w:id="2" w:name="_Hlk158760169"/>
      <w:r>
        <w:t>A</w:t>
      </w:r>
      <w:r w:rsidR="00CD0DD4">
        <w:t xml:space="preserve"> preliminary assessment </w:t>
      </w:r>
      <w:r w:rsidR="00ED754C">
        <w:t xml:space="preserve">has determined that the ecological community is </w:t>
      </w:r>
      <w:r>
        <w:t xml:space="preserve">likely to be </w:t>
      </w:r>
      <w:r w:rsidR="170C863D" w:rsidRPr="003039D8">
        <w:t>eligible for listing</w:t>
      </w:r>
      <w:r w:rsidR="4621C238" w:rsidRPr="003039D8">
        <w:t xml:space="preserve"> as </w:t>
      </w:r>
      <w:r w:rsidR="00166C94">
        <w:t>‘</w:t>
      </w:r>
      <w:r w:rsidR="4621C238" w:rsidRPr="003039D8">
        <w:t>Critically Endangered</w:t>
      </w:r>
      <w:r w:rsidR="00166C94">
        <w:t>’</w:t>
      </w:r>
      <w:r w:rsidR="4621C238" w:rsidRPr="003039D8">
        <w:t xml:space="preserve"> </w:t>
      </w:r>
      <w:r w:rsidR="00BD48AD">
        <w:t>under C</w:t>
      </w:r>
      <w:r w:rsidR="5FF24F30" w:rsidRPr="003039D8">
        <w:t>riteri</w:t>
      </w:r>
      <w:r w:rsidR="00BD48AD">
        <w:t>a</w:t>
      </w:r>
      <w:r w:rsidR="5FF24F30" w:rsidRPr="003039D8">
        <w:t xml:space="preserve"> 3</w:t>
      </w:r>
      <w:r w:rsidR="003039D8" w:rsidRPr="003039D8">
        <w:t xml:space="preserve"> and </w:t>
      </w:r>
      <w:r w:rsidR="5FF24F30" w:rsidRPr="003039D8">
        <w:t>4</w:t>
      </w:r>
      <w:r w:rsidR="00EE2160">
        <w:t xml:space="preserve">, and </w:t>
      </w:r>
      <w:r w:rsidR="009A3025">
        <w:t xml:space="preserve">potentially </w:t>
      </w:r>
      <w:r w:rsidR="00EE2160">
        <w:t xml:space="preserve">as </w:t>
      </w:r>
      <w:r w:rsidR="00166C94">
        <w:t>‘</w:t>
      </w:r>
      <w:r w:rsidR="00EE2160">
        <w:t>Endangered</w:t>
      </w:r>
      <w:r w:rsidR="00166C94">
        <w:t xml:space="preserve">’ </w:t>
      </w:r>
      <w:r w:rsidR="00EE2160">
        <w:t>under Criterion 5</w:t>
      </w:r>
      <w:r w:rsidR="00B84911">
        <w:t xml:space="preserve"> of the EPBC </w:t>
      </w:r>
      <w:r w:rsidR="000F05DF">
        <w:t>Regulations</w:t>
      </w:r>
      <w:r w:rsidR="00EE2160">
        <w:t>.</w:t>
      </w:r>
      <w:r w:rsidR="5FF24F30" w:rsidRPr="003039D8">
        <w:t xml:space="preserve"> </w:t>
      </w:r>
      <w:r w:rsidR="001C465D">
        <w:t>A</w:t>
      </w:r>
      <w:r w:rsidR="4E1286D6" w:rsidRPr="00876307">
        <w:t xml:space="preserve"> </w:t>
      </w:r>
      <w:r w:rsidR="007871AF">
        <w:t xml:space="preserve">draft </w:t>
      </w:r>
      <w:r w:rsidR="4E1286D6" w:rsidRPr="00876307">
        <w:t xml:space="preserve">assessment </w:t>
      </w:r>
      <w:r w:rsidR="001C465D">
        <w:t xml:space="preserve">of the regulated Criteria </w:t>
      </w:r>
      <w:r w:rsidR="0DDC513C">
        <w:t>is at</w:t>
      </w:r>
      <w:r w:rsidR="4E1286D6">
        <w:t xml:space="preserve"> </w:t>
      </w:r>
      <w:r w:rsidR="4E1286D6" w:rsidRPr="006E4C1F">
        <w:rPr>
          <w:rStyle w:val="Crossreference"/>
        </w:rPr>
        <w:t xml:space="preserve">Section </w:t>
      </w:r>
      <w:r w:rsidR="00F66448" w:rsidRPr="006E4C1F">
        <w:rPr>
          <w:rStyle w:val="Crossreference"/>
          <w:highlight w:val="yellow"/>
        </w:rPr>
        <w:fldChar w:fldCharType="begin"/>
      </w:r>
      <w:r w:rsidR="00F66448" w:rsidRPr="006E4C1F">
        <w:rPr>
          <w:rStyle w:val="Crossreference"/>
        </w:rPr>
        <w:instrText xml:space="preserve"> REF _Ref39071413 \r \h </w:instrText>
      </w:r>
      <w:r w:rsidR="006E4C1F">
        <w:rPr>
          <w:rStyle w:val="Crossreference"/>
          <w:highlight w:val="yellow"/>
        </w:rPr>
        <w:instrText xml:space="preserve"> \* MERGEFORMAT </w:instrText>
      </w:r>
      <w:r w:rsidR="00F66448" w:rsidRPr="006E4C1F">
        <w:rPr>
          <w:rStyle w:val="Crossreference"/>
          <w:highlight w:val="yellow"/>
        </w:rPr>
      </w:r>
      <w:r w:rsidR="00F66448" w:rsidRPr="006E4C1F">
        <w:rPr>
          <w:rStyle w:val="Crossreference"/>
          <w:highlight w:val="yellow"/>
        </w:rPr>
        <w:fldChar w:fldCharType="separate"/>
      </w:r>
      <w:r w:rsidR="006D35C5">
        <w:rPr>
          <w:rStyle w:val="Crossreference"/>
        </w:rPr>
        <w:t>0</w:t>
      </w:r>
      <w:r w:rsidR="00F66448" w:rsidRPr="006E4C1F">
        <w:rPr>
          <w:rStyle w:val="Crossreference"/>
          <w:highlight w:val="yellow"/>
        </w:rPr>
        <w:fldChar w:fldCharType="end"/>
      </w:r>
      <w:r w:rsidR="4E1286D6" w:rsidRPr="00876307">
        <w:t>.</w:t>
      </w:r>
      <w:bookmarkEnd w:id="1"/>
    </w:p>
    <w:bookmarkEnd w:id="2"/>
    <w:p w14:paraId="4C487258" w14:textId="067B43BA" w:rsidR="000051D2" w:rsidRDefault="0CE84580" w:rsidP="001B49B0">
      <w:r>
        <w:t>The main factors that make th</w:t>
      </w:r>
      <w:r w:rsidR="00B84911">
        <w:t>is nationally unique</w:t>
      </w:r>
      <w:r>
        <w:t xml:space="preserve"> ecological community </w:t>
      </w:r>
      <w:r w:rsidR="004E08EF">
        <w:t xml:space="preserve">likely to be </w:t>
      </w:r>
      <w:r>
        <w:t xml:space="preserve">eligible for listing </w:t>
      </w:r>
      <w:r w:rsidR="003E1321">
        <w:t xml:space="preserve">as threatened </w:t>
      </w:r>
      <w:r>
        <w:t xml:space="preserve">in the </w:t>
      </w:r>
      <w:r w:rsidRPr="00D330B1">
        <w:t xml:space="preserve">Critically Endangered </w:t>
      </w:r>
      <w:r>
        <w:t xml:space="preserve">category </w:t>
      </w:r>
      <w:r w:rsidR="00B84911">
        <w:t xml:space="preserve">result from </w:t>
      </w:r>
      <w:r w:rsidR="000051D2">
        <w:t xml:space="preserve">combined </w:t>
      </w:r>
      <w:r w:rsidR="00654532">
        <w:t xml:space="preserve">and long-term </w:t>
      </w:r>
      <w:r w:rsidR="000051D2">
        <w:t xml:space="preserve">impacts from multiple threats </w:t>
      </w:r>
      <w:r w:rsidR="00654532">
        <w:t xml:space="preserve">(historic and current) </w:t>
      </w:r>
      <w:r w:rsidR="00247510">
        <w:t xml:space="preserve">that </w:t>
      </w:r>
      <w:r w:rsidR="000051D2">
        <w:t>have resulted in:</w:t>
      </w:r>
    </w:p>
    <w:p w14:paraId="0844B2A1" w14:textId="531F709E" w:rsidR="000051D2" w:rsidRPr="00B210EB" w:rsidRDefault="000051D2" w:rsidP="000C6EE4">
      <w:pPr>
        <w:pStyle w:val="ListParagraph"/>
        <w:numPr>
          <w:ilvl w:val="0"/>
          <w:numId w:val="9"/>
        </w:numPr>
        <w:ind w:left="357" w:hanging="357"/>
        <w:contextualSpacing w:val="0"/>
      </w:pPr>
      <w:r>
        <w:t xml:space="preserve">widespread declines </w:t>
      </w:r>
      <w:r w:rsidRPr="00B210EB">
        <w:t xml:space="preserve">or losses </w:t>
      </w:r>
      <w:r w:rsidR="002656CF">
        <w:t>(including local extinction</w:t>
      </w:r>
      <w:r w:rsidR="00795A84">
        <w:t>s</w:t>
      </w:r>
      <w:r w:rsidR="002656CF">
        <w:t xml:space="preserve">) </w:t>
      </w:r>
      <w:r w:rsidRPr="00B210EB">
        <w:t xml:space="preserve">of many key </w:t>
      </w:r>
      <w:r w:rsidR="00781B55" w:rsidRPr="00B210EB">
        <w:t xml:space="preserve">ecologically </w:t>
      </w:r>
      <w:r w:rsidRPr="00B210EB">
        <w:t xml:space="preserve">functional species or </w:t>
      </w:r>
      <w:r w:rsidR="00CB0733">
        <w:t xml:space="preserve">taxonomic </w:t>
      </w:r>
      <w:r w:rsidRPr="00B210EB">
        <w:t xml:space="preserve">groups throughout various components of the </w:t>
      </w:r>
      <w:r w:rsidRPr="007231C4">
        <w:rPr>
          <w:i/>
          <w:iCs/>
        </w:rPr>
        <w:t>River Murray—Darling to Sea</w:t>
      </w:r>
      <w:r w:rsidR="00781B55" w:rsidRPr="00B210EB">
        <w:t xml:space="preserve"> EC</w:t>
      </w:r>
      <w:r w:rsidRPr="00B210EB">
        <w:t xml:space="preserve">, combined with </w:t>
      </w:r>
      <w:r w:rsidR="00AF03B7" w:rsidRPr="00B210EB">
        <w:t xml:space="preserve">their </w:t>
      </w:r>
      <w:r w:rsidRPr="00B210EB">
        <w:t xml:space="preserve">significant and </w:t>
      </w:r>
      <w:r w:rsidR="003712DE" w:rsidRPr="00B72B4D">
        <w:t xml:space="preserve">at times </w:t>
      </w:r>
      <w:r w:rsidRPr="00B210EB">
        <w:t>catastrophic recruitment failure</w:t>
      </w:r>
    </w:p>
    <w:p w14:paraId="164481A5" w14:textId="1C99BF86" w:rsidR="000E2EE0" w:rsidRDefault="000051D2" w:rsidP="000C6EE4">
      <w:pPr>
        <w:pStyle w:val="ListParagraph"/>
        <w:numPr>
          <w:ilvl w:val="0"/>
          <w:numId w:val="9"/>
        </w:numPr>
        <w:ind w:left="357" w:hanging="357"/>
        <w:contextualSpacing w:val="0"/>
      </w:pPr>
      <w:r w:rsidRPr="00B210EB">
        <w:t>a reduction in community integrity</w:t>
      </w:r>
      <w:r w:rsidR="008E5C3F" w:rsidRPr="00B210EB">
        <w:t>,</w:t>
      </w:r>
      <w:r w:rsidRPr="00B210EB">
        <w:t xml:space="preserve"> as evidenced </w:t>
      </w:r>
      <w:r w:rsidR="00E123AB" w:rsidRPr="00B210EB">
        <w:t>by</w:t>
      </w:r>
      <w:r w:rsidRPr="00B210EB">
        <w:t xml:space="preserve"> reductions in biodiversity across a range of tax</w:t>
      </w:r>
      <w:r w:rsidR="00E10F3E">
        <w:t>onomic groups</w:t>
      </w:r>
      <w:r w:rsidRPr="00B210EB">
        <w:t xml:space="preserve"> and habitat</w:t>
      </w:r>
      <w:r w:rsidR="000F1CAB" w:rsidRPr="00B210EB">
        <w:t>s</w:t>
      </w:r>
      <w:r w:rsidR="00AF03B7" w:rsidRPr="00B210EB">
        <w:t>;</w:t>
      </w:r>
      <w:r w:rsidRPr="00B210EB">
        <w:t xml:space="preserve"> significant disruption of key ecological</w:t>
      </w:r>
      <w:r w:rsidR="00E10F3E">
        <w:t xml:space="preserve">, hydrological, and </w:t>
      </w:r>
      <w:r w:rsidR="000E2EE0" w:rsidRPr="00B210EB">
        <w:t xml:space="preserve">geo-physical </w:t>
      </w:r>
      <w:r w:rsidRPr="00B210EB">
        <w:t>processes</w:t>
      </w:r>
      <w:r w:rsidR="00AF03B7" w:rsidRPr="00B210EB">
        <w:t>;</w:t>
      </w:r>
      <w:r w:rsidRPr="00B210EB">
        <w:t xml:space="preserve"> and</w:t>
      </w:r>
      <w:r w:rsidR="00AF03B7" w:rsidRPr="00B210EB">
        <w:t>,</w:t>
      </w:r>
      <w:r w:rsidR="00EF4394">
        <w:t xml:space="preserve"> </w:t>
      </w:r>
      <w:r w:rsidRPr="00B210EB">
        <w:t>conditions that favour invasive species (alien and pest)</w:t>
      </w:r>
      <w:r w:rsidR="006C1319">
        <w:t>, and</w:t>
      </w:r>
    </w:p>
    <w:p w14:paraId="6A6E74F0" w14:textId="6127F17F" w:rsidR="006C1319" w:rsidRPr="00B210EB" w:rsidRDefault="000B4B72" w:rsidP="000C6EE4">
      <w:pPr>
        <w:pStyle w:val="ListParagraph"/>
        <w:numPr>
          <w:ilvl w:val="0"/>
          <w:numId w:val="9"/>
        </w:numPr>
        <w:ind w:left="357" w:hanging="357"/>
        <w:contextualSpacing w:val="0"/>
      </w:pPr>
      <w:r>
        <w:t>restoration of the biota and processes is unlikely</w:t>
      </w:r>
      <w:r w:rsidR="007231C4">
        <w:t xml:space="preserve"> in the immediate future</w:t>
      </w:r>
      <w:r>
        <w:t>, especially without further efforts to prevent and limit threats and support recovery.</w:t>
      </w:r>
    </w:p>
    <w:p w14:paraId="49760F20" w14:textId="333F2D56" w:rsidR="00C82EA8" w:rsidRPr="00786295" w:rsidRDefault="5FF24F30" w:rsidP="00DD4AAD">
      <w:pPr>
        <w:rPr>
          <w:rStyle w:val="Crossreference"/>
          <w:u w:val="none"/>
        </w:rPr>
      </w:pPr>
      <w:r w:rsidRPr="00B210EB">
        <w:t xml:space="preserve">Ecological communities can also be listed as threatened under </w:t>
      </w:r>
      <w:r w:rsidR="005D439F" w:rsidRPr="00B210EB">
        <w:t>S</w:t>
      </w:r>
      <w:r w:rsidRPr="00B210EB">
        <w:t xml:space="preserve">tate and </w:t>
      </w:r>
      <w:r w:rsidR="005D439F" w:rsidRPr="00B210EB">
        <w:t>T</w:t>
      </w:r>
      <w:r w:rsidRPr="00B210EB">
        <w:t xml:space="preserve">erritory legislation. At the time of this </w:t>
      </w:r>
      <w:r w:rsidR="006B3E29" w:rsidRPr="00E10F3E">
        <w:rPr>
          <w:i/>
          <w:iCs/>
        </w:rPr>
        <w:t xml:space="preserve">Draft </w:t>
      </w:r>
      <w:r w:rsidR="00BF089B" w:rsidRPr="00E10F3E">
        <w:rPr>
          <w:i/>
          <w:iCs/>
        </w:rPr>
        <w:t>Conservation A</w:t>
      </w:r>
      <w:r w:rsidRPr="00E10F3E">
        <w:rPr>
          <w:i/>
          <w:iCs/>
        </w:rPr>
        <w:t>dvice,</w:t>
      </w:r>
      <w:r w:rsidRPr="00B210EB">
        <w:t xml:space="preserve"> the</w:t>
      </w:r>
      <w:r w:rsidR="006048BD" w:rsidRPr="00B210EB">
        <w:t>re are no comparable</w:t>
      </w:r>
      <w:r w:rsidRPr="00B210EB">
        <w:t xml:space="preserve"> ecological communit</w:t>
      </w:r>
      <w:r w:rsidR="006048BD" w:rsidRPr="00B210EB">
        <w:t>ies listed under State or Territory legislation.</w:t>
      </w:r>
      <w:r w:rsidRPr="00B210EB">
        <w:t xml:space="preserve"> </w:t>
      </w:r>
      <w:r w:rsidR="006048BD" w:rsidRPr="00B210EB">
        <w:t xml:space="preserve">However, there are some </w:t>
      </w:r>
      <w:r w:rsidR="00122CEE" w:rsidRPr="00B210EB">
        <w:t>S</w:t>
      </w:r>
      <w:r w:rsidR="005D439F" w:rsidRPr="00B210EB">
        <w:t xml:space="preserve">tate listed </w:t>
      </w:r>
      <w:r w:rsidR="006048BD" w:rsidRPr="00B210EB">
        <w:t xml:space="preserve">aquatic </w:t>
      </w:r>
      <w:r w:rsidR="00453A31" w:rsidRPr="00B210EB">
        <w:t xml:space="preserve">threatened </w:t>
      </w:r>
      <w:r w:rsidR="006048BD" w:rsidRPr="00B210EB">
        <w:t>ecological communities that overlap with parts of the NSW and Victorian sections of th</w:t>
      </w:r>
      <w:r w:rsidR="00CA0281" w:rsidRPr="00B210EB">
        <w:t>e RMDS</w:t>
      </w:r>
      <w:r w:rsidR="006048BD" w:rsidRPr="00B210EB">
        <w:t xml:space="preserve"> </w:t>
      </w:r>
      <w:r w:rsidR="00453A31" w:rsidRPr="00B210EB">
        <w:t>EC</w:t>
      </w:r>
      <w:r w:rsidR="005D439F" w:rsidRPr="00B210EB">
        <w:t xml:space="preserve">. </w:t>
      </w:r>
      <w:r w:rsidR="00786295">
        <w:t xml:space="preserve">Also, three </w:t>
      </w:r>
      <w:r w:rsidR="005D439F" w:rsidRPr="00B210EB">
        <w:t xml:space="preserve">internationally recognised Ramsar </w:t>
      </w:r>
      <w:r w:rsidR="0018671E" w:rsidRPr="00B210EB">
        <w:t xml:space="preserve">wetlands within </w:t>
      </w:r>
      <w:r w:rsidR="005D439F" w:rsidRPr="00B210EB">
        <w:t xml:space="preserve">the South Australian section of the </w:t>
      </w:r>
      <w:r w:rsidR="005D439F" w:rsidRPr="007B4B7A">
        <w:rPr>
          <w:i/>
          <w:iCs/>
        </w:rPr>
        <w:t>River Murray—Darling to Sea</w:t>
      </w:r>
      <w:r w:rsidR="005D439F" w:rsidRPr="00B210EB">
        <w:t xml:space="preserve"> EC</w:t>
      </w:r>
      <w:r w:rsidR="00D26E9F" w:rsidRPr="00B210EB">
        <w:t xml:space="preserve">. </w:t>
      </w:r>
      <w:r w:rsidR="005B7397" w:rsidRPr="00B210EB">
        <w:t xml:space="preserve">This EC also provides </w:t>
      </w:r>
      <w:r w:rsidR="005B7397">
        <w:t>seasonal habitat for</w:t>
      </w:r>
      <w:r w:rsidR="003D5490">
        <w:t xml:space="preserve"> a range of migratory </w:t>
      </w:r>
      <w:r w:rsidR="000948A3">
        <w:t xml:space="preserve">birds </w:t>
      </w:r>
      <w:r w:rsidR="005B7397">
        <w:t xml:space="preserve">listed </w:t>
      </w:r>
      <w:r w:rsidR="000948A3">
        <w:t>under</w:t>
      </w:r>
      <w:r w:rsidR="00D4723F">
        <w:t xml:space="preserve"> national environment law and</w:t>
      </w:r>
      <w:r w:rsidR="000948A3">
        <w:t xml:space="preserve"> </w:t>
      </w:r>
      <w:r w:rsidR="00F51492">
        <w:t>international agreements</w:t>
      </w:r>
      <w:r w:rsidR="008128E4">
        <w:t xml:space="preserve">. More information is at </w:t>
      </w:r>
      <w:r w:rsidR="00132780">
        <w:rPr>
          <w:rStyle w:val="Crossreference"/>
        </w:rPr>
        <w:t>S</w:t>
      </w:r>
      <w:r w:rsidR="2B3A3A01" w:rsidRPr="00006D04">
        <w:rPr>
          <w:rStyle w:val="Crossreference"/>
        </w:rPr>
        <w:t>ection</w:t>
      </w:r>
      <w:r w:rsidR="003039D8">
        <w:rPr>
          <w:rStyle w:val="Crossreference"/>
        </w:rPr>
        <w:t xml:space="preserve"> </w:t>
      </w:r>
      <w:r w:rsidR="0033638A">
        <w:rPr>
          <w:rStyle w:val="Crossreference"/>
        </w:rPr>
        <w:t>5</w:t>
      </w:r>
      <w:r w:rsidR="005230DA" w:rsidRPr="00786295">
        <w:rPr>
          <w:rStyle w:val="Crossreference"/>
          <w:u w:val="none"/>
        </w:rPr>
        <w:t>.</w:t>
      </w:r>
    </w:p>
    <w:p w14:paraId="3B00AAD9" w14:textId="77777777" w:rsidR="009D4C60" w:rsidRDefault="009D4C60" w:rsidP="00C82EA8">
      <w:pPr>
        <w:keepNext/>
        <w:tabs>
          <w:tab w:val="left" w:pos="5820"/>
        </w:tabs>
        <w:rPr>
          <w:b/>
          <w:i/>
          <w:iCs/>
        </w:rPr>
        <w:sectPr w:rsidR="009D4C60" w:rsidSect="000C60F1">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1134" w:left="1418" w:header="567" w:footer="0" w:gutter="0"/>
          <w:pgNumType w:fmt="lowerRoman"/>
          <w:cols w:space="708"/>
          <w:titlePg/>
          <w:docGrid w:linePitch="360"/>
        </w:sectPr>
      </w:pPr>
    </w:p>
    <w:p w14:paraId="1AECC7D9" w14:textId="77777777" w:rsidR="009D4C60" w:rsidRPr="002829FD" w:rsidRDefault="009D4C60" w:rsidP="009D4C60">
      <w:pPr>
        <w:pStyle w:val="Title"/>
        <w:ind w:right="-2"/>
        <w:rPr>
          <w:rFonts w:ascii="Calibri" w:hAnsi="Calibri" w:cs="Calibri"/>
          <w:sz w:val="20"/>
          <w:szCs w:val="20"/>
        </w:rPr>
      </w:pPr>
      <w:r w:rsidRPr="00025378">
        <w:rPr>
          <w:rFonts w:ascii="Calibri" w:hAnsi="Calibri" w:cs="Calibri"/>
        </w:rPr>
        <w:lastRenderedPageBreak/>
        <w:t xml:space="preserve">Draft Conservation Advice </w:t>
      </w:r>
      <w:r w:rsidRPr="004A269D">
        <w:rPr>
          <w:rFonts w:ascii="Calibri" w:hAnsi="Calibri" w:cs="Calibri"/>
        </w:rPr>
        <w:t>for the</w:t>
      </w:r>
      <w:r>
        <w:rPr>
          <w:rFonts w:ascii="Calibri" w:hAnsi="Calibri" w:cs="Calibri"/>
        </w:rPr>
        <w:t xml:space="preserve"> </w:t>
      </w:r>
      <w:r w:rsidRPr="00453438">
        <w:rPr>
          <w:rFonts w:ascii="Calibri" w:hAnsi="Calibri" w:cs="Calibri"/>
          <w:i/>
          <w:iCs/>
        </w:rPr>
        <w:t>River Murray downstream of the Darling River, and associated aquatic and floodplain systems</w:t>
      </w:r>
      <w:r w:rsidRPr="00290705">
        <w:rPr>
          <w:rFonts w:ascii="Calibri" w:hAnsi="Calibri" w:cs="Calibri"/>
        </w:rPr>
        <w:t xml:space="preserve"> Ecological Communit</w:t>
      </w:r>
      <w:r>
        <w:rPr>
          <w:rFonts w:ascii="Calibri" w:hAnsi="Calibri" w:cs="Calibri"/>
        </w:rPr>
        <w:t>y</w:t>
      </w:r>
    </w:p>
    <w:p w14:paraId="0B504F06" w14:textId="23A70CF8" w:rsidR="00C82EA8" w:rsidRPr="00A045E1" w:rsidRDefault="00C82EA8" w:rsidP="00C82EA8">
      <w:pPr>
        <w:keepNext/>
        <w:tabs>
          <w:tab w:val="left" w:pos="5820"/>
        </w:tabs>
        <w:rPr>
          <w:b/>
        </w:rPr>
      </w:pPr>
      <w:r w:rsidRPr="00A045E1">
        <w:rPr>
          <w:b/>
        </w:rPr>
        <w:t>About this document</w:t>
      </w:r>
    </w:p>
    <w:p w14:paraId="22F43EF2" w14:textId="7DA4C977" w:rsidR="00C82EA8" w:rsidRPr="00E86E45" w:rsidRDefault="00C82EA8" w:rsidP="00C82EA8">
      <w:r>
        <w:t xml:space="preserve">This </w:t>
      </w:r>
      <w:r w:rsidRPr="00165405">
        <w:rPr>
          <w:i/>
          <w:iCs/>
        </w:rPr>
        <w:t>Conservation Advice</w:t>
      </w:r>
      <w:r>
        <w:t xml:space="preserve"> </w:t>
      </w:r>
      <w:r w:rsidRPr="008B3E10">
        <w:t>describ</w:t>
      </w:r>
      <w:r>
        <w:t xml:space="preserve">es </w:t>
      </w:r>
      <w:r w:rsidRPr="005351F5">
        <w:t xml:space="preserve">the ecological community </w:t>
      </w:r>
      <w:r>
        <w:t xml:space="preserve">and </w:t>
      </w:r>
      <w:r w:rsidRPr="005351F5">
        <w:t xml:space="preserve">where it </w:t>
      </w:r>
      <w:r w:rsidRPr="00E86E45">
        <w:t xml:space="preserve">can be found </w:t>
      </w:r>
      <w:r w:rsidR="00786295">
        <w:br/>
      </w:r>
      <w:r w:rsidRPr="00E86E45">
        <w:t>(</w:t>
      </w:r>
      <w:r w:rsidRPr="00786295">
        <w:rPr>
          <w:u w:val="single"/>
        </w:rPr>
        <w:t xml:space="preserve">Section </w:t>
      </w:r>
      <w:r w:rsidRPr="00786295">
        <w:rPr>
          <w:u w:val="single"/>
        </w:rPr>
        <w:fldChar w:fldCharType="begin"/>
      </w:r>
      <w:r w:rsidRPr="00786295">
        <w:rPr>
          <w:u w:val="single"/>
        </w:rPr>
        <w:instrText xml:space="preserve"> REF _Ref83723543 \r \h  \* MERGEFORMAT </w:instrText>
      </w:r>
      <w:r w:rsidRPr="00786295">
        <w:rPr>
          <w:u w:val="single"/>
        </w:rPr>
      </w:r>
      <w:r w:rsidRPr="00786295">
        <w:rPr>
          <w:u w:val="single"/>
        </w:rPr>
        <w:fldChar w:fldCharType="separate"/>
      </w:r>
      <w:r w:rsidR="006D35C5">
        <w:rPr>
          <w:u w:val="single"/>
        </w:rPr>
        <w:t>1</w:t>
      </w:r>
      <w:r w:rsidRPr="00786295">
        <w:rPr>
          <w:u w:val="single"/>
        </w:rPr>
        <w:fldChar w:fldCharType="end"/>
      </w:r>
      <w:r w:rsidRPr="00E86E45">
        <w:t>)</w:t>
      </w:r>
      <w:r w:rsidR="00827A3E">
        <w:t xml:space="preserve"> and </w:t>
      </w:r>
      <w:r w:rsidRPr="00E86E45">
        <w:t>outlines information to assist in identifying the ecological community and important occurrences of it (</w:t>
      </w:r>
      <w:r w:rsidRPr="00786295">
        <w:rPr>
          <w:u w:val="single"/>
        </w:rPr>
        <w:t xml:space="preserve">Section </w:t>
      </w:r>
      <w:r w:rsidRPr="00786295">
        <w:rPr>
          <w:u w:val="single"/>
        </w:rPr>
        <w:fldChar w:fldCharType="begin"/>
      </w:r>
      <w:r w:rsidRPr="00786295">
        <w:rPr>
          <w:u w:val="single"/>
        </w:rPr>
        <w:instrText xml:space="preserve"> REF _Ref40360175 \r \h  \* MERGEFORMAT </w:instrText>
      </w:r>
      <w:r w:rsidRPr="00786295">
        <w:rPr>
          <w:u w:val="single"/>
        </w:rPr>
      </w:r>
      <w:r w:rsidRPr="00786295">
        <w:rPr>
          <w:u w:val="single"/>
        </w:rPr>
        <w:fldChar w:fldCharType="separate"/>
      </w:r>
      <w:r w:rsidR="006D35C5">
        <w:rPr>
          <w:u w:val="single"/>
        </w:rPr>
        <w:t>0</w:t>
      </w:r>
      <w:r w:rsidRPr="00786295">
        <w:rPr>
          <w:u w:val="single"/>
        </w:rPr>
        <w:fldChar w:fldCharType="end"/>
      </w:r>
      <w:r w:rsidR="00786295">
        <w:t>)</w:t>
      </w:r>
      <w:r w:rsidR="00827A3E">
        <w:t xml:space="preserve">. </w:t>
      </w:r>
      <w:r w:rsidR="00561E31">
        <w:t>Pending further information, it</w:t>
      </w:r>
      <w:r w:rsidR="00827A3E">
        <w:t xml:space="preserve"> also </w:t>
      </w:r>
      <w:r w:rsidR="004F69AD">
        <w:t xml:space="preserve">intends to </w:t>
      </w:r>
      <w:r w:rsidR="00827A3E">
        <w:t xml:space="preserve">provide a brief, draft description of certain key aspects of the ecological community’s </w:t>
      </w:r>
      <w:r w:rsidRPr="0074270E">
        <w:t xml:space="preserve">cultural significance </w:t>
      </w:r>
      <w:r w:rsidR="005D0D6C">
        <w:t xml:space="preserve">for First Nations Peoples </w:t>
      </w:r>
      <w:r w:rsidRPr="0074270E">
        <w:t>(</w:t>
      </w:r>
      <w:r w:rsidRPr="00786295">
        <w:rPr>
          <w:u w:val="single"/>
        </w:rPr>
        <w:t>Section 3</w:t>
      </w:r>
      <w:r w:rsidRPr="0074270E">
        <w:t xml:space="preserve">). </w:t>
      </w:r>
    </w:p>
    <w:p w14:paraId="0F1F925F" w14:textId="1937679B" w:rsidR="00C82EA8" w:rsidRDefault="00C82EA8" w:rsidP="00C82EA8">
      <w:r w:rsidRPr="00DE035E">
        <w:t>In line with the requirements of section 266B of the EPBC Act, it sets out the grounds on which the ecological community is eligible to be listed as threatened (</w:t>
      </w:r>
      <w:r w:rsidRPr="00786295">
        <w:rPr>
          <w:u w:val="single"/>
        </w:rPr>
        <w:t xml:space="preserve">Section </w:t>
      </w:r>
      <w:r w:rsidRPr="00786295">
        <w:rPr>
          <w:u w:val="single"/>
        </w:rPr>
        <w:fldChar w:fldCharType="begin"/>
      </w:r>
      <w:r w:rsidRPr="00786295">
        <w:rPr>
          <w:u w:val="single"/>
        </w:rPr>
        <w:instrText xml:space="preserve"> REF _Ref68097549 \r \h  \* MERGEFORMAT </w:instrText>
      </w:r>
      <w:r w:rsidRPr="00786295">
        <w:rPr>
          <w:u w:val="single"/>
        </w:rPr>
      </w:r>
      <w:r w:rsidRPr="00786295">
        <w:rPr>
          <w:u w:val="single"/>
        </w:rPr>
        <w:fldChar w:fldCharType="separate"/>
      </w:r>
      <w:r w:rsidR="006D35C5">
        <w:rPr>
          <w:u w:val="single"/>
        </w:rPr>
        <w:t>0</w:t>
      </w:r>
      <w:r w:rsidRPr="00786295">
        <w:rPr>
          <w:u w:val="single"/>
        </w:rPr>
        <w:fldChar w:fldCharType="end"/>
      </w:r>
      <w:r w:rsidRPr="00DE035E">
        <w:t>); outlines the main threat factors that cause it to be eligible for listing (</w:t>
      </w:r>
      <w:r w:rsidRPr="00786295">
        <w:rPr>
          <w:u w:val="single"/>
        </w:rPr>
        <w:t>Section 4</w:t>
      </w:r>
      <w:r w:rsidRPr="00DE035E">
        <w:t xml:space="preserve">); and provides information about what could appropriately be done to stop its decline and/or support its recovery </w:t>
      </w:r>
      <w:r w:rsidRPr="00786295">
        <w:rPr>
          <w:u w:val="single"/>
        </w:rPr>
        <w:t xml:space="preserve">(Section </w:t>
      </w:r>
      <w:r w:rsidRPr="00786295">
        <w:rPr>
          <w:u w:val="single"/>
        </w:rPr>
        <w:fldChar w:fldCharType="begin"/>
      </w:r>
      <w:r w:rsidRPr="00786295">
        <w:rPr>
          <w:u w:val="single"/>
        </w:rPr>
        <w:instrText xml:space="preserve"> REF _Ref39071525 \r \h  \* MERGEFORMAT </w:instrText>
      </w:r>
      <w:r w:rsidRPr="00786295">
        <w:rPr>
          <w:u w:val="single"/>
        </w:rPr>
      </w:r>
      <w:r w:rsidRPr="00786295">
        <w:rPr>
          <w:u w:val="single"/>
        </w:rPr>
        <w:fldChar w:fldCharType="separate"/>
      </w:r>
      <w:r w:rsidR="006D35C5">
        <w:rPr>
          <w:u w:val="single"/>
        </w:rPr>
        <w:t></w:t>
      </w:r>
      <w:r w:rsidRPr="00786295">
        <w:rPr>
          <w:u w:val="single"/>
        </w:rPr>
        <w:fldChar w:fldCharType="end"/>
      </w:r>
      <w:r w:rsidRPr="00DE035E">
        <w:t>).</w:t>
      </w:r>
    </w:p>
    <w:p w14:paraId="1F71A6D5" w14:textId="5DDAD6A7" w:rsidR="006D2B3B" w:rsidRDefault="006D2B3B" w:rsidP="00E615F3">
      <w:pPr>
        <w:rPr>
          <w:rFonts w:eastAsiaTheme="majorEastAsia" w:cstheme="majorBidi"/>
          <w:b/>
          <w:lang w:val="en-US"/>
        </w:rPr>
      </w:pPr>
      <w:r w:rsidRPr="006D2B3B">
        <w:rPr>
          <w:rFonts w:eastAsiaTheme="majorEastAsia" w:cstheme="majorBidi"/>
          <w:b/>
          <w:lang w:val="en-US"/>
        </w:rPr>
        <w:t>CONTENTS</w:t>
      </w:r>
    </w:p>
    <w:p w14:paraId="6C0AAC4A" w14:textId="5A35BA14" w:rsidR="00B34AB1" w:rsidRDefault="002912B4"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r>
        <w:rPr>
          <w:rFonts w:eastAsiaTheme="majorEastAsia" w:cstheme="majorBidi"/>
          <w:b w:val="0"/>
          <w:lang w:val="en-US"/>
        </w:rPr>
        <w:fldChar w:fldCharType="begin"/>
      </w:r>
      <w:r>
        <w:rPr>
          <w:rFonts w:eastAsiaTheme="majorEastAsia" w:cstheme="majorBidi"/>
          <w:b w:val="0"/>
          <w:lang w:val="en-US"/>
        </w:rPr>
        <w:instrText xml:space="preserve"> TOC \o "1-2" \h \z \u </w:instrText>
      </w:r>
      <w:r>
        <w:rPr>
          <w:rFonts w:eastAsiaTheme="majorEastAsia" w:cstheme="majorBidi"/>
          <w:b w:val="0"/>
          <w:lang w:val="en-US"/>
        </w:rPr>
        <w:fldChar w:fldCharType="separate"/>
      </w:r>
      <w:hyperlink w:anchor="_Toc175572775" w:history="1">
        <w:r w:rsidR="00B34AB1" w:rsidRPr="0003634A">
          <w:rPr>
            <w:rStyle w:val="Hyperlink"/>
          </w:rPr>
          <w:t>1</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Ecological community name and description</w:t>
        </w:r>
        <w:r w:rsidR="00B34AB1">
          <w:rPr>
            <w:webHidden/>
          </w:rPr>
          <w:tab/>
        </w:r>
        <w:r w:rsidR="00B34AB1">
          <w:rPr>
            <w:webHidden/>
          </w:rPr>
          <w:fldChar w:fldCharType="begin"/>
        </w:r>
        <w:r w:rsidR="00B34AB1">
          <w:rPr>
            <w:webHidden/>
          </w:rPr>
          <w:instrText xml:space="preserve"> PAGEREF _Toc175572775 \h </w:instrText>
        </w:r>
        <w:r w:rsidR="00B34AB1">
          <w:rPr>
            <w:webHidden/>
          </w:rPr>
        </w:r>
        <w:r w:rsidR="00B34AB1">
          <w:rPr>
            <w:webHidden/>
          </w:rPr>
          <w:fldChar w:fldCharType="separate"/>
        </w:r>
        <w:r w:rsidR="006D35C5">
          <w:rPr>
            <w:webHidden/>
          </w:rPr>
          <w:t>2</w:t>
        </w:r>
        <w:r w:rsidR="00B34AB1">
          <w:rPr>
            <w:webHidden/>
          </w:rPr>
          <w:fldChar w:fldCharType="end"/>
        </w:r>
      </w:hyperlink>
    </w:p>
    <w:p w14:paraId="708091CF" w14:textId="0DAF4650"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76" w:history="1">
        <w:r w:rsidR="00B34AB1" w:rsidRPr="0003634A">
          <w:rPr>
            <w:rStyle w:val="Hyperlink"/>
            <w:noProof/>
          </w:rPr>
          <w:t>1.1</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Name</w:t>
        </w:r>
        <w:r w:rsidR="00B34AB1">
          <w:rPr>
            <w:noProof/>
            <w:webHidden/>
          </w:rPr>
          <w:tab/>
        </w:r>
        <w:r w:rsidR="00B34AB1">
          <w:rPr>
            <w:noProof/>
            <w:webHidden/>
          </w:rPr>
          <w:fldChar w:fldCharType="begin"/>
        </w:r>
        <w:r w:rsidR="00B34AB1">
          <w:rPr>
            <w:noProof/>
            <w:webHidden/>
          </w:rPr>
          <w:instrText xml:space="preserve"> PAGEREF _Toc175572776 \h </w:instrText>
        </w:r>
        <w:r w:rsidR="00B34AB1">
          <w:rPr>
            <w:noProof/>
            <w:webHidden/>
          </w:rPr>
        </w:r>
        <w:r w:rsidR="00B34AB1">
          <w:rPr>
            <w:noProof/>
            <w:webHidden/>
          </w:rPr>
          <w:fldChar w:fldCharType="separate"/>
        </w:r>
        <w:r w:rsidR="006D35C5">
          <w:rPr>
            <w:noProof/>
            <w:webHidden/>
          </w:rPr>
          <w:t>2</w:t>
        </w:r>
        <w:r w:rsidR="00B34AB1">
          <w:rPr>
            <w:noProof/>
            <w:webHidden/>
          </w:rPr>
          <w:fldChar w:fldCharType="end"/>
        </w:r>
      </w:hyperlink>
    </w:p>
    <w:p w14:paraId="0F66A704" w14:textId="7D659BB7"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77" w:history="1">
        <w:r w:rsidR="00B34AB1" w:rsidRPr="0003634A">
          <w:rPr>
            <w:rStyle w:val="Hyperlink"/>
            <w:noProof/>
          </w:rPr>
          <w:t>1.2</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Description of the ecological community and the area in nature it inhabits</w:t>
        </w:r>
        <w:r w:rsidR="00B34AB1">
          <w:rPr>
            <w:noProof/>
            <w:webHidden/>
          </w:rPr>
          <w:tab/>
        </w:r>
        <w:r w:rsidR="00B34AB1">
          <w:rPr>
            <w:noProof/>
            <w:webHidden/>
          </w:rPr>
          <w:fldChar w:fldCharType="begin"/>
        </w:r>
        <w:r w:rsidR="00B34AB1">
          <w:rPr>
            <w:noProof/>
            <w:webHidden/>
          </w:rPr>
          <w:instrText xml:space="preserve"> PAGEREF _Toc175572777 \h </w:instrText>
        </w:r>
        <w:r w:rsidR="00B34AB1">
          <w:rPr>
            <w:noProof/>
            <w:webHidden/>
          </w:rPr>
        </w:r>
        <w:r w:rsidR="00B34AB1">
          <w:rPr>
            <w:noProof/>
            <w:webHidden/>
          </w:rPr>
          <w:fldChar w:fldCharType="separate"/>
        </w:r>
        <w:r w:rsidR="006D35C5">
          <w:rPr>
            <w:noProof/>
            <w:webHidden/>
          </w:rPr>
          <w:t>2</w:t>
        </w:r>
        <w:r w:rsidR="00B34AB1">
          <w:rPr>
            <w:noProof/>
            <w:webHidden/>
          </w:rPr>
          <w:fldChar w:fldCharType="end"/>
        </w:r>
      </w:hyperlink>
    </w:p>
    <w:p w14:paraId="7021FED2" w14:textId="13D51430"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78" w:history="1">
        <w:r w:rsidR="00B34AB1" w:rsidRPr="0003634A">
          <w:rPr>
            <w:rStyle w:val="Hyperlink"/>
          </w:rPr>
          <w:t>2</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Identifying areas of the ecological community</w:t>
        </w:r>
        <w:r w:rsidR="00B34AB1">
          <w:rPr>
            <w:webHidden/>
          </w:rPr>
          <w:tab/>
        </w:r>
        <w:r w:rsidR="00B34AB1">
          <w:rPr>
            <w:webHidden/>
          </w:rPr>
          <w:fldChar w:fldCharType="begin"/>
        </w:r>
        <w:r w:rsidR="00B34AB1">
          <w:rPr>
            <w:webHidden/>
          </w:rPr>
          <w:instrText xml:space="preserve"> PAGEREF _Toc175572778 \h </w:instrText>
        </w:r>
        <w:r w:rsidR="00B34AB1">
          <w:rPr>
            <w:webHidden/>
          </w:rPr>
        </w:r>
        <w:r w:rsidR="00B34AB1">
          <w:rPr>
            <w:webHidden/>
          </w:rPr>
          <w:fldChar w:fldCharType="separate"/>
        </w:r>
        <w:r w:rsidR="006D35C5">
          <w:rPr>
            <w:webHidden/>
          </w:rPr>
          <w:t>65</w:t>
        </w:r>
        <w:r w:rsidR="00B34AB1">
          <w:rPr>
            <w:webHidden/>
          </w:rPr>
          <w:fldChar w:fldCharType="end"/>
        </w:r>
      </w:hyperlink>
    </w:p>
    <w:p w14:paraId="6339AB3C" w14:textId="37155F5B"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79" w:history="1">
        <w:r w:rsidR="00B34AB1" w:rsidRPr="0003634A">
          <w:rPr>
            <w:rStyle w:val="Hyperlink"/>
            <w:noProof/>
          </w:rPr>
          <w:t>2.1</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Key diagnostic characteristics</w:t>
        </w:r>
        <w:r w:rsidR="00B34AB1">
          <w:rPr>
            <w:noProof/>
            <w:webHidden/>
          </w:rPr>
          <w:tab/>
        </w:r>
        <w:r w:rsidR="00B34AB1">
          <w:rPr>
            <w:noProof/>
            <w:webHidden/>
          </w:rPr>
          <w:fldChar w:fldCharType="begin"/>
        </w:r>
        <w:r w:rsidR="00B34AB1">
          <w:rPr>
            <w:noProof/>
            <w:webHidden/>
          </w:rPr>
          <w:instrText xml:space="preserve"> PAGEREF _Toc175572779 \h </w:instrText>
        </w:r>
        <w:r w:rsidR="00B34AB1">
          <w:rPr>
            <w:noProof/>
            <w:webHidden/>
          </w:rPr>
        </w:r>
        <w:r w:rsidR="00B34AB1">
          <w:rPr>
            <w:noProof/>
            <w:webHidden/>
          </w:rPr>
          <w:fldChar w:fldCharType="separate"/>
        </w:r>
        <w:r w:rsidR="006D35C5">
          <w:rPr>
            <w:noProof/>
            <w:webHidden/>
          </w:rPr>
          <w:t>65</w:t>
        </w:r>
        <w:r w:rsidR="00B34AB1">
          <w:rPr>
            <w:noProof/>
            <w:webHidden/>
          </w:rPr>
          <w:fldChar w:fldCharType="end"/>
        </w:r>
      </w:hyperlink>
    </w:p>
    <w:p w14:paraId="366AFAD5" w14:textId="4A26ABF8"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0" w:history="1">
        <w:r w:rsidR="00B34AB1" w:rsidRPr="0003634A">
          <w:rPr>
            <w:rStyle w:val="Hyperlink"/>
            <w:noProof/>
          </w:rPr>
          <w:t>2.2</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Condition thresholds</w:t>
        </w:r>
        <w:r w:rsidR="00B34AB1">
          <w:rPr>
            <w:noProof/>
            <w:webHidden/>
          </w:rPr>
          <w:tab/>
        </w:r>
        <w:r w:rsidR="00B34AB1">
          <w:rPr>
            <w:noProof/>
            <w:webHidden/>
          </w:rPr>
          <w:fldChar w:fldCharType="begin"/>
        </w:r>
        <w:r w:rsidR="00B34AB1">
          <w:rPr>
            <w:noProof/>
            <w:webHidden/>
          </w:rPr>
          <w:instrText xml:space="preserve"> PAGEREF _Toc175572780 \h </w:instrText>
        </w:r>
        <w:r w:rsidR="00B34AB1">
          <w:rPr>
            <w:noProof/>
            <w:webHidden/>
          </w:rPr>
        </w:r>
        <w:r w:rsidR="00B34AB1">
          <w:rPr>
            <w:noProof/>
            <w:webHidden/>
          </w:rPr>
          <w:fldChar w:fldCharType="separate"/>
        </w:r>
        <w:r w:rsidR="006D35C5">
          <w:rPr>
            <w:noProof/>
            <w:webHidden/>
          </w:rPr>
          <w:t>68</w:t>
        </w:r>
        <w:r w:rsidR="00B34AB1">
          <w:rPr>
            <w:noProof/>
            <w:webHidden/>
          </w:rPr>
          <w:fldChar w:fldCharType="end"/>
        </w:r>
      </w:hyperlink>
    </w:p>
    <w:p w14:paraId="412595A5" w14:textId="411B8B80"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1" w:history="1">
        <w:r w:rsidR="00B34AB1" w:rsidRPr="0003634A">
          <w:rPr>
            <w:rStyle w:val="Hyperlink"/>
            <w:noProof/>
          </w:rPr>
          <w:t>2.3</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Habitat important or critical to the survival of the ecological community</w:t>
        </w:r>
        <w:r w:rsidR="00B34AB1">
          <w:rPr>
            <w:noProof/>
            <w:webHidden/>
          </w:rPr>
          <w:tab/>
        </w:r>
        <w:r w:rsidR="00B34AB1">
          <w:rPr>
            <w:noProof/>
            <w:webHidden/>
          </w:rPr>
          <w:fldChar w:fldCharType="begin"/>
        </w:r>
        <w:r w:rsidR="00B34AB1">
          <w:rPr>
            <w:noProof/>
            <w:webHidden/>
          </w:rPr>
          <w:instrText xml:space="preserve"> PAGEREF _Toc175572781 \h </w:instrText>
        </w:r>
        <w:r w:rsidR="00B34AB1">
          <w:rPr>
            <w:noProof/>
            <w:webHidden/>
          </w:rPr>
        </w:r>
        <w:r w:rsidR="00B34AB1">
          <w:rPr>
            <w:noProof/>
            <w:webHidden/>
          </w:rPr>
          <w:fldChar w:fldCharType="separate"/>
        </w:r>
        <w:r w:rsidR="006D35C5">
          <w:rPr>
            <w:noProof/>
            <w:webHidden/>
          </w:rPr>
          <w:t>72</w:t>
        </w:r>
        <w:r w:rsidR="00B34AB1">
          <w:rPr>
            <w:noProof/>
            <w:webHidden/>
          </w:rPr>
          <w:fldChar w:fldCharType="end"/>
        </w:r>
      </w:hyperlink>
    </w:p>
    <w:p w14:paraId="59EAB3BB" w14:textId="5D014ABF"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82" w:history="1">
        <w:r w:rsidR="00B34AB1" w:rsidRPr="0003634A">
          <w:rPr>
            <w:rStyle w:val="Hyperlink"/>
          </w:rPr>
          <w:t>3</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Cultural significance</w:t>
        </w:r>
        <w:r w:rsidR="00B34AB1">
          <w:rPr>
            <w:webHidden/>
          </w:rPr>
          <w:tab/>
        </w:r>
        <w:r w:rsidR="00B34AB1">
          <w:rPr>
            <w:webHidden/>
          </w:rPr>
          <w:fldChar w:fldCharType="begin"/>
        </w:r>
        <w:r w:rsidR="00B34AB1">
          <w:rPr>
            <w:webHidden/>
          </w:rPr>
          <w:instrText xml:space="preserve"> PAGEREF _Toc175572782 \h </w:instrText>
        </w:r>
        <w:r w:rsidR="00B34AB1">
          <w:rPr>
            <w:webHidden/>
          </w:rPr>
        </w:r>
        <w:r w:rsidR="00B34AB1">
          <w:rPr>
            <w:webHidden/>
          </w:rPr>
          <w:fldChar w:fldCharType="separate"/>
        </w:r>
        <w:r w:rsidR="006D35C5">
          <w:rPr>
            <w:webHidden/>
          </w:rPr>
          <w:t>74</w:t>
        </w:r>
        <w:r w:rsidR="00B34AB1">
          <w:rPr>
            <w:webHidden/>
          </w:rPr>
          <w:fldChar w:fldCharType="end"/>
        </w:r>
      </w:hyperlink>
    </w:p>
    <w:p w14:paraId="1BFDF024" w14:textId="525F7F1E"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83" w:history="1">
        <w:r w:rsidR="00B34AB1" w:rsidRPr="0003634A">
          <w:rPr>
            <w:rStyle w:val="Hyperlink"/>
          </w:rPr>
          <w:t>4</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Threats</w:t>
        </w:r>
        <w:r w:rsidR="00B34AB1">
          <w:rPr>
            <w:webHidden/>
          </w:rPr>
          <w:tab/>
        </w:r>
        <w:r w:rsidR="00B34AB1">
          <w:rPr>
            <w:webHidden/>
          </w:rPr>
          <w:fldChar w:fldCharType="begin"/>
        </w:r>
        <w:r w:rsidR="00B34AB1">
          <w:rPr>
            <w:webHidden/>
          </w:rPr>
          <w:instrText xml:space="preserve"> PAGEREF _Toc175572783 \h </w:instrText>
        </w:r>
        <w:r w:rsidR="00B34AB1">
          <w:rPr>
            <w:webHidden/>
          </w:rPr>
        </w:r>
        <w:r w:rsidR="00B34AB1">
          <w:rPr>
            <w:webHidden/>
          </w:rPr>
          <w:fldChar w:fldCharType="separate"/>
        </w:r>
        <w:r w:rsidR="006D35C5">
          <w:rPr>
            <w:webHidden/>
          </w:rPr>
          <w:t>75</w:t>
        </w:r>
        <w:r w:rsidR="00B34AB1">
          <w:rPr>
            <w:webHidden/>
          </w:rPr>
          <w:fldChar w:fldCharType="end"/>
        </w:r>
      </w:hyperlink>
    </w:p>
    <w:p w14:paraId="77F25B6F" w14:textId="754070EE"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4" w:history="1">
        <w:r w:rsidR="00B34AB1" w:rsidRPr="0003634A">
          <w:rPr>
            <w:rStyle w:val="Hyperlink"/>
            <w:noProof/>
          </w:rPr>
          <w:t>4.1</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Threats table</w:t>
        </w:r>
        <w:r w:rsidR="00B34AB1">
          <w:rPr>
            <w:noProof/>
            <w:webHidden/>
          </w:rPr>
          <w:tab/>
        </w:r>
        <w:r w:rsidR="00B34AB1">
          <w:rPr>
            <w:noProof/>
            <w:webHidden/>
          </w:rPr>
          <w:fldChar w:fldCharType="begin"/>
        </w:r>
        <w:r w:rsidR="00B34AB1">
          <w:rPr>
            <w:noProof/>
            <w:webHidden/>
          </w:rPr>
          <w:instrText xml:space="preserve"> PAGEREF _Toc175572784 \h </w:instrText>
        </w:r>
        <w:r w:rsidR="00B34AB1">
          <w:rPr>
            <w:noProof/>
            <w:webHidden/>
          </w:rPr>
        </w:r>
        <w:r w:rsidR="00B34AB1">
          <w:rPr>
            <w:noProof/>
            <w:webHidden/>
          </w:rPr>
          <w:fldChar w:fldCharType="separate"/>
        </w:r>
        <w:r w:rsidR="006D35C5">
          <w:rPr>
            <w:noProof/>
            <w:webHidden/>
          </w:rPr>
          <w:t>75</w:t>
        </w:r>
        <w:r w:rsidR="00B34AB1">
          <w:rPr>
            <w:noProof/>
            <w:webHidden/>
          </w:rPr>
          <w:fldChar w:fldCharType="end"/>
        </w:r>
      </w:hyperlink>
    </w:p>
    <w:p w14:paraId="27AAA0AB" w14:textId="63F9A44D"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85" w:history="1">
        <w:r w:rsidR="00B34AB1" w:rsidRPr="0003634A">
          <w:rPr>
            <w:rStyle w:val="Hyperlink"/>
          </w:rPr>
          <w:t>5</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Conservation of the ecological community</w:t>
        </w:r>
        <w:r w:rsidR="00B34AB1">
          <w:rPr>
            <w:webHidden/>
          </w:rPr>
          <w:tab/>
        </w:r>
        <w:r w:rsidR="00B34AB1">
          <w:rPr>
            <w:webHidden/>
          </w:rPr>
          <w:fldChar w:fldCharType="begin"/>
        </w:r>
        <w:r w:rsidR="00B34AB1">
          <w:rPr>
            <w:webHidden/>
          </w:rPr>
          <w:instrText xml:space="preserve"> PAGEREF _Toc175572785 \h </w:instrText>
        </w:r>
        <w:r w:rsidR="00B34AB1">
          <w:rPr>
            <w:webHidden/>
          </w:rPr>
        </w:r>
        <w:r w:rsidR="00B34AB1">
          <w:rPr>
            <w:webHidden/>
          </w:rPr>
          <w:fldChar w:fldCharType="separate"/>
        </w:r>
        <w:r w:rsidR="006D35C5">
          <w:rPr>
            <w:webHidden/>
          </w:rPr>
          <w:t>93</w:t>
        </w:r>
        <w:r w:rsidR="00B34AB1">
          <w:rPr>
            <w:webHidden/>
          </w:rPr>
          <w:fldChar w:fldCharType="end"/>
        </w:r>
      </w:hyperlink>
    </w:p>
    <w:p w14:paraId="57E296F6" w14:textId="3D173DFB"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6" w:history="1">
        <w:r w:rsidR="00B34AB1" w:rsidRPr="0003634A">
          <w:rPr>
            <w:rStyle w:val="Hyperlink"/>
            <w:noProof/>
          </w:rPr>
          <w:t>5.1</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Primary conservation objective</w:t>
        </w:r>
        <w:r w:rsidR="00B34AB1">
          <w:rPr>
            <w:noProof/>
            <w:webHidden/>
          </w:rPr>
          <w:tab/>
        </w:r>
        <w:r w:rsidR="00B34AB1">
          <w:rPr>
            <w:noProof/>
            <w:webHidden/>
          </w:rPr>
          <w:fldChar w:fldCharType="begin"/>
        </w:r>
        <w:r w:rsidR="00B34AB1">
          <w:rPr>
            <w:noProof/>
            <w:webHidden/>
          </w:rPr>
          <w:instrText xml:space="preserve"> PAGEREF _Toc175572786 \h </w:instrText>
        </w:r>
        <w:r w:rsidR="00B34AB1">
          <w:rPr>
            <w:noProof/>
            <w:webHidden/>
          </w:rPr>
        </w:r>
        <w:r w:rsidR="00B34AB1">
          <w:rPr>
            <w:noProof/>
            <w:webHidden/>
          </w:rPr>
          <w:fldChar w:fldCharType="separate"/>
        </w:r>
        <w:r w:rsidR="006D35C5">
          <w:rPr>
            <w:noProof/>
            <w:webHidden/>
          </w:rPr>
          <w:t>93</w:t>
        </w:r>
        <w:r w:rsidR="00B34AB1">
          <w:rPr>
            <w:noProof/>
            <w:webHidden/>
          </w:rPr>
          <w:fldChar w:fldCharType="end"/>
        </w:r>
      </w:hyperlink>
    </w:p>
    <w:p w14:paraId="2AC64937" w14:textId="1D630BB3"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7" w:history="1">
        <w:r w:rsidR="00B34AB1" w:rsidRPr="0003634A">
          <w:rPr>
            <w:rStyle w:val="Hyperlink"/>
            <w:noProof/>
          </w:rPr>
          <w:t>5.2</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Existing protection and management plans</w:t>
        </w:r>
        <w:r w:rsidR="00B34AB1">
          <w:rPr>
            <w:noProof/>
            <w:webHidden/>
          </w:rPr>
          <w:tab/>
        </w:r>
        <w:r w:rsidR="00B34AB1">
          <w:rPr>
            <w:noProof/>
            <w:webHidden/>
          </w:rPr>
          <w:fldChar w:fldCharType="begin"/>
        </w:r>
        <w:r w:rsidR="00B34AB1">
          <w:rPr>
            <w:noProof/>
            <w:webHidden/>
          </w:rPr>
          <w:instrText xml:space="preserve"> PAGEREF _Toc175572787 \h </w:instrText>
        </w:r>
        <w:r w:rsidR="00B34AB1">
          <w:rPr>
            <w:noProof/>
            <w:webHidden/>
          </w:rPr>
        </w:r>
        <w:r w:rsidR="00B34AB1">
          <w:rPr>
            <w:noProof/>
            <w:webHidden/>
          </w:rPr>
          <w:fldChar w:fldCharType="separate"/>
        </w:r>
        <w:r w:rsidR="006D35C5">
          <w:rPr>
            <w:noProof/>
            <w:webHidden/>
          </w:rPr>
          <w:t>94</w:t>
        </w:r>
        <w:r w:rsidR="00B34AB1">
          <w:rPr>
            <w:noProof/>
            <w:webHidden/>
          </w:rPr>
          <w:fldChar w:fldCharType="end"/>
        </w:r>
      </w:hyperlink>
    </w:p>
    <w:p w14:paraId="13F38166" w14:textId="3CA17EC7"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8" w:history="1">
        <w:r w:rsidR="00B34AB1" w:rsidRPr="0003634A">
          <w:rPr>
            <w:rStyle w:val="Hyperlink"/>
            <w:noProof/>
          </w:rPr>
          <w:t>5.3</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Principles and standards for conservation</w:t>
        </w:r>
        <w:r w:rsidR="00B34AB1">
          <w:rPr>
            <w:noProof/>
            <w:webHidden/>
          </w:rPr>
          <w:tab/>
        </w:r>
        <w:r w:rsidR="00B34AB1">
          <w:rPr>
            <w:noProof/>
            <w:webHidden/>
          </w:rPr>
          <w:fldChar w:fldCharType="begin"/>
        </w:r>
        <w:r w:rsidR="00B34AB1">
          <w:rPr>
            <w:noProof/>
            <w:webHidden/>
          </w:rPr>
          <w:instrText xml:space="preserve"> PAGEREF _Toc175572788 \h </w:instrText>
        </w:r>
        <w:r w:rsidR="00B34AB1">
          <w:rPr>
            <w:noProof/>
            <w:webHidden/>
          </w:rPr>
        </w:r>
        <w:r w:rsidR="00B34AB1">
          <w:rPr>
            <w:noProof/>
            <w:webHidden/>
          </w:rPr>
          <w:fldChar w:fldCharType="separate"/>
        </w:r>
        <w:r w:rsidR="006D35C5">
          <w:rPr>
            <w:noProof/>
            <w:webHidden/>
          </w:rPr>
          <w:t>97</w:t>
        </w:r>
        <w:r w:rsidR="00B34AB1">
          <w:rPr>
            <w:noProof/>
            <w:webHidden/>
          </w:rPr>
          <w:fldChar w:fldCharType="end"/>
        </w:r>
      </w:hyperlink>
    </w:p>
    <w:p w14:paraId="7FB7E54A" w14:textId="25F7D382"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89" w:history="1">
        <w:r w:rsidR="00B34AB1" w:rsidRPr="0003634A">
          <w:rPr>
            <w:rStyle w:val="Hyperlink"/>
            <w:noProof/>
          </w:rPr>
          <w:t>5.4</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Priority conservation and research actions</w:t>
        </w:r>
        <w:r w:rsidR="00B34AB1">
          <w:rPr>
            <w:noProof/>
            <w:webHidden/>
          </w:rPr>
          <w:tab/>
        </w:r>
        <w:r w:rsidR="00B34AB1">
          <w:rPr>
            <w:noProof/>
            <w:webHidden/>
          </w:rPr>
          <w:fldChar w:fldCharType="begin"/>
        </w:r>
        <w:r w:rsidR="00B34AB1">
          <w:rPr>
            <w:noProof/>
            <w:webHidden/>
          </w:rPr>
          <w:instrText xml:space="preserve"> PAGEREF _Toc175572789 \h </w:instrText>
        </w:r>
        <w:r w:rsidR="00B34AB1">
          <w:rPr>
            <w:noProof/>
            <w:webHidden/>
          </w:rPr>
        </w:r>
        <w:r w:rsidR="00B34AB1">
          <w:rPr>
            <w:noProof/>
            <w:webHidden/>
          </w:rPr>
          <w:fldChar w:fldCharType="separate"/>
        </w:r>
        <w:r w:rsidR="006D35C5">
          <w:rPr>
            <w:noProof/>
            <w:webHidden/>
          </w:rPr>
          <w:t>98</w:t>
        </w:r>
        <w:r w:rsidR="00B34AB1">
          <w:rPr>
            <w:noProof/>
            <w:webHidden/>
          </w:rPr>
          <w:fldChar w:fldCharType="end"/>
        </w:r>
      </w:hyperlink>
    </w:p>
    <w:p w14:paraId="4CE453C6" w14:textId="733E4713"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90" w:history="1">
        <w:r w:rsidR="00B34AB1" w:rsidRPr="0003634A">
          <w:rPr>
            <w:rStyle w:val="Hyperlink"/>
          </w:rPr>
          <w:t>6</w:t>
        </w:r>
        <w:r w:rsidR="00B34AB1">
          <w:rPr>
            <w:rFonts w:asciiTheme="minorHAnsi" w:eastAsiaTheme="minorEastAsia" w:hAnsiTheme="minorHAnsi"/>
            <w:b w:val="0"/>
            <w:bCs w:val="0"/>
            <w:kern w:val="2"/>
            <w:sz w:val="24"/>
            <w:szCs w:val="24"/>
            <w:lang w:eastAsia="en-AU"/>
            <w14:ligatures w14:val="standardContextual"/>
          </w:rPr>
          <w:tab/>
        </w:r>
        <w:r w:rsidR="00B34AB1" w:rsidRPr="0003634A">
          <w:rPr>
            <w:rStyle w:val="Hyperlink"/>
          </w:rPr>
          <w:t>Listing assessment</w:t>
        </w:r>
        <w:r w:rsidR="00B34AB1">
          <w:rPr>
            <w:webHidden/>
          </w:rPr>
          <w:tab/>
        </w:r>
        <w:r w:rsidR="00B34AB1">
          <w:rPr>
            <w:webHidden/>
          </w:rPr>
          <w:fldChar w:fldCharType="begin"/>
        </w:r>
        <w:r w:rsidR="00B34AB1">
          <w:rPr>
            <w:webHidden/>
          </w:rPr>
          <w:instrText xml:space="preserve"> PAGEREF _Toc175572790 \h </w:instrText>
        </w:r>
        <w:r w:rsidR="00B34AB1">
          <w:rPr>
            <w:webHidden/>
          </w:rPr>
        </w:r>
        <w:r w:rsidR="00B34AB1">
          <w:rPr>
            <w:webHidden/>
          </w:rPr>
          <w:fldChar w:fldCharType="separate"/>
        </w:r>
        <w:r w:rsidR="006D35C5">
          <w:rPr>
            <w:webHidden/>
          </w:rPr>
          <w:t>115</w:t>
        </w:r>
        <w:r w:rsidR="00B34AB1">
          <w:rPr>
            <w:webHidden/>
          </w:rPr>
          <w:fldChar w:fldCharType="end"/>
        </w:r>
      </w:hyperlink>
    </w:p>
    <w:p w14:paraId="6E6EB190" w14:textId="3520A22F"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91" w:history="1">
        <w:r w:rsidR="00B34AB1" w:rsidRPr="0003634A">
          <w:rPr>
            <w:rStyle w:val="Hyperlink"/>
            <w:noProof/>
          </w:rPr>
          <w:t>6.1</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Assessment process</w:t>
        </w:r>
        <w:r w:rsidR="00B34AB1">
          <w:rPr>
            <w:noProof/>
            <w:webHidden/>
          </w:rPr>
          <w:tab/>
        </w:r>
        <w:r w:rsidR="00B34AB1">
          <w:rPr>
            <w:noProof/>
            <w:webHidden/>
          </w:rPr>
          <w:fldChar w:fldCharType="begin"/>
        </w:r>
        <w:r w:rsidR="00B34AB1">
          <w:rPr>
            <w:noProof/>
            <w:webHidden/>
          </w:rPr>
          <w:instrText xml:space="preserve"> PAGEREF _Toc175572791 \h </w:instrText>
        </w:r>
        <w:r w:rsidR="00B34AB1">
          <w:rPr>
            <w:noProof/>
            <w:webHidden/>
          </w:rPr>
        </w:r>
        <w:r w:rsidR="00B34AB1">
          <w:rPr>
            <w:noProof/>
            <w:webHidden/>
          </w:rPr>
          <w:fldChar w:fldCharType="separate"/>
        </w:r>
        <w:r w:rsidR="006D35C5">
          <w:rPr>
            <w:noProof/>
            <w:webHidden/>
          </w:rPr>
          <w:t>115</w:t>
        </w:r>
        <w:r w:rsidR="00B34AB1">
          <w:rPr>
            <w:noProof/>
            <w:webHidden/>
          </w:rPr>
          <w:fldChar w:fldCharType="end"/>
        </w:r>
      </w:hyperlink>
    </w:p>
    <w:p w14:paraId="279ECAF7" w14:textId="0EF425C8" w:rsidR="00B34AB1" w:rsidRDefault="00000000" w:rsidP="00E11A73">
      <w:pPr>
        <w:pStyle w:val="TOC2"/>
        <w:tabs>
          <w:tab w:val="left" w:pos="960"/>
          <w:tab w:val="right" w:leader="dot" w:pos="8931"/>
          <w:tab w:val="right" w:leader="dot" w:pos="8977"/>
        </w:tabs>
        <w:rPr>
          <w:rFonts w:asciiTheme="minorHAnsi" w:eastAsiaTheme="minorEastAsia" w:hAnsiTheme="minorHAnsi"/>
          <w:noProof/>
          <w:kern w:val="2"/>
          <w:sz w:val="24"/>
          <w:szCs w:val="24"/>
          <w:lang w:eastAsia="en-AU"/>
          <w14:ligatures w14:val="standardContextual"/>
        </w:rPr>
      </w:pPr>
      <w:hyperlink w:anchor="_Toc175572792" w:history="1">
        <w:r w:rsidR="00B34AB1" w:rsidRPr="0003634A">
          <w:rPr>
            <w:rStyle w:val="Hyperlink"/>
            <w:noProof/>
          </w:rPr>
          <w:t>6.2</w:t>
        </w:r>
        <w:r w:rsidR="00B34AB1">
          <w:rPr>
            <w:rFonts w:asciiTheme="minorHAnsi" w:eastAsiaTheme="minorEastAsia" w:hAnsiTheme="minorHAnsi"/>
            <w:noProof/>
            <w:kern w:val="2"/>
            <w:sz w:val="24"/>
            <w:szCs w:val="24"/>
            <w:lang w:eastAsia="en-AU"/>
            <w14:ligatures w14:val="standardContextual"/>
          </w:rPr>
          <w:tab/>
        </w:r>
        <w:r w:rsidR="00B34AB1" w:rsidRPr="0003634A">
          <w:rPr>
            <w:rStyle w:val="Hyperlink"/>
            <w:noProof/>
          </w:rPr>
          <w:t>Eligibility for listing</w:t>
        </w:r>
        <w:r w:rsidR="00B34AB1">
          <w:rPr>
            <w:noProof/>
            <w:webHidden/>
          </w:rPr>
          <w:tab/>
        </w:r>
        <w:r w:rsidR="00B34AB1">
          <w:rPr>
            <w:noProof/>
            <w:webHidden/>
          </w:rPr>
          <w:fldChar w:fldCharType="begin"/>
        </w:r>
        <w:r w:rsidR="00B34AB1">
          <w:rPr>
            <w:noProof/>
            <w:webHidden/>
          </w:rPr>
          <w:instrText xml:space="preserve"> PAGEREF _Toc175572792 \h </w:instrText>
        </w:r>
        <w:r w:rsidR="00B34AB1">
          <w:rPr>
            <w:noProof/>
            <w:webHidden/>
          </w:rPr>
        </w:r>
        <w:r w:rsidR="00B34AB1">
          <w:rPr>
            <w:noProof/>
            <w:webHidden/>
          </w:rPr>
          <w:fldChar w:fldCharType="separate"/>
        </w:r>
        <w:r w:rsidR="006D35C5">
          <w:rPr>
            <w:noProof/>
            <w:webHidden/>
          </w:rPr>
          <w:t>115</w:t>
        </w:r>
        <w:r w:rsidR="00B34AB1">
          <w:rPr>
            <w:noProof/>
            <w:webHidden/>
          </w:rPr>
          <w:fldChar w:fldCharType="end"/>
        </w:r>
      </w:hyperlink>
    </w:p>
    <w:p w14:paraId="11DD1DB4" w14:textId="6805488C"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93" w:history="1">
        <w:r w:rsidR="00B34AB1" w:rsidRPr="0003634A">
          <w:rPr>
            <w:rStyle w:val="Hyperlink"/>
          </w:rPr>
          <w:t>Appendix A – Additional information on ‘area in nature’</w:t>
        </w:r>
        <w:r w:rsidR="00B34AB1">
          <w:rPr>
            <w:webHidden/>
          </w:rPr>
          <w:tab/>
        </w:r>
        <w:r w:rsidR="00B34AB1">
          <w:rPr>
            <w:webHidden/>
          </w:rPr>
          <w:fldChar w:fldCharType="begin"/>
        </w:r>
        <w:r w:rsidR="00B34AB1">
          <w:rPr>
            <w:webHidden/>
          </w:rPr>
          <w:instrText xml:space="preserve"> PAGEREF _Toc175572793 \h </w:instrText>
        </w:r>
        <w:r w:rsidR="00B34AB1">
          <w:rPr>
            <w:webHidden/>
          </w:rPr>
        </w:r>
        <w:r w:rsidR="00B34AB1">
          <w:rPr>
            <w:webHidden/>
          </w:rPr>
          <w:fldChar w:fldCharType="separate"/>
        </w:r>
        <w:r w:rsidR="006D35C5">
          <w:rPr>
            <w:webHidden/>
          </w:rPr>
          <w:t>208</w:t>
        </w:r>
        <w:r w:rsidR="00B34AB1">
          <w:rPr>
            <w:webHidden/>
          </w:rPr>
          <w:fldChar w:fldCharType="end"/>
        </w:r>
      </w:hyperlink>
    </w:p>
    <w:p w14:paraId="6AC9502A" w14:textId="47DDBDB0"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94" w:history="1">
        <w:r w:rsidR="00B34AB1" w:rsidRPr="0003634A">
          <w:rPr>
            <w:rStyle w:val="Hyperlink"/>
          </w:rPr>
          <w:t>Appendix B – Additional information on ‘assemblage of species’ (i.e. Flora and Fauna)</w:t>
        </w:r>
        <w:r w:rsidR="00B34AB1">
          <w:rPr>
            <w:webHidden/>
          </w:rPr>
          <w:tab/>
        </w:r>
        <w:r w:rsidR="00B34AB1">
          <w:rPr>
            <w:webHidden/>
          </w:rPr>
          <w:fldChar w:fldCharType="begin"/>
        </w:r>
        <w:r w:rsidR="00B34AB1">
          <w:rPr>
            <w:webHidden/>
          </w:rPr>
          <w:instrText xml:space="preserve"> PAGEREF _Toc175572794 \h </w:instrText>
        </w:r>
        <w:r w:rsidR="00B34AB1">
          <w:rPr>
            <w:webHidden/>
          </w:rPr>
        </w:r>
        <w:r w:rsidR="00B34AB1">
          <w:rPr>
            <w:webHidden/>
          </w:rPr>
          <w:fldChar w:fldCharType="separate"/>
        </w:r>
        <w:r w:rsidR="006D35C5">
          <w:rPr>
            <w:webHidden/>
          </w:rPr>
          <w:t>208</w:t>
        </w:r>
        <w:r w:rsidR="00B34AB1">
          <w:rPr>
            <w:webHidden/>
          </w:rPr>
          <w:fldChar w:fldCharType="end"/>
        </w:r>
      </w:hyperlink>
    </w:p>
    <w:p w14:paraId="481549ED" w14:textId="70A510E6" w:rsidR="00B34AB1" w:rsidRDefault="00000000" w:rsidP="00E11A73">
      <w:pPr>
        <w:pStyle w:val="TOC1"/>
        <w:tabs>
          <w:tab w:val="clear" w:pos="9060"/>
          <w:tab w:val="right" w:leader="dot" w:pos="8931"/>
        </w:tabs>
        <w:rPr>
          <w:rFonts w:asciiTheme="minorHAnsi" w:eastAsiaTheme="minorEastAsia" w:hAnsiTheme="minorHAnsi"/>
          <w:b w:val="0"/>
          <w:bCs w:val="0"/>
          <w:kern w:val="2"/>
          <w:sz w:val="24"/>
          <w:szCs w:val="24"/>
          <w:lang w:eastAsia="en-AU"/>
          <w14:ligatures w14:val="standardContextual"/>
        </w:rPr>
      </w:pPr>
      <w:hyperlink w:anchor="_Toc175572795" w:history="1">
        <w:r w:rsidR="00B34AB1" w:rsidRPr="0003634A">
          <w:rPr>
            <w:rStyle w:val="Hyperlink"/>
          </w:rPr>
          <w:t>References</w:t>
        </w:r>
        <w:r w:rsidR="00B34AB1">
          <w:rPr>
            <w:webHidden/>
          </w:rPr>
          <w:tab/>
        </w:r>
        <w:r w:rsidR="00B34AB1">
          <w:rPr>
            <w:webHidden/>
          </w:rPr>
          <w:fldChar w:fldCharType="begin"/>
        </w:r>
        <w:r w:rsidR="00B34AB1">
          <w:rPr>
            <w:webHidden/>
          </w:rPr>
          <w:instrText xml:space="preserve"> PAGEREF _Toc175572795 \h </w:instrText>
        </w:r>
        <w:r w:rsidR="00B34AB1">
          <w:rPr>
            <w:webHidden/>
          </w:rPr>
        </w:r>
        <w:r w:rsidR="00B34AB1">
          <w:rPr>
            <w:webHidden/>
          </w:rPr>
          <w:fldChar w:fldCharType="separate"/>
        </w:r>
        <w:r w:rsidR="006D35C5">
          <w:rPr>
            <w:webHidden/>
          </w:rPr>
          <w:t>208</w:t>
        </w:r>
        <w:r w:rsidR="00B34AB1">
          <w:rPr>
            <w:webHidden/>
          </w:rPr>
          <w:fldChar w:fldCharType="end"/>
        </w:r>
      </w:hyperlink>
    </w:p>
    <w:p w14:paraId="11409693" w14:textId="4D20E566" w:rsidR="00216BB7" w:rsidRPr="000A6691" w:rsidRDefault="002912B4" w:rsidP="00C15712">
      <w:pPr>
        <w:tabs>
          <w:tab w:val="right" w:leader="dot" w:pos="8931"/>
        </w:tabs>
        <w:rPr>
          <w:rFonts w:eastAsiaTheme="majorEastAsia" w:cstheme="majorBidi"/>
          <w:szCs w:val="32"/>
        </w:rPr>
      </w:pPr>
      <w:r>
        <w:rPr>
          <w:rFonts w:eastAsiaTheme="majorEastAsia" w:cstheme="majorBidi"/>
          <w:b/>
          <w:lang w:val="en-US"/>
        </w:rPr>
        <w:fldChar w:fldCharType="end"/>
      </w:r>
      <w:r w:rsidR="00216BB7" w:rsidRPr="000A6691">
        <w:br w:type="page"/>
      </w:r>
    </w:p>
    <w:p w14:paraId="147A7AA8" w14:textId="0C848199" w:rsidR="00337652" w:rsidRPr="008E4F36" w:rsidRDefault="00AC1C30" w:rsidP="00D23FA9">
      <w:pPr>
        <w:pStyle w:val="Heading1"/>
      </w:pPr>
      <w:bookmarkStart w:id="4" w:name="_Ref83723543"/>
      <w:bookmarkStart w:id="5" w:name="_Toc158683476"/>
      <w:bookmarkStart w:id="6" w:name="_Toc175317062"/>
      <w:bookmarkStart w:id="7" w:name="_Toc175572775"/>
      <w:bookmarkStart w:id="8" w:name="_Ref527448783"/>
      <w:r w:rsidRPr="008E4F36">
        <w:lastRenderedPageBreak/>
        <w:t xml:space="preserve">Ecological community </w:t>
      </w:r>
      <w:r w:rsidR="004957DB" w:rsidRPr="008E4F36">
        <w:t>name and description</w:t>
      </w:r>
      <w:bookmarkEnd w:id="4"/>
      <w:bookmarkEnd w:id="5"/>
      <w:bookmarkEnd w:id="6"/>
      <w:bookmarkEnd w:id="7"/>
    </w:p>
    <w:p w14:paraId="040A4D05" w14:textId="77777777" w:rsidR="00AC1C30" w:rsidRPr="008E4F36" w:rsidRDefault="00AC1C30" w:rsidP="008E4F36">
      <w:pPr>
        <w:pStyle w:val="Heading2"/>
      </w:pPr>
      <w:bookmarkStart w:id="9" w:name="_Toc87367669"/>
      <w:bookmarkStart w:id="10" w:name="_Toc158683477"/>
      <w:bookmarkStart w:id="11" w:name="_Toc175317063"/>
      <w:bookmarkStart w:id="12" w:name="_Toc175572776"/>
      <w:bookmarkStart w:id="13" w:name="_Ref39072101"/>
      <w:bookmarkStart w:id="14" w:name="_Ref39072111"/>
      <w:r w:rsidRPr="008E4F36">
        <w:t>Name</w:t>
      </w:r>
      <w:bookmarkEnd w:id="9"/>
      <w:bookmarkEnd w:id="10"/>
      <w:bookmarkEnd w:id="11"/>
      <w:bookmarkEnd w:id="12"/>
    </w:p>
    <w:p w14:paraId="1345B44A" w14:textId="18A52ACC" w:rsidR="00736479" w:rsidRPr="007D13CB" w:rsidRDefault="005D439F" w:rsidP="00AC1C30">
      <w:r>
        <w:t>The name of the ecological community</w:t>
      </w:r>
      <w:r w:rsidR="005B29BD">
        <w:t xml:space="preserve"> (EC)</w:t>
      </w:r>
      <w:r>
        <w:t xml:space="preserve"> is</w:t>
      </w:r>
      <w:r w:rsidR="00460CBB">
        <w:t xml:space="preserve"> </w:t>
      </w:r>
      <w:r w:rsidR="00691145" w:rsidRPr="007D13CB">
        <w:rPr>
          <w:i/>
          <w:iCs/>
        </w:rPr>
        <w:t>River Murray downstream of the Darling River</w:t>
      </w:r>
      <w:r w:rsidR="00815C43" w:rsidRPr="007D13CB">
        <w:rPr>
          <w:i/>
          <w:iCs/>
        </w:rPr>
        <w:t>,</w:t>
      </w:r>
      <w:r w:rsidR="00691145" w:rsidRPr="007D13CB">
        <w:rPr>
          <w:i/>
          <w:iCs/>
        </w:rPr>
        <w:t xml:space="preserve"> and associated aquatic and floodplain systems</w:t>
      </w:r>
      <w:r w:rsidR="00691145" w:rsidRPr="007D13CB">
        <w:t>.</w:t>
      </w:r>
    </w:p>
    <w:p w14:paraId="218B5EED" w14:textId="10873587" w:rsidR="00E73E32" w:rsidRDefault="007D13CB" w:rsidP="00AC1C30">
      <w:pPr>
        <w:rPr>
          <w:i/>
          <w:iCs/>
        </w:rPr>
      </w:pPr>
      <w:r>
        <w:t>This EC</w:t>
      </w:r>
      <w:r w:rsidR="00E73E32">
        <w:t xml:space="preserve"> was nominated </w:t>
      </w:r>
      <w:r w:rsidR="00F20C3A">
        <w:t xml:space="preserve">in </w:t>
      </w:r>
      <w:r w:rsidR="00736479">
        <w:t xml:space="preserve">2023 </w:t>
      </w:r>
      <w:r w:rsidR="00781DFA">
        <w:t xml:space="preserve">and </w:t>
      </w:r>
      <w:r w:rsidR="00F63A72">
        <w:t xml:space="preserve">placed </w:t>
      </w:r>
      <w:r w:rsidR="00781DFA">
        <w:t>on the 2023 F</w:t>
      </w:r>
      <w:r w:rsidR="00B423AE">
        <w:t xml:space="preserve">inalised Priority Assessment List </w:t>
      </w:r>
      <w:r w:rsidR="00E73E32">
        <w:t>as</w:t>
      </w:r>
      <w:r w:rsidR="00460CBB">
        <w:t xml:space="preserve"> </w:t>
      </w:r>
      <w:r w:rsidR="00D13B27" w:rsidRPr="00D13B27">
        <w:rPr>
          <w:i/>
          <w:iCs/>
        </w:rPr>
        <w:t>River Murray and associated wetlands, floodplains and groundwater systems, from the junction with the Darling River to the sea</w:t>
      </w:r>
      <w:r w:rsidR="00D13B27">
        <w:rPr>
          <w:i/>
          <w:iCs/>
        </w:rPr>
        <w:t>.</w:t>
      </w:r>
    </w:p>
    <w:p w14:paraId="20008F26" w14:textId="4064627E" w:rsidR="00F47390" w:rsidRPr="00E933AA" w:rsidRDefault="00E933AA" w:rsidP="00AC1C30">
      <w:r>
        <w:t xml:space="preserve">The </w:t>
      </w:r>
      <w:r w:rsidRPr="00D13B27">
        <w:rPr>
          <w:i/>
          <w:iCs/>
        </w:rPr>
        <w:t xml:space="preserve">River Murray and associated wetlands, </w:t>
      </w:r>
      <w:r w:rsidRPr="00E933AA">
        <w:rPr>
          <w:i/>
          <w:iCs/>
        </w:rPr>
        <w:t xml:space="preserve">floodplains and groundwater systems, from the junction with the Darling River to the sea </w:t>
      </w:r>
      <w:r w:rsidRPr="00E933AA">
        <w:t>threatened ecological community</w:t>
      </w:r>
      <w:r>
        <w:t xml:space="preserve"> was previously listed as Critically Endangered under the EPBC Act</w:t>
      </w:r>
      <w:r w:rsidR="000040ED">
        <w:t>,</w:t>
      </w:r>
      <w:r w:rsidR="000F05DF" w:rsidRPr="000F05DF">
        <w:rPr>
          <w:color w:val="000000" w:themeColor="text1"/>
        </w:rPr>
        <w:t xml:space="preserve"> </w:t>
      </w:r>
      <w:r w:rsidR="000F05DF" w:rsidRPr="00C339B1">
        <w:rPr>
          <w:color w:val="000000" w:themeColor="text1"/>
        </w:rPr>
        <w:t xml:space="preserve">from </w:t>
      </w:r>
      <w:r w:rsidR="000F05DF">
        <w:rPr>
          <w:color w:val="000000" w:themeColor="text1"/>
        </w:rPr>
        <w:t xml:space="preserve">5 </w:t>
      </w:r>
      <w:r w:rsidR="000F05DF" w:rsidRPr="00C339B1">
        <w:rPr>
          <w:color w:val="000000" w:themeColor="text1"/>
        </w:rPr>
        <w:t>August</w:t>
      </w:r>
      <w:r w:rsidR="000F05DF">
        <w:rPr>
          <w:color w:val="000000" w:themeColor="text1"/>
        </w:rPr>
        <w:t> </w:t>
      </w:r>
      <w:r w:rsidR="000F05DF" w:rsidRPr="00C339B1">
        <w:rPr>
          <w:color w:val="000000" w:themeColor="text1"/>
        </w:rPr>
        <w:t>2013</w:t>
      </w:r>
      <w:r w:rsidR="002E4DDE">
        <w:rPr>
          <w:color w:val="000000" w:themeColor="text1"/>
        </w:rPr>
        <w:t xml:space="preserve">. However, </w:t>
      </w:r>
      <w:r w:rsidR="000F05DF">
        <w:rPr>
          <w:color w:val="000000" w:themeColor="text1"/>
        </w:rPr>
        <w:t xml:space="preserve">the Legislative Instrument for </w:t>
      </w:r>
      <w:r w:rsidR="000F05DF" w:rsidRPr="00C339B1">
        <w:rPr>
          <w:color w:val="000000" w:themeColor="text1"/>
        </w:rPr>
        <w:t xml:space="preserve">inclusion </w:t>
      </w:r>
      <w:r w:rsidR="000F05DF">
        <w:rPr>
          <w:color w:val="000000" w:themeColor="text1"/>
        </w:rPr>
        <w:t>on</w:t>
      </w:r>
      <w:r w:rsidR="000F05DF" w:rsidRPr="00C339B1">
        <w:rPr>
          <w:color w:val="000000" w:themeColor="text1"/>
        </w:rPr>
        <w:t xml:space="preserve"> the list of threatened ecological communities </w:t>
      </w:r>
      <w:r w:rsidR="000F05DF">
        <w:rPr>
          <w:color w:val="000000" w:themeColor="text1"/>
        </w:rPr>
        <w:t xml:space="preserve">was disallowed </w:t>
      </w:r>
      <w:r w:rsidR="000F05DF" w:rsidRPr="00C339B1">
        <w:rPr>
          <w:color w:val="000000" w:themeColor="text1"/>
        </w:rPr>
        <w:t>on 11</w:t>
      </w:r>
      <w:r w:rsidR="000F05DF">
        <w:rPr>
          <w:color w:val="000000" w:themeColor="text1"/>
        </w:rPr>
        <w:t> </w:t>
      </w:r>
      <w:r w:rsidR="000F05DF" w:rsidRPr="00C339B1">
        <w:rPr>
          <w:color w:val="000000" w:themeColor="text1"/>
        </w:rPr>
        <w:t>December</w:t>
      </w:r>
      <w:r w:rsidR="000F05DF">
        <w:rPr>
          <w:color w:val="000000" w:themeColor="text1"/>
        </w:rPr>
        <w:t> </w:t>
      </w:r>
      <w:r w:rsidR="000F05DF" w:rsidRPr="00C339B1">
        <w:rPr>
          <w:color w:val="000000" w:themeColor="text1"/>
        </w:rPr>
        <w:t>2013</w:t>
      </w:r>
      <w:r w:rsidR="00F20C3A">
        <w:t>.</w:t>
      </w:r>
      <w:r w:rsidR="007104B0">
        <w:t xml:space="preserve"> </w:t>
      </w:r>
    </w:p>
    <w:p w14:paraId="55A6257B" w14:textId="2E1D4327" w:rsidR="00540A5A" w:rsidRDefault="005B29BD" w:rsidP="00AC1C30">
      <w:r>
        <w:t>Abbreviated name</w:t>
      </w:r>
      <w:r w:rsidR="00EC37B4">
        <w:t>s</w:t>
      </w:r>
      <w:r>
        <w:t xml:space="preserve"> </w:t>
      </w:r>
      <w:r w:rsidR="00EC37B4">
        <w:t>for</w:t>
      </w:r>
      <w:r>
        <w:t xml:space="preserve"> the EC</w:t>
      </w:r>
      <w:r w:rsidR="00EC37B4">
        <w:t>, as</w:t>
      </w:r>
      <w:r>
        <w:t xml:space="preserve"> used throughout th</w:t>
      </w:r>
      <w:r w:rsidR="00D13B27">
        <w:t>is draft</w:t>
      </w:r>
      <w:r>
        <w:t xml:space="preserve"> document</w:t>
      </w:r>
      <w:r w:rsidR="00EC37B4">
        <w:t xml:space="preserve"> are</w:t>
      </w:r>
      <w:r w:rsidR="00540A5A">
        <w:t>:</w:t>
      </w:r>
    </w:p>
    <w:p w14:paraId="2FECDC0E" w14:textId="6F979AC8" w:rsidR="005E466D" w:rsidRPr="005D439F" w:rsidRDefault="00F83D8C" w:rsidP="00AC1C30">
      <w:r>
        <w:t>“</w:t>
      </w:r>
      <w:r w:rsidR="005B29BD" w:rsidRPr="00D76928">
        <w:rPr>
          <w:i/>
          <w:iCs/>
        </w:rPr>
        <w:t>River Murray—Darling to Sea</w:t>
      </w:r>
      <w:r>
        <w:t>”</w:t>
      </w:r>
      <w:r w:rsidR="00C16FE7">
        <w:t xml:space="preserve"> </w:t>
      </w:r>
      <w:r w:rsidR="00C16FE7" w:rsidRPr="00D13B27">
        <w:t xml:space="preserve">or </w:t>
      </w:r>
      <w:r>
        <w:t>“</w:t>
      </w:r>
      <w:r w:rsidR="00C16FE7" w:rsidRPr="00D13B27">
        <w:t>RMDS</w:t>
      </w:r>
      <w:r>
        <w:t>”</w:t>
      </w:r>
      <w:r w:rsidR="005B29BD" w:rsidRPr="00D13B27">
        <w:t>.</w:t>
      </w:r>
    </w:p>
    <w:p w14:paraId="371CE051" w14:textId="23C89403" w:rsidR="009043B5" w:rsidRDefault="009043B5" w:rsidP="008E4F36">
      <w:pPr>
        <w:pStyle w:val="Heading2"/>
      </w:pPr>
      <w:bookmarkStart w:id="15" w:name="_Ref68096477"/>
      <w:bookmarkStart w:id="16" w:name="_Ref68096583"/>
      <w:bookmarkStart w:id="17" w:name="_Ref68096638"/>
      <w:bookmarkStart w:id="18" w:name="_Ref68097754"/>
      <w:bookmarkStart w:id="19" w:name="_Toc158683478"/>
      <w:bookmarkStart w:id="20" w:name="_Toc175317064"/>
      <w:bookmarkStart w:id="21" w:name="_Toc175572777"/>
      <w:r>
        <w:t>Description</w:t>
      </w:r>
      <w:bookmarkEnd w:id="8"/>
      <w:bookmarkEnd w:id="13"/>
      <w:bookmarkEnd w:id="14"/>
      <w:r w:rsidR="00AC1C30">
        <w:t xml:space="preserve"> of the ecological community and the area </w:t>
      </w:r>
      <w:r w:rsidR="00D104A9">
        <w:t xml:space="preserve">in nature </w:t>
      </w:r>
      <w:r w:rsidR="00AC1C30">
        <w:t>it inhabits</w:t>
      </w:r>
      <w:bookmarkEnd w:id="15"/>
      <w:bookmarkEnd w:id="16"/>
      <w:bookmarkEnd w:id="17"/>
      <w:bookmarkEnd w:id="18"/>
      <w:bookmarkEnd w:id="19"/>
      <w:bookmarkEnd w:id="20"/>
      <w:bookmarkEnd w:id="21"/>
    </w:p>
    <w:p w14:paraId="276A5875" w14:textId="6F9F5CC6" w:rsidR="00D1159C" w:rsidRPr="004A7188" w:rsidRDefault="00D1159C" w:rsidP="00550384">
      <w:pPr>
        <w:pStyle w:val="Heading3"/>
      </w:pPr>
      <w:bookmarkStart w:id="22" w:name="_Toc175317065"/>
      <w:r w:rsidRPr="004A7188">
        <w:t>Overview</w:t>
      </w:r>
      <w:bookmarkEnd w:id="22"/>
    </w:p>
    <w:p w14:paraId="7E647A16" w14:textId="66234008" w:rsidR="0066687A" w:rsidRDefault="00087379" w:rsidP="00087379">
      <w:pPr>
        <w:rPr>
          <w:iCs/>
        </w:rPr>
      </w:pPr>
      <w:r w:rsidRPr="00A20EA4">
        <w:rPr>
          <w:iCs/>
        </w:rPr>
        <w:t xml:space="preserve">The EPBC Act defines an ecological community as </w:t>
      </w:r>
      <w:r w:rsidR="00B11399">
        <w:rPr>
          <w:iCs/>
        </w:rPr>
        <w:t>“</w:t>
      </w:r>
      <w:r w:rsidRPr="00A20EA4">
        <w:rPr>
          <w:iCs/>
        </w:rPr>
        <w:t xml:space="preserve">an assemblage of </w:t>
      </w:r>
      <w:r w:rsidR="00443182">
        <w:rPr>
          <w:iCs/>
        </w:rPr>
        <w:t xml:space="preserve">native </w:t>
      </w:r>
      <w:r w:rsidRPr="00A20EA4">
        <w:rPr>
          <w:iCs/>
        </w:rPr>
        <w:t xml:space="preserve">species </w:t>
      </w:r>
      <w:r w:rsidR="00443182">
        <w:rPr>
          <w:iCs/>
        </w:rPr>
        <w:t>that inhabit</w:t>
      </w:r>
      <w:r w:rsidRPr="00A20EA4">
        <w:rPr>
          <w:iCs/>
        </w:rPr>
        <w:t xml:space="preserve"> a particular area in nature</w:t>
      </w:r>
      <w:r w:rsidR="00B11399">
        <w:rPr>
          <w:iCs/>
        </w:rPr>
        <w:t>”</w:t>
      </w:r>
      <w:r w:rsidRPr="00A20EA4">
        <w:rPr>
          <w:iCs/>
        </w:rPr>
        <w:t>. This section describes the species assemblage</w:t>
      </w:r>
      <w:r w:rsidR="007452C7">
        <w:rPr>
          <w:iCs/>
        </w:rPr>
        <w:t>s</w:t>
      </w:r>
      <w:r w:rsidRPr="00A20EA4">
        <w:rPr>
          <w:iCs/>
        </w:rPr>
        <w:t xml:space="preserve"> and area</w:t>
      </w:r>
      <w:r w:rsidR="007452C7">
        <w:rPr>
          <w:iCs/>
        </w:rPr>
        <w:t>s</w:t>
      </w:r>
      <w:r w:rsidR="00B11399">
        <w:rPr>
          <w:iCs/>
        </w:rPr>
        <w:t xml:space="preserve"> </w:t>
      </w:r>
      <w:r w:rsidRPr="00A20EA4">
        <w:rPr>
          <w:iCs/>
        </w:rPr>
        <w:t>in nature that</w:t>
      </w:r>
      <w:r w:rsidRPr="001375D3">
        <w:rPr>
          <w:iCs/>
        </w:rPr>
        <w:t xml:space="preserve"> comprises the</w:t>
      </w:r>
      <w:r w:rsidR="001B4B26">
        <w:rPr>
          <w:iCs/>
          <w:color w:val="FF0000"/>
        </w:rPr>
        <w:t xml:space="preserve"> </w:t>
      </w:r>
      <w:r w:rsidR="00BE3FF2" w:rsidRPr="00BE3FF2">
        <w:rPr>
          <w:iCs/>
        </w:rPr>
        <w:t>ecological community</w:t>
      </w:r>
      <w:r w:rsidR="00BE3FF2">
        <w:rPr>
          <w:iCs/>
        </w:rPr>
        <w:t xml:space="preserve"> (EC)</w:t>
      </w:r>
      <w:r w:rsidRPr="001375D3">
        <w:rPr>
          <w:iCs/>
        </w:rPr>
        <w:t>.</w:t>
      </w:r>
    </w:p>
    <w:p w14:paraId="29C15FD2" w14:textId="22D5FBF4" w:rsidR="00C26288" w:rsidRDefault="0066687A" w:rsidP="00087379">
      <w:r>
        <w:t xml:space="preserve">The </w:t>
      </w:r>
      <w:r w:rsidR="00BE3FF2" w:rsidRPr="00A87CAD">
        <w:rPr>
          <w:i/>
          <w:iCs/>
        </w:rPr>
        <w:t>River Murray—Darling to Sea</w:t>
      </w:r>
      <w:r w:rsidR="00BE3FF2">
        <w:t xml:space="preserve"> EC </w:t>
      </w:r>
      <w:r>
        <w:t xml:space="preserve">consists of the native flora, fauna, and </w:t>
      </w:r>
      <w:r w:rsidR="000F05DF">
        <w:t xml:space="preserve">other </w:t>
      </w:r>
      <w:r>
        <w:t>organisms associated with</w:t>
      </w:r>
      <w:r w:rsidR="00073794">
        <w:t>,</w:t>
      </w:r>
      <w:r>
        <w:t xml:space="preserve"> and dependent upon</w:t>
      </w:r>
      <w:r w:rsidR="00073794">
        <w:t>,</w:t>
      </w:r>
      <w:r>
        <w:t xml:space="preserve"> the River Murray lowland river</w:t>
      </w:r>
      <w:r w:rsidR="00C26288">
        <w:t>-floodplain</w:t>
      </w:r>
      <w:r>
        <w:t xml:space="preserve"> system, below the river’s confluence with the Darling River</w:t>
      </w:r>
      <w:r w:rsidR="00982CC7">
        <w:t>,</w:t>
      </w:r>
      <w:r w:rsidR="00673C26">
        <w:t xml:space="preserve"> downstream to the sea, inclusive</w:t>
      </w:r>
      <w:r>
        <w:t>.</w:t>
      </w:r>
    </w:p>
    <w:p w14:paraId="1E1C2EC7" w14:textId="4B6E0ED1" w:rsidR="00087379" w:rsidRDefault="001F1A6D" w:rsidP="00087379">
      <w:r>
        <w:t>This landscape-scale ecological community</w:t>
      </w:r>
      <w:r w:rsidR="00DD066E">
        <w:t xml:space="preserve"> </w:t>
      </w:r>
      <w:r w:rsidR="0066687A">
        <w:t xml:space="preserve">is </w:t>
      </w:r>
      <w:r>
        <w:t>formed by an interconnected series of</w:t>
      </w:r>
      <w:r w:rsidR="00AF0563">
        <w:t xml:space="preserve"> </w:t>
      </w:r>
      <w:r w:rsidR="00CF0345">
        <w:t>‘</w:t>
      </w:r>
      <w:r w:rsidR="00AF0563">
        <w:t xml:space="preserve">keystone </w:t>
      </w:r>
      <w:r w:rsidR="00F417E7">
        <w:t>sub-</w:t>
      </w:r>
      <w:r w:rsidR="00AF0563">
        <w:t>communities</w:t>
      </w:r>
      <w:r w:rsidR="00CF0345">
        <w:t>’</w:t>
      </w:r>
      <w:r>
        <w:t xml:space="preserve"> </w:t>
      </w:r>
      <w:r w:rsidR="00C21E85">
        <w:t xml:space="preserve">and associated ‘sub-ecosystems’, </w:t>
      </w:r>
      <w:r>
        <w:t xml:space="preserve">that together form </w:t>
      </w:r>
      <w:r w:rsidR="00C21E85">
        <w:t>one major</w:t>
      </w:r>
      <w:r>
        <w:t xml:space="preserve"> ‘keystone</w:t>
      </w:r>
      <w:r w:rsidR="00CA0544">
        <w:t>-type</w:t>
      </w:r>
      <w:r>
        <w:t xml:space="preserve"> </w:t>
      </w:r>
      <w:r w:rsidR="00E97585">
        <w:t>ecosystem</w:t>
      </w:r>
      <w:r>
        <w:t>’</w:t>
      </w:r>
      <w:r w:rsidR="00766A74">
        <w:t xml:space="preserve">—a </w:t>
      </w:r>
      <w:r w:rsidR="00D958B2">
        <w:t>concept that is beneficial for</w:t>
      </w:r>
      <w:r w:rsidR="0096180F">
        <w:t xml:space="preserve"> understanding</w:t>
      </w:r>
      <w:r w:rsidR="00472CB6">
        <w:t>, conserv</w:t>
      </w:r>
      <w:r w:rsidR="006A1242">
        <w:t>ing</w:t>
      </w:r>
      <w:r w:rsidR="00472CB6">
        <w:t>,</w:t>
      </w:r>
      <w:r w:rsidR="0096180F">
        <w:t xml:space="preserve"> and manag</w:t>
      </w:r>
      <w:r w:rsidR="00472CB6">
        <w:t>ing</w:t>
      </w:r>
      <w:r w:rsidR="0096180F">
        <w:t xml:space="preserve"> disturbed landscapes</w:t>
      </w:r>
      <w:r w:rsidR="00D958B2">
        <w:t xml:space="preserve"> </w:t>
      </w:r>
      <w:r w:rsidR="00305D44">
        <w:t>(</w:t>
      </w:r>
      <w:r w:rsidR="00122CBC">
        <w:t>Mo</w:t>
      </w:r>
      <w:r w:rsidR="00A16391">
        <w:t>uquet et al. 201</w:t>
      </w:r>
      <w:r w:rsidR="008E40C2">
        <w:t>2</w:t>
      </w:r>
      <w:r w:rsidR="008632E5">
        <w:t>; Locky 2016</w:t>
      </w:r>
      <w:r w:rsidR="005F6556">
        <w:t xml:space="preserve">; </w:t>
      </w:r>
      <w:r w:rsidR="006177F3">
        <w:t xml:space="preserve">Yang et al. 2020; </w:t>
      </w:r>
      <w:r w:rsidR="005F6556">
        <w:t>Sacco et al. 2023</w:t>
      </w:r>
      <w:r w:rsidR="00A16391">
        <w:t>)</w:t>
      </w:r>
      <w:r w:rsidR="00305D44">
        <w:t xml:space="preserve">. </w:t>
      </w:r>
      <w:r w:rsidR="00B9776E">
        <w:t xml:space="preserve">The loss of </w:t>
      </w:r>
      <w:r w:rsidR="00CA0544">
        <w:t xml:space="preserve">the </w:t>
      </w:r>
      <w:r w:rsidR="00B9776E">
        <w:t xml:space="preserve">keystone </w:t>
      </w:r>
      <w:r w:rsidR="00CA0544">
        <w:t>sub-</w:t>
      </w:r>
      <w:r w:rsidR="00B9776E">
        <w:t>communities</w:t>
      </w:r>
      <w:r w:rsidR="00852F05">
        <w:t xml:space="preserve"> may lead to loss of local species diversity and</w:t>
      </w:r>
      <w:r w:rsidR="00E92D0C">
        <w:t>, importantly,</w:t>
      </w:r>
      <w:r w:rsidR="00852F05">
        <w:t xml:space="preserve"> </w:t>
      </w:r>
      <w:r w:rsidR="009D06E6">
        <w:t xml:space="preserve">also </w:t>
      </w:r>
      <w:r w:rsidR="00852F05">
        <w:t xml:space="preserve">erode </w:t>
      </w:r>
      <w:r w:rsidR="00CA0544">
        <w:t xml:space="preserve">broader </w:t>
      </w:r>
      <w:r w:rsidR="00852F05">
        <w:t xml:space="preserve">regional biodiversity and ecosystem functions (Mouquet et al. 2012; Yang et al. 2020). </w:t>
      </w:r>
      <w:r w:rsidR="006E15DF">
        <w:t>Therefore</w:t>
      </w:r>
      <w:r>
        <w:t xml:space="preserve">, </w:t>
      </w:r>
      <w:r w:rsidR="000F05DF">
        <w:t>th</w:t>
      </w:r>
      <w:r w:rsidR="00E92D0C">
        <w:t>e</w:t>
      </w:r>
      <w:r w:rsidR="00E7555E">
        <w:t xml:space="preserve"> RMDS</w:t>
      </w:r>
      <w:r>
        <w:t xml:space="preserve"> is </w:t>
      </w:r>
      <w:r w:rsidR="000F05DF">
        <w:t xml:space="preserve">associated with </w:t>
      </w:r>
      <w:r>
        <w:t>a complex aquatic/terrestrial</w:t>
      </w:r>
      <w:r w:rsidR="00611F53">
        <w:t>’</w:t>
      </w:r>
      <w:r>
        <w:t xml:space="preserve"> </w:t>
      </w:r>
      <w:r w:rsidR="00126BB1">
        <w:t>keystone</w:t>
      </w:r>
      <w:r w:rsidR="00CA0544">
        <w:t>-type</w:t>
      </w:r>
      <w:r w:rsidR="00126BB1">
        <w:t xml:space="preserve"> </w:t>
      </w:r>
      <w:r>
        <w:t>ecosystem</w:t>
      </w:r>
      <w:r w:rsidR="00FD27C6">
        <w:t>’</w:t>
      </w:r>
      <w:r>
        <w:t xml:space="preserve">, whose interconnected </w:t>
      </w:r>
      <w:r w:rsidR="006B237E">
        <w:t>components</w:t>
      </w:r>
      <w:r>
        <w:t xml:space="preserve"> include: the river channel, lakes, and estuaries; associated tributaries and st</w:t>
      </w:r>
      <w:r w:rsidR="00327751">
        <w:t>r</w:t>
      </w:r>
      <w:r>
        <w:t>eams; floodplain wetlands</w:t>
      </w:r>
      <w:r w:rsidR="00DD066E">
        <w:t xml:space="preserve"> and </w:t>
      </w:r>
      <w:r>
        <w:t xml:space="preserve">woodlands, </w:t>
      </w:r>
      <w:r w:rsidR="00DD066E">
        <w:t xml:space="preserve">associated </w:t>
      </w:r>
      <w:r>
        <w:t>islands</w:t>
      </w:r>
      <w:r w:rsidR="007F43FD">
        <w:t>;</w:t>
      </w:r>
      <w:r w:rsidR="00DD066E">
        <w:t xml:space="preserve"> </w:t>
      </w:r>
      <w:r w:rsidR="00E123AB">
        <w:t>and</w:t>
      </w:r>
      <w:r w:rsidR="00DD066E">
        <w:t xml:space="preserve"> </w:t>
      </w:r>
      <w:r>
        <w:t>groundwater.</w:t>
      </w:r>
    </w:p>
    <w:p w14:paraId="0F464A68" w14:textId="5CCBA39E" w:rsidR="00C1352F" w:rsidRPr="000C26CB" w:rsidRDefault="002A373D" w:rsidP="008E3BA5">
      <w:pPr>
        <w:pStyle w:val="twentypointnormal"/>
        <w:spacing w:after="200"/>
        <w:ind w:left="0"/>
        <w:rPr>
          <w:rFonts w:ascii="Cambria" w:hAnsi="Cambria"/>
          <w:sz w:val="22"/>
          <w:szCs w:val="22"/>
        </w:rPr>
      </w:pPr>
      <w:r>
        <w:rPr>
          <w:rFonts w:ascii="Cambria" w:hAnsi="Cambria"/>
          <w:sz w:val="22"/>
          <w:szCs w:val="22"/>
        </w:rPr>
        <w:t>In a national context, t</w:t>
      </w:r>
      <w:r w:rsidR="00C1352F" w:rsidRPr="002A373D">
        <w:rPr>
          <w:rFonts w:ascii="Cambria" w:hAnsi="Cambria"/>
          <w:sz w:val="22"/>
          <w:szCs w:val="22"/>
        </w:rPr>
        <w:t xml:space="preserve">he ecological community </w:t>
      </w:r>
      <w:r w:rsidR="000F05DF">
        <w:rPr>
          <w:rFonts w:ascii="Cambria" w:hAnsi="Cambria"/>
          <w:sz w:val="22"/>
          <w:szCs w:val="22"/>
        </w:rPr>
        <w:t>represents</w:t>
      </w:r>
      <w:r w:rsidR="000F05DF" w:rsidRPr="002A373D">
        <w:rPr>
          <w:rFonts w:ascii="Cambria" w:hAnsi="Cambria"/>
          <w:sz w:val="22"/>
          <w:szCs w:val="22"/>
        </w:rPr>
        <w:t xml:space="preserve"> </w:t>
      </w:r>
      <w:r w:rsidR="00C1352F" w:rsidRPr="002A373D">
        <w:rPr>
          <w:rFonts w:ascii="Cambria" w:hAnsi="Cambria"/>
          <w:sz w:val="22"/>
          <w:szCs w:val="22"/>
        </w:rPr>
        <w:t xml:space="preserve">a ‘one-of-a-kind’ </w:t>
      </w:r>
      <w:r w:rsidR="00877573" w:rsidRPr="002A373D">
        <w:rPr>
          <w:rFonts w:ascii="Cambria" w:hAnsi="Cambria"/>
          <w:sz w:val="22"/>
          <w:szCs w:val="22"/>
        </w:rPr>
        <w:t xml:space="preserve">keystone </w:t>
      </w:r>
      <w:r w:rsidR="00C1352F" w:rsidRPr="002A373D">
        <w:rPr>
          <w:rFonts w:ascii="Cambria" w:hAnsi="Cambria"/>
          <w:sz w:val="22"/>
          <w:szCs w:val="22"/>
        </w:rPr>
        <w:t>ecosystem and is different from other river systems, including the parent rivers, due to its complex features, habitat heterogeneity, and high levels of biodiversity (Walker 2006; TSSC</w:t>
      </w:r>
      <w:r w:rsidR="00A87CAD">
        <w:rPr>
          <w:rFonts w:ascii="Cambria" w:hAnsi="Cambria"/>
          <w:sz w:val="22"/>
          <w:szCs w:val="22"/>
        </w:rPr>
        <w:t xml:space="preserve"> </w:t>
      </w:r>
      <w:r w:rsidR="00C1352F" w:rsidRPr="002A373D">
        <w:rPr>
          <w:rFonts w:ascii="Cambria" w:hAnsi="Cambria"/>
          <w:sz w:val="22"/>
          <w:szCs w:val="22"/>
        </w:rPr>
        <w:t>2010</w:t>
      </w:r>
      <w:r w:rsidR="00E84B51">
        <w:rPr>
          <w:rFonts w:ascii="Cambria" w:hAnsi="Cambria"/>
          <w:sz w:val="22"/>
          <w:szCs w:val="22"/>
        </w:rPr>
        <w:t xml:space="preserve">, </w:t>
      </w:r>
      <w:r w:rsidR="00C1352F" w:rsidRPr="002A373D">
        <w:rPr>
          <w:rFonts w:ascii="Cambria" w:hAnsi="Cambria"/>
          <w:sz w:val="22"/>
          <w:szCs w:val="22"/>
        </w:rPr>
        <w:t>2011</w:t>
      </w:r>
      <w:r w:rsidR="00E84B51">
        <w:rPr>
          <w:rFonts w:ascii="Cambria" w:hAnsi="Cambria"/>
          <w:sz w:val="22"/>
          <w:szCs w:val="22"/>
        </w:rPr>
        <w:t>, 2013</w:t>
      </w:r>
      <w:r w:rsidR="00C1352F" w:rsidRPr="002A373D">
        <w:rPr>
          <w:rFonts w:ascii="Cambria" w:hAnsi="Cambria"/>
          <w:sz w:val="22"/>
          <w:szCs w:val="22"/>
        </w:rPr>
        <w:t xml:space="preserve">). It encompasses one of the most </w:t>
      </w:r>
      <w:r w:rsidR="00C1352F" w:rsidRPr="00852E01">
        <w:rPr>
          <w:rFonts w:ascii="Cambria" w:hAnsi="Cambria"/>
          <w:sz w:val="22"/>
          <w:szCs w:val="22"/>
        </w:rPr>
        <w:t>nationally</w:t>
      </w:r>
      <w:r w:rsidR="00C1352F" w:rsidRPr="002A373D">
        <w:rPr>
          <w:rFonts w:ascii="Cambria" w:hAnsi="Cambria"/>
          <w:sz w:val="22"/>
          <w:szCs w:val="22"/>
        </w:rPr>
        <w:t xml:space="preserve"> unique and biodiverse sections of the Murray-Darling Basin river system, and includes the system's terminus (TSSC 2010). Important </w:t>
      </w:r>
      <w:r w:rsidR="00C1352F" w:rsidRPr="002A373D">
        <w:rPr>
          <w:rFonts w:ascii="Cambria" w:hAnsi="Cambria"/>
          <w:sz w:val="22"/>
          <w:szCs w:val="22"/>
        </w:rPr>
        <w:lastRenderedPageBreak/>
        <w:t xml:space="preserve">distinguishing features </w:t>
      </w:r>
      <w:r w:rsidR="00E5755C">
        <w:rPr>
          <w:rFonts w:ascii="Cambria" w:hAnsi="Cambria"/>
          <w:sz w:val="22"/>
          <w:szCs w:val="22"/>
        </w:rPr>
        <w:t xml:space="preserve">that contribute to its </w:t>
      </w:r>
      <w:r w:rsidR="001A3273">
        <w:rPr>
          <w:rFonts w:ascii="Cambria" w:hAnsi="Cambria"/>
          <w:sz w:val="22"/>
          <w:szCs w:val="22"/>
        </w:rPr>
        <w:t>biodiversity,</w:t>
      </w:r>
      <w:r w:rsidR="00D94EE0">
        <w:rPr>
          <w:rFonts w:ascii="Cambria" w:hAnsi="Cambria"/>
          <w:sz w:val="22"/>
          <w:szCs w:val="22"/>
        </w:rPr>
        <w:t xml:space="preserve"> </w:t>
      </w:r>
      <w:r w:rsidR="00E5755C">
        <w:rPr>
          <w:rFonts w:ascii="Cambria" w:hAnsi="Cambria"/>
          <w:sz w:val="22"/>
          <w:szCs w:val="22"/>
        </w:rPr>
        <w:t>ecological</w:t>
      </w:r>
      <w:r w:rsidR="00D94EE0">
        <w:rPr>
          <w:rFonts w:ascii="Cambria" w:hAnsi="Cambria"/>
          <w:sz w:val="22"/>
          <w:szCs w:val="22"/>
        </w:rPr>
        <w:t>,</w:t>
      </w:r>
      <w:r w:rsidR="00E5755C">
        <w:rPr>
          <w:rFonts w:ascii="Cambria" w:hAnsi="Cambria"/>
          <w:sz w:val="22"/>
          <w:szCs w:val="22"/>
        </w:rPr>
        <w:t xml:space="preserve"> and functional uniqueness</w:t>
      </w:r>
      <w:r w:rsidR="005F254E">
        <w:rPr>
          <w:rFonts w:ascii="Cambria" w:hAnsi="Cambria"/>
          <w:sz w:val="22"/>
          <w:szCs w:val="22"/>
        </w:rPr>
        <w:t xml:space="preserve"> </w:t>
      </w:r>
      <w:r w:rsidR="00385AF1" w:rsidRPr="00852E01">
        <w:rPr>
          <w:rFonts w:ascii="Cambria" w:hAnsi="Cambria"/>
          <w:sz w:val="22"/>
          <w:szCs w:val="22"/>
        </w:rPr>
        <w:t>in the national context</w:t>
      </w:r>
      <w:r w:rsidR="00385AF1">
        <w:rPr>
          <w:rFonts w:ascii="Cambria" w:hAnsi="Cambria"/>
          <w:sz w:val="22"/>
          <w:szCs w:val="22"/>
        </w:rPr>
        <w:t xml:space="preserve"> </w:t>
      </w:r>
      <w:r w:rsidR="00C1352F" w:rsidRPr="002A373D">
        <w:rPr>
          <w:rFonts w:ascii="Cambria" w:hAnsi="Cambria"/>
          <w:sz w:val="22"/>
          <w:szCs w:val="22"/>
        </w:rPr>
        <w:t>are</w:t>
      </w:r>
      <w:r w:rsidR="000C26CB">
        <w:rPr>
          <w:rFonts w:ascii="Cambria" w:hAnsi="Cambria"/>
          <w:sz w:val="22"/>
          <w:szCs w:val="22"/>
        </w:rPr>
        <w:t>:</w:t>
      </w:r>
    </w:p>
    <w:p w14:paraId="26D17F06" w14:textId="77777777" w:rsidR="00522A79" w:rsidRDefault="00522A79" w:rsidP="000C6EE4">
      <w:pPr>
        <w:pStyle w:val="ListBullet"/>
        <w:numPr>
          <w:ilvl w:val="0"/>
          <w:numId w:val="11"/>
        </w:numPr>
      </w:pPr>
      <w:r w:rsidRPr="00B94EF0">
        <w:t>it incorporates the terminus of the Murray-Darling Basin (MDB)</w:t>
      </w:r>
    </w:p>
    <w:p w14:paraId="4E02BD7B" w14:textId="58CCB662" w:rsidR="00522A79" w:rsidRDefault="00522A79" w:rsidP="000C6EE4">
      <w:pPr>
        <w:pStyle w:val="ListBullet"/>
        <w:numPr>
          <w:ilvl w:val="0"/>
          <w:numId w:val="11"/>
        </w:numPr>
      </w:pPr>
      <w:r w:rsidRPr="00B94EF0">
        <w:t>it is the only portion of the MDB</w:t>
      </w:r>
      <w:r w:rsidR="008F617F">
        <w:t xml:space="preserve"> </w:t>
      </w:r>
      <w:r w:rsidR="008F617F" w:rsidRPr="00852E01">
        <w:t>(i.e. Australia’s largest river system),</w:t>
      </w:r>
      <w:r w:rsidRPr="00B94EF0">
        <w:t xml:space="preserve"> where the water is a mixture from both the Murray and Darling rivers</w:t>
      </w:r>
      <w:r w:rsidR="00024BE3">
        <w:t xml:space="preserve">, </w:t>
      </w:r>
      <w:r w:rsidRPr="00B94EF0">
        <w:t xml:space="preserve">which confers different water </w:t>
      </w:r>
      <w:r w:rsidR="00EA2C67">
        <w:t>composition</w:t>
      </w:r>
      <w:r w:rsidR="00495072">
        <w:t>, chemistry,</w:t>
      </w:r>
      <w:r w:rsidR="00EA2C67">
        <w:t xml:space="preserve"> and </w:t>
      </w:r>
      <w:r w:rsidRPr="00B94EF0">
        <w:t>quality</w:t>
      </w:r>
      <w:r w:rsidR="00024BE3">
        <w:t xml:space="preserve">, and which in turn </w:t>
      </w:r>
      <w:r w:rsidR="006B237E">
        <w:t>influences</w:t>
      </w:r>
      <w:r w:rsidR="00024BE3">
        <w:t xml:space="preserve"> </w:t>
      </w:r>
      <w:r w:rsidR="00E016C5">
        <w:t xml:space="preserve">the </w:t>
      </w:r>
      <w:r w:rsidR="008F4D18">
        <w:t>biota</w:t>
      </w:r>
    </w:p>
    <w:p w14:paraId="454B2B62" w14:textId="6E4B2002" w:rsidR="0097778E" w:rsidRDefault="0097778E" w:rsidP="000C6EE4">
      <w:pPr>
        <w:pStyle w:val="ListBullet"/>
        <w:numPr>
          <w:ilvl w:val="0"/>
          <w:numId w:val="11"/>
        </w:numPr>
      </w:pPr>
      <w:r>
        <w:t>the waters of the River Murray downstream of the Darling junction contain greater dissolved carbonate concentrations</w:t>
      </w:r>
      <w:r w:rsidR="00A044EE">
        <w:t xml:space="preserve"> </w:t>
      </w:r>
      <w:r w:rsidR="00E53ACE">
        <w:t>than most upstream waters in the MDB, potentially due to the marine-origin limestone, marl depos</w:t>
      </w:r>
      <w:r w:rsidR="00DD1F75">
        <w:t>its</w:t>
      </w:r>
      <w:r w:rsidR="00E53ACE">
        <w:t xml:space="preserve">, and groundwater inputs that characterise this landscape </w:t>
      </w:r>
      <w:r w:rsidR="00E53ACE" w:rsidRPr="001212C5">
        <w:t>(</w:t>
      </w:r>
      <w:r w:rsidR="006E4A11">
        <w:t xml:space="preserve">e.g. </w:t>
      </w:r>
      <w:r w:rsidR="00E53ACE" w:rsidRPr="001212C5">
        <w:t>Cartwright 2010</w:t>
      </w:r>
      <w:r w:rsidR="00613732">
        <w:t>; Mosley &amp; Leydo</w:t>
      </w:r>
      <w:r w:rsidR="00C35786">
        <w:t>n 2023</w:t>
      </w:r>
      <w:r w:rsidR="00E53ACE" w:rsidRPr="001212C5">
        <w:t>)</w:t>
      </w:r>
    </w:p>
    <w:p w14:paraId="5A2BE947" w14:textId="1328A44A" w:rsidR="00522A79" w:rsidRPr="00F156E3" w:rsidRDefault="007215F1" w:rsidP="000C6EE4">
      <w:pPr>
        <w:pStyle w:val="ListBullet"/>
        <w:numPr>
          <w:ilvl w:val="0"/>
          <w:numId w:val="11"/>
        </w:numPr>
      </w:pPr>
      <w:r>
        <w:t>while there are several streams and creeks</w:t>
      </w:r>
      <w:r w:rsidR="00424C69">
        <w:t xml:space="preserve"> that flow into the </w:t>
      </w:r>
      <w:r w:rsidR="006E3E14">
        <w:t xml:space="preserve">region of the </w:t>
      </w:r>
      <w:r w:rsidR="00424C69">
        <w:t>ecological community</w:t>
      </w:r>
      <w:r>
        <w:t xml:space="preserve">, </w:t>
      </w:r>
      <w:r w:rsidR="00522A79" w:rsidRPr="00B94EF0">
        <w:t xml:space="preserve">there are no </w:t>
      </w:r>
      <w:r w:rsidR="00495072">
        <w:t>‘</w:t>
      </w:r>
      <w:r w:rsidR="00522A79" w:rsidRPr="00B94EF0">
        <w:t>major</w:t>
      </w:r>
      <w:r w:rsidR="00495072">
        <w:t>’</w:t>
      </w:r>
      <w:r w:rsidR="00522A79" w:rsidRPr="00B94EF0">
        <w:t xml:space="preserve"> tributaries</w:t>
      </w:r>
      <w:r w:rsidR="0082592C">
        <w:t xml:space="preserve"> within the EC</w:t>
      </w:r>
      <w:r>
        <w:t xml:space="preserve">—with </w:t>
      </w:r>
      <w:r w:rsidR="00522A79" w:rsidRPr="00B94EF0">
        <w:t>the exception of the Darling Anabranch</w:t>
      </w:r>
      <w:r>
        <w:t>,</w:t>
      </w:r>
      <w:r w:rsidR="00522A79" w:rsidRPr="00B94EF0">
        <w:t xml:space="preserve"> when flowin</w:t>
      </w:r>
      <w:r w:rsidR="00CC2A5E">
        <w:t>g</w:t>
      </w:r>
      <w:r w:rsidR="00503364">
        <w:t xml:space="preserve">; </w:t>
      </w:r>
      <w:r w:rsidR="00696715" w:rsidRPr="00F156E3">
        <w:t xml:space="preserve">major </w:t>
      </w:r>
      <w:r w:rsidR="004525B7" w:rsidRPr="00F156E3">
        <w:t>tributaries</w:t>
      </w:r>
      <w:r w:rsidR="003F7287" w:rsidRPr="00F156E3">
        <w:t>, as sources of wat</w:t>
      </w:r>
      <w:r w:rsidR="002F7762" w:rsidRPr="00F156E3">
        <w:t>er, sediments</w:t>
      </w:r>
      <w:r w:rsidR="001218BA" w:rsidRPr="00F156E3">
        <w:t>,</w:t>
      </w:r>
      <w:r w:rsidR="002F7762" w:rsidRPr="00F156E3">
        <w:t xml:space="preserve"> and biota, </w:t>
      </w:r>
      <w:r w:rsidR="002D42D8" w:rsidRPr="00F156E3">
        <w:t xml:space="preserve">may significantly influence </w:t>
      </w:r>
      <w:r w:rsidR="00AB0FFC" w:rsidRPr="00F156E3">
        <w:t xml:space="preserve">abiotic </w:t>
      </w:r>
      <w:r w:rsidR="002D42D8" w:rsidRPr="00F156E3">
        <w:t xml:space="preserve">and biotic </w:t>
      </w:r>
      <w:r w:rsidR="000B7CB9" w:rsidRPr="00F156E3">
        <w:t>a</w:t>
      </w:r>
      <w:r w:rsidR="00197101" w:rsidRPr="00F156E3">
        <w:t>ttributes</w:t>
      </w:r>
      <w:r w:rsidR="00EE4845" w:rsidRPr="00F156E3">
        <w:t xml:space="preserve"> and </w:t>
      </w:r>
      <w:r w:rsidR="001C6637" w:rsidRPr="00F156E3">
        <w:t>enhance resilience</w:t>
      </w:r>
      <w:r w:rsidR="00A46D36" w:rsidRPr="00F156E3">
        <w:t xml:space="preserve"> (e.g. </w:t>
      </w:r>
      <w:r w:rsidR="009A66E8" w:rsidRPr="00F156E3">
        <w:t xml:space="preserve">Rice et al. 2008; </w:t>
      </w:r>
      <w:r w:rsidR="00A46D36" w:rsidRPr="00F156E3">
        <w:t>Dye</w:t>
      </w:r>
      <w:r w:rsidR="003D64CD" w:rsidRPr="00F156E3">
        <w:t xml:space="preserve"> 2010</w:t>
      </w:r>
      <w:r w:rsidR="00D46671" w:rsidRPr="00F156E3">
        <w:t xml:space="preserve">; </w:t>
      </w:r>
      <w:r w:rsidR="00AB0FFC" w:rsidRPr="00F156E3">
        <w:t xml:space="preserve">Milner et al. 2019; </w:t>
      </w:r>
      <w:r w:rsidR="00D46671" w:rsidRPr="00F156E3">
        <w:t>Consoli et al. 2022</w:t>
      </w:r>
      <w:r w:rsidR="003D64CD" w:rsidRPr="00F156E3">
        <w:t>)</w:t>
      </w:r>
      <w:r w:rsidR="00197101" w:rsidRPr="00F156E3">
        <w:t>.</w:t>
      </w:r>
    </w:p>
    <w:p w14:paraId="61A14193" w14:textId="228D1353" w:rsidR="00522A79" w:rsidRDefault="00522A79" w:rsidP="000C6EE4">
      <w:pPr>
        <w:pStyle w:val="ListBullet"/>
        <w:numPr>
          <w:ilvl w:val="0"/>
          <w:numId w:val="11"/>
        </w:numPr>
      </w:pPr>
      <w:r w:rsidRPr="00B94EF0">
        <w:t>the floodplain understorey</w:t>
      </w:r>
      <w:r w:rsidR="00D22283">
        <w:t xml:space="preserve">, </w:t>
      </w:r>
      <w:r w:rsidRPr="00B94EF0">
        <w:t>of</w:t>
      </w:r>
      <w:r w:rsidR="00892475">
        <w:t xml:space="preserve"> </w:t>
      </w:r>
      <w:r w:rsidR="00F82B68">
        <w:t xml:space="preserve">both </w:t>
      </w:r>
      <w:r w:rsidR="008F1B4A" w:rsidRPr="008F1B4A">
        <w:rPr>
          <w:i/>
          <w:iCs/>
        </w:rPr>
        <w:t>Eucalyptus largiflorens</w:t>
      </w:r>
      <w:r w:rsidR="00090A2C">
        <w:t xml:space="preserve"> (</w:t>
      </w:r>
      <w:r w:rsidR="00090A2C" w:rsidRPr="00B94EF0">
        <w:t>black box</w:t>
      </w:r>
      <w:r w:rsidR="00090A2C">
        <w:t>)</w:t>
      </w:r>
      <w:r w:rsidR="008F1B4A">
        <w:t xml:space="preserve"> </w:t>
      </w:r>
      <w:r w:rsidRPr="00B94EF0">
        <w:t xml:space="preserve">and </w:t>
      </w:r>
      <w:r w:rsidR="008F1B4A" w:rsidRPr="008F1B4A">
        <w:rPr>
          <w:i/>
          <w:iCs/>
        </w:rPr>
        <w:t>E. camaldulensis</w:t>
      </w:r>
      <w:r w:rsidR="008F4D18">
        <w:rPr>
          <w:i/>
          <w:iCs/>
        </w:rPr>
        <w:t xml:space="preserve"> </w:t>
      </w:r>
      <w:r w:rsidR="00090A2C">
        <w:t>(</w:t>
      </w:r>
      <w:r w:rsidR="00090A2C" w:rsidRPr="00B94EF0">
        <w:t>river red gum</w:t>
      </w:r>
      <w:r w:rsidR="00090A2C">
        <w:t>)</w:t>
      </w:r>
      <w:r w:rsidR="008F4D18">
        <w:t xml:space="preserve"> woodlands and forests</w:t>
      </w:r>
      <w:r w:rsidR="005A0392">
        <w:t>,</w:t>
      </w:r>
      <w:r w:rsidRPr="00B94EF0">
        <w:t xml:space="preserve"> is compositionally different compared to </w:t>
      </w:r>
      <w:r w:rsidR="00495072">
        <w:t xml:space="preserve">that </w:t>
      </w:r>
      <w:r w:rsidRPr="00B94EF0">
        <w:t xml:space="preserve">upstream </w:t>
      </w:r>
      <w:r w:rsidR="00844098">
        <w:t xml:space="preserve">of the Darling River confluence </w:t>
      </w:r>
      <w:r w:rsidRPr="00B94EF0">
        <w:t>(Smith</w:t>
      </w:r>
      <w:r w:rsidR="002C67C8">
        <w:t xml:space="preserve"> &amp;</w:t>
      </w:r>
      <w:r w:rsidRPr="00B94EF0">
        <w:t xml:space="preserve"> Smith 1990)</w:t>
      </w:r>
    </w:p>
    <w:p w14:paraId="025D9D1E" w14:textId="11872536" w:rsidR="00522A79" w:rsidRDefault="00522A79" w:rsidP="000C6EE4">
      <w:pPr>
        <w:pStyle w:val="ListBullet"/>
        <w:numPr>
          <w:ilvl w:val="0"/>
          <w:numId w:val="11"/>
        </w:numPr>
      </w:pPr>
      <w:r w:rsidRPr="00B94EF0">
        <w:t xml:space="preserve">long-term monitoring </w:t>
      </w:r>
      <w:r w:rsidR="001D47CD">
        <w:t xml:space="preserve">and other studies </w:t>
      </w:r>
      <w:r w:rsidRPr="00B94EF0">
        <w:t>found phytoplankton, zooplankton</w:t>
      </w:r>
      <w:r w:rsidR="00495072">
        <w:t>,</w:t>
      </w:r>
      <w:r w:rsidRPr="00B94EF0">
        <w:t xml:space="preserve"> and macroinvertebrate assemblages </w:t>
      </w:r>
      <w:r w:rsidR="008F1B4A">
        <w:t xml:space="preserve">are </w:t>
      </w:r>
      <w:r w:rsidRPr="00B94EF0">
        <w:t>compositionally distinctive (i.e. with a discrete zonation) in the River Murray downstream of the Darling junction</w:t>
      </w:r>
      <w:r w:rsidR="00056B52">
        <w:t>, i.e.</w:t>
      </w:r>
      <w:r w:rsidR="005E429C">
        <w:t xml:space="preserve"> compared to </w:t>
      </w:r>
      <w:r w:rsidR="00346BD2">
        <w:t xml:space="preserve">those </w:t>
      </w:r>
      <w:r w:rsidR="005E429C">
        <w:t>upstream in the parent rivers</w:t>
      </w:r>
      <w:r w:rsidR="00711BF3">
        <w:t xml:space="preserve"> </w:t>
      </w:r>
      <w:r w:rsidRPr="00B94EF0">
        <w:t>(</w:t>
      </w:r>
      <w:r w:rsidR="00495072">
        <w:t xml:space="preserve">e.g. </w:t>
      </w:r>
      <w:r w:rsidRPr="00B94EF0">
        <w:t>Sullivan, 1990; Shiel, 1990; Bennison and Suter, 1990</w:t>
      </w:r>
      <w:r w:rsidR="00056B52">
        <w:t xml:space="preserve">; </w:t>
      </w:r>
      <w:r w:rsidR="00D833DE">
        <w:t xml:space="preserve">Paul et al. </w:t>
      </w:r>
      <w:r w:rsidR="00173618">
        <w:t>2018</w:t>
      </w:r>
      <w:r w:rsidR="007258D5">
        <w:t>;</w:t>
      </w:r>
      <w:r w:rsidR="00605C6A">
        <w:t xml:space="preserve"> Furst et al. 2019</w:t>
      </w:r>
      <w:r w:rsidR="00272356">
        <w:t>; Dittmann et al. 2021</w:t>
      </w:r>
      <w:r w:rsidRPr="00B94EF0">
        <w:t>)</w:t>
      </w:r>
      <w:r w:rsidR="00504D2C">
        <w:t xml:space="preserve"> </w:t>
      </w:r>
    </w:p>
    <w:p w14:paraId="5C612CE9" w14:textId="7E9FC826" w:rsidR="00522A79" w:rsidRPr="001D6A57" w:rsidRDefault="00522A79" w:rsidP="000C6EE4">
      <w:pPr>
        <w:pStyle w:val="ListBullet"/>
        <w:numPr>
          <w:ilvl w:val="0"/>
          <w:numId w:val="11"/>
        </w:numPr>
      </w:pPr>
      <w:r w:rsidRPr="001D6A57">
        <w:t xml:space="preserve">the ecological community </w:t>
      </w:r>
      <w:r w:rsidR="0077631F" w:rsidRPr="001D6A57">
        <w:t xml:space="preserve">incorporates the full </w:t>
      </w:r>
      <w:r w:rsidR="001D6A57" w:rsidRPr="001D6A57">
        <w:t xml:space="preserve">suite </w:t>
      </w:r>
      <w:r w:rsidR="0077631F" w:rsidRPr="001D6A57">
        <w:t>of diadromous fish species that occur in the MDB</w:t>
      </w:r>
      <w:r w:rsidR="002A6DE3" w:rsidRPr="001D6A57">
        <w:t xml:space="preserve"> a</w:t>
      </w:r>
      <w:r w:rsidR="008541F9" w:rsidRPr="001D6A57">
        <w:t>nd</w:t>
      </w:r>
      <w:r w:rsidR="002A6DE3" w:rsidRPr="001D6A57">
        <w:t xml:space="preserve">, for </w:t>
      </w:r>
      <w:r w:rsidR="008541F9" w:rsidRPr="001D6A57">
        <w:t>several</w:t>
      </w:r>
      <w:r w:rsidR="002A6DE3" w:rsidRPr="001D6A57">
        <w:t xml:space="preserve"> other fish species</w:t>
      </w:r>
      <w:r w:rsidR="0058564D">
        <w:t>,</w:t>
      </w:r>
      <w:r w:rsidR="005C5C64" w:rsidRPr="001D6A57">
        <w:t xml:space="preserve"> the ecological community represents a large portion </w:t>
      </w:r>
      <w:r w:rsidRPr="001D6A57">
        <w:t>of the</w:t>
      </w:r>
      <w:r w:rsidR="005C5C64" w:rsidRPr="001D6A57">
        <w:t>ir</w:t>
      </w:r>
      <w:r w:rsidRPr="001D6A57">
        <w:t xml:space="preserve"> MDB </w:t>
      </w:r>
      <w:r w:rsidR="001D6A57" w:rsidRPr="001D6A57">
        <w:t>distribution</w:t>
      </w:r>
      <w:r w:rsidR="00852E01">
        <w:t xml:space="preserve"> </w:t>
      </w:r>
      <w:r w:rsidRPr="001D6A57">
        <w:t xml:space="preserve">range </w:t>
      </w:r>
      <w:r w:rsidR="00D22283" w:rsidRPr="001D6A57">
        <w:t>(</w:t>
      </w:r>
      <w:r w:rsidR="00FA188C" w:rsidRPr="001D6A57">
        <w:t xml:space="preserve">e.g. </w:t>
      </w:r>
      <w:r w:rsidR="00B54B35" w:rsidRPr="001D6A57">
        <w:t>Hammer &amp; Walker 2004; Hammer et al. 20</w:t>
      </w:r>
      <w:r w:rsidR="001212C5" w:rsidRPr="001D6A57">
        <w:t xml:space="preserve">09, </w:t>
      </w:r>
      <w:r w:rsidR="00FA188C" w:rsidRPr="001D6A57">
        <w:t>20</w:t>
      </w:r>
      <w:r w:rsidR="001212C5" w:rsidRPr="001D6A57">
        <w:t>12</w:t>
      </w:r>
      <w:r w:rsidR="00E25E3B" w:rsidRPr="001D6A57">
        <w:t xml:space="preserve">; </w:t>
      </w:r>
      <w:r w:rsidR="004028BA" w:rsidRPr="001D6A57">
        <w:t xml:space="preserve">Wedderburn et al. 2017; </w:t>
      </w:r>
      <w:r w:rsidR="00E25E3B" w:rsidRPr="001D6A57">
        <w:t>Bice et al. 2018</w:t>
      </w:r>
      <w:r w:rsidR="009F11FF" w:rsidRPr="001D6A57">
        <w:t>a</w:t>
      </w:r>
      <w:r w:rsidR="00D22283" w:rsidRPr="001D6A57">
        <w:t>)</w:t>
      </w:r>
    </w:p>
    <w:p w14:paraId="318B64DB" w14:textId="7D933F45" w:rsidR="00C26A3D" w:rsidRPr="00852E01" w:rsidRDefault="00522A79" w:rsidP="000C6EE4">
      <w:pPr>
        <w:pStyle w:val="ListBullet"/>
        <w:numPr>
          <w:ilvl w:val="0"/>
          <w:numId w:val="11"/>
        </w:numPr>
      </w:pPr>
      <w:r w:rsidRPr="00852E01">
        <w:t xml:space="preserve">the ecological community </w:t>
      </w:r>
      <w:r w:rsidR="00517E7B" w:rsidRPr="00852E01">
        <w:t xml:space="preserve">is </w:t>
      </w:r>
      <w:r w:rsidRPr="00852E01">
        <w:t>nationally significant for bird fauna, provid</w:t>
      </w:r>
      <w:r w:rsidR="006C1198" w:rsidRPr="00852E01">
        <w:t>ing</w:t>
      </w:r>
      <w:r w:rsidRPr="00852E01">
        <w:t xml:space="preserve"> habitat</w:t>
      </w:r>
      <w:r w:rsidR="001352F7" w:rsidRPr="00852E01">
        <w:t>, feeding grounds,</w:t>
      </w:r>
      <w:r w:rsidRPr="00852E01">
        <w:t xml:space="preserve"> and refuge for a high diversity of resident and migratory </w:t>
      </w:r>
      <w:r w:rsidR="00BA6692" w:rsidRPr="00852E01">
        <w:t xml:space="preserve">waterbird species of </w:t>
      </w:r>
      <w:r w:rsidRPr="00852E01">
        <w:t>national and</w:t>
      </w:r>
      <w:r w:rsidR="00BA6692" w:rsidRPr="00852E01">
        <w:t>/or</w:t>
      </w:r>
      <w:r w:rsidR="0048701B" w:rsidRPr="00852E01">
        <w:t xml:space="preserve"> </w:t>
      </w:r>
      <w:r w:rsidRPr="00852E01">
        <w:t>international</w:t>
      </w:r>
      <w:r w:rsidR="0048701B" w:rsidRPr="00852E01">
        <w:t xml:space="preserve"> significance</w:t>
      </w:r>
      <w:r w:rsidR="00D22283" w:rsidRPr="00852E01">
        <w:t xml:space="preserve"> (</w:t>
      </w:r>
      <w:r w:rsidR="00FA188C" w:rsidRPr="00852E01">
        <w:t>e.g. Paton et al. 2018</w:t>
      </w:r>
      <w:r w:rsidR="00D22283" w:rsidRPr="00852E01">
        <w:t>)</w:t>
      </w:r>
      <w:r w:rsidRPr="00852E01">
        <w:t>.</w:t>
      </w:r>
    </w:p>
    <w:p w14:paraId="609BE1A1" w14:textId="6CAF471B" w:rsidR="00A00A39" w:rsidRDefault="00A00A39" w:rsidP="00087379">
      <w:r>
        <w:t xml:space="preserve">This complex </w:t>
      </w:r>
      <w:r w:rsidR="00D41BF3">
        <w:t xml:space="preserve">threatened </w:t>
      </w:r>
      <w:r>
        <w:t xml:space="preserve">ecological community aligns with several ecosystem functional groups </w:t>
      </w:r>
      <w:r w:rsidR="007F548D">
        <w:t xml:space="preserve">(EFGs) </w:t>
      </w:r>
      <w:r>
        <w:t xml:space="preserve">as per the IUCN Global Ecosystem Typology 2.0 (see </w:t>
      </w:r>
      <w:r w:rsidRPr="00D4723F">
        <w:rPr>
          <w:u w:val="single"/>
        </w:rPr>
        <w:t>Table 1</w:t>
      </w:r>
      <w:r>
        <w:t>).</w:t>
      </w:r>
    </w:p>
    <w:p w14:paraId="3A32FD93" w14:textId="67794491" w:rsidR="008D5EEB" w:rsidRPr="00582C9F" w:rsidRDefault="008D5EEB" w:rsidP="008D5EEB">
      <w:r>
        <w:t xml:space="preserve">More information to assist in identifying </w:t>
      </w:r>
      <w:r w:rsidRPr="009E73EA">
        <w:t>occurrences of</w:t>
      </w:r>
      <w:r>
        <w:t xml:space="preserve"> the ecological community is provided in </w:t>
      </w:r>
      <w:r>
        <w:rPr>
          <w:rStyle w:val="Crossreference"/>
        </w:rPr>
        <w:t>S</w:t>
      </w:r>
      <w:r w:rsidRPr="003C6B88">
        <w:rPr>
          <w:rStyle w:val="Crossreference"/>
        </w:rPr>
        <w:t>ection </w:t>
      </w:r>
      <w:r w:rsidRPr="003C6B88">
        <w:rPr>
          <w:rStyle w:val="Crossreference"/>
        </w:rPr>
        <w:fldChar w:fldCharType="begin"/>
      </w:r>
      <w:r w:rsidRPr="003C6B88">
        <w:rPr>
          <w:rStyle w:val="Crossreference"/>
        </w:rPr>
        <w:instrText xml:space="preserve"> REF _Ref40360175 \r \h </w:instrText>
      </w:r>
      <w:r>
        <w:rPr>
          <w:rStyle w:val="Crossreference"/>
        </w:rPr>
        <w:instrText xml:space="preserve"> \* MERGEFORMAT </w:instrText>
      </w:r>
      <w:r w:rsidRPr="003C6B88">
        <w:rPr>
          <w:rStyle w:val="Crossreference"/>
        </w:rPr>
      </w:r>
      <w:r w:rsidRPr="003C6B88">
        <w:rPr>
          <w:rStyle w:val="Crossreference"/>
        </w:rPr>
        <w:fldChar w:fldCharType="separate"/>
      </w:r>
      <w:r w:rsidR="006D35C5">
        <w:rPr>
          <w:rStyle w:val="Crossreference"/>
        </w:rPr>
        <w:t>0</w:t>
      </w:r>
      <w:r w:rsidRPr="003C6B88">
        <w:rPr>
          <w:rStyle w:val="Crossreference"/>
        </w:rPr>
        <w:fldChar w:fldCharType="end"/>
      </w:r>
      <w:r>
        <w:t>. Because of past loss or degradation</w:t>
      </w:r>
      <w:r w:rsidR="00681220">
        <w:t xml:space="preserve"> of biodiversity and associated habitat</w:t>
      </w:r>
      <w:r>
        <w:t xml:space="preserve">, not all extant occurrences of the ecological community are in a </w:t>
      </w:r>
      <w:r w:rsidRPr="00E30915">
        <w:t xml:space="preserve">completely natural state. </w:t>
      </w:r>
      <w:r w:rsidRPr="00E30915">
        <w:rPr>
          <w:rStyle w:val="Crossreference"/>
        </w:rPr>
        <w:t xml:space="preserve">Section </w:t>
      </w:r>
      <w:r w:rsidRPr="00E30915">
        <w:rPr>
          <w:rStyle w:val="Crossreference"/>
        </w:rPr>
        <w:fldChar w:fldCharType="begin"/>
      </w:r>
      <w:r w:rsidRPr="00E30915">
        <w:rPr>
          <w:rStyle w:val="Crossreference"/>
        </w:rPr>
        <w:instrText xml:space="preserve"> REF _Ref87362595 \r \h </w:instrText>
      </w:r>
      <w:r>
        <w:rPr>
          <w:rStyle w:val="Crossreference"/>
        </w:rPr>
        <w:instrText xml:space="preserve"> \* MERGEFORMAT </w:instrText>
      </w:r>
      <w:r w:rsidRPr="00E30915">
        <w:rPr>
          <w:rStyle w:val="Crossreference"/>
        </w:rPr>
      </w:r>
      <w:r w:rsidRPr="00E30915">
        <w:rPr>
          <w:rStyle w:val="Crossreference"/>
        </w:rPr>
        <w:fldChar w:fldCharType="separate"/>
      </w:r>
      <w:r w:rsidR="006D35C5">
        <w:rPr>
          <w:rStyle w:val="Crossreference"/>
        </w:rPr>
        <w:t>0</w:t>
      </w:r>
      <w:r w:rsidRPr="00E30915">
        <w:rPr>
          <w:rStyle w:val="Crossreference"/>
        </w:rPr>
        <w:fldChar w:fldCharType="end"/>
      </w:r>
      <w:r w:rsidRPr="00CD7D5E">
        <w:t xml:space="preserve"> provides information to identify which</w:t>
      </w:r>
      <w:r>
        <w:t xml:space="preserve"> areas or</w:t>
      </w:r>
      <w:r w:rsidRPr="00CD7D5E">
        <w:t xml:space="preserve"> patches </w:t>
      </w:r>
      <w:r>
        <w:t xml:space="preserve">of native vegetation </w:t>
      </w:r>
      <w:r w:rsidR="005A0392">
        <w:t xml:space="preserve">are still the ecological community and </w:t>
      </w:r>
      <w:r w:rsidRPr="00CD7D5E">
        <w:t>retain sufficient conservation values to be considered a matter of national environmental significance</w:t>
      </w:r>
      <w:r>
        <w:t xml:space="preserve"> and which are too degraded</w:t>
      </w:r>
      <w:r w:rsidRPr="00CD7D5E">
        <w:t>.</w:t>
      </w:r>
      <w:r>
        <w:t xml:space="preserve"> </w:t>
      </w:r>
    </w:p>
    <w:p w14:paraId="10ACFA4A" w14:textId="77777777" w:rsidR="000F0019" w:rsidRDefault="000F0019" w:rsidP="00087379">
      <w:pPr>
        <w:rPr>
          <w:b/>
          <w:bCs/>
        </w:rPr>
      </w:pPr>
    </w:p>
    <w:p w14:paraId="4C2BD1F5" w14:textId="77777777" w:rsidR="000F0019" w:rsidRDefault="000F0019" w:rsidP="00087379">
      <w:pPr>
        <w:rPr>
          <w:b/>
          <w:bCs/>
        </w:rPr>
      </w:pPr>
    </w:p>
    <w:p w14:paraId="37D18AA1" w14:textId="229B642C" w:rsidR="00FB2E8C" w:rsidRPr="009457A0" w:rsidRDefault="004A3610" w:rsidP="004A3610">
      <w:pPr>
        <w:pStyle w:val="Caption"/>
        <w:rPr>
          <w:b w:val="0"/>
          <w:bCs/>
          <w:szCs w:val="22"/>
        </w:rPr>
      </w:pPr>
      <w:r>
        <w:lastRenderedPageBreak/>
        <w:t xml:space="preserve">Table </w:t>
      </w:r>
      <w:r>
        <w:fldChar w:fldCharType="begin"/>
      </w:r>
      <w:r>
        <w:instrText xml:space="preserve"> SEQ Table \* ARABIC </w:instrText>
      </w:r>
      <w:r>
        <w:fldChar w:fldCharType="separate"/>
      </w:r>
      <w:r w:rsidR="006D35C5">
        <w:rPr>
          <w:noProof/>
        </w:rPr>
        <w:t>1</w:t>
      </w:r>
      <w:r>
        <w:fldChar w:fldCharType="end"/>
      </w:r>
      <w:r w:rsidR="00A346A3" w:rsidRPr="009457A0">
        <w:rPr>
          <w:bCs/>
          <w:szCs w:val="22"/>
        </w:rPr>
        <w:t>: Ecosystem Functional Group by realms and biomes as they relate to the River Murray—Darling to Sea EC (</w:t>
      </w:r>
      <w:r w:rsidR="005266A3" w:rsidRPr="009457A0">
        <w:rPr>
          <w:bCs/>
          <w:szCs w:val="22"/>
        </w:rPr>
        <w:t xml:space="preserve">i.e. </w:t>
      </w:r>
      <w:r w:rsidR="00A346A3" w:rsidRPr="009457A0">
        <w:rPr>
          <w:bCs/>
          <w:szCs w:val="22"/>
        </w:rPr>
        <w:t>as per IUCN Global Ecosystem Typology 2.0).</w:t>
      </w:r>
    </w:p>
    <w:tbl>
      <w:tblPr>
        <w:tblStyle w:val="TableGrid"/>
        <w:tblW w:w="5000" w:type="pct"/>
        <w:tblLook w:val="04A0" w:firstRow="1" w:lastRow="0" w:firstColumn="1" w:lastColumn="0" w:noHBand="0" w:noVBand="1"/>
      </w:tblPr>
      <w:tblGrid>
        <w:gridCol w:w="761"/>
        <w:gridCol w:w="3398"/>
        <w:gridCol w:w="868"/>
        <w:gridCol w:w="4033"/>
      </w:tblGrid>
      <w:tr w:rsidR="001C6088" w14:paraId="401E1F31" w14:textId="77777777" w:rsidTr="004A3610">
        <w:trPr>
          <w:trHeight w:hRule="exact" w:val="284"/>
        </w:trPr>
        <w:tc>
          <w:tcPr>
            <w:tcW w:w="413" w:type="pct"/>
            <w:shd w:val="clear" w:color="auto" w:fill="D9E2F3" w:themeFill="accent5" w:themeFillTint="33"/>
          </w:tcPr>
          <w:p w14:paraId="40407F02" w14:textId="6495C70A" w:rsidR="008271EF" w:rsidRPr="004D7BFA" w:rsidRDefault="001C6088" w:rsidP="00F653E5">
            <w:pPr>
              <w:spacing w:after="0" w:line="240" w:lineRule="auto"/>
              <w:rPr>
                <w:b/>
                <w:bCs/>
                <w:sz w:val="24"/>
                <w:szCs w:val="24"/>
              </w:rPr>
            </w:pPr>
            <w:r w:rsidRPr="004D7BFA">
              <w:rPr>
                <w:b/>
                <w:bCs/>
                <w:sz w:val="24"/>
                <w:szCs w:val="24"/>
              </w:rPr>
              <w:t>Code</w:t>
            </w:r>
          </w:p>
        </w:tc>
        <w:tc>
          <w:tcPr>
            <w:tcW w:w="1883" w:type="pct"/>
            <w:shd w:val="clear" w:color="auto" w:fill="D9E2F3" w:themeFill="accent5" w:themeFillTint="33"/>
          </w:tcPr>
          <w:p w14:paraId="05554DEA" w14:textId="77777777" w:rsidR="001C6088" w:rsidRPr="004D7BFA" w:rsidRDefault="001C6088" w:rsidP="00F653E5">
            <w:pPr>
              <w:rPr>
                <w:b/>
                <w:bCs/>
                <w:sz w:val="24"/>
                <w:szCs w:val="24"/>
              </w:rPr>
            </w:pPr>
            <w:r w:rsidRPr="004D7BFA">
              <w:rPr>
                <w:b/>
                <w:bCs/>
                <w:sz w:val="24"/>
                <w:szCs w:val="24"/>
              </w:rPr>
              <w:t>Biome</w:t>
            </w:r>
          </w:p>
        </w:tc>
        <w:tc>
          <w:tcPr>
            <w:tcW w:w="471" w:type="pct"/>
            <w:shd w:val="clear" w:color="auto" w:fill="D9E2F3" w:themeFill="accent5" w:themeFillTint="33"/>
          </w:tcPr>
          <w:p w14:paraId="349AC9D9" w14:textId="77777777" w:rsidR="001C6088" w:rsidRPr="004D7BFA" w:rsidRDefault="001C6088" w:rsidP="00F653E5">
            <w:pPr>
              <w:spacing w:after="0" w:line="240" w:lineRule="auto"/>
              <w:rPr>
                <w:b/>
                <w:bCs/>
                <w:sz w:val="24"/>
                <w:szCs w:val="24"/>
              </w:rPr>
            </w:pPr>
            <w:r w:rsidRPr="004D7BFA">
              <w:rPr>
                <w:b/>
                <w:bCs/>
                <w:sz w:val="24"/>
                <w:szCs w:val="24"/>
              </w:rPr>
              <w:t>Code</w:t>
            </w:r>
          </w:p>
        </w:tc>
        <w:tc>
          <w:tcPr>
            <w:tcW w:w="2233" w:type="pct"/>
            <w:shd w:val="clear" w:color="auto" w:fill="D9E2F3" w:themeFill="accent5" w:themeFillTint="33"/>
          </w:tcPr>
          <w:p w14:paraId="313E5A62" w14:textId="77777777" w:rsidR="001C6088" w:rsidRPr="004D7BFA" w:rsidRDefault="001C6088" w:rsidP="00F653E5">
            <w:pPr>
              <w:rPr>
                <w:b/>
                <w:bCs/>
                <w:sz w:val="24"/>
                <w:szCs w:val="24"/>
              </w:rPr>
            </w:pPr>
            <w:r w:rsidRPr="004D7BFA">
              <w:rPr>
                <w:b/>
                <w:bCs/>
                <w:sz w:val="24"/>
                <w:szCs w:val="24"/>
              </w:rPr>
              <w:t>Ecosystem Functional Group</w:t>
            </w:r>
          </w:p>
        </w:tc>
      </w:tr>
      <w:tr w:rsidR="001C6088" w14:paraId="2810B4D1" w14:textId="77777777" w:rsidTr="004A3610">
        <w:trPr>
          <w:trHeight w:hRule="exact" w:val="284"/>
        </w:trPr>
        <w:tc>
          <w:tcPr>
            <w:tcW w:w="5000" w:type="pct"/>
            <w:gridSpan w:val="4"/>
            <w:shd w:val="clear" w:color="auto" w:fill="F2F2F2" w:themeFill="background1" w:themeFillShade="F2"/>
          </w:tcPr>
          <w:p w14:paraId="5E9F807A" w14:textId="77777777" w:rsidR="001C6088" w:rsidRPr="00852D82" w:rsidRDefault="001C6088" w:rsidP="00F653E5">
            <w:pPr>
              <w:rPr>
                <w:b/>
                <w:bCs/>
                <w:i/>
                <w:iCs/>
                <w:sz w:val="20"/>
                <w:szCs w:val="20"/>
              </w:rPr>
            </w:pPr>
            <w:r w:rsidRPr="00852D82">
              <w:rPr>
                <w:b/>
                <w:bCs/>
                <w:i/>
                <w:iCs/>
                <w:sz w:val="20"/>
                <w:szCs w:val="20"/>
              </w:rPr>
              <w:t>Realm</w:t>
            </w:r>
            <w:r>
              <w:rPr>
                <w:b/>
                <w:bCs/>
                <w:i/>
                <w:iCs/>
                <w:sz w:val="20"/>
                <w:szCs w:val="20"/>
              </w:rPr>
              <w:t xml:space="preserve">:  </w:t>
            </w:r>
            <w:r w:rsidRPr="00852D82">
              <w:rPr>
                <w:b/>
                <w:bCs/>
                <w:i/>
                <w:iCs/>
                <w:sz w:val="20"/>
                <w:szCs w:val="20"/>
              </w:rPr>
              <w:t>Subterranean-Freshwater</w:t>
            </w:r>
          </w:p>
        </w:tc>
      </w:tr>
      <w:tr w:rsidR="001C6088" w14:paraId="382D44AB" w14:textId="77777777" w:rsidTr="004A3610">
        <w:trPr>
          <w:trHeight w:hRule="exact" w:val="284"/>
        </w:trPr>
        <w:tc>
          <w:tcPr>
            <w:tcW w:w="413" w:type="pct"/>
          </w:tcPr>
          <w:p w14:paraId="23F5905E" w14:textId="77777777" w:rsidR="001C6088" w:rsidRPr="001D0E64" w:rsidRDefault="001C6088" w:rsidP="00F653E5">
            <w:pPr>
              <w:rPr>
                <w:b/>
                <w:bCs/>
                <w:sz w:val="20"/>
                <w:szCs w:val="20"/>
              </w:rPr>
            </w:pPr>
            <w:r w:rsidRPr="001D0E64">
              <w:rPr>
                <w:b/>
                <w:bCs/>
                <w:sz w:val="20"/>
                <w:szCs w:val="20"/>
              </w:rPr>
              <w:t>SF2</w:t>
            </w:r>
          </w:p>
        </w:tc>
        <w:tc>
          <w:tcPr>
            <w:tcW w:w="1883" w:type="pct"/>
          </w:tcPr>
          <w:p w14:paraId="1EB022D8" w14:textId="77777777" w:rsidR="001C6088" w:rsidRPr="001D0E64" w:rsidRDefault="001C6088" w:rsidP="00F653E5">
            <w:pPr>
              <w:rPr>
                <w:sz w:val="20"/>
                <w:szCs w:val="20"/>
              </w:rPr>
            </w:pPr>
            <w:r w:rsidRPr="001D0E64">
              <w:rPr>
                <w:sz w:val="20"/>
                <w:szCs w:val="20"/>
              </w:rPr>
              <w:t>Subterranean</w:t>
            </w:r>
            <w:r>
              <w:rPr>
                <w:sz w:val="20"/>
                <w:szCs w:val="20"/>
              </w:rPr>
              <w:t xml:space="preserve"> freshwater biome</w:t>
            </w:r>
          </w:p>
        </w:tc>
        <w:tc>
          <w:tcPr>
            <w:tcW w:w="471" w:type="pct"/>
          </w:tcPr>
          <w:p w14:paraId="663570E3" w14:textId="77777777" w:rsidR="001C6088" w:rsidRPr="001D0E64" w:rsidRDefault="001C6088" w:rsidP="00F653E5">
            <w:pPr>
              <w:jc w:val="right"/>
              <w:rPr>
                <w:sz w:val="20"/>
                <w:szCs w:val="20"/>
              </w:rPr>
            </w:pPr>
            <w:r>
              <w:rPr>
                <w:sz w:val="20"/>
                <w:szCs w:val="20"/>
              </w:rPr>
              <w:t>SF2.2</w:t>
            </w:r>
          </w:p>
        </w:tc>
        <w:tc>
          <w:tcPr>
            <w:tcW w:w="2233" w:type="pct"/>
          </w:tcPr>
          <w:p w14:paraId="2B38AC0D" w14:textId="7D408F57" w:rsidR="001C6088" w:rsidRPr="001D0E64" w:rsidRDefault="001C6088" w:rsidP="00F653E5">
            <w:pPr>
              <w:rPr>
                <w:sz w:val="20"/>
                <w:szCs w:val="20"/>
              </w:rPr>
            </w:pPr>
            <w:r>
              <w:rPr>
                <w:sz w:val="20"/>
                <w:szCs w:val="20"/>
              </w:rPr>
              <w:t>Groundwater</w:t>
            </w:r>
            <w:r w:rsidR="00665C59">
              <w:rPr>
                <w:sz w:val="20"/>
                <w:szCs w:val="20"/>
              </w:rPr>
              <w:t>*</w:t>
            </w:r>
          </w:p>
        </w:tc>
      </w:tr>
      <w:tr w:rsidR="001C6088" w14:paraId="6D17539F" w14:textId="77777777" w:rsidTr="004A3610">
        <w:trPr>
          <w:trHeight w:hRule="exact" w:val="284"/>
        </w:trPr>
        <w:tc>
          <w:tcPr>
            <w:tcW w:w="5000" w:type="pct"/>
            <w:gridSpan w:val="4"/>
            <w:shd w:val="clear" w:color="auto" w:fill="F2F2F2" w:themeFill="background1" w:themeFillShade="F2"/>
          </w:tcPr>
          <w:p w14:paraId="3BB014B6" w14:textId="77777777" w:rsidR="001C6088" w:rsidRPr="00852D82" w:rsidRDefault="001C6088" w:rsidP="00F653E5">
            <w:pPr>
              <w:rPr>
                <w:b/>
                <w:bCs/>
                <w:i/>
                <w:iCs/>
                <w:sz w:val="20"/>
                <w:szCs w:val="20"/>
              </w:rPr>
            </w:pPr>
            <w:r w:rsidRPr="00852D82">
              <w:rPr>
                <w:b/>
                <w:bCs/>
                <w:i/>
                <w:iCs/>
                <w:sz w:val="20"/>
                <w:szCs w:val="20"/>
              </w:rPr>
              <w:t>Realm</w:t>
            </w:r>
            <w:r>
              <w:rPr>
                <w:b/>
                <w:bCs/>
                <w:i/>
                <w:iCs/>
                <w:sz w:val="20"/>
                <w:szCs w:val="20"/>
              </w:rPr>
              <w:t xml:space="preserve">:  </w:t>
            </w:r>
            <w:r w:rsidRPr="00852D82">
              <w:rPr>
                <w:b/>
                <w:bCs/>
                <w:i/>
                <w:iCs/>
                <w:sz w:val="20"/>
                <w:szCs w:val="20"/>
              </w:rPr>
              <w:t>Freshwater</w:t>
            </w:r>
          </w:p>
        </w:tc>
      </w:tr>
      <w:tr w:rsidR="001C6088" w14:paraId="07DC7139" w14:textId="77777777" w:rsidTr="004A3610">
        <w:trPr>
          <w:trHeight w:hRule="exact" w:val="284"/>
        </w:trPr>
        <w:tc>
          <w:tcPr>
            <w:tcW w:w="413" w:type="pct"/>
            <w:vMerge w:val="restart"/>
          </w:tcPr>
          <w:p w14:paraId="32EFDBDF" w14:textId="77777777" w:rsidR="001C6088" w:rsidRPr="001D0E64" w:rsidRDefault="001C6088" w:rsidP="00F653E5">
            <w:pPr>
              <w:rPr>
                <w:b/>
                <w:bCs/>
                <w:sz w:val="20"/>
                <w:szCs w:val="20"/>
              </w:rPr>
            </w:pPr>
            <w:r w:rsidRPr="001D0E64">
              <w:rPr>
                <w:b/>
                <w:bCs/>
                <w:sz w:val="20"/>
                <w:szCs w:val="20"/>
              </w:rPr>
              <w:t>F1</w:t>
            </w:r>
          </w:p>
        </w:tc>
        <w:tc>
          <w:tcPr>
            <w:tcW w:w="1883" w:type="pct"/>
            <w:vMerge w:val="restart"/>
          </w:tcPr>
          <w:p w14:paraId="36D2BD13" w14:textId="77777777" w:rsidR="001C6088" w:rsidRPr="001D0E64" w:rsidRDefault="001C6088" w:rsidP="00F653E5">
            <w:pPr>
              <w:rPr>
                <w:sz w:val="20"/>
                <w:szCs w:val="20"/>
              </w:rPr>
            </w:pPr>
            <w:r>
              <w:rPr>
                <w:sz w:val="20"/>
                <w:szCs w:val="20"/>
              </w:rPr>
              <w:t>Rivers and streams biome</w:t>
            </w:r>
          </w:p>
        </w:tc>
        <w:tc>
          <w:tcPr>
            <w:tcW w:w="471" w:type="pct"/>
          </w:tcPr>
          <w:p w14:paraId="4DAC4B2F" w14:textId="77777777" w:rsidR="001C6088" w:rsidRPr="001D0E64" w:rsidRDefault="001C6088" w:rsidP="00F653E5">
            <w:pPr>
              <w:jc w:val="right"/>
              <w:rPr>
                <w:sz w:val="20"/>
                <w:szCs w:val="20"/>
              </w:rPr>
            </w:pPr>
            <w:r>
              <w:rPr>
                <w:sz w:val="20"/>
                <w:szCs w:val="20"/>
              </w:rPr>
              <w:t>F1.2</w:t>
            </w:r>
          </w:p>
        </w:tc>
        <w:tc>
          <w:tcPr>
            <w:tcW w:w="2233" w:type="pct"/>
          </w:tcPr>
          <w:p w14:paraId="65CD1646" w14:textId="77777777" w:rsidR="001C6088" w:rsidRPr="001D0E64" w:rsidRDefault="001C6088" w:rsidP="00F653E5">
            <w:pPr>
              <w:rPr>
                <w:sz w:val="20"/>
                <w:szCs w:val="20"/>
              </w:rPr>
            </w:pPr>
            <w:r>
              <w:rPr>
                <w:sz w:val="20"/>
                <w:szCs w:val="20"/>
              </w:rPr>
              <w:t>Permanent lowland rivers</w:t>
            </w:r>
          </w:p>
        </w:tc>
      </w:tr>
      <w:tr w:rsidR="001C6088" w14:paraId="69DB0DFC" w14:textId="77777777" w:rsidTr="004A3610">
        <w:trPr>
          <w:trHeight w:hRule="exact" w:val="284"/>
        </w:trPr>
        <w:tc>
          <w:tcPr>
            <w:tcW w:w="413" w:type="pct"/>
            <w:vMerge/>
          </w:tcPr>
          <w:p w14:paraId="2EF03980" w14:textId="77777777" w:rsidR="001C6088" w:rsidRPr="001D0E64" w:rsidRDefault="001C6088" w:rsidP="00F653E5">
            <w:pPr>
              <w:rPr>
                <w:b/>
                <w:bCs/>
                <w:sz w:val="20"/>
                <w:szCs w:val="20"/>
              </w:rPr>
            </w:pPr>
          </w:p>
        </w:tc>
        <w:tc>
          <w:tcPr>
            <w:tcW w:w="1883" w:type="pct"/>
            <w:vMerge/>
          </w:tcPr>
          <w:p w14:paraId="50DABA44" w14:textId="77777777" w:rsidR="001C6088" w:rsidRDefault="001C6088" w:rsidP="00F653E5">
            <w:pPr>
              <w:rPr>
                <w:sz w:val="20"/>
                <w:szCs w:val="20"/>
              </w:rPr>
            </w:pPr>
          </w:p>
        </w:tc>
        <w:tc>
          <w:tcPr>
            <w:tcW w:w="471" w:type="pct"/>
          </w:tcPr>
          <w:p w14:paraId="7228A994" w14:textId="77777777" w:rsidR="001C6088" w:rsidRPr="001D0E64" w:rsidRDefault="001C6088" w:rsidP="00F653E5">
            <w:pPr>
              <w:jc w:val="right"/>
              <w:rPr>
                <w:sz w:val="20"/>
                <w:szCs w:val="20"/>
              </w:rPr>
            </w:pPr>
            <w:r>
              <w:rPr>
                <w:sz w:val="20"/>
                <w:szCs w:val="20"/>
              </w:rPr>
              <w:t>F1.5</w:t>
            </w:r>
          </w:p>
        </w:tc>
        <w:tc>
          <w:tcPr>
            <w:tcW w:w="2233" w:type="pct"/>
          </w:tcPr>
          <w:p w14:paraId="1CFE7BAB" w14:textId="77777777" w:rsidR="001C6088" w:rsidRPr="001D0E64" w:rsidRDefault="001C6088" w:rsidP="00F653E5">
            <w:pPr>
              <w:rPr>
                <w:sz w:val="20"/>
                <w:szCs w:val="20"/>
              </w:rPr>
            </w:pPr>
            <w:r>
              <w:rPr>
                <w:sz w:val="20"/>
                <w:szCs w:val="20"/>
              </w:rPr>
              <w:t>Seasonal lowland rivers</w:t>
            </w:r>
          </w:p>
        </w:tc>
      </w:tr>
      <w:tr w:rsidR="001C6088" w14:paraId="4CBB726D" w14:textId="77777777" w:rsidTr="004A3610">
        <w:trPr>
          <w:trHeight w:hRule="exact" w:val="284"/>
        </w:trPr>
        <w:tc>
          <w:tcPr>
            <w:tcW w:w="413" w:type="pct"/>
            <w:vMerge/>
          </w:tcPr>
          <w:p w14:paraId="13B46599" w14:textId="77777777" w:rsidR="001C6088" w:rsidRPr="001D0E64" w:rsidRDefault="001C6088" w:rsidP="00F653E5">
            <w:pPr>
              <w:rPr>
                <w:b/>
                <w:bCs/>
                <w:sz w:val="20"/>
                <w:szCs w:val="20"/>
              </w:rPr>
            </w:pPr>
          </w:p>
        </w:tc>
        <w:tc>
          <w:tcPr>
            <w:tcW w:w="1883" w:type="pct"/>
            <w:vMerge/>
          </w:tcPr>
          <w:p w14:paraId="0AAA6B63" w14:textId="77777777" w:rsidR="001C6088" w:rsidRDefault="001C6088" w:rsidP="00F653E5">
            <w:pPr>
              <w:rPr>
                <w:sz w:val="20"/>
                <w:szCs w:val="20"/>
              </w:rPr>
            </w:pPr>
          </w:p>
        </w:tc>
        <w:tc>
          <w:tcPr>
            <w:tcW w:w="471" w:type="pct"/>
          </w:tcPr>
          <w:p w14:paraId="46E66F69" w14:textId="77777777" w:rsidR="001C6088" w:rsidRPr="001D0E64" w:rsidRDefault="001C6088" w:rsidP="00F653E5">
            <w:pPr>
              <w:jc w:val="right"/>
              <w:rPr>
                <w:sz w:val="20"/>
                <w:szCs w:val="20"/>
              </w:rPr>
            </w:pPr>
            <w:r>
              <w:rPr>
                <w:sz w:val="20"/>
                <w:szCs w:val="20"/>
              </w:rPr>
              <w:t>F1.6</w:t>
            </w:r>
          </w:p>
        </w:tc>
        <w:tc>
          <w:tcPr>
            <w:tcW w:w="2233" w:type="pct"/>
          </w:tcPr>
          <w:p w14:paraId="114CDCB3" w14:textId="77777777" w:rsidR="001C6088" w:rsidRPr="001D0E64" w:rsidRDefault="001C6088" w:rsidP="00F653E5">
            <w:pPr>
              <w:rPr>
                <w:sz w:val="20"/>
                <w:szCs w:val="20"/>
              </w:rPr>
            </w:pPr>
            <w:r>
              <w:rPr>
                <w:sz w:val="20"/>
                <w:szCs w:val="20"/>
              </w:rPr>
              <w:t>Episodic arid rivers</w:t>
            </w:r>
          </w:p>
        </w:tc>
      </w:tr>
      <w:tr w:rsidR="001C6088" w14:paraId="5B464F65" w14:textId="77777777" w:rsidTr="004A3610">
        <w:trPr>
          <w:trHeight w:hRule="exact" w:val="284"/>
        </w:trPr>
        <w:tc>
          <w:tcPr>
            <w:tcW w:w="413" w:type="pct"/>
            <w:vMerge/>
          </w:tcPr>
          <w:p w14:paraId="4E21B0AA" w14:textId="77777777" w:rsidR="001C6088" w:rsidRPr="001D0E64" w:rsidRDefault="001C6088" w:rsidP="00F653E5">
            <w:pPr>
              <w:rPr>
                <w:b/>
                <w:bCs/>
                <w:sz w:val="20"/>
                <w:szCs w:val="20"/>
              </w:rPr>
            </w:pPr>
          </w:p>
        </w:tc>
        <w:tc>
          <w:tcPr>
            <w:tcW w:w="1883" w:type="pct"/>
            <w:vMerge/>
          </w:tcPr>
          <w:p w14:paraId="7D834744" w14:textId="77777777" w:rsidR="001C6088" w:rsidRDefault="001C6088" w:rsidP="00F653E5">
            <w:pPr>
              <w:rPr>
                <w:sz w:val="20"/>
                <w:szCs w:val="20"/>
              </w:rPr>
            </w:pPr>
          </w:p>
        </w:tc>
        <w:tc>
          <w:tcPr>
            <w:tcW w:w="471" w:type="pct"/>
          </w:tcPr>
          <w:p w14:paraId="3051EFEB" w14:textId="77777777" w:rsidR="001C6088" w:rsidRPr="001D0E64" w:rsidRDefault="001C6088" w:rsidP="00F653E5">
            <w:pPr>
              <w:jc w:val="right"/>
              <w:rPr>
                <w:sz w:val="20"/>
                <w:szCs w:val="20"/>
              </w:rPr>
            </w:pPr>
            <w:r>
              <w:rPr>
                <w:sz w:val="20"/>
                <w:szCs w:val="20"/>
              </w:rPr>
              <w:t xml:space="preserve">F1.7 </w:t>
            </w:r>
          </w:p>
        </w:tc>
        <w:tc>
          <w:tcPr>
            <w:tcW w:w="2233" w:type="pct"/>
          </w:tcPr>
          <w:p w14:paraId="526DD9B8" w14:textId="77777777" w:rsidR="001C6088" w:rsidRPr="001D0E64" w:rsidRDefault="001C6088" w:rsidP="00F653E5">
            <w:pPr>
              <w:rPr>
                <w:sz w:val="20"/>
                <w:szCs w:val="20"/>
              </w:rPr>
            </w:pPr>
            <w:r>
              <w:rPr>
                <w:sz w:val="20"/>
                <w:szCs w:val="20"/>
              </w:rPr>
              <w:t>Large lowland rivers</w:t>
            </w:r>
          </w:p>
        </w:tc>
      </w:tr>
      <w:tr w:rsidR="001C6088" w14:paraId="3ACDFE9A" w14:textId="77777777" w:rsidTr="004A3610">
        <w:trPr>
          <w:trHeight w:hRule="exact" w:val="284"/>
        </w:trPr>
        <w:tc>
          <w:tcPr>
            <w:tcW w:w="413" w:type="pct"/>
            <w:vMerge w:val="restart"/>
          </w:tcPr>
          <w:p w14:paraId="3360B095" w14:textId="77777777" w:rsidR="001C6088" w:rsidRDefault="001C6088" w:rsidP="00F653E5">
            <w:pPr>
              <w:rPr>
                <w:b/>
                <w:bCs/>
                <w:sz w:val="20"/>
                <w:szCs w:val="20"/>
              </w:rPr>
            </w:pPr>
            <w:r w:rsidRPr="001D0E64">
              <w:rPr>
                <w:b/>
                <w:bCs/>
                <w:sz w:val="20"/>
                <w:szCs w:val="20"/>
              </w:rPr>
              <w:t>F2</w:t>
            </w:r>
          </w:p>
          <w:p w14:paraId="1F630445" w14:textId="77777777" w:rsidR="001C6088" w:rsidRPr="001D0E64" w:rsidRDefault="001C6088" w:rsidP="00F653E5">
            <w:pPr>
              <w:rPr>
                <w:b/>
                <w:bCs/>
                <w:sz w:val="20"/>
                <w:szCs w:val="20"/>
              </w:rPr>
            </w:pPr>
          </w:p>
        </w:tc>
        <w:tc>
          <w:tcPr>
            <w:tcW w:w="1883" w:type="pct"/>
            <w:vMerge w:val="restart"/>
          </w:tcPr>
          <w:p w14:paraId="34A79120" w14:textId="77777777" w:rsidR="001C6088" w:rsidRDefault="001C6088" w:rsidP="00F653E5">
            <w:pPr>
              <w:rPr>
                <w:sz w:val="20"/>
                <w:szCs w:val="20"/>
              </w:rPr>
            </w:pPr>
            <w:r>
              <w:rPr>
                <w:sz w:val="20"/>
                <w:szCs w:val="20"/>
              </w:rPr>
              <w:t>Lakes biome</w:t>
            </w:r>
          </w:p>
        </w:tc>
        <w:tc>
          <w:tcPr>
            <w:tcW w:w="471" w:type="pct"/>
          </w:tcPr>
          <w:p w14:paraId="1B774C19" w14:textId="77777777" w:rsidR="001C6088" w:rsidRDefault="001C6088" w:rsidP="00F653E5">
            <w:pPr>
              <w:spacing w:after="0" w:line="240" w:lineRule="auto"/>
              <w:jc w:val="right"/>
              <w:rPr>
                <w:sz w:val="20"/>
                <w:szCs w:val="20"/>
              </w:rPr>
            </w:pPr>
            <w:r>
              <w:rPr>
                <w:sz w:val="20"/>
                <w:szCs w:val="20"/>
              </w:rPr>
              <w:t>F2.1</w:t>
            </w:r>
          </w:p>
        </w:tc>
        <w:tc>
          <w:tcPr>
            <w:tcW w:w="2233" w:type="pct"/>
          </w:tcPr>
          <w:p w14:paraId="4AAF1BE5" w14:textId="77777777" w:rsidR="001C6088" w:rsidRDefault="001C6088" w:rsidP="00F653E5">
            <w:pPr>
              <w:rPr>
                <w:sz w:val="20"/>
                <w:szCs w:val="20"/>
              </w:rPr>
            </w:pPr>
            <w:r>
              <w:rPr>
                <w:sz w:val="20"/>
                <w:szCs w:val="20"/>
              </w:rPr>
              <w:t>Large permanent freshwater lake</w:t>
            </w:r>
          </w:p>
        </w:tc>
      </w:tr>
      <w:tr w:rsidR="001C6088" w14:paraId="4B783FB4" w14:textId="77777777" w:rsidTr="004A3610">
        <w:trPr>
          <w:trHeight w:hRule="exact" w:val="284"/>
        </w:trPr>
        <w:tc>
          <w:tcPr>
            <w:tcW w:w="413" w:type="pct"/>
            <w:vMerge/>
          </w:tcPr>
          <w:p w14:paraId="0BAD2EB1" w14:textId="77777777" w:rsidR="001C6088" w:rsidRDefault="001C6088" w:rsidP="00F653E5">
            <w:pPr>
              <w:rPr>
                <w:b/>
                <w:bCs/>
                <w:sz w:val="20"/>
                <w:szCs w:val="20"/>
              </w:rPr>
            </w:pPr>
          </w:p>
        </w:tc>
        <w:tc>
          <w:tcPr>
            <w:tcW w:w="1883" w:type="pct"/>
            <w:vMerge/>
          </w:tcPr>
          <w:p w14:paraId="0DE5007D" w14:textId="77777777" w:rsidR="001C6088" w:rsidRDefault="001C6088" w:rsidP="00F653E5">
            <w:pPr>
              <w:rPr>
                <w:sz w:val="20"/>
                <w:szCs w:val="20"/>
              </w:rPr>
            </w:pPr>
          </w:p>
        </w:tc>
        <w:tc>
          <w:tcPr>
            <w:tcW w:w="471" w:type="pct"/>
          </w:tcPr>
          <w:p w14:paraId="25507A21" w14:textId="77777777" w:rsidR="001C6088" w:rsidRDefault="001C6088" w:rsidP="00F653E5">
            <w:pPr>
              <w:spacing w:after="0" w:line="240" w:lineRule="auto"/>
              <w:jc w:val="right"/>
              <w:rPr>
                <w:sz w:val="20"/>
                <w:szCs w:val="20"/>
              </w:rPr>
            </w:pPr>
            <w:r>
              <w:rPr>
                <w:sz w:val="20"/>
                <w:szCs w:val="20"/>
              </w:rPr>
              <w:t>F2.2</w:t>
            </w:r>
          </w:p>
        </w:tc>
        <w:tc>
          <w:tcPr>
            <w:tcW w:w="2233" w:type="pct"/>
          </w:tcPr>
          <w:p w14:paraId="1B69F8BE" w14:textId="77777777" w:rsidR="001C6088" w:rsidRDefault="001C6088" w:rsidP="00F653E5">
            <w:pPr>
              <w:rPr>
                <w:sz w:val="20"/>
                <w:szCs w:val="20"/>
              </w:rPr>
            </w:pPr>
            <w:r>
              <w:rPr>
                <w:sz w:val="20"/>
                <w:szCs w:val="20"/>
              </w:rPr>
              <w:t>Small permanent freshwater lake</w:t>
            </w:r>
          </w:p>
        </w:tc>
      </w:tr>
      <w:tr w:rsidR="001C6088" w14:paraId="0370A57F" w14:textId="77777777" w:rsidTr="004A3610">
        <w:trPr>
          <w:trHeight w:hRule="exact" w:val="284"/>
        </w:trPr>
        <w:tc>
          <w:tcPr>
            <w:tcW w:w="413" w:type="pct"/>
            <w:vMerge/>
          </w:tcPr>
          <w:p w14:paraId="5F30BC72" w14:textId="77777777" w:rsidR="001C6088" w:rsidRDefault="001C6088" w:rsidP="00F653E5">
            <w:pPr>
              <w:rPr>
                <w:b/>
                <w:bCs/>
                <w:sz w:val="20"/>
                <w:szCs w:val="20"/>
              </w:rPr>
            </w:pPr>
          </w:p>
        </w:tc>
        <w:tc>
          <w:tcPr>
            <w:tcW w:w="1883" w:type="pct"/>
            <w:vMerge/>
          </w:tcPr>
          <w:p w14:paraId="6BBA5C5E" w14:textId="77777777" w:rsidR="001C6088" w:rsidRDefault="001C6088" w:rsidP="00F653E5">
            <w:pPr>
              <w:rPr>
                <w:sz w:val="20"/>
                <w:szCs w:val="20"/>
              </w:rPr>
            </w:pPr>
          </w:p>
        </w:tc>
        <w:tc>
          <w:tcPr>
            <w:tcW w:w="471" w:type="pct"/>
          </w:tcPr>
          <w:p w14:paraId="6776851F" w14:textId="77777777" w:rsidR="001C6088" w:rsidRDefault="001C6088" w:rsidP="00F653E5">
            <w:pPr>
              <w:spacing w:after="0" w:line="240" w:lineRule="auto"/>
              <w:jc w:val="right"/>
              <w:rPr>
                <w:sz w:val="20"/>
                <w:szCs w:val="20"/>
              </w:rPr>
            </w:pPr>
            <w:r>
              <w:rPr>
                <w:sz w:val="20"/>
                <w:szCs w:val="20"/>
              </w:rPr>
              <w:t>F2.3</w:t>
            </w:r>
          </w:p>
        </w:tc>
        <w:tc>
          <w:tcPr>
            <w:tcW w:w="2233" w:type="pct"/>
          </w:tcPr>
          <w:p w14:paraId="48DDE395" w14:textId="77777777" w:rsidR="001C6088" w:rsidRDefault="001C6088" w:rsidP="00F653E5">
            <w:pPr>
              <w:rPr>
                <w:sz w:val="20"/>
                <w:szCs w:val="20"/>
              </w:rPr>
            </w:pPr>
            <w:r>
              <w:rPr>
                <w:sz w:val="20"/>
                <w:szCs w:val="20"/>
              </w:rPr>
              <w:t>Seasonal freshwater lake</w:t>
            </w:r>
          </w:p>
        </w:tc>
      </w:tr>
      <w:tr w:rsidR="001C6088" w14:paraId="240610D4" w14:textId="77777777" w:rsidTr="004A3610">
        <w:trPr>
          <w:trHeight w:hRule="exact" w:val="284"/>
        </w:trPr>
        <w:tc>
          <w:tcPr>
            <w:tcW w:w="5000" w:type="pct"/>
            <w:gridSpan w:val="4"/>
            <w:shd w:val="clear" w:color="auto" w:fill="F2F2F2" w:themeFill="background1" w:themeFillShade="F2"/>
          </w:tcPr>
          <w:p w14:paraId="1389AEDD" w14:textId="77777777" w:rsidR="001C6088" w:rsidRPr="00852D82" w:rsidRDefault="001C6088" w:rsidP="00F653E5">
            <w:pPr>
              <w:rPr>
                <w:b/>
                <w:bCs/>
                <w:i/>
                <w:iCs/>
                <w:sz w:val="20"/>
                <w:szCs w:val="20"/>
              </w:rPr>
            </w:pPr>
            <w:r w:rsidRPr="00852D82">
              <w:rPr>
                <w:b/>
                <w:bCs/>
                <w:i/>
                <w:iCs/>
                <w:sz w:val="20"/>
                <w:szCs w:val="20"/>
              </w:rPr>
              <w:t>Realm</w:t>
            </w:r>
            <w:r>
              <w:rPr>
                <w:b/>
                <w:bCs/>
                <w:i/>
                <w:iCs/>
                <w:sz w:val="20"/>
                <w:szCs w:val="20"/>
              </w:rPr>
              <w:t xml:space="preserve">:  </w:t>
            </w:r>
            <w:r w:rsidRPr="00852D82">
              <w:rPr>
                <w:b/>
                <w:bCs/>
                <w:i/>
                <w:iCs/>
                <w:sz w:val="20"/>
                <w:szCs w:val="20"/>
              </w:rPr>
              <w:t>Terrestrial-Fresh</w:t>
            </w:r>
            <w:r>
              <w:rPr>
                <w:b/>
                <w:bCs/>
                <w:i/>
                <w:iCs/>
                <w:sz w:val="20"/>
                <w:szCs w:val="20"/>
              </w:rPr>
              <w:t>w</w:t>
            </w:r>
            <w:r w:rsidRPr="00852D82">
              <w:rPr>
                <w:b/>
                <w:bCs/>
                <w:i/>
                <w:iCs/>
                <w:sz w:val="20"/>
                <w:szCs w:val="20"/>
              </w:rPr>
              <w:t>ater</w:t>
            </w:r>
          </w:p>
        </w:tc>
      </w:tr>
      <w:tr w:rsidR="001C6088" w14:paraId="2683F837" w14:textId="77777777" w:rsidTr="004A3610">
        <w:trPr>
          <w:trHeight w:hRule="exact" w:val="284"/>
        </w:trPr>
        <w:tc>
          <w:tcPr>
            <w:tcW w:w="413" w:type="pct"/>
            <w:vMerge w:val="restart"/>
          </w:tcPr>
          <w:p w14:paraId="17C065DE" w14:textId="77777777" w:rsidR="001C6088" w:rsidRPr="001D0E64" w:rsidRDefault="001C6088" w:rsidP="00F653E5">
            <w:pPr>
              <w:rPr>
                <w:b/>
                <w:bCs/>
                <w:sz w:val="20"/>
                <w:szCs w:val="20"/>
              </w:rPr>
            </w:pPr>
            <w:r>
              <w:rPr>
                <w:b/>
                <w:bCs/>
                <w:sz w:val="20"/>
                <w:szCs w:val="20"/>
              </w:rPr>
              <w:t>TF1</w:t>
            </w:r>
          </w:p>
        </w:tc>
        <w:tc>
          <w:tcPr>
            <w:tcW w:w="1883" w:type="pct"/>
            <w:vMerge w:val="restart"/>
          </w:tcPr>
          <w:p w14:paraId="4B10A8C0" w14:textId="77777777" w:rsidR="001C6088" w:rsidRPr="001D0E64" w:rsidRDefault="001C6088" w:rsidP="00F653E5">
            <w:pPr>
              <w:rPr>
                <w:sz w:val="20"/>
                <w:szCs w:val="20"/>
              </w:rPr>
            </w:pPr>
            <w:r>
              <w:rPr>
                <w:sz w:val="20"/>
                <w:szCs w:val="20"/>
              </w:rPr>
              <w:t>Palustrine wetlands biome</w:t>
            </w:r>
          </w:p>
        </w:tc>
        <w:tc>
          <w:tcPr>
            <w:tcW w:w="471" w:type="pct"/>
          </w:tcPr>
          <w:p w14:paraId="5926A2F1" w14:textId="77777777" w:rsidR="001C6088" w:rsidRPr="001D0E64" w:rsidRDefault="001C6088" w:rsidP="00F653E5">
            <w:pPr>
              <w:jc w:val="right"/>
              <w:rPr>
                <w:sz w:val="20"/>
                <w:szCs w:val="20"/>
              </w:rPr>
            </w:pPr>
            <w:r>
              <w:rPr>
                <w:sz w:val="20"/>
                <w:szCs w:val="20"/>
              </w:rPr>
              <w:t>TF1.3</w:t>
            </w:r>
          </w:p>
        </w:tc>
        <w:tc>
          <w:tcPr>
            <w:tcW w:w="2233" w:type="pct"/>
          </w:tcPr>
          <w:p w14:paraId="3A45E58C" w14:textId="77777777" w:rsidR="001C6088" w:rsidRPr="001D0E64" w:rsidRDefault="001C6088" w:rsidP="00F653E5">
            <w:pPr>
              <w:rPr>
                <w:sz w:val="20"/>
                <w:szCs w:val="20"/>
              </w:rPr>
            </w:pPr>
            <w:r>
              <w:rPr>
                <w:sz w:val="20"/>
                <w:szCs w:val="20"/>
              </w:rPr>
              <w:t>Permanent marshes</w:t>
            </w:r>
          </w:p>
        </w:tc>
      </w:tr>
      <w:tr w:rsidR="001C6088" w14:paraId="6487A48F" w14:textId="77777777" w:rsidTr="004A3610">
        <w:trPr>
          <w:trHeight w:hRule="exact" w:val="284"/>
        </w:trPr>
        <w:tc>
          <w:tcPr>
            <w:tcW w:w="413" w:type="pct"/>
            <w:vMerge/>
          </w:tcPr>
          <w:p w14:paraId="2FD60CFB" w14:textId="77777777" w:rsidR="001C6088" w:rsidRPr="001D0E64" w:rsidRDefault="001C6088" w:rsidP="00F653E5">
            <w:pPr>
              <w:rPr>
                <w:b/>
                <w:bCs/>
                <w:sz w:val="20"/>
                <w:szCs w:val="20"/>
              </w:rPr>
            </w:pPr>
          </w:p>
        </w:tc>
        <w:tc>
          <w:tcPr>
            <w:tcW w:w="1883" w:type="pct"/>
            <w:vMerge/>
          </w:tcPr>
          <w:p w14:paraId="41BCB919" w14:textId="77777777" w:rsidR="001C6088" w:rsidRDefault="001C6088" w:rsidP="00F653E5">
            <w:pPr>
              <w:rPr>
                <w:sz w:val="20"/>
                <w:szCs w:val="20"/>
              </w:rPr>
            </w:pPr>
          </w:p>
        </w:tc>
        <w:tc>
          <w:tcPr>
            <w:tcW w:w="471" w:type="pct"/>
          </w:tcPr>
          <w:p w14:paraId="0015CB9A" w14:textId="77777777" w:rsidR="001C6088" w:rsidRPr="001D0E64" w:rsidRDefault="001C6088" w:rsidP="00F653E5">
            <w:pPr>
              <w:jc w:val="right"/>
              <w:rPr>
                <w:sz w:val="20"/>
                <w:szCs w:val="20"/>
              </w:rPr>
            </w:pPr>
            <w:r>
              <w:rPr>
                <w:sz w:val="20"/>
                <w:szCs w:val="20"/>
              </w:rPr>
              <w:t>TF1.4</w:t>
            </w:r>
          </w:p>
        </w:tc>
        <w:tc>
          <w:tcPr>
            <w:tcW w:w="2233" w:type="pct"/>
          </w:tcPr>
          <w:p w14:paraId="5F308C6A" w14:textId="77777777" w:rsidR="001C6088" w:rsidRPr="001D0E64" w:rsidRDefault="001C6088" w:rsidP="00F653E5">
            <w:pPr>
              <w:rPr>
                <w:sz w:val="20"/>
                <w:szCs w:val="20"/>
              </w:rPr>
            </w:pPr>
            <w:r>
              <w:rPr>
                <w:sz w:val="20"/>
                <w:szCs w:val="20"/>
              </w:rPr>
              <w:t>Seasonal floodplain marshes</w:t>
            </w:r>
          </w:p>
        </w:tc>
      </w:tr>
      <w:tr w:rsidR="001C6088" w14:paraId="77B92017" w14:textId="77777777" w:rsidTr="004A3610">
        <w:trPr>
          <w:trHeight w:hRule="exact" w:val="284"/>
        </w:trPr>
        <w:tc>
          <w:tcPr>
            <w:tcW w:w="413" w:type="pct"/>
            <w:vMerge/>
          </w:tcPr>
          <w:p w14:paraId="42C0F890" w14:textId="77777777" w:rsidR="001C6088" w:rsidRPr="001D0E64" w:rsidRDefault="001C6088" w:rsidP="00F653E5">
            <w:pPr>
              <w:rPr>
                <w:b/>
                <w:bCs/>
                <w:sz w:val="20"/>
                <w:szCs w:val="20"/>
              </w:rPr>
            </w:pPr>
          </w:p>
        </w:tc>
        <w:tc>
          <w:tcPr>
            <w:tcW w:w="1883" w:type="pct"/>
            <w:vMerge/>
          </w:tcPr>
          <w:p w14:paraId="000C7466" w14:textId="77777777" w:rsidR="001C6088" w:rsidRDefault="001C6088" w:rsidP="00F653E5">
            <w:pPr>
              <w:rPr>
                <w:sz w:val="20"/>
                <w:szCs w:val="20"/>
              </w:rPr>
            </w:pPr>
          </w:p>
        </w:tc>
        <w:tc>
          <w:tcPr>
            <w:tcW w:w="471" w:type="pct"/>
          </w:tcPr>
          <w:p w14:paraId="78DA167D" w14:textId="77777777" w:rsidR="001C6088" w:rsidRPr="001D0E64" w:rsidRDefault="001C6088" w:rsidP="00F653E5">
            <w:pPr>
              <w:jc w:val="right"/>
              <w:rPr>
                <w:sz w:val="20"/>
                <w:szCs w:val="20"/>
              </w:rPr>
            </w:pPr>
            <w:r>
              <w:rPr>
                <w:sz w:val="20"/>
                <w:szCs w:val="20"/>
              </w:rPr>
              <w:t>TF1.5</w:t>
            </w:r>
          </w:p>
        </w:tc>
        <w:tc>
          <w:tcPr>
            <w:tcW w:w="2233" w:type="pct"/>
          </w:tcPr>
          <w:p w14:paraId="619DA468" w14:textId="77777777" w:rsidR="001C6088" w:rsidRPr="001D0E64" w:rsidRDefault="001C6088" w:rsidP="00F653E5">
            <w:pPr>
              <w:rPr>
                <w:sz w:val="20"/>
                <w:szCs w:val="20"/>
              </w:rPr>
            </w:pPr>
            <w:r>
              <w:rPr>
                <w:sz w:val="20"/>
                <w:szCs w:val="20"/>
              </w:rPr>
              <w:t>Episodic arid floodplains</w:t>
            </w:r>
          </w:p>
        </w:tc>
      </w:tr>
      <w:tr w:rsidR="001C6088" w14:paraId="6CEAF650" w14:textId="77777777" w:rsidTr="004A3610">
        <w:trPr>
          <w:trHeight w:hRule="exact" w:val="284"/>
        </w:trPr>
        <w:tc>
          <w:tcPr>
            <w:tcW w:w="5000" w:type="pct"/>
            <w:gridSpan w:val="4"/>
            <w:shd w:val="clear" w:color="auto" w:fill="F2F2F2" w:themeFill="background1" w:themeFillShade="F2"/>
          </w:tcPr>
          <w:p w14:paraId="14110B4B" w14:textId="77777777" w:rsidR="001C6088" w:rsidRPr="00EC0C37" w:rsidRDefault="001C6088" w:rsidP="00F653E5">
            <w:pPr>
              <w:rPr>
                <w:b/>
                <w:bCs/>
                <w:i/>
                <w:iCs/>
                <w:sz w:val="20"/>
                <w:szCs w:val="20"/>
              </w:rPr>
            </w:pPr>
            <w:r w:rsidRPr="00EC0C37">
              <w:rPr>
                <w:b/>
                <w:bCs/>
                <w:i/>
                <w:iCs/>
                <w:sz w:val="20"/>
                <w:szCs w:val="20"/>
              </w:rPr>
              <w:t>Realm</w:t>
            </w:r>
            <w:r>
              <w:rPr>
                <w:b/>
                <w:bCs/>
                <w:i/>
                <w:iCs/>
                <w:sz w:val="20"/>
                <w:szCs w:val="20"/>
              </w:rPr>
              <w:t xml:space="preserve">:  </w:t>
            </w:r>
            <w:r w:rsidRPr="00EC0C37">
              <w:rPr>
                <w:b/>
                <w:bCs/>
                <w:i/>
                <w:iCs/>
                <w:sz w:val="20"/>
                <w:szCs w:val="20"/>
              </w:rPr>
              <w:t>Freshwater-Marine</w:t>
            </w:r>
          </w:p>
        </w:tc>
      </w:tr>
      <w:tr w:rsidR="001C6088" w14:paraId="0D655F73" w14:textId="77777777" w:rsidTr="004A3610">
        <w:trPr>
          <w:trHeight w:hRule="exact" w:val="284"/>
        </w:trPr>
        <w:tc>
          <w:tcPr>
            <w:tcW w:w="413" w:type="pct"/>
          </w:tcPr>
          <w:p w14:paraId="0CF85280" w14:textId="77777777" w:rsidR="001C6088" w:rsidRPr="001D0E64" w:rsidRDefault="001C6088" w:rsidP="00F653E5">
            <w:pPr>
              <w:rPr>
                <w:b/>
                <w:bCs/>
                <w:sz w:val="20"/>
                <w:szCs w:val="20"/>
              </w:rPr>
            </w:pPr>
            <w:r>
              <w:rPr>
                <w:b/>
                <w:bCs/>
                <w:sz w:val="20"/>
                <w:szCs w:val="20"/>
              </w:rPr>
              <w:t>FM1</w:t>
            </w:r>
          </w:p>
        </w:tc>
        <w:tc>
          <w:tcPr>
            <w:tcW w:w="1883" w:type="pct"/>
            <w:shd w:val="clear" w:color="auto" w:fill="auto"/>
          </w:tcPr>
          <w:p w14:paraId="2D81C0A8" w14:textId="77777777" w:rsidR="001C6088" w:rsidRPr="001D0E64" w:rsidRDefault="001C6088" w:rsidP="00F653E5">
            <w:pPr>
              <w:rPr>
                <w:sz w:val="20"/>
                <w:szCs w:val="20"/>
              </w:rPr>
            </w:pPr>
            <w:r>
              <w:rPr>
                <w:sz w:val="20"/>
                <w:szCs w:val="20"/>
              </w:rPr>
              <w:t>Semi-confined transitional waters biome</w:t>
            </w:r>
          </w:p>
        </w:tc>
        <w:tc>
          <w:tcPr>
            <w:tcW w:w="471" w:type="pct"/>
          </w:tcPr>
          <w:p w14:paraId="65C8C3CC" w14:textId="77777777" w:rsidR="001C6088" w:rsidRPr="001D0E64" w:rsidRDefault="001C6088" w:rsidP="00F653E5">
            <w:pPr>
              <w:jc w:val="right"/>
              <w:rPr>
                <w:sz w:val="20"/>
                <w:szCs w:val="20"/>
              </w:rPr>
            </w:pPr>
            <w:r>
              <w:rPr>
                <w:sz w:val="20"/>
                <w:szCs w:val="20"/>
              </w:rPr>
              <w:t>FM1.3</w:t>
            </w:r>
          </w:p>
        </w:tc>
        <w:tc>
          <w:tcPr>
            <w:tcW w:w="2233" w:type="pct"/>
          </w:tcPr>
          <w:p w14:paraId="620C4FFC" w14:textId="77777777" w:rsidR="001C6088" w:rsidRPr="001D0E64" w:rsidRDefault="001C6088" w:rsidP="00F653E5">
            <w:pPr>
              <w:rPr>
                <w:sz w:val="20"/>
                <w:szCs w:val="20"/>
              </w:rPr>
            </w:pPr>
            <w:r>
              <w:rPr>
                <w:sz w:val="20"/>
                <w:szCs w:val="20"/>
              </w:rPr>
              <w:t>Intermittently closed and open lakes and lagoons</w:t>
            </w:r>
          </w:p>
        </w:tc>
      </w:tr>
      <w:tr w:rsidR="001C6088" w14:paraId="24DFE5A1" w14:textId="77777777" w:rsidTr="004A3610">
        <w:trPr>
          <w:trHeight w:hRule="exact" w:val="284"/>
        </w:trPr>
        <w:tc>
          <w:tcPr>
            <w:tcW w:w="5000" w:type="pct"/>
            <w:gridSpan w:val="4"/>
            <w:shd w:val="clear" w:color="auto" w:fill="F2F2F2" w:themeFill="background1" w:themeFillShade="F2"/>
          </w:tcPr>
          <w:p w14:paraId="050B7DA5" w14:textId="77777777" w:rsidR="001C6088" w:rsidRPr="00EC0C37" w:rsidRDefault="001C6088" w:rsidP="00F653E5">
            <w:pPr>
              <w:rPr>
                <w:b/>
                <w:bCs/>
                <w:i/>
                <w:iCs/>
                <w:sz w:val="20"/>
                <w:szCs w:val="20"/>
              </w:rPr>
            </w:pPr>
            <w:r w:rsidRPr="00EC0C37">
              <w:rPr>
                <w:b/>
                <w:bCs/>
                <w:i/>
                <w:iCs/>
                <w:sz w:val="20"/>
                <w:szCs w:val="20"/>
              </w:rPr>
              <w:t>Realm</w:t>
            </w:r>
            <w:r>
              <w:rPr>
                <w:b/>
                <w:bCs/>
                <w:i/>
                <w:iCs/>
                <w:sz w:val="20"/>
                <w:szCs w:val="20"/>
              </w:rPr>
              <w:t xml:space="preserve">:  </w:t>
            </w:r>
            <w:r w:rsidRPr="00EC0C37">
              <w:rPr>
                <w:b/>
                <w:bCs/>
                <w:i/>
                <w:iCs/>
                <w:sz w:val="20"/>
                <w:szCs w:val="20"/>
              </w:rPr>
              <w:t>Marine-Freshwater-Terrestrial</w:t>
            </w:r>
          </w:p>
        </w:tc>
      </w:tr>
      <w:tr w:rsidR="001C6088" w14:paraId="32DD1812" w14:textId="77777777" w:rsidTr="004A3610">
        <w:trPr>
          <w:trHeight w:hRule="exact" w:val="284"/>
        </w:trPr>
        <w:tc>
          <w:tcPr>
            <w:tcW w:w="413" w:type="pct"/>
          </w:tcPr>
          <w:p w14:paraId="3C791E4A" w14:textId="77777777" w:rsidR="001C6088" w:rsidRPr="001D0E64" w:rsidRDefault="001C6088" w:rsidP="00F653E5">
            <w:pPr>
              <w:rPr>
                <w:b/>
                <w:bCs/>
                <w:sz w:val="20"/>
                <w:szCs w:val="20"/>
              </w:rPr>
            </w:pPr>
            <w:r>
              <w:rPr>
                <w:b/>
                <w:bCs/>
                <w:sz w:val="20"/>
                <w:szCs w:val="20"/>
              </w:rPr>
              <w:t>MFT1</w:t>
            </w:r>
          </w:p>
        </w:tc>
        <w:tc>
          <w:tcPr>
            <w:tcW w:w="1883" w:type="pct"/>
          </w:tcPr>
          <w:p w14:paraId="0D8BDDB2" w14:textId="77777777" w:rsidR="001C6088" w:rsidRPr="001D0E64" w:rsidRDefault="001C6088" w:rsidP="00F653E5">
            <w:pPr>
              <w:rPr>
                <w:sz w:val="20"/>
                <w:szCs w:val="20"/>
              </w:rPr>
            </w:pPr>
            <w:r>
              <w:rPr>
                <w:sz w:val="20"/>
                <w:szCs w:val="20"/>
              </w:rPr>
              <w:t>Brackish tidal biome</w:t>
            </w:r>
          </w:p>
        </w:tc>
        <w:tc>
          <w:tcPr>
            <w:tcW w:w="471" w:type="pct"/>
          </w:tcPr>
          <w:p w14:paraId="49C49CDA" w14:textId="77777777" w:rsidR="001C6088" w:rsidRPr="001D0E64" w:rsidRDefault="001C6088" w:rsidP="00F653E5">
            <w:pPr>
              <w:jc w:val="right"/>
              <w:rPr>
                <w:sz w:val="20"/>
                <w:szCs w:val="20"/>
              </w:rPr>
            </w:pPr>
            <w:r>
              <w:rPr>
                <w:sz w:val="20"/>
                <w:szCs w:val="20"/>
              </w:rPr>
              <w:t>MFT1.3</w:t>
            </w:r>
          </w:p>
        </w:tc>
        <w:tc>
          <w:tcPr>
            <w:tcW w:w="2233" w:type="pct"/>
          </w:tcPr>
          <w:p w14:paraId="16C230F6" w14:textId="77777777" w:rsidR="001C6088" w:rsidRPr="001D0E64" w:rsidRDefault="001C6088" w:rsidP="00F653E5">
            <w:pPr>
              <w:rPr>
                <w:sz w:val="20"/>
                <w:szCs w:val="20"/>
              </w:rPr>
            </w:pPr>
            <w:r>
              <w:rPr>
                <w:sz w:val="20"/>
                <w:szCs w:val="20"/>
              </w:rPr>
              <w:t>Coastal saltmarshes and reedbeds</w:t>
            </w:r>
          </w:p>
        </w:tc>
      </w:tr>
      <w:tr w:rsidR="001C6088" w14:paraId="573961F8" w14:textId="77777777" w:rsidTr="004A3610">
        <w:trPr>
          <w:trHeight w:hRule="exact" w:val="284"/>
        </w:trPr>
        <w:tc>
          <w:tcPr>
            <w:tcW w:w="413" w:type="pct"/>
          </w:tcPr>
          <w:p w14:paraId="66F1480C" w14:textId="77777777" w:rsidR="001C6088" w:rsidRPr="001D0E64" w:rsidRDefault="001C6088" w:rsidP="00F653E5">
            <w:pPr>
              <w:rPr>
                <w:b/>
                <w:bCs/>
                <w:sz w:val="20"/>
                <w:szCs w:val="20"/>
              </w:rPr>
            </w:pPr>
          </w:p>
        </w:tc>
        <w:tc>
          <w:tcPr>
            <w:tcW w:w="1883" w:type="pct"/>
          </w:tcPr>
          <w:p w14:paraId="5165E893" w14:textId="77777777" w:rsidR="001C6088" w:rsidRPr="001D0E64" w:rsidRDefault="001C6088" w:rsidP="00F653E5">
            <w:pPr>
              <w:rPr>
                <w:sz w:val="20"/>
                <w:szCs w:val="20"/>
              </w:rPr>
            </w:pPr>
          </w:p>
        </w:tc>
        <w:tc>
          <w:tcPr>
            <w:tcW w:w="471" w:type="pct"/>
          </w:tcPr>
          <w:p w14:paraId="4D981EAD" w14:textId="77777777" w:rsidR="001C6088" w:rsidRPr="001D0E64" w:rsidRDefault="001C6088" w:rsidP="00F653E5">
            <w:pPr>
              <w:jc w:val="right"/>
              <w:rPr>
                <w:sz w:val="20"/>
                <w:szCs w:val="20"/>
              </w:rPr>
            </w:pPr>
          </w:p>
        </w:tc>
        <w:tc>
          <w:tcPr>
            <w:tcW w:w="2233" w:type="pct"/>
          </w:tcPr>
          <w:p w14:paraId="5FDDB36E" w14:textId="77777777" w:rsidR="001C6088" w:rsidRPr="001D0E64" w:rsidRDefault="001C6088" w:rsidP="00F653E5">
            <w:pPr>
              <w:rPr>
                <w:sz w:val="20"/>
                <w:szCs w:val="20"/>
              </w:rPr>
            </w:pPr>
          </w:p>
        </w:tc>
      </w:tr>
    </w:tbl>
    <w:p w14:paraId="5A73F480" w14:textId="68640D42" w:rsidR="00C72A3E" w:rsidRDefault="00665C59" w:rsidP="00F944AC">
      <w:pPr>
        <w:rPr>
          <w:sz w:val="18"/>
          <w:szCs w:val="18"/>
        </w:rPr>
      </w:pPr>
      <w:r w:rsidRPr="00305608">
        <w:rPr>
          <w:sz w:val="18"/>
          <w:szCs w:val="18"/>
        </w:rPr>
        <w:t xml:space="preserve">*Note, </w:t>
      </w:r>
      <w:r w:rsidR="00B41936" w:rsidRPr="00305608">
        <w:rPr>
          <w:sz w:val="18"/>
          <w:szCs w:val="18"/>
        </w:rPr>
        <w:t>Groundwater within the RMDS EC may be saline at times</w:t>
      </w:r>
      <w:r w:rsidR="00657F81" w:rsidRPr="00305608">
        <w:rPr>
          <w:sz w:val="18"/>
          <w:szCs w:val="18"/>
        </w:rPr>
        <w:t>, and the IUCN typology only recognises subterranean freshwater</w:t>
      </w:r>
      <w:r w:rsidR="00B41936" w:rsidRPr="00305608">
        <w:rPr>
          <w:sz w:val="18"/>
          <w:szCs w:val="18"/>
        </w:rPr>
        <w:t>.</w:t>
      </w:r>
    </w:p>
    <w:p w14:paraId="2471A38C" w14:textId="77777777" w:rsidR="000F0019" w:rsidRPr="00E7592F" w:rsidRDefault="000F0019" w:rsidP="00550384">
      <w:pPr>
        <w:pStyle w:val="Heading3"/>
      </w:pPr>
      <w:bookmarkStart w:id="23" w:name="_Ref87363783"/>
      <w:bookmarkStart w:id="24" w:name="_Toc175317066"/>
      <w:bookmarkStart w:id="25" w:name="_Ref19265058"/>
      <w:r w:rsidRPr="00E7592F">
        <w:t>1.2.1</w:t>
      </w:r>
      <w:r w:rsidRPr="00E7592F">
        <w:tab/>
        <w:t>Description of the area in nature inhabited by the ecological community</w:t>
      </w:r>
      <w:bookmarkEnd w:id="23"/>
      <w:bookmarkEnd w:id="24"/>
    </w:p>
    <w:p w14:paraId="369BECFB" w14:textId="77777777" w:rsidR="000F0019" w:rsidRPr="00975BB0" w:rsidRDefault="000F0019" w:rsidP="006E2204">
      <w:pPr>
        <w:pStyle w:val="Heading4"/>
      </w:pPr>
      <w:r w:rsidRPr="00975BB0">
        <w:t>Geographic Location</w:t>
      </w:r>
    </w:p>
    <w:p w14:paraId="25851940" w14:textId="1A75453F" w:rsidR="00C22FD3" w:rsidRDefault="000F0019" w:rsidP="0066687A">
      <w:r w:rsidRPr="00DB5498">
        <w:t xml:space="preserve">The </w:t>
      </w:r>
      <w:r w:rsidRPr="00C77180">
        <w:rPr>
          <w:i/>
          <w:iCs/>
        </w:rPr>
        <w:t>River Murray—Darling to Sea</w:t>
      </w:r>
      <w:r w:rsidRPr="00DB5498">
        <w:t xml:space="preserve"> EC occurs within the Murray-Darling Basin (MDB; Murrundi</w:t>
      </w:r>
      <w:r w:rsidR="00C15712">
        <w:t>—the Ngarrind</w:t>
      </w:r>
      <w:r w:rsidR="008A6FEB">
        <w:t>j</w:t>
      </w:r>
      <w:r w:rsidR="00C15712">
        <w:t>eri name for the MDB</w:t>
      </w:r>
      <w:r w:rsidRPr="00DB5498">
        <w:t>) in southeast Australia. The MDB forms the broader ‘catchment’ for this national</w:t>
      </w:r>
      <w:r>
        <w:t xml:space="preserve">ly unique </w:t>
      </w:r>
      <w:r w:rsidRPr="00DB5498">
        <w:t xml:space="preserve">ecological </w:t>
      </w:r>
      <w:bookmarkEnd w:id="25"/>
      <w:r w:rsidR="00C22FD3" w:rsidRPr="00DB5498">
        <w:t xml:space="preserve">community. The River Murray channel, below the confluence with the Darling River, is the main artery of the ecological community—linking riverine environments along its course, </w:t>
      </w:r>
      <w:r w:rsidR="00CD16DA" w:rsidRPr="00DB5498">
        <w:t>including</w:t>
      </w:r>
      <w:r w:rsidR="00C22FD3" w:rsidRPr="00DB5498">
        <w:t xml:space="preserve"> riparian zones, floodplain woodlands, islands, streams, wetlands, lakes, and the estuaries at the river’s mouth (e.g. MDBC, 2006a). There are also groundwater connections. </w:t>
      </w:r>
    </w:p>
    <w:p w14:paraId="72826DA0" w14:textId="5EFCDBB2" w:rsidR="00C22FEB" w:rsidRDefault="0066687A" w:rsidP="0066687A">
      <w:r>
        <w:t>The length of the River Murray below its confluence with the Darling River is about 8</w:t>
      </w:r>
      <w:r w:rsidR="00261919">
        <w:t>28</w:t>
      </w:r>
      <w:r>
        <w:t xml:space="preserve"> km (Geoscience Australia, 2</w:t>
      </w:r>
      <w:r w:rsidR="00261919">
        <w:t>023</w:t>
      </w:r>
      <w:r>
        <w:t xml:space="preserve">). </w:t>
      </w:r>
      <w:r w:rsidR="00B7030D">
        <w:t>Th</w:t>
      </w:r>
      <w:r w:rsidR="00C514DB">
        <w:t>e</w:t>
      </w:r>
      <w:r w:rsidR="00B7030D">
        <w:t xml:space="preserve"> bulk of the River Murray’s linear extent </w:t>
      </w:r>
      <w:r w:rsidR="00045AD9">
        <w:t xml:space="preserve">associated with </w:t>
      </w:r>
      <w:r w:rsidR="00B7030D">
        <w:t xml:space="preserve">the </w:t>
      </w:r>
      <w:r w:rsidR="0004601A">
        <w:t xml:space="preserve">EC </w:t>
      </w:r>
      <w:r w:rsidR="00B7030D">
        <w:t>occurs within South Australia</w:t>
      </w:r>
      <w:r w:rsidR="007661C5">
        <w:t xml:space="preserve"> (approx. 655 km or 79%).</w:t>
      </w:r>
      <w:r w:rsidR="003855A2">
        <w:t xml:space="preserve"> Of this, </w:t>
      </w:r>
      <w:r w:rsidR="00DB2009">
        <w:t xml:space="preserve">11 km </w:t>
      </w:r>
      <w:r w:rsidR="008258C7">
        <w:t xml:space="preserve">are </w:t>
      </w:r>
      <w:r w:rsidR="00DB2009">
        <w:t>shared with Victoria</w:t>
      </w:r>
      <w:r w:rsidR="00C514DB">
        <w:t>,</w:t>
      </w:r>
      <w:r w:rsidR="00DB2009">
        <w:t xml:space="preserve"> where the SA/VIC border is misaligned</w:t>
      </w:r>
      <w:r w:rsidR="008837D0">
        <w:t>;</w:t>
      </w:r>
      <w:r w:rsidR="00DB2009">
        <w:t xml:space="preserve"> </w:t>
      </w:r>
      <w:r w:rsidR="008837D0">
        <w:t>a</w:t>
      </w:r>
      <w:r w:rsidR="00B21CB2">
        <w:t>long this stretch, the mid-line</w:t>
      </w:r>
      <w:r w:rsidR="00B21CB2" w:rsidRPr="0060387C">
        <w:t xml:space="preserve"> of the river forms the </w:t>
      </w:r>
      <w:r w:rsidR="00B21CB2" w:rsidRPr="002505BE">
        <w:t>border between SA and Victoria (Geoscience Australia, 20</w:t>
      </w:r>
      <w:r w:rsidR="00537353">
        <w:t>23</w:t>
      </w:r>
      <w:r w:rsidR="00B21CB2" w:rsidRPr="002505BE">
        <w:t>).</w:t>
      </w:r>
      <w:r w:rsidR="00B21CB2">
        <w:t xml:space="preserve"> </w:t>
      </w:r>
      <w:r w:rsidR="00551E42">
        <w:t>A</w:t>
      </w:r>
      <w:r w:rsidR="005F2CFA">
        <w:t>pproximately</w:t>
      </w:r>
      <w:r w:rsidR="00551E42">
        <w:t xml:space="preserve"> 174 km</w:t>
      </w:r>
      <w:r w:rsidR="00BB6E1E">
        <w:t xml:space="preserve"> </w:t>
      </w:r>
      <w:r w:rsidR="005556FC">
        <w:t xml:space="preserve">(21%) </w:t>
      </w:r>
      <w:r w:rsidR="00BB6E1E">
        <w:t>of the linear extent of the River Murray within the EC</w:t>
      </w:r>
      <w:r w:rsidR="005556FC">
        <w:t xml:space="preserve"> occurs in NSW</w:t>
      </w:r>
      <w:r w:rsidR="009655EE">
        <w:t xml:space="preserve">; </w:t>
      </w:r>
      <w:r w:rsidR="0004601A">
        <w:t>noting that</w:t>
      </w:r>
      <w:r w:rsidR="009655EE">
        <w:t xml:space="preserve">, </w:t>
      </w:r>
      <w:r w:rsidR="0004601A">
        <w:t xml:space="preserve">the </w:t>
      </w:r>
      <w:r w:rsidR="009655EE">
        <w:t>NSW border is delineated by the river’s southern bank rather than by the middle of the river</w:t>
      </w:r>
      <w:r w:rsidR="00613C43">
        <w:t xml:space="preserve"> </w:t>
      </w:r>
      <w:r w:rsidR="00613C43" w:rsidRPr="002505BE">
        <w:t>(Geoscience Australia, 20</w:t>
      </w:r>
      <w:r w:rsidR="00537353">
        <w:t>23</w:t>
      </w:r>
      <w:r w:rsidR="00613C43" w:rsidRPr="002505BE">
        <w:t>)</w:t>
      </w:r>
      <w:r w:rsidR="009655EE">
        <w:t>.</w:t>
      </w:r>
    </w:p>
    <w:p w14:paraId="55E39744" w14:textId="7C2F6FD1" w:rsidR="00C72A3E" w:rsidRDefault="00C72A3E" w:rsidP="006E2204">
      <w:pPr>
        <w:pStyle w:val="Heading4"/>
      </w:pPr>
      <w:r w:rsidRPr="004A7188">
        <w:t xml:space="preserve">Bioregionalisation and </w:t>
      </w:r>
      <w:r w:rsidR="005D4088">
        <w:t>NRM</w:t>
      </w:r>
    </w:p>
    <w:p w14:paraId="32045494" w14:textId="0DD2E732" w:rsidR="00C15712" w:rsidRPr="00C15712" w:rsidRDefault="00C15712" w:rsidP="00C15712">
      <w:pPr>
        <w:rPr>
          <w:lang w:val="en-US"/>
        </w:rPr>
      </w:pPr>
      <w:r>
        <w:t xml:space="preserve">The ecological community </w:t>
      </w:r>
      <w:r w:rsidRPr="008D7EE7">
        <w:t xml:space="preserve">spans </w:t>
      </w:r>
      <w:r>
        <w:t>six</w:t>
      </w:r>
      <w:r w:rsidRPr="008D7EE7">
        <w:t xml:space="preserve"> </w:t>
      </w:r>
      <w:r>
        <w:t>Interim Biogeographic Regionalisation of Australia (</w:t>
      </w:r>
      <w:r w:rsidRPr="008D7EE7">
        <w:t>IBRA</w:t>
      </w:r>
      <w:r>
        <w:t xml:space="preserve">) </w:t>
      </w:r>
      <w:r w:rsidRPr="00582C9F">
        <w:t>Version 7</w:t>
      </w:r>
      <w:r>
        <w:t xml:space="preserve"> </w:t>
      </w:r>
      <w:r w:rsidRPr="008D7EE7">
        <w:t xml:space="preserve">bioregions and </w:t>
      </w:r>
      <w:r>
        <w:t>11 IBRA subregions (</w:t>
      </w:r>
      <w:r w:rsidRPr="00E9629E">
        <w:rPr>
          <w:u w:val="single"/>
        </w:rPr>
        <w:t>Appendix A</w:t>
      </w:r>
      <w:r>
        <w:rPr>
          <w:u w:val="single"/>
        </w:rPr>
        <w:t>, Table A1</w:t>
      </w:r>
      <w:r w:rsidRPr="009876CA">
        <w:t>)</w:t>
      </w:r>
      <w:r>
        <w:t xml:space="preserve">.  It occurs mainly within the bioregions of the Murray Darling Depression and Riverina, and within smaller areas of the Kanmantoo, Naracoorte Coastal Plain, Darling Riverine Plains and Flinders Lofty Block. </w:t>
      </w:r>
      <w:r w:rsidRPr="003F4551">
        <w:t>It also</w:t>
      </w:r>
      <w:r>
        <w:t xml:space="preserve"> </w:t>
      </w:r>
      <w:r w:rsidRPr="003F4551">
        <w:t>occurs within</w:t>
      </w:r>
      <w:r w:rsidRPr="007A4362">
        <w:t xml:space="preserve"> the Natural Resource Management</w:t>
      </w:r>
      <w:r>
        <w:t xml:space="preserve"> (NRM)</w:t>
      </w:r>
      <w:r w:rsidRPr="007A4362">
        <w:t xml:space="preserve"> regions</w:t>
      </w:r>
      <w:r>
        <w:t xml:space="preserve"> of</w:t>
      </w:r>
      <w:r w:rsidRPr="007A4362">
        <w:t xml:space="preserve"> </w:t>
      </w:r>
      <w:r>
        <w:t xml:space="preserve">South Australian </w:t>
      </w:r>
      <w:r w:rsidRPr="007A4362">
        <w:t>Murray</w:t>
      </w:r>
    </w:p>
    <w:p w14:paraId="172F00E5" w14:textId="05B4814E" w:rsidR="00C72A3E" w:rsidRPr="004F387F" w:rsidRDefault="005900DC" w:rsidP="004D4A26">
      <w:pPr>
        <w:keepLines/>
      </w:pPr>
      <w:r w:rsidRPr="007A4362">
        <w:lastRenderedPageBreak/>
        <w:t>Darling Basin (SA)</w:t>
      </w:r>
      <w:r>
        <w:t>, Adelaide and Mount Lofty Ranges (SA), Northern and Yorke (SA),</w:t>
      </w:r>
      <w:r w:rsidRPr="007A4362">
        <w:t xml:space="preserve"> South East (SA)</w:t>
      </w:r>
      <w:r>
        <w:t xml:space="preserve">, </w:t>
      </w:r>
      <w:r w:rsidRPr="007A4362">
        <w:t>Western (NSW)</w:t>
      </w:r>
      <w:r>
        <w:t xml:space="preserve"> and</w:t>
      </w:r>
      <w:r w:rsidRPr="007A4362">
        <w:t xml:space="preserve"> Mallee (VIC).</w:t>
      </w:r>
      <w:r>
        <w:t xml:space="preserve"> </w:t>
      </w:r>
      <w:r w:rsidR="00C72A3E">
        <w:t xml:space="preserve"> </w:t>
      </w:r>
    </w:p>
    <w:p w14:paraId="0D6A5D90" w14:textId="6D8C2356" w:rsidR="00212AAC" w:rsidRPr="00A374D9" w:rsidRDefault="00212AAC" w:rsidP="006E2204">
      <w:pPr>
        <w:pStyle w:val="Heading4"/>
      </w:pPr>
      <w:r w:rsidRPr="00A374D9">
        <w:t xml:space="preserve">Boundaries </w:t>
      </w:r>
    </w:p>
    <w:p w14:paraId="4494076C" w14:textId="135A3773" w:rsidR="00212AAC" w:rsidRPr="00A374D9" w:rsidRDefault="00CF40DB" w:rsidP="00212AAC">
      <w:r>
        <w:t xml:space="preserve">Boundaries and buffer zones for the </w:t>
      </w:r>
      <w:r w:rsidR="00B27BAD">
        <w:t>RMDS</w:t>
      </w:r>
      <w:r>
        <w:t xml:space="preserve"> are outlined in </w:t>
      </w:r>
      <w:r w:rsidRPr="00CF40DB">
        <w:rPr>
          <w:u w:val="single"/>
        </w:rPr>
        <w:t>Table 2.</w:t>
      </w:r>
      <w:r>
        <w:t xml:space="preserve"> </w:t>
      </w:r>
      <w:r w:rsidR="00212AAC" w:rsidRPr="00A374D9">
        <w:t xml:space="preserve">Boundaries for the RMDS EC </w:t>
      </w:r>
      <w:r w:rsidR="006C445E">
        <w:t xml:space="preserve">are </w:t>
      </w:r>
      <w:r w:rsidR="001F2428">
        <w:t xml:space="preserve">typically </w:t>
      </w:r>
      <w:r w:rsidR="006C445E">
        <w:t>map</w:t>
      </w:r>
      <w:r w:rsidR="00E60562">
        <w:t>p</w:t>
      </w:r>
      <w:r w:rsidR="006C445E">
        <w:t>able</w:t>
      </w:r>
      <w:r w:rsidR="00E60562">
        <w:t xml:space="preserve"> and indicate where the EC </w:t>
      </w:r>
      <w:r w:rsidR="001F2428">
        <w:t>‘</w:t>
      </w:r>
      <w:r w:rsidR="00E60562">
        <w:t>definitely</w:t>
      </w:r>
      <w:r w:rsidR="001F2428">
        <w:t>’</w:t>
      </w:r>
      <w:r w:rsidR="00E60562">
        <w:t xml:space="preserve"> </w:t>
      </w:r>
      <w:r w:rsidR="00B61732">
        <w:t xml:space="preserve">occurs </w:t>
      </w:r>
      <w:r w:rsidR="001F2428">
        <w:t xml:space="preserve">or ‘is ‘likely to’ </w:t>
      </w:r>
      <w:r w:rsidR="00E60562">
        <w:t xml:space="preserve">occur. </w:t>
      </w:r>
      <w:r w:rsidR="000C7D0B">
        <w:t>I</w:t>
      </w:r>
      <w:r w:rsidR="00212AAC" w:rsidRPr="00A374D9">
        <w:t xml:space="preserve">n brief, the </w:t>
      </w:r>
      <w:r w:rsidR="00B27BAD">
        <w:t>RMDS</w:t>
      </w:r>
      <w:r w:rsidR="00212AAC" w:rsidRPr="00A374D9">
        <w:t>:</w:t>
      </w:r>
    </w:p>
    <w:p w14:paraId="7DED9738" w14:textId="77777777" w:rsidR="00212AAC" w:rsidRPr="00A374D9" w:rsidRDefault="00212AAC" w:rsidP="004162AC">
      <w:pPr>
        <w:pStyle w:val="ListParagraph"/>
        <w:numPr>
          <w:ilvl w:val="0"/>
          <w:numId w:val="75"/>
        </w:numPr>
        <w:ind w:left="357" w:hanging="357"/>
        <w:contextualSpacing w:val="0"/>
      </w:pPr>
      <w:r w:rsidRPr="00A374D9">
        <w:t>incorporates and is bounded downstream by the terminus of the MDB system—the Coorong, Lower Lakes and Murray Mouth (CLLMM), and includes several coastal lakes which may serve as refugia for the ecological community (e.g. McNeil et al. 2013)</w:t>
      </w:r>
    </w:p>
    <w:p w14:paraId="1ECF2925" w14:textId="4540C78F" w:rsidR="00212AAC" w:rsidRPr="00A374D9" w:rsidRDefault="00212AAC" w:rsidP="004162AC">
      <w:pPr>
        <w:pStyle w:val="ListParagraph"/>
        <w:numPr>
          <w:ilvl w:val="0"/>
          <w:numId w:val="75"/>
        </w:numPr>
        <w:ind w:left="357" w:hanging="357"/>
        <w:contextualSpacing w:val="0"/>
      </w:pPr>
      <w:r w:rsidRPr="00A374D9">
        <w:t>any associated tributaries, including streams of the Eastern Mount Lofty Ranges, Lake Victoria, and a section of the Darling Anabranch</w:t>
      </w:r>
      <w:r w:rsidR="00225EBF">
        <w:t>, with lateral boundaries 100 m from the edge or the 1956 flood</w:t>
      </w:r>
      <w:r w:rsidR="00576316">
        <w:t xml:space="preserve"> l</w:t>
      </w:r>
      <w:r w:rsidR="00225EBF">
        <w:t>ine, whichever is greater</w:t>
      </w:r>
    </w:p>
    <w:p w14:paraId="0C6A3634" w14:textId="40FDDF4F" w:rsidR="00212AAC" w:rsidRPr="00A374D9" w:rsidRDefault="00212AAC" w:rsidP="004162AC">
      <w:pPr>
        <w:pStyle w:val="ListParagraph"/>
        <w:numPr>
          <w:ilvl w:val="0"/>
          <w:numId w:val="75"/>
        </w:numPr>
        <w:ind w:left="357" w:hanging="357"/>
        <w:contextualSpacing w:val="0"/>
      </w:pPr>
      <w:r w:rsidRPr="00A374D9">
        <w:t xml:space="preserve">has a broad floodplain </w:t>
      </w:r>
      <w:r w:rsidR="00576316">
        <w:t xml:space="preserve">(i.e. lateral) </w:t>
      </w:r>
      <w:r w:rsidRPr="00A374D9">
        <w:t>boundary which is formed by the 1956 flood line (TSSC 200</w:t>
      </w:r>
      <w:r w:rsidR="00663DE3">
        <w:t>10</w:t>
      </w:r>
      <w:r w:rsidRPr="00A374D9">
        <w:t>), and</w:t>
      </w:r>
    </w:p>
    <w:p w14:paraId="61AE207C" w14:textId="774B2BFB" w:rsidR="00212AAC" w:rsidRDefault="00212AAC" w:rsidP="004162AC">
      <w:pPr>
        <w:pStyle w:val="ListParagraph"/>
        <w:numPr>
          <w:ilvl w:val="0"/>
          <w:numId w:val="75"/>
        </w:numPr>
        <w:ind w:left="357" w:hanging="357"/>
        <w:contextualSpacing w:val="0"/>
      </w:pPr>
      <w:r w:rsidRPr="00A374D9">
        <w:t>has an upstream boundary at the confluence between the Murray and Darling rivers, which is near Lock 10 (TSSC 20</w:t>
      </w:r>
      <w:r w:rsidR="00663DE3">
        <w:t>10</w:t>
      </w:r>
      <w:r w:rsidRPr="00A374D9">
        <w:t xml:space="preserve">). </w:t>
      </w:r>
    </w:p>
    <w:p w14:paraId="5FCB47F5" w14:textId="4124124B" w:rsidR="00D20A13" w:rsidRPr="00433443" w:rsidRDefault="00433443" w:rsidP="006E2204">
      <w:pPr>
        <w:pStyle w:val="Heading4"/>
      </w:pPr>
      <w:r w:rsidRPr="00433443">
        <w:t>Buffer zones</w:t>
      </w:r>
    </w:p>
    <w:p w14:paraId="1FEEC0AE" w14:textId="56767987" w:rsidR="00433443" w:rsidRDefault="008E2AAA" w:rsidP="00433443">
      <w:r>
        <w:t xml:space="preserve">Buffer zones are widely used as an approach to protect and manage sensitive ecological areas (Boyd 2001). </w:t>
      </w:r>
      <w:r w:rsidR="006927F8">
        <w:t xml:space="preserve">In the context of </w:t>
      </w:r>
      <w:r w:rsidR="009533A1">
        <w:t>the RMDS EC, a</w:t>
      </w:r>
      <w:r w:rsidR="00B039C2" w:rsidRPr="00B039C2">
        <w:t xml:space="preserve"> buffer zone is a contiguous area </w:t>
      </w:r>
      <w:r w:rsidR="002079C6">
        <w:t xml:space="preserve">directly </w:t>
      </w:r>
      <w:r w:rsidR="00B039C2" w:rsidRPr="00B039C2">
        <w:t xml:space="preserve">adjacent to </w:t>
      </w:r>
      <w:r w:rsidR="002079C6">
        <w:t xml:space="preserve">an </w:t>
      </w:r>
      <w:r w:rsidR="00B039C2" w:rsidRPr="00B039C2">
        <w:t>area of the ecological community</w:t>
      </w:r>
      <w:r w:rsidR="001E4B13">
        <w:t xml:space="preserve"> </w:t>
      </w:r>
      <w:r w:rsidR="00842862">
        <w:t xml:space="preserve">but is not part of the </w:t>
      </w:r>
      <w:r w:rsidR="00606E31">
        <w:t>ecological community itself</w:t>
      </w:r>
      <w:r w:rsidR="002079C6">
        <w:t xml:space="preserve">. </w:t>
      </w:r>
      <w:r w:rsidR="00C957B1">
        <w:t>These zones</w:t>
      </w:r>
      <w:r w:rsidR="002079C6">
        <w:t xml:space="preserve"> </w:t>
      </w:r>
      <w:r w:rsidR="00196455">
        <w:t xml:space="preserve">serve an important role in protecting </w:t>
      </w:r>
      <w:r w:rsidR="00B039C2" w:rsidRPr="00B039C2">
        <w:t>the integrity of th</w:t>
      </w:r>
      <w:r w:rsidR="001E4B13">
        <w:t>e RMDS</w:t>
      </w:r>
      <w:r w:rsidR="00196455">
        <w:t xml:space="preserve">, however </w:t>
      </w:r>
      <w:r w:rsidR="00C957B1">
        <w:t xml:space="preserve">they are </w:t>
      </w:r>
      <w:r w:rsidR="00B039C2" w:rsidRPr="00B039C2">
        <w:t xml:space="preserve">not </w:t>
      </w:r>
      <w:r w:rsidR="00196455">
        <w:t>considered to be a</w:t>
      </w:r>
      <w:r w:rsidR="00B039C2" w:rsidRPr="00B039C2">
        <w:t xml:space="preserve"> part of the ecological community</w:t>
      </w:r>
      <w:r w:rsidR="00E6334F">
        <w:t>,</w:t>
      </w:r>
      <w:r w:rsidR="00B039C2" w:rsidRPr="00B039C2">
        <w:t xml:space="preserve"> itself.</w:t>
      </w:r>
      <w:r w:rsidR="007A55B8">
        <w:t xml:space="preserve"> </w:t>
      </w:r>
      <w:r w:rsidR="00E6334F">
        <w:t xml:space="preserve">Buffer zones </w:t>
      </w:r>
      <w:r w:rsidR="00B12EF0">
        <w:t>often overlap with an ecotone—an area of transition between two different habitats or ecosystems (</w:t>
      </w:r>
      <w:r w:rsidR="005C124E">
        <w:t xml:space="preserve">Winning 1997). </w:t>
      </w:r>
      <w:r w:rsidR="007A55B8">
        <w:t>As</w:t>
      </w:r>
      <w:r w:rsidR="005C124E">
        <w:t xml:space="preserve"> such</w:t>
      </w:r>
      <w:r w:rsidR="007A55B8">
        <w:t xml:space="preserve">, </w:t>
      </w:r>
      <w:r w:rsidR="005C124E">
        <w:t>the</w:t>
      </w:r>
      <w:r w:rsidR="007B2B55">
        <w:t>ir recognition by land managers</w:t>
      </w:r>
      <w:r w:rsidR="00BF1919">
        <w:t>,</w:t>
      </w:r>
      <w:r w:rsidR="005C124E">
        <w:t xml:space="preserve"> </w:t>
      </w:r>
      <w:r w:rsidR="006266BD">
        <w:t>and i</w:t>
      </w:r>
      <w:r w:rsidR="00BF1919">
        <w:t>ncorporation</w:t>
      </w:r>
      <w:r w:rsidR="006266BD">
        <w:t xml:space="preserve"> in</w:t>
      </w:r>
      <w:r w:rsidR="00BF1919">
        <w:t>to</w:t>
      </w:r>
      <w:r w:rsidR="006266BD">
        <w:t xml:space="preserve"> conservation actions, </w:t>
      </w:r>
      <w:r w:rsidR="007A55B8">
        <w:t>he</w:t>
      </w:r>
      <w:r w:rsidR="007B2B55">
        <w:t>lps</w:t>
      </w:r>
      <w:r w:rsidR="007A55B8">
        <w:t xml:space="preserve"> to minimise</w:t>
      </w:r>
      <w:r w:rsidR="00CC48C9">
        <w:t xml:space="preserve"> external threats </w:t>
      </w:r>
      <w:r w:rsidR="006266BD">
        <w:t xml:space="preserve">and support recovery </w:t>
      </w:r>
      <w:r w:rsidR="00BF1919">
        <w:t xml:space="preserve">of </w:t>
      </w:r>
      <w:r w:rsidR="005C124E">
        <w:t>these vulnerable areas</w:t>
      </w:r>
      <w:r w:rsidR="006266BD">
        <w:t>. The benefits of buffer zones to aquatic ecosystems are many and wide</w:t>
      </w:r>
      <w:r w:rsidR="005F55B2">
        <w:t>-ranging (Newton 2012</w:t>
      </w:r>
      <w:r w:rsidR="00492704">
        <w:t>).</w:t>
      </w:r>
    </w:p>
    <w:p w14:paraId="70212CB4" w14:textId="3DECD492" w:rsidR="00212AAC" w:rsidRDefault="00212AAC" w:rsidP="00433443">
      <w:r w:rsidRPr="00A374D9">
        <w:t xml:space="preserve">Groundwater forms part of the </w:t>
      </w:r>
      <w:r w:rsidR="00492704">
        <w:t>ecological community’</w:t>
      </w:r>
      <w:r w:rsidRPr="00A374D9">
        <w:t xml:space="preserve">s habitat and an integral component of the hydrological processes supporting it; any </w:t>
      </w:r>
      <w:r w:rsidR="001E4B13">
        <w:t xml:space="preserve">groundwater </w:t>
      </w:r>
      <w:r w:rsidRPr="00A374D9">
        <w:t xml:space="preserve">connections with the </w:t>
      </w:r>
      <w:r w:rsidR="00433443">
        <w:t>RMDS</w:t>
      </w:r>
      <w:r w:rsidR="001E4B13">
        <w:t xml:space="preserve"> </w:t>
      </w:r>
      <w:r w:rsidRPr="00A374D9">
        <w:t>have a buffer zone of at least 5000 metres</w:t>
      </w:r>
      <w:r w:rsidR="00900330">
        <w:t xml:space="preserve"> (e.g. DEW 2020a).</w:t>
      </w:r>
    </w:p>
    <w:p w14:paraId="3D863DE0" w14:textId="23C1A067" w:rsidR="00492704" w:rsidRDefault="00492704" w:rsidP="00212AAC">
      <w:pPr>
        <w:rPr>
          <w:color w:val="FF0000"/>
        </w:rPr>
      </w:pPr>
      <w:r>
        <w:t xml:space="preserve">See </w:t>
      </w:r>
      <w:r w:rsidRPr="00611C93">
        <w:rPr>
          <w:u w:val="single"/>
        </w:rPr>
        <w:t>Section 2.4</w:t>
      </w:r>
      <w:r>
        <w:t xml:space="preserve"> for how </w:t>
      </w:r>
      <w:r w:rsidR="004A53D7">
        <w:t xml:space="preserve">buffer zones are important to the survival of the ecological community and </w:t>
      </w:r>
      <w:r w:rsidR="004A53D7" w:rsidRPr="00611C93">
        <w:rPr>
          <w:u w:val="single"/>
        </w:rPr>
        <w:t>Section 5.4</w:t>
      </w:r>
      <w:r w:rsidR="004A53D7">
        <w:t xml:space="preserve"> for specific buffer requirements to avoid impacts and manage threats.</w:t>
      </w:r>
    </w:p>
    <w:p w14:paraId="0F6BCD7B" w14:textId="77777777" w:rsidR="00212AAC" w:rsidRPr="004A7188" w:rsidRDefault="00212AAC" w:rsidP="006E2204">
      <w:pPr>
        <w:pStyle w:val="Heading4"/>
      </w:pPr>
      <w:r w:rsidRPr="004A7188">
        <w:t>Physical environment</w:t>
      </w:r>
    </w:p>
    <w:p w14:paraId="3230CCD5" w14:textId="4A363CB1" w:rsidR="00F651F4" w:rsidRDefault="00212AAC" w:rsidP="005900DC">
      <w:pPr>
        <w:keepLines/>
      </w:pPr>
      <w:r w:rsidRPr="000D6801">
        <w:t>Due to the complexity of th</w:t>
      </w:r>
      <w:r w:rsidR="00986F77">
        <w:t>is large, landscape-scale</w:t>
      </w:r>
      <w:r>
        <w:t xml:space="preserve"> ecological community, the environment in which it occurs</w:t>
      </w:r>
      <w:r w:rsidRPr="000D6801">
        <w:t xml:space="preserve"> </w:t>
      </w:r>
      <w:r>
        <w:t xml:space="preserve">can be </w:t>
      </w:r>
      <w:r w:rsidRPr="000D6801">
        <w:t xml:space="preserve">divided </w:t>
      </w:r>
      <w:r>
        <w:t xml:space="preserve">longitudinally </w:t>
      </w:r>
      <w:r w:rsidRPr="000D6801">
        <w:t>into six bio-geograph</w:t>
      </w:r>
      <w:r>
        <w:t xml:space="preserve">ical sections, or sub-units, along the </w:t>
      </w:r>
      <w:r w:rsidR="00D32C37">
        <w:t xml:space="preserve">River Murray </w:t>
      </w:r>
      <w:r>
        <w:t xml:space="preserve">channel—summary at </w:t>
      </w:r>
      <w:r w:rsidRPr="00D4723F">
        <w:rPr>
          <w:u w:val="single"/>
        </w:rPr>
        <w:t>Table 3</w:t>
      </w:r>
      <w:r>
        <w:t xml:space="preserve"> (adapted from TSSC 20</w:t>
      </w:r>
      <w:r w:rsidR="00D32C37">
        <w:t>10</w:t>
      </w:r>
      <w:r>
        <w:t xml:space="preserve">, 2013). </w:t>
      </w:r>
      <w:r w:rsidRPr="000D6801">
        <w:t>The divisions are based on the internal physiograph</w:t>
      </w:r>
      <w:r>
        <w:t>y (i.e. features related to geomorphology</w:t>
      </w:r>
      <w:r w:rsidRPr="000D6801">
        <w:t xml:space="preserve">, </w:t>
      </w:r>
      <w:r>
        <w:t>hydrology, biodiversity</w:t>
      </w:r>
      <w:r w:rsidRPr="000D6801">
        <w:t>) of each</w:t>
      </w:r>
      <w:r>
        <w:t xml:space="preserve"> </w:t>
      </w:r>
      <w:r w:rsidRPr="000D6801">
        <w:t>sect</w:t>
      </w:r>
      <w:r>
        <w:t>ion.</w:t>
      </w:r>
    </w:p>
    <w:p w14:paraId="6BB22A9B" w14:textId="77777777" w:rsidR="00C15712" w:rsidRDefault="00C15712" w:rsidP="004A3610">
      <w:pPr>
        <w:pStyle w:val="Caption"/>
      </w:pPr>
    </w:p>
    <w:p w14:paraId="5A64BFEB" w14:textId="77777777" w:rsidR="00C15712" w:rsidRDefault="00C15712" w:rsidP="004A3610">
      <w:pPr>
        <w:pStyle w:val="Caption"/>
      </w:pPr>
    </w:p>
    <w:p w14:paraId="7C97E5F8" w14:textId="77777777" w:rsidR="00C15712" w:rsidRDefault="00C15712" w:rsidP="004A3610">
      <w:pPr>
        <w:pStyle w:val="Caption"/>
      </w:pPr>
    </w:p>
    <w:p w14:paraId="20DC557B" w14:textId="697877ED" w:rsidR="00BB0AA1" w:rsidRPr="00103AA1" w:rsidRDefault="004A3610" w:rsidP="00C15712">
      <w:pPr>
        <w:pStyle w:val="Caption"/>
        <w:ind w:right="-286"/>
        <w:rPr>
          <w:sz w:val="20"/>
          <w:szCs w:val="20"/>
        </w:rPr>
      </w:pPr>
      <w:r>
        <w:lastRenderedPageBreak/>
        <w:t xml:space="preserve">Table </w:t>
      </w:r>
      <w:r>
        <w:fldChar w:fldCharType="begin"/>
      </w:r>
      <w:r>
        <w:instrText xml:space="preserve"> SEQ Table \* ARABIC </w:instrText>
      </w:r>
      <w:r>
        <w:fldChar w:fldCharType="separate"/>
      </w:r>
      <w:r w:rsidR="006D35C5">
        <w:rPr>
          <w:noProof/>
        </w:rPr>
        <w:t>2</w:t>
      </w:r>
      <w:r>
        <w:fldChar w:fldCharType="end"/>
      </w:r>
      <w:r w:rsidR="00BB0AA1" w:rsidRPr="00103AA1">
        <w:rPr>
          <w:bCs/>
          <w:szCs w:val="22"/>
        </w:rPr>
        <w:t>:</w:t>
      </w:r>
      <w:r w:rsidR="00BB0AA1" w:rsidRPr="00103AA1">
        <w:rPr>
          <w:szCs w:val="22"/>
        </w:rPr>
        <w:t xml:space="preserve"> </w:t>
      </w:r>
      <w:r w:rsidR="00BB0AA1" w:rsidRPr="00103AA1">
        <w:rPr>
          <w:bCs/>
          <w:szCs w:val="22"/>
        </w:rPr>
        <w:t xml:space="preserve">Boundaries of the </w:t>
      </w:r>
      <w:r w:rsidR="00BB0AA1" w:rsidRPr="00103AA1">
        <w:rPr>
          <w:bCs/>
          <w:i/>
          <w:szCs w:val="22"/>
        </w:rPr>
        <w:t>River Murray—Darling to Sea</w:t>
      </w:r>
      <w:r w:rsidR="00BB0AA1" w:rsidRPr="00103AA1">
        <w:rPr>
          <w:bCs/>
          <w:szCs w:val="22"/>
        </w:rPr>
        <w:t xml:space="preserve"> E</w:t>
      </w:r>
      <w:r w:rsidR="007F4A95" w:rsidRPr="00103AA1">
        <w:rPr>
          <w:bCs/>
          <w:szCs w:val="22"/>
        </w:rPr>
        <w:t xml:space="preserve">cological </w:t>
      </w:r>
      <w:r w:rsidR="00BB0AA1" w:rsidRPr="00103AA1">
        <w:rPr>
          <w:bCs/>
          <w:szCs w:val="22"/>
        </w:rPr>
        <w:t>C</w:t>
      </w:r>
      <w:r w:rsidR="007F4A95" w:rsidRPr="00103AA1">
        <w:rPr>
          <w:bCs/>
          <w:szCs w:val="22"/>
        </w:rPr>
        <w:t>ommunity</w:t>
      </w:r>
      <w:r w:rsidR="00376455" w:rsidRPr="00103AA1">
        <w:rPr>
          <w:bCs/>
          <w:szCs w:val="22"/>
        </w:rPr>
        <w:t xml:space="preserve"> </w:t>
      </w:r>
      <w:r w:rsidR="00485C09" w:rsidRPr="00103AA1">
        <w:rPr>
          <w:bCs/>
          <w:szCs w:val="22"/>
        </w:rPr>
        <w:t>(TSSC 2010)</w:t>
      </w:r>
      <w:r w:rsidR="001D0087" w:rsidRPr="00103AA1">
        <w:rPr>
          <w:bCs/>
          <w:szCs w:val="22"/>
        </w:rPr>
        <w:t>.</w:t>
      </w:r>
    </w:p>
    <w:tbl>
      <w:tblPr>
        <w:tblStyle w:val="TableGrid"/>
        <w:tblW w:w="5317" w:type="pct"/>
        <w:tblLook w:val="04A0" w:firstRow="1" w:lastRow="0" w:firstColumn="1" w:lastColumn="0" w:noHBand="0" w:noVBand="1"/>
      </w:tblPr>
      <w:tblGrid>
        <w:gridCol w:w="1659"/>
        <w:gridCol w:w="6274"/>
        <w:gridCol w:w="1701"/>
      </w:tblGrid>
      <w:tr w:rsidR="007F4A95" w:rsidRPr="002C6378" w14:paraId="61B3F75A" w14:textId="77777777" w:rsidTr="00C15712">
        <w:trPr>
          <w:cantSplit/>
          <w:trHeight w:val="284"/>
        </w:trPr>
        <w:tc>
          <w:tcPr>
            <w:tcW w:w="861" w:type="pct"/>
            <w:shd w:val="clear" w:color="auto" w:fill="FFF2CC" w:themeFill="accent4" w:themeFillTint="33"/>
          </w:tcPr>
          <w:p w14:paraId="3F4CAEE1" w14:textId="75F50284" w:rsidR="007F4A95" w:rsidRPr="00E648F8" w:rsidRDefault="007F4A95" w:rsidP="00E139AD">
            <w:pPr>
              <w:contextualSpacing/>
              <w:rPr>
                <w:rFonts w:cstheme="minorHAnsi"/>
                <w:b/>
                <w:bCs/>
                <w:sz w:val="24"/>
                <w:szCs w:val="24"/>
              </w:rPr>
            </w:pPr>
            <w:r w:rsidRPr="00E648F8">
              <w:rPr>
                <w:rFonts w:cstheme="minorHAnsi"/>
                <w:b/>
                <w:bCs/>
                <w:sz w:val="24"/>
                <w:szCs w:val="24"/>
              </w:rPr>
              <w:t xml:space="preserve">Boundary </w:t>
            </w:r>
          </w:p>
        </w:tc>
        <w:tc>
          <w:tcPr>
            <w:tcW w:w="4139" w:type="pct"/>
            <w:gridSpan w:val="2"/>
            <w:shd w:val="clear" w:color="auto" w:fill="FFF2CC" w:themeFill="accent4" w:themeFillTint="33"/>
          </w:tcPr>
          <w:p w14:paraId="061EABDD" w14:textId="2EB06E63" w:rsidR="007F4A95" w:rsidRPr="00E648F8" w:rsidRDefault="007F4A95" w:rsidP="00E139AD">
            <w:pPr>
              <w:contextualSpacing/>
              <w:rPr>
                <w:rFonts w:cstheme="minorHAnsi"/>
                <w:b/>
                <w:bCs/>
                <w:sz w:val="24"/>
                <w:szCs w:val="24"/>
              </w:rPr>
            </w:pPr>
            <w:r w:rsidRPr="00E648F8">
              <w:rPr>
                <w:rFonts w:cstheme="minorHAnsi"/>
                <w:b/>
                <w:bCs/>
                <w:sz w:val="24"/>
                <w:szCs w:val="24"/>
              </w:rPr>
              <w:t>Description</w:t>
            </w:r>
          </w:p>
        </w:tc>
      </w:tr>
      <w:tr w:rsidR="007F4A95" w:rsidRPr="002C6378" w14:paraId="327508E2" w14:textId="77777777" w:rsidTr="00C15712">
        <w:trPr>
          <w:cantSplit/>
          <w:trHeight w:val="284"/>
        </w:trPr>
        <w:tc>
          <w:tcPr>
            <w:tcW w:w="861" w:type="pct"/>
          </w:tcPr>
          <w:p w14:paraId="50252F21" w14:textId="77777777" w:rsidR="007F4A95" w:rsidRPr="007B03F9" w:rsidRDefault="007F4A95" w:rsidP="00E139AD">
            <w:pPr>
              <w:contextualSpacing/>
              <w:rPr>
                <w:rFonts w:cs="Calibri"/>
                <w:b/>
                <w:bCs/>
              </w:rPr>
            </w:pPr>
            <w:r w:rsidRPr="007B03F9">
              <w:rPr>
                <w:rFonts w:cs="Calibri"/>
                <w:b/>
                <w:bCs/>
              </w:rPr>
              <w:t>Upstream Limit</w:t>
            </w:r>
          </w:p>
        </w:tc>
        <w:tc>
          <w:tcPr>
            <w:tcW w:w="4139" w:type="pct"/>
            <w:gridSpan w:val="2"/>
          </w:tcPr>
          <w:p w14:paraId="3816B4FF" w14:textId="77777777" w:rsidR="007F4A95" w:rsidRPr="007B03F9" w:rsidRDefault="007F4A95" w:rsidP="00E139AD">
            <w:pPr>
              <w:contextualSpacing/>
              <w:rPr>
                <w:rFonts w:cs="Calibri"/>
              </w:rPr>
            </w:pPr>
            <w:r w:rsidRPr="007B03F9">
              <w:rPr>
                <w:rFonts w:cs="Calibri"/>
              </w:rPr>
              <w:t>Confluence with Darling River/near Lock 10</w:t>
            </w:r>
          </w:p>
          <w:p w14:paraId="5A2A700E" w14:textId="77777777" w:rsidR="007F4A95" w:rsidRPr="008B28E7" w:rsidRDefault="007F4A95" w:rsidP="00E139AD">
            <w:pPr>
              <w:contextualSpacing/>
              <w:rPr>
                <w:rFonts w:cs="Calibri"/>
                <w:sz w:val="12"/>
                <w:szCs w:val="12"/>
              </w:rPr>
            </w:pPr>
          </w:p>
          <w:p w14:paraId="00720D4E" w14:textId="39F85605" w:rsidR="007F4A95" w:rsidRPr="00B468A8" w:rsidRDefault="007F4A95" w:rsidP="00E139AD">
            <w:pPr>
              <w:contextualSpacing/>
              <w:rPr>
                <w:rFonts w:cs="Calibri"/>
              </w:rPr>
            </w:pPr>
            <w:r w:rsidRPr="00B468A8">
              <w:rPr>
                <w:rFonts w:cs="Calibri"/>
                <w:sz w:val="20"/>
                <w:szCs w:val="20"/>
              </w:rPr>
              <w:t>[</w:t>
            </w:r>
            <w:r>
              <w:rPr>
                <w:rFonts w:cs="Calibri"/>
                <w:sz w:val="20"/>
                <w:szCs w:val="20"/>
              </w:rPr>
              <w:t>A</w:t>
            </w:r>
            <w:r w:rsidRPr="00B468A8">
              <w:rPr>
                <w:rFonts w:cs="Calibri"/>
                <w:sz w:val="20"/>
                <w:szCs w:val="20"/>
              </w:rPr>
              <w:t xml:space="preserve"> practical upper boundary</w:t>
            </w:r>
            <w:r>
              <w:rPr>
                <w:rFonts w:cs="Calibri"/>
                <w:sz w:val="20"/>
                <w:szCs w:val="20"/>
              </w:rPr>
              <w:t xml:space="preserve">, </w:t>
            </w:r>
            <w:r w:rsidRPr="00B468A8">
              <w:rPr>
                <w:rFonts w:cs="Calibri"/>
                <w:sz w:val="20"/>
                <w:szCs w:val="20"/>
              </w:rPr>
              <w:t>given differences in biodiversity, habitats, and water chemistry</w:t>
            </w:r>
            <w:r>
              <w:rPr>
                <w:rFonts w:cs="Calibri"/>
                <w:sz w:val="20"/>
                <w:szCs w:val="20"/>
              </w:rPr>
              <w:t>/</w:t>
            </w:r>
            <w:r w:rsidRPr="00B468A8">
              <w:rPr>
                <w:rFonts w:cs="Calibri"/>
                <w:sz w:val="20"/>
                <w:szCs w:val="20"/>
              </w:rPr>
              <w:t>quality in this region of the Murray (e.g. Walker 2006)].</w:t>
            </w:r>
          </w:p>
        </w:tc>
      </w:tr>
      <w:tr w:rsidR="007F4A95" w:rsidRPr="002C6378" w14:paraId="50437AB7" w14:textId="77777777" w:rsidTr="00C15712">
        <w:trPr>
          <w:cantSplit/>
          <w:trHeight w:val="284"/>
        </w:trPr>
        <w:tc>
          <w:tcPr>
            <w:tcW w:w="861" w:type="pct"/>
          </w:tcPr>
          <w:p w14:paraId="4EE28BA3" w14:textId="77777777" w:rsidR="007F4A95" w:rsidRPr="007B03F9" w:rsidRDefault="007F4A95" w:rsidP="00E139AD">
            <w:pPr>
              <w:contextualSpacing/>
              <w:rPr>
                <w:rFonts w:cs="Calibri"/>
                <w:b/>
                <w:bCs/>
              </w:rPr>
            </w:pPr>
            <w:r w:rsidRPr="007B03F9">
              <w:rPr>
                <w:rFonts w:cs="Calibri"/>
                <w:b/>
                <w:bCs/>
              </w:rPr>
              <w:t>Downstream Limit</w:t>
            </w:r>
          </w:p>
        </w:tc>
        <w:tc>
          <w:tcPr>
            <w:tcW w:w="4139" w:type="pct"/>
            <w:gridSpan w:val="2"/>
          </w:tcPr>
          <w:p w14:paraId="46004801" w14:textId="77777777" w:rsidR="007F4A95" w:rsidRDefault="007F4A95" w:rsidP="00E139AD">
            <w:pPr>
              <w:contextualSpacing/>
              <w:rPr>
                <w:rFonts w:cs="Calibri"/>
              </w:rPr>
            </w:pPr>
            <w:r w:rsidRPr="007B03F9">
              <w:rPr>
                <w:rFonts w:cs="Calibri"/>
              </w:rPr>
              <w:t xml:space="preserve">Mouth of the River Murray - </w:t>
            </w:r>
            <w:r w:rsidRPr="00B468A8">
              <w:rPr>
                <w:rFonts w:cs="Calibri"/>
              </w:rPr>
              <w:t>including the Coorong Lagoons and associated sand dune systems, peninsulas, and islands</w:t>
            </w:r>
          </w:p>
          <w:p w14:paraId="13D71BD8" w14:textId="77777777" w:rsidR="007F4A95" w:rsidRPr="008B28E7" w:rsidRDefault="007F4A95" w:rsidP="00E139AD">
            <w:pPr>
              <w:contextualSpacing/>
              <w:rPr>
                <w:rFonts w:cs="Calibri"/>
                <w:sz w:val="12"/>
                <w:szCs w:val="12"/>
              </w:rPr>
            </w:pPr>
          </w:p>
          <w:p w14:paraId="31742886" w14:textId="2B8B3C6F" w:rsidR="007F4A95" w:rsidRPr="00B468A8" w:rsidRDefault="007F4A95" w:rsidP="00E139AD">
            <w:pPr>
              <w:contextualSpacing/>
              <w:rPr>
                <w:rFonts w:cs="Calibri"/>
              </w:rPr>
            </w:pPr>
            <w:r w:rsidRPr="00B468A8">
              <w:rPr>
                <w:rFonts w:cs="Calibri"/>
                <w:sz w:val="20"/>
                <w:szCs w:val="20"/>
              </w:rPr>
              <w:t>[</w:t>
            </w:r>
            <w:r>
              <w:rPr>
                <w:rFonts w:cs="Calibri"/>
                <w:sz w:val="20"/>
                <w:szCs w:val="20"/>
              </w:rPr>
              <w:t>T</w:t>
            </w:r>
            <w:r w:rsidRPr="00B468A8">
              <w:rPr>
                <w:rFonts w:cs="Calibri"/>
                <w:sz w:val="20"/>
                <w:szCs w:val="20"/>
              </w:rPr>
              <w:t>he position of the Murray Mouth may change – naturally or from dredging].</w:t>
            </w:r>
          </w:p>
        </w:tc>
      </w:tr>
      <w:tr w:rsidR="007F4A95" w:rsidRPr="002C6378" w14:paraId="4E58B3E2" w14:textId="77777777" w:rsidTr="00C15712">
        <w:trPr>
          <w:cantSplit/>
          <w:trHeight w:val="284"/>
        </w:trPr>
        <w:tc>
          <w:tcPr>
            <w:tcW w:w="861" w:type="pct"/>
          </w:tcPr>
          <w:p w14:paraId="47C796BF" w14:textId="77777777" w:rsidR="007F4A95" w:rsidRPr="007B03F9" w:rsidRDefault="007F4A95" w:rsidP="00E139AD">
            <w:pPr>
              <w:contextualSpacing/>
              <w:rPr>
                <w:rFonts w:cs="Calibri"/>
                <w:b/>
                <w:bCs/>
              </w:rPr>
            </w:pPr>
            <w:r w:rsidRPr="007B03F9">
              <w:rPr>
                <w:rFonts w:cs="Calibri"/>
                <w:b/>
                <w:bCs/>
              </w:rPr>
              <w:t>General Lateral Boundary</w:t>
            </w:r>
          </w:p>
        </w:tc>
        <w:tc>
          <w:tcPr>
            <w:tcW w:w="4139" w:type="pct"/>
            <w:gridSpan w:val="2"/>
          </w:tcPr>
          <w:p w14:paraId="105C315A" w14:textId="77777777" w:rsidR="007F4A95" w:rsidRPr="007B03F9" w:rsidRDefault="007F4A95" w:rsidP="00E139AD">
            <w:pPr>
              <w:contextualSpacing/>
              <w:rPr>
                <w:rFonts w:cs="Calibri"/>
              </w:rPr>
            </w:pPr>
            <w:bookmarkStart w:id="26" w:name="_Hlk158639615"/>
            <w:r w:rsidRPr="007B03F9">
              <w:rPr>
                <w:rFonts w:cs="Calibri"/>
              </w:rPr>
              <w:t>1956 Flood line</w:t>
            </w:r>
          </w:p>
          <w:bookmarkEnd w:id="26"/>
          <w:p w14:paraId="3BDDFA53" w14:textId="77777777" w:rsidR="007F4A95" w:rsidRPr="008B28E7" w:rsidRDefault="007F4A95" w:rsidP="00E139AD">
            <w:pPr>
              <w:contextualSpacing/>
              <w:rPr>
                <w:rFonts w:cs="Calibri"/>
                <w:sz w:val="12"/>
                <w:szCs w:val="12"/>
              </w:rPr>
            </w:pPr>
          </w:p>
          <w:p w14:paraId="609EFCE4" w14:textId="2D3DA5C2" w:rsidR="007F4A95" w:rsidRPr="00B468A8" w:rsidRDefault="007F4A95" w:rsidP="00E139AD">
            <w:pPr>
              <w:contextualSpacing/>
              <w:rPr>
                <w:rFonts w:cs="Calibri"/>
              </w:rPr>
            </w:pPr>
            <w:r w:rsidRPr="00B468A8">
              <w:rPr>
                <w:rFonts w:cs="Calibri"/>
                <w:sz w:val="20"/>
                <w:szCs w:val="20"/>
              </w:rPr>
              <w:t>[</w:t>
            </w:r>
            <w:r>
              <w:rPr>
                <w:rFonts w:cs="Calibri"/>
                <w:sz w:val="20"/>
                <w:szCs w:val="20"/>
              </w:rPr>
              <w:t>A</w:t>
            </w:r>
            <w:r w:rsidRPr="00B468A8">
              <w:rPr>
                <w:rFonts w:cs="Calibri"/>
                <w:sz w:val="20"/>
                <w:szCs w:val="20"/>
              </w:rPr>
              <w:t xml:space="preserve"> practical</w:t>
            </w:r>
            <w:r>
              <w:rPr>
                <w:rFonts w:cs="Calibri"/>
                <w:sz w:val="20"/>
                <w:szCs w:val="20"/>
              </w:rPr>
              <w:t xml:space="preserve"> </w:t>
            </w:r>
            <w:r w:rsidRPr="00B468A8">
              <w:rPr>
                <w:rFonts w:cs="Calibri"/>
                <w:sz w:val="20"/>
                <w:szCs w:val="20"/>
              </w:rPr>
              <w:t xml:space="preserve">lateral boundary (unless otherwise specified) – from </w:t>
            </w:r>
            <w:r>
              <w:rPr>
                <w:rFonts w:cs="Calibri"/>
                <w:sz w:val="20"/>
                <w:szCs w:val="20"/>
              </w:rPr>
              <w:t>ecological</w:t>
            </w:r>
            <w:r w:rsidRPr="00B468A8">
              <w:rPr>
                <w:rFonts w:cs="Calibri"/>
                <w:sz w:val="20"/>
                <w:szCs w:val="20"/>
              </w:rPr>
              <w:t xml:space="preserve">, hydrological, </w:t>
            </w:r>
            <w:r>
              <w:rPr>
                <w:rFonts w:cs="Calibri"/>
                <w:sz w:val="20"/>
                <w:szCs w:val="20"/>
              </w:rPr>
              <w:t>and</w:t>
            </w:r>
            <w:r w:rsidRPr="00B468A8">
              <w:rPr>
                <w:rFonts w:cs="Calibri"/>
                <w:sz w:val="20"/>
                <w:szCs w:val="20"/>
              </w:rPr>
              <w:t xml:space="preserve"> geomorphic perspectives</w:t>
            </w:r>
            <w:r>
              <w:rPr>
                <w:rFonts w:cs="Calibri"/>
                <w:sz w:val="20"/>
                <w:szCs w:val="20"/>
              </w:rPr>
              <w:t xml:space="preserve"> (TSSC 2009)</w:t>
            </w:r>
            <w:r w:rsidRPr="00B468A8">
              <w:rPr>
                <w:rFonts w:cs="Calibri"/>
                <w:sz w:val="20"/>
                <w:szCs w:val="20"/>
              </w:rPr>
              <w:t xml:space="preserve">. The line </w:t>
            </w:r>
            <w:r>
              <w:rPr>
                <w:rFonts w:cs="Calibri"/>
                <w:sz w:val="20"/>
                <w:szCs w:val="20"/>
              </w:rPr>
              <w:t xml:space="preserve">is </w:t>
            </w:r>
            <w:r w:rsidRPr="00B468A8">
              <w:rPr>
                <w:rFonts w:cs="Calibri"/>
                <w:sz w:val="20"/>
                <w:szCs w:val="20"/>
              </w:rPr>
              <w:t>well mapped and used at State level (e.g. defines a practical management unit and planning boundary</w:t>
            </w:r>
            <w:r>
              <w:rPr>
                <w:rFonts w:cs="Calibri"/>
                <w:sz w:val="20"/>
                <w:szCs w:val="20"/>
              </w:rPr>
              <w:t xml:space="preserve"> in SA (e.g. DEWNR 2012)</w:t>
            </w:r>
            <w:r w:rsidRPr="00B468A8">
              <w:rPr>
                <w:rFonts w:cs="Calibri"/>
                <w:sz w:val="20"/>
                <w:szCs w:val="20"/>
              </w:rPr>
              <w:t>, and a limit for horticultur</w:t>
            </w:r>
            <w:r>
              <w:rPr>
                <w:rFonts w:cs="Calibri"/>
                <w:sz w:val="20"/>
                <w:szCs w:val="20"/>
              </w:rPr>
              <w:t>e</w:t>
            </w:r>
            <w:r w:rsidRPr="00B468A8">
              <w:rPr>
                <w:rFonts w:cs="Calibri"/>
                <w:sz w:val="20"/>
                <w:szCs w:val="20"/>
              </w:rPr>
              <w:t>].</w:t>
            </w:r>
          </w:p>
        </w:tc>
      </w:tr>
      <w:tr w:rsidR="007F4A95" w:rsidRPr="002C6378" w14:paraId="5C2BDC31" w14:textId="77777777" w:rsidTr="00C15712">
        <w:trPr>
          <w:cantSplit/>
          <w:trHeight w:val="284"/>
        </w:trPr>
        <w:tc>
          <w:tcPr>
            <w:tcW w:w="861" w:type="pct"/>
          </w:tcPr>
          <w:p w14:paraId="7689C4EB" w14:textId="3D836873" w:rsidR="007F4A95" w:rsidRPr="007B03F9" w:rsidRDefault="007F4A95" w:rsidP="00E139AD">
            <w:pPr>
              <w:contextualSpacing/>
              <w:rPr>
                <w:rFonts w:cs="Calibri"/>
                <w:b/>
                <w:bCs/>
              </w:rPr>
            </w:pPr>
            <w:r w:rsidRPr="007B03F9">
              <w:rPr>
                <w:rFonts w:cs="Calibri"/>
                <w:b/>
                <w:bCs/>
              </w:rPr>
              <w:t>Groundwater</w:t>
            </w:r>
          </w:p>
        </w:tc>
        <w:tc>
          <w:tcPr>
            <w:tcW w:w="4139" w:type="pct"/>
            <w:gridSpan w:val="2"/>
          </w:tcPr>
          <w:p w14:paraId="27E375D3" w14:textId="32F2792F" w:rsidR="007F4A95" w:rsidRPr="00B468A8" w:rsidRDefault="007F4A95" w:rsidP="00E139AD">
            <w:pPr>
              <w:contextualSpacing/>
              <w:rPr>
                <w:rFonts w:cs="Calibri"/>
              </w:rPr>
            </w:pPr>
            <w:r w:rsidRPr="007B03F9">
              <w:rPr>
                <w:rFonts w:cs="Calibri"/>
              </w:rPr>
              <w:t>Groundwater feeding directly into the EC</w:t>
            </w:r>
            <w:r>
              <w:rPr>
                <w:rFonts w:cs="Calibri"/>
                <w:sz w:val="24"/>
                <w:szCs w:val="24"/>
              </w:rPr>
              <w:t xml:space="preserve"> </w:t>
            </w:r>
            <w:r w:rsidRPr="00D20A13">
              <w:rPr>
                <w:rFonts w:cs="Calibri"/>
                <w:sz w:val="20"/>
                <w:szCs w:val="20"/>
              </w:rPr>
              <w:t>(+ lateral buffer of ≥5,000 m)</w:t>
            </w:r>
          </w:p>
        </w:tc>
      </w:tr>
      <w:tr w:rsidR="00540A26" w:rsidRPr="002C6378" w14:paraId="5DF9E63D" w14:textId="77777777" w:rsidTr="00C15712">
        <w:trPr>
          <w:cantSplit/>
          <w:trHeight w:val="284"/>
        </w:trPr>
        <w:tc>
          <w:tcPr>
            <w:tcW w:w="4117" w:type="pct"/>
            <w:gridSpan w:val="2"/>
            <w:shd w:val="clear" w:color="auto" w:fill="D9E2F3" w:themeFill="accent5" w:themeFillTint="33"/>
          </w:tcPr>
          <w:p w14:paraId="661B5615" w14:textId="3422F56D" w:rsidR="00540A26" w:rsidRPr="00E648F8" w:rsidRDefault="00540A26" w:rsidP="00E139AD">
            <w:pPr>
              <w:contextualSpacing/>
              <w:rPr>
                <w:rFonts w:cstheme="minorHAnsi"/>
                <w:b/>
                <w:bCs/>
                <w:sz w:val="24"/>
                <w:szCs w:val="24"/>
              </w:rPr>
            </w:pPr>
            <w:r w:rsidRPr="00E648F8">
              <w:rPr>
                <w:rFonts w:cstheme="minorHAnsi"/>
                <w:b/>
                <w:bCs/>
                <w:sz w:val="24"/>
                <w:szCs w:val="24"/>
              </w:rPr>
              <w:t xml:space="preserve">Other Boundaries (i.e. </w:t>
            </w:r>
            <w:r w:rsidR="0022297A" w:rsidRPr="00E648F8">
              <w:rPr>
                <w:rFonts w:cstheme="minorHAnsi"/>
                <w:b/>
                <w:bCs/>
                <w:sz w:val="24"/>
                <w:szCs w:val="24"/>
              </w:rPr>
              <w:t xml:space="preserve">for </w:t>
            </w:r>
            <w:r w:rsidRPr="00E648F8">
              <w:rPr>
                <w:rFonts w:cstheme="minorHAnsi"/>
                <w:b/>
                <w:bCs/>
                <w:sz w:val="24"/>
                <w:szCs w:val="24"/>
              </w:rPr>
              <w:t>water bodies that flow into, adjoin, or otherwise influence the RMDS EC)</w:t>
            </w:r>
          </w:p>
        </w:tc>
        <w:tc>
          <w:tcPr>
            <w:tcW w:w="883" w:type="pct"/>
            <w:shd w:val="clear" w:color="auto" w:fill="D9E2F3" w:themeFill="accent5" w:themeFillTint="33"/>
          </w:tcPr>
          <w:p w14:paraId="7807CABE" w14:textId="0FC2D754" w:rsidR="00540A26" w:rsidRPr="00E648F8" w:rsidRDefault="00540A26" w:rsidP="00E139AD">
            <w:pPr>
              <w:contextualSpacing/>
              <w:rPr>
                <w:rFonts w:cstheme="minorHAnsi"/>
                <w:b/>
                <w:bCs/>
                <w:sz w:val="24"/>
                <w:szCs w:val="24"/>
              </w:rPr>
            </w:pPr>
            <w:r w:rsidRPr="00E648F8">
              <w:rPr>
                <w:rFonts w:cstheme="minorHAnsi"/>
                <w:b/>
                <w:bCs/>
                <w:sz w:val="24"/>
                <w:szCs w:val="24"/>
              </w:rPr>
              <w:t>Lateral Boundary</w:t>
            </w:r>
          </w:p>
        </w:tc>
      </w:tr>
      <w:tr w:rsidR="006E402E" w:rsidRPr="002C6378" w14:paraId="36316D6E" w14:textId="77777777" w:rsidTr="00C15712">
        <w:trPr>
          <w:cantSplit/>
          <w:trHeight w:val="284"/>
        </w:trPr>
        <w:tc>
          <w:tcPr>
            <w:tcW w:w="861" w:type="pct"/>
          </w:tcPr>
          <w:p w14:paraId="57029EE1" w14:textId="77777777" w:rsidR="006E402E" w:rsidRPr="007B03F9" w:rsidRDefault="006E402E" w:rsidP="00E139AD">
            <w:pPr>
              <w:contextualSpacing/>
              <w:rPr>
                <w:b/>
                <w:bCs/>
              </w:rPr>
            </w:pPr>
            <w:r w:rsidRPr="007B03F9">
              <w:rPr>
                <w:b/>
                <w:bCs/>
              </w:rPr>
              <w:t>Lower Darling Anabranch</w:t>
            </w:r>
          </w:p>
        </w:tc>
        <w:tc>
          <w:tcPr>
            <w:tcW w:w="3256" w:type="pct"/>
          </w:tcPr>
          <w:p w14:paraId="1A960D16" w14:textId="77777777" w:rsidR="006E402E" w:rsidRPr="007B03F9" w:rsidRDefault="006E402E" w:rsidP="00E139AD">
            <w:pPr>
              <w:contextualSpacing/>
            </w:pPr>
            <w:r w:rsidRPr="007B03F9">
              <w:t xml:space="preserve">Lower Darling Anabranch from the junction with the River Murray to Glen Esk </w:t>
            </w:r>
          </w:p>
          <w:p w14:paraId="0980B553" w14:textId="77777777" w:rsidR="006E402E" w:rsidRPr="004C1BF1" w:rsidRDefault="006E402E" w:rsidP="00E139AD">
            <w:pPr>
              <w:contextualSpacing/>
              <w:rPr>
                <w:sz w:val="12"/>
                <w:szCs w:val="12"/>
              </w:rPr>
            </w:pPr>
          </w:p>
          <w:p w14:paraId="29B8EAB3" w14:textId="5B506472" w:rsidR="006E402E" w:rsidRDefault="006E402E" w:rsidP="00E139AD">
            <w:pPr>
              <w:contextualSpacing/>
              <w:rPr>
                <w:sz w:val="24"/>
                <w:szCs w:val="24"/>
              </w:rPr>
            </w:pPr>
            <w:r w:rsidRPr="00840D1D">
              <w:rPr>
                <w:sz w:val="20"/>
                <w:szCs w:val="20"/>
              </w:rPr>
              <w:t>[Glen Esk is considered to be the upstream influence of Lock 9. This constitutes approximate</w:t>
            </w:r>
            <w:r>
              <w:rPr>
                <w:sz w:val="20"/>
                <w:szCs w:val="20"/>
              </w:rPr>
              <w:t>ly</w:t>
            </w:r>
            <w:r w:rsidRPr="00840D1D">
              <w:rPr>
                <w:sz w:val="20"/>
                <w:szCs w:val="20"/>
              </w:rPr>
              <w:t xml:space="preserve"> 25 km of the Anabranch.</w:t>
            </w:r>
            <w:r>
              <w:rPr>
                <w:sz w:val="20"/>
                <w:szCs w:val="20"/>
              </w:rPr>
              <w:t xml:space="preserve"> This stretch is also considered an important geo-chemical influence on water quality and a potential refuge habitat (Nias 2002; TSSC 2010) to the EC.</w:t>
            </w:r>
            <w:r w:rsidRPr="00840D1D">
              <w:rPr>
                <w:sz w:val="20"/>
                <w:szCs w:val="20"/>
              </w:rPr>
              <w:t>]</w:t>
            </w:r>
          </w:p>
        </w:tc>
        <w:tc>
          <w:tcPr>
            <w:tcW w:w="883" w:type="pct"/>
          </w:tcPr>
          <w:p w14:paraId="0B5830D6" w14:textId="40CB6DE8" w:rsidR="006E402E" w:rsidRDefault="006E402E" w:rsidP="00E139AD">
            <w:pPr>
              <w:contextualSpacing/>
            </w:pPr>
            <w:r w:rsidRPr="00840D1D">
              <w:t xml:space="preserve">100 m </w:t>
            </w:r>
          </w:p>
          <w:p w14:paraId="2499FA73" w14:textId="18C5392D" w:rsidR="009847B0" w:rsidRDefault="005778D0" w:rsidP="00E139AD">
            <w:pPr>
              <w:contextualSpacing/>
            </w:pPr>
            <w:r>
              <w:t>or</w:t>
            </w:r>
          </w:p>
          <w:p w14:paraId="46A00152" w14:textId="77777777" w:rsidR="005778D0" w:rsidRDefault="005778D0" w:rsidP="00E139AD">
            <w:pPr>
              <w:contextualSpacing/>
            </w:pPr>
            <w:r>
              <w:t xml:space="preserve">1956 </w:t>
            </w:r>
            <w:r w:rsidRPr="00D408DB">
              <w:t>Flood</w:t>
            </w:r>
            <w:r w:rsidR="00177B35">
              <w:t xml:space="preserve"> </w:t>
            </w:r>
            <w:r w:rsidR="00C666D7" w:rsidRPr="00D408DB">
              <w:t>l</w:t>
            </w:r>
            <w:r w:rsidRPr="00D408DB">
              <w:t>ine</w:t>
            </w:r>
          </w:p>
          <w:p w14:paraId="36109BB0" w14:textId="60570718" w:rsidR="00540A26" w:rsidRPr="00540A26" w:rsidRDefault="00540A26" w:rsidP="00E139AD">
            <w:pPr>
              <w:contextualSpacing/>
              <w:rPr>
                <w:sz w:val="20"/>
                <w:szCs w:val="20"/>
              </w:rPr>
            </w:pPr>
            <w:r w:rsidRPr="00540A26">
              <w:rPr>
                <w:sz w:val="20"/>
                <w:szCs w:val="20"/>
              </w:rPr>
              <w:t>(whichever greater)</w:t>
            </w:r>
          </w:p>
        </w:tc>
      </w:tr>
      <w:tr w:rsidR="006E402E" w:rsidRPr="002C6378" w14:paraId="5C9DDB1E" w14:textId="77777777" w:rsidTr="00C15712">
        <w:trPr>
          <w:cantSplit/>
          <w:trHeight w:val="284"/>
        </w:trPr>
        <w:tc>
          <w:tcPr>
            <w:tcW w:w="861" w:type="pct"/>
          </w:tcPr>
          <w:p w14:paraId="213FDB2C" w14:textId="77777777" w:rsidR="006E402E" w:rsidRPr="007B03F9" w:rsidRDefault="006E402E" w:rsidP="00E139AD">
            <w:pPr>
              <w:contextualSpacing/>
              <w:rPr>
                <w:b/>
                <w:bCs/>
              </w:rPr>
            </w:pPr>
            <w:r w:rsidRPr="007B03F9">
              <w:rPr>
                <w:b/>
                <w:bCs/>
              </w:rPr>
              <w:t>Lake Victoria</w:t>
            </w:r>
          </w:p>
        </w:tc>
        <w:tc>
          <w:tcPr>
            <w:tcW w:w="3256" w:type="pct"/>
          </w:tcPr>
          <w:p w14:paraId="29C7E208" w14:textId="77777777" w:rsidR="006E402E" w:rsidRPr="007B03F9" w:rsidRDefault="006E402E" w:rsidP="00E139AD">
            <w:pPr>
              <w:contextualSpacing/>
            </w:pPr>
            <w:bookmarkStart w:id="27" w:name="_Hlk158639677"/>
            <w:r w:rsidRPr="007B03F9">
              <w:t>Lake Victoria and its input/output streams, Frenchman’s Creek and Rufus River.</w:t>
            </w:r>
          </w:p>
          <w:bookmarkEnd w:id="27"/>
          <w:p w14:paraId="74370579" w14:textId="77777777" w:rsidR="006E402E" w:rsidRPr="00F533C3" w:rsidRDefault="006E402E" w:rsidP="00E139AD">
            <w:pPr>
              <w:contextualSpacing/>
              <w:rPr>
                <w:sz w:val="12"/>
                <w:szCs w:val="12"/>
              </w:rPr>
            </w:pPr>
          </w:p>
          <w:p w14:paraId="7DD9F87A" w14:textId="79D300FB" w:rsidR="006E402E" w:rsidRDefault="006E402E" w:rsidP="00E139AD">
            <w:pPr>
              <w:contextualSpacing/>
              <w:rPr>
                <w:sz w:val="24"/>
                <w:szCs w:val="24"/>
              </w:rPr>
            </w:pPr>
            <w:r w:rsidRPr="004C1BF1">
              <w:rPr>
                <w:sz w:val="20"/>
                <w:szCs w:val="20"/>
              </w:rPr>
              <w:t>[This natural lake was annexed in the late 1920s to provide a reliable water supply for the development of the Lower Murray region in SA, and to mitigate and augment flood peaks].</w:t>
            </w:r>
          </w:p>
        </w:tc>
        <w:tc>
          <w:tcPr>
            <w:tcW w:w="883" w:type="pct"/>
          </w:tcPr>
          <w:p w14:paraId="09E55C96" w14:textId="0B7947F6" w:rsidR="000B6294" w:rsidRDefault="000B6294" w:rsidP="000B6294">
            <w:pPr>
              <w:contextualSpacing/>
            </w:pPr>
            <w:r w:rsidRPr="00840D1D">
              <w:t xml:space="preserve">100 m </w:t>
            </w:r>
          </w:p>
          <w:p w14:paraId="3F1D8E34" w14:textId="77777777" w:rsidR="000B6294" w:rsidRDefault="000B6294" w:rsidP="000B6294">
            <w:pPr>
              <w:contextualSpacing/>
            </w:pPr>
            <w:r>
              <w:t>or</w:t>
            </w:r>
          </w:p>
          <w:p w14:paraId="2E1E5489" w14:textId="5C019F1C" w:rsidR="006E402E" w:rsidRPr="00840D1D" w:rsidRDefault="000B6294" w:rsidP="000B6294">
            <w:pPr>
              <w:contextualSpacing/>
            </w:pPr>
            <w:r>
              <w:t xml:space="preserve">1956 </w:t>
            </w:r>
            <w:r w:rsidRPr="00D408DB">
              <w:t>Flood</w:t>
            </w:r>
            <w:r w:rsidR="00177B35">
              <w:t xml:space="preserve"> </w:t>
            </w:r>
            <w:r w:rsidRPr="00D408DB">
              <w:t>line</w:t>
            </w:r>
            <w:r w:rsidR="00540A26">
              <w:t xml:space="preserve"> </w:t>
            </w:r>
            <w:r w:rsidR="00540A26" w:rsidRPr="00540A26">
              <w:rPr>
                <w:sz w:val="20"/>
                <w:szCs w:val="20"/>
              </w:rPr>
              <w:t>(whichever greater)</w:t>
            </w:r>
          </w:p>
        </w:tc>
      </w:tr>
      <w:tr w:rsidR="006E402E" w:rsidRPr="002C6378" w14:paraId="24437F87" w14:textId="77777777" w:rsidTr="00C15712">
        <w:trPr>
          <w:cantSplit/>
          <w:trHeight w:val="284"/>
        </w:trPr>
        <w:tc>
          <w:tcPr>
            <w:tcW w:w="861" w:type="pct"/>
          </w:tcPr>
          <w:p w14:paraId="2D3417AB" w14:textId="101464E2" w:rsidR="006E402E" w:rsidRPr="007B03F9" w:rsidRDefault="006E402E" w:rsidP="00E139AD">
            <w:pPr>
              <w:contextualSpacing/>
              <w:rPr>
                <w:b/>
                <w:bCs/>
              </w:rPr>
            </w:pPr>
            <w:r w:rsidRPr="007B03F9">
              <w:rPr>
                <w:b/>
                <w:bCs/>
              </w:rPr>
              <w:t>Wetland</w:t>
            </w:r>
            <w:r w:rsidR="00825F6D" w:rsidRPr="007B03F9">
              <w:rPr>
                <w:b/>
                <w:bCs/>
              </w:rPr>
              <w:t>s</w:t>
            </w:r>
            <w:r w:rsidRPr="007B03F9">
              <w:rPr>
                <w:b/>
                <w:bCs/>
              </w:rPr>
              <w:t xml:space="preserve"> Streams</w:t>
            </w:r>
          </w:p>
        </w:tc>
        <w:tc>
          <w:tcPr>
            <w:tcW w:w="3256" w:type="pct"/>
          </w:tcPr>
          <w:p w14:paraId="427CBB43" w14:textId="77777777" w:rsidR="006E402E" w:rsidRDefault="006E402E" w:rsidP="00E139AD">
            <w:pPr>
              <w:contextualSpacing/>
              <w:rPr>
                <w:sz w:val="24"/>
                <w:szCs w:val="24"/>
              </w:rPr>
            </w:pPr>
            <w:r w:rsidRPr="007B03F9">
              <w:t>Any stream or tributary upstream of Mannum, between Lock 1 and Lock 10, that connects the River Murray with wetlands.</w:t>
            </w:r>
          </w:p>
        </w:tc>
        <w:tc>
          <w:tcPr>
            <w:tcW w:w="883" w:type="pct"/>
          </w:tcPr>
          <w:p w14:paraId="4628BF66" w14:textId="7153974A" w:rsidR="006E402E" w:rsidRPr="00840D1D" w:rsidRDefault="006E402E" w:rsidP="00E139AD">
            <w:pPr>
              <w:contextualSpacing/>
            </w:pPr>
            <w:r>
              <w:t xml:space="preserve">1956 </w:t>
            </w:r>
            <w:r w:rsidRPr="00D408DB">
              <w:t>Flood</w:t>
            </w:r>
            <w:r w:rsidR="00177B35">
              <w:t xml:space="preserve"> </w:t>
            </w:r>
            <w:r w:rsidRPr="00D408DB">
              <w:t>line</w:t>
            </w:r>
          </w:p>
        </w:tc>
      </w:tr>
      <w:tr w:rsidR="006E402E" w:rsidRPr="002C6378" w14:paraId="5D1769BA" w14:textId="77777777" w:rsidTr="00C15712">
        <w:trPr>
          <w:cantSplit/>
          <w:trHeight w:val="284"/>
        </w:trPr>
        <w:tc>
          <w:tcPr>
            <w:tcW w:w="861" w:type="pct"/>
          </w:tcPr>
          <w:p w14:paraId="3750F3C7" w14:textId="0176E0E8" w:rsidR="00C3408F" w:rsidRPr="007B03F9" w:rsidRDefault="006E402E" w:rsidP="00E139AD">
            <w:pPr>
              <w:contextualSpacing/>
              <w:rPr>
                <w:b/>
                <w:bCs/>
              </w:rPr>
            </w:pPr>
            <w:r w:rsidRPr="007B03F9">
              <w:rPr>
                <w:b/>
                <w:bCs/>
              </w:rPr>
              <w:t>Streams</w:t>
            </w:r>
            <w:r w:rsidR="00C3408F" w:rsidRPr="007B03F9">
              <w:rPr>
                <w:b/>
                <w:bCs/>
              </w:rPr>
              <w:t xml:space="preserve"> of</w:t>
            </w:r>
            <w:r w:rsidR="00000799" w:rsidRPr="007B03F9">
              <w:rPr>
                <w:b/>
                <w:bCs/>
              </w:rPr>
              <w:t xml:space="preserve"> </w:t>
            </w:r>
            <w:r w:rsidR="00C3408F" w:rsidRPr="007B03F9">
              <w:rPr>
                <w:b/>
                <w:bCs/>
              </w:rPr>
              <w:t>Eastern Mt</w:t>
            </w:r>
          </w:p>
          <w:p w14:paraId="6A2C95F7" w14:textId="675C8E67" w:rsidR="00C3408F" w:rsidRPr="007B03F9" w:rsidRDefault="00C3408F" w:rsidP="00E139AD">
            <w:pPr>
              <w:contextualSpacing/>
              <w:rPr>
                <w:b/>
                <w:bCs/>
              </w:rPr>
            </w:pPr>
            <w:r w:rsidRPr="007B03F9">
              <w:rPr>
                <w:b/>
                <w:bCs/>
              </w:rPr>
              <w:t>Lofty Ranges</w:t>
            </w:r>
          </w:p>
        </w:tc>
        <w:tc>
          <w:tcPr>
            <w:tcW w:w="3256" w:type="pct"/>
          </w:tcPr>
          <w:p w14:paraId="4B821FD6" w14:textId="2ED991B3" w:rsidR="006E402E" w:rsidRPr="007B03F9" w:rsidRDefault="006E402E" w:rsidP="00E139AD">
            <w:pPr>
              <w:contextualSpacing/>
            </w:pPr>
            <w:bookmarkStart w:id="28" w:name="_Hlk158639963"/>
            <w:r w:rsidRPr="007B03F9">
              <w:t>Streams of the Eastern Mount Lofty or the Marne-Saunders Prescribed Water Resources Areas (PWRA)</w:t>
            </w:r>
          </w:p>
          <w:bookmarkEnd w:id="28"/>
          <w:p w14:paraId="5A0C3F4A" w14:textId="77777777" w:rsidR="006E402E" w:rsidRPr="004C1BF1" w:rsidRDefault="006E402E" w:rsidP="00E139AD">
            <w:pPr>
              <w:contextualSpacing/>
              <w:rPr>
                <w:sz w:val="12"/>
                <w:szCs w:val="12"/>
              </w:rPr>
            </w:pPr>
          </w:p>
          <w:p w14:paraId="22E4DEF7" w14:textId="42D5690F" w:rsidR="006E402E" w:rsidRPr="00840D1D" w:rsidRDefault="006E402E" w:rsidP="00E139AD">
            <w:pPr>
              <w:contextualSpacing/>
              <w:rPr>
                <w:sz w:val="20"/>
                <w:szCs w:val="20"/>
              </w:rPr>
            </w:pPr>
            <w:r w:rsidRPr="00840D1D">
              <w:rPr>
                <w:sz w:val="20"/>
                <w:szCs w:val="20"/>
              </w:rPr>
              <w:t>[</w:t>
            </w:r>
            <w:r w:rsidR="00C47E1B">
              <w:rPr>
                <w:sz w:val="20"/>
                <w:szCs w:val="20"/>
              </w:rPr>
              <w:t xml:space="preserve">Note: </w:t>
            </w:r>
            <w:r>
              <w:rPr>
                <w:sz w:val="20"/>
                <w:szCs w:val="20"/>
              </w:rPr>
              <w:t>L</w:t>
            </w:r>
            <w:r w:rsidRPr="00840D1D">
              <w:rPr>
                <w:sz w:val="20"/>
                <w:szCs w:val="20"/>
              </w:rPr>
              <w:t>ongitudinal boundary is that of the PWRA for each stream (SAMDBNRM Board 2010a, 2010b)].</w:t>
            </w:r>
          </w:p>
        </w:tc>
        <w:tc>
          <w:tcPr>
            <w:tcW w:w="883" w:type="pct"/>
          </w:tcPr>
          <w:p w14:paraId="414A5E7B" w14:textId="2EDFECB1" w:rsidR="006E402E" w:rsidRPr="00840D1D" w:rsidRDefault="006E402E" w:rsidP="00E139AD">
            <w:pPr>
              <w:contextualSpacing/>
            </w:pPr>
            <w:r w:rsidRPr="00840D1D">
              <w:t xml:space="preserve">100 m </w:t>
            </w:r>
            <w:r w:rsidRPr="00C15712">
              <w:t>from edges</w:t>
            </w:r>
          </w:p>
        </w:tc>
      </w:tr>
      <w:tr w:rsidR="006E402E" w:rsidRPr="002C6378" w14:paraId="3B57A972" w14:textId="77777777" w:rsidTr="00C15712">
        <w:trPr>
          <w:cantSplit/>
          <w:trHeight w:val="284"/>
        </w:trPr>
        <w:tc>
          <w:tcPr>
            <w:tcW w:w="861" w:type="pct"/>
          </w:tcPr>
          <w:p w14:paraId="663FE4A0" w14:textId="77777777" w:rsidR="006E402E" w:rsidRPr="007B03F9" w:rsidRDefault="006E402E" w:rsidP="00E139AD">
            <w:pPr>
              <w:contextualSpacing/>
              <w:rPr>
                <w:b/>
                <w:bCs/>
              </w:rPr>
            </w:pPr>
            <w:r w:rsidRPr="007B03F9">
              <w:rPr>
                <w:b/>
                <w:bCs/>
              </w:rPr>
              <w:t>Salt Creek</w:t>
            </w:r>
          </w:p>
        </w:tc>
        <w:tc>
          <w:tcPr>
            <w:tcW w:w="3256" w:type="pct"/>
          </w:tcPr>
          <w:p w14:paraId="09779C7C" w14:textId="63C4CC32" w:rsidR="006E402E" w:rsidRPr="0063150B" w:rsidRDefault="006E402E" w:rsidP="00E139AD">
            <w:pPr>
              <w:contextualSpacing/>
              <w:rPr>
                <w:sz w:val="24"/>
                <w:szCs w:val="24"/>
              </w:rPr>
            </w:pPr>
            <w:r w:rsidRPr="007B03F9">
              <w:t>Salt Creek – entire length</w:t>
            </w:r>
            <w:r w:rsidR="008A0A22" w:rsidRPr="007B03F9">
              <w:t xml:space="preserve"> </w:t>
            </w:r>
            <w:r w:rsidR="0063150B" w:rsidRPr="007B03F9">
              <w:t>[</w:t>
            </w:r>
            <w:r w:rsidR="0063150B" w:rsidRPr="00991631">
              <w:rPr>
                <w:sz w:val="20"/>
                <w:szCs w:val="20"/>
              </w:rPr>
              <w:t>I</w:t>
            </w:r>
            <w:r w:rsidR="00CB4DD4" w:rsidRPr="00991631">
              <w:rPr>
                <w:sz w:val="20"/>
                <w:szCs w:val="20"/>
              </w:rPr>
              <w:t>nclud</w:t>
            </w:r>
            <w:r w:rsidR="0063150B" w:rsidRPr="00991631">
              <w:rPr>
                <w:sz w:val="20"/>
                <w:szCs w:val="20"/>
              </w:rPr>
              <w:t>es</w:t>
            </w:r>
            <w:r w:rsidR="00F731E3" w:rsidRPr="00991631">
              <w:rPr>
                <w:sz w:val="20"/>
                <w:szCs w:val="20"/>
              </w:rPr>
              <w:t xml:space="preserve"> </w:t>
            </w:r>
            <w:r w:rsidR="002252C3" w:rsidRPr="00991631">
              <w:rPr>
                <w:sz w:val="20"/>
                <w:szCs w:val="20"/>
              </w:rPr>
              <w:t xml:space="preserve">headwater </w:t>
            </w:r>
            <w:r w:rsidR="00F731E3" w:rsidRPr="00991631">
              <w:rPr>
                <w:sz w:val="20"/>
                <w:szCs w:val="20"/>
              </w:rPr>
              <w:t>spring</w:t>
            </w:r>
            <w:r w:rsidR="002252C3" w:rsidRPr="00991631">
              <w:rPr>
                <w:sz w:val="20"/>
                <w:szCs w:val="20"/>
              </w:rPr>
              <w:t>;</w:t>
            </w:r>
            <w:r w:rsidR="00F731E3" w:rsidRPr="00991631">
              <w:rPr>
                <w:sz w:val="20"/>
                <w:szCs w:val="20"/>
              </w:rPr>
              <w:t xml:space="preserve"> </w:t>
            </w:r>
            <w:r w:rsidR="00991631">
              <w:rPr>
                <w:sz w:val="20"/>
                <w:szCs w:val="20"/>
              </w:rPr>
              <w:t>f</w:t>
            </w:r>
            <w:r w:rsidRPr="00840D1D">
              <w:rPr>
                <w:sz w:val="20"/>
                <w:szCs w:val="20"/>
              </w:rPr>
              <w:t xml:space="preserve">unnels surface water </w:t>
            </w:r>
            <w:r w:rsidR="00073AA2">
              <w:rPr>
                <w:sz w:val="20"/>
                <w:szCs w:val="20"/>
              </w:rPr>
              <w:t xml:space="preserve">from SED </w:t>
            </w:r>
            <w:r w:rsidRPr="00840D1D">
              <w:rPr>
                <w:sz w:val="20"/>
                <w:szCs w:val="20"/>
              </w:rPr>
              <w:t xml:space="preserve">into </w:t>
            </w:r>
            <w:r w:rsidR="00C3408F">
              <w:rPr>
                <w:sz w:val="20"/>
                <w:szCs w:val="20"/>
              </w:rPr>
              <w:t xml:space="preserve">Coorong </w:t>
            </w:r>
            <w:r w:rsidRPr="00840D1D">
              <w:rPr>
                <w:sz w:val="20"/>
                <w:szCs w:val="20"/>
              </w:rPr>
              <w:t>South Lagoon</w:t>
            </w:r>
            <w:r w:rsidR="00E64E1A">
              <w:rPr>
                <w:sz w:val="20"/>
                <w:szCs w:val="20"/>
              </w:rPr>
              <w:t>;</w:t>
            </w:r>
            <w:r w:rsidRPr="00840D1D">
              <w:rPr>
                <w:sz w:val="20"/>
                <w:szCs w:val="20"/>
              </w:rPr>
              <w:t xml:space="preserve"> </w:t>
            </w:r>
            <w:r w:rsidR="00C61129">
              <w:rPr>
                <w:sz w:val="20"/>
                <w:szCs w:val="20"/>
              </w:rPr>
              <w:t xml:space="preserve">drives export of material from </w:t>
            </w:r>
            <w:r w:rsidR="00073AA2">
              <w:rPr>
                <w:sz w:val="20"/>
                <w:szCs w:val="20"/>
              </w:rPr>
              <w:t xml:space="preserve">the South to the North Lagoon </w:t>
            </w:r>
            <w:r w:rsidRPr="00840D1D">
              <w:rPr>
                <w:sz w:val="20"/>
                <w:szCs w:val="20"/>
              </w:rPr>
              <w:t>(Paton 2010</w:t>
            </w:r>
            <w:r w:rsidR="00073AA2">
              <w:rPr>
                <w:sz w:val="20"/>
                <w:szCs w:val="20"/>
              </w:rPr>
              <w:t>; Mosley et al. 2017</w:t>
            </w:r>
            <w:r w:rsidR="00E64E1A">
              <w:rPr>
                <w:sz w:val="20"/>
                <w:szCs w:val="20"/>
              </w:rPr>
              <w:t>; Gibbs et al. 2018</w:t>
            </w:r>
            <w:r w:rsidRPr="00840D1D">
              <w:rPr>
                <w:sz w:val="20"/>
                <w:szCs w:val="20"/>
              </w:rPr>
              <w:t>).]</w:t>
            </w:r>
          </w:p>
        </w:tc>
        <w:tc>
          <w:tcPr>
            <w:tcW w:w="883" w:type="pct"/>
          </w:tcPr>
          <w:p w14:paraId="4CBAF50C" w14:textId="5F88110C" w:rsidR="006E402E" w:rsidRPr="00840D1D" w:rsidRDefault="006E402E" w:rsidP="00E139AD">
            <w:pPr>
              <w:contextualSpacing/>
            </w:pPr>
            <w:r w:rsidRPr="00840D1D">
              <w:t xml:space="preserve">100 m </w:t>
            </w:r>
            <w:r w:rsidRPr="00C15712">
              <w:t>from edges</w:t>
            </w:r>
          </w:p>
        </w:tc>
      </w:tr>
      <w:tr w:rsidR="00312667" w:rsidRPr="002C6378" w14:paraId="41897742" w14:textId="77777777" w:rsidTr="00C15712">
        <w:trPr>
          <w:cantSplit/>
          <w:trHeight w:val="284"/>
        </w:trPr>
        <w:tc>
          <w:tcPr>
            <w:tcW w:w="861" w:type="pct"/>
          </w:tcPr>
          <w:p w14:paraId="5836ABE2" w14:textId="140D2B21" w:rsidR="00312667" w:rsidRPr="007B03F9" w:rsidRDefault="00312667" w:rsidP="00E139AD">
            <w:pPr>
              <w:contextualSpacing/>
              <w:rPr>
                <w:b/>
                <w:bCs/>
              </w:rPr>
            </w:pPr>
            <w:r w:rsidRPr="007B03F9">
              <w:rPr>
                <w:b/>
                <w:bCs/>
              </w:rPr>
              <w:t>Lower Lakes</w:t>
            </w:r>
          </w:p>
        </w:tc>
        <w:tc>
          <w:tcPr>
            <w:tcW w:w="3256" w:type="pct"/>
          </w:tcPr>
          <w:p w14:paraId="446CDDAF" w14:textId="5A1EC647" w:rsidR="00312667" w:rsidRDefault="0082584F" w:rsidP="00E139AD">
            <w:pPr>
              <w:contextualSpacing/>
              <w:rPr>
                <w:sz w:val="24"/>
                <w:szCs w:val="24"/>
              </w:rPr>
            </w:pPr>
            <w:r w:rsidRPr="00D436E4">
              <w:t>Lake Alexandrina and Lake Albert, islands, and riparian vegetation.</w:t>
            </w:r>
          </w:p>
        </w:tc>
        <w:tc>
          <w:tcPr>
            <w:tcW w:w="883" w:type="pct"/>
          </w:tcPr>
          <w:p w14:paraId="1F816196" w14:textId="04E796AD" w:rsidR="00312667" w:rsidRDefault="001E0A85" w:rsidP="00E139AD">
            <w:pPr>
              <w:contextualSpacing/>
            </w:pPr>
            <w:r>
              <w:t xml:space="preserve">100 m </w:t>
            </w:r>
            <w:r w:rsidRPr="00C15712">
              <w:t>from edge</w:t>
            </w:r>
            <w:r w:rsidR="0082584F" w:rsidRPr="00C15712">
              <w:t>s</w:t>
            </w:r>
          </w:p>
        </w:tc>
      </w:tr>
      <w:tr w:rsidR="006E402E" w:rsidRPr="002C6378" w14:paraId="1D2950DD" w14:textId="77777777" w:rsidTr="00C15712">
        <w:trPr>
          <w:cantSplit/>
          <w:trHeight w:val="284"/>
        </w:trPr>
        <w:tc>
          <w:tcPr>
            <w:tcW w:w="861" w:type="pct"/>
          </w:tcPr>
          <w:p w14:paraId="2D0C5D52" w14:textId="77777777" w:rsidR="006E402E" w:rsidRPr="007B03F9" w:rsidRDefault="006E402E" w:rsidP="00C15712">
            <w:pPr>
              <w:contextualSpacing/>
              <w:rPr>
                <w:b/>
                <w:bCs/>
              </w:rPr>
            </w:pPr>
            <w:r w:rsidRPr="007B03F9">
              <w:rPr>
                <w:b/>
                <w:bCs/>
              </w:rPr>
              <w:t>Coastal Lakes south of Coorong</w:t>
            </w:r>
          </w:p>
        </w:tc>
        <w:tc>
          <w:tcPr>
            <w:tcW w:w="3256" w:type="pct"/>
          </w:tcPr>
          <w:p w14:paraId="4E64E3A3" w14:textId="5C136EE6" w:rsidR="006E402E" w:rsidRPr="00D436E4" w:rsidRDefault="006E402E" w:rsidP="00C15712">
            <w:pPr>
              <w:contextualSpacing/>
            </w:pPr>
            <w:r w:rsidRPr="00D436E4">
              <w:t xml:space="preserve">Coastal Lakes between </w:t>
            </w:r>
            <w:r w:rsidR="009630EE" w:rsidRPr="00D436E4">
              <w:t xml:space="preserve">Coorong </w:t>
            </w:r>
            <w:r w:rsidRPr="00D436E4">
              <w:t>South Lagoon and Kingston, SA.</w:t>
            </w:r>
          </w:p>
          <w:p w14:paraId="0F7DBDAF" w14:textId="77777777" w:rsidR="006E402E" w:rsidRPr="00F533C3" w:rsidRDefault="006E402E" w:rsidP="00C15712">
            <w:pPr>
              <w:contextualSpacing/>
              <w:rPr>
                <w:sz w:val="12"/>
                <w:szCs w:val="12"/>
              </w:rPr>
            </w:pPr>
          </w:p>
          <w:p w14:paraId="65E29167" w14:textId="403B1B18" w:rsidR="006E402E" w:rsidRPr="00F533C3" w:rsidRDefault="006E402E" w:rsidP="00C15712">
            <w:pPr>
              <w:contextualSpacing/>
              <w:rPr>
                <w:sz w:val="20"/>
                <w:szCs w:val="20"/>
              </w:rPr>
            </w:pPr>
            <w:r w:rsidRPr="004C1BF1">
              <w:rPr>
                <w:sz w:val="20"/>
                <w:szCs w:val="20"/>
              </w:rPr>
              <w:t xml:space="preserve">[These costal lakes are important refuge sites and may boost resilience of the </w:t>
            </w:r>
            <w:r w:rsidR="00FA3039">
              <w:rPr>
                <w:sz w:val="20"/>
                <w:szCs w:val="20"/>
              </w:rPr>
              <w:t xml:space="preserve">lower </w:t>
            </w:r>
            <w:r w:rsidRPr="004C1BF1">
              <w:rPr>
                <w:sz w:val="20"/>
                <w:szCs w:val="20"/>
              </w:rPr>
              <w:t>EC; they may also be potential sites from which to recolonise certain species into the EC, should they be lost</w:t>
            </w:r>
            <w:r w:rsidR="003F7434">
              <w:rPr>
                <w:sz w:val="20"/>
                <w:szCs w:val="20"/>
              </w:rPr>
              <w:t>/extirpated</w:t>
            </w:r>
            <w:r>
              <w:rPr>
                <w:sz w:val="20"/>
                <w:szCs w:val="20"/>
              </w:rPr>
              <w:t>. Lakes include: Lake Cantara North &amp; South; Brine Shrimp; Coxiella; Paranki La</w:t>
            </w:r>
            <w:r w:rsidR="00947D27">
              <w:rPr>
                <w:sz w:val="20"/>
                <w:szCs w:val="20"/>
              </w:rPr>
              <w:t>g</w:t>
            </w:r>
            <w:r>
              <w:rPr>
                <w:sz w:val="20"/>
                <w:szCs w:val="20"/>
              </w:rPr>
              <w:t>oon, and Teilaka</w:t>
            </w:r>
            <w:r w:rsidRPr="004C1BF1">
              <w:rPr>
                <w:sz w:val="20"/>
                <w:szCs w:val="20"/>
              </w:rPr>
              <w:t>].</w:t>
            </w:r>
          </w:p>
        </w:tc>
        <w:tc>
          <w:tcPr>
            <w:tcW w:w="883" w:type="pct"/>
          </w:tcPr>
          <w:p w14:paraId="16272AE9" w14:textId="77777777" w:rsidR="00C666D7" w:rsidRDefault="006E402E" w:rsidP="00C15712">
            <w:pPr>
              <w:contextualSpacing/>
            </w:pPr>
            <w:r>
              <w:t>100 m</w:t>
            </w:r>
          </w:p>
          <w:p w14:paraId="3FF10A6A" w14:textId="6B834B4C" w:rsidR="006E402E" w:rsidRPr="00C15712" w:rsidRDefault="00C666D7" w:rsidP="00C15712">
            <w:pPr>
              <w:contextualSpacing/>
            </w:pPr>
            <w:r w:rsidRPr="00C15712">
              <w:t>from edges</w:t>
            </w:r>
            <w:r w:rsidR="006E402E" w:rsidRPr="00C15712">
              <w:t xml:space="preserve"> </w:t>
            </w:r>
          </w:p>
        </w:tc>
      </w:tr>
    </w:tbl>
    <w:p w14:paraId="1264C1E5" w14:textId="28470552" w:rsidR="00C27698" w:rsidRPr="000C60F1" w:rsidRDefault="004A3610" w:rsidP="00194FB1">
      <w:pPr>
        <w:pStyle w:val="Caption"/>
        <w:ind w:right="-284"/>
        <w:rPr>
          <w:sz w:val="20"/>
          <w:szCs w:val="20"/>
        </w:rPr>
      </w:pPr>
      <w:r>
        <w:lastRenderedPageBreak/>
        <w:t xml:space="preserve">Table </w:t>
      </w:r>
      <w:r>
        <w:fldChar w:fldCharType="begin"/>
      </w:r>
      <w:r>
        <w:instrText xml:space="preserve"> SEQ Table \* ARABIC </w:instrText>
      </w:r>
      <w:r>
        <w:fldChar w:fldCharType="separate"/>
      </w:r>
      <w:r w:rsidR="006D35C5">
        <w:rPr>
          <w:noProof/>
        </w:rPr>
        <w:t>3</w:t>
      </w:r>
      <w:r>
        <w:fldChar w:fldCharType="end"/>
      </w:r>
      <w:r w:rsidR="00C27698" w:rsidRPr="00C27698">
        <w:rPr>
          <w:bCs/>
        </w:rPr>
        <w:t>:</w:t>
      </w:r>
      <w:r w:rsidR="00C27698">
        <w:t xml:space="preserve"> </w:t>
      </w:r>
      <w:r w:rsidR="00F007B9" w:rsidRPr="00FB1F60">
        <w:rPr>
          <w:bCs/>
        </w:rPr>
        <w:t>Main b</w:t>
      </w:r>
      <w:r w:rsidR="00C27698" w:rsidRPr="00FB1F60">
        <w:rPr>
          <w:bCs/>
        </w:rPr>
        <w:t xml:space="preserve">io-geographical </w:t>
      </w:r>
      <w:r w:rsidR="00804AFB" w:rsidRPr="00FB1F60">
        <w:rPr>
          <w:bCs/>
        </w:rPr>
        <w:t>sections (</w:t>
      </w:r>
      <w:r w:rsidR="00C27698" w:rsidRPr="00FB1F60">
        <w:rPr>
          <w:bCs/>
        </w:rPr>
        <w:t>sub-units</w:t>
      </w:r>
      <w:r w:rsidR="00804AFB" w:rsidRPr="00FB1F60">
        <w:rPr>
          <w:bCs/>
        </w:rPr>
        <w:t>)</w:t>
      </w:r>
      <w:r w:rsidR="00C27698" w:rsidRPr="00FB1F60">
        <w:rPr>
          <w:bCs/>
        </w:rPr>
        <w:t xml:space="preserve"> of the </w:t>
      </w:r>
      <w:r w:rsidR="00C27698" w:rsidRPr="00FB1F60">
        <w:rPr>
          <w:bCs/>
          <w:i/>
        </w:rPr>
        <w:t>River Murray—Darling to Sea</w:t>
      </w:r>
      <w:r w:rsidR="00C27698" w:rsidRPr="00FB1F60">
        <w:rPr>
          <w:bCs/>
        </w:rPr>
        <w:t xml:space="preserve"> </w:t>
      </w:r>
      <w:r w:rsidR="00F007B9" w:rsidRPr="00FB1F60">
        <w:rPr>
          <w:bCs/>
        </w:rPr>
        <w:t>EC</w:t>
      </w:r>
      <w:r w:rsidR="007F29B6" w:rsidRPr="00FB1F60">
        <w:rPr>
          <w:bCs/>
        </w:rPr>
        <w:t xml:space="preserve"> (TSSC</w:t>
      </w:r>
      <w:r w:rsidR="002C2A89" w:rsidRPr="00FB1F60">
        <w:rPr>
          <w:bCs/>
        </w:rPr>
        <w:t xml:space="preserve"> 20</w:t>
      </w:r>
      <w:r w:rsidR="00485C09">
        <w:rPr>
          <w:bCs/>
        </w:rPr>
        <w:t>10</w:t>
      </w:r>
      <w:r w:rsidR="002C2A89" w:rsidRPr="00FB1F60">
        <w:rPr>
          <w:bCs/>
        </w:rPr>
        <w:t>)</w:t>
      </w:r>
      <w:r w:rsidR="00F007B9" w:rsidRPr="00FB1F60">
        <w:rPr>
          <w:bCs/>
        </w:rPr>
        <w:t>.</w:t>
      </w:r>
      <w:r w:rsidR="00252F25" w:rsidRPr="00FB1F60">
        <w:rPr>
          <w:bCs/>
        </w:rPr>
        <w:t xml:space="preserve"> </w:t>
      </w:r>
      <w:r w:rsidR="002703EF" w:rsidRPr="00FB1F60">
        <w:rPr>
          <w:bCs/>
        </w:rPr>
        <w:t xml:space="preserve"> </w:t>
      </w:r>
      <w:r w:rsidR="000949D5" w:rsidRPr="000C60F1">
        <w:rPr>
          <w:bCs/>
          <w:sz w:val="20"/>
          <w:szCs w:val="20"/>
        </w:rPr>
        <w:t>(Note, includes any streams</w:t>
      </w:r>
      <w:r w:rsidR="00621741" w:rsidRPr="000C60F1">
        <w:rPr>
          <w:bCs/>
          <w:sz w:val="20"/>
          <w:szCs w:val="20"/>
        </w:rPr>
        <w:t xml:space="preserve"> connecting to the River Murray in these sub-units).</w:t>
      </w:r>
    </w:p>
    <w:tbl>
      <w:tblPr>
        <w:tblStyle w:val="TableGrid"/>
        <w:tblW w:w="5317" w:type="pct"/>
        <w:tblLook w:val="04A0" w:firstRow="1" w:lastRow="0" w:firstColumn="1" w:lastColumn="0" w:noHBand="0" w:noVBand="1"/>
      </w:tblPr>
      <w:tblGrid>
        <w:gridCol w:w="1462"/>
        <w:gridCol w:w="2719"/>
        <w:gridCol w:w="5453"/>
      </w:tblGrid>
      <w:tr w:rsidR="00DB48C9" w14:paraId="655A7FF8" w14:textId="77777777" w:rsidTr="00194FB1">
        <w:trPr>
          <w:trHeight w:hRule="exact" w:val="340"/>
          <w:tblHeader/>
        </w:trPr>
        <w:tc>
          <w:tcPr>
            <w:tcW w:w="759" w:type="pct"/>
            <w:shd w:val="clear" w:color="auto" w:fill="DEEAF6" w:themeFill="accent1" w:themeFillTint="33"/>
          </w:tcPr>
          <w:p w14:paraId="0AC1A6ED" w14:textId="7F7F50B4" w:rsidR="00DB48C9" w:rsidRPr="00496B65" w:rsidRDefault="00DB48C9" w:rsidP="009E7E9F">
            <w:pPr>
              <w:rPr>
                <w:b/>
                <w:bCs/>
              </w:rPr>
            </w:pPr>
            <w:r w:rsidRPr="00496B65">
              <w:rPr>
                <w:b/>
                <w:bCs/>
              </w:rPr>
              <w:t>Name</w:t>
            </w:r>
            <w:r w:rsidR="0081067C" w:rsidRPr="00496B65">
              <w:rPr>
                <w:b/>
                <w:bCs/>
              </w:rPr>
              <w:t xml:space="preserve"> of Section</w:t>
            </w:r>
          </w:p>
        </w:tc>
        <w:tc>
          <w:tcPr>
            <w:tcW w:w="1411" w:type="pct"/>
            <w:shd w:val="clear" w:color="auto" w:fill="DEEAF6" w:themeFill="accent1" w:themeFillTint="33"/>
          </w:tcPr>
          <w:p w14:paraId="422D7816" w14:textId="096F7FA6" w:rsidR="00DB48C9" w:rsidRPr="00496B65" w:rsidRDefault="00DB48C9" w:rsidP="009E7E9F">
            <w:pPr>
              <w:rPr>
                <w:b/>
                <w:bCs/>
              </w:rPr>
            </w:pPr>
            <w:r w:rsidRPr="00496B65">
              <w:rPr>
                <w:b/>
                <w:bCs/>
              </w:rPr>
              <w:t>Location</w:t>
            </w:r>
          </w:p>
        </w:tc>
        <w:tc>
          <w:tcPr>
            <w:tcW w:w="2830" w:type="pct"/>
            <w:shd w:val="clear" w:color="auto" w:fill="DEEAF6" w:themeFill="accent1" w:themeFillTint="33"/>
          </w:tcPr>
          <w:p w14:paraId="6564C15A" w14:textId="344F64B3" w:rsidR="00DB48C9" w:rsidRPr="00496B65" w:rsidRDefault="00DB48C9" w:rsidP="009E7E9F">
            <w:pPr>
              <w:rPr>
                <w:b/>
                <w:bCs/>
              </w:rPr>
            </w:pPr>
            <w:r w:rsidRPr="00496B65">
              <w:rPr>
                <w:b/>
                <w:bCs/>
              </w:rPr>
              <w:t>Description</w:t>
            </w:r>
          </w:p>
        </w:tc>
      </w:tr>
      <w:tr w:rsidR="00DB48C9" w14:paraId="1D9467CD" w14:textId="77777777" w:rsidTr="00194FB1">
        <w:trPr>
          <w:trHeight w:val="2454"/>
        </w:trPr>
        <w:tc>
          <w:tcPr>
            <w:tcW w:w="759" w:type="pct"/>
          </w:tcPr>
          <w:p w14:paraId="5BEC4AF9" w14:textId="47D625C1" w:rsidR="00DB48C9" w:rsidRPr="00194FB1" w:rsidRDefault="00DB48C9" w:rsidP="009E7E9F">
            <w:r w:rsidRPr="00194FB1">
              <w:t xml:space="preserve">Top Valley </w:t>
            </w:r>
          </w:p>
        </w:tc>
        <w:tc>
          <w:tcPr>
            <w:tcW w:w="1411" w:type="pct"/>
          </w:tcPr>
          <w:p w14:paraId="1305124B" w14:textId="35B63E54" w:rsidR="00DB48C9" w:rsidRPr="00C15712" w:rsidRDefault="00C27698" w:rsidP="009E7E9F">
            <w:r w:rsidRPr="00C15712">
              <w:t xml:space="preserve">From the Darling River junction (Lock 10, near Wentworth, NSW) to Overland Corner (Lock 3, SA), and also including Locks 9, 8, 7, 6, 5 </w:t>
            </w:r>
            <w:r w:rsidR="00804AFB" w:rsidRPr="00C15712">
              <w:t>and</w:t>
            </w:r>
            <w:r w:rsidRPr="00C15712">
              <w:t xml:space="preserve"> 4.</w:t>
            </w:r>
          </w:p>
        </w:tc>
        <w:tc>
          <w:tcPr>
            <w:tcW w:w="2830" w:type="pct"/>
          </w:tcPr>
          <w:p w14:paraId="449B86EF" w14:textId="62BE9944" w:rsidR="00DB48C9" w:rsidRPr="00C15712" w:rsidRDefault="00C27698" w:rsidP="00C27698">
            <w:pPr>
              <w:pStyle w:val="ListBullet"/>
              <w:rPr>
                <w:sz w:val="20"/>
                <w:szCs w:val="20"/>
              </w:rPr>
            </w:pPr>
            <w:r w:rsidRPr="00C15712">
              <w:rPr>
                <w:sz w:val="20"/>
                <w:szCs w:val="20"/>
              </w:rPr>
              <w:t>In this Section</w:t>
            </w:r>
            <w:r w:rsidR="008F16AA" w:rsidRPr="00C15712">
              <w:rPr>
                <w:sz w:val="20"/>
                <w:szCs w:val="20"/>
              </w:rPr>
              <w:t>,</w:t>
            </w:r>
            <w:r w:rsidRPr="00C15712">
              <w:rPr>
                <w:sz w:val="20"/>
                <w:szCs w:val="20"/>
              </w:rPr>
              <w:t xml:space="preserve"> the river meanders westward over a 10–20 km wide floodplain, with extensive wetlands and woodland, and with an associated high biodiversity. The section includes two important Ramsar-listed wetland complexes, the Riverland and Banrock Station. In particular, the Chowilla Anabranch and Lindsay-Mullaroo systems in this section constitute permanently flowing habitat critical to fish refuge and recruitment.</w:t>
            </w:r>
            <w:r w:rsidR="00BC304E" w:rsidRPr="00C15712">
              <w:rPr>
                <w:sz w:val="20"/>
                <w:szCs w:val="20"/>
              </w:rPr>
              <w:t xml:space="preserve"> </w:t>
            </w:r>
            <w:r w:rsidR="00070838" w:rsidRPr="00C15712">
              <w:rPr>
                <w:sz w:val="20"/>
                <w:szCs w:val="20"/>
              </w:rPr>
              <w:t>This section also contains the Lower Darling Anabranch and Lake Victoria.</w:t>
            </w:r>
          </w:p>
        </w:tc>
      </w:tr>
      <w:tr w:rsidR="00DB48C9" w14:paraId="0B470807" w14:textId="77777777" w:rsidTr="00194FB1">
        <w:trPr>
          <w:trHeight w:val="454"/>
        </w:trPr>
        <w:tc>
          <w:tcPr>
            <w:tcW w:w="759" w:type="pct"/>
          </w:tcPr>
          <w:p w14:paraId="615EE94E" w14:textId="4D085F94" w:rsidR="00DB48C9" w:rsidRPr="00194FB1" w:rsidRDefault="00DB48C9" w:rsidP="009E7E9F">
            <w:r w:rsidRPr="00194FB1">
              <w:t xml:space="preserve">Murray George </w:t>
            </w:r>
          </w:p>
        </w:tc>
        <w:tc>
          <w:tcPr>
            <w:tcW w:w="1411" w:type="pct"/>
          </w:tcPr>
          <w:p w14:paraId="11293A44" w14:textId="2B81FB14" w:rsidR="00DB48C9" w:rsidRPr="00C15712" w:rsidRDefault="00C27698" w:rsidP="009E7E9F">
            <w:r w:rsidRPr="00C15712">
              <w:t>From Overland Corner to Mannum</w:t>
            </w:r>
            <w:r w:rsidR="00252F25" w:rsidRPr="00C15712">
              <w:t>.</w:t>
            </w:r>
          </w:p>
        </w:tc>
        <w:tc>
          <w:tcPr>
            <w:tcW w:w="2830" w:type="pct"/>
          </w:tcPr>
          <w:p w14:paraId="75AD0FE0" w14:textId="39F1635A" w:rsidR="00DB48C9" w:rsidRPr="00C15712" w:rsidRDefault="00C27698" w:rsidP="00C27698">
            <w:pPr>
              <w:pStyle w:val="ListBullet"/>
              <w:rPr>
                <w:sz w:val="20"/>
                <w:szCs w:val="20"/>
              </w:rPr>
            </w:pPr>
            <w:r w:rsidRPr="00C15712">
              <w:rPr>
                <w:sz w:val="20"/>
                <w:szCs w:val="20"/>
              </w:rPr>
              <w:t>Here</w:t>
            </w:r>
            <w:r w:rsidR="008F16AA" w:rsidRPr="00C15712">
              <w:rPr>
                <w:sz w:val="20"/>
                <w:szCs w:val="20"/>
              </w:rPr>
              <w:t>,</w:t>
            </w:r>
            <w:r w:rsidRPr="00C15712">
              <w:rPr>
                <w:sz w:val="20"/>
                <w:szCs w:val="20"/>
              </w:rPr>
              <w:t xml:space="preserve"> the river's course is realigned southward and the floodplain is constrained to 4–5 km, within a 30 m deep limestone gorge. The section includes three weirs, at Lock 3, 2 and 1, and the Marne and Saunders rivers enter this section from the Eastern Mount Lofty Ranges in SA.</w:t>
            </w:r>
          </w:p>
        </w:tc>
      </w:tr>
      <w:tr w:rsidR="00DB48C9" w14:paraId="58D99AB4" w14:textId="77777777" w:rsidTr="00194FB1">
        <w:trPr>
          <w:trHeight w:val="1429"/>
        </w:trPr>
        <w:tc>
          <w:tcPr>
            <w:tcW w:w="759" w:type="pct"/>
          </w:tcPr>
          <w:p w14:paraId="3F0BAD90" w14:textId="3A6A78BC" w:rsidR="00DB48C9" w:rsidRPr="00194FB1" w:rsidRDefault="0081067C" w:rsidP="009E7E9F">
            <w:r w:rsidRPr="00194FB1">
              <w:t xml:space="preserve">Lower Swamplands </w:t>
            </w:r>
          </w:p>
        </w:tc>
        <w:tc>
          <w:tcPr>
            <w:tcW w:w="1411" w:type="pct"/>
          </w:tcPr>
          <w:p w14:paraId="3E0E4FEB" w14:textId="5EBD2AF4" w:rsidR="00DB48C9" w:rsidRPr="00C15712" w:rsidRDefault="00C27698" w:rsidP="009E7E9F">
            <w:r w:rsidRPr="00C15712">
              <w:t>From Mannum, past Murray Bridge and Tailem Bend to Wellington.</w:t>
            </w:r>
          </w:p>
        </w:tc>
        <w:tc>
          <w:tcPr>
            <w:tcW w:w="2830" w:type="pct"/>
          </w:tcPr>
          <w:p w14:paraId="461CC5B5" w14:textId="007FD400" w:rsidR="00DB48C9" w:rsidRPr="00C15712" w:rsidRDefault="008F16AA" w:rsidP="009E7E9F">
            <w:pPr>
              <w:rPr>
                <w:sz w:val="20"/>
                <w:szCs w:val="20"/>
              </w:rPr>
            </w:pPr>
            <w:r w:rsidRPr="00C15712">
              <w:rPr>
                <w:sz w:val="20"/>
                <w:szCs w:val="20"/>
              </w:rPr>
              <w:t>In this Section,</w:t>
            </w:r>
            <w:r w:rsidR="00C27698" w:rsidRPr="00C15712">
              <w:rPr>
                <w:sz w:val="20"/>
                <w:szCs w:val="20"/>
              </w:rPr>
              <w:t xml:space="preserve"> the river flows through areas that formerly had extensive riparian swamps, but are now reclaimed for agriculture </w:t>
            </w:r>
            <w:r w:rsidR="00F9507B" w:rsidRPr="00C15712">
              <w:rPr>
                <w:sz w:val="20"/>
                <w:szCs w:val="20"/>
              </w:rPr>
              <w:t>(or shacks</w:t>
            </w:r>
            <w:r w:rsidR="00F74B71" w:rsidRPr="00C15712">
              <w:rPr>
                <w:sz w:val="20"/>
                <w:szCs w:val="20"/>
              </w:rPr>
              <w:t xml:space="preserve">) </w:t>
            </w:r>
            <w:r w:rsidR="00C27698" w:rsidRPr="00C15712">
              <w:rPr>
                <w:sz w:val="20"/>
                <w:szCs w:val="20"/>
              </w:rPr>
              <w:t>and protected by levees planted with willows (</w:t>
            </w:r>
            <w:r w:rsidR="00C27698" w:rsidRPr="00C15712">
              <w:rPr>
                <w:i/>
                <w:sz w:val="20"/>
                <w:szCs w:val="20"/>
              </w:rPr>
              <w:t>Salix</w:t>
            </w:r>
            <w:r w:rsidR="00C27698" w:rsidRPr="00C15712">
              <w:rPr>
                <w:sz w:val="20"/>
                <w:szCs w:val="20"/>
              </w:rPr>
              <w:t xml:space="preserve"> spp.). Reedy Creek flows into this section and there are no </w:t>
            </w:r>
            <w:r w:rsidR="00C425EE" w:rsidRPr="00C15712">
              <w:rPr>
                <w:sz w:val="20"/>
                <w:szCs w:val="20"/>
              </w:rPr>
              <w:t xml:space="preserve">in-channel </w:t>
            </w:r>
            <w:r w:rsidR="00C27698" w:rsidRPr="00C15712">
              <w:rPr>
                <w:sz w:val="20"/>
                <w:szCs w:val="20"/>
              </w:rPr>
              <w:t>weirs.</w:t>
            </w:r>
          </w:p>
        </w:tc>
      </w:tr>
      <w:tr w:rsidR="00DB48C9" w14:paraId="20C67D21" w14:textId="77777777" w:rsidTr="00194FB1">
        <w:trPr>
          <w:trHeight w:val="1104"/>
        </w:trPr>
        <w:tc>
          <w:tcPr>
            <w:tcW w:w="759" w:type="pct"/>
          </w:tcPr>
          <w:p w14:paraId="2F10BF16" w14:textId="19C6FD6A" w:rsidR="00DB48C9" w:rsidRPr="00194FB1" w:rsidRDefault="0081067C" w:rsidP="009E7E9F">
            <w:r w:rsidRPr="00194FB1">
              <w:t>Eastern Mount Lofty Ranges Watershed</w:t>
            </w:r>
          </w:p>
        </w:tc>
        <w:tc>
          <w:tcPr>
            <w:tcW w:w="1411" w:type="pct"/>
          </w:tcPr>
          <w:p w14:paraId="307F84B6" w14:textId="29F93870" w:rsidR="00DB48C9" w:rsidRPr="00C15712" w:rsidRDefault="00804AFB" w:rsidP="009E7E9F">
            <w:r w:rsidRPr="00C15712">
              <w:t>Eastern Mount Lofty Ranges PWRA and Marne-Saunders PWRA</w:t>
            </w:r>
            <w:r w:rsidR="00252F25" w:rsidRPr="00C15712">
              <w:t>.</w:t>
            </w:r>
          </w:p>
        </w:tc>
        <w:tc>
          <w:tcPr>
            <w:tcW w:w="2830" w:type="pct"/>
          </w:tcPr>
          <w:p w14:paraId="27130C2A" w14:textId="2D1ECF62" w:rsidR="00DB48C9" w:rsidRPr="00C15712" w:rsidRDefault="00804AFB" w:rsidP="00804AFB">
            <w:pPr>
              <w:pStyle w:val="ListBullet"/>
              <w:rPr>
                <w:i/>
                <w:sz w:val="20"/>
                <w:szCs w:val="20"/>
              </w:rPr>
            </w:pPr>
            <w:r w:rsidRPr="00C15712">
              <w:rPr>
                <w:sz w:val="20"/>
                <w:szCs w:val="20"/>
              </w:rPr>
              <w:t>This section incorporates the perennial and ephemeral streams within the region defined by the Prescribed Water Resources Areas (PRAs) for the Eastern Mount Lofty Ranges and the Marne-Saunders.</w:t>
            </w:r>
          </w:p>
        </w:tc>
      </w:tr>
      <w:tr w:rsidR="00DB48C9" w14:paraId="68A82C8D" w14:textId="77777777" w:rsidTr="00194FB1">
        <w:trPr>
          <w:trHeight w:val="2082"/>
        </w:trPr>
        <w:tc>
          <w:tcPr>
            <w:tcW w:w="759" w:type="pct"/>
          </w:tcPr>
          <w:p w14:paraId="79BB149B" w14:textId="1A3BC178" w:rsidR="00DB48C9" w:rsidRPr="00C15712" w:rsidRDefault="0081067C" w:rsidP="009E7E9F">
            <w:r w:rsidRPr="00C15712">
              <w:t>Lower Lakes Section</w:t>
            </w:r>
          </w:p>
        </w:tc>
        <w:tc>
          <w:tcPr>
            <w:tcW w:w="1411" w:type="pct"/>
          </w:tcPr>
          <w:p w14:paraId="1912724D" w14:textId="6AA08B40" w:rsidR="00DB48C9" w:rsidRPr="00C15712" w:rsidRDefault="00252F25" w:rsidP="00804AFB">
            <w:pPr>
              <w:rPr>
                <w:b/>
                <w:bCs/>
              </w:rPr>
            </w:pPr>
            <w:r w:rsidRPr="00C15712">
              <w:t>The sit b</w:t>
            </w:r>
            <w:r w:rsidR="00804AFB" w:rsidRPr="00C15712">
              <w:t>etween Wellington and the Coorong</w:t>
            </w:r>
            <w:r w:rsidRPr="00C15712">
              <w:t>.</w:t>
            </w:r>
          </w:p>
        </w:tc>
        <w:tc>
          <w:tcPr>
            <w:tcW w:w="2830" w:type="pct"/>
          </w:tcPr>
          <w:p w14:paraId="73B7AE57" w14:textId="2D166F58" w:rsidR="00DB48C9" w:rsidRPr="00C15712" w:rsidRDefault="00804AFB" w:rsidP="009E7E9F">
            <w:pPr>
              <w:rPr>
                <w:sz w:val="20"/>
                <w:szCs w:val="20"/>
              </w:rPr>
            </w:pPr>
            <w:r w:rsidRPr="00C15712">
              <w:rPr>
                <w:sz w:val="20"/>
                <w:szCs w:val="20"/>
              </w:rPr>
              <w:t xml:space="preserve">Here, there is a shallow </w:t>
            </w:r>
            <w:r w:rsidR="00FA6E82" w:rsidRPr="00C15712">
              <w:rPr>
                <w:sz w:val="20"/>
                <w:szCs w:val="20"/>
              </w:rPr>
              <w:t xml:space="preserve">‘freshwater’ </w:t>
            </w:r>
            <w:r w:rsidRPr="00C15712">
              <w:rPr>
                <w:sz w:val="20"/>
                <w:szCs w:val="20"/>
              </w:rPr>
              <w:t>lake system with marginal wetlands and adjacent ephemeral saline ponds—Lake Alexandrina and Lake Albert. The Lower Lakes are isolated from the Murray Mouth and Coorong by a system of five barrages (Goolwa, Mundoo, Boundary Creek, Ewe, and Tauwitchere) which connect the various islands in the southern section of Lake Alexandrina.</w:t>
            </w:r>
          </w:p>
        </w:tc>
      </w:tr>
      <w:tr w:rsidR="00DB48C9" w14:paraId="6BDD1A44" w14:textId="77777777" w:rsidTr="00194FB1">
        <w:trPr>
          <w:trHeight w:val="3421"/>
        </w:trPr>
        <w:tc>
          <w:tcPr>
            <w:tcW w:w="759" w:type="pct"/>
          </w:tcPr>
          <w:p w14:paraId="16C1FB43" w14:textId="37531C55" w:rsidR="00DB48C9" w:rsidRPr="00194FB1" w:rsidRDefault="0081067C" w:rsidP="009E7E9F">
            <w:r w:rsidRPr="00194FB1">
              <w:t>Murray Mouth</w:t>
            </w:r>
            <w:r w:rsidR="003B0345" w:rsidRPr="00194FB1">
              <w:t xml:space="preserve"> and Coorong</w:t>
            </w:r>
          </w:p>
        </w:tc>
        <w:tc>
          <w:tcPr>
            <w:tcW w:w="1411" w:type="pct"/>
          </w:tcPr>
          <w:p w14:paraId="24C0B538" w14:textId="77777777" w:rsidR="00DB48C9" w:rsidRPr="00194FB1" w:rsidRDefault="000573BF" w:rsidP="009E7E9F">
            <w:r w:rsidRPr="00194FB1">
              <w:t>Terminus of the River Murray (and the end-of-system for the entire MDB)</w:t>
            </w:r>
            <w:r w:rsidR="00FC6B99" w:rsidRPr="00194FB1">
              <w:t>.</w:t>
            </w:r>
          </w:p>
          <w:p w14:paraId="2AD0EB3E" w14:textId="3C0B1989" w:rsidR="00FC6B99" w:rsidRPr="00496B65" w:rsidRDefault="004921DD" w:rsidP="009E7E9F">
            <w:pPr>
              <w:rPr>
                <w:sz w:val="20"/>
                <w:szCs w:val="20"/>
              </w:rPr>
            </w:pPr>
            <w:r w:rsidRPr="00194FB1">
              <w:t xml:space="preserve">The </w:t>
            </w:r>
            <w:r w:rsidR="00FC6B99" w:rsidRPr="00194FB1">
              <w:t>Coor</w:t>
            </w:r>
            <w:r w:rsidR="001B0384" w:rsidRPr="00194FB1">
              <w:t>o</w:t>
            </w:r>
            <w:r w:rsidR="00FC6B99" w:rsidRPr="00194FB1">
              <w:t xml:space="preserve">ng </w:t>
            </w:r>
            <w:r w:rsidRPr="00194FB1">
              <w:t xml:space="preserve">stretches for </w:t>
            </w:r>
            <w:r w:rsidR="001B0384" w:rsidRPr="00194FB1">
              <w:t xml:space="preserve">100 km </w:t>
            </w:r>
            <w:r w:rsidRPr="00194FB1">
              <w:t xml:space="preserve">and consists </w:t>
            </w:r>
            <w:r w:rsidR="00314CF7" w:rsidRPr="00194FB1">
              <w:t xml:space="preserve">of </w:t>
            </w:r>
            <w:r w:rsidR="00890941" w:rsidRPr="00194FB1">
              <w:t xml:space="preserve">two </w:t>
            </w:r>
            <w:r w:rsidR="001B0384" w:rsidRPr="00194FB1">
              <w:t>permanently inundated coas</w:t>
            </w:r>
            <w:r w:rsidR="00314CF7" w:rsidRPr="00194FB1">
              <w:t>t</w:t>
            </w:r>
            <w:r w:rsidR="001B0384" w:rsidRPr="00194FB1">
              <w:t xml:space="preserve">al </w:t>
            </w:r>
            <w:r w:rsidR="000D54F2" w:rsidRPr="00194FB1">
              <w:t xml:space="preserve">saline </w:t>
            </w:r>
            <w:r w:rsidR="001B0384" w:rsidRPr="00194FB1">
              <w:t>lagoon</w:t>
            </w:r>
            <w:r w:rsidR="00890941" w:rsidRPr="00194FB1">
              <w:t>s</w:t>
            </w:r>
            <w:r w:rsidR="001B0384" w:rsidRPr="00194FB1">
              <w:t>.</w:t>
            </w:r>
          </w:p>
        </w:tc>
        <w:tc>
          <w:tcPr>
            <w:tcW w:w="2830" w:type="pct"/>
          </w:tcPr>
          <w:p w14:paraId="2BDD8251" w14:textId="2E42705A" w:rsidR="00A25888" w:rsidRPr="00496B65" w:rsidRDefault="000573BF" w:rsidP="000573BF">
            <w:pPr>
              <w:pStyle w:val="ListBullet"/>
              <w:rPr>
                <w:sz w:val="20"/>
                <w:szCs w:val="20"/>
              </w:rPr>
            </w:pPr>
            <w:r w:rsidRPr="00496B65">
              <w:rPr>
                <w:sz w:val="20"/>
                <w:szCs w:val="20"/>
              </w:rPr>
              <w:t xml:space="preserve">This section represents the estuarine component of the River Murray (and MDB). The Murray Mouth </w:t>
            </w:r>
            <w:r w:rsidR="00A25888" w:rsidRPr="00496B65">
              <w:rPr>
                <w:sz w:val="20"/>
                <w:szCs w:val="20"/>
              </w:rPr>
              <w:t>ranges from</w:t>
            </w:r>
            <w:r w:rsidRPr="00496B65">
              <w:rPr>
                <w:sz w:val="20"/>
                <w:szCs w:val="20"/>
              </w:rPr>
              <w:t xml:space="preserve"> a partially mixed to </w:t>
            </w:r>
            <w:r w:rsidR="00A25888" w:rsidRPr="00496B65">
              <w:rPr>
                <w:sz w:val="20"/>
                <w:szCs w:val="20"/>
              </w:rPr>
              <w:t xml:space="preserve">a </w:t>
            </w:r>
            <w:r w:rsidRPr="00496B65">
              <w:rPr>
                <w:sz w:val="20"/>
                <w:szCs w:val="20"/>
              </w:rPr>
              <w:t xml:space="preserve">salt-wedge </w:t>
            </w:r>
            <w:r w:rsidR="00A25888" w:rsidRPr="00496B65">
              <w:rPr>
                <w:sz w:val="20"/>
                <w:szCs w:val="20"/>
              </w:rPr>
              <w:t>(stratified)</w:t>
            </w:r>
            <w:r w:rsidRPr="00496B65">
              <w:rPr>
                <w:sz w:val="20"/>
                <w:szCs w:val="20"/>
              </w:rPr>
              <w:t xml:space="preserve"> estuary</w:t>
            </w:r>
            <w:r w:rsidR="00A25888" w:rsidRPr="00496B65">
              <w:rPr>
                <w:sz w:val="20"/>
                <w:szCs w:val="20"/>
              </w:rPr>
              <w:t xml:space="preserve">, with salinities </w:t>
            </w:r>
            <w:r w:rsidR="00FD67E3" w:rsidRPr="00496B65">
              <w:rPr>
                <w:sz w:val="20"/>
                <w:szCs w:val="20"/>
              </w:rPr>
              <w:t>‘</w:t>
            </w:r>
            <w:r w:rsidRPr="00496B65">
              <w:rPr>
                <w:sz w:val="20"/>
                <w:szCs w:val="20"/>
              </w:rPr>
              <w:t>typically</w:t>
            </w:r>
            <w:r w:rsidR="00FD67E3" w:rsidRPr="00496B65">
              <w:rPr>
                <w:sz w:val="20"/>
                <w:szCs w:val="20"/>
              </w:rPr>
              <w:t>’</w:t>
            </w:r>
            <w:r w:rsidRPr="00496B65">
              <w:rPr>
                <w:sz w:val="20"/>
                <w:szCs w:val="20"/>
              </w:rPr>
              <w:t xml:space="preserve"> lower than sea water. </w:t>
            </w:r>
            <w:r w:rsidR="00FC6B99" w:rsidRPr="00496B65">
              <w:rPr>
                <w:sz w:val="20"/>
                <w:szCs w:val="20"/>
              </w:rPr>
              <w:t>T</w:t>
            </w:r>
            <w:r w:rsidRPr="00496B65">
              <w:rPr>
                <w:sz w:val="20"/>
                <w:szCs w:val="20"/>
              </w:rPr>
              <w:t>he Coorong is considered a 'reverse estuary'</w:t>
            </w:r>
            <w:r w:rsidR="00A25888" w:rsidRPr="00496B65">
              <w:rPr>
                <w:sz w:val="20"/>
                <w:szCs w:val="20"/>
              </w:rPr>
              <w:t>, with salinities higher than seawater.  It is comprised of the North (hypermarine) and South (hypersaline)</w:t>
            </w:r>
            <w:r w:rsidRPr="00496B65">
              <w:rPr>
                <w:sz w:val="20"/>
                <w:szCs w:val="20"/>
              </w:rPr>
              <w:t xml:space="preserve"> </w:t>
            </w:r>
            <w:r w:rsidR="00A25888" w:rsidRPr="00496B65">
              <w:rPr>
                <w:sz w:val="20"/>
                <w:szCs w:val="20"/>
              </w:rPr>
              <w:t xml:space="preserve">lagoons. </w:t>
            </w:r>
            <w:r w:rsidRPr="00496B65">
              <w:rPr>
                <w:sz w:val="20"/>
                <w:szCs w:val="20"/>
              </w:rPr>
              <w:t>Th</w:t>
            </w:r>
            <w:r w:rsidR="00A25888" w:rsidRPr="00496B65">
              <w:rPr>
                <w:sz w:val="20"/>
                <w:szCs w:val="20"/>
              </w:rPr>
              <w:t>is</w:t>
            </w:r>
            <w:r w:rsidRPr="00496B65">
              <w:rPr>
                <w:sz w:val="20"/>
                <w:szCs w:val="20"/>
              </w:rPr>
              <w:t xml:space="preserve"> section also </w:t>
            </w:r>
            <w:r w:rsidR="00A25888" w:rsidRPr="00496B65">
              <w:rPr>
                <w:sz w:val="20"/>
                <w:szCs w:val="20"/>
              </w:rPr>
              <w:t>i</w:t>
            </w:r>
            <w:r w:rsidRPr="00496B65">
              <w:rPr>
                <w:sz w:val="20"/>
                <w:szCs w:val="20"/>
              </w:rPr>
              <w:t>ncludes associated islands and coastal sand dune systems</w:t>
            </w:r>
            <w:r w:rsidR="00A25888" w:rsidRPr="00496B65">
              <w:rPr>
                <w:sz w:val="20"/>
                <w:szCs w:val="20"/>
              </w:rPr>
              <w:t xml:space="preserve">, and several ephemeral coastal lakes to the south of the South Lagoon. </w:t>
            </w:r>
            <w:r w:rsidR="00630C38" w:rsidRPr="00496B65">
              <w:rPr>
                <w:sz w:val="20"/>
                <w:szCs w:val="20"/>
              </w:rPr>
              <w:t>Historically, prior to drainage, these lakes</w:t>
            </w:r>
            <w:r w:rsidR="00787310" w:rsidRPr="00496B65">
              <w:rPr>
                <w:sz w:val="20"/>
                <w:szCs w:val="20"/>
              </w:rPr>
              <w:t xml:space="preserve"> formed part of the South Lagoon during periods of high flow or high water (</w:t>
            </w:r>
            <w:r w:rsidR="00EA563C" w:rsidRPr="00496B65">
              <w:rPr>
                <w:sz w:val="20"/>
                <w:szCs w:val="20"/>
              </w:rPr>
              <w:t xml:space="preserve">see England 1993). </w:t>
            </w:r>
            <w:r w:rsidR="00947D27" w:rsidRPr="00496B65">
              <w:rPr>
                <w:sz w:val="20"/>
                <w:szCs w:val="20"/>
              </w:rPr>
              <w:t>This section also includes Salt Creek, which drains into the South Lagoon.</w:t>
            </w:r>
          </w:p>
        </w:tc>
      </w:tr>
    </w:tbl>
    <w:p w14:paraId="392CE568" w14:textId="2D2B2B87" w:rsidR="007B79AE" w:rsidRDefault="007B79AE">
      <w:pPr>
        <w:spacing w:after="160" w:line="259" w:lineRule="auto"/>
        <w:rPr>
          <w:rFonts w:asciiTheme="minorHAnsi" w:eastAsiaTheme="majorEastAsia" w:hAnsiTheme="minorHAnsi" w:cs="Arial"/>
          <w:b/>
          <w:i/>
          <w:iCs/>
          <w:smallCaps/>
          <w:szCs w:val="24"/>
          <w:lang w:val="en-US"/>
        </w:rPr>
      </w:pPr>
    </w:p>
    <w:p w14:paraId="2ADAB1A8" w14:textId="6452023E" w:rsidR="00F651F4" w:rsidRPr="004A7188" w:rsidRDefault="00F651F4" w:rsidP="006E2204">
      <w:pPr>
        <w:pStyle w:val="Heading4"/>
      </w:pPr>
      <w:r w:rsidRPr="004A7188">
        <w:lastRenderedPageBreak/>
        <w:t>Climate</w:t>
      </w:r>
    </w:p>
    <w:tbl>
      <w:tblPr>
        <w:tblStyle w:val="TableGrid"/>
        <w:tblW w:w="0" w:type="auto"/>
        <w:tblLook w:val="04A0" w:firstRow="1" w:lastRow="0" w:firstColumn="1" w:lastColumn="0" w:noHBand="0" w:noVBand="1"/>
      </w:tblPr>
      <w:tblGrid>
        <w:gridCol w:w="9060"/>
      </w:tblGrid>
      <w:tr w:rsidR="00F651F4" w14:paraId="4935D0ED" w14:textId="77777777" w:rsidTr="00C226A7">
        <w:tc>
          <w:tcPr>
            <w:tcW w:w="9060" w:type="dxa"/>
            <w:shd w:val="clear" w:color="auto" w:fill="DEEAF6" w:themeFill="accent1" w:themeFillTint="33"/>
          </w:tcPr>
          <w:p w14:paraId="22DE4AE2" w14:textId="77777777" w:rsidR="00F651F4" w:rsidRDefault="00F651F4" w:rsidP="00C226A7">
            <w:pPr>
              <w:spacing w:after="0"/>
              <w:contextualSpacing/>
              <w:rPr>
                <w:b/>
                <w:bCs/>
                <w:i/>
                <w:iCs/>
                <w:sz w:val="20"/>
                <w:szCs w:val="20"/>
              </w:rPr>
            </w:pPr>
            <w:r w:rsidRPr="006F2684">
              <w:rPr>
                <w:b/>
                <w:bCs/>
                <w:i/>
                <w:iCs/>
                <w:sz w:val="20"/>
                <w:szCs w:val="20"/>
              </w:rPr>
              <w:t xml:space="preserve">Key Points </w:t>
            </w:r>
            <w:r>
              <w:rPr>
                <w:b/>
                <w:bCs/>
                <w:i/>
                <w:iCs/>
                <w:sz w:val="20"/>
                <w:szCs w:val="20"/>
              </w:rPr>
              <w:t>on Climatic Context of the RMDS EC</w:t>
            </w:r>
          </w:p>
          <w:p w14:paraId="44EB7334" w14:textId="77777777" w:rsidR="00F651F4" w:rsidRPr="001F1FFC" w:rsidRDefault="00F651F4" w:rsidP="00C226A7">
            <w:pPr>
              <w:spacing w:after="0"/>
              <w:contextualSpacing/>
              <w:rPr>
                <w:b/>
                <w:bCs/>
                <w:i/>
                <w:iCs/>
                <w:sz w:val="12"/>
                <w:szCs w:val="12"/>
              </w:rPr>
            </w:pPr>
          </w:p>
          <w:p w14:paraId="17AF6716" w14:textId="77777777" w:rsidR="00F651F4" w:rsidRDefault="00F651F4" w:rsidP="00C226A7">
            <w:pPr>
              <w:pStyle w:val="ListParagraph"/>
              <w:numPr>
                <w:ilvl w:val="0"/>
                <w:numId w:val="10"/>
              </w:numPr>
              <w:rPr>
                <w:sz w:val="20"/>
                <w:szCs w:val="20"/>
              </w:rPr>
            </w:pPr>
            <w:r>
              <w:rPr>
                <w:sz w:val="20"/>
                <w:szCs w:val="20"/>
              </w:rPr>
              <w:t xml:space="preserve">The </w:t>
            </w:r>
            <w:r w:rsidRPr="006F2684">
              <w:rPr>
                <w:sz w:val="20"/>
                <w:szCs w:val="20"/>
              </w:rPr>
              <w:t xml:space="preserve">EC has </w:t>
            </w:r>
            <w:r>
              <w:rPr>
                <w:sz w:val="20"/>
                <w:szCs w:val="20"/>
              </w:rPr>
              <w:t xml:space="preserve">an underlying </w:t>
            </w:r>
            <w:r w:rsidRPr="006F2684">
              <w:rPr>
                <w:sz w:val="20"/>
                <w:szCs w:val="20"/>
              </w:rPr>
              <w:t>Mediterranean</w:t>
            </w:r>
            <w:r>
              <w:rPr>
                <w:sz w:val="20"/>
                <w:szCs w:val="20"/>
              </w:rPr>
              <w:t>-</w:t>
            </w:r>
            <w:r w:rsidRPr="006F2684">
              <w:rPr>
                <w:sz w:val="20"/>
                <w:szCs w:val="20"/>
              </w:rPr>
              <w:t>type climate</w:t>
            </w:r>
            <w:r>
              <w:rPr>
                <w:sz w:val="20"/>
                <w:szCs w:val="20"/>
              </w:rPr>
              <w:t xml:space="preserve"> (i.e. hot dry summers, cool wet winters)</w:t>
            </w:r>
          </w:p>
          <w:p w14:paraId="3F127EA0" w14:textId="77777777" w:rsidR="00F651F4" w:rsidRPr="006F2684" w:rsidRDefault="00F651F4" w:rsidP="00C226A7">
            <w:pPr>
              <w:pStyle w:val="ListParagraph"/>
              <w:numPr>
                <w:ilvl w:val="0"/>
                <w:numId w:val="10"/>
              </w:numPr>
              <w:spacing w:after="0"/>
              <w:rPr>
                <w:sz w:val="20"/>
                <w:szCs w:val="20"/>
              </w:rPr>
            </w:pPr>
            <w:r>
              <w:rPr>
                <w:sz w:val="20"/>
                <w:szCs w:val="20"/>
              </w:rPr>
              <w:t>L</w:t>
            </w:r>
            <w:r w:rsidRPr="006F2684">
              <w:rPr>
                <w:sz w:val="20"/>
                <w:szCs w:val="20"/>
              </w:rPr>
              <w:t xml:space="preserve">ong-term </w:t>
            </w:r>
            <w:r>
              <w:rPr>
                <w:sz w:val="20"/>
                <w:szCs w:val="20"/>
              </w:rPr>
              <w:t xml:space="preserve">climate </w:t>
            </w:r>
            <w:r w:rsidRPr="006F2684">
              <w:rPr>
                <w:sz w:val="20"/>
                <w:szCs w:val="20"/>
              </w:rPr>
              <w:t>trend</w:t>
            </w:r>
            <w:r>
              <w:rPr>
                <w:sz w:val="20"/>
                <w:szCs w:val="20"/>
              </w:rPr>
              <w:t>s</w:t>
            </w:r>
            <w:r w:rsidRPr="006F2684">
              <w:rPr>
                <w:sz w:val="20"/>
                <w:szCs w:val="20"/>
              </w:rPr>
              <w:t xml:space="preserve"> for </w:t>
            </w:r>
            <w:r>
              <w:rPr>
                <w:sz w:val="20"/>
                <w:szCs w:val="20"/>
              </w:rPr>
              <w:t>the EC are masked by natural variability and interdecadal cycles, with overarching climate change trends/impacts (i.e. warming and drying, plus extreme events)</w:t>
            </w:r>
          </w:p>
          <w:p w14:paraId="43908C7A" w14:textId="77777777" w:rsidR="00F651F4" w:rsidRDefault="00F651F4" w:rsidP="00C226A7">
            <w:pPr>
              <w:pStyle w:val="ListParagraph"/>
              <w:numPr>
                <w:ilvl w:val="0"/>
                <w:numId w:val="10"/>
              </w:numPr>
              <w:rPr>
                <w:sz w:val="20"/>
                <w:szCs w:val="20"/>
              </w:rPr>
            </w:pPr>
            <w:r>
              <w:rPr>
                <w:sz w:val="20"/>
                <w:szCs w:val="20"/>
              </w:rPr>
              <w:t xml:space="preserve">Climate change is likely to lead to increased evapotranspiration, seasonal rainfall changes and more severe droughts throughout the MDB, which on balance, is likely to reduce water availability to the EC into the future </w:t>
            </w:r>
          </w:p>
          <w:p w14:paraId="1B6A01AF" w14:textId="77777777" w:rsidR="00F651F4" w:rsidRPr="006F2684" w:rsidRDefault="00F651F4" w:rsidP="00C226A7">
            <w:pPr>
              <w:pStyle w:val="ListParagraph"/>
              <w:numPr>
                <w:ilvl w:val="0"/>
                <w:numId w:val="10"/>
              </w:numPr>
              <w:rPr>
                <w:sz w:val="20"/>
                <w:szCs w:val="20"/>
              </w:rPr>
            </w:pPr>
            <w:r>
              <w:rPr>
                <w:sz w:val="20"/>
                <w:szCs w:val="20"/>
              </w:rPr>
              <w:t xml:space="preserve">Water-temperature tends to correspond to seasonal air temperature (average surface water </w:t>
            </w:r>
            <w:r w:rsidRPr="00902A5F">
              <w:rPr>
                <w:sz w:val="20"/>
                <w:szCs w:val="20"/>
              </w:rPr>
              <w:t xml:space="preserve">range </w:t>
            </w:r>
            <w:r w:rsidRPr="00902A5F">
              <w:rPr>
                <w:rFonts w:cstheme="minorHAnsi"/>
                <w:sz w:val="20"/>
                <w:szCs w:val="20"/>
              </w:rPr>
              <w:t>7–30°C)</w:t>
            </w:r>
            <w:r>
              <w:rPr>
                <w:rFonts w:cstheme="minorHAnsi"/>
                <w:sz w:val="20"/>
                <w:szCs w:val="20"/>
              </w:rPr>
              <w:t xml:space="preserve"> and is increasing under climate change</w:t>
            </w:r>
          </w:p>
          <w:p w14:paraId="4CCF567D" w14:textId="65E7995F" w:rsidR="00F651F4" w:rsidRPr="007155FC" w:rsidRDefault="00F651F4" w:rsidP="00C226A7">
            <w:pPr>
              <w:pStyle w:val="ListParagraph"/>
              <w:numPr>
                <w:ilvl w:val="0"/>
                <w:numId w:val="10"/>
              </w:numPr>
              <w:rPr>
                <w:sz w:val="20"/>
                <w:szCs w:val="20"/>
              </w:rPr>
            </w:pPr>
            <w:r w:rsidRPr="00C07DE5">
              <w:rPr>
                <w:sz w:val="20"/>
                <w:szCs w:val="20"/>
              </w:rPr>
              <w:t>Smaller more frequent</w:t>
            </w:r>
            <w:r>
              <w:rPr>
                <w:sz w:val="20"/>
                <w:szCs w:val="20"/>
              </w:rPr>
              <w:t xml:space="preserve"> floods</w:t>
            </w:r>
            <w:r w:rsidRPr="00C07DE5">
              <w:rPr>
                <w:sz w:val="20"/>
                <w:szCs w:val="20"/>
              </w:rPr>
              <w:t xml:space="preserve"> </w:t>
            </w:r>
            <w:r>
              <w:rPr>
                <w:sz w:val="20"/>
                <w:szCs w:val="20"/>
              </w:rPr>
              <w:t xml:space="preserve">(induced by rainfall and runoff) and larger less frequent floods are </w:t>
            </w:r>
            <w:r w:rsidRPr="00C07DE5">
              <w:rPr>
                <w:sz w:val="20"/>
                <w:szCs w:val="20"/>
              </w:rPr>
              <w:t xml:space="preserve">critical to </w:t>
            </w:r>
            <w:r>
              <w:rPr>
                <w:sz w:val="20"/>
                <w:szCs w:val="20"/>
              </w:rPr>
              <w:t xml:space="preserve">maintaining the </w:t>
            </w:r>
            <w:r w:rsidR="003B584A">
              <w:rPr>
                <w:sz w:val="20"/>
                <w:szCs w:val="20"/>
              </w:rPr>
              <w:t>RMDS</w:t>
            </w:r>
            <w:r w:rsidR="006D6DA5">
              <w:rPr>
                <w:sz w:val="20"/>
                <w:szCs w:val="20"/>
              </w:rPr>
              <w:t>, but this is shifting with climate change (on top of water regulation)</w:t>
            </w:r>
          </w:p>
        </w:tc>
      </w:tr>
    </w:tbl>
    <w:p w14:paraId="42329DC0" w14:textId="77777777" w:rsidR="00F651F4" w:rsidRDefault="00F651F4" w:rsidP="00582C9F"/>
    <w:p w14:paraId="1092BC67" w14:textId="3F7B8303" w:rsidR="00D75F4E" w:rsidRDefault="00D75F4E" w:rsidP="00183E67">
      <w:pPr>
        <w:keepLines/>
      </w:pPr>
      <w:r>
        <w:t xml:space="preserve">The climate of the RMDS EC is heavily influenced by the prevailing climate of the entire Murray-Darling Basin (MDB), particularly that of the Southern Basin. Climate of the MDB is characterised by extremely variable annual rainfall, leading to variable river flows; this includes, at times, large floods and widespread droughts. Long-term trends in the climate across the </w:t>
      </w:r>
      <w:r w:rsidR="006D6DA5">
        <w:t>RMDS</w:t>
      </w:r>
      <w:r>
        <w:t xml:space="preserve"> are masked by interdecadal cycles (e.g. the ‘wet’ 1950s and the ‘dry’ 2000-2010). The variable and unpredictable nature of climate in the MDB is further exacerbated by the impacts of climate change, including an unpredictable and increasing occurrence of extreme events (Dowdy et al. 2019). Overall, the MDB has warmed by around a degree since 1910, with more warm days, fewer cold days, and greater evapotranspiration (Whetton &amp; Chiew 202</w:t>
      </w:r>
      <w:r w:rsidR="002A0504">
        <w:t>1</w:t>
      </w:r>
      <w:r w:rsidR="00AC48C5">
        <w:t>; Zhang et al. 2024</w:t>
      </w:r>
      <w:r>
        <w:t>).</w:t>
      </w:r>
    </w:p>
    <w:p w14:paraId="35755C81" w14:textId="77384FB3" w:rsidR="00194FB1" w:rsidRPr="00194FB1" w:rsidRDefault="00686E02" w:rsidP="00194FB1">
      <w:r>
        <w:t xml:space="preserve">Occurring across a semi-arid region, the ecological </w:t>
      </w:r>
      <w:r w:rsidR="00BF727E">
        <w:t xml:space="preserve">community </w:t>
      </w:r>
      <w:r w:rsidR="005B5FA3">
        <w:t xml:space="preserve">historically had </w:t>
      </w:r>
      <w:r w:rsidRPr="003158AC">
        <w:t>a more pronounced seasonal pattern of winter-dominant r</w:t>
      </w:r>
      <w:r>
        <w:t xml:space="preserve">ainfall in the south, including </w:t>
      </w:r>
      <w:r w:rsidRPr="003158AC">
        <w:t>the Eastern Mount Lofty Ranges (Young 2001; MDBA 2010b; SAMDBNRM Board 2010a)</w:t>
      </w:r>
      <w:r>
        <w:t xml:space="preserve">. </w:t>
      </w:r>
      <w:r w:rsidR="00E14F39">
        <w:t>S</w:t>
      </w:r>
      <w:r w:rsidRPr="003158AC">
        <w:t>pring and summer together may receive up to half of the annual total rainfall (Schwerdtfeger and Grace 2009</w:t>
      </w:r>
      <w:r w:rsidR="00F30627">
        <w:t xml:space="preserve">). </w:t>
      </w:r>
      <w:r w:rsidR="00E14F39">
        <w:t>However, t</w:t>
      </w:r>
      <w:r w:rsidR="00F42B14">
        <w:t xml:space="preserve">here is strong agreement that climate change </w:t>
      </w:r>
      <w:r w:rsidR="00BE1F8E">
        <w:t>ha</w:t>
      </w:r>
      <w:r w:rsidR="003A0348">
        <w:t xml:space="preserve">s </w:t>
      </w:r>
      <w:r w:rsidR="00BE1F8E">
        <w:t xml:space="preserve">resulted in a </w:t>
      </w:r>
      <w:r w:rsidR="00430357">
        <w:t xml:space="preserve">long-term trend </w:t>
      </w:r>
      <w:r w:rsidR="001746F5">
        <w:t>of</w:t>
      </w:r>
      <w:r w:rsidR="00430357">
        <w:t xml:space="preserve"> warming and drying </w:t>
      </w:r>
      <w:r w:rsidR="001746F5">
        <w:t xml:space="preserve">over the region of the </w:t>
      </w:r>
      <w:r w:rsidR="006D6DA5">
        <w:t>RMDS</w:t>
      </w:r>
      <w:r w:rsidR="001746F5">
        <w:t>, with increased potential for extreme events and sever</w:t>
      </w:r>
      <w:r w:rsidR="00AD1568">
        <w:t>e</w:t>
      </w:r>
      <w:r w:rsidR="001746F5">
        <w:t xml:space="preserve"> wildfi</w:t>
      </w:r>
      <w:r w:rsidR="00E14F39">
        <w:t>r</w:t>
      </w:r>
      <w:r w:rsidR="001746F5">
        <w:t>e</w:t>
      </w:r>
      <w:r w:rsidR="00920958">
        <w:t xml:space="preserve"> (</w:t>
      </w:r>
      <w:r w:rsidR="00E64163">
        <w:t>Lawrence et al. 2022)</w:t>
      </w:r>
      <w:r w:rsidR="001746F5">
        <w:t>.</w:t>
      </w:r>
      <w:r w:rsidR="00E14F39">
        <w:t xml:space="preserve"> </w:t>
      </w:r>
      <w:r w:rsidR="00CE2804">
        <w:t>This was particularly evidenced by the Millennium Drought (1997-2010). Overall</w:t>
      </w:r>
      <w:r w:rsidR="00E14F39">
        <w:t xml:space="preserve">, the pattern and seasonality of rainfall has changed (Evans et al. 2016; </w:t>
      </w:r>
      <w:r w:rsidR="003E5E77">
        <w:t xml:space="preserve">Peterson et al. 2021; </w:t>
      </w:r>
      <w:r w:rsidR="00A06B0E">
        <w:t>Lawrence et al. 2022</w:t>
      </w:r>
      <w:r w:rsidR="003A0348">
        <w:t>).</w:t>
      </w:r>
      <w:r w:rsidR="00E61529">
        <w:t xml:space="preserve"> </w:t>
      </w:r>
    </w:p>
    <w:p w14:paraId="374ED60D" w14:textId="0A699B4E" w:rsidR="00680C70" w:rsidRPr="004A7188" w:rsidRDefault="00680C70" w:rsidP="006E2204">
      <w:pPr>
        <w:pStyle w:val="Heading4"/>
      </w:pPr>
      <w:r w:rsidRPr="004A7188">
        <w:t>Hydrology</w:t>
      </w:r>
    </w:p>
    <w:tbl>
      <w:tblPr>
        <w:tblStyle w:val="TableGrid"/>
        <w:tblW w:w="0" w:type="auto"/>
        <w:tblLook w:val="04A0" w:firstRow="1" w:lastRow="0" w:firstColumn="1" w:lastColumn="0" w:noHBand="0" w:noVBand="1"/>
      </w:tblPr>
      <w:tblGrid>
        <w:gridCol w:w="9060"/>
      </w:tblGrid>
      <w:tr w:rsidR="00292B30" w14:paraId="5DC6A4D2" w14:textId="77777777" w:rsidTr="00FC655C">
        <w:tc>
          <w:tcPr>
            <w:tcW w:w="9060" w:type="dxa"/>
            <w:shd w:val="clear" w:color="auto" w:fill="DEEAF6" w:themeFill="accent1" w:themeFillTint="33"/>
          </w:tcPr>
          <w:p w14:paraId="60BEDA5B" w14:textId="77777777" w:rsidR="00292B30" w:rsidRPr="00604873" w:rsidRDefault="00292B30" w:rsidP="00F36777">
            <w:pPr>
              <w:rPr>
                <w:b/>
                <w:bCs/>
                <w:i/>
                <w:iCs/>
                <w:sz w:val="20"/>
                <w:szCs w:val="20"/>
              </w:rPr>
            </w:pPr>
            <w:r w:rsidRPr="00604873">
              <w:rPr>
                <w:b/>
                <w:bCs/>
                <w:i/>
                <w:iCs/>
                <w:sz w:val="20"/>
                <w:szCs w:val="20"/>
              </w:rPr>
              <w:t>Key points on Hydrology of the RMDS EC</w:t>
            </w:r>
          </w:p>
          <w:p w14:paraId="3779BF08" w14:textId="44250206" w:rsidR="00292B30" w:rsidRPr="00BD6FCF" w:rsidRDefault="00463004" w:rsidP="000C6EE4">
            <w:pPr>
              <w:pStyle w:val="ListParagraph"/>
              <w:numPr>
                <w:ilvl w:val="0"/>
                <w:numId w:val="12"/>
              </w:numPr>
              <w:rPr>
                <w:sz w:val="20"/>
                <w:szCs w:val="20"/>
              </w:rPr>
            </w:pPr>
            <w:r w:rsidRPr="00BD6FCF">
              <w:rPr>
                <w:sz w:val="20"/>
                <w:szCs w:val="20"/>
              </w:rPr>
              <w:t>Historica</w:t>
            </w:r>
            <w:r w:rsidR="003952ED" w:rsidRPr="00BD6FCF">
              <w:rPr>
                <w:sz w:val="20"/>
                <w:szCs w:val="20"/>
              </w:rPr>
              <w:t xml:space="preserve">lly </w:t>
            </w:r>
            <w:r w:rsidR="00CB3F45">
              <w:rPr>
                <w:sz w:val="20"/>
                <w:szCs w:val="20"/>
              </w:rPr>
              <w:t xml:space="preserve">hydrology is </w:t>
            </w:r>
            <w:r w:rsidR="003952ED" w:rsidRPr="00BD6FCF">
              <w:rPr>
                <w:sz w:val="20"/>
                <w:szCs w:val="20"/>
              </w:rPr>
              <w:t>fed by winter-spring rainfall</w:t>
            </w:r>
            <w:r w:rsidR="008E4244">
              <w:rPr>
                <w:sz w:val="20"/>
                <w:szCs w:val="20"/>
              </w:rPr>
              <w:t xml:space="preserve"> (and snow-mel</w:t>
            </w:r>
            <w:r w:rsidR="00DC78D0">
              <w:rPr>
                <w:sz w:val="20"/>
                <w:szCs w:val="20"/>
              </w:rPr>
              <w:t>t</w:t>
            </w:r>
            <w:r w:rsidR="008E4244">
              <w:rPr>
                <w:sz w:val="20"/>
                <w:szCs w:val="20"/>
              </w:rPr>
              <w:t>)</w:t>
            </w:r>
          </w:p>
          <w:p w14:paraId="71722E38" w14:textId="4F5F92AC" w:rsidR="00BD6FCF" w:rsidRPr="006F2684" w:rsidRDefault="006D6DA5" w:rsidP="000C6EE4">
            <w:pPr>
              <w:pStyle w:val="ListParagraph"/>
              <w:numPr>
                <w:ilvl w:val="0"/>
                <w:numId w:val="12"/>
              </w:numPr>
              <w:rPr>
                <w:sz w:val="20"/>
                <w:szCs w:val="20"/>
              </w:rPr>
            </w:pPr>
            <w:r>
              <w:rPr>
                <w:sz w:val="20"/>
                <w:szCs w:val="20"/>
              </w:rPr>
              <w:t>R</w:t>
            </w:r>
            <w:r w:rsidR="008D2AFC">
              <w:rPr>
                <w:sz w:val="20"/>
                <w:szCs w:val="20"/>
              </w:rPr>
              <w:t>MDS</w:t>
            </w:r>
            <w:r w:rsidR="00BD6FCF">
              <w:rPr>
                <w:sz w:val="20"/>
                <w:szCs w:val="20"/>
              </w:rPr>
              <w:t xml:space="preserve"> occurs in a s</w:t>
            </w:r>
            <w:r w:rsidR="00BD6FCF" w:rsidRPr="006F2684">
              <w:rPr>
                <w:sz w:val="20"/>
                <w:szCs w:val="20"/>
              </w:rPr>
              <w:t xml:space="preserve">emi-arid zone, </w:t>
            </w:r>
            <w:r w:rsidR="00BD6FCF">
              <w:rPr>
                <w:sz w:val="20"/>
                <w:szCs w:val="20"/>
              </w:rPr>
              <w:t xml:space="preserve">with </w:t>
            </w:r>
            <w:r w:rsidR="00437279">
              <w:rPr>
                <w:sz w:val="20"/>
                <w:szCs w:val="20"/>
              </w:rPr>
              <w:t xml:space="preserve">relatively low </w:t>
            </w:r>
            <w:r w:rsidR="00BD6FCF" w:rsidRPr="006F2684">
              <w:rPr>
                <w:sz w:val="20"/>
                <w:szCs w:val="20"/>
              </w:rPr>
              <w:t>run-off</w:t>
            </w:r>
            <w:r w:rsidR="00BD6FCF">
              <w:rPr>
                <w:sz w:val="20"/>
                <w:szCs w:val="20"/>
              </w:rPr>
              <w:t xml:space="preserve"> and </w:t>
            </w:r>
            <w:r w:rsidR="00BD6FCF" w:rsidRPr="006F2684">
              <w:rPr>
                <w:sz w:val="20"/>
                <w:szCs w:val="20"/>
              </w:rPr>
              <w:t>high evaporation</w:t>
            </w:r>
          </w:p>
          <w:p w14:paraId="4FD0AEB7" w14:textId="03FA930C" w:rsidR="00234980" w:rsidRPr="00C35786" w:rsidRDefault="00234980" w:rsidP="000C6EE4">
            <w:pPr>
              <w:pStyle w:val="ListParagraph"/>
              <w:numPr>
                <w:ilvl w:val="0"/>
                <w:numId w:val="12"/>
              </w:numPr>
              <w:rPr>
                <w:sz w:val="20"/>
                <w:szCs w:val="20"/>
              </w:rPr>
            </w:pPr>
            <w:r w:rsidRPr="00C35786">
              <w:rPr>
                <w:sz w:val="20"/>
                <w:szCs w:val="20"/>
              </w:rPr>
              <w:t>Long-term average</w:t>
            </w:r>
            <w:r w:rsidR="00412D01" w:rsidRPr="00C35786">
              <w:rPr>
                <w:sz w:val="20"/>
                <w:szCs w:val="20"/>
              </w:rPr>
              <w:t xml:space="preserve"> discharge of River Murray </w:t>
            </w:r>
            <w:r w:rsidR="00433159" w:rsidRPr="00C35786">
              <w:rPr>
                <w:sz w:val="20"/>
                <w:szCs w:val="20"/>
              </w:rPr>
              <w:t>estimated as</w:t>
            </w:r>
            <w:r w:rsidR="00412D01" w:rsidRPr="00C35786">
              <w:rPr>
                <w:sz w:val="20"/>
                <w:szCs w:val="20"/>
              </w:rPr>
              <w:t xml:space="preserve"> 12 600 GL</w:t>
            </w:r>
            <w:r w:rsidR="00433159" w:rsidRPr="00C35786">
              <w:rPr>
                <w:sz w:val="20"/>
                <w:szCs w:val="20"/>
              </w:rPr>
              <w:t xml:space="preserve"> (</w:t>
            </w:r>
            <w:r w:rsidR="00CA7C55" w:rsidRPr="00C35786">
              <w:rPr>
                <w:sz w:val="20"/>
                <w:szCs w:val="20"/>
              </w:rPr>
              <w:t xml:space="preserve">CSIRO </w:t>
            </w:r>
            <w:r w:rsidR="00433159" w:rsidRPr="00C35786">
              <w:rPr>
                <w:sz w:val="20"/>
                <w:szCs w:val="20"/>
              </w:rPr>
              <w:t>200</w:t>
            </w:r>
            <w:r w:rsidR="00851089" w:rsidRPr="00C35786">
              <w:rPr>
                <w:sz w:val="20"/>
                <w:szCs w:val="20"/>
              </w:rPr>
              <w:t>8</w:t>
            </w:r>
            <w:r w:rsidR="00C35786">
              <w:rPr>
                <w:sz w:val="20"/>
                <w:szCs w:val="20"/>
              </w:rPr>
              <w:t>; Local d</w:t>
            </w:r>
            <w:r w:rsidR="00C35786" w:rsidRPr="00BD6FCF">
              <w:rPr>
                <w:sz w:val="20"/>
                <w:szCs w:val="20"/>
              </w:rPr>
              <w:t xml:space="preserve">ischarge </w:t>
            </w:r>
            <w:r w:rsidR="00437279">
              <w:rPr>
                <w:sz w:val="20"/>
                <w:szCs w:val="20"/>
              </w:rPr>
              <w:t xml:space="preserve">is </w:t>
            </w:r>
            <w:r w:rsidR="00C35786" w:rsidRPr="00BD6FCF">
              <w:rPr>
                <w:sz w:val="20"/>
                <w:szCs w:val="20"/>
              </w:rPr>
              <w:t>typically low and highly variable</w:t>
            </w:r>
            <w:r w:rsidR="00433159" w:rsidRPr="00C35786">
              <w:rPr>
                <w:sz w:val="20"/>
                <w:szCs w:val="20"/>
              </w:rPr>
              <w:t>)</w:t>
            </w:r>
          </w:p>
          <w:p w14:paraId="36FBD297" w14:textId="62FB21F6" w:rsidR="00C35786" w:rsidRDefault="00C35786" w:rsidP="000C6EE4">
            <w:pPr>
              <w:pStyle w:val="ListParagraph"/>
              <w:numPr>
                <w:ilvl w:val="0"/>
                <w:numId w:val="12"/>
              </w:numPr>
              <w:rPr>
                <w:sz w:val="20"/>
                <w:szCs w:val="20"/>
              </w:rPr>
            </w:pPr>
            <w:r w:rsidRPr="00DB59AB">
              <w:rPr>
                <w:sz w:val="20"/>
                <w:szCs w:val="20"/>
              </w:rPr>
              <w:t>Limited tributaries</w:t>
            </w:r>
            <w:r>
              <w:rPr>
                <w:sz w:val="20"/>
                <w:szCs w:val="20"/>
              </w:rPr>
              <w:t xml:space="preserve">; strong influence from mid-Murray, with </w:t>
            </w:r>
            <w:r w:rsidR="00F57D06">
              <w:rPr>
                <w:sz w:val="20"/>
                <w:szCs w:val="20"/>
              </w:rPr>
              <w:t xml:space="preserve">typically </w:t>
            </w:r>
            <w:r>
              <w:rPr>
                <w:sz w:val="20"/>
                <w:szCs w:val="20"/>
              </w:rPr>
              <w:t>low</w:t>
            </w:r>
            <w:r w:rsidR="00271A6C">
              <w:rPr>
                <w:sz w:val="20"/>
                <w:szCs w:val="20"/>
              </w:rPr>
              <w:t>er</w:t>
            </w:r>
            <w:r>
              <w:rPr>
                <w:sz w:val="20"/>
                <w:szCs w:val="20"/>
              </w:rPr>
              <w:t xml:space="preserve"> but </w:t>
            </w:r>
            <w:r w:rsidR="00437279">
              <w:rPr>
                <w:sz w:val="20"/>
                <w:szCs w:val="20"/>
              </w:rPr>
              <w:t xml:space="preserve">intermittent </w:t>
            </w:r>
            <w:r>
              <w:rPr>
                <w:sz w:val="20"/>
                <w:szCs w:val="20"/>
              </w:rPr>
              <w:t xml:space="preserve">influence </w:t>
            </w:r>
            <w:r w:rsidR="00271A6C">
              <w:rPr>
                <w:sz w:val="20"/>
                <w:szCs w:val="20"/>
              </w:rPr>
              <w:t xml:space="preserve">from </w:t>
            </w:r>
            <w:r>
              <w:rPr>
                <w:sz w:val="20"/>
                <w:szCs w:val="20"/>
              </w:rPr>
              <w:t>Darling</w:t>
            </w:r>
            <w:r w:rsidR="00437279">
              <w:rPr>
                <w:sz w:val="20"/>
                <w:szCs w:val="20"/>
              </w:rPr>
              <w:t xml:space="preserve"> River</w:t>
            </w:r>
          </w:p>
          <w:p w14:paraId="4B7B8B4C" w14:textId="5403CD7A" w:rsidR="00BD6FCF" w:rsidRPr="00BD6FCF" w:rsidRDefault="00BD6FCF" w:rsidP="000C6EE4">
            <w:pPr>
              <w:pStyle w:val="ListParagraph"/>
              <w:numPr>
                <w:ilvl w:val="0"/>
                <w:numId w:val="12"/>
              </w:numPr>
              <w:rPr>
                <w:sz w:val="20"/>
                <w:szCs w:val="20"/>
              </w:rPr>
            </w:pPr>
            <w:r w:rsidRPr="00C07DE5">
              <w:rPr>
                <w:sz w:val="20"/>
                <w:szCs w:val="20"/>
              </w:rPr>
              <w:t>Smaller more frequent</w:t>
            </w:r>
            <w:r>
              <w:rPr>
                <w:sz w:val="20"/>
                <w:szCs w:val="20"/>
              </w:rPr>
              <w:t xml:space="preserve"> floods</w:t>
            </w:r>
            <w:r w:rsidRPr="00C07DE5">
              <w:rPr>
                <w:sz w:val="20"/>
                <w:szCs w:val="20"/>
              </w:rPr>
              <w:t xml:space="preserve"> </w:t>
            </w:r>
            <w:r>
              <w:rPr>
                <w:sz w:val="20"/>
                <w:szCs w:val="20"/>
              </w:rPr>
              <w:t xml:space="preserve">(induced by rainfall and runoff) are </w:t>
            </w:r>
            <w:r w:rsidRPr="00C07DE5">
              <w:rPr>
                <w:sz w:val="20"/>
                <w:szCs w:val="20"/>
              </w:rPr>
              <w:t>critical to ecology</w:t>
            </w:r>
          </w:p>
          <w:p w14:paraId="13CB8E88" w14:textId="7262E053" w:rsidR="00BD6FCF" w:rsidRPr="00BD6FCF" w:rsidRDefault="00BD6FCF" w:rsidP="000C6EE4">
            <w:pPr>
              <w:pStyle w:val="ListParagraph"/>
              <w:numPr>
                <w:ilvl w:val="0"/>
                <w:numId w:val="12"/>
              </w:numPr>
              <w:rPr>
                <w:sz w:val="20"/>
                <w:szCs w:val="20"/>
              </w:rPr>
            </w:pPr>
            <w:r w:rsidRPr="00BD6FCF">
              <w:rPr>
                <w:sz w:val="20"/>
                <w:szCs w:val="20"/>
              </w:rPr>
              <w:t xml:space="preserve">Groundwater recharge </w:t>
            </w:r>
            <w:r w:rsidR="00796002">
              <w:rPr>
                <w:sz w:val="20"/>
                <w:szCs w:val="20"/>
              </w:rPr>
              <w:t xml:space="preserve">is </w:t>
            </w:r>
            <w:r w:rsidRPr="00BD6FCF">
              <w:rPr>
                <w:sz w:val="20"/>
                <w:szCs w:val="20"/>
              </w:rPr>
              <w:t>important</w:t>
            </w:r>
            <w:r w:rsidR="00796002">
              <w:rPr>
                <w:sz w:val="20"/>
                <w:szCs w:val="20"/>
              </w:rPr>
              <w:t xml:space="preserve"> to the EC</w:t>
            </w:r>
            <w:r w:rsidR="00EA6F87">
              <w:rPr>
                <w:sz w:val="20"/>
                <w:szCs w:val="20"/>
              </w:rPr>
              <w:t>, and in particular the Coorong’s South Lagoon</w:t>
            </w:r>
          </w:p>
          <w:p w14:paraId="7FC0BAB8" w14:textId="77777777" w:rsidR="007E792B" w:rsidRDefault="001662EE" w:rsidP="000C6EE4">
            <w:pPr>
              <w:pStyle w:val="ListParagraph"/>
              <w:numPr>
                <w:ilvl w:val="0"/>
                <w:numId w:val="12"/>
              </w:numPr>
              <w:rPr>
                <w:sz w:val="20"/>
                <w:szCs w:val="20"/>
              </w:rPr>
            </w:pPr>
            <w:r>
              <w:rPr>
                <w:sz w:val="20"/>
                <w:szCs w:val="20"/>
              </w:rPr>
              <w:t>Seasonal hydrological cycles are being impacted by climate change</w:t>
            </w:r>
          </w:p>
          <w:p w14:paraId="238DB651" w14:textId="77777777" w:rsidR="00857261" w:rsidRDefault="00CB01AD" w:rsidP="000C6EE4">
            <w:pPr>
              <w:pStyle w:val="ListParagraph"/>
              <w:numPr>
                <w:ilvl w:val="0"/>
                <w:numId w:val="12"/>
              </w:numPr>
              <w:rPr>
                <w:sz w:val="20"/>
                <w:szCs w:val="20"/>
              </w:rPr>
            </w:pPr>
            <w:r>
              <w:rPr>
                <w:sz w:val="20"/>
                <w:szCs w:val="20"/>
              </w:rPr>
              <w:t xml:space="preserve">Regulated by </w:t>
            </w:r>
            <w:r w:rsidR="004D7566">
              <w:rPr>
                <w:sz w:val="20"/>
                <w:szCs w:val="20"/>
              </w:rPr>
              <w:t>10 loc</w:t>
            </w:r>
            <w:r>
              <w:rPr>
                <w:sz w:val="20"/>
                <w:szCs w:val="20"/>
              </w:rPr>
              <w:t>k</w:t>
            </w:r>
            <w:r w:rsidR="004D7566">
              <w:rPr>
                <w:sz w:val="20"/>
                <w:szCs w:val="20"/>
              </w:rPr>
              <w:t xml:space="preserve">s </w:t>
            </w:r>
            <w:r w:rsidR="0056564E">
              <w:rPr>
                <w:sz w:val="20"/>
                <w:szCs w:val="20"/>
              </w:rPr>
              <w:t>(</w:t>
            </w:r>
            <w:r w:rsidR="004D7566">
              <w:rPr>
                <w:sz w:val="20"/>
                <w:szCs w:val="20"/>
              </w:rPr>
              <w:t>built 102</w:t>
            </w:r>
            <w:r w:rsidR="0056564E">
              <w:rPr>
                <w:sz w:val="20"/>
                <w:szCs w:val="20"/>
              </w:rPr>
              <w:t>2</w:t>
            </w:r>
            <w:r w:rsidR="004D7566">
              <w:rPr>
                <w:sz w:val="20"/>
                <w:szCs w:val="20"/>
              </w:rPr>
              <w:t>-1935</w:t>
            </w:r>
            <w:r w:rsidR="0056564E">
              <w:rPr>
                <w:sz w:val="20"/>
                <w:szCs w:val="20"/>
              </w:rPr>
              <w:t>)</w:t>
            </w:r>
            <w:r w:rsidR="004D7566">
              <w:rPr>
                <w:sz w:val="20"/>
                <w:szCs w:val="20"/>
              </w:rPr>
              <w:t xml:space="preserve"> and 5 barrages</w:t>
            </w:r>
            <w:r w:rsidR="000E3447">
              <w:rPr>
                <w:sz w:val="20"/>
                <w:szCs w:val="20"/>
              </w:rPr>
              <w:t xml:space="preserve"> </w:t>
            </w:r>
            <w:r>
              <w:rPr>
                <w:sz w:val="20"/>
                <w:szCs w:val="20"/>
              </w:rPr>
              <w:t xml:space="preserve">near Mouth </w:t>
            </w:r>
            <w:r w:rsidR="0056564E">
              <w:rPr>
                <w:sz w:val="20"/>
                <w:szCs w:val="20"/>
              </w:rPr>
              <w:t>(</w:t>
            </w:r>
            <w:r w:rsidR="000E3447">
              <w:rPr>
                <w:sz w:val="20"/>
                <w:szCs w:val="20"/>
              </w:rPr>
              <w:t>built 1935-1940</w:t>
            </w:r>
            <w:r w:rsidR="0056564E">
              <w:rPr>
                <w:sz w:val="20"/>
                <w:szCs w:val="20"/>
              </w:rPr>
              <w:t>)</w:t>
            </w:r>
          </w:p>
          <w:p w14:paraId="0B9E94FF" w14:textId="07E06ACE" w:rsidR="00030B5E" w:rsidRPr="00DB59AB" w:rsidRDefault="00030B5E" w:rsidP="000C6EE4">
            <w:pPr>
              <w:pStyle w:val="ListParagraph"/>
              <w:numPr>
                <w:ilvl w:val="0"/>
                <w:numId w:val="12"/>
              </w:numPr>
              <w:rPr>
                <w:sz w:val="20"/>
                <w:szCs w:val="20"/>
              </w:rPr>
            </w:pPr>
            <w:r>
              <w:rPr>
                <w:sz w:val="20"/>
                <w:szCs w:val="20"/>
              </w:rPr>
              <w:t>Since 200</w:t>
            </w:r>
            <w:r w:rsidR="00602772">
              <w:rPr>
                <w:sz w:val="20"/>
                <w:szCs w:val="20"/>
              </w:rPr>
              <w:t>8</w:t>
            </w:r>
          </w:p>
        </w:tc>
      </w:tr>
    </w:tbl>
    <w:p w14:paraId="5F50FF34" w14:textId="77777777" w:rsidR="00292B30" w:rsidRPr="00D35CB1" w:rsidRDefault="00292B30" w:rsidP="00F36777">
      <w:pPr>
        <w:rPr>
          <w:sz w:val="16"/>
          <w:szCs w:val="16"/>
        </w:rPr>
      </w:pPr>
    </w:p>
    <w:p w14:paraId="413B2E5E" w14:textId="75035D39" w:rsidR="001A7F9F" w:rsidRPr="001A7F9F" w:rsidRDefault="008828BA" w:rsidP="00F36777">
      <w:r>
        <w:lastRenderedPageBreak/>
        <w:t>T</w:t>
      </w:r>
      <w:r w:rsidR="001A7F9F" w:rsidRPr="000D6801">
        <w:t xml:space="preserve">he River Murray system </w:t>
      </w:r>
      <w:r w:rsidR="001A7F9F">
        <w:t>is</w:t>
      </w:r>
      <w:r w:rsidR="001A7F9F" w:rsidRPr="000D6801">
        <w:t xml:space="preserve"> fed mainly by </w:t>
      </w:r>
      <w:r w:rsidR="001A7F9F">
        <w:t xml:space="preserve">winter-spring </w:t>
      </w:r>
      <w:r w:rsidR="001A7F9F" w:rsidRPr="000D6801">
        <w:t xml:space="preserve">rainfall </w:t>
      </w:r>
      <w:r w:rsidR="001A7F9F">
        <w:t>and snow-melt (</w:t>
      </w:r>
      <w:r w:rsidR="001A7F9F" w:rsidRPr="000D6801">
        <w:t>Jacobs 1990</w:t>
      </w:r>
      <w:r>
        <w:t>; H</w:t>
      </w:r>
      <w:r w:rsidR="00135A65">
        <w:t>ar</w:t>
      </w:r>
      <w:r>
        <w:t xml:space="preserve">t </w:t>
      </w:r>
      <w:r w:rsidR="00D442E2">
        <w:t xml:space="preserve">et </w:t>
      </w:r>
      <w:r>
        <w:t>al. 2020</w:t>
      </w:r>
      <w:r w:rsidR="001A7F9F" w:rsidRPr="000D6801">
        <w:t xml:space="preserve">). </w:t>
      </w:r>
      <w:r w:rsidR="001A7F9F">
        <w:t>W</w:t>
      </w:r>
      <w:r w:rsidR="001A7F9F" w:rsidRPr="000D6801">
        <w:t xml:space="preserve">ater </w:t>
      </w:r>
      <w:r w:rsidR="001A7F9F">
        <w:t xml:space="preserve">is carried </w:t>
      </w:r>
      <w:r w:rsidR="001A7F9F" w:rsidRPr="000D6801">
        <w:t xml:space="preserve">from </w:t>
      </w:r>
      <w:r w:rsidR="001A7F9F">
        <w:t xml:space="preserve">a wet, high rainfall zone in the southeast, westerly through a </w:t>
      </w:r>
      <w:r w:rsidR="001A7F9F" w:rsidRPr="000D6801">
        <w:t>semi-arid</w:t>
      </w:r>
      <w:r w:rsidR="001A7F9F">
        <w:t xml:space="preserve"> zone that contributes comparatively little run-off</w:t>
      </w:r>
      <w:r w:rsidR="00C50A28">
        <w:t xml:space="preserve"> (Zhang et al. 2024)</w:t>
      </w:r>
      <w:r w:rsidR="001A7F9F" w:rsidRPr="000D6801">
        <w:t xml:space="preserve">. </w:t>
      </w:r>
      <w:r w:rsidR="001A7F9F">
        <w:t xml:space="preserve"> Most of the rainfall is evaporated </w:t>
      </w:r>
      <w:r w:rsidR="00995669">
        <w:t xml:space="preserve">from the land surface </w:t>
      </w:r>
      <w:r w:rsidR="001A7F9F">
        <w:t xml:space="preserve">or transpired by vegetation. An exception is the region of River Murray above Albury, </w:t>
      </w:r>
      <w:r w:rsidR="00EF0392">
        <w:t xml:space="preserve">NSW, </w:t>
      </w:r>
      <w:r w:rsidR="001A7F9F">
        <w:t>which has a 500 mm annual rainfall isohyet</w:t>
      </w:r>
      <w:r w:rsidR="000E6354">
        <w:t xml:space="preserve"> (BoM 2024</w:t>
      </w:r>
      <w:r w:rsidR="00C0490B">
        <w:t>)</w:t>
      </w:r>
      <w:r w:rsidR="001A7F9F">
        <w:t xml:space="preserve">; this is the source of most of the surface water in the ecological community (Walker </w:t>
      </w:r>
      <w:r w:rsidR="00A73A02">
        <w:t xml:space="preserve">1986, </w:t>
      </w:r>
      <w:r w:rsidR="001A7F9F">
        <w:t>2006).</w:t>
      </w:r>
    </w:p>
    <w:p w14:paraId="5A3E7199" w14:textId="0732C1A3" w:rsidR="00F36777" w:rsidRPr="004A7188" w:rsidRDefault="00F36777" w:rsidP="006E2204">
      <w:pPr>
        <w:pStyle w:val="Heading4"/>
      </w:pPr>
      <w:r w:rsidRPr="004A7188">
        <w:t>Discharge</w:t>
      </w:r>
    </w:p>
    <w:p w14:paraId="3FE5496B" w14:textId="1510E968" w:rsidR="00F36777" w:rsidRDefault="00F36777" w:rsidP="006C1C48">
      <w:r>
        <w:t xml:space="preserve">The Murray's annual discharge is highly variable and generally low compared with rivers of similar catchment areas (Jacobs, 1990). </w:t>
      </w:r>
      <w:r w:rsidRPr="000D6801">
        <w:t xml:space="preserve">The </w:t>
      </w:r>
      <w:r>
        <w:t xml:space="preserve">long-term </w:t>
      </w:r>
      <w:r w:rsidRPr="000D6801">
        <w:t xml:space="preserve">annual average </w:t>
      </w:r>
      <w:r>
        <w:t xml:space="preserve">natural </w:t>
      </w:r>
      <w:r w:rsidRPr="000D6801">
        <w:t xml:space="preserve">flow in the </w:t>
      </w:r>
      <w:r>
        <w:t xml:space="preserve">River </w:t>
      </w:r>
      <w:r w:rsidRPr="000D6801">
        <w:t>Murray</w:t>
      </w:r>
      <w:r>
        <w:t xml:space="preserve"> is around 12 600 GL</w:t>
      </w:r>
      <w:r w:rsidR="00935183">
        <w:t xml:space="preserve"> (</w:t>
      </w:r>
      <w:r w:rsidR="00170DDC">
        <w:t xml:space="preserve">CSIRO </w:t>
      </w:r>
      <w:r w:rsidR="00935183">
        <w:t>200</w:t>
      </w:r>
      <w:r w:rsidR="00170DDC">
        <w:t>8</w:t>
      </w:r>
      <w:r w:rsidR="00935183">
        <w:t>)</w:t>
      </w:r>
      <w:r>
        <w:t>, with flows as low as 3000 GL or less in dry years, and up to 57 000 GL in very wet years (Jacobs 1990; MDBC 2003 in MDBC 2006a</w:t>
      </w:r>
      <w:r w:rsidR="00CC03C8">
        <w:t xml:space="preserve">; </w:t>
      </w:r>
      <w:r w:rsidR="00FD3FD2" w:rsidRPr="004443C8">
        <w:rPr>
          <w:i/>
          <w:iCs/>
        </w:rPr>
        <w:t>MDBA</w:t>
      </w:r>
      <w:r w:rsidR="00922B7E" w:rsidRPr="004443C8">
        <w:rPr>
          <w:i/>
          <w:iCs/>
        </w:rPr>
        <w:t xml:space="preserve"> update to come</w:t>
      </w:r>
      <w:r>
        <w:t>).</w:t>
      </w:r>
    </w:p>
    <w:p w14:paraId="6818C934" w14:textId="77777777" w:rsidR="000125E3" w:rsidRPr="004A7188" w:rsidRDefault="000125E3" w:rsidP="006E2204">
      <w:pPr>
        <w:pStyle w:val="Heading4"/>
      </w:pPr>
      <w:r w:rsidRPr="004A7188">
        <w:t>Flow</w:t>
      </w:r>
    </w:p>
    <w:p w14:paraId="19EBABFB" w14:textId="116B2DEC" w:rsidR="000125E3" w:rsidRPr="00F00B9A" w:rsidRDefault="000125E3" w:rsidP="000125E3">
      <w:r>
        <w:t xml:space="preserve">The area </w:t>
      </w:r>
      <w:r w:rsidR="00FD3FD2">
        <w:t xml:space="preserve">of the River Murray that </w:t>
      </w:r>
      <w:r>
        <w:t>the ecological community inhabits</w:t>
      </w:r>
      <w:r w:rsidRPr="00EC1D3B">
        <w:t xml:space="preserve"> has no </w:t>
      </w:r>
      <w:r>
        <w:t>‘</w:t>
      </w:r>
      <w:r w:rsidRPr="00EC1D3B">
        <w:t>major</w:t>
      </w:r>
      <w:r>
        <w:t>’</w:t>
      </w:r>
      <w:r w:rsidRPr="00EC1D3B">
        <w:t xml:space="preserve"> tributaries, and its hydrographic behaviour is usually determined by flows from the middle and upper </w:t>
      </w:r>
      <w:r>
        <w:t xml:space="preserve">River </w:t>
      </w:r>
      <w:r w:rsidRPr="00EC1D3B">
        <w:t>Murray rather than from the Darling River</w:t>
      </w:r>
      <w:r>
        <w:t xml:space="preserve"> (CSIRO, 2008)</w:t>
      </w:r>
      <w:r w:rsidRPr="00EC1D3B">
        <w:t xml:space="preserve">. </w:t>
      </w:r>
      <w:r>
        <w:t>In an average year, the Darling contributes only about 10 % of water in the Murray (Eastburn 1990); although, in years where strong flood events occur the Darling does deliver significant flow.</w:t>
      </w:r>
    </w:p>
    <w:p w14:paraId="013178BB" w14:textId="64839A60" w:rsidR="000125E3" w:rsidRDefault="000125E3" w:rsidP="000125E3">
      <w:r>
        <w:t xml:space="preserve">The ecological community is unique within the MDB in this respect, i.e.  historically (pre-regulation) the area it inhabits received both relatively regular, but relatively small volume flows from the Murray and relatively infrequent and unpredictable, but large, flows from the Darling. This multi-year mixed flow regime has been, and continues to be, an important contributor to the unique </w:t>
      </w:r>
      <w:r w:rsidR="00524DD9">
        <w:t>ecology</w:t>
      </w:r>
      <w:r w:rsidR="00276A61">
        <w:t xml:space="preserve"> of</w:t>
      </w:r>
      <w:r>
        <w:t xml:space="preserve"> the ecological community</w:t>
      </w:r>
      <w:r w:rsidR="00276A61">
        <w:t xml:space="preserve">’s </w:t>
      </w:r>
      <w:r>
        <w:t>biota.</w:t>
      </w:r>
    </w:p>
    <w:p w14:paraId="18997CA3" w14:textId="77777777" w:rsidR="004A7188" w:rsidRDefault="004A7188" w:rsidP="006C1C48"/>
    <w:p w14:paraId="1E43701F" w14:textId="41E33148" w:rsidR="00301721" w:rsidRDefault="00301721" w:rsidP="006C1C48">
      <w:r w:rsidRPr="00F070D9">
        <w:rPr>
          <w:noProof/>
        </w:rPr>
        <w:drawing>
          <wp:inline distT="0" distB="0" distL="0" distR="0" wp14:anchorId="43E65CEA" wp14:editId="62C32FF4">
            <wp:extent cx="5752800" cy="2560543"/>
            <wp:effectExtent l="0" t="0" r="635" b="0"/>
            <wp:docPr id="1258612782" name="Picture 1" descr="A graph showing the annual time series of stream flows to the Murra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2782" name="Picture 1" descr="A graph showing the annual time series of stream flows to the Murray River"/>
                    <pic:cNvPicPr/>
                  </pic:nvPicPr>
                  <pic:blipFill>
                    <a:blip r:embed="rId15"/>
                    <a:stretch>
                      <a:fillRect/>
                    </a:stretch>
                  </pic:blipFill>
                  <pic:spPr>
                    <a:xfrm>
                      <a:off x="0" y="0"/>
                      <a:ext cx="5752800" cy="2560543"/>
                    </a:xfrm>
                    <a:prstGeom prst="rect">
                      <a:avLst/>
                    </a:prstGeom>
                  </pic:spPr>
                </pic:pic>
              </a:graphicData>
            </a:graphic>
          </wp:inline>
        </w:drawing>
      </w:r>
    </w:p>
    <w:p w14:paraId="364427EF" w14:textId="037E1B1A" w:rsidR="00301721" w:rsidRPr="00194FB1" w:rsidRDefault="005451AF" w:rsidP="005451AF">
      <w:pPr>
        <w:pStyle w:val="Caption"/>
        <w:rPr>
          <w:color w:val="FF0000"/>
          <w:sz w:val="20"/>
          <w:szCs w:val="20"/>
        </w:rPr>
      </w:pPr>
      <w:bookmarkStart w:id="29" w:name="_Toc232747957"/>
      <w:r>
        <w:t xml:space="preserve">Figure </w:t>
      </w:r>
      <w:r>
        <w:fldChar w:fldCharType="begin"/>
      </w:r>
      <w:r>
        <w:instrText xml:space="preserve"> SEQ Figure \* ARABIC </w:instrText>
      </w:r>
      <w:r>
        <w:fldChar w:fldCharType="separate"/>
      </w:r>
      <w:r w:rsidR="006D35C5">
        <w:rPr>
          <w:noProof/>
        </w:rPr>
        <w:t>1</w:t>
      </w:r>
      <w:r>
        <w:fldChar w:fldCharType="end"/>
      </w:r>
      <w:r w:rsidR="00301721" w:rsidRPr="005451AF">
        <w:rPr>
          <w:szCs w:val="22"/>
        </w:rPr>
        <w:t xml:space="preserve">: </w:t>
      </w:r>
      <w:r w:rsidR="00301721" w:rsidRPr="00194FB1">
        <w:rPr>
          <w:sz w:val="20"/>
          <w:szCs w:val="20"/>
        </w:rPr>
        <w:t xml:space="preserve">Annual time series of stream flows to the Murray River, showing the high inter-annual and multiyear variability, with projected changes in annual average streamflow under 2 °C global average warming (RCP8.5) climate change. Projections are for the median, 10th, and 90th percentile results from hydrological modelling of climate change from 42 CMIP GCM </w:t>
      </w:r>
      <w:r w:rsidR="005C3874" w:rsidRPr="00194FB1">
        <w:rPr>
          <w:sz w:val="20"/>
          <w:szCs w:val="20"/>
        </w:rPr>
        <w:t>(</w:t>
      </w:r>
      <w:r w:rsidR="00301721" w:rsidRPr="00194FB1">
        <w:rPr>
          <w:sz w:val="20"/>
          <w:szCs w:val="20"/>
        </w:rPr>
        <w:t>Prosser et al. 2021; DEWLP, BoM, CSIRO, Uni</w:t>
      </w:r>
      <w:r w:rsidR="00764EA4" w:rsidRPr="00194FB1">
        <w:rPr>
          <w:sz w:val="20"/>
          <w:szCs w:val="20"/>
        </w:rPr>
        <w:t xml:space="preserve">versity of </w:t>
      </w:r>
      <w:r w:rsidR="00301721" w:rsidRPr="00194FB1">
        <w:rPr>
          <w:sz w:val="20"/>
          <w:szCs w:val="20"/>
        </w:rPr>
        <w:t>Melb</w:t>
      </w:r>
      <w:r w:rsidR="00764EA4" w:rsidRPr="00194FB1">
        <w:rPr>
          <w:sz w:val="20"/>
          <w:szCs w:val="20"/>
        </w:rPr>
        <w:t>ourne</w:t>
      </w:r>
      <w:r w:rsidR="00301721" w:rsidRPr="00194FB1">
        <w:rPr>
          <w:sz w:val="20"/>
          <w:szCs w:val="20"/>
        </w:rPr>
        <w:t xml:space="preserve"> 2021). </w:t>
      </w:r>
      <w:bookmarkEnd w:id="29"/>
      <w:r w:rsidR="004443C8" w:rsidRPr="00194FB1">
        <w:rPr>
          <w:sz w:val="20"/>
          <w:szCs w:val="20"/>
        </w:rPr>
        <w:t>(</w:t>
      </w:r>
      <w:r w:rsidR="004443C8" w:rsidRPr="00194FB1">
        <w:rPr>
          <w:i/>
          <w:sz w:val="20"/>
          <w:szCs w:val="20"/>
        </w:rPr>
        <w:t>MDBA update to come</w:t>
      </w:r>
      <w:r w:rsidR="004443C8" w:rsidRPr="00194FB1">
        <w:rPr>
          <w:sz w:val="20"/>
          <w:szCs w:val="20"/>
        </w:rPr>
        <w:t>)</w:t>
      </w:r>
    </w:p>
    <w:p w14:paraId="15A9E1F5" w14:textId="2EC6F23F" w:rsidR="00764EA4" w:rsidRPr="00764EA4" w:rsidRDefault="00764EA4" w:rsidP="006B65A9">
      <w:r w:rsidRPr="00EC1D3B">
        <w:lastRenderedPageBreak/>
        <w:t>The Murray</w:t>
      </w:r>
      <w:r>
        <w:t xml:space="preserve">’s highly variable flow regime includes </w:t>
      </w:r>
      <w:r w:rsidRPr="00EC1D3B">
        <w:t xml:space="preserve">an </w:t>
      </w:r>
      <w:r w:rsidR="000D23B4">
        <w:t xml:space="preserve">unpredictable </w:t>
      </w:r>
      <w:r w:rsidRPr="00EC1D3B">
        <w:t>pattern of highs and lows. Over the past 100 years</w:t>
      </w:r>
      <w:r>
        <w:t xml:space="preserve"> or so</w:t>
      </w:r>
      <w:r w:rsidRPr="00EC1D3B">
        <w:t xml:space="preserve">, there have been significant </w:t>
      </w:r>
      <w:r w:rsidR="000D23B4">
        <w:t xml:space="preserve">changes </w:t>
      </w:r>
      <w:r w:rsidRPr="00EC1D3B">
        <w:t>in climate, with dry and wet periods at decadal scales, and a series of signi</w:t>
      </w:r>
      <w:r>
        <w:t>ficant droughts and floods (</w:t>
      </w:r>
      <w:r w:rsidR="005C3874">
        <w:t xml:space="preserve">Zhang et al. 2024; </w:t>
      </w:r>
      <w:r>
        <w:t xml:space="preserve">see </w:t>
      </w:r>
      <w:r w:rsidRPr="00486E14">
        <w:t>Figure 1</w:t>
      </w:r>
      <w:r>
        <w:t>)</w:t>
      </w:r>
      <w:r w:rsidRPr="00EC1D3B">
        <w:t>. In the latter part of the 20</w:t>
      </w:r>
      <w:r w:rsidRPr="00EC1D3B">
        <w:rPr>
          <w:vertAlign w:val="superscript"/>
        </w:rPr>
        <w:t>th</w:t>
      </w:r>
      <w:r>
        <w:t xml:space="preserve"> Century, river flow </w:t>
      </w:r>
      <w:r w:rsidRPr="00EC1D3B">
        <w:t xml:space="preserve">was </w:t>
      </w:r>
      <w:r>
        <w:t>dominated by low flows (&lt;5000 ML/day)</w:t>
      </w:r>
      <w:r w:rsidRPr="00EC1D3B">
        <w:t xml:space="preserve"> owing to intensive regulation</w:t>
      </w:r>
      <w:r>
        <w:t xml:space="preserve"> (Walker &amp; Thoms 1993; Maheshwari et al. 1995)</w:t>
      </w:r>
      <w:r w:rsidRPr="00EC1D3B">
        <w:t xml:space="preserve">. </w:t>
      </w:r>
      <w:r w:rsidR="00C9190E">
        <w:t>Since 2001, there has been a significant reduction in stream flow</w:t>
      </w:r>
      <w:r w:rsidR="00980190">
        <w:t xml:space="preserve"> due to a decline in cool season (April to October) rainfall</w:t>
      </w:r>
      <w:r w:rsidR="00865D1B">
        <w:t>, which is partly attributed to climate change (Zhang et al. 2024).</w:t>
      </w:r>
      <w:r w:rsidR="00980190">
        <w:t xml:space="preserve"> </w:t>
      </w:r>
    </w:p>
    <w:p w14:paraId="07461A8F" w14:textId="47D3712F" w:rsidR="006B65A9" w:rsidRDefault="006B65A9" w:rsidP="006B65A9">
      <w:pPr>
        <w:rPr>
          <w:shd w:val="clear" w:color="auto" w:fill="FFFFFF"/>
        </w:rPr>
      </w:pPr>
      <w:r>
        <w:rPr>
          <w:shd w:val="clear" w:color="auto" w:fill="FFFFFF"/>
        </w:rPr>
        <w:t xml:space="preserve">The waters of the River Murray are managed </w:t>
      </w:r>
      <w:r w:rsidRPr="008C02CE">
        <w:rPr>
          <w:shd w:val="clear" w:color="auto" w:fill="FFFFFF"/>
        </w:rPr>
        <w:t>for various uses, including irrigation, industry, communities, the environment, and meeting South Australia’s flow entitlement. The</w:t>
      </w:r>
      <w:r>
        <w:rPr>
          <w:shd w:val="clear" w:color="auto" w:fill="FFFFFF"/>
        </w:rPr>
        <w:t xml:space="preserve"> various </w:t>
      </w:r>
      <w:r w:rsidRPr="008C02CE">
        <w:rPr>
          <w:shd w:val="clear" w:color="auto" w:fill="FFFFFF"/>
        </w:rPr>
        <w:t>flow</w:t>
      </w:r>
      <w:r w:rsidRPr="008C02CE">
        <w:rPr>
          <w:rFonts w:ascii="Work Sans" w:hAnsi="Work Sans"/>
          <w:shd w:val="clear" w:color="auto" w:fill="FFFFFF"/>
        </w:rPr>
        <w:t xml:space="preserve"> </w:t>
      </w:r>
      <w:r w:rsidRPr="008C02CE">
        <w:rPr>
          <w:shd w:val="clear" w:color="auto" w:fill="FFFFFF"/>
        </w:rPr>
        <w:t xml:space="preserve">components </w:t>
      </w:r>
      <w:r>
        <w:rPr>
          <w:shd w:val="clear" w:color="auto" w:fill="FFFFFF"/>
        </w:rPr>
        <w:t>are</w:t>
      </w:r>
      <w:r w:rsidRPr="008C02CE">
        <w:rPr>
          <w:shd w:val="clear" w:color="auto" w:fill="FFFFFF"/>
        </w:rPr>
        <w:t xml:space="preserve"> determined by demand and water availability, amongst other factors</w:t>
      </w:r>
      <w:r>
        <w:rPr>
          <w:shd w:val="clear" w:color="auto" w:fill="FFFFFF"/>
        </w:rPr>
        <w:t xml:space="preserve"> (</w:t>
      </w:r>
      <w:r w:rsidRPr="006D05DB">
        <w:rPr>
          <w:u w:val="single"/>
          <w:shd w:val="clear" w:color="auto" w:fill="FFFFFF"/>
        </w:rPr>
        <w:t>Figure 2</w:t>
      </w:r>
      <w:r>
        <w:rPr>
          <w:shd w:val="clear" w:color="auto" w:fill="FFFFFF"/>
        </w:rPr>
        <w:t>).</w:t>
      </w:r>
    </w:p>
    <w:p w14:paraId="4CEAB85F" w14:textId="77777777" w:rsidR="006B65A9" w:rsidRPr="00AC67B2" w:rsidRDefault="006B65A9" w:rsidP="004A7188">
      <w:pPr>
        <w:pStyle w:val="Figuretitle"/>
        <w:ind w:left="0"/>
        <w:rPr>
          <w:rFonts w:ascii="Cambria" w:hAnsi="Cambria"/>
          <w:sz w:val="20"/>
          <w:szCs w:val="20"/>
        </w:rPr>
      </w:pPr>
    </w:p>
    <w:p w14:paraId="4C2F22E2" w14:textId="3C7CE181" w:rsidR="004D23F6" w:rsidRDefault="006B65A9" w:rsidP="008C02CE">
      <w:pPr>
        <w:rPr>
          <w:shd w:val="clear" w:color="auto" w:fill="FFFFFF"/>
        </w:rPr>
      </w:pPr>
      <w:r>
        <w:rPr>
          <w:noProof/>
          <w:shd w:val="clear" w:color="auto" w:fill="FFFFFF"/>
        </w:rPr>
        <w:drawing>
          <wp:inline distT="0" distB="0" distL="0" distR="0" wp14:anchorId="1DE3D60D" wp14:editId="29324702">
            <wp:extent cx="5752800" cy="1631756"/>
            <wp:effectExtent l="0" t="0" r="635" b="0"/>
            <wp:docPr id="1565347195" name="Graphic 3" descr="Graph of flows in the River Murray system across a typic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47195" name="Graphic 3" descr="Graph of flows in the River Murray system across a typical year. "/>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52800" cy="1631756"/>
                    </a:xfrm>
                    <a:prstGeom prst="rect">
                      <a:avLst/>
                    </a:prstGeom>
                  </pic:spPr>
                </pic:pic>
              </a:graphicData>
            </a:graphic>
          </wp:inline>
        </w:drawing>
      </w:r>
    </w:p>
    <w:p w14:paraId="2B7DEF02" w14:textId="66B74F39" w:rsidR="00194FB1" w:rsidRDefault="00D11974" w:rsidP="00B612F4">
      <w:pPr>
        <w:pStyle w:val="Caption"/>
        <w:rPr>
          <w:bCs/>
          <w:sz w:val="21"/>
          <w:szCs w:val="21"/>
          <w:shd w:val="clear" w:color="auto" w:fill="FFFFFF"/>
        </w:rPr>
      </w:pPr>
      <w:r>
        <w:t xml:space="preserve">Figure </w:t>
      </w:r>
      <w:r>
        <w:fldChar w:fldCharType="begin"/>
      </w:r>
      <w:r>
        <w:instrText xml:space="preserve"> SEQ Figure \* ARABIC </w:instrText>
      </w:r>
      <w:r>
        <w:fldChar w:fldCharType="separate"/>
      </w:r>
      <w:r w:rsidR="006D35C5">
        <w:rPr>
          <w:noProof/>
        </w:rPr>
        <w:t>2</w:t>
      </w:r>
      <w:r>
        <w:fldChar w:fldCharType="end"/>
      </w:r>
      <w:r w:rsidR="006B65A9">
        <w:rPr>
          <w:shd w:val="clear" w:color="auto" w:fill="FFFFFF"/>
        </w:rPr>
        <w:t xml:space="preserve">: </w:t>
      </w:r>
      <w:r w:rsidR="006B65A9" w:rsidRPr="0067064E">
        <w:rPr>
          <w:bCs/>
          <w:sz w:val="21"/>
          <w:szCs w:val="21"/>
          <w:shd w:val="clear" w:color="auto" w:fill="FFFFFF"/>
        </w:rPr>
        <w:t>Indicative water flow management throughout the seasons across a typical year (source MDBA 2024).</w:t>
      </w:r>
    </w:p>
    <w:p w14:paraId="577E5B40" w14:textId="77777777" w:rsidR="00B612F4" w:rsidRPr="00B612F4" w:rsidRDefault="00B612F4" w:rsidP="00B612F4"/>
    <w:p w14:paraId="02A10CE4" w14:textId="6E5BB3CD" w:rsidR="00313098" w:rsidRPr="006B65A9" w:rsidRDefault="004D23F6" w:rsidP="00496B65">
      <w:pPr>
        <w:keepLines/>
      </w:pPr>
      <w:r>
        <w:t>During the irrigation season, the regulated flow released from Lake Hume to the Murray is about 25 000 ML/day. In winter, when water is being stored, this is reduced to about 1200 ML/day (Mackay &amp; Eastburn 1990</w:t>
      </w:r>
      <w:r w:rsidR="003148E5">
        <w:t xml:space="preserve">; </w:t>
      </w:r>
      <w:r w:rsidR="003148E5" w:rsidRPr="003148E5">
        <w:rPr>
          <w:i/>
          <w:iCs/>
        </w:rPr>
        <w:t>MDBA update to come</w:t>
      </w:r>
      <w:r>
        <w:t xml:space="preserve">). </w:t>
      </w:r>
      <w:r w:rsidR="004E5700">
        <w:t>Moderate to high</w:t>
      </w:r>
      <w:r w:rsidRPr="00EC1D3B">
        <w:t xml:space="preserve"> flows</w:t>
      </w:r>
      <w:r>
        <w:t xml:space="preserve"> </w:t>
      </w:r>
      <w:r w:rsidRPr="00EC1D3B">
        <w:t>(</w:t>
      </w:r>
      <w:r w:rsidR="004E5700">
        <w:t xml:space="preserve">i.e. </w:t>
      </w:r>
      <w:r w:rsidRPr="00EC1D3B">
        <w:t>&gt;20 000 ML/day)</w:t>
      </w:r>
      <w:r w:rsidR="004E5700">
        <w:t xml:space="preserve"> are </w:t>
      </w:r>
      <w:r w:rsidRPr="00EC1D3B">
        <w:t xml:space="preserve">little affected </w:t>
      </w:r>
      <w:r>
        <w:t xml:space="preserve">by regulation </w:t>
      </w:r>
      <w:r w:rsidRPr="00EC1D3B">
        <w:t xml:space="preserve">because the </w:t>
      </w:r>
      <w:r>
        <w:t>river overflow</w:t>
      </w:r>
      <w:r w:rsidR="004E5700">
        <w:t>s</w:t>
      </w:r>
      <w:r>
        <w:t xml:space="preserve"> the weirs. </w:t>
      </w:r>
      <w:r w:rsidRPr="00EC1D3B">
        <w:t>Ecologically, the most significant changes t</w:t>
      </w:r>
      <w:r>
        <w:t xml:space="preserve">o the natural flow pattern have been the </w:t>
      </w:r>
      <w:r w:rsidRPr="00EC1D3B">
        <w:t xml:space="preserve">reduction in the frequency of </w:t>
      </w:r>
      <w:r w:rsidR="00240A5C">
        <w:t xml:space="preserve">low to </w:t>
      </w:r>
      <w:r w:rsidRPr="00EC1D3B">
        <w:t xml:space="preserve">moderate </w:t>
      </w:r>
      <w:r w:rsidR="00240A5C">
        <w:t xml:space="preserve">in-channel </w:t>
      </w:r>
      <w:r w:rsidRPr="00EC1D3B">
        <w:t>flows (</w:t>
      </w:r>
      <w:r>
        <w:t xml:space="preserve">e.g. </w:t>
      </w:r>
      <w:r w:rsidRPr="00EC1D3B">
        <w:t>5000 to 20</w:t>
      </w:r>
      <w:r>
        <w:t> </w:t>
      </w:r>
      <w:r w:rsidRPr="00EC1D3B">
        <w:t>000</w:t>
      </w:r>
      <w:r>
        <w:t> </w:t>
      </w:r>
      <w:r w:rsidRPr="00EC1D3B">
        <w:t>ML/day)</w:t>
      </w:r>
      <w:r w:rsidR="0055659B">
        <w:t xml:space="preserve"> (TSSC 2010)</w:t>
      </w:r>
      <w:r w:rsidRPr="00EC1D3B">
        <w:t>.</w:t>
      </w:r>
    </w:p>
    <w:p w14:paraId="0C807C68" w14:textId="7EF536A7" w:rsidR="00FD6856" w:rsidRPr="004A7188" w:rsidRDefault="00FD6856" w:rsidP="006E2204">
      <w:pPr>
        <w:pStyle w:val="Heading4"/>
      </w:pPr>
      <w:r w:rsidRPr="004A7188">
        <w:t>Flows to the Lower Lakes and Coorong</w:t>
      </w:r>
    </w:p>
    <w:p w14:paraId="0A2BCE2C" w14:textId="7A46C1C8" w:rsidR="00BB472F" w:rsidRDefault="00BB472F" w:rsidP="00BB472F">
      <w:r>
        <w:t xml:space="preserve">The water regime of the Lower Lakes and Coorong is primarily dependent on inflows from the River Murray, with minor contributions from other sources such as the eastern Mount Lofty Ranges, upper south-east drainage network, and groundwater; this is moderated by evaporation, operation of the barrages, and tidal forces (Gibbs et al. 2018). In turn, the duration, timing, and frequency of inundation greatly influence the availability of habitat, presence of biodiversity, and ecological functionality (Phillips &amp; Muller 2006). </w:t>
      </w:r>
    </w:p>
    <w:p w14:paraId="10CC846E" w14:textId="29040458" w:rsidR="00FD6856" w:rsidRDefault="00BB472F" w:rsidP="00D81B7F">
      <w:r>
        <w:t>Most freshwater input to the Coorong occurs through the barrages in the North Lagoon which combined with Southern Ocean tides</w:t>
      </w:r>
      <w:r w:rsidR="003F2E87">
        <w:t>,</w:t>
      </w:r>
      <w:r>
        <w:t xml:space="preserve"> results in the system acting as an inverse estuary. The North Lagoon is a ‘hypermarine’ estuary, while the South Lagoon is a ‘hypersaline’ estuary (TSSC 2009).  The South Lagoon receives smaller volumes of fresh to brackish water from the network of drains culminating at Salt Creek (Gibbs et al. 2018). Historically, excess water from the south-east flowed north-west to the South Lagoon—via groundwater to Morella Basin and Salt Creek, and via surface waters along the ephemeral coastal lakes. These sources had a significant effect on the water chemistry of the South Lagoon (Coleman in press). However, due to extensive </w:t>
      </w:r>
      <w:r>
        <w:lastRenderedPageBreak/>
        <w:t xml:space="preserve">drainage works from the 1860s, this </w:t>
      </w:r>
      <w:r w:rsidR="00FE522C">
        <w:t xml:space="preserve">input </w:t>
      </w:r>
      <w:r w:rsidRPr="009B58D8">
        <w:t>transition</w:t>
      </w:r>
      <w:r>
        <w:t>ed</w:t>
      </w:r>
      <w:r w:rsidRPr="009B58D8">
        <w:t xml:space="preserve"> to </w:t>
      </w:r>
      <w:r>
        <w:t xml:space="preserve">just negligible flows along </w:t>
      </w:r>
      <w:r w:rsidRPr="009B58D8">
        <w:t xml:space="preserve">Salt Creek </w:t>
      </w:r>
      <w:r>
        <w:t>by the late-</w:t>
      </w:r>
      <w:r w:rsidRPr="009B58D8">
        <w:t xml:space="preserve">1940s (England, </w:t>
      </w:r>
      <w:r>
        <w:t>1993</w:t>
      </w:r>
      <w:r w:rsidRPr="009B58D8">
        <w:t xml:space="preserve">).  </w:t>
      </w:r>
      <w:r>
        <w:t>Since 2006, efforts have restored a small portion of these historical flows (Gibbs et al. 2018).</w:t>
      </w:r>
    </w:p>
    <w:p w14:paraId="117BA0A6" w14:textId="15D88F66" w:rsidR="004D1616" w:rsidRPr="004A7188" w:rsidRDefault="004D1616" w:rsidP="006E2204">
      <w:pPr>
        <w:pStyle w:val="Heading4"/>
      </w:pPr>
      <w:r w:rsidRPr="004A7188">
        <w:t xml:space="preserve">Influence of </w:t>
      </w:r>
      <w:r w:rsidR="00E919E4">
        <w:t xml:space="preserve">the </w:t>
      </w:r>
      <w:r w:rsidRPr="004A7188">
        <w:t>Darling River</w:t>
      </w:r>
    </w:p>
    <w:p w14:paraId="562C469C" w14:textId="77777777" w:rsidR="00610564" w:rsidRDefault="006278AA" w:rsidP="00D81B7F">
      <w:r>
        <w:t xml:space="preserve">The </w:t>
      </w:r>
      <w:r w:rsidR="00F55818" w:rsidRPr="00F55818">
        <w:rPr>
          <w:i/>
          <w:iCs/>
        </w:rPr>
        <w:t>River Murray—Darling to Sea</w:t>
      </w:r>
      <w:r w:rsidR="004D1616">
        <w:t xml:space="preserve"> EC </w:t>
      </w:r>
      <w:r w:rsidR="000B508D">
        <w:t xml:space="preserve">has been </w:t>
      </w:r>
      <w:r w:rsidR="003674A8">
        <w:t>influence</w:t>
      </w:r>
      <w:r w:rsidR="000B508D">
        <w:t>d over time by</w:t>
      </w:r>
      <w:r w:rsidR="003674A8">
        <w:t xml:space="preserve"> </w:t>
      </w:r>
      <w:r w:rsidR="00591723">
        <w:t xml:space="preserve">flows from </w:t>
      </w:r>
      <w:r w:rsidR="003674A8">
        <w:t>the Darling River</w:t>
      </w:r>
      <w:r w:rsidR="000B508D">
        <w:t xml:space="preserve"> (</w:t>
      </w:r>
      <w:r w:rsidR="003674A8">
        <w:t>in particular</w:t>
      </w:r>
      <w:r w:rsidR="00066A51">
        <w:t>,</w:t>
      </w:r>
      <w:r w:rsidR="003674A8">
        <w:t xml:space="preserve"> the Lower Darling</w:t>
      </w:r>
      <w:r w:rsidR="00ED2BCB">
        <w:t>—</w:t>
      </w:r>
      <w:r w:rsidR="00ED2BCB" w:rsidRPr="00ED2BCB">
        <w:rPr>
          <w:i/>
          <w:iCs/>
        </w:rPr>
        <w:t>Baaka</w:t>
      </w:r>
      <w:r w:rsidR="00ED2BCB">
        <w:t xml:space="preserve"> River</w:t>
      </w:r>
      <w:r w:rsidR="000B508D">
        <w:t xml:space="preserve">, </w:t>
      </w:r>
      <w:r w:rsidR="00ED2BCB">
        <w:t>LDR)</w:t>
      </w:r>
      <w:r w:rsidR="00E33695">
        <w:t xml:space="preserve">, despite it </w:t>
      </w:r>
      <w:r w:rsidR="00F1409D">
        <w:t>contributing only about 10% of the long-term mean discharge</w:t>
      </w:r>
      <w:r w:rsidR="00DF3EB3">
        <w:t xml:space="preserve"> (Maheshwari et al 1995).</w:t>
      </w:r>
      <w:r w:rsidR="0056164B">
        <w:t xml:space="preserve"> </w:t>
      </w:r>
      <w:r w:rsidR="00607744">
        <w:t xml:space="preserve">The Darling </w:t>
      </w:r>
      <w:r w:rsidR="00426A40">
        <w:t xml:space="preserve">is typically highly turbid owing to colloidal clays (Walker 2006), while the Murray is </w:t>
      </w:r>
      <w:r w:rsidR="00490810">
        <w:t xml:space="preserve">typically much clearer. </w:t>
      </w:r>
      <w:r w:rsidR="004049D7">
        <w:t>The</w:t>
      </w:r>
      <w:r w:rsidR="00C53405">
        <w:t xml:space="preserve"> mixing of these two water bodies over paleo-history</w:t>
      </w:r>
      <w:r w:rsidR="004049D7">
        <w:t xml:space="preserve"> has influenced</w:t>
      </w:r>
      <w:r w:rsidR="00C53405">
        <w:t xml:space="preserve"> </w:t>
      </w:r>
      <w:r w:rsidR="00AF5048">
        <w:t>the biota and geo-chemistry</w:t>
      </w:r>
      <w:r w:rsidR="00582F44">
        <w:t>,</w:t>
      </w:r>
      <w:r w:rsidR="00AF5048">
        <w:t xml:space="preserve"> </w:t>
      </w:r>
      <w:r w:rsidR="004049D7">
        <w:t xml:space="preserve">which are uniquely </w:t>
      </w:r>
      <w:r w:rsidR="00AF5048">
        <w:t xml:space="preserve">different from those of the parent rivers </w:t>
      </w:r>
      <w:r w:rsidR="00661F49">
        <w:t>(Walker 2006; TSSC 2010)</w:t>
      </w:r>
      <w:r w:rsidR="00AC63D6">
        <w:t>.</w:t>
      </w:r>
      <w:r w:rsidR="00D676EF">
        <w:t xml:space="preserve"> </w:t>
      </w:r>
    </w:p>
    <w:p w14:paraId="7FAFAC8D" w14:textId="081C2C30" w:rsidR="004D1616" w:rsidRDefault="00610564" w:rsidP="00D81B7F">
      <w:r>
        <w:t>S</w:t>
      </w:r>
      <w:r w:rsidR="00341C5F">
        <w:t xml:space="preserve">ince </w:t>
      </w:r>
      <w:r w:rsidR="00582F44">
        <w:t xml:space="preserve">around </w:t>
      </w:r>
      <w:r w:rsidR="00341C5F">
        <w:t>2000, the hydrology of the LDR has been transformed from a naturally near-perennial flowing system to an intermittent one</w:t>
      </w:r>
      <w:r w:rsidR="00CF52DF">
        <w:t xml:space="preserve"> (Stuart &amp; Sharpe 2022). This has resulted from </w:t>
      </w:r>
      <w:r w:rsidR="00835652">
        <w:t>increased water abstraction, prolonged periods of drought, and climate change.</w:t>
      </w:r>
      <w:r w:rsidR="00AF5048">
        <w:t xml:space="preserve"> </w:t>
      </w:r>
      <w:r w:rsidR="002F63DE">
        <w:t>The significant hydrological change has</w:t>
      </w:r>
      <w:r w:rsidR="000E6B55">
        <w:t xml:space="preserve"> placed </w:t>
      </w:r>
      <w:r w:rsidR="00461C76">
        <w:t xml:space="preserve">immense </w:t>
      </w:r>
      <w:r w:rsidR="000E6B55">
        <w:t xml:space="preserve">pressure on biota, particularly native fish populations, as evidenced by the </w:t>
      </w:r>
      <w:r w:rsidR="00D27FCA">
        <w:t xml:space="preserve">catastrophic </w:t>
      </w:r>
      <w:r w:rsidR="000E6B55">
        <w:t>20</w:t>
      </w:r>
      <w:r w:rsidR="00D27FCA">
        <w:t>18–2019 fish kills (</w:t>
      </w:r>
      <w:r w:rsidR="00E5433B">
        <w:t xml:space="preserve">AAS 2019; </w:t>
      </w:r>
      <w:r w:rsidR="006D3C89">
        <w:t xml:space="preserve">Vertessy et al. 2019; </w:t>
      </w:r>
      <w:r w:rsidR="00E375B2">
        <w:t xml:space="preserve">Stocks et al. 2022; </w:t>
      </w:r>
      <w:r w:rsidR="00D27FCA">
        <w:t>Stuart &amp; Sharpe 2022).</w:t>
      </w:r>
      <w:r w:rsidR="00461C76">
        <w:t xml:space="preserve"> This has </w:t>
      </w:r>
      <w:r w:rsidR="00B102D7">
        <w:t xml:space="preserve">important </w:t>
      </w:r>
      <w:r w:rsidR="00461C76">
        <w:t>flow-on effects to the EC.</w:t>
      </w:r>
    </w:p>
    <w:p w14:paraId="44106968" w14:textId="26974D75" w:rsidR="009D3D59" w:rsidRPr="004A7188" w:rsidRDefault="009D3D59" w:rsidP="006E2204">
      <w:pPr>
        <w:pStyle w:val="Heading4"/>
      </w:pPr>
      <w:r w:rsidRPr="004A7188">
        <w:t>River Regulation</w:t>
      </w:r>
    </w:p>
    <w:p w14:paraId="6E2EAD9E" w14:textId="77777777" w:rsidR="00194FB1" w:rsidRDefault="006F22E0" w:rsidP="00194FB1">
      <w:r>
        <w:t xml:space="preserve">The River Murray is highly regulated. </w:t>
      </w:r>
      <w:r w:rsidR="00FE1753">
        <w:t>T</w:t>
      </w:r>
      <w:r w:rsidR="00E771C8">
        <w:t xml:space="preserve">en </w:t>
      </w:r>
      <w:r w:rsidR="000E5D34">
        <w:t xml:space="preserve">weir and lock structures or </w:t>
      </w:r>
      <w:r w:rsidR="00E771C8">
        <w:t>‘l</w:t>
      </w:r>
      <w:r w:rsidR="00DF419C">
        <w:t>ocks</w:t>
      </w:r>
      <w:r w:rsidR="00E771C8">
        <w:t xml:space="preserve">’ </w:t>
      </w:r>
      <w:r w:rsidR="004B71E6">
        <w:t xml:space="preserve">(from Lock 1 at Blanchetown, SA to Lock 10 near Wentworth, NSW) </w:t>
      </w:r>
      <w:r w:rsidR="00E771C8">
        <w:t>and various levees and off</w:t>
      </w:r>
      <w:r w:rsidR="000E5D34">
        <w:t>-</w:t>
      </w:r>
      <w:r w:rsidR="00E771C8">
        <w:t xml:space="preserve">stream regulators </w:t>
      </w:r>
      <w:r w:rsidR="002E3597">
        <w:t xml:space="preserve">are </w:t>
      </w:r>
      <w:r w:rsidR="00E771C8">
        <w:t>used along the length of the ecological community</w:t>
      </w:r>
      <w:r w:rsidR="0081040A">
        <w:t xml:space="preserve"> (</w:t>
      </w:r>
      <w:r w:rsidR="0081040A" w:rsidRPr="0081040A">
        <w:rPr>
          <w:u w:val="single"/>
        </w:rPr>
        <w:t xml:space="preserve">Table </w:t>
      </w:r>
      <w:r w:rsidR="0081040A">
        <w:rPr>
          <w:u w:val="single"/>
        </w:rPr>
        <w:t>4</w:t>
      </w:r>
      <w:r w:rsidR="0081040A">
        <w:t>)</w:t>
      </w:r>
      <w:r w:rsidR="00E771C8">
        <w:t xml:space="preserve">.  </w:t>
      </w:r>
      <w:r w:rsidR="00022B00">
        <w:t xml:space="preserve">The locks were built progressively between 1922 and </w:t>
      </w:r>
      <w:r w:rsidR="00D5235D">
        <w:t>1935</w:t>
      </w:r>
      <w:r w:rsidR="00266AD2">
        <w:t xml:space="preserve"> </w:t>
      </w:r>
      <w:r w:rsidR="000A75BF">
        <w:t xml:space="preserve">and have </w:t>
      </w:r>
      <w:r w:rsidR="00203126">
        <w:t>resulted in this stretch of the Murray becoming</w:t>
      </w:r>
      <w:r w:rsidR="000A75BF">
        <w:t xml:space="preserve"> a series of </w:t>
      </w:r>
      <w:r w:rsidR="00203126">
        <w:t>stable weir pools.</w:t>
      </w:r>
      <w:r w:rsidR="00D5235D">
        <w:t xml:space="preserve"> </w:t>
      </w:r>
    </w:p>
    <w:p w14:paraId="3A63A27E" w14:textId="49292DB4" w:rsidR="00183881" w:rsidRPr="00B612F4" w:rsidRDefault="00D11974" w:rsidP="00194FB1">
      <w:pPr>
        <w:rPr>
          <w:b/>
          <w:bCs/>
          <w:sz w:val="21"/>
          <w:szCs w:val="21"/>
        </w:rPr>
      </w:pPr>
      <w:r w:rsidRPr="00194FB1">
        <w:rPr>
          <w:b/>
          <w:bCs/>
        </w:rPr>
        <w:t xml:space="preserve">Table </w:t>
      </w:r>
      <w:r w:rsidRPr="00194FB1">
        <w:rPr>
          <w:b/>
          <w:bCs/>
        </w:rPr>
        <w:fldChar w:fldCharType="begin"/>
      </w:r>
      <w:r w:rsidRPr="00194FB1">
        <w:rPr>
          <w:b/>
          <w:bCs/>
        </w:rPr>
        <w:instrText xml:space="preserve"> SEQ Table \* ARABIC </w:instrText>
      </w:r>
      <w:r w:rsidRPr="00194FB1">
        <w:rPr>
          <w:b/>
          <w:bCs/>
        </w:rPr>
        <w:fldChar w:fldCharType="separate"/>
      </w:r>
      <w:r w:rsidR="006D35C5">
        <w:rPr>
          <w:b/>
          <w:bCs/>
          <w:noProof/>
        </w:rPr>
        <w:t>4</w:t>
      </w:r>
      <w:r w:rsidRPr="00194FB1">
        <w:rPr>
          <w:b/>
          <w:bCs/>
        </w:rPr>
        <w:fldChar w:fldCharType="end"/>
      </w:r>
      <w:r w:rsidR="00183881" w:rsidRPr="00194FB1">
        <w:rPr>
          <w:b/>
          <w:bCs/>
        </w:rPr>
        <w:t xml:space="preserve">: </w:t>
      </w:r>
      <w:r w:rsidR="00183881" w:rsidRPr="00B612F4">
        <w:rPr>
          <w:b/>
          <w:bCs/>
          <w:sz w:val="21"/>
          <w:szCs w:val="21"/>
        </w:rPr>
        <w:t>Locks and Weirs along RMDS EC (Lock 1</w:t>
      </w:r>
      <w:r w:rsidR="006F3C8F" w:rsidRPr="00B612F4">
        <w:rPr>
          <w:b/>
          <w:bCs/>
          <w:sz w:val="21"/>
          <w:szCs w:val="21"/>
        </w:rPr>
        <w:t>–</w:t>
      </w:r>
      <w:r w:rsidR="00183881" w:rsidRPr="00B612F4">
        <w:rPr>
          <w:b/>
          <w:bCs/>
          <w:sz w:val="21"/>
          <w:szCs w:val="21"/>
        </w:rPr>
        <w:t xml:space="preserve">10) </w:t>
      </w:r>
      <w:r w:rsidR="00AF0D0D" w:rsidRPr="00B612F4">
        <w:rPr>
          <w:b/>
          <w:bCs/>
          <w:sz w:val="21"/>
          <w:szCs w:val="21"/>
        </w:rPr>
        <w:t xml:space="preserve">and </w:t>
      </w:r>
      <w:r w:rsidR="00183881" w:rsidRPr="00B612F4">
        <w:rPr>
          <w:b/>
          <w:bCs/>
          <w:sz w:val="21"/>
          <w:szCs w:val="21"/>
        </w:rPr>
        <w:t xml:space="preserve">State </w:t>
      </w:r>
      <w:r w:rsidR="00AF0D0D" w:rsidRPr="00B612F4">
        <w:rPr>
          <w:b/>
          <w:bCs/>
          <w:sz w:val="21"/>
          <w:szCs w:val="21"/>
        </w:rPr>
        <w:t xml:space="preserve">of occurrence and </w:t>
      </w:r>
      <w:r w:rsidR="00382331" w:rsidRPr="00B612F4">
        <w:rPr>
          <w:b/>
          <w:bCs/>
          <w:sz w:val="21"/>
          <w:szCs w:val="21"/>
        </w:rPr>
        <w:t xml:space="preserve">operator. </w:t>
      </w:r>
    </w:p>
    <w:tbl>
      <w:tblPr>
        <w:tblStyle w:val="TableGrid"/>
        <w:tblW w:w="5000" w:type="pct"/>
        <w:tblLook w:val="04A0" w:firstRow="1" w:lastRow="0" w:firstColumn="1" w:lastColumn="0" w:noHBand="0" w:noVBand="1"/>
      </w:tblPr>
      <w:tblGrid>
        <w:gridCol w:w="714"/>
        <w:gridCol w:w="1727"/>
        <w:gridCol w:w="1439"/>
        <w:gridCol w:w="1042"/>
        <w:gridCol w:w="1120"/>
        <w:gridCol w:w="1435"/>
        <w:gridCol w:w="719"/>
        <w:gridCol w:w="864"/>
      </w:tblGrid>
      <w:tr w:rsidR="00D23E25" w:rsidRPr="00496B65" w14:paraId="1E0FEB8B" w14:textId="77777777" w:rsidTr="00496B65">
        <w:trPr>
          <w:trHeight w:hRule="exact" w:val="1123"/>
        </w:trPr>
        <w:tc>
          <w:tcPr>
            <w:tcW w:w="394" w:type="pct"/>
            <w:shd w:val="clear" w:color="auto" w:fill="FBE4D5" w:themeFill="accent2" w:themeFillTint="33"/>
          </w:tcPr>
          <w:p w14:paraId="726D0D73" w14:textId="0FC77F90" w:rsidR="00D23E25" w:rsidRPr="00496B65" w:rsidRDefault="00D23E25" w:rsidP="00E80E21">
            <w:pPr>
              <w:jc w:val="center"/>
              <w:rPr>
                <w:b/>
                <w:bCs/>
                <w:sz w:val="20"/>
                <w:szCs w:val="20"/>
              </w:rPr>
            </w:pPr>
            <w:r w:rsidRPr="00496B65">
              <w:rPr>
                <w:b/>
                <w:bCs/>
                <w:sz w:val="20"/>
                <w:szCs w:val="20"/>
              </w:rPr>
              <w:t>Lock &amp;</w:t>
            </w:r>
            <w:r w:rsidR="00E80E21" w:rsidRPr="00496B65">
              <w:rPr>
                <w:b/>
                <w:bCs/>
                <w:sz w:val="20"/>
                <w:szCs w:val="20"/>
              </w:rPr>
              <w:t xml:space="preserve"> </w:t>
            </w:r>
            <w:r w:rsidRPr="00496B65">
              <w:rPr>
                <w:b/>
                <w:bCs/>
                <w:sz w:val="20"/>
                <w:szCs w:val="20"/>
              </w:rPr>
              <w:t>W</w:t>
            </w:r>
            <w:r w:rsidR="00CB3B08" w:rsidRPr="00496B65">
              <w:rPr>
                <w:b/>
                <w:bCs/>
                <w:sz w:val="20"/>
                <w:szCs w:val="20"/>
              </w:rPr>
              <w:t>ei</w:t>
            </w:r>
            <w:r w:rsidRPr="00496B65">
              <w:rPr>
                <w:b/>
                <w:bCs/>
                <w:sz w:val="20"/>
                <w:szCs w:val="20"/>
              </w:rPr>
              <w:t xml:space="preserve">r </w:t>
            </w:r>
          </w:p>
        </w:tc>
        <w:tc>
          <w:tcPr>
            <w:tcW w:w="953" w:type="pct"/>
            <w:shd w:val="clear" w:color="auto" w:fill="FBE4D5" w:themeFill="accent2" w:themeFillTint="33"/>
          </w:tcPr>
          <w:p w14:paraId="5CA9F2BB" w14:textId="77777777" w:rsidR="00D23E25" w:rsidRPr="00496B65" w:rsidRDefault="00D23E25" w:rsidP="004E2494">
            <w:pPr>
              <w:rPr>
                <w:b/>
                <w:bCs/>
                <w:sz w:val="20"/>
                <w:szCs w:val="20"/>
              </w:rPr>
            </w:pPr>
            <w:r w:rsidRPr="00496B65">
              <w:rPr>
                <w:b/>
                <w:bCs/>
                <w:sz w:val="20"/>
                <w:szCs w:val="20"/>
              </w:rPr>
              <w:t>Location</w:t>
            </w:r>
          </w:p>
        </w:tc>
        <w:tc>
          <w:tcPr>
            <w:tcW w:w="794" w:type="pct"/>
            <w:shd w:val="clear" w:color="auto" w:fill="FBE4D5" w:themeFill="accent2" w:themeFillTint="33"/>
          </w:tcPr>
          <w:p w14:paraId="7ED1D6CE" w14:textId="77777777" w:rsidR="00D23E25" w:rsidRPr="00496B65" w:rsidRDefault="00D23E25" w:rsidP="004E2494">
            <w:pPr>
              <w:rPr>
                <w:b/>
                <w:bCs/>
                <w:sz w:val="20"/>
                <w:szCs w:val="20"/>
              </w:rPr>
            </w:pPr>
            <w:r w:rsidRPr="00496B65">
              <w:rPr>
                <w:b/>
                <w:bCs/>
                <w:sz w:val="20"/>
                <w:szCs w:val="20"/>
              </w:rPr>
              <w:t>River distance from Murray Mouth (km)</w:t>
            </w:r>
          </w:p>
        </w:tc>
        <w:tc>
          <w:tcPr>
            <w:tcW w:w="575" w:type="pct"/>
            <w:shd w:val="clear" w:color="auto" w:fill="FBE4D5" w:themeFill="accent2" w:themeFillTint="33"/>
          </w:tcPr>
          <w:p w14:paraId="532AAC19" w14:textId="77777777" w:rsidR="00D23E25" w:rsidRPr="00496B65" w:rsidRDefault="00D23E25" w:rsidP="004E2494">
            <w:pPr>
              <w:rPr>
                <w:b/>
                <w:bCs/>
                <w:sz w:val="20"/>
                <w:szCs w:val="20"/>
              </w:rPr>
            </w:pPr>
            <w:r w:rsidRPr="00496B65">
              <w:rPr>
                <w:b/>
                <w:bCs/>
                <w:sz w:val="20"/>
                <w:szCs w:val="20"/>
              </w:rPr>
              <w:t>Distance from last Lock (km)</w:t>
            </w:r>
          </w:p>
        </w:tc>
        <w:tc>
          <w:tcPr>
            <w:tcW w:w="618" w:type="pct"/>
            <w:shd w:val="clear" w:color="auto" w:fill="FBE4D5" w:themeFill="accent2" w:themeFillTint="33"/>
          </w:tcPr>
          <w:p w14:paraId="09F95FC1" w14:textId="3F168C3D" w:rsidR="00D23E25" w:rsidRPr="00496B65" w:rsidRDefault="00D23E25" w:rsidP="004E2494">
            <w:pPr>
              <w:rPr>
                <w:b/>
                <w:bCs/>
                <w:sz w:val="20"/>
                <w:szCs w:val="20"/>
              </w:rPr>
            </w:pPr>
            <w:r w:rsidRPr="00496B65">
              <w:rPr>
                <w:b/>
                <w:bCs/>
                <w:sz w:val="20"/>
                <w:szCs w:val="20"/>
              </w:rPr>
              <w:t>Elevation at Full Supply Level (m)</w:t>
            </w:r>
          </w:p>
        </w:tc>
        <w:tc>
          <w:tcPr>
            <w:tcW w:w="792" w:type="pct"/>
            <w:shd w:val="clear" w:color="auto" w:fill="FBE4D5" w:themeFill="accent2" w:themeFillTint="33"/>
          </w:tcPr>
          <w:p w14:paraId="75D6A307" w14:textId="7D00660F" w:rsidR="00D23E25" w:rsidRPr="00496B65" w:rsidRDefault="00D23E25" w:rsidP="004E2494">
            <w:pPr>
              <w:rPr>
                <w:b/>
                <w:bCs/>
                <w:sz w:val="20"/>
                <w:szCs w:val="20"/>
              </w:rPr>
            </w:pPr>
            <w:r w:rsidRPr="00496B65">
              <w:rPr>
                <w:b/>
                <w:bCs/>
                <w:sz w:val="20"/>
                <w:szCs w:val="20"/>
              </w:rPr>
              <w:t xml:space="preserve">Typical </w:t>
            </w:r>
            <w:r w:rsidR="00AE3B70" w:rsidRPr="00496B65">
              <w:rPr>
                <w:b/>
                <w:bCs/>
                <w:sz w:val="20"/>
                <w:szCs w:val="20"/>
              </w:rPr>
              <w:t xml:space="preserve">     </w:t>
            </w:r>
            <w:r w:rsidRPr="00496B65">
              <w:rPr>
                <w:b/>
                <w:bCs/>
                <w:sz w:val="20"/>
                <w:szCs w:val="20"/>
              </w:rPr>
              <w:t>head distance</w:t>
            </w:r>
            <w:r w:rsidR="00AE3B70" w:rsidRPr="00496B65">
              <w:rPr>
                <w:b/>
                <w:bCs/>
                <w:sz w:val="20"/>
                <w:szCs w:val="20"/>
              </w:rPr>
              <w:t xml:space="preserve"> </w:t>
            </w:r>
            <w:r w:rsidRPr="00496B65">
              <w:rPr>
                <w:b/>
                <w:bCs/>
                <w:sz w:val="20"/>
                <w:szCs w:val="20"/>
              </w:rPr>
              <w:t>(m)</w:t>
            </w:r>
          </w:p>
        </w:tc>
        <w:tc>
          <w:tcPr>
            <w:tcW w:w="397" w:type="pct"/>
            <w:shd w:val="clear" w:color="auto" w:fill="FBE4D5" w:themeFill="accent2" w:themeFillTint="33"/>
          </w:tcPr>
          <w:p w14:paraId="6136CAA4" w14:textId="6FF11175" w:rsidR="00D23E25" w:rsidRPr="00496B65" w:rsidRDefault="00D23E25" w:rsidP="005A0F05">
            <w:pPr>
              <w:rPr>
                <w:b/>
                <w:bCs/>
                <w:sz w:val="20"/>
                <w:szCs w:val="20"/>
              </w:rPr>
            </w:pPr>
            <w:r w:rsidRPr="00496B65">
              <w:rPr>
                <w:b/>
                <w:bCs/>
                <w:sz w:val="20"/>
                <w:szCs w:val="20"/>
              </w:rPr>
              <w:t>Year</w:t>
            </w:r>
          </w:p>
        </w:tc>
        <w:tc>
          <w:tcPr>
            <w:tcW w:w="477" w:type="pct"/>
            <w:shd w:val="clear" w:color="auto" w:fill="FBE4D5" w:themeFill="accent2" w:themeFillTint="33"/>
          </w:tcPr>
          <w:p w14:paraId="02F8CE53" w14:textId="0CCFAD2C" w:rsidR="00D23E25" w:rsidRPr="00496B65" w:rsidRDefault="00D23E25" w:rsidP="0084779D">
            <w:pPr>
              <w:rPr>
                <w:b/>
                <w:bCs/>
                <w:sz w:val="20"/>
                <w:szCs w:val="20"/>
              </w:rPr>
            </w:pPr>
            <w:r w:rsidRPr="00496B65">
              <w:rPr>
                <w:b/>
                <w:bCs/>
                <w:sz w:val="20"/>
                <w:szCs w:val="20"/>
              </w:rPr>
              <w:t>State op.</w:t>
            </w:r>
          </w:p>
        </w:tc>
      </w:tr>
      <w:tr w:rsidR="00D23E25" w:rsidRPr="00496B65" w14:paraId="5230064E" w14:textId="77777777" w:rsidTr="00D11974">
        <w:trPr>
          <w:trHeight w:val="397"/>
        </w:trPr>
        <w:tc>
          <w:tcPr>
            <w:tcW w:w="394" w:type="pct"/>
          </w:tcPr>
          <w:p w14:paraId="63CBFF79" w14:textId="77777777" w:rsidR="00D23E25" w:rsidRPr="00496B65" w:rsidRDefault="00D23E25" w:rsidP="004E2494">
            <w:pPr>
              <w:jc w:val="center"/>
              <w:rPr>
                <w:sz w:val="20"/>
                <w:szCs w:val="20"/>
              </w:rPr>
            </w:pPr>
            <w:r w:rsidRPr="00496B65">
              <w:rPr>
                <w:sz w:val="20"/>
                <w:szCs w:val="20"/>
              </w:rPr>
              <w:t>1</w:t>
            </w:r>
          </w:p>
        </w:tc>
        <w:tc>
          <w:tcPr>
            <w:tcW w:w="953" w:type="pct"/>
          </w:tcPr>
          <w:p w14:paraId="2414BCD8" w14:textId="77777777" w:rsidR="00D23E25" w:rsidRPr="00496B65" w:rsidRDefault="00D23E25" w:rsidP="004E2494">
            <w:pPr>
              <w:rPr>
                <w:sz w:val="20"/>
                <w:szCs w:val="20"/>
              </w:rPr>
            </w:pPr>
            <w:r w:rsidRPr="00496B65">
              <w:rPr>
                <w:sz w:val="20"/>
                <w:szCs w:val="20"/>
              </w:rPr>
              <w:t>Blanchetown</w:t>
            </w:r>
          </w:p>
        </w:tc>
        <w:tc>
          <w:tcPr>
            <w:tcW w:w="794" w:type="pct"/>
          </w:tcPr>
          <w:p w14:paraId="4A9D75EC" w14:textId="77777777" w:rsidR="00D23E25" w:rsidRPr="00496B65" w:rsidRDefault="00D23E25" w:rsidP="004E2494">
            <w:pPr>
              <w:jc w:val="center"/>
              <w:rPr>
                <w:sz w:val="20"/>
                <w:szCs w:val="20"/>
              </w:rPr>
            </w:pPr>
            <w:r w:rsidRPr="00496B65">
              <w:rPr>
                <w:sz w:val="20"/>
                <w:szCs w:val="20"/>
              </w:rPr>
              <w:t>274</w:t>
            </w:r>
          </w:p>
        </w:tc>
        <w:tc>
          <w:tcPr>
            <w:tcW w:w="575" w:type="pct"/>
          </w:tcPr>
          <w:p w14:paraId="15C1B534" w14:textId="77777777" w:rsidR="00D23E25" w:rsidRPr="00496B65" w:rsidRDefault="00D23E25" w:rsidP="004E2494">
            <w:pPr>
              <w:jc w:val="center"/>
              <w:rPr>
                <w:sz w:val="20"/>
                <w:szCs w:val="20"/>
              </w:rPr>
            </w:pPr>
            <w:r w:rsidRPr="00496B65">
              <w:rPr>
                <w:sz w:val="20"/>
                <w:szCs w:val="20"/>
              </w:rPr>
              <w:t>-</w:t>
            </w:r>
          </w:p>
        </w:tc>
        <w:tc>
          <w:tcPr>
            <w:tcW w:w="618" w:type="pct"/>
          </w:tcPr>
          <w:p w14:paraId="435156E5" w14:textId="77777777" w:rsidR="00D23E25" w:rsidRPr="00496B65" w:rsidRDefault="00D23E25" w:rsidP="004E2494">
            <w:pPr>
              <w:jc w:val="center"/>
              <w:rPr>
                <w:sz w:val="20"/>
                <w:szCs w:val="20"/>
              </w:rPr>
            </w:pPr>
            <w:r w:rsidRPr="00496B65">
              <w:rPr>
                <w:sz w:val="20"/>
                <w:szCs w:val="20"/>
              </w:rPr>
              <w:t>3.3</w:t>
            </w:r>
          </w:p>
        </w:tc>
        <w:tc>
          <w:tcPr>
            <w:tcW w:w="792" w:type="pct"/>
          </w:tcPr>
          <w:p w14:paraId="227F6237" w14:textId="77777777" w:rsidR="00D23E25" w:rsidRPr="00496B65" w:rsidRDefault="00D23E25" w:rsidP="004E2494">
            <w:pPr>
              <w:jc w:val="center"/>
              <w:rPr>
                <w:sz w:val="20"/>
                <w:szCs w:val="20"/>
              </w:rPr>
            </w:pPr>
            <w:r w:rsidRPr="00496B65">
              <w:rPr>
                <w:sz w:val="20"/>
                <w:szCs w:val="20"/>
              </w:rPr>
              <w:t>2.5</w:t>
            </w:r>
          </w:p>
        </w:tc>
        <w:tc>
          <w:tcPr>
            <w:tcW w:w="397" w:type="pct"/>
          </w:tcPr>
          <w:p w14:paraId="0BE7955A" w14:textId="77777777" w:rsidR="00D23E25" w:rsidRPr="00496B65" w:rsidRDefault="00D23E25" w:rsidP="004E2494">
            <w:pPr>
              <w:rPr>
                <w:sz w:val="20"/>
                <w:szCs w:val="20"/>
              </w:rPr>
            </w:pPr>
            <w:r w:rsidRPr="00496B65">
              <w:rPr>
                <w:sz w:val="20"/>
                <w:szCs w:val="20"/>
              </w:rPr>
              <w:t>1922</w:t>
            </w:r>
          </w:p>
        </w:tc>
        <w:tc>
          <w:tcPr>
            <w:tcW w:w="477" w:type="pct"/>
          </w:tcPr>
          <w:p w14:paraId="4E59481B" w14:textId="77777777" w:rsidR="00D23E25" w:rsidRPr="00496B65" w:rsidRDefault="00D23E25" w:rsidP="004E2494">
            <w:pPr>
              <w:rPr>
                <w:sz w:val="20"/>
                <w:szCs w:val="20"/>
              </w:rPr>
            </w:pPr>
            <w:r w:rsidRPr="00496B65">
              <w:rPr>
                <w:sz w:val="20"/>
                <w:szCs w:val="20"/>
              </w:rPr>
              <w:t>SA</w:t>
            </w:r>
          </w:p>
        </w:tc>
      </w:tr>
      <w:tr w:rsidR="00D23E25" w:rsidRPr="00496B65" w14:paraId="547691E7" w14:textId="77777777" w:rsidTr="00D11974">
        <w:trPr>
          <w:trHeight w:val="397"/>
        </w:trPr>
        <w:tc>
          <w:tcPr>
            <w:tcW w:w="394" w:type="pct"/>
          </w:tcPr>
          <w:p w14:paraId="176EB7A7" w14:textId="77777777" w:rsidR="00D23E25" w:rsidRPr="00496B65" w:rsidRDefault="00D23E25" w:rsidP="004E2494">
            <w:pPr>
              <w:jc w:val="center"/>
              <w:rPr>
                <w:sz w:val="20"/>
                <w:szCs w:val="20"/>
              </w:rPr>
            </w:pPr>
            <w:r w:rsidRPr="00496B65">
              <w:rPr>
                <w:sz w:val="20"/>
                <w:szCs w:val="20"/>
              </w:rPr>
              <w:t>2</w:t>
            </w:r>
          </w:p>
        </w:tc>
        <w:tc>
          <w:tcPr>
            <w:tcW w:w="953" w:type="pct"/>
          </w:tcPr>
          <w:p w14:paraId="0D8848EE" w14:textId="77777777" w:rsidR="00D23E25" w:rsidRPr="00496B65" w:rsidRDefault="00D23E25" w:rsidP="004E2494">
            <w:pPr>
              <w:rPr>
                <w:sz w:val="20"/>
                <w:szCs w:val="20"/>
              </w:rPr>
            </w:pPr>
            <w:r w:rsidRPr="00496B65">
              <w:rPr>
                <w:sz w:val="20"/>
                <w:szCs w:val="20"/>
              </w:rPr>
              <w:t>Waikerie</w:t>
            </w:r>
          </w:p>
        </w:tc>
        <w:tc>
          <w:tcPr>
            <w:tcW w:w="794" w:type="pct"/>
          </w:tcPr>
          <w:p w14:paraId="40627BF9" w14:textId="77777777" w:rsidR="00D23E25" w:rsidRPr="00496B65" w:rsidRDefault="00D23E25" w:rsidP="004E2494">
            <w:pPr>
              <w:jc w:val="center"/>
              <w:rPr>
                <w:sz w:val="20"/>
                <w:szCs w:val="20"/>
              </w:rPr>
            </w:pPr>
            <w:r w:rsidRPr="00496B65">
              <w:rPr>
                <w:sz w:val="20"/>
                <w:szCs w:val="20"/>
              </w:rPr>
              <w:t>362</w:t>
            </w:r>
          </w:p>
        </w:tc>
        <w:tc>
          <w:tcPr>
            <w:tcW w:w="575" w:type="pct"/>
          </w:tcPr>
          <w:p w14:paraId="1D3ACB10" w14:textId="77777777" w:rsidR="00D23E25" w:rsidRPr="00496B65" w:rsidRDefault="00D23E25" w:rsidP="004E2494">
            <w:pPr>
              <w:jc w:val="center"/>
              <w:rPr>
                <w:sz w:val="20"/>
                <w:szCs w:val="20"/>
              </w:rPr>
            </w:pPr>
            <w:r w:rsidRPr="00496B65">
              <w:rPr>
                <w:sz w:val="20"/>
                <w:szCs w:val="20"/>
              </w:rPr>
              <w:t>88</w:t>
            </w:r>
          </w:p>
        </w:tc>
        <w:tc>
          <w:tcPr>
            <w:tcW w:w="618" w:type="pct"/>
          </w:tcPr>
          <w:p w14:paraId="738CE2DA" w14:textId="77777777" w:rsidR="00D23E25" w:rsidRPr="00496B65" w:rsidRDefault="00D23E25" w:rsidP="004E2494">
            <w:pPr>
              <w:jc w:val="center"/>
              <w:rPr>
                <w:sz w:val="20"/>
                <w:szCs w:val="20"/>
              </w:rPr>
            </w:pPr>
            <w:r w:rsidRPr="00496B65">
              <w:rPr>
                <w:sz w:val="20"/>
                <w:szCs w:val="20"/>
              </w:rPr>
              <w:t>6.1</w:t>
            </w:r>
          </w:p>
        </w:tc>
        <w:tc>
          <w:tcPr>
            <w:tcW w:w="792" w:type="pct"/>
          </w:tcPr>
          <w:p w14:paraId="7EE7AE51" w14:textId="77777777" w:rsidR="00D23E25" w:rsidRPr="00496B65" w:rsidRDefault="00D23E25" w:rsidP="004E2494">
            <w:pPr>
              <w:jc w:val="center"/>
              <w:rPr>
                <w:sz w:val="20"/>
                <w:szCs w:val="20"/>
              </w:rPr>
            </w:pPr>
            <w:r w:rsidRPr="00496B65">
              <w:rPr>
                <w:sz w:val="20"/>
                <w:szCs w:val="20"/>
              </w:rPr>
              <w:t>2.8</w:t>
            </w:r>
          </w:p>
        </w:tc>
        <w:tc>
          <w:tcPr>
            <w:tcW w:w="397" w:type="pct"/>
          </w:tcPr>
          <w:p w14:paraId="191753A3" w14:textId="77777777" w:rsidR="00D23E25" w:rsidRPr="00496B65" w:rsidRDefault="00D23E25" w:rsidP="004E2494">
            <w:pPr>
              <w:rPr>
                <w:sz w:val="20"/>
                <w:szCs w:val="20"/>
              </w:rPr>
            </w:pPr>
            <w:r w:rsidRPr="00496B65">
              <w:rPr>
                <w:sz w:val="20"/>
                <w:szCs w:val="20"/>
              </w:rPr>
              <w:t>1928</w:t>
            </w:r>
          </w:p>
        </w:tc>
        <w:tc>
          <w:tcPr>
            <w:tcW w:w="477" w:type="pct"/>
          </w:tcPr>
          <w:p w14:paraId="2EF05195" w14:textId="77777777" w:rsidR="00D23E25" w:rsidRPr="00496B65" w:rsidRDefault="00D23E25" w:rsidP="004E2494">
            <w:pPr>
              <w:rPr>
                <w:sz w:val="20"/>
                <w:szCs w:val="20"/>
              </w:rPr>
            </w:pPr>
            <w:r w:rsidRPr="00496B65">
              <w:rPr>
                <w:sz w:val="20"/>
                <w:szCs w:val="20"/>
              </w:rPr>
              <w:t>SA</w:t>
            </w:r>
          </w:p>
        </w:tc>
      </w:tr>
      <w:tr w:rsidR="00D23E25" w:rsidRPr="00496B65" w14:paraId="0D1148FC" w14:textId="77777777" w:rsidTr="00D11974">
        <w:trPr>
          <w:trHeight w:val="397"/>
        </w:trPr>
        <w:tc>
          <w:tcPr>
            <w:tcW w:w="394" w:type="pct"/>
          </w:tcPr>
          <w:p w14:paraId="63C81D6A" w14:textId="77777777" w:rsidR="00D23E25" w:rsidRPr="00496B65" w:rsidRDefault="00D23E25" w:rsidP="004E2494">
            <w:pPr>
              <w:jc w:val="center"/>
              <w:rPr>
                <w:sz w:val="20"/>
                <w:szCs w:val="20"/>
              </w:rPr>
            </w:pPr>
            <w:r w:rsidRPr="00496B65">
              <w:rPr>
                <w:sz w:val="20"/>
                <w:szCs w:val="20"/>
              </w:rPr>
              <w:t>3</w:t>
            </w:r>
          </w:p>
        </w:tc>
        <w:tc>
          <w:tcPr>
            <w:tcW w:w="953" w:type="pct"/>
          </w:tcPr>
          <w:p w14:paraId="0F1D44D3" w14:textId="77777777" w:rsidR="00D23E25" w:rsidRPr="00496B65" w:rsidRDefault="00D23E25" w:rsidP="004E2494">
            <w:pPr>
              <w:rPr>
                <w:sz w:val="20"/>
                <w:szCs w:val="20"/>
              </w:rPr>
            </w:pPr>
            <w:r w:rsidRPr="00496B65">
              <w:rPr>
                <w:sz w:val="20"/>
                <w:szCs w:val="20"/>
              </w:rPr>
              <w:t>Overland Corner</w:t>
            </w:r>
          </w:p>
        </w:tc>
        <w:tc>
          <w:tcPr>
            <w:tcW w:w="794" w:type="pct"/>
          </w:tcPr>
          <w:p w14:paraId="70E619E8" w14:textId="77777777" w:rsidR="00D23E25" w:rsidRPr="00496B65" w:rsidRDefault="00D23E25" w:rsidP="004E2494">
            <w:pPr>
              <w:jc w:val="center"/>
              <w:rPr>
                <w:sz w:val="20"/>
                <w:szCs w:val="20"/>
              </w:rPr>
            </w:pPr>
            <w:r w:rsidRPr="00496B65">
              <w:rPr>
                <w:sz w:val="20"/>
                <w:szCs w:val="20"/>
              </w:rPr>
              <w:t>431</w:t>
            </w:r>
          </w:p>
        </w:tc>
        <w:tc>
          <w:tcPr>
            <w:tcW w:w="575" w:type="pct"/>
          </w:tcPr>
          <w:p w14:paraId="467CCF85" w14:textId="77777777" w:rsidR="00D23E25" w:rsidRPr="00496B65" w:rsidRDefault="00D23E25" w:rsidP="004E2494">
            <w:pPr>
              <w:jc w:val="center"/>
              <w:rPr>
                <w:sz w:val="20"/>
                <w:szCs w:val="20"/>
              </w:rPr>
            </w:pPr>
            <w:r w:rsidRPr="00496B65">
              <w:rPr>
                <w:sz w:val="20"/>
                <w:szCs w:val="20"/>
              </w:rPr>
              <w:t>69</w:t>
            </w:r>
          </w:p>
        </w:tc>
        <w:tc>
          <w:tcPr>
            <w:tcW w:w="618" w:type="pct"/>
          </w:tcPr>
          <w:p w14:paraId="3D31ED12" w14:textId="77777777" w:rsidR="00D23E25" w:rsidRPr="00496B65" w:rsidRDefault="00D23E25" w:rsidP="004E2494">
            <w:pPr>
              <w:jc w:val="center"/>
              <w:rPr>
                <w:sz w:val="20"/>
                <w:szCs w:val="20"/>
              </w:rPr>
            </w:pPr>
            <w:r w:rsidRPr="00496B65">
              <w:rPr>
                <w:sz w:val="20"/>
                <w:szCs w:val="20"/>
              </w:rPr>
              <w:t>9.8</w:t>
            </w:r>
          </w:p>
        </w:tc>
        <w:tc>
          <w:tcPr>
            <w:tcW w:w="792" w:type="pct"/>
          </w:tcPr>
          <w:p w14:paraId="3F609784" w14:textId="77777777" w:rsidR="00D23E25" w:rsidRPr="00496B65" w:rsidRDefault="00D23E25" w:rsidP="004E2494">
            <w:pPr>
              <w:jc w:val="center"/>
              <w:rPr>
                <w:sz w:val="20"/>
                <w:szCs w:val="20"/>
              </w:rPr>
            </w:pPr>
            <w:r w:rsidRPr="00496B65">
              <w:rPr>
                <w:sz w:val="20"/>
                <w:szCs w:val="20"/>
              </w:rPr>
              <w:t>3.7</w:t>
            </w:r>
          </w:p>
        </w:tc>
        <w:tc>
          <w:tcPr>
            <w:tcW w:w="397" w:type="pct"/>
          </w:tcPr>
          <w:p w14:paraId="77A183D5" w14:textId="77777777" w:rsidR="00D23E25" w:rsidRPr="00496B65" w:rsidRDefault="00D23E25" w:rsidP="004E2494">
            <w:pPr>
              <w:rPr>
                <w:sz w:val="20"/>
                <w:szCs w:val="20"/>
              </w:rPr>
            </w:pPr>
            <w:r w:rsidRPr="00496B65">
              <w:rPr>
                <w:sz w:val="20"/>
                <w:szCs w:val="20"/>
              </w:rPr>
              <w:t>1925</w:t>
            </w:r>
          </w:p>
        </w:tc>
        <w:tc>
          <w:tcPr>
            <w:tcW w:w="477" w:type="pct"/>
          </w:tcPr>
          <w:p w14:paraId="0A4B7D44" w14:textId="77777777" w:rsidR="00D23E25" w:rsidRPr="00496B65" w:rsidRDefault="00D23E25" w:rsidP="004E2494">
            <w:pPr>
              <w:rPr>
                <w:sz w:val="20"/>
                <w:szCs w:val="20"/>
              </w:rPr>
            </w:pPr>
            <w:r w:rsidRPr="00496B65">
              <w:rPr>
                <w:sz w:val="20"/>
                <w:szCs w:val="20"/>
              </w:rPr>
              <w:t>SA</w:t>
            </w:r>
          </w:p>
        </w:tc>
      </w:tr>
      <w:tr w:rsidR="00D23E25" w:rsidRPr="00496B65" w14:paraId="69DE59AA" w14:textId="77777777" w:rsidTr="00D11974">
        <w:trPr>
          <w:trHeight w:val="397"/>
        </w:trPr>
        <w:tc>
          <w:tcPr>
            <w:tcW w:w="394" w:type="pct"/>
          </w:tcPr>
          <w:p w14:paraId="6B29B69F" w14:textId="77777777" w:rsidR="00D23E25" w:rsidRPr="00496B65" w:rsidRDefault="00D23E25" w:rsidP="004E2494">
            <w:pPr>
              <w:jc w:val="center"/>
              <w:rPr>
                <w:sz w:val="20"/>
                <w:szCs w:val="20"/>
              </w:rPr>
            </w:pPr>
            <w:r w:rsidRPr="00496B65">
              <w:rPr>
                <w:sz w:val="20"/>
                <w:szCs w:val="20"/>
              </w:rPr>
              <w:t>4</w:t>
            </w:r>
          </w:p>
        </w:tc>
        <w:tc>
          <w:tcPr>
            <w:tcW w:w="953" w:type="pct"/>
          </w:tcPr>
          <w:p w14:paraId="3A4FF21D" w14:textId="77777777" w:rsidR="00D23E25" w:rsidRPr="00496B65" w:rsidRDefault="00D23E25" w:rsidP="004E2494">
            <w:pPr>
              <w:rPr>
                <w:sz w:val="20"/>
                <w:szCs w:val="20"/>
              </w:rPr>
            </w:pPr>
            <w:r w:rsidRPr="00496B65">
              <w:rPr>
                <w:sz w:val="20"/>
                <w:szCs w:val="20"/>
              </w:rPr>
              <w:t>Bookpurnong</w:t>
            </w:r>
          </w:p>
        </w:tc>
        <w:tc>
          <w:tcPr>
            <w:tcW w:w="794" w:type="pct"/>
          </w:tcPr>
          <w:p w14:paraId="28082238" w14:textId="77777777" w:rsidR="00D23E25" w:rsidRPr="00496B65" w:rsidRDefault="00D23E25" w:rsidP="004E2494">
            <w:pPr>
              <w:jc w:val="center"/>
              <w:rPr>
                <w:sz w:val="20"/>
                <w:szCs w:val="20"/>
              </w:rPr>
            </w:pPr>
            <w:r w:rsidRPr="00496B65">
              <w:rPr>
                <w:sz w:val="20"/>
                <w:szCs w:val="20"/>
              </w:rPr>
              <w:t>516</w:t>
            </w:r>
          </w:p>
        </w:tc>
        <w:tc>
          <w:tcPr>
            <w:tcW w:w="575" w:type="pct"/>
          </w:tcPr>
          <w:p w14:paraId="5B159675" w14:textId="77777777" w:rsidR="00D23E25" w:rsidRPr="00496B65" w:rsidRDefault="00D23E25" w:rsidP="004E2494">
            <w:pPr>
              <w:jc w:val="center"/>
              <w:rPr>
                <w:sz w:val="20"/>
                <w:szCs w:val="20"/>
              </w:rPr>
            </w:pPr>
            <w:r w:rsidRPr="00496B65">
              <w:rPr>
                <w:sz w:val="20"/>
                <w:szCs w:val="20"/>
              </w:rPr>
              <w:t>85</w:t>
            </w:r>
          </w:p>
        </w:tc>
        <w:tc>
          <w:tcPr>
            <w:tcW w:w="618" w:type="pct"/>
          </w:tcPr>
          <w:p w14:paraId="6639F7B8" w14:textId="77777777" w:rsidR="00D23E25" w:rsidRPr="00496B65" w:rsidRDefault="00D23E25" w:rsidP="004E2494">
            <w:pPr>
              <w:jc w:val="center"/>
              <w:rPr>
                <w:sz w:val="20"/>
                <w:szCs w:val="20"/>
              </w:rPr>
            </w:pPr>
            <w:r w:rsidRPr="00496B65">
              <w:rPr>
                <w:sz w:val="20"/>
                <w:szCs w:val="20"/>
              </w:rPr>
              <w:t>13.2</w:t>
            </w:r>
          </w:p>
        </w:tc>
        <w:tc>
          <w:tcPr>
            <w:tcW w:w="792" w:type="pct"/>
          </w:tcPr>
          <w:p w14:paraId="58E1394A" w14:textId="77777777" w:rsidR="00D23E25" w:rsidRPr="00496B65" w:rsidRDefault="00D23E25" w:rsidP="004E2494">
            <w:pPr>
              <w:jc w:val="center"/>
              <w:rPr>
                <w:sz w:val="20"/>
                <w:szCs w:val="20"/>
              </w:rPr>
            </w:pPr>
            <w:r w:rsidRPr="00496B65">
              <w:rPr>
                <w:sz w:val="20"/>
                <w:szCs w:val="20"/>
              </w:rPr>
              <w:t>3.4</w:t>
            </w:r>
          </w:p>
        </w:tc>
        <w:tc>
          <w:tcPr>
            <w:tcW w:w="397" w:type="pct"/>
          </w:tcPr>
          <w:p w14:paraId="535FB7DB" w14:textId="77777777" w:rsidR="00D23E25" w:rsidRPr="00496B65" w:rsidRDefault="00D23E25" w:rsidP="004E2494">
            <w:pPr>
              <w:rPr>
                <w:sz w:val="20"/>
                <w:szCs w:val="20"/>
              </w:rPr>
            </w:pPr>
            <w:r w:rsidRPr="00496B65">
              <w:rPr>
                <w:sz w:val="20"/>
                <w:szCs w:val="20"/>
              </w:rPr>
              <w:t>1929</w:t>
            </w:r>
          </w:p>
        </w:tc>
        <w:tc>
          <w:tcPr>
            <w:tcW w:w="477" w:type="pct"/>
          </w:tcPr>
          <w:p w14:paraId="1A1D1C96" w14:textId="77777777" w:rsidR="00D23E25" w:rsidRPr="00496B65" w:rsidRDefault="00D23E25" w:rsidP="004E2494">
            <w:pPr>
              <w:rPr>
                <w:sz w:val="20"/>
                <w:szCs w:val="20"/>
              </w:rPr>
            </w:pPr>
            <w:r w:rsidRPr="00496B65">
              <w:rPr>
                <w:sz w:val="20"/>
                <w:szCs w:val="20"/>
              </w:rPr>
              <w:t>SA</w:t>
            </w:r>
          </w:p>
        </w:tc>
      </w:tr>
      <w:tr w:rsidR="00D23E25" w:rsidRPr="00496B65" w14:paraId="655450DE" w14:textId="77777777" w:rsidTr="00D11974">
        <w:trPr>
          <w:trHeight w:val="397"/>
        </w:trPr>
        <w:tc>
          <w:tcPr>
            <w:tcW w:w="394" w:type="pct"/>
          </w:tcPr>
          <w:p w14:paraId="1222D149" w14:textId="77777777" w:rsidR="00D23E25" w:rsidRPr="00496B65" w:rsidRDefault="00D23E25" w:rsidP="004E2494">
            <w:pPr>
              <w:jc w:val="center"/>
              <w:rPr>
                <w:sz w:val="20"/>
                <w:szCs w:val="20"/>
              </w:rPr>
            </w:pPr>
            <w:r w:rsidRPr="00496B65">
              <w:rPr>
                <w:sz w:val="20"/>
                <w:szCs w:val="20"/>
              </w:rPr>
              <w:t>5</w:t>
            </w:r>
          </w:p>
        </w:tc>
        <w:tc>
          <w:tcPr>
            <w:tcW w:w="953" w:type="pct"/>
          </w:tcPr>
          <w:p w14:paraId="5CC3A107" w14:textId="77777777" w:rsidR="00D23E25" w:rsidRPr="00496B65" w:rsidRDefault="00D23E25" w:rsidP="004E2494">
            <w:pPr>
              <w:rPr>
                <w:sz w:val="20"/>
                <w:szCs w:val="20"/>
              </w:rPr>
            </w:pPr>
            <w:r w:rsidRPr="00496B65">
              <w:rPr>
                <w:sz w:val="20"/>
                <w:szCs w:val="20"/>
              </w:rPr>
              <w:t>Renmark</w:t>
            </w:r>
          </w:p>
        </w:tc>
        <w:tc>
          <w:tcPr>
            <w:tcW w:w="794" w:type="pct"/>
          </w:tcPr>
          <w:p w14:paraId="58057CA2" w14:textId="77777777" w:rsidR="00D23E25" w:rsidRPr="00496B65" w:rsidRDefault="00D23E25" w:rsidP="004E2494">
            <w:pPr>
              <w:jc w:val="center"/>
              <w:rPr>
                <w:sz w:val="20"/>
                <w:szCs w:val="20"/>
              </w:rPr>
            </w:pPr>
            <w:r w:rsidRPr="00496B65">
              <w:rPr>
                <w:sz w:val="20"/>
                <w:szCs w:val="20"/>
              </w:rPr>
              <w:t>562</w:t>
            </w:r>
          </w:p>
        </w:tc>
        <w:tc>
          <w:tcPr>
            <w:tcW w:w="575" w:type="pct"/>
          </w:tcPr>
          <w:p w14:paraId="658B2CB0" w14:textId="77777777" w:rsidR="00D23E25" w:rsidRPr="00496B65" w:rsidRDefault="00D23E25" w:rsidP="004E2494">
            <w:pPr>
              <w:jc w:val="center"/>
              <w:rPr>
                <w:sz w:val="20"/>
                <w:szCs w:val="20"/>
              </w:rPr>
            </w:pPr>
            <w:r w:rsidRPr="00496B65">
              <w:rPr>
                <w:sz w:val="20"/>
                <w:szCs w:val="20"/>
              </w:rPr>
              <w:t>46</w:t>
            </w:r>
          </w:p>
        </w:tc>
        <w:tc>
          <w:tcPr>
            <w:tcW w:w="618" w:type="pct"/>
          </w:tcPr>
          <w:p w14:paraId="273E53F9" w14:textId="77777777" w:rsidR="00D23E25" w:rsidRPr="00496B65" w:rsidRDefault="00D23E25" w:rsidP="004E2494">
            <w:pPr>
              <w:jc w:val="center"/>
              <w:rPr>
                <w:sz w:val="20"/>
                <w:szCs w:val="20"/>
              </w:rPr>
            </w:pPr>
            <w:r w:rsidRPr="00496B65">
              <w:rPr>
                <w:sz w:val="20"/>
                <w:szCs w:val="20"/>
              </w:rPr>
              <w:t>16.3</w:t>
            </w:r>
          </w:p>
        </w:tc>
        <w:tc>
          <w:tcPr>
            <w:tcW w:w="792" w:type="pct"/>
          </w:tcPr>
          <w:p w14:paraId="1D2850D9" w14:textId="77777777" w:rsidR="00D23E25" w:rsidRPr="00496B65" w:rsidRDefault="00D23E25" w:rsidP="004E2494">
            <w:pPr>
              <w:jc w:val="center"/>
              <w:rPr>
                <w:sz w:val="20"/>
                <w:szCs w:val="20"/>
              </w:rPr>
            </w:pPr>
            <w:r w:rsidRPr="00496B65">
              <w:rPr>
                <w:sz w:val="20"/>
                <w:szCs w:val="20"/>
              </w:rPr>
              <w:t>3.1</w:t>
            </w:r>
          </w:p>
        </w:tc>
        <w:tc>
          <w:tcPr>
            <w:tcW w:w="397" w:type="pct"/>
          </w:tcPr>
          <w:p w14:paraId="2EB2630F" w14:textId="77777777" w:rsidR="00D23E25" w:rsidRPr="00496B65" w:rsidRDefault="00D23E25" w:rsidP="004E2494">
            <w:pPr>
              <w:rPr>
                <w:sz w:val="20"/>
                <w:szCs w:val="20"/>
              </w:rPr>
            </w:pPr>
            <w:r w:rsidRPr="00496B65">
              <w:rPr>
                <w:sz w:val="20"/>
                <w:szCs w:val="20"/>
              </w:rPr>
              <w:t>1927</w:t>
            </w:r>
          </w:p>
        </w:tc>
        <w:tc>
          <w:tcPr>
            <w:tcW w:w="477" w:type="pct"/>
          </w:tcPr>
          <w:p w14:paraId="0C8F0235" w14:textId="77777777" w:rsidR="00D23E25" w:rsidRPr="00496B65" w:rsidRDefault="00D23E25" w:rsidP="004E2494">
            <w:pPr>
              <w:rPr>
                <w:sz w:val="20"/>
                <w:szCs w:val="20"/>
              </w:rPr>
            </w:pPr>
            <w:r w:rsidRPr="00496B65">
              <w:rPr>
                <w:sz w:val="20"/>
                <w:szCs w:val="20"/>
              </w:rPr>
              <w:t>SA</w:t>
            </w:r>
          </w:p>
        </w:tc>
      </w:tr>
      <w:tr w:rsidR="00D23E25" w:rsidRPr="00496B65" w14:paraId="1801DA09" w14:textId="77777777" w:rsidTr="00D11974">
        <w:trPr>
          <w:trHeight w:val="397"/>
        </w:trPr>
        <w:tc>
          <w:tcPr>
            <w:tcW w:w="394" w:type="pct"/>
          </w:tcPr>
          <w:p w14:paraId="6EAF3587" w14:textId="77777777" w:rsidR="00D23E25" w:rsidRPr="00496B65" w:rsidRDefault="00D23E25" w:rsidP="004E2494">
            <w:pPr>
              <w:jc w:val="center"/>
              <w:rPr>
                <w:sz w:val="20"/>
                <w:szCs w:val="20"/>
              </w:rPr>
            </w:pPr>
            <w:r w:rsidRPr="00496B65">
              <w:rPr>
                <w:sz w:val="20"/>
                <w:szCs w:val="20"/>
              </w:rPr>
              <w:t>6</w:t>
            </w:r>
          </w:p>
        </w:tc>
        <w:tc>
          <w:tcPr>
            <w:tcW w:w="953" w:type="pct"/>
          </w:tcPr>
          <w:p w14:paraId="52A576ED" w14:textId="77777777" w:rsidR="00D23E25" w:rsidRPr="00496B65" w:rsidRDefault="00D23E25" w:rsidP="004E2494">
            <w:pPr>
              <w:rPr>
                <w:sz w:val="20"/>
                <w:szCs w:val="20"/>
              </w:rPr>
            </w:pPr>
            <w:r w:rsidRPr="00496B65">
              <w:rPr>
                <w:sz w:val="20"/>
                <w:szCs w:val="20"/>
              </w:rPr>
              <w:t>Murtho</w:t>
            </w:r>
          </w:p>
        </w:tc>
        <w:tc>
          <w:tcPr>
            <w:tcW w:w="794" w:type="pct"/>
          </w:tcPr>
          <w:p w14:paraId="30D037BE" w14:textId="77777777" w:rsidR="00D23E25" w:rsidRPr="00496B65" w:rsidRDefault="00D23E25" w:rsidP="004E2494">
            <w:pPr>
              <w:jc w:val="center"/>
              <w:rPr>
                <w:sz w:val="20"/>
                <w:szCs w:val="20"/>
              </w:rPr>
            </w:pPr>
            <w:r w:rsidRPr="00496B65">
              <w:rPr>
                <w:sz w:val="20"/>
                <w:szCs w:val="20"/>
              </w:rPr>
              <w:t>620</w:t>
            </w:r>
          </w:p>
        </w:tc>
        <w:tc>
          <w:tcPr>
            <w:tcW w:w="575" w:type="pct"/>
          </w:tcPr>
          <w:p w14:paraId="3EF73F1A" w14:textId="77777777" w:rsidR="00D23E25" w:rsidRPr="00496B65" w:rsidRDefault="00D23E25" w:rsidP="004E2494">
            <w:pPr>
              <w:jc w:val="center"/>
              <w:rPr>
                <w:sz w:val="20"/>
                <w:szCs w:val="20"/>
              </w:rPr>
            </w:pPr>
            <w:r w:rsidRPr="00496B65">
              <w:rPr>
                <w:sz w:val="20"/>
                <w:szCs w:val="20"/>
              </w:rPr>
              <w:t>58</w:t>
            </w:r>
          </w:p>
        </w:tc>
        <w:tc>
          <w:tcPr>
            <w:tcW w:w="618" w:type="pct"/>
          </w:tcPr>
          <w:p w14:paraId="2E3CA270" w14:textId="77777777" w:rsidR="00D23E25" w:rsidRPr="00496B65" w:rsidRDefault="00D23E25" w:rsidP="004E2494">
            <w:pPr>
              <w:jc w:val="center"/>
              <w:rPr>
                <w:sz w:val="20"/>
                <w:szCs w:val="20"/>
              </w:rPr>
            </w:pPr>
            <w:r w:rsidRPr="00496B65">
              <w:rPr>
                <w:sz w:val="20"/>
                <w:szCs w:val="20"/>
              </w:rPr>
              <w:t>19.2</w:t>
            </w:r>
          </w:p>
        </w:tc>
        <w:tc>
          <w:tcPr>
            <w:tcW w:w="792" w:type="pct"/>
          </w:tcPr>
          <w:p w14:paraId="67305BEE" w14:textId="77777777" w:rsidR="00D23E25" w:rsidRPr="00496B65" w:rsidRDefault="00D23E25" w:rsidP="004E2494">
            <w:pPr>
              <w:jc w:val="center"/>
              <w:rPr>
                <w:sz w:val="20"/>
                <w:szCs w:val="20"/>
              </w:rPr>
            </w:pPr>
            <w:r w:rsidRPr="00496B65">
              <w:rPr>
                <w:sz w:val="20"/>
                <w:szCs w:val="20"/>
              </w:rPr>
              <w:t>2.9</w:t>
            </w:r>
          </w:p>
        </w:tc>
        <w:tc>
          <w:tcPr>
            <w:tcW w:w="397" w:type="pct"/>
          </w:tcPr>
          <w:p w14:paraId="4543B0F9" w14:textId="77777777" w:rsidR="00D23E25" w:rsidRPr="00496B65" w:rsidRDefault="00D23E25" w:rsidP="004E2494">
            <w:pPr>
              <w:rPr>
                <w:sz w:val="20"/>
                <w:szCs w:val="20"/>
              </w:rPr>
            </w:pPr>
            <w:r w:rsidRPr="00496B65">
              <w:rPr>
                <w:sz w:val="20"/>
                <w:szCs w:val="20"/>
              </w:rPr>
              <w:t>1930</w:t>
            </w:r>
          </w:p>
        </w:tc>
        <w:tc>
          <w:tcPr>
            <w:tcW w:w="477" w:type="pct"/>
          </w:tcPr>
          <w:p w14:paraId="50E90F6E" w14:textId="77777777" w:rsidR="00D23E25" w:rsidRPr="00496B65" w:rsidRDefault="00D23E25" w:rsidP="004E2494">
            <w:pPr>
              <w:rPr>
                <w:sz w:val="20"/>
                <w:szCs w:val="20"/>
              </w:rPr>
            </w:pPr>
            <w:r w:rsidRPr="00496B65">
              <w:rPr>
                <w:sz w:val="20"/>
                <w:szCs w:val="20"/>
              </w:rPr>
              <w:t>SA</w:t>
            </w:r>
          </w:p>
        </w:tc>
      </w:tr>
      <w:tr w:rsidR="00D23E25" w:rsidRPr="00496B65" w14:paraId="7B863801" w14:textId="77777777" w:rsidTr="00D11974">
        <w:trPr>
          <w:trHeight w:val="397"/>
        </w:trPr>
        <w:tc>
          <w:tcPr>
            <w:tcW w:w="394" w:type="pct"/>
          </w:tcPr>
          <w:p w14:paraId="1A165467" w14:textId="77777777" w:rsidR="00D23E25" w:rsidRPr="00496B65" w:rsidRDefault="00D23E25" w:rsidP="004E2494">
            <w:pPr>
              <w:jc w:val="center"/>
              <w:rPr>
                <w:sz w:val="20"/>
                <w:szCs w:val="20"/>
              </w:rPr>
            </w:pPr>
            <w:r w:rsidRPr="00496B65">
              <w:rPr>
                <w:sz w:val="20"/>
                <w:szCs w:val="20"/>
              </w:rPr>
              <w:t>7</w:t>
            </w:r>
          </w:p>
        </w:tc>
        <w:tc>
          <w:tcPr>
            <w:tcW w:w="953" w:type="pct"/>
          </w:tcPr>
          <w:p w14:paraId="65B0B1AE" w14:textId="77777777" w:rsidR="00D23E25" w:rsidRPr="00496B65" w:rsidRDefault="00D23E25" w:rsidP="004E2494">
            <w:pPr>
              <w:rPr>
                <w:sz w:val="20"/>
                <w:szCs w:val="20"/>
              </w:rPr>
            </w:pPr>
            <w:r w:rsidRPr="00496B65">
              <w:rPr>
                <w:sz w:val="20"/>
                <w:szCs w:val="20"/>
              </w:rPr>
              <w:t>Rufus River</w:t>
            </w:r>
          </w:p>
        </w:tc>
        <w:tc>
          <w:tcPr>
            <w:tcW w:w="794" w:type="pct"/>
          </w:tcPr>
          <w:p w14:paraId="469D5E3E" w14:textId="77777777" w:rsidR="00D23E25" w:rsidRPr="00496B65" w:rsidRDefault="00D23E25" w:rsidP="004E2494">
            <w:pPr>
              <w:jc w:val="center"/>
              <w:rPr>
                <w:sz w:val="20"/>
                <w:szCs w:val="20"/>
              </w:rPr>
            </w:pPr>
            <w:r w:rsidRPr="00496B65">
              <w:rPr>
                <w:sz w:val="20"/>
                <w:szCs w:val="20"/>
              </w:rPr>
              <w:t>697</w:t>
            </w:r>
          </w:p>
        </w:tc>
        <w:tc>
          <w:tcPr>
            <w:tcW w:w="575" w:type="pct"/>
          </w:tcPr>
          <w:p w14:paraId="1E3537EF" w14:textId="77777777" w:rsidR="00D23E25" w:rsidRPr="00496B65" w:rsidRDefault="00D23E25" w:rsidP="004E2494">
            <w:pPr>
              <w:jc w:val="center"/>
              <w:rPr>
                <w:sz w:val="20"/>
                <w:szCs w:val="20"/>
              </w:rPr>
            </w:pPr>
            <w:r w:rsidRPr="00496B65">
              <w:rPr>
                <w:sz w:val="20"/>
                <w:szCs w:val="20"/>
              </w:rPr>
              <w:t>77</w:t>
            </w:r>
          </w:p>
        </w:tc>
        <w:tc>
          <w:tcPr>
            <w:tcW w:w="618" w:type="pct"/>
          </w:tcPr>
          <w:p w14:paraId="7AAF8345" w14:textId="77777777" w:rsidR="00D23E25" w:rsidRPr="00496B65" w:rsidRDefault="00D23E25" w:rsidP="004E2494">
            <w:pPr>
              <w:jc w:val="center"/>
              <w:rPr>
                <w:sz w:val="20"/>
                <w:szCs w:val="20"/>
              </w:rPr>
            </w:pPr>
            <w:r w:rsidRPr="00496B65">
              <w:rPr>
                <w:sz w:val="20"/>
                <w:szCs w:val="20"/>
              </w:rPr>
              <w:t>22.1</w:t>
            </w:r>
          </w:p>
        </w:tc>
        <w:tc>
          <w:tcPr>
            <w:tcW w:w="792" w:type="pct"/>
          </w:tcPr>
          <w:p w14:paraId="3A4BD7CA" w14:textId="77777777" w:rsidR="00D23E25" w:rsidRPr="00496B65" w:rsidRDefault="00D23E25" w:rsidP="004E2494">
            <w:pPr>
              <w:jc w:val="center"/>
              <w:rPr>
                <w:sz w:val="20"/>
                <w:szCs w:val="20"/>
              </w:rPr>
            </w:pPr>
            <w:r w:rsidRPr="00496B65">
              <w:rPr>
                <w:sz w:val="20"/>
                <w:szCs w:val="20"/>
              </w:rPr>
              <w:t>2.8</w:t>
            </w:r>
          </w:p>
        </w:tc>
        <w:tc>
          <w:tcPr>
            <w:tcW w:w="397" w:type="pct"/>
          </w:tcPr>
          <w:p w14:paraId="0AA2459D" w14:textId="77777777" w:rsidR="00D23E25" w:rsidRPr="00496B65" w:rsidRDefault="00D23E25" w:rsidP="004E2494">
            <w:pPr>
              <w:rPr>
                <w:sz w:val="20"/>
                <w:szCs w:val="20"/>
              </w:rPr>
            </w:pPr>
            <w:r w:rsidRPr="00496B65">
              <w:rPr>
                <w:sz w:val="20"/>
                <w:szCs w:val="20"/>
              </w:rPr>
              <w:t>1934</w:t>
            </w:r>
          </w:p>
        </w:tc>
        <w:tc>
          <w:tcPr>
            <w:tcW w:w="477" w:type="pct"/>
          </w:tcPr>
          <w:p w14:paraId="0E555ABA" w14:textId="77777777" w:rsidR="00D23E25" w:rsidRPr="00496B65" w:rsidRDefault="00D23E25" w:rsidP="004E2494">
            <w:pPr>
              <w:rPr>
                <w:sz w:val="20"/>
                <w:szCs w:val="20"/>
              </w:rPr>
            </w:pPr>
            <w:r w:rsidRPr="00496B65">
              <w:rPr>
                <w:sz w:val="20"/>
                <w:szCs w:val="20"/>
              </w:rPr>
              <w:t>SA</w:t>
            </w:r>
          </w:p>
        </w:tc>
      </w:tr>
      <w:tr w:rsidR="00D23E25" w:rsidRPr="00496B65" w14:paraId="44CC30D0" w14:textId="77777777" w:rsidTr="00D11974">
        <w:trPr>
          <w:trHeight w:val="397"/>
        </w:trPr>
        <w:tc>
          <w:tcPr>
            <w:tcW w:w="394" w:type="pct"/>
          </w:tcPr>
          <w:p w14:paraId="671F8588" w14:textId="77777777" w:rsidR="00D23E25" w:rsidRPr="00496B65" w:rsidRDefault="00D23E25" w:rsidP="004E2494">
            <w:pPr>
              <w:jc w:val="center"/>
              <w:rPr>
                <w:sz w:val="20"/>
                <w:szCs w:val="20"/>
              </w:rPr>
            </w:pPr>
            <w:r w:rsidRPr="00496B65">
              <w:rPr>
                <w:sz w:val="20"/>
                <w:szCs w:val="20"/>
              </w:rPr>
              <w:t>8</w:t>
            </w:r>
          </w:p>
        </w:tc>
        <w:tc>
          <w:tcPr>
            <w:tcW w:w="953" w:type="pct"/>
          </w:tcPr>
          <w:p w14:paraId="3F52A652" w14:textId="77777777" w:rsidR="00D23E25" w:rsidRPr="00496B65" w:rsidRDefault="00D23E25" w:rsidP="004E2494">
            <w:pPr>
              <w:rPr>
                <w:sz w:val="20"/>
                <w:szCs w:val="20"/>
              </w:rPr>
            </w:pPr>
            <w:r w:rsidRPr="00496B65">
              <w:rPr>
                <w:sz w:val="20"/>
                <w:szCs w:val="20"/>
              </w:rPr>
              <w:t>Wangumma</w:t>
            </w:r>
          </w:p>
        </w:tc>
        <w:tc>
          <w:tcPr>
            <w:tcW w:w="794" w:type="pct"/>
          </w:tcPr>
          <w:p w14:paraId="60C3718D" w14:textId="77777777" w:rsidR="00D23E25" w:rsidRPr="00496B65" w:rsidRDefault="00D23E25" w:rsidP="004E2494">
            <w:pPr>
              <w:jc w:val="center"/>
              <w:rPr>
                <w:sz w:val="20"/>
                <w:szCs w:val="20"/>
              </w:rPr>
            </w:pPr>
            <w:r w:rsidRPr="00496B65">
              <w:rPr>
                <w:sz w:val="20"/>
                <w:szCs w:val="20"/>
              </w:rPr>
              <w:t>726</w:t>
            </w:r>
          </w:p>
        </w:tc>
        <w:tc>
          <w:tcPr>
            <w:tcW w:w="575" w:type="pct"/>
          </w:tcPr>
          <w:p w14:paraId="44E81F4A" w14:textId="77777777" w:rsidR="00D23E25" w:rsidRPr="00496B65" w:rsidRDefault="00D23E25" w:rsidP="004E2494">
            <w:pPr>
              <w:jc w:val="center"/>
              <w:rPr>
                <w:sz w:val="20"/>
                <w:szCs w:val="20"/>
              </w:rPr>
            </w:pPr>
            <w:r w:rsidRPr="00496B65">
              <w:rPr>
                <w:sz w:val="20"/>
                <w:szCs w:val="20"/>
              </w:rPr>
              <w:t>29</w:t>
            </w:r>
          </w:p>
        </w:tc>
        <w:tc>
          <w:tcPr>
            <w:tcW w:w="618" w:type="pct"/>
          </w:tcPr>
          <w:p w14:paraId="18053765" w14:textId="77777777" w:rsidR="00D23E25" w:rsidRPr="00496B65" w:rsidRDefault="00D23E25" w:rsidP="004E2494">
            <w:pPr>
              <w:jc w:val="center"/>
              <w:rPr>
                <w:sz w:val="20"/>
                <w:szCs w:val="20"/>
              </w:rPr>
            </w:pPr>
            <w:r w:rsidRPr="00496B65">
              <w:rPr>
                <w:sz w:val="20"/>
                <w:szCs w:val="20"/>
              </w:rPr>
              <w:t>24.6</w:t>
            </w:r>
          </w:p>
        </w:tc>
        <w:tc>
          <w:tcPr>
            <w:tcW w:w="792" w:type="pct"/>
          </w:tcPr>
          <w:p w14:paraId="1B2AEB8B" w14:textId="77777777" w:rsidR="00D23E25" w:rsidRPr="00496B65" w:rsidRDefault="00D23E25" w:rsidP="004E2494">
            <w:pPr>
              <w:jc w:val="center"/>
              <w:rPr>
                <w:sz w:val="20"/>
                <w:szCs w:val="20"/>
              </w:rPr>
            </w:pPr>
            <w:r w:rsidRPr="00496B65">
              <w:rPr>
                <w:sz w:val="20"/>
                <w:szCs w:val="20"/>
              </w:rPr>
              <w:t>2.5</w:t>
            </w:r>
          </w:p>
        </w:tc>
        <w:tc>
          <w:tcPr>
            <w:tcW w:w="397" w:type="pct"/>
          </w:tcPr>
          <w:p w14:paraId="589B02C5" w14:textId="77777777" w:rsidR="00D23E25" w:rsidRPr="00496B65" w:rsidRDefault="00D23E25" w:rsidP="004E2494">
            <w:pPr>
              <w:rPr>
                <w:sz w:val="20"/>
                <w:szCs w:val="20"/>
              </w:rPr>
            </w:pPr>
            <w:r w:rsidRPr="00496B65">
              <w:rPr>
                <w:sz w:val="20"/>
                <w:szCs w:val="20"/>
              </w:rPr>
              <w:t>1935</w:t>
            </w:r>
          </w:p>
        </w:tc>
        <w:tc>
          <w:tcPr>
            <w:tcW w:w="477" w:type="pct"/>
          </w:tcPr>
          <w:p w14:paraId="4DC62026" w14:textId="77777777" w:rsidR="00D23E25" w:rsidRPr="00496B65" w:rsidRDefault="00D23E25" w:rsidP="004E2494">
            <w:pPr>
              <w:rPr>
                <w:sz w:val="20"/>
                <w:szCs w:val="20"/>
              </w:rPr>
            </w:pPr>
            <w:r w:rsidRPr="00496B65">
              <w:rPr>
                <w:sz w:val="20"/>
                <w:szCs w:val="20"/>
              </w:rPr>
              <w:t>SA</w:t>
            </w:r>
          </w:p>
        </w:tc>
      </w:tr>
      <w:tr w:rsidR="00D23E25" w:rsidRPr="00496B65" w14:paraId="061B0954" w14:textId="77777777" w:rsidTr="00D11974">
        <w:trPr>
          <w:trHeight w:val="397"/>
        </w:trPr>
        <w:tc>
          <w:tcPr>
            <w:tcW w:w="394" w:type="pct"/>
          </w:tcPr>
          <w:p w14:paraId="687981B0" w14:textId="77777777" w:rsidR="00D23E25" w:rsidRPr="00496B65" w:rsidRDefault="00D23E25" w:rsidP="004E2494">
            <w:pPr>
              <w:jc w:val="center"/>
              <w:rPr>
                <w:sz w:val="20"/>
                <w:szCs w:val="20"/>
              </w:rPr>
            </w:pPr>
            <w:r w:rsidRPr="00496B65">
              <w:rPr>
                <w:sz w:val="20"/>
                <w:szCs w:val="20"/>
              </w:rPr>
              <w:t>9</w:t>
            </w:r>
          </w:p>
        </w:tc>
        <w:tc>
          <w:tcPr>
            <w:tcW w:w="953" w:type="pct"/>
          </w:tcPr>
          <w:p w14:paraId="18712CE2" w14:textId="77777777" w:rsidR="00D23E25" w:rsidRPr="00496B65" w:rsidRDefault="00D23E25" w:rsidP="004E2494">
            <w:pPr>
              <w:rPr>
                <w:sz w:val="20"/>
                <w:szCs w:val="20"/>
              </w:rPr>
            </w:pPr>
            <w:r w:rsidRPr="00496B65">
              <w:rPr>
                <w:sz w:val="20"/>
                <w:szCs w:val="20"/>
              </w:rPr>
              <w:t>Kulnine</w:t>
            </w:r>
          </w:p>
        </w:tc>
        <w:tc>
          <w:tcPr>
            <w:tcW w:w="794" w:type="pct"/>
          </w:tcPr>
          <w:p w14:paraId="48D39BD0" w14:textId="77777777" w:rsidR="00D23E25" w:rsidRPr="00496B65" w:rsidRDefault="00D23E25" w:rsidP="004E2494">
            <w:pPr>
              <w:jc w:val="center"/>
              <w:rPr>
                <w:sz w:val="20"/>
                <w:szCs w:val="20"/>
              </w:rPr>
            </w:pPr>
            <w:r w:rsidRPr="00496B65">
              <w:rPr>
                <w:sz w:val="20"/>
                <w:szCs w:val="20"/>
              </w:rPr>
              <w:t>765</w:t>
            </w:r>
          </w:p>
        </w:tc>
        <w:tc>
          <w:tcPr>
            <w:tcW w:w="575" w:type="pct"/>
          </w:tcPr>
          <w:p w14:paraId="790D5FDD" w14:textId="77777777" w:rsidR="00D23E25" w:rsidRPr="00496B65" w:rsidRDefault="00D23E25" w:rsidP="004E2494">
            <w:pPr>
              <w:jc w:val="center"/>
              <w:rPr>
                <w:sz w:val="20"/>
                <w:szCs w:val="20"/>
              </w:rPr>
            </w:pPr>
            <w:r w:rsidRPr="00496B65">
              <w:rPr>
                <w:sz w:val="20"/>
                <w:szCs w:val="20"/>
              </w:rPr>
              <w:t>39</w:t>
            </w:r>
          </w:p>
        </w:tc>
        <w:tc>
          <w:tcPr>
            <w:tcW w:w="618" w:type="pct"/>
          </w:tcPr>
          <w:p w14:paraId="1123914E" w14:textId="77777777" w:rsidR="00D23E25" w:rsidRPr="00496B65" w:rsidRDefault="00D23E25" w:rsidP="004E2494">
            <w:pPr>
              <w:jc w:val="center"/>
              <w:rPr>
                <w:sz w:val="20"/>
                <w:szCs w:val="20"/>
              </w:rPr>
            </w:pPr>
            <w:r w:rsidRPr="00496B65">
              <w:rPr>
                <w:sz w:val="20"/>
                <w:szCs w:val="20"/>
              </w:rPr>
              <w:t>27.4</w:t>
            </w:r>
          </w:p>
        </w:tc>
        <w:tc>
          <w:tcPr>
            <w:tcW w:w="792" w:type="pct"/>
          </w:tcPr>
          <w:p w14:paraId="1C8A2618" w14:textId="77777777" w:rsidR="00D23E25" w:rsidRPr="00496B65" w:rsidRDefault="00D23E25" w:rsidP="004E2494">
            <w:pPr>
              <w:jc w:val="center"/>
              <w:rPr>
                <w:sz w:val="20"/>
                <w:szCs w:val="20"/>
              </w:rPr>
            </w:pPr>
            <w:r w:rsidRPr="00496B65">
              <w:rPr>
                <w:sz w:val="20"/>
                <w:szCs w:val="20"/>
              </w:rPr>
              <w:t>2.8</w:t>
            </w:r>
          </w:p>
        </w:tc>
        <w:tc>
          <w:tcPr>
            <w:tcW w:w="397" w:type="pct"/>
          </w:tcPr>
          <w:p w14:paraId="7AE42881" w14:textId="77777777" w:rsidR="00D23E25" w:rsidRPr="00496B65" w:rsidRDefault="00D23E25" w:rsidP="004E2494">
            <w:pPr>
              <w:rPr>
                <w:sz w:val="20"/>
                <w:szCs w:val="20"/>
              </w:rPr>
            </w:pPr>
            <w:r w:rsidRPr="00496B65">
              <w:rPr>
                <w:sz w:val="20"/>
                <w:szCs w:val="20"/>
              </w:rPr>
              <w:t>1926</w:t>
            </w:r>
          </w:p>
        </w:tc>
        <w:tc>
          <w:tcPr>
            <w:tcW w:w="477" w:type="pct"/>
          </w:tcPr>
          <w:p w14:paraId="1DF2C923" w14:textId="77777777" w:rsidR="00D23E25" w:rsidRPr="00496B65" w:rsidRDefault="00D23E25" w:rsidP="004E2494">
            <w:pPr>
              <w:rPr>
                <w:sz w:val="20"/>
                <w:szCs w:val="20"/>
              </w:rPr>
            </w:pPr>
            <w:r w:rsidRPr="00496B65">
              <w:rPr>
                <w:sz w:val="20"/>
                <w:szCs w:val="20"/>
              </w:rPr>
              <w:t>SA</w:t>
            </w:r>
          </w:p>
        </w:tc>
      </w:tr>
      <w:tr w:rsidR="00D23E25" w:rsidRPr="00496B65" w14:paraId="7EB62A64" w14:textId="77777777" w:rsidTr="00D11974">
        <w:trPr>
          <w:trHeight w:val="397"/>
        </w:trPr>
        <w:tc>
          <w:tcPr>
            <w:tcW w:w="394" w:type="pct"/>
          </w:tcPr>
          <w:p w14:paraId="5641852D" w14:textId="77777777" w:rsidR="00D23E25" w:rsidRPr="00496B65" w:rsidRDefault="00D23E25" w:rsidP="004E2494">
            <w:pPr>
              <w:jc w:val="center"/>
              <w:rPr>
                <w:sz w:val="20"/>
                <w:szCs w:val="20"/>
              </w:rPr>
            </w:pPr>
            <w:r w:rsidRPr="00496B65">
              <w:rPr>
                <w:sz w:val="20"/>
                <w:szCs w:val="20"/>
              </w:rPr>
              <w:t>10</w:t>
            </w:r>
          </w:p>
        </w:tc>
        <w:tc>
          <w:tcPr>
            <w:tcW w:w="953" w:type="pct"/>
          </w:tcPr>
          <w:p w14:paraId="2A9EE8E3" w14:textId="77777777" w:rsidR="00D23E25" w:rsidRPr="00496B65" w:rsidRDefault="00D23E25" w:rsidP="004E2494">
            <w:pPr>
              <w:rPr>
                <w:sz w:val="20"/>
                <w:szCs w:val="20"/>
              </w:rPr>
            </w:pPr>
            <w:r w:rsidRPr="00496B65">
              <w:rPr>
                <w:sz w:val="20"/>
                <w:szCs w:val="20"/>
              </w:rPr>
              <w:t>Wentworth</w:t>
            </w:r>
          </w:p>
        </w:tc>
        <w:tc>
          <w:tcPr>
            <w:tcW w:w="794" w:type="pct"/>
          </w:tcPr>
          <w:p w14:paraId="2D5928A1" w14:textId="77777777" w:rsidR="00D23E25" w:rsidRPr="00496B65" w:rsidRDefault="00D23E25" w:rsidP="004E2494">
            <w:pPr>
              <w:jc w:val="center"/>
              <w:rPr>
                <w:sz w:val="20"/>
                <w:szCs w:val="20"/>
              </w:rPr>
            </w:pPr>
            <w:r w:rsidRPr="00496B65">
              <w:rPr>
                <w:sz w:val="20"/>
                <w:szCs w:val="20"/>
              </w:rPr>
              <w:t>825</w:t>
            </w:r>
          </w:p>
        </w:tc>
        <w:tc>
          <w:tcPr>
            <w:tcW w:w="575" w:type="pct"/>
          </w:tcPr>
          <w:p w14:paraId="50786BFF" w14:textId="77777777" w:rsidR="00D23E25" w:rsidRPr="00496B65" w:rsidRDefault="00D23E25" w:rsidP="004E2494">
            <w:pPr>
              <w:jc w:val="center"/>
              <w:rPr>
                <w:sz w:val="20"/>
                <w:szCs w:val="20"/>
              </w:rPr>
            </w:pPr>
            <w:r w:rsidRPr="00496B65">
              <w:rPr>
                <w:sz w:val="20"/>
                <w:szCs w:val="20"/>
              </w:rPr>
              <w:t>60</w:t>
            </w:r>
          </w:p>
        </w:tc>
        <w:tc>
          <w:tcPr>
            <w:tcW w:w="618" w:type="pct"/>
          </w:tcPr>
          <w:p w14:paraId="36D408BA" w14:textId="77777777" w:rsidR="00D23E25" w:rsidRPr="00496B65" w:rsidRDefault="00D23E25" w:rsidP="004E2494">
            <w:pPr>
              <w:jc w:val="center"/>
              <w:rPr>
                <w:sz w:val="20"/>
                <w:szCs w:val="20"/>
              </w:rPr>
            </w:pPr>
            <w:r w:rsidRPr="00496B65">
              <w:rPr>
                <w:sz w:val="20"/>
                <w:szCs w:val="20"/>
              </w:rPr>
              <w:t>30.8</w:t>
            </w:r>
          </w:p>
        </w:tc>
        <w:tc>
          <w:tcPr>
            <w:tcW w:w="792" w:type="pct"/>
          </w:tcPr>
          <w:p w14:paraId="7F5FA168" w14:textId="77777777" w:rsidR="00D23E25" w:rsidRPr="00496B65" w:rsidRDefault="00D23E25" w:rsidP="004E2494">
            <w:pPr>
              <w:jc w:val="center"/>
              <w:rPr>
                <w:sz w:val="20"/>
                <w:szCs w:val="20"/>
              </w:rPr>
            </w:pPr>
            <w:r w:rsidRPr="00496B65">
              <w:rPr>
                <w:sz w:val="20"/>
                <w:szCs w:val="20"/>
              </w:rPr>
              <w:t>3.4</w:t>
            </w:r>
          </w:p>
        </w:tc>
        <w:tc>
          <w:tcPr>
            <w:tcW w:w="397" w:type="pct"/>
          </w:tcPr>
          <w:p w14:paraId="12C00AD2" w14:textId="77777777" w:rsidR="00D23E25" w:rsidRPr="00496B65" w:rsidRDefault="00D23E25" w:rsidP="004E2494">
            <w:pPr>
              <w:rPr>
                <w:sz w:val="20"/>
                <w:szCs w:val="20"/>
              </w:rPr>
            </w:pPr>
            <w:r w:rsidRPr="00496B65">
              <w:rPr>
                <w:sz w:val="20"/>
                <w:szCs w:val="20"/>
              </w:rPr>
              <w:t>1929</w:t>
            </w:r>
          </w:p>
        </w:tc>
        <w:tc>
          <w:tcPr>
            <w:tcW w:w="477" w:type="pct"/>
          </w:tcPr>
          <w:p w14:paraId="6C6BCD76" w14:textId="77777777" w:rsidR="00D23E25" w:rsidRPr="00496B65" w:rsidRDefault="00D23E25" w:rsidP="004E2494">
            <w:pPr>
              <w:rPr>
                <w:sz w:val="20"/>
                <w:szCs w:val="20"/>
              </w:rPr>
            </w:pPr>
            <w:r w:rsidRPr="00496B65">
              <w:rPr>
                <w:sz w:val="20"/>
                <w:szCs w:val="20"/>
              </w:rPr>
              <w:t>NSW</w:t>
            </w:r>
          </w:p>
        </w:tc>
      </w:tr>
      <w:tr w:rsidR="00D23E25" w:rsidRPr="00496B65" w14:paraId="5087D0B8" w14:textId="77777777" w:rsidTr="00D11974">
        <w:trPr>
          <w:trHeight w:val="397"/>
        </w:trPr>
        <w:tc>
          <w:tcPr>
            <w:tcW w:w="394" w:type="pct"/>
            <w:shd w:val="clear" w:color="auto" w:fill="F2F2F2" w:themeFill="background1" w:themeFillShade="F2"/>
          </w:tcPr>
          <w:p w14:paraId="2D85285A" w14:textId="77777777" w:rsidR="00D23E25" w:rsidRPr="00496B65" w:rsidRDefault="00D23E25" w:rsidP="004E2494">
            <w:pPr>
              <w:jc w:val="center"/>
              <w:rPr>
                <w:sz w:val="20"/>
                <w:szCs w:val="20"/>
              </w:rPr>
            </w:pPr>
            <w:r w:rsidRPr="00496B65">
              <w:rPr>
                <w:sz w:val="20"/>
                <w:szCs w:val="20"/>
              </w:rPr>
              <w:t>11</w:t>
            </w:r>
          </w:p>
        </w:tc>
        <w:tc>
          <w:tcPr>
            <w:tcW w:w="953" w:type="pct"/>
            <w:shd w:val="clear" w:color="auto" w:fill="F2F2F2" w:themeFill="background1" w:themeFillShade="F2"/>
          </w:tcPr>
          <w:p w14:paraId="6869DF6E" w14:textId="77777777" w:rsidR="00D23E25" w:rsidRPr="00496B65" w:rsidRDefault="00D23E25" w:rsidP="004E2494">
            <w:pPr>
              <w:rPr>
                <w:sz w:val="20"/>
                <w:szCs w:val="20"/>
              </w:rPr>
            </w:pPr>
            <w:r w:rsidRPr="00496B65">
              <w:rPr>
                <w:sz w:val="20"/>
                <w:szCs w:val="20"/>
              </w:rPr>
              <w:t>Mildura</w:t>
            </w:r>
          </w:p>
        </w:tc>
        <w:tc>
          <w:tcPr>
            <w:tcW w:w="794" w:type="pct"/>
            <w:shd w:val="clear" w:color="auto" w:fill="F2F2F2" w:themeFill="background1" w:themeFillShade="F2"/>
          </w:tcPr>
          <w:p w14:paraId="40AD7DE4" w14:textId="77777777" w:rsidR="00D23E25" w:rsidRPr="00496B65" w:rsidRDefault="00D23E25" w:rsidP="004E2494">
            <w:pPr>
              <w:jc w:val="center"/>
              <w:rPr>
                <w:sz w:val="20"/>
                <w:szCs w:val="20"/>
              </w:rPr>
            </w:pPr>
            <w:r w:rsidRPr="00496B65">
              <w:rPr>
                <w:sz w:val="20"/>
                <w:szCs w:val="20"/>
              </w:rPr>
              <w:t>878</w:t>
            </w:r>
          </w:p>
        </w:tc>
        <w:tc>
          <w:tcPr>
            <w:tcW w:w="575" w:type="pct"/>
            <w:shd w:val="clear" w:color="auto" w:fill="F2F2F2" w:themeFill="background1" w:themeFillShade="F2"/>
          </w:tcPr>
          <w:p w14:paraId="5AC36220" w14:textId="77777777" w:rsidR="00D23E25" w:rsidRPr="00496B65" w:rsidRDefault="00D23E25" w:rsidP="004E2494">
            <w:pPr>
              <w:jc w:val="center"/>
              <w:rPr>
                <w:sz w:val="20"/>
                <w:szCs w:val="20"/>
              </w:rPr>
            </w:pPr>
            <w:r w:rsidRPr="00496B65">
              <w:rPr>
                <w:sz w:val="20"/>
                <w:szCs w:val="20"/>
              </w:rPr>
              <w:t>53</w:t>
            </w:r>
          </w:p>
        </w:tc>
        <w:tc>
          <w:tcPr>
            <w:tcW w:w="618" w:type="pct"/>
            <w:shd w:val="clear" w:color="auto" w:fill="F2F2F2" w:themeFill="background1" w:themeFillShade="F2"/>
          </w:tcPr>
          <w:p w14:paraId="14985EB6" w14:textId="77777777" w:rsidR="00D23E25" w:rsidRPr="00496B65" w:rsidRDefault="00D23E25" w:rsidP="004E2494">
            <w:pPr>
              <w:jc w:val="center"/>
              <w:rPr>
                <w:sz w:val="20"/>
                <w:szCs w:val="20"/>
              </w:rPr>
            </w:pPr>
            <w:r w:rsidRPr="00496B65">
              <w:rPr>
                <w:sz w:val="20"/>
                <w:szCs w:val="20"/>
              </w:rPr>
              <w:t>34.4</w:t>
            </w:r>
          </w:p>
        </w:tc>
        <w:tc>
          <w:tcPr>
            <w:tcW w:w="792" w:type="pct"/>
            <w:shd w:val="clear" w:color="auto" w:fill="F2F2F2" w:themeFill="background1" w:themeFillShade="F2"/>
          </w:tcPr>
          <w:p w14:paraId="347633F9" w14:textId="77777777" w:rsidR="00D23E25" w:rsidRPr="00496B65" w:rsidRDefault="00D23E25" w:rsidP="004E2494">
            <w:pPr>
              <w:jc w:val="center"/>
              <w:rPr>
                <w:sz w:val="20"/>
                <w:szCs w:val="20"/>
              </w:rPr>
            </w:pPr>
            <w:r w:rsidRPr="00496B65">
              <w:rPr>
                <w:sz w:val="20"/>
                <w:szCs w:val="20"/>
              </w:rPr>
              <w:t>3.7</w:t>
            </w:r>
          </w:p>
        </w:tc>
        <w:tc>
          <w:tcPr>
            <w:tcW w:w="397" w:type="pct"/>
            <w:shd w:val="clear" w:color="auto" w:fill="F2F2F2" w:themeFill="background1" w:themeFillShade="F2"/>
          </w:tcPr>
          <w:p w14:paraId="35B4B8B7" w14:textId="77777777" w:rsidR="00D23E25" w:rsidRPr="00496B65" w:rsidRDefault="00D23E25" w:rsidP="004E2494">
            <w:pPr>
              <w:rPr>
                <w:sz w:val="20"/>
                <w:szCs w:val="20"/>
              </w:rPr>
            </w:pPr>
            <w:r w:rsidRPr="00496B65">
              <w:rPr>
                <w:sz w:val="20"/>
                <w:szCs w:val="20"/>
              </w:rPr>
              <w:t>1927</w:t>
            </w:r>
          </w:p>
        </w:tc>
        <w:tc>
          <w:tcPr>
            <w:tcW w:w="477" w:type="pct"/>
            <w:shd w:val="clear" w:color="auto" w:fill="F2F2F2" w:themeFill="background1" w:themeFillShade="F2"/>
          </w:tcPr>
          <w:p w14:paraId="711F157A" w14:textId="77777777" w:rsidR="00D23E25" w:rsidRPr="00496B65" w:rsidRDefault="00D23E25" w:rsidP="004E2494">
            <w:pPr>
              <w:rPr>
                <w:sz w:val="20"/>
                <w:szCs w:val="20"/>
              </w:rPr>
            </w:pPr>
            <w:r w:rsidRPr="00496B65">
              <w:rPr>
                <w:sz w:val="20"/>
                <w:szCs w:val="20"/>
              </w:rPr>
              <w:t>VIC</w:t>
            </w:r>
          </w:p>
        </w:tc>
      </w:tr>
    </w:tbl>
    <w:p w14:paraId="3935BC6F" w14:textId="2A4CB03A" w:rsidR="002266FD" w:rsidRDefault="002266FD" w:rsidP="002266FD">
      <w:r w:rsidRPr="000D6801">
        <w:lastRenderedPageBreak/>
        <w:t>The weirs have little effect on through-flow but exert a major influence on water-level variability in the channel and on connectivity with floodplain wetlands and woodlands</w:t>
      </w:r>
      <w:r>
        <w:t xml:space="preserve"> (Walker 2001; Walker 2006</w:t>
      </w:r>
      <w:r w:rsidR="00E76F06">
        <w:t>; Hart et al. 2020</w:t>
      </w:r>
      <w:r>
        <w:t>). Consequently, t</w:t>
      </w:r>
      <w:r w:rsidRPr="000D6801">
        <w:t xml:space="preserve">he river channel </w:t>
      </w:r>
      <w:r>
        <w:t>associated with the ecological community has</w:t>
      </w:r>
      <w:r w:rsidRPr="000D6801">
        <w:t xml:space="preserve"> progressively develop</w:t>
      </w:r>
      <w:r>
        <w:t>ed</w:t>
      </w:r>
      <w:r w:rsidRPr="000D6801">
        <w:t xml:space="preserve"> a stepped gradient, with deposition</w:t>
      </w:r>
      <w:r>
        <w:t xml:space="preserve"> of sediments </w:t>
      </w:r>
      <w:r w:rsidRPr="000D6801">
        <w:t>above each weir and</w:t>
      </w:r>
      <w:r>
        <w:t xml:space="preserve"> </w:t>
      </w:r>
      <w:r w:rsidRPr="000D6801">
        <w:t>erosion downstream</w:t>
      </w:r>
      <w:r>
        <w:t xml:space="preserve"> </w:t>
      </w:r>
      <w:r w:rsidRPr="000D6801">
        <w:t>(Thoms and Walker</w:t>
      </w:r>
      <w:r>
        <w:t xml:space="preserve"> </w:t>
      </w:r>
      <w:r w:rsidRPr="000D6801">
        <w:t>1992</w:t>
      </w:r>
      <w:r>
        <w:t>; Walker and Thoms 1993</w:t>
      </w:r>
      <w:r w:rsidRPr="000D6801">
        <w:t xml:space="preserve">). Such changes have resulted in the infilling of deeper pools and scour holes, </w:t>
      </w:r>
      <w:r>
        <w:t>which</w:t>
      </w:r>
      <w:r w:rsidRPr="000D6801">
        <w:t xml:space="preserve"> combined with extensive removal of snags and erosion, have led</w:t>
      </w:r>
      <w:r>
        <w:t xml:space="preserve"> to simplification of habitat diversity in the river channel (MDBC 2006a).</w:t>
      </w:r>
    </w:p>
    <w:p w14:paraId="234DEED7" w14:textId="78A425D9" w:rsidR="002266FD" w:rsidRDefault="002266FD" w:rsidP="00997AAE">
      <w:r>
        <w:t>In addition to the ten locks, c</w:t>
      </w:r>
      <w:r w:rsidRPr="000D6801">
        <w:t>onstruction of five barrages</w:t>
      </w:r>
      <w:r>
        <w:t xml:space="preserve"> (and two further locks) </w:t>
      </w:r>
      <w:r w:rsidRPr="000D6801">
        <w:t>at the Murray Mouth (i.e. Goolwa, Mundoo, Boundary Creek, Ewe</w:t>
      </w:r>
      <w:r>
        <w:t xml:space="preserve"> </w:t>
      </w:r>
      <w:r w:rsidRPr="000D6801">
        <w:t>Island and Tauwit</w:t>
      </w:r>
      <w:r>
        <w:t xml:space="preserve">chere) occurred between 1935 and 1940 </w:t>
      </w:r>
      <w:r w:rsidRPr="000D6801">
        <w:t>(Sim and Muller 2004). S</w:t>
      </w:r>
      <w:r>
        <w:t xml:space="preserve">outh </w:t>
      </w:r>
      <w:r w:rsidRPr="000D6801">
        <w:t>A</w:t>
      </w:r>
      <w:r>
        <w:t>ustralia was concerned with</w:t>
      </w:r>
      <w:r w:rsidRPr="000D6801">
        <w:t xml:space="preserve"> the Lower</w:t>
      </w:r>
      <w:r>
        <w:t xml:space="preserve"> Lakes being brackish </w:t>
      </w:r>
      <w:r w:rsidRPr="000D6801">
        <w:t xml:space="preserve">when flow in the Murray was insufficient </w:t>
      </w:r>
      <w:r>
        <w:t xml:space="preserve">(in the face of upstream diversions) </w:t>
      </w:r>
      <w:r w:rsidRPr="000D6801">
        <w:t>to meet evaporation losses from the Lakes (Jacobs</w:t>
      </w:r>
      <w:r>
        <w:t xml:space="preserve">, 1990) and prevent seawater intrusion (Chiew et al. 2020). The barrages were aimed at </w:t>
      </w:r>
      <w:r w:rsidRPr="000D6801">
        <w:t>prevent</w:t>
      </w:r>
      <w:r>
        <w:t>ing</w:t>
      </w:r>
      <w:r w:rsidRPr="000D6801">
        <w:t xml:space="preserve"> ocean intrusions and allow</w:t>
      </w:r>
      <w:r>
        <w:t>ing</w:t>
      </w:r>
      <w:r w:rsidRPr="000D6801">
        <w:t xml:space="preserve"> local landholders to further utilise the fresh lake water for irrigation.</w:t>
      </w:r>
    </w:p>
    <w:p w14:paraId="161DD854" w14:textId="394A91C6" w:rsidR="00B40FD2" w:rsidRPr="004A7188" w:rsidRDefault="00B40FD2" w:rsidP="006E2204">
      <w:pPr>
        <w:pStyle w:val="Heading4"/>
      </w:pPr>
      <w:r w:rsidRPr="004A7188">
        <w:t>Murray Mouth</w:t>
      </w:r>
    </w:p>
    <w:p w14:paraId="517E595B" w14:textId="1A4B39AB" w:rsidR="00783AAD" w:rsidRDefault="00783AAD" w:rsidP="00E80E21">
      <w:pPr>
        <w:keepLines/>
      </w:pPr>
      <w:r>
        <w:t xml:space="preserve">During periods of high flow, the morphology of the river mouth is dominated by fluvial processes (Bourman </w:t>
      </w:r>
      <w:r w:rsidR="00763E7F">
        <w:t>&amp;</w:t>
      </w:r>
      <w:r>
        <w:t xml:space="preserve"> Harvey 1983). During periods of low flow, marine processes dominate</w:t>
      </w:r>
      <w:r w:rsidR="00B52E67">
        <w:t>,</w:t>
      </w:r>
      <w:r>
        <w:t xml:space="preserve"> and a flood tide delta develops inside the river mouth. This delta can develop to the extent that the mouth becomes severely restricted </w:t>
      </w:r>
      <w:r w:rsidR="0091575A">
        <w:t>by sand</w:t>
      </w:r>
      <w:r w:rsidR="00412C8C">
        <w:t xml:space="preserve"> deposits </w:t>
      </w:r>
      <w:r>
        <w:t xml:space="preserve">(Goode </w:t>
      </w:r>
      <w:r w:rsidR="00753384">
        <w:t>&amp;</w:t>
      </w:r>
      <w:r>
        <w:t xml:space="preserve"> Harvey 2009). </w:t>
      </w:r>
      <w:r w:rsidR="009D030F">
        <w:t>Water extraction related to d</w:t>
      </w:r>
      <w:r w:rsidRPr="000D6801">
        <w:t xml:space="preserve">evelopment </w:t>
      </w:r>
      <w:r w:rsidR="009D030F">
        <w:t xml:space="preserve">and agriculture </w:t>
      </w:r>
      <w:r w:rsidR="00E734BC">
        <w:t>across</w:t>
      </w:r>
      <w:r w:rsidRPr="000D6801">
        <w:t xml:space="preserve"> the </w:t>
      </w:r>
      <w:r w:rsidR="00486E14">
        <w:t xml:space="preserve">MDB </w:t>
      </w:r>
      <w:r>
        <w:t>ha</w:t>
      </w:r>
      <w:r w:rsidR="000A564C">
        <w:t>s</w:t>
      </w:r>
      <w:r>
        <w:t xml:space="preserve"> </w:t>
      </w:r>
      <w:r w:rsidRPr="000D6801">
        <w:t xml:space="preserve">reduced </w:t>
      </w:r>
      <w:r>
        <w:t xml:space="preserve">flow through the </w:t>
      </w:r>
      <w:r w:rsidR="00E734BC">
        <w:t>Murray M</w:t>
      </w:r>
      <w:r>
        <w:t>outh</w:t>
      </w:r>
      <w:r w:rsidR="00977BC6">
        <w:t>,</w:t>
      </w:r>
      <w:r>
        <w:t xml:space="preserve"> and the b</w:t>
      </w:r>
      <w:r w:rsidRPr="000D6801">
        <w:t>arrages have reduced the volume of wat</w:t>
      </w:r>
      <w:r>
        <w:t>er passing into and out of the m</w:t>
      </w:r>
      <w:r w:rsidRPr="000D6801">
        <w:t>outh under the influence of ocean tides (Jacobs</w:t>
      </w:r>
      <w:r>
        <w:t xml:space="preserve"> 1990</w:t>
      </w:r>
      <w:r w:rsidR="00264B3B">
        <w:t>; DEW 2023</w:t>
      </w:r>
      <w:r w:rsidR="00EF3C5A">
        <w:t>b</w:t>
      </w:r>
      <w:r>
        <w:t>). Models suggest that the end-system flow of the MDB has been reduced by an estimated 61% in the last 100 years by water regulation upstream, leading to a situation in which water ceases to flow at the mouth of the River Murray 40% of the time (CSIRO 2008</w:t>
      </w:r>
      <w:r w:rsidR="00376DA6">
        <w:t xml:space="preserve">; </w:t>
      </w:r>
      <w:r w:rsidR="00376DA6" w:rsidRPr="00376DA6">
        <w:rPr>
          <w:i/>
          <w:iCs/>
        </w:rPr>
        <w:t>MDBA update to come</w:t>
      </w:r>
      <w:r>
        <w:t>).</w:t>
      </w:r>
    </w:p>
    <w:p w14:paraId="0E4EAECF" w14:textId="26177DE7" w:rsidR="0038292A" w:rsidRDefault="00773204" w:rsidP="00A3064F">
      <w:pPr>
        <w:pStyle w:val="twentypointnormal"/>
        <w:spacing w:after="100" w:afterAutospacing="1"/>
        <w:ind w:left="0"/>
        <w:rPr>
          <w:rFonts w:ascii="Cambria" w:eastAsiaTheme="minorHAnsi" w:hAnsi="Cambria" w:cstheme="minorBidi"/>
          <w:sz w:val="22"/>
          <w:szCs w:val="22"/>
          <w:lang w:eastAsia="en-US"/>
        </w:rPr>
      </w:pPr>
      <w:r w:rsidRPr="00F34ED6">
        <w:rPr>
          <w:rFonts w:ascii="Cambria" w:eastAsiaTheme="minorHAnsi" w:hAnsi="Cambria" w:cstheme="minorBidi"/>
          <w:sz w:val="22"/>
          <w:szCs w:val="22"/>
          <w:lang w:eastAsia="en-US"/>
        </w:rPr>
        <w:t xml:space="preserve">The Murray Mouth closed </w:t>
      </w:r>
      <w:r w:rsidR="00373F05">
        <w:rPr>
          <w:rFonts w:ascii="Cambria" w:eastAsiaTheme="minorHAnsi" w:hAnsi="Cambria" w:cstheme="minorBidi"/>
          <w:sz w:val="22"/>
          <w:szCs w:val="22"/>
          <w:lang w:eastAsia="en-US"/>
        </w:rPr>
        <w:t xml:space="preserve">completely </w:t>
      </w:r>
      <w:r w:rsidRPr="00F34ED6">
        <w:rPr>
          <w:rFonts w:ascii="Cambria" w:eastAsiaTheme="minorHAnsi" w:hAnsi="Cambria" w:cstheme="minorBidi"/>
          <w:sz w:val="22"/>
          <w:szCs w:val="22"/>
          <w:lang w:eastAsia="en-US"/>
        </w:rPr>
        <w:t>for the first time on record in April 1981, after there was no flow through the barrages for 196 days</w:t>
      </w:r>
      <w:r w:rsidR="004F3853">
        <w:rPr>
          <w:rFonts w:ascii="Cambria" w:eastAsiaTheme="minorHAnsi" w:hAnsi="Cambria" w:cstheme="minorBidi"/>
          <w:sz w:val="22"/>
          <w:szCs w:val="22"/>
          <w:lang w:eastAsia="en-US"/>
        </w:rPr>
        <w:t>;</w:t>
      </w:r>
      <w:r w:rsidRPr="00F34ED6">
        <w:rPr>
          <w:rFonts w:ascii="Cambria" w:eastAsiaTheme="minorHAnsi" w:hAnsi="Cambria" w:cstheme="minorBidi"/>
          <w:sz w:val="22"/>
          <w:szCs w:val="22"/>
          <w:lang w:eastAsia="en-US"/>
        </w:rPr>
        <w:t xml:space="preserve"> dredging was required to re-connect the river to the sea (Bourman </w:t>
      </w:r>
      <w:r w:rsidR="004F3853">
        <w:rPr>
          <w:rFonts w:ascii="Cambria" w:eastAsiaTheme="minorHAnsi" w:hAnsi="Cambria" w:cstheme="minorBidi"/>
          <w:sz w:val="22"/>
          <w:szCs w:val="22"/>
          <w:lang w:eastAsia="en-US"/>
        </w:rPr>
        <w:t>&amp;</w:t>
      </w:r>
      <w:r w:rsidRPr="00F34ED6">
        <w:rPr>
          <w:rFonts w:ascii="Cambria" w:eastAsiaTheme="minorHAnsi" w:hAnsi="Cambria" w:cstheme="minorBidi"/>
          <w:sz w:val="22"/>
          <w:szCs w:val="22"/>
          <w:lang w:eastAsia="en-US"/>
        </w:rPr>
        <w:t xml:space="preserve"> Harvey 1983; Goode</w:t>
      </w:r>
      <w:r w:rsidR="004F3853">
        <w:rPr>
          <w:rFonts w:ascii="Cambria" w:eastAsiaTheme="minorHAnsi" w:hAnsi="Cambria" w:cstheme="minorBidi"/>
          <w:sz w:val="22"/>
          <w:szCs w:val="22"/>
          <w:lang w:eastAsia="en-US"/>
        </w:rPr>
        <w:t xml:space="preserve"> &amp; </w:t>
      </w:r>
      <w:r w:rsidRPr="00F34ED6">
        <w:rPr>
          <w:rFonts w:ascii="Cambria" w:eastAsiaTheme="minorHAnsi" w:hAnsi="Cambria" w:cstheme="minorBidi"/>
          <w:sz w:val="22"/>
          <w:szCs w:val="22"/>
          <w:lang w:eastAsia="en-US"/>
        </w:rPr>
        <w:t>Harvey 2009</w:t>
      </w:r>
      <w:r w:rsidR="00EF3C5A">
        <w:rPr>
          <w:rFonts w:ascii="Cambria" w:eastAsiaTheme="minorHAnsi" w:hAnsi="Cambria" w:cstheme="minorBidi"/>
          <w:sz w:val="22"/>
          <w:szCs w:val="22"/>
          <w:lang w:eastAsia="en-US"/>
        </w:rPr>
        <w:t>; DEW 2023b</w:t>
      </w:r>
      <w:r w:rsidRPr="00F34ED6">
        <w:rPr>
          <w:rFonts w:ascii="Cambria" w:eastAsiaTheme="minorHAnsi" w:hAnsi="Cambria" w:cstheme="minorBidi"/>
          <w:sz w:val="22"/>
          <w:szCs w:val="22"/>
          <w:lang w:eastAsia="en-US"/>
        </w:rPr>
        <w:t xml:space="preserve">). </w:t>
      </w:r>
      <w:r w:rsidR="00D61E30">
        <w:rPr>
          <w:rFonts w:ascii="Cambria" w:eastAsiaTheme="minorHAnsi" w:hAnsi="Cambria" w:cstheme="minorBidi"/>
          <w:sz w:val="22"/>
          <w:szCs w:val="22"/>
          <w:lang w:eastAsia="en-US"/>
        </w:rPr>
        <w:t>D</w:t>
      </w:r>
      <w:r w:rsidRPr="00F34ED6">
        <w:rPr>
          <w:rFonts w:ascii="Cambria" w:eastAsiaTheme="minorHAnsi" w:hAnsi="Cambria" w:cstheme="minorBidi"/>
          <w:sz w:val="22"/>
          <w:szCs w:val="22"/>
          <w:lang w:eastAsia="en-US"/>
        </w:rPr>
        <w:t>uring the 1982–83 drought, there was no flow past the barrages for a year and a half</w:t>
      </w:r>
      <w:r w:rsidR="0038292A">
        <w:rPr>
          <w:rFonts w:ascii="Cambria" w:eastAsiaTheme="minorHAnsi" w:hAnsi="Cambria" w:cstheme="minorBidi"/>
          <w:sz w:val="22"/>
          <w:szCs w:val="22"/>
          <w:lang w:eastAsia="en-US"/>
        </w:rPr>
        <w:t xml:space="preserve">, </w:t>
      </w:r>
      <w:r w:rsidRPr="00F34ED6">
        <w:rPr>
          <w:rFonts w:ascii="Cambria" w:eastAsiaTheme="minorHAnsi" w:hAnsi="Cambria" w:cstheme="minorBidi"/>
          <w:sz w:val="22"/>
          <w:szCs w:val="22"/>
          <w:lang w:eastAsia="en-US"/>
        </w:rPr>
        <w:t xml:space="preserve">which was much longer than the period of zero flow prior to its closure in 1981, yet the mouth did not close. This demonstrates that sea and tidal conditions, and prevailing winds also play an important part in keeping the Murray Mouth open. </w:t>
      </w:r>
      <w:r w:rsidR="007C1F4D">
        <w:rPr>
          <w:rFonts w:ascii="Cambria" w:eastAsiaTheme="minorHAnsi" w:hAnsi="Cambria" w:cstheme="minorBidi"/>
          <w:sz w:val="22"/>
          <w:szCs w:val="22"/>
          <w:lang w:eastAsia="en-US"/>
        </w:rPr>
        <w:t>A</w:t>
      </w:r>
      <w:r w:rsidR="00CA4481">
        <w:rPr>
          <w:rFonts w:ascii="Cambria" w:eastAsiaTheme="minorHAnsi" w:hAnsi="Cambria" w:cstheme="minorBidi"/>
          <w:sz w:val="22"/>
          <w:szCs w:val="22"/>
          <w:lang w:eastAsia="en-US"/>
        </w:rPr>
        <w:t xml:space="preserve"> continuous barrage release of about 2 GL</w:t>
      </w:r>
      <w:r w:rsidR="009B60DF">
        <w:rPr>
          <w:rFonts w:ascii="Cambria" w:eastAsiaTheme="minorHAnsi" w:hAnsi="Cambria" w:cstheme="minorBidi"/>
          <w:sz w:val="22"/>
          <w:szCs w:val="22"/>
          <w:lang w:eastAsia="en-US"/>
        </w:rPr>
        <w:t xml:space="preserve"> per day is needed to assist in maintaining an open Mouth</w:t>
      </w:r>
      <w:r w:rsidR="00085393">
        <w:rPr>
          <w:rFonts w:ascii="Cambria" w:eastAsiaTheme="minorHAnsi" w:hAnsi="Cambria" w:cstheme="minorBidi"/>
          <w:sz w:val="22"/>
          <w:szCs w:val="22"/>
          <w:lang w:eastAsia="en-US"/>
        </w:rPr>
        <w:t>; much larger volumes are required to produce a scouring effect to remove sand build-up</w:t>
      </w:r>
      <w:r w:rsidR="007C1F4D">
        <w:rPr>
          <w:rFonts w:ascii="Cambria" w:eastAsiaTheme="minorHAnsi" w:hAnsi="Cambria" w:cstheme="minorBidi"/>
          <w:sz w:val="22"/>
          <w:szCs w:val="22"/>
          <w:lang w:eastAsia="en-US"/>
        </w:rPr>
        <w:t xml:space="preserve"> (</w:t>
      </w:r>
      <w:r w:rsidR="003071D1">
        <w:rPr>
          <w:rFonts w:ascii="Cambria" w:eastAsiaTheme="minorHAnsi" w:hAnsi="Cambria" w:cstheme="minorBidi"/>
          <w:sz w:val="22"/>
          <w:szCs w:val="22"/>
          <w:lang w:eastAsia="en-US"/>
        </w:rPr>
        <w:t>Bourman et al</w:t>
      </w:r>
      <w:r w:rsidR="00826C14">
        <w:rPr>
          <w:rFonts w:ascii="Cambria" w:eastAsiaTheme="minorHAnsi" w:hAnsi="Cambria" w:cstheme="minorBidi"/>
          <w:sz w:val="22"/>
          <w:szCs w:val="22"/>
          <w:lang w:eastAsia="en-US"/>
        </w:rPr>
        <w:t>. 2018).</w:t>
      </w:r>
      <w:r w:rsidR="00085393">
        <w:rPr>
          <w:rFonts w:ascii="Cambria" w:eastAsiaTheme="minorHAnsi" w:hAnsi="Cambria" w:cstheme="minorBidi"/>
          <w:sz w:val="22"/>
          <w:szCs w:val="22"/>
          <w:lang w:eastAsia="en-US"/>
        </w:rPr>
        <w:t xml:space="preserve"> </w:t>
      </w:r>
    </w:p>
    <w:p w14:paraId="704DF677" w14:textId="15C7BEE7" w:rsidR="00B40FD2" w:rsidRPr="00F34ED6" w:rsidRDefault="00773204" w:rsidP="00A3064F">
      <w:pPr>
        <w:pStyle w:val="twentypointnormal"/>
        <w:spacing w:after="100" w:afterAutospacing="1"/>
        <w:ind w:left="0"/>
        <w:rPr>
          <w:rFonts w:ascii="Cambria" w:eastAsiaTheme="minorHAnsi" w:hAnsi="Cambria" w:cstheme="minorBidi"/>
          <w:sz w:val="22"/>
          <w:szCs w:val="22"/>
          <w:lang w:eastAsia="en-US"/>
        </w:rPr>
      </w:pPr>
      <w:r w:rsidRPr="00F34ED6">
        <w:rPr>
          <w:rFonts w:ascii="Cambria" w:eastAsiaTheme="minorHAnsi" w:hAnsi="Cambria" w:cstheme="minorBidi"/>
          <w:sz w:val="22"/>
          <w:szCs w:val="22"/>
          <w:lang w:eastAsia="en-US"/>
        </w:rPr>
        <w:t xml:space="preserve">During the Millennium Drought, dredges were </w:t>
      </w:r>
      <w:r w:rsidR="00DE3B0B">
        <w:rPr>
          <w:rFonts w:ascii="Cambria" w:eastAsiaTheme="minorHAnsi" w:hAnsi="Cambria" w:cstheme="minorBidi"/>
          <w:sz w:val="22"/>
          <w:szCs w:val="22"/>
          <w:lang w:eastAsia="en-US"/>
        </w:rPr>
        <w:t xml:space="preserve">used </w:t>
      </w:r>
      <w:r w:rsidRPr="00F34ED6">
        <w:rPr>
          <w:rFonts w:ascii="Cambria" w:eastAsiaTheme="minorHAnsi" w:hAnsi="Cambria" w:cstheme="minorBidi"/>
          <w:sz w:val="22"/>
          <w:szCs w:val="22"/>
          <w:lang w:eastAsia="en-US"/>
        </w:rPr>
        <w:t xml:space="preserve">from 2002 to 2010 </w:t>
      </w:r>
      <w:r w:rsidR="005339F2">
        <w:rPr>
          <w:rFonts w:ascii="Cambria" w:eastAsiaTheme="minorHAnsi" w:hAnsi="Cambria" w:cstheme="minorBidi"/>
          <w:sz w:val="22"/>
          <w:szCs w:val="22"/>
          <w:lang w:eastAsia="en-US"/>
        </w:rPr>
        <w:t xml:space="preserve">continuously </w:t>
      </w:r>
      <w:r w:rsidRPr="00F34ED6">
        <w:rPr>
          <w:rFonts w:ascii="Cambria" w:eastAsiaTheme="minorHAnsi" w:hAnsi="Cambria" w:cstheme="minorBidi"/>
          <w:sz w:val="22"/>
          <w:szCs w:val="22"/>
          <w:lang w:eastAsia="en-US"/>
        </w:rPr>
        <w:t>to keep the Murray Mouth open (Paton 2010).</w:t>
      </w:r>
      <w:r w:rsidR="00836BEE">
        <w:rPr>
          <w:rFonts w:ascii="Cambria" w:eastAsiaTheme="minorHAnsi" w:hAnsi="Cambria" w:cstheme="minorBidi"/>
          <w:sz w:val="22"/>
          <w:szCs w:val="22"/>
          <w:lang w:eastAsia="en-US"/>
        </w:rPr>
        <w:t xml:space="preserve"> </w:t>
      </w:r>
      <w:r w:rsidR="00E5019C">
        <w:rPr>
          <w:rFonts w:ascii="Cambria" w:eastAsiaTheme="minorHAnsi" w:hAnsi="Cambria" w:cstheme="minorBidi"/>
          <w:sz w:val="22"/>
          <w:szCs w:val="22"/>
          <w:lang w:eastAsia="en-US"/>
        </w:rPr>
        <w:t>Two d</w:t>
      </w:r>
      <w:r w:rsidR="00B416C1">
        <w:rPr>
          <w:rFonts w:ascii="Cambria" w:eastAsiaTheme="minorHAnsi" w:hAnsi="Cambria" w:cstheme="minorBidi"/>
          <w:sz w:val="22"/>
          <w:szCs w:val="22"/>
          <w:lang w:eastAsia="en-US"/>
        </w:rPr>
        <w:t xml:space="preserve">redges </w:t>
      </w:r>
      <w:r w:rsidR="00D21FBB">
        <w:rPr>
          <w:rFonts w:ascii="Cambria" w:eastAsiaTheme="minorHAnsi" w:hAnsi="Cambria" w:cstheme="minorBidi"/>
          <w:sz w:val="22"/>
          <w:szCs w:val="22"/>
          <w:lang w:eastAsia="en-US"/>
        </w:rPr>
        <w:t xml:space="preserve">also </w:t>
      </w:r>
      <w:r w:rsidR="00B416C1">
        <w:rPr>
          <w:rFonts w:ascii="Cambria" w:eastAsiaTheme="minorHAnsi" w:hAnsi="Cambria" w:cstheme="minorBidi"/>
          <w:sz w:val="22"/>
          <w:szCs w:val="22"/>
          <w:lang w:eastAsia="en-US"/>
        </w:rPr>
        <w:t>operat</w:t>
      </w:r>
      <w:r w:rsidR="00D21FBB">
        <w:rPr>
          <w:rFonts w:ascii="Cambria" w:eastAsiaTheme="minorHAnsi" w:hAnsi="Cambria" w:cstheme="minorBidi"/>
          <w:sz w:val="22"/>
          <w:szCs w:val="22"/>
          <w:lang w:eastAsia="en-US"/>
        </w:rPr>
        <w:t>ed</w:t>
      </w:r>
      <w:r w:rsidR="00B416C1">
        <w:rPr>
          <w:rFonts w:ascii="Cambria" w:eastAsiaTheme="minorHAnsi" w:hAnsi="Cambria" w:cstheme="minorBidi"/>
          <w:sz w:val="22"/>
          <w:szCs w:val="22"/>
          <w:lang w:eastAsia="en-US"/>
        </w:rPr>
        <w:t xml:space="preserve"> from January</w:t>
      </w:r>
      <w:r w:rsidR="00B541BF">
        <w:rPr>
          <w:rFonts w:ascii="Cambria" w:eastAsiaTheme="minorHAnsi" w:hAnsi="Cambria" w:cstheme="minorBidi"/>
          <w:sz w:val="22"/>
          <w:szCs w:val="22"/>
          <w:lang w:eastAsia="en-US"/>
        </w:rPr>
        <w:t xml:space="preserve"> 2015 to October 2022</w:t>
      </w:r>
      <w:r w:rsidR="00B5510D">
        <w:rPr>
          <w:rFonts w:ascii="Cambria" w:eastAsiaTheme="minorHAnsi" w:hAnsi="Cambria" w:cstheme="minorBidi"/>
          <w:sz w:val="22"/>
          <w:szCs w:val="22"/>
          <w:lang w:eastAsia="en-US"/>
        </w:rPr>
        <w:t>,</w:t>
      </w:r>
      <w:r w:rsidR="00EE342C">
        <w:rPr>
          <w:rFonts w:ascii="Cambria" w:eastAsiaTheme="minorHAnsi" w:hAnsi="Cambria" w:cstheme="minorBidi"/>
          <w:sz w:val="22"/>
          <w:szCs w:val="22"/>
          <w:lang w:eastAsia="en-US"/>
        </w:rPr>
        <w:t xml:space="preserve"> ceasing due to the </w:t>
      </w:r>
      <w:r w:rsidR="00A73D54">
        <w:rPr>
          <w:rFonts w:ascii="Cambria" w:eastAsiaTheme="minorHAnsi" w:hAnsi="Cambria" w:cstheme="minorBidi"/>
          <w:sz w:val="22"/>
          <w:szCs w:val="22"/>
          <w:lang w:eastAsia="en-US"/>
        </w:rPr>
        <w:t>2022/23 floods</w:t>
      </w:r>
      <w:r w:rsidR="00B5510D">
        <w:rPr>
          <w:rFonts w:ascii="Cambria" w:eastAsiaTheme="minorHAnsi" w:hAnsi="Cambria" w:cstheme="minorBidi"/>
          <w:sz w:val="22"/>
          <w:szCs w:val="22"/>
          <w:lang w:eastAsia="en-US"/>
        </w:rPr>
        <w:t xml:space="preserve">. </w:t>
      </w:r>
      <w:r w:rsidR="00E5019C">
        <w:rPr>
          <w:rFonts w:ascii="Cambria" w:eastAsiaTheme="minorHAnsi" w:hAnsi="Cambria" w:cstheme="minorBidi"/>
          <w:sz w:val="22"/>
          <w:szCs w:val="22"/>
          <w:lang w:eastAsia="en-US"/>
        </w:rPr>
        <w:t xml:space="preserve">Operations, using one larger dredge, </w:t>
      </w:r>
      <w:r w:rsidR="00A73D54">
        <w:rPr>
          <w:rFonts w:ascii="Cambria" w:eastAsiaTheme="minorHAnsi" w:hAnsi="Cambria" w:cstheme="minorBidi"/>
          <w:sz w:val="22"/>
          <w:szCs w:val="22"/>
          <w:lang w:eastAsia="en-US"/>
        </w:rPr>
        <w:t xml:space="preserve">recommenced in </w:t>
      </w:r>
      <w:r w:rsidR="009562B2">
        <w:rPr>
          <w:rFonts w:ascii="Cambria" w:eastAsiaTheme="minorHAnsi" w:hAnsi="Cambria" w:cstheme="minorBidi"/>
          <w:sz w:val="22"/>
          <w:szCs w:val="22"/>
          <w:lang w:eastAsia="en-US"/>
        </w:rPr>
        <w:t>November</w:t>
      </w:r>
      <w:r w:rsidR="00B541BF">
        <w:rPr>
          <w:rFonts w:ascii="Cambria" w:eastAsiaTheme="minorHAnsi" w:hAnsi="Cambria" w:cstheme="minorBidi"/>
          <w:sz w:val="22"/>
          <w:szCs w:val="22"/>
          <w:lang w:eastAsia="en-US"/>
        </w:rPr>
        <w:t xml:space="preserve"> 2023</w:t>
      </w:r>
      <w:r w:rsidR="00E5019C">
        <w:rPr>
          <w:rFonts w:ascii="Cambria" w:eastAsiaTheme="minorHAnsi" w:hAnsi="Cambria" w:cstheme="minorBidi"/>
          <w:sz w:val="22"/>
          <w:szCs w:val="22"/>
          <w:lang w:eastAsia="en-US"/>
        </w:rPr>
        <w:t xml:space="preserve"> and continued</w:t>
      </w:r>
      <w:r w:rsidR="00B541BF">
        <w:rPr>
          <w:rFonts w:ascii="Cambria" w:eastAsiaTheme="minorHAnsi" w:hAnsi="Cambria" w:cstheme="minorBidi"/>
          <w:sz w:val="22"/>
          <w:szCs w:val="22"/>
          <w:lang w:eastAsia="en-US"/>
        </w:rPr>
        <w:t xml:space="preserve"> to </w:t>
      </w:r>
      <w:r w:rsidR="000F06FA">
        <w:rPr>
          <w:rFonts w:ascii="Cambria" w:eastAsiaTheme="minorHAnsi" w:hAnsi="Cambria" w:cstheme="minorBidi"/>
          <w:sz w:val="22"/>
          <w:szCs w:val="22"/>
          <w:lang w:eastAsia="en-US"/>
        </w:rPr>
        <w:t>at least A</w:t>
      </w:r>
      <w:r w:rsidR="00E76F06">
        <w:rPr>
          <w:rFonts w:ascii="Cambria" w:eastAsiaTheme="minorHAnsi" w:hAnsi="Cambria" w:cstheme="minorBidi"/>
          <w:sz w:val="22"/>
          <w:szCs w:val="22"/>
          <w:lang w:eastAsia="en-US"/>
        </w:rPr>
        <w:t>ugust</w:t>
      </w:r>
      <w:r w:rsidR="000F06FA">
        <w:rPr>
          <w:rFonts w:ascii="Cambria" w:eastAsiaTheme="minorHAnsi" w:hAnsi="Cambria" w:cstheme="minorBidi"/>
          <w:sz w:val="22"/>
          <w:szCs w:val="22"/>
          <w:lang w:eastAsia="en-US"/>
        </w:rPr>
        <w:t xml:space="preserve"> 2024 </w:t>
      </w:r>
      <w:r w:rsidR="005339F2">
        <w:rPr>
          <w:rFonts w:ascii="Cambria" w:eastAsiaTheme="minorHAnsi" w:hAnsi="Cambria" w:cstheme="minorBidi"/>
          <w:sz w:val="22"/>
          <w:szCs w:val="22"/>
          <w:lang w:eastAsia="en-US"/>
        </w:rPr>
        <w:t>(DEW 2024</w:t>
      </w:r>
      <w:r w:rsidR="00641913">
        <w:rPr>
          <w:rFonts w:ascii="Cambria" w:eastAsiaTheme="minorHAnsi" w:hAnsi="Cambria" w:cstheme="minorBidi"/>
          <w:sz w:val="22"/>
          <w:szCs w:val="22"/>
          <w:lang w:eastAsia="en-US"/>
        </w:rPr>
        <w:t>a</w:t>
      </w:r>
      <w:r w:rsidR="005339F2">
        <w:rPr>
          <w:rFonts w:ascii="Cambria" w:eastAsiaTheme="minorHAnsi" w:hAnsi="Cambria" w:cstheme="minorBidi"/>
          <w:sz w:val="22"/>
          <w:szCs w:val="22"/>
          <w:lang w:eastAsia="en-US"/>
        </w:rPr>
        <w:t>).</w:t>
      </w:r>
      <w:r w:rsidR="00AA7225">
        <w:rPr>
          <w:rFonts w:ascii="Cambria" w:eastAsiaTheme="minorHAnsi" w:hAnsi="Cambria" w:cstheme="minorBidi"/>
          <w:sz w:val="22"/>
          <w:szCs w:val="22"/>
          <w:lang w:eastAsia="en-US"/>
        </w:rPr>
        <w:t xml:space="preserve"> </w:t>
      </w:r>
    </w:p>
    <w:p w14:paraId="2F7A9332" w14:textId="0CF7B66B" w:rsidR="00997AAE" w:rsidRPr="004A7188" w:rsidRDefault="0033403C" w:rsidP="006E2204">
      <w:pPr>
        <w:pStyle w:val="Heading4"/>
      </w:pPr>
      <w:r w:rsidRPr="004A7188">
        <w:t>Groundwater</w:t>
      </w:r>
    </w:p>
    <w:p w14:paraId="383AC53D" w14:textId="4B925A61" w:rsidR="006C32A5" w:rsidRDefault="00887546" w:rsidP="00882E5B">
      <w:r w:rsidRPr="00882E5B">
        <w:t xml:space="preserve">Currently, groundwater accounts for about 13% of </w:t>
      </w:r>
      <w:r w:rsidR="003A2C87" w:rsidRPr="00882E5B">
        <w:t>total water use in the MDB</w:t>
      </w:r>
      <w:r w:rsidR="00BA28F4" w:rsidRPr="00882E5B">
        <w:t>, with an</w:t>
      </w:r>
      <w:r w:rsidR="00BA28F4">
        <w:t xml:space="preserve"> increasing trend in depth to water table </w:t>
      </w:r>
      <w:r w:rsidR="003A2C87">
        <w:t>(</w:t>
      </w:r>
      <w:r w:rsidR="00957770">
        <w:t>Rojas</w:t>
      </w:r>
      <w:r w:rsidR="0070322C">
        <w:t xml:space="preserve"> et al. 2022). </w:t>
      </w:r>
      <w:r w:rsidR="00BF4039">
        <w:t>Groundwater in the region of the ecological community originates from a geological basin known as the Murray Groundwater Basin</w:t>
      </w:r>
      <w:r w:rsidR="00797FA0">
        <w:t>. This basin has three main aquifer systems</w:t>
      </w:r>
      <w:r w:rsidR="008B6590">
        <w:t xml:space="preserve">: the Renmark Group (confined aquifer of Eocene age), the </w:t>
      </w:r>
      <w:r w:rsidR="00D01A24">
        <w:t>Murray Group Limestone aquifer (Oligo-Miocene age), and the Pilocene Sands</w:t>
      </w:r>
      <w:r w:rsidR="003E7F78">
        <w:t xml:space="preserve"> </w:t>
      </w:r>
      <w:r w:rsidR="003E7F78">
        <w:lastRenderedPageBreak/>
        <w:t>unconfined aquifer (Barnet</w:t>
      </w:r>
      <w:r w:rsidR="0002069B">
        <w:t>t</w:t>
      </w:r>
      <w:r w:rsidR="003E7F78">
        <w:t xml:space="preserve"> </w:t>
      </w:r>
      <w:r w:rsidR="00F56439">
        <w:t xml:space="preserve">2015). </w:t>
      </w:r>
      <w:r w:rsidR="00BF4039">
        <w:t xml:space="preserve"> </w:t>
      </w:r>
      <w:r w:rsidR="00DB30E5">
        <w:t>These aquifers are mainly recharged in the high rainfall areas toward the basin margins, with groundwater flowing under low hydraulic gradients along extended flow</w:t>
      </w:r>
      <w:r w:rsidR="0002069B">
        <w:t xml:space="preserve"> </w:t>
      </w:r>
      <w:r w:rsidR="00DB30E5">
        <w:t>paths before discharging to the River Murray, either by upward leakage from confined aquifers or direct hydraulic connection from the water</w:t>
      </w:r>
      <w:r w:rsidR="00BA628D">
        <w:t xml:space="preserve"> </w:t>
      </w:r>
      <w:r w:rsidR="00DB30E5">
        <w:t>table aquifers</w:t>
      </w:r>
      <w:r w:rsidR="00215D7E">
        <w:t xml:space="preserve"> (Barnet</w:t>
      </w:r>
      <w:r w:rsidR="0002069B">
        <w:t>t</w:t>
      </w:r>
      <w:r w:rsidR="00215D7E">
        <w:t xml:space="preserve"> 2015). </w:t>
      </w:r>
    </w:p>
    <w:p w14:paraId="0DB07976" w14:textId="3D526B63" w:rsidR="00BF4039" w:rsidRDefault="00575C31" w:rsidP="006A7E7B">
      <w:pPr>
        <w:spacing w:before="120" w:after="120"/>
      </w:pPr>
      <w:r>
        <w:t>Groundwater salinities generally increase downgradient from the recharge areas where they are below 1000 mg/L (Barnet</w:t>
      </w:r>
      <w:r w:rsidR="0002069B">
        <w:t>t</w:t>
      </w:r>
      <w:r>
        <w:t xml:space="preserve"> 2015). Where groundwater discharges to the river, salinities are often over 20 000 mg/L which can add significant salt loads</w:t>
      </w:r>
      <w:r w:rsidR="006C32A5">
        <w:t xml:space="preserve">. </w:t>
      </w:r>
      <w:r w:rsidR="00BF4039">
        <w:t xml:space="preserve">The aquifers of the Murray Groundwater Basin are relatively thin and do not drain </w:t>
      </w:r>
      <w:r w:rsidR="00955565">
        <w:t xml:space="preserve">directly </w:t>
      </w:r>
      <w:r w:rsidR="00BF4039">
        <w:t>to the sea</w:t>
      </w:r>
      <w:r w:rsidR="00955565">
        <w:t>, therefore</w:t>
      </w:r>
      <w:r w:rsidR="00BF4039">
        <w:t xml:space="preserve"> fill</w:t>
      </w:r>
      <w:r w:rsidR="00955565">
        <w:t>ing</w:t>
      </w:r>
      <w:r w:rsidR="00BF4039">
        <w:t xml:space="preserve"> rapidly in geologic terms (20</w:t>
      </w:r>
      <w:r w:rsidR="005F4F5B">
        <w:t>00–3</w:t>
      </w:r>
      <w:r w:rsidR="00955565">
        <w:t xml:space="preserve">000 </w:t>
      </w:r>
      <w:r w:rsidR="00BF4039">
        <w:t>years)</w:t>
      </w:r>
      <w:r w:rsidR="00BC6982">
        <w:t xml:space="preserve"> (Schwerdtfeger and Grace 2009; MDBA 2010b)</w:t>
      </w:r>
      <w:r w:rsidR="00BF4039">
        <w:t>. This geology, combined with changed groundwater tables associated with clearing, irrigation</w:t>
      </w:r>
      <w:r w:rsidR="00D2696B">
        <w:t>,</w:t>
      </w:r>
      <w:r w:rsidR="00BF4039">
        <w:t xml:space="preserve"> and weirs</w:t>
      </w:r>
      <w:r w:rsidR="00D2696B">
        <w:t xml:space="preserve">, </w:t>
      </w:r>
      <w:r w:rsidR="00BF4039">
        <w:t xml:space="preserve">has led to extensive salinisation of the riverine </w:t>
      </w:r>
      <w:r w:rsidR="00E75D65">
        <w:t>flood</w:t>
      </w:r>
      <w:r w:rsidR="00BF4039">
        <w:t xml:space="preserve">plains in the region of the ecological community which can be problematic for </w:t>
      </w:r>
      <w:r w:rsidR="007630AD">
        <w:t xml:space="preserve">salt-sensitive </w:t>
      </w:r>
      <w:r w:rsidR="00BF4039">
        <w:t>biota (Young 2001). In effect</w:t>
      </w:r>
      <w:r w:rsidR="00636CD1">
        <w:t>,</w:t>
      </w:r>
      <w:r w:rsidR="00BF4039">
        <w:t xml:space="preserve"> the salt is stored in the floodplain soil rather than being flushed out to sea.</w:t>
      </w:r>
      <w:r w:rsidR="007B108E">
        <w:t xml:space="preserve"> </w:t>
      </w:r>
    </w:p>
    <w:p w14:paraId="237E92C2" w14:textId="09A52E7C" w:rsidR="006A7E7B" w:rsidRDefault="00286986" w:rsidP="00DA7D21">
      <w:pPr>
        <w:pStyle w:val="twentypointnormal"/>
        <w:keepLines/>
        <w:spacing w:after="200"/>
        <w:ind w:left="0"/>
        <w:rPr>
          <w:rFonts w:ascii="Cambria" w:hAnsi="Cambria"/>
          <w:sz w:val="22"/>
          <w:szCs w:val="22"/>
        </w:rPr>
      </w:pPr>
      <w:r w:rsidRPr="00FB6A8C">
        <w:rPr>
          <w:rFonts w:ascii="Cambria" w:hAnsi="Cambria"/>
          <w:sz w:val="22"/>
          <w:szCs w:val="22"/>
        </w:rPr>
        <w:t>Groundwater makes a significant contribution to the baseflow of many of the Eastern Mount Lofty Ranges streams that form part of the ecological community</w:t>
      </w:r>
      <w:r w:rsidR="00FB6A8C" w:rsidRPr="00FB6A8C">
        <w:rPr>
          <w:rFonts w:ascii="Cambria" w:hAnsi="Cambria"/>
          <w:sz w:val="22"/>
          <w:szCs w:val="22"/>
        </w:rPr>
        <w:t xml:space="preserve">, </w:t>
      </w:r>
      <w:r w:rsidRPr="00FB6A8C">
        <w:rPr>
          <w:rFonts w:ascii="Cambria" w:hAnsi="Cambria"/>
          <w:sz w:val="22"/>
          <w:szCs w:val="22"/>
        </w:rPr>
        <w:t>i.e. these are ‘groundwater dependent’ systems</w:t>
      </w:r>
      <w:r w:rsidR="00FB6A8C" w:rsidRPr="00FB6A8C">
        <w:rPr>
          <w:rFonts w:ascii="Cambria" w:hAnsi="Cambria"/>
          <w:sz w:val="22"/>
          <w:szCs w:val="22"/>
        </w:rPr>
        <w:t xml:space="preserve"> (</w:t>
      </w:r>
      <w:r w:rsidRPr="00FB6A8C">
        <w:rPr>
          <w:rFonts w:ascii="Cambria" w:hAnsi="Cambria"/>
          <w:sz w:val="22"/>
          <w:szCs w:val="22"/>
        </w:rPr>
        <w:t>SAMDBNRM Board 2010a</w:t>
      </w:r>
      <w:r w:rsidR="00D81B7F">
        <w:rPr>
          <w:rFonts w:ascii="Cambria" w:hAnsi="Cambria"/>
          <w:sz w:val="22"/>
          <w:szCs w:val="22"/>
        </w:rPr>
        <w:t>)</w:t>
      </w:r>
      <w:r w:rsidR="007E6172">
        <w:rPr>
          <w:rFonts w:ascii="Cambria" w:hAnsi="Cambria"/>
          <w:sz w:val="22"/>
          <w:szCs w:val="22"/>
        </w:rPr>
        <w:t>.</w:t>
      </w:r>
      <w:r w:rsidR="00B102D7">
        <w:rPr>
          <w:rFonts w:ascii="Cambria" w:hAnsi="Cambria"/>
          <w:sz w:val="22"/>
          <w:szCs w:val="22"/>
        </w:rPr>
        <w:t xml:space="preserve"> </w:t>
      </w:r>
      <w:r w:rsidR="000F62F3">
        <w:rPr>
          <w:rFonts w:ascii="Cambria" w:hAnsi="Cambria"/>
          <w:sz w:val="22"/>
          <w:szCs w:val="22"/>
        </w:rPr>
        <w:t>Groundwater inflows are also ecologically significant to the Coorong. The almost continuous soaks along both sides of the Coorong provide drinking water to birds, as well as breeding and refugia sites for fish during drought conditions.</w:t>
      </w:r>
      <w:r w:rsidR="00AA52A2">
        <w:rPr>
          <w:rFonts w:ascii="Cambria" w:hAnsi="Cambria"/>
          <w:sz w:val="22"/>
          <w:szCs w:val="22"/>
        </w:rPr>
        <w:t xml:space="preserve"> Relatively fresh groundwater </w:t>
      </w:r>
      <w:r w:rsidR="00E711CD">
        <w:rPr>
          <w:rFonts w:ascii="Cambria" w:hAnsi="Cambria"/>
          <w:sz w:val="22"/>
          <w:szCs w:val="22"/>
        </w:rPr>
        <w:t xml:space="preserve">is an important water </w:t>
      </w:r>
      <w:r w:rsidR="005447AF">
        <w:rPr>
          <w:rFonts w:ascii="Cambria" w:hAnsi="Cambria"/>
          <w:sz w:val="22"/>
          <w:szCs w:val="22"/>
        </w:rPr>
        <w:t>s</w:t>
      </w:r>
      <w:r w:rsidR="00E711CD">
        <w:rPr>
          <w:rFonts w:ascii="Cambria" w:hAnsi="Cambria"/>
          <w:sz w:val="22"/>
          <w:szCs w:val="22"/>
        </w:rPr>
        <w:t>ource for river red gums on the Chowilla floodplains</w:t>
      </w:r>
      <w:r w:rsidR="005D30BD">
        <w:rPr>
          <w:rFonts w:ascii="Cambria" w:hAnsi="Cambria"/>
          <w:sz w:val="22"/>
          <w:szCs w:val="22"/>
        </w:rPr>
        <w:t xml:space="preserve"> (Thorburn &amp; Walker 1993</w:t>
      </w:r>
      <w:r w:rsidR="005447AF">
        <w:rPr>
          <w:rFonts w:ascii="Cambria" w:hAnsi="Cambria"/>
          <w:sz w:val="22"/>
          <w:szCs w:val="22"/>
        </w:rPr>
        <w:t xml:space="preserve">) and locally elevated groundwater </w:t>
      </w:r>
      <w:r w:rsidR="00A91855">
        <w:rPr>
          <w:rFonts w:ascii="Cambria" w:hAnsi="Cambria"/>
          <w:sz w:val="22"/>
          <w:szCs w:val="22"/>
        </w:rPr>
        <w:t xml:space="preserve">(i.e. due to weirs) can impact the water regime of nearby </w:t>
      </w:r>
      <w:r w:rsidR="000D6D39">
        <w:rPr>
          <w:rFonts w:ascii="Cambria" w:hAnsi="Cambria"/>
          <w:sz w:val="22"/>
          <w:szCs w:val="22"/>
        </w:rPr>
        <w:t>wetlands (Lloyd et al. 1994).</w:t>
      </w:r>
      <w:r w:rsidR="005D30BD">
        <w:rPr>
          <w:rFonts w:ascii="Cambria" w:hAnsi="Cambria"/>
          <w:sz w:val="22"/>
          <w:szCs w:val="22"/>
        </w:rPr>
        <w:t xml:space="preserve"> </w:t>
      </w:r>
    </w:p>
    <w:p w14:paraId="32527E47" w14:textId="169E504E" w:rsidR="00803124" w:rsidRPr="00322042" w:rsidRDefault="007547E6" w:rsidP="006A7E7B">
      <w:pPr>
        <w:pStyle w:val="twentypointnormal"/>
        <w:ind w:left="0"/>
        <w:rPr>
          <w:rFonts w:ascii="Cambria" w:hAnsi="Cambria"/>
          <w:sz w:val="22"/>
          <w:szCs w:val="22"/>
        </w:rPr>
      </w:pPr>
      <w:r w:rsidRPr="00322042">
        <w:rPr>
          <w:rFonts w:ascii="Cambria" w:hAnsi="Cambria"/>
          <w:sz w:val="22"/>
          <w:szCs w:val="22"/>
        </w:rPr>
        <w:t xml:space="preserve">There are </w:t>
      </w:r>
      <w:r w:rsidR="00B74974">
        <w:rPr>
          <w:rFonts w:ascii="Cambria" w:hAnsi="Cambria"/>
          <w:sz w:val="22"/>
          <w:szCs w:val="22"/>
        </w:rPr>
        <w:t xml:space="preserve">likely </w:t>
      </w:r>
      <w:r w:rsidRPr="00322042">
        <w:rPr>
          <w:rFonts w:ascii="Cambria" w:hAnsi="Cambria"/>
          <w:sz w:val="22"/>
          <w:szCs w:val="22"/>
        </w:rPr>
        <w:t xml:space="preserve">stygofauna assemblages associated with groundwater in the ecological community, however </w:t>
      </w:r>
      <w:r w:rsidR="0009357E">
        <w:rPr>
          <w:rFonts w:ascii="Cambria" w:hAnsi="Cambria"/>
          <w:sz w:val="22"/>
          <w:szCs w:val="22"/>
        </w:rPr>
        <w:t xml:space="preserve">knowledge </w:t>
      </w:r>
      <w:r w:rsidR="005E7C11">
        <w:rPr>
          <w:rFonts w:ascii="Cambria" w:hAnsi="Cambria"/>
          <w:sz w:val="22"/>
          <w:szCs w:val="22"/>
        </w:rPr>
        <w:t>remains</w:t>
      </w:r>
      <w:r w:rsidR="0009357E">
        <w:rPr>
          <w:rFonts w:ascii="Cambria" w:hAnsi="Cambria"/>
          <w:sz w:val="22"/>
          <w:szCs w:val="22"/>
        </w:rPr>
        <w:t xml:space="preserve"> limited </w:t>
      </w:r>
      <w:r w:rsidR="00D61B0F">
        <w:rPr>
          <w:rFonts w:ascii="Cambria" w:hAnsi="Cambria"/>
          <w:sz w:val="22"/>
          <w:szCs w:val="22"/>
        </w:rPr>
        <w:t>(</w:t>
      </w:r>
      <w:r w:rsidR="00210E62">
        <w:rPr>
          <w:rFonts w:ascii="Cambria" w:hAnsi="Cambria"/>
          <w:sz w:val="22"/>
          <w:szCs w:val="22"/>
        </w:rPr>
        <w:t>V</w:t>
      </w:r>
      <w:r w:rsidR="00AA3109">
        <w:rPr>
          <w:rFonts w:ascii="Cambria" w:hAnsi="Cambria"/>
          <w:sz w:val="22"/>
          <w:szCs w:val="22"/>
        </w:rPr>
        <w:t xml:space="preserve">an Laarhoven &amp; </w:t>
      </w:r>
      <w:r w:rsidR="00210E62">
        <w:rPr>
          <w:rFonts w:ascii="Cambria" w:hAnsi="Cambria"/>
          <w:sz w:val="22"/>
          <w:szCs w:val="22"/>
        </w:rPr>
        <w:t>Van der Wielen</w:t>
      </w:r>
      <w:r w:rsidR="002E4511">
        <w:rPr>
          <w:rFonts w:ascii="Cambria" w:hAnsi="Cambria"/>
          <w:sz w:val="22"/>
          <w:szCs w:val="22"/>
        </w:rPr>
        <w:t xml:space="preserve"> 2012</w:t>
      </w:r>
      <w:r w:rsidR="00210E62">
        <w:rPr>
          <w:rFonts w:ascii="Cambria" w:hAnsi="Cambria"/>
          <w:sz w:val="22"/>
          <w:szCs w:val="22"/>
        </w:rPr>
        <w:t xml:space="preserve">; </w:t>
      </w:r>
      <w:r w:rsidR="005320EB">
        <w:rPr>
          <w:rFonts w:ascii="Cambria" w:hAnsi="Cambria"/>
          <w:sz w:val="22"/>
          <w:szCs w:val="22"/>
        </w:rPr>
        <w:t>Goonan et al</w:t>
      </w:r>
      <w:r w:rsidR="0009357E">
        <w:rPr>
          <w:rFonts w:ascii="Cambria" w:hAnsi="Cambria"/>
          <w:sz w:val="22"/>
          <w:szCs w:val="22"/>
        </w:rPr>
        <w:t xml:space="preserve">. 2015; </w:t>
      </w:r>
      <w:r w:rsidR="00D61B0F">
        <w:rPr>
          <w:rFonts w:ascii="Cambria" w:hAnsi="Cambria"/>
          <w:sz w:val="22"/>
          <w:szCs w:val="22"/>
        </w:rPr>
        <w:t>Sacco et al. 2022)</w:t>
      </w:r>
      <w:r w:rsidRPr="00322042">
        <w:rPr>
          <w:rFonts w:ascii="Cambria" w:hAnsi="Cambria"/>
          <w:sz w:val="22"/>
          <w:szCs w:val="22"/>
        </w:rPr>
        <w:t xml:space="preserve">. </w:t>
      </w:r>
      <w:r w:rsidR="00322042" w:rsidRPr="00322042">
        <w:rPr>
          <w:rFonts w:ascii="Cambria" w:hAnsi="Cambria"/>
          <w:sz w:val="22"/>
          <w:szCs w:val="22"/>
        </w:rPr>
        <w:t xml:space="preserve">Stygofauna are </w:t>
      </w:r>
      <w:r w:rsidR="00D61B0F">
        <w:rPr>
          <w:rFonts w:ascii="Cambria" w:hAnsi="Cambria"/>
          <w:sz w:val="22"/>
          <w:szCs w:val="22"/>
        </w:rPr>
        <w:t xml:space="preserve">(typically blind) </w:t>
      </w:r>
      <w:r w:rsidR="00322042" w:rsidRPr="00322042">
        <w:rPr>
          <w:rFonts w:ascii="Cambria" w:hAnsi="Cambria"/>
          <w:sz w:val="22"/>
          <w:szCs w:val="22"/>
        </w:rPr>
        <w:t xml:space="preserve">animals that live in </w:t>
      </w:r>
      <w:r w:rsidR="00636CD1">
        <w:rPr>
          <w:rFonts w:ascii="Cambria" w:hAnsi="Cambria"/>
          <w:sz w:val="22"/>
          <w:szCs w:val="22"/>
        </w:rPr>
        <w:t xml:space="preserve">dark </w:t>
      </w:r>
      <w:r w:rsidR="00322042" w:rsidRPr="00322042">
        <w:rPr>
          <w:rFonts w:ascii="Cambria" w:hAnsi="Cambria"/>
          <w:sz w:val="22"/>
          <w:szCs w:val="22"/>
        </w:rPr>
        <w:t>underground water</w:t>
      </w:r>
      <w:r w:rsidR="002E15D1">
        <w:rPr>
          <w:rFonts w:ascii="Cambria" w:hAnsi="Cambria"/>
          <w:sz w:val="22"/>
          <w:szCs w:val="22"/>
        </w:rPr>
        <w:t>s</w:t>
      </w:r>
      <w:r w:rsidR="00322042" w:rsidRPr="00322042">
        <w:rPr>
          <w:rFonts w:ascii="Cambria" w:hAnsi="Cambria"/>
          <w:sz w:val="22"/>
          <w:szCs w:val="22"/>
        </w:rPr>
        <w:t>, such as aquifers</w:t>
      </w:r>
      <w:r w:rsidR="007E6C41">
        <w:rPr>
          <w:rFonts w:ascii="Cambria" w:hAnsi="Cambria"/>
          <w:sz w:val="22"/>
          <w:szCs w:val="22"/>
        </w:rPr>
        <w:t>; they</w:t>
      </w:r>
      <w:r w:rsidR="00322042" w:rsidRPr="00322042">
        <w:rPr>
          <w:rFonts w:ascii="Cambria" w:hAnsi="Cambria"/>
          <w:sz w:val="22"/>
          <w:szCs w:val="22"/>
        </w:rPr>
        <w:t xml:space="preserve"> are generally small aquatic invertebrates</w:t>
      </w:r>
      <w:r w:rsidR="007E6C41">
        <w:rPr>
          <w:rFonts w:ascii="Cambria" w:hAnsi="Cambria"/>
          <w:sz w:val="22"/>
          <w:szCs w:val="22"/>
        </w:rPr>
        <w:t>,</w:t>
      </w:r>
      <w:r w:rsidR="00322042" w:rsidRPr="00322042">
        <w:rPr>
          <w:rFonts w:ascii="Cambria" w:hAnsi="Cambria"/>
          <w:sz w:val="22"/>
          <w:szCs w:val="22"/>
        </w:rPr>
        <w:t xml:space="preserve"> like crustaceans, worms, snails</w:t>
      </w:r>
      <w:r w:rsidR="00636CD1">
        <w:rPr>
          <w:rFonts w:ascii="Cambria" w:hAnsi="Cambria"/>
          <w:sz w:val="22"/>
          <w:szCs w:val="22"/>
        </w:rPr>
        <w:t>,</w:t>
      </w:r>
      <w:r w:rsidR="00322042" w:rsidRPr="00322042">
        <w:rPr>
          <w:rFonts w:ascii="Cambria" w:hAnsi="Cambria"/>
          <w:sz w:val="22"/>
          <w:szCs w:val="22"/>
        </w:rPr>
        <w:t xml:space="preserve"> and insects, and occasionally fish.</w:t>
      </w:r>
      <w:r w:rsidR="002E15D1">
        <w:rPr>
          <w:rFonts w:ascii="Cambria" w:hAnsi="Cambria"/>
          <w:sz w:val="22"/>
          <w:szCs w:val="22"/>
        </w:rPr>
        <w:t xml:space="preserve"> </w:t>
      </w:r>
      <w:r w:rsidR="009C4367">
        <w:rPr>
          <w:rFonts w:ascii="Cambria" w:hAnsi="Cambria"/>
          <w:sz w:val="22"/>
          <w:szCs w:val="22"/>
        </w:rPr>
        <w:t>These organisms</w:t>
      </w:r>
      <w:r w:rsidR="008A1C6E">
        <w:rPr>
          <w:rFonts w:ascii="Cambria" w:hAnsi="Cambria"/>
          <w:sz w:val="22"/>
          <w:szCs w:val="22"/>
        </w:rPr>
        <w:t xml:space="preserve"> are </w:t>
      </w:r>
      <w:r w:rsidR="00890963">
        <w:rPr>
          <w:rFonts w:ascii="Cambria" w:hAnsi="Cambria"/>
          <w:sz w:val="22"/>
          <w:szCs w:val="22"/>
        </w:rPr>
        <w:t>crucial to oxygenic aquifers</w:t>
      </w:r>
      <w:r w:rsidR="009C4367">
        <w:rPr>
          <w:rFonts w:ascii="Cambria" w:hAnsi="Cambria"/>
          <w:sz w:val="22"/>
          <w:szCs w:val="22"/>
        </w:rPr>
        <w:t xml:space="preserve">, </w:t>
      </w:r>
      <w:r w:rsidR="00890963">
        <w:rPr>
          <w:rFonts w:ascii="Cambria" w:hAnsi="Cambria"/>
          <w:sz w:val="22"/>
          <w:szCs w:val="22"/>
        </w:rPr>
        <w:t>contribute various ecosystem services</w:t>
      </w:r>
      <w:r w:rsidR="00896F59">
        <w:rPr>
          <w:rFonts w:ascii="Cambria" w:hAnsi="Cambria"/>
          <w:sz w:val="22"/>
          <w:szCs w:val="22"/>
        </w:rPr>
        <w:t xml:space="preserve"> (e.g. </w:t>
      </w:r>
      <w:r w:rsidR="003B4078">
        <w:rPr>
          <w:rFonts w:ascii="Cambria" w:hAnsi="Cambria"/>
          <w:sz w:val="22"/>
          <w:szCs w:val="22"/>
        </w:rPr>
        <w:t>water quality</w:t>
      </w:r>
      <w:r w:rsidR="00DF0133">
        <w:rPr>
          <w:rFonts w:ascii="Cambria" w:hAnsi="Cambria"/>
          <w:sz w:val="22"/>
          <w:szCs w:val="22"/>
        </w:rPr>
        <w:t>,</w:t>
      </w:r>
      <w:r w:rsidR="003B4078">
        <w:rPr>
          <w:rFonts w:ascii="Cambria" w:hAnsi="Cambria"/>
          <w:sz w:val="22"/>
          <w:szCs w:val="22"/>
        </w:rPr>
        <w:t xml:space="preserve"> hydrological flow</w:t>
      </w:r>
      <w:r w:rsidR="00DF0133">
        <w:rPr>
          <w:rFonts w:ascii="Cambria" w:hAnsi="Cambria"/>
          <w:sz w:val="22"/>
          <w:szCs w:val="22"/>
        </w:rPr>
        <w:t>, etc.</w:t>
      </w:r>
      <w:r w:rsidR="003B4078">
        <w:rPr>
          <w:rFonts w:ascii="Cambria" w:hAnsi="Cambria"/>
          <w:sz w:val="22"/>
          <w:szCs w:val="22"/>
        </w:rPr>
        <w:t>)</w:t>
      </w:r>
      <w:r w:rsidR="0051348D">
        <w:rPr>
          <w:rFonts w:ascii="Cambria" w:hAnsi="Cambria"/>
          <w:sz w:val="22"/>
          <w:szCs w:val="22"/>
        </w:rPr>
        <w:t>, an</w:t>
      </w:r>
      <w:r w:rsidR="0082659B">
        <w:rPr>
          <w:rFonts w:ascii="Cambria" w:hAnsi="Cambria"/>
          <w:sz w:val="22"/>
          <w:szCs w:val="22"/>
        </w:rPr>
        <w:t>d</w:t>
      </w:r>
      <w:r w:rsidR="0051348D">
        <w:rPr>
          <w:rFonts w:ascii="Cambria" w:hAnsi="Cambria"/>
          <w:sz w:val="22"/>
          <w:szCs w:val="22"/>
        </w:rPr>
        <w:t xml:space="preserve"> are highly vulnerable to disturbance </w:t>
      </w:r>
      <w:r w:rsidR="00890963">
        <w:rPr>
          <w:rFonts w:ascii="Cambria" w:hAnsi="Cambria"/>
          <w:sz w:val="22"/>
          <w:szCs w:val="22"/>
        </w:rPr>
        <w:t>(</w:t>
      </w:r>
      <w:r w:rsidR="003B4078">
        <w:rPr>
          <w:rFonts w:ascii="Cambria" w:hAnsi="Cambria"/>
          <w:sz w:val="22"/>
          <w:szCs w:val="22"/>
        </w:rPr>
        <w:t xml:space="preserve">Goonan et al. 2015; </w:t>
      </w:r>
      <w:r w:rsidR="008D6B34">
        <w:rPr>
          <w:rFonts w:ascii="Cambria" w:hAnsi="Cambria"/>
          <w:sz w:val="22"/>
          <w:szCs w:val="22"/>
        </w:rPr>
        <w:t>Becher et al. 2022</w:t>
      </w:r>
      <w:r w:rsidR="0051348D">
        <w:rPr>
          <w:rFonts w:ascii="Cambria" w:hAnsi="Cambria"/>
          <w:sz w:val="22"/>
          <w:szCs w:val="22"/>
        </w:rPr>
        <w:t>; Hose et al. 2022</w:t>
      </w:r>
      <w:r w:rsidR="008D6B34">
        <w:rPr>
          <w:rFonts w:ascii="Cambria" w:hAnsi="Cambria"/>
          <w:sz w:val="22"/>
          <w:szCs w:val="22"/>
        </w:rPr>
        <w:t>).</w:t>
      </w:r>
    </w:p>
    <w:p w14:paraId="060AA014" w14:textId="62E6E71D" w:rsidR="007E38AA" w:rsidRDefault="007E38AA" w:rsidP="00C55BF2">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A0395">
        <w:t>Consultation Questions on the location</w:t>
      </w:r>
      <w:r w:rsidR="00EB0F8B">
        <w:t xml:space="preserve">, </w:t>
      </w:r>
      <w:r w:rsidRPr="00DA0395">
        <w:t>physical environment</w:t>
      </w:r>
      <w:r w:rsidR="00EB0F8B">
        <w:t xml:space="preserve">, climate, and hydrology of the </w:t>
      </w:r>
      <w:r w:rsidR="00984029">
        <w:t>RMDS Ecological Community:</w:t>
      </w:r>
    </w:p>
    <w:p w14:paraId="24BC2952" w14:textId="39B85FC0" w:rsidR="002C7C99" w:rsidRDefault="002C7C99" w:rsidP="00006D04">
      <w:pPr>
        <w:pStyle w:val="Consultationquestions"/>
        <w:shd w:val="clear" w:color="auto" w:fill="FFF2CC" w:themeFill="accent4" w:themeFillTint="33"/>
        <w:ind w:left="425" w:hanging="425"/>
        <w:rPr>
          <w:color w:val="auto"/>
        </w:rPr>
      </w:pPr>
      <w:r w:rsidRPr="00BF1190">
        <w:rPr>
          <w:color w:val="auto"/>
        </w:rPr>
        <w:t>Do you</w:t>
      </w:r>
      <w:r w:rsidR="002020DD" w:rsidRPr="00BF1190">
        <w:rPr>
          <w:color w:val="auto"/>
        </w:rPr>
        <w:t xml:space="preserve"> have any </w:t>
      </w:r>
      <w:r w:rsidR="001513B1">
        <w:rPr>
          <w:color w:val="auto"/>
        </w:rPr>
        <w:t xml:space="preserve">feedback </w:t>
      </w:r>
      <w:r w:rsidR="002020DD" w:rsidRPr="00BF1190">
        <w:rPr>
          <w:color w:val="auto"/>
        </w:rPr>
        <w:t xml:space="preserve">regarding </w:t>
      </w:r>
      <w:r w:rsidR="00972CB9">
        <w:rPr>
          <w:color w:val="auto"/>
        </w:rPr>
        <w:t xml:space="preserve">this section, including </w:t>
      </w:r>
      <w:r w:rsidR="002020DD" w:rsidRPr="00BF1190">
        <w:rPr>
          <w:color w:val="auto"/>
        </w:rPr>
        <w:t xml:space="preserve">the boundaries </w:t>
      </w:r>
      <w:r w:rsidR="00376DA6">
        <w:rPr>
          <w:color w:val="auto"/>
        </w:rPr>
        <w:t xml:space="preserve">and </w:t>
      </w:r>
      <w:r w:rsidR="00592FC0">
        <w:rPr>
          <w:color w:val="auto"/>
        </w:rPr>
        <w:t>groundwater</w:t>
      </w:r>
      <w:r w:rsidR="002020DD" w:rsidRPr="00BF1190">
        <w:rPr>
          <w:color w:val="auto"/>
        </w:rPr>
        <w:t xml:space="preserve"> buffer zones </w:t>
      </w:r>
      <w:r w:rsidR="00FE3AF1" w:rsidRPr="00BF1190">
        <w:rPr>
          <w:color w:val="auto"/>
        </w:rPr>
        <w:t>of the RMDS EC</w:t>
      </w:r>
      <w:r w:rsidR="00972CB9">
        <w:rPr>
          <w:color w:val="auto"/>
        </w:rPr>
        <w:t>,</w:t>
      </w:r>
      <w:r w:rsidR="00FE3AF1" w:rsidRPr="00BF1190">
        <w:rPr>
          <w:color w:val="auto"/>
        </w:rPr>
        <w:t xml:space="preserve"> </w:t>
      </w:r>
      <w:r w:rsidR="001513B1">
        <w:rPr>
          <w:color w:val="auto"/>
        </w:rPr>
        <w:t xml:space="preserve">as </w:t>
      </w:r>
      <w:r w:rsidR="002020DD" w:rsidRPr="00BF1190">
        <w:rPr>
          <w:color w:val="auto"/>
        </w:rPr>
        <w:t>provided</w:t>
      </w:r>
      <w:r w:rsidR="00FE3AF1" w:rsidRPr="00BF1190">
        <w:rPr>
          <w:color w:val="auto"/>
        </w:rPr>
        <w:t>?</w:t>
      </w:r>
    </w:p>
    <w:p w14:paraId="1A7022AE" w14:textId="3D2E666B" w:rsidR="007E38AA" w:rsidRPr="00965A00" w:rsidRDefault="00592FC0" w:rsidP="00965A00">
      <w:pPr>
        <w:pStyle w:val="Consultationquestions"/>
        <w:shd w:val="clear" w:color="auto" w:fill="FFF2CC" w:themeFill="accent4" w:themeFillTint="33"/>
        <w:ind w:left="425" w:hanging="425"/>
        <w:rPr>
          <w:color w:val="auto"/>
        </w:rPr>
      </w:pPr>
      <w:r>
        <w:rPr>
          <w:color w:val="auto"/>
        </w:rPr>
        <w:t>More recent data and trend analysis will be available and will be incorporated when Murray-Darling Basin Plan reports are released soon</w:t>
      </w:r>
      <w:r w:rsidR="00965A00">
        <w:rPr>
          <w:color w:val="auto"/>
        </w:rPr>
        <w:t xml:space="preserve">. In addition to that, do </w:t>
      </w:r>
      <w:r w:rsidR="000547D7" w:rsidRPr="00965A00">
        <w:rPr>
          <w:color w:val="auto"/>
        </w:rPr>
        <w:t>you have any information</w:t>
      </w:r>
      <w:r w:rsidR="00557EC1" w:rsidRPr="00965A00">
        <w:rPr>
          <w:color w:val="auto"/>
        </w:rPr>
        <w:t xml:space="preserve">, diagrams, </w:t>
      </w:r>
      <w:r w:rsidR="00597273" w:rsidRPr="00965A00">
        <w:rPr>
          <w:color w:val="auto"/>
        </w:rPr>
        <w:t xml:space="preserve">analyses, </w:t>
      </w:r>
      <w:r w:rsidR="00557EC1" w:rsidRPr="00965A00">
        <w:rPr>
          <w:color w:val="auto"/>
        </w:rPr>
        <w:t xml:space="preserve">or </w:t>
      </w:r>
      <w:r w:rsidR="000547D7" w:rsidRPr="00965A00">
        <w:rPr>
          <w:color w:val="auto"/>
        </w:rPr>
        <w:t>publications that may be relevant,</w:t>
      </w:r>
      <w:r w:rsidR="00557EC1" w:rsidRPr="00965A00">
        <w:rPr>
          <w:color w:val="auto"/>
        </w:rPr>
        <w:t xml:space="preserve"> and up-to-date</w:t>
      </w:r>
      <w:r w:rsidR="00445FC0" w:rsidRPr="00965A00">
        <w:rPr>
          <w:color w:val="auto"/>
        </w:rPr>
        <w:t xml:space="preserve">, </w:t>
      </w:r>
      <w:r w:rsidR="00BE5113" w:rsidRPr="00965A00">
        <w:rPr>
          <w:color w:val="auto"/>
        </w:rPr>
        <w:t>especially for</w:t>
      </w:r>
      <w:r w:rsidR="00DE7286" w:rsidRPr="00965A00">
        <w:rPr>
          <w:color w:val="auto"/>
        </w:rPr>
        <w:t xml:space="preserve"> </w:t>
      </w:r>
      <w:r w:rsidR="00445FC0" w:rsidRPr="00965A00">
        <w:rPr>
          <w:color w:val="auto"/>
        </w:rPr>
        <w:t>the climate and hydrology components of this section</w:t>
      </w:r>
      <w:r w:rsidR="00557EC1" w:rsidRPr="00965A00">
        <w:rPr>
          <w:color w:val="auto"/>
        </w:rPr>
        <w:t xml:space="preserve">? If so, </w:t>
      </w:r>
      <w:r w:rsidR="000547D7" w:rsidRPr="00965A00">
        <w:rPr>
          <w:color w:val="auto"/>
        </w:rPr>
        <w:t>could you please provide this with your response.</w:t>
      </w:r>
    </w:p>
    <w:p w14:paraId="4D53B734" w14:textId="3667F3B3" w:rsidR="00972CB9" w:rsidRPr="00BF1190" w:rsidRDefault="00972CB9" w:rsidP="00006D04">
      <w:pPr>
        <w:pStyle w:val="Consultationquestions"/>
        <w:shd w:val="clear" w:color="auto" w:fill="FFF2CC" w:themeFill="accent4" w:themeFillTint="33"/>
        <w:ind w:left="425" w:hanging="425"/>
        <w:rPr>
          <w:color w:val="auto"/>
        </w:rPr>
      </w:pPr>
      <w:r>
        <w:rPr>
          <w:color w:val="auto"/>
        </w:rPr>
        <w:t xml:space="preserve">Please note that </w:t>
      </w:r>
      <w:r w:rsidR="00782CD9">
        <w:rPr>
          <w:color w:val="auto"/>
        </w:rPr>
        <w:t>‘</w:t>
      </w:r>
      <w:r>
        <w:rPr>
          <w:color w:val="auto"/>
        </w:rPr>
        <w:t>climate change</w:t>
      </w:r>
      <w:r w:rsidR="00782CD9">
        <w:rPr>
          <w:color w:val="auto"/>
        </w:rPr>
        <w:t>’</w:t>
      </w:r>
      <w:r>
        <w:rPr>
          <w:color w:val="auto"/>
        </w:rPr>
        <w:t xml:space="preserve"> </w:t>
      </w:r>
      <w:r w:rsidR="00DE7286">
        <w:rPr>
          <w:color w:val="auto"/>
        </w:rPr>
        <w:t xml:space="preserve">impacts, river regulation and changes in hydrology </w:t>
      </w:r>
      <w:r>
        <w:rPr>
          <w:color w:val="auto"/>
        </w:rPr>
        <w:t>will be considered</w:t>
      </w:r>
      <w:r w:rsidR="003503C7">
        <w:rPr>
          <w:color w:val="auto"/>
        </w:rPr>
        <w:t xml:space="preserve"> further</w:t>
      </w:r>
      <w:r w:rsidR="00782CD9">
        <w:rPr>
          <w:color w:val="auto"/>
        </w:rPr>
        <w:t xml:space="preserve"> </w:t>
      </w:r>
      <w:r>
        <w:rPr>
          <w:color w:val="auto"/>
        </w:rPr>
        <w:t xml:space="preserve">under </w:t>
      </w:r>
      <w:r w:rsidR="00782CD9">
        <w:rPr>
          <w:color w:val="auto"/>
        </w:rPr>
        <w:t xml:space="preserve">the </w:t>
      </w:r>
      <w:r>
        <w:rPr>
          <w:color w:val="auto"/>
        </w:rPr>
        <w:t>Threats</w:t>
      </w:r>
      <w:r w:rsidR="00782CD9">
        <w:rPr>
          <w:color w:val="auto"/>
        </w:rPr>
        <w:t xml:space="preserve"> and Criteria assessment sections.</w:t>
      </w:r>
    </w:p>
    <w:p w14:paraId="0836477B" w14:textId="2C56216A" w:rsidR="00B612F4" w:rsidRDefault="00B612F4">
      <w:pPr>
        <w:spacing w:after="160" w:line="259" w:lineRule="auto"/>
      </w:pPr>
      <w:r>
        <w:br w:type="page"/>
      </w:r>
    </w:p>
    <w:p w14:paraId="5A08D9C7" w14:textId="2EF28CB5" w:rsidR="00500E51" w:rsidRPr="00C35E7A" w:rsidRDefault="00E12625" w:rsidP="00B612F4">
      <w:pPr>
        <w:pStyle w:val="Heading3"/>
        <w:ind w:left="0" w:firstLine="0"/>
      </w:pPr>
      <w:bookmarkStart w:id="30" w:name="_Toc175317067"/>
      <w:r>
        <w:lastRenderedPageBreak/>
        <w:t xml:space="preserve">1.2.2 </w:t>
      </w:r>
      <w:r w:rsidR="00500E51" w:rsidRPr="00C35E7A">
        <w:t>Description of the assemblage</w:t>
      </w:r>
      <w:r w:rsidR="00883D6B" w:rsidRPr="00C35E7A">
        <w:t xml:space="preserve"> of species</w:t>
      </w:r>
      <w:bookmarkEnd w:id="30"/>
    </w:p>
    <w:p w14:paraId="724E967F" w14:textId="178DE8E4" w:rsidR="00A35EBE" w:rsidRPr="00AD1036" w:rsidRDefault="00464ED0" w:rsidP="008807B8">
      <w:r w:rsidRPr="00AD1036">
        <w:t>O</w:t>
      </w:r>
      <w:r w:rsidR="009944BB" w:rsidRPr="00AD1036">
        <w:t>verview</w:t>
      </w:r>
      <w:r w:rsidRPr="00AD1036">
        <w:t>s</w:t>
      </w:r>
      <w:r w:rsidR="009944BB" w:rsidRPr="00AD1036">
        <w:t xml:space="preserve"> of the major components of</w:t>
      </w:r>
      <w:r w:rsidR="009C4367">
        <w:t xml:space="preserve"> the microbiota, plants </w:t>
      </w:r>
      <w:r w:rsidR="00060494" w:rsidRPr="00AD1036">
        <w:t>(</w:t>
      </w:r>
      <w:r w:rsidR="009944BB" w:rsidRPr="00AD1036">
        <w:t>flora</w:t>
      </w:r>
      <w:r w:rsidR="00060494" w:rsidRPr="00AD1036">
        <w:t>)</w:t>
      </w:r>
      <w:r w:rsidR="009944BB" w:rsidRPr="00AD1036">
        <w:t xml:space="preserve"> and </w:t>
      </w:r>
      <w:r w:rsidR="00060494" w:rsidRPr="00AD1036">
        <w:t>animals (</w:t>
      </w:r>
      <w:r w:rsidR="009944BB" w:rsidRPr="00AD1036">
        <w:t>fauna</w:t>
      </w:r>
      <w:r w:rsidR="00060494" w:rsidRPr="00AD1036">
        <w:t>)</w:t>
      </w:r>
      <w:r w:rsidR="009944BB" w:rsidRPr="00AD1036">
        <w:t xml:space="preserve"> </w:t>
      </w:r>
      <w:r w:rsidRPr="00AD1036">
        <w:t>that</w:t>
      </w:r>
      <w:r w:rsidR="00060494" w:rsidRPr="00AD1036">
        <w:t xml:space="preserve"> form</w:t>
      </w:r>
      <w:r w:rsidRPr="00AD1036">
        <w:t xml:space="preserve"> the </w:t>
      </w:r>
      <w:r w:rsidR="00DD483B">
        <w:t xml:space="preserve">native assemblages of the </w:t>
      </w:r>
      <w:r w:rsidRPr="00AD1036">
        <w:t>ecological community are provided in the sections below</w:t>
      </w:r>
      <w:r w:rsidR="009C4367">
        <w:t xml:space="preserve">, along with </w:t>
      </w:r>
      <w:r w:rsidR="006C1444">
        <w:t>appropriate reference sources</w:t>
      </w:r>
      <w:r w:rsidR="005F7A6F">
        <w:t xml:space="preserve">. </w:t>
      </w:r>
      <w:r w:rsidR="006F647D">
        <w:t>F</w:t>
      </w:r>
      <w:r w:rsidR="00630379">
        <w:t xml:space="preserve">urther species lists for some taxonomic groups </w:t>
      </w:r>
      <w:r w:rsidR="00F439CA">
        <w:t xml:space="preserve">are provided </w:t>
      </w:r>
      <w:r w:rsidR="00630379">
        <w:t xml:space="preserve">in </w:t>
      </w:r>
      <w:r w:rsidR="00630379" w:rsidRPr="005F7A6F">
        <w:rPr>
          <w:u w:val="single"/>
        </w:rPr>
        <w:t xml:space="preserve">Appendix </w:t>
      </w:r>
      <w:r w:rsidR="009C4367">
        <w:rPr>
          <w:u w:val="single"/>
        </w:rPr>
        <w:t>B</w:t>
      </w:r>
      <w:r w:rsidRPr="00AD1036">
        <w:t xml:space="preserve">. </w:t>
      </w:r>
      <w:r w:rsidR="00407EA9">
        <w:t>More comprehensive species lists</w:t>
      </w:r>
      <w:r w:rsidR="00DB1A53">
        <w:t xml:space="preserve"> </w:t>
      </w:r>
      <w:r w:rsidR="00C16BEA">
        <w:t xml:space="preserve">and related </w:t>
      </w:r>
      <w:r w:rsidR="006D6507">
        <w:t xml:space="preserve">survey </w:t>
      </w:r>
      <w:r w:rsidR="00C16BEA">
        <w:t xml:space="preserve">information </w:t>
      </w:r>
      <w:r w:rsidR="00DB1A53">
        <w:t xml:space="preserve">for </w:t>
      </w:r>
      <w:r w:rsidR="00645C07">
        <w:t xml:space="preserve">these and </w:t>
      </w:r>
      <w:r w:rsidR="006F647D">
        <w:t xml:space="preserve">other </w:t>
      </w:r>
      <w:r w:rsidR="004E64C6">
        <w:t xml:space="preserve">flora and fauna </w:t>
      </w:r>
      <w:r w:rsidR="00DB1A53">
        <w:t xml:space="preserve">taxa that are likely to occur within </w:t>
      </w:r>
      <w:r w:rsidR="004E64C6">
        <w:t>t</w:t>
      </w:r>
      <w:r w:rsidR="00DB1A53">
        <w:t xml:space="preserve">he ecological community </w:t>
      </w:r>
      <w:r w:rsidR="000865C2">
        <w:t xml:space="preserve">may be </w:t>
      </w:r>
      <w:r w:rsidR="006D6507">
        <w:t>found</w:t>
      </w:r>
      <w:r w:rsidR="00C16BEA">
        <w:t xml:space="preserve"> </w:t>
      </w:r>
      <w:r w:rsidR="00DB1A53">
        <w:t xml:space="preserve">in: </w:t>
      </w:r>
      <w:r w:rsidR="00D26384">
        <w:t xml:space="preserve">MDBC </w:t>
      </w:r>
      <w:r w:rsidR="00BF1A2B">
        <w:t xml:space="preserve">(1990, </w:t>
      </w:r>
      <w:r w:rsidR="00B62436">
        <w:t>veg. only</w:t>
      </w:r>
      <w:r w:rsidR="00BF1A2B">
        <w:t xml:space="preserve">); </w:t>
      </w:r>
      <w:r w:rsidR="000865C2">
        <w:t xml:space="preserve">Foulkes &amp; Gillen </w:t>
      </w:r>
      <w:r w:rsidR="00BF1A2B">
        <w:t>(</w:t>
      </w:r>
      <w:r w:rsidR="000865C2">
        <w:t>2000</w:t>
      </w:r>
      <w:r w:rsidR="00BF1A2B">
        <w:t>)</w:t>
      </w:r>
      <w:r w:rsidR="000865C2">
        <w:t xml:space="preserve">; </w:t>
      </w:r>
      <w:r w:rsidR="00DF775F">
        <w:t xml:space="preserve">Brandle </w:t>
      </w:r>
      <w:r w:rsidR="00BF1A2B">
        <w:t>(</w:t>
      </w:r>
      <w:r w:rsidR="00DF775F">
        <w:t>2002</w:t>
      </w:r>
      <w:r w:rsidR="00BF1A2B">
        <w:t>)</w:t>
      </w:r>
      <w:r w:rsidR="00595501">
        <w:t xml:space="preserve">; </w:t>
      </w:r>
      <w:r w:rsidR="004A1E28">
        <w:t xml:space="preserve">Moise &amp; Milne </w:t>
      </w:r>
      <w:r w:rsidR="00BF1A2B">
        <w:t>(</w:t>
      </w:r>
      <w:r w:rsidR="004A1E28">
        <w:t>2010</w:t>
      </w:r>
      <w:r w:rsidR="00BF1A2B">
        <w:t>)</w:t>
      </w:r>
      <w:r w:rsidR="004A1E28">
        <w:t xml:space="preserve">; </w:t>
      </w:r>
      <w:r w:rsidR="000F26CD">
        <w:t>Stewart et al. (2010</w:t>
      </w:r>
      <w:r w:rsidR="0001020C">
        <w:t>, Murray River Valley</w:t>
      </w:r>
      <w:r w:rsidR="000F26CD">
        <w:t xml:space="preserve">); </w:t>
      </w:r>
      <w:r w:rsidR="003841CF">
        <w:t xml:space="preserve">Nicol </w:t>
      </w:r>
      <w:r w:rsidR="00BF1A2B">
        <w:t>(</w:t>
      </w:r>
      <w:r w:rsidR="003841CF">
        <w:t>2012</w:t>
      </w:r>
      <w:r w:rsidR="00D8695C">
        <w:t>, veg. only)</w:t>
      </w:r>
      <w:r w:rsidR="003841CF">
        <w:t xml:space="preserve">; </w:t>
      </w:r>
      <w:r w:rsidR="00D90C83">
        <w:t>Smith &amp; Kenny</w:t>
      </w:r>
      <w:r w:rsidR="00F439CA">
        <w:t xml:space="preserve"> 2005</w:t>
      </w:r>
      <w:r w:rsidR="00D8695C">
        <w:t xml:space="preserve"> (</w:t>
      </w:r>
      <w:r w:rsidR="0029277B">
        <w:t>veg. only)</w:t>
      </w:r>
      <w:r w:rsidR="00F439CA">
        <w:t xml:space="preserve">; </w:t>
      </w:r>
      <w:r w:rsidR="00091EBC">
        <w:t>Smith &amp; Smith 201</w:t>
      </w:r>
      <w:r w:rsidR="00881D4D">
        <w:t>4</w:t>
      </w:r>
      <w:r w:rsidR="0029277B">
        <w:t xml:space="preserve"> (veg. only)</w:t>
      </w:r>
      <w:r w:rsidR="00881D4D">
        <w:t xml:space="preserve">; </w:t>
      </w:r>
      <w:r w:rsidR="004E64C6">
        <w:t>Mosley et al. 2018</w:t>
      </w:r>
      <w:r w:rsidR="00E2578F">
        <w:t>, CLLMM only).</w:t>
      </w:r>
      <w:r w:rsidR="004E64C6">
        <w:t xml:space="preserve"> </w:t>
      </w:r>
    </w:p>
    <w:p w14:paraId="5BFEE3BE" w14:textId="2B443684" w:rsidR="00731262" w:rsidRPr="004A7188" w:rsidRDefault="000945A2" w:rsidP="006E2204">
      <w:pPr>
        <w:pStyle w:val="Heading4"/>
      </w:pPr>
      <w:r w:rsidRPr="004A7188">
        <w:t>Vegetation</w:t>
      </w:r>
      <w:r w:rsidR="00AD1036" w:rsidRPr="004A7188">
        <w:t xml:space="preserve"> (</w:t>
      </w:r>
      <w:bookmarkStart w:id="31" w:name="_Toc232747005"/>
      <w:bookmarkStart w:id="32" w:name="_Toc363639643"/>
      <w:r w:rsidR="00FA3C65">
        <w:t>Flora</w:t>
      </w:r>
      <w:r w:rsidR="007528AC" w:rsidRPr="004A7188">
        <w:t>)</w:t>
      </w:r>
    </w:p>
    <w:tbl>
      <w:tblPr>
        <w:tblStyle w:val="TableGrid"/>
        <w:tblW w:w="0" w:type="auto"/>
        <w:tblLook w:val="04A0" w:firstRow="1" w:lastRow="0" w:firstColumn="1" w:lastColumn="0" w:noHBand="0" w:noVBand="1"/>
      </w:tblPr>
      <w:tblGrid>
        <w:gridCol w:w="9060"/>
      </w:tblGrid>
      <w:tr w:rsidR="00731262" w14:paraId="7190438C" w14:textId="77777777" w:rsidTr="00BF5878">
        <w:tc>
          <w:tcPr>
            <w:tcW w:w="9060" w:type="dxa"/>
            <w:shd w:val="clear" w:color="auto" w:fill="D9E2F3" w:themeFill="accent5" w:themeFillTint="33"/>
          </w:tcPr>
          <w:p w14:paraId="20942341" w14:textId="0626FA2E" w:rsidR="00731262" w:rsidRPr="0099603B" w:rsidRDefault="00731262" w:rsidP="00933557">
            <w:pPr>
              <w:pStyle w:val="HeadingNew3"/>
              <w:shd w:val="clear" w:color="auto" w:fill="D9E2F3" w:themeFill="accent5" w:themeFillTint="33"/>
              <w:spacing w:before="0" w:after="0"/>
              <w:ind w:left="0" w:firstLine="0"/>
              <w:contextualSpacing/>
              <w:jc w:val="both"/>
              <w:rPr>
                <w:rFonts w:ascii="Cambria" w:hAnsi="Cambria"/>
                <w:sz w:val="22"/>
                <w:szCs w:val="22"/>
              </w:rPr>
            </w:pPr>
            <w:r w:rsidRPr="0099603B">
              <w:rPr>
                <w:rFonts w:ascii="Cambria" w:hAnsi="Cambria"/>
                <w:sz w:val="22"/>
                <w:szCs w:val="22"/>
              </w:rPr>
              <w:t xml:space="preserve">Overview of </w:t>
            </w:r>
            <w:r w:rsidR="002774D2" w:rsidRPr="0099603B">
              <w:rPr>
                <w:rFonts w:ascii="Cambria" w:hAnsi="Cambria"/>
                <w:sz w:val="22"/>
                <w:szCs w:val="22"/>
              </w:rPr>
              <w:t>Vegetation</w:t>
            </w:r>
            <w:r w:rsidR="0017168F">
              <w:rPr>
                <w:rFonts w:ascii="Cambria" w:hAnsi="Cambria"/>
                <w:sz w:val="22"/>
                <w:szCs w:val="22"/>
              </w:rPr>
              <w:t xml:space="preserve"> </w:t>
            </w:r>
            <w:r w:rsidR="00E43D8D">
              <w:rPr>
                <w:rFonts w:ascii="Cambria" w:hAnsi="Cambria"/>
                <w:sz w:val="22"/>
                <w:szCs w:val="22"/>
              </w:rPr>
              <w:t>Sections</w:t>
            </w:r>
          </w:p>
          <w:p w14:paraId="22958C93" w14:textId="77777777" w:rsidR="00D819AA" w:rsidRPr="00D819AA" w:rsidRDefault="00D819AA" w:rsidP="00BF5878">
            <w:pPr>
              <w:pStyle w:val="HeadingNew3"/>
              <w:shd w:val="clear" w:color="auto" w:fill="D9E2F3" w:themeFill="accent5" w:themeFillTint="33"/>
              <w:spacing w:before="0" w:after="0"/>
              <w:ind w:left="0" w:firstLine="0"/>
              <w:contextualSpacing/>
              <w:jc w:val="both"/>
              <w:rPr>
                <w:rFonts w:ascii="Cambria" w:hAnsi="Cambria"/>
                <w:sz w:val="12"/>
                <w:szCs w:val="12"/>
              </w:rPr>
            </w:pPr>
          </w:p>
          <w:p w14:paraId="63FDEF5F" w14:textId="78E15959" w:rsidR="00D750A5" w:rsidRPr="0099603B" w:rsidRDefault="00D750A5" w:rsidP="000C6EE4">
            <w:pPr>
              <w:pStyle w:val="HeadingNew3"/>
              <w:numPr>
                <w:ilvl w:val="0"/>
                <w:numId w:val="19"/>
              </w:numPr>
              <w:shd w:val="clear" w:color="auto" w:fill="D9E2F3" w:themeFill="accent5" w:themeFillTint="33"/>
              <w:spacing w:before="0" w:after="0"/>
              <w:contextualSpacing/>
              <w:jc w:val="both"/>
              <w:rPr>
                <w:rFonts w:ascii="Cambria" w:hAnsi="Cambria"/>
                <w:i w:val="0"/>
                <w:iCs/>
                <w:sz w:val="20"/>
                <w:szCs w:val="20"/>
              </w:rPr>
            </w:pPr>
            <w:r w:rsidRPr="0099603B">
              <w:rPr>
                <w:rFonts w:ascii="Cambria" w:hAnsi="Cambria"/>
                <w:i w:val="0"/>
                <w:iCs/>
                <w:sz w:val="20"/>
                <w:szCs w:val="20"/>
              </w:rPr>
              <w:t>Floodplain</w:t>
            </w:r>
            <w:r w:rsidR="00623581">
              <w:rPr>
                <w:rFonts w:ascii="Cambria" w:hAnsi="Cambria"/>
                <w:i w:val="0"/>
                <w:iCs/>
                <w:sz w:val="20"/>
                <w:szCs w:val="20"/>
              </w:rPr>
              <w:t xml:space="preserve"> </w:t>
            </w:r>
            <w:r w:rsidR="0038507E">
              <w:rPr>
                <w:rFonts w:ascii="Cambria" w:hAnsi="Cambria"/>
                <w:i w:val="0"/>
                <w:iCs/>
                <w:sz w:val="20"/>
                <w:szCs w:val="20"/>
              </w:rPr>
              <w:t xml:space="preserve">to channel </w:t>
            </w:r>
            <w:r w:rsidR="00E973E3" w:rsidRPr="0099603B">
              <w:rPr>
                <w:rFonts w:ascii="Cambria" w:hAnsi="Cambria"/>
                <w:i w:val="0"/>
                <w:iCs/>
                <w:sz w:val="20"/>
                <w:szCs w:val="20"/>
              </w:rPr>
              <w:t>vegetation</w:t>
            </w:r>
          </w:p>
          <w:p w14:paraId="77AF3659" w14:textId="210AF463" w:rsidR="007528AC" w:rsidRPr="0099603B" w:rsidRDefault="003D5B3A"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sidRPr="0099603B">
              <w:rPr>
                <w:rFonts w:ascii="Cambria" w:hAnsi="Cambria"/>
                <w:b w:val="0"/>
                <w:bCs/>
                <w:i w:val="0"/>
                <w:iCs/>
                <w:sz w:val="20"/>
                <w:szCs w:val="20"/>
              </w:rPr>
              <w:t xml:space="preserve">Floodplain </w:t>
            </w:r>
            <w:r w:rsidR="0038507E">
              <w:rPr>
                <w:rFonts w:ascii="Cambria" w:hAnsi="Cambria"/>
                <w:b w:val="0"/>
                <w:bCs/>
                <w:i w:val="0"/>
                <w:iCs/>
                <w:sz w:val="20"/>
                <w:szCs w:val="20"/>
              </w:rPr>
              <w:t>&amp; riparian</w:t>
            </w:r>
            <w:r w:rsidR="00C74FFE">
              <w:rPr>
                <w:rFonts w:ascii="Cambria" w:hAnsi="Cambria"/>
                <w:b w:val="0"/>
                <w:bCs/>
                <w:i w:val="0"/>
                <w:iCs/>
                <w:sz w:val="20"/>
                <w:szCs w:val="20"/>
              </w:rPr>
              <w:t xml:space="preserve"> </w:t>
            </w:r>
          </w:p>
          <w:p w14:paraId="072B860D" w14:textId="77777777" w:rsidR="002539F2" w:rsidRDefault="003D5B3A"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sidRPr="0099603B">
              <w:rPr>
                <w:rFonts w:ascii="Cambria" w:hAnsi="Cambria"/>
                <w:b w:val="0"/>
                <w:bCs/>
                <w:i w:val="0"/>
                <w:iCs/>
                <w:sz w:val="20"/>
                <w:szCs w:val="20"/>
              </w:rPr>
              <w:t>Wetland</w:t>
            </w:r>
          </w:p>
          <w:p w14:paraId="1E98B714" w14:textId="577B890F" w:rsidR="003D5B3A" w:rsidRPr="0099603B" w:rsidRDefault="00C74FFE"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Pr>
                <w:rFonts w:ascii="Cambria" w:hAnsi="Cambria"/>
                <w:b w:val="0"/>
                <w:bCs/>
                <w:i w:val="0"/>
                <w:iCs/>
                <w:sz w:val="20"/>
                <w:szCs w:val="20"/>
              </w:rPr>
              <w:t>Aquatic r</w:t>
            </w:r>
            <w:r w:rsidR="002539F2">
              <w:rPr>
                <w:rFonts w:ascii="Cambria" w:hAnsi="Cambria"/>
                <w:b w:val="0"/>
                <w:bCs/>
                <w:i w:val="0"/>
                <w:iCs/>
                <w:sz w:val="20"/>
                <w:szCs w:val="20"/>
              </w:rPr>
              <w:t xml:space="preserve">iparian </w:t>
            </w:r>
            <w:r w:rsidR="002367C5">
              <w:rPr>
                <w:rFonts w:ascii="Cambria" w:hAnsi="Cambria"/>
                <w:b w:val="0"/>
                <w:bCs/>
                <w:i w:val="0"/>
                <w:iCs/>
                <w:sz w:val="20"/>
                <w:szCs w:val="20"/>
              </w:rPr>
              <w:t>and</w:t>
            </w:r>
            <w:r w:rsidR="002539F2">
              <w:rPr>
                <w:rFonts w:ascii="Cambria" w:hAnsi="Cambria"/>
                <w:b w:val="0"/>
                <w:bCs/>
                <w:i w:val="0"/>
                <w:iCs/>
                <w:sz w:val="20"/>
                <w:szCs w:val="20"/>
              </w:rPr>
              <w:t xml:space="preserve"> </w:t>
            </w:r>
            <w:r w:rsidR="001957C6">
              <w:rPr>
                <w:rFonts w:ascii="Cambria" w:hAnsi="Cambria"/>
                <w:b w:val="0"/>
                <w:bCs/>
                <w:i w:val="0"/>
                <w:iCs/>
                <w:sz w:val="20"/>
                <w:szCs w:val="20"/>
              </w:rPr>
              <w:t>c</w:t>
            </w:r>
            <w:r w:rsidR="002539F2">
              <w:rPr>
                <w:rFonts w:ascii="Cambria" w:hAnsi="Cambria"/>
                <w:b w:val="0"/>
                <w:bCs/>
                <w:i w:val="0"/>
                <w:iCs/>
                <w:sz w:val="20"/>
                <w:szCs w:val="20"/>
              </w:rPr>
              <w:t>hannel</w:t>
            </w:r>
            <w:r w:rsidR="003D5B3A" w:rsidRPr="0099603B">
              <w:rPr>
                <w:rFonts w:ascii="Cambria" w:hAnsi="Cambria"/>
                <w:b w:val="0"/>
                <w:bCs/>
                <w:i w:val="0"/>
                <w:iCs/>
                <w:sz w:val="20"/>
                <w:szCs w:val="20"/>
              </w:rPr>
              <w:t xml:space="preserve"> </w:t>
            </w:r>
          </w:p>
          <w:p w14:paraId="64278525" w14:textId="77777777" w:rsidR="00B93750" w:rsidRDefault="005E65BD" w:rsidP="000C6EE4">
            <w:pPr>
              <w:pStyle w:val="HeadingNew3"/>
              <w:numPr>
                <w:ilvl w:val="0"/>
                <w:numId w:val="19"/>
              </w:numPr>
              <w:shd w:val="clear" w:color="auto" w:fill="D9E2F3" w:themeFill="accent5" w:themeFillTint="33"/>
              <w:spacing w:before="0" w:after="0"/>
              <w:contextualSpacing/>
              <w:jc w:val="both"/>
              <w:rPr>
                <w:rFonts w:ascii="Cambria" w:hAnsi="Cambria"/>
                <w:i w:val="0"/>
                <w:iCs/>
                <w:sz w:val="20"/>
                <w:szCs w:val="20"/>
              </w:rPr>
            </w:pPr>
            <w:r w:rsidRPr="0099603B">
              <w:rPr>
                <w:rFonts w:ascii="Cambria" w:hAnsi="Cambria"/>
                <w:i w:val="0"/>
                <w:iCs/>
                <w:sz w:val="20"/>
                <w:szCs w:val="20"/>
              </w:rPr>
              <w:t>Eastern Mou</w:t>
            </w:r>
            <w:r w:rsidR="00862C1D" w:rsidRPr="0099603B">
              <w:rPr>
                <w:rFonts w:ascii="Cambria" w:hAnsi="Cambria"/>
                <w:i w:val="0"/>
                <w:iCs/>
                <w:sz w:val="20"/>
                <w:szCs w:val="20"/>
              </w:rPr>
              <w:t>nt</w:t>
            </w:r>
            <w:r w:rsidRPr="0099603B">
              <w:rPr>
                <w:rFonts w:ascii="Cambria" w:hAnsi="Cambria"/>
                <w:i w:val="0"/>
                <w:iCs/>
                <w:sz w:val="20"/>
                <w:szCs w:val="20"/>
              </w:rPr>
              <w:t xml:space="preserve"> Lofty Ranges </w:t>
            </w:r>
          </w:p>
          <w:p w14:paraId="6B248D51" w14:textId="60D05A4D" w:rsidR="005E65BD" w:rsidRPr="00B93750" w:rsidRDefault="008B7704"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Pr>
                <w:rFonts w:ascii="Cambria" w:hAnsi="Cambria"/>
                <w:b w:val="0"/>
                <w:bCs/>
                <w:i w:val="0"/>
                <w:iCs/>
                <w:sz w:val="20"/>
                <w:szCs w:val="20"/>
              </w:rPr>
              <w:t>Floodplain, r</w:t>
            </w:r>
            <w:r w:rsidR="00086816" w:rsidRPr="00B93750">
              <w:rPr>
                <w:rFonts w:ascii="Cambria" w:hAnsi="Cambria"/>
                <w:b w:val="0"/>
                <w:bCs/>
                <w:i w:val="0"/>
                <w:iCs/>
                <w:sz w:val="20"/>
                <w:szCs w:val="20"/>
              </w:rPr>
              <w:t>iparian &amp; aquatic vegetation</w:t>
            </w:r>
          </w:p>
          <w:p w14:paraId="39706679" w14:textId="3E915BA1" w:rsidR="003D5B3A" w:rsidRPr="0099603B" w:rsidRDefault="005325DC" w:rsidP="000C6EE4">
            <w:pPr>
              <w:pStyle w:val="HeadingNew3"/>
              <w:numPr>
                <w:ilvl w:val="0"/>
                <w:numId w:val="19"/>
              </w:numPr>
              <w:shd w:val="clear" w:color="auto" w:fill="D9E2F3" w:themeFill="accent5" w:themeFillTint="33"/>
              <w:spacing w:before="0" w:after="0"/>
              <w:contextualSpacing/>
              <w:jc w:val="both"/>
              <w:rPr>
                <w:rFonts w:ascii="Cambria" w:hAnsi="Cambria"/>
                <w:i w:val="0"/>
                <w:iCs/>
                <w:sz w:val="20"/>
                <w:szCs w:val="20"/>
              </w:rPr>
            </w:pPr>
            <w:r w:rsidRPr="0099603B">
              <w:rPr>
                <w:rFonts w:ascii="Cambria" w:hAnsi="Cambria"/>
                <w:i w:val="0"/>
                <w:iCs/>
                <w:sz w:val="20"/>
                <w:szCs w:val="20"/>
              </w:rPr>
              <w:t>Coorong and Lower Lakes vegetation</w:t>
            </w:r>
          </w:p>
          <w:p w14:paraId="4A9A65B0" w14:textId="349D9298" w:rsidR="005325DC" w:rsidRPr="0099603B" w:rsidRDefault="002774D2"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sidRPr="0099603B">
              <w:rPr>
                <w:rFonts w:ascii="Cambria" w:hAnsi="Cambria"/>
                <w:b w:val="0"/>
                <w:bCs/>
                <w:i w:val="0"/>
                <w:iCs/>
                <w:sz w:val="20"/>
                <w:szCs w:val="20"/>
              </w:rPr>
              <w:t xml:space="preserve">Coastal </w:t>
            </w:r>
            <w:r w:rsidR="009E5E9E" w:rsidRPr="009E5E9E">
              <w:rPr>
                <w:rFonts w:ascii="Cambria" w:hAnsi="Cambria"/>
                <w:b w:val="0"/>
                <w:bCs/>
                <w:i w:val="0"/>
                <w:iCs/>
                <w:sz w:val="20"/>
                <w:szCs w:val="20"/>
              </w:rPr>
              <w:t>s</w:t>
            </w:r>
            <w:r w:rsidR="009E5E9E" w:rsidRPr="009E5E9E">
              <w:rPr>
                <w:rFonts w:ascii="Cambria" w:hAnsi="Cambria"/>
                <w:b w:val="0"/>
                <w:bCs/>
                <w:i w:val="0"/>
                <w:sz w:val="20"/>
                <w:szCs w:val="20"/>
              </w:rPr>
              <w:t>hrubland of the Coorong and</w:t>
            </w:r>
            <w:r w:rsidR="009E5E9E">
              <w:rPr>
                <w:rFonts w:ascii="Cambria" w:hAnsi="Cambria"/>
                <w:bCs/>
                <w:i w:val="0"/>
                <w:sz w:val="20"/>
                <w:szCs w:val="20"/>
              </w:rPr>
              <w:t xml:space="preserve"> </w:t>
            </w:r>
            <w:r w:rsidRPr="0099603B">
              <w:rPr>
                <w:rFonts w:ascii="Cambria" w:hAnsi="Cambria"/>
                <w:b w:val="0"/>
                <w:bCs/>
                <w:i w:val="0"/>
                <w:iCs/>
                <w:sz w:val="20"/>
                <w:szCs w:val="20"/>
              </w:rPr>
              <w:t>dune</w:t>
            </w:r>
            <w:r w:rsidR="009E5E9E">
              <w:rPr>
                <w:rFonts w:ascii="Cambria" w:hAnsi="Cambria"/>
                <w:b w:val="0"/>
                <w:bCs/>
                <w:i w:val="0"/>
                <w:iCs/>
                <w:sz w:val="20"/>
                <w:szCs w:val="20"/>
              </w:rPr>
              <w:t>s</w:t>
            </w:r>
          </w:p>
          <w:p w14:paraId="1130E27C" w14:textId="5867791E" w:rsidR="002774D2" w:rsidRDefault="00D9714F"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sidRPr="0099603B">
              <w:rPr>
                <w:rFonts w:ascii="Cambria" w:hAnsi="Cambria"/>
                <w:b w:val="0"/>
                <w:bCs/>
                <w:i w:val="0"/>
                <w:iCs/>
                <w:sz w:val="20"/>
                <w:szCs w:val="20"/>
              </w:rPr>
              <w:t>Riparian</w:t>
            </w:r>
            <w:r w:rsidR="00EF51E0">
              <w:rPr>
                <w:rFonts w:ascii="Cambria" w:hAnsi="Cambria"/>
                <w:b w:val="0"/>
                <w:bCs/>
                <w:i w:val="0"/>
                <w:iCs/>
                <w:sz w:val="20"/>
                <w:szCs w:val="20"/>
              </w:rPr>
              <w:t xml:space="preserve"> </w:t>
            </w:r>
          </w:p>
          <w:p w14:paraId="349F08BC" w14:textId="0466A089" w:rsidR="006B3A73" w:rsidRDefault="00A376EF" w:rsidP="000C6EE4">
            <w:pPr>
              <w:pStyle w:val="HeadingNew3"/>
              <w:numPr>
                <w:ilvl w:val="1"/>
                <w:numId w:val="19"/>
              </w:numPr>
              <w:shd w:val="clear" w:color="auto" w:fill="D9E2F3" w:themeFill="accent5" w:themeFillTint="33"/>
              <w:spacing w:before="0" w:after="0"/>
              <w:contextualSpacing/>
              <w:jc w:val="both"/>
              <w:rPr>
                <w:rFonts w:ascii="Cambria" w:hAnsi="Cambria"/>
                <w:b w:val="0"/>
                <w:bCs/>
                <w:i w:val="0"/>
                <w:iCs/>
                <w:sz w:val="20"/>
                <w:szCs w:val="20"/>
              </w:rPr>
            </w:pPr>
            <w:r>
              <w:rPr>
                <w:rFonts w:ascii="Cambria" w:hAnsi="Cambria"/>
                <w:b w:val="0"/>
                <w:bCs/>
                <w:i w:val="0"/>
                <w:iCs/>
                <w:sz w:val="20"/>
                <w:szCs w:val="20"/>
              </w:rPr>
              <w:t>Aquatic</w:t>
            </w:r>
          </w:p>
          <w:p w14:paraId="0131CB6A" w14:textId="77777777" w:rsidR="00731262" w:rsidRDefault="00A376EF" w:rsidP="000C6EE4">
            <w:pPr>
              <w:pStyle w:val="HeadingNew3"/>
              <w:numPr>
                <w:ilvl w:val="2"/>
                <w:numId w:val="19"/>
              </w:numPr>
              <w:shd w:val="clear" w:color="auto" w:fill="D9E2F3" w:themeFill="accent5" w:themeFillTint="33"/>
              <w:spacing w:before="0" w:after="0"/>
              <w:ind w:left="1440" w:hanging="284"/>
              <w:contextualSpacing/>
              <w:jc w:val="both"/>
              <w:rPr>
                <w:rFonts w:ascii="Cambria" w:hAnsi="Cambria"/>
                <w:b w:val="0"/>
                <w:bCs/>
                <w:i w:val="0"/>
                <w:iCs/>
                <w:sz w:val="20"/>
                <w:szCs w:val="20"/>
              </w:rPr>
            </w:pPr>
            <w:r>
              <w:rPr>
                <w:rFonts w:ascii="Cambria" w:hAnsi="Cambria"/>
                <w:b w:val="0"/>
                <w:bCs/>
                <w:i w:val="0"/>
                <w:iCs/>
                <w:sz w:val="20"/>
                <w:szCs w:val="20"/>
              </w:rPr>
              <w:t>Coorong</w:t>
            </w:r>
          </w:p>
          <w:p w14:paraId="0C6C2C84" w14:textId="77777777" w:rsidR="00A8604C" w:rsidRDefault="00A8604C" w:rsidP="000C6EE4">
            <w:pPr>
              <w:pStyle w:val="HeadingNew3"/>
              <w:numPr>
                <w:ilvl w:val="2"/>
                <w:numId w:val="19"/>
              </w:numPr>
              <w:shd w:val="clear" w:color="auto" w:fill="D9E2F3" w:themeFill="accent5" w:themeFillTint="33"/>
              <w:spacing w:before="0" w:after="0"/>
              <w:ind w:left="1440" w:hanging="284"/>
              <w:contextualSpacing/>
              <w:jc w:val="both"/>
              <w:rPr>
                <w:rFonts w:ascii="Cambria" w:hAnsi="Cambria"/>
                <w:b w:val="0"/>
                <w:bCs/>
                <w:i w:val="0"/>
                <w:iCs/>
                <w:sz w:val="20"/>
                <w:szCs w:val="20"/>
              </w:rPr>
            </w:pPr>
            <w:r>
              <w:rPr>
                <w:rFonts w:ascii="Cambria" w:hAnsi="Cambria"/>
                <w:b w:val="0"/>
                <w:bCs/>
                <w:i w:val="0"/>
                <w:iCs/>
                <w:sz w:val="20"/>
                <w:szCs w:val="20"/>
              </w:rPr>
              <w:t>Lower Lakes</w:t>
            </w:r>
          </w:p>
          <w:p w14:paraId="089FB285" w14:textId="14B74935" w:rsidR="00A8604C" w:rsidRPr="00A8604C" w:rsidRDefault="00A8604C" w:rsidP="00A8604C">
            <w:pPr>
              <w:pStyle w:val="HeadingNew3"/>
              <w:shd w:val="clear" w:color="auto" w:fill="D9E2F3" w:themeFill="accent5" w:themeFillTint="33"/>
              <w:spacing w:before="0" w:after="0"/>
              <w:ind w:left="0" w:firstLine="0"/>
              <w:contextualSpacing/>
              <w:jc w:val="both"/>
              <w:rPr>
                <w:rFonts w:ascii="Cambria" w:hAnsi="Cambria"/>
                <w:b w:val="0"/>
                <w:bCs/>
                <w:i w:val="0"/>
                <w:iCs/>
                <w:sz w:val="8"/>
                <w:szCs w:val="8"/>
              </w:rPr>
            </w:pPr>
          </w:p>
        </w:tc>
      </w:tr>
    </w:tbl>
    <w:p w14:paraId="4029830A" w14:textId="77777777" w:rsidR="00F54441" w:rsidRDefault="00F54441" w:rsidP="00A9244F"/>
    <w:p w14:paraId="40998D7F" w14:textId="7B1C20CB" w:rsidR="00E87A0D" w:rsidRDefault="004A7AE8" w:rsidP="00A2521C">
      <w:pPr>
        <w:pStyle w:val="Heading5"/>
      </w:pPr>
      <w:r w:rsidRPr="00C35E7A">
        <w:t>Floodplain</w:t>
      </w:r>
      <w:r w:rsidR="0038507E" w:rsidRPr="00C35E7A">
        <w:t xml:space="preserve"> to channel</w:t>
      </w:r>
      <w:r w:rsidRPr="00C35E7A">
        <w:t xml:space="preserve"> vegetation</w:t>
      </w:r>
      <w:bookmarkEnd w:id="31"/>
      <w:bookmarkEnd w:id="32"/>
    </w:p>
    <w:p w14:paraId="3C76E50F" w14:textId="78443810" w:rsidR="004A7AE8" w:rsidRPr="004A7188" w:rsidRDefault="004A7AE8" w:rsidP="00AD4454">
      <w:pPr>
        <w:pStyle w:val="Heading6"/>
      </w:pPr>
      <w:bookmarkStart w:id="33" w:name="_Toc232747006"/>
      <w:r w:rsidRPr="004A7188">
        <w:t xml:space="preserve">Floodplain </w:t>
      </w:r>
      <w:r w:rsidR="00F7230D" w:rsidRPr="004A7188">
        <w:t xml:space="preserve">and riparian </w:t>
      </w:r>
      <w:r w:rsidRPr="004A7188">
        <w:t>vegetation</w:t>
      </w:r>
      <w:bookmarkEnd w:id="33"/>
    </w:p>
    <w:p w14:paraId="383E42B9" w14:textId="7EB00CF0" w:rsidR="004A7AE8" w:rsidRPr="00AB2569" w:rsidRDefault="004A7AE8" w:rsidP="004A7AE8">
      <w:pPr>
        <w:rPr>
          <w:u w:val="single"/>
        </w:rPr>
      </w:pPr>
      <w:r>
        <w:t xml:space="preserve">Although there are well over 300 native plant species recorded on </w:t>
      </w:r>
      <w:r w:rsidRPr="000D6801">
        <w:t>the River Murray floodplain</w:t>
      </w:r>
      <w:r>
        <w:t xml:space="preserve"> (Newall et al. 2009</w:t>
      </w:r>
      <w:r w:rsidR="003F1A13">
        <w:t>; Gehrig &amp; Nicol 2010</w:t>
      </w:r>
      <w:r>
        <w:t>), the overstorey vegetation</w:t>
      </w:r>
      <w:r w:rsidRPr="000D6801">
        <w:t xml:space="preserve"> is </w:t>
      </w:r>
      <w:r w:rsidR="00F34ED6">
        <w:t xml:space="preserve">typically </w:t>
      </w:r>
      <w:r w:rsidRPr="000D6801">
        <w:t>domin</w:t>
      </w:r>
      <w:r>
        <w:t>ated by two tree species:</w:t>
      </w:r>
    </w:p>
    <w:p w14:paraId="4792779E" w14:textId="4A8214B7" w:rsidR="004A7AE8" w:rsidRDefault="00466C5D" w:rsidP="000C6EE4">
      <w:pPr>
        <w:pStyle w:val="ListBullet"/>
        <w:numPr>
          <w:ilvl w:val="0"/>
          <w:numId w:val="14"/>
        </w:numPr>
      </w:pPr>
      <w:r w:rsidRPr="00ED0C30">
        <w:rPr>
          <w:i/>
        </w:rPr>
        <w:t>Eucalyptus camaldulensis</w:t>
      </w:r>
      <w:r>
        <w:rPr>
          <w:iCs/>
        </w:rPr>
        <w:t xml:space="preserve"> (</w:t>
      </w:r>
      <w:r w:rsidR="003B19FD">
        <w:rPr>
          <w:iCs/>
        </w:rPr>
        <w:t>r</w:t>
      </w:r>
      <w:r w:rsidR="007379F5">
        <w:rPr>
          <w:iCs/>
        </w:rPr>
        <w:t>iver red gum</w:t>
      </w:r>
      <w:r w:rsidR="00705F7F">
        <w:rPr>
          <w:iCs/>
        </w:rPr>
        <w:t>)</w:t>
      </w:r>
      <w:r w:rsidR="00174D5B">
        <w:t>, which</w:t>
      </w:r>
      <w:r w:rsidR="00884ADB">
        <w:t xml:space="preserve"> </w:t>
      </w:r>
      <w:r w:rsidR="00174D5B">
        <w:t xml:space="preserve">may occur in </w:t>
      </w:r>
      <w:r w:rsidR="00E26948">
        <w:t xml:space="preserve">several </w:t>
      </w:r>
      <w:r w:rsidR="00884ADB">
        <w:t>forms (Bren 1990</w:t>
      </w:r>
      <w:r w:rsidR="00705F7F">
        <w:t xml:space="preserve">; </w:t>
      </w:r>
      <w:r w:rsidR="00705F7F">
        <w:rPr>
          <w:iCs/>
        </w:rPr>
        <w:t>McDonald et al. 2009</w:t>
      </w:r>
      <w:r w:rsidR="00884ADB">
        <w:t>), such as:</w:t>
      </w:r>
      <w:r w:rsidR="00F17F10">
        <w:t xml:space="preserve"> </w:t>
      </w:r>
      <w:r w:rsidR="004A7AE8">
        <w:t>extensive forests in more frequently flooded area</w:t>
      </w:r>
      <w:r w:rsidR="009445F6">
        <w:t xml:space="preserve">s; </w:t>
      </w:r>
      <w:r w:rsidR="00883C55">
        <w:t>s</w:t>
      </w:r>
      <w:r w:rsidR="004A7AE8">
        <w:t>maller</w:t>
      </w:r>
      <w:r w:rsidR="00883C55">
        <w:t>,</w:t>
      </w:r>
      <w:r w:rsidR="004A7AE8">
        <w:t xml:space="preserve"> ‘river red gum swamps’</w:t>
      </w:r>
      <w:r w:rsidR="009445F6">
        <w:t xml:space="preserve">; </w:t>
      </w:r>
      <w:r w:rsidR="004A7AE8">
        <w:t>sparse woodland</w:t>
      </w:r>
      <w:r w:rsidR="009445F6">
        <w:t>;</w:t>
      </w:r>
      <w:r w:rsidR="004A7AE8">
        <w:t xml:space="preserve"> or</w:t>
      </w:r>
      <w:r w:rsidR="009445F6">
        <w:t xml:space="preserve"> </w:t>
      </w:r>
      <w:r w:rsidR="00F17F10">
        <w:t xml:space="preserve">a </w:t>
      </w:r>
      <w:r w:rsidR="004A7AE8">
        <w:t>fringing band of trees along the river banks and foreshores</w:t>
      </w:r>
      <w:r w:rsidR="00F17F10">
        <w:t>.</w:t>
      </w:r>
      <w:r w:rsidR="009445F6">
        <w:t xml:space="preserve"> </w:t>
      </w:r>
      <w:r w:rsidR="00E84D44">
        <w:t>T</w:t>
      </w:r>
      <w:r w:rsidR="004A7AE8">
        <w:t>he latter two forms are most commonly</w:t>
      </w:r>
      <w:r w:rsidR="007379F5">
        <w:t xml:space="preserve"> </w:t>
      </w:r>
      <w:r w:rsidR="004A7AE8">
        <w:t>represented within the ecological community</w:t>
      </w:r>
      <w:r w:rsidR="00E84D44">
        <w:t>.</w:t>
      </w:r>
    </w:p>
    <w:p w14:paraId="5903BC04" w14:textId="1E88BA9E" w:rsidR="004A7AE8" w:rsidRDefault="00466C5D" w:rsidP="000C6EE4">
      <w:pPr>
        <w:pStyle w:val="ListBullet"/>
        <w:numPr>
          <w:ilvl w:val="0"/>
          <w:numId w:val="14"/>
        </w:numPr>
      </w:pPr>
      <w:r w:rsidRPr="004A7AE8">
        <w:rPr>
          <w:i/>
        </w:rPr>
        <w:t>Eucalyptus largiflorens</w:t>
      </w:r>
      <w:r>
        <w:rPr>
          <w:iCs/>
        </w:rPr>
        <w:t xml:space="preserve"> (</w:t>
      </w:r>
      <w:r w:rsidR="003B19FD">
        <w:rPr>
          <w:iCs/>
        </w:rPr>
        <w:t>b</w:t>
      </w:r>
      <w:r w:rsidR="00E84D44">
        <w:rPr>
          <w:iCs/>
        </w:rPr>
        <w:t>lack box</w:t>
      </w:r>
      <w:r w:rsidR="00E84D44">
        <w:t>)</w:t>
      </w:r>
      <w:r w:rsidR="00E26948">
        <w:t>,</w:t>
      </w:r>
      <w:r w:rsidR="00E84D44">
        <w:t xml:space="preserve"> </w:t>
      </w:r>
      <w:r w:rsidR="00E26948">
        <w:t xml:space="preserve">which </w:t>
      </w:r>
      <w:r w:rsidR="004A7AE8">
        <w:t xml:space="preserve">forms woodlands on </w:t>
      </w:r>
      <w:r w:rsidR="004A7AE8" w:rsidRPr="000D6801">
        <w:t xml:space="preserve">the higher, outer parts of the floodplain </w:t>
      </w:r>
      <w:r w:rsidR="001C35C1">
        <w:t>of the RMDS</w:t>
      </w:r>
      <w:r w:rsidR="00433073">
        <w:t xml:space="preserve">, but is rarely dominant </w:t>
      </w:r>
      <w:r w:rsidR="004A7AE8" w:rsidRPr="000D6801">
        <w:t xml:space="preserve">(Smith </w:t>
      </w:r>
      <w:r w:rsidR="00AD7D9A">
        <w:t xml:space="preserve">&amp; </w:t>
      </w:r>
      <w:r w:rsidR="004A7AE8" w:rsidRPr="000D6801">
        <w:t>Smith 1990).</w:t>
      </w:r>
    </w:p>
    <w:p w14:paraId="7F50DA90" w14:textId="0E20E62F" w:rsidR="004A7AE8" w:rsidRDefault="00466C5D" w:rsidP="004A7AE8">
      <w:pPr>
        <w:pStyle w:val="ListBullet"/>
        <w:numPr>
          <w:ilvl w:val="0"/>
          <w:numId w:val="14"/>
        </w:numPr>
      </w:pPr>
      <w:r w:rsidRPr="00AD7D9A">
        <w:rPr>
          <w:i/>
        </w:rPr>
        <w:t>Acacia stenophylla</w:t>
      </w:r>
      <w:r w:rsidRPr="00AD7D9A">
        <w:rPr>
          <w:iCs/>
        </w:rPr>
        <w:t xml:space="preserve"> (r</w:t>
      </w:r>
      <w:r w:rsidR="00E26948" w:rsidRPr="00AD7D9A">
        <w:rPr>
          <w:iCs/>
        </w:rPr>
        <w:t>iver cooba</w:t>
      </w:r>
      <w:r w:rsidR="004A7AE8">
        <w:t xml:space="preserve">) </w:t>
      </w:r>
      <w:r w:rsidR="00FF7831">
        <w:t xml:space="preserve">is </w:t>
      </w:r>
      <w:r w:rsidR="004A7AE8">
        <w:t>another important canopy species in some areas on the floodplain</w:t>
      </w:r>
      <w:r w:rsidR="00E26948">
        <w:t xml:space="preserve"> of the EC</w:t>
      </w:r>
      <w:r w:rsidR="004A7AE8">
        <w:t>.</w:t>
      </w:r>
    </w:p>
    <w:p w14:paraId="58DC4A37" w14:textId="20AEF0BD" w:rsidR="009249DE" w:rsidRDefault="004A7AE8" w:rsidP="004A7AE8">
      <w:r>
        <w:t>The understorey</w:t>
      </w:r>
      <w:r w:rsidR="00433073">
        <w:t>, shrub layer</w:t>
      </w:r>
      <w:r w:rsidR="002C3270">
        <w:t>,</w:t>
      </w:r>
      <w:r w:rsidR="00433073">
        <w:t xml:space="preserve"> and ground layer</w:t>
      </w:r>
      <w:r>
        <w:t xml:space="preserve"> vegetation of the ecological community exhibits </w:t>
      </w:r>
      <w:r w:rsidRPr="000D6801">
        <w:t>considerable</w:t>
      </w:r>
      <w:r>
        <w:t xml:space="preserve"> variation, </w:t>
      </w:r>
      <w:r w:rsidRPr="000D6801">
        <w:t>both along the river and across the floodplain</w:t>
      </w:r>
      <w:r>
        <w:t>, depending on varying habitat types</w:t>
      </w:r>
      <w:r w:rsidRPr="000D6801">
        <w:t xml:space="preserve">. Floodplain terrestrial habitats </w:t>
      </w:r>
      <w:r>
        <w:t xml:space="preserve">generally range from forest and </w:t>
      </w:r>
      <w:r w:rsidRPr="000D6801">
        <w:t xml:space="preserve">woodland, </w:t>
      </w:r>
      <w:r>
        <w:t xml:space="preserve">through to </w:t>
      </w:r>
      <w:r w:rsidRPr="000D6801">
        <w:t>shrubland, herb</w:t>
      </w:r>
      <w:r w:rsidR="00E05BB6">
        <w:t>land</w:t>
      </w:r>
      <w:r w:rsidR="00764E5D">
        <w:t>,</w:t>
      </w:r>
      <w:r w:rsidRPr="000D6801">
        <w:t xml:space="preserve"> and grassland areas. </w:t>
      </w:r>
      <w:r>
        <w:t xml:space="preserve">Detailed information on river red gum and black box understorey vegetation is provided at </w:t>
      </w:r>
      <w:r w:rsidRPr="00D818D3">
        <w:rPr>
          <w:u w:val="single"/>
        </w:rPr>
        <w:t xml:space="preserve">Appendix </w:t>
      </w:r>
      <w:r w:rsidR="004906DF" w:rsidRPr="00D818D3">
        <w:rPr>
          <w:u w:val="single"/>
        </w:rPr>
        <w:t>B</w:t>
      </w:r>
      <w:r w:rsidR="003E0278" w:rsidRPr="00D818D3">
        <w:rPr>
          <w:u w:val="single"/>
        </w:rPr>
        <w:t>, Table B1</w:t>
      </w:r>
      <w:r>
        <w:t xml:space="preserve">. </w:t>
      </w:r>
    </w:p>
    <w:p w14:paraId="4D02179B" w14:textId="378B43AA" w:rsidR="00D15BBA" w:rsidRDefault="009249DE" w:rsidP="004A7AE8">
      <w:r>
        <w:lastRenderedPageBreak/>
        <w:t>T</w:t>
      </w:r>
      <w:r w:rsidR="004A7AE8">
        <w:t xml:space="preserve">he understorey of the river red gum zone is </w:t>
      </w:r>
      <w:r>
        <w:t xml:space="preserve">generally </w:t>
      </w:r>
      <w:r w:rsidR="004A7AE8">
        <w:t xml:space="preserve">herbaceous, with chenopods </w:t>
      </w:r>
      <w:r w:rsidR="008A586B">
        <w:t>(salt</w:t>
      </w:r>
      <w:r w:rsidR="006E4A93">
        <w:t xml:space="preserve">bushes) </w:t>
      </w:r>
      <w:r w:rsidR="004A7AE8">
        <w:t xml:space="preserve">also typical and intergrading with </w:t>
      </w:r>
      <w:r w:rsidR="001477D2" w:rsidRPr="00E8481E">
        <w:rPr>
          <w:i/>
          <w:iCs/>
        </w:rPr>
        <w:t>Duma florulenta</w:t>
      </w:r>
      <w:r w:rsidR="00E8481E">
        <w:t xml:space="preserve"> </w:t>
      </w:r>
      <w:r w:rsidR="00466C5D">
        <w:t>(</w:t>
      </w:r>
      <w:r w:rsidR="00625B96">
        <w:t xml:space="preserve">syn. </w:t>
      </w:r>
      <w:r w:rsidR="004A7AE8" w:rsidRPr="006F1B9F">
        <w:rPr>
          <w:i/>
        </w:rPr>
        <w:t>Muehlenbeckia florulenta</w:t>
      </w:r>
      <w:r w:rsidR="00466C5D">
        <w:rPr>
          <w:iCs/>
        </w:rPr>
        <w:t xml:space="preserve">; </w:t>
      </w:r>
      <w:r w:rsidR="00466C5D">
        <w:t>tangled lignum</w:t>
      </w:r>
      <w:r w:rsidR="003B19FD">
        <w:rPr>
          <w:iCs/>
        </w:rPr>
        <w:t>)</w:t>
      </w:r>
      <w:r w:rsidR="004A7AE8">
        <w:t xml:space="preserve"> shrubland.</w:t>
      </w:r>
      <w:r w:rsidR="00597E7E">
        <w:t xml:space="preserve"> </w:t>
      </w:r>
      <w:r w:rsidR="007E3D58">
        <w:t>C</w:t>
      </w:r>
      <w:r w:rsidR="00597E7E">
        <w:t xml:space="preserve">ommon </w:t>
      </w:r>
      <w:r w:rsidR="007E3D58">
        <w:t xml:space="preserve">ground layer </w:t>
      </w:r>
      <w:r w:rsidR="00597E7E">
        <w:t xml:space="preserve">species include </w:t>
      </w:r>
      <w:r w:rsidR="00597E7E" w:rsidRPr="004E5D98">
        <w:rPr>
          <w:i/>
          <w:iCs/>
        </w:rPr>
        <w:t>Cyperus gymnocaulos</w:t>
      </w:r>
      <w:r w:rsidR="00597E7E">
        <w:t xml:space="preserve"> (</w:t>
      </w:r>
      <w:r w:rsidR="000A1E98">
        <w:t>spiny</w:t>
      </w:r>
      <w:r w:rsidR="00374CB0">
        <w:t xml:space="preserve"> flat-sedge</w:t>
      </w:r>
      <w:r w:rsidR="00597E7E">
        <w:t xml:space="preserve">), </w:t>
      </w:r>
      <w:r w:rsidR="00BF7F7A" w:rsidRPr="002F2486">
        <w:rPr>
          <w:i/>
          <w:iCs/>
        </w:rPr>
        <w:t>Setaria jubiflora</w:t>
      </w:r>
      <w:r w:rsidR="00BF7F7A">
        <w:t xml:space="preserve"> (</w:t>
      </w:r>
      <w:r w:rsidR="00BB3BDC">
        <w:t>warrego grass</w:t>
      </w:r>
      <w:r w:rsidR="00BF7F7A">
        <w:t xml:space="preserve">), </w:t>
      </w:r>
      <w:r w:rsidR="00BF7F7A" w:rsidRPr="004E5D98">
        <w:rPr>
          <w:i/>
          <w:iCs/>
        </w:rPr>
        <w:t>Senecio cunninghamii</w:t>
      </w:r>
      <w:r w:rsidR="00BF7F7A">
        <w:t xml:space="preserve"> </w:t>
      </w:r>
      <w:r w:rsidR="00276411">
        <w:t>(</w:t>
      </w:r>
      <w:r w:rsidR="00F9694D">
        <w:t>b</w:t>
      </w:r>
      <w:r w:rsidR="002E2A38">
        <w:t>ranching</w:t>
      </w:r>
      <w:r w:rsidR="00F9694D">
        <w:t xml:space="preserve"> </w:t>
      </w:r>
      <w:r w:rsidR="008A7C47">
        <w:t>groundsel</w:t>
      </w:r>
      <w:r w:rsidR="00276411">
        <w:t xml:space="preserve">) and </w:t>
      </w:r>
      <w:r w:rsidR="00276411" w:rsidRPr="004E5D98">
        <w:rPr>
          <w:i/>
          <w:iCs/>
        </w:rPr>
        <w:t xml:space="preserve">Enchylaena tomentosa </w:t>
      </w:r>
      <w:r w:rsidR="00276411">
        <w:t>(</w:t>
      </w:r>
      <w:r w:rsidR="00F34E1A">
        <w:t>ruby saltbush, shrubby</w:t>
      </w:r>
      <w:r w:rsidR="00191E76">
        <w:t xml:space="preserve"> form</w:t>
      </w:r>
      <w:r w:rsidR="00276411">
        <w:t>)</w:t>
      </w:r>
      <w:r w:rsidR="00A0240A">
        <w:t xml:space="preserve"> (</w:t>
      </w:r>
      <w:r w:rsidR="00C8637C">
        <w:t xml:space="preserve">Nicol 2012; </w:t>
      </w:r>
      <w:r w:rsidR="00695579">
        <w:t xml:space="preserve">Smith &amp; Smith 2014; </w:t>
      </w:r>
      <w:r w:rsidR="00A0240A">
        <w:t>Kilsby &amp; Steggles 2015</w:t>
      </w:r>
      <w:r w:rsidR="007F2FF9">
        <w:t>; Nicol et al. 2020</w:t>
      </w:r>
      <w:r w:rsidR="00A0240A">
        <w:t>).</w:t>
      </w:r>
    </w:p>
    <w:p w14:paraId="22C48E5F" w14:textId="7838D09B" w:rsidR="00F26DD3" w:rsidRDefault="00933557" w:rsidP="00FA4EA9">
      <w:pPr>
        <w:keepLines/>
      </w:pPr>
      <w:r>
        <w:t xml:space="preserve">Black box woodland </w:t>
      </w:r>
      <w:r w:rsidR="00E7714C">
        <w:t xml:space="preserve">typically </w:t>
      </w:r>
      <w:r w:rsidR="00C60536">
        <w:t xml:space="preserve">occurs on higher areas of the floodplain and </w:t>
      </w:r>
      <w:r>
        <w:t>has a lower and more open canopy</w:t>
      </w:r>
      <w:r w:rsidR="009726CE">
        <w:t xml:space="preserve"> than river red gum</w:t>
      </w:r>
      <w:r>
        <w:t xml:space="preserve">. </w:t>
      </w:r>
      <w:r w:rsidR="009726CE">
        <w:t>The</w:t>
      </w:r>
      <w:r>
        <w:t xml:space="preserve"> understorey </w:t>
      </w:r>
      <w:r w:rsidR="009726CE">
        <w:t xml:space="preserve">in a black box woodland </w:t>
      </w:r>
      <w:r>
        <w:t xml:space="preserve">is </w:t>
      </w:r>
      <w:r w:rsidR="007F17B0">
        <w:t xml:space="preserve">generally </w:t>
      </w:r>
      <w:r>
        <w:t>shrubby, with three plant families dominating</w:t>
      </w:r>
      <w:r w:rsidR="007E3D58">
        <w:t xml:space="preserve"> the ground layer</w:t>
      </w:r>
      <w:r>
        <w:t xml:space="preserve">: grasses (Poaceae), daisies (Asteraceae) and saltbushes (Chenopodiaceae). </w:t>
      </w:r>
      <w:r w:rsidR="00A0240A">
        <w:t xml:space="preserve">Some common species include </w:t>
      </w:r>
      <w:r w:rsidR="00C9767F">
        <w:t xml:space="preserve">river cooba, </w:t>
      </w:r>
      <w:r w:rsidR="00EA692C">
        <w:t xml:space="preserve">lignum, </w:t>
      </w:r>
      <w:r w:rsidR="00116105" w:rsidRPr="000F7629">
        <w:rPr>
          <w:i/>
          <w:iCs/>
        </w:rPr>
        <w:t xml:space="preserve">Atriplex </w:t>
      </w:r>
      <w:r w:rsidR="00EA692C" w:rsidRPr="000F7629">
        <w:rPr>
          <w:i/>
          <w:iCs/>
        </w:rPr>
        <w:t>rhagodioides</w:t>
      </w:r>
      <w:r w:rsidR="00EA692C">
        <w:t xml:space="preserve"> (</w:t>
      </w:r>
      <w:r w:rsidR="00E6360E">
        <w:t>river saltbush</w:t>
      </w:r>
      <w:r w:rsidR="00EA692C">
        <w:t xml:space="preserve">) and </w:t>
      </w:r>
      <w:r w:rsidR="00D65C49" w:rsidRPr="00191E76">
        <w:rPr>
          <w:i/>
          <w:iCs/>
        </w:rPr>
        <w:t>Disphyma crassifolium</w:t>
      </w:r>
      <w:r w:rsidR="00D65C49">
        <w:t xml:space="preserve"> ssp. </w:t>
      </w:r>
      <w:r w:rsidR="002F2486" w:rsidRPr="00191E76">
        <w:rPr>
          <w:i/>
          <w:iCs/>
        </w:rPr>
        <w:t>c</w:t>
      </w:r>
      <w:r w:rsidR="00D65C49" w:rsidRPr="00191E76">
        <w:rPr>
          <w:i/>
          <w:iCs/>
        </w:rPr>
        <w:t>lavellatu</w:t>
      </w:r>
      <w:r w:rsidR="00942CEE">
        <w:rPr>
          <w:i/>
          <w:iCs/>
        </w:rPr>
        <w:t>m</w:t>
      </w:r>
      <w:r w:rsidR="002F2486">
        <w:t xml:space="preserve"> (</w:t>
      </w:r>
      <w:r w:rsidR="00942CEE">
        <w:t>rounded noon-flower</w:t>
      </w:r>
      <w:r w:rsidR="002F2486">
        <w:t>) (</w:t>
      </w:r>
      <w:r w:rsidR="00C8637C">
        <w:t xml:space="preserve">Nicol 2012; </w:t>
      </w:r>
      <w:r w:rsidR="00695579">
        <w:t xml:space="preserve">Smith &amp; Smith 2014; </w:t>
      </w:r>
      <w:r w:rsidR="002F2486">
        <w:t>Kilsby &amp; Steggles 2015).</w:t>
      </w:r>
      <w:r w:rsidR="00116105">
        <w:t xml:space="preserve"> </w:t>
      </w:r>
      <w:r>
        <w:t>Dryland floodplain habitats periodically</w:t>
      </w:r>
      <w:r w:rsidRPr="000D6801">
        <w:t xml:space="preserve"> become aqu</w:t>
      </w:r>
      <w:r>
        <w:t>atic systems</w:t>
      </w:r>
      <w:r w:rsidRPr="000D6801">
        <w:t xml:space="preserve"> depending on </w:t>
      </w:r>
      <w:r>
        <w:t>flow magnitude and duration</w:t>
      </w:r>
      <w:r w:rsidR="00146596">
        <w:t>,</w:t>
      </w:r>
      <w:r>
        <w:t xml:space="preserve"> </w:t>
      </w:r>
      <w:r w:rsidRPr="000D6801">
        <w:t>and</w:t>
      </w:r>
      <w:r>
        <w:t xml:space="preserve"> their elevation </w:t>
      </w:r>
      <w:r w:rsidRPr="000D6801">
        <w:t>(DEH</w:t>
      </w:r>
      <w:r>
        <w:t xml:space="preserve"> 2010</w:t>
      </w:r>
      <w:r w:rsidR="00DE0EDD">
        <w:t xml:space="preserve">; Holland et al. 2013; </w:t>
      </w:r>
      <w:r w:rsidR="00D750B0">
        <w:t xml:space="preserve">Smith &amp; Smith 2014; </w:t>
      </w:r>
      <w:r w:rsidR="00DE0EDD">
        <w:t xml:space="preserve">Kilby &amp; Steggles </w:t>
      </w:r>
      <w:r w:rsidR="00B63658">
        <w:t>2015</w:t>
      </w:r>
      <w:r w:rsidR="007F2FF9">
        <w:t>; Nicol et al. 2020</w:t>
      </w:r>
      <w:r w:rsidR="00347C9F">
        <w:t>, 2021</w:t>
      </w:r>
      <w:r w:rsidR="00400E37">
        <w:t>, 2023</w:t>
      </w:r>
      <w:r>
        <w:t>)</w:t>
      </w:r>
      <w:r w:rsidRPr="000D6801">
        <w:t>.</w:t>
      </w:r>
    </w:p>
    <w:p w14:paraId="14A502AB" w14:textId="7C658432" w:rsidR="00393276" w:rsidRDefault="00C85C9D" w:rsidP="00194FB1">
      <w:pPr>
        <w:pStyle w:val="Caption"/>
        <w:rPr>
          <w:szCs w:val="22"/>
        </w:rPr>
      </w:pPr>
      <w:r w:rsidRPr="00EA5A1E">
        <w:rPr>
          <w:noProof/>
          <w:bdr w:val="single" w:sz="4" w:space="0" w:color="auto"/>
        </w:rPr>
        <w:drawing>
          <wp:inline distT="0" distB="0" distL="0" distR="0" wp14:anchorId="7675D1F1" wp14:editId="63CCB5EA">
            <wp:extent cx="5752800" cy="2829299"/>
            <wp:effectExtent l="19050" t="19050" r="19685" b="28575"/>
            <wp:docPr id="769190561" name="Picture 769190561" descr="A conceptual diagram of habitat types and hydrological regime for the Riverland Ramsa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0561" name="Picture 769190561" descr="A conceptual diagram of habitat types and hydrological regime for the Riverland Ramsar site"/>
                    <pic:cNvPicPr>
                      <a:picLocks noChangeAspect="1" noChangeArrowheads="1"/>
                    </pic:cNvPicPr>
                  </pic:nvPicPr>
                  <pic:blipFill>
                    <a:blip r:embed="rId18" cstate="print"/>
                    <a:srcRect/>
                    <a:stretch>
                      <a:fillRect/>
                    </a:stretch>
                  </pic:blipFill>
                  <pic:spPr bwMode="auto">
                    <a:xfrm>
                      <a:off x="0" y="0"/>
                      <a:ext cx="5752800" cy="2829299"/>
                    </a:xfrm>
                    <a:prstGeom prst="rect">
                      <a:avLst/>
                    </a:prstGeom>
                    <a:noFill/>
                    <a:ln w="9525">
                      <a:solidFill>
                        <a:schemeClr val="bg1"/>
                      </a:solidFill>
                      <a:miter lim="800000"/>
                      <a:headEnd/>
                      <a:tailEnd/>
                    </a:ln>
                  </pic:spPr>
                </pic:pic>
              </a:graphicData>
            </a:graphic>
          </wp:inline>
        </w:drawing>
      </w:r>
      <w:bookmarkStart w:id="34" w:name="_Toc232747959"/>
      <w:r w:rsidR="00393276" w:rsidRPr="00393276">
        <w:rPr>
          <w:szCs w:val="22"/>
        </w:rPr>
        <w:t xml:space="preserve">Figure </w:t>
      </w:r>
      <w:r w:rsidR="00393276" w:rsidRPr="00393276">
        <w:rPr>
          <w:szCs w:val="22"/>
        </w:rPr>
        <w:fldChar w:fldCharType="begin"/>
      </w:r>
      <w:r w:rsidR="00393276" w:rsidRPr="00393276">
        <w:rPr>
          <w:szCs w:val="22"/>
        </w:rPr>
        <w:instrText xml:space="preserve"> SEQ Figure \* ARABIC </w:instrText>
      </w:r>
      <w:r w:rsidR="00393276" w:rsidRPr="00393276">
        <w:rPr>
          <w:szCs w:val="22"/>
        </w:rPr>
        <w:fldChar w:fldCharType="separate"/>
      </w:r>
      <w:r w:rsidR="006D35C5">
        <w:rPr>
          <w:noProof/>
          <w:szCs w:val="22"/>
        </w:rPr>
        <w:t>3</w:t>
      </w:r>
      <w:r w:rsidR="00393276" w:rsidRPr="00393276">
        <w:rPr>
          <w:szCs w:val="22"/>
        </w:rPr>
        <w:fldChar w:fldCharType="end"/>
      </w:r>
      <w:r w:rsidRPr="00393276">
        <w:rPr>
          <w:szCs w:val="22"/>
          <w:lang w:val="en-US"/>
        </w:rPr>
        <w:t xml:space="preserve">: </w:t>
      </w:r>
      <w:bookmarkEnd w:id="34"/>
      <w:r w:rsidR="00391214" w:rsidRPr="00393276">
        <w:rPr>
          <w:szCs w:val="22"/>
        </w:rPr>
        <w:t>C</w:t>
      </w:r>
      <w:r w:rsidR="00D37E39" w:rsidRPr="00393276">
        <w:rPr>
          <w:szCs w:val="22"/>
        </w:rPr>
        <w:t>onceptual model of habitat types and hydrological regime for the Riverland Ramsar site, broadest floodplain areas within the ecological community (Lance Lloyd in TSSC 2011).</w:t>
      </w:r>
    </w:p>
    <w:p w14:paraId="6F962BF5" w14:textId="77777777" w:rsidR="00194FB1" w:rsidRPr="00194FB1" w:rsidRDefault="00194FB1" w:rsidP="00194FB1"/>
    <w:p w14:paraId="5D743830" w14:textId="77777777" w:rsidR="008467A1" w:rsidRDefault="00EA5A1E" w:rsidP="00E5223E">
      <w:r w:rsidRPr="000D6801">
        <w:t xml:space="preserve">The landscape of the Riverland Ramsar site </w:t>
      </w:r>
      <w:r>
        <w:t xml:space="preserve">(i.e. Chowilla floodplain) provides a good </w:t>
      </w:r>
      <w:r w:rsidRPr="000D6801">
        <w:t>example of the</w:t>
      </w:r>
      <w:r>
        <w:t xml:space="preserve"> variation in floodplain vegetation in the ecological community</w:t>
      </w:r>
      <w:r w:rsidRPr="000D6801">
        <w:t xml:space="preserve">. The major vegetation types on the floodplain </w:t>
      </w:r>
      <w:r>
        <w:t>form three main categorie</w:t>
      </w:r>
      <w:r w:rsidRPr="000D6801">
        <w:t>s: terrestrial</w:t>
      </w:r>
      <w:r>
        <w:t xml:space="preserve"> (woodland</w:t>
      </w:r>
      <w:r w:rsidR="00F34ED6">
        <w:t>, shrubland</w:t>
      </w:r>
      <w:r>
        <w:t xml:space="preserve"> and </w:t>
      </w:r>
      <w:r w:rsidR="00F34ED6">
        <w:t>ground layer</w:t>
      </w:r>
      <w:r>
        <w:t>)</w:t>
      </w:r>
      <w:r w:rsidRPr="000D6801">
        <w:t>, edge/e</w:t>
      </w:r>
      <w:r>
        <w:t>mergent</w:t>
      </w:r>
      <w:r w:rsidR="008D6C40">
        <w:t xml:space="preserve"> (i.e. ‘riparian)</w:t>
      </w:r>
      <w:r>
        <w:t xml:space="preserve">, and submerged. </w:t>
      </w:r>
      <w:r w:rsidRPr="00771FD3">
        <w:rPr>
          <w:u w:val="single"/>
        </w:rPr>
        <w:t xml:space="preserve">Figure </w:t>
      </w:r>
      <w:r w:rsidR="00793E1B">
        <w:rPr>
          <w:u w:val="single"/>
        </w:rPr>
        <w:t>3</w:t>
      </w:r>
      <w:r>
        <w:t xml:space="preserve"> provides a conceptual diagram of these key vegetation components and </w:t>
      </w:r>
      <w:r w:rsidRPr="00771FD3">
        <w:rPr>
          <w:u w:val="single"/>
        </w:rPr>
        <w:t xml:space="preserve">Table </w:t>
      </w:r>
      <w:r w:rsidR="00255C06">
        <w:rPr>
          <w:u w:val="single"/>
        </w:rPr>
        <w:t>5</w:t>
      </w:r>
      <w:r w:rsidR="00F03C93">
        <w:t xml:space="preserve"> </w:t>
      </w:r>
      <w:r>
        <w:t>provides a</w:t>
      </w:r>
      <w:r w:rsidR="006F00EC">
        <w:t>n indicative</w:t>
      </w:r>
      <w:r>
        <w:t xml:space="preserve"> list.</w:t>
      </w:r>
      <w:r w:rsidR="00B27D45">
        <w:t xml:space="preserve"> </w:t>
      </w:r>
      <w:r w:rsidR="00B27D45" w:rsidRPr="004A5BF8">
        <w:t>Further information</w:t>
      </w:r>
      <w:r w:rsidR="00EF55D2" w:rsidRPr="004A5BF8">
        <w:t xml:space="preserve"> and </w:t>
      </w:r>
      <w:r w:rsidR="00547C86" w:rsidRPr="004A5BF8">
        <w:t xml:space="preserve">a list of </w:t>
      </w:r>
      <w:r w:rsidR="00EF55D2" w:rsidRPr="004A5BF8">
        <w:t xml:space="preserve">species is provided at </w:t>
      </w:r>
      <w:r w:rsidR="00EF55D2" w:rsidRPr="004A5BF8">
        <w:rPr>
          <w:u w:val="single"/>
        </w:rPr>
        <w:t xml:space="preserve">Appendix B, Table </w:t>
      </w:r>
      <w:r w:rsidR="00547C86" w:rsidRPr="004A5BF8">
        <w:rPr>
          <w:u w:val="single"/>
        </w:rPr>
        <w:t>B</w:t>
      </w:r>
      <w:r w:rsidR="00EF55D2" w:rsidRPr="004A5BF8">
        <w:rPr>
          <w:u w:val="single"/>
        </w:rPr>
        <w:t>1</w:t>
      </w:r>
      <w:r w:rsidR="00EF55D2" w:rsidRPr="004A5BF8">
        <w:t>.</w:t>
      </w:r>
    </w:p>
    <w:p w14:paraId="44593378" w14:textId="7240F46B" w:rsidR="00F51473" w:rsidRDefault="00F51473" w:rsidP="00F51473">
      <w:r>
        <w:t>B</w:t>
      </w:r>
      <w:r w:rsidRPr="000D6801">
        <w:t xml:space="preserve">lack box and river red gum are considered </w:t>
      </w:r>
      <w:r>
        <w:t>key</w:t>
      </w:r>
      <w:r w:rsidRPr="000D6801">
        <w:t xml:space="preserve">stone species for </w:t>
      </w:r>
      <w:r>
        <w:t>riverine ecology at the Riverland</w:t>
      </w:r>
      <w:r w:rsidRPr="000D6801">
        <w:t xml:space="preserve"> Ramsar site</w:t>
      </w:r>
      <w:r>
        <w:t xml:space="preserve">, although other trees or tall shrubs occur here also, such as river cooba, </w:t>
      </w:r>
      <w:r w:rsidRPr="00897654">
        <w:rPr>
          <w:i/>
        </w:rPr>
        <w:t>Melaleuca</w:t>
      </w:r>
      <w:r>
        <w:rPr>
          <w:i/>
        </w:rPr>
        <w:t xml:space="preserve"> </w:t>
      </w:r>
      <w:r>
        <w:rPr>
          <w:iCs/>
        </w:rPr>
        <w:t>spp.,</w:t>
      </w:r>
      <w:r w:rsidRPr="006C6C85">
        <w:rPr>
          <w:iCs/>
        </w:rPr>
        <w:t xml:space="preserve"> </w:t>
      </w:r>
      <w:r w:rsidRPr="00AE04EF">
        <w:rPr>
          <w:i/>
        </w:rPr>
        <w:t>Myoporum</w:t>
      </w:r>
      <w:r>
        <w:t xml:space="preserve"> spp. (boobialla) and </w:t>
      </w:r>
      <w:r w:rsidRPr="00C840FA">
        <w:rPr>
          <w:i/>
        </w:rPr>
        <w:t>Callitris</w:t>
      </w:r>
      <w:r>
        <w:t xml:space="preserve"> </w:t>
      </w:r>
      <w:r w:rsidRPr="006D0EF6">
        <w:rPr>
          <w:i/>
        </w:rPr>
        <w:t>preis</w:t>
      </w:r>
      <w:r>
        <w:rPr>
          <w:i/>
        </w:rPr>
        <w:t>s</w:t>
      </w:r>
      <w:r w:rsidRPr="006D0EF6">
        <w:rPr>
          <w:i/>
        </w:rPr>
        <w:t>ii</w:t>
      </w:r>
      <w:r>
        <w:t xml:space="preserve"> (Murray pine).</w:t>
      </w:r>
      <w:r w:rsidRPr="000D6801">
        <w:t xml:space="preserve"> </w:t>
      </w:r>
      <w:r>
        <w:t xml:space="preserve">Vegetation of the islands in this region are also biodiverse and key habitats (Gehrig &amp; Nicol 2010; see </w:t>
      </w:r>
      <w:r w:rsidRPr="004A5BF8">
        <w:rPr>
          <w:u w:val="single"/>
        </w:rPr>
        <w:t xml:space="preserve">Appendix B, Table </w:t>
      </w:r>
      <w:r w:rsidR="00B07B67" w:rsidRPr="004A5BF8">
        <w:rPr>
          <w:u w:val="single"/>
        </w:rPr>
        <w:t>B</w:t>
      </w:r>
      <w:r w:rsidRPr="004A5BF8">
        <w:rPr>
          <w:u w:val="single"/>
        </w:rPr>
        <w:t>1</w:t>
      </w:r>
      <w:r w:rsidRPr="004A5BF8">
        <w:t>),</w:t>
      </w:r>
      <w:r>
        <w:t xml:space="preserve"> hence areas on islands dominated by native vegetation are an important part of the ecological community.</w:t>
      </w:r>
    </w:p>
    <w:p w14:paraId="0370FCF3" w14:textId="43724A9E" w:rsidR="00B2457A" w:rsidRPr="000B2E86" w:rsidRDefault="000B2E86" w:rsidP="000B2E86">
      <w:pPr>
        <w:pStyle w:val="Caption"/>
        <w:rPr>
          <w:szCs w:val="22"/>
        </w:rPr>
      </w:pPr>
      <w:r w:rsidRPr="000B2E86">
        <w:rPr>
          <w:szCs w:val="22"/>
        </w:rPr>
        <w:lastRenderedPageBreak/>
        <w:t xml:space="preserve">Table </w:t>
      </w:r>
      <w:r w:rsidRPr="000B2E86">
        <w:rPr>
          <w:szCs w:val="22"/>
        </w:rPr>
        <w:fldChar w:fldCharType="begin"/>
      </w:r>
      <w:r w:rsidRPr="000B2E86">
        <w:rPr>
          <w:szCs w:val="22"/>
        </w:rPr>
        <w:instrText xml:space="preserve"> SEQ Table \* ARABIC </w:instrText>
      </w:r>
      <w:r w:rsidRPr="000B2E86">
        <w:rPr>
          <w:szCs w:val="22"/>
        </w:rPr>
        <w:fldChar w:fldCharType="separate"/>
      </w:r>
      <w:r w:rsidR="006D35C5">
        <w:rPr>
          <w:noProof/>
          <w:szCs w:val="22"/>
        </w:rPr>
        <w:t>5</w:t>
      </w:r>
      <w:r w:rsidRPr="000B2E86">
        <w:rPr>
          <w:szCs w:val="22"/>
        </w:rPr>
        <w:fldChar w:fldCharType="end"/>
      </w:r>
      <w:r w:rsidR="00B2457A" w:rsidRPr="000B2E86">
        <w:rPr>
          <w:bCs/>
          <w:szCs w:val="22"/>
        </w:rPr>
        <w:t>:</w:t>
      </w:r>
      <w:r w:rsidR="00B2457A" w:rsidRPr="000B2E86">
        <w:rPr>
          <w:szCs w:val="22"/>
        </w:rPr>
        <w:t xml:space="preserve"> </w:t>
      </w:r>
      <w:r w:rsidR="00B2457A" w:rsidRPr="000B2E86">
        <w:rPr>
          <w:bCs/>
          <w:szCs w:val="22"/>
        </w:rPr>
        <w:t xml:space="preserve">Indicative floodplain </w:t>
      </w:r>
      <w:r w:rsidR="008F3569" w:rsidRPr="000B2E86">
        <w:rPr>
          <w:bCs/>
          <w:szCs w:val="22"/>
        </w:rPr>
        <w:t xml:space="preserve">and riparian </w:t>
      </w:r>
      <w:r w:rsidR="00B2457A" w:rsidRPr="000B2E86">
        <w:rPr>
          <w:bCs/>
          <w:szCs w:val="22"/>
        </w:rPr>
        <w:t>vegetation types of the Riverland Ramsar site</w:t>
      </w:r>
      <w:r w:rsidR="00A66D75" w:rsidRPr="000B2E86">
        <w:rPr>
          <w:bCs/>
          <w:szCs w:val="22"/>
        </w:rPr>
        <w:t xml:space="preserve">/ Chowilla Floodplain Icon Site </w:t>
      </w:r>
      <w:r w:rsidR="00B2457A" w:rsidRPr="000B2E86">
        <w:rPr>
          <w:bCs/>
          <w:szCs w:val="22"/>
        </w:rPr>
        <w:t>(DEH 2010</w:t>
      </w:r>
      <w:r w:rsidR="00950457" w:rsidRPr="000B2E86">
        <w:rPr>
          <w:bCs/>
          <w:szCs w:val="22"/>
        </w:rPr>
        <w:t xml:space="preserve">; Nicol et al. </w:t>
      </w:r>
      <w:r w:rsidR="00400E37" w:rsidRPr="000B2E86">
        <w:rPr>
          <w:bCs/>
          <w:szCs w:val="22"/>
        </w:rPr>
        <w:t xml:space="preserve">2020, 2021, </w:t>
      </w:r>
      <w:r w:rsidR="00950457" w:rsidRPr="000B2E86">
        <w:rPr>
          <w:bCs/>
          <w:szCs w:val="22"/>
        </w:rPr>
        <w:t>202</w:t>
      </w:r>
      <w:r w:rsidR="00D47236" w:rsidRPr="000B2E86">
        <w:rPr>
          <w:bCs/>
          <w:szCs w:val="22"/>
        </w:rPr>
        <w:t>3</w:t>
      </w:r>
      <w:r w:rsidR="00B2457A" w:rsidRPr="000B2E86">
        <w:rPr>
          <w:bCs/>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6884"/>
      </w:tblGrid>
      <w:tr w:rsidR="00B2457A" w:rsidRPr="000D6801" w14:paraId="0DE6ED60" w14:textId="77777777" w:rsidTr="000B2E86">
        <w:tc>
          <w:tcPr>
            <w:tcW w:w="1201" w:type="pct"/>
            <w:shd w:val="clear" w:color="auto" w:fill="D9D9D9" w:themeFill="background1" w:themeFillShade="D9"/>
          </w:tcPr>
          <w:p w14:paraId="48983ACB" w14:textId="77777777" w:rsidR="00B2457A" w:rsidRPr="00E1072E" w:rsidRDefault="00B2457A" w:rsidP="00CD5901">
            <w:pPr>
              <w:pStyle w:val="tableheadertext"/>
            </w:pPr>
            <w:r w:rsidRPr="00E1072E">
              <w:t>Vegetation Type</w:t>
            </w:r>
          </w:p>
        </w:tc>
        <w:tc>
          <w:tcPr>
            <w:tcW w:w="3799" w:type="pct"/>
            <w:shd w:val="clear" w:color="auto" w:fill="D9D9D9" w:themeFill="background1" w:themeFillShade="D9"/>
          </w:tcPr>
          <w:p w14:paraId="131453FE" w14:textId="77777777" w:rsidR="00B2457A" w:rsidRPr="00E1072E" w:rsidRDefault="00B2457A" w:rsidP="00CD5901">
            <w:pPr>
              <w:pStyle w:val="tableheadertext"/>
            </w:pPr>
            <w:r w:rsidRPr="00E1072E">
              <w:t>Species-complex</w:t>
            </w:r>
          </w:p>
        </w:tc>
      </w:tr>
      <w:tr w:rsidR="00FF1CC6" w:rsidRPr="000D6801" w14:paraId="72C4C872" w14:textId="77777777" w:rsidTr="000B2E86">
        <w:tc>
          <w:tcPr>
            <w:tcW w:w="1201" w:type="pct"/>
            <w:vMerge w:val="restart"/>
            <w:shd w:val="clear" w:color="auto" w:fill="auto"/>
          </w:tcPr>
          <w:p w14:paraId="5A364D27" w14:textId="77777777" w:rsidR="00FF1CC6" w:rsidRDefault="00FF1CC6" w:rsidP="00C24A3F">
            <w:pPr>
              <w:spacing w:after="120"/>
              <w:ind w:left="34"/>
              <w:rPr>
                <w:b/>
                <w:bCs/>
              </w:rPr>
            </w:pPr>
            <w:r w:rsidRPr="00500C46">
              <w:rPr>
                <w:b/>
                <w:bCs/>
              </w:rPr>
              <w:t>Terrestrial</w:t>
            </w:r>
          </w:p>
          <w:p w14:paraId="6F2D34E5" w14:textId="17C1E365" w:rsidR="00172638" w:rsidRPr="00172638" w:rsidRDefault="00172638" w:rsidP="00C24A3F">
            <w:pPr>
              <w:spacing w:after="120"/>
              <w:ind w:left="34"/>
            </w:pPr>
            <w:r w:rsidRPr="00172638">
              <w:t>(no permanent inundation)</w:t>
            </w:r>
          </w:p>
        </w:tc>
        <w:tc>
          <w:tcPr>
            <w:tcW w:w="3799" w:type="pct"/>
            <w:shd w:val="clear" w:color="auto" w:fill="auto"/>
          </w:tcPr>
          <w:p w14:paraId="345317CC" w14:textId="5915B9DF" w:rsidR="00FF1CC6" w:rsidRPr="00F3306A" w:rsidRDefault="00BA322D" w:rsidP="00C24A3F">
            <w:pPr>
              <w:spacing w:after="120"/>
              <w:ind w:left="34"/>
            </w:pPr>
            <w:r w:rsidRPr="00F3306A">
              <w:rPr>
                <w:b/>
              </w:rPr>
              <w:t>Black box</w:t>
            </w:r>
            <w:r w:rsidRPr="00F3306A">
              <w:t xml:space="preserve"> (</w:t>
            </w:r>
            <w:r w:rsidRPr="00F3306A">
              <w:rPr>
                <w:i/>
              </w:rPr>
              <w:t>Eucalyptus largiflorens</w:t>
            </w:r>
            <w:r w:rsidRPr="00F3306A">
              <w:t xml:space="preserve">) woodland with either ephemeral forb/grass, chenopod shrubland (e.g. </w:t>
            </w:r>
            <w:r w:rsidRPr="00F3306A">
              <w:rPr>
                <w:i/>
              </w:rPr>
              <w:t>Atriplex</w:t>
            </w:r>
            <w:r w:rsidRPr="00F3306A">
              <w:t xml:space="preserve">, </w:t>
            </w:r>
            <w:r w:rsidRPr="00F3306A">
              <w:rPr>
                <w:i/>
              </w:rPr>
              <w:t>Sclerolaena</w:t>
            </w:r>
            <w:r w:rsidRPr="00F3306A">
              <w:t xml:space="preserve"> spp.) or pigface (</w:t>
            </w:r>
            <w:r>
              <w:t xml:space="preserve">e.g. </w:t>
            </w:r>
            <w:r w:rsidRPr="00407078">
              <w:rPr>
                <w:rStyle w:val="Strong"/>
                <w:b w:val="0"/>
                <w:bCs w:val="0"/>
                <w:i/>
              </w:rPr>
              <w:t xml:space="preserve">Disphyma crassifolium </w:t>
            </w:r>
            <w:r w:rsidRPr="00F3306A">
              <w:t>typical in the understorey</w:t>
            </w:r>
            <w:r w:rsidR="00DB4CE6">
              <w:t>, and at times lignum (</w:t>
            </w:r>
            <w:r w:rsidR="00DB4CE6" w:rsidRPr="00DB4CE6">
              <w:rPr>
                <w:i/>
                <w:iCs/>
              </w:rPr>
              <w:t>Duma florulenta</w:t>
            </w:r>
            <w:r w:rsidR="00DB4CE6">
              <w:rPr>
                <w:i/>
                <w:iCs/>
              </w:rPr>
              <w:t>)</w:t>
            </w:r>
          </w:p>
        </w:tc>
      </w:tr>
      <w:tr w:rsidR="00FF1CC6" w:rsidRPr="000D6801" w14:paraId="6FB7FA25" w14:textId="77777777" w:rsidTr="000B2E86">
        <w:trPr>
          <w:trHeight w:val="1212"/>
        </w:trPr>
        <w:tc>
          <w:tcPr>
            <w:tcW w:w="1201" w:type="pct"/>
            <w:vMerge/>
            <w:shd w:val="clear" w:color="auto" w:fill="auto"/>
          </w:tcPr>
          <w:p w14:paraId="024AA75E" w14:textId="77777777" w:rsidR="00FF1CC6" w:rsidRPr="00F3306A" w:rsidRDefault="00FF1CC6" w:rsidP="00C24A3F">
            <w:pPr>
              <w:spacing w:after="120"/>
              <w:ind w:left="34"/>
            </w:pPr>
          </w:p>
        </w:tc>
        <w:tc>
          <w:tcPr>
            <w:tcW w:w="3799" w:type="pct"/>
            <w:shd w:val="clear" w:color="auto" w:fill="auto"/>
          </w:tcPr>
          <w:p w14:paraId="05036EA2" w14:textId="17CA3B7D" w:rsidR="00FF1CC6" w:rsidRPr="00F3306A" w:rsidRDefault="00BA322D" w:rsidP="00BA322D">
            <w:r w:rsidRPr="00F3306A">
              <w:rPr>
                <w:b/>
              </w:rPr>
              <w:t>River red gum</w:t>
            </w:r>
            <w:r w:rsidRPr="00F3306A">
              <w:t xml:space="preserve"> (</w:t>
            </w:r>
            <w:r w:rsidRPr="00F3306A">
              <w:rPr>
                <w:i/>
              </w:rPr>
              <w:t>Eucalyptus camaldulensis</w:t>
            </w:r>
            <w:r w:rsidRPr="00F3306A">
              <w:t xml:space="preserve">) forest and/or woodland with a low open understorey of either shrubs (e.g. </w:t>
            </w:r>
            <w:r w:rsidR="003B58EC" w:rsidRPr="00DB4CE6">
              <w:rPr>
                <w:i/>
                <w:iCs/>
              </w:rPr>
              <w:t xml:space="preserve">Duma </w:t>
            </w:r>
            <w:r w:rsidR="00DB4CE6" w:rsidRPr="00DB4CE6">
              <w:rPr>
                <w:i/>
                <w:iCs/>
              </w:rPr>
              <w:t>florulenta</w:t>
            </w:r>
            <w:r w:rsidR="00DB4CE6">
              <w:t xml:space="preserve">, </w:t>
            </w:r>
            <w:r w:rsidRPr="00F3306A">
              <w:rPr>
                <w:i/>
              </w:rPr>
              <w:t>Enchylaena tomentosa</w:t>
            </w:r>
            <w:r w:rsidRPr="00F3306A">
              <w:t xml:space="preserve">, </w:t>
            </w:r>
            <w:r w:rsidRPr="00F3306A">
              <w:rPr>
                <w:i/>
              </w:rPr>
              <w:t>Chenopodium nitrariaceum</w:t>
            </w:r>
            <w:r w:rsidRPr="00F3306A">
              <w:t xml:space="preserve">, </w:t>
            </w:r>
            <w:r w:rsidRPr="00F3306A">
              <w:rPr>
                <w:i/>
              </w:rPr>
              <w:t xml:space="preserve">Eremophila </w:t>
            </w:r>
            <w:r w:rsidRPr="00A40947">
              <w:rPr>
                <w:i/>
              </w:rPr>
              <w:t>divaricata</w:t>
            </w:r>
            <w:r w:rsidRPr="00F3306A">
              <w:t>), forbs, sedge and grass, or floating freshwater herbland species</w:t>
            </w:r>
          </w:p>
        </w:tc>
      </w:tr>
      <w:tr w:rsidR="00FF1CC6" w:rsidRPr="000D6801" w14:paraId="1E7C72CB" w14:textId="77777777" w:rsidTr="000B2E86">
        <w:tc>
          <w:tcPr>
            <w:tcW w:w="1201" w:type="pct"/>
            <w:vMerge/>
            <w:shd w:val="clear" w:color="auto" w:fill="auto"/>
          </w:tcPr>
          <w:p w14:paraId="00043E3E" w14:textId="77777777" w:rsidR="00FF1CC6" w:rsidRPr="00F3306A" w:rsidRDefault="00FF1CC6" w:rsidP="00C24A3F">
            <w:pPr>
              <w:spacing w:after="120"/>
              <w:ind w:left="34"/>
            </w:pPr>
          </w:p>
        </w:tc>
        <w:tc>
          <w:tcPr>
            <w:tcW w:w="3799" w:type="pct"/>
            <w:shd w:val="clear" w:color="auto" w:fill="auto"/>
          </w:tcPr>
          <w:p w14:paraId="3DD48EF0" w14:textId="25C75038" w:rsidR="00FF1CC6" w:rsidRPr="00F3306A" w:rsidRDefault="00FF1CC6" w:rsidP="00C24A3F">
            <w:pPr>
              <w:spacing w:after="120"/>
              <w:ind w:left="34"/>
            </w:pPr>
            <w:r w:rsidRPr="00F3306A">
              <w:rPr>
                <w:b/>
              </w:rPr>
              <w:t>Lignum</w:t>
            </w:r>
            <w:r w:rsidRPr="00F3306A">
              <w:t xml:space="preserve"> (</w:t>
            </w:r>
            <w:r w:rsidRPr="00AF63B6">
              <w:rPr>
                <w:i/>
                <w:iCs/>
              </w:rPr>
              <w:t>Duma</w:t>
            </w:r>
            <w:r w:rsidRPr="00F3306A">
              <w:rPr>
                <w:i/>
              </w:rPr>
              <w:t xml:space="preserve"> florulenta</w:t>
            </w:r>
            <w:r w:rsidRPr="00F3306A">
              <w:t>) shrubland with possibly sparse river red gum, black box and river cooba (</w:t>
            </w:r>
            <w:r w:rsidRPr="00F3306A">
              <w:rPr>
                <w:i/>
              </w:rPr>
              <w:t>Acacia stenophylla</w:t>
            </w:r>
            <w:r w:rsidRPr="00F3306A">
              <w:t>), and/or an understorey of herbland</w:t>
            </w:r>
            <w:r w:rsidR="007E48D4">
              <w:t xml:space="preserve">, </w:t>
            </w:r>
            <w:r w:rsidRPr="00F3306A">
              <w:t xml:space="preserve">grassland </w:t>
            </w:r>
            <w:r w:rsidR="007E48D4">
              <w:t xml:space="preserve">or chenopod </w:t>
            </w:r>
            <w:r w:rsidRPr="00F3306A">
              <w:t>species</w:t>
            </w:r>
          </w:p>
        </w:tc>
      </w:tr>
      <w:tr w:rsidR="00FF1CC6" w:rsidRPr="000D6801" w14:paraId="148D6C59" w14:textId="77777777" w:rsidTr="000B2E86">
        <w:tc>
          <w:tcPr>
            <w:tcW w:w="1201" w:type="pct"/>
            <w:vMerge/>
            <w:shd w:val="clear" w:color="auto" w:fill="auto"/>
          </w:tcPr>
          <w:p w14:paraId="274CA2C6" w14:textId="77777777" w:rsidR="00FF1CC6" w:rsidRPr="00F3306A" w:rsidRDefault="00FF1CC6" w:rsidP="00C24A3F">
            <w:pPr>
              <w:spacing w:after="120"/>
              <w:ind w:left="34"/>
            </w:pPr>
          </w:p>
        </w:tc>
        <w:tc>
          <w:tcPr>
            <w:tcW w:w="3799" w:type="pct"/>
            <w:shd w:val="clear" w:color="auto" w:fill="auto"/>
          </w:tcPr>
          <w:p w14:paraId="420D5547" w14:textId="75916ECE" w:rsidR="00FF1CC6" w:rsidRPr="00F3306A" w:rsidRDefault="00231997" w:rsidP="00C24A3F">
            <w:pPr>
              <w:spacing w:after="120"/>
              <w:ind w:left="34"/>
            </w:pPr>
            <w:r>
              <w:rPr>
                <w:b/>
              </w:rPr>
              <w:t xml:space="preserve">Chenopod shrubland </w:t>
            </w:r>
            <w:r w:rsidR="0094164C">
              <w:rPr>
                <w:b/>
              </w:rPr>
              <w:t xml:space="preserve">(medium to low height) </w:t>
            </w:r>
            <w:r w:rsidR="00FF1CC6" w:rsidRPr="00F3306A">
              <w:rPr>
                <w:i/>
              </w:rPr>
              <w:t>Atriplex rhagodioides</w:t>
            </w:r>
            <w:r>
              <w:rPr>
                <w:i/>
              </w:rPr>
              <w:t xml:space="preserve"> </w:t>
            </w:r>
            <w:r w:rsidRPr="00231997">
              <w:rPr>
                <w:iCs/>
              </w:rPr>
              <w:t>(river saltbush)</w:t>
            </w:r>
            <w:r w:rsidR="005929F6">
              <w:rPr>
                <w:iCs/>
              </w:rPr>
              <w:t>,</w:t>
            </w:r>
            <w:r w:rsidR="00D23F12">
              <w:rPr>
                <w:i/>
              </w:rPr>
              <w:t xml:space="preserve"> Atriplex </w:t>
            </w:r>
            <w:r w:rsidR="00D23F12" w:rsidRPr="00D23F12">
              <w:rPr>
                <w:iCs/>
              </w:rPr>
              <w:t>spp.</w:t>
            </w:r>
            <w:r>
              <w:rPr>
                <w:iCs/>
              </w:rPr>
              <w:t>,</w:t>
            </w:r>
            <w:r w:rsidR="00FF1CC6" w:rsidRPr="00F3306A">
              <w:t xml:space="preserve"> </w:t>
            </w:r>
            <w:r w:rsidR="0094164C">
              <w:t xml:space="preserve">(saltbush), </w:t>
            </w:r>
            <w:r w:rsidRPr="0094383C">
              <w:rPr>
                <w:i/>
                <w:iCs/>
              </w:rPr>
              <w:t>Sclerolaena</w:t>
            </w:r>
            <w:r w:rsidR="0052215B" w:rsidRPr="0094383C">
              <w:rPr>
                <w:i/>
                <w:iCs/>
              </w:rPr>
              <w:t xml:space="preserve"> brachyptera</w:t>
            </w:r>
            <w:r w:rsidR="0052215B">
              <w:t xml:space="preserve"> (short-wing saltbush), </w:t>
            </w:r>
            <w:r w:rsidR="0052215B" w:rsidRPr="007034FE">
              <w:rPr>
                <w:i/>
                <w:iCs/>
              </w:rPr>
              <w:t>S. divari</w:t>
            </w:r>
            <w:r w:rsidR="0094383C" w:rsidRPr="007034FE">
              <w:rPr>
                <w:i/>
                <w:iCs/>
              </w:rPr>
              <w:t>cata</w:t>
            </w:r>
            <w:r w:rsidR="0094383C">
              <w:t xml:space="preserve"> (</w:t>
            </w:r>
            <w:r w:rsidR="007034FE">
              <w:t xml:space="preserve">tangled copperburr), </w:t>
            </w:r>
            <w:r w:rsidR="006E2D0D" w:rsidRPr="006E2D0D">
              <w:rPr>
                <w:i/>
                <w:iCs/>
              </w:rPr>
              <w:t xml:space="preserve">S. stelligera </w:t>
            </w:r>
            <w:r w:rsidR="006E2D0D">
              <w:t>(star copperburr)</w:t>
            </w:r>
            <w:r w:rsidR="00AA51AD">
              <w:t xml:space="preserve">, </w:t>
            </w:r>
            <w:r w:rsidR="00AA51AD" w:rsidRPr="00A40947">
              <w:rPr>
                <w:i/>
              </w:rPr>
              <w:t>Tecticornia triandra</w:t>
            </w:r>
            <w:r w:rsidR="0031791B">
              <w:rPr>
                <w:i/>
              </w:rPr>
              <w:t xml:space="preserve"> </w:t>
            </w:r>
            <w:r w:rsidR="0031791B" w:rsidRPr="0031791B">
              <w:rPr>
                <w:iCs/>
              </w:rPr>
              <w:t>(</w:t>
            </w:r>
            <w:r w:rsidR="0031791B" w:rsidRPr="00F3306A">
              <w:t>desert glasswort</w:t>
            </w:r>
            <w:r w:rsidR="0031791B">
              <w:t xml:space="preserve">), </w:t>
            </w:r>
            <w:r w:rsidR="00A32D69" w:rsidRPr="00684CE3">
              <w:rPr>
                <w:i/>
                <w:iCs/>
              </w:rPr>
              <w:t xml:space="preserve">T. </w:t>
            </w:r>
            <w:r w:rsidR="00684CE3" w:rsidRPr="00684CE3">
              <w:rPr>
                <w:i/>
                <w:iCs/>
              </w:rPr>
              <w:t>pergranulata</w:t>
            </w:r>
            <w:r w:rsidR="00684CE3">
              <w:t xml:space="preserve"> (black-seeded samphire), </w:t>
            </w:r>
            <w:r w:rsidR="0031791B" w:rsidRPr="00F3306A">
              <w:rPr>
                <w:i/>
              </w:rPr>
              <w:t>Halosarcia</w:t>
            </w:r>
            <w:r w:rsidR="0031791B" w:rsidRPr="00F3306A">
              <w:t xml:space="preserve"> spp.</w:t>
            </w:r>
            <w:r w:rsidR="0031791B">
              <w:t xml:space="preserve"> (samphires)</w:t>
            </w:r>
          </w:p>
        </w:tc>
      </w:tr>
      <w:tr w:rsidR="00FF1CC6" w:rsidRPr="000D6801" w14:paraId="36CAAC39" w14:textId="77777777" w:rsidTr="000B2E86">
        <w:tc>
          <w:tcPr>
            <w:tcW w:w="1201" w:type="pct"/>
            <w:vMerge/>
            <w:shd w:val="clear" w:color="auto" w:fill="auto"/>
          </w:tcPr>
          <w:p w14:paraId="5B0BB38E" w14:textId="77777777" w:rsidR="00FF1CC6" w:rsidRPr="00F3306A" w:rsidRDefault="00FF1CC6" w:rsidP="00C24A3F">
            <w:pPr>
              <w:spacing w:after="120"/>
              <w:ind w:left="34"/>
            </w:pPr>
          </w:p>
        </w:tc>
        <w:tc>
          <w:tcPr>
            <w:tcW w:w="3799" w:type="pct"/>
            <w:shd w:val="clear" w:color="auto" w:fill="auto"/>
          </w:tcPr>
          <w:p w14:paraId="6AF43CBA" w14:textId="641183ED" w:rsidR="00FF1CC6" w:rsidRPr="00F3306A" w:rsidRDefault="008C3F26" w:rsidP="00C24A3F">
            <w:pPr>
              <w:spacing w:after="120"/>
              <w:ind w:left="34"/>
            </w:pPr>
            <w:r w:rsidRPr="00F3306A">
              <w:rPr>
                <w:b/>
              </w:rPr>
              <w:t>Herb</w:t>
            </w:r>
            <w:r>
              <w:rPr>
                <w:b/>
              </w:rPr>
              <w:t>land</w:t>
            </w:r>
            <w:r w:rsidRPr="00F3306A">
              <w:rPr>
                <w:b/>
              </w:rPr>
              <w:t xml:space="preserve"> </w:t>
            </w:r>
            <w:r w:rsidRPr="00F3306A">
              <w:rPr>
                <w:i/>
              </w:rPr>
              <w:t>Calocephalus sonderi</w:t>
            </w:r>
            <w:r w:rsidRPr="00F3306A">
              <w:t xml:space="preserve"> </w:t>
            </w:r>
            <w:r>
              <w:t>(</w:t>
            </w:r>
            <w:r w:rsidRPr="00F3306A">
              <w:t>pale beauty-heads</w:t>
            </w:r>
            <w:r>
              <w:t xml:space="preserve">), </w:t>
            </w:r>
            <w:r w:rsidRPr="00F50E6A">
              <w:rPr>
                <w:i/>
                <w:iCs/>
              </w:rPr>
              <w:t>Disphyma crassifolium</w:t>
            </w:r>
            <w:r>
              <w:t xml:space="preserve"> (round-leaf pigface),</w:t>
            </w:r>
            <w:r w:rsidRPr="00F3306A">
              <w:t xml:space="preserve"> </w:t>
            </w:r>
            <w:r w:rsidRPr="00F3306A">
              <w:rPr>
                <w:i/>
              </w:rPr>
              <w:t>Lepidium</w:t>
            </w:r>
            <w:r w:rsidRPr="00F3306A">
              <w:t xml:space="preserve"> spp.</w:t>
            </w:r>
            <w:r>
              <w:t xml:space="preserve"> (</w:t>
            </w:r>
            <w:r w:rsidRPr="00F3306A">
              <w:t>peppercress</w:t>
            </w:r>
            <w:r>
              <w:t>)</w:t>
            </w:r>
          </w:p>
        </w:tc>
      </w:tr>
      <w:tr w:rsidR="00FF1CC6" w:rsidRPr="000D6801" w14:paraId="1C979194" w14:textId="77777777" w:rsidTr="000B2E86">
        <w:tc>
          <w:tcPr>
            <w:tcW w:w="1201" w:type="pct"/>
            <w:vMerge/>
            <w:shd w:val="clear" w:color="auto" w:fill="auto"/>
          </w:tcPr>
          <w:p w14:paraId="183DDBE7" w14:textId="77777777" w:rsidR="00FF1CC6" w:rsidRPr="00F3306A" w:rsidRDefault="00FF1CC6" w:rsidP="00C24A3F">
            <w:pPr>
              <w:spacing w:after="120"/>
              <w:ind w:left="34"/>
            </w:pPr>
          </w:p>
        </w:tc>
        <w:tc>
          <w:tcPr>
            <w:tcW w:w="3799" w:type="pct"/>
            <w:shd w:val="clear" w:color="auto" w:fill="auto"/>
          </w:tcPr>
          <w:p w14:paraId="1829F48D" w14:textId="389FC33B" w:rsidR="00FF1CC6" w:rsidRPr="00F3306A" w:rsidRDefault="008C3F26" w:rsidP="00C24A3F">
            <w:pPr>
              <w:spacing w:after="120"/>
              <w:ind w:left="34"/>
            </w:pPr>
            <w:r>
              <w:rPr>
                <w:b/>
              </w:rPr>
              <w:t>G</w:t>
            </w:r>
            <w:r w:rsidR="00FF1CC6" w:rsidRPr="00F3306A">
              <w:rPr>
                <w:b/>
              </w:rPr>
              <w:t xml:space="preserve">rassland </w:t>
            </w:r>
            <w:r w:rsidR="00FF1CC6" w:rsidRPr="00F3306A">
              <w:rPr>
                <w:i/>
              </w:rPr>
              <w:t>Vulpia</w:t>
            </w:r>
            <w:r w:rsidR="00FF1CC6" w:rsidRPr="00F3306A">
              <w:t xml:space="preserve"> spp.</w:t>
            </w:r>
            <w:r>
              <w:t xml:space="preserve"> (fescue), </w:t>
            </w:r>
            <w:r w:rsidR="00FF1CC6" w:rsidRPr="00F3306A">
              <w:rPr>
                <w:i/>
              </w:rPr>
              <w:t>Sporobolus mitchellii</w:t>
            </w:r>
            <w:r>
              <w:rPr>
                <w:i/>
              </w:rPr>
              <w:t xml:space="preserve"> </w:t>
            </w:r>
            <w:r w:rsidRPr="008C3F26">
              <w:rPr>
                <w:iCs/>
              </w:rPr>
              <w:t>(river</w:t>
            </w:r>
            <w:r>
              <w:rPr>
                <w:i/>
              </w:rPr>
              <w:t xml:space="preserve"> </w:t>
            </w:r>
            <w:r w:rsidRPr="008C3F26">
              <w:rPr>
                <w:iCs/>
              </w:rPr>
              <w:t>couch)</w:t>
            </w:r>
          </w:p>
        </w:tc>
      </w:tr>
      <w:tr w:rsidR="00FF1CC6" w:rsidRPr="000D6801" w14:paraId="1BFF588E" w14:textId="77777777" w:rsidTr="000B2E86">
        <w:tc>
          <w:tcPr>
            <w:tcW w:w="1201" w:type="pct"/>
            <w:vMerge/>
            <w:shd w:val="clear" w:color="auto" w:fill="auto"/>
          </w:tcPr>
          <w:p w14:paraId="2E71ACCB" w14:textId="77777777" w:rsidR="00FF1CC6" w:rsidRPr="00F3306A" w:rsidRDefault="00FF1CC6" w:rsidP="00C24A3F">
            <w:pPr>
              <w:spacing w:after="120"/>
              <w:ind w:left="34"/>
            </w:pPr>
          </w:p>
        </w:tc>
        <w:tc>
          <w:tcPr>
            <w:tcW w:w="3799" w:type="pct"/>
            <w:shd w:val="clear" w:color="auto" w:fill="auto"/>
          </w:tcPr>
          <w:p w14:paraId="59FEB8AB" w14:textId="0381DED5" w:rsidR="00FF1CC6" w:rsidRPr="00F3306A" w:rsidRDefault="00904C11" w:rsidP="00C24A3F">
            <w:pPr>
              <w:spacing w:after="120"/>
              <w:ind w:left="34"/>
              <w:rPr>
                <w:b/>
              </w:rPr>
            </w:pPr>
            <w:r>
              <w:rPr>
                <w:b/>
              </w:rPr>
              <w:t xml:space="preserve">Bare </w:t>
            </w:r>
            <w:r w:rsidR="00494526">
              <w:rPr>
                <w:b/>
              </w:rPr>
              <w:t>soil</w:t>
            </w:r>
            <w:r>
              <w:rPr>
                <w:b/>
              </w:rPr>
              <w:t xml:space="preserve"> </w:t>
            </w:r>
            <w:r w:rsidRPr="00904C11">
              <w:rPr>
                <w:bCs/>
              </w:rPr>
              <w:t>– devoid of vegetation</w:t>
            </w:r>
            <w:r>
              <w:rPr>
                <w:bCs/>
              </w:rPr>
              <w:t xml:space="preserve"> </w:t>
            </w:r>
            <w:r w:rsidR="000E6EF0">
              <w:rPr>
                <w:bCs/>
              </w:rPr>
              <w:t>(1</w:t>
            </w:r>
            <w:r w:rsidR="00494526">
              <w:rPr>
                <w:bCs/>
              </w:rPr>
              <w:t>6</w:t>
            </w:r>
            <w:r w:rsidR="000E6EF0">
              <w:rPr>
                <w:bCs/>
              </w:rPr>
              <w:t>% of sites in 2021)</w:t>
            </w:r>
          </w:p>
        </w:tc>
      </w:tr>
      <w:tr w:rsidR="00B2457A" w:rsidRPr="000D6801" w14:paraId="3A080C36" w14:textId="77777777" w:rsidTr="000B2E86">
        <w:tc>
          <w:tcPr>
            <w:tcW w:w="1201" w:type="pct"/>
            <w:shd w:val="clear" w:color="auto" w:fill="auto"/>
          </w:tcPr>
          <w:p w14:paraId="7DB891C2" w14:textId="77777777" w:rsidR="00B2457A" w:rsidRPr="00500C46" w:rsidRDefault="00B2457A" w:rsidP="00C24A3F">
            <w:pPr>
              <w:spacing w:after="0"/>
              <w:ind w:left="34"/>
              <w:rPr>
                <w:b/>
                <w:bCs/>
              </w:rPr>
            </w:pPr>
            <w:r w:rsidRPr="00500C46">
              <w:rPr>
                <w:b/>
                <w:bCs/>
              </w:rPr>
              <w:t>Edge/emergent</w:t>
            </w:r>
          </w:p>
          <w:p w14:paraId="2CBCCC1E" w14:textId="0DF68CF6" w:rsidR="00B2457A" w:rsidRPr="00F3306A" w:rsidRDefault="00B2457A" w:rsidP="00C24A3F">
            <w:pPr>
              <w:spacing w:after="0"/>
              <w:ind w:left="34"/>
              <w:rPr>
                <w:b/>
              </w:rPr>
            </w:pPr>
            <w:r w:rsidRPr="00F3306A">
              <w:t>(</w:t>
            </w:r>
            <w:r w:rsidR="0027761B">
              <w:t xml:space="preserve">intermittently to </w:t>
            </w:r>
            <w:r w:rsidRPr="00F3306A">
              <w:t>permanently inundated wetlands</w:t>
            </w:r>
            <w:r>
              <w:t xml:space="preserve">, </w:t>
            </w:r>
            <w:r w:rsidRPr="00F3306A">
              <w:t>creeks and billabongs)</w:t>
            </w:r>
          </w:p>
        </w:tc>
        <w:tc>
          <w:tcPr>
            <w:tcW w:w="3799" w:type="pct"/>
            <w:shd w:val="clear" w:color="auto" w:fill="auto"/>
          </w:tcPr>
          <w:p w14:paraId="61EF727D" w14:textId="2A0652CA" w:rsidR="00B2457A" w:rsidRPr="00F3306A" w:rsidRDefault="00B2457A" w:rsidP="00C24A3F">
            <w:pPr>
              <w:spacing w:after="120"/>
              <w:ind w:left="34"/>
            </w:pPr>
            <w:r w:rsidRPr="00F3306A">
              <w:rPr>
                <w:b/>
              </w:rPr>
              <w:t>Fringing vegetation</w:t>
            </w:r>
            <w:r w:rsidR="00763ACE">
              <w:rPr>
                <w:b/>
              </w:rPr>
              <w:t xml:space="preserve"> </w:t>
            </w:r>
            <w:r w:rsidR="00763ACE" w:rsidRPr="00904C11">
              <w:rPr>
                <w:bCs/>
              </w:rPr>
              <w:t>–</w:t>
            </w:r>
            <w:r w:rsidR="00763ACE">
              <w:rPr>
                <w:b/>
              </w:rPr>
              <w:t xml:space="preserve"> </w:t>
            </w:r>
            <w:r w:rsidR="0027761B">
              <w:t xml:space="preserve">particularly </w:t>
            </w:r>
            <w:r w:rsidRPr="00F3306A">
              <w:t xml:space="preserve">common reed </w:t>
            </w:r>
            <w:r w:rsidRPr="007634DE">
              <w:rPr>
                <w:i/>
              </w:rPr>
              <w:t>(Phragmites australis</w:t>
            </w:r>
            <w:r w:rsidRPr="00F3306A">
              <w:t>), spiny sedge (</w:t>
            </w:r>
            <w:r w:rsidRPr="007634DE">
              <w:rPr>
                <w:i/>
              </w:rPr>
              <w:t>Cyperus gymnocaulos</w:t>
            </w:r>
            <w:r w:rsidRPr="00F3306A">
              <w:t>), cumbungi (</w:t>
            </w:r>
            <w:r w:rsidRPr="007634DE">
              <w:rPr>
                <w:i/>
              </w:rPr>
              <w:t>Typha domingensis</w:t>
            </w:r>
            <w:r w:rsidRPr="00F3306A">
              <w:t xml:space="preserve">) and </w:t>
            </w:r>
            <w:r w:rsidR="00F22210">
              <w:t>bulrush (</w:t>
            </w:r>
            <w:r w:rsidRPr="007634DE">
              <w:rPr>
                <w:i/>
              </w:rPr>
              <w:t>Typha orientalis</w:t>
            </w:r>
            <w:r w:rsidR="00F22210">
              <w:rPr>
                <w:i/>
              </w:rPr>
              <w:t>)</w:t>
            </w:r>
            <w:r w:rsidRPr="00F3306A">
              <w:t xml:space="preserve">. </w:t>
            </w:r>
          </w:p>
        </w:tc>
      </w:tr>
      <w:tr w:rsidR="00B2457A" w:rsidRPr="000D6801" w14:paraId="3B3FFCC9" w14:textId="77777777" w:rsidTr="000B2E86">
        <w:tc>
          <w:tcPr>
            <w:tcW w:w="1201" w:type="pct"/>
            <w:shd w:val="clear" w:color="auto" w:fill="auto"/>
          </w:tcPr>
          <w:p w14:paraId="61C9558C" w14:textId="77777777" w:rsidR="00B2457A" w:rsidRPr="00500C46" w:rsidRDefault="00B2457A" w:rsidP="00C24A3F">
            <w:pPr>
              <w:spacing w:after="0"/>
              <w:ind w:left="34"/>
              <w:rPr>
                <w:b/>
                <w:bCs/>
              </w:rPr>
            </w:pPr>
            <w:r w:rsidRPr="00500C46">
              <w:rPr>
                <w:b/>
                <w:bCs/>
              </w:rPr>
              <w:t>Submerged</w:t>
            </w:r>
          </w:p>
          <w:p w14:paraId="03E3C536" w14:textId="18003F3E" w:rsidR="00B2457A" w:rsidRPr="00F3306A" w:rsidRDefault="00B2457A" w:rsidP="00C24A3F">
            <w:pPr>
              <w:spacing w:after="0"/>
              <w:ind w:left="34"/>
              <w:rPr>
                <w:b/>
              </w:rPr>
            </w:pPr>
            <w:r w:rsidRPr="00F3306A">
              <w:t>(pe</w:t>
            </w:r>
            <w:r w:rsidR="00C75001">
              <w:t>rennially to permanently</w:t>
            </w:r>
            <w:r w:rsidRPr="00F3306A">
              <w:t xml:space="preserve"> inundated wetlands)</w:t>
            </w:r>
          </w:p>
        </w:tc>
        <w:tc>
          <w:tcPr>
            <w:tcW w:w="3799" w:type="pct"/>
            <w:shd w:val="clear" w:color="auto" w:fill="auto"/>
          </w:tcPr>
          <w:p w14:paraId="54116AEE" w14:textId="4E898759" w:rsidR="00B2457A" w:rsidRPr="00F3306A" w:rsidRDefault="00C75001" w:rsidP="00C24A3F">
            <w:pPr>
              <w:spacing w:after="120"/>
              <w:ind w:left="34"/>
            </w:pPr>
            <w:r w:rsidRPr="00C75001">
              <w:rPr>
                <w:b/>
                <w:bCs/>
              </w:rPr>
              <w:t>Fully aquatic species</w:t>
            </w:r>
            <w:r>
              <w:t xml:space="preserve"> </w:t>
            </w:r>
            <w:r w:rsidRPr="00904C11">
              <w:rPr>
                <w:bCs/>
              </w:rPr>
              <w:t xml:space="preserve">– </w:t>
            </w:r>
            <w:r w:rsidR="00763ACE">
              <w:t>r</w:t>
            </w:r>
            <w:r w:rsidR="00B2457A" w:rsidRPr="00F3306A">
              <w:t>ed milfoil (</w:t>
            </w:r>
            <w:r w:rsidR="00B2457A" w:rsidRPr="007634DE">
              <w:rPr>
                <w:i/>
              </w:rPr>
              <w:t>Myri</w:t>
            </w:r>
            <w:r w:rsidR="00B2457A">
              <w:rPr>
                <w:i/>
              </w:rPr>
              <w:t>o</w:t>
            </w:r>
            <w:r w:rsidR="00B2457A" w:rsidRPr="007634DE">
              <w:rPr>
                <w:i/>
              </w:rPr>
              <w:t>phyllum verrucosum</w:t>
            </w:r>
            <w:r w:rsidR="00B2457A" w:rsidRPr="00F3306A">
              <w:t>), ribbonweed (</w:t>
            </w:r>
            <w:r w:rsidR="00B2457A" w:rsidRPr="007634DE">
              <w:rPr>
                <w:i/>
              </w:rPr>
              <w:t xml:space="preserve">Vallisneria </w:t>
            </w:r>
            <w:r w:rsidR="00B2457A">
              <w:rPr>
                <w:i/>
              </w:rPr>
              <w:t>australis</w:t>
            </w:r>
            <w:r w:rsidR="00B2457A" w:rsidRPr="00F3306A">
              <w:t>)</w:t>
            </w:r>
            <w:r w:rsidR="00B2457A">
              <w:t>.</w:t>
            </w:r>
          </w:p>
        </w:tc>
      </w:tr>
    </w:tbl>
    <w:p w14:paraId="78357EF5" w14:textId="77777777" w:rsidR="00BE758E" w:rsidRDefault="00BE758E" w:rsidP="00E5223E"/>
    <w:p w14:paraId="751A2256" w14:textId="66D5E493" w:rsidR="00194FB1" w:rsidRDefault="00194FB1" w:rsidP="00E5223E">
      <w:r>
        <w:t>Although broader than the RMDS EC, an extensive list of vascular plant species surveyed from 1990-2003 in the Murraylands and Riverland regions, is provided by Jennings et al. (2009), with a more recent list in Nicol et al. (2022) for the Chowilla Floodplain.</w:t>
      </w:r>
    </w:p>
    <w:p w14:paraId="3E50DC0A" w14:textId="77777777" w:rsidR="00547C86" w:rsidRPr="00241EBE" w:rsidRDefault="00547C86" w:rsidP="00AD4454">
      <w:pPr>
        <w:pStyle w:val="Heading6"/>
      </w:pPr>
      <w:bookmarkStart w:id="35" w:name="_Toc232747007"/>
      <w:r w:rsidRPr="00241EBE">
        <w:t>Wetland vegetation</w:t>
      </w:r>
      <w:bookmarkEnd w:id="35"/>
    </w:p>
    <w:p w14:paraId="3F164D0A" w14:textId="77777777" w:rsidR="00547C86" w:rsidRDefault="00547C86" w:rsidP="00F62975">
      <w:pPr>
        <w:tabs>
          <w:tab w:val="left" w:pos="0"/>
        </w:tabs>
      </w:pPr>
      <w:r>
        <w:t>W</w:t>
      </w:r>
      <w:r w:rsidRPr="009B58D8">
        <w:t>etlands fringing the river historically contained dense</w:t>
      </w:r>
      <w:r w:rsidRPr="00100D63">
        <w:t xml:space="preserve"> expansive </w:t>
      </w:r>
      <w:r w:rsidRPr="009B58D8">
        <w:t>and permanent</w:t>
      </w:r>
      <w:r w:rsidRPr="00100D63">
        <w:t xml:space="preserve"> stands </w:t>
      </w:r>
      <w:r w:rsidRPr="009B58D8">
        <w:t>of macrophytes</w:t>
      </w:r>
      <w:r>
        <w:t xml:space="preserve">.  Ephemeral wetlands and swamps associated with the ecological community are frequently characterised by native perennial shrubs such as lignum, and chenopods such as </w:t>
      </w:r>
      <w:r w:rsidRPr="00EB1E48">
        <w:rPr>
          <w:i/>
        </w:rPr>
        <w:lastRenderedPageBreak/>
        <w:t>Atriplex nummularia</w:t>
      </w:r>
      <w:r>
        <w:t xml:space="preserve"> (old-man saltbush) and </w:t>
      </w:r>
      <w:r w:rsidRPr="00EB1E48">
        <w:rPr>
          <w:i/>
        </w:rPr>
        <w:t>Enchylaena tomentosa</w:t>
      </w:r>
      <w:r>
        <w:t xml:space="preserve"> </w:t>
      </w:r>
      <w:r w:rsidRPr="004E5D98">
        <w:rPr>
          <w:i/>
          <w:iCs/>
        </w:rPr>
        <w:t>var tomentosa</w:t>
      </w:r>
      <w:r>
        <w:t xml:space="preserve"> (ruby saltbush) (Sainty and Jacobs 1990; Gehrig &amp; Nicol 2010: and see </w:t>
      </w:r>
      <w:r w:rsidRPr="00E47346">
        <w:rPr>
          <w:u w:val="single"/>
        </w:rPr>
        <w:t>Appendix B, Table B1</w:t>
      </w:r>
      <w:r>
        <w:t>).</w:t>
      </w:r>
    </w:p>
    <w:p w14:paraId="73C88771" w14:textId="4685B3B8" w:rsidR="00C928BA" w:rsidRDefault="00547C86" w:rsidP="00271839">
      <w:pPr>
        <w:keepLines/>
      </w:pPr>
      <w:r>
        <w:t xml:space="preserve">Where water levels fall sufficiently to allow light penetration, aquatic/semi-aquatic plants such as species of </w:t>
      </w:r>
      <w:r w:rsidRPr="00E22BD6">
        <w:rPr>
          <w:i/>
        </w:rPr>
        <w:t>Marsilea</w:t>
      </w:r>
      <w:r w:rsidRPr="00E22BD6">
        <w:t xml:space="preserve"> (nardoo), </w:t>
      </w:r>
      <w:r w:rsidRPr="00E22BD6">
        <w:rPr>
          <w:i/>
        </w:rPr>
        <w:t xml:space="preserve">Pilularia </w:t>
      </w:r>
      <w:r w:rsidRPr="00E22BD6">
        <w:t xml:space="preserve">(pillwort), </w:t>
      </w:r>
      <w:r w:rsidRPr="00E22BD6">
        <w:rPr>
          <w:i/>
        </w:rPr>
        <w:t>Glossostigma</w:t>
      </w:r>
      <w:r w:rsidRPr="00E22BD6">
        <w:t xml:space="preserve"> (glosso), </w:t>
      </w:r>
      <w:r>
        <w:t xml:space="preserve">as well as </w:t>
      </w:r>
      <w:r>
        <w:rPr>
          <w:i/>
        </w:rPr>
        <w:t>Ele</w:t>
      </w:r>
      <w:r w:rsidRPr="00E22BD6">
        <w:rPr>
          <w:i/>
        </w:rPr>
        <w:t>ocharis</w:t>
      </w:r>
      <w:r>
        <w:rPr>
          <w:i/>
        </w:rPr>
        <w:t xml:space="preserve"> </w:t>
      </w:r>
      <w:r w:rsidRPr="00F02999">
        <w:rPr>
          <w:i/>
        </w:rPr>
        <w:t>acuta</w:t>
      </w:r>
      <w:r>
        <w:t xml:space="preserve"> </w:t>
      </w:r>
      <w:r w:rsidR="00C928BA">
        <w:t>(</w:t>
      </w:r>
      <w:r w:rsidR="00C928BA" w:rsidRPr="00E22BD6">
        <w:t xml:space="preserve">common spike rush), </w:t>
      </w:r>
      <w:r w:rsidR="00C928BA" w:rsidRPr="00E22BD6">
        <w:rPr>
          <w:i/>
        </w:rPr>
        <w:t>Leptochlo</w:t>
      </w:r>
      <w:r w:rsidR="00C928BA">
        <w:rPr>
          <w:i/>
        </w:rPr>
        <w:t>a</w:t>
      </w:r>
      <w:r w:rsidR="00C928BA" w:rsidRPr="00E22BD6">
        <w:rPr>
          <w:i/>
        </w:rPr>
        <w:t xml:space="preserve"> fusca</w:t>
      </w:r>
      <w:r w:rsidR="00C928BA">
        <w:rPr>
          <w:i/>
        </w:rPr>
        <w:t xml:space="preserve"> </w:t>
      </w:r>
      <w:r w:rsidR="00C928BA" w:rsidRPr="00F02999">
        <w:t>(</w:t>
      </w:r>
      <w:r w:rsidR="00C928BA" w:rsidRPr="00E22BD6">
        <w:t>beetle grass</w:t>
      </w:r>
      <w:r w:rsidR="00C928BA" w:rsidRPr="00F02999">
        <w:t>)</w:t>
      </w:r>
      <w:r w:rsidR="00C928BA" w:rsidRPr="00E22BD6">
        <w:t xml:space="preserve">, </w:t>
      </w:r>
      <w:r w:rsidR="00C928BA" w:rsidRPr="00E22BD6">
        <w:rPr>
          <w:i/>
        </w:rPr>
        <w:t xml:space="preserve">Cyperus </w:t>
      </w:r>
      <w:r w:rsidR="00C928BA">
        <w:t xml:space="preserve">(sedge) </w:t>
      </w:r>
      <w:r w:rsidR="00C928BA" w:rsidRPr="00E22BD6">
        <w:t xml:space="preserve">and </w:t>
      </w:r>
      <w:r w:rsidR="00C928BA" w:rsidRPr="00E22BD6">
        <w:rPr>
          <w:i/>
        </w:rPr>
        <w:t>Alisma</w:t>
      </w:r>
      <w:r w:rsidR="00C928BA" w:rsidRPr="00E22BD6">
        <w:t xml:space="preserve"> (water plantain)</w:t>
      </w:r>
      <w:r w:rsidR="00A26D58">
        <w:t xml:space="preserve"> colonise</w:t>
      </w:r>
      <w:r w:rsidR="00C928BA">
        <w:t>, usually completing their life cycle on the drying mud (Sainty and Jacobs 1990</w:t>
      </w:r>
      <w:r w:rsidR="00D42012">
        <w:t xml:space="preserve">; and see </w:t>
      </w:r>
      <w:r w:rsidR="00D42012" w:rsidRPr="00C31C0E">
        <w:rPr>
          <w:u w:val="single"/>
        </w:rPr>
        <w:t xml:space="preserve">Appendix B, Table </w:t>
      </w:r>
      <w:r w:rsidR="00C31C0E" w:rsidRPr="00C31C0E">
        <w:rPr>
          <w:u w:val="single"/>
        </w:rPr>
        <w:t>B</w:t>
      </w:r>
      <w:r w:rsidR="00D42012" w:rsidRPr="00C31C0E">
        <w:rPr>
          <w:u w:val="single"/>
        </w:rPr>
        <w:t>1</w:t>
      </w:r>
      <w:r w:rsidR="00C928BA">
        <w:t xml:space="preserve">). Free floating species of </w:t>
      </w:r>
      <w:r w:rsidR="00C928BA" w:rsidRPr="00D77143">
        <w:rPr>
          <w:i/>
        </w:rPr>
        <w:t>Azolla</w:t>
      </w:r>
      <w:r w:rsidR="00C928BA">
        <w:t xml:space="preserve"> (mosquito fern) and Lemnaceae (duckweed) are also common, as is </w:t>
      </w:r>
      <w:r w:rsidR="00C928BA" w:rsidRPr="00E22BD6">
        <w:rPr>
          <w:i/>
        </w:rPr>
        <w:t xml:space="preserve">Ceratophyllum </w:t>
      </w:r>
      <w:r w:rsidR="007B3A80">
        <w:rPr>
          <w:iCs/>
        </w:rPr>
        <w:t xml:space="preserve">spp. </w:t>
      </w:r>
      <w:r w:rsidR="00C928BA">
        <w:t>(hornwort).</w:t>
      </w:r>
    </w:p>
    <w:p w14:paraId="730B990A" w14:textId="15EE5B34" w:rsidR="002539F2" w:rsidRDefault="002539F2" w:rsidP="00BE308A">
      <w:r>
        <w:t>Alongside the Murray channel components of the ecological community, floodplain wetlands are generally subject to controlled flows. Free-floating and emergent aquatic plants benefit more from this regulated system, i.e. compared to the submerged aquatics. Only perennial wetlands near the Murray channel</w:t>
      </w:r>
      <w:r>
        <w:rPr>
          <w:i/>
        </w:rPr>
        <w:t xml:space="preserve"> </w:t>
      </w:r>
      <w:r w:rsidRPr="00764691">
        <w:t>allow the growth of some submerged aquatics</w:t>
      </w:r>
      <w:r>
        <w:rPr>
          <w:i/>
        </w:rPr>
        <w:t xml:space="preserve">, </w:t>
      </w:r>
      <w:r w:rsidRPr="00764691">
        <w:t>e.g.</w:t>
      </w:r>
      <w:r>
        <w:rPr>
          <w:i/>
        </w:rPr>
        <w:t xml:space="preserve"> Ceratophyllum</w:t>
      </w:r>
      <w:r w:rsidR="00625B96">
        <w:rPr>
          <w:i/>
        </w:rPr>
        <w:t xml:space="preserve"> </w:t>
      </w:r>
      <w:r w:rsidR="00625B96" w:rsidRPr="00625B96">
        <w:rPr>
          <w:iCs/>
        </w:rPr>
        <w:t>spp</w:t>
      </w:r>
      <w:r w:rsidR="00625B96">
        <w:rPr>
          <w:i/>
        </w:rPr>
        <w:t>.</w:t>
      </w:r>
      <w:r w:rsidR="0079111B">
        <w:rPr>
          <w:i/>
        </w:rPr>
        <w:t xml:space="preserve"> </w:t>
      </w:r>
      <w:r w:rsidR="0079111B">
        <w:rPr>
          <w:iCs/>
        </w:rPr>
        <w:t>(hornwort)</w:t>
      </w:r>
      <w:r>
        <w:rPr>
          <w:i/>
        </w:rPr>
        <w:t>, Potamogeton crispus,</w:t>
      </w:r>
      <w:r w:rsidRPr="006E7C29">
        <w:rPr>
          <w:i/>
        </w:rPr>
        <w:t xml:space="preserve"> Vallisn</w:t>
      </w:r>
      <w:r>
        <w:rPr>
          <w:i/>
        </w:rPr>
        <w:t>e</w:t>
      </w:r>
      <w:r w:rsidRPr="006E7C29">
        <w:rPr>
          <w:i/>
        </w:rPr>
        <w:t>ria</w:t>
      </w:r>
      <w:r>
        <w:t xml:space="preserve"> </w:t>
      </w:r>
      <w:r>
        <w:rPr>
          <w:i/>
        </w:rPr>
        <w:t>australis</w:t>
      </w:r>
      <w:r>
        <w:t xml:space="preserve">, </w:t>
      </w:r>
      <w:r w:rsidRPr="006E7C29">
        <w:rPr>
          <w:i/>
        </w:rPr>
        <w:t>Myriophyllum</w:t>
      </w:r>
      <w:r>
        <w:t xml:space="preserve"> spp. (Sainty </w:t>
      </w:r>
      <w:r w:rsidR="00521FD7">
        <w:t xml:space="preserve">&amp; </w:t>
      </w:r>
      <w:r>
        <w:t>Jacobs 1990; Walker 2006; Grehig &amp; Nicol 2010).</w:t>
      </w:r>
    </w:p>
    <w:p w14:paraId="60D97D0F" w14:textId="41FF0EF1" w:rsidR="002D28E8" w:rsidRPr="004A7188" w:rsidRDefault="00C74FFE" w:rsidP="00AD4454">
      <w:pPr>
        <w:pStyle w:val="Heading6"/>
      </w:pPr>
      <w:r w:rsidRPr="004A7188">
        <w:t>A</w:t>
      </w:r>
      <w:r w:rsidR="00281CF6" w:rsidRPr="004A7188">
        <w:t xml:space="preserve">quatic </w:t>
      </w:r>
      <w:r w:rsidRPr="004A7188">
        <w:t xml:space="preserve">riparian </w:t>
      </w:r>
      <w:r w:rsidR="0000472F">
        <w:t xml:space="preserve">and </w:t>
      </w:r>
      <w:r w:rsidR="00133FAF" w:rsidRPr="004A7188">
        <w:t>c</w:t>
      </w:r>
      <w:r w:rsidR="002539F2" w:rsidRPr="004A7188">
        <w:t xml:space="preserve">hannel </w:t>
      </w:r>
      <w:r w:rsidR="002D28E8" w:rsidRPr="004A7188">
        <w:t>vegetation</w:t>
      </w:r>
    </w:p>
    <w:p w14:paraId="525D1A18" w14:textId="7ADD2539" w:rsidR="000D2622" w:rsidRDefault="00DD2D8B" w:rsidP="009C086A">
      <w:r w:rsidRPr="00100D63">
        <w:t>In</w:t>
      </w:r>
      <w:r w:rsidRPr="009B58D8">
        <w:t xml:space="preserve"> its now highly regulated form, the River Murray </w:t>
      </w:r>
      <w:r w:rsidRPr="00100D63">
        <w:t xml:space="preserve">channel and fringes are </w:t>
      </w:r>
      <w:r w:rsidRPr="009B58D8">
        <w:t xml:space="preserve">currently a series of weir pools separated by river sections with lower average velocities and less fluctuation in depth. </w:t>
      </w:r>
      <w:r w:rsidR="000D2622" w:rsidRPr="009B58D8">
        <w:t>Still</w:t>
      </w:r>
      <w:r w:rsidR="000D2622">
        <w:t>-</w:t>
      </w:r>
      <w:r w:rsidR="000D2622" w:rsidRPr="009B58D8">
        <w:t>water plants that thrive in soft sediments and prefer to be constantly, but only partially</w:t>
      </w:r>
      <w:r w:rsidR="000D2622">
        <w:t>,</w:t>
      </w:r>
      <w:r w:rsidR="000D2622" w:rsidRPr="009B58D8">
        <w:t xml:space="preserve"> submerged have proliferated since weir construction</w:t>
      </w:r>
      <w:r w:rsidR="000D2622">
        <w:t>;</w:t>
      </w:r>
      <w:r w:rsidR="000D2622" w:rsidRPr="009B58D8">
        <w:t xml:space="preserve"> this being </w:t>
      </w:r>
      <w:r w:rsidR="000D2622">
        <w:t xml:space="preserve">influenced by </w:t>
      </w:r>
      <w:r w:rsidR="000D2622" w:rsidRPr="009B58D8">
        <w:t>increased sedimentation and impoundment (</w:t>
      </w:r>
      <w:r w:rsidR="00BA3F7A">
        <w:t xml:space="preserve">Sainty &amp; Jacobs 1990; </w:t>
      </w:r>
      <w:r w:rsidR="000D2622" w:rsidRPr="009B58D8">
        <w:t>Walker et al. 1994</w:t>
      </w:r>
      <w:r w:rsidR="000D2622">
        <w:t>; Blanch 1997; Jacobs in Young et al. 2001</w:t>
      </w:r>
      <w:r w:rsidR="0025787B">
        <w:t>; Walker 2006</w:t>
      </w:r>
      <w:r w:rsidR="000D2622" w:rsidRPr="009B58D8">
        <w:t>).</w:t>
      </w:r>
    </w:p>
    <w:p w14:paraId="1447622C" w14:textId="309B1E41" w:rsidR="00323B0B" w:rsidRDefault="009C086A" w:rsidP="000D2622">
      <w:r>
        <w:t xml:space="preserve">Walker </w:t>
      </w:r>
      <w:r w:rsidRPr="00A1267D">
        <w:t>et al</w:t>
      </w:r>
      <w:r>
        <w:t xml:space="preserve">. (1994) found a broad correlation between the composition of the plant assemblages and the distance below a weir (hence the amplitude of water level fluctuation). </w:t>
      </w:r>
      <w:r w:rsidR="00363E12" w:rsidRPr="009B58D8">
        <w:t xml:space="preserve">Downstream of each weir, where water levels change rapidly and the sediments are unstable, there </w:t>
      </w:r>
      <w:r w:rsidR="00CA4FA1">
        <w:t>is little permanent vegetation</w:t>
      </w:r>
      <w:r w:rsidR="00363E12" w:rsidRPr="009B58D8">
        <w:t xml:space="preserve">. </w:t>
      </w:r>
      <w:r w:rsidR="00810DFB">
        <w:t>In contrast, t</w:t>
      </w:r>
      <w:r w:rsidR="00363E12" w:rsidRPr="009B58D8">
        <w:t>he middle</w:t>
      </w:r>
      <w:r w:rsidR="00363E12">
        <w:t xml:space="preserve"> </w:t>
      </w:r>
      <w:r w:rsidR="00363E12" w:rsidRPr="009B58D8">
        <w:t xml:space="preserve">reaches of weir pools are </w:t>
      </w:r>
      <w:r w:rsidR="00363E12">
        <w:t xml:space="preserve">fringed by </w:t>
      </w:r>
      <w:r w:rsidR="00363E12" w:rsidRPr="009B58D8">
        <w:t xml:space="preserve">dense stands of </w:t>
      </w:r>
      <w:r w:rsidR="00484F89" w:rsidRPr="007634DE">
        <w:rPr>
          <w:i/>
        </w:rPr>
        <w:t>Phragmites australis</w:t>
      </w:r>
      <w:r w:rsidR="00484F89" w:rsidRPr="009B58D8">
        <w:t xml:space="preserve"> </w:t>
      </w:r>
      <w:r w:rsidR="00484F89">
        <w:t>(</w:t>
      </w:r>
      <w:r w:rsidR="00363E12" w:rsidRPr="009B58D8">
        <w:t>common reed</w:t>
      </w:r>
      <w:r w:rsidR="00484F89">
        <w:t>)</w:t>
      </w:r>
      <w:r w:rsidR="00363E12" w:rsidRPr="009B58D8">
        <w:t xml:space="preserve"> and </w:t>
      </w:r>
      <w:r w:rsidR="00484F89" w:rsidRPr="007634DE">
        <w:rPr>
          <w:i/>
        </w:rPr>
        <w:t>Typha domingensis</w:t>
      </w:r>
      <w:r w:rsidR="00484F89" w:rsidRPr="009B58D8">
        <w:t xml:space="preserve"> </w:t>
      </w:r>
      <w:r w:rsidR="00484F89">
        <w:t>(</w:t>
      </w:r>
      <w:r w:rsidR="00363E12" w:rsidRPr="009B58D8">
        <w:t>cumbung</w:t>
      </w:r>
      <w:r w:rsidR="00363E12">
        <w:t>i</w:t>
      </w:r>
      <w:r w:rsidR="00484F89">
        <w:t>)</w:t>
      </w:r>
      <w:r w:rsidR="00363E12">
        <w:t>, while</w:t>
      </w:r>
      <w:r w:rsidR="00363E12" w:rsidRPr="009B58D8">
        <w:t xml:space="preserve"> further downstream, where water levels are held steady by the next weir, dense stands of </w:t>
      </w:r>
      <w:r w:rsidR="00810DFB">
        <w:t>non-native</w:t>
      </w:r>
      <w:r w:rsidR="00363E12" w:rsidRPr="009B58D8">
        <w:t xml:space="preserve"> willows (</w:t>
      </w:r>
      <w:r w:rsidR="00363E12" w:rsidRPr="009B58D8">
        <w:rPr>
          <w:i/>
        </w:rPr>
        <w:t>Salix</w:t>
      </w:r>
      <w:r w:rsidR="00363E12" w:rsidRPr="009B58D8">
        <w:t xml:space="preserve"> spp.) </w:t>
      </w:r>
      <w:r w:rsidR="00810DFB">
        <w:t xml:space="preserve">often </w:t>
      </w:r>
      <w:r w:rsidR="00363E12" w:rsidRPr="009B58D8">
        <w:t xml:space="preserve">overhang the water (Schulze </w:t>
      </w:r>
      <w:r w:rsidR="00363E12">
        <w:t>&amp;</w:t>
      </w:r>
      <w:r w:rsidR="00363E12" w:rsidRPr="009B58D8">
        <w:t xml:space="preserve"> Walker 1997).</w:t>
      </w:r>
      <w:r w:rsidR="00AC008C">
        <w:t xml:space="preserve"> </w:t>
      </w:r>
      <w:r w:rsidR="00323B0B">
        <w:t xml:space="preserve">The weir pools also encourage </w:t>
      </w:r>
      <w:r w:rsidR="00323B0B" w:rsidRPr="00100D63">
        <w:t xml:space="preserve">a </w:t>
      </w:r>
      <w:r w:rsidR="00323B0B" w:rsidRPr="009B58D8">
        <w:t>persistent</w:t>
      </w:r>
      <w:r w:rsidR="00323B0B" w:rsidRPr="00100D63">
        <w:t xml:space="preserve"> presence of species that lay across the surface</w:t>
      </w:r>
      <w:r w:rsidR="00323B0B">
        <w:t>,</w:t>
      </w:r>
      <w:r w:rsidR="00323B0B" w:rsidRPr="00100D63">
        <w:t xml:space="preserve"> such as </w:t>
      </w:r>
      <w:r w:rsidR="00323B0B" w:rsidRPr="00100D63">
        <w:rPr>
          <w:i/>
          <w:iCs/>
        </w:rPr>
        <w:t>Cotula coronopifolia</w:t>
      </w:r>
      <w:r w:rsidR="009D070A">
        <w:rPr>
          <w:i/>
          <w:iCs/>
        </w:rPr>
        <w:t xml:space="preserve"> </w:t>
      </w:r>
      <w:r w:rsidR="009D070A">
        <w:t>(water buttons)</w:t>
      </w:r>
      <w:r w:rsidR="00323B0B" w:rsidRPr="00100D63">
        <w:rPr>
          <w:i/>
          <w:iCs/>
        </w:rPr>
        <w:t>, Azolla rubra</w:t>
      </w:r>
      <w:r w:rsidR="00A54737">
        <w:rPr>
          <w:i/>
          <w:iCs/>
        </w:rPr>
        <w:t xml:space="preserve"> </w:t>
      </w:r>
      <w:r w:rsidR="00A54737">
        <w:t>(red azolla)</w:t>
      </w:r>
      <w:r w:rsidR="00323B0B" w:rsidRPr="00100D63">
        <w:rPr>
          <w:i/>
          <w:iCs/>
        </w:rPr>
        <w:t xml:space="preserve">, Lemna </w:t>
      </w:r>
      <w:r w:rsidR="00323B0B" w:rsidRPr="009B58D8">
        <w:rPr>
          <w:i/>
          <w:iCs/>
        </w:rPr>
        <w:t>disperma</w:t>
      </w:r>
      <w:r w:rsidR="00356360">
        <w:rPr>
          <w:i/>
          <w:iCs/>
        </w:rPr>
        <w:t xml:space="preserve"> </w:t>
      </w:r>
      <w:r w:rsidR="00356360" w:rsidRPr="00356360">
        <w:t>(</w:t>
      </w:r>
      <w:r w:rsidR="00477025">
        <w:t xml:space="preserve">common </w:t>
      </w:r>
      <w:r w:rsidR="00356360" w:rsidRPr="00356360">
        <w:t>duckweed)</w:t>
      </w:r>
      <w:r w:rsidR="00323B0B" w:rsidRPr="00356360">
        <w:t>,</w:t>
      </w:r>
      <w:r w:rsidR="00323B0B" w:rsidRPr="009B58D8">
        <w:rPr>
          <w:i/>
          <w:iCs/>
        </w:rPr>
        <w:t xml:space="preserve"> Vallisneria</w:t>
      </w:r>
      <w:r w:rsidR="00323B0B" w:rsidRPr="00100D63">
        <w:rPr>
          <w:i/>
          <w:iCs/>
        </w:rPr>
        <w:t xml:space="preserve"> australis</w:t>
      </w:r>
      <w:r w:rsidR="00323B0B" w:rsidRPr="009B58D8">
        <w:t xml:space="preserve"> </w:t>
      </w:r>
      <w:r w:rsidR="00496EA0">
        <w:t xml:space="preserve">(ribbonweed) </w:t>
      </w:r>
      <w:r w:rsidR="00323B0B" w:rsidRPr="00100D63">
        <w:t xml:space="preserve">and </w:t>
      </w:r>
      <w:r w:rsidR="00323B0B" w:rsidRPr="00100D63">
        <w:rPr>
          <w:i/>
          <w:iCs/>
        </w:rPr>
        <w:t>Cycngeton procerum</w:t>
      </w:r>
      <w:r w:rsidR="00323B0B" w:rsidRPr="00100D63">
        <w:t xml:space="preserve"> </w:t>
      </w:r>
      <w:r w:rsidR="00613AE6">
        <w:t xml:space="preserve">(water ribbon) </w:t>
      </w:r>
      <w:r w:rsidR="00323B0B" w:rsidRPr="00323B0B">
        <w:t>(Blanc</w:t>
      </w:r>
      <w:r w:rsidR="00B07B67">
        <w:t>h</w:t>
      </w:r>
      <w:r w:rsidR="00323B0B" w:rsidRPr="00323B0B">
        <w:t xml:space="preserve"> 1997</w:t>
      </w:r>
      <w:r w:rsidR="00B07B67">
        <w:t>;</w:t>
      </w:r>
      <w:r w:rsidR="00323B0B" w:rsidRPr="00323B0B">
        <w:t xml:space="preserve"> Australian Virtual Herbarium, accessed 18/04/2024).</w:t>
      </w:r>
      <w:r w:rsidR="00323B0B" w:rsidRPr="00100D63">
        <w:t xml:space="preserve"> </w:t>
      </w:r>
    </w:p>
    <w:p w14:paraId="3ECC9051" w14:textId="074247FA" w:rsidR="000C60F1" w:rsidRDefault="00340799" w:rsidP="00814F56">
      <w:pPr>
        <w:tabs>
          <w:tab w:val="left" w:pos="142"/>
        </w:tabs>
      </w:pPr>
      <w:r>
        <w:t xml:space="preserve">Emergent species such as </w:t>
      </w:r>
      <w:r w:rsidRPr="00066AA7">
        <w:rPr>
          <w:i/>
        </w:rPr>
        <w:t>Phragmites australis</w:t>
      </w:r>
      <w:r>
        <w:t xml:space="preserve"> (common reed) and </w:t>
      </w:r>
      <w:r w:rsidRPr="00066AA7">
        <w:rPr>
          <w:i/>
        </w:rPr>
        <w:t>Typha</w:t>
      </w:r>
      <w:r>
        <w:t xml:space="preserve"> spp. (cumbungi or bulrush) tend to occur in the uppermost 0.5 m, and rooted species like </w:t>
      </w:r>
      <w:r w:rsidRPr="000115A5">
        <w:rPr>
          <w:i/>
        </w:rPr>
        <w:t>Myriophyllum</w:t>
      </w:r>
      <w:r>
        <w:t xml:space="preserve"> (milfoil) occur down to about 2 m (Walker et al. 1994). Species less tolerant of variable flow, such as </w:t>
      </w:r>
      <w:r w:rsidRPr="00367B56">
        <w:rPr>
          <w:i/>
        </w:rPr>
        <w:t>Persicaria</w:t>
      </w:r>
      <w:r>
        <w:rPr>
          <w:i/>
        </w:rPr>
        <w:t xml:space="preserve"> decipiens </w:t>
      </w:r>
      <w:r w:rsidRPr="001A4768">
        <w:t>(slender knotweed)</w:t>
      </w:r>
      <w:r>
        <w:t xml:space="preserve">, have increased in abundance where water levels are held constant for extended periods (Jacobs in Young et al. 2001). </w:t>
      </w:r>
      <w:r w:rsidRPr="00367B56">
        <w:rPr>
          <w:i/>
        </w:rPr>
        <w:t>Cyperus gymnocaulos</w:t>
      </w:r>
      <w:r>
        <w:t xml:space="preserve"> (spiny sedge) and </w:t>
      </w:r>
      <w:r w:rsidRPr="00367B56">
        <w:rPr>
          <w:i/>
        </w:rPr>
        <w:t>Paspalidium jubiflorum</w:t>
      </w:r>
      <w:r>
        <w:t xml:space="preserve"> (Warrego summer grass) are tolerant of full exposure so may occur high on the river-bank (Young et al. 2001; Smith &amp; Smith 2014).</w:t>
      </w:r>
    </w:p>
    <w:p w14:paraId="4CAA31DB" w14:textId="17EC3DC5" w:rsidR="001505EC" w:rsidRDefault="001505EC" w:rsidP="00A2521C">
      <w:pPr>
        <w:pStyle w:val="Heading5"/>
      </w:pPr>
      <w:bookmarkStart w:id="36" w:name="_Toc232747008"/>
      <w:r w:rsidRPr="00095391">
        <w:t xml:space="preserve">Eastern Mount Lofty Ranges </w:t>
      </w:r>
      <w:r w:rsidR="00394C96" w:rsidRPr="00095391">
        <w:t xml:space="preserve">floodplain, </w:t>
      </w:r>
      <w:r w:rsidRPr="00095391">
        <w:t>riparian</w:t>
      </w:r>
      <w:r w:rsidR="00394C96" w:rsidRPr="00095391">
        <w:t>,</w:t>
      </w:r>
      <w:r w:rsidRPr="00095391">
        <w:t xml:space="preserve"> and aquatic vegetation</w:t>
      </w:r>
      <w:bookmarkEnd w:id="36"/>
    </w:p>
    <w:p w14:paraId="384775B3" w14:textId="68C64DCB" w:rsidR="001505EC" w:rsidRDefault="00320EBE" w:rsidP="00194FB1">
      <w:r>
        <w:t>The Mount Lofty R</w:t>
      </w:r>
      <w:r w:rsidR="00946A8D">
        <w:t>a</w:t>
      </w:r>
      <w:r>
        <w:t xml:space="preserve">nges have a </w:t>
      </w:r>
      <w:r w:rsidR="003330CD">
        <w:t xml:space="preserve">recent </w:t>
      </w:r>
      <w:r>
        <w:t xml:space="preserve">history of </w:t>
      </w:r>
      <w:r w:rsidR="003330CD">
        <w:t xml:space="preserve">intensive </w:t>
      </w:r>
      <w:r>
        <w:t>land use</w:t>
      </w:r>
      <w:r w:rsidR="00946A8D">
        <w:t xml:space="preserve">, including urban development, agriculture, </w:t>
      </w:r>
      <w:r w:rsidR="00541D30">
        <w:t xml:space="preserve">forestry, </w:t>
      </w:r>
      <w:r w:rsidR="009209E2">
        <w:t xml:space="preserve">with some </w:t>
      </w:r>
      <w:r w:rsidR="00946A8D">
        <w:t>mining</w:t>
      </w:r>
      <w:r w:rsidR="00120378">
        <w:t>,</w:t>
      </w:r>
      <w:r w:rsidR="00946A8D">
        <w:t xml:space="preserve"> </w:t>
      </w:r>
      <w:r w:rsidR="009209E2">
        <w:t xml:space="preserve">and have been extensively cleared </w:t>
      </w:r>
      <w:r w:rsidR="00946A8D">
        <w:t>(</w:t>
      </w:r>
      <w:r w:rsidR="00FF74A5">
        <w:t>Mitchell 1983</w:t>
      </w:r>
      <w:r w:rsidR="00825451">
        <w:t>; Paton et al. 2004</w:t>
      </w:r>
      <w:r w:rsidR="00FF74A5">
        <w:t xml:space="preserve">). </w:t>
      </w:r>
      <w:r w:rsidR="00946A8D">
        <w:t xml:space="preserve"> </w:t>
      </w:r>
      <w:r w:rsidR="001505EC">
        <w:t xml:space="preserve">The natural </w:t>
      </w:r>
      <w:r w:rsidR="001D00DE">
        <w:t xml:space="preserve">(i.e. </w:t>
      </w:r>
      <w:r w:rsidR="00FF74A5">
        <w:t>r</w:t>
      </w:r>
      <w:r w:rsidR="001D00DE">
        <w:t xml:space="preserve">emnant) </w:t>
      </w:r>
      <w:r w:rsidR="001505EC">
        <w:t>habitat of the mountainsides of the Eastern Mount Lofty Ranges (EMLR) is woodland of eucalypt t</w:t>
      </w:r>
      <w:r w:rsidR="0000527F">
        <w:t xml:space="preserve">ree species (e.g. </w:t>
      </w:r>
      <w:r w:rsidR="00F25A04">
        <w:t>river red gum</w:t>
      </w:r>
      <w:r w:rsidR="00F25A04" w:rsidRPr="007E24E2">
        <w:rPr>
          <w:i/>
          <w:iCs/>
        </w:rPr>
        <w:t>,</w:t>
      </w:r>
      <w:r w:rsidR="001505EC" w:rsidRPr="007E24E2">
        <w:rPr>
          <w:i/>
          <w:iCs/>
        </w:rPr>
        <w:t xml:space="preserve"> </w:t>
      </w:r>
      <w:r w:rsidR="00BF208F">
        <w:rPr>
          <w:i/>
          <w:iCs/>
        </w:rPr>
        <w:t xml:space="preserve">E. paludicola, </w:t>
      </w:r>
      <w:r w:rsidR="008D6F3D" w:rsidRPr="007E24E2">
        <w:rPr>
          <w:i/>
          <w:iCs/>
        </w:rPr>
        <w:t>E. obliqua</w:t>
      </w:r>
      <w:r w:rsidR="007E24E2">
        <w:t xml:space="preserve">, </w:t>
      </w:r>
      <w:r w:rsidR="007E24E2" w:rsidRPr="007E24E2">
        <w:rPr>
          <w:i/>
          <w:iCs/>
        </w:rPr>
        <w:t>E. baxteri</w:t>
      </w:r>
      <w:r w:rsidR="00AC3542">
        <w:rPr>
          <w:i/>
          <w:iCs/>
        </w:rPr>
        <w:t>, E. fasciulosa</w:t>
      </w:r>
      <w:r w:rsidR="00686A22">
        <w:rPr>
          <w:i/>
          <w:iCs/>
        </w:rPr>
        <w:t xml:space="preserve"> </w:t>
      </w:r>
      <w:r w:rsidR="00686A22" w:rsidRPr="00686A22">
        <w:t>(pink gum</w:t>
      </w:r>
      <w:r w:rsidR="00686A22">
        <w:rPr>
          <w:i/>
          <w:iCs/>
        </w:rPr>
        <w:t>)</w:t>
      </w:r>
      <w:r w:rsidR="003964F5">
        <w:rPr>
          <w:i/>
          <w:iCs/>
        </w:rPr>
        <w:t>, E. c</w:t>
      </w:r>
      <w:r w:rsidR="00493CFF">
        <w:rPr>
          <w:i/>
          <w:iCs/>
        </w:rPr>
        <w:t>o</w:t>
      </w:r>
      <w:r w:rsidR="003964F5">
        <w:rPr>
          <w:i/>
          <w:iCs/>
        </w:rPr>
        <w:t>smophylla</w:t>
      </w:r>
      <w:r w:rsidR="00686A22">
        <w:rPr>
          <w:i/>
          <w:iCs/>
        </w:rPr>
        <w:t xml:space="preserve"> </w:t>
      </w:r>
      <w:r w:rsidR="00686A22" w:rsidRPr="00686A22">
        <w:t>(cup gum)</w:t>
      </w:r>
      <w:r w:rsidR="007E24E2" w:rsidRPr="00686A22">
        <w:t>)</w:t>
      </w:r>
      <w:r w:rsidR="007E24E2">
        <w:t xml:space="preserve"> </w:t>
      </w:r>
      <w:r w:rsidR="001505EC">
        <w:t xml:space="preserve">mixed with </w:t>
      </w:r>
      <w:r w:rsidR="001505EC">
        <w:rPr>
          <w:i/>
        </w:rPr>
        <w:lastRenderedPageBreak/>
        <w:t xml:space="preserve">Acacia pycnantha </w:t>
      </w:r>
      <w:r w:rsidR="001505EC">
        <w:t>(golden wattle) trees on the lower slopes, all with an undergrowth of shrubs and herbs</w:t>
      </w:r>
      <w:r w:rsidR="00603556">
        <w:t xml:space="preserve"> (Davies 1992;</w:t>
      </w:r>
      <w:r w:rsidR="00A110C3">
        <w:t xml:space="preserve"> Bonifacio et al. 2016)</w:t>
      </w:r>
      <w:r w:rsidR="001505EC">
        <w:t xml:space="preserve">. There are hundreds of plant species across the EMLR and these can be categorised into three broad groupings, with ten functional types (see Vanlaarhoven </w:t>
      </w:r>
      <w:r w:rsidR="000B0A52">
        <w:t>&amp;</w:t>
      </w:r>
      <w:r w:rsidR="001505EC">
        <w:t xml:space="preserve"> van der Wielen 2012). </w:t>
      </w:r>
      <w:r w:rsidR="00BE629C">
        <w:t xml:space="preserve">Noting that </w:t>
      </w:r>
      <w:r w:rsidR="009741D7">
        <w:t xml:space="preserve">only native dominated vegetation forms part of the RMDS ecological community, </w:t>
      </w:r>
      <w:r w:rsidR="006F0663">
        <w:t>t</w:t>
      </w:r>
      <w:r w:rsidR="001505EC">
        <w:t>he three broad groups are:</w:t>
      </w:r>
    </w:p>
    <w:p w14:paraId="287B3762" w14:textId="1AA34CAD" w:rsidR="001505EC" w:rsidRDefault="00331761" w:rsidP="000C6EE4">
      <w:pPr>
        <w:pStyle w:val="ListBullet"/>
        <w:numPr>
          <w:ilvl w:val="0"/>
          <w:numId w:val="15"/>
        </w:numPr>
      </w:pPr>
      <w:r>
        <w:t>t</w:t>
      </w:r>
      <w:r w:rsidR="001505EC">
        <w:t>errestrial species associated with waterways and wetlands (i.e. riparian) - many are annual herbaceous species and a large proportion of exotic weeds such as grasses and clovers that are often associated with watercourses</w:t>
      </w:r>
      <w:r w:rsidR="001D00DE">
        <w:t xml:space="preserve"> </w:t>
      </w:r>
    </w:p>
    <w:p w14:paraId="1A087EE6" w14:textId="0E3B5810" w:rsidR="001505EC" w:rsidRDefault="00331761" w:rsidP="000C6EE4">
      <w:pPr>
        <w:pStyle w:val="ListBullet"/>
        <w:numPr>
          <w:ilvl w:val="0"/>
          <w:numId w:val="15"/>
        </w:numPr>
      </w:pPr>
      <w:r>
        <w:t>a</w:t>
      </w:r>
      <w:r w:rsidR="001505EC">
        <w:t>mphibious species that require or tolerate the presence of surface water at some stage of their life cycle - e.g</w:t>
      </w:r>
      <w:r w:rsidR="001505EC" w:rsidRPr="00331761">
        <w:rPr>
          <w:i/>
        </w:rPr>
        <w:t xml:space="preserve">. </w:t>
      </w:r>
      <w:r w:rsidR="001505EC" w:rsidRPr="0018360B">
        <w:t>various species of</w:t>
      </w:r>
      <w:r w:rsidR="00CD5739" w:rsidRPr="00CD5739">
        <w:rPr>
          <w:i/>
        </w:rPr>
        <w:t xml:space="preserve"> </w:t>
      </w:r>
      <w:r w:rsidR="00CD5739" w:rsidRPr="00331761">
        <w:rPr>
          <w:i/>
        </w:rPr>
        <w:t>Cyperus</w:t>
      </w:r>
      <w:r w:rsidR="00CD5739">
        <w:rPr>
          <w:i/>
        </w:rPr>
        <w:t>,</w:t>
      </w:r>
      <w:r w:rsidR="001505EC" w:rsidRPr="00331761">
        <w:rPr>
          <w:i/>
        </w:rPr>
        <w:t xml:space="preserve"> Elatine</w:t>
      </w:r>
      <w:r w:rsidR="001505EC">
        <w:t xml:space="preserve">, </w:t>
      </w:r>
      <w:r w:rsidR="00CD5739" w:rsidRPr="00331761">
        <w:rPr>
          <w:i/>
        </w:rPr>
        <w:t>Eleocharis</w:t>
      </w:r>
      <w:r w:rsidR="00CD5739">
        <w:rPr>
          <w:i/>
        </w:rPr>
        <w:t>,</w:t>
      </w:r>
      <w:r w:rsidR="00CD5739" w:rsidRPr="00331761">
        <w:rPr>
          <w:i/>
        </w:rPr>
        <w:t xml:space="preserve"> Eucalyptus</w:t>
      </w:r>
      <w:r w:rsidR="00CD5739">
        <w:rPr>
          <w:i/>
        </w:rPr>
        <w:t xml:space="preserve">, </w:t>
      </w:r>
      <w:r w:rsidR="001505EC" w:rsidRPr="00331761">
        <w:rPr>
          <w:i/>
        </w:rPr>
        <w:t>Glossostigma</w:t>
      </w:r>
      <w:r w:rsidR="001505EC">
        <w:t xml:space="preserve">, </w:t>
      </w:r>
      <w:r w:rsidR="001505EC" w:rsidRPr="00331761">
        <w:rPr>
          <w:i/>
        </w:rPr>
        <w:t xml:space="preserve">, </w:t>
      </w:r>
      <w:r w:rsidR="00CD5739" w:rsidRPr="00331761">
        <w:rPr>
          <w:i/>
        </w:rPr>
        <w:t>Isolepis</w:t>
      </w:r>
      <w:r w:rsidR="00CD5739">
        <w:t xml:space="preserve">, </w:t>
      </w:r>
      <w:r w:rsidR="001505EC" w:rsidRPr="00331761">
        <w:rPr>
          <w:i/>
        </w:rPr>
        <w:t xml:space="preserve">Juncus, </w:t>
      </w:r>
      <w:r w:rsidR="00CD5739" w:rsidRPr="00331761">
        <w:rPr>
          <w:i/>
        </w:rPr>
        <w:t>Lemna</w:t>
      </w:r>
      <w:r w:rsidR="00CD5739">
        <w:rPr>
          <w:i/>
        </w:rPr>
        <w:t xml:space="preserve">, </w:t>
      </w:r>
      <w:r w:rsidR="001505EC" w:rsidRPr="00331761">
        <w:rPr>
          <w:i/>
        </w:rPr>
        <w:t xml:space="preserve">Leptospermum, Melaleuca, Myriophyllum, </w:t>
      </w:r>
      <w:r w:rsidR="00CD5739" w:rsidRPr="00331761">
        <w:rPr>
          <w:i/>
        </w:rPr>
        <w:t>Nymphoides</w:t>
      </w:r>
      <w:r w:rsidR="00CD5739">
        <w:rPr>
          <w:i/>
        </w:rPr>
        <w:t xml:space="preserve">, </w:t>
      </w:r>
      <w:r w:rsidR="001505EC" w:rsidRPr="00331761">
        <w:rPr>
          <w:i/>
        </w:rPr>
        <w:t>Persicaria</w:t>
      </w:r>
      <w:r w:rsidR="0066490F">
        <w:t>, and</w:t>
      </w:r>
    </w:p>
    <w:p w14:paraId="52F8FE4B" w14:textId="2FC3DD81" w:rsidR="001505EC" w:rsidRPr="0066741F" w:rsidRDefault="0066490F" w:rsidP="000C6EE4">
      <w:pPr>
        <w:pStyle w:val="ListBullet"/>
        <w:numPr>
          <w:ilvl w:val="0"/>
          <w:numId w:val="15"/>
        </w:numPr>
      </w:pPr>
      <w:r>
        <w:t>s</w:t>
      </w:r>
      <w:r w:rsidR="001505EC">
        <w:t xml:space="preserve">ubmerged species that require extended periods of free surface water - various species of </w:t>
      </w:r>
      <w:r w:rsidR="006415B2" w:rsidRPr="00331761">
        <w:rPr>
          <w:i/>
        </w:rPr>
        <w:t xml:space="preserve">Azolla, </w:t>
      </w:r>
      <w:r w:rsidR="00CD5739" w:rsidRPr="0066490F">
        <w:rPr>
          <w:i/>
        </w:rPr>
        <w:t>Bolboschoenus</w:t>
      </w:r>
      <w:r w:rsidR="00CD5739">
        <w:rPr>
          <w:i/>
        </w:rPr>
        <w:t xml:space="preserve">, </w:t>
      </w:r>
      <w:r w:rsidR="001505EC" w:rsidRPr="0066490F">
        <w:rPr>
          <w:i/>
        </w:rPr>
        <w:t xml:space="preserve">Chara, </w:t>
      </w:r>
      <w:r w:rsidR="00CD5739" w:rsidRPr="0066490F">
        <w:rPr>
          <w:i/>
        </w:rPr>
        <w:t xml:space="preserve">Lepilaena, </w:t>
      </w:r>
      <w:r w:rsidR="001505EC" w:rsidRPr="0066490F">
        <w:rPr>
          <w:i/>
        </w:rPr>
        <w:t xml:space="preserve">Nitella, </w:t>
      </w:r>
      <w:r w:rsidR="00CD5739" w:rsidRPr="0066490F">
        <w:rPr>
          <w:i/>
        </w:rPr>
        <w:t>Phragmites, Potamogeton</w:t>
      </w:r>
      <w:r w:rsidR="00CD5739">
        <w:rPr>
          <w:i/>
        </w:rPr>
        <w:t xml:space="preserve">, </w:t>
      </w:r>
      <w:r w:rsidR="00CD5739" w:rsidRPr="0066490F">
        <w:rPr>
          <w:i/>
        </w:rPr>
        <w:t>Triglochin procera</w:t>
      </w:r>
      <w:r w:rsidR="00CD5739">
        <w:rPr>
          <w:i/>
        </w:rPr>
        <w:t xml:space="preserve">, </w:t>
      </w:r>
      <w:r w:rsidR="001505EC" w:rsidRPr="0066490F">
        <w:rPr>
          <w:i/>
        </w:rPr>
        <w:t>Typha, Vallisneria</w:t>
      </w:r>
      <w:r w:rsidR="00CD5739">
        <w:rPr>
          <w:i/>
        </w:rPr>
        <w:t>.</w:t>
      </w:r>
    </w:p>
    <w:p w14:paraId="45603CFB" w14:textId="148E67DA" w:rsidR="001E28D7" w:rsidRPr="00F41E64" w:rsidRDefault="00C7446C" w:rsidP="00A2521C">
      <w:pPr>
        <w:pStyle w:val="Heading5"/>
        <w:rPr>
          <w:rStyle w:val="Heading7Char"/>
          <w:b/>
          <w:iCs w:val="0"/>
        </w:rPr>
      </w:pPr>
      <w:r w:rsidRPr="00F41E64">
        <w:t>Coorong and Lower Lakes vegetation</w:t>
      </w:r>
      <w:bookmarkStart w:id="37" w:name="_Toc232747010"/>
    </w:p>
    <w:p w14:paraId="0A7C00FE" w14:textId="1512F27A" w:rsidR="00327E05" w:rsidRPr="008C5BCD" w:rsidRDefault="00EA2737" w:rsidP="008C5BCD">
      <w:pPr>
        <w:rPr>
          <w:b/>
          <w:bCs/>
          <w:i/>
          <w:iCs/>
        </w:rPr>
      </w:pPr>
      <w:r w:rsidRPr="008C5BCD">
        <w:rPr>
          <w:rStyle w:val="Heading7Char"/>
          <w:rFonts w:ascii="Cambria" w:hAnsi="Cambria" w:cstheme="minorHAnsi"/>
          <w:b w:val="0"/>
          <w:bCs/>
          <w:iCs w:val="0"/>
        </w:rPr>
        <w:t>The vegetation types</w:t>
      </w:r>
      <w:r w:rsidR="003F1913" w:rsidRPr="008C5BCD">
        <w:rPr>
          <w:rStyle w:val="Heading7Char"/>
          <w:rFonts w:ascii="Cambria" w:hAnsi="Cambria" w:cstheme="minorHAnsi"/>
          <w:b w:val="0"/>
          <w:bCs/>
          <w:iCs w:val="0"/>
        </w:rPr>
        <w:t xml:space="preserve"> of the Coorong and Lower Lakes are well documented in the area’s natural histories, including Noye (1975)</w:t>
      </w:r>
      <w:r w:rsidR="000F759F" w:rsidRPr="008C5BCD">
        <w:rPr>
          <w:rStyle w:val="Heading7Char"/>
          <w:rFonts w:ascii="Cambria" w:hAnsi="Cambria" w:cstheme="minorHAnsi"/>
          <w:b w:val="0"/>
          <w:bCs/>
          <w:iCs w:val="0"/>
        </w:rPr>
        <w:t>, Gilbertson &amp; Foale (1970</w:t>
      </w:r>
      <w:r w:rsidR="00D25D29" w:rsidRPr="008C5BCD">
        <w:rPr>
          <w:rStyle w:val="Heading7Char"/>
          <w:rFonts w:ascii="Cambria" w:hAnsi="Cambria" w:cstheme="minorHAnsi"/>
          <w:b w:val="0"/>
          <w:bCs/>
          <w:iCs w:val="0"/>
        </w:rPr>
        <w:t>)</w:t>
      </w:r>
      <w:r w:rsidR="00CF55D7" w:rsidRPr="008C5BCD">
        <w:rPr>
          <w:rStyle w:val="Heading7Char"/>
          <w:rFonts w:ascii="Cambria" w:hAnsi="Cambria" w:cstheme="minorHAnsi"/>
          <w:b w:val="0"/>
          <w:bCs/>
          <w:iCs w:val="0"/>
        </w:rPr>
        <w:t>,</w:t>
      </w:r>
      <w:r w:rsidR="000F759F" w:rsidRPr="008C5BCD">
        <w:rPr>
          <w:rStyle w:val="Heading7Char"/>
          <w:rFonts w:ascii="Cambria" w:hAnsi="Cambria" w:cstheme="minorHAnsi"/>
          <w:b w:val="0"/>
          <w:bCs/>
          <w:iCs w:val="0"/>
        </w:rPr>
        <w:t xml:space="preserve"> and Mosley et al. (2018)</w:t>
      </w:r>
      <w:r w:rsidR="00D518A9" w:rsidRPr="008C5BCD">
        <w:rPr>
          <w:rStyle w:val="Heading7Char"/>
          <w:rFonts w:ascii="Cambria" w:hAnsi="Cambria" w:cstheme="minorHAnsi"/>
          <w:b w:val="0"/>
          <w:bCs/>
          <w:iCs w:val="0"/>
        </w:rPr>
        <w:t xml:space="preserve">. In addition, online databases such as the Australian Virtual Herbarium and </w:t>
      </w:r>
      <w:r w:rsidR="006521CC" w:rsidRPr="008C5BCD">
        <w:rPr>
          <w:rStyle w:val="Heading7Char"/>
          <w:rFonts w:ascii="Cambria" w:hAnsi="Cambria" w:cstheme="minorHAnsi"/>
          <w:b w:val="0"/>
          <w:bCs/>
          <w:iCs w:val="0"/>
        </w:rPr>
        <w:t xml:space="preserve">citizen science platforms </w:t>
      </w:r>
      <w:r w:rsidR="00015096" w:rsidRPr="008C5BCD">
        <w:rPr>
          <w:rStyle w:val="Heading7Char"/>
          <w:rFonts w:ascii="Cambria" w:hAnsi="Cambria" w:cstheme="minorHAnsi"/>
          <w:b w:val="0"/>
          <w:bCs/>
          <w:iCs w:val="0"/>
        </w:rPr>
        <w:t>such as</w:t>
      </w:r>
      <w:r w:rsidR="006521CC" w:rsidRPr="008C5BCD">
        <w:rPr>
          <w:rStyle w:val="Heading7Char"/>
          <w:rFonts w:ascii="Cambria" w:hAnsi="Cambria" w:cstheme="minorHAnsi"/>
          <w:b w:val="0"/>
          <w:bCs/>
          <w:iCs w:val="0"/>
        </w:rPr>
        <w:t xml:space="preserve"> iNaturalist hold much related information on plant species in this region.</w:t>
      </w:r>
      <w:r w:rsidR="00A879A8" w:rsidRPr="008C5BCD">
        <w:rPr>
          <w:rStyle w:val="Heading7Char"/>
          <w:rFonts w:ascii="Cambria" w:hAnsi="Cambria" w:cstheme="minorHAnsi"/>
          <w:b w:val="0"/>
          <w:bCs/>
          <w:iCs w:val="0"/>
        </w:rPr>
        <w:t xml:space="preserve"> See also </w:t>
      </w:r>
      <w:r w:rsidR="00A879A8" w:rsidRPr="008C5BCD">
        <w:rPr>
          <w:rStyle w:val="Heading7Char"/>
          <w:rFonts w:ascii="Cambria" w:hAnsi="Cambria" w:cstheme="minorHAnsi"/>
          <w:b w:val="0"/>
          <w:bCs/>
          <w:iCs w:val="0"/>
          <w:u w:val="single"/>
        </w:rPr>
        <w:t xml:space="preserve">Appendix B, Table </w:t>
      </w:r>
      <w:r w:rsidR="0038496F" w:rsidRPr="008C5BCD">
        <w:rPr>
          <w:rStyle w:val="Heading7Char"/>
          <w:rFonts w:ascii="Cambria" w:hAnsi="Cambria" w:cstheme="minorHAnsi"/>
          <w:b w:val="0"/>
          <w:bCs/>
          <w:iCs w:val="0"/>
          <w:u w:val="single"/>
        </w:rPr>
        <w:t>B</w:t>
      </w:r>
      <w:r w:rsidR="00A879A8" w:rsidRPr="008C5BCD">
        <w:rPr>
          <w:rStyle w:val="Heading7Char"/>
          <w:rFonts w:ascii="Cambria" w:hAnsi="Cambria" w:cstheme="minorHAnsi"/>
          <w:b w:val="0"/>
          <w:bCs/>
          <w:iCs w:val="0"/>
          <w:u w:val="single"/>
        </w:rPr>
        <w:t>1</w:t>
      </w:r>
      <w:r w:rsidR="00A879A8" w:rsidRPr="008C5BCD">
        <w:rPr>
          <w:rStyle w:val="Heading7Char"/>
          <w:rFonts w:ascii="Cambria" w:hAnsi="Cambria" w:cstheme="minorHAnsi"/>
          <w:b w:val="0"/>
          <w:bCs/>
          <w:iCs w:val="0"/>
        </w:rPr>
        <w:t>.</w:t>
      </w:r>
    </w:p>
    <w:p w14:paraId="41E79703" w14:textId="58F2987D" w:rsidR="00E3685E" w:rsidRPr="00376B63" w:rsidRDefault="00C7446C" w:rsidP="00AD4454">
      <w:pPr>
        <w:pStyle w:val="Heading6"/>
      </w:pPr>
      <w:r w:rsidRPr="00376B63">
        <w:rPr>
          <w:rStyle w:val="Heading7Char"/>
          <w:iCs w:val="0"/>
        </w:rPr>
        <w:t xml:space="preserve">Coastal </w:t>
      </w:r>
      <w:r w:rsidR="00B45B44" w:rsidRPr="00376B63">
        <w:rPr>
          <w:rStyle w:val="Heading7Char"/>
          <w:iCs w:val="0"/>
        </w:rPr>
        <w:t>shrubland of the Coorong and dunes</w:t>
      </w:r>
    </w:p>
    <w:bookmarkEnd w:id="37"/>
    <w:p w14:paraId="70D3535B" w14:textId="064F4216" w:rsidR="00082021" w:rsidRDefault="006C535A" w:rsidP="00082021">
      <w:pPr>
        <w:pStyle w:val="ListBullet"/>
      </w:pPr>
      <w:r>
        <w:rPr>
          <w:iCs/>
        </w:rPr>
        <w:t xml:space="preserve">Occurring on the </w:t>
      </w:r>
      <w:r w:rsidR="00A879A8">
        <w:rPr>
          <w:iCs/>
        </w:rPr>
        <w:t>coastal du</w:t>
      </w:r>
      <w:r w:rsidR="003C20F6">
        <w:rPr>
          <w:iCs/>
        </w:rPr>
        <w:t>nes of the Younghusband Peninsula</w:t>
      </w:r>
      <w:r>
        <w:rPr>
          <w:iCs/>
        </w:rPr>
        <w:t>, r</w:t>
      </w:r>
      <w:r w:rsidR="005B6BC1">
        <w:rPr>
          <w:iCs/>
        </w:rPr>
        <w:t>olling spinifex (</w:t>
      </w:r>
      <w:r w:rsidR="00C7446C" w:rsidRPr="00D32DD6">
        <w:rPr>
          <w:i/>
        </w:rPr>
        <w:t>Spinifex hirsut</w:t>
      </w:r>
      <w:r w:rsidR="00C7446C">
        <w:rPr>
          <w:i/>
        </w:rPr>
        <w:t>u</w:t>
      </w:r>
      <w:r w:rsidR="00C7446C" w:rsidRPr="00D32DD6">
        <w:rPr>
          <w:i/>
        </w:rPr>
        <w:t>s</w:t>
      </w:r>
      <w:r w:rsidR="00C7446C">
        <w:t>) is significant in establishing the fore-dunes and other mobile dunes (</w:t>
      </w:r>
      <w:r>
        <w:t xml:space="preserve">i.e. </w:t>
      </w:r>
      <w:r w:rsidR="00C7446C">
        <w:t xml:space="preserve">on the seaward side of the Coorong) (Paton, 2010). Secondary colonisers include rushes (e.g. </w:t>
      </w:r>
      <w:r w:rsidR="00C7446C" w:rsidRPr="00A40947">
        <w:rPr>
          <w:i/>
        </w:rPr>
        <w:t>Ficinia</w:t>
      </w:r>
      <w:r w:rsidR="00C7446C" w:rsidRPr="00906898">
        <w:rPr>
          <w:bCs/>
        </w:rPr>
        <w:t xml:space="preserve"> </w:t>
      </w:r>
      <w:r w:rsidR="00C7446C" w:rsidRPr="00D32DD6">
        <w:rPr>
          <w:i/>
        </w:rPr>
        <w:t>nodosa</w:t>
      </w:r>
      <w:r w:rsidR="00C7446C">
        <w:rPr>
          <w:i/>
        </w:rPr>
        <w:t xml:space="preserve">, </w:t>
      </w:r>
      <w:r w:rsidR="00C7446C">
        <w:t xml:space="preserve">knobby club-rush), creeping succulents (e.g. </w:t>
      </w:r>
      <w:r w:rsidR="00C7446C" w:rsidRPr="00E21BC9">
        <w:rPr>
          <w:i/>
        </w:rPr>
        <w:t>Carpobrotus</w:t>
      </w:r>
      <w:r w:rsidR="00C7446C">
        <w:t xml:space="preserve"> spp., </w:t>
      </w:r>
      <w:r w:rsidR="00C7446C" w:rsidRPr="00A95D2C">
        <w:t>native pigface</w:t>
      </w:r>
      <w:r w:rsidR="00C7446C">
        <w:t xml:space="preserve">), and scattered shrubs. On protected slopes of the dunes there is a moderately dense coastal scrub, typically 2–3 m tall; typical species in these areas are listed in </w:t>
      </w:r>
      <w:r w:rsidR="00C7446C" w:rsidRPr="00E95DD8">
        <w:rPr>
          <w:u w:val="single"/>
        </w:rPr>
        <w:t xml:space="preserve">Table </w:t>
      </w:r>
      <w:r w:rsidR="00E95DD8" w:rsidRPr="00E95DD8">
        <w:rPr>
          <w:u w:val="single"/>
        </w:rPr>
        <w:t>6</w:t>
      </w:r>
      <w:r w:rsidR="00C7446C">
        <w:t xml:space="preserve">. Many of these </w:t>
      </w:r>
      <w:r w:rsidR="00E23DF8">
        <w:t xml:space="preserve">coastal dune </w:t>
      </w:r>
      <w:r w:rsidR="00C7446C">
        <w:t>plants produce fleshy fruits that are consumed and dispersed by frugivorous birds (mainly over summe</w:t>
      </w:r>
      <w:r w:rsidR="00E23DF8">
        <w:t>r</w:t>
      </w:r>
      <w:r w:rsidR="00C47B1B">
        <w:t xml:space="preserve">, see </w:t>
      </w:r>
      <w:r w:rsidR="00C47B1B" w:rsidRPr="00C47B1B">
        <w:rPr>
          <w:u w:val="single"/>
        </w:rPr>
        <w:t>Table 6</w:t>
      </w:r>
      <w:r w:rsidR="00C7446C">
        <w:t xml:space="preserve">). </w:t>
      </w:r>
      <w:r w:rsidR="004637D4">
        <w:t>The parasitic species</w:t>
      </w:r>
      <w:r w:rsidR="00C7446C">
        <w:t xml:space="preserve"> </w:t>
      </w:r>
      <w:r w:rsidR="00C7446C" w:rsidRPr="00C24B0B">
        <w:rPr>
          <w:i/>
        </w:rPr>
        <w:t>Amyema melaleucae</w:t>
      </w:r>
      <w:r w:rsidR="00C7446C">
        <w:rPr>
          <w:i/>
        </w:rPr>
        <w:t xml:space="preserve"> </w:t>
      </w:r>
      <w:r w:rsidR="00C7446C">
        <w:t>(tea-tree mistletoe)</w:t>
      </w:r>
      <w:r w:rsidR="004637D4">
        <w:t xml:space="preserve"> colonise</w:t>
      </w:r>
      <w:r w:rsidR="002566EB">
        <w:t xml:space="preserve">s </w:t>
      </w:r>
      <w:r w:rsidR="00C7446C">
        <w:t xml:space="preserve">melaleucas, particularly </w:t>
      </w:r>
      <w:r w:rsidR="00C7446C" w:rsidRPr="00D64AD2">
        <w:rPr>
          <w:i/>
        </w:rPr>
        <w:t>Melaleuca halmaturorum</w:t>
      </w:r>
      <w:r w:rsidR="00C7446C">
        <w:t xml:space="preserve"> (</w:t>
      </w:r>
      <w:r w:rsidR="003154A1">
        <w:t xml:space="preserve">South Australian </w:t>
      </w:r>
      <w:r w:rsidR="00C7446C">
        <w:t>swamp paperbark)</w:t>
      </w:r>
      <w:r w:rsidR="002566EB">
        <w:t>, in the Cooro</w:t>
      </w:r>
      <w:r w:rsidR="00D12052">
        <w:t>ng and has fleshy fruits that attract birds</w:t>
      </w:r>
      <w:r w:rsidR="007D65E2">
        <w:t xml:space="preserve"> for dispersal</w:t>
      </w:r>
      <w:r w:rsidR="00C7446C">
        <w:t>.</w:t>
      </w:r>
    </w:p>
    <w:p w14:paraId="3F07D734" w14:textId="5A1BF060" w:rsidR="00C66E38" w:rsidRDefault="00C0188F" w:rsidP="00C66E38">
      <w:r w:rsidRPr="009B58D8">
        <w:t>Over the last six decades, the vegetation on the Younghusband Peninsula has become more extensive, as the site recovers from being used for grazing prior to the area being declared a national park</w:t>
      </w:r>
      <w:r w:rsidR="003F625D">
        <w:t xml:space="preserve"> </w:t>
      </w:r>
      <w:r w:rsidR="00C66E38" w:rsidRPr="009B58D8">
        <w:t>(</w:t>
      </w:r>
      <w:r w:rsidR="00C66E38" w:rsidRPr="00C0188F">
        <w:t>Da Silva et al. 2024).</w:t>
      </w:r>
    </w:p>
    <w:p w14:paraId="5D10A7E7" w14:textId="2ED4F416" w:rsidR="000C60F1" w:rsidRPr="00EC552F" w:rsidRDefault="000C60F1" w:rsidP="000C60F1">
      <w:r>
        <w:t xml:space="preserve">The shorelines of the Coorong include extensive sandy beaches, muddy bays, and samphire shrublands. </w:t>
      </w:r>
      <w:r w:rsidRPr="009B58D8">
        <w:t>The Coorong</w:t>
      </w:r>
      <w:r>
        <w:t>’s</w:t>
      </w:r>
      <w:r w:rsidRPr="009B58D8">
        <w:t xml:space="preserve"> samphire-dominated coastal saltmarshes are of unique value</w:t>
      </w:r>
      <w:r>
        <w:t xml:space="preserve"> compared to many others around Australia, and form part of another EPBC Act listed EC (see </w:t>
      </w:r>
      <w:r w:rsidRPr="008C5BCD">
        <w:rPr>
          <w:u w:val="single"/>
        </w:rPr>
        <w:t>Section 5</w:t>
      </w:r>
      <w:r w:rsidRPr="008C5BCD">
        <w:t>).</w:t>
      </w:r>
      <w:r>
        <w:t xml:space="preserve"> This is </w:t>
      </w:r>
      <w:r w:rsidRPr="009B58D8">
        <w:t xml:space="preserve">due to them experiencing a </w:t>
      </w:r>
      <w:r>
        <w:t xml:space="preserve">comparative </w:t>
      </w:r>
      <w:r w:rsidRPr="009B58D8">
        <w:t>delay in</w:t>
      </w:r>
      <w:r>
        <w:t xml:space="preserve"> </w:t>
      </w:r>
      <w:r w:rsidRPr="009B58D8">
        <w:t>the effects of sea-level rise</w:t>
      </w:r>
      <w:r>
        <w:t>—</w:t>
      </w:r>
    </w:p>
    <w:p w14:paraId="7453B750" w14:textId="77777777" w:rsidR="00863AAE" w:rsidRDefault="00863AAE" w:rsidP="00F6354C">
      <w:pPr>
        <w:pStyle w:val="Caption"/>
        <w:rPr>
          <w:szCs w:val="22"/>
        </w:rPr>
      </w:pPr>
    </w:p>
    <w:p w14:paraId="56B3CD42" w14:textId="77777777" w:rsidR="00863AAE" w:rsidRDefault="00863AAE" w:rsidP="00F6354C">
      <w:pPr>
        <w:pStyle w:val="Caption"/>
        <w:rPr>
          <w:szCs w:val="22"/>
        </w:rPr>
      </w:pPr>
    </w:p>
    <w:p w14:paraId="72A5B7ED" w14:textId="2A62F387" w:rsidR="009872DE" w:rsidRPr="00F6354C" w:rsidRDefault="00F6354C" w:rsidP="00F6354C">
      <w:pPr>
        <w:pStyle w:val="Caption"/>
        <w:rPr>
          <w:b w:val="0"/>
          <w:bCs/>
          <w:szCs w:val="22"/>
        </w:rPr>
      </w:pPr>
      <w:r w:rsidRPr="00F6354C">
        <w:rPr>
          <w:szCs w:val="22"/>
        </w:rPr>
        <w:lastRenderedPageBreak/>
        <w:t xml:space="preserve">Table </w:t>
      </w:r>
      <w:r w:rsidRPr="00F6354C">
        <w:rPr>
          <w:szCs w:val="22"/>
        </w:rPr>
        <w:fldChar w:fldCharType="begin"/>
      </w:r>
      <w:r w:rsidRPr="00F6354C">
        <w:rPr>
          <w:szCs w:val="22"/>
        </w:rPr>
        <w:instrText xml:space="preserve"> SEQ Table \* ARABIC </w:instrText>
      </w:r>
      <w:r w:rsidRPr="00F6354C">
        <w:rPr>
          <w:szCs w:val="22"/>
        </w:rPr>
        <w:fldChar w:fldCharType="separate"/>
      </w:r>
      <w:r w:rsidR="006D35C5">
        <w:rPr>
          <w:noProof/>
          <w:szCs w:val="22"/>
        </w:rPr>
        <w:t>6</w:t>
      </w:r>
      <w:r w:rsidRPr="00F6354C">
        <w:rPr>
          <w:szCs w:val="22"/>
        </w:rPr>
        <w:fldChar w:fldCharType="end"/>
      </w:r>
      <w:r w:rsidR="009872DE" w:rsidRPr="00F6354C">
        <w:rPr>
          <w:bCs/>
          <w:szCs w:val="22"/>
        </w:rPr>
        <w:t xml:space="preserve">: </w:t>
      </w:r>
      <w:r w:rsidR="00AE5355" w:rsidRPr="00F6354C">
        <w:rPr>
          <w:bCs/>
          <w:szCs w:val="22"/>
        </w:rPr>
        <w:t>‘</w:t>
      </w:r>
      <w:r w:rsidR="00757832" w:rsidRPr="00F6354C">
        <w:rPr>
          <w:bCs/>
          <w:szCs w:val="22"/>
        </w:rPr>
        <w:t>Indicative</w:t>
      </w:r>
      <w:r w:rsidR="00AE5355" w:rsidRPr="00F6354C">
        <w:rPr>
          <w:bCs/>
          <w:szCs w:val="22"/>
        </w:rPr>
        <w:t>’</w:t>
      </w:r>
      <w:r w:rsidR="00757832" w:rsidRPr="00F6354C">
        <w:rPr>
          <w:bCs/>
          <w:szCs w:val="22"/>
        </w:rPr>
        <w:t xml:space="preserve"> vegetation prominent in coastal dune areas </w:t>
      </w:r>
      <w:r w:rsidR="00082021" w:rsidRPr="00F6354C">
        <w:rPr>
          <w:bCs/>
          <w:szCs w:val="22"/>
        </w:rPr>
        <w:t>around</w:t>
      </w:r>
      <w:r w:rsidR="00757832" w:rsidRPr="00F6354C">
        <w:rPr>
          <w:bCs/>
          <w:szCs w:val="22"/>
        </w:rPr>
        <w:t xml:space="preserve"> the Coorong</w:t>
      </w:r>
      <w:r w:rsidR="000D2D29" w:rsidRPr="00F6354C">
        <w:rPr>
          <w:bCs/>
          <w:szCs w:val="22"/>
        </w:rPr>
        <w:t xml:space="preserve">, including Young Husband and Narrung </w:t>
      </w:r>
      <w:r w:rsidR="00493CFF" w:rsidRPr="00F6354C">
        <w:rPr>
          <w:bCs/>
          <w:szCs w:val="22"/>
        </w:rPr>
        <w:t>peninsulas</w:t>
      </w:r>
      <w:r w:rsidR="00757832" w:rsidRPr="00F6354C">
        <w:rPr>
          <w:bCs/>
          <w:szCs w:val="22"/>
        </w:rPr>
        <w:t xml:space="preserve"> (after Paton 2010</w:t>
      </w:r>
      <w:r w:rsidR="00F114D4" w:rsidRPr="00F6354C">
        <w:rPr>
          <w:bCs/>
          <w:szCs w:val="22"/>
        </w:rPr>
        <w:t>;</w:t>
      </w:r>
      <w:r w:rsidR="006F4824" w:rsidRPr="00F6354C">
        <w:rPr>
          <w:bCs/>
          <w:szCs w:val="22"/>
        </w:rPr>
        <w:t xml:space="preserve"> Jellinek et al. 2018</w:t>
      </w:r>
      <w:r w:rsidR="008566D1" w:rsidRPr="00F6354C">
        <w:rPr>
          <w:bCs/>
          <w:szCs w:val="22"/>
        </w:rPr>
        <w:t>; Coleman &amp; Coleman</w:t>
      </w:r>
      <w:r w:rsidR="00F35A5B" w:rsidRPr="00F6354C">
        <w:rPr>
          <w:bCs/>
          <w:szCs w:val="22"/>
        </w:rPr>
        <w:t xml:space="preserve"> 2024</w:t>
      </w:r>
      <w:r w:rsidR="00757832" w:rsidRPr="00F6354C">
        <w:rPr>
          <w:bCs/>
          <w:szCs w:val="22"/>
        </w:rPr>
        <w:t xml:space="preserve">). </w:t>
      </w:r>
      <w:r w:rsidR="00033D42" w:rsidRPr="00F6354C">
        <w:rPr>
          <w:bCs/>
          <w:szCs w:val="22"/>
        </w:rPr>
        <w:t>*</w:t>
      </w:r>
      <w:r w:rsidR="00B904C7" w:rsidRPr="00F6354C">
        <w:rPr>
          <w:bCs/>
          <w:szCs w:val="22"/>
        </w:rPr>
        <w:t xml:space="preserve">Fleshy-fruited species </w:t>
      </w:r>
      <w:r w:rsidR="000D2D29" w:rsidRPr="00F6354C">
        <w:rPr>
          <w:bCs/>
          <w:szCs w:val="22"/>
        </w:rPr>
        <w:t xml:space="preserve">often </w:t>
      </w:r>
      <w:r w:rsidR="00033D42" w:rsidRPr="00F6354C">
        <w:rPr>
          <w:bCs/>
          <w:szCs w:val="22"/>
        </w:rPr>
        <w:t>consumed by frugivorous birds.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A43E33" w14:paraId="32425E7B" w14:textId="77777777" w:rsidTr="00CA6378">
        <w:trPr>
          <w:cantSplit/>
          <w:trHeight w:val="20"/>
          <w:tblHeader/>
        </w:trPr>
        <w:tc>
          <w:tcPr>
            <w:tcW w:w="2500" w:type="pct"/>
            <w:shd w:val="clear" w:color="auto" w:fill="D9D9D9" w:themeFill="background1" w:themeFillShade="D9"/>
          </w:tcPr>
          <w:p w14:paraId="110AFA69" w14:textId="77777777" w:rsidR="00A43E33" w:rsidRPr="000C60F1" w:rsidRDefault="00A43E33" w:rsidP="00CD5901">
            <w:pPr>
              <w:pStyle w:val="tableheadertext"/>
            </w:pPr>
            <w:r w:rsidRPr="000C60F1">
              <w:t>Dune Plant Species</w:t>
            </w:r>
          </w:p>
        </w:tc>
        <w:tc>
          <w:tcPr>
            <w:tcW w:w="2500" w:type="pct"/>
            <w:shd w:val="clear" w:color="auto" w:fill="D9D9D9" w:themeFill="background1" w:themeFillShade="D9"/>
          </w:tcPr>
          <w:p w14:paraId="6D355673" w14:textId="77777777" w:rsidR="00A43E33" w:rsidRPr="000C60F1" w:rsidRDefault="00A43E33" w:rsidP="00CD5901">
            <w:pPr>
              <w:pStyle w:val="tableheadertext"/>
            </w:pPr>
            <w:r w:rsidRPr="000C60F1">
              <w:t>Common Name</w:t>
            </w:r>
          </w:p>
        </w:tc>
      </w:tr>
      <w:tr w:rsidR="00A43E33" w14:paraId="543FBB16" w14:textId="77777777" w:rsidTr="00E62287">
        <w:trPr>
          <w:cantSplit/>
          <w:trHeight w:val="20"/>
        </w:trPr>
        <w:tc>
          <w:tcPr>
            <w:tcW w:w="2500" w:type="pct"/>
          </w:tcPr>
          <w:p w14:paraId="372F7352"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 xml:space="preserve">Acacia longifolia </w:t>
            </w:r>
            <w:r w:rsidRPr="00C85D3D">
              <w:rPr>
                <w:rFonts w:ascii="Cambria" w:hAnsi="Cambria"/>
                <w:szCs w:val="22"/>
              </w:rPr>
              <w:t>subsp</w:t>
            </w:r>
            <w:r w:rsidRPr="00C85D3D">
              <w:rPr>
                <w:rFonts w:ascii="Cambria" w:hAnsi="Cambria"/>
                <w:i/>
                <w:szCs w:val="22"/>
              </w:rPr>
              <w:t>. sophorae</w:t>
            </w:r>
          </w:p>
        </w:tc>
        <w:tc>
          <w:tcPr>
            <w:tcW w:w="2500" w:type="pct"/>
          </w:tcPr>
          <w:p w14:paraId="3267D413" w14:textId="360C5665" w:rsidR="00A43E33" w:rsidRPr="00C85D3D" w:rsidRDefault="00A43E33" w:rsidP="00757832">
            <w:pPr>
              <w:pStyle w:val="tabletext1"/>
              <w:spacing w:after="120"/>
              <w:ind w:left="272"/>
              <w:rPr>
                <w:rFonts w:ascii="Cambria" w:hAnsi="Cambria"/>
                <w:szCs w:val="22"/>
              </w:rPr>
            </w:pPr>
            <w:r w:rsidRPr="00C85D3D">
              <w:rPr>
                <w:rFonts w:ascii="Cambria" w:hAnsi="Cambria"/>
                <w:szCs w:val="22"/>
              </w:rPr>
              <w:t>coastal wattl</w:t>
            </w:r>
            <w:r w:rsidR="00BD7A00" w:rsidRPr="00C85D3D">
              <w:rPr>
                <w:rFonts w:ascii="Cambria" w:hAnsi="Cambria"/>
                <w:szCs w:val="22"/>
              </w:rPr>
              <w:t>e</w:t>
            </w:r>
            <w:r w:rsidR="00033D42" w:rsidRPr="00C85D3D">
              <w:rPr>
                <w:rFonts w:ascii="Cambria" w:hAnsi="Cambria"/>
                <w:szCs w:val="22"/>
              </w:rPr>
              <w:t>*</w:t>
            </w:r>
          </w:p>
        </w:tc>
      </w:tr>
      <w:tr w:rsidR="006E583D" w14:paraId="7EBF82F1" w14:textId="77777777" w:rsidTr="00E62287">
        <w:trPr>
          <w:cantSplit/>
          <w:trHeight w:val="20"/>
        </w:trPr>
        <w:tc>
          <w:tcPr>
            <w:tcW w:w="2500" w:type="pct"/>
          </w:tcPr>
          <w:p w14:paraId="3157224D" w14:textId="13067428" w:rsidR="006E583D" w:rsidRPr="00C85D3D" w:rsidRDefault="006E583D" w:rsidP="00757832">
            <w:pPr>
              <w:pStyle w:val="tabletext1"/>
              <w:spacing w:after="120"/>
              <w:ind w:left="0"/>
              <w:rPr>
                <w:rFonts w:ascii="Cambria" w:hAnsi="Cambria"/>
                <w:i/>
                <w:szCs w:val="22"/>
              </w:rPr>
            </w:pPr>
            <w:r w:rsidRPr="00C85D3D">
              <w:rPr>
                <w:rFonts w:ascii="Cambria" w:hAnsi="Cambria"/>
                <w:i/>
                <w:szCs w:val="22"/>
              </w:rPr>
              <w:t>Acaena nova-zealandiae</w:t>
            </w:r>
          </w:p>
        </w:tc>
        <w:tc>
          <w:tcPr>
            <w:tcW w:w="2500" w:type="pct"/>
          </w:tcPr>
          <w:p w14:paraId="76CBAD2D" w14:textId="24BBE8F9" w:rsidR="006E583D" w:rsidRPr="00C85D3D" w:rsidRDefault="009A30D4" w:rsidP="00757832">
            <w:pPr>
              <w:pStyle w:val="tabletext1"/>
              <w:spacing w:after="120"/>
              <w:ind w:left="272"/>
              <w:rPr>
                <w:rFonts w:ascii="Cambria" w:hAnsi="Cambria"/>
                <w:szCs w:val="22"/>
              </w:rPr>
            </w:pPr>
            <w:r w:rsidRPr="00C85D3D">
              <w:rPr>
                <w:rFonts w:ascii="Cambria" w:hAnsi="Cambria"/>
                <w:szCs w:val="22"/>
              </w:rPr>
              <w:t>bidgee-widgee</w:t>
            </w:r>
          </w:p>
        </w:tc>
      </w:tr>
      <w:tr w:rsidR="00A43E33" w14:paraId="08146913" w14:textId="77777777" w:rsidTr="00E62287">
        <w:trPr>
          <w:cantSplit/>
          <w:trHeight w:val="20"/>
        </w:trPr>
        <w:tc>
          <w:tcPr>
            <w:tcW w:w="2500" w:type="pct"/>
          </w:tcPr>
          <w:p w14:paraId="2BF92132"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 xml:space="preserve">Adriana </w:t>
            </w:r>
            <w:r w:rsidRPr="00C85D3D">
              <w:rPr>
                <w:rStyle w:val="Strong"/>
                <w:rFonts w:ascii="Cambria" w:hAnsi="Cambria"/>
                <w:b w:val="0"/>
                <w:bCs w:val="0"/>
                <w:i/>
                <w:szCs w:val="22"/>
              </w:rPr>
              <w:t>quadripartita</w:t>
            </w:r>
          </w:p>
        </w:tc>
        <w:tc>
          <w:tcPr>
            <w:tcW w:w="2500" w:type="pct"/>
          </w:tcPr>
          <w:p w14:paraId="0F7B4BB7" w14:textId="77777777" w:rsidR="00A43E33" w:rsidRPr="00C85D3D" w:rsidRDefault="00A43E33" w:rsidP="00757832">
            <w:pPr>
              <w:pStyle w:val="tabletext1"/>
              <w:spacing w:after="120"/>
              <w:ind w:left="272"/>
              <w:rPr>
                <w:rFonts w:ascii="Cambria" w:hAnsi="Cambria"/>
                <w:szCs w:val="22"/>
              </w:rPr>
            </w:pPr>
            <w:r w:rsidRPr="00C85D3D">
              <w:rPr>
                <w:rFonts w:ascii="Cambria" w:hAnsi="Cambria"/>
                <w:szCs w:val="22"/>
              </w:rPr>
              <w:t>coast bitter-bush</w:t>
            </w:r>
          </w:p>
        </w:tc>
      </w:tr>
      <w:tr w:rsidR="0095285A" w14:paraId="3F2A7C56" w14:textId="77777777" w:rsidTr="00E62287">
        <w:trPr>
          <w:cantSplit/>
          <w:trHeight w:val="20"/>
        </w:trPr>
        <w:tc>
          <w:tcPr>
            <w:tcW w:w="2500" w:type="pct"/>
          </w:tcPr>
          <w:p w14:paraId="15BE090F" w14:textId="49CE7EAE" w:rsidR="0095285A" w:rsidRPr="00C85D3D" w:rsidRDefault="0095285A" w:rsidP="00757832">
            <w:pPr>
              <w:pStyle w:val="tabletext1"/>
              <w:spacing w:after="120"/>
              <w:ind w:left="0"/>
              <w:rPr>
                <w:rFonts w:ascii="Cambria" w:hAnsi="Cambria"/>
                <w:i/>
                <w:szCs w:val="22"/>
              </w:rPr>
            </w:pPr>
            <w:r w:rsidRPr="00C85D3D">
              <w:rPr>
                <w:rFonts w:ascii="Cambria" w:hAnsi="Cambria"/>
                <w:i/>
                <w:szCs w:val="22"/>
              </w:rPr>
              <w:t>Allocasuarina verticillata</w:t>
            </w:r>
          </w:p>
        </w:tc>
        <w:tc>
          <w:tcPr>
            <w:tcW w:w="2500" w:type="pct"/>
          </w:tcPr>
          <w:p w14:paraId="366E43C4" w14:textId="6FB96F8A" w:rsidR="0095285A" w:rsidRPr="00C85D3D" w:rsidRDefault="00AA2CD0" w:rsidP="00757832">
            <w:pPr>
              <w:pStyle w:val="tabletext1"/>
              <w:spacing w:after="120"/>
              <w:ind w:left="272"/>
              <w:rPr>
                <w:rFonts w:ascii="Cambria" w:hAnsi="Cambria"/>
                <w:szCs w:val="22"/>
              </w:rPr>
            </w:pPr>
            <w:r w:rsidRPr="00C85D3D">
              <w:rPr>
                <w:szCs w:val="22"/>
              </w:rPr>
              <w:t>d</w:t>
            </w:r>
            <w:r w:rsidR="0095285A" w:rsidRPr="00C85D3D">
              <w:rPr>
                <w:szCs w:val="22"/>
              </w:rPr>
              <w:t>rooping</w:t>
            </w:r>
            <w:r w:rsidRPr="00C85D3D">
              <w:rPr>
                <w:szCs w:val="22"/>
              </w:rPr>
              <w:t xml:space="preserve"> sheoak</w:t>
            </w:r>
          </w:p>
        </w:tc>
      </w:tr>
      <w:tr w:rsidR="00A43E33" w14:paraId="65EFC9C2" w14:textId="77777777" w:rsidTr="00E62287">
        <w:trPr>
          <w:cantSplit/>
          <w:trHeight w:val="20"/>
        </w:trPr>
        <w:tc>
          <w:tcPr>
            <w:tcW w:w="2500" w:type="pct"/>
          </w:tcPr>
          <w:p w14:paraId="120FBD38"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Alyxia buxifolia</w:t>
            </w:r>
          </w:p>
        </w:tc>
        <w:tc>
          <w:tcPr>
            <w:tcW w:w="2500" w:type="pct"/>
          </w:tcPr>
          <w:p w14:paraId="00DAD37B" w14:textId="77777777" w:rsidR="00A43E33" w:rsidRPr="00C85D3D" w:rsidRDefault="00A43E33" w:rsidP="00757832">
            <w:pPr>
              <w:pStyle w:val="tabletext1"/>
              <w:spacing w:after="120"/>
              <w:ind w:left="272"/>
              <w:rPr>
                <w:rFonts w:ascii="Cambria" w:hAnsi="Cambria"/>
                <w:szCs w:val="22"/>
              </w:rPr>
            </w:pPr>
            <w:r w:rsidRPr="00C85D3D">
              <w:rPr>
                <w:rFonts w:ascii="Cambria" w:hAnsi="Cambria"/>
                <w:szCs w:val="22"/>
              </w:rPr>
              <w:t>sea box</w:t>
            </w:r>
          </w:p>
        </w:tc>
      </w:tr>
      <w:tr w:rsidR="001F4941" w14:paraId="1B41F00D" w14:textId="77777777" w:rsidTr="00E62287">
        <w:trPr>
          <w:cantSplit/>
          <w:trHeight w:val="20"/>
        </w:trPr>
        <w:tc>
          <w:tcPr>
            <w:tcW w:w="2500" w:type="pct"/>
          </w:tcPr>
          <w:p w14:paraId="28420D4C" w14:textId="4BA2E51C" w:rsidR="001F4941" w:rsidRPr="00C85D3D" w:rsidRDefault="001F4941" w:rsidP="00757832">
            <w:pPr>
              <w:pStyle w:val="tabletext1"/>
              <w:spacing w:after="120"/>
              <w:ind w:left="0"/>
              <w:rPr>
                <w:rFonts w:ascii="Cambria" w:hAnsi="Cambria"/>
                <w:i/>
                <w:szCs w:val="22"/>
              </w:rPr>
            </w:pPr>
            <w:r w:rsidRPr="00C85D3D">
              <w:rPr>
                <w:i/>
                <w:szCs w:val="22"/>
              </w:rPr>
              <w:t>Amyema melaleucae</w:t>
            </w:r>
          </w:p>
        </w:tc>
        <w:tc>
          <w:tcPr>
            <w:tcW w:w="2500" w:type="pct"/>
          </w:tcPr>
          <w:p w14:paraId="0904E13F" w14:textId="21395745" w:rsidR="001F4941" w:rsidRPr="00C85D3D" w:rsidRDefault="00990105" w:rsidP="00757832">
            <w:pPr>
              <w:pStyle w:val="tabletext1"/>
              <w:spacing w:after="120"/>
              <w:ind w:left="272"/>
              <w:rPr>
                <w:rFonts w:ascii="Cambria" w:hAnsi="Cambria"/>
                <w:szCs w:val="22"/>
              </w:rPr>
            </w:pPr>
            <w:r w:rsidRPr="00C85D3D">
              <w:rPr>
                <w:rFonts w:ascii="Cambria" w:hAnsi="Cambria"/>
                <w:szCs w:val="22"/>
              </w:rPr>
              <w:t>tea-tree mistletoe</w:t>
            </w:r>
          </w:p>
        </w:tc>
      </w:tr>
      <w:tr w:rsidR="00372391" w14:paraId="645AEF53" w14:textId="77777777" w:rsidTr="00E62287">
        <w:trPr>
          <w:cantSplit/>
          <w:trHeight w:val="20"/>
        </w:trPr>
        <w:tc>
          <w:tcPr>
            <w:tcW w:w="2500" w:type="pct"/>
          </w:tcPr>
          <w:p w14:paraId="2DAC743B" w14:textId="67763FFF" w:rsidR="00372391" w:rsidRPr="00C85D3D" w:rsidRDefault="00372391" w:rsidP="00757832">
            <w:pPr>
              <w:pStyle w:val="tabletext1"/>
              <w:spacing w:after="120"/>
              <w:ind w:left="0"/>
              <w:rPr>
                <w:rFonts w:ascii="Cambria" w:hAnsi="Cambria"/>
                <w:i/>
                <w:szCs w:val="22"/>
              </w:rPr>
            </w:pPr>
            <w:r w:rsidRPr="00C85D3D">
              <w:rPr>
                <w:rFonts w:ascii="Cambria" w:hAnsi="Cambria"/>
                <w:i/>
                <w:szCs w:val="22"/>
              </w:rPr>
              <w:t>Carpobrotus rossii</w:t>
            </w:r>
          </w:p>
        </w:tc>
        <w:tc>
          <w:tcPr>
            <w:tcW w:w="2500" w:type="pct"/>
          </w:tcPr>
          <w:p w14:paraId="4BF3D5B9" w14:textId="7CAD8966" w:rsidR="00372391" w:rsidRPr="00C85D3D" w:rsidRDefault="006E583D" w:rsidP="00757832">
            <w:pPr>
              <w:pStyle w:val="tabletext1"/>
              <w:spacing w:after="120"/>
              <w:ind w:left="272"/>
              <w:rPr>
                <w:rFonts w:ascii="Cambria" w:hAnsi="Cambria"/>
                <w:szCs w:val="22"/>
              </w:rPr>
            </w:pPr>
            <w:r w:rsidRPr="00C85D3D">
              <w:rPr>
                <w:rFonts w:ascii="Cambria" w:hAnsi="Cambria"/>
                <w:szCs w:val="22"/>
              </w:rPr>
              <w:t>karkalla</w:t>
            </w:r>
          </w:p>
        </w:tc>
      </w:tr>
      <w:tr w:rsidR="00F114D4" w14:paraId="6B18AFE5" w14:textId="77777777" w:rsidTr="00E62287">
        <w:trPr>
          <w:cantSplit/>
          <w:trHeight w:val="20"/>
        </w:trPr>
        <w:tc>
          <w:tcPr>
            <w:tcW w:w="2500" w:type="pct"/>
          </w:tcPr>
          <w:p w14:paraId="476100DB" w14:textId="209C50DE" w:rsidR="00F114D4" w:rsidRPr="00C85D3D" w:rsidRDefault="00F114D4" w:rsidP="00757832">
            <w:pPr>
              <w:pStyle w:val="tabletext1"/>
              <w:spacing w:after="120"/>
              <w:ind w:left="0"/>
              <w:rPr>
                <w:rFonts w:ascii="Cambria" w:hAnsi="Cambria"/>
                <w:i/>
                <w:szCs w:val="22"/>
              </w:rPr>
            </w:pPr>
            <w:r w:rsidRPr="00C85D3D">
              <w:rPr>
                <w:rFonts w:ascii="Cambria" w:hAnsi="Cambria"/>
                <w:i/>
                <w:szCs w:val="22"/>
              </w:rPr>
              <w:t xml:space="preserve">Carpobrotus </w:t>
            </w:r>
            <w:r w:rsidRPr="00C85D3D">
              <w:rPr>
                <w:rFonts w:ascii="Cambria" w:hAnsi="Cambria"/>
                <w:iCs/>
                <w:szCs w:val="22"/>
              </w:rPr>
              <w:t>spp.</w:t>
            </w:r>
          </w:p>
        </w:tc>
        <w:tc>
          <w:tcPr>
            <w:tcW w:w="2500" w:type="pct"/>
          </w:tcPr>
          <w:p w14:paraId="6F6AB117" w14:textId="5D6554D2" w:rsidR="00F114D4" w:rsidRPr="00C85D3D" w:rsidRDefault="00F114D4" w:rsidP="00757832">
            <w:pPr>
              <w:pStyle w:val="tabletext1"/>
              <w:spacing w:after="120"/>
              <w:ind w:left="272"/>
              <w:rPr>
                <w:rFonts w:ascii="Cambria" w:hAnsi="Cambria"/>
                <w:szCs w:val="22"/>
              </w:rPr>
            </w:pPr>
            <w:r w:rsidRPr="00C85D3D">
              <w:rPr>
                <w:rFonts w:ascii="Cambria" w:hAnsi="Cambria"/>
                <w:szCs w:val="22"/>
              </w:rPr>
              <w:t>native pigface</w:t>
            </w:r>
          </w:p>
        </w:tc>
      </w:tr>
      <w:tr w:rsidR="00055BD4" w14:paraId="56F6D731" w14:textId="77777777" w:rsidTr="00E62287">
        <w:trPr>
          <w:cantSplit/>
          <w:trHeight w:val="20"/>
        </w:trPr>
        <w:tc>
          <w:tcPr>
            <w:tcW w:w="2500" w:type="pct"/>
          </w:tcPr>
          <w:p w14:paraId="05C69B0A" w14:textId="6DE1E9FD" w:rsidR="00055BD4" w:rsidRPr="00C85D3D" w:rsidRDefault="00055BD4" w:rsidP="00757832">
            <w:pPr>
              <w:pStyle w:val="tabletext1"/>
              <w:spacing w:after="120"/>
              <w:ind w:left="0"/>
              <w:rPr>
                <w:rFonts w:ascii="Cambria" w:hAnsi="Cambria"/>
                <w:i/>
                <w:szCs w:val="22"/>
              </w:rPr>
            </w:pPr>
            <w:r w:rsidRPr="00C85D3D">
              <w:rPr>
                <w:rFonts w:ascii="Cambria" w:hAnsi="Cambria"/>
                <w:i/>
                <w:szCs w:val="22"/>
              </w:rPr>
              <w:t>Clematis microphylla</w:t>
            </w:r>
          </w:p>
        </w:tc>
        <w:tc>
          <w:tcPr>
            <w:tcW w:w="2500" w:type="pct"/>
          </w:tcPr>
          <w:p w14:paraId="2F36736D" w14:textId="0EDA7FE8" w:rsidR="00055BD4" w:rsidRPr="00C85D3D" w:rsidRDefault="00055BD4" w:rsidP="00757832">
            <w:pPr>
              <w:pStyle w:val="tabletext1"/>
              <w:spacing w:after="120"/>
              <w:ind w:left="272"/>
              <w:rPr>
                <w:rFonts w:ascii="Cambria" w:hAnsi="Cambria"/>
                <w:szCs w:val="22"/>
              </w:rPr>
            </w:pPr>
            <w:r w:rsidRPr="00C85D3D">
              <w:rPr>
                <w:rFonts w:ascii="Cambria" w:hAnsi="Cambria"/>
                <w:szCs w:val="22"/>
              </w:rPr>
              <w:t>small-leaved clematis</w:t>
            </w:r>
          </w:p>
        </w:tc>
      </w:tr>
      <w:tr w:rsidR="00055BD4" w14:paraId="68086972" w14:textId="77777777" w:rsidTr="00E62287">
        <w:trPr>
          <w:cantSplit/>
          <w:trHeight w:val="20"/>
        </w:trPr>
        <w:tc>
          <w:tcPr>
            <w:tcW w:w="2500" w:type="pct"/>
          </w:tcPr>
          <w:p w14:paraId="22BA445C" w14:textId="2E2E05E3" w:rsidR="00055BD4" w:rsidRPr="00C85D3D" w:rsidRDefault="00055BD4" w:rsidP="00757832">
            <w:pPr>
              <w:pStyle w:val="tabletext1"/>
              <w:spacing w:after="120"/>
              <w:ind w:left="0"/>
              <w:rPr>
                <w:rFonts w:ascii="Cambria" w:hAnsi="Cambria"/>
                <w:i/>
                <w:szCs w:val="22"/>
              </w:rPr>
            </w:pPr>
            <w:r w:rsidRPr="00C85D3D">
              <w:rPr>
                <w:rFonts w:ascii="Cambria" w:hAnsi="Cambria"/>
                <w:i/>
                <w:szCs w:val="22"/>
              </w:rPr>
              <w:t>Dianella brevicaulis</w:t>
            </w:r>
          </w:p>
        </w:tc>
        <w:tc>
          <w:tcPr>
            <w:tcW w:w="2500" w:type="pct"/>
          </w:tcPr>
          <w:p w14:paraId="5EDD3A0A" w14:textId="3AA060D0" w:rsidR="00055BD4" w:rsidRPr="00C85D3D" w:rsidRDefault="00055BD4" w:rsidP="00757832">
            <w:pPr>
              <w:pStyle w:val="tabletext1"/>
              <w:spacing w:after="120"/>
              <w:ind w:left="272"/>
              <w:rPr>
                <w:rFonts w:ascii="Cambria" w:hAnsi="Cambria"/>
                <w:szCs w:val="22"/>
              </w:rPr>
            </w:pPr>
            <w:r w:rsidRPr="00C85D3D">
              <w:rPr>
                <w:rFonts w:ascii="Cambria" w:hAnsi="Cambria"/>
                <w:szCs w:val="22"/>
              </w:rPr>
              <w:t>native flax-lily</w:t>
            </w:r>
          </w:p>
        </w:tc>
      </w:tr>
      <w:tr w:rsidR="00EA3449" w14:paraId="142E47CA" w14:textId="77777777" w:rsidTr="00E62287">
        <w:trPr>
          <w:cantSplit/>
          <w:trHeight w:val="20"/>
        </w:trPr>
        <w:tc>
          <w:tcPr>
            <w:tcW w:w="2500" w:type="pct"/>
          </w:tcPr>
          <w:p w14:paraId="7F53FAA6" w14:textId="616B04FF" w:rsidR="00EA3449" w:rsidRPr="00C85D3D" w:rsidRDefault="00EA3449" w:rsidP="00757832">
            <w:pPr>
              <w:pStyle w:val="tabletext1"/>
              <w:spacing w:after="120"/>
              <w:ind w:left="0"/>
              <w:rPr>
                <w:rFonts w:ascii="Cambria" w:hAnsi="Cambria"/>
                <w:i/>
                <w:szCs w:val="22"/>
              </w:rPr>
            </w:pPr>
            <w:r w:rsidRPr="00C85D3D">
              <w:rPr>
                <w:rFonts w:ascii="Cambria" w:hAnsi="Cambria"/>
                <w:i/>
                <w:szCs w:val="22"/>
              </w:rPr>
              <w:t>Eucalyptus diversifolia subsp.</w:t>
            </w:r>
            <w:r w:rsidR="0043023F" w:rsidRPr="00C85D3D">
              <w:rPr>
                <w:rFonts w:ascii="Cambria" w:hAnsi="Cambria"/>
                <w:i/>
                <w:szCs w:val="22"/>
              </w:rPr>
              <w:t xml:space="preserve"> diversifolia</w:t>
            </w:r>
          </w:p>
        </w:tc>
        <w:tc>
          <w:tcPr>
            <w:tcW w:w="2500" w:type="pct"/>
          </w:tcPr>
          <w:p w14:paraId="53C3A8C4" w14:textId="5605F48B" w:rsidR="00EA3449" w:rsidRPr="00C85D3D" w:rsidRDefault="009A30D4" w:rsidP="00757832">
            <w:pPr>
              <w:pStyle w:val="tabletext1"/>
              <w:spacing w:after="120"/>
              <w:ind w:left="272"/>
              <w:rPr>
                <w:rFonts w:ascii="Cambria" w:hAnsi="Cambria"/>
                <w:szCs w:val="22"/>
              </w:rPr>
            </w:pPr>
            <w:r w:rsidRPr="00C85D3D">
              <w:rPr>
                <w:rFonts w:ascii="Cambria" w:hAnsi="Cambria"/>
                <w:szCs w:val="22"/>
              </w:rPr>
              <w:t>coastal white mallee</w:t>
            </w:r>
          </w:p>
        </w:tc>
      </w:tr>
      <w:tr w:rsidR="00A43E33" w14:paraId="70C2B5F1" w14:textId="77777777" w:rsidTr="00E62287">
        <w:trPr>
          <w:cantSplit/>
          <w:trHeight w:val="20"/>
        </w:trPr>
        <w:tc>
          <w:tcPr>
            <w:tcW w:w="2500" w:type="pct"/>
          </w:tcPr>
          <w:p w14:paraId="01C30C66"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Exocarpa syrticola</w:t>
            </w:r>
          </w:p>
        </w:tc>
        <w:tc>
          <w:tcPr>
            <w:tcW w:w="2500" w:type="pct"/>
          </w:tcPr>
          <w:p w14:paraId="32BF523D" w14:textId="77777777" w:rsidR="00A43E33" w:rsidRPr="00C85D3D" w:rsidRDefault="00A43E33" w:rsidP="00757832">
            <w:pPr>
              <w:pStyle w:val="tabletext1"/>
              <w:spacing w:after="120"/>
              <w:ind w:left="272"/>
              <w:rPr>
                <w:rFonts w:ascii="Cambria" w:hAnsi="Cambria"/>
                <w:szCs w:val="22"/>
              </w:rPr>
            </w:pPr>
            <w:r w:rsidRPr="00C85D3D">
              <w:rPr>
                <w:rFonts w:ascii="Cambria" w:hAnsi="Cambria"/>
                <w:szCs w:val="22"/>
              </w:rPr>
              <w:t>coast cherry</w:t>
            </w:r>
          </w:p>
        </w:tc>
      </w:tr>
      <w:tr w:rsidR="00222BF8" w14:paraId="0A18FA12" w14:textId="77777777" w:rsidTr="00E62287">
        <w:trPr>
          <w:cantSplit/>
          <w:trHeight w:val="20"/>
        </w:trPr>
        <w:tc>
          <w:tcPr>
            <w:tcW w:w="2500" w:type="pct"/>
          </w:tcPr>
          <w:p w14:paraId="43A4213A" w14:textId="2308F914" w:rsidR="00222BF8" w:rsidRPr="00C85D3D" w:rsidRDefault="00222BF8" w:rsidP="00757832">
            <w:pPr>
              <w:pStyle w:val="tabletext1"/>
              <w:spacing w:after="120"/>
              <w:ind w:left="0"/>
              <w:rPr>
                <w:rFonts w:ascii="Cambria" w:hAnsi="Cambria"/>
                <w:i/>
                <w:szCs w:val="22"/>
              </w:rPr>
            </w:pPr>
            <w:r w:rsidRPr="00C85D3D">
              <w:rPr>
                <w:rFonts w:ascii="Cambria" w:hAnsi="Cambria"/>
                <w:i/>
                <w:szCs w:val="22"/>
              </w:rPr>
              <w:t>Fi</w:t>
            </w:r>
            <w:r w:rsidR="00055BD4" w:rsidRPr="00C85D3D">
              <w:rPr>
                <w:rFonts w:ascii="Cambria" w:hAnsi="Cambria"/>
                <w:i/>
                <w:szCs w:val="22"/>
              </w:rPr>
              <w:t>cinia nodosa</w:t>
            </w:r>
          </w:p>
        </w:tc>
        <w:tc>
          <w:tcPr>
            <w:tcW w:w="2500" w:type="pct"/>
          </w:tcPr>
          <w:p w14:paraId="0A9B7D0C" w14:textId="61AAE7E9" w:rsidR="00222BF8" w:rsidRPr="00C85D3D" w:rsidRDefault="00A5273F" w:rsidP="00757832">
            <w:pPr>
              <w:pStyle w:val="tabletext1"/>
              <w:spacing w:after="120"/>
              <w:ind w:left="272"/>
              <w:rPr>
                <w:rFonts w:ascii="Cambria" w:hAnsi="Cambria"/>
                <w:szCs w:val="22"/>
              </w:rPr>
            </w:pPr>
            <w:r w:rsidRPr="00C85D3D">
              <w:rPr>
                <w:rFonts w:ascii="Cambria" w:hAnsi="Cambria"/>
                <w:szCs w:val="22"/>
              </w:rPr>
              <w:t>k</w:t>
            </w:r>
            <w:r w:rsidR="00055BD4" w:rsidRPr="00C85D3D">
              <w:rPr>
                <w:rFonts w:ascii="Cambria" w:hAnsi="Cambria"/>
                <w:szCs w:val="22"/>
              </w:rPr>
              <w:t>nobby club-rush</w:t>
            </w:r>
          </w:p>
        </w:tc>
      </w:tr>
      <w:tr w:rsidR="00C83680" w14:paraId="0735BCEB" w14:textId="77777777" w:rsidTr="00E62287">
        <w:trPr>
          <w:cantSplit/>
          <w:trHeight w:val="20"/>
        </w:trPr>
        <w:tc>
          <w:tcPr>
            <w:tcW w:w="2500" w:type="pct"/>
          </w:tcPr>
          <w:p w14:paraId="4FE68A39" w14:textId="632C236C" w:rsidR="00C83680" w:rsidRPr="00C85D3D" w:rsidRDefault="00C83680" w:rsidP="00757832">
            <w:pPr>
              <w:pStyle w:val="tabletext1"/>
              <w:spacing w:after="120"/>
              <w:ind w:left="0"/>
              <w:rPr>
                <w:rFonts w:ascii="Cambria" w:hAnsi="Cambria"/>
                <w:i/>
                <w:szCs w:val="22"/>
              </w:rPr>
            </w:pPr>
            <w:r w:rsidRPr="00C85D3D">
              <w:rPr>
                <w:rFonts w:ascii="Cambria" w:hAnsi="Cambria"/>
                <w:i/>
                <w:szCs w:val="22"/>
              </w:rPr>
              <w:t>K</w:t>
            </w:r>
            <w:r w:rsidR="00222BF8" w:rsidRPr="00C85D3D">
              <w:rPr>
                <w:rFonts w:ascii="Cambria" w:hAnsi="Cambria"/>
                <w:i/>
                <w:szCs w:val="22"/>
              </w:rPr>
              <w:t>unzea pomifera</w:t>
            </w:r>
          </w:p>
        </w:tc>
        <w:tc>
          <w:tcPr>
            <w:tcW w:w="2500" w:type="pct"/>
          </w:tcPr>
          <w:p w14:paraId="5A5197B4" w14:textId="6247D3C3" w:rsidR="00C83680" w:rsidRPr="00C85D3D" w:rsidRDefault="00222BF8" w:rsidP="00757832">
            <w:pPr>
              <w:pStyle w:val="tabletext1"/>
              <w:spacing w:after="120"/>
              <w:ind w:left="272"/>
              <w:rPr>
                <w:rFonts w:ascii="Cambria" w:hAnsi="Cambria"/>
                <w:szCs w:val="22"/>
              </w:rPr>
            </w:pPr>
            <w:r w:rsidRPr="00C85D3D">
              <w:rPr>
                <w:rFonts w:ascii="Cambria" w:hAnsi="Cambria"/>
                <w:szCs w:val="22"/>
              </w:rPr>
              <w:t>muntrie</w:t>
            </w:r>
          </w:p>
        </w:tc>
      </w:tr>
      <w:tr w:rsidR="001571F5" w14:paraId="3A4251B7" w14:textId="77777777" w:rsidTr="00E62287">
        <w:trPr>
          <w:cantSplit/>
          <w:trHeight w:val="20"/>
        </w:trPr>
        <w:tc>
          <w:tcPr>
            <w:tcW w:w="2500" w:type="pct"/>
          </w:tcPr>
          <w:p w14:paraId="7F5A0AF2" w14:textId="68952D5B" w:rsidR="001571F5" w:rsidRPr="00C85D3D" w:rsidRDefault="001571F5" w:rsidP="00757832">
            <w:pPr>
              <w:pStyle w:val="tabletext1"/>
              <w:spacing w:after="120"/>
              <w:ind w:left="0"/>
              <w:rPr>
                <w:rFonts w:ascii="Cambria" w:hAnsi="Cambria"/>
                <w:i/>
                <w:szCs w:val="22"/>
              </w:rPr>
            </w:pPr>
            <w:r w:rsidRPr="00C85D3D">
              <w:rPr>
                <w:rFonts w:ascii="Cambria" w:hAnsi="Cambria"/>
                <w:i/>
                <w:szCs w:val="22"/>
              </w:rPr>
              <w:t>Leucophyta</w:t>
            </w:r>
            <w:r w:rsidR="00C83680" w:rsidRPr="00C85D3D">
              <w:rPr>
                <w:rFonts w:ascii="Cambria" w:hAnsi="Cambria"/>
                <w:i/>
                <w:szCs w:val="22"/>
              </w:rPr>
              <w:t xml:space="preserve"> brownii</w:t>
            </w:r>
          </w:p>
        </w:tc>
        <w:tc>
          <w:tcPr>
            <w:tcW w:w="2500" w:type="pct"/>
          </w:tcPr>
          <w:p w14:paraId="3C62ED9C" w14:textId="0158B673" w:rsidR="001571F5" w:rsidRPr="00C85D3D" w:rsidRDefault="00C83680" w:rsidP="00757832">
            <w:pPr>
              <w:pStyle w:val="tabletext1"/>
              <w:spacing w:after="120"/>
              <w:ind w:left="272"/>
              <w:rPr>
                <w:rFonts w:ascii="Cambria" w:hAnsi="Cambria"/>
                <w:szCs w:val="22"/>
              </w:rPr>
            </w:pPr>
            <w:r w:rsidRPr="00C85D3D">
              <w:rPr>
                <w:rFonts w:ascii="Cambria" w:hAnsi="Cambria"/>
                <w:szCs w:val="22"/>
              </w:rPr>
              <w:t>cushion bush</w:t>
            </w:r>
          </w:p>
        </w:tc>
      </w:tr>
      <w:tr w:rsidR="00A43E33" w14:paraId="31D49F3E" w14:textId="77777777" w:rsidTr="00E62287">
        <w:trPr>
          <w:cantSplit/>
          <w:trHeight w:val="20"/>
        </w:trPr>
        <w:tc>
          <w:tcPr>
            <w:tcW w:w="2500" w:type="pct"/>
          </w:tcPr>
          <w:p w14:paraId="78CACFD7"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Leucopogon parviflorus</w:t>
            </w:r>
          </w:p>
        </w:tc>
        <w:tc>
          <w:tcPr>
            <w:tcW w:w="2500" w:type="pct"/>
          </w:tcPr>
          <w:p w14:paraId="17945D86" w14:textId="5CCF4E16" w:rsidR="00A43E33" w:rsidRPr="00C85D3D" w:rsidRDefault="00A43E33" w:rsidP="00757832">
            <w:pPr>
              <w:pStyle w:val="tabletext1"/>
              <w:spacing w:after="120"/>
              <w:ind w:left="272"/>
              <w:rPr>
                <w:rFonts w:ascii="Cambria" w:hAnsi="Cambria"/>
                <w:szCs w:val="22"/>
              </w:rPr>
            </w:pPr>
            <w:r w:rsidRPr="00C85D3D">
              <w:rPr>
                <w:rFonts w:ascii="Cambria" w:hAnsi="Cambria"/>
                <w:szCs w:val="22"/>
              </w:rPr>
              <w:t>coast beard-heath</w:t>
            </w:r>
            <w:r w:rsidR="00033D42" w:rsidRPr="00C85D3D">
              <w:rPr>
                <w:rFonts w:ascii="Cambria" w:hAnsi="Cambria"/>
                <w:szCs w:val="22"/>
              </w:rPr>
              <w:t>*</w:t>
            </w:r>
          </w:p>
        </w:tc>
      </w:tr>
      <w:tr w:rsidR="00825F92" w14:paraId="671813D5" w14:textId="77777777" w:rsidTr="00E62287">
        <w:trPr>
          <w:cantSplit/>
          <w:trHeight w:val="20"/>
        </w:trPr>
        <w:tc>
          <w:tcPr>
            <w:tcW w:w="2500" w:type="pct"/>
          </w:tcPr>
          <w:p w14:paraId="42EAE2DE" w14:textId="7B7EB0CA" w:rsidR="00825F92" w:rsidRPr="00C85D3D" w:rsidRDefault="00825F92" w:rsidP="00757832">
            <w:pPr>
              <w:pStyle w:val="tabletext1"/>
              <w:spacing w:after="120"/>
              <w:ind w:left="0"/>
              <w:rPr>
                <w:rFonts w:ascii="Cambria" w:hAnsi="Cambria"/>
                <w:i/>
                <w:szCs w:val="22"/>
              </w:rPr>
            </w:pPr>
            <w:r w:rsidRPr="00C85D3D">
              <w:rPr>
                <w:rFonts w:ascii="Cambria" w:hAnsi="Cambria"/>
                <w:i/>
                <w:szCs w:val="22"/>
              </w:rPr>
              <w:t xml:space="preserve">Melaleuca </w:t>
            </w:r>
            <w:r w:rsidRPr="00C85D3D">
              <w:rPr>
                <w:i/>
                <w:szCs w:val="22"/>
              </w:rPr>
              <w:t>halmaturorum</w:t>
            </w:r>
          </w:p>
        </w:tc>
        <w:tc>
          <w:tcPr>
            <w:tcW w:w="2500" w:type="pct"/>
          </w:tcPr>
          <w:p w14:paraId="480E491F" w14:textId="1D2CE5BE" w:rsidR="00825F92" w:rsidRPr="00C85D3D" w:rsidRDefault="0050022F" w:rsidP="00757832">
            <w:pPr>
              <w:pStyle w:val="tabletext1"/>
              <w:spacing w:after="120"/>
              <w:ind w:left="272"/>
              <w:rPr>
                <w:rFonts w:ascii="Cambria" w:hAnsi="Cambria"/>
                <w:szCs w:val="22"/>
              </w:rPr>
            </w:pPr>
            <w:r w:rsidRPr="00C85D3D">
              <w:rPr>
                <w:rFonts w:ascii="Cambria" w:hAnsi="Cambria"/>
                <w:szCs w:val="22"/>
              </w:rPr>
              <w:t xml:space="preserve">SA </w:t>
            </w:r>
            <w:r w:rsidR="00825F92" w:rsidRPr="00C85D3D">
              <w:rPr>
                <w:rFonts w:ascii="Cambria" w:hAnsi="Cambria"/>
                <w:szCs w:val="22"/>
              </w:rPr>
              <w:t>swamp paperbark</w:t>
            </w:r>
          </w:p>
        </w:tc>
      </w:tr>
      <w:tr w:rsidR="0043023F" w14:paraId="7D79F5A9" w14:textId="77777777" w:rsidTr="00E62287">
        <w:trPr>
          <w:cantSplit/>
          <w:trHeight w:val="20"/>
        </w:trPr>
        <w:tc>
          <w:tcPr>
            <w:tcW w:w="2500" w:type="pct"/>
          </w:tcPr>
          <w:p w14:paraId="02141ED6" w14:textId="0F2F442C" w:rsidR="0043023F" w:rsidRPr="00C85D3D" w:rsidRDefault="0043023F" w:rsidP="00757832">
            <w:pPr>
              <w:pStyle w:val="tabletext1"/>
              <w:spacing w:after="120"/>
              <w:ind w:left="0"/>
              <w:rPr>
                <w:rFonts w:ascii="Cambria" w:hAnsi="Cambria"/>
                <w:i/>
                <w:szCs w:val="22"/>
              </w:rPr>
            </w:pPr>
            <w:r w:rsidRPr="00C85D3D">
              <w:rPr>
                <w:rFonts w:ascii="Cambria" w:hAnsi="Cambria"/>
                <w:i/>
                <w:szCs w:val="22"/>
              </w:rPr>
              <w:t>Melaleuca landceolata</w:t>
            </w:r>
          </w:p>
        </w:tc>
        <w:tc>
          <w:tcPr>
            <w:tcW w:w="2500" w:type="pct"/>
          </w:tcPr>
          <w:p w14:paraId="58EFAAD8" w14:textId="6CC875A4" w:rsidR="0043023F" w:rsidRPr="00C85D3D" w:rsidRDefault="001D1F04" w:rsidP="00757832">
            <w:pPr>
              <w:pStyle w:val="tabletext1"/>
              <w:spacing w:after="120"/>
              <w:ind w:left="272"/>
              <w:rPr>
                <w:rFonts w:ascii="Cambria" w:hAnsi="Cambria"/>
                <w:szCs w:val="22"/>
              </w:rPr>
            </w:pPr>
            <w:r w:rsidRPr="00C85D3D">
              <w:rPr>
                <w:rFonts w:ascii="Cambria" w:hAnsi="Cambria"/>
                <w:szCs w:val="22"/>
              </w:rPr>
              <w:t>moonah</w:t>
            </w:r>
          </w:p>
        </w:tc>
      </w:tr>
      <w:tr w:rsidR="00C15A18" w14:paraId="7C7D675C" w14:textId="77777777" w:rsidTr="00E62287">
        <w:trPr>
          <w:cantSplit/>
          <w:trHeight w:val="20"/>
        </w:trPr>
        <w:tc>
          <w:tcPr>
            <w:tcW w:w="2500" w:type="pct"/>
          </w:tcPr>
          <w:p w14:paraId="5DC1A1F3" w14:textId="3D1E0C88" w:rsidR="00C15A18" w:rsidRPr="00C85D3D" w:rsidRDefault="00C15A18" w:rsidP="00757832">
            <w:pPr>
              <w:pStyle w:val="tabletext1"/>
              <w:spacing w:after="120"/>
              <w:ind w:left="0"/>
              <w:rPr>
                <w:rFonts w:ascii="Cambria" w:hAnsi="Cambria"/>
                <w:i/>
                <w:szCs w:val="22"/>
              </w:rPr>
            </w:pPr>
            <w:r w:rsidRPr="00C85D3D">
              <w:rPr>
                <w:rFonts w:ascii="Cambria" w:hAnsi="Cambria"/>
                <w:i/>
                <w:szCs w:val="22"/>
              </w:rPr>
              <w:t>M</w:t>
            </w:r>
            <w:r w:rsidR="00CE335E" w:rsidRPr="00C85D3D">
              <w:rPr>
                <w:rFonts w:ascii="Cambria" w:hAnsi="Cambria"/>
                <w:i/>
                <w:szCs w:val="22"/>
              </w:rPr>
              <w:t>uehlenbeckia gunnii</w:t>
            </w:r>
          </w:p>
        </w:tc>
        <w:tc>
          <w:tcPr>
            <w:tcW w:w="2500" w:type="pct"/>
          </w:tcPr>
          <w:p w14:paraId="686EC4B6" w14:textId="25A569B6" w:rsidR="00C15A18" w:rsidRPr="00C85D3D" w:rsidRDefault="00CE335E" w:rsidP="00757832">
            <w:pPr>
              <w:pStyle w:val="tabletext1"/>
              <w:spacing w:after="120"/>
              <w:ind w:left="272"/>
              <w:rPr>
                <w:rFonts w:ascii="Cambria" w:hAnsi="Cambria"/>
                <w:szCs w:val="22"/>
              </w:rPr>
            </w:pPr>
            <w:r w:rsidRPr="00C85D3D">
              <w:rPr>
                <w:rFonts w:ascii="Cambria" w:hAnsi="Cambria"/>
                <w:szCs w:val="22"/>
              </w:rPr>
              <w:t>coastal lign</w:t>
            </w:r>
            <w:r w:rsidR="00CC2318" w:rsidRPr="00C85D3D">
              <w:rPr>
                <w:rFonts w:ascii="Cambria" w:hAnsi="Cambria"/>
                <w:szCs w:val="22"/>
              </w:rPr>
              <w:t>u</w:t>
            </w:r>
            <w:r w:rsidRPr="00C85D3D">
              <w:rPr>
                <w:rFonts w:ascii="Cambria" w:hAnsi="Cambria"/>
                <w:szCs w:val="22"/>
              </w:rPr>
              <w:t>m</w:t>
            </w:r>
          </w:p>
        </w:tc>
      </w:tr>
      <w:tr w:rsidR="00A43E33" w14:paraId="6C8AD230" w14:textId="77777777" w:rsidTr="00E62287">
        <w:trPr>
          <w:cantSplit/>
          <w:trHeight w:val="20"/>
        </w:trPr>
        <w:tc>
          <w:tcPr>
            <w:tcW w:w="2500" w:type="pct"/>
          </w:tcPr>
          <w:p w14:paraId="2C6411BA"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Myoporum insulare</w:t>
            </w:r>
          </w:p>
        </w:tc>
        <w:tc>
          <w:tcPr>
            <w:tcW w:w="2500" w:type="pct"/>
          </w:tcPr>
          <w:p w14:paraId="1608D973" w14:textId="17F37C5C" w:rsidR="00A43E33" w:rsidRPr="00C85D3D" w:rsidRDefault="00A43E33" w:rsidP="00757832">
            <w:pPr>
              <w:pStyle w:val="tabletext1"/>
              <w:spacing w:after="120"/>
              <w:ind w:left="272"/>
              <w:rPr>
                <w:rFonts w:ascii="Cambria" w:hAnsi="Cambria"/>
                <w:szCs w:val="22"/>
              </w:rPr>
            </w:pPr>
            <w:r w:rsidRPr="00C85D3D">
              <w:rPr>
                <w:rFonts w:ascii="Cambria" w:hAnsi="Cambria"/>
                <w:szCs w:val="22"/>
              </w:rPr>
              <w:t>common boobialla</w:t>
            </w:r>
            <w:r w:rsidR="00033D42" w:rsidRPr="00C85D3D">
              <w:rPr>
                <w:rFonts w:ascii="Cambria" w:hAnsi="Cambria"/>
                <w:szCs w:val="22"/>
              </w:rPr>
              <w:t>*</w:t>
            </w:r>
          </w:p>
        </w:tc>
      </w:tr>
      <w:tr w:rsidR="00A43E33" w14:paraId="113B1E96" w14:textId="77777777" w:rsidTr="00E62287">
        <w:trPr>
          <w:cantSplit/>
          <w:trHeight w:val="20"/>
        </w:trPr>
        <w:tc>
          <w:tcPr>
            <w:tcW w:w="2500" w:type="pct"/>
          </w:tcPr>
          <w:p w14:paraId="24AE6B3C"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Olearia axillaris</w:t>
            </w:r>
          </w:p>
        </w:tc>
        <w:tc>
          <w:tcPr>
            <w:tcW w:w="2500" w:type="pct"/>
          </w:tcPr>
          <w:p w14:paraId="52549092" w14:textId="77777777" w:rsidR="00A43E33" w:rsidRPr="00C85D3D" w:rsidRDefault="00A43E33" w:rsidP="00757832">
            <w:pPr>
              <w:pStyle w:val="tabletext1"/>
              <w:spacing w:after="120"/>
              <w:ind w:left="272"/>
              <w:rPr>
                <w:rFonts w:ascii="Cambria" w:hAnsi="Cambria"/>
                <w:szCs w:val="22"/>
              </w:rPr>
            </w:pPr>
            <w:r w:rsidRPr="00C85D3D">
              <w:rPr>
                <w:rFonts w:ascii="Cambria" w:hAnsi="Cambria"/>
                <w:szCs w:val="22"/>
              </w:rPr>
              <w:t>coast daisy-bush</w:t>
            </w:r>
          </w:p>
        </w:tc>
      </w:tr>
      <w:tr w:rsidR="00520A09" w14:paraId="1898FD41" w14:textId="77777777" w:rsidTr="00E62287">
        <w:trPr>
          <w:cantSplit/>
          <w:trHeight w:val="20"/>
        </w:trPr>
        <w:tc>
          <w:tcPr>
            <w:tcW w:w="2500" w:type="pct"/>
          </w:tcPr>
          <w:p w14:paraId="44DB63EF" w14:textId="3F0F63AC" w:rsidR="00520A09" w:rsidRPr="00C85D3D" w:rsidRDefault="00520A09" w:rsidP="00757832">
            <w:pPr>
              <w:pStyle w:val="tabletext1"/>
              <w:spacing w:after="120"/>
              <w:ind w:left="0"/>
              <w:rPr>
                <w:rFonts w:ascii="Cambria" w:hAnsi="Cambria"/>
                <w:i/>
                <w:szCs w:val="22"/>
              </w:rPr>
            </w:pPr>
            <w:r w:rsidRPr="00C85D3D">
              <w:rPr>
                <w:rFonts w:ascii="Cambria" w:hAnsi="Cambria"/>
                <w:i/>
                <w:szCs w:val="22"/>
              </w:rPr>
              <w:t>O</w:t>
            </w:r>
            <w:r w:rsidR="000836E1" w:rsidRPr="00C85D3D">
              <w:rPr>
                <w:rFonts w:ascii="Cambria" w:hAnsi="Cambria"/>
                <w:i/>
                <w:szCs w:val="22"/>
              </w:rPr>
              <w:t>zothamnus turbinatus</w:t>
            </w:r>
          </w:p>
        </w:tc>
        <w:tc>
          <w:tcPr>
            <w:tcW w:w="2500" w:type="pct"/>
          </w:tcPr>
          <w:p w14:paraId="2F95959A" w14:textId="15982EC2" w:rsidR="00520A09" w:rsidRPr="00C85D3D" w:rsidRDefault="002648D8" w:rsidP="00757832">
            <w:pPr>
              <w:pStyle w:val="tabletext1"/>
              <w:spacing w:after="120"/>
              <w:ind w:left="272"/>
              <w:rPr>
                <w:rFonts w:ascii="Cambria" w:hAnsi="Cambria"/>
                <w:szCs w:val="22"/>
              </w:rPr>
            </w:pPr>
            <w:r w:rsidRPr="00C85D3D">
              <w:rPr>
                <w:rFonts w:ascii="Cambria" w:hAnsi="Cambria"/>
                <w:szCs w:val="22"/>
              </w:rPr>
              <w:t>c</w:t>
            </w:r>
            <w:r w:rsidR="000836E1" w:rsidRPr="00C85D3D">
              <w:rPr>
                <w:rFonts w:ascii="Cambria" w:hAnsi="Cambria"/>
                <w:szCs w:val="22"/>
              </w:rPr>
              <w:t>oast everlasting</w:t>
            </w:r>
          </w:p>
        </w:tc>
      </w:tr>
      <w:tr w:rsidR="00ED72A8" w14:paraId="1A3B8263" w14:textId="77777777" w:rsidTr="00E62287">
        <w:trPr>
          <w:cantSplit/>
          <w:trHeight w:val="20"/>
        </w:trPr>
        <w:tc>
          <w:tcPr>
            <w:tcW w:w="2500" w:type="pct"/>
          </w:tcPr>
          <w:p w14:paraId="6ABEA6C1" w14:textId="491AE0C3" w:rsidR="00ED72A8" w:rsidRPr="00C85D3D" w:rsidRDefault="00ED72A8" w:rsidP="00757832">
            <w:pPr>
              <w:pStyle w:val="tabletext1"/>
              <w:spacing w:after="120"/>
              <w:ind w:left="0"/>
              <w:rPr>
                <w:rFonts w:ascii="Cambria" w:hAnsi="Cambria"/>
                <w:i/>
                <w:szCs w:val="22"/>
              </w:rPr>
            </w:pPr>
            <w:r w:rsidRPr="00C85D3D">
              <w:rPr>
                <w:rFonts w:ascii="Cambria" w:hAnsi="Cambria"/>
                <w:i/>
                <w:szCs w:val="22"/>
              </w:rPr>
              <w:t>Pimelea serpyllifolia</w:t>
            </w:r>
            <w:r w:rsidR="002648D8" w:rsidRPr="00C85D3D">
              <w:rPr>
                <w:rFonts w:ascii="Cambria" w:hAnsi="Cambria"/>
                <w:i/>
                <w:szCs w:val="22"/>
              </w:rPr>
              <w:t xml:space="preserve"> subsp. seryllifolia</w:t>
            </w:r>
          </w:p>
        </w:tc>
        <w:tc>
          <w:tcPr>
            <w:tcW w:w="2500" w:type="pct"/>
          </w:tcPr>
          <w:p w14:paraId="2F102A82" w14:textId="41178C1C" w:rsidR="00ED72A8" w:rsidRPr="00C85D3D" w:rsidRDefault="002648D8" w:rsidP="00757832">
            <w:pPr>
              <w:pStyle w:val="tabletext1"/>
              <w:spacing w:after="120"/>
              <w:ind w:left="272"/>
              <w:rPr>
                <w:rFonts w:ascii="Cambria" w:hAnsi="Cambria"/>
                <w:szCs w:val="22"/>
              </w:rPr>
            </w:pPr>
            <w:r w:rsidRPr="00C85D3D">
              <w:rPr>
                <w:rFonts w:ascii="Cambria" w:hAnsi="Cambria"/>
                <w:szCs w:val="22"/>
              </w:rPr>
              <w:t>thyme rice</w:t>
            </w:r>
            <w:r w:rsidR="00E82F98" w:rsidRPr="00C85D3D">
              <w:rPr>
                <w:rFonts w:ascii="Cambria" w:hAnsi="Cambria"/>
                <w:szCs w:val="22"/>
              </w:rPr>
              <w:t xml:space="preserve"> </w:t>
            </w:r>
            <w:r w:rsidRPr="00C85D3D">
              <w:rPr>
                <w:rFonts w:ascii="Cambria" w:hAnsi="Cambria"/>
                <w:szCs w:val="22"/>
              </w:rPr>
              <w:t>flower</w:t>
            </w:r>
          </w:p>
        </w:tc>
      </w:tr>
      <w:tr w:rsidR="00A43E33" w14:paraId="33AD9F53" w14:textId="77777777" w:rsidTr="00E62287">
        <w:trPr>
          <w:cantSplit/>
          <w:trHeight w:val="20"/>
        </w:trPr>
        <w:tc>
          <w:tcPr>
            <w:tcW w:w="2500" w:type="pct"/>
          </w:tcPr>
          <w:p w14:paraId="24112966"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Nitraria billardierei</w:t>
            </w:r>
          </w:p>
        </w:tc>
        <w:tc>
          <w:tcPr>
            <w:tcW w:w="2500" w:type="pct"/>
          </w:tcPr>
          <w:p w14:paraId="416DFDC7" w14:textId="77777777" w:rsidR="00A43E33" w:rsidRPr="00C85D3D" w:rsidRDefault="00A43E33" w:rsidP="00757832">
            <w:pPr>
              <w:pStyle w:val="tabletext1"/>
              <w:spacing w:after="120"/>
              <w:ind w:left="272"/>
              <w:rPr>
                <w:rFonts w:ascii="Cambria" w:hAnsi="Cambria"/>
                <w:szCs w:val="22"/>
              </w:rPr>
            </w:pPr>
            <w:r w:rsidRPr="00C85D3D">
              <w:rPr>
                <w:rFonts w:ascii="Cambria" w:hAnsi="Cambria"/>
                <w:szCs w:val="22"/>
              </w:rPr>
              <w:t>nitre-bush</w:t>
            </w:r>
          </w:p>
        </w:tc>
      </w:tr>
      <w:tr w:rsidR="00A43E33" w14:paraId="38A450D7" w14:textId="77777777" w:rsidTr="00E62287">
        <w:trPr>
          <w:cantSplit/>
          <w:trHeight w:val="20"/>
        </w:trPr>
        <w:tc>
          <w:tcPr>
            <w:tcW w:w="2500" w:type="pct"/>
          </w:tcPr>
          <w:p w14:paraId="26C5F970" w14:textId="77777777" w:rsidR="00A43E33" w:rsidRPr="00C85D3D" w:rsidRDefault="00A43E33" w:rsidP="00757832">
            <w:pPr>
              <w:pStyle w:val="tabletext1"/>
              <w:spacing w:after="120"/>
              <w:ind w:left="0"/>
              <w:rPr>
                <w:rFonts w:ascii="Cambria" w:hAnsi="Cambria"/>
                <w:i/>
                <w:szCs w:val="22"/>
              </w:rPr>
            </w:pPr>
            <w:r w:rsidRPr="00C85D3D">
              <w:rPr>
                <w:rFonts w:ascii="Cambria" w:hAnsi="Cambria"/>
                <w:i/>
                <w:szCs w:val="22"/>
              </w:rPr>
              <w:t>Rhagodia candolleana</w:t>
            </w:r>
          </w:p>
        </w:tc>
        <w:tc>
          <w:tcPr>
            <w:tcW w:w="2500" w:type="pct"/>
          </w:tcPr>
          <w:p w14:paraId="13FEFFB4" w14:textId="72F68B25" w:rsidR="00A43E33" w:rsidRPr="00C85D3D" w:rsidRDefault="00A43E33" w:rsidP="00757832">
            <w:pPr>
              <w:pStyle w:val="tabletext1"/>
              <w:spacing w:after="120"/>
              <w:ind w:left="272"/>
              <w:rPr>
                <w:rFonts w:ascii="Cambria" w:hAnsi="Cambria"/>
                <w:szCs w:val="22"/>
              </w:rPr>
            </w:pPr>
            <w:r w:rsidRPr="00C85D3D">
              <w:rPr>
                <w:rFonts w:ascii="Cambria" w:hAnsi="Cambria"/>
                <w:szCs w:val="22"/>
              </w:rPr>
              <w:t>seaberry saltbush</w:t>
            </w:r>
            <w:r w:rsidR="00033D42" w:rsidRPr="00C85D3D">
              <w:rPr>
                <w:rFonts w:ascii="Cambria" w:hAnsi="Cambria"/>
                <w:szCs w:val="22"/>
              </w:rPr>
              <w:t>*</w:t>
            </w:r>
          </w:p>
        </w:tc>
      </w:tr>
      <w:tr w:rsidR="00A15B56" w14:paraId="4ACA8DEE" w14:textId="77777777" w:rsidTr="00E62287">
        <w:trPr>
          <w:cantSplit/>
          <w:trHeight w:val="20"/>
        </w:trPr>
        <w:tc>
          <w:tcPr>
            <w:tcW w:w="2500" w:type="pct"/>
          </w:tcPr>
          <w:p w14:paraId="1DC6C195" w14:textId="56948BA6" w:rsidR="00A15B56" w:rsidRPr="00C85D3D" w:rsidRDefault="00ED72A8" w:rsidP="008A5286">
            <w:pPr>
              <w:pStyle w:val="tabletext1"/>
              <w:spacing w:after="120"/>
              <w:ind w:left="0"/>
              <w:rPr>
                <w:rFonts w:ascii="Cambria" w:hAnsi="Cambria"/>
                <w:i/>
                <w:szCs w:val="22"/>
              </w:rPr>
            </w:pPr>
            <w:r w:rsidRPr="00C85D3D">
              <w:rPr>
                <w:rFonts w:ascii="Cambria" w:hAnsi="Cambria"/>
                <w:i/>
                <w:szCs w:val="22"/>
              </w:rPr>
              <w:t>Spinifex hirsutus</w:t>
            </w:r>
          </w:p>
        </w:tc>
        <w:tc>
          <w:tcPr>
            <w:tcW w:w="2500" w:type="pct"/>
          </w:tcPr>
          <w:p w14:paraId="6CFD4199" w14:textId="13407AB1" w:rsidR="00A15B56" w:rsidRPr="00C85D3D" w:rsidRDefault="00ED72A8" w:rsidP="00757832">
            <w:pPr>
              <w:pStyle w:val="tabletext1"/>
              <w:spacing w:after="120"/>
              <w:ind w:left="272"/>
              <w:rPr>
                <w:rFonts w:ascii="Cambria" w:hAnsi="Cambria"/>
                <w:szCs w:val="22"/>
              </w:rPr>
            </w:pPr>
            <w:r w:rsidRPr="00C85D3D">
              <w:rPr>
                <w:rFonts w:ascii="Cambria" w:hAnsi="Cambria"/>
                <w:szCs w:val="22"/>
              </w:rPr>
              <w:t>rolling spinifex</w:t>
            </w:r>
          </w:p>
        </w:tc>
      </w:tr>
      <w:tr w:rsidR="008009B0" w14:paraId="0D41A793" w14:textId="77777777" w:rsidTr="00E62287">
        <w:trPr>
          <w:cantSplit/>
          <w:trHeight w:val="20"/>
        </w:trPr>
        <w:tc>
          <w:tcPr>
            <w:tcW w:w="2500" w:type="pct"/>
          </w:tcPr>
          <w:p w14:paraId="435DF8C4" w14:textId="4776892D" w:rsidR="008009B0" w:rsidRPr="00C85D3D" w:rsidRDefault="008009B0" w:rsidP="008A5286">
            <w:pPr>
              <w:pStyle w:val="tabletext1"/>
              <w:spacing w:after="120"/>
              <w:ind w:left="0"/>
              <w:rPr>
                <w:rFonts w:ascii="Cambria" w:hAnsi="Cambria"/>
                <w:i/>
                <w:szCs w:val="22"/>
              </w:rPr>
            </w:pPr>
            <w:r w:rsidRPr="00C85D3D">
              <w:rPr>
                <w:rFonts w:ascii="Cambria" w:hAnsi="Cambria"/>
                <w:i/>
                <w:szCs w:val="22"/>
              </w:rPr>
              <w:t>Sporobolus virginicus</w:t>
            </w:r>
          </w:p>
        </w:tc>
        <w:tc>
          <w:tcPr>
            <w:tcW w:w="2500" w:type="pct"/>
          </w:tcPr>
          <w:p w14:paraId="071D61E8" w14:textId="39258FBF" w:rsidR="008009B0" w:rsidRPr="00C85D3D" w:rsidRDefault="008009B0" w:rsidP="00757832">
            <w:pPr>
              <w:pStyle w:val="tabletext1"/>
              <w:spacing w:after="120"/>
              <w:ind w:left="272"/>
              <w:rPr>
                <w:rFonts w:ascii="Cambria" w:hAnsi="Cambria"/>
                <w:szCs w:val="22"/>
              </w:rPr>
            </w:pPr>
            <w:r w:rsidRPr="00C85D3D">
              <w:rPr>
                <w:rFonts w:ascii="Cambria" w:hAnsi="Cambria"/>
                <w:szCs w:val="22"/>
              </w:rPr>
              <w:t>salt couch</w:t>
            </w:r>
          </w:p>
        </w:tc>
      </w:tr>
      <w:tr w:rsidR="00FD3818" w14:paraId="250786B5" w14:textId="77777777" w:rsidTr="00E62287">
        <w:trPr>
          <w:cantSplit/>
          <w:trHeight w:val="296"/>
        </w:trPr>
        <w:tc>
          <w:tcPr>
            <w:tcW w:w="2500" w:type="pct"/>
          </w:tcPr>
          <w:p w14:paraId="7136C7DE" w14:textId="28208E16" w:rsidR="00FD3818" w:rsidRPr="00C85D3D" w:rsidRDefault="00FD3818" w:rsidP="008A5286">
            <w:pPr>
              <w:pStyle w:val="tabletext1"/>
              <w:spacing w:after="120"/>
              <w:ind w:left="0"/>
              <w:rPr>
                <w:rFonts w:ascii="Cambria" w:hAnsi="Cambria"/>
                <w:i/>
                <w:szCs w:val="22"/>
              </w:rPr>
            </w:pPr>
            <w:r w:rsidRPr="00C85D3D">
              <w:rPr>
                <w:rFonts w:ascii="Cambria" w:hAnsi="Cambria"/>
                <w:i/>
                <w:szCs w:val="22"/>
              </w:rPr>
              <w:t>Te</w:t>
            </w:r>
            <w:r w:rsidR="00AE5355" w:rsidRPr="00C85D3D">
              <w:rPr>
                <w:rFonts w:ascii="Cambria" w:hAnsi="Cambria"/>
                <w:i/>
                <w:szCs w:val="22"/>
              </w:rPr>
              <w:t>cticornia arbuscula</w:t>
            </w:r>
          </w:p>
        </w:tc>
        <w:tc>
          <w:tcPr>
            <w:tcW w:w="2500" w:type="pct"/>
          </w:tcPr>
          <w:p w14:paraId="5D9E82A9" w14:textId="27DDA71F" w:rsidR="00FD3818" w:rsidRPr="00C85D3D" w:rsidRDefault="00AE5355" w:rsidP="00757832">
            <w:pPr>
              <w:pStyle w:val="tabletext1"/>
              <w:spacing w:after="120"/>
              <w:ind w:left="272"/>
              <w:rPr>
                <w:rFonts w:ascii="Cambria" w:hAnsi="Cambria"/>
                <w:szCs w:val="22"/>
              </w:rPr>
            </w:pPr>
            <w:r w:rsidRPr="00C85D3D">
              <w:rPr>
                <w:rFonts w:ascii="Cambria" w:hAnsi="Cambria"/>
                <w:szCs w:val="22"/>
              </w:rPr>
              <w:t>shrubby samphire</w:t>
            </w:r>
          </w:p>
        </w:tc>
      </w:tr>
      <w:tr w:rsidR="00082021" w14:paraId="2FBB1026" w14:textId="77777777" w:rsidTr="00E62287">
        <w:trPr>
          <w:cantSplit/>
          <w:trHeight w:val="296"/>
        </w:trPr>
        <w:tc>
          <w:tcPr>
            <w:tcW w:w="2500" w:type="pct"/>
          </w:tcPr>
          <w:p w14:paraId="3E3F2EC9" w14:textId="702598DB" w:rsidR="00082021" w:rsidRPr="00C85D3D" w:rsidRDefault="00082021" w:rsidP="008A5286">
            <w:pPr>
              <w:pStyle w:val="tabletext1"/>
              <w:spacing w:after="120"/>
              <w:ind w:left="0"/>
              <w:rPr>
                <w:rFonts w:ascii="Cambria" w:hAnsi="Cambria"/>
                <w:i/>
                <w:szCs w:val="22"/>
              </w:rPr>
            </w:pPr>
            <w:r w:rsidRPr="00C85D3D">
              <w:rPr>
                <w:rFonts w:ascii="Cambria" w:hAnsi="Cambria"/>
                <w:i/>
                <w:szCs w:val="22"/>
              </w:rPr>
              <w:t>Tecticornia pruinosa</w:t>
            </w:r>
          </w:p>
        </w:tc>
        <w:tc>
          <w:tcPr>
            <w:tcW w:w="2500" w:type="pct"/>
          </w:tcPr>
          <w:p w14:paraId="18F2A545" w14:textId="20379C3D" w:rsidR="00082021" w:rsidRPr="00C85D3D" w:rsidRDefault="00082021" w:rsidP="00757832">
            <w:pPr>
              <w:pStyle w:val="tabletext1"/>
              <w:spacing w:after="120"/>
              <w:ind w:left="272"/>
              <w:rPr>
                <w:rFonts w:ascii="Cambria" w:hAnsi="Cambria"/>
                <w:szCs w:val="22"/>
              </w:rPr>
            </w:pPr>
            <w:r w:rsidRPr="00C85D3D">
              <w:rPr>
                <w:rFonts w:ascii="Cambria" w:hAnsi="Cambria"/>
                <w:szCs w:val="22"/>
              </w:rPr>
              <w:t>waxy samphire</w:t>
            </w:r>
          </w:p>
        </w:tc>
      </w:tr>
      <w:tr w:rsidR="00A43E33" w14:paraId="36A24D93" w14:textId="77777777" w:rsidTr="00E62287">
        <w:trPr>
          <w:cantSplit/>
          <w:trHeight w:val="296"/>
        </w:trPr>
        <w:tc>
          <w:tcPr>
            <w:tcW w:w="2500" w:type="pct"/>
          </w:tcPr>
          <w:p w14:paraId="12BE27A4" w14:textId="77777777" w:rsidR="00A43E33" w:rsidRPr="00C85D3D" w:rsidRDefault="00A43E33" w:rsidP="008A5286">
            <w:pPr>
              <w:pStyle w:val="tabletext1"/>
              <w:spacing w:after="120"/>
              <w:ind w:left="0"/>
              <w:rPr>
                <w:rFonts w:ascii="Cambria" w:hAnsi="Cambria"/>
                <w:i/>
                <w:szCs w:val="22"/>
              </w:rPr>
            </w:pPr>
            <w:r w:rsidRPr="00C85D3D">
              <w:rPr>
                <w:rFonts w:ascii="Cambria" w:hAnsi="Cambria"/>
                <w:i/>
                <w:szCs w:val="22"/>
              </w:rPr>
              <w:t>Tetragonia implexicoma</w:t>
            </w:r>
          </w:p>
        </w:tc>
        <w:tc>
          <w:tcPr>
            <w:tcW w:w="2500" w:type="pct"/>
          </w:tcPr>
          <w:p w14:paraId="240388C2" w14:textId="7744ED58" w:rsidR="00A43E33" w:rsidRPr="00C85D3D" w:rsidRDefault="00A43E33" w:rsidP="00757832">
            <w:pPr>
              <w:pStyle w:val="tabletext1"/>
              <w:spacing w:after="120"/>
              <w:ind w:left="272"/>
              <w:rPr>
                <w:rFonts w:ascii="Cambria" w:hAnsi="Cambria"/>
                <w:szCs w:val="22"/>
              </w:rPr>
            </w:pPr>
            <w:r w:rsidRPr="00C85D3D">
              <w:rPr>
                <w:rFonts w:ascii="Cambria" w:hAnsi="Cambria"/>
                <w:szCs w:val="22"/>
              </w:rPr>
              <w:t>bower spinach</w:t>
            </w:r>
            <w:r w:rsidR="00033D42" w:rsidRPr="00C85D3D">
              <w:rPr>
                <w:rFonts w:ascii="Cambria" w:hAnsi="Cambria"/>
                <w:szCs w:val="22"/>
              </w:rPr>
              <w:t>*</w:t>
            </w:r>
          </w:p>
        </w:tc>
      </w:tr>
    </w:tbl>
    <w:p w14:paraId="6ABA9A76" w14:textId="77777777" w:rsidR="000C60F1" w:rsidRPr="000C60F1" w:rsidRDefault="000C60F1" w:rsidP="000C60F1">
      <w:pPr>
        <w:pStyle w:val="ListParagraph"/>
        <w:ind w:left="284"/>
        <w:rPr>
          <w:sz w:val="20"/>
          <w:szCs w:val="20"/>
        </w:rPr>
      </w:pPr>
    </w:p>
    <w:p w14:paraId="747619FB" w14:textId="77777777" w:rsidR="000C60F1" w:rsidRPr="000C60F1" w:rsidRDefault="000C60F1" w:rsidP="000C60F1">
      <w:pPr>
        <w:pStyle w:val="ListParagraph"/>
        <w:ind w:left="284"/>
        <w:rPr>
          <w:sz w:val="20"/>
          <w:szCs w:val="20"/>
        </w:rPr>
      </w:pPr>
    </w:p>
    <w:p w14:paraId="5E1E7938" w14:textId="77777777" w:rsidR="000C60F1" w:rsidRDefault="000C60F1" w:rsidP="000C60F1">
      <w:r>
        <w:lastRenderedPageBreak/>
        <w:t xml:space="preserve">a </w:t>
      </w:r>
      <w:r w:rsidRPr="009B58D8">
        <w:t>result of tidal restriction at the mouth and the length of the lagoons</w:t>
      </w:r>
      <w:r>
        <w:t xml:space="preserve"> (although some dieback is still occurring) (Coleman et al. 2017; Coleman &amp; Coleman 2024)</w:t>
      </w:r>
      <w:r w:rsidRPr="009B58D8">
        <w:t>.</w:t>
      </w:r>
    </w:p>
    <w:p w14:paraId="521D4264" w14:textId="77777777" w:rsidR="000C60F1" w:rsidRDefault="000C60F1" w:rsidP="000C60F1">
      <w:r>
        <w:t xml:space="preserve">Samphires known to be around the Coorong and/or Lower Lakes include (Phillips &amp; Muller 2006; Nicol et al. 2018; AVH accessed 18/4/2024; </w:t>
      </w:r>
      <w:r w:rsidRPr="00D02DF6">
        <w:rPr>
          <w:u w:val="single"/>
        </w:rPr>
        <w:t>Appendix B, Table B1</w:t>
      </w:r>
      <w:r>
        <w:t>):</w:t>
      </w:r>
    </w:p>
    <w:p w14:paraId="4788E97E" w14:textId="77777777" w:rsidR="000C60F1" w:rsidRPr="000C60F1" w:rsidRDefault="000C60F1" w:rsidP="000C60F1">
      <w:pPr>
        <w:pStyle w:val="ListParagraph"/>
        <w:numPr>
          <w:ilvl w:val="0"/>
          <w:numId w:val="74"/>
        </w:numPr>
        <w:contextualSpacing w:val="0"/>
      </w:pPr>
      <w:r w:rsidRPr="000C60F1">
        <w:rPr>
          <w:rStyle w:val="Strong"/>
          <w:b w:val="0"/>
          <w:bCs w:val="0"/>
          <w:i/>
        </w:rPr>
        <w:t>Tecticornia</w:t>
      </w:r>
      <w:r w:rsidRPr="000C60F1">
        <w:rPr>
          <w:rStyle w:val="Strong"/>
          <w:i/>
        </w:rPr>
        <w:t xml:space="preserve"> </w:t>
      </w:r>
      <w:r w:rsidRPr="000C60F1">
        <w:rPr>
          <w:i/>
          <w:iCs/>
        </w:rPr>
        <w:t xml:space="preserve">arbuscala </w:t>
      </w:r>
      <w:r w:rsidRPr="000C60F1">
        <w:t xml:space="preserve">(shrubby samphire), </w:t>
      </w:r>
      <w:r w:rsidRPr="000C60F1">
        <w:rPr>
          <w:i/>
          <w:iCs/>
        </w:rPr>
        <w:t>T</w:t>
      </w:r>
      <w:r w:rsidRPr="000C60F1">
        <w:t xml:space="preserve">. </w:t>
      </w:r>
      <w:r w:rsidRPr="000C60F1">
        <w:rPr>
          <w:i/>
        </w:rPr>
        <w:t xml:space="preserve">pergranulata </w:t>
      </w:r>
      <w:r w:rsidRPr="000C60F1">
        <w:rPr>
          <w:iCs/>
        </w:rPr>
        <w:t>(black-seed samphire)</w:t>
      </w:r>
      <w:r w:rsidRPr="000C60F1">
        <w:t xml:space="preserve">, </w:t>
      </w:r>
      <w:r w:rsidRPr="000C60F1">
        <w:rPr>
          <w:i/>
          <w:iCs/>
        </w:rPr>
        <w:t xml:space="preserve">T. indica </w:t>
      </w:r>
      <w:r w:rsidRPr="000C60F1">
        <w:t xml:space="preserve">(brown headed samphire), </w:t>
      </w:r>
      <w:r w:rsidRPr="000C60F1">
        <w:rPr>
          <w:i/>
          <w:iCs/>
        </w:rPr>
        <w:t>T. syncarpa</w:t>
      </w:r>
      <w:r w:rsidRPr="000C60F1">
        <w:t xml:space="preserve"> (fused or bracelet samphire), </w:t>
      </w:r>
      <w:r w:rsidRPr="000C60F1">
        <w:rPr>
          <w:i/>
          <w:iCs/>
        </w:rPr>
        <w:t xml:space="preserve">T. halocnemoides </w:t>
      </w:r>
      <w:r w:rsidRPr="000C60F1">
        <w:t xml:space="preserve">(grey samphire), </w:t>
      </w:r>
      <w:r w:rsidRPr="000C60F1">
        <w:rPr>
          <w:i/>
          <w:iCs/>
        </w:rPr>
        <w:t>T. lepidosperma</w:t>
      </w:r>
      <w:r w:rsidRPr="000C60F1">
        <w:t xml:space="preserve"> (sea beans or white-seed samphire) </w:t>
      </w:r>
    </w:p>
    <w:p w14:paraId="48D2E816" w14:textId="42E3A2EF" w:rsidR="000C60F1" w:rsidRPr="000C60F1" w:rsidRDefault="000C60F1" w:rsidP="000C60F1">
      <w:pPr>
        <w:pStyle w:val="ListParagraph"/>
        <w:numPr>
          <w:ilvl w:val="0"/>
          <w:numId w:val="74"/>
        </w:numPr>
        <w:contextualSpacing w:val="0"/>
      </w:pPr>
      <w:r w:rsidRPr="000C60F1">
        <w:rPr>
          <w:rStyle w:val="Strong"/>
          <w:b w:val="0"/>
          <w:bCs w:val="0"/>
          <w:i/>
        </w:rPr>
        <w:t xml:space="preserve">Salicornia quinqueflora </w:t>
      </w:r>
      <w:r w:rsidRPr="000C60F1">
        <w:rPr>
          <w:iCs/>
        </w:rPr>
        <w:t xml:space="preserve">(bearded glasswort), </w:t>
      </w:r>
      <w:r w:rsidRPr="000C60F1">
        <w:rPr>
          <w:i/>
        </w:rPr>
        <w:t>S. blackiana</w:t>
      </w:r>
      <w:r w:rsidRPr="000C60F1">
        <w:rPr>
          <w:iCs/>
        </w:rPr>
        <w:t xml:space="preserve"> (big-headed glasswort), and</w:t>
      </w:r>
    </w:p>
    <w:p w14:paraId="11C978E0" w14:textId="71CFB801" w:rsidR="00EC552F" w:rsidRPr="000C60F1" w:rsidRDefault="00EC552F" w:rsidP="000C60F1">
      <w:pPr>
        <w:pStyle w:val="ListParagraph"/>
        <w:numPr>
          <w:ilvl w:val="0"/>
          <w:numId w:val="74"/>
        </w:numPr>
        <w:contextualSpacing w:val="0"/>
      </w:pPr>
      <w:r w:rsidRPr="000C60F1">
        <w:rPr>
          <w:i/>
        </w:rPr>
        <w:t xml:space="preserve">Suaeda australis </w:t>
      </w:r>
      <w:r w:rsidRPr="000C60F1">
        <w:rPr>
          <w:iCs/>
        </w:rPr>
        <w:t>(Austral seablite; note, in irrigated areas this is sometimes known as a salinity indicator plant, ‘redweed’)</w:t>
      </w:r>
      <w:r w:rsidRPr="000C60F1">
        <w:t xml:space="preserve">. </w:t>
      </w:r>
    </w:p>
    <w:p w14:paraId="0B63B2F2" w14:textId="24349F21" w:rsidR="00054B8E" w:rsidRDefault="0038496F" w:rsidP="00054B8E">
      <w:r>
        <w:t xml:space="preserve">The riparian vegetation around the Coorong and Lower Lakes is characterised by saline tolerant species, with localised areas of emergent freshwater species (e.g. cumbungi, common reed) where fresh groundwater discharges occur along the shoreline. For example, around the Coorong in low-lying areas of the swales, there are dense patches of sedgeland, consisting of </w:t>
      </w:r>
      <w:r w:rsidRPr="00236A8B">
        <w:rPr>
          <w:i/>
        </w:rPr>
        <w:t>Lepidosperma</w:t>
      </w:r>
      <w:r>
        <w:rPr>
          <w:i/>
        </w:rPr>
        <w:t xml:space="preserve"> </w:t>
      </w:r>
      <w:r w:rsidR="00603D2E" w:rsidRPr="00236A8B">
        <w:rPr>
          <w:i/>
        </w:rPr>
        <w:t>gladiatum</w:t>
      </w:r>
      <w:r w:rsidR="00603D2E">
        <w:t xml:space="preserve"> (coast sword-sedge), and creeping carpets of </w:t>
      </w:r>
      <w:r w:rsidR="00603D2E" w:rsidRPr="00236A8B">
        <w:rPr>
          <w:i/>
        </w:rPr>
        <w:t xml:space="preserve">Kunzea pomifera </w:t>
      </w:r>
      <w:r w:rsidR="00603D2E">
        <w:t xml:space="preserve">(muntries), and on the </w:t>
      </w:r>
      <w:r w:rsidR="00420D7B">
        <w:t xml:space="preserve">broader flats there is often a band of </w:t>
      </w:r>
      <w:r w:rsidR="00420D7B" w:rsidRPr="00236A8B">
        <w:rPr>
          <w:i/>
        </w:rPr>
        <w:t xml:space="preserve">Gahnia filum </w:t>
      </w:r>
      <w:r w:rsidR="00420D7B">
        <w:t xml:space="preserve">(smooth cutting-grass) with tussocks of </w:t>
      </w:r>
      <w:r w:rsidR="00420D7B" w:rsidRPr="00236A8B">
        <w:rPr>
          <w:i/>
        </w:rPr>
        <w:t>Austrostipa stipoides</w:t>
      </w:r>
      <w:r w:rsidR="00420D7B">
        <w:t xml:space="preserve"> (coast spear-grass) that are displaced</w:t>
      </w:r>
      <w:r w:rsidR="00054B8E">
        <w:t xml:space="preserve"> by halophytic plants, mainly samphires, next to the lagoon (Paton 2010; Jellinek et al. 2018). </w:t>
      </w:r>
    </w:p>
    <w:p w14:paraId="5AFB4A3C" w14:textId="78F073DA" w:rsidR="00105A84" w:rsidRDefault="00105A84" w:rsidP="00105A84">
      <w:pPr>
        <w:pStyle w:val="twentypointnormal"/>
        <w:spacing w:after="0"/>
        <w:ind w:left="0"/>
        <w:rPr>
          <w:rFonts w:ascii="Cambria" w:hAnsi="Cambria"/>
          <w:sz w:val="22"/>
          <w:szCs w:val="22"/>
        </w:rPr>
      </w:pPr>
      <w:r w:rsidRPr="00AF3EDD">
        <w:rPr>
          <w:rFonts w:ascii="Cambria" w:hAnsi="Cambria"/>
          <w:sz w:val="22"/>
          <w:szCs w:val="22"/>
        </w:rPr>
        <w:t xml:space="preserve">Swampy areas of the Coorong and Lakes, such as drainage lines and depressions, support </w:t>
      </w:r>
      <w:r w:rsidRPr="00AF3EDD">
        <w:rPr>
          <w:rFonts w:ascii="Cambria" w:hAnsi="Cambria"/>
          <w:i/>
          <w:sz w:val="22"/>
          <w:szCs w:val="22"/>
        </w:rPr>
        <w:t>Gahnia filum</w:t>
      </w:r>
      <w:r w:rsidRPr="00AF3EDD">
        <w:rPr>
          <w:rFonts w:ascii="Cambria" w:hAnsi="Cambria"/>
          <w:sz w:val="22"/>
          <w:szCs w:val="22"/>
        </w:rPr>
        <w:t xml:space="preserve"> </w:t>
      </w:r>
      <w:r>
        <w:rPr>
          <w:rFonts w:ascii="Cambria" w:hAnsi="Cambria"/>
          <w:sz w:val="22"/>
          <w:szCs w:val="22"/>
        </w:rPr>
        <w:t xml:space="preserve">(vulnerable) </w:t>
      </w:r>
      <w:r w:rsidRPr="00AF3EDD">
        <w:rPr>
          <w:rFonts w:ascii="Cambria" w:hAnsi="Cambria"/>
          <w:sz w:val="22"/>
          <w:szCs w:val="22"/>
        </w:rPr>
        <w:t xml:space="preserve">and </w:t>
      </w:r>
      <w:r w:rsidRPr="00AF3EDD">
        <w:rPr>
          <w:rFonts w:ascii="Cambria" w:hAnsi="Cambria"/>
          <w:i/>
          <w:sz w:val="22"/>
          <w:szCs w:val="22"/>
        </w:rPr>
        <w:t>G. trifida</w:t>
      </w:r>
      <w:r w:rsidRPr="00AF3EDD">
        <w:rPr>
          <w:rFonts w:ascii="Cambria" w:hAnsi="Cambria"/>
          <w:sz w:val="22"/>
          <w:szCs w:val="22"/>
        </w:rPr>
        <w:t xml:space="preserve"> </w:t>
      </w:r>
      <w:r>
        <w:rPr>
          <w:rFonts w:ascii="Cambria" w:hAnsi="Cambria"/>
          <w:sz w:val="22"/>
          <w:szCs w:val="22"/>
        </w:rPr>
        <w:t>(endangered)</w:t>
      </w:r>
      <w:r w:rsidRPr="00AF3EDD">
        <w:rPr>
          <w:rFonts w:ascii="Cambria" w:hAnsi="Cambria"/>
          <w:sz w:val="22"/>
          <w:szCs w:val="22"/>
        </w:rPr>
        <w:t xml:space="preserve">, </w:t>
      </w:r>
      <w:r>
        <w:rPr>
          <w:rFonts w:ascii="Cambria" w:hAnsi="Cambria"/>
          <w:sz w:val="22"/>
          <w:szCs w:val="22"/>
        </w:rPr>
        <w:t xml:space="preserve">which form sedgeland systems </w:t>
      </w:r>
      <w:r w:rsidRPr="00AF3EDD">
        <w:rPr>
          <w:rFonts w:ascii="Cambria" w:hAnsi="Cambria"/>
          <w:sz w:val="22"/>
          <w:szCs w:val="22"/>
        </w:rPr>
        <w:t xml:space="preserve">recognised as 'threatened' in South Australia (Phillips </w:t>
      </w:r>
      <w:r w:rsidR="00393CF3">
        <w:rPr>
          <w:rFonts w:ascii="Cambria" w:hAnsi="Cambria"/>
          <w:sz w:val="22"/>
          <w:szCs w:val="22"/>
        </w:rPr>
        <w:t>&amp;</w:t>
      </w:r>
      <w:r w:rsidRPr="00AF3EDD">
        <w:rPr>
          <w:rFonts w:ascii="Cambria" w:hAnsi="Cambria"/>
          <w:sz w:val="22"/>
          <w:szCs w:val="22"/>
        </w:rPr>
        <w:t xml:space="preserve"> Muller, 2006). The former prefers more saline areas, and the latter fresher creek habitats. Samphire vegetation and dense lignum shrublands also occur adjacent to the lakes, with scattered </w:t>
      </w:r>
      <w:r w:rsidRPr="00AF3EDD">
        <w:rPr>
          <w:rFonts w:ascii="Cambria" w:hAnsi="Cambria"/>
          <w:i/>
          <w:sz w:val="22"/>
          <w:szCs w:val="22"/>
        </w:rPr>
        <w:t>Melaleuca halmaturorum</w:t>
      </w:r>
      <w:r w:rsidRPr="00AF3EDD">
        <w:rPr>
          <w:rFonts w:ascii="Cambria" w:hAnsi="Cambria"/>
          <w:sz w:val="22"/>
          <w:szCs w:val="22"/>
        </w:rPr>
        <w:t xml:space="preserve"> (swamp paperbark) woodlands also occurring around the lakes and islands (Gehrig </w:t>
      </w:r>
      <w:r w:rsidR="00BE7694">
        <w:rPr>
          <w:rFonts w:ascii="Cambria" w:hAnsi="Cambria"/>
          <w:sz w:val="22"/>
          <w:szCs w:val="22"/>
        </w:rPr>
        <w:t xml:space="preserve">&amp; </w:t>
      </w:r>
      <w:r w:rsidRPr="00AF3EDD">
        <w:rPr>
          <w:rFonts w:ascii="Cambria" w:hAnsi="Cambria"/>
          <w:sz w:val="22"/>
          <w:szCs w:val="22"/>
        </w:rPr>
        <w:t>Nicol 2010).</w:t>
      </w:r>
    </w:p>
    <w:p w14:paraId="7268DC8C" w14:textId="77777777" w:rsidR="00CE0863" w:rsidRPr="00CE0863" w:rsidRDefault="00CE0863" w:rsidP="00CE0863">
      <w:pPr>
        <w:pStyle w:val="twentypointnormal"/>
        <w:spacing w:after="0"/>
        <w:ind w:left="0"/>
        <w:rPr>
          <w:rFonts w:ascii="Cambria" w:hAnsi="Cambria"/>
          <w:sz w:val="22"/>
          <w:szCs w:val="22"/>
        </w:rPr>
      </w:pPr>
    </w:p>
    <w:p w14:paraId="548CD102" w14:textId="4C26E4C4" w:rsidR="00076CCE" w:rsidRPr="005549A2" w:rsidRDefault="000C25C6" w:rsidP="00E62287">
      <w:pPr>
        <w:pStyle w:val="twentypointnormal"/>
        <w:spacing w:after="200"/>
        <w:ind w:left="0"/>
      </w:pPr>
      <w:bookmarkStart w:id="38" w:name="_Toc232747012"/>
      <w:r>
        <w:rPr>
          <w:rFonts w:ascii="Cambria" w:hAnsi="Cambria"/>
          <w:sz w:val="22"/>
          <w:szCs w:val="22"/>
        </w:rPr>
        <w:t>Along both sides of the Coorong and in the dunes, there are a number of freshwater soaks that hold great cultural significance and also provide unique fresh</w:t>
      </w:r>
      <w:r w:rsidR="00550180">
        <w:rPr>
          <w:rFonts w:ascii="Cambria" w:hAnsi="Cambria"/>
          <w:sz w:val="22"/>
          <w:szCs w:val="22"/>
        </w:rPr>
        <w:t>–</w:t>
      </w:r>
      <w:r>
        <w:rPr>
          <w:rFonts w:ascii="Cambria" w:hAnsi="Cambria"/>
          <w:sz w:val="22"/>
          <w:szCs w:val="22"/>
        </w:rPr>
        <w:t>brackish habitats for unusual vegetation types. These often include a mi</w:t>
      </w:r>
      <w:r w:rsidR="00DB69F3">
        <w:rPr>
          <w:rFonts w:ascii="Cambria" w:hAnsi="Cambria"/>
          <w:sz w:val="22"/>
          <w:szCs w:val="22"/>
        </w:rPr>
        <w:t>x</w:t>
      </w:r>
      <w:r>
        <w:rPr>
          <w:rFonts w:ascii="Cambria" w:hAnsi="Cambria"/>
          <w:sz w:val="22"/>
          <w:szCs w:val="22"/>
        </w:rPr>
        <w:t xml:space="preserve"> of terrestrial and aquatic plants, or species not </w:t>
      </w:r>
      <w:r w:rsidR="00076CCE">
        <w:rPr>
          <w:rFonts w:ascii="Cambria" w:hAnsi="Cambria"/>
          <w:sz w:val="22"/>
          <w:szCs w:val="22"/>
        </w:rPr>
        <w:t>found elsewhere in the Coorong (due to salinity stress); i</w:t>
      </w:r>
      <w:r w:rsidR="008846AC">
        <w:rPr>
          <w:rFonts w:ascii="Cambria" w:hAnsi="Cambria"/>
          <w:sz w:val="22"/>
          <w:szCs w:val="22"/>
        </w:rPr>
        <w:t>mportantly</w:t>
      </w:r>
      <w:r w:rsidR="00076CCE">
        <w:rPr>
          <w:rFonts w:ascii="Cambria" w:hAnsi="Cambria"/>
          <w:sz w:val="22"/>
          <w:szCs w:val="22"/>
        </w:rPr>
        <w:t xml:space="preserve">, they provide water and </w:t>
      </w:r>
      <w:r w:rsidR="00076CCE" w:rsidRPr="005549A2">
        <w:t xml:space="preserve">food to </w:t>
      </w:r>
      <w:r w:rsidR="00962212" w:rsidRPr="005549A2">
        <w:t>wildlife</w:t>
      </w:r>
      <w:r w:rsidR="00076CCE" w:rsidRPr="005549A2">
        <w:t xml:space="preserve"> (Young 1981).</w:t>
      </w:r>
    </w:p>
    <w:bookmarkEnd w:id="38"/>
    <w:p w14:paraId="2FCC021F" w14:textId="47DD5147" w:rsidR="00BE23C6" w:rsidRPr="00365746" w:rsidRDefault="00BE23C6" w:rsidP="00AD4454">
      <w:pPr>
        <w:pStyle w:val="Heading6"/>
        <w:rPr>
          <w:iCs/>
        </w:rPr>
      </w:pPr>
      <w:r w:rsidRPr="00365746">
        <w:t xml:space="preserve">Coorong and Lower Lakes </w:t>
      </w:r>
      <w:r>
        <w:t xml:space="preserve">aquatic </w:t>
      </w:r>
      <w:r w:rsidRPr="00365746">
        <w:t>vegetation</w:t>
      </w:r>
    </w:p>
    <w:p w14:paraId="45E67445" w14:textId="184B609B" w:rsidR="00C13E73" w:rsidRDefault="00885A02" w:rsidP="00EC2C14">
      <w:r w:rsidRPr="009B58D8">
        <w:t>Aquatic vegetation</w:t>
      </w:r>
      <w:r w:rsidR="00415500">
        <w:t xml:space="preserve"> (macrophytes)</w:t>
      </w:r>
      <w:r w:rsidRPr="009B58D8">
        <w:t>, both submergent and emergent</w:t>
      </w:r>
      <w:r w:rsidR="00033849">
        <w:t>,</w:t>
      </w:r>
      <w:r w:rsidR="00415500">
        <w:t xml:space="preserve"> </w:t>
      </w:r>
      <w:r w:rsidR="00033849">
        <w:t>are</w:t>
      </w:r>
      <w:r w:rsidRPr="009B58D8">
        <w:t xml:space="preserve"> known to cool and clean water, reduce sediment</w:t>
      </w:r>
      <w:r>
        <w:t>-</w:t>
      </w:r>
      <w:r w:rsidRPr="009B58D8">
        <w:t>water interactions</w:t>
      </w:r>
      <w:r w:rsidR="00CA40F6">
        <w:t xml:space="preserve">, </w:t>
      </w:r>
      <w:r w:rsidRPr="009B58D8">
        <w:t>and remove excess nutrients from the water column. The</w:t>
      </w:r>
      <w:r w:rsidR="00072EB4">
        <w:t>se plants</w:t>
      </w:r>
      <w:r w:rsidRPr="009B58D8">
        <w:t xml:space="preserve"> are also key habitat or food sources for many of native fish (particularly juveniles) and wetland birds (Merrick et al. 2003). </w:t>
      </w:r>
      <w:r w:rsidR="001D2C4A">
        <w:t>Knowledge of the diversity of macrophytes</w:t>
      </w:r>
      <w:r w:rsidR="00415500">
        <w:t xml:space="preserve"> </w:t>
      </w:r>
      <w:r w:rsidR="00CA40F6">
        <w:t xml:space="preserve">within </w:t>
      </w:r>
      <w:r w:rsidR="005239CE">
        <w:t xml:space="preserve">the ecological community </w:t>
      </w:r>
      <w:r w:rsidR="00296D14">
        <w:t xml:space="preserve">is </w:t>
      </w:r>
      <w:r w:rsidR="00175F22">
        <w:t>regarded as</w:t>
      </w:r>
      <w:r w:rsidR="00DB6822">
        <w:t xml:space="preserve"> more limited than </w:t>
      </w:r>
      <w:r w:rsidR="00ED2948">
        <w:t xml:space="preserve">for </w:t>
      </w:r>
      <w:r w:rsidR="00DB6822">
        <w:t>terrestrial plants, and there are relatively few</w:t>
      </w:r>
      <w:r w:rsidR="005239CE">
        <w:t>er</w:t>
      </w:r>
      <w:r w:rsidR="00DB6822">
        <w:t xml:space="preserve"> voucher specimens </w:t>
      </w:r>
      <w:r w:rsidR="00556D9B">
        <w:t xml:space="preserve">(Gehrig &amp; Nicol 2010; Coleman </w:t>
      </w:r>
      <w:r w:rsidR="00246BDA">
        <w:t>in press</w:t>
      </w:r>
      <w:r w:rsidR="00676C78">
        <w:t xml:space="preserve">). </w:t>
      </w:r>
      <w:r w:rsidR="00974D68">
        <w:t>In turn, t</w:t>
      </w:r>
      <w:r w:rsidR="00676C78">
        <w:t xml:space="preserve">his </w:t>
      </w:r>
      <w:r w:rsidR="00DC7E2A">
        <w:t xml:space="preserve">has limited </w:t>
      </w:r>
      <w:r w:rsidR="00491DBB">
        <w:t>an</w:t>
      </w:r>
      <w:r w:rsidR="009529C4">
        <w:t xml:space="preserve"> </w:t>
      </w:r>
      <w:r w:rsidR="00676C78">
        <w:t>understanding of baseline condition</w:t>
      </w:r>
      <w:r w:rsidR="00974D68">
        <w:t>s</w:t>
      </w:r>
      <w:r w:rsidR="00ED5D96">
        <w:t xml:space="preserve"> (particularly pre-regulation)</w:t>
      </w:r>
      <w:r w:rsidR="00F843F8">
        <w:t xml:space="preserve"> and hindered a detailed knowledge of </w:t>
      </w:r>
      <w:r w:rsidR="00826129">
        <w:t>the c</w:t>
      </w:r>
      <w:r w:rsidR="00F843F8">
        <w:t>urrent stat</w:t>
      </w:r>
      <w:r w:rsidR="0076351D">
        <w:t>e</w:t>
      </w:r>
      <w:r w:rsidR="00826129">
        <w:t xml:space="preserve"> of aquatic vegetation</w:t>
      </w:r>
      <w:r w:rsidR="00456848">
        <w:t xml:space="preserve">—particularly in relation to rare species and </w:t>
      </w:r>
      <w:r w:rsidR="0076351D">
        <w:t>reproductive material (F. Coleman pers. comm)</w:t>
      </w:r>
      <w:r w:rsidR="00DC7E2A">
        <w:t>.</w:t>
      </w:r>
    </w:p>
    <w:p w14:paraId="57626DFE" w14:textId="449082E1" w:rsidR="00272073" w:rsidRPr="00105A84" w:rsidRDefault="00272073" w:rsidP="00007B54">
      <w:pPr>
        <w:pStyle w:val="Heading7"/>
      </w:pPr>
      <w:r w:rsidRPr="00105A84">
        <w:t xml:space="preserve">Aquatic vegetation of the Coorong </w:t>
      </w:r>
    </w:p>
    <w:p w14:paraId="4FE17516" w14:textId="17FBE288" w:rsidR="00442008" w:rsidRDefault="005860E4" w:rsidP="00CD35D5">
      <w:pPr>
        <w:spacing w:after="0"/>
      </w:pPr>
      <w:r>
        <w:t>Historically, macrophytes (water plants) were recorded as a prominent feature of the Coorong</w:t>
      </w:r>
      <w:r w:rsidR="00937DB1">
        <w:t xml:space="preserve">. By the </w:t>
      </w:r>
      <w:r>
        <w:t>19</w:t>
      </w:r>
      <w:r w:rsidR="005A262B">
        <w:t>8</w:t>
      </w:r>
      <w:r>
        <w:t>0s,</w:t>
      </w:r>
      <w:r w:rsidR="00937DB1">
        <w:t xml:space="preserve"> </w:t>
      </w:r>
      <w:r w:rsidRPr="00430E38">
        <w:rPr>
          <w:i/>
        </w:rPr>
        <w:t>Ruppia</w:t>
      </w:r>
      <w:r>
        <w:t xml:space="preserve"> s</w:t>
      </w:r>
      <w:r w:rsidR="00E60A16">
        <w:t>pp.</w:t>
      </w:r>
      <w:r>
        <w:t xml:space="preserve"> (widgeon or tassel grass)</w:t>
      </w:r>
      <w:r w:rsidR="00937DB1">
        <w:t xml:space="preserve">, </w:t>
      </w:r>
      <w:r w:rsidR="00937DB1" w:rsidRPr="00937DB1">
        <w:rPr>
          <w:i/>
          <w:iCs/>
        </w:rPr>
        <w:t>Althenia</w:t>
      </w:r>
      <w:r w:rsidR="00937DB1">
        <w:t xml:space="preserve"> spp. (</w:t>
      </w:r>
      <w:r w:rsidR="00F07A11">
        <w:t xml:space="preserve">syn. </w:t>
      </w:r>
      <w:r w:rsidR="00D339CD" w:rsidRPr="000F388B">
        <w:rPr>
          <w:i/>
        </w:rPr>
        <w:t>Lepilaena</w:t>
      </w:r>
      <w:r w:rsidR="00D339CD">
        <w:t xml:space="preserve">. </w:t>
      </w:r>
      <w:r w:rsidR="00937DB1">
        <w:t xml:space="preserve">long-fruit </w:t>
      </w:r>
      <w:r w:rsidR="00937DB1">
        <w:lastRenderedPageBreak/>
        <w:t>water-mat)</w:t>
      </w:r>
      <w:r>
        <w:t xml:space="preserve"> and </w:t>
      </w:r>
      <w:r w:rsidRPr="00E82F7D">
        <w:rPr>
          <w:i/>
        </w:rPr>
        <w:t xml:space="preserve">Lamprothamnium </w:t>
      </w:r>
      <w:r>
        <w:rPr>
          <w:i/>
        </w:rPr>
        <w:t>p</w:t>
      </w:r>
      <w:r w:rsidRPr="00E82F7D">
        <w:rPr>
          <w:i/>
        </w:rPr>
        <w:t>apulosum</w:t>
      </w:r>
      <w:r>
        <w:rPr>
          <w:i/>
        </w:rPr>
        <w:t xml:space="preserve"> </w:t>
      </w:r>
      <w:r>
        <w:t>(</w:t>
      </w:r>
      <w:r w:rsidR="00BA3327">
        <w:t>foxtailed stonewort</w:t>
      </w:r>
      <w:r>
        <w:t xml:space="preserve">) </w:t>
      </w:r>
      <w:r w:rsidR="00BA3327">
        <w:t xml:space="preserve">were </w:t>
      </w:r>
      <w:r w:rsidR="00937DB1">
        <w:t xml:space="preserve">still </w:t>
      </w:r>
      <w:r>
        <w:t xml:space="preserve">common (Geddes, 1987; </w:t>
      </w:r>
      <w:r w:rsidR="00012554">
        <w:t>Gehrig &amp; Nicol 2010</w:t>
      </w:r>
      <w:r w:rsidR="00ED5D96">
        <w:t xml:space="preserve">; </w:t>
      </w:r>
      <w:r>
        <w:t>Paton, 2010)</w:t>
      </w:r>
      <w:r w:rsidR="00786A5F">
        <w:t>, but did not cover the large portion of deeper sediments they had prior to about 1978 (Coleman in press)</w:t>
      </w:r>
      <w:r w:rsidR="004C03A2">
        <w:t xml:space="preserve">. </w:t>
      </w:r>
      <w:r w:rsidR="00E15D7F">
        <w:t xml:space="preserve">Other species in the South Lagoon included </w:t>
      </w:r>
      <w:r w:rsidR="00AE755A" w:rsidRPr="00100D63">
        <w:rPr>
          <w:i/>
          <w:iCs/>
        </w:rPr>
        <w:t>Acetabularia peniculus</w:t>
      </w:r>
      <w:r w:rsidR="00AE755A" w:rsidRPr="009B58D8">
        <w:t xml:space="preserve"> (</w:t>
      </w:r>
      <w:r w:rsidR="001F15C2">
        <w:t>b</w:t>
      </w:r>
      <w:r w:rsidR="00AE755A" w:rsidRPr="009B58D8">
        <w:t>alloon-tops)</w:t>
      </w:r>
      <w:r w:rsidR="00E15D7F">
        <w:t xml:space="preserve"> and </w:t>
      </w:r>
      <w:r w:rsidR="00AE755A" w:rsidRPr="009B58D8">
        <w:t>a range of other charophytes</w:t>
      </w:r>
      <w:r w:rsidR="00C71282">
        <w:t xml:space="preserve"> (calcifying macroalgae)</w:t>
      </w:r>
      <w:r w:rsidR="00AE755A" w:rsidRPr="009B58D8">
        <w:t>, filamentous green algae</w:t>
      </w:r>
      <w:r w:rsidR="00816BA6">
        <w:t>,</w:t>
      </w:r>
      <w:r w:rsidR="00AE755A" w:rsidRPr="009B58D8">
        <w:t xml:space="preserve"> and water felts</w:t>
      </w:r>
      <w:r w:rsidR="00EC25D2">
        <w:t>;</w:t>
      </w:r>
      <w:r w:rsidR="00E15D7F">
        <w:t xml:space="preserve"> those of the</w:t>
      </w:r>
      <w:r w:rsidR="00952170">
        <w:t xml:space="preserve"> North Lagoon included </w:t>
      </w:r>
      <w:r w:rsidR="005717B8" w:rsidRPr="0087350F">
        <w:rPr>
          <w:i/>
          <w:iCs/>
        </w:rPr>
        <w:t>Zostera mulleri</w:t>
      </w:r>
      <w:r w:rsidR="005717B8">
        <w:t xml:space="preserve"> (seagrass) </w:t>
      </w:r>
      <w:r w:rsidR="00C2257C">
        <w:t xml:space="preserve">and </w:t>
      </w:r>
      <w:r w:rsidR="005717B8">
        <w:t>(Geddes &amp; Hall 1990</w:t>
      </w:r>
      <w:r w:rsidR="00E15D7F">
        <w:t xml:space="preserve">; </w:t>
      </w:r>
      <w:r w:rsidR="00AA5E6A">
        <w:t xml:space="preserve">Phillips &amp; Muller 2006; </w:t>
      </w:r>
      <w:r w:rsidR="00F05BB5">
        <w:t xml:space="preserve">Gehrig &amp; Nicol 2010; </w:t>
      </w:r>
      <w:r w:rsidR="001625B6">
        <w:t xml:space="preserve">Paton 2010; </w:t>
      </w:r>
      <w:r w:rsidR="00F05BB5" w:rsidRPr="004468B9">
        <w:rPr>
          <w:u w:val="single"/>
        </w:rPr>
        <w:t xml:space="preserve">Appendix </w:t>
      </w:r>
      <w:r w:rsidR="0087350F" w:rsidRPr="004468B9">
        <w:rPr>
          <w:u w:val="single"/>
        </w:rPr>
        <w:t>B,</w:t>
      </w:r>
      <w:r w:rsidR="004468B9" w:rsidRPr="004468B9">
        <w:rPr>
          <w:u w:val="single"/>
        </w:rPr>
        <w:t xml:space="preserve"> </w:t>
      </w:r>
      <w:r w:rsidR="00F05BB5" w:rsidRPr="004468B9">
        <w:rPr>
          <w:u w:val="single"/>
        </w:rPr>
        <w:t xml:space="preserve">Table </w:t>
      </w:r>
      <w:r w:rsidR="0087350F" w:rsidRPr="004468B9">
        <w:rPr>
          <w:u w:val="single"/>
        </w:rPr>
        <w:t>B</w:t>
      </w:r>
      <w:r w:rsidR="00C66E38" w:rsidRPr="004468B9">
        <w:rPr>
          <w:u w:val="single"/>
        </w:rPr>
        <w:t>1</w:t>
      </w:r>
      <w:r w:rsidR="005717B8">
        <w:t>).</w:t>
      </w:r>
    </w:p>
    <w:p w14:paraId="4DC295F8" w14:textId="77777777" w:rsidR="00442008" w:rsidRDefault="00442008" w:rsidP="00CD35D5">
      <w:pPr>
        <w:spacing w:after="0"/>
      </w:pPr>
    </w:p>
    <w:p w14:paraId="56D335C4" w14:textId="45506BD4" w:rsidR="00263DFE" w:rsidRDefault="00EE0103" w:rsidP="00CD35D5">
      <w:pPr>
        <w:spacing w:after="0"/>
      </w:pPr>
      <w:r>
        <w:t>T</w:t>
      </w:r>
      <w:r w:rsidR="00BB57B1">
        <w:t xml:space="preserve">he </w:t>
      </w:r>
      <w:r w:rsidR="008D0B75">
        <w:t>t</w:t>
      </w:r>
      <w:r w:rsidR="005860E4">
        <w:t xml:space="preserve">wo </w:t>
      </w:r>
      <w:r w:rsidR="00BB57B1">
        <w:t xml:space="preserve">main </w:t>
      </w:r>
      <w:r w:rsidR="005860E4">
        <w:t xml:space="preserve">species of </w:t>
      </w:r>
      <w:r w:rsidR="005860E4" w:rsidRPr="00793D30">
        <w:rPr>
          <w:i/>
        </w:rPr>
        <w:t>Ruppi</w:t>
      </w:r>
      <w:r w:rsidR="005860E4">
        <w:rPr>
          <w:i/>
        </w:rPr>
        <w:t>a,</w:t>
      </w:r>
      <w:r w:rsidR="005860E4">
        <w:t xml:space="preserve"> including </w:t>
      </w:r>
      <w:r w:rsidR="005860E4" w:rsidRPr="00A95D2C">
        <w:rPr>
          <w:i/>
        </w:rPr>
        <w:t>R.</w:t>
      </w:r>
      <w:r w:rsidR="005860E4">
        <w:t xml:space="preserve"> </w:t>
      </w:r>
      <w:r w:rsidR="005860E4" w:rsidRPr="00861F7F">
        <w:rPr>
          <w:i/>
        </w:rPr>
        <w:t>megacarpa</w:t>
      </w:r>
      <w:r w:rsidR="005860E4">
        <w:rPr>
          <w:i/>
        </w:rPr>
        <w:t xml:space="preserve"> </w:t>
      </w:r>
      <w:r w:rsidR="005860E4" w:rsidRPr="003C7331">
        <w:t>(large-fruit</w:t>
      </w:r>
      <w:r w:rsidR="005860E4">
        <w:t xml:space="preserve"> tassel) and </w:t>
      </w:r>
      <w:r w:rsidR="005860E4" w:rsidRPr="00A95D2C">
        <w:rPr>
          <w:i/>
        </w:rPr>
        <w:t xml:space="preserve">R. </w:t>
      </w:r>
      <w:r w:rsidR="005860E4" w:rsidRPr="00861F7F">
        <w:rPr>
          <w:i/>
        </w:rPr>
        <w:t>tuberosa</w:t>
      </w:r>
      <w:r w:rsidR="005860E4">
        <w:rPr>
          <w:i/>
        </w:rPr>
        <w:t xml:space="preserve"> </w:t>
      </w:r>
      <w:r w:rsidR="005860E4" w:rsidRPr="00B356D1">
        <w:t>(</w:t>
      </w:r>
      <w:r w:rsidR="005860E4" w:rsidRPr="003C7331">
        <w:t>tuberous tassel</w:t>
      </w:r>
      <w:r w:rsidR="005860E4">
        <w:t xml:space="preserve">) </w:t>
      </w:r>
      <w:r w:rsidR="004468B9">
        <w:t xml:space="preserve">historically </w:t>
      </w:r>
      <w:r w:rsidR="005860E4">
        <w:t>provided a critical role in the food chain of the Coorong, particularly for waders, ducks</w:t>
      </w:r>
      <w:r w:rsidR="008D0B75">
        <w:t>,</w:t>
      </w:r>
      <w:r w:rsidR="005860E4">
        <w:t xml:space="preserve"> and other water birds</w:t>
      </w:r>
      <w:r w:rsidR="006B3205">
        <w:t>, including</w:t>
      </w:r>
      <w:r w:rsidR="00527C8F">
        <w:t xml:space="preserve"> migratory shorebirds</w:t>
      </w:r>
      <w:r w:rsidR="005860E4">
        <w:t xml:space="preserve"> (Nicol 2005a, b; Rogers and Paton 2009a,</w:t>
      </w:r>
      <w:r w:rsidR="002957C6">
        <w:t xml:space="preserve"> </w:t>
      </w:r>
      <w:r w:rsidR="005860E4">
        <w:t>b).</w:t>
      </w:r>
      <w:r w:rsidR="00075CB9">
        <w:t xml:space="preserve"> </w:t>
      </w:r>
      <w:r w:rsidR="00527C8F" w:rsidRPr="00837B02">
        <w:rPr>
          <w:i/>
          <w:iCs/>
        </w:rPr>
        <w:t>Ruppia tuberosa</w:t>
      </w:r>
      <w:r w:rsidR="00527C8F">
        <w:t xml:space="preserve"> is </w:t>
      </w:r>
      <w:r w:rsidR="004468B9">
        <w:t xml:space="preserve">still </w:t>
      </w:r>
      <w:r w:rsidR="00527C8F">
        <w:t xml:space="preserve">recognised as a keystone species in the Coorong </w:t>
      </w:r>
      <w:r w:rsidR="00355B78">
        <w:t>(Asanopoulos &amp; Waycott 2020</w:t>
      </w:r>
      <w:r w:rsidR="005D1851">
        <w:t>)</w:t>
      </w:r>
      <w:r w:rsidR="008221CE">
        <w:t>. However,</w:t>
      </w:r>
      <w:r w:rsidR="00355B78">
        <w:t xml:space="preserve"> </w:t>
      </w:r>
      <w:r w:rsidR="007E5D24" w:rsidRPr="00913AD0">
        <w:rPr>
          <w:i/>
          <w:iCs/>
        </w:rPr>
        <w:t xml:space="preserve">Ruppia </w:t>
      </w:r>
      <w:r w:rsidR="007E5D24" w:rsidRPr="00355B78">
        <w:rPr>
          <w:i/>
          <w:iCs/>
        </w:rPr>
        <w:t xml:space="preserve">megacarpa </w:t>
      </w:r>
      <w:r w:rsidR="00E17258">
        <w:rPr>
          <w:i/>
          <w:iCs/>
        </w:rPr>
        <w:t xml:space="preserve">and R. polycarpa </w:t>
      </w:r>
      <w:r w:rsidR="00250062" w:rsidRPr="00250062">
        <w:t xml:space="preserve">plants </w:t>
      </w:r>
      <w:r w:rsidR="007E5D24">
        <w:t>ha</w:t>
      </w:r>
      <w:r w:rsidR="00E17258">
        <w:t>ve</w:t>
      </w:r>
      <w:r w:rsidR="007E5D24">
        <w:t xml:space="preserve"> not been </w:t>
      </w:r>
      <w:r w:rsidR="002E2038">
        <w:t xml:space="preserve">officially recorded </w:t>
      </w:r>
      <w:r w:rsidR="00913AD0">
        <w:t>in the</w:t>
      </w:r>
      <w:r w:rsidR="00E17258">
        <w:t xml:space="preserve"> Coorong </w:t>
      </w:r>
      <w:r w:rsidR="002E2038">
        <w:t xml:space="preserve">since </w:t>
      </w:r>
      <w:r w:rsidR="00E17258">
        <w:t>the mid-</w:t>
      </w:r>
      <w:r w:rsidR="002E2038">
        <w:t>199</w:t>
      </w:r>
      <w:r w:rsidR="00E17258">
        <w:t>0s</w:t>
      </w:r>
      <w:r w:rsidR="002E2038">
        <w:t xml:space="preserve"> (Nicol 2005</w:t>
      </w:r>
      <w:r w:rsidR="004E0FC1">
        <w:t>; Phillips &amp; Muller 2006</w:t>
      </w:r>
      <w:r w:rsidR="004E7E21">
        <w:t>; Nicol et al. 2018</w:t>
      </w:r>
      <w:r w:rsidR="00C71ABE">
        <w:t xml:space="preserve">; </w:t>
      </w:r>
      <w:r w:rsidR="007101E9">
        <w:t xml:space="preserve">Waycott </w:t>
      </w:r>
      <w:r w:rsidR="00C71ABE">
        <w:t>et al. 2022</w:t>
      </w:r>
      <w:r w:rsidR="002E2038">
        <w:t>)</w:t>
      </w:r>
      <w:r w:rsidR="00250062">
        <w:t xml:space="preserve">; although </w:t>
      </w:r>
      <w:r w:rsidR="007101E9">
        <w:t xml:space="preserve">it has recently been found that some </w:t>
      </w:r>
      <w:r w:rsidR="007101E9" w:rsidRPr="007101E9">
        <w:rPr>
          <w:i/>
          <w:iCs/>
        </w:rPr>
        <w:t>R. megacarpa</w:t>
      </w:r>
      <w:r w:rsidR="007101E9">
        <w:t xml:space="preserve"> seeds persist (Lewis et al. 2022).</w:t>
      </w:r>
      <w:r w:rsidR="002E2038">
        <w:t xml:space="preserve"> </w:t>
      </w:r>
    </w:p>
    <w:p w14:paraId="0F1FD2CE" w14:textId="77777777" w:rsidR="00511EF2" w:rsidRDefault="00511EF2" w:rsidP="003225A0">
      <w:pPr>
        <w:spacing w:after="0"/>
      </w:pPr>
    </w:p>
    <w:p w14:paraId="0EF62C34" w14:textId="2315ECAA" w:rsidR="00B4455C" w:rsidRPr="00E62287" w:rsidRDefault="00511EF2" w:rsidP="00E62287">
      <w:r>
        <w:t xml:space="preserve">The </w:t>
      </w:r>
      <w:r w:rsidR="0044379B">
        <w:t xml:space="preserve">once </w:t>
      </w:r>
      <w:r w:rsidR="00B4455C">
        <w:t xml:space="preserve">dominant submerged aquatic macrophyte </w:t>
      </w:r>
      <w:r w:rsidR="004C524F">
        <w:t>community</w:t>
      </w:r>
      <w:r w:rsidR="00B4455C">
        <w:t xml:space="preserve"> of the Coorong </w:t>
      </w:r>
      <w:r w:rsidR="004C524F">
        <w:t>central</w:t>
      </w:r>
      <w:r w:rsidR="00B4455C">
        <w:t xml:space="preserve"> and South Lagoon </w:t>
      </w:r>
      <w:r w:rsidR="009F2030">
        <w:t xml:space="preserve">(often referred to as ‘southern Coorong’) </w:t>
      </w:r>
      <w:r w:rsidR="00B4455C">
        <w:t xml:space="preserve">is </w:t>
      </w:r>
      <w:r>
        <w:t xml:space="preserve">currently </w:t>
      </w:r>
      <w:r w:rsidR="00530679">
        <w:t xml:space="preserve">recognised as </w:t>
      </w:r>
      <w:r w:rsidR="00B4455C">
        <w:t xml:space="preserve">a ‘mixed’ </w:t>
      </w:r>
      <w:r w:rsidR="00B531B3">
        <w:t>sub-</w:t>
      </w:r>
      <w:r w:rsidR="00B4455C">
        <w:t xml:space="preserve">community </w:t>
      </w:r>
      <w:r w:rsidR="0086335A">
        <w:t>featuring</w:t>
      </w:r>
      <w:r w:rsidR="00D21718">
        <w:t>, but not confined to,</w:t>
      </w:r>
      <w:r w:rsidR="00B4455C">
        <w:t xml:space="preserve"> </w:t>
      </w:r>
      <w:r w:rsidR="00B4455C" w:rsidRPr="004C524F">
        <w:rPr>
          <w:i/>
          <w:iCs/>
        </w:rPr>
        <w:t>Ruppia tuberosa</w:t>
      </w:r>
      <w:r w:rsidR="00B4455C">
        <w:t xml:space="preserve"> and </w:t>
      </w:r>
      <w:r w:rsidR="00B4455C" w:rsidRPr="004C524F">
        <w:rPr>
          <w:i/>
          <w:iCs/>
        </w:rPr>
        <w:t>Althenia</w:t>
      </w:r>
      <w:r w:rsidR="00B4455C">
        <w:t xml:space="preserve"> </w:t>
      </w:r>
      <w:r w:rsidR="00B4455C" w:rsidRPr="004C524F">
        <w:rPr>
          <w:i/>
          <w:iCs/>
        </w:rPr>
        <w:t>cylindrocarpa</w:t>
      </w:r>
      <w:r w:rsidR="004C524F">
        <w:t xml:space="preserve"> (</w:t>
      </w:r>
      <w:r w:rsidR="00D315C0">
        <w:t>Asanopo</w:t>
      </w:r>
      <w:r w:rsidR="001C7824">
        <w:t>u</w:t>
      </w:r>
      <w:r w:rsidR="00D315C0">
        <w:t>los</w:t>
      </w:r>
      <w:r w:rsidR="008D0B75">
        <w:t xml:space="preserve"> &amp; Waycott 2020</w:t>
      </w:r>
      <w:r w:rsidR="00245759">
        <w:t>; Waycott &amp; Lewis 2022</w:t>
      </w:r>
      <w:r w:rsidR="008D0B75">
        <w:t>).</w:t>
      </w:r>
      <w:r w:rsidR="00911EAE">
        <w:t xml:space="preserve"> </w:t>
      </w:r>
      <w:r w:rsidR="00604706">
        <w:t>Recovery of</w:t>
      </w:r>
      <w:r w:rsidR="005A30C2">
        <w:t xml:space="preserve"> </w:t>
      </w:r>
      <w:r w:rsidR="00D21718">
        <w:t>the ‘</w:t>
      </w:r>
      <w:r w:rsidR="005A30C2" w:rsidRPr="00D21718">
        <w:t xml:space="preserve">Ruppia </w:t>
      </w:r>
      <w:r w:rsidR="00D21718">
        <w:t>C</w:t>
      </w:r>
      <w:r w:rsidR="005A30C2">
        <w:t>ommunity</w:t>
      </w:r>
      <w:r w:rsidR="00D21718">
        <w:t>’</w:t>
      </w:r>
      <w:r w:rsidR="005A30C2">
        <w:t xml:space="preserve"> </w:t>
      </w:r>
      <w:r w:rsidR="00530679">
        <w:t>s</w:t>
      </w:r>
      <w:r w:rsidR="00911EAE">
        <w:t>ince the Millennium Drought</w:t>
      </w:r>
      <w:r w:rsidR="005A30C2">
        <w:t xml:space="preserve"> has been</w:t>
      </w:r>
      <w:r w:rsidR="005F5F49">
        <w:t xml:space="preserve"> limited</w:t>
      </w:r>
      <w:r w:rsidR="00BD5EF4">
        <w:t xml:space="preserve"> and variable</w:t>
      </w:r>
      <w:r w:rsidR="005A30C2">
        <w:t>,</w:t>
      </w:r>
      <w:r w:rsidR="00260604">
        <w:t xml:space="preserve"> and</w:t>
      </w:r>
      <w:r w:rsidR="00911EAE">
        <w:t xml:space="preserve"> the South Lag</w:t>
      </w:r>
      <w:r w:rsidR="00A52A28">
        <w:t>o</w:t>
      </w:r>
      <w:r w:rsidR="00911EAE">
        <w:t xml:space="preserve">on </w:t>
      </w:r>
      <w:r w:rsidR="00260604">
        <w:t xml:space="preserve">has </w:t>
      </w:r>
      <w:r w:rsidR="00E72F68">
        <w:t>s</w:t>
      </w:r>
      <w:r w:rsidR="001C1BCE">
        <w:t>w</w:t>
      </w:r>
      <w:r w:rsidR="00E72F68">
        <w:t>itch</w:t>
      </w:r>
      <w:r w:rsidR="00260604">
        <w:t xml:space="preserve">ed </w:t>
      </w:r>
      <w:r w:rsidR="00E72F68">
        <w:t xml:space="preserve">to </w:t>
      </w:r>
      <w:r w:rsidR="001C7824">
        <w:t xml:space="preserve">a system dominated by </w:t>
      </w:r>
      <w:r w:rsidR="000763DE">
        <w:t xml:space="preserve">filamentous </w:t>
      </w:r>
      <w:r w:rsidR="00DB050E">
        <w:t xml:space="preserve">green </w:t>
      </w:r>
      <w:r w:rsidR="005A30C2">
        <w:t xml:space="preserve">algae </w:t>
      </w:r>
      <w:r w:rsidR="00CE52D4">
        <w:t xml:space="preserve">and frequent phytoplankton blooms </w:t>
      </w:r>
      <w:r w:rsidR="00C4082B">
        <w:t xml:space="preserve">due to eutrophication </w:t>
      </w:r>
      <w:r w:rsidR="00F80233">
        <w:t>(</w:t>
      </w:r>
      <w:r w:rsidR="001E0FBD">
        <w:t xml:space="preserve">Collier et al. 2017; </w:t>
      </w:r>
      <w:r w:rsidR="00254B6A">
        <w:t xml:space="preserve">Brookes et al. 2018; </w:t>
      </w:r>
      <w:r w:rsidR="00F80233">
        <w:t>A</w:t>
      </w:r>
      <w:r w:rsidR="00882F78">
        <w:t>sanopoulos</w:t>
      </w:r>
      <w:r w:rsidR="00F80233">
        <w:t xml:space="preserve"> &amp; Waycott </w:t>
      </w:r>
      <w:r w:rsidR="00F80233" w:rsidRPr="00E62287">
        <w:t>2020</w:t>
      </w:r>
      <w:r w:rsidR="005A30C2" w:rsidRPr="00E62287">
        <w:t xml:space="preserve">; </w:t>
      </w:r>
      <w:r w:rsidR="00C71282" w:rsidRPr="00E62287">
        <w:t xml:space="preserve">Waycott et al. 2022; </w:t>
      </w:r>
      <w:r w:rsidR="005A30C2" w:rsidRPr="00E62287">
        <w:t>Lewis et al. 2022</w:t>
      </w:r>
      <w:r w:rsidR="00F80233" w:rsidRPr="00E62287">
        <w:t>).</w:t>
      </w:r>
    </w:p>
    <w:p w14:paraId="6241A33D" w14:textId="68FF3F4B" w:rsidR="00272073" w:rsidRPr="00190C96" w:rsidRDefault="00272073" w:rsidP="00466150">
      <w:pPr>
        <w:pStyle w:val="Heading7"/>
      </w:pPr>
      <w:r w:rsidRPr="00190C96">
        <w:t>Aquatic vegetation of the Lower Lakes</w:t>
      </w:r>
    </w:p>
    <w:p w14:paraId="56E1AA48" w14:textId="31004F68" w:rsidR="00FE01F0" w:rsidRDefault="00514D15" w:rsidP="00743999">
      <w:pPr>
        <w:pStyle w:val="twentypointnormal"/>
        <w:spacing w:after="0"/>
        <w:ind w:left="0"/>
        <w:contextualSpacing/>
        <w:rPr>
          <w:rFonts w:ascii="Cambria" w:hAnsi="Cambria"/>
          <w:sz w:val="22"/>
          <w:szCs w:val="22"/>
        </w:rPr>
      </w:pPr>
      <w:r>
        <w:rPr>
          <w:rFonts w:ascii="Cambria" w:hAnsi="Cambria"/>
          <w:sz w:val="22"/>
          <w:szCs w:val="22"/>
        </w:rPr>
        <w:t>Although historical evidence suggests Lakes Alexandrina and Albert once contained extensive macrophyte cover</w:t>
      </w:r>
      <w:r w:rsidR="00D543A2">
        <w:rPr>
          <w:rFonts w:ascii="Cambria" w:hAnsi="Cambria"/>
          <w:sz w:val="22"/>
          <w:szCs w:val="22"/>
        </w:rPr>
        <w:t xml:space="preserve"> (e.g. Sturt </w:t>
      </w:r>
      <w:r w:rsidR="00AB1E91">
        <w:rPr>
          <w:rFonts w:ascii="Cambria" w:hAnsi="Cambria"/>
          <w:sz w:val="22"/>
          <w:szCs w:val="22"/>
        </w:rPr>
        <w:t>1833</w:t>
      </w:r>
      <w:r w:rsidR="00B266A8">
        <w:rPr>
          <w:rFonts w:ascii="Cambria" w:hAnsi="Cambria"/>
          <w:sz w:val="22"/>
          <w:szCs w:val="22"/>
        </w:rPr>
        <w:t xml:space="preserve"> p. 16</w:t>
      </w:r>
      <w:r w:rsidR="00FC6993">
        <w:rPr>
          <w:rFonts w:ascii="Cambria" w:hAnsi="Cambria"/>
          <w:sz w:val="22"/>
          <w:szCs w:val="22"/>
        </w:rPr>
        <w:t>3</w:t>
      </w:r>
      <w:r w:rsidR="00AB1E91">
        <w:rPr>
          <w:rFonts w:ascii="Cambria" w:hAnsi="Cambria"/>
          <w:sz w:val="22"/>
          <w:szCs w:val="22"/>
        </w:rPr>
        <w:t xml:space="preserve">), </w:t>
      </w:r>
      <w:r w:rsidR="005A19A1">
        <w:rPr>
          <w:rFonts w:ascii="Cambria" w:hAnsi="Cambria"/>
          <w:sz w:val="22"/>
          <w:szCs w:val="22"/>
        </w:rPr>
        <w:t>t</w:t>
      </w:r>
      <w:r w:rsidR="005860E4" w:rsidRPr="00AF3EDD">
        <w:rPr>
          <w:rFonts w:ascii="Cambria" w:hAnsi="Cambria"/>
          <w:sz w:val="22"/>
          <w:szCs w:val="22"/>
        </w:rPr>
        <w:t xml:space="preserve">he open waters of </w:t>
      </w:r>
      <w:r w:rsidR="005A19A1">
        <w:rPr>
          <w:rFonts w:ascii="Cambria" w:hAnsi="Cambria"/>
          <w:sz w:val="22"/>
          <w:szCs w:val="22"/>
        </w:rPr>
        <w:t xml:space="preserve">the lakes </w:t>
      </w:r>
      <w:r w:rsidR="00AE21D8">
        <w:rPr>
          <w:rFonts w:ascii="Cambria" w:hAnsi="Cambria"/>
          <w:sz w:val="22"/>
          <w:szCs w:val="22"/>
        </w:rPr>
        <w:t xml:space="preserve">are </w:t>
      </w:r>
      <w:r w:rsidR="004513C5">
        <w:rPr>
          <w:rFonts w:ascii="Cambria" w:hAnsi="Cambria"/>
          <w:sz w:val="22"/>
          <w:szCs w:val="22"/>
        </w:rPr>
        <w:t xml:space="preserve">now </w:t>
      </w:r>
      <w:r w:rsidR="005860E4" w:rsidRPr="00AF3EDD">
        <w:rPr>
          <w:rFonts w:ascii="Cambria" w:hAnsi="Cambria"/>
          <w:sz w:val="22"/>
          <w:szCs w:val="22"/>
        </w:rPr>
        <w:t>generally devoid of plants, p</w:t>
      </w:r>
      <w:r w:rsidR="00AE21D8">
        <w:rPr>
          <w:rFonts w:ascii="Cambria" w:hAnsi="Cambria"/>
          <w:sz w:val="22"/>
          <w:szCs w:val="22"/>
        </w:rPr>
        <w:t>ossibly</w:t>
      </w:r>
      <w:r w:rsidR="005860E4" w:rsidRPr="00AF3EDD">
        <w:rPr>
          <w:rFonts w:ascii="Cambria" w:hAnsi="Cambria"/>
          <w:sz w:val="22"/>
          <w:szCs w:val="22"/>
        </w:rPr>
        <w:t xml:space="preserve"> due to wave action, depth</w:t>
      </w:r>
      <w:r w:rsidR="00AE21D8">
        <w:rPr>
          <w:rFonts w:ascii="Cambria" w:hAnsi="Cambria"/>
          <w:sz w:val="22"/>
          <w:szCs w:val="22"/>
        </w:rPr>
        <w:t>,</w:t>
      </w:r>
      <w:r w:rsidR="005860E4" w:rsidRPr="00AF3EDD">
        <w:rPr>
          <w:rFonts w:ascii="Cambria" w:hAnsi="Cambria"/>
          <w:sz w:val="22"/>
          <w:szCs w:val="22"/>
        </w:rPr>
        <w:t xml:space="preserve"> and increased turbidity (Gehrig </w:t>
      </w:r>
      <w:r w:rsidR="002957C6">
        <w:rPr>
          <w:rFonts w:ascii="Cambria" w:hAnsi="Cambria"/>
          <w:sz w:val="22"/>
          <w:szCs w:val="22"/>
        </w:rPr>
        <w:t xml:space="preserve">&amp; </w:t>
      </w:r>
      <w:r w:rsidR="005860E4" w:rsidRPr="00AF3EDD">
        <w:rPr>
          <w:rFonts w:ascii="Cambria" w:hAnsi="Cambria"/>
          <w:sz w:val="22"/>
          <w:szCs w:val="22"/>
        </w:rPr>
        <w:t xml:space="preserve">Nicol, 2010). </w:t>
      </w:r>
      <w:r w:rsidR="00EB739F">
        <w:rPr>
          <w:rFonts w:ascii="Cambria" w:hAnsi="Cambria"/>
          <w:sz w:val="22"/>
          <w:szCs w:val="22"/>
        </w:rPr>
        <w:t>Rather, s</w:t>
      </w:r>
      <w:r w:rsidR="005860E4" w:rsidRPr="00AF3EDD">
        <w:rPr>
          <w:rFonts w:ascii="Cambria" w:hAnsi="Cambria"/>
          <w:sz w:val="22"/>
          <w:szCs w:val="22"/>
        </w:rPr>
        <w:t xml:space="preserve">ubmergent and amphibious plants are generally restricted to fringing wetlands, sheltered bays, </w:t>
      </w:r>
      <w:r w:rsidR="008221CE">
        <w:rPr>
          <w:rFonts w:ascii="Cambria" w:hAnsi="Cambria"/>
          <w:sz w:val="22"/>
          <w:szCs w:val="22"/>
        </w:rPr>
        <w:t xml:space="preserve">the </w:t>
      </w:r>
      <w:r w:rsidR="005860E4" w:rsidRPr="00AF3EDD">
        <w:rPr>
          <w:rFonts w:ascii="Cambria" w:hAnsi="Cambria"/>
          <w:sz w:val="22"/>
          <w:szCs w:val="22"/>
        </w:rPr>
        <w:t xml:space="preserve">Goolwa Channel and the lower reaches of Currency Creek and the Finniss River. Examples include </w:t>
      </w:r>
      <w:r w:rsidR="005860E4" w:rsidRPr="00AF3EDD">
        <w:rPr>
          <w:rFonts w:ascii="Cambria" w:hAnsi="Cambria"/>
          <w:i/>
          <w:sz w:val="22"/>
          <w:szCs w:val="22"/>
        </w:rPr>
        <w:t>Vallisneria australis</w:t>
      </w:r>
      <w:r w:rsidR="005860E4" w:rsidRPr="00AF3EDD">
        <w:rPr>
          <w:rFonts w:ascii="Cambria" w:hAnsi="Cambria"/>
          <w:sz w:val="22"/>
          <w:szCs w:val="22"/>
        </w:rPr>
        <w:t xml:space="preserve">, </w:t>
      </w:r>
      <w:r w:rsidR="005860E4" w:rsidRPr="00AF3EDD">
        <w:rPr>
          <w:rFonts w:ascii="Cambria" w:hAnsi="Cambria"/>
          <w:i/>
          <w:sz w:val="22"/>
          <w:szCs w:val="22"/>
        </w:rPr>
        <w:t>Myriophyllum</w:t>
      </w:r>
      <w:r w:rsidR="005860E4" w:rsidRPr="00AF3EDD">
        <w:rPr>
          <w:rFonts w:ascii="Cambria" w:hAnsi="Cambria"/>
          <w:sz w:val="22"/>
          <w:szCs w:val="22"/>
        </w:rPr>
        <w:t xml:space="preserve"> spp., </w:t>
      </w:r>
      <w:r w:rsidR="005860E4" w:rsidRPr="00AF3EDD">
        <w:rPr>
          <w:rFonts w:ascii="Cambria" w:hAnsi="Cambria"/>
          <w:i/>
          <w:sz w:val="22"/>
          <w:szCs w:val="22"/>
        </w:rPr>
        <w:t>Ruppia</w:t>
      </w:r>
      <w:r w:rsidR="005860E4" w:rsidRPr="00AF3EDD">
        <w:rPr>
          <w:rFonts w:ascii="Cambria" w:hAnsi="Cambria"/>
          <w:sz w:val="22"/>
          <w:szCs w:val="22"/>
        </w:rPr>
        <w:t xml:space="preserve"> spp. and </w:t>
      </w:r>
      <w:r w:rsidR="005860E4" w:rsidRPr="00AF3EDD">
        <w:rPr>
          <w:rFonts w:ascii="Cambria" w:hAnsi="Cambria"/>
          <w:i/>
          <w:sz w:val="22"/>
          <w:szCs w:val="22"/>
        </w:rPr>
        <w:t>Lepilaena cylindrocarpa</w:t>
      </w:r>
      <w:r w:rsidR="005860E4" w:rsidRPr="00AF3EDD">
        <w:rPr>
          <w:rFonts w:ascii="Cambria" w:hAnsi="Cambria"/>
          <w:sz w:val="22"/>
          <w:szCs w:val="22"/>
        </w:rPr>
        <w:t xml:space="preserve">, cumbungi and common reed (Gehrig </w:t>
      </w:r>
      <w:r w:rsidR="00FE01F0">
        <w:rPr>
          <w:rFonts w:ascii="Cambria" w:hAnsi="Cambria"/>
          <w:sz w:val="22"/>
          <w:szCs w:val="22"/>
        </w:rPr>
        <w:t xml:space="preserve">&amp; </w:t>
      </w:r>
      <w:r w:rsidR="005860E4" w:rsidRPr="00AF3EDD">
        <w:rPr>
          <w:rFonts w:ascii="Cambria" w:hAnsi="Cambria"/>
          <w:sz w:val="22"/>
          <w:szCs w:val="22"/>
        </w:rPr>
        <w:t xml:space="preserve">Nicol 2010). Further examples are provided in </w:t>
      </w:r>
      <w:r w:rsidR="005860E4" w:rsidRPr="00AD4454">
        <w:rPr>
          <w:rFonts w:ascii="Cambria" w:hAnsi="Cambria"/>
          <w:sz w:val="22"/>
          <w:szCs w:val="22"/>
          <w:u w:val="single"/>
        </w:rPr>
        <w:t xml:space="preserve">Appendix </w:t>
      </w:r>
      <w:r w:rsidR="00FE01F0" w:rsidRPr="00AD4454">
        <w:rPr>
          <w:rFonts w:ascii="Cambria" w:hAnsi="Cambria"/>
          <w:sz w:val="22"/>
          <w:szCs w:val="22"/>
          <w:u w:val="single"/>
        </w:rPr>
        <w:t>B</w:t>
      </w:r>
      <w:r w:rsidR="003F4077" w:rsidRPr="00AD4454">
        <w:rPr>
          <w:rFonts w:ascii="Cambria" w:hAnsi="Cambria"/>
          <w:sz w:val="22"/>
          <w:szCs w:val="22"/>
          <w:u w:val="single"/>
        </w:rPr>
        <w:t xml:space="preserve">, Table </w:t>
      </w:r>
      <w:r w:rsidR="00FE01F0" w:rsidRPr="00AD4454">
        <w:rPr>
          <w:rFonts w:ascii="Cambria" w:hAnsi="Cambria"/>
          <w:sz w:val="22"/>
          <w:szCs w:val="22"/>
          <w:u w:val="single"/>
        </w:rPr>
        <w:t>B1</w:t>
      </w:r>
      <w:r w:rsidR="005860E4" w:rsidRPr="00AF3EDD">
        <w:rPr>
          <w:rFonts w:ascii="Cambria" w:hAnsi="Cambria"/>
          <w:sz w:val="22"/>
          <w:szCs w:val="22"/>
        </w:rPr>
        <w:t xml:space="preserve">. </w:t>
      </w:r>
    </w:p>
    <w:p w14:paraId="20D34976" w14:textId="77777777" w:rsidR="00FE01F0" w:rsidRDefault="00FE01F0" w:rsidP="00743999">
      <w:pPr>
        <w:pStyle w:val="twentypointnormal"/>
        <w:spacing w:after="0"/>
        <w:ind w:left="0"/>
        <w:contextualSpacing/>
        <w:rPr>
          <w:rFonts w:ascii="Cambria" w:hAnsi="Cambria"/>
          <w:sz w:val="22"/>
          <w:szCs w:val="22"/>
        </w:rPr>
      </w:pPr>
    </w:p>
    <w:p w14:paraId="1C8131C6" w14:textId="2A4E81B8" w:rsidR="001846BE" w:rsidRDefault="005860E4" w:rsidP="00743999">
      <w:pPr>
        <w:pStyle w:val="twentypointnormal"/>
        <w:spacing w:after="0"/>
        <w:ind w:left="0"/>
        <w:contextualSpacing/>
        <w:rPr>
          <w:rFonts w:ascii="Cambria" w:hAnsi="Cambria"/>
          <w:sz w:val="22"/>
          <w:szCs w:val="22"/>
        </w:rPr>
      </w:pPr>
      <w:r w:rsidRPr="00AF3EDD">
        <w:rPr>
          <w:rFonts w:ascii="Cambria" w:hAnsi="Cambria"/>
          <w:sz w:val="22"/>
          <w:szCs w:val="22"/>
        </w:rPr>
        <w:t xml:space="preserve">Some aquatic plants, such as </w:t>
      </w:r>
      <w:r w:rsidRPr="00AF3EDD">
        <w:rPr>
          <w:rFonts w:ascii="Cambria" w:hAnsi="Cambria"/>
          <w:i/>
          <w:sz w:val="22"/>
          <w:szCs w:val="22"/>
        </w:rPr>
        <w:t xml:space="preserve">Typha domingensis </w:t>
      </w:r>
      <w:r w:rsidRPr="00AF3EDD">
        <w:rPr>
          <w:rFonts w:ascii="Cambria" w:hAnsi="Cambria"/>
          <w:sz w:val="22"/>
          <w:szCs w:val="22"/>
        </w:rPr>
        <w:t>(cumbungi or narrow-leaf bulrush)</w:t>
      </w:r>
      <w:r w:rsidR="00DF1E54">
        <w:rPr>
          <w:rFonts w:ascii="Cambria" w:hAnsi="Cambria"/>
          <w:sz w:val="22"/>
          <w:szCs w:val="22"/>
        </w:rPr>
        <w:t xml:space="preserve"> and </w:t>
      </w:r>
      <w:r w:rsidR="00DF1E54" w:rsidRPr="00B1026F">
        <w:rPr>
          <w:rFonts w:ascii="Cambria" w:hAnsi="Cambria"/>
          <w:i/>
          <w:iCs/>
          <w:sz w:val="22"/>
          <w:szCs w:val="22"/>
        </w:rPr>
        <w:t>Phragmites australis</w:t>
      </w:r>
      <w:r w:rsidR="00DF1E54">
        <w:rPr>
          <w:rFonts w:ascii="Cambria" w:hAnsi="Cambria"/>
          <w:sz w:val="22"/>
          <w:szCs w:val="22"/>
        </w:rPr>
        <w:t xml:space="preserve"> (common reed)</w:t>
      </w:r>
      <w:r w:rsidRPr="00AF3EDD">
        <w:rPr>
          <w:rFonts w:ascii="Cambria" w:hAnsi="Cambria"/>
          <w:sz w:val="22"/>
          <w:szCs w:val="22"/>
        </w:rPr>
        <w:t xml:space="preserve">, </w:t>
      </w:r>
      <w:r w:rsidR="00A3572B">
        <w:rPr>
          <w:rFonts w:ascii="Cambria" w:hAnsi="Cambria"/>
          <w:sz w:val="22"/>
          <w:szCs w:val="22"/>
        </w:rPr>
        <w:t xml:space="preserve">have thrived in the still, turbid </w:t>
      </w:r>
      <w:r w:rsidR="004162B5">
        <w:rPr>
          <w:rFonts w:ascii="Cambria" w:hAnsi="Cambria"/>
          <w:sz w:val="22"/>
          <w:szCs w:val="22"/>
        </w:rPr>
        <w:t xml:space="preserve">and relatively constant water </w:t>
      </w:r>
      <w:r w:rsidRPr="00AF3EDD">
        <w:rPr>
          <w:rFonts w:ascii="Cambria" w:hAnsi="Cambria"/>
          <w:sz w:val="22"/>
          <w:szCs w:val="22"/>
        </w:rPr>
        <w:t xml:space="preserve">levels </w:t>
      </w:r>
      <w:r w:rsidR="00EB739F">
        <w:rPr>
          <w:rFonts w:ascii="Cambria" w:hAnsi="Cambria"/>
          <w:sz w:val="22"/>
          <w:szCs w:val="22"/>
        </w:rPr>
        <w:t xml:space="preserve">of the lakes </w:t>
      </w:r>
      <w:r w:rsidRPr="00AF3EDD">
        <w:rPr>
          <w:rFonts w:ascii="Cambria" w:hAnsi="Cambria"/>
          <w:sz w:val="22"/>
          <w:szCs w:val="22"/>
        </w:rPr>
        <w:t>post barrage</w:t>
      </w:r>
      <w:r w:rsidR="004162B5">
        <w:rPr>
          <w:rFonts w:ascii="Cambria" w:hAnsi="Cambria"/>
          <w:sz w:val="22"/>
          <w:szCs w:val="22"/>
        </w:rPr>
        <w:t xml:space="preserve"> construction</w:t>
      </w:r>
      <w:r w:rsidRPr="00AF3EDD">
        <w:rPr>
          <w:rFonts w:ascii="Cambria" w:hAnsi="Cambria"/>
          <w:sz w:val="22"/>
          <w:szCs w:val="22"/>
        </w:rPr>
        <w:t xml:space="preserve">, whereas plants that </w:t>
      </w:r>
      <w:r w:rsidR="004162B5">
        <w:rPr>
          <w:rFonts w:ascii="Cambria" w:hAnsi="Cambria"/>
          <w:sz w:val="22"/>
          <w:szCs w:val="22"/>
        </w:rPr>
        <w:t xml:space="preserve">require </w:t>
      </w:r>
      <w:r w:rsidRPr="00AF3EDD">
        <w:rPr>
          <w:rFonts w:ascii="Cambria" w:hAnsi="Cambria"/>
          <w:sz w:val="22"/>
          <w:szCs w:val="22"/>
        </w:rPr>
        <w:t xml:space="preserve">more variable water regimes </w:t>
      </w:r>
      <w:r w:rsidR="004162B5">
        <w:rPr>
          <w:rFonts w:ascii="Cambria" w:hAnsi="Cambria"/>
          <w:sz w:val="22"/>
          <w:szCs w:val="22"/>
        </w:rPr>
        <w:t>or greater water clarity</w:t>
      </w:r>
      <w:r w:rsidR="00EB739F">
        <w:rPr>
          <w:rFonts w:ascii="Cambria" w:hAnsi="Cambria"/>
          <w:sz w:val="22"/>
          <w:szCs w:val="22"/>
        </w:rPr>
        <w:t>,</w:t>
      </w:r>
      <w:r w:rsidR="00EC7956">
        <w:rPr>
          <w:rFonts w:ascii="Cambria" w:hAnsi="Cambria"/>
          <w:sz w:val="22"/>
          <w:szCs w:val="22"/>
        </w:rPr>
        <w:t xml:space="preserve"> are </w:t>
      </w:r>
      <w:r w:rsidRPr="00AF3EDD">
        <w:rPr>
          <w:rFonts w:ascii="Cambria" w:hAnsi="Cambria"/>
          <w:sz w:val="22"/>
          <w:szCs w:val="22"/>
        </w:rPr>
        <w:t>now be restricted to peripheral wetlands or tributaries.</w:t>
      </w:r>
    </w:p>
    <w:p w14:paraId="5AB5D07B" w14:textId="686F2DA2" w:rsidR="00154632" w:rsidRDefault="00154632">
      <w:pPr>
        <w:spacing w:after="160" w:line="259" w:lineRule="auto"/>
        <w:rPr>
          <w:rFonts w:eastAsia="Times New Roman" w:cs="Times New Roman"/>
          <w:lang w:eastAsia="en-AU"/>
        </w:rPr>
      </w:pPr>
      <w:r>
        <w:br w:type="page"/>
      </w:r>
    </w:p>
    <w:tbl>
      <w:tblPr>
        <w:tblStyle w:val="TableGrid"/>
        <w:tblW w:w="0" w:type="auto"/>
        <w:tblLook w:val="04A0" w:firstRow="1" w:lastRow="0" w:firstColumn="1" w:lastColumn="0" w:noHBand="0" w:noVBand="1"/>
      </w:tblPr>
      <w:tblGrid>
        <w:gridCol w:w="8977"/>
      </w:tblGrid>
      <w:tr w:rsidR="0034616A" w14:paraId="19B98007" w14:textId="77777777" w:rsidTr="00154632">
        <w:tc>
          <w:tcPr>
            <w:tcW w:w="8977" w:type="dxa"/>
            <w:shd w:val="clear" w:color="auto" w:fill="FFF2CC" w:themeFill="accent4" w:themeFillTint="33"/>
          </w:tcPr>
          <w:p w14:paraId="1EDC8624" w14:textId="77777777" w:rsidR="0029515B" w:rsidRDefault="0029515B" w:rsidP="009F7BB4">
            <w:r>
              <w:lastRenderedPageBreak/>
              <w:t>Questions on Flora (Vegetation) species:</w:t>
            </w:r>
          </w:p>
          <w:p w14:paraId="5EA46D4D" w14:textId="6D2832CB" w:rsidR="005A1382" w:rsidRDefault="000A56B3" w:rsidP="0012104E">
            <w:pPr>
              <w:pStyle w:val="ListParagraph"/>
              <w:numPr>
                <w:ilvl w:val="0"/>
                <w:numId w:val="21"/>
              </w:numPr>
            </w:pPr>
            <w:r>
              <w:t xml:space="preserve">This </w:t>
            </w:r>
            <w:r w:rsidR="00915C64">
              <w:t xml:space="preserve">section of the </w:t>
            </w:r>
            <w:r w:rsidR="00915C64" w:rsidRPr="00915C64">
              <w:rPr>
                <w:i/>
                <w:iCs/>
              </w:rPr>
              <w:t xml:space="preserve">Draft </w:t>
            </w:r>
            <w:r w:rsidRPr="00EA0CDF">
              <w:rPr>
                <w:i/>
                <w:iCs/>
              </w:rPr>
              <w:t>Conservation Advice</w:t>
            </w:r>
            <w:r>
              <w:t xml:space="preserve"> aims to provide an indicative description of </w:t>
            </w:r>
            <w:r w:rsidR="008221CE">
              <w:t xml:space="preserve">‘characteristic’ </w:t>
            </w:r>
            <w:r>
              <w:t>plant species</w:t>
            </w:r>
            <w:r w:rsidR="00C46792">
              <w:t>, with</w:t>
            </w:r>
            <w:r w:rsidR="008221CE">
              <w:t>in different components of the RMDS,</w:t>
            </w:r>
            <w:r w:rsidR="007351BB">
              <w:t xml:space="preserve"> with </w:t>
            </w:r>
            <w:r w:rsidR="00C46792">
              <w:t>further species provide</w:t>
            </w:r>
            <w:r w:rsidR="00915C64">
              <w:t>d</w:t>
            </w:r>
            <w:r w:rsidR="00C46792">
              <w:t xml:space="preserve"> in </w:t>
            </w:r>
            <w:r w:rsidR="00C46792" w:rsidRPr="00574D33">
              <w:rPr>
                <w:u w:val="single"/>
              </w:rPr>
              <w:t>Appendix</w:t>
            </w:r>
            <w:r w:rsidR="007B4DF1">
              <w:rPr>
                <w:u w:val="single"/>
              </w:rPr>
              <w:t xml:space="preserve"> </w:t>
            </w:r>
            <w:r w:rsidR="00915C64">
              <w:rPr>
                <w:u w:val="single"/>
              </w:rPr>
              <w:t>B</w:t>
            </w:r>
            <w:r w:rsidR="00C46792">
              <w:t xml:space="preserve"> and</w:t>
            </w:r>
            <w:r w:rsidR="007B4DF1">
              <w:t xml:space="preserve">/or </w:t>
            </w:r>
            <w:r w:rsidR="00FF1B7C">
              <w:t xml:space="preserve">through citations of existing references. </w:t>
            </w:r>
            <w:r w:rsidR="00574D33">
              <w:t xml:space="preserve">However, </w:t>
            </w:r>
            <w:r w:rsidR="007351BB">
              <w:t xml:space="preserve">do you know of other characteristic plants occurring within the RMDS EC that are not highlighted? If so, can you </w:t>
            </w:r>
            <w:r w:rsidR="00574D33">
              <w:t>p</w:t>
            </w:r>
            <w:r w:rsidR="005A1382">
              <w:t xml:space="preserve">lease provide </w:t>
            </w:r>
            <w:r w:rsidR="005F6F07">
              <w:t xml:space="preserve">details and reference </w:t>
            </w:r>
            <w:r w:rsidR="005A1382">
              <w:t>sources</w:t>
            </w:r>
            <w:r w:rsidR="005F6F07">
              <w:t xml:space="preserve"> to the Committee</w:t>
            </w:r>
            <w:r w:rsidR="004C3686">
              <w:t>.</w:t>
            </w:r>
          </w:p>
          <w:p w14:paraId="18897D1A" w14:textId="27B072DC" w:rsidR="004C3686" w:rsidRDefault="004C3686" w:rsidP="0012104E">
            <w:pPr>
              <w:pStyle w:val="ListParagraph"/>
              <w:numPr>
                <w:ilvl w:val="0"/>
                <w:numId w:val="21"/>
              </w:numPr>
            </w:pPr>
            <w:r>
              <w:t>Please provide any suggestions to clarify the vegetation description for the various components/habitat types.</w:t>
            </w:r>
          </w:p>
          <w:p w14:paraId="5ED7D955" w14:textId="0DD12BE9" w:rsidR="00734BAC" w:rsidRDefault="00CF234A" w:rsidP="00B4273D">
            <w:pPr>
              <w:pStyle w:val="ListParagraph"/>
              <w:numPr>
                <w:ilvl w:val="0"/>
                <w:numId w:val="21"/>
              </w:numPr>
            </w:pPr>
            <w:r>
              <w:t xml:space="preserve">Can you comment on the currency </w:t>
            </w:r>
            <w:r w:rsidR="00915C64">
              <w:t>o</w:t>
            </w:r>
            <w:r>
              <w:t xml:space="preserve">f the inferences being made about the </w:t>
            </w:r>
            <w:r w:rsidR="004C3686">
              <w:t>plants</w:t>
            </w:r>
            <w:r w:rsidR="0023145F">
              <w:t xml:space="preserve"> and vegetation in the </w:t>
            </w:r>
            <w:r w:rsidR="009F3DA1">
              <w:t>description (i.e. are there more recent sources to incorporate)?</w:t>
            </w:r>
          </w:p>
        </w:tc>
      </w:tr>
    </w:tbl>
    <w:p w14:paraId="591502F6" w14:textId="77777777" w:rsidR="00901DFA" w:rsidRDefault="00901DFA" w:rsidP="009F7BB4"/>
    <w:p w14:paraId="0A2D786C" w14:textId="0C595115" w:rsidR="00396B15" w:rsidRPr="00743999" w:rsidRDefault="00FA3C65" w:rsidP="006E2204">
      <w:pPr>
        <w:pStyle w:val="Heading4"/>
      </w:pPr>
      <w:r>
        <w:t>Micro-Biota</w:t>
      </w:r>
    </w:p>
    <w:tbl>
      <w:tblPr>
        <w:tblStyle w:val="TableGrid"/>
        <w:tblW w:w="0" w:type="auto"/>
        <w:tblLook w:val="04A0" w:firstRow="1" w:lastRow="0" w:firstColumn="1" w:lastColumn="0" w:noHBand="0" w:noVBand="1"/>
      </w:tblPr>
      <w:tblGrid>
        <w:gridCol w:w="9060"/>
      </w:tblGrid>
      <w:tr w:rsidR="00E75C0E" w14:paraId="37261D69" w14:textId="77777777" w:rsidTr="00E75C0E">
        <w:tc>
          <w:tcPr>
            <w:tcW w:w="9174" w:type="dxa"/>
            <w:shd w:val="clear" w:color="auto" w:fill="DEEAF6" w:themeFill="accent1" w:themeFillTint="33"/>
          </w:tcPr>
          <w:p w14:paraId="72D5D894" w14:textId="53485925" w:rsidR="00E75C0E" w:rsidRDefault="00E75C0E" w:rsidP="00E75C0E">
            <w:pPr>
              <w:spacing w:after="120"/>
              <w:contextualSpacing/>
              <w:rPr>
                <w:b/>
                <w:bCs/>
                <w:i/>
                <w:iCs/>
              </w:rPr>
            </w:pPr>
            <w:r w:rsidRPr="00A719A8">
              <w:rPr>
                <w:b/>
                <w:bCs/>
                <w:i/>
                <w:iCs/>
              </w:rPr>
              <w:t xml:space="preserve">Overview of </w:t>
            </w:r>
            <w:r>
              <w:rPr>
                <w:b/>
                <w:bCs/>
                <w:i/>
                <w:iCs/>
              </w:rPr>
              <w:t>Micro-Biota</w:t>
            </w:r>
            <w:r w:rsidR="00432FFA">
              <w:rPr>
                <w:b/>
                <w:bCs/>
                <w:i/>
                <w:iCs/>
              </w:rPr>
              <w:t xml:space="preserve"> Section</w:t>
            </w:r>
          </w:p>
          <w:p w14:paraId="10E2951D" w14:textId="77777777" w:rsidR="00E75C0E" w:rsidRDefault="00E75C0E" w:rsidP="000C6EE4">
            <w:pPr>
              <w:pStyle w:val="ListParagraph"/>
              <w:numPr>
                <w:ilvl w:val="0"/>
                <w:numId w:val="18"/>
              </w:numPr>
              <w:spacing w:after="120"/>
              <w:rPr>
                <w:b/>
                <w:bCs/>
              </w:rPr>
            </w:pPr>
            <w:r>
              <w:rPr>
                <w:b/>
                <w:bCs/>
              </w:rPr>
              <w:t>Viruses, Bacteria, Fungi and Oomycetes</w:t>
            </w:r>
          </w:p>
          <w:p w14:paraId="5F7F2A03" w14:textId="77777777" w:rsidR="00E75C0E" w:rsidRDefault="00E75C0E" w:rsidP="000C6EE4">
            <w:pPr>
              <w:pStyle w:val="ListParagraph"/>
              <w:numPr>
                <w:ilvl w:val="0"/>
                <w:numId w:val="18"/>
              </w:numPr>
              <w:spacing w:after="120"/>
              <w:rPr>
                <w:b/>
                <w:bCs/>
              </w:rPr>
            </w:pPr>
            <w:r>
              <w:rPr>
                <w:b/>
                <w:bCs/>
              </w:rPr>
              <w:t>Cyanobacteria</w:t>
            </w:r>
          </w:p>
          <w:p w14:paraId="2C7BA2F0" w14:textId="77777777" w:rsidR="00E75C0E" w:rsidRDefault="00E75C0E" w:rsidP="000C6EE4">
            <w:pPr>
              <w:pStyle w:val="ListParagraph"/>
              <w:numPr>
                <w:ilvl w:val="0"/>
                <w:numId w:val="18"/>
              </w:numPr>
              <w:spacing w:after="120"/>
              <w:rPr>
                <w:b/>
                <w:bCs/>
              </w:rPr>
            </w:pPr>
            <w:r>
              <w:rPr>
                <w:b/>
                <w:bCs/>
              </w:rPr>
              <w:t>Phytoplankton</w:t>
            </w:r>
          </w:p>
          <w:p w14:paraId="5EA33B48" w14:textId="40D658A0" w:rsidR="00E75C0E" w:rsidRPr="00E75C0E" w:rsidRDefault="00E75C0E" w:rsidP="000C6EE4">
            <w:pPr>
              <w:pStyle w:val="ListParagraph"/>
              <w:numPr>
                <w:ilvl w:val="0"/>
                <w:numId w:val="18"/>
              </w:numPr>
              <w:spacing w:after="120"/>
              <w:rPr>
                <w:b/>
                <w:bCs/>
              </w:rPr>
            </w:pPr>
            <w:r>
              <w:rPr>
                <w:b/>
                <w:bCs/>
              </w:rPr>
              <w:t>Zooplankton</w:t>
            </w:r>
          </w:p>
        </w:tc>
      </w:tr>
    </w:tbl>
    <w:p w14:paraId="2EA7DC33" w14:textId="77777777" w:rsidR="00154632" w:rsidRDefault="00154632" w:rsidP="00340FC1"/>
    <w:p w14:paraId="6159A154" w14:textId="38FBCB02" w:rsidR="001C1A08" w:rsidRPr="00340FC1" w:rsidRDefault="003C2AC7" w:rsidP="00340FC1">
      <w:r>
        <w:t>Overall, t</w:t>
      </w:r>
      <w:r w:rsidR="00F605E4">
        <w:t>he composition and condition of plankton</w:t>
      </w:r>
      <w:r w:rsidR="00F624DD">
        <w:t>ic</w:t>
      </w:r>
      <w:r w:rsidR="00F605E4">
        <w:t xml:space="preserve"> </w:t>
      </w:r>
      <w:r w:rsidR="0066775E">
        <w:t xml:space="preserve">assemblages </w:t>
      </w:r>
      <w:r w:rsidR="00F605E4">
        <w:t xml:space="preserve">underpin </w:t>
      </w:r>
      <w:r w:rsidR="0066775E">
        <w:t xml:space="preserve">aquatic food webs </w:t>
      </w:r>
      <w:r w:rsidR="00F624DD">
        <w:t xml:space="preserve">across </w:t>
      </w:r>
      <w:r>
        <w:t xml:space="preserve">the range of aquatic habitats within </w:t>
      </w:r>
      <w:r w:rsidR="0066775E">
        <w:t>the ecological community</w:t>
      </w:r>
      <w:r>
        <w:t xml:space="preserve"> (</w:t>
      </w:r>
      <w:r w:rsidR="00B83992">
        <w:t xml:space="preserve">e.g. </w:t>
      </w:r>
      <w:r>
        <w:t>L</w:t>
      </w:r>
      <w:r w:rsidR="005B1B8F">
        <w:t>eterme et al. 2018)</w:t>
      </w:r>
      <w:r w:rsidR="0066775E">
        <w:t xml:space="preserve">. </w:t>
      </w:r>
    </w:p>
    <w:p w14:paraId="0D71764B" w14:textId="77777777" w:rsidR="00396B15" w:rsidRPr="0003600F" w:rsidRDefault="00396B15" w:rsidP="00A2521C">
      <w:pPr>
        <w:pStyle w:val="Heading5"/>
      </w:pPr>
      <w:bookmarkStart w:id="39" w:name="_Toc232747014"/>
      <w:r w:rsidRPr="0003600F">
        <w:t>Viruses, Bacteria, Fungi</w:t>
      </w:r>
      <w:bookmarkEnd w:id="39"/>
      <w:r w:rsidRPr="0003600F">
        <w:t xml:space="preserve"> and Oomycetes</w:t>
      </w:r>
    </w:p>
    <w:p w14:paraId="52EAA949" w14:textId="1A05BDEE" w:rsidR="009C7117" w:rsidRDefault="00396B15" w:rsidP="00396B15">
      <w:pPr>
        <w:pStyle w:val="twentypointnormal"/>
        <w:spacing w:after="200"/>
        <w:ind w:left="0"/>
        <w:rPr>
          <w:rFonts w:ascii="Cambria" w:hAnsi="Cambria"/>
          <w:sz w:val="22"/>
          <w:szCs w:val="22"/>
        </w:rPr>
      </w:pPr>
      <w:r>
        <w:rPr>
          <w:rFonts w:ascii="Cambria" w:hAnsi="Cambria"/>
          <w:sz w:val="22"/>
          <w:szCs w:val="22"/>
        </w:rPr>
        <w:t>Viruses</w:t>
      </w:r>
      <w:r w:rsidR="009D060E">
        <w:rPr>
          <w:rFonts w:ascii="Cambria" w:hAnsi="Cambria"/>
          <w:sz w:val="22"/>
          <w:szCs w:val="22"/>
        </w:rPr>
        <w:t xml:space="preserve"> (femtoplankton), </w:t>
      </w:r>
      <w:r>
        <w:rPr>
          <w:rFonts w:ascii="Cambria" w:hAnsi="Cambria"/>
          <w:sz w:val="22"/>
          <w:szCs w:val="22"/>
        </w:rPr>
        <w:t>b</w:t>
      </w:r>
      <w:r w:rsidRPr="005A1382">
        <w:rPr>
          <w:rFonts w:ascii="Cambria" w:hAnsi="Cambria"/>
          <w:sz w:val="22"/>
          <w:szCs w:val="22"/>
        </w:rPr>
        <w:t>acteria</w:t>
      </w:r>
      <w:r w:rsidR="009D060E">
        <w:rPr>
          <w:rFonts w:ascii="Cambria" w:hAnsi="Cambria"/>
          <w:sz w:val="22"/>
          <w:szCs w:val="22"/>
        </w:rPr>
        <w:t xml:space="preserve"> (picoplankton)</w:t>
      </w:r>
      <w:r>
        <w:rPr>
          <w:rFonts w:ascii="Cambria" w:hAnsi="Cambria"/>
          <w:sz w:val="22"/>
          <w:szCs w:val="22"/>
        </w:rPr>
        <w:t xml:space="preserve">, </w:t>
      </w:r>
      <w:r w:rsidRPr="005A1382">
        <w:rPr>
          <w:rFonts w:ascii="Cambria" w:hAnsi="Cambria"/>
          <w:sz w:val="22"/>
          <w:szCs w:val="22"/>
        </w:rPr>
        <w:t>fungi</w:t>
      </w:r>
      <w:r>
        <w:rPr>
          <w:rFonts w:ascii="Cambria" w:hAnsi="Cambria"/>
          <w:sz w:val="22"/>
          <w:szCs w:val="22"/>
        </w:rPr>
        <w:t>, and oomycetes</w:t>
      </w:r>
      <w:r w:rsidRPr="005A1382">
        <w:rPr>
          <w:rFonts w:ascii="Cambria" w:hAnsi="Cambria"/>
          <w:sz w:val="22"/>
          <w:szCs w:val="22"/>
        </w:rPr>
        <w:t xml:space="preserve"> serve vital roles in riverine </w:t>
      </w:r>
      <w:r>
        <w:rPr>
          <w:rFonts w:ascii="Cambria" w:hAnsi="Cambria"/>
          <w:sz w:val="22"/>
          <w:szCs w:val="22"/>
        </w:rPr>
        <w:t xml:space="preserve">and estuarine </w:t>
      </w:r>
      <w:r w:rsidRPr="005A1382">
        <w:rPr>
          <w:rFonts w:ascii="Cambria" w:hAnsi="Cambria"/>
          <w:sz w:val="22"/>
          <w:szCs w:val="22"/>
        </w:rPr>
        <w:t>ecosystems, particularly in the decomposition of organic matter</w:t>
      </w:r>
      <w:r w:rsidR="0044393D">
        <w:rPr>
          <w:rFonts w:ascii="Cambria" w:hAnsi="Cambria"/>
          <w:sz w:val="22"/>
          <w:szCs w:val="22"/>
        </w:rPr>
        <w:t>, nutrient cycling,</w:t>
      </w:r>
      <w:r w:rsidRPr="005A1382">
        <w:rPr>
          <w:rFonts w:ascii="Cambria" w:hAnsi="Cambria"/>
          <w:sz w:val="22"/>
          <w:szCs w:val="22"/>
        </w:rPr>
        <w:t xml:space="preserve"> </w:t>
      </w:r>
      <w:r>
        <w:rPr>
          <w:rFonts w:ascii="Cambria" w:hAnsi="Cambria"/>
          <w:sz w:val="22"/>
          <w:szCs w:val="22"/>
        </w:rPr>
        <w:t xml:space="preserve">and microbial food web processes </w:t>
      </w:r>
      <w:r w:rsidRPr="005A1382">
        <w:rPr>
          <w:rFonts w:ascii="Cambria" w:hAnsi="Cambria"/>
          <w:sz w:val="22"/>
          <w:szCs w:val="22"/>
        </w:rPr>
        <w:t>(</w:t>
      </w:r>
      <w:r w:rsidR="00F53D75">
        <w:rPr>
          <w:rFonts w:ascii="Cambria" w:hAnsi="Cambria"/>
          <w:sz w:val="22"/>
          <w:szCs w:val="22"/>
        </w:rPr>
        <w:t>Jans</w:t>
      </w:r>
      <w:r w:rsidR="007D75DC">
        <w:rPr>
          <w:rFonts w:ascii="Cambria" w:hAnsi="Cambria"/>
          <w:sz w:val="22"/>
          <w:szCs w:val="22"/>
        </w:rPr>
        <w:t xml:space="preserve">sen &amp; Walker 1999; </w:t>
      </w:r>
      <w:r w:rsidRPr="005A1382">
        <w:rPr>
          <w:rFonts w:ascii="Cambria" w:hAnsi="Cambria"/>
          <w:sz w:val="22"/>
          <w:szCs w:val="22"/>
        </w:rPr>
        <w:t>Young, 2001</w:t>
      </w:r>
      <w:r>
        <w:rPr>
          <w:rFonts w:ascii="Cambria" w:hAnsi="Cambria"/>
          <w:sz w:val="22"/>
          <w:szCs w:val="22"/>
        </w:rPr>
        <w:t xml:space="preserve">; Peduzzi &amp; Luef 2008; </w:t>
      </w:r>
      <w:r w:rsidR="00CF65A5">
        <w:rPr>
          <w:rFonts w:ascii="Cambria" w:hAnsi="Cambria"/>
          <w:sz w:val="22"/>
          <w:szCs w:val="22"/>
        </w:rPr>
        <w:t>Wu</w:t>
      </w:r>
      <w:r w:rsidR="0086080D">
        <w:rPr>
          <w:rFonts w:ascii="Cambria" w:hAnsi="Cambria"/>
          <w:sz w:val="22"/>
          <w:szCs w:val="22"/>
        </w:rPr>
        <w:t xml:space="preserve">zbacher et al. 2011; </w:t>
      </w:r>
      <w:r>
        <w:rPr>
          <w:rFonts w:ascii="Cambria" w:hAnsi="Cambria"/>
          <w:sz w:val="22"/>
          <w:szCs w:val="22"/>
        </w:rPr>
        <w:t>Masigol et al. 2019</w:t>
      </w:r>
      <w:r w:rsidRPr="005A1382">
        <w:rPr>
          <w:rFonts w:ascii="Cambria" w:hAnsi="Cambria"/>
          <w:sz w:val="22"/>
          <w:szCs w:val="22"/>
        </w:rPr>
        <w:t xml:space="preserve">). </w:t>
      </w:r>
      <w:r w:rsidR="00D01309">
        <w:rPr>
          <w:rFonts w:ascii="Cambria" w:hAnsi="Cambria"/>
          <w:sz w:val="22"/>
          <w:szCs w:val="22"/>
        </w:rPr>
        <w:t>They can also be pathogens</w:t>
      </w:r>
      <w:r w:rsidR="00BB44DA">
        <w:rPr>
          <w:rFonts w:ascii="Cambria" w:hAnsi="Cambria"/>
          <w:sz w:val="22"/>
          <w:szCs w:val="22"/>
        </w:rPr>
        <w:t>, causing disease in a range of aquatic organisms (e.g. Sa</w:t>
      </w:r>
      <w:r w:rsidR="005863E0">
        <w:rPr>
          <w:rFonts w:ascii="Cambria" w:hAnsi="Cambria"/>
          <w:sz w:val="22"/>
          <w:szCs w:val="22"/>
        </w:rPr>
        <w:t xml:space="preserve">rowar). </w:t>
      </w:r>
      <w:r>
        <w:rPr>
          <w:rFonts w:ascii="Cambria" w:hAnsi="Cambria"/>
          <w:sz w:val="22"/>
          <w:szCs w:val="22"/>
        </w:rPr>
        <w:t>Viruses</w:t>
      </w:r>
      <w:r w:rsidR="009D060E">
        <w:rPr>
          <w:rFonts w:ascii="Cambria" w:hAnsi="Cambria"/>
          <w:sz w:val="22"/>
          <w:szCs w:val="22"/>
        </w:rPr>
        <w:t>,</w:t>
      </w:r>
      <w:r>
        <w:rPr>
          <w:rFonts w:ascii="Cambria" w:hAnsi="Cambria"/>
          <w:sz w:val="22"/>
          <w:szCs w:val="22"/>
        </w:rPr>
        <w:t xml:space="preserve"> bacteria </w:t>
      </w:r>
      <w:r w:rsidR="00FD68FE">
        <w:rPr>
          <w:rFonts w:ascii="Cambria" w:hAnsi="Cambria"/>
          <w:sz w:val="22"/>
          <w:szCs w:val="22"/>
        </w:rPr>
        <w:t xml:space="preserve">and fungi </w:t>
      </w:r>
      <w:r>
        <w:rPr>
          <w:rFonts w:ascii="Cambria" w:hAnsi="Cambria"/>
          <w:sz w:val="22"/>
          <w:szCs w:val="22"/>
        </w:rPr>
        <w:t>are commonly found on suspended particles</w:t>
      </w:r>
      <w:r w:rsidR="00FD68FE">
        <w:rPr>
          <w:rFonts w:ascii="Cambria" w:hAnsi="Cambria"/>
          <w:sz w:val="22"/>
          <w:szCs w:val="22"/>
        </w:rPr>
        <w:t xml:space="preserve"> (i.e. particulate organic matter)</w:t>
      </w:r>
      <w:r>
        <w:rPr>
          <w:rFonts w:ascii="Cambria" w:hAnsi="Cambria"/>
          <w:sz w:val="22"/>
          <w:szCs w:val="22"/>
        </w:rPr>
        <w:t>, where they are often most abundant (Peduzzi &amp; Leuf 2008</w:t>
      </w:r>
      <w:r w:rsidR="0060146C">
        <w:rPr>
          <w:rFonts w:ascii="Cambria" w:hAnsi="Cambria"/>
          <w:sz w:val="22"/>
          <w:szCs w:val="22"/>
        </w:rPr>
        <w:t>; Leterme et al. 2018</w:t>
      </w:r>
      <w:r>
        <w:rPr>
          <w:rFonts w:ascii="Cambria" w:hAnsi="Cambria"/>
          <w:sz w:val="22"/>
          <w:szCs w:val="22"/>
        </w:rPr>
        <w:t xml:space="preserve">). </w:t>
      </w:r>
      <w:r w:rsidR="002B08BA">
        <w:rPr>
          <w:rFonts w:ascii="Cambria" w:hAnsi="Cambria"/>
          <w:sz w:val="22"/>
          <w:szCs w:val="22"/>
        </w:rPr>
        <w:t xml:space="preserve">In the Coorong, </w:t>
      </w:r>
      <w:r w:rsidR="00153064">
        <w:rPr>
          <w:rFonts w:ascii="Cambria" w:hAnsi="Cambria"/>
          <w:sz w:val="22"/>
          <w:szCs w:val="22"/>
        </w:rPr>
        <w:t xml:space="preserve">the </w:t>
      </w:r>
      <w:r w:rsidR="002B08BA">
        <w:rPr>
          <w:rFonts w:ascii="Cambria" w:hAnsi="Cambria"/>
          <w:sz w:val="22"/>
          <w:szCs w:val="22"/>
        </w:rPr>
        <w:t>s</w:t>
      </w:r>
      <w:r w:rsidR="009D4DB2">
        <w:rPr>
          <w:rFonts w:ascii="Cambria" w:hAnsi="Cambria"/>
          <w:sz w:val="22"/>
          <w:szCs w:val="22"/>
        </w:rPr>
        <w:t xml:space="preserve">alinity </w:t>
      </w:r>
      <w:r w:rsidR="00153064">
        <w:rPr>
          <w:rFonts w:ascii="Cambria" w:hAnsi="Cambria"/>
          <w:sz w:val="22"/>
          <w:szCs w:val="22"/>
        </w:rPr>
        <w:t>gradient has</w:t>
      </w:r>
      <w:r w:rsidR="001F16D2">
        <w:rPr>
          <w:rFonts w:ascii="Cambria" w:hAnsi="Cambria"/>
          <w:sz w:val="22"/>
          <w:szCs w:val="22"/>
        </w:rPr>
        <w:t xml:space="preserve"> been shown to be a</w:t>
      </w:r>
      <w:r w:rsidR="009D4DB2">
        <w:rPr>
          <w:rFonts w:ascii="Cambria" w:hAnsi="Cambria"/>
          <w:sz w:val="22"/>
          <w:szCs w:val="22"/>
        </w:rPr>
        <w:t xml:space="preserve"> major driver of </w:t>
      </w:r>
      <w:r w:rsidR="002B08BA">
        <w:rPr>
          <w:rFonts w:ascii="Cambria" w:hAnsi="Cambria"/>
          <w:sz w:val="22"/>
          <w:szCs w:val="22"/>
        </w:rPr>
        <w:t xml:space="preserve">the </w:t>
      </w:r>
      <w:r w:rsidR="001F16D2">
        <w:rPr>
          <w:rFonts w:ascii="Cambria" w:hAnsi="Cambria"/>
          <w:sz w:val="22"/>
          <w:szCs w:val="22"/>
        </w:rPr>
        <w:t xml:space="preserve">distribution and </w:t>
      </w:r>
      <w:r w:rsidR="002B08BA">
        <w:rPr>
          <w:rFonts w:ascii="Cambria" w:hAnsi="Cambria"/>
          <w:sz w:val="22"/>
          <w:szCs w:val="22"/>
        </w:rPr>
        <w:t xml:space="preserve">composition of </w:t>
      </w:r>
      <w:r w:rsidR="00B270FE">
        <w:rPr>
          <w:rFonts w:ascii="Cambria" w:hAnsi="Cambria"/>
          <w:sz w:val="22"/>
          <w:szCs w:val="22"/>
        </w:rPr>
        <w:t>virus and bacteria</w:t>
      </w:r>
      <w:r w:rsidR="002B08BA">
        <w:rPr>
          <w:rFonts w:ascii="Cambria" w:hAnsi="Cambria"/>
          <w:sz w:val="22"/>
          <w:szCs w:val="22"/>
        </w:rPr>
        <w:t xml:space="preserve"> </w:t>
      </w:r>
      <w:r w:rsidR="009046B1">
        <w:rPr>
          <w:rFonts w:ascii="Cambria" w:hAnsi="Cambria"/>
          <w:sz w:val="22"/>
          <w:szCs w:val="22"/>
        </w:rPr>
        <w:t>sub-</w:t>
      </w:r>
      <w:r w:rsidR="002B08BA">
        <w:rPr>
          <w:rFonts w:ascii="Cambria" w:hAnsi="Cambria"/>
          <w:sz w:val="22"/>
          <w:szCs w:val="22"/>
        </w:rPr>
        <w:t xml:space="preserve">communities </w:t>
      </w:r>
      <w:r w:rsidR="000E20C5">
        <w:rPr>
          <w:rFonts w:ascii="Cambria" w:hAnsi="Cambria"/>
          <w:sz w:val="22"/>
          <w:szCs w:val="22"/>
        </w:rPr>
        <w:t>(</w:t>
      </w:r>
      <w:r w:rsidR="002B08BA">
        <w:rPr>
          <w:rFonts w:ascii="Cambria" w:hAnsi="Cambria"/>
          <w:sz w:val="22"/>
          <w:szCs w:val="22"/>
        </w:rPr>
        <w:t xml:space="preserve">Schapira et al. 2009; </w:t>
      </w:r>
      <w:r w:rsidR="000E20C5">
        <w:rPr>
          <w:rFonts w:ascii="Cambria" w:hAnsi="Cambria"/>
          <w:sz w:val="22"/>
          <w:szCs w:val="22"/>
        </w:rPr>
        <w:t>L</w:t>
      </w:r>
      <w:r w:rsidR="00BA3BAD">
        <w:rPr>
          <w:rFonts w:ascii="Cambria" w:hAnsi="Cambria"/>
          <w:sz w:val="22"/>
          <w:szCs w:val="22"/>
        </w:rPr>
        <w:t>eterme et al. 2018)</w:t>
      </w:r>
      <w:r w:rsidR="0025718F">
        <w:rPr>
          <w:rFonts w:ascii="Cambria" w:hAnsi="Cambria"/>
          <w:sz w:val="22"/>
          <w:szCs w:val="22"/>
        </w:rPr>
        <w:t xml:space="preserve">. </w:t>
      </w:r>
    </w:p>
    <w:p w14:paraId="5D15DC39" w14:textId="26CFE81A" w:rsidR="00396B15" w:rsidRDefault="00396B15" w:rsidP="00396B15">
      <w:pPr>
        <w:pStyle w:val="twentypointnormal"/>
        <w:spacing w:after="200"/>
        <w:ind w:left="0"/>
        <w:rPr>
          <w:rFonts w:ascii="Cambria" w:hAnsi="Cambria"/>
          <w:sz w:val="22"/>
          <w:szCs w:val="22"/>
        </w:rPr>
      </w:pPr>
      <w:r>
        <w:rPr>
          <w:rFonts w:ascii="Cambria" w:hAnsi="Cambria"/>
          <w:sz w:val="22"/>
          <w:szCs w:val="22"/>
        </w:rPr>
        <w:t>Recent research has highlighted the potential of water self-purification associated with virus-pat</w:t>
      </w:r>
      <w:r w:rsidR="004C1548">
        <w:rPr>
          <w:rFonts w:ascii="Cambria" w:hAnsi="Cambria"/>
          <w:sz w:val="22"/>
          <w:szCs w:val="22"/>
        </w:rPr>
        <w:t>hogen bacteria</w:t>
      </w:r>
      <w:r>
        <w:rPr>
          <w:rFonts w:ascii="Cambria" w:hAnsi="Cambria"/>
          <w:sz w:val="22"/>
          <w:szCs w:val="22"/>
        </w:rPr>
        <w:t xml:space="preserve"> dynamics for water quality improvement (Chen et al. 2023). These micro-organisms have been little studied to date in the ecological community, </w:t>
      </w:r>
      <w:r w:rsidR="00FB3DF0">
        <w:rPr>
          <w:rFonts w:ascii="Cambria" w:hAnsi="Cambria"/>
          <w:sz w:val="22"/>
          <w:szCs w:val="22"/>
        </w:rPr>
        <w:t>despite their vulnerability</w:t>
      </w:r>
      <w:r>
        <w:rPr>
          <w:rFonts w:ascii="Cambria" w:hAnsi="Cambria"/>
          <w:sz w:val="22"/>
          <w:szCs w:val="22"/>
        </w:rPr>
        <w:t xml:space="preserve"> to environmental and anthropogenic stressors (</w:t>
      </w:r>
      <w:r w:rsidR="00FB3DF0">
        <w:rPr>
          <w:rFonts w:ascii="Cambria" w:hAnsi="Cambria"/>
          <w:sz w:val="22"/>
          <w:szCs w:val="22"/>
        </w:rPr>
        <w:t>v</w:t>
      </w:r>
      <w:r>
        <w:rPr>
          <w:rFonts w:ascii="Cambria" w:hAnsi="Cambria"/>
          <w:sz w:val="22"/>
          <w:szCs w:val="22"/>
        </w:rPr>
        <w:t xml:space="preserve">an Rossum et al. 2018). Such stressors could potentially lead to changes in species composition, abundance, and distribution, and </w:t>
      </w:r>
      <w:r w:rsidR="00FB3DF0">
        <w:rPr>
          <w:rFonts w:ascii="Cambria" w:hAnsi="Cambria"/>
          <w:sz w:val="22"/>
          <w:szCs w:val="22"/>
        </w:rPr>
        <w:t>therefor</w:t>
      </w:r>
      <w:r w:rsidR="00B61C46">
        <w:rPr>
          <w:rFonts w:ascii="Cambria" w:hAnsi="Cambria"/>
          <w:sz w:val="22"/>
          <w:szCs w:val="22"/>
        </w:rPr>
        <w:t>e</w:t>
      </w:r>
      <w:r w:rsidR="00FB3DF0">
        <w:rPr>
          <w:rFonts w:ascii="Cambria" w:hAnsi="Cambria"/>
          <w:sz w:val="22"/>
          <w:szCs w:val="22"/>
        </w:rPr>
        <w:t xml:space="preserve"> </w:t>
      </w:r>
      <w:r>
        <w:rPr>
          <w:rFonts w:ascii="Cambria" w:hAnsi="Cambria"/>
          <w:sz w:val="22"/>
          <w:szCs w:val="22"/>
        </w:rPr>
        <w:t xml:space="preserve">disruptions to ecosystem function. </w:t>
      </w:r>
    </w:p>
    <w:p w14:paraId="2115671B" w14:textId="0DD5B362" w:rsidR="004B259A" w:rsidRPr="0003600F" w:rsidRDefault="004B259A" w:rsidP="00A2521C">
      <w:pPr>
        <w:pStyle w:val="Heading5"/>
      </w:pPr>
      <w:r w:rsidRPr="0003600F">
        <w:t>Cyanobacteria</w:t>
      </w:r>
    </w:p>
    <w:p w14:paraId="01F0EE03" w14:textId="327273C1" w:rsidR="004B259A" w:rsidRPr="005A1382" w:rsidRDefault="004B259A" w:rsidP="007606D8">
      <w:r>
        <w:t>Cyanobacteria</w:t>
      </w:r>
      <w:r w:rsidR="00A228C3">
        <w:t>, also</w:t>
      </w:r>
      <w:r w:rsidR="000A074F">
        <w:t xml:space="preserve"> part of the </w:t>
      </w:r>
      <w:r w:rsidR="00A228C3">
        <w:t>pic</w:t>
      </w:r>
      <w:r w:rsidR="00AB0113">
        <w:t>o</w:t>
      </w:r>
      <w:r w:rsidR="00A228C3">
        <w:t xml:space="preserve">plankton, </w:t>
      </w:r>
      <w:r w:rsidR="000A074F">
        <w:t xml:space="preserve">are </w:t>
      </w:r>
      <w:r w:rsidR="00AB0113">
        <w:t>commonly known as blue-green algae</w:t>
      </w:r>
      <w:r w:rsidR="00131F17">
        <w:t xml:space="preserve">. </w:t>
      </w:r>
      <w:r w:rsidR="00066CF5">
        <w:t>However, t</w:t>
      </w:r>
      <w:r w:rsidR="00131F17">
        <w:t>hey are</w:t>
      </w:r>
      <w:r w:rsidR="005E3757">
        <w:t xml:space="preserve"> </w:t>
      </w:r>
      <w:r w:rsidR="00AB0113">
        <w:t>not a true alga</w:t>
      </w:r>
      <w:r w:rsidR="00131F17">
        <w:t>, but rather</w:t>
      </w:r>
      <w:r w:rsidR="007850F6">
        <w:t>,</w:t>
      </w:r>
      <w:r w:rsidR="00131F17">
        <w:t xml:space="preserve"> a</w:t>
      </w:r>
      <w:r w:rsidR="005854AF">
        <w:t xml:space="preserve"> photosynthetic</w:t>
      </w:r>
      <w:r w:rsidR="00B4273D">
        <w:t xml:space="preserve"> </w:t>
      </w:r>
      <w:r w:rsidR="005854AF">
        <w:t>bacteria.</w:t>
      </w:r>
      <w:r w:rsidR="000A074F">
        <w:t xml:space="preserve"> </w:t>
      </w:r>
      <w:r w:rsidR="000028F1">
        <w:t>They</w:t>
      </w:r>
      <w:r w:rsidR="00AB0113">
        <w:t xml:space="preserve"> form thick scum in clumps or filaments</w:t>
      </w:r>
      <w:r w:rsidR="005854AF">
        <w:t xml:space="preserve">, </w:t>
      </w:r>
      <w:r w:rsidR="00095D99">
        <w:t xml:space="preserve">and can </w:t>
      </w:r>
      <w:r w:rsidR="00192799">
        <w:t xml:space="preserve">often </w:t>
      </w:r>
      <w:r w:rsidR="00095D99">
        <w:t xml:space="preserve">form </w:t>
      </w:r>
      <w:r w:rsidR="00192799">
        <w:t>significant surface blooms</w:t>
      </w:r>
      <w:r w:rsidR="005446D0">
        <w:t>,</w:t>
      </w:r>
      <w:r w:rsidR="00181AD2">
        <w:t xml:space="preserve"> which may be toxic</w:t>
      </w:r>
      <w:r w:rsidR="00FF76F7">
        <w:t xml:space="preserve"> </w:t>
      </w:r>
      <w:r w:rsidR="00B4273D">
        <w:t xml:space="preserve">to fauna </w:t>
      </w:r>
      <w:r w:rsidR="00FF76F7">
        <w:t xml:space="preserve">(Leterme et al. 2018). </w:t>
      </w:r>
      <w:r w:rsidR="000028F1">
        <w:t xml:space="preserve">Examples </w:t>
      </w:r>
      <w:r w:rsidR="008F32FE">
        <w:t xml:space="preserve">within the ecological community </w:t>
      </w:r>
      <w:r w:rsidR="000028F1">
        <w:t>include</w:t>
      </w:r>
      <w:r w:rsidR="001E322A">
        <w:t xml:space="preserve"> various species of</w:t>
      </w:r>
      <w:r w:rsidR="000028F1">
        <w:t xml:space="preserve">: </w:t>
      </w:r>
      <w:r w:rsidR="00AB0113" w:rsidRPr="00AB0113">
        <w:rPr>
          <w:i/>
        </w:rPr>
        <w:t>Anabaena</w:t>
      </w:r>
      <w:r w:rsidR="00AB0113">
        <w:t xml:space="preserve">, </w:t>
      </w:r>
      <w:r w:rsidR="00AB0113" w:rsidRPr="00AB0113">
        <w:rPr>
          <w:i/>
        </w:rPr>
        <w:t>Nodularia</w:t>
      </w:r>
      <w:r w:rsidR="00AB0113">
        <w:t xml:space="preserve">, </w:t>
      </w:r>
      <w:r w:rsidR="00AB0113" w:rsidRPr="00AB0113">
        <w:rPr>
          <w:i/>
        </w:rPr>
        <w:t>Microcystis</w:t>
      </w:r>
      <w:r w:rsidR="00AB0113">
        <w:t xml:space="preserve">, </w:t>
      </w:r>
      <w:r w:rsidR="00AB0113" w:rsidRPr="00AB0113">
        <w:rPr>
          <w:i/>
        </w:rPr>
        <w:t>Cylindrospermopsis</w:t>
      </w:r>
      <w:r w:rsidR="00AB0113">
        <w:t xml:space="preserve">, </w:t>
      </w:r>
      <w:r w:rsidR="005446D0">
        <w:t xml:space="preserve">and </w:t>
      </w:r>
      <w:r w:rsidR="00AB0113" w:rsidRPr="00AB0113">
        <w:rPr>
          <w:i/>
        </w:rPr>
        <w:t>Oscillatoria</w:t>
      </w:r>
      <w:r w:rsidR="004A5FC8">
        <w:rPr>
          <w:iCs/>
        </w:rPr>
        <w:t xml:space="preserve"> (Leterme et al. 2018).</w:t>
      </w:r>
    </w:p>
    <w:p w14:paraId="2AAE5531" w14:textId="43ACAED0" w:rsidR="00396B15" w:rsidRPr="0003600F" w:rsidRDefault="00396B15" w:rsidP="00A2521C">
      <w:pPr>
        <w:pStyle w:val="Heading5"/>
      </w:pPr>
      <w:bookmarkStart w:id="40" w:name="_Toc232747015"/>
      <w:r w:rsidRPr="0003600F">
        <w:lastRenderedPageBreak/>
        <w:t>Phytoplankton</w:t>
      </w:r>
      <w:bookmarkEnd w:id="40"/>
      <w:r w:rsidRPr="0003600F">
        <w:t xml:space="preserve"> </w:t>
      </w:r>
    </w:p>
    <w:p w14:paraId="7D071482" w14:textId="6BCF7FD6" w:rsidR="00396B15" w:rsidRDefault="00396B15" w:rsidP="00FF6EB4">
      <w:r>
        <w:t xml:space="preserve">Phytoplankton are typically single-celled (sometimes colonial) photosynthetic bacteria and protists that drive primary production and aquatic food chains. </w:t>
      </w:r>
      <w:r w:rsidR="00A228C3">
        <w:t xml:space="preserve">Major </w:t>
      </w:r>
      <w:r>
        <w:t xml:space="preserve">groups </w:t>
      </w:r>
      <w:r w:rsidR="00A228C3">
        <w:t xml:space="preserve">that </w:t>
      </w:r>
      <w:r>
        <w:t>occur in the freshwater River Murray and estuarine Coorong</w:t>
      </w:r>
      <w:r w:rsidR="00FF6EB4">
        <w:t xml:space="preserve"> (i.e. </w:t>
      </w:r>
      <w:r>
        <w:t>the ecological community</w:t>
      </w:r>
      <w:r w:rsidR="00FF6EB4">
        <w:t>)</w:t>
      </w:r>
      <w:r w:rsidR="00A228C3">
        <w:t>, are</w:t>
      </w:r>
      <w:r>
        <w:t xml:space="preserve"> (Sullivan 1990; Young 2001; Nayar </w:t>
      </w:r>
      <w:r w:rsidR="003E0278">
        <w:t xml:space="preserve">&amp; </w:t>
      </w:r>
      <w:r>
        <w:t>Loo 2009; Aldridge et al. 2012a</w:t>
      </w:r>
      <w:r w:rsidR="00F87118">
        <w:t>; Leter</w:t>
      </w:r>
      <w:r w:rsidR="00797F79">
        <w:t>me et al. 2018</w:t>
      </w:r>
      <w:r>
        <w:t>):</w:t>
      </w:r>
    </w:p>
    <w:p w14:paraId="13AACC05" w14:textId="77777777" w:rsidR="00396B15" w:rsidRDefault="00396B15" w:rsidP="000C6EE4">
      <w:pPr>
        <w:pStyle w:val="ListParagraph"/>
        <w:numPr>
          <w:ilvl w:val="0"/>
          <w:numId w:val="16"/>
        </w:numPr>
        <w:contextualSpacing w:val="0"/>
      </w:pPr>
      <w:r>
        <w:t xml:space="preserve">diatoms (with a siliceous cell wall), e.g. </w:t>
      </w:r>
      <w:r w:rsidRPr="00246A46">
        <w:rPr>
          <w:i/>
        </w:rPr>
        <w:t xml:space="preserve">Synedra, Nitzschia, Atheya, Rhizosolenia, </w:t>
      </w:r>
      <w:r>
        <w:t>c</w:t>
      </w:r>
      <w:r w:rsidRPr="00E32ABF">
        <w:t>entrics</w:t>
      </w:r>
      <w:r>
        <w:t xml:space="preserve">, </w:t>
      </w:r>
      <w:r w:rsidRPr="00246A46">
        <w:rPr>
          <w:i/>
        </w:rPr>
        <w:t>Aulacoseira</w:t>
      </w:r>
      <w:r>
        <w:t xml:space="preserve"> (filaments), </w:t>
      </w:r>
      <w:r w:rsidRPr="00246A46">
        <w:rPr>
          <w:i/>
        </w:rPr>
        <w:t>Asterionella</w:t>
      </w:r>
      <w:r>
        <w:t xml:space="preserve"> (colonies)</w:t>
      </w:r>
    </w:p>
    <w:p w14:paraId="2D836DBF" w14:textId="77777777" w:rsidR="00396B15" w:rsidRPr="00D61C00" w:rsidRDefault="00396B15" w:rsidP="000C6EE4">
      <w:pPr>
        <w:pStyle w:val="ListParagraph"/>
        <w:numPr>
          <w:ilvl w:val="0"/>
          <w:numId w:val="16"/>
        </w:numPr>
        <w:contextualSpacing w:val="0"/>
      </w:pPr>
      <w:r>
        <w:t xml:space="preserve">flagellates (independent movement by flagella), e.g. </w:t>
      </w:r>
      <w:r w:rsidRPr="00A40947">
        <w:rPr>
          <w:i/>
        </w:rPr>
        <w:t>Synura, Euglena, Trachelomonas, Cryptomonas, Rhodomonas</w:t>
      </w:r>
      <w:r>
        <w:rPr>
          <w:iCs/>
        </w:rPr>
        <w:t>, and</w:t>
      </w:r>
    </w:p>
    <w:p w14:paraId="2615F4B5" w14:textId="76BE8F0B" w:rsidR="00396B15" w:rsidRDefault="00396B15" w:rsidP="000C6EE4">
      <w:pPr>
        <w:pStyle w:val="ListParagraph"/>
        <w:numPr>
          <w:ilvl w:val="0"/>
          <w:numId w:val="16"/>
        </w:numPr>
        <w:contextualSpacing w:val="0"/>
      </w:pPr>
      <w:r>
        <w:t>green algae (single cells to filamentous colonies</w:t>
      </w:r>
      <w:r w:rsidR="00944B66">
        <w:t xml:space="preserve"> of </w:t>
      </w:r>
      <w:r w:rsidR="00E810A5">
        <w:t>‘</w:t>
      </w:r>
      <w:r w:rsidR="00944B66">
        <w:t>true</w:t>
      </w:r>
      <w:r w:rsidR="00E810A5">
        <w:t>’</w:t>
      </w:r>
      <w:r w:rsidR="00944B66">
        <w:t xml:space="preserve"> alga</w:t>
      </w:r>
      <w:r>
        <w:t xml:space="preserve">), e.g. </w:t>
      </w:r>
      <w:r w:rsidRPr="00246A46">
        <w:rPr>
          <w:i/>
        </w:rPr>
        <w:t>Ankistrodesmus</w:t>
      </w:r>
      <w:r>
        <w:t xml:space="preserve">, </w:t>
      </w:r>
      <w:r w:rsidRPr="00246A46">
        <w:rPr>
          <w:i/>
        </w:rPr>
        <w:t>Planctonema, Scenedesmus.</w:t>
      </w:r>
    </w:p>
    <w:p w14:paraId="141FFA53" w14:textId="4289666C" w:rsidR="00B375D1" w:rsidRDefault="00396B15" w:rsidP="009F7BB4">
      <w:r>
        <w:t xml:space="preserve">Surveys of the River Murray from 1980–1985 reported more than 150 algal taxa representing most freshwater classes, with 14 of these abundant (Sullivan 1990). </w:t>
      </w:r>
      <w:r w:rsidR="00FE7600">
        <w:t>More recently, surveys</w:t>
      </w:r>
      <w:r w:rsidR="001A223D">
        <w:t xml:space="preserve"> within the CLLMM region have collectively identified 185 phytoplankton species in</w:t>
      </w:r>
      <w:r w:rsidR="00C869AD">
        <w:t xml:space="preserve"> </w:t>
      </w:r>
      <w:r w:rsidR="001A223D">
        <w:t>140 different genera</w:t>
      </w:r>
      <w:r w:rsidR="00533F61">
        <w:t>, with 131 different taxa in the Coorong, alone</w:t>
      </w:r>
      <w:r w:rsidR="00B255CC">
        <w:t xml:space="preserve"> (Leterme et al. 2018). </w:t>
      </w:r>
      <w:r>
        <w:t>The diversity and composition of the phytoplankton change</w:t>
      </w:r>
      <w:r w:rsidR="00B375D1">
        <w:t>s</w:t>
      </w:r>
      <w:r>
        <w:t xml:space="preserve"> with season and with varying hydrological conditions, such as before and after drought (Sullivan 1990; Aldridge et al. 2012a</w:t>
      </w:r>
      <w:r w:rsidR="00F418F4">
        <w:t>; Leterme et al. 2018</w:t>
      </w:r>
      <w:r>
        <w:t xml:space="preserve">). </w:t>
      </w:r>
      <w:r w:rsidR="006E4F84">
        <w:t xml:space="preserve">In the Coorong, salinity is a major driver of phytoplankton </w:t>
      </w:r>
      <w:r w:rsidR="00EA0205">
        <w:t xml:space="preserve">biomass and species composition, with </w:t>
      </w:r>
      <w:r w:rsidR="00BF0188">
        <w:t>chlor</w:t>
      </w:r>
      <w:r w:rsidR="00527462">
        <w:t>o</w:t>
      </w:r>
      <w:r w:rsidR="00BF0188">
        <w:t>phytes dominating fr</w:t>
      </w:r>
      <w:r w:rsidR="002870F1">
        <w:t>esh to low-brackish conditions, di</w:t>
      </w:r>
      <w:r w:rsidR="00AF7488">
        <w:t>a</w:t>
      </w:r>
      <w:r w:rsidR="002870F1">
        <w:t>tom</w:t>
      </w:r>
      <w:r w:rsidR="005873A0">
        <w:t xml:space="preserve">s </w:t>
      </w:r>
      <w:r w:rsidR="00F97F3D">
        <w:t xml:space="preserve">and </w:t>
      </w:r>
      <w:r w:rsidR="002870F1">
        <w:t xml:space="preserve">dinoflagellates dominating higher salinities, and </w:t>
      </w:r>
      <w:r w:rsidR="00FF3A7F">
        <w:t>a transitory euryhaline population that comprises species found throughout the Coorong</w:t>
      </w:r>
      <w:r w:rsidR="00F97F3D">
        <w:t>,</w:t>
      </w:r>
      <w:r w:rsidR="00FF3A7F">
        <w:t xml:space="preserve"> irrespective of season</w:t>
      </w:r>
      <w:r w:rsidR="007C14E6">
        <w:t xml:space="preserve"> and salinity (Jendyk et al. 2014; </w:t>
      </w:r>
      <w:r w:rsidR="00AF7488">
        <w:t>Leterme et al. 2015).</w:t>
      </w:r>
      <w:r w:rsidR="006E4F84">
        <w:t xml:space="preserve"> </w:t>
      </w:r>
    </w:p>
    <w:p w14:paraId="77F21B49" w14:textId="5672B0FC" w:rsidR="00872F93" w:rsidRDefault="00B375D1" w:rsidP="009F7BB4">
      <w:r>
        <w:t>Historical a</w:t>
      </w:r>
      <w:r w:rsidR="00FE5242">
        <w:t xml:space="preserve">nalysis of </w:t>
      </w:r>
      <w:r w:rsidR="00396B15">
        <w:t>phytoplankton distribution</w:t>
      </w:r>
      <w:r w:rsidR="00FE5242">
        <w:t>s</w:t>
      </w:r>
      <w:r w:rsidR="00396B15">
        <w:t xml:space="preserve"> </w:t>
      </w:r>
      <w:r w:rsidR="00F97F3D">
        <w:t xml:space="preserve">along </w:t>
      </w:r>
      <w:r w:rsidR="004C52D0">
        <w:t xml:space="preserve">the River Murray </w:t>
      </w:r>
      <w:r w:rsidR="00FE5242">
        <w:t>indicates</w:t>
      </w:r>
      <w:r w:rsidR="00396B15">
        <w:t xml:space="preserve"> there </w:t>
      </w:r>
      <w:r w:rsidR="00974925">
        <w:t xml:space="preserve">were </w:t>
      </w:r>
      <w:r w:rsidR="00396B15">
        <w:t>four distinct regions</w:t>
      </w:r>
      <w:r w:rsidR="00A71D14">
        <w:t xml:space="preserve"> based on species assemblages</w:t>
      </w:r>
      <w:r w:rsidR="00396B15">
        <w:t xml:space="preserve">, of which one was the South Australian </w:t>
      </w:r>
      <w:r w:rsidR="00EC2B13">
        <w:t xml:space="preserve">River </w:t>
      </w:r>
      <w:r w:rsidR="00396B15">
        <w:t xml:space="preserve">Murray, </w:t>
      </w:r>
      <w:r w:rsidR="00D54044">
        <w:t xml:space="preserve">including </w:t>
      </w:r>
      <w:r w:rsidR="00396B15">
        <w:t xml:space="preserve">from the Darling River downstream to the mouth (Sullivan 1990), which equates to the ecological community. </w:t>
      </w:r>
    </w:p>
    <w:p w14:paraId="0A1B01CF" w14:textId="1DDE3510" w:rsidR="00674BA6" w:rsidRPr="0003600F" w:rsidRDefault="00674BA6" w:rsidP="00A2521C">
      <w:pPr>
        <w:pStyle w:val="Heading5"/>
      </w:pPr>
      <w:r w:rsidRPr="0003600F">
        <w:t>Zooplankton (micro-invertebrate</w:t>
      </w:r>
      <w:r w:rsidR="00C23796" w:rsidRPr="0003600F">
        <w:t xml:space="preserve"> animals</w:t>
      </w:r>
      <w:r w:rsidRPr="0003600F">
        <w:t>)</w:t>
      </w:r>
    </w:p>
    <w:p w14:paraId="779611C7" w14:textId="243139CE" w:rsidR="00D95AC1" w:rsidRDefault="00C23796" w:rsidP="006F167B">
      <w:r>
        <w:t xml:space="preserve">Zooplankton are microscopic animals </w:t>
      </w:r>
      <w:r w:rsidR="00081DB8">
        <w:t xml:space="preserve">inhabiting </w:t>
      </w:r>
      <w:r>
        <w:t>the water-column and littoral regions of aquatic environments</w:t>
      </w:r>
      <w:r w:rsidR="00913B5D">
        <w:t xml:space="preserve"> </w:t>
      </w:r>
      <w:r w:rsidR="00000464">
        <w:t>(Leterme et al. 2018)</w:t>
      </w:r>
      <w:r>
        <w:t xml:space="preserve">. </w:t>
      </w:r>
      <w:r w:rsidR="00000464">
        <w:t>Zooplankters</w:t>
      </w:r>
      <w:r w:rsidR="00952D3A">
        <w:t xml:space="preserve"> </w:t>
      </w:r>
      <w:r w:rsidR="005D583B">
        <w:t>g</w:t>
      </w:r>
      <w:r>
        <w:t xml:space="preserve">raze </w:t>
      </w:r>
      <w:r w:rsidR="00B10917">
        <w:t xml:space="preserve">and control </w:t>
      </w:r>
      <w:r>
        <w:t>resident phytoplankton and bacterial assemblages</w:t>
      </w:r>
      <w:r w:rsidR="002666C2">
        <w:t>,</w:t>
      </w:r>
      <w:r>
        <w:t xml:space="preserve"> and in turn </w:t>
      </w:r>
      <w:r w:rsidR="00952D3A">
        <w:t xml:space="preserve">are </w:t>
      </w:r>
      <w:r>
        <w:t>a primary food source for macroinvertebrates and fish (particularly larval fish)</w:t>
      </w:r>
      <w:r w:rsidR="0002767B">
        <w:t xml:space="preserve"> (</w:t>
      </w:r>
      <w:r w:rsidR="00CB305F">
        <w:t xml:space="preserve">Wedderburn et al. 2013; </w:t>
      </w:r>
      <w:r w:rsidR="0002767B">
        <w:t>L</w:t>
      </w:r>
      <w:r w:rsidR="00CB305F">
        <w:t>eterme et al. 2018)</w:t>
      </w:r>
      <w:r>
        <w:t xml:space="preserve">. </w:t>
      </w:r>
      <w:r w:rsidR="001329EE">
        <w:t>Within the River Murray system, t</w:t>
      </w:r>
      <w:r w:rsidR="00D859DF">
        <w:t xml:space="preserve">here are a high number of species </w:t>
      </w:r>
      <w:r w:rsidR="002C1E3F">
        <w:t>(&gt;500 species)</w:t>
      </w:r>
      <w:r w:rsidR="00084999">
        <w:t>,</w:t>
      </w:r>
      <w:r w:rsidR="00555BA9">
        <w:t xml:space="preserve"> although species diversity and </w:t>
      </w:r>
      <w:r w:rsidR="00345462">
        <w:t xml:space="preserve">population densities are much less in the main river channel than in the </w:t>
      </w:r>
      <w:r w:rsidR="0082682F">
        <w:t xml:space="preserve">floodplain </w:t>
      </w:r>
      <w:r w:rsidR="00345462">
        <w:t>wetlands and billa</w:t>
      </w:r>
      <w:r w:rsidR="0078645E">
        <w:t>b</w:t>
      </w:r>
      <w:r w:rsidR="00345462">
        <w:t>ongs</w:t>
      </w:r>
      <w:r w:rsidR="001551BF">
        <w:t xml:space="preserve"> </w:t>
      </w:r>
      <w:r w:rsidR="00C40C86">
        <w:t>(</w:t>
      </w:r>
      <w:r w:rsidR="001551BF" w:rsidRPr="00C40C86">
        <w:t>Shiel 1990, 2002</w:t>
      </w:r>
      <w:r w:rsidR="00D03BAB">
        <w:t>; Leterme et al. 2018</w:t>
      </w:r>
      <w:r w:rsidR="001551BF">
        <w:t>)</w:t>
      </w:r>
      <w:r w:rsidR="00C40C86">
        <w:t xml:space="preserve">. </w:t>
      </w:r>
      <w:r w:rsidR="00CC38F5">
        <w:t xml:space="preserve">For example, </w:t>
      </w:r>
      <w:r w:rsidR="00EE185B">
        <w:t>d</w:t>
      </w:r>
      <w:r w:rsidR="0078645E">
        <w:t xml:space="preserve">espite some </w:t>
      </w:r>
      <w:r w:rsidR="009B2607">
        <w:t>endemism</w:t>
      </w:r>
      <w:r w:rsidR="00AF71BD">
        <w:t>, most of the rotifers, copepods</w:t>
      </w:r>
      <w:r w:rsidR="005518C5">
        <w:t>,</w:t>
      </w:r>
      <w:r w:rsidR="00AF71BD">
        <w:t xml:space="preserve"> and cladocerans are cosmopolitan species, widely distributed across Australia</w:t>
      </w:r>
      <w:r w:rsidR="00084999">
        <w:t xml:space="preserve"> </w:t>
      </w:r>
      <w:r w:rsidR="00BF3CFE">
        <w:t>(</w:t>
      </w:r>
      <w:r w:rsidR="00BF3CFE" w:rsidRPr="00BF3CFE">
        <w:t>Shiel et al. 1998</w:t>
      </w:r>
      <w:r w:rsidR="00405A9F">
        <w:t>; Shiel &amp; Tan</w:t>
      </w:r>
      <w:r w:rsidR="006E1022">
        <w:t xml:space="preserve"> 2013</w:t>
      </w:r>
      <w:r w:rsidR="006F7C3B">
        <w:t>; Furst et al. 2019</w:t>
      </w:r>
      <w:r w:rsidR="00BF3CFE">
        <w:t xml:space="preserve">). </w:t>
      </w:r>
    </w:p>
    <w:p w14:paraId="654946BE" w14:textId="0AC7943B" w:rsidR="00C23796" w:rsidRDefault="00D84DFD" w:rsidP="00C23796">
      <w:r>
        <w:t>R</w:t>
      </w:r>
      <w:r w:rsidR="00B3788C">
        <w:t xml:space="preserve">otifers </w:t>
      </w:r>
      <w:r w:rsidR="00B9060A">
        <w:t xml:space="preserve">are </w:t>
      </w:r>
      <w:r w:rsidR="00B3788C">
        <w:t xml:space="preserve">the most diverse group </w:t>
      </w:r>
      <w:r>
        <w:t xml:space="preserve">of the River Murray </w:t>
      </w:r>
      <w:r w:rsidR="00BF1296">
        <w:t xml:space="preserve">(&gt;250 species) although only </w:t>
      </w:r>
      <w:r>
        <w:t xml:space="preserve">about </w:t>
      </w:r>
      <w:r w:rsidR="00026886">
        <w:t xml:space="preserve">10 species are widespread </w:t>
      </w:r>
      <w:r w:rsidR="002C1E3F">
        <w:t xml:space="preserve">(Shiel et al. 1998; </w:t>
      </w:r>
      <w:r w:rsidR="009E7F69">
        <w:t>Leterme et al. 2018)</w:t>
      </w:r>
      <w:r w:rsidR="009B2607">
        <w:t xml:space="preserve">. </w:t>
      </w:r>
      <w:r w:rsidR="00AD0BA9">
        <w:t xml:space="preserve">On the floodplain, </w:t>
      </w:r>
      <w:r w:rsidR="0013195F">
        <w:t xml:space="preserve">zooplankton </w:t>
      </w:r>
      <w:r w:rsidR="00B9060A">
        <w:t xml:space="preserve">communities </w:t>
      </w:r>
      <w:r w:rsidR="00AD0BA9">
        <w:t xml:space="preserve">of </w:t>
      </w:r>
      <w:r w:rsidR="00C80212">
        <w:t xml:space="preserve">ephemeral pools </w:t>
      </w:r>
      <w:r w:rsidR="00080472">
        <w:t xml:space="preserve">tend to be distinct from </w:t>
      </w:r>
      <w:r w:rsidR="0013195F">
        <w:t xml:space="preserve">those of </w:t>
      </w:r>
      <w:r w:rsidR="00080472">
        <w:t xml:space="preserve">permanent </w:t>
      </w:r>
      <w:r w:rsidR="0013195F">
        <w:t>pools, such as billabongs (Shiel et al. 1998).</w:t>
      </w:r>
      <w:r>
        <w:t xml:space="preserve"> </w:t>
      </w:r>
      <w:r w:rsidR="009E7F69">
        <w:t>In</w:t>
      </w:r>
      <w:r w:rsidR="00C23796">
        <w:t xml:space="preserve"> the fresh waters of the ecological community, major zooplankton components are (Shiel et al. 1982; Shiel 1990; Sheil 2010; Shiel &amp; Tan 2013</w:t>
      </w:r>
      <w:r w:rsidR="00CA7CF2">
        <w:t>; Leterme et al. 2018</w:t>
      </w:r>
      <w:r w:rsidR="00C23796">
        <w:t>):</w:t>
      </w:r>
    </w:p>
    <w:p w14:paraId="472BE4C1" w14:textId="77777777" w:rsidR="00C23796" w:rsidRDefault="00C23796" w:rsidP="000C6EE4">
      <w:pPr>
        <w:pStyle w:val="ListParagraph"/>
        <w:numPr>
          <w:ilvl w:val="0"/>
          <w:numId w:val="16"/>
        </w:numPr>
        <w:spacing w:after="120"/>
        <w:ind w:left="357"/>
        <w:contextualSpacing w:val="0"/>
      </w:pPr>
      <w:r>
        <w:t xml:space="preserve">single-celled Protista (protozoans, e.g. the ciliate </w:t>
      </w:r>
      <w:r w:rsidRPr="00045ED2">
        <w:t>Coleps</w:t>
      </w:r>
      <w:r>
        <w:t>),</w:t>
      </w:r>
    </w:p>
    <w:p w14:paraId="79F39202" w14:textId="77777777" w:rsidR="00C23796" w:rsidRDefault="00C23796" w:rsidP="000C6EE4">
      <w:pPr>
        <w:pStyle w:val="ListParagraph"/>
        <w:numPr>
          <w:ilvl w:val="0"/>
          <w:numId w:val="16"/>
        </w:numPr>
        <w:spacing w:after="0"/>
        <w:ind w:left="357"/>
        <w:contextualSpacing w:val="0"/>
      </w:pPr>
      <w:r>
        <w:lastRenderedPageBreak/>
        <w:t xml:space="preserve">Rotifera (rotifers, e.g. </w:t>
      </w:r>
      <w:r w:rsidRPr="00E71F99">
        <w:rPr>
          <w:i/>
          <w:iCs/>
        </w:rPr>
        <w:t>Brachionus falcatus, B. novaezealandiae, Filinia australiensis</w:t>
      </w:r>
      <w:r>
        <w:t>), and</w:t>
      </w:r>
    </w:p>
    <w:p w14:paraId="10354506" w14:textId="77777777" w:rsidR="00C23796" w:rsidRDefault="00C23796" w:rsidP="00045ED2">
      <w:pPr>
        <w:pStyle w:val="ListParagraph"/>
        <w:spacing w:after="120"/>
        <w:ind w:left="357"/>
        <w:contextualSpacing w:val="0"/>
      </w:pPr>
      <w:r>
        <w:t>micro-crustaceans such as:</w:t>
      </w:r>
    </w:p>
    <w:p w14:paraId="66A5B90A" w14:textId="4DF149FA" w:rsidR="00C23796" w:rsidRPr="00045ED2" w:rsidRDefault="00C23796" w:rsidP="00182DBE">
      <w:pPr>
        <w:pStyle w:val="ListParagraph"/>
        <w:numPr>
          <w:ilvl w:val="1"/>
          <w:numId w:val="16"/>
        </w:numPr>
        <w:spacing w:after="100"/>
        <w:contextualSpacing w:val="0"/>
      </w:pPr>
      <w:r w:rsidRPr="00045ED2">
        <w:t xml:space="preserve">Copepoda (copepods, e.g. </w:t>
      </w:r>
      <w:r w:rsidRPr="00045ED2">
        <w:rPr>
          <w:i/>
          <w:iCs/>
        </w:rPr>
        <w:t xml:space="preserve">Boeckella </w:t>
      </w:r>
      <w:r w:rsidR="0059300F" w:rsidRPr="00045ED2">
        <w:rPr>
          <w:i/>
          <w:iCs/>
        </w:rPr>
        <w:t>triarticulata</w:t>
      </w:r>
      <w:r w:rsidR="00045ED2">
        <w:t>,</w:t>
      </w:r>
      <w:r w:rsidR="00045ED2" w:rsidRPr="009C6A08">
        <w:rPr>
          <w:i/>
          <w:iCs/>
        </w:rPr>
        <w:t xml:space="preserve"> </w:t>
      </w:r>
      <w:r w:rsidR="0059300F" w:rsidRPr="009C6A08">
        <w:rPr>
          <w:i/>
          <w:iCs/>
        </w:rPr>
        <w:t>B</w:t>
      </w:r>
      <w:r w:rsidR="00045ED2" w:rsidRPr="009C6A08">
        <w:rPr>
          <w:i/>
          <w:iCs/>
        </w:rPr>
        <w:t>oeck</w:t>
      </w:r>
      <w:r w:rsidR="009C6A08" w:rsidRPr="009C6A08">
        <w:rPr>
          <w:i/>
          <w:iCs/>
        </w:rPr>
        <w:t>ella</w:t>
      </w:r>
      <w:r w:rsidR="0059300F" w:rsidRPr="00045ED2">
        <w:t xml:space="preserve"> </w:t>
      </w:r>
      <w:r w:rsidRPr="00045ED2">
        <w:t>spp.,</w:t>
      </w:r>
      <w:r w:rsidR="009C6A08">
        <w:t xml:space="preserve"> </w:t>
      </w:r>
      <w:r w:rsidRPr="00045ED2">
        <w:t xml:space="preserve"> </w:t>
      </w:r>
      <w:r w:rsidRPr="009C6A08">
        <w:rPr>
          <w:i/>
          <w:iCs/>
        </w:rPr>
        <w:t>Calamoecia</w:t>
      </w:r>
      <w:r w:rsidRPr="00045ED2">
        <w:t xml:space="preserve"> spp.)</w:t>
      </w:r>
    </w:p>
    <w:p w14:paraId="7EB8A7DE" w14:textId="77777777" w:rsidR="00C23796" w:rsidRDefault="00C23796" w:rsidP="00182DBE">
      <w:pPr>
        <w:pStyle w:val="ListParagraph"/>
        <w:numPr>
          <w:ilvl w:val="1"/>
          <w:numId w:val="16"/>
        </w:numPr>
        <w:spacing w:after="100"/>
        <w:contextualSpacing w:val="0"/>
      </w:pPr>
      <w:r>
        <w:t xml:space="preserve">Cladocera (cladocerans or water fleas, e.g. </w:t>
      </w:r>
      <w:r w:rsidRPr="009C6A08">
        <w:rPr>
          <w:i/>
          <w:iCs/>
        </w:rPr>
        <w:t>Daphnia lumholtzi</w:t>
      </w:r>
      <w:r>
        <w:t xml:space="preserve">, </w:t>
      </w:r>
      <w:r w:rsidRPr="009C6A08">
        <w:rPr>
          <w:i/>
          <w:iCs/>
        </w:rPr>
        <w:t>Bosmina meridionalis</w:t>
      </w:r>
      <w:r>
        <w:t>)</w:t>
      </w:r>
    </w:p>
    <w:p w14:paraId="0D0CFDCA" w14:textId="77777777" w:rsidR="00C23796" w:rsidRDefault="00C23796" w:rsidP="00182DBE">
      <w:pPr>
        <w:pStyle w:val="ListParagraph"/>
        <w:numPr>
          <w:ilvl w:val="1"/>
          <w:numId w:val="16"/>
        </w:numPr>
        <w:spacing w:after="100"/>
        <w:contextualSpacing w:val="0"/>
      </w:pPr>
      <w:r>
        <w:t xml:space="preserve">Ostracoda (ostracods or seed shrimps) </w:t>
      </w:r>
    </w:p>
    <w:p w14:paraId="4670F7E3" w14:textId="77777777" w:rsidR="00C23796" w:rsidRDefault="00C23796" w:rsidP="00182DBE">
      <w:pPr>
        <w:pStyle w:val="ListParagraph"/>
        <w:numPr>
          <w:ilvl w:val="1"/>
          <w:numId w:val="16"/>
        </w:numPr>
        <w:spacing w:after="100"/>
        <w:ind w:left="1077" w:hanging="357"/>
        <w:contextualSpacing w:val="0"/>
      </w:pPr>
      <w:r>
        <w:t>juveniles of shrimps (</w:t>
      </w:r>
      <w:r w:rsidRPr="009C6A08">
        <w:rPr>
          <w:i/>
          <w:iCs/>
        </w:rPr>
        <w:t>Caridina</w:t>
      </w:r>
      <w:r>
        <w:t xml:space="preserve"> spp., </w:t>
      </w:r>
      <w:r w:rsidRPr="009C6A08">
        <w:rPr>
          <w:i/>
          <w:iCs/>
        </w:rPr>
        <w:t>Paratya australiensis</w:t>
      </w:r>
      <w:r w:rsidRPr="001B71A8">
        <w:t>)</w:t>
      </w:r>
      <w:r>
        <w:t xml:space="preserve"> and the prawn </w:t>
      </w:r>
      <w:r w:rsidRPr="009C6A08">
        <w:rPr>
          <w:i/>
          <w:iCs/>
        </w:rPr>
        <w:t>Macrobrachium australiense</w:t>
      </w:r>
      <w:r>
        <w:t xml:space="preserve">, and </w:t>
      </w:r>
    </w:p>
    <w:p w14:paraId="76E2A092" w14:textId="09102C43" w:rsidR="00C23796" w:rsidRDefault="00C23796" w:rsidP="000C6EE4">
      <w:pPr>
        <w:pStyle w:val="ListParagraph"/>
        <w:numPr>
          <w:ilvl w:val="0"/>
          <w:numId w:val="16"/>
        </w:numPr>
        <w:spacing w:after="120"/>
        <w:ind w:left="357"/>
        <w:contextualSpacing w:val="0"/>
      </w:pPr>
      <w:r>
        <w:t>juveniles of other aquatic invertebrates (e.g. snails, worms, insects</w:t>
      </w:r>
      <w:r w:rsidR="002666C2">
        <w:t>, etc.</w:t>
      </w:r>
      <w:r>
        <w:t>).</w:t>
      </w:r>
    </w:p>
    <w:p w14:paraId="6AAA8E8E" w14:textId="5BF17019" w:rsidR="00654A3F" w:rsidRDefault="00C23796" w:rsidP="00C23796">
      <w:r>
        <w:t>Within the ecological community (i.e. below the Murray-Darling confluence) there is a mixed zooplankton assemblage dominated by rotifers, with fewer cladocerans and copepods (Walker et al. 2009; Shiel 2010). The composition and dynamics of zooplankton reflect contributions from headwater rivers, mainly the Murray and its tributaries (i.e. reservoir/</w:t>
      </w:r>
      <w:r w:rsidR="00CD10BE">
        <w:t xml:space="preserve">lake-like open water </w:t>
      </w:r>
      <w:r>
        <w:t xml:space="preserve">assemblage), with seasonal inputs from the relatively unimpounded Darling River (i.e. riverine assemblage) (Shiel et al. 1982; </w:t>
      </w:r>
      <w:r w:rsidR="003F393E">
        <w:t xml:space="preserve">Neilson et al. </w:t>
      </w:r>
      <w:r w:rsidR="00E7571C">
        <w:t xml:space="preserve">2005; </w:t>
      </w:r>
      <w:r>
        <w:t xml:space="preserve">Shiel 2010; Shiel </w:t>
      </w:r>
      <w:r w:rsidR="00395CED">
        <w:t>&amp;</w:t>
      </w:r>
      <w:r>
        <w:t xml:space="preserve"> Aldridge 2011). The less regulated Darling River contributes a warm-temperate, rotifer-dominated riverine plankton (Walker et al. 2009). </w:t>
      </w:r>
    </w:p>
    <w:p w14:paraId="7D7FD0EE" w14:textId="2801DDE6" w:rsidR="00C23796" w:rsidRDefault="00546A28" w:rsidP="00C23796">
      <w:r>
        <w:t>Rotifers ten</w:t>
      </w:r>
      <w:r w:rsidR="00BE382F">
        <w:t>d</w:t>
      </w:r>
      <w:r>
        <w:t xml:space="preserve"> to dominate in waters of low ‘age’ (i.e. short retention time storages) and microcrustaceans</w:t>
      </w:r>
      <w:r w:rsidR="00C25643">
        <w:t xml:space="preserve"> (such as copepods, cladocerans and ostracods) tend to appear in waters of greater ‘age’ (i.e. long retention time storages such as </w:t>
      </w:r>
      <w:r w:rsidR="003B5F80">
        <w:t>lakes, dams, weirs and locks</w:t>
      </w:r>
      <w:r w:rsidR="00BB5CE9">
        <w:t>) (Leterme et al. 2018).</w:t>
      </w:r>
      <w:r w:rsidR="009103F9">
        <w:t xml:space="preserve"> This also is reflective of their respective life cycle</w:t>
      </w:r>
      <w:r w:rsidR="00964A4F">
        <w:t>s, with rotifers reproducing in days and microcrustacea</w:t>
      </w:r>
      <w:r w:rsidR="00142F26">
        <w:t xml:space="preserve">ns </w:t>
      </w:r>
      <w:r w:rsidR="00964A4F">
        <w:t>in weeks (Leterme et al. 2018).</w:t>
      </w:r>
    </w:p>
    <w:p w14:paraId="24A9FC74" w14:textId="77777777" w:rsidR="00654A3F" w:rsidRDefault="00C23796" w:rsidP="009F7BB4">
      <w:r>
        <w:t xml:space="preserve">The zooplankton of Lake Alexandrina is typically dominated by freshwater copepods, cladocerans and rotifers, </w:t>
      </w:r>
      <w:r w:rsidR="009B15C1">
        <w:t>and is typically structured by turbidity</w:t>
      </w:r>
      <w:r>
        <w:t xml:space="preserve"> (Geddes 1984</w:t>
      </w:r>
      <w:r w:rsidR="00662B33">
        <w:t>; Shiel &amp; Aldridge 2011</w:t>
      </w:r>
      <w:r>
        <w:t xml:space="preserve">). </w:t>
      </w:r>
      <w:r w:rsidR="004F6235">
        <w:t xml:space="preserve">Conversely, </w:t>
      </w:r>
      <w:r w:rsidR="005331F8">
        <w:t xml:space="preserve">of the </w:t>
      </w:r>
      <w:r>
        <w:t>200 taxa</w:t>
      </w:r>
      <w:r w:rsidR="005331F8">
        <w:t xml:space="preserve"> recorded from the Coorong</w:t>
      </w:r>
      <w:r w:rsidR="004E0A09">
        <w:t xml:space="preserve">, </w:t>
      </w:r>
      <w:r w:rsidR="005331F8">
        <w:t>Murray Mouth</w:t>
      </w:r>
      <w:r w:rsidR="004E0A09">
        <w:t xml:space="preserve"> and adjacent ephemeral saline lakes</w:t>
      </w:r>
      <w:r>
        <w:t xml:space="preserve">, many </w:t>
      </w:r>
      <w:r w:rsidR="00142F26">
        <w:t xml:space="preserve">species </w:t>
      </w:r>
      <w:r w:rsidR="005331F8">
        <w:t xml:space="preserve">are </w:t>
      </w:r>
      <w:r>
        <w:t>halotolerant</w:t>
      </w:r>
      <w:r w:rsidR="002F47CC">
        <w:t xml:space="preserve"> and</w:t>
      </w:r>
      <w:r w:rsidR="00AB1FEF">
        <w:t xml:space="preserve"> mic</w:t>
      </w:r>
      <w:r w:rsidR="00821C11">
        <w:t xml:space="preserve">rocrustaceans tend to dominate </w:t>
      </w:r>
      <w:r>
        <w:t>(</w:t>
      </w:r>
      <w:r w:rsidR="004E0A09">
        <w:t>De</w:t>
      </w:r>
      <w:r w:rsidR="00AA66B8">
        <w:t xml:space="preserve"> </w:t>
      </w:r>
      <w:r w:rsidR="004E0A09">
        <w:t>Dec</w:t>
      </w:r>
      <w:r w:rsidR="00AA66B8">
        <w:t xml:space="preserve">kker &amp; Geddes 1980; </w:t>
      </w:r>
      <w:r>
        <w:t>Shiel &amp; Tan 2013</w:t>
      </w:r>
      <w:r w:rsidR="00AB1FEF">
        <w:t>;</w:t>
      </w:r>
      <w:r w:rsidR="00821C11">
        <w:t xml:space="preserve"> Leterme et al. 201</w:t>
      </w:r>
      <w:r w:rsidR="00B013BE">
        <w:t>8</w:t>
      </w:r>
      <w:r>
        <w:t xml:space="preserve">). </w:t>
      </w:r>
      <w:r w:rsidR="00816673">
        <w:t>T</w:t>
      </w:r>
      <w:r w:rsidR="002F47CC">
        <w:t xml:space="preserve">he composition of </w:t>
      </w:r>
      <w:r w:rsidR="00BE3140">
        <w:t>zoo</w:t>
      </w:r>
      <w:r w:rsidR="00FA30B7">
        <w:t>plankton</w:t>
      </w:r>
      <w:r w:rsidR="00133D46">
        <w:t xml:space="preserve"> in this region is largely determined by system hydrology</w:t>
      </w:r>
      <w:r w:rsidR="004F13A4">
        <w:t xml:space="preserve"> (including regulation</w:t>
      </w:r>
      <w:r w:rsidR="005518C5">
        <w:t>)</w:t>
      </w:r>
      <w:r w:rsidR="0050010A">
        <w:t xml:space="preserve"> and water chemistry, </w:t>
      </w:r>
      <w:r w:rsidR="007168AF">
        <w:t>with species diversity typically inversely related to</w:t>
      </w:r>
      <w:r w:rsidR="005518C5">
        <w:t xml:space="preserve"> salinity</w:t>
      </w:r>
      <w:r w:rsidR="001B1750">
        <w:t xml:space="preserve"> </w:t>
      </w:r>
      <w:r w:rsidR="0050010A" w:rsidRPr="00157095">
        <w:t>(Shiel</w:t>
      </w:r>
      <w:r w:rsidR="0050010A" w:rsidRPr="00BF3CFE">
        <w:t xml:space="preserve"> &amp; Tan 2013</w:t>
      </w:r>
      <w:r w:rsidR="0050010A">
        <w:t>; Furst et al. 2019</w:t>
      </w:r>
      <w:r w:rsidR="006718B2">
        <w:t>; Dittmann et al. 2022</w:t>
      </w:r>
      <w:r w:rsidR="0050010A">
        <w:t xml:space="preserve">). </w:t>
      </w:r>
    </w:p>
    <w:p w14:paraId="183B1381" w14:textId="76C65910" w:rsidR="00EC254C" w:rsidRPr="009F7BB4" w:rsidRDefault="00133D46" w:rsidP="00863AAE">
      <w:r>
        <w:t>For example, d</w:t>
      </w:r>
      <w:r w:rsidR="00C23796">
        <w:t>uring the large floods at the end of the Millennium Drought</w:t>
      </w:r>
      <w:r w:rsidR="00043DEC">
        <w:t xml:space="preserve"> </w:t>
      </w:r>
      <w:r w:rsidR="0082682F">
        <w:t>(</w:t>
      </w:r>
      <w:r w:rsidR="00C23796">
        <w:t xml:space="preserve">2010-11), a riverine assemblage dominated by rotifers replaced the microcrustacean-dominated estuarine assemblage at the Murray Mouth and North Lagoon (Shiel &amp; Tan 2013). </w:t>
      </w:r>
      <w:r w:rsidR="00757964">
        <w:t xml:space="preserve">Conversely, during </w:t>
      </w:r>
      <w:r w:rsidR="00431D15">
        <w:t xml:space="preserve">the </w:t>
      </w:r>
      <w:r w:rsidR="00757964">
        <w:t>prolonged low or no-flow conditions</w:t>
      </w:r>
      <w:r w:rsidR="007168AF">
        <w:t xml:space="preserve"> of the Millennium Drought</w:t>
      </w:r>
      <w:r w:rsidR="00757964">
        <w:t>, the zooplankton community bec</w:t>
      </w:r>
      <w:r w:rsidR="00971DB2">
        <w:t>a</w:t>
      </w:r>
      <w:r w:rsidR="00757964">
        <w:t>me</w:t>
      </w:r>
      <w:r w:rsidR="00431D15">
        <w:t xml:space="preserve"> </w:t>
      </w:r>
      <w:r w:rsidR="007B2AE2">
        <w:t>increasingly</w:t>
      </w:r>
      <w:r w:rsidR="00757964">
        <w:t xml:space="preserve"> dominated by </w:t>
      </w:r>
      <w:r w:rsidR="00B66177">
        <w:t>marine</w:t>
      </w:r>
      <w:r w:rsidR="00245CF7">
        <w:t>/estuarine</w:t>
      </w:r>
      <w:r w:rsidR="00B66177">
        <w:t xml:space="preserve"> species</w:t>
      </w:r>
      <w:r w:rsidR="00CF5B87">
        <w:t xml:space="preserve"> (</w:t>
      </w:r>
      <w:r w:rsidR="00D739A1">
        <w:t xml:space="preserve">Shiel &amp; Aldridge 2011; </w:t>
      </w:r>
      <w:r w:rsidR="00CF5B87">
        <w:t>Furst et al. 2019)</w:t>
      </w:r>
      <w:r w:rsidR="00B66177">
        <w:t xml:space="preserve">. </w:t>
      </w:r>
    </w:p>
    <w:p w14:paraId="770FAD0C" w14:textId="77777777" w:rsidR="00154632" w:rsidRDefault="00154632">
      <w:pPr>
        <w:spacing w:after="160" w:line="259" w:lineRule="auto"/>
        <w:rPr>
          <w:rFonts w:asciiTheme="minorHAnsi" w:eastAsiaTheme="majorEastAsia" w:hAnsiTheme="minorHAnsi" w:cs="Arial"/>
          <w:b/>
          <w:bCs/>
          <w:i/>
          <w:iCs/>
          <w:smallCaps/>
          <w:sz w:val="28"/>
          <w:szCs w:val="28"/>
        </w:rPr>
      </w:pPr>
      <w:r>
        <w:rPr>
          <w:b/>
          <w:bCs/>
          <w:sz w:val="28"/>
          <w:szCs w:val="28"/>
        </w:rPr>
        <w:br w:type="page"/>
      </w:r>
    </w:p>
    <w:p w14:paraId="34227DD3" w14:textId="5DC7F687" w:rsidR="00500E51" w:rsidRPr="00190C96" w:rsidRDefault="004702B3" w:rsidP="006E2204">
      <w:pPr>
        <w:pStyle w:val="Heading4"/>
      </w:pPr>
      <w:r w:rsidRPr="00190C96">
        <w:lastRenderedPageBreak/>
        <w:t>Fauna (</w:t>
      </w:r>
      <w:r w:rsidR="00FA3C65">
        <w:t>A</w:t>
      </w:r>
      <w:r w:rsidRPr="00190C96">
        <w:t>nimals)</w:t>
      </w:r>
    </w:p>
    <w:tbl>
      <w:tblPr>
        <w:tblStyle w:val="TableGrid"/>
        <w:tblW w:w="0" w:type="auto"/>
        <w:tblLook w:val="04A0" w:firstRow="1" w:lastRow="0" w:firstColumn="1" w:lastColumn="0" w:noHBand="0" w:noVBand="1"/>
      </w:tblPr>
      <w:tblGrid>
        <w:gridCol w:w="9060"/>
      </w:tblGrid>
      <w:tr w:rsidR="00ED1715" w14:paraId="2DEDE42D" w14:textId="77777777" w:rsidTr="007366C9">
        <w:tc>
          <w:tcPr>
            <w:tcW w:w="9060" w:type="dxa"/>
            <w:shd w:val="clear" w:color="auto" w:fill="DEEAF6" w:themeFill="accent1" w:themeFillTint="33"/>
          </w:tcPr>
          <w:p w14:paraId="358712A3" w14:textId="20FC66FC" w:rsidR="00ED1715" w:rsidRPr="00A719A8" w:rsidRDefault="00F24B35" w:rsidP="003A5340">
            <w:pPr>
              <w:spacing w:after="120"/>
              <w:contextualSpacing/>
              <w:rPr>
                <w:b/>
                <w:bCs/>
                <w:i/>
                <w:iCs/>
              </w:rPr>
            </w:pPr>
            <w:r w:rsidRPr="00A719A8">
              <w:rPr>
                <w:b/>
                <w:bCs/>
                <w:i/>
                <w:iCs/>
              </w:rPr>
              <w:t>Overview of Fauna</w:t>
            </w:r>
            <w:r w:rsidR="00432FFA">
              <w:rPr>
                <w:b/>
                <w:bCs/>
                <w:i/>
                <w:iCs/>
              </w:rPr>
              <w:t xml:space="preserve"> Section</w:t>
            </w:r>
          </w:p>
          <w:p w14:paraId="1B4062E6" w14:textId="21360D0A" w:rsidR="006524F0" w:rsidRDefault="006524F0" w:rsidP="000C6EE4">
            <w:pPr>
              <w:pStyle w:val="ListParagraph"/>
              <w:numPr>
                <w:ilvl w:val="0"/>
                <w:numId w:val="18"/>
              </w:numPr>
              <w:rPr>
                <w:b/>
                <w:bCs/>
              </w:rPr>
            </w:pPr>
            <w:r>
              <w:rPr>
                <w:b/>
                <w:bCs/>
              </w:rPr>
              <w:t>Terrestrial invert</w:t>
            </w:r>
            <w:r w:rsidR="00BE7D5A">
              <w:rPr>
                <w:b/>
                <w:bCs/>
              </w:rPr>
              <w:t>e</w:t>
            </w:r>
            <w:r>
              <w:rPr>
                <w:b/>
                <w:bCs/>
              </w:rPr>
              <w:t>brates</w:t>
            </w:r>
          </w:p>
          <w:p w14:paraId="474E6AA9" w14:textId="31D38920" w:rsidR="00D35BF0" w:rsidRDefault="0071677B" w:rsidP="000C6EE4">
            <w:pPr>
              <w:pStyle w:val="ListParagraph"/>
              <w:numPr>
                <w:ilvl w:val="0"/>
                <w:numId w:val="18"/>
              </w:numPr>
              <w:rPr>
                <w:b/>
                <w:bCs/>
              </w:rPr>
            </w:pPr>
            <w:r>
              <w:rPr>
                <w:b/>
                <w:bCs/>
              </w:rPr>
              <w:t xml:space="preserve">Aquatic </w:t>
            </w:r>
            <w:r w:rsidR="007D3CF7">
              <w:rPr>
                <w:b/>
                <w:bCs/>
              </w:rPr>
              <w:t>I</w:t>
            </w:r>
            <w:r w:rsidR="000810EA" w:rsidRPr="00017DF4">
              <w:rPr>
                <w:b/>
                <w:bCs/>
              </w:rPr>
              <w:t>nvertebrates</w:t>
            </w:r>
          </w:p>
          <w:p w14:paraId="5E681995" w14:textId="2572D2D0" w:rsidR="007D3CF7" w:rsidRDefault="0003676F" w:rsidP="000C6EE4">
            <w:pPr>
              <w:pStyle w:val="ListParagraph"/>
              <w:numPr>
                <w:ilvl w:val="1"/>
                <w:numId w:val="18"/>
              </w:numPr>
            </w:pPr>
            <w:r>
              <w:t>Aquatic M</w:t>
            </w:r>
            <w:r w:rsidR="007D3CF7">
              <w:t>acroinvertebrates</w:t>
            </w:r>
            <w:r w:rsidR="00767A92">
              <w:t xml:space="preserve"> </w:t>
            </w:r>
          </w:p>
          <w:p w14:paraId="15C1846A" w14:textId="5A263553" w:rsidR="00504355" w:rsidRDefault="00504355" w:rsidP="00504355">
            <w:pPr>
              <w:pStyle w:val="ListParagraph"/>
              <w:numPr>
                <w:ilvl w:val="2"/>
                <w:numId w:val="18"/>
              </w:numPr>
            </w:pPr>
            <w:r>
              <w:t>Freshwater</w:t>
            </w:r>
            <w:r w:rsidR="00B52661">
              <w:t xml:space="preserve"> </w:t>
            </w:r>
          </w:p>
          <w:p w14:paraId="17F797D3" w14:textId="7601EA2F" w:rsidR="00504355" w:rsidRDefault="00504355" w:rsidP="00504355">
            <w:pPr>
              <w:pStyle w:val="ListParagraph"/>
              <w:numPr>
                <w:ilvl w:val="2"/>
                <w:numId w:val="18"/>
              </w:numPr>
            </w:pPr>
            <w:r>
              <w:t>Estuarine</w:t>
            </w:r>
          </w:p>
          <w:p w14:paraId="2ECDDBF1" w14:textId="65D695C3" w:rsidR="000810EA" w:rsidRPr="00017DF4" w:rsidRDefault="00B52661" w:rsidP="000C6EE4">
            <w:pPr>
              <w:pStyle w:val="ListParagraph"/>
              <w:numPr>
                <w:ilvl w:val="1"/>
                <w:numId w:val="18"/>
              </w:numPr>
            </w:pPr>
            <w:r>
              <w:t xml:space="preserve">Aquatic </w:t>
            </w:r>
            <w:r w:rsidR="00236158" w:rsidRPr="00017DF4">
              <w:t>Insects</w:t>
            </w:r>
          </w:p>
          <w:p w14:paraId="16DD0200" w14:textId="77777777" w:rsidR="00236158" w:rsidRPr="00017DF4" w:rsidRDefault="00236158" w:rsidP="000C6EE4">
            <w:pPr>
              <w:pStyle w:val="ListParagraph"/>
              <w:numPr>
                <w:ilvl w:val="1"/>
                <w:numId w:val="18"/>
              </w:numPr>
            </w:pPr>
            <w:r w:rsidRPr="00017DF4">
              <w:t>Mussels and Snails</w:t>
            </w:r>
          </w:p>
          <w:p w14:paraId="215AA137" w14:textId="77777777" w:rsidR="00236158" w:rsidRDefault="00236158" w:rsidP="000C6EE4">
            <w:pPr>
              <w:pStyle w:val="ListParagraph"/>
              <w:numPr>
                <w:ilvl w:val="1"/>
                <w:numId w:val="18"/>
              </w:numPr>
            </w:pPr>
            <w:r w:rsidRPr="00017DF4">
              <w:t>Crayfish</w:t>
            </w:r>
          </w:p>
          <w:p w14:paraId="0C331704" w14:textId="6823DCFC" w:rsidR="00017DF4" w:rsidRDefault="007D3CF7" w:rsidP="000C6EE4">
            <w:pPr>
              <w:pStyle w:val="ListParagraph"/>
              <w:numPr>
                <w:ilvl w:val="0"/>
                <w:numId w:val="18"/>
              </w:numPr>
              <w:rPr>
                <w:b/>
                <w:bCs/>
              </w:rPr>
            </w:pPr>
            <w:r>
              <w:rPr>
                <w:b/>
                <w:bCs/>
              </w:rPr>
              <w:t>Vertebrates</w:t>
            </w:r>
          </w:p>
          <w:p w14:paraId="61C2283D" w14:textId="44701FE0" w:rsidR="007D3CF7" w:rsidRPr="000F4CF9" w:rsidRDefault="007D3CF7" w:rsidP="000C6EE4">
            <w:pPr>
              <w:pStyle w:val="ListParagraph"/>
              <w:numPr>
                <w:ilvl w:val="1"/>
                <w:numId w:val="18"/>
              </w:numPr>
            </w:pPr>
            <w:r w:rsidRPr="000F4CF9">
              <w:t>Fish</w:t>
            </w:r>
          </w:p>
          <w:p w14:paraId="5BBD51CB" w14:textId="77777777" w:rsidR="00C77415" w:rsidRPr="000F4CF9" w:rsidRDefault="00C77415" w:rsidP="000C6EE4">
            <w:pPr>
              <w:pStyle w:val="ListParagraph"/>
              <w:numPr>
                <w:ilvl w:val="1"/>
                <w:numId w:val="18"/>
              </w:numPr>
            </w:pPr>
            <w:r w:rsidRPr="000F4CF9">
              <w:t>Amphibians &amp; Reptiles</w:t>
            </w:r>
          </w:p>
          <w:p w14:paraId="2E9FBDDA" w14:textId="77777777" w:rsidR="00C77415" w:rsidRPr="000F4CF9" w:rsidRDefault="00C77415" w:rsidP="000C6EE4">
            <w:pPr>
              <w:pStyle w:val="ListParagraph"/>
              <w:numPr>
                <w:ilvl w:val="1"/>
                <w:numId w:val="18"/>
              </w:numPr>
            </w:pPr>
            <w:r w:rsidRPr="000F4CF9">
              <w:t>Birds</w:t>
            </w:r>
          </w:p>
          <w:p w14:paraId="6AFE040A" w14:textId="5DBDC4BB" w:rsidR="004054A2" w:rsidRPr="00017DF4" w:rsidRDefault="004054A2" w:rsidP="000C6EE4">
            <w:pPr>
              <w:pStyle w:val="ListParagraph"/>
              <w:numPr>
                <w:ilvl w:val="1"/>
                <w:numId w:val="18"/>
              </w:numPr>
              <w:rPr>
                <w:b/>
                <w:bCs/>
              </w:rPr>
            </w:pPr>
            <w:r w:rsidRPr="000F4CF9">
              <w:t>Mammals</w:t>
            </w:r>
          </w:p>
        </w:tc>
      </w:tr>
    </w:tbl>
    <w:p w14:paraId="59071816" w14:textId="77777777" w:rsidR="00ED1715" w:rsidRPr="00ED1715" w:rsidRDefault="00ED1715" w:rsidP="00ED1715"/>
    <w:p w14:paraId="75BFBF59" w14:textId="45C507C7" w:rsidR="006524F0" w:rsidRPr="0003600F" w:rsidRDefault="006524F0" w:rsidP="00A2521C">
      <w:pPr>
        <w:pStyle w:val="Heading5"/>
      </w:pPr>
      <w:bookmarkStart w:id="41" w:name="_Toc232747020"/>
      <w:bookmarkStart w:id="42" w:name="_Toc363639648"/>
      <w:r w:rsidRPr="0003600F">
        <w:t>Terrestrial invertebrates</w:t>
      </w:r>
    </w:p>
    <w:p w14:paraId="4BAF8472" w14:textId="7A46F0D8" w:rsidR="00677C96" w:rsidRDefault="005E57DB" w:rsidP="006524F0">
      <w:r>
        <w:t>In contrast to the aquatic invertebrates that are confined almost entirely to the fr</w:t>
      </w:r>
      <w:r w:rsidR="008F7C56">
        <w:t>eshwater</w:t>
      </w:r>
      <w:r w:rsidR="008723DE">
        <w:t xml:space="preserve"> and e</w:t>
      </w:r>
      <w:r w:rsidR="008F7C56">
        <w:t>stuarine biome</w:t>
      </w:r>
      <w:r w:rsidR="008723DE">
        <w:t xml:space="preserve">s of </w:t>
      </w:r>
      <w:r w:rsidR="008F7C56">
        <w:t xml:space="preserve">the ecological community, terrestrial invertebrates of the </w:t>
      </w:r>
      <w:r w:rsidR="00911763">
        <w:t>floodplain can be found in a wide variety of habitats, from soil and litter</w:t>
      </w:r>
      <w:r w:rsidR="00D3390B">
        <w:t xml:space="preserve"> through to living on/in plants and animals (Jennings et al. 2009).</w:t>
      </w:r>
      <w:r w:rsidR="003756F6">
        <w:t xml:space="preserve"> </w:t>
      </w:r>
      <w:r w:rsidR="00CB5C3F">
        <w:t xml:space="preserve"> </w:t>
      </w:r>
      <w:r w:rsidR="00140908">
        <w:t>The</w:t>
      </w:r>
      <w:r w:rsidR="00B720F8">
        <w:t>ir</w:t>
      </w:r>
      <w:r w:rsidR="00140908">
        <w:t xml:space="preserve"> distribution</w:t>
      </w:r>
      <w:r w:rsidR="00DC4490">
        <w:t xml:space="preserve"> </w:t>
      </w:r>
      <w:r w:rsidR="00140908">
        <w:t xml:space="preserve">is significantly influenced by </w:t>
      </w:r>
      <w:r w:rsidR="00142B39">
        <w:t>inundation patterns and flood history (</w:t>
      </w:r>
      <w:r w:rsidR="00CD125A">
        <w:t xml:space="preserve">e.g. </w:t>
      </w:r>
      <w:r w:rsidR="00142B39">
        <w:t>Ballinger et al 2007</w:t>
      </w:r>
      <w:r w:rsidR="00447CAA">
        <w:t>; Ramy &amp; Richardson 2017</w:t>
      </w:r>
      <w:r w:rsidR="00142B39">
        <w:t>).</w:t>
      </w:r>
      <w:r w:rsidR="00DC4490">
        <w:t xml:space="preserve"> </w:t>
      </w:r>
      <w:r w:rsidR="006E2814">
        <w:t>For example</w:t>
      </w:r>
      <w:r w:rsidR="003B0F3B">
        <w:t>,</w:t>
      </w:r>
      <w:r w:rsidR="006E2814">
        <w:t xml:space="preserve"> the upper </w:t>
      </w:r>
      <w:r w:rsidR="00CB5C3F">
        <w:t xml:space="preserve">reaches </w:t>
      </w:r>
      <w:r w:rsidR="006E2814">
        <w:t xml:space="preserve">of </w:t>
      </w:r>
      <w:r w:rsidR="00E37D0C">
        <w:t>the</w:t>
      </w:r>
      <w:r w:rsidR="006E2814">
        <w:t xml:space="preserve"> floodplain tend to be dominated by strictly terrestrial </w:t>
      </w:r>
      <w:r w:rsidR="0033225D">
        <w:t>and rap</w:t>
      </w:r>
      <w:r w:rsidR="00F63D98">
        <w:t>id</w:t>
      </w:r>
      <w:r w:rsidR="0033225D">
        <w:t>ly</w:t>
      </w:r>
      <w:r w:rsidR="00043DEC">
        <w:t xml:space="preserve"> </w:t>
      </w:r>
      <w:r w:rsidR="0033225D">
        <w:t>developing aquatic in</w:t>
      </w:r>
      <w:r w:rsidR="00F63D98">
        <w:t>vertebrates, while lower reache</w:t>
      </w:r>
      <w:r w:rsidR="00F852E5">
        <w:t>s a</w:t>
      </w:r>
      <w:r w:rsidR="00CB5C3F">
        <w:t>r</w:t>
      </w:r>
      <w:r w:rsidR="00F852E5">
        <w:t>e dominated by wetland taxa with desi</w:t>
      </w:r>
      <w:r w:rsidR="00CB5C3F">
        <w:t>c</w:t>
      </w:r>
      <w:r w:rsidR="00F852E5">
        <w:t xml:space="preserve">cation resistant </w:t>
      </w:r>
      <w:r w:rsidR="00CB5C3F">
        <w:t xml:space="preserve">life-history </w:t>
      </w:r>
      <w:r w:rsidR="00F852E5">
        <w:t xml:space="preserve">stages </w:t>
      </w:r>
      <w:r w:rsidR="00CB5C3F">
        <w:t>(</w:t>
      </w:r>
      <w:r w:rsidR="009E325D">
        <w:t xml:space="preserve">e.g. </w:t>
      </w:r>
      <w:r w:rsidR="00CB5C3F">
        <w:t>Reese &amp; Batzer 2007).</w:t>
      </w:r>
    </w:p>
    <w:p w14:paraId="124D86B2" w14:textId="57E500E9" w:rsidR="00435BA4" w:rsidRDefault="003B0F3B" w:rsidP="006524F0">
      <w:r>
        <w:t>T</w:t>
      </w:r>
      <w:r w:rsidR="00CB5C3F">
        <w:t xml:space="preserve">errestrial invertebrates are </w:t>
      </w:r>
      <w:r w:rsidR="00EA44BD">
        <w:t xml:space="preserve">also </w:t>
      </w:r>
      <w:r w:rsidR="00CB5C3F">
        <w:t>essential to ecosystem function of th</w:t>
      </w:r>
      <w:r w:rsidR="00AB1C1F">
        <w:t>is</w:t>
      </w:r>
      <w:r w:rsidR="00CB5C3F">
        <w:t xml:space="preserve"> riverine-floodplain</w:t>
      </w:r>
      <w:r w:rsidR="009E325D">
        <w:t xml:space="preserve"> ecological community</w:t>
      </w:r>
      <w:r w:rsidR="00CB5C3F">
        <w:t xml:space="preserve">, </w:t>
      </w:r>
      <w:r w:rsidR="00AD55F5">
        <w:t xml:space="preserve">for example: </w:t>
      </w:r>
      <w:r w:rsidR="00684958">
        <w:t>serving as bioenergetic links between aquatic and riparian</w:t>
      </w:r>
      <w:r w:rsidR="00F70AE1">
        <w:t>/floodplain</w:t>
      </w:r>
      <w:r w:rsidR="00684958">
        <w:t xml:space="preserve"> foo</w:t>
      </w:r>
      <w:r w:rsidR="00F70AE1">
        <w:t>d webs</w:t>
      </w:r>
      <w:r w:rsidR="00AD55F5">
        <w:t>;</w:t>
      </w:r>
      <w:r w:rsidR="00CB5C3F">
        <w:t xml:space="preserve"> decomposing and recycling organic matter</w:t>
      </w:r>
      <w:r w:rsidR="00AD55F5">
        <w:t>;</w:t>
      </w:r>
      <w:r w:rsidR="00CB5C3F">
        <w:t xml:space="preserve"> </w:t>
      </w:r>
      <w:r w:rsidR="00AD55F5">
        <w:t xml:space="preserve">aerating </w:t>
      </w:r>
      <w:r w:rsidR="00744841">
        <w:t>soil</w:t>
      </w:r>
      <w:r w:rsidR="00AD55F5">
        <w:t>s;</w:t>
      </w:r>
      <w:r w:rsidR="00744841">
        <w:t xml:space="preserve"> </w:t>
      </w:r>
      <w:r w:rsidR="00CB5C3F">
        <w:t>pollinating plants</w:t>
      </w:r>
      <w:r w:rsidR="00AD55F5">
        <w:t>;</w:t>
      </w:r>
      <w:r w:rsidR="00CB5C3F">
        <w:t xml:space="preserve"> and</w:t>
      </w:r>
      <w:r w:rsidR="00AD55F5">
        <w:t>,</w:t>
      </w:r>
      <w:r w:rsidR="00CB5C3F">
        <w:t xml:space="preserve"> </w:t>
      </w:r>
      <w:r w:rsidR="00B720F8">
        <w:t xml:space="preserve">as parasites </w:t>
      </w:r>
      <w:r w:rsidR="00CB5C3F">
        <w:t>(Jennings et al. 2009</w:t>
      </w:r>
      <w:r w:rsidR="00EE7919">
        <w:t>; Ramey &amp; Richardson 2017</w:t>
      </w:r>
      <w:r w:rsidR="00CB5C3F">
        <w:t xml:space="preserve">).  </w:t>
      </w:r>
    </w:p>
    <w:p w14:paraId="462E8291" w14:textId="7D2F1535" w:rsidR="006524F0" w:rsidRDefault="002B6C7E" w:rsidP="006524F0">
      <w:r>
        <w:t xml:space="preserve">Examples </w:t>
      </w:r>
      <w:r w:rsidR="004C23A2">
        <w:t xml:space="preserve">of terrestrial invertebrates that occur within the ecological community </w:t>
      </w:r>
      <w:r>
        <w:t>include</w:t>
      </w:r>
      <w:r w:rsidR="004C23A2">
        <w:t>:</w:t>
      </w:r>
      <w:r w:rsidR="00AE2FFC">
        <w:t xml:space="preserve"> platyhelminthes (flat worms), nematodes (round worms), annelid</w:t>
      </w:r>
      <w:r w:rsidR="00B720F8">
        <w:t>s</w:t>
      </w:r>
      <w:r w:rsidR="00BE7D5A">
        <w:t xml:space="preserve"> </w:t>
      </w:r>
      <w:r w:rsidR="00B720F8">
        <w:t>(</w:t>
      </w:r>
      <w:r w:rsidR="00BE7D5A">
        <w:t>segmented worms</w:t>
      </w:r>
      <w:r w:rsidR="00B720F8">
        <w:t>)</w:t>
      </w:r>
      <w:r w:rsidR="00BE7D5A">
        <w:t>, molluscs (snails and slugs), crustaceans (e.g. slaters, land-hoppers), myriapods (millipedes and centipedes), arachnids (spiders</w:t>
      </w:r>
      <w:r w:rsidR="00B617EA">
        <w:t xml:space="preserve"> and scorpions), acari (mites and ticks), </w:t>
      </w:r>
      <w:r w:rsidR="00A42112">
        <w:t xml:space="preserve">and a wide variety of </w:t>
      </w:r>
      <w:r w:rsidR="00A3443C">
        <w:t xml:space="preserve">ants and </w:t>
      </w:r>
      <w:r w:rsidR="00A42112">
        <w:t xml:space="preserve">insects </w:t>
      </w:r>
      <w:r w:rsidR="00071451">
        <w:t>(both native and introduced) (see Jennings et al. 2009).</w:t>
      </w:r>
    </w:p>
    <w:p w14:paraId="279EF5F5" w14:textId="1E069139" w:rsidR="00635162" w:rsidRDefault="006524F0" w:rsidP="00A2521C">
      <w:pPr>
        <w:pStyle w:val="Heading5"/>
      </w:pPr>
      <w:r w:rsidRPr="0003600F">
        <w:t xml:space="preserve">Aquatic </w:t>
      </w:r>
      <w:r w:rsidR="000200AD">
        <w:t>Macroi</w:t>
      </w:r>
      <w:r w:rsidR="00635162" w:rsidRPr="0003600F">
        <w:t>nvertebrates</w:t>
      </w:r>
      <w:bookmarkEnd w:id="41"/>
      <w:bookmarkEnd w:id="42"/>
    </w:p>
    <w:p w14:paraId="5E86E4A3" w14:textId="01E69B4C" w:rsidR="00DB5AF1" w:rsidRDefault="006121E8" w:rsidP="00DB5AF1">
      <w:r>
        <w:t>Aquatic m</w:t>
      </w:r>
      <w:r w:rsidR="00635162" w:rsidRPr="00FA6304">
        <w:t xml:space="preserve">acroinvertebrates </w:t>
      </w:r>
      <w:r w:rsidR="00785719" w:rsidRPr="00FA6304">
        <w:t>are a significant component of th</w:t>
      </w:r>
      <w:r w:rsidR="00785719">
        <w:t xml:space="preserve">e </w:t>
      </w:r>
      <w:r w:rsidR="00785719" w:rsidRPr="00FA6304">
        <w:t xml:space="preserve">ecological community, with specific </w:t>
      </w:r>
      <w:r w:rsidR="00785719">
        <w:t xml:space="preserve">freshwater or estuarine </w:t>
      </w:r>
      <w:r w:rsidR="00785719" w:rsidRPr="00FA6304">
        <w:t>assemblages</w:t>
      </w:r>
      <w:r w:rsidR="00785719">
        <w:t xml:space="preserve">. </w:t>
      </w:r>
      <w:r w:rsidR="00FA477E">
        <w:t>They occur in three main habitats</w:t>
      </w:r>
      <w:r w:rsidR="00CF1621">
        <w:t>: benthic</w:t>
      </w:r>
      <w:r w:rsidR="00803320">
        <w:t>—</w:t>
      </w:r>
      <w:r w:rsidR="007260A1">
        <w:t>living</w:t>
      </w:r>
      <w:r w:rsidR="00CF1621">
        <w:t xml:space="preserve"> mainly </w:t>
      </w:r>
      <w:r w:rsidR="007260A1">
        <w:t>on the sediments,</w:t>
      </w:r>
      <w:r w:rsidR="008F7C2F">
        <w:t xml:space="preserve"> </w:t>
      </w:r>
      <w:r w:rsidR="00810C5B">
        <w:t>pelagic</w:t>
      </w:r>
      <w:r w:rsidR="00390950">
        <w:t>—</w:t>
      </w:r>
      <w:r w:rsidR="007260A1">
        <w:t xml:space="preserve">living </w:t>
      </w:r>
      <w:r w:rsidR="00CF1621">
        <w:t xml:space="preserve">mainly </w:t>
      </w:r>
      <w:r w:rsidR="007260A1">
        <w:t>in the water column</w:t>
      </w:r>
      <w:r w:rsidR="008F7C2F">
        <w:t>, and littoral</w:t>
      </w:r>
      <w:r w:rsidR="0051267B">
        <w:t>—living at</w:t>
      </w:r>
      <w:r w:rsidR="008F7C2F">
        <w:t xml:space="preserve"> the edges of lakes and stream</w:t>
      </w:r>
      <w:r w:rsidR="00852301">
        <w:t>s, typically among vegetation</w:t>
      </w:r>
      <w:r w:rsidR="00095454">
        <w:t>.</w:t>
      </w:r>
      <w:r w:rsidR="00957CFC">
        <w:t xml:space="preserve"> </w:t>
      </w:r>
      <w:r w:rsidR="003F2C25">
        <w:t xml:space="preserve">Open waters support zooplankton, but it is along the littoral edges that most macroinvertebrate biodiversity exists (Walker et al. </w:t>
      </w:r>
      <w:r w:rsidR="004C3CB1">
        <w:t xml:space="preserve">2009, </w:t>
      </w:r>
      <w:r w:rsidR="003F2C25">
        <w:t xml:space="preserve">2018). </w:t>
      </w:r>
      <w:r w:rsidR="00852301">
        <w:t>Macroinvertebrates</w:t>
      </w:r>
      <w:r w:rsidR="00FE1C70">
        <w:t xml:space="preserve"> are </w:t>
      </w:r>
      <w:r w:rsidR="008C2764">
        <w:t xml:space="preserve">a </w:t>
      </w:r>
      <w:r w:rsidR="00FE1C70">
        <w:t>taxonomically and functionally diverse</w:t>
      </w:r>
      <w:r w:rsidR="00177BA9">
        <w:t xml:space="preserve"> </w:t>
      </w:r>
      <w:r w:rsidR="008C2764">
        <w:t xml:space="preserve">group </w:t>
      </w:r>
      <w:r w:rsidR="00177BA9">
        <w:t>(Dittman</w:t>
      </w:r>
      <w:r w:rsidR="009B2AEF">
        <w:t xml:space="preserve">n et al. 2018; </w:t>
      </w:r>
      <w:r w:rsidR="00177BA9">
        <w:t>Walker et al. 2018</w:t>
      </w:r>
      <w:r w:rsidR="009B2AEF">
        <w:t>)</w:t>
      </w:r>
      <w:r w:rsidR="00FE1C70">
        <w:t xml:space="preserve">. </w:t>
      </w:r>
      <w:r w:rsidR="0072069C">
        <w:t>E</w:t>
      </w:r>
      <w:r w:rsidR="007260A1">
        <w:t>cosystem functions</w:t>
      </w:r>
      <w:r w:rsidR="0072069C">
        <w:t xml:space="preserve"> they confer range </w:t>
      </w:r>
      <w:r w:rsidR="007260A1">
        <w:t>from contributing to food web</w:t>
      </w:r>
      <w:r w:rsidR="001E6A13">
        <w:t>s</w:t>
      </w:r>
      <w:r w:rsidR="00BE6087">
        <w:t xml:space="preserve"> </w:t>
      </w:r>
      <w:r w:rsidR="001E6A13">
        <w:t xml:space="preserve">(i.e. </w:t>
      </w:r>
      <w:r w:rsidR="00BE6087">
        <w:t xml:space="preserve">as detritivores, </w:t>
      </w:r>
      <w:r w:rsidR="001E6A13">
        <w:t>suspension feeders, grazers, predators, and prey)</w:t>
      </w:r>
      <w:r w:rsidR="0034192F">
        <w:t xml:space="preserve"> and nutrient recycling</w:t>
      </w:r>
      <w:r w:rsidR="007260A1">
        <w:t xml:space="preserve">, </w:t>
      </w:r>
      <w:r w:rsidR="00957CFC">
        <w:t>to</w:t>
      </w:r>
      <w:r w:rsidR="00F1212F">
        <w:t xml:space="preserve"> bioturbation of sediments</w:t>
      </w:r>
      <w:r w:rsidR="00957CFC">
        <w:t xml:space="preserve"> and engineering of biogenic habitat</w:t>
      </w:r>
      <w:r w:rsidR="007133CC">
        <w:t xml:space="preserve"> (Dittmann et al. 2018). </w:t>
      </w:r>
    </w:p>
    <w:p w14:paraId="5A97C27E" w14:textId="212333CC" w:rsidR="005B27CA" w:rsidRDefault="0072069C" w:rsidP="00DB5AF1">
      <w:r>
        <w:lastRenderedPageBreak/>
        <w:t xml:space="preserve">Taxonomic diversity of macroinvertebrates recorded within the </w:t>
      </w:r>
      <w:r w:rsidR="004501E6">
        <w:t xml:space="preserve">ecological community, </w:t>
      </w:r>
      <w:r>
        <w:t>includes</w:t>
      </w:r>
      <w:r w:rsidR="00B022A9">
        <w:t>:</w:t>
      </w:r>
      <w:r w:rsidR="00095454">
        <w:t xml:space="preserve"> </w:t>
      </w:r>
    </w:p>
    <w:p w14:paraId="11217F9A" w14:textId="4516FA47" w:rsidR="005B27CA" w:rsidRDefault="00635162" w:rsidP="00EA3267">
      <w:pPr>
        <w:pStyle w:val="ListParagraph"/>
        <w:numPr>
          <w:ilvl w:val="0"/>
          <w:numId w:val="17"/>
        </w:numPr>
        <w:spacing w:after="100"/>
        <w:ind w:left="357" w:hanging="357"/>
        <w:contextualSpacing w:val="0"/>
      </w:pPr>
      <w:r w:rsidRPr="00FA6304">
        <w:t xml:space="preserve">the </w:t>
      </w:r>
      <w:r w:rsidR="00866975">
        <w:t xml:space="preserve">main river </w:t>
      </w:r>
      <w:r w:rsidRPr="00FA6304">
        <w:t>channel</w:t>
      </w:r>
      <w:r w:rsidR="006954A0">
        <w:t>–</w:t>
      </w:r>
      <w:r w:rsidR="00E42C0C">
        <w:t xml:space="preserve"> </w:t>
      </w:r>
      <w:r w:rsidRPr="00FA6304">
        <w:t>450 taxa, entire length River Murray</w:t>
      </w:r>
      <w:r w:rsidR="00844F8F">
        <w:t xml:space="preserve"> (Bennison &amp; Suter 1990)</w:t>
      </w:r>
    </w:p>
    <w:p w14:paraId="24813BBD" w14:textId="25F1868A" w:rsidR="005B27CA" w:rsidRDefault="00635162" w:rsidP="00EA3267">
      <w:pPr>
        <w:pStyle w:val="ListParagraph"/>
        <w:numPr>
          <w:ilvl w:val="0"/>
          <w:numId w:val="17"/>
        </w:numPr>
        <w:spacing w:after="100"/>
        <w:ind w:left="357" w:hanging="357"/>
        <w:contextualSpacing w:val="0"/>
      </w:pPr>
      <w:r w:rsidRPr="00FA6304">
        <w:t>floodplain</w:t>
      </w:r>
      <w:r w:rsidR="00CD4B73">
        <w:t>-</w:t>
      </w:r>
      <w:r w:rsidRPr="00FA6304">
        <w:t>wetlands</w:t>
      </w:r>
      <w:r w:rsidR="00D17D8D">
        <w:t xml:space="preserve">– </w:t>
      </w:r>
      <w:r w:rsidRPr="00FA6304">
        <w:t>200</w:t>
      </w:r>
      <w:r w:rsidR="00333B34">
        <w:t>-280</w:t>
      </w:r>
      <w:r w:rsidRPr="00FA6304">
        <w:t xml:space="preserve"> taxa</w:t>
      </w:r>
      <w:r w:rsidR="0023428F">
        <w:t xml:space="preserve"> (</w:t>
      </w:r>
      <w:r w:rsidR="00E42C0C">
        <w:t xml:space="preserve">Williams 1980; </w:t>
      </w:r>
      <w:r w:rsidR="00016F8F">
        <w:t>Boulton &amp; Lloyd 1991</w:t>
      </w:r>
      <w:r w:rsidR="00EE4168">
        <w:t>; Walker et al. 2009</w:t>
      </w:r>
      <w:r w:rsidR="00183243">
        <w:t>; Stewart et al. 2010</w:t>
      </w:r>
      <w:r w:rsidR="00E42C0C">
        <w:t>)</w:t>
      </w:r>
      <w:r w:rsidR="00016F8F">
        <w:t xml:space="preserve"> </w:t>
      </w:r>
    </w:p>
    <w:p w14:paraId="482DB39F" w14:textId="251E6F81" w:rsidR="005B27CA" w:rsidRDefault="004F24B9" w:rsidP="00EA3267">
      <w:pPr>
        <w:pStyle w:val="ListParagraph"/>
        <w:numPr>
          <w:ilvl w:val="0"/>
          <w:numId w:val="17"/>
        </w:numPr>
        <w:spacing w:after="100"/>
        <w:ind w:left="357" w:hanging="357"/>
        <w:contextualSpacing w:val="0"/>
      </w:pPr>
      <w:r>
        <w:t xml:space="preserve">Murray Mouth, </w:t>
      </w:r>
      <w:r w:rsidR="00635162" w:rsidRPr="00FA6304">
        <w:t>Coorong</w:t>
      </w:r>
      <w:r w:rsidR="00D17D8D">
        <w:t xml:space="preserve">– </w:t>
      </w:r>
      <w:r>
        <w:t>6</w:t>
      </w:r>
      <w:r w:rsidR="00635162" w:rsidRPr="00FA6304">
        <w:t>0 taxa</w:t>
      </w:r>
      <w:r w:rsidR="00D17D8D">
        <w:t xml:space="preserve"> (Dittmann et al. 2006, 2018)</w:t>
      </w:r>
    </w:p>
    <w:p w14:paraId="4761BDE2" w14:textId="4F37746C" w:rsidR="00095454" w:rsidRDefault="00EC575D" w:rsidP="00EA3267">
      <w:pPr>
        <w:pStyle w:val="ListParagraph"/>
        <w:numPr>
          <w:ilvl w:val="0"/>
          <w:numId w:val="17"/>
        </w:numPr>
        <w:spacing w:after="100"/>
        <w:ind w:left="357" w:hanging="357"/>
        <w:contextualSpacing w:val="0"/>
      </w:pPr>
      <w:r>
        <w:t>Lower Lakes</w:t>
      </w:r>
      <w:r w:rsidR="00BE40E0">
        <w:t xml:space="preserve">– </w:t>
      </w:r>
      <w:r w:rsidR="00C43F52">
        <w:t>&gt;140 taxa</w:t>
      </w:r>
      <w:r w:rsidR="00BE40E0">
        <w:t xml:space="preserve"> (Walker et al. 2009</w:t>
      </w:r>
      <w:r w:rsidR="003A1702">
        <w:t>,</w:t>
      </w:r>
      <w:r w:rsidR="00BE40E0">
        <w:t xml:space="preserve"> 2018</w:t>
      </w:r>
      <w:r w:rsidR="003A1702">
        <w:t>, 2022</w:t>
      </w:r>
      <w:r w:rsidR="0023428F">
        <w:t>)</w:t>
      </w:r>
      <w:r w:rsidR="00095454">
        <w:t>,</w:t>
      </w:r>
      <w:r w:rsidR="00C43F52">
        <w:t xml:space="preserve"> </w:t>
      </w:r>
      <w:r w:rsidR="00635162" w:rsidRPr="00FA6304">
        <w:t>and</w:t>
      </w:r>
    </w:p>
    <w:p w14:paraId="3AC1E2DF" w14:textId="4D6FAA6D" w:rsidR="002E46C8" w:rsidRDefault="00635162" w:rsidP="00BD40C5">
      <w:pPr>
        <w:pStyle w:val="ListParagraph"/>
        <w:numPr>
          <w:ilvl w:val="0"/>
          <w:numId w:val="17"/>
        </w:numPr>
        <w:ind w:left="357" w:hanging="357"/>
        <w:contextualSpacing w:val="0"/>
      </w:pPr>
      <w:r w:rsidRPr="00FA6304">
        <w:t>Eastern Mount Lofty ranges streams</w:t>
      </w:r>
      <w:r w:rsidR="00AC00B8">
        <w:t xml:space="preserve">, including pools </w:t>
      </w:r>
      <w:r w:rsidR="005C0740">
        <w:t>&amp;</w:t>
      </w:r>
      <w:r w:rsidR="00AC00B8">
        <w:t xml:space="preserve"> riffle habitats</w:t>
      </w:r>
      <w:r w:rsidR="002C4D65">
        <w:t xml:space="preserve">– </w:t>
      </w:r>
      <w:r w:rsidRPr="00FA6304">
        <w:t>350 taxa</w:t>
      </w:r>
      <w:r w:rsidR="002C4D65">
        <w:t xml:space="preserve"> (Walker et al. 2009)</w:t>
      </w:r>
      <w:r w:rsidR="00B022A9">
        <w:t>.</w:t>
      </w:r>
      <w:r w:rsidRPr="00FA6304">
        <w:t xml:space="preserve"> </w:t>
      </w:r>
    </w:p>
    <w:p w14:paraId="20A2FF18" w14:textId="1B36F609" w:rsidR="001315D5" w:rsidRPr="000200AD" w:rsidRDefault="001315D5" w:rsidP="00AD4454">
      <w:pPr>
        <w:pStyle w:val="Heading6"/>
      </w:pPr>
      <w:r w:rsidRPr="000200AD">
        <w:t>Freshwater macroinvertebrates</w:t>
      </w:r>
      <w:r w:rsidR="00B52661" w:rsidRPr="000200AD">
        <w:t xml:space="preserve"> - general</w:t>
      </w:r>
    </w:p>
    <w:p w14:paraId="1205E2E9" w14:textId="5CAEB1F2" w:rsidR="001315D5" w:rsidRDefault="002E46C8" w:rsidP="002E46C8">
      <w:r>
        <w:t>The deep sediments of the river channel are sparsely populated by macroinvertebrates, mainly by annelid worms and chironomids, while there is a wide diversity found in riparian and floodplain-wetland areas</w:t>
      </w:r>
      <w:r w:rsidR="00FC10E1">
        <w:t xml:space="preserve">, </w:t>
      </w:r>
      <w:r w:rsidR="00770736">
        <w:t xml:space="preserve">including the Lower Lakes, </w:t>
      </w:r>
      <w:r w:rsidR="00FC10E1">
        <w:t>for example:</w:t>
      </w:r>
      <w:r>
        <w:t xml:space="preserve"> </w:t>
      </w:r>
      <w:r w:rsidR="00241A0D">
        <w:t>macro</w:t>
      </w:r>
      <w:r w:rsidR="000E486B">
        <w:t>-</w:t>
      </w:r>
      <w:r w:rsidR="00241A0D">
        <w:t>crustaceans</w:t>
      </w:r>
      <w:r w:rsidR="001A0B4C">
        <w:t xml:space="preserve">, </w:t>
      </w:r>
      <w:r>
        <w:t xml:space="preserve">corixids (Micronecta), midge larvae, and oligochaetes (Bennison &amp; Suter 1990; Walker et al. 2009, 2018). </w:t>
      </w:r>
      <w:r w:rsidR="000E486B">
        <w:t>Macro</w:t>
      </w:r>
      <w:r w:rsidR="001454D2">
        <w:t>-</w:t>
      </w:r>
      <w:r w:rsidR="000E486B">
        <w:t xml:space="preserve">crustaceans include: prawns (Palmonidae e.g.  </w:t>
      </w:r>
      <w:r w:rsidR="000E486B" w:rsidRPr="00F93CE7">
        <w:rPr>
          <w:i/>
          <w:iCs/>
        </w:rPr>
        <w:t>Macrobrachi</w:t>
      </w:r>
      <w:r w:rsidR="000E486B">
        <w:rPr>
          <w:i/>
          <w:iCs/>
        </w:rPr>
        <w:t>u</w:t>
      </w:r>
      <w:r w:rsidR="000E486B" w:rsidRPr="00F93CE7">
        <w:rPr>
          <w:i/>
          <w:iCs/>
        </w:rPr>
        <w:t>m australiens</w:t>
      </w:r>
      <w:r w:rsidR="000E486B">
        <w:rPr>
          <w:i/>
          <w:iCs/>
        </w:rPr>
        <w:t>is</w:t>
      </w:r>
      <w:r w:rsidR="000E486B" w:rsidRPr="002567E4">
        <w:t>)</w:t>
      </w:r>
      <w:r w:rsidR="000E486B" w:rsidRPr="00F3279D">
        <w:t>,</w:t>
      </w:r>
      <w:r w:rsidR="000E486B">
        <w:t xml:space="preserve"> shrimps (Atyidae e.g. </w:t>
      </w:r>
      <w:r w:rsidR="000E486B" w:rsidRPr="00F93CE7">
        <w:rPr>
          <w:i/>
          <w:iCs/>
        </w:rPr>
        <w:t>Parataya australiensis</w:t>
      </w:r>
      <w:r w:rsidR="000E486B">
        <w:t>), amphipods (Chiltoniidae, Corophidae, Eusiridae), is</w:t>
      </w:r>
      <w:r w:rsidR="00EA3267">
        <w:t>o</w:t>
      </w:r>
      <w:r w:rsidR="000E486B">
        <w:t>pods (Janiridae, Scyphacidae)</w:t>
      </w:r>
      <w:r w:rsidR="006C1343">
        <w:t xml:space="preserve">, crabs (Hymenosomatidae e.g. </w:t>
      </w:r>
      <w:r w:rsidR="006C1343" w:rsidRPr="00E07D71">
        <w:rPr>
          <w:i/>
          <w:iCs/>
        </w:rPr>
        <w:t>Amarinus lacustris</w:t>
      </w:r>
      <w:r w:rsidR="00770736">
        <w:t xml:space="preserve">), and the yabby (Parastacidae, </w:t>
      </w:r>
      <w:r w:rsidR="00770736" w:rsidRPr="00E07D71">
        <w:rPr>
          <w:i/>
          <w:iCs/>
        </w:rPr>
        <w:t>Cherax destructor</w:t>
      </w:r>
      <w:r w:rsidR="00770736">
        <w:t>) (Walker et al. 2018)</w:t>
      </w:r>
    </w:p>
    <w:p w14:paraId="294F03AE" w14:textId="4E7DAE05" w:rsidR="003768D3" w:rsidRDefault="005820B1" w:rsidP="002E46C8">
      <w:r>
        <w:t>A</w:t>
      </w:r>
      <w:r w:rsidR="00057715">
        <w:t>nalysis of macroinvertebrates recorde</w:t>
      </w:r>
      <w:r w:rsidR="005E71CA">
        <w:t>d</w:t>
      </w:r>
      <w:r w:rsidR="00057715">
        <w:t xml:space="preserve"> from 74 sites</w:t>
      </w:r>
      <w:r w:rsidR="00845047">
        <w:t xml:space="preserve"> </w:t>
      </w:r>
      <w:r w:rsidR="00814D3F">
        <w:t>along the Murray</w:t>
      </w:r>
      <w:r w:rsidR="00B65DB2">
        <w:t xml:space="preserve"> floodplain</w:t>
      </w:r>
      <w:r w:rsidR="00814D3F">
        <w:t xml:space="preserve"> identified six </w:t>
      </w:r>
      <w:r w:rsidR="006672FC">
        <w:t>M</w:t>
      </w:r>
      <w:r w:rsidR="00814D3F">
        <w:t xml:space="preserve">acroinvertebrate </w:t>
      </w:r>
      <w:r w:rsidR="006672FC">
        <w:t>G</w:t>
      </w:r>
      <w:r w:rsidR="00814D3F">
        <w:t>roups associated with varying habitat</w:t>
      </w:r>
      <w:r w:rsidR="00F564E2">
        <w:t>/environmental</w:t>
      </w:r>
      <w:r w:rsidR="00814D3F">
        <w:t xml:space="preserve"> </w:t>
      </w:r>
      <w:r w:rsidR="00424EE3">
        <w:t xml:space="preserve">characteristics </w:t>
      </w:r>
      <w:r w:rsidR="00B65DB2">
        <w:t>(</w:t>
      </w:r>
      <w:r w:rsidR="00535912">
        <w:t xml:space="preserve">see </w:t>
      </w:r>
      <w:r w:rsidR="00F564E2" w:rsidRPr="00F564E2">
        <w:rPr>
          <w:u w:val="single"/>
        </w:rPr>
        <w:t xml:space="preserve">Table </w:t>
      </w:r>
      <w:r w:rsidR="00D941D3">
        <w:rPr>
          <w:u w:val="single"/>
        </w:rPr>
        <w:t>7</w:t>
      </w:r>
      <w:r w:rsidR="00F564E2">
        <w:t>)</w:t>
      </w:r>
      <w:r w:rsidR="00A0023E">
        <w:t>.</w:t>
      </w:r>
      <w:r w:rsidR="00814D3F">
        <w:t xml:space="preserve"> </w:t>
      </w:r>
      <w:r w:rsidR="00535912">
        <w:t>Stewart et al. (2010) provide</w:t>
      </w:r>
      <w:r w:rsidR="00B316F2">
        <w:t>s</w:t>
      </w:r>
      <w:r w:rsidR="00535912">
        <w:t xml:space="preserve"> characteristic</w:t>
      </w:r>
      <w:r w:rsidR="00E25750">
        <w:t>/indicator</w:t>
      </w:r>
      <w:r w:rsidR="00535912">
        <w:t xml:space="preserve"> taxa for each group</w:t>
      </w:r>
      <w:r w:rsidR="00E25750">
        <w:t xml:space="preserve"> (based on relative abundance</w:t>
      </w:r>
      <w:r w:rsidR="00422091">
        <w:t>). They found that while</w:t>
      </w:r>
      <w:r w:rsidR="006D76BD">
        <w:t xml:space="preserve"> many taxa </w:t>
      </w:r>
      <w:r w:rsidR="00422091">
        <w:t xml:space="preserve">may </w:t>
      </w:r>
      <w:r w:rsidR="006D76BD">
        <w:t xml:space="preserve">occur in </w:t>
      </w:r>
      <w:r w:rsidR="00422091">
        <w:t xml:space="preserve">many sites (i.e. </w:t>
      </w:r>
      <w:r w:rsidR="006D76BD">
        <w:t>more than one group</w:t>
      </w:r>
      <w:r w:rsidR="00422091">
        <w:t>)</w:t>
      </w:r>
      <w:r w:rsidR="00A614BE">
        <w:t>, their abundance varies</w:t>
      </w:r>
      <w:r w:rsidR="00067E73">
        <w:t>,</w:t>
      </w:r>
      <w:r w:rsidR="00A614BE">
        <w:t xml:space="preserve"> and this </w:t>
      </w:r>
      <w:r w:rsidR="001E371D">
        <w:t xml:space="preserve">was </w:t>
      </w:r>
      <w:r w:rsidR="00A614BE">
        <w:t>the discriminatory factor</w:t>
      </w:r>
      <w:r w:rsidR="00BC51C5">
        <w:t xml:space="preserve"> in the groupings</w:t>
      </w:r>
      <w:r w:rsidR="006D76BD">
        <w:t>.</w:t>
      </w:r>
    </w:p>
    <w:p w14:paraId="6CD08B77" w14:textId="77777777" w:rsidR="002F0455" w:rsidRPr="00743999" w:rsidRDefault="002F0455" w:rsidP="002F0455">
      <w:r>
        <w:t xml:space="preserve">In the many streams of the Eastern Mount Lofty Ranges (EMLR), pool-edge habitats harbour species like those found in the River Murray, while the riffles (which typically do not occur in the Murray) support </w:t>
      </w:r>
      <w:r w:rsidRPr="0036646F">
        <w:rPr>
          <w:i/>
          <w:iCs/>
        </w:rPr>
        <w:t>Simulium ornatipes</w:t>
      </w:r>
      <w:r>
        <w:t xml:space="preserve"> (blackfly larvae), hydrobiid snails, oligochaetes, and amphipods such as </w:t>
      </w:r>
      <w:r w:rsidRPr="0036646F">
        <w:rPr>
          <w:i/>
          <w:iCs/>
        </w:rPr>
        <w:t>Austrochiltonia australis</w:t>
      </w:r>
      <w:r>
        <w:t>; and, aquatic snails of the Pomatiopsidae are known only from Salt Creek in the EMLR (Walker et al. 2009).</w:t>
      </w:r>
    </w:p>
    <w:p w14:paraId="3E79A050" w14:textId="4B301803" w:rsidR="00D23A36" w:rsidRDefault="002F0455" w:rsidP="00D23A36">
      <w:r>
        <w:t xml:space="preserve">Freshwater macroinvertebrates of the Lower Lakes are dominated by insect taxa (&gt;97 species), particularly chironomids (midge larvae; 26 taxa), with </w:t>
      </w:r>
      <w:r w:rsidR="00A62DEE">
        <w:t xml:space="preserve">at least </w:t>
      </w:r>
      <w:r>
        <w:t xml:space="preserve">15 species of beetle, 13 of Haemiptera, and 13 caddisfly taxa (Walker et al. 2018). About a third of taxa (&gt;45 species) are non-insect (e.g. sponges (e.g. </w:t>
      </w:r>
      <w:r w:rsidRPr="002B097A">
        <w:rPr>
          <w:i/>
          <w:iCs/>
        </w:rPr>
        <w:t>Eunapius fragilis</w:t>
      </w:r>
      <w:r>
        <w:t xml:space="preserve">), cnidarians (e.g. </w:t>
      </w:r>
      <w:r w:rsidRPr="00EA05A7">
        <w:rPr>
          <w:i/>
          <w:iCs/>
        </w:rPr>
        <w:t>Hydra</w:t>
      </w:r>
      <w:r>
        <w:t xml:space="preserve">, </w:t>
      </w:r>
      <w:r w:rsidRPr="00EA05A7">
        <w:rPr>
          <w:i/>
          <w:iCs/>
        </w:rPr>
        <w:t>Cordylophora</w:t>
      </w:r>
      <w:r>
        <w:t xml:space="preserve">), platyhelminths, nemerteans </w:t>
      </w:r>
      <w:r w:rsidRPr="00185A67">
        <w:rPr>
          <w:i/>
          <w:iCs/>
        </w:rPr>
        <w:t>(Prostoma</w:t>
      </w:r>
      <w:r>
        <w:t xml:space="preserve"> spp. – possibly introduced), nematodes (e.g. </w:t>
      </w:r>
      <w:r w:rsidRPr="00443258">
        <w:rPr>
          <w:i/>
          <w:iCs/>
        </w:rPr>
        <w:t>Eutobrilus heptapapillatus</w:t>
      </w:r>
      <w:r>
        <w:t>), leeches, worms, mites, molluscs, and crustaceans) (Walker et al. 1992, 2018).</w:t>
      </w:r>
      <w:r w:rsidR="00D23A36">
        <w:t xml:space="preserve"> Macro-crustaceans include amphipods, isopods and decapods; amphipods tend to numerically dominate the crustacean assemblage of both Lakes, although isopods and decapods are rarely collected from Lake Albert (Walker et al. 2018). Most species recorded in the Lower Lakes also live upstream in the main channel of the River Murray (Walker et al. 2009). </w:t>
      </w:r>
    </w:p>
    <w:p w14:paraId="7170D9E0" w14:textId="77777777" w:rsidR="00AD4454" w:rsidRPr="000200AD" w:rsidRDefault="00AD4454" w:rsidP="00AD4454">
      <w:pPr>
        <w:pStyle w:val="Heading6"/>
      </w:pPr>
      <w:r w:rsidRPr="000200AD">
        <w:t>Estuarine macroinvertebrates - general</w:t>
      </w:r>
    </w:p>
    <w:p w14:paraId="58ABD021" w14:textId="64E9A0EC" w:rsidR="00790576" w:rsidRDefault="00AD4454" w:rsidP="00AD4454">
      <w:pPr>
        <w:spacing w:after="160" w:line="259" w:lineRule="auto"/>
        <w:rPr>
          <w:b/>
          <w:bCs/>
        </w:rPr>
      </w:pPr>
      <w:r>
        <w:t xml:space="preserve">In the estuarine region of the Murray Mouth and Coorong, the mudflat regions of which form critical bird feeding habitat, bristleworms (Annelida) and crustaceans (e.g. amphipods, shrimp, crabs, ostracods) are the most numerous in species, followed by insects and molluscs (Dittman et al. 2018, 2022). The majority of these species (50) occur near the Mouth, with fewer in the North Lagoon (40) and the least in the South Lagoon (22) (Dittmann et al. 2018). Common crabs </w:t>
      </w:r>
      <w:r w:rsidR="00790576">
        <w:rPr>
          <w:b/>
          <w:bCs/>
        </w:rPr>
        <w:br w:type="page"/>
      </w:r>
    </w:p>
    <w:p w14:paraId="7533EF8D" w14:textId="03469B05" w:rsidR="00A36A72" w:rsidRPr="00790576" w:rsidRDefault="00790576" w:rsidP="00790576">
      <w:pPr>
        <w:pStyle w:val="Caption"/>
        <w:rPr>
          <w:b w:val="0"/>
          <w:bCs/>
          <w:szCs w:val="22"/>
        </w:rPr>
      </w:pPr>
      <w:r w:rsidRPr="00790576">
        <w:rPr>
          <w:szCs w:val="22"/>
        </w:rPr>
        <w:lastRenderedPageBreak/>
        <w:t xml:space="preserve">Table </w:t>
      </w:r>
      <w:r w:rsidRPr="00790576">
        <w:rPr>
          <w:szCs w:val="22"/>
        </w:rPr>
        <w:fldChar w:fldCharType="begin"/>
      </w:r>
      <w:r w:rsidRPr="00790576">
        <w:rPr>
          <w:szCs w:val="22"/>
        </w:rPr>
        <w:instrText xml:space="preserve"> SEQ Table \* ARABIC </w:instrText>
      </w:r>
      <w:r w:rsidRPr="00790576">
        <w:rPr>
          <w:szCs w:val="22"/>
        </w:rPr>
        <w:fldChar w:fldCharType="separate"/>
      </w:r>
      <w:r w:rsidR="006D35C5">
        <w:rPr>
          <w:noProof/>
          <w:szCs w:val="22"/>
        </w:rPr>
        <w:t>7</w:t>
      </w:r>
      <w:r w:rsidRPr="00790576">
        <w:rPr>
          <w:szCs w:val="22"/>
        </w:rPr>
        <w:fldChar w:fldCharType="end"/>
      </w:r>
      <w:r w:rsidR="00680E97" w:rsidRPr="00790576">
        <w:rPr>
          <w:bCs/>
          <w:szCs w:val="22"/>
        </w:rPr>
        <w:t xml:space="preserve">: </w:t>
      </w:r>
      <w:r w:rsidR="006F3C1C" w:rsidRPr="00790576">
        <w:rPr>
          <w:bCs/>
          <w:szCs w:val="22"/>
        </w:rPr>
        <w:t>Six Macroinvertebrate Group</w:t>
      </w:r>
      <w:r w:rsidR="009424CF" w:rsidRPr="00790576">
        <w:rPr>
          <w:bCs/>
          <w:szCs w:val="22"/>
        </w:rPr>
        <w:t>s</w:t>
      </w:r>
      <w:r w:rsidR="0052205D" w:rsidRPr="00790576">
        <w:rPr>
          <w:bCs/>
          <w:szCs w:val="22"/>
        </w:rPr>
        <w:t xml:space="preserve"> and </w:t>
      </w:r>
      <w:r w:rsidR="006F3C1C" w:rsidRPr="00790576">
        <w:rPr>
          <w:bCs/>
          <w:szCs w:val="22"/>
        </w:rPr>
        <w:t>their p</w:t>
      </w:r>
      <w:r w:rsidR="00AB406C" w:rsidRPr="00790576">
        <w:rPr>
          <w:bCs/>
          <w:szCs w:val="22"/>
        </w:rPr>
        <w:t>redictor environmental variables</w:t>
      </w:r>
      <w:r w:rsidR="0052205D" w:rsidRPr="00790576">
        <w:rPr>
          <w:bCs/>
          <w:szCs w:val="22"/>
        </w:rPr>
        <w:t xml:space="preserve">—from a </w:t>
      </w:r>
      <w:r w:rsidR="00AB406C" w:rsidRPr="00790576">
        <w:rPr>
          <w:bCs/>
          <w:szCs w:val="22"/>
        </w:rPr>
        <w:t xml:space="preserve">Murray River </w:t>
      </w:r>
      <w:r w:rsidR="00E258EB" w:rsidRPr="00790576">
        <w:rPr>
          <w:bCs/>
          <w:szCs w:val="22"/>
        </w:rPr>
        <w:t xml:space="preserve">Valley floodplain </w:t>
      </w:r>
      <w:r w:rsidR="00926700" w:rsidRPr="00790576">
        <w:rPr>
          <w:bCs/>
          <w:szCs w:val="22"/>
        </w:rPr>
        <w:t xml:space="preserve">survey </w:t>
      </w:r>
      <w:r w:rsidR="00BA75B9" w:rsidRPr="00790576">
        <w:rPr>
          <w:bCs/>
          <w:szCs w:val="22"/>
        </w:rPr>
        <w:t xml:space="preserve">in </w:t>
      </w:r>
      <w:r w:rsidR="00926700" w:rsidRPr="00790576">
        <w:rPr>
          <w:bCs/>
          <w:szCs w:val="22"/>
        </w:rPr>
        <w:t>spring 2003</w:t>
      </w:r>
      <w:r w:rsidR="00720A01" w:rsidRPr="00790576">
        <w:rPr>
          <w:bCs/>
          <w:szCs w:val="22"/>
        </w:rPr>
        <w:t>, w</w:t>
      </w:r>
      <w:r w:rsidR="0063253E" w:rsidRPr="00790576">
        <w:rPr>
          <w:bCs/>
          <w:szCs w:val="22"/>
        </w:rPr>
        <w:t xml:space="preserve">ith </w:t>
      </w:r>
      <w:r w:rsidR="00AF36C8" w:rsidRPr="00790576">
        <w:rPr>
          <w:bCs/>
          <w:szCs w:val="22"/>
        </w:rPr>
        <w:t xml:space="preserve">samples taken from 74 sites revealing </w:t>
      </w:r>
      <w:r w:rsidR="0063253E" w:rsidRPr="00790576">
        <w:rPr>
          <w:bCs/>
          <w:szCs w:val="22"/>
        </w:rPr>
        <w:t xml:space="preserve">53,335 specimens </w:t>
      </w:r>
      <w:r w:rsidR="00720A01" w:rsidRPr="00790576">
        <w:rPr>
          <w:bCs/>
          <w:szCs w:val="22"/>
        </w:rPr>
        <w:t xml:space="preserve">representing </w:t>
      </w:r>
      <w:r w:rsidR="0063253E" w:rsidRPr="00790576">
        <w:rPr>
          <w:bCs/>
          <w:szCs w:val="22"/>
        </w:rPr>
        <w:t>over 280 taxa</w:t>
      </w:r>
      <w:r w:rsidR="00720A01" w:rsidRPr="00790576">
        <w:rPr>
          <w:bCs/>
          <w:szCs w:val="22"/>
        </w:rPr>
        <w:t xml:space="preserve"> (Stewart et al. 2010).</w:t>
      </w:r>
      <w:r w:rsidR="00741CEB" w:rsidRPr="00790576">
        <w:rPr>
          <w:bCs/>
          <w:szCs w:val="22"/>
        </w:rPr>
        <w:t xml:space="preserve"> </w:t>
      </w:r>
      <w:r w:rsidR="00D03C36" w:rsidRPr="00790576">
        <w:rPr>
          <w:bCs/>
          <w:szCs w:val="22"/>
        </w:rPr>
        <w:t>[</w:t>
      </w:r>
      <w:r w:rsidR="00741CEB" w:rsidRPr="00790576">
        <w:rPr>
          <w:bCs/>
          <w:szCs w:val="22"/>
        </w:rPr>
        <w:t xml:space="preserve">Number of taxa </w:t>
      </w:r>
      <w:r w:rsidR="00D03C36" w:rsidRPr="00790576">
        <w:rPr>
          <w:bCs/>
          <w:szCs w:val="22"/>
        </w:rPr>
        <w:t xml:space="preserve">given </w:t>
      </w:r>
      <w:r w:rsidR="00741CEB" w:rsidRPr="00790576">
        <w:rPr>
          <w:bCs/>
          <w:szCs w:val="22"/>
        </w:rPr>
        <w:t>is</w:t>
      </w:r>
      <w:r w:rsidR="005851E6" w:rsidRPr="00790576">
        <w:rPr>
          <w:bCs/>
          <w:szCs w:val="22"/>
        </w:rPr>
        <w:t>:</w:t>
      </w:r>
      <w:r w:rsidR="00741CEB" w:rsidRPr="00790576">
        <w:rPr>
          <w:bCs/>
          <w:szCs w:val="22"/>
        </w:rPr>
        <w:t xml:space="preserve"> </w:t>
      </w:r>
      <w:r w:rsidR="00D03C36" w:rsidRPr="00790576">
        <w:rPr>
          <w:bCs/>
          <w:szCs w:val="22"/>
        </w:rPr>
        <w:t>‘</w:t>
      </w:r>
      <w:r w:rsidR="00741CEB" w:rsidRPr="00790576">
        <w:rPr>
          <w:bCs/>
          <w:szCs w:val="22"/>
        </w:rPr>
        <w:t>total</w:t>
      </w:r>
      <w:r w:rsidR="00D03C36" w:rsidRPr="00790576">
        <w:rPr>
          <w:bCs/>
          <w:szCs w:val="22"/>
        </w:rPr>
        <w:t xml:space="preserve">’ across all sites in </w:t>
      </w:r>
      <w:r w:rsidR="005851E6" w:rsidRPr="00790576">
        <w:rPr>
          <w:bCs/>
          <w:szCs w:val="22"/>
        </w:rPr>
        <w:t>G</w:t>
      </w:r>
      <w:r w:rsidR="00D03C36" w:rsidRPr="00790576">
        <w:rPr>
          <w:bCs/>
          <w:szCs w:val="22"/>
        </w:rPr>
        <w:t>roup,</w:t>
      </w:r>
      <w:r w:rsidR="006810F9" w:rsidRPr="00790576">
        <w:rPr>
          <w:bCs/>
          <w:szCs w:val="22"/>
        </w:rPr>
        <w:t xml:space="preserve"> and </w:t>
      </w:r>
      <w:r w:rsidR="00E258EB" w:rsidRPr="00790576">
        <w:rPr>
          <w:bCs/>
          <w:szCs w:val="22"/>
        </w:rPr>
        <w:t>‘</w:t>
      </w:r>
      <w:r w:rsidR="006810F9" w:rsidRPr="00790576">
        <w:rPr>
          <w:bCs/>
          <w:szCs w:val="22"/>
        </w:rPr>
        <w:t>(at 5</w:t>
      </w:r>
      <w:r w:rsidR="003A741A" w:rsidRPr="00790576">
        <w:rPr>
          <w:bCs/>
          <w:szCs w:val="22"/>
        </w:rPr>
        <w:t xml:space="preserve"> </w:t>
      </w:r>
      <w:r w:rsidR="00D6244E" w:rsidRPr="00790576">
        <w:rPr>
          <w:bCs/>
          <w:szCs w:val="22"/>
        </w:rPr>
        <w:t>or more sites</w:t>
      </w:r>
      <w:r w:rsidR="006810F9" w:rsidRPr="00790576">
        <w:rPr>
          <w:bCs/>
          <w:szCs w:val="22"/>
        </w:rPr>
        <w:t>)</w:t>
      </w:r>
      <w:r w:rsidR="00E258EB" w:rsidRPr="00790576">
        <w:rPr>
          <w:bCs/>
          <w:szCs w:val="22"/>
        </w:rPr>
        <w:t>’</w:t>
      </w:r>
      <w:r w:rsidR="00D03C36" w:rsidRPr="00790576">
        <w:rPr>
          <w:bCs/>
          <w:szCs w:val="22"/>
        </w:rPr>
        <w:t>]</w:t>
      </w:r>
      <w:r w:rsidR="006810F9" w:rsidRPr="00790576">
        <w:rPr>
          <w:bCs/>
          <w:szCs w:val="22"/>
        </w:rPr>
        <w:t>.</w:t>
      </w:r>
    </w:p>
    <w:tbl>
      <w:tblPr>
        <w:tblStyle w:val="TableGrid"/>
        <w:tblW w:w="5000" w:type="pct"/>
        <w:tblLook w:val="04A0" w:firstRow="1" w:lastRow="0" w:firstColumn="1" w:lastColumn="0" w:noHBand="0" w:noVBand="1"/>
      </w:tblPr>
      <w:tblGrid>
        <w:gridCol w:w="848"/>
        <w:gridCol w:w="749"/>
        <w:gridCol w:w="4767"/>
        <w:gridCol w:w="2696"/>
      </w:tblGrid>
      <w:tr w:rsidR="00A0023E" w14:paraId="433E83FC" w14:textId="77777777" w:rsidTr="00790576">
        <w:trPr>
          <w:trHeight w:hRule="exact" w:val="340"/>
        </w:trPr>
        <w:tc>
          <w:tcPr>
            <w:tcW w:w="428" w:type="pct"/>
            <w:shd w:val="clear" w:color="auto" w:fill="DEEAF6" w:themeFill="accent1" w:themeFillTint="33"/>
          </w:tcPr>
          <w:p w14:paraId="60A09E50" w14:textId="062D7E8E" w:rsidR="00A0023E" w:rsidRPr="00072502" w:rsidRDefault="00A0023E" w:rsidP="002E46C8">
            <w:pPr>
              <w:rPr>
                <w:b/>
                <w:bCs/>
              </w:rPr>
            </w:pPr>
            <w:r w:rsidRPr="00072502">
              <w:rPr>
                <w:b/>
                <w:bCs/>
              </w:rPr>
              <w:t>Group</w:t>
            </w:r>
          </w:p>
        </w:tc>
        <w:tc>
          <w:tcPr>
            <w:tcW w:w="427" w:type="pct"/>
            <w:shd w:val="clear" w:color="auto" w:fill="DEEAF6" w:themeFill="accent1" w:themeFillTint="33"/>
          </w:tcPr>
          <w:p w14:paraId="4A00D129" w14:textId="79AA9864" w:rsidR="00A0023E" w:rsidRPr="00072502" w:rsidRDefault="00A0023E" w:rsidP="002E46C8">
            <w:pPr>
              <w:rPr>
                <w:b/>
                <w:bCs/>
              </w:rPr>
            </w:pPr>
            <w:r>
              <w:rPr>
                <w:b/>
                <w:bCs/>
              </w:rPr>
              <w:t>Taxa</w:t>
            </w:r>
          </w:p>
        </w:tc>
        <w:tc>
          <w:tcPr>
            <w:tcW w:w="2644" w:type="pct"/>
            <w:shd w:val="clear" w:color="auto" w:fill="DEEAF6" w:themeFill="accent1" w:themeFillTint="33"/>
          </w:tcPr>
          <w:p w14:paraId="0CE6449F" w14:textId="2F02CC81" w:rsidR="00A0023E" w:rsidRPr="00072502" w:rsidRDefault="00E258EB" w:rsidP="002E46C8">
            <w:pPr>
              <w:rPr>
                <w:b/>
                <w:bCs/>
              </w:rPr>
            </w:pPr>
            <w:r>
              <w:rPr>
                <w:b/>
                <w:bCs/>
              </w:rPr>
              <w:t xml:space="preserve">No. sites &amp; </w:t>
            </w:r>
            <w:r w:rsidR="009C5A96">
              <w:rPr>
                <w:b/>
                <w:bCs/>
              </w:rPr>
              <w:t>H</w:t>
            </w:r>
            <w:r w:rsidR="00A0023E" w:rsidRPr="00072502">
              <w:rPr>
                <w:b/>
                <w:bCs/>
              </w:rPr>
              <w:t>abitat</w:t>
            </w:r>
            <w:r>
              <w:rPr>
                <w:b/>
                <w:bCs/>
              </w:rPr>
              <w:t>/environment types</w:t>
            </w:r>
          </w:p>
        </w:tc>
        <w:tc>
          <w:tcPr>
            <w:tcW w:w="1501" w:type="pct"/>
            <w:shd w:val="clear" w:color="auto" w:fill="DEEAF6" w:themeFill="accent1" w:themeFillTint="33"/>
          </w:tcPr>
          <w:p w14:paraId="78E34E44" w14:textId="68A34245" w:rsidR="00A0023E" w:rsidRPr="00072502" w:rsidRDefault="000C6F2E" w:rsidP="002E46C8">
            <w:pPr>
              <w:rPr>
                <w:b/>
                <w:bCs/>
              </w:rPr>
            </w:pPr>
            <w:r>
              <w:rPr>
                <w:b/>
                <w:bCs/>
              </w:rPr>
              <w:t xml:space="preserve">Wetland </w:t>
            </w:r>
            <w:r w:rsidR="009C5A96">
              <w:rPr>
                <w:b/>
                <w:bCs/>
              </w:rPr>
              <w:t>e</w:t>
            </w:r>
            <w:r w:rsidR="00A0023E" w:rsidRPr="00072502">
              <w:rPr>
                <w:b/>
                <w:bCs/>
              </w:rPr>
              <w:t>xamples</w:t>
            </w:r>
          </w:p>
        </w:tc>
      </w:tr>
      <w:tr w:rsidR="00A0023E" w14:paraId="3D26FAB7" w14:textId="77777777" w:rsidTr="00790576">
        <w:trPr>
          <w:trHeight w:val="340"/>
        </w:trPr>
        <w:tc>
          <w:tcPr>
            <w:tcW w:w="428" w:type="pct"/>
          </w:tcPr>
          <w:p w14:paraId="505A28FF" w14:textId="6405854A" w:rsidR="00A0023E" w:rsidRPr="001413D2" w:rsidRDefault="00A0023E" w:rsidP="00545E3C">
            <w:pPr>
              <w:jc w:val="center"/>
            </w:pPr>
            <w:r w:rsidRPr="001413D2">
              <w:t>1</w:t>
            </w:r>
          </w:p>
        </w:tc>
        <w:tc>
          <w:tcPr>
            <w:tcW w:w="427" w:type="pct"/>
          </w:tcPr>
          <w:p w14:paraId="70701ED7" w14:textId="4E13E104" w:rsidR="00A0023E" w:rsidRPr="002C39BB" w:rsidRDefault="00307546" w:rsidP="00307546">
            <w:pPr>
              <w:jc w:val="center"/>
              <w:rPr>
                <w:sz w:val="20"/>
                <w:szCs w:val="20"/>
              </w:rPr>
            </w:pPr>
            <w:r w:rsidRPr="002C39BB">
              <w:rPr>
                <w:sz w:val="20"/>
                <w:szCs w:val="20"/>
              </w:rPr>
              <w:t>118</w:t>
            </w:r>
            <w:r w:rsidR="006810F9" w:rsidRPr="002C39BB">
              <w:rPr>
                <w:sz w:val="20"/>
                <w:szCs w:val="20"/>
              </w:rPr>
              <w:t xml:space="preserve"> (36)</w:t>
            </w:r>
          </w:p>
        </w:tc>
        <w:tc>
          <w:tcPr>
            <w:tcW w:w="2644" w:type="pct"/>
          </w:tcPr>
          <w:p w14:paraId="2DE39F4C" w14:textId="5F1CD6FA" w:rsidR="00A0023E" w:rsidRPr="002C39BB" w:rsidRDefault="00A0023E" w:rsidP="002E46C8">
            <w:pPr>
              <w:rPr>
                <w:sz w:val="20"/>
                <w:szCs w:val="20"/>
              </w:rPr>
            </w:pPr>
            <w:r w:rsidRPr="002C39BB">
              <w:rPr>
                <w:sz w:val="20"/>
                <w:szCs w:val="20"/>
              </w:rPr>
              <w:t>15 sites; Wetlands with significant/continuous exchange with main river; good macrophyte cover</w:t>
            </w:r>
          </w:p>
        </w:tc>
        <w:tc>
          <w:tcPr>
            <w:tcW w:w="1501" w:type="pct"/>
          </w:tcPr>
          <w:p w14:paraId="1062E63A" w14:textId="5399E3A8" w:rsidR="00A0023E" w:rsidRPr="002C39BB" w:rsidRDefault="00A0023E" w:rsidP="002E46C8">
            <w:pPr>
              <w:rPr>
                <w:sz w:val="20"/>
                <w:szCs w:val="20"/>
              </w:rPr>
            </w:pPr>
            <w:r w:rsidRPr="002C39BB">
              <w:rPr>
                <w:sz w:val="20"/>
                <w:szCs w:val="20"/>
              </w:rPr>
              <w:t>Tailem Bend Swamp; Younghusband Wetland</w:t>
            </w:r>
            <w:r w:rsidR="006672FC" w:rsidRPr="002C39BB">
              <w:rPr>
                <w:sz w:val="20"/>
                <w:szCs w:val="20"/>
              </w:rPr>
              <w:t>; Devlin</w:t>
            </w:r>
            <w:r w:rsidR="00363220" w:rsidRPr="002C39BB">
              <w:rPr>
                <w:sz w:val="20"/>
                <w:szCs w:val="20"/>
              </w:rPr>
              <w:t>’</w:t>
            </w:r>
            <w:r w:rsidR="006672FC" w:rsidRPr="002C39BB">
              <w:rPr>
                <w:sz w:val="20"/>
                <w:szCs w:val="20"/>
              </w:rPr>
              <w:t>s Pound Wetland</w:t>
            </w:r>
          </w:p>
        </w:tc>
      </w:tr>
      <w:tr w:rsidR="00A0023E" w14:paraId="42B25A37" w14:textId="77777777" w:rsidTr="00790576">
        <w:trPr>
          <w:trHeight w:val="340"/>
        </w:trPr>
        <w:tc>
          <w:tcPr>
            <w:tcW w:w="428" w:type="pct"/>
          </w:tcPr>
          <w:p w14:paraId="1B6D0870" w14:textId="42D74CBD" w:rsidR="00A0023E" w:rsidRPr="001413D2" w:rsidRDefault="00A0023E" w:rsidP="00545E3C">
            <w:pPr>
              <w:jc w:val="center"/>
            </w:pPr>
            <w:r w:rsidRPr="001413D2">
              <w:t>2</w:t>
            </w:r>
          </w:p>
        </w:tc>
        <w:tc>
          <w:tcPr>
            <w:tcW w:w="427" w:type="pct"/>
          </w:tcPr>
          <w:p w14:paraId="7798D127" w14:textId="48F091AF" w:rsidR="00A0023E" w:rsidRPr="002C39BB" w:rsidRDefault="00821EB7" w:rsidP="00307546">
            <w:pPr>
              <w:jc w:val="center"/>
              <w:rPr>
                <w:sz w:val="20"/>
                <w:szCs w:val="20"/>
              </w:rPr>
            </w:pPr>
            <w:r w:rsidRPr="002C39BB">
              <w:rPr>
                <w:sz w:val="20"/>
                <w:szCs w:val="20"/>
              </w:rPr>
              <w:t>136</w:t>
            </w:r>
            <w:r w:rsidR="00741CEB" w:rsidRPr="002C39BB">
              <w:rPr>
                <w:sz w:val="20"/>
                <w:szCs w:val="20"/>
              </w:rPr>
              <w:t xml:space="preserve"> (52)</w:t>
            </w:r>
          </w:p>
        </w:tc>
        <w:tc>
          <w:tcPr>
            <w:tcW w:w="2644" w:type="pct"/>
          </w:tcPr>
          <w:p w14:paraId="40E96EE1" w14:textId="67BEDF9E" w:rsidR="00A0023E" w:rsidRPr="002C39BB" w:rsidRDefault="00A0023E" w:rsidP="002E46C8">
            <w:pPr>
              <w:rPr>
                <w:sz w:val="20"/>
                <w:szCs w:val="20"/>
              </w:rPr>
            </w:pPr>
            <w:r w:rsidRPr="002C39BB">
              <w:rPr>
                <w:sz w:val="20"/>
                <w:szCs w:val="20"/>
              </w:rPr>
              <w:t xml:space="preserve">21 sites; Sites typically with flowing relatively clear water, good connection and exchange with main river (often anabranch connections); highest coverage of snags; </w:t>
            </w:r>
          </w:p>
        </w:tc>
        <w:tc>
          <w:tcPr>
            <w:tcW w:w="1501" w:type="pct"/>
          </w:tcPr>
          <w:p w14:paraId="564F7E6F" w14:textId="7C07E9E5" w:rsidR="00A0023E" w:rsidRPr="002C39BB" w:rsidRDefault="00A0023E" w:rsidP="002E46C8">
            <w:pPr>
              <w:rPr>
                <w:sz w:val="20"/>
                <w:szCs w:val="20"/>
              </w:rPr>
            </w:pPr>
            <w:r w:rsidRPr="002C39BB">
              <w:rPr>
                <w:sz w:val="20"/>
                <w:szCs w:val="20"/>
              </w:rPr>
              <w:t>Boat Creek; Pike River; Katarapko Creek; The Splash</w:t>
            </w:r>
            <w:r w:rsidR="00903526" w:rsidRPr="002C39BB">
              <w:rPr>
                <w:sz w:val="20"/>
                <w:szCs w:val="20"/>
              </w:rPr>
              <w:t>; Stanley Oxbow</w:t>
            </w:r>
          </w:p>
        </w:tc>
      </w:tr>
      <w:tr w:rsidR="00A0023E" w14:paraId="6669466F" w14:textId="77777777" w:rsidTr="00790576">
        <w:trPr>
          <w:trHeight w:val="340"/>
        </w:trPr>
        <w:tc>
          <w:tcPr>
            <w:tcW w:w="428" w:type="pct"/>
          </w:tcPr>
          <w:p w14:paraId="4F3BCD6A" w14:textId="58A7B4DE" w:rsidR="00A0023E" w:rsidRPr="001413D2" w:rsidRDefault="00A0023E" w:rsidP="00545E3C">
            <w:pPr>
              <w:jc w:val="center"/>
            </w:pPr>
            <w:r w:rsidRPr="001413D2">
              <w:t>3</w:t>
            </w:r>
          </w:p>
        </w:tc>
        <w:tc>
          <w:tcPr>
            <w:tcW w:w="427" w:type="pct"/>
          </w:tcPr>
          <w:p w14:paraId="452EF959" w14:textId="01BCF2B7" w:rsidR="00B9396E" w:rsidRPr="002C39BB" w:rsidRDefault="001E371D" w:rsidP="00B9396E">
            <w:pPr>
              <w:jc w:val="center"/>
              <w:rPr>
                <w:sz w:val="20"/>
                <w:szCs w:val="20"/>
              </w:rPr>
            </w:pPr>
            <w:r w:rsidRPr="002C39BB">
              <w:rPr>
                <w:sz w:val="20"/>
                <w:szCs w:val="20"/>
              </w:rPr>
              <w:t>57</w:t>
            </w:r>
            <w:r w:rsidR="00B9396E" w:rsidRPr="002C39BB">
              <w:rPr>
                <w:sz w:val="20"/>
                <w:szCs w:val="20"/>
              </w:rPr>
              <w:t xml:space="preserve"> (11)</w:t>
            </w:r>
          </w:p>
        </w:tc>
        <w:tc>
          <w:tcPr>
            <w:tcW w:w="2644" w:type="pct"/>
          </w:tcPr>
          <w:p w14:paraId="444448C1" w14:textId="705925C0" w:rsidR="00A0023E" w:rsidRPr="002C39BB" w:rsidRDefault="00A0023E" w:rsidP="002E46C8">
            <w:pPr>
              <w:rPr>
                <w:sz w:val="20"/>
                <w:szCs w:val="20"/>
              </w:rPr>
            </w:pPr>
            <w:r w:rsidRPr="002C39BB">
              <w:rPr>
                <w:sz w:val="20"/>
                <w:szCs w:val="20"/>
              </w:rPr>
              <w:t>7 sites; Non-channel wetlands; large shallow lagoons but with good exchange with main river; low silt and shade</w:t>
            </w:r>
          </w:p>
        </w:tc>
        <w:tc>
          <w:tcPr>
            <w:tcW w:w="1501" w:type="pct"/>
          </w:tcPr>
          <w:p w14:paraId="0AA7E783" w14:textId="215A63BF" w:rsidR="00A0023E" w:rsidRPr="002C39BB" w:rsidRDefault="00A0023E" w:rsidP="002E46C8">
            <w:pPr>
              <w:rPr>
                <w:sz w:val="20"/>
                <w:szCs w:val="20"/>
              </w:rPr>
            </w:pPr>
            <w:r w:rsidRPr="002C39BB">
              <w:rPr>
                <w:sz w:val="20"/>
                <w:szCs w:val="20"/>
              </w:rPr>
              <w:t>Yacanto Lagoon; Punyelroo; Wachtels Lagoon</w:t>
            </w:r>
            <w:r w:rsidR="00E21463" w:rsidRPr="002C39BB">
              <w:rPr>
                <w:sz w:val="20"/>
                <w:szCs w:val="20"/>
              </w:rPr>
              <w:t>; Yarra Lagoon</w:t>
            </w:r>
          </w:p>
        </w:tc>
      </w:tr>
      <w:tr w:rsidR="00A0023E" w14:paraId="6B15B5AE" w14:textId="77777777" w:rsidTr="00790576">
        <w:trPr>
          <w:trHeight w:val="340"/>
        </w:trPr>
        <w:tc>
          <w:tcPr>
            <w:tcW w:w="428" w:type="pct"/>
          </w:tcPr>
          <w:p w14:paraId="6FBFF2DA" w14:textId="34D28A0E" w:rsidR="00A0023E" w:rsidRPr="001413D2" w:rsidRDefault="00A0023E" w:rsidP="00545E3C">
            <w:pPr>
              <w:jc w:val="center"/>
            </w:pPr>
            <w:r w:rsidRPr="001413D2">
              <w:t>4</w:t>
            </w:r>
          </w:p>
        </w:tc>
        <w:tc>
          <w:tcPr>
            <w:tcW w:w="427" w:type="pct"/>
          </w:tcPr>
          <w:p w14:paraId="754C6279" w14:textId="0A6FD393" w:rsidR="00A0023E" w:rsidRPr="002C39BB" w:rsidRDefault="009C10DC" w:rsidP="00307546">
            <w:pPr>
              <w:jc w:val="center"/>
              <w:rPr>
                <w:sz w:val="20"/>
                <w:szCs w:val="20"/>
              </w:rPr>
            </w:pPr>
            <w:r w:rsidRPr="002C39BB">
              <w:rPr>
                <w:sz w:val="20"/>
                <w:szCs w:val="20"/>
              </w:rPr>
              <w:t>87</w:t>
            </w:r>
            <w:r w:rsidR="00B9396E" w:rsidRPr="002C39BB">
              <w:rPr>
                <w:sz w:val="20"/>
                <w:szCs w:val="20"/>
              </w:rPr>
              <w:t xml:space="preserve"> (27)</w:t>
            </w:r>
          </w:p>
        </w:tc>
        <w:tc>
          <w:tcPr>
            <w:tcW w:w="2644" w:type="pct"/>
          </w:tcPr>
          <w:p w14:paraId="31D48FEE" w14:textId="284B8C26" w:rsidR="00A0023E" w:rsidRPr="002C39BB" w:rsidRDefault="00A0023E" w:rsidP="002E46C8">
            <w:pPr>
              <w:rPr>
                <w:sz w:val="20"/>
                <w:szCs w:val="20"/>
              </w:rPr>
            </w:pPr>
            <w:r w:rsidRPr="002C39BB">
              <w:rPr>
                <w:sz w:val="20"/>
                <w:szCs w:val="20"/>
              </w:rPr>
              <w:t>12 sites; Non-channel wetlands; high number of temporary wetlands (and many disconnected), slightly saline, fine sediment and silt cover</w:t>
            </w:r>
          </w:p>
        </w:tc>
        <w:tc>
          <w:tcPr>
            <w:tcW w:w="1501" w:type="pct"/>
          </w:tcPr>
          <w:p w14:paraId="42A26551" w14:textId="34BA6A0E" w:rsidR="00A0023E" w:rsidRPr="002C39BB" w:rsidRDefault="00A0023E" w:rsidP="002E46C8">
            <w:pPr>
              <w:rPr>
                <w:sz w:val="20"/>
                <w:szCs w:val="20"/>
              </w:rPr>
            </w:pPr>
            <w:r w:rsidRPr="002C39BB">
              <w:rPr>
                <w:sz w:val="20"/>
                <w:szCs w:val="20"/>
              </w:rPr>
              <w:t>Lake Woolpoolool; Morgan Lagoons</w:t>
            </w:r>
            <w:r w:rsidR="00307546" w:rsidRPr="002C39BB">
              <w:rPr>
                <w:sz w:val="20"/>
                <w:szCs w:val="20"/>
              </w:rPr>
              <w:t>; Lake Merreti</w:t>
            </w:r>
            <w:r w:rsidR="000363D0" w:rsidRPr="002C39BB">
              <w:rPr>
                <w:sz w:val="20"/>
                <w:szCs w:val="20"/>
              </w:rPr>
              <w:t>; Ross Lagoon</w:t>
            </w:r>
            <w:r w:rsidR="00B66C8A" w:rsidRPr="002C39BB">
              <w:rPr>
                <w:sz w:val="20"/>
                <w:szCs w:val="20"/>
              </w:rPr>
              <w:t xml:space="preserve">; </w:t>
            </w:r>
            <w:r w:rsidR="00E21463" w:rsidRPr="002C39BB">
              <w:rPr>
                <w:sz w:val="20"/>
                <w:szCs w:val="20"/>
              </w:rPr>
              <w:t>Overland Corner Wetland (permanent)</w:t>
            </w:r>
          </w:p>
        </w:tc>
      </w:tr>
      <w:tr w:rsidR="00A0023E" w14:paraId="0F1EA3A3" w14:textId="77777777" w:rsidTr="00790576">
        <w:trPr>
          <w:trHeight w:val="340"/>
        </w:trPr>
        <w:tc>
          <w:tcPr>
            <w:tcW w:w="428" w:type="pct"/>
          </w:tcPr>
          <w:p w14:paraId="3AE7CB93" w14:textId="0C071A06" w:rsidR="00A0023E" w:rsidRPr="001413D2" w:rsidRDefault="00A0023E" w:rsidP="00545E3C">
            <w:pPr>
              <w:jc w:val="center"/>
            </w:pPr>
            <w:r w:rsidRPr="001413D2">
              <w:t>5</w:t>
            </w:r>
          </w:p>
        </w:tc>
        <w:tc>
          <w:tcPr>
            <w:tcW w:w="427" w:type="pct"/>
          </w:tcPr>
          <w:p w14:paraId="0574ACD7" w14:textId="09AAF989" w:rsidR="00A0023E" w:rsidRPr="002C39BB" w:rsidRDefault="00EB2C29" w:rsidP="00307546">
            <w:pPr>
              <w:jc w:val="center"/>
              <w:rPr>
                <w:sz w:val="20"/>
                <w:szCs w:val="20"/>
              </w:rPr>
            </w:pPr>
            <w:r w:rsidRPr="002C39BB">
              <w:rPr>
                <w:sz w:val="20"/>
                <w:szCs w:val="20"/>
              </w:rPr>
              <w:t>117 (17)</w:t>
            </w:r>
          </w:p>
        </w:tc>
        <w:tc>
          <w:tcPr>
            <w:tcW w:w="2644" w:type="pct"/>
          </w:tcPr>
          <w:p w14:paraId="69798783" w14:textId="17146BB5" w:rsidR="00A0023E" w:rsidRPr="002C39BB" w:rsidRDefault="00A0023E" w:rsidP="002E46C8">
            <w:pPr>
              <w:rPr>
                <w:sz w:val="20"/>
                <w:szCs w:val="20"/>
              </w:rPr>
            </w:pPr>
            <w:r w:rsidRPr="002C39BB">
              <w:rPr>
                <w:sz w:val="20"/>
                <w:szCs w:val="20"/>
              </w:rPr>
              <w:t>8 sites; Non-channel wetlands; typically very small wetlands, high macrophyte cover but low snags; high shade from trees or dense macrophyte cover; lowest DO saturation (less light)</w:t>
            </w:r>
          </w:p>
        </w:tc>
        <w:tc>
          <w:tcPr>
            <w:tcW w:w="1501" w:type="pct"/>
          </w:tcPr>
          <w:p w14:paraId="7650A6DF" w14:textId="3EF66141" w:rsidR="00A0023E" w:rsidRPr="002C39BB" w:rsidRDefault="00A0023E" w:rsidP="002E46C8">
            <w:pPr>
              <w:rPr>
                <w:sz w:val="20"/>
                <w:szCs w:val="20"/>
              </w:rPr>
            </w:pPr>
            <w:r w:rsidRPr="002C39BB">
              <w:rPr>
                <w:sz w:val="20"/>
                <w:szCs w:val="20"/>
              </w:rPr>
              <w:t xml:space="preserve">Nil Nil Wetland; mouths of Burra Creek &amp; Marne River; Moorundie Wetland; </w:t>
            </w:r>
            <w:r w:rsidR="000363D0" w:rsidRPr="002C39BB">
              <w:rPr>
                <w:sz w:val="20"/>
                <w:szCs w:val="20"/>
              </w:rPr>
              <w:t>Boat Creek Wetland</w:t>
            </w:r>
          </w:p>
        </w:tc>
      </w:tr>
      <w:tr w:rsidR="00A0023E" w14:paraId="4ADF7391" w14:textId="77777777" w:rsidTr="00790576">
        <w:trPr>
          <w:trHeight w:val="340"/>
        </w:trPr>
        <w:tc>
          <w:tcPr>
            <w:tcW w:w="428" w:type="pct"/>
          </w:tcPr>
          <w:p w14:paraId="592AF78C" w14:textId="02809BA5" w:rsidR="00A0023E" w:rsidRPr="001413D2" w:rsidRDefault="00A0023E" w:rsidP="00545E3C">
            <w:pPr>
              <w:jc w:val="center"/>
            </w:pPr>
            <w:r w:rsidRPr="001413D2">
              <w:t>6</w:t>
            </w:r>
          </w:p>
        </w:tc>
        <w:tc>
          <w:tcPr>
            <w:tcW w:w="427" w:type="pct"/>
          </w:tcPr>
          <w:p w14:paraId="17F2FB4D" w14:textId="1031C800" w:rsidR="00A0023E" w:rsidRPr="002C39BB" w:rsidRDefault="007B76A4" w:rsidP="00307546">
            <w:pPr>
              <w:jc w:val="center"/>
              <w:rPr>
                <w:sz w:val="20"/>
                <w:szCs w:val="20"/>
              </w:rPr>
            </w:pPr>
            <w:r w:rsidRPr="002C39BB">
              <w:rPr>
                <w:sz w:val="20"/>
                <w:szCs w:val="20"/>
              </w:rPr>
              <w:t>27</w:t>
            </w:r>
            <w:r w:rsidR="00AE4C35" w:rsidRPr="002C39BB">
              <w:rPr>
                <w:sz w:val="20"/>
                <w:szCs w:val="20"/>
              </w:rPr>
              <w:t xml:space="preserve"> </w:t>
            </w:r>
            <w:r w:rsidR="00CB2FD4" w:rsidRPr="002C39BB">
              <w:rPr>
                <w:sz w:val="20"/>
                <w:szCs w:val="20"/>
              </w:rPr>
              <w:t xml:space="preserve">   </w:t>
            </w:r>
            <w:r w:rsidR="00AE4C35" w:rsidRPr="002C39BB">
              <w:rPr>
                <w:sz w:val="20"/>
                <w:szCs w:val="20"/>
              </w:rPr>
              <w:t>(</w:t>
            </w:r>
            <w:r w:rsidR="00CB2FD4" w:rsidRPr="002C39BB">
              <w:rPr>
                <w:sz w:val="20"/>
                <w:szCs w:val="20"/>
              </w:rPr>
              <w:t>3)</w:t>
            </w:r>
          </w:p>
        </w:tc>
        <w:tc>
          <w:tcPr>
            <w:tcW w:w="2644" w:type="pct"/>
          </w:tcPr>
          <w:p w14:paraId="6067A427" w14:textId="6AF14DE3" w:rsidR="00A0023E" w:rsidRPr="002C39BB" w:rsidRDefault="00A0023E" w:rsidP="002E46C8">
            <w:pPr>
              <w:rPr>
                <w:sz w:val="20"/>
                <w:szCs w:val="20"/>
              </w:rPr>
            </w:pPr>
            <w:r w:rsidRPr="002C39BB">
              <w:rPr>
                <w:sz w:val="20"/>
                <w:szCs w:val="20"/>
              </w:rPr>
              <w:t>11 sites; All sites disconnected from main river and saline or hypersaline; highest alkalinity &amp; dissolved oxygen saturation; lowest macrophytes; little shade</w:t>
            </w:r>
            <w:r w:rsidR="00684992" w:rsidRPr="002C39BB">
              <w:rPr>
                <w:sz w:val="20"/>
                <w:szCs w:val="20"/>
              </w:rPr>
              <w:t>; this was the most different group to the other five groups.</w:t>
            </w:r>
          </w:p>
        </w:tc>
        <w:tc>
          <w:tcPr>
            <w:tcW w:w="1501" w:type="pct"/>
          </w:tcPr>
          <w:p w14:paraId="03115466" w14:textId="075FCC27" w:rsidR="00A0023E" w:rsidRPr="002C39BB" w:rsidRDefault="00A0023E" w:rsidP="002E46C8">
            <w:pPr>
              <w:rPr>
                <w:sz w:val="20"/>
                <w:szCs w:val="20"/>
              </w:rPr>
            </w:pPr>
            <w:r w:rsidRPr="002C39BB">
              <w:rPr>
                <w:sz w:val="20"/>
                <w:szCs w:val="20"/>
              </w:rPr>
              <w:t>The most different Group</w:t>
            </w:r>
            <w:r w:rsidR="007C11DB" w:rsidRPr="002C39BB">
              <w:rPr>
                <w:sz w:val="20"/>
                <w:szCs w:val="20"/>
              </w:rPr>
              <w:t xml:space="preserve">; </w:t>
            </w:r>
            <w:r w:rsidR="00684992" w:rsidRPr="002C39BB">
              <w:rPr>
                <w:sz w:val="20"/>
                <w:szCs w:val="20"/>
              </w:rPr>
              <w:t>Bookmark Creek; Mobilong Swamp</w:t>
            </w:r>
            <w:r w:rsidR="00DC3303" w:rsidRPr="002C39BB">
              <w:rPr>
                <w:sz w:val="20"/>
                <w:szCs w:val="20"/>
              </w:rPr>
              <w:t>; Cadell Wetland</w:t>
            </w:r>
          </w:p>
        </w:tc>
      </w:tr>
    </w:tbl>
    <w:p w14:paraId="76272FCB" w14:textId="77777777" w:rsidR="00680E97" w:rsidRDefault="00680E97" w:rsidP="002E46C8"/>
    <w:p w14:paraId="0DF64CB8" w14:textId="64C49734" w:rsidR="00BA75B9" w:rsidRDefault="00BA75B9" w:rsidP="00635162">
      <w:pPr>
        <w:contextualSpacing/>
      </w:pPr>
      <w:r>
        <w:t xml:space="preserve">along the Mouth and Coorong shorelines include </w:t>
      </w:r>
      <w:r w:rsidRPr="000D3379">
        <w:rPr>
          <w:i/>
          <w:iCs/>
        </w:rPr>
        <w:t>Amarinus laevis</w:t>
      </w:r>
      <w:r>
        <w:t xml:space="preserve">, </w:t>
      </w:r>
      <w:r w:rsidRPr="000D3379">
        <w:rPr>
          <w:i/>
          <w:iCs/>
        </w:rPr>
        <w:t>Paragrapsus gai</w:t>
      </w:r>
      <w:r>
        <w:rPr>
          <w:i/>
          <w:iCs/>
        </w:rPr>
        <w:t>m</w:t>
      </w:r>
      <w:r w:rsidRPr="000D3379">
        <w:rPr>
          <w:i/>
          <w:iCs/>
        </w:rPr>
        <w:t>ardii</w:t>
      </w:r>
      <w:r>
        <w:t xml:space="preserve">, and </w:t>
      </w:r>
      <w:r w:rsidRPr="000871D6">
        <w:rPr>
          <w:i/>
          <w:iCs/>
        </w:rPr>
        <w:t>Helograpsus haswellianus</w:t>
      </w:r>
      <w:r>
        <w:t xml:space="preserve"> (Brandle 2002; Dittmann et al. 2019). </w:t>
      </w:r>
    </w:p>
    <w:p w14:paraId="7C560895" w14:textId="77777777" w:rsidR="00FF201D" w:rsidRDefault="00FF201D" w:rsidP="00635162">
      <w:pPr>
        <w:contextualSpacing/>
      </w:pPr>
    </w:p>
    <w:p w14:paraId="6B7B74DD" w14:textId="19B9F4F0" w:rsidR="000D2EA3" w:rsidRDefault="000D2EA3" w:rsidP="00635162">
      <w:r>
        <w:t xml:space="preserve">Distribution and abundance of macroinvertebrates are strongly influenced by salinity and dissolved oxygen (Geddes 1987; Dittmann et al. 2018, 2022). The five most abundant taxa recorded during long-term monitoring (2004-2016) were amphipods, polychaetes (e.g. </w:t>
      </w:r>
      <w:r w:rsidRPr="008D51D4">
        <w:rPr>
          <w:i/>
          <w:iCs/>
        </w:rPr>
        <w:t>Capitella capitata</w:t>
      </w:r>
      <w:r>
        <w:t xml:space="preserve">, </w:t>
      </w:r>
      <w:r w:rsidRPr="008D51D4">
        <w:rPr>
          <w:i/>
          <w:iCs/>
        </w:rPr>
        <w:t>Simp</w:t>
      </w:r>
      <w:r>
        <w:rPr>
          <w:i/>
          <w:iCs/>
        </w:rPr>
        <w:t>l</w:t>
      </w:r>
      <w:r w:rsidRPr="008D51D4">
        <w:rPr>
          <w:i/>
          <w:iCs/>
        </w:rPr>
        <w:t>isetia</w:t>
      </w:r>
      <w:r>
        <w:t xml:space="preserve"> </w:t>
      </w:r>
      <w:r w:rsidRPr="008D51D4">
        <w:rPr>
          <w:i/>
          <w:iCs/>
        </w:rPr>
        <w:t>aequisetis</w:t>
      </w:r>
      <w:r>
        <w:t xml:space="preserve">), bivalves (e.g. </w:t>
      </w:r>
      <w:r w:rsidRPr="008D51D4">
        <w:rPr>
          <w:i/>
          <w:iCs/>
        </w:rPr>
        <w:t>Arthritica helmsi</w:t>
      </w:r>
      <w:r>
        <w:t>) and chironomid larvae (Dittmann et al. 2018).</w:t>
      </w:r>
    </w:p>
    <w:p w14:paraId="41359962" w14:textId="31DE9B76" w:rsidR="00595A53" w:rsidRDefault="00595A53" w:rsidP="00790576">
      <w:pPr>
        <w:keepLines/>
      </w:pPr>
      <w:r>
        <w:t xml:space="preserve">The endemic </w:t>
      </w:r>
      <w:r w:rsidRPr="007F0971">
        <w:rPr>
          <w:i/>
          <w:iCs/>
        </w:rPr>
        <w:t>Parartemia zietzianna</w:t>
      </w:r>
      <w:r>
        <w:t xml:space="preserve"> (brine shrimp) occurs in the </w:t>
      </w:r>
      <w:r w:rsidR="00170867">
        <w:t>winter-filled ephemeral saline wetlands adjacent to the Coorong lagoons</w:t>
      </w:r>
      <w:r w:rsidR="007F0971">
        <w:t xml:space="preserve"> (</w:t>
      </w:r>
      <w:r w:rsidR="00A90EEF">
        <w:t>De Deckker &amp; Geddes 1980</w:t>
      </w:r>
      <w:r w:rsidR="0007123C">
        <w:t xml:space="preserve">; </w:t>
      </w:r>
      <w:r w:rsidR="007F0971">
        <w:t>Geddes 1987).</w:t>
      </w:r>
      <w:r w:rsidR="002E59C8">
        <w:t xml:space="preserve"> During the Millennium Drought</w:t>
      </w:r>
      <w:r w:rsidR="00064E8B">
        <w:t xml:space="preserve"> th</w:t>
      </w:r>
      <w:r w:rsidR="00185D77">
        <w:t>is</w:t>
      </w:r>
      <w:r w:rsidR="00064E8B">
        <w:t xml:space="preserve"> brine shrimp established resident populations in the South Lagoon of the Coorong</w:t>
      </w:r>
      <w:r w:rsidR="00185D77">
        <w:t>, where they flourished in the extreme high salinit</w:t>
      </w:r>
      <w:r w:rsidR="00E75FA3">
        <w:t xml:space="preserve">ies </w:t>
      </w:r>
      <w:r w:rsidR="00376062">
        <w:t>for several years</w:t>
      </w:r>
      <w:r w:rsidR="00E75FA3">
        <w:t xml:space="preserve"> and were often the only macroinvertebrate </w:t>
      </w:r>
      <w:r w:rsidR="00185D77">
        <w:t>(</w:t>
      </w:r>
      <w:r w:rsidR="00AE10F4">
        <w:t xml:space="preserve">Geddes et al. 2016). </w:t>
      </w:r>
      <w:r w:rsidR="00ED45D7">
        <w:t xml:space="preserve"> </w:t>
      </w:r>
    </w:p>
    <w:p w14:paraId="72BF1F28" w14:textId="1EBFEB94" w:rsidR="00DD6D41" w:rsidRDefault="003C0F17" w:rsidP="00635162">
      <w:r>
        <w:t xml:space="preserve">The </w:t>
      </w:r>
      <w:r w:rsidR="00F460C4">
        <w:t xml:space="preserve">colonial </w:t>
      </w:r>
      <w:r w:rsidR="007C3810">
        <w:t xml:space="preserve">surpulid </w:t>
      </w:r>
      <w:r>
        <w:t xml:space="preserve">polychaete </w:t>
      </w:r>
      <w:r w:rsidR="00BE1C54" w:rsidRPr="006332BC">
        <w:rPr>
          <w:i/>
          <w:iCs/>
        </w:rPr>
        <w:t>Ficopomatus enigmaticus</w:t>
      </w:r>
      <w:r w:rsidR="00BE1C54">
        <w:t xml:space="preserve"> (</w:t>
      </w:r>
      <w:r w:rsidR="009A6399">
        <w:t xml:space="preserve">Australian </w:t>
      </w:r>
      <w:r w:rsidR="0062794D">
        <w:t>tubeworm</w:t>
      </w:r>
      <w:r w:rsidR="00BE1C54">
        <w:t>)</w:t>
      </w:r>
      <w:r w:rsidR="005D4ABA">
        <w:t xml:space="preserve"> </w:t>
      </w:r>
      <w:r w:rsidR="00F460C4">
        <w:t xml:space="preserve">occurs </w:t>
      </w:r>
      <w:r w:rsidR="00CB106A">
        <w:t>throughout</w:t>
      </w:r>
      <w:r w:rsidR="005D4ABA">
        <w:t xml:space="preserve"> the Murray Mouth and </w:t>
      </w:r>
      <w:r w:rsidR="00FD3224">
        <w:t xml:space="preserve">the North Lagoon of the </w:t>
      </w:r>
      <w:r w:rsidR="005D4ABA">
        <w:t>Coorong</w:t>
      </w:r>
      <w:r w:rsidR="00B37C0A">
        <w:t>,</w:t>
      </w:r>
      <w:r w:rsidR="006C6EC0">
        <w:t xml:space="preserve"> where it builds pronounced </w:t>
      </w:r>
      <w:r w:rsidR="006C6EC0">
        <w:lastRenderedPageBreak/>
        <w:t>reef structures</w:t>
      </w:r>
      <w:r w:rsidR="003A739C">
        <w:t xml:space="preserve">; these are typically 50 cm to 1 m </w:t>
      </w:r>
      <w:r w:rsidR="00177AF5">
        <w:t>in diameter</w:t>
      </w:r>
      <w:r w:rsidR="005463FA">
        <w:t xml:space="preserve"> and occur in areas less exposed to wave action</w:t>
      </w:r>
      <w:r w:rsidR="007403DB">
        <w:t xml:space="preserve"> (Dittmann et al. 2018). </w:t>
      </w:r>
      <w:r w:rsidR="00B40373">
        <w:t xml:space="preserve">These reefs </w:t>
      </w:r>
      <w:r w:rsidR="0033283F">
        <w:t>creat</w:t>
      </w:r>
      <w:r w:rsidR="00B70D91">
        <w:t>e</w:t>
      </w:r>
      <w:r w:rsidR="0033283F">
        <w:t xml:space="preserve"> habitat for other organisms</w:t>
      </w:r>
      <w:r w:rsidR="005C53A1">
        <w:t xml:space="preserve"> </w:t>
      </w:r>
      <w:r w:rsidR="00617B07">
        <w:t xml:space="preserve">(e.g. </w:t>
      </w:r>
      <w:r w:rsidR="00617B07" w:rsidRPr="001C0A38">
        <w:rPr>
          <w:i/>
          <w:iCs/>
        </w:rPr>
        <w:t>Limnoperna</w:t>
      </w:r>
      <w:r w:rsidR="00617B07">
        <w:t xml:space="preserve"> sp., mytilid mussel</w:t>
      </w:r>
      <w:r w:rsidR="001C0A38">
        <w:t>;</w:t>
      </w:r>
      <w:r w:rsidR="00617B07">
        <w:t xml:space="preserve"> </w:t>
      </w:r>
      <w:r w:rsidR="004E4F59" w:rsidRPr="001C0A38">
        <w:rPr>
          <w:i/>
          <w:iCs/>
        </w:rPr>
        <w:t>Alpheus richardsoni</w:t>
      </w:r>
      <w:r w:rsidR="004E4F59">
        <w:t>, snapping shrimp</w:t>
      </w:r>
      <w:r w:rsidR="001C0A38">
        <w:t>;</w:t>
      </w:r>
      <w:r w:rsidR="004E4F59">
        <w:t xml:space="preserve"> </w:t>
      </w:r>
      <w:r w:rsidR="000660FA" w:rsidRPr="000660FA">
        <w:rPr>
          <w:i/>
          <w:iCs/>
        </w:rPr>
        <w:t>Amarinus laevis</w:t>
      </w:r>
      <w:r w:rsidR="000660FA">
        <w:t xml:space="preserve">, small crab; </w:t>
      </w:r>
      <w:r w:rsidR="00DF6241">
        <w:t xml:space="preserve">amphipods; tanaids; </w:t>
      </w:r>
      <w:r w:rsidR="004E4F59">
        <w:t>nemerteans, barnacles, other polychaet</w:t>
      </w:r>
      <w:r w:rsidR="00E94415">
        <w:t>e</w:t>
      </w:r>
      <w:r w:rsidR="004E4F59">
        <w:t>s)</w:t>
      </w:r>
      <w:r w:rsidR="0033283F">
        <w:t xml:space="preserve">. </w:t>
      </w:r>
      <w:r w:rsidR="00474B81">
        <w:t xml:space="preserve">Species numbers and individual densities </w:t>
      </w:r>
      <w:r w:rsidR="00520064">
        <w:t>of associated macroinvertebrates are higher in</w:t>
      </w:r>
      <w:r w:rsidR="005C53A1">
        <w:t>/on</w:t>
      </w:r>
      <w:r w:rsidR="00520064">
        <w:t xml:space="preserve"> reefs than adjacent sediment</w:t>
      </w:r>
      <w:r w:rsidR="005C53A1">
        <w:t>s</w:t>
      </w:r>
      <w:r w:rsidR="00DD6D41">
        <w:t xml:space="preserve">, with </w:t>
      </w:r>
      <w:r w:rsidR="00285155">
        <w:t xml:space="preserve">effects site-specific and highly variable </w:t>
      </w:r>
      <w:r w:rsidR="002766E3">
        <w:t>between years</w:t>
      </w:r>
      <w:r w:rsidR="00520064">
        <w:t xml:space="preserve"> (Dittmann et al. 2018). </w:t>
      </w:r>
    </w:p>
    <w:p w14:paraId="24C2C944" w14:textId="1AA43925" w:rsidR="00DB14AA" w:rsidRDefault="00943FE3" w:rsidP="00635162">
      <w:r>
        <w:t>F</w:t>
      </w:r>
      <w:r w:rsidR="00635162" w:rsidRPr="00FA6304">
        <w:t xml:space="preserve">or further </w:t>
      </w:r>
      <w:r w:rsidR="00064FD8">
        <w:t xml:space="preserve">information on </w:t>
      </w:r>
      <w:r w:rsidR="00635162" w:rsidRPr="00FA6304">
        <w:t>macroinvertebrates</w:t>
      </w:r>
      <w:r w:rsidR="00BA0D51">
        <w:t xml:space="preserve"> that occur</w:t>
      </w:r>
      <w:r w:rsidR="002E46C8">
        <w:t>, or are likely to occur,</w:t>
      </w:r>
      <w:r w:rsidR="00BA0D51">
        <w:t xml:space="preserve"> within the ecological community, </w:t>
      </w:r>
      <w:r w:rsidR="00064FD8">
        <w:t>comprehensive</w:t>
      </w:r>
      <w:r w:rsidR="00A814C7">
        <w:t xml:space="preserve"> species lists can be found in </w:t>
      </w:r>
      <w:r w:rsidR="00A13C6F">
        <w:t xml:space="preserve">Brandle (2002), </w:t>
      </w:r>
      <w:r w:rsidR="00EB1BC4">
        <w:t xml:space="preserve">Walker et al. </w:t>
      </w:r>
      <w:r w:rsidR="007B2C6D">
        <w:t>(</w:t>
      </w:r>
      <w:r w:rsidR="00EB1BC4">
        <w:t>2009</w:t>
      </w:r>
      <w:r w:rsidR="0005159B">
        <w:t xml:space="preserve">, </w:t>
      </w:r>
      <w:r w:rsidR="00EB1BC4">
        <w:t>2018</w:t>
      </w:r>
      <w:r w:rsidR="007B2C6D">
        <w:t>)</w:t>
      </w:r>
      <w:r w:rsidR="00E553F7">
        <w:t>, Moise &amp; Milne (2010),</w:t>
      </w:r>
      <w:r w:rsidR="00EB1BC4">
        <w:t xml:space="preserve"> and </w:t>
      </w:r>
      <w:r w:rsidR="00A814C7">
        <w:t>Dittman et al</w:t>
      </w:r>
      <w:r w:rsidR="00EB1BC4">
        <w:t>.</w:t>
      </w:r>
      <w:r w:rsidR="00A814C7">
        <w:t xml:space="preserve"> </w:t>
      </w:r>
      <w:r w:rsidR="00EB1BC4">
        <w:t>(</w:t>
      </w:r>
      <w:r w:rsidR="00A814C7">
        <w:t>2018</w:t>
      </w:r>
      <w:r w:rsidR="00EB1BC4">
        <w:t>)</w:t>
      </w:r>
      <w:r w:rsidR="00635162" w:rsidRPr="00FA6304">
        <w:t>.</w:t>
      </w:r>
      <w:r w:rsidR="0090672E">
        <w:t xml:space="preserve"> </w:t>
      </w:r>
      <w:r w:rsidR="000D2EA3">
        <w:t>An</w:t>
      </w:r>
      <w:r w:rsidR="0090672E">
        <w:t xml:space="preserve"> </w:t>
      </w:r>
      <w:r w:rsidR="00FB1411">
        <w:t xml:space="preserve">identification guide </w:t>
      </w:r>
      <w:r w:rsidR="00A75938">
        <w:t xml:space="preserve">to aquatic invertebrates of South Australia </w:t>
      </w:r>
      <w:r w:rsidR="00FB1411">
        <w:t xml:space="preserve">(Wade et al. </w:t>
      </w:r>
      <w:r w:rsidR="00A75938">
        <w:t xml:space="preserve">2004) is </w:t>
      </w:r>
      <w:r w:rsidR="002E46C8">
        <w:t xml:space="preserve">also </w:t>
      </w:r>
      <w:r w:rsidR="001100A5">
        <w:t>a</w:t>
      </w:r>
      <w:r w:rsidR="00A75938">
        <w:t xml:space="preserve"> useful</w:t>
      </w:r>
      <w:r w:rsidR="001100A5">
        <w:t xml:space="preserve"> reference</w:t>
      </w:r>
      <w:r w:rsidR="00950F21">
        <w:t>, as is th</w:t>
      </w:r>
      <w:r w:rsidR="007B095C">
        <w:t>is</w:t>
      </w:r>
      <w:r w:rsidR="00950F21">
        <w:t xml:space="preserve"> </w:t>
      </w:r>
      <w:hyperlink r:id="rId19" w:history="1">
        <w:r w:rsidR="00950F21" w:rsidRPr="007B095C">
          <w:rPr>
            <w:rStyle w:val="Hyperlink"/>
            <w:sz w:val="22"/>
          </w:rPr>
          <w:t>visual guide</w:t>
        </w:r>
      </w:hyperlink>
      <w:r w:rsidR="002F0CFB">
        <w:t xml:space="preserve"> </w:t>
      </w:r>
      <w:r w:rsidR="00B10AB8" w:rsidRPr="00B028F7">
        <w:rPr>
          <w:sz w:val="20"/>
          <w:szCs w:val="20"/>
        </w:rPr>
        <w:t>(</w:t>
      </w:r>
      <w:hyperlink r:id="rId20" w:history="1">
        <w:r w:rsidR="00B10AB8" w:rsidRPr="00B028F7">
          <w:rPr>
            <w:rStyle w:val="Hyperlink"/>
            <w:szCs w:val="20"/>
          </w:rPr>
          <w:t>https://cdn.environment.sa.gov.au/landscape/images/2023-Macro-GUIDE.pdf</w:t>
        </w:r>
      </w:hyperlink>
      <w:r w:rsidR="00B10AB8">
        <w:t xml:space="preserve">) </w:t>
      </w:r>
      <w:r w:rsidR="002F0CFB">
        <w:t>by the Murraylands and Riverland Landscape Board of South Australia</w:t>
      </w:r>
      <w:r w:rsidR="007B095C">
        <w:t>.</w:t>
      </w:r>
    </w:p>
    <w:p w14:paraId="5F36D47C" w14:textId="3B3EF276" w:rsidR="0025219D" w:rsidRPr="00550D7B" w:rsidRDefault="00BF48B8" w:rsidP="00A2521C">
      <w:pPr>
        <w:pStyle w:val="Heading5"/>
      </w:pPr>
      <w:bookmarkStart w:id="43" w:name="_Toc232747021"/>
      <w:r w:rsidRPr="00550D7B">
        <w:t>Aquatic i</w:t>
      </w:r>
      <w:r w:rsidR="0025219D" w:rsidRPr="00550D7B">
        <w:t>nsects</w:t>
      </w:r>
      <w:bookmarkEnd w:id="43"/>
    </w:p>
    <w:p w14:paraId="5960354B" w14:textId="04B5C7EA" w:rsidR="00B44738" w:rsidRDefault="0025219D" w:rsidP="0025219D">
      <w:r>
        <w:t>Insects are the most diverse group of freshwater macroinvertebrates within the ecological community (Walker et al. 2009</w:t>
      </w:r>
      <w:r w:rsidR="00B55C8D">
        <w:t>, 2018</w:t>
      </w:r>
      <w:r w:rsidR="00191BC4">
        <w:t>; Jennings et al. 2009</w:t>
      </w:r>
      <w:r>
        <w:t xml:space="preserve">). </w:t>
      </w:r>
      <w:r w:rsidR="00B35C00">
        <w:t>Most aquatic forms are the immature stage of species with airborne adults</w:t>
      </w:r>
      <w:r w:rsidR="00B55C8D">
        <w:t>, for example:</w:t>
      </w:r>
      <w:r w:rsidR="00B35C00">
        <w:t xml:space="preserve"> </w:t>
      </w:r>
      <w:r w:rsidR="003B1958">
        <w:t>Odonta (</w:t>
      </w:r>
      <w:r w:rsidR="00B35C00">
        <w:t xml:space="preserve">dragonflies, </w:t>
      </w:r>
      <w:r w:rsidR="0079575F">
        <w:t>damselflies</w:t>
      </w:r>
      <w:r w:rsidR="003B1958">
        <w:t>)</w:t>
      </w:r>
      <w:r w:rsidR="0079575F">
        <w:t xml:space="preserve">, </w:t>
      </w:r>
      <w:r w:rsidR="0030442B">
        <w:t>Ephemeroptera (</w:t>
      </w:r>
      <w:r w:rsidR="00B35C00">
        <w:t>mayflies</w:t>
      </w:r>
      <w:r w:rsidR="008D72B9">
        <w:t xml:space="preserve">), </w:t>
      </w:r>
      <w:r w:rsidR="00674E29">
        <w:t>Trichoptera (caddisflies</w:t>
      </w:r>
      <w:r w:rsidR="00B35C00">
        <w:t>)</w:t>
      </w:r>
      <w:r w:rsidR="00ED04FF">
        <w:t>. There are</w:t>
      </w:r>
      <w:r w:rsidR="0033428B">
        <w:t xml:space="preserve"> </w:t>
      </w:r>
      <w:r w:rsidR="00F921E2">
        <w:t xml:space="preserve">also </w:t>
      </w:r>
      <w:r w:rsidR="0033428B">
        <w:t>aquatic adults, particularly among the Coleoptera (beetles) and Hemiptera (bugs)</w:t>
      </w:r>
      <w:r w:rsidR="001D3FC4">
        <w:t xml:space="preserve">—with the latter </w:t>
      </w:r>
      <w:r w:rsidR="0003252A">
        <w:t>common in still waters</w:t>
      </w:r>
      <w:r w:rsidR="00F00D36">
        <w:t>, such as Coroxi</w:t>
      </w:r>
      <w:r w:rsidR="00DB2353">
        <w:t>dae (waterboatmen)</w:t>
      </w:r>
      <w:r w:rsidR="0003252A">
        <w:t xml:space="preserve"> </w:t>
      </w:r>
      <w:r w:rsidR="00E00E07">
        <w:t xml:space="preserve">in the water column and Gerridae (water striders) at the surface </w:t>
      </w:r>
      <w:r w:rsidR="0003252A">
        <w:t>(Jennings et al</w:t>
      </w:r>
      <w:r w:rsidR="007E05C7">
        <w:t>. 2009)</w:t>
      </w:r>
      <w:r w:rsidR="0033428B">
        <w:t>.</w:t>
      </w:r>
      <w:r w:rsidR="00A00356">
        <w:t xml:space="preserve"> </w:t>
      </w:r>
      <w:r w:rsidR="000F31C8">
        <w:t>Dipterans are the most diverse insect group</w:t>
      </w:r>
      <w:r w:rsidR="00AE6180">
        <w:t>, with these dominated by the Chironimidae (</w:t>
      </w:r>
      <w:r w:rsidR="003E39D9">
        <w:t xml:space="preserve">non-biting </w:t>
      </w:r>
      <w:r w:rsidR="00AE6180">
        <w:t>midge flies)</w:t>
      </w:r>
      <w:r w:rsidR="002E2E2C">
        <w:t xml:space="preserve">; saline ephemeral wetlands </w:t>
      </w:r>
      <w:r w:rsidR="00D25246">
        <w:t xml:space="preserve">attract </w:t>
      </w:r>
      <w:r w:rsidR="004D61F4">
        <w:t>brine flies (Ephydridae</w:t>
      </w:r>
      <w:r w:rsidR="001C4234">
        <w:t>) and midge</w:t>
      </w:r>
      <w:r w:rsidR="0034649B">
        <w:t xml:space="preserve">s </w:t>
      </w:r>
      <w:r w:rsidR="00180ABC">
        <w:t>(Walker et al. 2009</w:t>
      </w:r>
      <w:r w:rsidR="00D960AE">
        <w:t>,</w:t>
      </w:r>
      <w:r w:rsidR="00674E29">
        <w:t xml:space="preserve"> 2018).</w:t>
      </w:r>
    </w:p>
    <w:p w14:paraId="45B184BA" w14:textId="7AF572C3" w:rsidR="00E9764B" w:rsidRDefault="0025219D" w:rsidP="0025219D">
      <w:r>
        <w:t>A five</w:t>
      </w:r>
      <w:r w:rsidR="00953986">
        <w:t>-</w:t>
      </w:r>
      <w:r>
        <w:t>year survey of the River Murray in the early 1980s recorded 439 taxa</w:t>
      </w:r>
      <w:r w:rsidRPr="004B48BF">
        <w:t xml:space="preserve"> </w:t>
      </w:r>
      <w:r>
        <w:t>of aquatic macroinvertebrates</w:t>
      </w:r>
      <w:r w:rsidR="009D0A37">
        <w:t>, with</w:t>
      </w:r>
      <w:r w:rsidR="00B44738">
        <w:t xml:space="preserve"> </w:t>
      </w:r>
      <w:r>
        <w:t xml:space="preserve">368 </w:t>
      </w:r>
      <w:r w:rsidR="00B44738">
        <w:t xml:space="preserve">being </w:t>
      </w:r>
      <w:r>
        <w:t>insect</w:t>
      </w:r>
      <w:r w:rsidR="00B44738">
        <w:t xml:space="preserve">s—of these, </w:t>
      </w:r>
      <w:r>
        <w:t>66% were unknown or known only from aerial adult life stages rather than aquatic larval stages (Bennison and Suter</w:t>
      </w:r>
      <w:r w:rsidR="00437CA8">
        <w:t xml:space="preserve"> </w:t>
      </w:r>
      <w:r>
        <w:t>1990).</w:t>
      </w:r>
    </w:p>
    <w:p w14:paraId="63E1850A" w14:textId="476FDDC1" w:rsidR="00DE5937" w:rsidRPr="003C3BF5" w:rsidRDefault="000F73CC" w:rsidP="0025219D">
      <w:r>
        <w:t>Plecoptera (s</w:t>
      </w:r>
      <w:r w:rsidR="00DE5937">
        <w:t>toneflies</w:t>
      </w:r>
      <w:r>
        <w:t xml:space="preserve">) favour cool, flowing water and are rarely found in the River Murray, </w:t>
      </w:r>
      <w:r w:rsidR="001648AD">
        <w:t>with the exception of</w:t>
      </w:r>
      <w:r>
        <w:t xml:space="preserve"> </w:t>
      </w:r>
      <w:r w:rsidR="006E4FF7" w:rsidRPr="006E4FF7">
        <w:rPr>
          <w:i/>
          <w:iCs/>
        </w:rPr>
        <w:t>Dinotoperla</w:t>
      </w:r>
      <w:r w:rsidR="001648AD">
        <w:rPr>
          <w:i/>
          <w:iCs/>
        </w:rPr>
        <w:t xml:space="preserve">, </w:t>
      </w:r>
      <w:r w:rsidR="001648AD" w:rsidRPr="001648AD">
        <w:t xml:space="preserve">which </w:t>
      </w:r>
      <w:r w:rsidR="006E4FF7">
        <w:t>occurs in fast-flowing anabranches at Chowilla</w:t>
      </w:r>
      <w:r w:rsidR="00F85593">
        <w:t xml:space="preserve">; </w:t>
      </w:r>
      <w:r w:rsidR="00A83D4B">
        <w:t xml:space="preserve">in addition, </w:t>
      </w:r>
      <w:r w:rsidR="00911862">
        <w:t>f</w:t>
      </w:r>
      <w:r w:rsidR="007E49A9">
        <w:t xml:space="preserve">our species </w:t>
      </w:r>
      <w:r w:rsidR="002B4B5B">
        <w:t xml:space="preserve">of stonefly </w:t>
      </w:r>
      <w:r w:rsidR="00911862">
        <w:t xml:space="preserve">occur in the </w:t>
      </w:r>
      <w:r w:rsidR="007E49A9">
        <w:t>Eastern Mount Lofty streams</w:t>
      </w:r>
      <w:r w:rsidR="005A38F5">
        <w:t xml:space="preserve">, including two that are endemic to South Australia, </w:t>
      </w:r>
      <w:r w:rsidR="005A38F5" w:rsidRPr="00714F27">
        <w:rPr>
          <w:i/>
          <w:iCs/>
        </w:rPr>
        <w:t xml:space="preserve">Dinotoperla evansi </w:t>
      </w:r>
      <w:r w:rsidR="00D44133">
        <w:t>a</w:t>
      </w:r>
      <w:r w:rsidR="005A38F5">
        <w:t xml:space="preserve">nd </w:t>
      </w:r>
      <w:r w:rsidR="005A38F5" w:rsidRPr="00714F27">
        <w:rPr>
          <w:i/>
          <w:iCs/>
        </w:rPr>
        <w:t>Riekoperloa na</w:t>
      </w:r>
      <w:r w:rsidR="00714F27" w:rsidRPr="00714F27">
        <w:rPr>
          <w:i/>
          <w:iCs/>
        </w:rPr>
        <w:t>so</w:t>
      </w:r>
      <w:r w:rsidR="003C3BF5">
        <w:rPr>
          <w:i/>
          <w:iCs/>
        </w:rPr>
        <w:t xml:space="preserve"> </w:t>
      </w:r>
      <w:r w:rsidR="003C3BF5">
        <w:t>(Jennings et al. 2009).</w:t>
      </w:r>
      <w:r w:rsidR="00735A76">
        <w:t xml:space="preserve">  </w:t>
      </w:r>
    </w:p>
    <w:p w14:paraId="55827BE0" w14:textId="2B9720AD" w:rsidR="0025219D" w:rsidRDefault="00924FAB" w:rsidP="0025219D">
      <w:r>
        <w:t xml:space="preserve">Surveying </w:t>
      </w:r>
      <w:r w:rsidR="00794691">
        <w:t xml:space="preserve">the River Murray, </w:t>
      </w:r>
      <w:r w:rsidR="00B061F6">
        <w:t>Benn</w:t>
      </w:r>
      <w:r w:rsidR="007C2C8B">
        <w:t xml:space="preserve">ison &amp; Suter </w:t>
      </w:r>
      <w:r w:rsidR="00794691">
        <w:t>(</w:t>
      </w:r>
      <w:r w:rsidR="007C2C8B">
        <w:t>1990</w:t>
      </w:r>
      <w:r w:rsidR="00794691">
        <w:t>)</w:t>
      </w:r>
      <w:r w:rsidR="007C2C8B">
        <w:t xml:space="preserve"> found that the trend </w:t>
      </w:r>
      <w:r w:rsidR="0025219D">
        <w:t>in insect dominance over non-insect groups progressively decreased downstream at around Swan Hill in Victoria, with a clear increase in the crustacean populations downstream of Lock 9</w:t>
      </w:r>
      <w:r w:rsidR="00245B33">
        <w:t xml:space="preserve"> (i.e. within the ecological community)</w:t>
      </w:r>
      <w:r w:rsidR="0025219D">
        <w:t>. Of the five zones of macroinvertebrates identified</w:t>
      </w:r>
      <w:r>
        <w:t xml:space="preserve"> in their </w:t>
      </w:r>
      <w:r w:rsidR="0025219D">
        <w:t>survey, two</w:t>
      </w:r>
      <w:r>
        <w:t xml:space="preserve">, </w:t>
      </w:r>
      <w:r w:rsidR="0025219D">
        <w:t>Zone 4 and 5</w:t>
      </w:r>
      <w:r>
        <w:t>,</w:t>
      </w:r>
      <w:r w:rsidR="0025219D">
        <w:t xml:space="preserve"> overlap entirely with the ecological community.</w:t>
      </w:r>
    </w:p>
    <w:p w14:paraId="5E872F33" w14:textId="419FFD09" w:rsidR="00743999" w:rsidRDefault="00263E0F" w:rsidP="00790576">
      <w:pPr>
        <w:keepLines/>
      </w:pPr>
      <w:r>
        <w:t xml:space="preserve">Aquatic insects serve an important role in flood succession dynamics in wetlands, with early flood assemblages often including </w:t>
      </w:r>
      <w:r w:rsidR="00395BD9" w:rsidRPr="00E97135">
        <w:rPr>
          <w:i/>
          <w:iCs/>
        </w:rPr>
        <w:t>Agraptocorixa eurynome</w:t>
      </w:r>
      <w:r w:rsidR="00395BD9">
        <w:t xml:space="preserve"> (coroxid), midges</w:t>
      </w:r>
      <w:r w:rsidR="00E97135">
        <w:t xml:space="preserve">, and the alien snail </w:t>
      </w:r>
      <w:r w:rsidR="00E97135" w:rsidRPr="00E97135">
        <w:rPr>
          <w:i/>
          <w:iCs/>
        </w:rPr>
        <w:t>Physa</w:t>
      </w:r>
      <w:r w:rsidR="00E97135">
        <w:t xml:space="preserve"> </w:t>
      </w:r>
      <w:r w:rsidR="00E97135" w:rsidRPr="00E97135">
        <w:rPr>
          <w:i/>
          <w:iCs/>
        </w:rPr>
        <w:t>acuta.</w:t>
      </w:r>
      <w:r w:rsidR="00E97135">
        <w:t xml:space="preserve"> </w:t>
      </w:r>
      <w:r w:rsidR="006F2372">
        <w:t xml:space="preserve">Late flood assemblages in permanently connected wetlands often include </w:t>
      </w:r>
      <w:r w:rsidR="00145C42" w:rsidRPr="007722B6">
        <w:rPr>
          <w:i/>
          <w:iCs/>
        </w:rPr>
        <w:t>Cladotanytarsus</w:t>
      </w:r>
      <w:r w:rsidR="00145C42">
        <w:t xml:space="preserve"> (midge) and </w:t>
      </w:r>
      <w:r w:rsidR="00145C42" w:rsidRPr="00DB1914">
        <w:rPr>
          <w:i/>
          <w:iCs/>
        </w:rPr>
        <w:t>Paratya australiensis</w:t>
      </w:r>
      <w:r w:rsidR="00145C42">
        <w:t xml:space="preserve"> (</w:t>
      </w:r>
      <w:r w:rsidR="007722B6">
        <w:t>shrimp)</w:t>
      </w:r>
      <w:r w:rsidR="00B55C8D">
        <w:t xml:space="preserve"> (Walker et al. 2009, 2018).</w:t>
      </w:r>
    </w:p>
    <w:p w14:paraId="7859B305" w14:textId="2992E9C3" w:rsidR="00052172" w:rsidRPr="00550D7B" w:rsidRDefault="005F7B76" w:rsidP="00A2521C">
      <w:pPr>
        <w:pStyle w:val="Heading5"/>
      </w:pPr>
      <w:bookmarkStart w:id="44" w:name="_Toc232747022"/>
      <w:r>
        <w:t xml:space="preserve">Freshwater </w:t>
      </w:r>
      <w:r w:rsidR="00052172" w:rsidRPr="00550D7B">
        <w:t xml:space="preserve">Mussels </w:t>
      </w:r>
      <w:r w:rsidR="00FB47BB" w:rsidRPr="00550D7B">
        <w:t xml:space="preserve">(Mollusca) </w:t>
      </w:r>
      <w:r w:rsidR="00052172" w:rsidRPr="00550D7B">
        <w:t>and Snails</w:t>
      </w:r>
      <w:bookmarkEnd w:id="44"/>
      <w:r w:rsidR="00FB47BB" w:rsidRPr="00550D7B">
        <w:t xml:space="preserve"> (Gastropoda)</w:t>
      </w:r>
    </w:p>
    <w:p w14:paraId="4DDD65A1" w14:textId="662F7A07" w:rsidR="00B36867" w:rsidRDefault="00B36867" w:rsidP="00052172">
      <w:r>
        <w:t xml:space="preserve">Freshwater mussels provide a range of ecological functions such as water purification (biofiltration), nutrient cycling and storage, and food and habitat for other biota (Vaughn 2018). </w:t>
      </w:r>
      <w:r w:rsidR="00EF5427">
        <w:t>There are two main freshwater mussels in the Murray-Darling Basin,</w:t>
      </w:r>
      <w:r w:rsidR="001A6497">
        <w:t xml:space="preserve"> both of the family Hyriidae,</w:t>
      </w:r>
      <w:r w:rsidR="002C0A30">
        <w:t xml:space="preserve"> </w:t>
      </w:r>
      <w:r w:rsidR="00052602" w:rsidRPr="0005291F">
        <w:rPr>
          <w:i/>
        </w:rPr>
        <w:t>Alathyria jacksoni</w:t>
      </w:r>
      <w:r w:rsidR="00052602">
        <w:rPr>
          <w:i/>
        </w:rPr>
        <w:t xml:space="preserve"> </w:t>
      </w:r>
      <w:r w:rsidR="00052602">
        <w:t>(</w:t>
      </w:r>
      <w:r w:rsidR="00F8588C">
        <w:t>Murray</w:t>
      </w:r>
      <w:r w:rsidR="00C3689B">
        <w:t xml:space="preserve">-Darling </w:t>
      </w:r>
      <w:r w:rsidR="00052602">
        <w:t>river mussel)</w:t>
      </w:r>
      <w:r w:rsidR="00EF5427">
        <w:t>, which is endemic to the MDB,</w:t>
      </w:r>
      <w:r w:rsidR="00052602">
        <w:t xml:space="preserve"> </w:t>
      </w:r>
      <w:r w:rsidR="004D3576">
        <w:t xml:space="preserve">and </w:t>
      </w:r>
      <w:r w:rsidR="004D3576" w:rsidRPr="00EE0937">
        <w:rPr>
          <w:i/>
        </w:rPr>
        <w:t>Velesunio ambiguus</w:t>
      </w:r>
      <w:r w:rsidR="004D3576">
        <w:rPr>
          <w:i/>
        </w:rPr>
        <w:t xml:space="preserve"> </w:t>
      </w:r>
      <w:r w:rsidR="004D3576">
        <w:t>(floodplain mussel</w:t>
      </w:r>
      <w:r w:rsidR="00B028F7">
        <w:t>)</w:t>
      </w:r>
      <w:r w:rsidR="00841A7F">
        <w:t xml:space="preserve"> (Walker 1981</w:t>
      </w:r>
      <w:r w:rsidR="00D31748">
        <w:t>; Walker et al. 2018</w:t>
      </w:r>
      <w:r w:rsidR="00E80D0C">
        <w:t>; Sheldon et al. 2020</w:t>
      </w:r>
      <w:r w:rsidR="00841A7F">
        <w:t xml:space="preserve">). </w:t>
      </w:r>
      <w:r w:rsidR="00335416">
        <w:t xml:space="preserve">Both </w:t>
      </w:r>
      <w:r w:rsidR="00B26F8C">
        <w:t xml:space="preserve">are </w:t>
      </w:r>
      <w:r w:rsidR="001334F3">
        <w:lastRenderedPageBreak/>
        <w:t xml:space="preserve">culturally </w:t>
      </w:r>
      <w:r w:rsidR="00052172">
        <w:t xml:space="preserve">important for </w:t>
      </w:r>
      <w:r w:rsidR="00F71D3F">
        <w:t xml:space="preserve">First Nations </w:t>
      </w:r>
      <w:r w:rsidR="00052172">
        <w:t>people</w:t>
      </w:r>
      <w:r w:rsidR="00F71D3F">
        <w:t>s</w:t>
      </w:r>
      <w:r w:rsidR="00052172">
        <w:t xml:space="preserve"> living along the</w:t>
      </w:r>
      <w:r w:rsidR="009E2F70">
        <w:t xml:space="preserve"> R</w:t>
      </w:r>
      <w:r w:rsidR="00052172">
        <w:t xml:space="preserve">iver </w:t>
      </w:r>
      <w:r w:rsidR="009E2F70">
        <w:t xml:space="preserve">Murray </w:t>
      </w:r>
      <w:r w:rsidR="00052172">
        <w:t xml:space="preserve">(Walker et al. 2009). </w:t>
      </w:r>
      <w:r w:rsidR="00335416">
        <w:t>These two species ar</w:t>
      </w:r>
      <w:r w:rsidR="00774153">
        <w:t xml:space="preserve">e also the main two freshwater mussels within the ecological community. </w:t>
      </w:r>
      <w:r w:rsidR="006A171C" w:rsidRPr="006A171C">
        <w:rPr>
          <w:i/>
          <w:iCs/>
        </w:rPr>
        <w:t>A. jacksoni</w:t>
      </w:r>
      <w:r w:rsidR="006A171C">
        <w:t xml:space="preserve"> is adapted for big river environments, such as the </w:t>
      </w:r>
      <w:r w:rsidR="00241164">
        <w:t xml:space="preserve">littoral areas of </w:t>
      </w:r>
      <w:r w:rsidR="006A171C">
        <w:t>faster-flowing channel reaches of the Murray and its larger tributaries</w:t>
      </w:r>
      <w:r w:rsidR="00380BDC">
        <w:t>;</w:t>
      </w:r>
      <w:r w:rsidR="006A171C">
        <w:t xml:space="preserve"> </w:t>
      </w:r>
      <w:r w:rsidR="00301696">
        <w:t xml:space="preserve">it is currently (2024) under assessment for threatened status under the EPBC Act. </w:t>
      </w:r>
      <w:r w:rsidR="00B06DD7">
        <w:t>T</w:t>
      </w:r>
      <w:r w:rsidR="006A171C">
        <w:t>he larger</w:t>
      </w:r>
      <w:r w:rsidR="00B06DD7">
        <w:t xml:space="preserve"> of the two species,</w:t>
      </w:r>
      <w:r w:rsidR="006A171C">
        <w:t xml:space="preserve"> </w:t>
      </w:r>
      <w:r w:rsidR="006A171C" w:rsidRPr="00EE0937">
        <w:rPr>
          <w:i/>
        </w:rPr>
        <w:t>V</w:t>
      </w:r>
      <w:r w:rsidR="006A171C">
        <w:rPr>
          <w:i/>
        </w:rPr>
        <w:t>.</w:t>
      </w:r>
      <w:r w:rsidR="006A171C" w:rsidRPr="00EE0937">
        <w:rPr>
          <w:i/>
        </w:rPr>
        <w:t xml:space="preserve"> ambiguus</w:t>
      </w:r>
      <w:r w:rsidR="006A171C">
        <w:rPr>
          <w:i/>
        </w:rPr>
        <w:t xml:space="preserve"> </w:t>
      </w:r>
      <w:r w:rsidR="006A171C">
        <w:t>is typical of billabongs, lakes, creeks, small streams and often occurs in weir-pools (Walker 1990</w:t>
      </w:r>
      <w:r w:rsidR="00795F26">
        <w:t>; Walker et al. 2001, 2014</w:t>
      </w:r>
      <w:r w:rsidR="008F032B">
        <w:t>; Ponder et al. 2023</w:t>
      </w:r>
      <w:r w:rsidR="006A171C">
        <w:t>).</w:t>
      </w:r>
      <w:r w:rsidR="00BD09E8">
        <w:t xml:space="preserve"> </w:t>
      </w:r>
      <w:r w:rsidR="00774153">
        <w:t xml:space="preserve"> </w:t>
      </w:r>
    </w:p>
    <w:p w14:paraId="2435ADD8" w14:textId="318B7392" w:rsidR="00052172" w:rsidRDefault="00E10B9B" w:rsidP="00052172">
      <w:r>
        <w:t>A third</w:t>
      </w:r>
      <w:r w:rsidR="00B36867">
        <w:t xml:space="preserve"> species</w:t>
      </w:r>
      <w:r>
        <w:t xml:space="preserve">, </w:t>
      </w:r>
      <w:r w:rsidR="004267D5">
        <w:t xml:space="preserve">a </w:t>
      </w:r>
      <w:r>
        <w:t xml:space="preserve">smaller orb-shell mussel </w:t>
      </w:r>
      <w:r w:rsidRPr="004267D5">
        <w:rPr>
          <w:i/>
          <w:iCs/>
        </w:rPr>
        <w:t>Corbicula australis</w:t>
      </w:r>
      <w:r>
        <w:t xml:space="preserve"> </w:t>
      </w:r>
      <w:r w:rsidR="004267D5">
        <w:t xml:space="preserve">(family Cyrenidae) </w:t>
      </w:r>
      <w:r>
        <w:t>is common in Lake</w:t>
      </w:r>
      <w:r w:rsidR="00BB367E">
        <w:t xml:space="preserve"> Alexandrin</w:t>
      </w:r>
      <w:r w:rsidR="004267D5">
        <w:t xml:space="preserve">a, along with </w:t>
      </w:r>
      <w:r w:rsidR="0018005A">
        <w:t>the floodplain mussel</w:t>
      </w:r>
      <w:r w:rsidR="00BD09E8">
        <w:t xml:space="preserve"> (Walker et al. 2018)</w:t>
      </w:r>
      <w:r w:rsidR="0018005A">
        <w:t>. Both these species also occur upst</w:t>
      </w:r>
      <w:r w:rsidR="00BD09E8">
        <w:t>r</w:t>
      </w:r>
      <w:r w:rsidR="0018005A">
        <w:t>eam in wetlands and slow-flowing sections of the River Murray (Walker 1981</w:t>
      </w:r>
      <w:r w:rsidR="00FE6953">
        <w:t xml:space="preserve">; Walker et al. 2009). </w:t>
      </w:r>
      <w:r w:rsidR="00052172">
        <w:t xml:space="preserve"> </w:t>
      </w:r>
    </w:p>
    <w:p w14:paraId="3A5B0804" w14:textId="1ECD60C3" w:rsidR="00052172" w:rsidRDefault="00052172" w:rsidP="00052172">
      <w:r>
        <w:t xml:space="preserve">Eighteen species of native aquatic snails have been recorded from the region of the ecological community (i.e. Lower Murray), but most now have very patchy distributions or have disappeared entirely (Walker et al. 2009 and references therein). </w:t>
      </w:r>
      <w:r w:rsidR="00AD2D62">
        <w:t xml:space="preserve">As of the mid-1990s, the </w:t>
      </w:r>
      <w:r w:rsidR="00FF28FA">
        <w:t>only native gastropod</w:t>
      </w:r>
      <w:r w:rsidR="006415F8">
        <w:t>s</w:t>
      </w:r>
      <w:r w:rsidR="00FF28FA">
        <w:t xml:space="preserve"> taxa </w:t>
      </w:r>
      <w:r w:rsidR="006415F8">
        <w:t xml:space="preserve">that are </w:t>
      </w:r>
      <w:r w:rsidR="00FF28FA">
        <w:t xml:space="preserve">common within the </w:t>
      </w:r>
      <w:r w:rsidR="00677149">
        <w:t>RMDS</w:t>
      </w:r>
      <w:r w:rsidR="00FF28FA">
        <w:t xml:space="preserve"> are the freshwater limp</w:t>
      </w:r>
      <w:r w:rsidR="006415F8">
        <w:t>e</w:t>
      </w:r>
      <w:r w:rsidR="00FF28FA">
        <w:t>ts, Ancylidae</w:t>
      </w:r>
      <w:r w:rsidR="00F26BAA">
        <w:t xml:space="preserve">(Botting 1995 in Ponder &amp; Walker 2003). </w:t>
      </w:r>
      <w:r>
        <w:t xml:space="preserve">The most common </w:t>
      </w:r>
      <w:r w:rsidR="006415F8">
        <w:t xml:space="preserve">gastropod </w:t>
      </w:r>
      <w:r>
        <w:t>species</w:t>
      </w:r>
      <w:r w:rsidR="006415F8">
        <w:t xml:space="preserve"> </w:t>
      </w:r>
      <w:r w:rsidR="002523EE">
        <w:t xml:space="preserve">in the </w:t>
      </w:r>
      <w:r w:rsidR="00677149">
        <w:t>RMDS</w:t>
      </w:r>
      <w:r w:rsidR="002523EE">
        <w:t xml:space="preserve"> at present, </w:t>
      </w:r>
      <w:r>
        <w:t xml:space="preserve">are </w:t>
      </w:r>
      <w:r w:rsidR="00FC6511">
        <w:t xml:space="preserve">two introduced species—the </w:t>
      </w:r>
      <w:r>
        <w:t>European aquarium snail</w:t>
      </w:r>
      <w:r w:rsidR="002523EE">
        <w:t xml:space="preserve"> (</w:t>
      </w:r>
      <w:r w:rsidRPr="00BA160B">
        <w:rPr>
          <w:i/>
        </w:rPr>
        <w:t>Physa acuta</w:t>
      </w:r>
      <w:r w:rsidR="002523EE" w:rsidRPr="002523EE">
        <w:rPr>
          <w:iCs/>
        </w:rPr>
        <w:t>)</w:t>
      </w:r>
      <w:r>
        <w:t xml:space="preserve"> and the New Zealand mudsnail</w:t>
      </w:r>
      <w:r w:rsidR="002523EE">
        <w:t xml:space="preserve"> (</w:t>
      </w:r>
      <w:r w:rsidRPr="001F64B7">
        <w:rPr>
          <w:i/>
        </w:rPr>
        <w:t xml:space="preserve">Potamopyrgus </w:t>
      </w:r>
      <w:r>
        <w:rPr>
          <w:rStyle w:val="Emphasis"/>
        </w:rPr>
        <w:t>antipodarum</w:t>
      </w:r>
      <w:r w:rsidR="002523EE" w:rsidRPr="002523EE">
        <w:rPr>
          <w:rStyle w:val="Emphasis"/>
          <w:i w:val="0"/>
          <w:iCs w:val="0"/>
        </w:rPr>
        <w:t>)</w:t>
      </w:r>
      <w:r w:rsidRPr="001F64B7">
        <w:rPr>
          <w:i/>
        </w:rPr>
        <w:t>.</w:t>
      </w:r>
      <w:r w:rsidR="000C6EE4">
        <w:rPr>
          <w:i/>
        </w:rPr>
        <w:t xml:space="preserve"> </w:t>
      </w:r>
      <w:r w:rsidR="000C6EE4" w:rsidRPr="000C6EE4">
        <w:rPr>
          <w:iCs/>
        </w:rPr>
        <w:t xml:space="preserve">(See </w:t>
      </w:r>
      <w:r w:rsidR="00677149">
        <w:rPr>
          <w:iCs/>
        </w:rPr>
        <w:t xml:space="preserve">also </w:t>
      </w:r>
      <w:r w:rsidR="000C6EE4" w:rsidRPr="00677149">
        <w:rPr>
          <w:iCs/>
          <w:u w:val="single"/>
        </w:rPr>
        <w:t xml:space="preserve">Section </w:t>
      </w:r>
      <w:r w:rsidR="00677149" w:rsidRPr="00677149">
        <w:rPr>
          <w:iCs/>
          <w:u w:val="single"/>
        </w:rPr>
        <w:t>6</w:t>
      </w:r>
      <w:r w:rsidR="000C6EE4" w:rsidRPr="000C6EE4">
        <w:rPr>
          <w:iCs/>
        </w:rPr>
        <w:t>, Criterion 3).</w:t>
      </w:r>
    </w:p>
    <w:p w14:paraId="36123157" w14:textId="61E663BB" w:rsidR="00ED1715" w:rsidRPr="00550D7B" w:rsidRDefault="00ED1715" w:rsidP="00A2521C">
      <w:pPr>
        <w:pStyle w:val="Heading5"/>
      </w:pPr>
      <w:bookmarkStart w:id="45" w:name="_Toc232747023"/>
      <w:r w:rsidRPr="00550D7B">
        <w:t>Crayfish</w:t>
      </w:r>
      <w:bookmarkEnd w:id="45"/>
    </w:p>
    <w:p w14:paraId="4C127457" w14:textId="2A221BC4" w:rsidR="00241048" w:rsidRDefault="00ED1715" w:rsidP="00ED1715">
      <w:r>
        <w:t xml:space="preserve">Crayfish (Parastacidae) are an important element of Australia’s native freshwater fauna. The River Murray is inhabited by two </w:t>
      </w:r>
      <w:r w:rsidR="00806EAE">
        <w:t xml:space="preserve">native </w:t>
      </w:r>
      <w:r>
        <w:t>freshwater crayfish</w:t>
      </w:r>
      <w:r w:rsidR="00165BE5">
        <w:t xml:space="preserve">—the </w:t>
      </w:r>
      <w:r>
        <w:t xml:space="preserve">relatively small </w:t>
      </w:r>
      <w:r w:rsidRPr="008422C6">
        <w:rPr>
          <w:i/>
        </w:rPr>
        <w:t>Cherax destructor</w:t>
      </w:r>
      <w:r>
        <w:t xml:space="preserve"> (yabbie)</w:t>
      </w:r>
      <w:r w:rsidR="00165BE5">
        <w:t>,</w:t>
      </w:r>
      <w:r>
        <w:t xml:space="preserve"> which is distributed widely in south-eastern Australia, and the larger </w:t>
      </w:r>
      <w:r w:rsidRPr="008422C6">
        <w:rPr>
          <w:i/>
        </w:rPr>
        <w:t>Euastacus armatus</w:t>
      </w:r>
      <w:r>
        <w:rPr>
          <w:i/>
        </w:rPr>
        <w:t xml:space="preserve"> </w:t>
      </w:r>
      <w:r>
        <w:t>(Murray crayfish)</w:t>
      </w:r>
      <w:r w:rsidR="00165BE5">
        <w:t>,</w:t>
      </w:r>
      <w:r>
        <w:t xml:space="preserve"> which is restricted to the River Murray and its tributaries (Geddes, 1990</w:t>
      </w:r>
      <w:r w:rsidR="00672F89">
        <w:t>; Whiterod &amp; Zukowski 2019</w:t>
      </w:r>
      <w:r>
        <w:t xml:space="preserve">). </w:t>
      </w:r>
      <w:r w:rsidR="00301696" w:rsidRPr="00301696">
        <w:rPr>
          <w:i/>
          <w:iCs/>
        </w:rPr>
        <w:t>E. armatus</w:t>
      </w:r>
      <w:r w:rsidR="00301696">
        <w:t xml:space="preserve"> is currently (2024) under assessment for threatened status under the EPBC Act.</w:t>
      </w:r>
      <w:r w:rsidR="00FE5B1D">
        <w:t xml:space="preserve"> </w:t>
      </w:r>
      <w:r w:rsidR="00A65954">
        <w:t xml:space="preserve"> </w:t>
      </w:r>
      <w:r>
        <w:t xml:space="preserve">While yabbies remain relatively common, the Murray crayfish </w:t>
      </w:r>
      <w:r w:rsidR="00A27C4A">
        <w:t xml:space="preserve">is extirpated from </w:t>
      </w:r>
      <w:r>
        <w:t xml:space="preserve">the </w:t>
      </w:r>
      <w:r w:rsidR="00941130">
        <w:t xml:space="preserve">River </w:t>
      </w:r>
      <w:r>
        <w:t>Murray downstream of Mildura (Lock 11</w:t>
      </w:r>
      <w:r w:rsidR="00941130">
        <w:t>)</w:t>
      </w:r>
      <w:r>
        <w:t xml:space="preserve">; i.e. </w:t>
      </w:r>
      <w:r w:rsidR="00941130">
        <w:t xml:space="preserve">within </w:t>
      </w:r>
      <w:r>
        <w:t>the entire ecological communit</w:t>
      </w:r>
      <w:r w:rsidR="00A27C4A">
        <w:t>y</w:t>
      </w:r>
      <w:r>
        <w:t xml:space="preserve"> (Geddes 1990;</w:t>
      </w:r>
      <w:r w:rsidRPr="00BB7B39">
        <w:t xml:space="preserve"> </w:t>
      </w:r>
      <w:r>
        <w:t>Newall et al. 2009) and the species is considered extinct in South Australia</w:t>
      </w:r>
      <w:r w:rsidR="00E5365B">
        <w:t>,</w:t>
      </w:r>
      <w:r>
        <w:t xml:space="preserve"> with no records since the 1980s (Walker et al. 2009).</w:t>
      </w:r>
      <w:r w:rsidR="00E5365B">
        <w:t xml:space="preserve"> </w:t>
      </w:r>
    </w:p>
    <w:p w14:paraId="7E99E6B0" w14:textId="568B5A66" w:rsidR="0004655A" w:rsidRDefault="0004655A" w:rsidP="00A2521C">
      <w:pPr>
        <w:pStyle w:val="Heading5"/>
      </w:pPr>
      <w:bookmarkStart w:id="46" w:name="_Toc363639649"/>
      <w:r>
        <w:t>Vertebrates</w:t>
      </w:r>
    </w:p>
    <w:p w14:paraId="640827F0" w14:textId="7C5C5E48" w:rsidR="00C115AF" w:rsidRPr="00B47084" w:rsidRDefault="00C115AF" w:rsidP="00AD4454">
      <w:pPr>
        <w:pStyle w:val="Heading6"/>
      </w:pPr>
      <w:r w:rsidRPr="00B47084">
        <w:t>Fish</w:t>
      </w:r>
      <w:bookmarkEnd w:id="46"/>
      <w:r w:rsidR="00550D7B">
        <w:t xml:space="preserve"> </w:t>
      </w:r>
    </w:p>
    <w:p w14:paraId="324FC3CE" w14:textId="0D4132B0" w:rsidR="00D55D82" w:rsidRDefault="00BF15BC" w:rsidP="001E2A13">
      <w:pPr>
        <w:keepLines/>
      </w:pPr>
      <w:r>
        <w:t xml:space="preserve">Over 50 </w:t>
      </w:r>
      <w:r w:rsidR="004C2744">
        <w:t xml:space="preserve">species of native fish </w:t>
      </w:r>
      <w:r>
        <w:t xml:space="preserve">(freshwater and diadromous) </w:t>
      </w:r>
      <w:r w:rsidR="004C2744">
        <w:t xml:space="preserve">and 11 species of </w:t>
      </w:r>
      <w:r w:rsidR="003575E4">
        <w:t>introduced</w:t>
      </w:r>
      <w:r w:rsidR="004C2744">
        <w:t xml:space="preserve"> fish </w:t>
      </w:r>
      <w:r w:rsidR="003575E4">
        <w:t xml:space="preserve">species </w:t>
      </w:r>
      <w:r w:rsidR="004C2744">
        <w:t xml:space="preserve">have been recorded within the </w:t>
      </w:r>
      <w:r w:rsidR="002329B1">
        <w:t xml:space="preserve">entire </w:t>
      </w:r>
      <w:r w:rsidR="003208C5">
        <w:t>Murray-Darling Basin</w:t>
      </w:r>
      <w:r w:rsidR="00745A4B">
        <w:t xml:space="preserve"> (MDBA 2020</w:t>
      </w:r>
      <w:r w:rsidR="00F53731">
        <w:t>; Linterman</w:t>
      </w:r>
      <w:r w:rsidR="00BA05A1">
        <w:t>s 2023</w:t>
      </w:r>
      <w:r w:rsidR="00745A4B">
        <w:t>).</w:t>
      </w:r>
      <w:r w:rsidR="003B5EB3">
        <w:t xml:space="preserve"> </w:t>
      </w:r>
      <w:r w:rsidR="003208C5">
        <w:t xml:space="preserve"> </w:t>
      </w:r>
      <w:r w:rsidR="00F135BF">
        <w:t xml:space="preserve">Notwithstanding marine </w:t>
      </w:r>
      <w:r w:rsidR="002329B1">
        <w:t xml:space="preserve">dependent </w:t>
      </w:r>
      <w:r w:rsidR="00F135BF">
        <w:t>visitors</w:t>
      </w:r>
      <w:r w:rsidR="002329B1">
        <w:t xml:space="preserve"> and </w:t>
      </w:r>
      <w:r w:rsidR="00F135BF">
        <w:t>strays, a</w:t>
      </w:r>
      <w:r w:rsidR="00C115AF">
        <w:t xml:space="preserve">t least </w:t>
      </w:r>
      <w:r w:rsidR="00AC3F93" w:rsidRPr="007C2B6C">
        <w:t>5</w:t>
      </w:r>
      <w:r w:rsidR="007C2B6C" w:rsidRPr="007C2B6C">
        <w:t>5</w:t>
      </w:r>
      <w:r w:rsidR="00C115AF">
        <w:t xml:space="preserve"> species of fish </w:t>
      </w:r>
      <w:r w:rsidR="00D634F6">
        <w:t xml:space="preserve">have been recorded </w:t>
      </w:r>
      <w:r w:rsidR="00C115AF">
        <w:t xml:space="preserve">within the region of the ecological community, of which </w:t>
      </w:r>
      <w:r w:rsidR="00AC3F93" w:rsidRPr="007C2B6C">
        <w:t>4</w:t>
      </w:r>
      <w:r w:rsidR="007C2B6C">
        <w:t>7</w:t>
      </w:r>
      <w:r w:rsidR="00C115AF">
        <w:t xml:space="preserve"> are native and eight are </w:t>
      </w:r>
      <w:r w:rsidR="00CB215F">
        <w:t>introduced invasive</w:t>
      </w:r>
      <w:r w:rsidR="00C115AF">
        <w:t xml:space="preserve"> species</w:t>
      </w:r>
      <w:r w:rsidR="00222D83">
        <w:t xml:space="preserve"> (Hammer and Walker 2004; Smith &amp; Hammer 2006; Ye and Hammer 2009; Wedderburn and Suitor 2012; Bice et al. 2018).</w:t>
      </w:r>
      <w:r w:rsidR="00172117">
        <w:t xml:space="preserve"> </w:t>
      </w:r>
      <w:r w:rsidR="00804669">
        <w:t xml:space="preserve">Thirteen of the </w:t>
      </w:r>
      <w:r w:rsidR="00B86E54">
        <w:t>ecological communit</w:t>
      </w:r>
      <w:r w:rsidR="004C0DBE">
        <w:t>y’s</w:t>
      </w:r>
      <w:r w:rsidR="00804669">
        <w:t xml:space="preserve"> native fish species are recognised as threatened under national and/or State legislation, </w:t>
      </w:r>
      <w:r w:rsidR="001F6727">
        <w:t>including</w:t>
      </w:r>
      <w:r w:rsidR="00804669">
        <w:t xml:space="preserve"> </w:t>
      </w:r>
      <w:r w:rsidR="00DA677F">
        <w:t>f</w:t>
      </w:r>
      <w:r w:rsidR="0011798A">
        <w:t xml:space="preserve">ive </w:t>
      </w:r>
      <w:r w:rsidR="001F6727">
        <w:t xml:space="preserve">as </w:t>
      </w:r>
      <w:r w:rsidR="0011798A">
        <w:t xml:space="preserve">locally extinct </w:t>
      </w:r>
      <w:r w:rsidR="00804669">
        <w:t>(</w:t>
      </w:r>
      <w:r w:rsidR="00BA722B" w:rsidRPr="00F53731">
        <w:rPr>
          <w:u w:val="single"/>
        </w:rPr>
        <w:t>Table 8</w:t>
      </w:r>
      <w:r w:rsidR="00BA722B">
        <w:t xml:space="preserve">; </w:t>
      </w:r>
      <w:r w:rsidR="00804669" w:rsidRPr="004C0DBE">
        <w:rPr>
          <w:u w:val="single"/>
        </w:rPr>
        <w:t xml:space="preserve">Appendix </w:t>
      </w:r>
      <w:r w:rsidR="00F53731" w:rsidRPr="004C0DBE">
        <w:rPr>
          <w:u w:val="single"/>
        </w:rPr>
        <w:t>B</w:t>
      </w:r>
      <w:r w:rsidR="00804669" w:rsidRPr="004C0DBE">
        <w:rPr>
          <w:u w:val="single"/>
        </w:rPr>
        <w:t xml:space="preserve">, Table </w:t>
      </w:r>
      <w:r w:rsidR="00F53731" w:rsidRPr="004C0DBE">
        <w:rPr>
          <w:u w:val="single"/>
        </w:rPr>
        <w:t>B</w:t>
      </w:r>
      <w:r w:rsidR="000A301A" w:rsidRPr="004C0DBE">
        <w:rPr>
          <w:u w:val="single"/>
        </w:rPr>
        <w:t>2</w:t>
      </w:r>
      <w:r w:rsidR="00804669" w:rsidRPr="004C0DBE">
        <w:t>).</w:t>
      </w:r>
      <w:r w:rsidR="00804669">
        <w:t xml:space="preserve">  </w:t>
      </w:r>
      <w:bookmarkStart w:id="47" w:name="_Toc232747178"/>
      <w:bookmarkStart w:id="48" w:name="_Toc232747254"/>
      <w:bookmarkStart w:id="49" w:name="_Toc232747497"/>
    </w:p>
    <w:p w14:paraId="3BD52343" w14:textId="155259B1" w:rsidR="00AD4454" w:rsidRDefault="00AD4454" w:rsidP="001E2A13">
      <w:pPr>
        <w:keepLines/>
      </w:pPr>
      <w:r>
        <w:t xml:space="preserve">The fish fauna of the RMDS is predominantly temperate/subtropical species endemic to south-eastern Australia. The majority are freshwater forms, including the keystone species </w:t>
      </w:r>
      <w:r w:rsidRPr="000D6801">
        <w:rPr>
          <w:i/>
        </w:rPr>
        <w:t>Maccullochella peelii</w:t>
      </w:r>
      <w:r>
        <w:rPr>
          <w:i/>
        </w:rPr>
        <w:t xml:space="preserve"> </w:t>
      </w:r>
      <w:r>
        <w:t xml:space="preserve">(Murray cod), with nine species that are diadromous, and further nine that are solely estuarine (Bice et al. 2018; see </w:t>
      </w:r>
      <w:r w:rsidRPr="00FC45FA">
        <w:rPr>
          <w:u w:val="single"/>
        </w:rPr>
        <w:t>Appendix B, Table B2</w:t>
      </w:r>
      <w:r>
        <w:rPr>
          <w:u w:val="single"/>
        </w:rPr>
        <w:t>)</w:t>
      </w:r>
      <w:r>
        <w:t xml:space="preserve">. The region of the ecological community forms a considerable portion of the Murray-Darling Basin range for at least 14 species (Ye &amp; Hammer 2009; </w:t>
      </w:r>
      <w:r w:rsidRPr="00AC6A4B">
        <w:rPr>
          <w:u w:val="single"/>
        </w:rPr>
        <w:t xml:space="preserve">Table </w:t>
      </w:r>
      <w:r>
        <w:rPr>
          <w:u w:val="single"/>
        </w:rPr>
        <w:t>8</w:t>
      </w:r>
      <w:r>
        <w:t xml:space="preserve">), with several species also occurring in nearby coastal systems (Bice et al. 2018; </w:t>
      </w:r>
      <w:r w:rsidRPr="00B8696D">
        <w:rPr>
          <w:u w:val="single"/>
        </w:rPr>
        <w:t xml:space="preserve">Table </w:t>
      </w:r>
      <w:r>
        <w:rPr>
          <w:u w:val="single"/>
        </w:rPr>
        <w:t>9</w:t>
      </w:r>
      <w:r>
        <w:t>). Of note is that at least three marine-estuarine opportunist</w:t>
      </w:r>
    </w:p>
    <w:p w14:paraId="76E0DE3A" w14:textId="72D0A921" w:rsidR="00C135C9" w:rsidRPr="000269AC" w:rsidRDefault="00790576" w:rsidP="00790576">
      <w:pPr>
        <w:pStyle w:val="Caption"/>
        <w:rPr>
          <w:b w:val="0"/>
          <w:bCs/>
          <w:sz w:val="20"/>
          <w:szCs w:val="20"/>
        </w:rPr>
      </w:pPr>
      <w:r>
        <w:lastRenderedPageBreak/>
        <w:t xml:space="preserve">Table </w:t>
      </w:r>
      <w:r>
        <w:fldChar w:fldCharType="begin"/>
      </w:r>
      <w:r>
        <w:instrText xml:space="preserve"> SEQ Table \* ARABIC </w:instrText>
      </w:r>
      <w:r>
        <w:fldChar w:fldCharType="separate"/>
      </w:r>
      <w:r w:rsidR="006D35C5">
        <w:rPr>
          <w:noProof/>
        </w:rPr>
        <w:t>8</w:t>
      </w:r>
      <w:r>
        <w:fldChar w:fldCharType="end"/>
      </w:r>
      <w:r w:rsidR="00C135C9" w:rsidRPr="00B53CCA">
        <w:rPr>
          <w:bCs/>
        </w:rPr>
        <w:t xml:space="preserve">: </w:t>
      </w:r>
      <w:r w:rsidR="00C135C9" w:rsidRPr="000269AC">
        <w:rPr>
          <w:bCs/>
        </w:rPr>
        <w:t xml:space="preserve">Aspects of fish diversity across the </w:t>
      </w:r>
      <w:r w:rsidR="00877A9E" w:rsidRPr="000269AC">
        <w:rPr>
          <w:bCs/>
        </w:rPr>
        <w:t xml:space="preserve">broader region of the </w:t>
      </w:r>
      <w:r w:rsidR="00C135C9" w:rsidRPr="000269AC">
        <w:rPr>
          <w:bCs/>
        </w:rPr>
        <w:t xml:space="preserve">ecological </w:t>
      </w:r>
      <w:bookmarkEnd w:id="47"/>
      <w:bookmarkEnd w:id="48"/>
      <w:bookmarkEnd w:id="49"/>
      <w:r w:rsidR="009E0181" w:rsidRPr="000269AC">
        <w:rPr>
          <w:bCs/>
        </w:rPr>
        <w:t>community</w:t>
      </w:r>
      <w:r w:rsidR="009E0181" w:rsidRPr="000269AC">
        <w:rPr>
          <w:bCs/>
          <w:i/>
        </w:rPr>
        <w:t>.</w:t>
      </w:r>
      <w:r w:rsidR="009E0181" w:rsidRPr="000269AC">
        <w:rPr>
          <w:bCs/>
        </w:rPr>
        <w:t xml:space="preserve"> *</w:t>
      </w: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2396"/>
        <w:gridCol w:w="2976"/>
        <w:gridCol w:w="1986"/>
      </w:tblGrid>
      <w:tr w:rsidR="002E49C7" w:rsidRPr="00AD4454" w14:paraId="03D1F701" w14:textId="77777777" w:rsidTr="00AD4454">
        <w:trPr>
          <w:tblHeader/>
        </w:trPr>
        <w:tc>
          <w:tcPr>
            <w:tcW w:w="1066" w:type="pct"/>
            <w:shd w:val="clear" w:color="auto" w:fill="DEEAF6" w:themeFill="accent1" w:themeFillTint="33"/>
          </w:tcPr>
          <w:p w14:paraId="47BD2FEF" w14:textId="77777777" w:rsidR="002E49C7" w:rsidRPr="00AD4454" w:rsidRDefault="002E49C7" w:rsidP="00CD5901">
            <w:pPr>
              <w:pStyle w:val="tableheadertext"/>
            </w:pPr>
            <w:r w:rsidRPr="00AD4454">
              <w:t>Component</w:t>
            </w:r>
          </w:p>
        </w:tc>
        <w:tc>
          <w:tcPr>
            <w:tcW w:w="1281" w:type="pct"/>
            <w:shd w:val="clear" w:color="auto" w:fill="DEEAF6" w:themeFill="accent1" w:themeFillTint="33"/>
          </w:tcPr>
          <w:p w14:paraId="3FE4BA5E" w14:textId="77777777" w:rsidR="002E49C7" w:rsidRPr="00AD4454" w:rsidRDefault="002E49C7" w:rsidP="00CD5901">
            <w:pPr>
              <w:pStyle w:val="tableheadertext"/>
            </w:pPr>
            <w:r w:rsidRPr="00AD4454">
              <w:t>Numbers of species</w:t>
            </w:r>
          </w:p>
        </w:tc>
        <w:tc>
          <w:tcPr>
            <w:tcW w:w="1591" w:type="pct"/>
            <w:shd w:val="clear" w:color="auto" w:fill="DEEAF6" w:themeFill="accent1" w:themeFillTint="33"/>
          </w:tcPr>
          <w:p w14:paraId="44CE7A1F" w14:textId="77777777" w:rsidR="002E49C7" w:rsidRPr="00AD4454" w:rsidRDefault="002E49C7" w:rsidP="00CD5901">
            <w:pPr>
              <w:pStyle w:val="tableheadertext"/>
            </w:pPr>
            <w:r w:rsidRPr="00AD4454">
              <w:t>Taxa**</w:t>
            </w:r>
          </w:p>
        </w:tc>
        <w:tc>
          <w:tcPr>
            <w:tcW w:w="1062" w:type="pct"/>
            <w:shd w:val="clear" w:color="auto" w:fill="DEEAF6" w:themeFill="accent1" w:themeFillTint="33"/>
          </w:tcPr>
          <w:p w14:paraId="402FC629" w14:textId="77777777" w:rsidR="002E49C7" w:rsidRPr="00AD4454" w:rsidRDefault="002E49C7" w:rsidP="00CD5901">
            <w:pPr>
              <w:pStyle w:val="tableheadertext"/>
            </w:pPr>
            <w:r w:rsidRPr="00AD4454">
              <w:t>References</w:t>
            </w:r>
          </w:p>
        </w:tc>
      </w:tr>
      <w:tr w:rsidR="002E49C7" w:rsidRPr="00AD4454" w14:paraId="0FE800B5" w14:textId="77777777" w:rsidTr="00AD4454">
        <w:tc>
          <w:tcPr>
            <w:tcW w:w="1066" w:type="pct"/>
          </w:tcPr>
          <w:p w14:paraId="28FD8841" w14:textId="3D493553"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Ecological</w:t>
            </w:r>
            <w:r w:rsidR="00AD4454">
              <w:rPr>
                <w:rFonts w:ascii="Cambria" w:hAnsi="Cambria"/>
                <w:sz w:val="20"/>
                <w:szCs w:val="20"/>
              </w:rPr>
              <w:t xml:space="preserve"> </w:t>
            </w:r>
            <w:r w:rsidRPr="00AD4454">
              <w:rPr>
                <w:rFonts w:ascii="Cambria" w:hAnsi="Cambria"/>
                <w:sz w:val="20"/>
                <w:szCs w:val="20"/>
              </w:rPr>
              <w:t>community region</w:t>
            </w:r>
          </w:p>
        </w:tc>
        <w:tc>
          <w:tcPr>
            <w:tcW w:w="1281" w:type="pct"/>
          </w:tcPr>
          <w:p w14:paraId="1D04A70E" w14:textId="2FF96A44" w:rsidR="002E49C7"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a</w:t>
            </w:r>
            <w:r w:rsidR="00B909DA" w:rsidRPr="00AD4454">
              <w:rPr>
                <w:rFonts w:ascii="Cambria" w:hAnsi="Cambria"/>
                <w:sz w:val="20"/>
                <w:szCs w:val="20"/>
              </w:rPr>
              <w:t xml:space="preserve">t least </w:t>
            </w:r>
            <w:r w:rsidR="002E49C7" w:rsidRPr="00AD4454">
              <w:rPr>
                <w:rFonts w:ascii="Cambria" w:hAnsi="Cambria"/>
                <w:sz w:val="20"/>
                <w:szCs w:val="20"/>
              </w:rPr>
              <w:t>47 freshwater, estuarine,</w:t>
            </w:r>
            <w:r w:rsidR="00E3626B" w:rsidRPr="00AD4454">
              <w:rPr>
                <w:rFonts w:ascii="Cambria" w:hAnsi="Cambria"/>
                <w:sz w:val="20"/>
                <w:szCs w:val="20"/>
              </w:rPr>
              <w:t xml:space="preserve"> </w:t>
            </w:r>
            <w:r w:rsidR="002E49C7" w:rsidRPr="00AD4454">
              <w:rPr>
                <w:rFonts w:ascii="Cambria" w:hAnsi="Cambria"/>
                <w:sz w:val="20"/>
                <w:szCs w:val="20"/>
              </w:rPr>
              <w:t>&amp; diadromous species, including:</w:t>
            </w:r>
          </w:p>
          <w:p w14:paraId="568979BC" w14:textId="1F382F38"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39 native, 9 alien</w:t>
            </w:r>
            <w:r w:rsidR="00560328" w:rsidRPr="00AD4454">
              <w:rPr>
                <w:rFonts w:ascii="Cambria" w:hAnsi="Cambria"/>
                <w:sz w:val="20"/>
                <w:szCs w:val="20"/>
              </w:rPr>
              <w:t xml:space="preserve"> species</w:t>
            </w:r>
          </w:p>
        </w:tc>
        <w:tc>
          <w:tcPr>
            <w:tcW w:w="1591" w:type="pct"/>
          </w:tcPr>
          <w:p w14:paraId="4772BBC4" w14:textId="750C7CC4" w:rsidR="002E49C7"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a</w:t>
            </w:r>
            <w:r w:rsidR="00B909DA" w:rsidRPr="00AD4454">
              <w:rPr>
                <w:rFonts w:ascii="Cambria" w:hAnsi="Cambria"/>
                <w:sz w:val="20"/>
                <w:szCs w:val="20"/>
              </w:rPr>
              <w:t xml:space="preserve">t least </w:t>
            </w:r>
            <w:r w:rsidR="002E49C7" w:rsidRPr="00AD4454">
              <w:rPr>
                <w:rFonts w:ascii="Cambria" w:hAnsi="Cambria"/>
                <w:sz w:val="20"/>
                <w:szCs w:val="20"/>
              </w:rPr>
              <w:t>19 species of conservation significance, with</w:t>
            </w:r>
            <w:r w:rsidR="004E048A" w:rsidRPr="00AD4454">
              <w:rPr>
                <w:rFonts w:ascii="Cambria" w:hAnsi="Cambria"/>
                <w:sz w:val="20"/>
                <w:szCs w:val="20"/>
              </w:rPr>
              <w:t xml:space="preserve"> at least</w:t>
            </w:r>
            <w:r w:rsidR="002E49C7" w:rsidRPr="00AD4454">
              <w:rPr>
                <w:rFonts w:ascii="Cambria" w:hAnsi="Cambria"/>
                <w:sz w:val="20"/>
                <w:szCs w:val="20"/>
              </w:rPr>
              <w:t xml:space="preserve"> </w:t>
            </w:r>
            <w:r w:rsidR="004E048A" w:rsidRPr="00AD4454">
              <w:rPr>
                <w:rFonts w:ascii="Cambria" w:hAnsi="Cambria"/>
                <w:sz w:val="20"/>
                <w:szCs w:val="20"/>
              </w:rPr>
              <w:t xml:space="preserve">four </w:t>
            </w:r>
            <w:r w:rsidR="002E49C7" w:rsidRPr="00AD4454">
              <w:rPr>
                <w:rFonts w:ascii="Cambria" w:hAnsi="Cambria"/>
                <w:sz w:val="20"/>
                <w:szCs w:val="20"/>
              </w:rPr>
              <w:t xml:space="preserve">species locally extinct </w:t>
            </w:r>
          </w:p>
        </w:tc>
        <w:tc>
          <w:tcPr>
            <w:tcW w:w="1062" w:type="pct"/>
          </w:tcPr>
          <w:p w14:paraId="179A2772" w14:textId="73AEC8E1" w:rsidR="002E49C7" w:rsidRPr="00AD4454" w:rsidRDefault="002E49C7" w:rsidP="0093621C">
            <w:pPr>
              <w:pStyle w:val="tabletext1"/>
              <w:spacing w:after="0"/>
              <w:ind w:left="0" w:right="-231"/>
              <w:rPr>
                <w:rFonts w:ascii="Cambria" w:hAnsi="Cambria"/>
                <w:sz w:val="20"/>
                <w:szCs w:val="20"/>
              </w:rPr>
            </w:pPr>
            <w:r w:rsidRPr="00AD4454">
              <w:rPr>
                <w:rFonts w:ascii="Cambria" w:hAnsi="Cambria"/>
                <w:sz w:val="20"/>
                <w:szCs w:val="20"/>
              </w:rPr>
              <w:t xml:space="preserve">Hammer &amp; Walker 2004; Ye &amp; Hammer 2009; Wedderburn </w:t>
            </w:r>
            <w:r w:rsidR="00AD4454">
              <w:rPr>
                <w:rFonts w:ascii="Cambria" w:hAnsi="Cambria"/>
                <w:sz w:val="20"/>
                <w:szCs w:val="20"/>
              </w:rPr>
              <w:t xml:space="preserve">        </w:t>
            </w:r>
            <w:r w:rsidR="00362078" w:rsidRPr="00AD4454">
              <w:rPr>
                <w:rFonts w:ascii="Cambria" w:hAnsi="Cambria"/>
                <w:sz w:val="20"/>
                <w:szCs w:val="20"/>
              </w:rPr>
              <w:t xml:space="preserve">&amp; </w:t>
            </w:r>
            <w:r w:rsidRPr="00AD4454">
              <w:rPr>
                <w:rFonts w:ascii="Cambria" w:hAnsi="Cambria"/>
                <w:sz w:val="20"/>
                <w:szCs w:val="20"/>
              </w:rPr>
              <w:t>Suitor 2012</w:t>
            </w:r>
            <w:r w:rsidR="009428A9" w:rsidRPr="00AD4454">
              <w:rPr>
                <w:rFonts w:ascii="Cambria" w:hAnsi="Cambria"/>
                <w:sz w:val="20"/>
                <w:szCs w:val="20"/>
              </w:rPr>
              <w:t>.</w:t>
            </w:r>
          </w:p>
        </w:tc>
      </w:tr>
      <w:tr w:rsidR="002E49C7" w:rsidRPr="00AD4454" w14:paraId="48CD604D" w14:textId="77777777" w:rsidTr="00AD4454">
        <w:trPr>
          <w:trHeight w:val="1571"/>
        </w:trPr>
        <w:tc>
          <w:tcPr>
            <w:tcW w:w="1066" w:type="pct"/>
          </w:tcPr>
          <w:p w14:paraId="526FCD62" w14:textId="16D4CE4A"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 xml:space="preserve">EC forms a       significant portion </w:t>
            </w:r>
            <w:r w:rsidR="00AD4454" w:rsidRPr="00AD4454">
              <w:rPr>
                <w:rFonts w:ascii="Cambria" w:hAnsi="Cambria"/>
                <w:sz w:val="20"/>
                <w:szCs w:val="20"/>
              </w:rPr>
              <w:t xml:space="preserve">   </w:t>
            </w:r>
            <w:r w:rsidRPr="00AD4454">
              <w:rPr>
                <w:rFonts w:ascii="Cambria" w:hAnsi="Cambria"/>
                <w:sz w:val="20"/>
                <w:szCs w:val="20"/>
              </w:rPr>
              <w:t>of MDB range for</w:t>
            </w:r>
          </w:p>
        </w:tc>
        <w:tc>
          <w:tcPr>
            <w:tcW w:w="1281" w:type="pct"/>
          </w:tcPr>
          <w:p w14:paraId="26271A32" w14:textId="689031D2" w:rsidR="002E49C7"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a</w:t>
            </w:r>
            <w:r w:rsidR="00B909DA" w:rsidRPr="00AD4454">
              <w:rPr>
                <w:rFonts w:ascii="Cambria" w:hAnsi="Cambria"/>
                <w:sz w:val="20"/>
                <w:szCs w:val="20"/>
              </w:rPr>
              <w:t xml:space="preserve">t least </w:t>
            </w:r>
            <w:r w:rsidR="002E49C7" w:rsidRPr="00AD4454">
              <w:rPr>
                <w:rFonts w:ascii="Cambria" w:hAnsi="Cambria"/>
                <w:sz w:val="20"/>
                <w:szCs w:val="20"/>
              </w:rPr>
              <w:t>5 species + 9 diadromous species (see below)</w:t>
            </w:r>
          </w:p>
        </w:tc>
        <w:tc>
          <w:tcPr>
            <w:tcW w:w="1591" w:type="pct"/>
          </w:tcPr>
          <w:p w14:paraId="4524B1BA"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 xml:space="preserve">Mogurnda adspersa </w:t>
            </w:r>
          </w:p>
          <w:p w14:paraId="2BC303F0"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Nannoperca obscura</w:t>
            </w:r>
          </w:p>
          <w:p w14:paraId="737AE015"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Philypnodon macrostomus</w:t>
            </w:r>
          </w:p>
          <w:p w14:paraId="4BF373EC" w14:textId="77777777" w:rsidR="002E49C7" w:rsidRPr="00AD4454" w:rsidRDefault="002E49C7" w:rsidP="00891625">
            <w:pPr>
              <w:pStyle w:val="tabletext1"/>
              <w:spacing w:after="0"/>
              <w:ind w:left="0" w:right="-231"/>
              <w:rPr>
                <w:rFonts w:ascii="Cambria" w:hAnsi="Cambria"/>
                <w:i/>
                <w:sz w:val="20"/>
                <w:szCs w:val="20"/>
              </w:rPr>
            </w:pPr>
            <w:r w:rsidRPr="00AD4454">
              <w:rPr>
                <w:rFonts w:ascii="Cambria" w:hAnsi="Cambria"/>
                <w:i/>
                <w:sz w:val="20"/>
                <w:szCs w:val="20"/>
              </w:rPr>
              <w:t>Pseudogobius olorum</w:t>
            </w:r>
          </w:p>
          <w:p w14:paraId="55B30CF5"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i/>
                <w:sz w:val="20"/>
                <w:szCs w:val="20"/>
              </w:rPr>
              <w:t>Tasmanogobius lasti</w:t>
            </w:r>
          </w:p>
        </w:tc>
        <w:tc>
          <w:tcPr>
            <w:tcW w:w="1062" w:type="pct"/>
          </w:tcPr>
          <w:p w14:paraId="5105063E" w14:textId="0BBBD64E" w:rsidR="002E49C7" w:rsidRPr="00AD4454" w:rsidRDefault="002E49C7" w:rsidP="007533C3">
            <w:pPr>
              <w:pStyle w:val="tabletext1"/>
              <w:spacing w:after="0"/>
              <w:ind w:left="0" w:right="-231"/>
              <w:rPr>
                <w:rFonts w:ascii="Cambria" w:hAnsi="Cambria"/>
                <w:sz w:val="20"/>
                <w:szCs w:val="20"/>
              </w:rPr>
            </w:pPr>
            <w:r w:rsidRPr="00AD4454">
              <w:rPr>
                <w:rFonts w:ascii="Cambria" w:hAnsi="Cambria"/>
                <w:sz w:val="20"/>
                <w:szCs w:val="20"/>
              </w:rPr>
              <w:t>Ye &amp; Hammer 2009</w:t>
            </w:r>
          </w:p>
        </w:tc>
      </w:tr>
      <w:tr w:rsidR="00560328" w:rsidRPr="00AD4454" w14:paraId="6BF12397" w14:textId="77777777" w:rsidTr="00AD4454">
        <w:tc>
          <w:tcPr>
            <w:tcW w:w="1066" w:type="pct"/>
          </w:tcPr>
          <w:p w14:paraId="408E14EB" w14:textId="7ACCC9B7" w:rsidR="00560328" w:rsidRPr="00AD4454" w:rsidRDefault="00560328" w:rsidP="00560328">
            <w:pPr>
              <w:pStyle w:val="tabletext1"/>
              <w:spacing w:after="0"/>
              <w:ind w:left="0" w:right="-231"/>
              <w:rPr>
                <w:rFonts w:ascii="Cambria" w:hAnsi="Cambria"/>
                <w:sz w:val="20"/>
                <w:szCs w:val="20"/>
              </w:rPr>
            </w:pPr>
            <w:r w:rsidRPr="00AD4454">
              <w:rPr>
                <w:rFonts w:ascii="Cambria" w:hAnsi="Cambria"/>
                <w:sz w:val="20"/>
                <w:szCs w:val="20"/>
              </w:rPr>
              <w:t xml:space="preserve">Diadromous species (migrate between    </w:t>
            </w:r>
            <w:r w:rsidR="008C3C19" w:rsidRPr="00AD4454">
              <w:rPr>
                <w:rFonts w:ascii="Cambria" w:hAnsi="Cambria"/>
                <w:sz w:val="20"/>
                <w:szCs w:val="20"/>
              </w:rPr>
              <w:t xml:space="preserve">        </w:t>
            </w:r>
            <w:r w:rsidRPr="00AD4454">
              <w:rPr>
                <w:rFonts w:ascii="Cambria" w:hAnsi="Cambria"/>
                <w:sz w:val="20"/>
                <w:szCs w:val="20"/>
              </w:rPr>
              <w:t>fresh and saltwater habitats over</w:t>
            </w:r>
            <w:r w:rsidR="00AD4454">
              <w:rPr>
                <w:rFonts w:ascii="Cambria" w:hAnsi="Cambria"/>
                <w:sz w:val="20"/>
                <w:szCs w:val="20"/>
              </w:rPr>
              <w:t xml:space="preserve"> </w:t>
            </w:r>
            <w:r w:rsidRPr="00AD4454">
              <w:rPr>
                <w:rFonts w:ascii="Cambria" w:hAnsi="Cambria"/>
                <w:sz w:val="20"/>
                <w:szCs w:val="20"/>
              </w:rPr>
              <w:t xml:space="preserve"> </w:t>
            </w:r>
            <w:r w:rsidR="008C3C19" w:rsidRPr="00AD4454">
              <w:rPr>
                <w:rFonts w:ascii="Cambria" w:hAnsi="Cambria"/>
                <w:sz w:val="20"/>
                <w:szCs w:val="20"/>
              </w:rPr>
              <w:t>l</w:t>
            </w:r>
            <w:r w:rsidRPr="00AD4454">
              <w:rPr>
                <w:rFonts w:ascii="Cambria" w:hAnsi="Cambria"/>
                <w:sz w:val="20"/>
                <w:szCs w:val="20"/>
              </w:rPr>
              <w:t>ife-cycle)</w:t>
            </w:r>
          </w:p>
          <w:p w14:paraId="69ACEFBF" w14:textId="77777777" w:rsidR="00560328" w:rsidRPr="00AD4454" w:rsidRDefault="00560328" w:rsidP="00560328">
            <w:pPr>
              <w:pStyle w:val="tabletext1"/>
              <w:spacing w:after="0"/>
              <w:ind w:left="0" w:right="-231"/>
              <w:rPr>
                <w:rFonts w:ascii="Cambria" w:hAnsi="Cambria"/>
                <w:sz w:val="20"/>
                <w:szCs w:val="20"/>
              </w:rPr>
            </w:pPr>
          </w:p>
        </w:tc>
        <w:tc>
          <w:tcPr>
            <w:tcW w:w="1281" w:type="pct"/>
          </w:tcPr>
          <w:p w14:paraId="2A7673B7" w14:textId="25C54CF8" w:rsidR="00560328" w:rsidRPr="00AD4454" w:rsidRDefault="00560328" w:rsidP="00560328">
            <w:pPr>
              <w:pStyle w:val="tabletext1"/>
              <w:spacing w:after="0"/>
              <w:ind w:left="0" w:right="-231"/>
              <w:rPr>
                <w:rFonts w:ascii="Cambria" w:hAnsi="Cambria"/>
                <w:sz w:val="20"/>
                <w:szCs w:val="20"/>
              </w:rPr>
            </w:pPr>
            <w:r w:rsidRPr="00AD4454">
              <w:rPr>
                <w:rFonts w:ascii="Cambria" w:hAnsi="Cambria"/>
                <w:sz w:val="20"/>
                <w:szCs w:val="20"/>
              </w:rPr>
              <w:t>9 species</w:t>
            </w:r>
          </w:p>
        </w:tc>
        <w:tc>
          <w:tcPr>
            <w:tcW w:w="1591" w:type="pct"/>
          </w:tcPr>
          <w:p w14:paraId="6CB5D24C" w14:textId="59FC5CEB"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Anguilla australis</w:t>
            </w:r>
            <w:r w:rsidR="003F562C" w:rsidRPr="00AD4454">
              <w:rPr>
                <w:rFonts w:ascii="Cambria" w:hAnsi="Cambria"/>
                <w:i/>
                <w:sz w:val="20"/>
                <w:szCs w:val="20"/>
                <w:lang w:val="fr-RE"/>
              </w:rPr>
              <w:t xml:space="preserve">; </w:t>
            </w:r>
            <w:r w:rsidRPr="00AD4454">
              <w:rPr>
                <w:rFonts w:ascii="Cambria" w:hAnsi="Cambria"/>
                <w:i/>
                <w:sz w:val="20"/>
                <w:szCs w:val="20"/>
                <w:lang w:val="fr-RE"/>
              </w:rPr>
              <w:t>A. reinhardtii</w:t>
            </w:r>
          </w:p>
          <w:p w14:paraId="16519F5A" w14:textId="41859783"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Galaxias brevipinnis</w:t>
            </w:r>
            <w:r w:rsidR="00BB4520" w:rsidRPr="00AD4454">
              <w:rPr>
                <w:rFonts w:ascii="Cambria" w:hAnsi="Cambria"/>
                <w:i/>
                <w:sz w:val="20"/>
                <w:szCs w:val="20"/>
                <w:lang w:val="fr-RE"/>
              </w:rPr>
              <w:t>; G. maculatus</w:t>
            </w:r>
          </w:p>
          <w:p w14:paraId="44688008" w14:textId="3D1244E5"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G</w:t>
            </w:r>
            <w:r w:rsidR="00BB4520" w:rsidRPr="00AD4454">
              <w:rPr>
                <w:rFonts w:ascii="Cambria" w:hAnsi="Cambria"/>
                <w:i/>
                <w:sz w:val="20"/>
                <w:szCs w:val="20"/>
                <w:lang w:val="fr-RE"/>
              </w:rPr>
              <w:t>.</w:t>
            </w:r>
            <w:r w:rsidRPr="00AD4454">
              <w:rPr>
                <w:rFonts w:ascii="Cambria" w:hAnsi="Cambria"/>
                <w:i/>
                <w:sz w:val="20"/>
                <w:szCs w:val="20"/>
                <w:lang w:val="fr-RE"/>
              </w:rPr>
              <w:t xml:space="preserve"> truttaceus</w:t>
            </w:r>
            <w:r w:rsidR="00BB4520" w:rsidRPr="00AD4454">
              <w:rPr>
                <w:rFonts w:ascii="Cambria" w:hAnsi="Cambria"/>
                <w:i/>
                <w:sz w:val="20"/>
                <w:szCs w:val="20"/>
                <w:lang w:val="fr-RE"/>
              </w:rPr>
              <w:t xml:space="preserve">; </w:t>
            </w:r>
          </w:p>
          <w:p w14:paraId="78047D4F" w14:textId="77777777"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Geotria australis</w:t>
            </w:r>
          </w:p>
          <w:p w14:paraId="5F4827B3" w14:textId="77777777"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Macquaria colonorum</w:t>
            </w:r>
          </w:p>
          <w:p w14:paraId="6E27DC5C" w14:textId="77777777" w:rsidR="00560328" w:rsidRPr="00AD4454" w:rsidRDefault="00560328" w:rsidP="00560328">
            <w:pPr>
              <w:pStyle w:val="tabletext1"/>
              <w:spacing w:after="0"/>
              <w:ind w:left="0" w:right="-231"/>
              <w:rPr>
                <w:rFonts w:ascii="Cambria" w:hAnsi="Cambria"/>
                <w:i/>
                <w:sz w:val="20"/>
                <w:szCs w:val="20"/>
                <w:lang w:val="fr-RE"/>
              </w:rPr>
            </w:pPr>
            <w:r w:rsidRPr="00AD4454">
              <w:rPr>
                <w:rFonts w:ascii="Cambria" w:hAnsi="Cambria"/>
                <w:i/>
                <w:sz w:val="20"/>
                <w:szCs w:val="20"/>
                <w:lang w:val="fr-RE"/>
              </w:rPr>
              <w:t>Mordacia mordax</w:t>
            </w:r>
          </w:p>
          <w:p w14:paraId="1D41FA97" w14:textId="0A3DA990" w:rsidR="00560328" w:rsidRPr="00AD4454" w:rsidRDefault="00560328" w:rsidP="00560328">
            <w:pPr>
              <w:pStyle w:val="tabletext1"/>
              <w:spacing w:after="0"/>
              <w:ind w:left="0" w:right="-231"/>
              <w:rPr>
                <w:rFonts w:ascii="Cambria" w:hAnsi="Cambria"/>
                <w:sz w:val="20"/>
                <w:szCs w:val="20"/>
              </w:rPr>
            </w:pPr>
            <w:r w:rsidRPr="00AD4454">
              <w:rPr>
                <w:rFonts w:ascii="Cambria" w:hAnsi="Cambria"/>
                <w:i/>
                <w:sz w:val="20"/>
                <w:szCs w:val="20"/>
                <w:lang w:val="fr-RE"/>
              </w:rPr>
              <w:t>Pseudaphritis urvillii</w:t>
            </w:r>
          </w:p>
        </w:tc>
        <w:tc>
          <w:tcPr>
            <w:tcW w:w="1062" w:type="pct"/>
          </w:tcPr>
          <w:p w14:paraId="073734CC" w14:textId="21C4B970" w:rsidR="00560328" w:rsidRPr="00AD4454" w:rsidRDefault="00560328" w:rsidP="007533C3">
            <w:pPr>
              <w:pStyle w:val="tabletext1"/>
              <w:spacing w:after="0"/>
              <w:ind w:left="0" w:right="-231"/>
              <w:rPr>
                <w:rFonts w:ascii="Cambria" w:hAnsi="Cambria"/>
                <w:sz w:val="20"/>
                <w:szCs w:val="20"/>
              </w:rPr>
            </w:pPr>
            <w:r w:rsidRPr="00AD4454">
              <w:rPr>
                <w:rFonts w:ascii="Cambria" w:hAnsi="Cambria"/>
                <w:sz w:val="20"/>
                <w:szCs w:val="20"/>
              </w:rPr>
              <w:t xml:space="preserve">Ye &amp; Hammer </w:t>
            </w:r>
            <w:r w:rsidR="001E2A13" w:rsidRPr="00AD4454">
              <w:rPr>
                <w:rFonts w:ascii="Cambria" w:hAnsi="Cambria"/>
                <w:sz w:val="20"/>
                <w:szCs w:val="20"/>
              </w:rPr>
              <w:t>2009; Bice</w:t>
            </w:r>
            <w:r w:rsidRPr="00AD4454">
              <w:rPr>
                <w:rFonts w:ascii="Cambria" w:hAnsi="Cambria"/>
                <w:sz w:val="20"/>
                <w:szCs w:val="20"/>
              </w:rPr>
              <w:t xml:space="preserve"> 2010.</w:t>
            </w:r>
          </w:p>
        </w:tc>
      </w:tr>
      <w:tr w:rsidR="002E49C7" w:rsidRPr="00AD4454" w14:paraId="1ABFAE0D" w14:textId="77777777" w:rsidTr="00AD4454">
        <w:tc>
          <w:tcPr>
            <w:tcW w:w="1066" w:type="pct"/>
          </w:tcPr>
          <w:p w14:paraId="09F43368" w14:textId="6043FA95"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 xml:space="preserve">Best represented </w:t>
            </w:r>
            <w:r w:rsidR="008C3C19" w:rsidRPr="00AD4454">
              <w:rPr>
                <w:rFonts w:ascii="Cambria" w:hAnsi="Cambria"/>
                <w:sz w:val="20"/>
                <w:szCs w:val="20"/>
              </w:rPr>
              <w:t xml:space="preserve">    </w:t>
            </w:r>
            <w:r w:rsidRPr="00AD4454">
              <w:rPr>
                <w:rFonts w:ascii="Cambria" w:hAnsi="Cambria"/>
                <w:sz w:val="20"/>
                <w:szCs w:val="20"/>
              </w:rPr>
              <w:t>families in EC</w:t>
            </w:r>
          </w:p>
        </w:tc>
        <w:tc>
          <w:tcPr>
            <w:tcW w:w="1281" w:type="pct"/>
          </w:tcPr>
          <w:p w14:paraId="7864D08E" w14:textId="77777777" w:rsidR="002E49C7" w:rsidRPr="00AD4454" w:rsidRDefault="002E49C7" w:rsidP="00891625">
            <w:pPr>
              <w:pStyle w:val="tabletext1"/>
              <w:spacing w:after="0"/>
              <w:ind w:left="0" w:right="-231"/>
              <w:rPr>
                <w:rFonts w:ascii="Cambria" w:hAnsi="Cambria"/>
                <w:sz w:val="20"/>
                <w:szCs w:val="20"/>
              </w:rPr>
            </w:pPr>
          </w:p>
        </w:tc>
        <w:tc>
          <w:tcPr>
            <w:tcW w:w="1591" w:type="pct"/>
          </w:tcPr>
          <w:p w14:paraId="4EA1C521"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Percichthyidae (cods, pygmy perches)</w:t>
            </w:r>
          </w:p>
          <w:p w14:paraId="2F147268"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Eleotridae (gudgeons)</w:t>
            </w:r>
          </w:p>
          <w:p w14:paraId="3E75DD71"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Galaxiidae (galaxiids)</w:t>
            </w:r>
          </w:p>
          <w:p w14:paraId="4ABD13D6"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Atherinidae (hardyheads)</w:t>
            </w:r>
          </w:p>
        </w:tc>
        <w:tc>
          <w:tcPr>
            <w:tcW w:w="1062" w:type="pct"/>
          </w:tcPr>
          <w:p w14:paraId="52AEE623" w14:textId="468587E9" w:rsidR="002E49C7" w:rsidRPr="00AD4454" w:rsidRDefault="002E49C7" w:rsidP="007533C3">
            <w:pPr>
              <w:pStyle w:val="tabletext1"/>
              <w:spacing w:after="0"/>
              <w:ind w:left="0" w:right="-231"/>
              <w:rPr>
                <w:rFonts w:ascii="Cambria" w:hAnsi="Cambria"/>
                <w:sz w:val="20"/>
                <w:szCs w:val="20"/>
              </w:rPr>
            </w:pPr>
            <w:r w:rsidRPr="00AD4454">
              <w:rPr>
                <w:rFonts w:ascii="Cambria" w:hAnsi="Cambria"/>
                <w:sz w:val="20"/>
                <w:szCs w:val="20"/>
              </w:rPr>
              <w:t>Ye &amp; Hammer 2009</w:t>
            </w:r>
          </w:p>
        </w:tc>
      </w:tr>
      <w:tr w:rsidR="002E49C7" w:rsidRPr="00AD4454" w14:paraId="34B8CBCA" w14:textId="77777777" w:rsidTr="00AD4454">
        <w:tc>
          <w:tcPr>
            <w:tcW w:w="1066" w:type="pct"/>
          </w:tcPr>
          <w:p w14:paraId="23AA9B4F"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Euryhaline species</w:t>
            </w:r>
          </w:p>
          <w:p w14:paraId="6314D846"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(broad salt tolerance)</w:t>
            </w:r>
          </w:p>
        </w:tc>
        <w:tc>
          <w:tcPr>
            <w:tcW w:w="1281" w:type="pct"/>
          </w:tcPr>
          <w:p w14:paraId="31B9E693"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3 species</w:t>
            </w:r>
          </w:p>
        </w:tc>
        <w:tc>
          <w:tcPr>
            <w:tcW w:w="1591" w:type="pct"/>
          </w:tcPr>
          <w:p w14:paraId="43CF5385"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Atherinosoma microstoma</w:t>
            </w:r>
          </w:p>
          <w:p w14:paraId="03C3DF0D"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Pseudogobius olorum</w:t>
            </w:r>
          </w:p>
          <w:p w14:paraId="0C509F03" w14:textId="77777777" w:rsidR="002E49C7" w:rsidRPr="00AD4454" w:rsidRDefault="002E49C7" w:rsidP="00891625">
            <w:pPr>
              <w:pStyle w:val="tabletext1"/>
              <w:spacing w:after="0"/>
              <w:ind w:left="0" w:right="-231"/>
              <w:rPr>
                <w:rFonts w:ascii="Cambria" w:hAnsi="Cambria"/>
                <w:i/>
                <w:sz w:val="20"/>
                <w:szCs w:val="20"/>
                <w:lang w:val="it-IT"/>
              </w:rPr>
            </w:pPr>
            <w:r w:rsidRPr="00AD4454">
              <w:rPr>
                <w:rFonts w:ascii="Cambria" w:hAnsi="Cambria"/>
                <w:i/>
                <w:sz w:val="20"/>
                <w:szCs w:val="20"/>
                <w:lang w:val="it-IT"/>
              </w:rPr>
              <w:t>Tasmanogobius lasti</w:t>
            </w:r>
          </w:p>
        </w:tc>
        <w:tc>
          <w:tcPr>
            <w:tcW w:w="1062" w:type="pct"/>
          </w:tcPr>
          <w:p w14:paraId="0BF0ECCA" w14:textId="4E639F8A" w:rsidR="002E49C7" w:rsidRPr="00AD4454" w:rsidRDefault="002E49C7" w:rsidP="000B1604">
            <w:pPr>
              <w:pStyle w:val="tabletext1"/>
              <w:spacing w:after="0"/>
              <w:ind w:left="0" w:right="-231"/>
              <w:rPr>
                <w:rFonts w:ascii="Cambria" w:hAnsi="Cambria"/>
                <w:sz w:val="20"/>
                <w:szCs w:val="20"/>
              </w:rPr>
            </w:pPr>
            <w:r w:rsidRPr="00AD4454">
              <w:rPr>
                <w:rFonts w:ascii="Cambria" w:hAnsi="Cambria"/>
                <w:sz w:val="20"/>
                <w:szCs w:val="20"/>
              </w:rPr>
              <w:t>Ye &amp; Hammer 2009</w:t>
            </w:r>
          </w:p>
        </w:tc>
      </w:tr>
      <w:tr w:rsidR="002E49C7" w:rsidRPr="00AD4454" w14:paraId="49EC00DD" w14:textId="77777777" w:rsidTr="00AD4454">
        <w:tc>
          <w:tcPr>
            <w:tcW w:w="1066" w:type="pct"/>
          </w:tcPr>
          <w:p w14:paraId="306EC605"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Eastern Mount Lofty Ranges</w:t>
            </w:r>
          </w:p>
        </w:tc>
        <w:tc>
          <w:tcPr>
            <w:tcW w:w="1281" w:type="pct"/>
          </w:tcPr>
          <w:p w14:paraId="2DEC9C78" w14:textId="4F422106" w:rsidR="00951F30"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h</w:t>
            </w:r>
            <w:r w:rsidR="00975EC2" w:rsidRPr="00AD4454">
              <w:rPr>
                <w:rFonts w:ascii="Cambria" w:hAnsi="Cambria"/>
                <w:sz w:val="20"/>
                <w:szCs w:val="20"/>
              </w:rPr>
              <w:t>istorically u</w:t>
            </w:r>
            <w:r w:rsidR="002E49C7" w:rsidRPr="00AD4454">
              <w:rPr>
                <w:rFonts w:ascii="Cambria" w:hAnsi="Cambria"/>
                <w:sz w:val="20"/>
                <w:szCs w:val="20"/>
              </w:rPr>
              <w:t>p to 30</w:t>
            </w:r>
            <w:r w:rsidR="00975EC2" w:rsidRPr="00AD4454">
              <w:rPr>
                <w:rFonts w:ascii="Cambria" w:hAnsi="Cambria"/>
                <w:sz w:val="20"/>
                <w:szCs w:val="20"/>
              </w:rPr>
              <w:t xml:space="preserve"> spp.</w:t>
            </w:r>
            <w:r w:rsidR="002E49C7" w:rsidRPr="00AD4454">
              <w:rPr>
                <w:rFonts w:ascii="Cambria" w:hAnsi="Cambria"/>
                <w:sz w:val="20"/>
                <w:szCs w:val="20"/>
              </w:rPr>
              <w:t xml:space="preserve"> </w:t>
            </w:r>
          </w:p>
          <w:p w14:paraId="543D4D4D" w14:textId="614A28CF" w:rsidR="00305431" w:rsidRPr="00AD4454" w:rsidRDefault="00C64AD0" w:rsidP="00891625">
            <w:pPr>
              <w:pStyle w:val="tabletext1"/>
              <w:spacing w:after="0"/>
              <w:ind w:left="0" w:right="-231"/>
              <w:rPr>
                <w:rFonts w:ascii="Cambria" w:hAnsi="Cambria"/>
                <w:sz w:val="20"/>
                <w:szCs w:val="20"/>
              </w:rPr>
            </w:pPr>
            <w:r w:rsidRPr="00AD4454">
              <w:rPr>
                <w:rFonts w:ascii="Cambria" w:hAnsi="Cambria"/>
                <w:sz w:val="20"/>
                <w:szCs w:val="20"/>
              </w:rPr>
              <w:t xml:space="preserve">14 </w:t>
            </w:r>
            <w:r w:rsidR="00305431" w:rsidRPr="00AD4454">
              <w:rPr>
                <w:rFonts w:ascii="Cambria" w:hAnsi="Cambria"/>
                <w:sz w:val="20"/>
                <w:szCs w:val="20"/>
              </w:rPr>
              <w:t>sp</w:t>
            </w:r>
            <w:r w:rsidRPr="00AD4454">
              <w:rPr>
                <w:rFonts w:ascii="Cambria" w:hAnsi="Cambria"/>
                <w:sz w:val="20"/>
                <w:szCs w:val="20"/>
              </w:rPr>
              <w:t>p.</w:t>
            </w:r>
            <w:r w:rsidR="00305431" w:rsidRPr="00AD4454">
              <w:rPr>
                <w:rFonts w:ascii="Cambria" w:hAnsi="Cambria"/>
                <w:sz w:val="20"/>
                <w:szCs w:val="20"/>
              </w:rPr>
              <w:t xml:space="preserve"> from 24 sites </w:t>
            </w:r>
            <w:r w:rsidR="00522AB4" w:rsidRPr="00AD4454">
              <w:rPr>
                <w:rFonts w:ascii="Cambria" w:hAnsi="Cambria"/>
                <w:sz w:val="20"/>
                <w:szCs w:val="20"/>
              </w:rPr>
              <w:t xml:space="preserve">           </w:t>
            </w:r>
            <w:r w:rsidR="00305431" w:rsidRPr="00AD4454">
              <w:rPr>
                <w:rFonts w:ascii="Cambria" w:hAnsi="Cambria"/>
                <w:sz w:val="20"/>
                <w:szCs w:val="20"/>
              </w:rPr>
              <w:t>in April 2023</w:t>
            </w:r>
          </w:p>
          <w:p w14:paraId="7DA081F1" w14:textId="25CA12BB"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 xml:space="preserve">16 native </w:t>
            </w:r>
            <w:r w:rsidR="00975EC2" w:rsidRPr="00AD4454">
              <w:rPr>
                <w:rFonts w:ascii="Cambria" w:hAnsi="Cambria"/>
                <w:sz w:val="20"/>
                <w:szCs w:val="20"/>
              </w:rPr>
              <w:t>species in 2004</w:t>
            </w:r>
          </w:p>
        </w:tc>
        <w:tc>
          <w:tcPr>
            <w:tcW w:w="1591" w:type="pct"/>
          </w:tcPr>
          <w:p w14:paraId="11A5E939"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nationally threatened</w:t>
            </w:r>
            <w:r w:rsidRPr="00AD4454">
              <w:rPr>
                <w:rFonts w:ascii="Cambria" w:hAnsi="Cambria"/>
                <w:i/>
                <w:sz w:val="20"/>
                <w:szCs w:val="20"/>
              </w:rPr>
              <w:t xml:space="preserve"> - Nannoperca obscura</w:t>
            </w:r>
          </w:p>
        </w:tc>
        <w:tc>
          <w:tcPr>
            <w:tcW w:w="1062" w:type="pct"/>
          </w:tcPr>
          <w:p w14:paraId="24F0EE20" w14:textId="12B83D47" w:rsidR="002E49C7" w:rsidRPr="00AD4454" w:rsidRDefault="00655E2B" w:rsidP="000B1604">
            <w:pPr>
              <w:pStyle w:val="tabletext1"/>
              <w:spacing w:after="0"/>
              <w:ind w:left="0" w:right="-231"/>
              <w:rPr>
                <w:rFonts w:ascii="Cambria" w:hAnsi="Cambria"/>
                <w:sz w:val="20"/>
                <w:szCs w:val="20"/>
              </w:rPr>
            </w:pPr>
            <w:r w:rsidRPr="00AD4454">
              <w:rPr>
                <w:rFonts w:ascii="Cambria" w:hAnsi="Cambria"/>
                <w:sz w:val="20"/>
                <w:szCs w:val="20"/>
              </w:rPr>
              <w:t xml:space="preserve">Conallin &amp; Hammer 2003; </w:t>
            </w:r>
            <w:r w:rsidR="002E49C7" w:rsidRPr="00AD4454">
              <w:rPr>
                <w:rFonts w:ascii="Cambria" w:hAnsi="Cambria"/>
                <w:sz w:val="20"/>
                <w:szCs w:val="20"/>
              </w:rPr>
              <w:t xml:space="preserve">Hammer 2004; McNeil &amp; Hammer </w:t>
            </w:r>
            <w:r w:rsidR="0093621C" w:rsidRPr="00AD4454">
              <w:rPr>
                <w:rFonts w:ascii="Cambria" w:hAnsi="Cambria"/>
                <w:sz w:val="20"/>
                <w:szCs w:val="20"/>
              </w:rPr>
              <w:t xml:space="preserve">     </w:t>
            </w:r>
            <w:r w:rsidR="002E49C7" w:rsidRPr="00AD4454">
              <w:rPr>
                <w:rFonts w:ascii="Cambria" w:hAnsi="Cambria"/>
                <w:sz w:val="20"/>
                <w:szCs w:val="20"/>
              </w:rPr>
              <w:t>2007</w:t>
            </w:r>
          </w:p>
        </w:tc>
      </w:tr>
      <w:tr w:rsidR="00FB16A9" w:rsidRPr="00AD4454" w14:paraId="6A876C8C" w14:textId="77777777" w:rsidTr="00AD4454">
        <w:tc>
          <w:tcPr>
            <w:tcW w:w="1066" w:type="pct"/>
          </w:tcPr>
          <w:p w14:paraId="5B4F22AA" w14:textId="1B18BE06" w:rsidR="00FB16A9" w:rsidRPr="00AD4454" w:rsidRDefault="00FB16A9" w:rsidP="00FB16A9">
            <w:pPr>
              <w:pStyle w:val="tabletext1"/>
              <w:spacing w:after="0"/>
              <w:ind w:left="0" w:right="-231"/>
              <w:rPr>
                <w:rFonts w:ascii="Cambria" w:hAnsi="Cambria"/>
                <w:sz w:val="20"/>
                <w:szCs w:val="20"/>
              </w:rPr>
            </w:pPr>
            <w:r w:rsidRPr="00AD4454">
              <w:rPr>
                <w:rFonts w:ascii="Cambria" w:hAnsi="Cambria"/>
                <w:sz w:val="20"/>
                <w:szCs w:val="20"/>
              </w:rPr>
              <w:t xml:space="preserve">River Murray wetlands </w:t>
            </w:r>
          </w:p>
        </w:tc>
        <w:tc>
          <w:tcPr>
            <w:tcW w:w="1281" w:type="pct"/>
          </w:tcPr>
          <w:p w14:paraId="16FB08C1" w14:textId="76F6D027" w:rsidR="00AE5344" w:rsidRPr="00AD4454" w:rsidRDefault="00757173" w:rsidP="00FB16A9">
            <w:pPr>
              <w:pStyle w:val="tabletext1"/>
              <w:spacing w:after="0"/>
              <w:ind w:left="0" w:right="-231"/>
              <w:rPr>
                <w:rFonts w:ascii="Cambria" w:hAnsi="Cambria"/>
                <w:sz w:val="20"/>
                <w:szCs w:val="20"/>
              </w:rPr>
            </w:pPr>
            <w:r w:rsidRPr="00AD4454">
              <w:rPr>
                <w:rFonts w:ascii="Cambria" w:hAnsi="Cambria"/>
                <w:sz w:val="20"/>
                <w:szCs w:val="20"/>
              </w:rPr>
              <w:t>2004-200</w:t>
            </w:r>
            <w:r w:rsidR="00AF2CD0" w:rsidRPr="00AD4454">
              <w:rPr>
                <w:rFonts w:ascii="Cambria" w:hAnsi="Cambria"/>
                <w:sz w:val="20"/>
                <w:szCs w:val="20"/>
              </w:rPr>
              <w:t xml:space="preserve">7: </w:t>
            </w:r>
            <w:r w:rsidR="002E3168" w:rsidRPr="00AD4454">
              <w:rPr>
                <w:rFonts w:ascii="Cambria" w:hAnsi="Cambria"/>
                <w:sz w:val="20"/>
                <w:szCs w:val="20"/>
              </w:rPr>
              <w:t>74 sites</w:t>
            </w:r>
            <w:r w:rsidR="003268F6" w:rsidRPr="00AD4454">
              <w:rPr>
                <w:rFonts w:ascii="Cambria" w:hAnsi="Cambria"/>
                <w:sz w:val="20"/>
                <w:szCs w:val="20"/>
              </w:rPr>
              <w:t>,</w:t>
            </w:r>
            <w:r w:rsidR="002E3168" w:rsidRPr="00AD4454">
              <w:rPr>
                <w:rFonts w:ascii="Cambria" w:hAnsi="Cambria"/>
                <w:sz w:val="20"/>
                <w:szCs w:val="20"/>
              </w:rPr>
              <w:t xml:space="preserve"> </w:t>
            </w:r>
            <w:r w:rsidR="00CE5A78" w:rsidRPr="00AD4454">
              <w:rPr>
                <w:rFonts w:ascii="Cambria" w:hAnsi="Cambria"/>
                <w:sz w:val="20"/>
                <w:szCs w:val="20"/>
              </w:rPr>
              <w:t xml:space="preserve">18 </w:t>
            </w:r>
            <w:r w:rsidR="00154A37" w:rsidRPr="00AD4454">
              <w:rPr>
                <w:rFonts w:ascii="Cambria" w:hAnsi="Cambria"/>
                <w:sz w:val="20"/>
                <w:szCs w:val="20"/>
              </w:rPr>
              <w:t xml:space="preserve">     </w:t>
            </w:r>
            <w:r w:rsidR="00CE5A78" w:rsidRPr="00AD4454">
              <w:rPr>
                <w:rFonts w:ascii="Cambria" w:hAnsi="Cambria"/>
                <w:sz w:val="20"/>
                <w:szCs w:val="20"/>
              </w:rPr>
              <w:t>native f</w:t>
            </w:r>
            <w:r w:rsidR="00154A37" w:rsidRPr="00AD4454">
              <w:rPr>
                <w:rFonts w:ascii="Cambria" w:hAnsi="Cambria"/>
                <w:sz w:val="20"/>
                <w:szCs w:val="20"/>
              </w:rPr>
              <w:t>reshwater</w:t>
            </w:r>
            <w:r w:rsidR="00CE5A78" w:rsidRPr="00AD4454">
              <w:rPr>
                <w:rFonts w:ascii="Cambria" w:hAnsi="Cambria"/>
                <w:sz w:val="20"/>
                <w:szCs w:val="20"/>
              </w:rPr>
              <w:t>,</w:t>
            </w:r>
            <w:r w:rsidR="00F05D31" w:rsidRPr="00AD4454">
              <w:rPr>
                <w:rFonts w:ascii="Cambria" w:hAnsi="Cambria"/>
                <w:sz w:val="20"/>
                <w:szCs w:val="20"/>
              </w:rPr>
              <w:t xml:space="preserve"> 5 </w:t>
            </w:r>
            <w:r w:rsidR="00154A37" w:rsidRPr="00AD4454">
              <w:rPr>
                <w:rFonts w:ascii="Cambria" w:hAnsi="Cambria"/>
                <w:sz w:val="20"/>
                <w:szCs w:val="20"/>
              </w:rPr>
              <w:t xml:space="preserve"> </w:t>
            </w:r>
            <w:r w:rsidR="00F05D31" w:rsidRPr="00AD4454">
              <w:rPr>
                <w:rFonts w:ascii="Cambria" w:hAnsi="Cambria"/>
                <w:sz w:val="20"/>
                <w:szCs w:val="20"/>
              </w:rPr>
              <w:t xml:space="preserve">estuarine, 5 </w:t>
            </w:r>
            <w:r w:rsidR="00154A37" w:rsidRPr="00AD4454">
              <w:rPr>
                <w:rFonts w:ascii="Cambria" w:hAnsi="Cambria"/>
                <w:sz w:val="20"/>
                <w:szCs w:val="20"/>
              </w:rPr>
              <w:t xml:space="preserve"> </w:t>
            </w:r>
            <w:r w:rsidR="00F05D31" w:rsidRPr="00AD4454">
              <w:rPr>
                <w:rFonts w:ascii="Cambria" w:hAnsi="Cambria"/>
                <w:sz w:val="20"/>
                <w:szCs w:val="20"/>
              </w:rPr>
              <w:t>alien species</w:t>
            </w:r>
            <w:r w:rsidR="00AE5344" w:rsidRPr="00AD4454">
              <w:rPr>
                <w:rFonts w:ascii="Cambria" w:hAnsi="Cambria"/>
                <w:sz w:val="20"/>
                <w:szCs w:val="20"/>
              </w:rPr>
              <w:t>;</w:t>
            </w:r>
          </w:p>
          <w:p w14:paraId="05F1CCFF" w14:textId="5E94E0E0" w:rsidR="00AE5344" w:rsidRPr="00AD4454" w:rsidRDefault="00AE5344" w:rsidP="00FB16A9">
            <w:pPr>
              <w:pStyle w:val="tabletext1"/>
              <w:spacing w:after="0"/>
              <w:ind w:left="0" w:right="-231"/>
              <w:rPr>
                <w:rFonts w:ascii="Cambria" w:hAnsi="Cambria"/>
                <w:sz w:val="20"/>
                <w:szCs w:val="20"/>
              </w:rPr>
            </w:pPr>
            <w:r w:rsidRPr="00AD4454">
              <w:rPr>
                <w:rFonts w:ascii="Cambria" w:hAnsi="Cambria"/>
                <w:sz w:val="20"/>
                <w:szCs w:val="20"/>
              </w:rPr>
              <w:t>2003-2012</w:t>
            </w:r>
            <w:r w:rsidR="007F559A" w:rsidRPr="00AD4454">
              <w:rPr>
                <w:rFonts w:ascii="Cambria" w:hAnsi="Cambria"/>
                <w:sz w:val="20"/>
                <w:szCs w:val="20"/>
              </w:rPr>
              <w:t>, 40 sites,</w:t>
            </w:r>
            <w:r w:rsidRPr="00AD4454">
              <w:rPr>
                <w:rFonts w:ascii="Cambria" w:hAnsi="Cambria"/>
                <w:sz w:val="20"/>
                <w:szCs w:val="20"/>
              </w:rPr>
              <w:t xml:space="preserve"> 28</w:t>
            </w:r>
            <w:r w:rsidR="007F559A" w:rsidRPr="00AD4454">
              <w:rPr>
                <w:rFonts w:ascii="Cambria" w:hAnsi="Cambria"/>
                <w:sz w:val="20"/>
                <w:szCs w:val="20"/>
              </w:rPr>
              <w:t xml:space="preserve"> </w:t>
            </w:r>
            <w:r w:rsidR="00154A37" w:rsidRPr="00AD4454">
              <w:rPr>
                <w:rFonts w:ascii="Cambria" w:hAnsi="Cambria"/>
                <w:sz w:val="20"/>
                <w:szCs w:val="20"/>
              </w:rPr>
              <w:t xml:space="preserve"> </w:t>
            </w:r>
            <w:r w:rsidR="007F559A" w:rsidRPr="00AD4454">
              <w:rPr>
                <w:rFonts w:ascii="Cambria" w:hAnsi="Cambria"/>
                <w:sz w:val="20"/>
                <w:szCs w:val="20"/>
              </w:rPr>
              <w:t>native &amp; 5 alien species</w:t>
            </w:r>
            <w:r w:rsidR="00F05D31" w:rsidRPr="00AD4454">
              <w:rPr>
                <w:rFonts w:ascii="Cambria" w:hAnsi="Cambria"/>
                <w:sz w:val="20"/>
                <w:szCs w:val="20"/>
              </w:rPr>
              <w:t xml:space="preserve"> </w:t>
            </w:r>
          </w:p>
        </w:tc>
        <w:tc>
          <w:tcPr>
            <w:tcW w:w="1591" w:type="pct"/>
          </w:tcPr>
          <w:p w14:paraId="28520211" w14:textId="77777777" w:rsidR="00FB16A9" w:rsidRPr="00AD4454" w:rsidRDefault="00FB16A9" w:rsidP="00FB16A9">
            <w:pPr>
              <w:pStyle w:val="tabletext1"/>
              <w:spacing w:after="0"/>
              <w:ind w:left="0" w:right="-231"/>
              <w:rPr>
                <w:rFonts w:ascii="Cambria" w:hAnsi="Cambria"/>
                <w:sz w:val="20"/>
                <w:szCs w:val="20"/>
              </w:rPr>
            </w:pPr>
          </w:p>
        </w:tc>
        <w:tc>
          <w:tcPr>
            <w:tcW w:w="1062" w:type="pct"/>
          </w:tcPr>
          <w:p w14:paraId="1AFA351D" w14:textId="77777777" w:rsidR="00FB16A9" w:rsidRPr="00AD4454" w:rsidRDefault="00FB16A9" w:rsidP="000B1604">
            <w:pPr>
              <w:pStyle w:val="tabletext1"/>
              <w:spacing w:after="0"/>
              <w:ind w:left="0" w:right="-231"/>
              <w:rPr>
                <w:rFonts w:ascii="Cambria" w:hAnsi="Cambria"/>
                <w:sz w:val="20"/>
                <w:szCs w:val="20"/>
              </w:rPr>
            </w:pPr>
            <w:r w:rsidRPr="00AD4454">
              <w:rPr>
                <w:rFonts w:ascii="Cambria" w:hAnsi="Cambria"/>
                <w:sz w:val="20"/>
                <w:szCs w:val="20"/>
              </w:rPr>
              <w:t>Smith et al. 2009</w:t>
            </w:r>
            <w:r w:rsidR="00ED523E" w:rsidRPr="00AD4454">
              <w:rPr>
                <w:rFonts w:ascii="Cambria" w:hAnsi="Cambria"/>
                <w:sz w:val="20"/>
                <w:szCs w:val="20"/>
              </w:rPr>
              <w:t>;</w:t>
            </w:r>
          </w:p>
          <w:p w14:paraId="6D261F30" w14:textId="6B89444E" w:rsidR="00ED523E" w:rsidRPr="00AD4454" w:rsidRDefault="00ED523E" w:rsidP="0093621C">
            <w:pPr>
              <w:pStyle w:val="tabletext1"/>
              <w:spacing w:after="0"/>
              <w:ind w:left="29" w:right="-231"/>
              <w:rPr>
                <w:rFonts w:ascii="Cambria" w:hAnsi="Cambria"/>
                <w:sz w:val="20"/>
                <w:szCs w:val="20"/>
              </w:rPr>
            </w:pPr>
            <w:r w:rsidRPr="00AD4454">
              <w:rPr>
                <w:rFonts w:ascii="Cambria" w:hAnsi="Cambria"/>
                <w:sz w:val="20"/>
                <w:szCs w:val="20"/>
              </w:rPr>
              <w:t>Wedderburn &amp; Suitor 2012</w:t>
            </w:r>
          </w:p>
        </w:tc>
      </w:tr>
      <w:tr w:rsidR="002E49C7" w:rsidRPr="00AD4454" w14:paraId="07CD0A35" w14:textId="77777777" w:rsidTr="00AD4454">
        <w:tc>
          <w:tcPr>
            <w:tcW w:w="1066" w:type="pct"/>
          </w:tcPr>
          <w:p w14:paraId="7DEA03CF" w14:textId="1D6375CE" w:rsidR="002E49C7" w:rsidRPr="00AD4454" w:rsidRDefault="003D41EA" w:rsidP="00891625">
            <w:pPr>
              <w:pStyle w:val="tabletext1"/>
              <w:spacing w:after="0"/>
              <w:ind w:left="0" w:right="-231"/>
              <w:rPr>
                <w:rFonts w:ascii="Cambria" w:hAnsi="Cambria"/>
                <w:sz w:val="20"/>
                <w:szCs w:val="20"/>
              </w:rPr>
            </w:pPr>
            <w:r w:rsidRPr="00AD4454">
              <w:rPr>
                <w:rFonts w:ascii="Cambria" w:hAnsi="Cambria"/>
                <w:sz w:val="20"/>
                <w:szCs w:val="20"/>
              </w:rPr>
              <w:t>Riverland Ramsar</w:t>
            </w:r>
            <w:r w:rsidR="00AD4454" w:rsidRPr="00AD4454">
              <w:rPr>
                <w:rFonts w:ascii="Cambria" w:hAnsi="Cambria"/>
                <w:sz w:val="20"/>
                <w:szCs w:val="20"/>
              </w:rPr>
              <w:t xml:space="preserve"> </w:t>
            </w:r>
            <w:r w:rsidRPr="00AD4454">
              <w:rPr>
                <w:rFonts w:ascii="Cambria" w:hAnsi="Cambria"/>
                <w:sz w:val="20"/>
                <w:szCs w:val="20"/>
              </w:rPr>
              <w:t>site</w:t>
            </w:r>
            <w:r w:rsidR="00E12B43" w:rsidRPr="00AD4454">
              <w:rPr>
                <w:rFonts w:ascii="Cambria" w:hAnsi="Cambria"/>
                <w:sz w:val="20"/>
                <w:szCs w:val="20"/>
              </w:rPr>
              <w:t xml:space="preserve"> -</w:t>
            </w:r>
            <w:r w:rsidRPr="00AD4454">
              <w:rPr>
                <w:rFonts w:ascii="Cambria" w:hAnsi="Cambria"/>
                <w:sz w:val="20"/>
                <w:szCs w:val="20"/>
              </w:rPr>
              <w:t xml:space="preserve"> </w:t>
            </w:r>
            <w:r w:rsidR="002E49C7" w:rsidRPr="00AD4454">
              <w:rPr>
                <w:rFonts w:ascii="Cambria" w:hAnsi="Cambria"/>
                <w:sz w:val="20"/>
                <w:szCs w:val="20"/>
              </w:rPr>
              <w:t>Chowilla floodplain/</w:t>
            </w:r>
          </w:p>
          <w:p w14:paraId="15A12120"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wetland complex</w:t>
            </w:r>
          </w:p>
        </w:tc>
        <w:tc>
          <w:tcPr>
            <w:tcW w:w="1281" w:type="pct"/>
          </w:tcPr>
          <w:p w14:paraId="633BE398" w14:textId="1D1AF5EF" w:rsidR="002E49C7" w:rsidRPr="00AD4454" w:rsidRDefault="000B0DB5" w:rsidP="00891625">
            <w:pPr>
              <w:pStyle w:val="tabletext1"/>
              <w:spacing w:after="0"/>
              <w:ind w:left="0" w:right="-231"/>
              <w:rPr>
                <w:rFonts w:ascii="Cambria" w:hAnsi="Cambria"/>
                <w:sz w:val="20"/>
                <w:szCs w:val="20"/>
              </w:rPr>
            </w:pPr>
            <w:r w:rsidRPr="00AD4454">
              <w:rPr>
                <w:rFonts w:ascii="Cambria" w:hAnsi="Cambria"/>
                <w:sz w:val="20"/>
                <w:szCs w:val="20"/>
              </w:rPr>
              <w:t xml:space="preserve">up to </w:t>
            </w:r>
            <w:r w:rsidR="00E12B43" w:rsidRPr="00AD4454">
              <w:rPr>
                <w:rFonts w:ascii="Cambria" w:hAnsi="Cambria"/>
                <w:sz w:val="20"/>
                <w:szCs w:val="20"/>
              </w:rPr>
              <w:t xml:space="preserve">16 </w:t>
            </w:r>
            <w:r w:rsidR="002E49C7" w:rsidRPr="00AD4454">
              <w:rPr>
                <w:rFonts w:ascii="Cambria" w:hAnsi="Cambria"/>
                <w:sz w:val="20"/>
                <w:szCs w:val="20"/>
              </w:rPr>
              <w:t xml:space="preserve">native </w:t>
            </w:r>
            <w:r w:rsidR="00331570" w:rsidRPr="00AD4454">
              <w:rPr>
                <w:rFonts w:ascii="Cambria" w:hAnsi="Cambria"/>
                <w:sz w:val="20"/>
                <w:szCs w:val="20"/>
              </w:rPr>
              <w:t xml:space="preserve">&amp; </w:t>
            </w:r>
            <w:r w:rsidR="002E49C7" w:rsidRPr="00AD4454">
              <w:rPr>
                <w:rFonts w:ascii="Cambria" w:hAnsi="Cambria"/>
                <w:sz w:val="20"/>
                <w:szCs w:val="20"/>
              </w:rPr>
              <w:t>4 alien species</w:t>
            </w:r>
            <w:r w:rsidRPr="00AD4454">
              <w:rPr>
                <w:rFonts w:ascii="Cambria" w:hAnsi="Cambria"/>
                <w:sz w:val="20"/>
                <w:szCs w:val="20"/>
              </w:rPr>
              <w:t xml:space="preserve"> </w:t>
            </w:r>
            <w:r w:rsidR="001364A6" w:rsidRPr="00AD4454">
              <w:rPr>
                <w:rFonts w:ascii="Cambria" w:hAnsi="Cambria"/>
                <w:sz w:val="20"/>
                <w:szCs w:val="20"/>
              </w:rPr>
              <w:t>in 2009;</w:t>
            </w:r>
          </w:p>
          <w:p w14:paraId="1A7EB39A" w14:textId="4EFA8DC4" w:rsidR="000B0DB5" w:rsidRPr="00AD4454" w:rsidRDefault="000B0DB5" w:rsidP="00891625">
            <w:pPr>
              <w:pStyle w:val="tabletext1"/>
              <w:spacing w:after="0"/>
              <w:ind w:left="0" w:right="-231"/>
              <w:rPr>
                <w:rFonts w:ascii="Cambria" w:hAnsi="Cambria"/>
                <w:sz w:val="20"/>
                <w:szCs w:val="20"/>
              </w:rPr>
            </w:pPr>
            <w:r w:rsidRPr="00AD4454">
              <w:rPr>
                <w:rFonts w:ascii="Cambria" w:hAnsi="Cambria"/>
                <w:sz w:val="20"/>
                <w:szCs w:val="20"/>
              </w:rPr>
              <w:t>10 native</w:t>
            </w:r>
            <w:r w:rsidR="00A2309E" w:rsidRPr="00AD4454">
              <w:rPr>
                <w:rFonts w:ascii="Cambria" w:hAnsi="Cambria"/>
                <w:sz w:val="20"/>
                <w:szCs w:val="20"/>
              </w:rPr>
              <w:t xml:space="preserve"> &amp;</w:t>
            </w:r>
            <w:r w:rsidRPr="00AD4454">
              <w:rPr>
                <w:rFonts w:ascii="Cambria" w:hAnsi="Cambria"/>
                <w:sz w:val="20"/>
                <w:szCs w:val="20"/>
              </w:rPr>
              <w:t xml:space="preserve"> </w:t>
            </w:r>
            <w:r w:rsidR="00331570" w:rsidRPr="00AD4454">
              <w:rPr>
                <w:rFonts w:ascii="Cambria" w:hAnsi="Cambria"/>
                <w:sz w:val="20"/>
                <w:szCs w:val="20"/>
              </w:rPr>
              <w:t>4 alien species</w:t>
            </w:r>
            <w:r w:rsidR="00A2309E" w:rsidRPr="00AD4454">
              <w:rPr>
                <w:rFonts w:ascii="Cambria" w:hAnsi="Cambria"/>
                <w:sz w:val="20"/>
                <w:szCs w:val="20"/>
              </w:rPr>
              <w:t xml:space="preserve">   </w:t>
            </w:r>
            <w:r w:rsidR="00331570" w:rsidRPr="00AD4454">
              <w:rPr>
                <w:rFonts w:ascii="Cambria" w:hAnsi="Cambria"/>
                <w:sz w:val="20"/>
                <w:szCs w:val="20"/>
              </w:rPr>
              <w:t xml:space="preserve"> in 2021</w:t>
            </w:r>
          </w:p>
        </w:tc>
        <w:tc>
          <w:tcPr>
            <w:tcW w:w="1591" w:type="pct"/>
          </w:tcPr>
          <w:p w14:paraId="09BCD22C" w14:textId="77777777" w:rsidR="002E49C7" w:rsidRPr="00AD4454" w:rsidRDefault="002E49C7" w:rsidP="00891625">
            <w:pPr>
              <w:pStyle w:val="tabletext1"/>
              <w:spacing w:after="0"/>
              <w:ind w:left="0" w:right="-231"/>
              <w:rPr>
                <w:rFonts w:ascii="Cambria" w:hAnsi="Cambria"/>
                <w:sz w:val="20"/>
                <w:szCs w:val="20"/>
              </w:rPr>
            </w:pPr>
          </w:p>
        </w:tc>
        <w:tc>
          <w:tcPr>
            <w:tcW w:w="1062" w:type="pct"/>
          </w:tcPr>
          <w:p w14:paraId="2BD79071" w14:textId="135D4AD0" w:rsidR="002E49C7" w:rsidRPr="00AD4454" w:rsidRDefault="002E49C7" w:rsidP="000B1604">
            <w:pPr>
              <w:pStyle w:val="tabletext1"/>
              <w:spacing w:after="0"/>
              <w:ind w:left="0" w:right="-231"/>
              <w:rPr>
                <w:rFonts w:ascii="Cambria" w:hAnsi="Cambria"/>
                <w:sz w:val="20"/>
                <w:szCs w:val="20"/>
              </w:rPr>
            </w:pPr>
            <w:r w:rsidRPr="00AD4454">
              <w:rPr>
                <w:rFonts w:ascii="Cambria" w:hAnsi="Cambria"/>
                <w:sz w:val="20"/>
                <w:szCs w:val="20"/>
              </w:rPr>
              <w:t xml:space="preserve">Newall et al., 2009; </w:t>
            </w:r>
            <w:r w:rsidR="00435822" w:rsidRPr="00AD4454">
              <w:rPr>
                <w:rFonts w:ascii="Cambria" w:hAnsi="Cambria"/>
                <w:sz w:val="20"/>
                <w:szCs w:val="20"/>
              </w:rPr>
              <w:t xml:space="preserve">   </w:t>
            </w:r>
            <w:r w:rsidRPr="00AD4454">
              <w:rPr>
                <w:rFonts w:ascii="Cambria" w:hAnsi="Cambria"/>
                <w:sz w:val="20"/>
                <w:szCs w:val="20"/>
              </w:rPr>
              <w:t xml:space="preserve">DEH 2010; </w:t>
            </w:r>
            <w:r w:rsidR="00FE739E" w:rsidRPr="00AD4454">
              <w:rPr>
                <w:rFonts w:ascii="Cambria" w:hAnsi="Cambria"/>
                <w:sz w:val="20"/>
                <w:szCs w:val="20"/>
              </w:rPr>
              <w:t xml:space="preserve">Fredburg </w:t>
            </w:r>
            <w:r w:rsidR="00AD4454">
              <w:rPr>
                <w:rFonts w:ascii="Cambria" w:hAnsi="Cambria"/>
                <w:sz w:val="20"/>
                <w:szCs w:val="20"/>
              </w:rPr>
              <w:t xml:space="preserve"> </w:t>
            </w:r>
            <w:r w:rsidR="00FE739E" w:rsidRPr="00AD4454">
              <w:rPr>
                <w:rFonts w:ascii="Cambria" w:hAnsi="Cambria"/>
                <w:sz w:val="20"/>
                <w:szCs w:val="20"/>
              </w:rPr>
              <w:t>et al. 2022</w:t>
            </w:r>
          </w:p>
        </w:tc>
      </w:tr>
      <w:tr w:rsidR="002E49C7" w:rsidRPr="00AD4454" w14:paraId="75A4983C" w14:textId="77777777" w:rsidTr="00AD4454">
        <w:tc>
          <w:tcPr>
            <w:tcW w:w="1066" w:type="pct"/>
          </w:tcPr>
          <w:p w14:paraId="600D4DD9"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Coorong</w:t>
            </w:r>
          </w:p>
        </w:tc>
        <w:tc>
          <w:tcPr>
            <w:tcW w:w="1281" w:type="pct"/>
          </w:tcPr>
          <w:p w14:paraId="79705951" w14:textId="4BA77416" w:rsidR="002E49C7"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a</w:t>
            </w:r>
            <w:r w:rsidR="00741CFD" w:rsidRPr="00AD4454">
              <w:rPr>
                <w:rFonts w:ascii="Cambria" w:hAnsi="Cambria"/>
                <w:sz w:val="20"/>
                <w:szCs w:val="20"/>
              </w:rPr>
              <w:t xml:space="preserve">t least </w:t>
            </w:r>
            <w:r w:rsidR="002E49C7" w:rsidRPr="00AD4454">
              <w:rPr>
                <w:rFonts w:ascii="Cambria" w:hAnsi="Cambria"/>
                <w:sz w:val="20"/>
                <w:szCs w:val="20"/>
              </w:rPr>
              <w:t>26 species</w:t>
            </w:r>
            <w:r w:rsidR="002254E9" w:rsidRPr="00AD4454">
              <w:rPr>
                <w:rFonts w:ascii="Cambria" w:hAnsi="Cambria"/>
                <w:sz w:val="20"/>
                <w:szCs w:val="20"/>
              </w:rPr>
              <w:t xml:space="preserve"> </w:t>
            </w:r>
            <w:r w:rsidR="00206446" w:rsidRPr="00AD4454">
              <w:rPr>
                <w:rFonts w:ascii="Cambria" w:hAnsi="Cambria"/>
                <w:sz w:val="20"/>
                <w:szCs w:val="20"/>
              </w:rPr>
              <w:t>common; up to</w:t>
            </w:r>
            <w:r w:rsidR="00B741DF" w:rsidRPr="00AD4454">
              <w:rPr>
                <w:rFonts w:ascii="Cambria" w:hAnsi="Cambria"/>
                <w:sz w:val="20"/>
                <w:szCs w:val="20"/>
              </w:rPr>
              <w:t xml:space="preserve"> 93</w:t>
            </w:r>
            <w:r w:rsidR="002254E9" w:rsidRPr="00AD4454">
              <w:rPr>
                <w:rFonts w:ascii="Cambria" w:hAnsi="Cambria"/>
                <w:sz w:val="20"/>
                <w:szCs w:val="20"/>
              </w:rPr>
              <w:t xml:space="preserve"> sp</w:t>
            </w:r>
            <w:r w:rsidR="005D7D9E" w:rsidRPr="00AD4454">
              <w:rPr>
                <w:rFonts w:ascii="Cambria" w:hAnsi="Cambria"/>
                <w:sz w:val="20"/>
                <w:szCs w:val="20"/>
              </w:rPr>
              <w:t>p. (incl. Murray Estuary)</w:t>
            </w:r>
          </w:p>
        </w:tc>
        <w:tc>
          <w:tcPr>
            <w:tcW w:w="1591" w:type="pct"/>
          </w:tcPr>
          <w:p w14:paraId="661F704F" w14:textId="74F9BB29" w:rsidR="002E49C7" w:rsidRPr="00AD4454" w:rsidRDefault="008C3C19" w:rsidP="00891625">
            <w:pPr>
              <w:pStyle w:val="tabletext1"/>
              <w:spacing w:after="0"/>
              <w:ind w:left="0" w:right="-231"/>
              <w:rPr>
                <w:rFonts w:ascii="Cambria" w:hAnsi="Cambria"/>
                <w:sz w:val="20"/>
                <w:szCs w:val="20"/>
              </w:rPr>
            </w:pPr>
            <w:r w:rsidRPr="00AD4454">
              <w:rPr>
                <w:rFonts w:ascii="Cambria" w:hAnsi="Cambria"/>
                <w:sz w:val="20"/>
                <w:szCs w:val="20"/>
              </w:rPr>
              <w:t>s</w:t>
            </w:r>
            <w:r w:rsidR="002E49C7" w:rsidRPr="00AD4454">
              <w:rPr>
                <w:rFonts w:ascii="Cambria" w:hAnsi="Cambria"/>
                <w:sz w:val="20"/>
                <w:szCs w:val="20"/>
              </w:rPr>
              <w:t>mall</w:t>
            </w:r>
            <w:r w:rsidRPr="00AD4454">
              <w:rPr>
                <w:rFonts w:ascii="Cambria" w:hAnsi="Cambria"/>
                <w:sz w:val="20"/>
                <w:szCs w:val="20"/>
              </w:rPr>
              <w:t>-</w:t>
            </w:r>
            <w:r w:rsidR="002E49C7" w:rsidRPr="00AD4454">
              <w:rPr>
                <w:rFonts w:ascii="Cambria" w:hAnsi="Cambria"/>
                <w:sz w:val="20"/>
                <w:szCs w:val="20"/>
              </w:rPr>
              <w:t>bodied fish (associated with submerged vegetation)</w:t>
            </w:r>
            <w:r w:rsidR="00FB16A9" w:rsidRPr="00AD4454">
              <w:rPr>
                <w:rFonts w:ascii="Cambria" w:hAnsi="Cambria"/>
                <w:sz w:val="20"/>
                <w:szCs w:val="20"/>
              </w:rPr>
              <w:t>;</w:t>
            </w:r>
          </w:p>
          <w:p w14:paraId="5F247884" w14:textId="21DB5D10"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large</w:t>
            </w:r>
            <w:r w:rsidR="008C3C19" w:rsidRPr="00AD4454">
              <w:rPr>
                <w:rFonts w:ascii="Cambria" w:hAnsi="Cambria"/>
                <w:sz w:val="20"/>
                <w:szCs w:val="20"/>
              </w:rPr>
              <w:t>-</w:t>
            </w:r>
            <w:r w:rsidRPr="00AD4454">
              <w:rPr>
                <w:rFonts w:ascii="Cambria" w:hAnsi="Cambria"/>
                <w:sz w:val="20"/>
                <w:szCs w:val="20"/>
              </w:rPr>
              <w:t>bodied fish</w:t>
            </w:r>
          </w:p>
        </w:tc>
        <w:tc>
          <w:tcPr>
            <w:tcW w:w="1062" w:type="pct"/>
          </w:tcPr>
          <w:p w14:paraId="1530366C" w14:textId="7D0BD6C4" w:rsidR="002E49C7" w:rsidRPr="00AD4454" w:rsidRDefault="002E49C7" w:rsidP="000B1604">
            <w:pPr>
              <w:pStyle w:val="tabletext1"/>
              <w:spacing w:after="0"/>
              <w:ind w:left="0" w:right="-231"/>
              <w:rPr>
                <w:rFonts w:ascii="Cambria" w:hAnsi="Cambria"/>
                <w:sz w:val="20"/>
                <w:szCs w:val="20"/>
              </w:rPr>
            </w:pPr>
            <w:r w:rsidRPr="00AD4454">
              <w:rPr>
                <w:rFonts w:ascii="Cambria" w:hAnsi="Cambria"/>
                <w:sz w:val="20"/>
                <w:szCs w:val="20"/>
              </w:rPr>
              <w:t>Noell et al</w:t>
            </w:r>
            <w:r w:rsidR="0082527D" w:rsidRPr="00AD4454">
              <w:rPr>
                <w:rFonts w:ascii="Cambria" w:hAnsi="Cambria"/>
                <w:sz w:val="20"/>
                <w:szCs w:val="20"/>
              </w:rPr>
              <w:t>.</w:t>
            </w:r>
            <w:r w:rsidRPr="00AD4454">
              <w:rPr>
                <w:rFonts w:ascii="Cambria" w:hAnsi="Cambria"/>
                <w:sz w:val="20"/>
                <w:szCs w:val="20"/>
              </w:rPr>
              <w:t xml:space="preserve"> 2009;</w:t>
            </w:r>
            <w:r w:rsidR="00AD4454">
              <w:rPr>
                <w:rFonts w:ascii="Cambria" w:hAnsi="Cambria"/>
                <w:sz w:val="20"/>
                <w:szCs w:val="20"/>
              </w:rPr>
              <w:t xml:space="preserve"> </w:t>
            </w:r>
            <w:r w:rsidRPr="00AD4454">
              <w:rPr>
                <w:rFonts w:ascii="Cambria" w:hAnsi="Cambria"/>
                <w:sz w:val="20"/>
                <w:szCs w:val="20"/>
              </w:rPr>
              <w:t xml:space="preserve"> Paton 2010</w:t>
            </w:r>
            <w:r w:rsidR="00C403F7" w:rsidRPr="00AD4454">
              <w:rPr>
                <w:rFonts w:ascii="Cambria" w:hAnsi="Cambria"/>
                <w:sz w:val="20"/>
                <w:szCs w:val="20"/>
              </w:rPr>
              <w:t>; Bice et al. 2018</w:t>
            </w:r>
          </w:p>
        </w:tc>
      </w:tr>
      <w:tr w:rsidR="002E49C7" w:rsidRPr="00AD4454" w14:paraId="145495DD" w14:textId="77777777" w:rsidTr="00AD4454">
        <w:tc>
          <w:tcPr>
            <w:tcW w:w="1066" w:type="pct"/>
          </w:tcPr>
          <w:p w14:paraId="46712F2E"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Murray Estuary</w:t>
            </w:r>
          </w:p>
        </w:tc>
        <w:tc>
          <w:tcPr>
            <w:tcW w:w="1281" w:type="pct"/>
          </w:tcPr>
          <w:p w14:paraId="7F2BDB70" w14:textId="65FA8153" w:rsidR="002E49C7" w:rsidRPr="00AD4454" w:rsidRDefault="00B906B4" w:rsidP="00891625">
            <w:pPr>
              <w:pStyle w:val="tabletext1"/>
              <w:spacing w:after="0"/>
              <w:ind w:left="0" w:right="-231"/>
              <w:rPr>
                <w:rFonts w:ascii="Cambria" w:hAnsi="Cambria"/>
                <w:sz w:val="20"/>
                <w:szCs w:val="20"/>
              </w:rPr>
            </w:pPr>
            <w:r w:rsidRPr="00AD4454">
              <w:rPr>
                <w:rFonts w:ascii="Cambria" w:hAnsi="Cambria"/>
                <w:sz w:val="20"/>
                <w:szCs w:val="20"/>
              </w:rPr>
              <w:t>a</w:t>
            </w:r>
            <w:r w:rsidR="00B909DA" w:rsidRPr="00AD4454">
              <w:rPr>
                <w:rFonts w:ascii="Cambria" w:hAnsi="Cambria"/>
                <w:sz w:val="20"/>
                <w:szCs w:val="20"/>
              </w:rPr>
              <w:t xml:space="preserve">t least </w:t>
            </w:r>
            <w:r w:rsidR="002E49C7" w:rsidRPr="00AD4454">
              <w:rPr>
                <w:rFonts w:ascii="Cambria" w:hAnsi="Cambria"/>
                <w:sz w:val="20"/>
                <w:szCs w:val="20"/>
              </w:rPr>
              <w:t>78 species, including 34 marine visitors</w:t>
            </w:r>
          </w:p>
        </w:tc>
        <w:tc>
          <w:tcPr>
            <w:tcW w:w="1591" w:type="pct"/>
          </w:tcPr>
          <w:p w14:paraId="508E4ED3" w14:textId="77777777" w:rsidR="002E49C7" w:rsidRPr="00AD4454" w:rsidRDefault="002E49C7" w:rsidP="00891625">
            <w:pPr>
              <w:pStyle w:val="tabletext1"/>
              <w:spacing w:after="0"/>
              <w:ind w:left="0" w:right="-231"/>
              <w:rPr>
                <w:rFonts w:ascii="Cambria" w:hAnsi="Cambria"/>
                <w:sz w:val="20"/>
                <w:szCs w:val="20"/>
              </w:rPr>
            </w:pPr>
          </w:p>
        </w:tc>
        <w:tc>
          <w:tcPr>
            <w:tcW w:w="1062" w:type="pct"/>
          </w:tcPr>
          <w:p w14:paraId="7E72C74B" w14:textId="2365286E" w:rsidR="002E49C7" w:rsidRPr="00AD4454" w:rsidRDefault="002E49C7" w:rsidP="000B1604">
            <w:pPr>
              <w:pStyle w:val="tabletext1"/>
              <w:spacing w:after="0"/>
              <w:ind w:left="0" w:right="-231"/>
              <w:rPr>
                <w:rFonts w:ascii="Cambria" w:hAnsi="Cambria"/>
                <w:sz w:val="20"/>
                <w:szCs w:val="20"/>
                <w:lang w:val="fr-RE"/>
              </w:rPr>
            </w:pPr>
            <w:r w:rsidRPr="00AD4454">
              <w:rPr>
                <w:rFonts w:ascii="Cambria" w:hAnsi="Cambria"/>
                <w:sz w:val="20"/>
                <w:szCs w:val="20"/>
                <w:lang w:val="fr-RE"/>
              </w:rPr>
              <w:t xml:space="preserve">MDBC 2006c; </w:t>
            </w:r>
            <w:r w:rsidR="00AD4454">
              <w:rPr>
                <w:rFonts w:ascii="Cambria" w:hAnsi="Cambria"/>
                <w:sz w:val="20"/>
                <w:szCs w:val="20"/>
                <w:lang w:val="fr-RE"/>
              </w:rPr>
              <w:t xml:space="preserve">         </w:t>
            </w:r>
            <w:r w:rsidRPr="00AD4454">
              <w:rPr>
                <w:rFonts w:ascii="Cambria" w:hAnsi="Cambria"/>
                <w:sz w:val="20"/>
                <w:szCs w:val="20"/>
                <w:lang w:val="fr-RE"/>
              </w:rPr>
              <w:t>Higham et al. 2002</w:t>
            </w:r>
          </w:p>
        </w:tc>
      </w:tr>
      <w:tr w:rsidR="002E49C7" w:rsidRPr="00AD4454" w14:paraId="61BF3275" w14:textId="77777777" w:rsidTr="00AD4454">
        <w:tc>
          <w:tcPr>
            <w:tcW w:w="1066" w:type="pct"/>
          </w:tcPr>
          <w:p w14:paraId="0C05FE74" w14:textId="77777777"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Lower Lakes</w:t>
            </w:r>
          </w:p>
        </w:tc>
        <w:tc>
          <w:tcPr>
            <w:tcW w:w="1281" w:type="pct"/>
          </w:tcPr>
          <w:p w14:paraId="5CFF6056" w14:textId="372C4F14" w:rsidR="002E49C7" w:rsidRPr="00AD4454" w:rsidRDefault="004674EC" w:rsidP="00891625">
            <w:pPr>
              <w:pStyle w:val="tabletext1"/>
              <w:spacing w:after="0"/>
              <w:ind w:left="0" w:right="-231"/>
              <w:rPr>
                <w:rFonts w:ascii="Cambria" w:hAnsi="Cambria"/>
                <w:sz w:val="20"/>
                <w:szCs w:val="20"/>
              </w:rPr>
            </w:pPr>
            <w:r w:rsidRPr="00AD4454">
              <w:rPr>
                <w:rFonts w:ascii="Cambria" w:hAnsi="Cambria"/>
                <w:sz w:val="20"/>
                <w:szCs w:val="20"/>
              </w:rPr>
              <w:t xml:space="preserve">up to 45 </w:t>
            </w:r>
            <w:r w:rsidR="00C80FDF" w:rsidRPr="00AD4454">
              <w:rPr>
                <w:rFonts w:ascii="Cambria" w:hAnsi="Cambria"/>
                <w:sz w:val="20"/>
                <w:szCs w:val="20"/>
              </w:rPr>
              <w:t xml:space="preserve">native </w:t>
            </w:r>
            <w:r w:rsidR="009E0181" w:rsidRPr="00AD4454">
              <w:rPr>
                <w:rFonts w:ascii="Cambria" w:hAnsi="Cambria"/>
                <w:sz w:val="20"/>
                <w:szCs w:val="20"/>
              </w:rPr>
              <w:t>species;</w:t>
            </w:r>
            <w:r w:rsidR="00C80FDF" w:rsidRPr="00AD4454">
              <w:rPr>
                <w:rFonts w:ascii="Cambria" w:hAnsi="Cambria"/>
                <w:sz w:val="20"/>
                <w:szCs w:val="20"/>
              </w:rPr>
              <w:t xml:space="preserve"> </w:t>
            </w:r>
            <w:r w:rsidR="002E49C7" w:rsidRPr="00AD4454">
              <w:rPr>
                <w:rFonts w:ascii="Cambria" w:hAnsi="Cambria"/>
                <w:sz w:val="20"/>
                <w:szCs w:val="20"/>
              </w:rPr>
              <w:t>(</w:t>
            </w:r>
            <w:r w:rsidRPr="00AD4454">
              <w:rPr>
                <w:rFonts w:ascii="Cambria" w:hAnsi="Cambria"/>
                <w:sz w:val="20"/>
                <w:szCs w:val="20"/>
              </w:rPr>
              <w:t>1</w:t>
            </w:r>
            <w:r w:rsidR="00C80FDF" w:rsidRPr="00AD4454">
              <w:rPr>
                <w:rFonts w:ascii="Cambria" w:hAnsi="Cambria"/>
                <w:sz w:val="20"/>
                <w:szCs w:val="20"/>
              </w:rPr>
              <w:t>8</w:t>
            </w:r>
            <w:r w:rsidR="0096442E" w:rsidRPr="00AD4454">
              <w:rPr>
                <w:rFonts w:ascii="Cambria" w:hAnsi="Cambria"/>
                <w:sz w:val="20"/>
                <w:szCs w:val="20"/>
              </w:rPr>
              <w:t xml:space="preserve"> native</w:t>
            </w:r>
            <w:r w:rsidR="002B2DB1" w:rsidRPr="00AD4454">
              <w:rPr>
                <w:rFonts w:ascii="Cambria" w:hAnsi="Cambria"/>
                <w:sz w:val="20"/>
                <w:szCs w:val="20"/>
              </w:rPr>
              <w:t xml:space="preserve"> &amp;</w:t>
            </w:r>
            <w:r w:rsidR="0096442E" w:rsidRPr="00AD4454">
              <w:rPr>
                <w:rFonts w:ascii="Cambria" w:hAnsi="Cambria"/>
                <w:sz w:val="20"/>
                <w:szCs w:val="20"/>
              </w:rPr>
              <w:t xml:space="preserve"> 4 alien </w:t>
            </w:r>
            <w:r w:rsidR="00C80FDF" w:rsidRPr="00AD4454">
              <w:rPr>
                <w:rFonts w:ascii="Cambria" w:hAnsi="Cambria"/>
                <w:sz w:val="20"/>
                <w:szCs w:val="20"/>
              </w:rPr>
              <w:t xml:space="preserve">species </w:t>
            </w:r>
            <w:r w:rsidR="002E49C7" w:rsidRPr="00AD4454">
              <w:rPr>
                <w:rFonts w:ascii="Cambria" w:hAnsi="Cambria"/>
                <w:sz w:val="20"/>
                <w:szCs w:val="20"/>
              </w:rPr>
              <w:t xml:space="preserve">in </w:t>
            </w:r>
            <w:r w:rsidR="00C80FDF" w:rsidRPr="00AD4454">
              <w:rPr>
                <w:rFonts w:ascii="Cambria" w:hAnsi="Cambria"/>
                <w:sz w:val="20"/>
                <w:szCs w:val="20"/>
              </w:rPr>
              <w:t>2001-0</w:t>
            </w:r>
            <w:r w:rsidR="002E49C7" w:rsidRPr="00AD4454">
              <w:rPr>
                <w:rFonts w:ascii="Cambria" w:hAnsi="Cambria"/>
                <w:sz w:val="20"/>
                <w:szCs w:val="20"/>
              </w:rPr>
              <w:t>3</w:t>
            </w:r>
            <w:r w:rsidR="00C80FDF" w:rsidRPr="00AD4454">
              <w:rPr>
                <w:rFonts w:ascii="Cambria" w:hAnsi="Cambria"/>
                <w:sz w:val="20"/>
                <w:szCs w:val="20"/>
              </w:rPr>
              <w:t xml:space="preserve"> survey</w:t>
            </w:r>
            <w:r w:rsidR="002E49C7" w:rsidRPr="00AD4454">
              <w:rPr>
                <w:rFonts w:ascii="Cambria" w:hAnsi="Cambria"/>
                <w:sz w:val="20"/>
                <w:szCs w:val="20"/>
              </w:rPr>
              <w:t>)</w:t>
            </w:r>
          </w:p>
        </w:tc>
        <w:tc>
          <w:tcPr>
            <w:tcW w:w="1591" w:type="pct"/>
          </w:tcPr>
          <w:p w14:paraId="4C1FA5EC" w14:textId="377367CA" w:rsidR="002E49C7" w:rsidRPr="00AD4454" w:rsidRDefault="002E49C7" w:rsidP="00891625">
            <w:pPr>
              <w:pStyle w:val="tabletext1"/>
              <w:spacing w:after="0"/>
              <w:ind w:left="0" w:right="-231"/>
              <w:rPr>
                <w:rFonts w:ascii="Cambria" w:hAnsi="Cambria"/>
                <w:sz w:val="20"/>
                <w:szCs w:val="20"/>
              </w:rPr>
            </w:pPr>
            <w:r w:rsidRPr="00AD4454">
              <w:rPr>
                <w:rFonts w:ascii="Cambria" w:hAnsi="Cambria"/>
                <w:sz w:val="20"/>
                <w:szCs w:val="20"/>
              </w:rPr>
              <w:t>nationally threatened</w:t>
            </w:r>
            <w:r w:rsidR="00CC0A51" w:rsidRPr="00AD4454">
              <w:rPr>
                <w:rFonts w:ascii="Cambria" w:hAnsi="Cambria"/>
                <w:sz w:val="20"/>
                <w:szCs w:val="20"/>
              </w:rPr>
              <w:t xml:space="preserve"> species</w:t>
            </w:r>
            <w:r w:rsidRPr="00AD4454">
              <w:rPr>
                <w:rFonts w:ascii="Cambria" w:hAnsi="Cambria"/>
                <w:sz w:val="20"/>
                <w:szCs w:val="20"/>
              </w:rPr>
              <w:t xml:space="preserve"> </w:t>
            </w:r>
            <w:r w:rsidRPr="00AD4454">
              <w:rPr>
                <w:rFonts w:ascii="Cambria" w:hAnsi="Cambria"/>
                <w:i/>
                <w:sz w:val="20"/>
                <w:szCs w:val="20"/>
              </w:rPr>
              <w:t>Nannoperca obscura</w:t>
            </w:r>
            <w:r w:rsidR="00481E97" w:rsidRPr="00AD4454">
              <w:rPr>
                <w:rFonts w:ascii="Cambria" w:hAnsi="Cambria"/>
                <w:i/>
                <w:sz w:val="20"/>
                <w:szCs w:val="20"/>
              </w:rPr>
              <w:t>;</w:t>
            </w:r>
            <w:r w:rsidRPr="00AD4454">
              <w:rPr>
                <w:rFonts w:ascii="Cambria" w:hAnsi="Cambria"/>
                <w:i/>
                <w:sz w:val="20"/>
                <w:szCs w:val="20"/>
              </w:rPr>
              <w:t xml:space="preserve"> Craterocephalus fluviatilis</w:t>
            </w:r>
          </w:p>
        </w:tc>
        <w:tc>
          <w:tcPr>
            <w:tcW w:w="1062" w:type="pct"/>
          </w:tcPr>
          <w:p w14:paraId="2931785B" w14:textId="77777777" w:rsidR="000C3706" w:rsidRPr="00AD4454" w:rsidRDefault="002E49C7" w:rsidP="000B1604">
            <w:pPr>
              <w:pStyle w:val="tabletext1"/>
              <w:spacing w:after="0"/>
              <w:ind w:left="0" w:right="-231"/>
              <w:rPr>
                <w:rFonts w:ascii="Cambria" w:hAnsi="Cambria"/>
                <w:sz w:val="20"/>
                <w:szCs w:val="20"/>
              </w:rPr>
            </w:pPr>
            <w:r w:rsidRPr="00AD4454">
              <w:rPr>
                <w:rFonts w:ascii="Cambria" w:hAnsi="Cambria"/>
                <w:sz w:val="20"/>
                <w:szCs w:val="20"/>
              </w:rPr>
              <w:t xml:space="preserve">Wedderburn &amp; Hammer 2003; </w:t>
            </w:r>
          </w:p>
          <w:p w14:paraId="752D310A" w14:textId="115FF472" w:rsidR="002E49C7" w:rsidRPr="00AD4454" w:rsidRDefault="00064C06" w:rsidP="000B1604">
            <w:pPr>
              <w:pStyle w:val="tabletext1"/>
              <w:spacing w:after="0"/>
              <w:ind w:left="0" w:right="-231"/>
              <w:rPr>
                <w:rFonts w:ascii="Cambria" w:hAnsi="Cambria"/>
                <w:sz w:val="20"/>
                <w:szCs w:val="20"/>
              </w:rPr>
            </w:pPr>
            <w:r w:rsidRPr="00AD4454">
              <w:rPr>
                <w:rFonts w:ascii="Cambria" w:hAnsi="Cambria"/>
                <w:sz w:val="20"/>
                <w:szCs w:val="20"/>
              </w:rPr>
              <w:t>Bice et al. 2018</w:t>
            </w:r>
          </w:p>
        </w:tc>
      </w:tr>
    </w:tbl>
    <w:p w14:paraId="0EA9D8DD" w14:textId="77777777" w:rsidR="00A34BE6" w:rsidRDefault="00DF017D" w:rsidP="002B2DB1">
      <w:pPr>
        <w:pStyle w:val="singlespacebodytext"/>
        <w:ind w:left="0" w:right="-1022"/>
      </w:pPr>
      <w:r w:rsidRPr="0059717C">
        <w:t>* Marine irregular visitor</w:t>
      </w:r>
      <w:r w:rsidR="00B53CCA">
        <w:t>/stray</w:t>
      </w:r>
      <w:r w:rsidRPr="0059717C">
        <w:t xml:space="preserve"> species</w:t>
      </w:r>
      <w:r w:rsidR="00B53CCA">
        <w:t xml:space="preserve"> </w:t>
      </w:r>
      <w:r w:rsidRPr="0059717C">
        <w:t>not included.</w:t>
      </w:r>
      <w:r w:rsidR="00560328">
        <w:t xml:space="preserve"> </w:t>
      </w:r>
    </w:p>
    <w:p w14:paraId="7C16BDF9" w14:textId="6E5A0620" w:rsidR="00DF017D" w:rsidRDefault="00DF017D" w:rsidP="002B2DB1">
      <w:pPr>
        <w:pStyle w:val="singlespacebodytext"/>
        <w:ind w:left="0" w:right="-1022"/>
        <w:rPr>
          <w:sz w:val="19"/>
          <w:szCs w:val="19"/>
        </w:rPr>
      </w:pPr>
      <w:r w:rsidRPr="002600E1">
        <w:rPr>
          <w:b/>
        </w:rPr>
        <w:t>*</w:t>
      </w:r>
      <w:r>
        <w:rPr>
          <w:b/>
        </w:rPr>
        <w:t>*</w:t>
      </w:r>
      <w:r>
        <w:t xml:space="preserve"> C</w:t>
      </w:r>
      <w:r w:rsidRPr="002600E1">
        <w:t>ommon names for fish taxa are provided in</w:t>
      </w:r>
      <w:r w:rsidR="00560328">
        <w:t xml:space="preserve"> </w:t>
      </w:r>
      <w:r w:rsidRPr="002B2DB1">
        <w:rPr>
          <w:sz w:val="19"/>
          <w:szCs w:val="19"/>
          <w:u w:val="single"/>
        </w:rPr>
        <w:t xml:space="preserve">Appendix </w:t>
      </w:r>
      <w:r w:rsidR="004C0DBE">
        <w:rPr>
          <w:sz w:val="19"/>
          <w:szCs w:val="19"/>
          <w:u w:val="single"/>
        </w:rPr>
        <w:t>B</w:t>
      </w:r>
      <w:r w:rsidR="002B2DB1" w:rsidRPr="002B2DB1">
        <w:rPr>
          <w:sz w:val="19"/>
          <w:szCs w:val="19"/>
          <w:u w:val="single"/>
        </w:rPr>
        <w:t xml:space="preserve">, Table </w:t>
      </w:r>
      <w:r w:rsidR="004C0DBE">
        <w:rPr>
          <w:sz w:val="19"/>
          <w:szCs w:val="19"/>
          <w:u w:val="single"/>
        </w:rPr>
        <w:t>B</w:t>
      </w:r>
      <w:r w:rsidR="002B2DB1" w:rsidRPr="002B2DB1">
        <w:rPr>
          <w:sz w:val="19"/>
          <w:szCs w:val="19"/>
          <w:u w:val="single"/>
        </w:rPr>
        <w:t>2</w:t>
      </w:r>
      <w:r w:rsidRPr="002B2DB1">
        <w:rPr>
          <w:sz w:val="19"/>
          <w:szCs w:val="19"/>
        </w:rPr>
        <w:t>.</w:t>
      </w:r>
    </w:p>
    <w:p w14:paraId="1FDAC1F8" w14:textId="77777777" w:rsidR="007F3D18" w:rsidRDefault="007F3D18" w:rsidP="002B2DB1">
      <w:pPr>
        <w:pStyle w:val="singlespacebodytext"/>
        <w:ind w:left="0" w:right="-1022"/>
        <w:rPr>
          <w:sz w:val="19"/>
          <w:szCs w:val="19"/>
        </w:rPr>
      </w:pPr>
    </w:p>
    <w:p w14:paraId="05270BEB" w14:textId="0A1E1B95" w:rsidR="00E67A82" w:rsidRPr="00C637BD" w:rsidRDefault="001E2A13" w:rsidP="00AD4454">
      <w:pPr>
        <w:spacing w:after="160" w:line="259" w:lineRule="auto"/>
        <w:rPr>
          <w:b/>
          <w:bCs/>
          <w:iCs/>
          <w:sz w:val="21"/>
          <w:szCs w:val="21"/>
        </w:rPr>
      </w:pPr>
      <w:bookmarkStart w:id="50" w:name="_Toc232747179"/>
      <w:bookmarkStart w:id="51" w:name="_Toc232747255"/>
      <w:bookmarkStart w:id="52" w:name="_Toc232747498"/>
      <w:r>
        <w:br w:type="page"/>
      </w:r>
      <w:r w:rsidR="00A34BE6" w:rsidRPr="00AD4454">
        <w:rPr>
          <w:b/>
          <w:bCs/>
        </w:rPr>
        <w:lastRenderedPageBreak/>
        <w:t xml:space="preserve">Table </w:t>
      </w:r>
      <w:r w:rsidR="00A34BE6" w:rsidRPr="00AD4454">
        <w:rPr>
          <w:b/>
          <w:bCs/>
        </w:rPr>
        <w:fldChar w:fldCharType="begin"/>
      </w:r>
      <w:r w:rsidR="00A34BE6" w:rsidRPr="00AD4454">
        <w:rPr>
          <w:b/>
          <w:bCs/>
        </w:rPr>
        <w:instrText xml:space="preserve"> SEQ Table \* ARABIC </w:instrText>
      </w:r>
      <w:r w:rsidR="00A34BE6" w:rsidRPr="00AD4454">
        <w:rPr>
          <w:b/>
          <w:bCs/>
        </w:rPr>
        <w:fldChar w:fldCharType="separate"/>
      </w:r>
      <w:r w:rsidR="006D35C5">
        <w:rPr>
          <w:b/>
          <w:bCs/>
          <w:noProof/>
        </w:rPr>
        <w:t>9</w:t>
      </w:r>
      <w:r w:rsidR="00A34BE6" w:rsidRPr="00AD4454">
        <w:rPr>
          <w:b/>
          <w:bCs/>
        </w:rPr>
        <w:fldChar w:fldCharType="end"/>
      </w:r>
      <w:r w:rsidR="00E67A82" w:rsidRPr="00AD4454">
        <w:rPr>
          <w:b/>
          <w:bCs/>
        </w:rPr>
        <w:t xml:space="preserve">: </w:t>
      </w:r>
      <w:bookmarkEnd w:id="50"/>
      <w:bookmarkEnd w:id="51"/>
      <w:bookmarkEnd w:id="52"/>
      <w:r w:rsidR="00D23A4E" w:rsidRPr="00C637BD">
        <w:rPr>
          <w:b/>
          <w:bCs/>
          <w:sz w:val="21"/>
          <w:szCs w:val="21"/>
        </w:rPr>
        <w:t>Func</w:t>
      </w:r>
      <w:r w:rsidR="00F4223A" w:rsidRPr="00C637BD">
        <w:rPr>
          <w:b/>
          <w:bCs/>
          <w:sz w:val="21"/>
          <w:szCs w:val="21"/>
        </w:rPr>
        <w:t>ti</w:t>
      </w:r>
      <w:r w:rsidR="00D23A4E" w:rsidRPr="00C637BD">
        <w:rPr>
          <w:b/>
          <w:bCs/>
          <w:sz w:val="21"/>
          <w:szCs w:val="21"/>
        </w:rPr>
        <w:t>onal guild classification</w:t>
      </w:r>
      <w:r w:rsidR="00F4223A" w:rsidRPr="00C637BD">
        <w:rPr>
          <w:b/>
          <w:bCs/>
          <w:sz w:val="21"/>
          <w:szCs w:val="21"/>
        </w:rPr>
        <w:t xml:space="preserve"> of fish species recorded in the CLLMM</w:t>
      </w:r>
      <w:r w:rsidR="009A5746" w:rsidRPr="00C637BD">
        <w:rPr>
          <w:b/>
          <w:bCs/>
          <w:sz w:val="21"/>
          <w:szCs w:val="21"/>
        </w:rPr>
        <w:t xml:space="preserve">—determined </w:t>
      </w:r>
      <w:r w:rsidR="00F4223A" w:rsidRPr="00C637BD">
        <w:rPr>
          <w:b/>
          <w:bCs/>
          <w:sz w:val="21"/>
          <w:szCs w:val="21"/>
        </w:rPr>
        <w:t xml:space="preserve">by expert workshop </w:t>
      </w:r>
      <w:r w:rsidR="0006068C" w:rsidRPr="00C637BD">
        <w:rPr>
          <w:b/>
          <w:bCs/>
          <w:sz w:val="21"/>
          <w:szCs w:val="21"/>
        </w:rPr>
        <w:t xml:space="preserve">using </w:t>
      </w:r>
      <w:r w:rsidR="00C71F41" w:rsidRPr="00C637BD">
        <w:rPr>
          <w:b/>
          <w:bCs/>
          <w:sz w:val="21"/>
          <w:szCs w:val="21"/>
        </w:rPr>
        <w:t>the approach of Potter et al. (2015)</w:t>
      </w:r>
      <w:r w:rsidR="00B2250D" w:rsidRPr="00C637BD">
        <w:rPr>
          <w:b/>
          <w:bCs/>
          <w:sz w:val="21"/>
          <w:szCs w:val="21"/>
        </w:rPr>
        <w:t xml:space="preserve"> in </w:t>
      </w:r>
      <w:r w:rsidR="0018247D" w:rsidRPr="00C637BD">
        <w:rPr>
          <w:b/>
          <w:bCs/>
          <w:sz w:val="21"/>
          <w:szCs w:val="21"/>
        </w:rPr>
        <w:t xml:space="preserve">Bice et al. </w:t>
      </w:r>
      <w:r w:rsidR="009A5746" w:rsidRPr="00C637BD">
        <w:rPr>
          <w:b/>
          <w:bCs/>
          <w:sz w:val="21"/>
          <w:szCs w:val="21"/>
        </w:rPr>
        <w:t>(</w:t>
      </w:r>
      <w:r w:rsidR="0018247D" w:rsidRPr="00C637BD">
        <w:rPr>
          <w:b/>
          <w:bCs/>
          <w:sz w:val="21"/>
          <w:szCs w:val="21"/>
        </w:rPr>
        <w:t>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200"/>
        <w:gridCol w:w="4929"/>
      </w:tblGrid>
      <w:tr w:rsidR="005A5FEF" w:rsidRPr="00AD4454" w14:paraId="1946D8AC" w14:textId="77777777" w:rsidTr="00A34BE6">
        <w:tc>
          <w:tcPr>
            <w:tcW w:w="1618" w:type="pct"/>
            <w:shd w:val="clear" w:color="auto" w:fill="DEEAF6" w:themeFill="accent1" w:themeFillTint="33"/>
          </w:tcPr>
          <w:p w14:paraId="4C109B74" w14:textId="2D738A04" w:rsidR="005A5FEF" w:rsidRPr="00AD4454" w:rsidRDefault="005A5FEF" w:rsidP="00CD5901">
            <w:pPr>
              <w:pStyle w:val="tableheadertext"/>
            </w:pPr>
            <w:r w:rsidRPr="00AD4454">
              <w:t xml:space="preserve">Functional </w:t>
            </w:r>
            <w:r w:rsidR="007E6254" w:rsidRPr="00AD4454">
              <w:t xml:space="preserve">fish </w:t>
            </w:r>
            <w:r w:rsidRPr="00AD4454">
              <w:t>guild</w:t>
            </w:r>
          </w:p>
        </w:tc>
        <w:tc>
          <w:tcPr>
            <w:tcW w:w="662" w:type="pct"/>
            <w:shd w:val="clear" w:color="auto" w:fill="DEEAF6" w:themeFill="accent1" w:themeFillTint="33"/>
          </w:tcPr>
          <w:p w14:paraId="744AB37A" w14:textId="69A0BC94" w:rsidR="005A5FEF" w:rsidRPr="00AD4454" w:rsidRDefault="005A5FEF" w:rsidP="00CD5901">
            <w:pPr>
              <w:pStyle w:val="tableheadertext"/>
            </w:pPr>
            <w:r w:rsidRPr="00AD4454">
              <w:t>No. Spp.</w:t>
            </w:r>
          </w:p>
        </w:tc>
        <w:tc>
          <w:tcPr>
            <w:tcW w:w="2720" w:type="pct"/>
            <w:shd w:val="clear" w:color="auto" w:fill="DEEAF6" w:themeFill="accent1" w:themeFillTint="33"/>
          </w:tcPr>
          <w:p w14:paraId="70D43D76" w14:textId="5ECAC3DC" w:rsidR="005A5FEF" w:rsidRPr="00AD4454" w:rsidRDefault="003F7091" w:rsidP="00CD5901">
            <w:pPr>
              <w:pStyle w:val="tableheadertext"/>
            </w:pPr>
            <w:r w:rsidRPr="00AD4454">
              <w:t>Lifestyle/Habitat</w:t>
            </w:r>
          </w:p>
        </w:tc>
      </w:tr>
      <w:tr w:rsidR="005A5FEF" w:rsidRPr="00AD4454" w14:paraId="24DC6F77" w14:textId="77777777" w:rsidTr="00A34BE6">
        <w:tc>
          <w:tcPr>
            <w:tcW w:w="1618" w:type="pct"/>
            <w:shd w:val="clear" w:color="auto" w:fill="auto"/>
          </w:tcPr>
          <w:p w14:paraId="6080D449" w14:textId="295D34FC" w:rsidR="005A5FEF" w:rsidRPr="00AD4454" w:rsidRDefault="000459F4" w:rsidP="00891625">
            <w:pPr>
              <w:pStyle w:val="tabletext1"/>
              <w:spacing w:after="120"/>
              <w:ind w:left="0"/>
              <w:rPr>
                <w:rFonts w:ascii="Cambria" w:hAnsi="Cambria"/>
                <w:szCs w:val="22"/>
              </w:rPr>
            </w:pPr>
            <w:r w:rsidRPr="00AD4454">
              <w:rPr>
                <w:rFonts w:ascii="Cambria" w:hAnsi="Cambria"/>
                <w:szCs w:val="22"/>
              </w:rPr>
              <w:t xml:space="preserve">Freshwater </w:t>
            </w:r>
            <w:r w:rsidR="00757656" w:rsidRPr="00AD4454">
              <w:rPr>
                <w:rFonts w:ascii="Cambria" w:hAnsi="Cambria"/>
                <w:szCs w:val="22"/>
              </w:rPr>
              <w:t>(</w:t>
            </w:r>
            <w:r w:rsidRPr="00AD4454">
              <w:rPr>
                <w:rFonts w:ascii="Cambria" w:hAnsi="Cambria"/>
                <w:szCs w:val="22"/>
              </w:rPr>
              <w:t>strag</w:t>
            </w:r>
            <w:r w:rsidR="00B51A19" w:rsidRPr="00AD4454">
              <w:rPr>
                <w:rFonts w:ascii="Cambria" w:hAnsi="Cambria"/>
                <w:szCs w:val="22"/>
              </w:rPr>
              <w:t>g</w:t>
            </w:r>
            <w:r w:rsidRPr="00AD4454">
              <w:rPr>
                <w:rFonts w:ascii="Cambria" w:hAnsi="Cambria"/>
                <w:szCs w:val="22"/>
              </w:rPr>
              <w:t>ler</w:t>
            </w:r>
            <w:r w:rsidR="00757656" w:rsidRPr="00AD4454">
              <w:rPr>
                <w:rFonts w:ascii="Cambria" w:hAnsi="Cambria"/>
                <w:szCs w:val="22"/>
              </w:rPr>
              <w:t>)</w:t>
            </w:r>
          </w:p>
          <w:p w14:paraId="0936CE0E" w14:textId="79CD6EC5" w:rsidR="00F60716" w:rsidRPr="00AD4454" w:rsidRDefault="00F60716" w:rsidP="00891625">
            <w:pPr>
              <w:pStyle w:val="tabletext1"/>
              <w:spacing w:after="120"/>
              <w:ind w:left="0"/>
              <w:rPr>
                <w:rFonts w:ascii="Cambria" w:hAnsi="Cambria"/>
                <w:szCs w:val="22"/>
              </w:rPr>
            </w:pPr>
          </w:p>
        </w:tc>
        <w:tc>
          <w:tcPr>
            <w:tcW w:w="662" w:type="pct"/>
            <w:shd w:val="clear" w:color="auto" w:fill="auto"/>
          </w:tcPr>
          <w:p w14:paraId="3AF12210" w14:textId="2D476ABB" w:rsidR="005A5FEF" w:rsidRPr="00AD4454" w:rsidRDefault="007440AC" w:rsidP="008C07C9">
            <w:pPr>
              <w:pStyle w:val="tabletext1"/>
              <w:spacing w:after="120"/>
              <w:ind w:left="0"/>
              <w:jc w:val="center"/>
              <w:rPr>
                <w:rFonts w:ascii="Cambria" w:hAnsi="Cambria"/>
                <w:szCs w:val="22"/>
              </w:rPr>
            </w:pPr>
            <w:r w:rsidRPr="00AD4454">
              <w:rPr>
                <w:rFonts w:ascii="Cambria" w:hAnsi="Cambria"/>
                <w:szCs w:val="22"/>
              </w:rPr>
              <w:t>14</w:t>
            </w:r>
            <w:r w:rsidR="00F05638" w:rsidRPr="00AD4454">
              <w:rPr>
                <w:rFonts w:ascii="Cambria" w:hAnsi="Cambria"/>
                <w:szCs w:val="22"/>
              </w:rPr>
              <w:t xml:space="preserve"> native</w:t>
            </w:r>
          </w:p>
          <w:p w14:paraId="4DF2FB40" w14:textId="6569467F" w:rsidR="00F05638" w:rsidRPr="00AD4454" w:rsidRDefault="007440AC" w:rsidP="008C07C9">
            <w:pPr>
              <w:pStyle w:val="tabletext1"/>
              <w:spacing w:after="120"/>
              <w:ind w:left="0"/>
              <w:jc w:val="center"/>
              <w:rPr>
                <w:rFonts w:ascii="Cambria" w:hAnsi="Cambria"/>
                <w:szCs w:val="22"/>
              </w:rPr>
            </w:pPr>
            <w:r w:rsidRPr="00AD4454">
              <w:rPr>
                <w:rFonts w:ascii="Cambria" w:hAnsi="Cambria"/>
                <w:szCs w:val="22"/>
              </w:rPr>
              <w:t>8</w:t>
            </w:r>
            <w:r w:rsidR="00FC412D" w:rsidRPr="00AD4454">
              <w:rPr>
                <w:rFonts w:ascii="Cambria" w:hAnsi="Cambria"/>
                <w:szCs w:val="22"/>
              </w:rPr>
              <w:t xml:space="preserve"> alien</w:t>
            </w:r>
          </w:p>
        </w:tc>
        <w:tc>
          <w:tcPr>
            <w:tcW w:w="2720" w:type="pct"/>
            <w:shd w:val="clear" w:color="auto" w:fill="auto"/>
          </w:tcPr>
          <w:p w14:paraId="7D9DAC00" w14:textId="25621704" w:rsidR="005A5FEF" w:rsidRPr="00AD4454" w:rsidRDefault="005451DD" w:rsidP="00891625">
            <w:pPr>
              <w:pStyle w:val="tabletext1"/>
              <w:spacing w:after="120"/>
              <w:ind w:left="0"/>
              <w:rPr>
                <w:rFonts w:ascii="Cambria" w:hAnsi="Cambria"/>
                <w:iCs/>
                <w:szCs w:val="22"/>
              </w:rPr>
            </w:pPr>
            <w:r w:rsidRPr="00AD4454">
              <w:rPr>
                <w:rFonts w:ascii="Cambria" w:hAnsi="Cambria"/>
                <w:iCs/>
                <w:szCs w:val="22"/>
              </w:rPr>
              <w:t>M</w:t>
            </w:r>
            <w:r w:rsidR="00FC412D" w:rsidRPr="00AD4454">
              <w:rPr>
                <w:rFonts w:ascii="Cambria" w:hAnsi="Cambria"/>
                <w:iCs/>
                <w:szCs w:val="22"/>
              </w:rPr>
              <w:t xml:space="preserve">ainly restricted to </w:t>
            </w:r>
            <w:r w:rsidRPr="00AD4454">
              <w:rPr>
                <w:rFonts w:ascii="Cambria" w:hAnsi="Cambria"/>
                <w:iCs/>
                <w:szCs w:val="22"/>
              </w:rPr>
              <w:t>freshwater; low tolerance to elevated salinity</w:t>
            </w:r>
            <w:r w:rsidR="00E067C1" w:rsidRPr="00AD4454">
              <w:rPr>
                <w:rFonts w:ascii="Cambria" w:hAnsi="Cambria"/>
                <w:iCs/>
                <w:szCs w:val="22"/>
              </w:rPr>
              <w:t>; Golden perch common &amp; widespread in Lower Lakes</w:t>
            </w:r>
            <w:r w:rsidR="00F05638" w:rsidRPr="00AD4454">
              <w:rPr>
                <w:rFonts w:ascii="Cambria" w:hAnsi="Cambria"/>
                <w:iCs/>
                <w:szCs w:val="22"/>
              </w:rPr>
              <w:t xml:space="preserve">; </w:t>
            </w:r>
            <w:r w:rsidR="00696166" w:rsidRPr="00AD4454">
              <w:rPr>
                <w:rFonts w:ascii="Cambria" w:hAnsi="Cambria"/>
                <w:iCs/>
                <w:szCs w:val="22"/>
              </w:rPr>
              <w:t>6</w:t>
            </w:r>
            <w:r w:rsidR="00F05638" w:rsidRPr="00AD4454">
              <w:rPr>
                <w:rFonts w:ascii="Cambria" w:hAnsi="Cambria"/>
                <w:iCs/>
                <w:szCs w:val="22"/>
              </w:rPr>
              <w:t xml:space="preserve"> species of conservation significance</w:t>
            </w:r>
          </w:p>
        </w:tc>
      </w:tr>
      <w:tr w:rsidR="005A5FEF" w:rsidRPr="00AD4454" w14:paraId="5BF97009" w14:textId="77777777" w:rsidTr="00A34BE6">
        <w:tc>
          <w:tcPr>
            <w:tcW w:w="1618" w:type="pct"/>
            <w:shd w:val="clear" w:color="auto" w:fill="auto"/>
          </w:tcPr>
          <w:p w14:paraId="5A1925F1" w14:textId="6097E7EC" w:rsidR="005A5FEF" w:rsidRPr="00AD4454" w:rsidRDefault="00B51A19" w:rsidP="00891625">
            <w:pPr>
              <w:pStyle w:val="tabletext1"/>
              <w:spacing w:after="120"/>
              <w:ind w:left="0"/>
              <w:rPr>
                <w:rFonts w:ascii="Cambria" w:hAnsi="Cambria"/>
                <w:szCs w:val="22"/>
              </w:rPr>
            </w:pPr>
            <w:r w:rsidRPr="00AD4454">
              <w:rPr>
                <w:rFonts w:ascii="Cambria" w:hAnsi="Cambria"/>
                <w:szCs w:val="22"/>
              </w:rPr>
              <w:t>Freshwater estuarine opportunist</w:t>
            </w:r>
          </w:p>
        </w:tc>
        <w:tc>
          <w:tcPr>
            <w:tcW w:w="662" w:type="pct"/>
            <w:shd w:val="clear" w:color="auto" w:fill="auto"/>
          </w:tcPr>
          <w:p w14:paraId="37ACFEA0" w14:textId="038654E5" w:rsidR="005A5FEF" w:rsidRPr="00AD4454" w:rsidRDefault="00EE228B" w:rsidP="008C07C9">
            <w:pPr>
              <w:pStyle w:val="tabletext1"/>
              <w:spacing w:after="120"/>
              <w:ind w:left="0"/>
              <w:jc w:val="center"/>
              <w:rPr>
                <w:rFonts w:ascii="Cambria" w:hAnsi="Cambria"/>
                <w:szCs w:val="22"/>
              </w:rPr>
            </w:pPr>
            <w:r w:rsidRPr="00AD4454">
              <w:rPr>
                <w:rFonts w:ascii="Cambria" w:hAnsi="Cambria"/>
                <w:szCs w:val="22"/>
              </w:rPr>
              <w:t>3</w:t>
            </w:r>
          </w:p>
        </w:tc>
        <w:tc>
          <w:tcPr>
            <w:tcW w:w="2720" w:type="pct"/>
            <w:shd w:val="clear" w:color="auto" w:fill="auto"/>
          </w:tcPr>
          <w:p w14:paraId="02B1042A" w14:textId="32BF8E93" w:rsidR="005A5FEF" w:rsidRPr="00AD4454" w:rsidRDefault="007D29FB" w:rsidP="00891625">
            <w:pPr>
              <w:pStyle w:val="tabletext1"/>
              <w:spacing w:after="120"/>
              <w:ind w:left="0"/>
              <w:rPr>
                <w:rFonts w:ascii="Cambria" w:hAnsi="Cambria"/>
                <w:iCs/>
                <w:szCs w:val="22"/>
              </w:rPr>
            </w:pPr>
            <w:r w:rsidRPr="00AD4454">
              <w:rPr>
                <w:rFonts w:ascii="Cambria" w:hAnsi="Cambria"/>
                <w:iCs/>
                <w:szCs w:val="22"/>
              </w:rPr>
              <w:t xml:space="preserve">Freshwater species that commonly use </w:t>
            </w:r>
            <w:r w:rsidR="00757656" w:rsidRPr="00AD4454">
              <w:rPr>
                <w:rFonts w:ascii="Cambria" w:hAnsi="Cambria"/>
                <w:iCs/>
                <w:szCs w:val="22"/>
              </w:rPr>
              <w:t xml:space="preserve">the </w:t>
            </w:r>
            <w:r w:rsidRPr="00AD4454">
              <w:rPr>
                <w:rFonts w:ascii="Cambria" w:hAnsi="Cambria"/>
                <w:iCs/>
                <w:szCs w:val="22"/>
              </w:rPr>
              <w:t>estuary</w:t>
            </w:r>
            <w:r w:rsidR="00692D51" w:rsidRPr="00AD4454">
              <w:rPr>
                <w:rFonts w:ascii="Cambria" w:hAnsi="Cambria"/>
                <w:iCs/>
                <w:szCs w:val="22"/>
              </w:rPr>
              <w:t>;</w:t>
            </w:r>
            <w:r w:rsidRPr="00AD4454">
              <w:rPr>
                <w:rFonts w:ascii="Cambria" w:hAnsi="Cambria"/>
                <w:iCs/>
                <w:szCs w:val="22"/>
              </w:rPr>
              <w:t xml:space="preserve"> e</w:t>
            </w:r>
            <w:r w:rsidR="002F2EBC" w:rsidRPr="00AD4454">
              <w:rPr>
                <w:rFonts w:ascii="Cambria" w:hAnsi="Cambria"/>
                <w:iCs/>
                <w:szCs w:val="22"/>
              </w:rPr>
              <w:t>.</w:t>
            </w:r>
            <w:r w:rsidRPr="00AD4454">
              <w:rPr>
                <w:rFonts w:ascii="Cambria" w:hAnsi="Cambria"/>
                <w:iCs/>
                <w:szCs w:val="22"/>
              </w:rPr>
              <w:t xml:space="preserve">g. </w:t>
            </w:r>
            <w:r w:rsidR="0006068C" w:rsidRPr="00AD4454">
              <w:rPr>
                <w:rFonts w:ascii="Cambria" w:hAnsi="Cambria"/>
                <w:iCs/>
                <w:szCs w:val="22"/>
              </w:rPr>
              <w:t>b</w:t>
            </w:r>
            <w:r w:rsidRPr="00AD4454">
              <w:rPr>
                <w:rFonts w:ascii="Cambria" w:hAnsi="Cambria"/>
                <w:iCs/>
                <w:szCs w:val="22"/>
              </w:rPr>
              <w:t xml:space="preserve">ony herring, Australian smelt, </w:t>
            </w:r>
            <w:r w:rsidR="0006068C" w:rsidRPr="00AD4454">
              <w:rPr>
                <w:rFonts w:ascii="Cambria" w:hAnsi="Cambria"/>
                <w:iCs/>
                <w:szCs w:val="22"/>
              </w:rPr>
              <w:t>f</w:t>
            </w:r>
            <w:r w:rsidR="002F2EBC" w:rsidRPr="00AD4454">
              <w:rPr>
                <w:rFonts w:ascii="Cambria" w:hAnsi="Cambria"/>
                <w:iCs/>
                <w:szCs w:val="22"/>
              </w:rPr>
              <w:t>lat-headed gudgeon</w:t>
            </w:r>
          </w:p>
        </w:tc>
      </w:tr>
      <w:tr w:rsidR="005A5FEF" w:rsidRPr="00AD4454" w14:paraId="715A8A44" w14:textId="77777777" w:rsidTr="00A34BE6">
        <w:tc>
          <w:tcPr>
            <w:tcW w:w="1618" w:type="pct"/>
            <w:shd w:val="clear" w:color="auto" w:fill="auto"/>
          </w:tcPr>
          <w:p w14:paraId="54CCC656" w14:textId="6E0AA68B" w:rsidR="005A5FEF" w:rsidRPr="00AD4454" w:rsidRDefault="00913504" w:rsidP="00891625">
            <w:pPr>
              <w:pStyle w:val="tabletext1"/>
              <w:spacing w:after="120"/>
              <w:ind w:left="0"/>
              <w:rPr>
                <w:rFonts w:ascii="Cambria" w:hAnsi="Cambria"/>
                <w:szCs w:val="22"/>
              </w:rPr>
            </w:pPr>
            <w:r w:rsidRPr="00AD4454">
              <w:rPr>
                <w:rFonts w:ascii="Cambria" w:hAnsi="Cambria"/>
                <w:szCs w:val="22"/>
              </w:rPr>
              <w:t>Anadromous</w:t>
            </w:r>
          </w:p>
        </w:tc>
        <w:tc>
          <w:tcPr>
            <w:tcW w:w="662" w:type="pct"/>
            <w:shd w:val="clear" w:color="auto" w:fill="auto"/>
          </w:tcPr>
          <w:p w14:paraId="0B4BECA1" w14:textId="537391E2" w:rsidR="005A5FEF" w:rsidRPr="00AD4454" w:rsidRDefault="00913504" w:rsidP="008C07C9">
            <w:pPr>
              <w:pStyle w:val="tabletext1"/>
              <w:spacing w:after="120"/>
              <w:ind w:left="0"/>
              <w:jc w:val="center"/>
              <w:rPr>
                <w:rFonts w:ascii="Cambria" w:hAnsi="Cambria"/>
                <w:szCs w:val="22"/>
              </w:rPr>
            </w:pPr>
            <w:r w:rsidRPr="00AD4454">
              <w:rPr>
                <w:rFonts w:ascii="Cambria" w:hAnsi="Cambria"/>
                <w:szCs w:val="22"/>
              </w:rPr>
              <w:t>2</w:t>
            </w:r>
          </w:p>
        </w:tc>
        <w:tc>
          <w:tcPr>
            <w:tcW w:w="2720" w:type="pct"/>
            <w:shd w:val="clear" w:color="auto" w:fill="auto"/>
          </w:tcPr>
          <w:p w14:paraId="7AC1A16B" w14:textId="558F9CE0" w:rsidR="005A5FEF" w:rsidRPr="00AD4454" w:rsidRDefault="00C607E3" w:rsidP="00891625">
            <w:pPr>
              <w:pStyle w:val="tabletext1"/>
              <w:spacing w:after="120"/>
              <w:ind w:left="0"/>
              <w:rPr>
                <w:rFonts w:ascii="Cambria" w:hAnsi="Cambria"/>
                <w:iCs/>
                <w:szCs w:val="22"/>
              </w:rPr>
            </w:pPr>
            <w:r w:rsidRPr="00AD4454">
              <w:rPr>
                <w:rFonts w:ascii="Cambria" w:hAnsi="Cambria"/>
                <w:iCs/>
                <w:szCs w:val="22"/>
              </w:rPr>
              <w:t>Adult life in marine habitat</w:t>
            </w:r>
            <w:r w:rsidR="00550F4A" w:rsidRPr="00AD4454">
              <w:rPr>
                <w:rFonts w:ascii="Cambria" w:hAnsi="Cambria"/>
                <w:iCs/>
                <w:szCs w:val="22"/>
              </w:rPr>
              <w:t>; upstream migration into freshwater to spawn</w:t>
            </w:r>
            <w:r w:rsidR="00692D51" w:rsidRPr="00AD4454">
              <w:rPr>
                <w:rFonts w:ascii="Cambria" w:hAnsi="Cambria"/>
                <w:iCs/>
                <w:szCs w:val="22"/>
              </w:rPr>
              <w:t>;</w:t>
            </w:r>
            <w:r w:rsidR="00550F4A" w:rsidRPr="00AD4454">
              <w:rPr>
                <w:rFonts w:ascii="Cambria" w:hAnsi="Cambria"/>
                <w:iCs/>
                <w:szCs w:val="22"/>
              </w:rPr>
              <w:t xml:space="preserve"> e.g. </w:t>
            </w:r>
            <w:r w:rsidR="00FD2E10" w:rsidRPr="00AD4454">
              <w:rPr>
                <w:rFonts w:ascii="Cambria" w:hAnsi="Cambria"/>
                <w:iCs/>
                <w:szCs w:val="22"/>
              </w:rPr>
              <w:t xml:space="preserve">two </w:t>
            </w:r>
            <w:r w:rsidR="00550F4A" w:rsidRPr="00AD4454">
              <w:rPr>
                <w:rFonts w:ascii="Cambria" w:hAnsi="Cambria"/>
                <w:iCs/>
                <w:szCs w:val="22"/>
              </w:rPr>
              <w:t>lamprey</w:t>
            </w:r>
            <w:r w:rsidR="00FD2E10" w:rsidRPr="00AD4454">
              <w:rPr>
                <w:rFonts w:ascii="Cambria" w:hAnsi="Cambria"/>
                <w:iCs/>
                <w:szCs w:val="22"/>
              </w:rPr>
              <w:t xml:space="preserve"> species</w:t>
            </w:r>
          </w:p>
        </w:tc>
      </w:tr>
      <w:tr w:rsidR="005A5FEF" w:rsidRPr="00AD4454" w14:paraId="52548716" w14:textId="77777777" w:rsidTr="00A34BE6">
        <w:tc>
          <w:tcPr>
            <w:tcW w:w="1618" w:type="pct"/>
            <w:shd w:val="clear" w:color="auto" w:fill="auto"/>
          </w:tcPr>
          <w:p w14:paraId="22C24420" w14:textId="60A44527" w:rsidR="005A5FEF" w:rsidRPr="00AD4454" w:rsidRDefault="00913504" w:rsidP="00891625">
            <w:pPr>
              <w:pStyle w:val="tabletext1"/>
              <w:spacing w:after="120"/>
              <w:ind w:left="0"/>
              <w:rPr>
                <w:rFonts w:ascii="Cambria" w:hAnsi="Cambria"/>
                <w:szCs w:val="22"/>
              </w:rPr>
            </w:pPr>
            <w:r w:rsidRPr="00AD4454">
              <w:rPr>
                <w:rFonts w:ascii="Cambria" w:hAnsi="Cambria"/>
                <w:szCs w:val="22"/>
              </w:rPr>
              <w:t>Catadromous</w:t>
            </w:r>
          </w:p>
        </w:tc>
        <w:tc>
          <w:tcPr>
            <w:tcW w:w="662" w:type="pct"/>
            <w:shd w:val="clear" w:color="auto" w:fill="auto"/>
          </w:tcPr>
          <w:p w14:paraId="39775168" w14:textId="775ABCF4" w:rsidR="005A5FEF" w:rsidRPr="00AD4454" w:rsidRDefault="002D1E21" w:rsidP="008C07C9">
            <w:pPr>
              <w:pStyle w:val="tabletext1"/>
              <w:spacing w:after="120"/>
              <w:ind w:left="0"/>
              <w:jc w:val="center"/>
              <w:rPr>
                <w:rFonts w:ascii="Cambria" w:hAnsi="Cambria"/>
                <w:szCs w:val="22"/>
              </w:rPr>
            </w:pPr>
            <w:r w:rsidRPr="00AD4454">
              <w:rPr>
                <w:rFonts w:ascii="Cambria" w:hAnsi="Cambria"/>
                <w:szCs w:val="22"/>
              </w:rPr>
              <w:t>2</w:t>
            </w:r>
          </w:p>
        </w:tc>
        <w:tc>
          <w:tcPr>
            <w:tcW w:w="2720" w:type="pct"/>
            <w:shd w:val="clear" w:color="auto" w:fill="auto"/>
          </w:tcPr>
          <w:p w14:paraId="317AE29E" w14:textId="24B52D17" w:rsidR="005A5FEF" w:rsidRPr="00AD4454" w:rsidRDefault="00C22E47" w:rsidP="00891625">
            <w:pPr>
              <w:pStyle w:val="tabletext1"/>
              <w:spacing w:after="120"/>
              <w:ind w:left="0"/>
              <w:rPr>
                <w:rFonts w:ascii="Cambria" w:hAnsi="Cambria"/>
                <w:iCs/>
                <w:szCs w:val="22"/>
              </w:rPr>
            </w:pPr>
            <w:r w:rsidRPr="00AD4454">
              <w:rPr>
                <w:rFonts w:ascii="Cambria" w:hAnsi="Cambria"/>
                <w:iCs/>
                <w:szCs w:val="22"/>
              </w:rPr>
              <w:t>Adult life in freshwater habitat; migrate downstream to spawn in sea</w:t>
            </w:r>
            <w:r w:rsidR="00023A0A" w:rsidRPr="00AD4454">
              <w:rPr>
                <w:rFonts w:ascii="Cambria" w:hAnsi="Cambria"/>
                <w:iCs/>
                <w:szCs w:val="22"/>
              </w:rPr>
              <w:t>, where larvae develop</w:t>
            </w:r>
            <w:r w:rsidR="00692D51" w:rsidRPr="00AD4454">
              <w:rPr>
                <w:rFonts w:ascii="Cambria" w:hAnsi="Cambria"/>
                <w:iCs/>
                <w:szCs w:val="22"/>
              </w:rPr>
              <w:t>;</w:t>
            </w:r>
            <w:r w:rsidR="001A6116" w:rsidRPr="00AD4454">
              <w:rPr>
                <w:rFonts w:ascii="Cambria" w:hAnsi="Cambria"/>
                <w:iCs/>
                <w:szCs w:val="22"/>
              </w:rPr>
              <w:t xml:space="preserve"> </w:t>
            </w:r>
            <w:r w:rsidR="001E77C1" w:rsidRPr="00AD4454">
              <w:rPr>
                <w:rFonts w:ascii="Cambria" w:hAnsi="Cambria"/>
                <w:iCs/>
                <w:szCs w:val="22"/>
              </w:rPr>
              <w:t>e</w:t>
            </w:r>
            <w:r w:rsidR="001A6116" w:rsidRPr="00AD4454">
              <w:rPr>
                <w:rFonts w:ascii="Cambria" w:hAnsi="Cambria"/>
                <w:iCs/>
                <w:szCs w:val="22"/>
              </w:rPr>
              <w:t>.g. eel, congol</w:t>
            </w:r>
            <w:r w:rsidR="001E77C1" w:rsidRPr="00AD4454">
              <w:rPr>
                <w:rFonts w:ascii="Cambria" w:hAnsi="Cambria"/>
                <w:iCs/>
                <w:szCs w:val="22"/>
              </w:rPr>
              <w:t>li</w:t>
            </w:r>
          </w:p>
        </w:tc>
      </w:tr>
      <w:tr w:rsidR="002D1E21" w:rsidRPr="00AD4454" w14:paraId="6FA559C2" w14:textId="77777777" w:rsidTr="00A34BE6">
        <w:tc>
          <w:tcPr>
            <w:tcW w:w="1618" w:type="pct"/>
            <w:shd w:val="clear" w:color="auto" w:fill="auto"/>
          </w:tcPr>
          <w:p w14:paraId="5E52D0C9" w14:textId="3FBCF779" w:rsidR="002D1E21" w:rsidRPr="00AD4454" w:rsidRDefault="002D1E21" w:rsidP="00891625">
            <w:pPr>
              <w:pStyle w:val="tabletext1"/>
              <w:spacing w:after="120"/>
              <w:ind w:left="0"/>
              <w:rPr>
                <w:rFonts w:ascii="Cambria" w:hAnsi="Cambria"/>
                <w:szCs w:val="22"/>
              </w:rPr>
            </w:pPr>
            <w:r w:rsidRPr="00AD4454">
              <w:rPr>
                <w:rFonts w:ascii="Cambria" w:hAnsi="Cambria"/>
                <w:szCs w:val="22"/>
              </w:rPr>
              <w:t>Semi-catadromous</w:t>
            </w:r>
          </w:p>
        </w:tc>
        <w:tc>
          <w:tcPr>
            <w:tcW w:w="662" w:type="pct"/>
            <w:shd w:val="clear" w:color="auto" w:fill="auto"/>
          </w:tcPr>
          <w:p w14:paraId="2A209D51" w14:textId="69BC2FE9" w:rsidR="002D1E21" w:rsidRPr="00AD4454" w:rsidRDefault="002D1E21" w:rsidP="008C07C9">
            <w:pPr>
              <w:pStyle w:val="tabletext1"/>
              <w:spacing w:after="120"/>
              <w:ind w:left="0"/>
              <w:jc w:val="center"/>
              <w:rPr>
                <w:rFonts w:ascii="Cambria" w:hAnsi="Cambria"/>
                <w:szCs w:val="22"/>
              </w:rPr>
            </w:pPr>
            <w:r w:rsidRPr="00AD4454">
              <w:rPr>
                <w:rFonts w:ascii="Cambria" w:hAnsi="Cambria"/>
                <w:szCs w:val="22"/>
              </w:rPr>
              <w:t>3</w:t>
            </w:r>
          </w:p>
        </w:tc>
        <w:tc>
          <w:tcPr>
            <w:tcW w:w="2720" w:type="pct"/>
            <w:shd w:val="clear" w:color="auto" w:fill="auto"/>
          </w:tcPr>
          <w:p w14:paraId="403FEE4A" w14:textId="2796E39D" w:rsidR="002D1E21" w:rsidRPr="00AD4454" w:rsidRDefault="007B5AAA" w:rsidP="00891625">
            <w:pPr>
              <w:pStyle w:val="tabletext1"/>
              <w:spacing w:after="120"/>
              <w:ind w:left="0"/>
              <w:rPr>
                <w:rFonts w:ascii="Cambria" w:hAnsi="Cambria"/>
                <w:iCs/>
                <w:szCs w:val="22"/>
              </w:rPr>
            </w:pPr>
            <w:r w:rsidRPr="00AD4454">
              <w:rPr>
                <w:rFonts w:ascii="Cambria" w:hAnsi="Cambria"/>
                <w:iCs/>
                <w:szCs w:val="22"/>
              </w:rPr>
              <w:t>Adult life in freshwater habitat but downstream spawning migration ends in estuary</w:t>
            </w:r>
            <w:r w:rsidR="00E62CF5" w:rsidRPr="00AD4454">
              <w:rPr>
                <w:rFonts w:ascii="Cambria" w:hAnsi="Cambria"/>
                <w:iCs/>
                <w:szCs w:val="22"/>
              </w:rPr>
              <w:t xml:space="preserve"> to breed</w:t>
            </w:r>
            <w:r w:rsidR="00692D51" w:rsidRPr="00AD4454">
              <w:rPr>
                <w:rFonts w:ascii="Cambria" w:hAnsi="Cambria"/>
                <w:iCs/>
                <w:szCs w:val="22"/>
              </w:rPr>
              <w:t>;</w:t>
            </w:r>
            <w:r w:rsidR="0006068C" w:rsidRPr="00AD4454">
              <w:rPr>
                <w:rFonts w:ascii="Cambria" w:hAnsi="Cambria"/>
                <w:iCs/>
                <w:szCs w:val="22"/>
              </w:rPr>
              <w:t xml:space="preserve"> e.g. estuary perch, </w:t>
            </w:r>
            <w:r w:rsidR="00093D93" w:rsidRPr="00AD4454">
              <w:rPr>
                <w:rFonts w:ascii="Cambria" w:hAnsi="Cambria"/>
                <w:iCs/>
                <w:szCs w:val="22"/>
              </w:rPr>
              <w:t>common galaxias</w:t>
            </w:r>
            <w:r w:rsidR="005C66A3" w:rsidRPr="00AD4454">
              <w:rPr>
                <w:rFonts w:ascii="Cambria" w:hAnsi="Cambria"/>
                <w:iCs/>
                <w:szCs w:val="22"/>
              </w:rPr>
              <w:t xml:space="preserve">; </w:t>
            </w:r>
            <w:r w:rsidR="00643EED" w:rsidRPr="00AD4454">
              <w:rPr>
                <w:rFonts w:ascii="Cambria" w:hAnsi="Cambria"/>
                <w:iCs/>
                <w:szCs w:val="22"/>
              </w:rPr>
              <w:t>(</w:t>
            </w:r>
            <w:r w:rsidR="005C66A3" w:rsidRPr="00AD4454">
              <w:rPr>
                <w:rFonts w:ascii="Cambria" w:hAnsi="Cambria"/>
                <w:iCs/>
                <w:szCs w:val="22"/>
              </w:rPr>
              <w:t xml:space="preserve">Australian bass </w:t>
            </w:r>
            <w:r w:rsidR="00643EED" w:rsidRPr="00AD4454">
              <w:rPr>
                <w:rFonts w:ascii="Cambria" w:hAnsi="Cambria"/>
                <w:iCs/>
                <w:szCs w:val="22"/>
              </w:rPr>
              <w:t xml:space="preserve">is </w:t>
            </w:r>
            <w:r w:rsidR="00AF2DE0" w:rsidRPr="00AD4454">
              <w:rPr>
                <w:rFonts w:ascii="Cambria" w:hAnsi="Cambria"/>
                <w:iCs/>
                <w:szCs w:val="22"/>
              </w:rPr>
              <w:t xml:space="preserve">from one record </w:t>
            </w:r>
            <w:r w:rsidR="00C340E5" w:rsidRPr="00AD4454">
              <w:rPr>
                <w:rFonts w:ascii="Cambria" w:hAnsi="Cambria"/>
                <w:iCs/>
                <w:szCs w:val="22"/>
              </w:rPr>
              <w:t xml:space="preserve">in 2017 </w:t>
            </w:r>
            <w:r w:rsidR="00AF2DE0" w:rsidRPr="00AD4454">
              <w:rPr>
                <w:rFonts w:ascii="Cambria" w:hAnsi="Cambria"/>
                <w:iCs/>
                <w:szCs w:val="22"/>
              </w:rPr>
              <w:t xml:space="preserve">&amp; </w:t>
            </w:r>
            <w:r w:rsidR="00643EED" w:rsidRPr="00AD4454">
              <w:rPr>
                <w:rFonts w:ascii="Cambria" w:hAnsi="Cambria"/>
                <w:iCs/>
                <w:szCs w:val="22"/>
              </w:rPr>
              <w:t>l</w:t>
            </w:r>
            <w:r w:rsidR="005C66A3" w:rsidRPr="00AD4454">
              <w:rPr>
                <w:rFonts w:ascii="Cambria" w:hAnsi="Cambria"/>
                <w:iCs/>
                <w:szCs w:val="22"/>
              </w:rPr>
              <w:t xml:space="preserve">ikely </w:t>
            </w:r>
            <w:r w:rsidR="00F9777F" w:rsidRPr="00AD4454">
              <w:rPr>
                <w:rFonts w:ascii="Cambria" w:hAnsi="Cambria"/>
                <w:iCs/>
                <w:szCs w:val="22"/>
              </w:rPr>
              <w:t>translocated</w:t>
            </w:r>
            <w:r w:rsidR="00C340E5" w:rsidRPr="00AD4454">
              <w:rPr>
                <w:rFonts w:ascii="Cambria" w:hAnsi="Cambria"/>
                <w:iCs/>
                <w:szCs w:val="22"/>
              </w:rPr>
              <w:t xml:space="preserve"> illegally</w:t>
            </w:r>
            <w:r w:rsidR="00643EED" w:rsidRPr="00AD4454">
              <w:rPr>
                <w:rFonts w:ascii="Cambria" w:hAnsi="Cambria"/>
                <w:iCs/>
                <w:szCs w:val="22"/>
              </w:rPr>
              <w:t>)</w:t>
            </w:r>
          </w:p>
        </w:tc>
      </w:tr>
      <w:tr w:rsidR="005A5FEF" w:rsidRPr="00AD4454" w14:paraId="5209B306" w14:textId="77777777" w:rsidTr="00A34BE6">
        <w:tc>
          <w:tcPr>
            <w:tcW w:w="1618" w:type="pct"/>
            <w:shd w:val="clear" w:color="auto" w:fill="auto"/>
          </w:tcPr>
          <w:p w14:paraId="39347E12" w14:textId="7DB084CA" w:rsidR="005A5FEF" w:rsidRPr="00AD4454" w:rsidRDefault="00DF4B85" w:rsidP="00891625">
            <w:pPr>
              <w:pStyle w:val="tabletext1"/>
              <w:spacing w:after="120"/>
              <w:ind w:left="0"/>
              <w:rPr>
                <w:rFonts w:ascii="Cambria" w:hAnsi="Cambria"/>
                <w:szCs w:val="22"/>
              </w:rPr>
            </w:pPr>
            <w:r w:rsidRPr="00AD4454">
              <w:rPr>
                <w:rFonts w:ascii="Cambria" w:hAnsi="Cambria"/>
                <w:szCs w:val="22"/>
              </w:rPr>
              <w:t>Solely estuarine</w:t>
            </w:r>
          </w:p>
        </w:tc>
        <w:tc>
          <w:tcPr>
            <w:tcW w:w="662" w:type="pct"/>
            <w:shd w:val="clear" w:color="auto" w:fill="auto"/>
          </w:tcPr>
          <w:p w14:paraId="0FCF3FF8" w14:textId="18EC9945" w:rsidR="005A5FEF" w:rsidRPr="00AD4454" w:rsidRDefault="00B84743" w:rsidP="008C07C9">
            <w:pPr>
              <w:pStyle w:val="tabletext1"/>
              <w:spacing w:after="120"/>
              <w:ind w:left="0"/>
              <w:jc w:val="center"/>
              <w:rPr>
                <w:rFonts w:ascii="Cambria" w:hAnsi="Cambria"/>
                <w:szCs w:val="22"/>
              </w:rPr>
            </w:pPr>
            <w:r w:rsidRPr="00AD4454">
              <w:rPr>
                <w:rFonts w:ascii="Cambria" w:hAnsi="Cambria"/>
                <w:szCs w:val="22"/>
              </w:rPr>
              <w:t>6</w:t>
            </w:r>
          </w:p>
        </w:tc>
        <w:tc>
          <w:tcPr>
            <w:tcW w:w="2720" w:type="pct"/>
            <w:shd w:val="clear" w:color="auto" w:fill="auto"/>
          </w:tcPr>
          <w:p w14:paraId="1CD5D2EE" w14:textId="5939AFE0" w:rsidR="005A5FEF" w:rsidRPr="00AD4454" w:rsidRDefault="00D4165D" w:rsidP="00891625">
            <w:pPr>
              <w:pStyle w:val="tabletext1"/>
              <w:spacing w:after="120"/>
              <w:ind w:left="0"/>
              <w:rPr>
                <w:rFonts w:ascii="Cambria" w:hAnsi="Cambria"/>
                <w:iCs/>
                <w:szCs w:val="22"/>
              </w:rPr>
            </w:pPr>
            <w:r w:rsidRPr="00AD4454">
              <w:rPr>
                <w:rFonts w:ascii="Cambria" w:hAnsi="Cambria"/>
                <w:iCs/>
                <w:szCs w:val="22"/>
              </w:rPr>
              <w:t>Reproduction is confined to estuarine habitats</w:t>
            </w:r>
            <w:r w:rsidR="00692D51" w:rsidRPr="00AD4454">
              <w:rPr>
                <w:rFonts w:ascii="Cambria" w:hAnsi="Cambria"/>
                <w:iCs/>
                <w:szCs w:val="22"/>
              </w:rPr>
              <w:t>;</w:t>
            </w:r>
            <w:r w:rsidR="00653932" w:rsidRPr="00AD4454">
              <w:rPr>
                <w:rFonts w:ascii="Cambria" w:hAnsi="Cambria"/>
                <w:iCs/>
                <w:szCs w:val="22"/>
              </w:rPr>
              <w:t xml:space="preserve"> e.g. black bream</w:t>
            </w:r>
            <w:r w:rsidR="003853C6" w:rsidRPr="00AD4454">
              <w:rPr>
                <w:rFonts w:ascii="Cambria" w:hAnsi="Cambria"/>
                <w:iCs/>
                <w:szCs w:val="22"/>
              </w:rPr>
              <w:t>, small mouth hardyhead</w:t>
            </w:r>
          </w:p>
        </w:tc>
      </w:tr>
      <w:tr w:rsidR="005A5FEF" w:rsidRPr="00AD4454" w14:paraId="0E7F614D" w14:textId="77777777" w:rsidTr="00A34BE6">
        <w:tc>
          <w:tcPr>
            <w:tcW w:w="1618" w:type="pct"/>
            <w:shd w:val="clear" w:color="auto" w:fill="auto"/>
          </w:tcPr>
          <w:p w14:paraId="5693FA89" w14:textId="3B32C2DF" w:rsidR="005A5FEF" w:rsidRPr="00AD4454" w:rsidRDefault="00B84743" w:rsidP="00891625">
            <w:pPr>
              <w:pStyle w:val="tabletext1"/>
              <w:spacing w:after="120"/>
              <w:ind w:left="0"/>
              <w:rPr>
                <w:rFonts w:ascii="Cambria" w:hAnsi="Cambria"/>
                <w:szCs w:val="22"/>
              </w:rPr>
            </w:pPr>
            <w:r w:rsidRPr="00AD4454">
              <w:rPr>
                <w:rFonts w:ascii="Cambria" w:hAnsi="Cambria"/>
                <w:szCs w:val="22"/>
              </w:rPr>
              <w:t>Estuarine &amp; marine</w:t>
            </w:r>
          </w:p>
        </w:tc>
        <w:tc>
          <w:tcPr>
            <w:tcW w:w="662" w:type="pct"/>
            <w:shd w:val="clear" w:color="auto" w:fill="auto"/>
          </w:tcPr>
          <w:p w14:paraId="5925E0B8" w14:textId="256AAA53" w:rsidR="005A5FEF" w:rsidRPr="00AD4454" w:rsidRDefault="00B84743" w:rsidP="008C07C9">
            <w:pPr>
              <w:pStyle w:val="tabletext1"/>
              <w:spacing w:after="120"/>
              <w:ind w:left="0"/>
              <w:jc w:val="center"/>
              <w:rPr>
                <w:rFonts w:ascii="Cambria" w:hAnsi="Cambria"/>
                <w:szCs w:val="22"/>
              </w:rPr>
            </w:pPr>
            <w:r w:rsidRPr="00AD4454">
              <w:rPr>
                <w:rFonts w:ascii="Cambria" w:hAnsi="Cambria"/>
                <w:szCs w:val="22"/>
              </w:rPr>
              <w:t>3</w:t>
            </w:r>
          </w:p>
        </w:tc>
        <w:tc>
          <w:tcPr>
            <w:tcW w:w="2720" w:type="pct"/>
            <w:shd w:val="clear" w:color="auto" w:fill="auto"/>
          </w:tcPr>
          <w:p w14:paraId="1D2AD022" w14:textId="5A28432A" w:rsidR="005A5FEF" w:rsidRPr="00AD4454" w:rsidRDefault="0033239F" w:rsidP="00891625">
            <w:pPr>
              <w:pStyle w:val="tabletext1"/>
              <w:spacing w:after="120"/>
              <w:ind w:left="0"/>
              <w:rPr>
                <w:rFonts w:ascii="Cambria" w:hAnsi="Cambria"/>
                <w:iCs/>
                <w:szCs w:val="22"/>
              </w:rPr>
            </w:pPr>
            <w:r w:rsidRPr="00AD4454">
              <w:rPr>
                <w:rFonts w:ascii="Cambria" w:hAnsi="Cambria"/>
                <w:iCs/>
                <w:szCs w:val="22"/>
              </w:rPr>
              <w:t xml:space="preserve">May form discrete self-sustaining populations in </w:t>
            </w:r>
            <w:r w:rsidR="00336D6D" w:rsidRPr="00AD4454">
              <w:rPr>
                <w:rFonts w:ascii="Cambria" w:hAnsi="Cambria"/>
                <w:iCs/>
                <w:szCs w:val="22"/>
              </w:rPr>
              <w:t xml:space="preserve">both </w:t>
            </w:r>
            <w:r w:rsidRPr="00AD4454">
              <w:rPr>
                <w:rFonts w:ascii="Cambria" w:hAnsi="Cambria"/>
                <w:iCs/>
                <w:szCs w:val="22"/>
              </w:rPr>
              <w:t>estuarine and marine</w:t>
            </w:r>
            <w:r w:rsidR="00073A2F" w:rsidRPr="00AD4454">
              <w:rPr>
                <w:rFonts w:ascii="Cambria" w:hAnsi="Cambria"/>
                <w:iCs/>
                <w:szCs w:val="22"/>
              </w:rPr>
              <w:t xml:space="preserve"> habitats</w:t>
            </w:r>
            <w:r w:rsidR="00692D51" w:rsidRPr="00AD4454">
              <w:rPr>
                <w:rFonts w:ascii="Cambria" w:hAnsi="Cambria"/>
                <w:iCs/>
                <w:szCs w:val="22"/>
              </w:rPr>
              <w:t>;</w:t>
            </w:r>
            <w:r w:rsidR="0036689E" w:rsidRPr="00AD4454">
              <w:rPr>
                <w:rFonts w:ascii="Cambria" w:hAnsi="Cambria"/>
                <w:iCs/>
                <w:szCs w:val="22"/>
              </w:rPr>
              <w:t xml:space="preserve"> e.g. bridled </w:t>
            </w:r>
            <w:r w:rsidR="001E0482" w:rsidRPr="00AD4454">
              <w:rPr>
                <w:rFonts w:ascii="Cambria" w:hAnsi="Cambria"/>
                <w:iCs/>
                <w:szCs w:val="22"/>
              </w:rPr>
              <w:t>&amp; lagoon goby</w:t>
            </w:r>
          </w:p>
        </w:tc>
      </w:tr>
      <w:tr w:rsidR="005A5FEF" w:rsidRPr="00AD4454" w14:paraId="2EE6858B" w14:textId="77777777" w:rsidTr="00A34BE6">
        <w:tc>
          <w:tcPr>
            <w:tcW w:w="1618" w:type="pct"/>
            <w:shd w:val="clear" w:color="auto" w:fill="auto"/>
          </w:tcPr>
          <w:p w14:paraId="20BEE0F3" w14:textId="77777777" w:rsidR="005A5FEF" w:rsidRPr="00AD4454" w:rsidRDefault="00B84743" w:rsidP="00891625">
            <w:pPr>
              <w:pStyle w:val="tabletext1"/>
              <w:spacing w:after="120"/>
              <w:ind w:left="0"/>
              <w:rPr>
                <w:rFonts w:ascii="Cambria" w:hAnsi="Cambria"/>
                <w:szCs w:val="22"/>
              </w:rPr>
            </w:pPr>
            <w:r w:rsidRPr="00AD4454">
              <w:rPr>
                <w:rFonts w:ascii="Cambria" w:hAnsi="Cambria"/>
                <w:szCs w:val="22"/>
              </w:rPr>
              <w:t>Marine</w:t>
            </w:r>
            <w:r w:rsidR="00D53C6D" w:rsidRPr="00AD4454">
              <w:rPr>
                <w:rFonts w:ascii="Cambria" w:hAnsi="Cambria"/>
                <w:szCs w:val="22"/>
              </w:rPr>
              <w:t>-</w:t>
            </w:r>
            <w:r w:rsidR="009B6AA8" w:rsidRPr="00AD4454">
              <w:rPr>
                <w:rFonts w:ascii="Cambria" w:hAnsi="Cambria"/>
                <w:szCs w:val="22"/>
              </w:rPr>
              <w:t>estuarine opportunist</w:t>
            </w:r>
          </w:p>
          <w:p w14:paraId="7B6D6234" w14:textId="55EF8DA6" w:rsidR="00711EE9" w:rsidRPr="00AD4454" w:rsidRDefault="00711EE9" w:rsidP="00891625">
            <w:pPr>
              <w:pStyle w:val="tabletext1"/>
              <w:spacing w:after="120"/>
              <w:ind w:left="0"/>
              <w:rPr>
                <w:rFonts w:ascii="Cambria" w:hAnsi="Cambria"/>
                <w:szCs w:val="22"/>
              </w:rPr>
            </w:pPr>
          </w:p>
        </w:tc>
        <w:tc>
          <w:tcPr>
            <w:tcW w:w="662" w:type="pct"/>
            <w:shd w:val="clear" w:color="auto" w:fill="auto"/>
          </w:tcPr>
          <w:p w14:paraId="47C47C3F" w14:textId="2C06BBB2" w:rsidR="005A5FEF" w:rsidRPr="00AD4454" w:rsidRDefault="009B6AA8" w:rsidP="008C07C9">
            <w:pPr>
              <w:pStyle w:val="tabletext1"/>
              <w:spacing w:after="120"/>
              <w:ind w:left="0"/>
              <w:jc w:val="center"/>
              <w:rPr>
                <w:rFonts w:ascii="Cambria" w:hAnsi="Cambria"/>
                <w:szCs w:val="22"/>
              </w:rPr>
            </w:pPr>
            <w:r w:rsidRPr="00AD4454">
              <w:rPr>
                <w:rFonts w:ascii="Cambria" w:hAnsi="Cambria"/>
                <w:szCs w:val="22"/>
              </w:rPr>
              <w:t>15</w:t>
            </w:r>
          </w:p>
        </w:tc>
        <w:tc>
          <w:tcPr>
            <w:tcW w:w="2720" w:type="pct"/>
            <w:shd w:val="clear" w:color="auto" w:fill="auto"/>
          </w:tcPr>
          <w:p w14:paraId="57DF5C58" w14:textId="2473ED93" w:rsidR="005A5FEF" w:rsidRPr="00AD4454" w:rsidRDefault="00D53C6D" w:rsidP="00891625">
            <w:pPr>
              <w:pStyle w:val="tabletext1"/>
              <w:spacing w:after="120"/>
              <w:ind w:left="0"/>
              <w:rPr>
                <w:rFonts w:ascii="Cambria" w:hAnsi="Cambria"/>
                <w:iCs/>
                <w:szCs w:val="22"/>
              </w:rPr>
            </w:pPr>
            <w:r w:rsidRPr="00AD4454">
              <w:rPr>
                <w:rFonts w:ascii="Cambria" w:hAnsi="Cambria"/>
                <w:iCs/>
                <w:szCs w:val="22"/>
              </w:rPr>
              <w:t>Marine species that enter estuar</w:t>
            </w:r>
            <w:r w:rsidR="00136FFA" w:rsidRPr="00AD4454">
              <w:rPr>
                <w:rFonts w:ascii="Cambria" w:hAnsi="Cambria"/>
                <w:iCs/>
                <w:szCs w:val="22"/>
              </w:rPr>
              <w:t>y</w:t>
            </w:r>
            <w:r w:rsidRPr="00AD4454">
              <w:rPr>
                <w:rFonts w:ascii="Cambria" w:hAnsi="Cambria"/>
                <w:iCs/>
                <w:szCs w:val="22"/>
              </w:rPr>
              <w:t xml:space="preserve"> regularly</w:t>
            </w:r>
            <w:r w:rsidR="00D52C0B" w:rsidRPr="00AD4454">
              <w:rPr>
                <w:rFonts w:ascii="Cambria" w:hAnsi="Cambria"/>
                <w:iCs/>
                <w:szCs w:val="22"/>
              </w:rPr>
              <w:t xml:space="preserve"> &amp; abundant</w:t>
            </w:r>
            <w:r w:rsidR="00D46309" w:rsidRPr="00AD4454">
              <w:rPr>
                <w:rFonts w:ascii="Cambria" w:hAnsi="Cambria"/>
                <w:iCs/>
                <w:szCs w:val="22"/>
              </w:rPr>
              <w:t>; may use as nursery</w:t>
            </w:r>
            <w:r w:rsidR="0021356F" w:rsidRPr="00AD4454">
              <w:rPr>
                <w:rFonts w:ascii="Cambria" w:hAnsi="Cambria"/>
                <w:iCs/>
                <w:szCs w:val="22"/>
              </w:rPr>
              <w:t>; several species of commercial importance</w:t>
            </w:r>
            <w:r w:rsidR="007A14A0" w:rsidRPr="00AD4454">
              <w:rPr>
                <w:rFonts w:ascii="Cambria" w:hAnsi="Cambria"/>
                <w:iCs/>
                <w:szCs w:val="22"/>
              </w:rPr>
              <w:t xml:space="preserve">; CLLMM plays important role in </w:t>
            </w:r>
            <w:r w:rsidR="00094717" w:rsidRPr="00AD4454">
              <w:rPr>
                <w:rFonts w:ascii="Cambria" w:hAnsi="Cambria"/>
                <w:iCs/>
                <w:szCs w:val="22"/>
              </w:rPr>
              <w:t xml:space="preserve">regional </w:t>
            </w:r>
            <w:r w:rsidR="007A14A0" w:rsidRPr="00AD4454">
              <w:rPr>
                <w:rFonts w:ascii="Cambria" w:hAnsi="Cambria"/>
                <w:iCs/>
                <w:szCs w:val="22"/>
              </w:rPr>
              <w:t>population dynamics</w:t>
            </w:r>
            <w:r w:rsidR="00186EA8" w:rsidRPr="00AD4454">
              <w:rPr>
                <w:rFonts w:ascii="Cambria" w:hAnsi="Cambria"/>
                <w:iCs/>
                <w:szCs w:val="22"/>
              </w:rPr>
              <w:t>;</w:t>
            </w:r>
            <w:r w:rsidR="0021356F" w:rsidRPr="00AD4454">
              <w:rPr>
                <w:rFonts w:ascii="Cambria" w:hAnsi="Cambria"/>
                <w:iCs/>
                <w:szCs w:val="22"/>
              </w:rPr>
              <w:t xml:space="preserve"> e.g. </w:t>
            </w:r>
            <w:r w:rsidR="00382CBA" w:rsidRPr="00AD4454">
              <w:rPr>
                <w:rFonts w:ascii="Cambria" w:hAnsi="Cambria"/>
                <w:iCs/>
                <w:szCs w:val="22"/>
              </w:rPr>
              <w:t>g</w:t>
            </w:r>
            <w:r w:rsidR="0021356F" w:rsidRPr="00AD4454">
              <w:rPr>
                <w:rFonts w:ascii="Cambria" w:hAnsi="Cambria"/>
                <w:iCs/>
                <w:szCs w:val="22"/>
              </w:rPr>
              <w:t xml:space="preserve">reenback flounder, </w:t>
            </w:r>
            <w:r w:rsidR="00CB2B43" w:rsidRPr="00AD4454">
              <w:rPr>
                <w:rFonts w:ascii="Cambria" w:hAnsi="Cambria"/>
                <w:iCs/>
                <w:szCs w:val="22"/>
              </w:rPr>
              <w:t>mulloway</w:t>
            </w:r>
            <w:r w:rsidR="004874D3" w:rsidRPr="00AD4454">
              <w:rPr>
                <w:rFonts w:ascii="Cambria" w:hAnsi="Cambria"/>
                <w:iCs/>
                <w:szCs w:val="22"/>
              </w:rPr>
              <w:t>, sandy sprat</w:t>
            </w:r>
          </w:p>
        </w:tc>
      </w:tr>
      <w:tr w:rsidR="005A5FEF" w:rsidRPr="00AD4454" w14:paraId="4EEE0B39" w14:textId="77777777" w:rsidTr="00A34BE6">
        <w:tc>
          <w:tcPr>
            <w:tcW w:w="1618" w:type="pct"/>
            <w:shd w:val="clear" w:color="auto" w:fill="auto"/>
          </w:tcPr>
          <w:p w14:paraId="28A17249" w14:textId="43AA94B5" w:rsidR="005A5FEF" w:rsidRPr="00AD4454" w:rsidRDefault="009B6AA8" w:rsidP="00891625">
            <w:pPr>
              <w:pStyle w:val="tabletext1"/>
              <w:spacing w:after="120"/>
              <w:ind w:left="0"/>
              <w:rPr>
                <w:rFonts w:ascii="Cambria" w:hAnsi="Cambria"/>
                <w:szCs w:val="22"/>
              </w:rPr>
            </w:pPr>
            <w:r w:rsidRPr="00AD4454">
              <w:rPr>
                <w:rFonts w:ascii="Cambria" w:hAnsi="Cambria"/>
                <w:szCs w:val="22"/>
              </w:rPr>
              <w:t>Marine straggler</w:t>
            </w:r>
          </w:p>
        </w:tc>
        <w:tc>
          <w:tcPr>
            <w:tcW w:w="662" w:type="pct"/>
            <w:shd w:val="clear" w:color="auto" w:fill="auto"/>
          </w:tcPr>
          <w:p w14:paraId="5C9DFCB6" w14:textId="1F09D3D7" w:rsidR="005A5FEF" w:rsidRPr="00AD4454" w:rsidRDefault="002D1E21" w:rsidP="008C07C9">
            <w:pPr>
              <w:pStyle w:val="tabletext1"/>
              <w:spacing w:after="120"/>
              <w:ind w:left="0"/>
              <w:jc w:val="center"/>
              <w:rPr>
                <w:rFonts w:ascii="Cambria" w:hAnsi="Cambria"/>
                <w:szCs w:val="22"/>
              </w:rPr>
            </w:pPr>
            <w:r w:rsidRPr="00AD4454">
              <w:rPr>
                <w:rFonts w:ascii="Cambria" w:hAnsi="Cambria"/>
                <w:szCs w:val="22"/>
              </w:rPr>
              <w:t>48</w:t>
            </w:r>
          </w:p>
        </w:tc>
        <w:tc>
          <w:tcPr>
            <w:tcW w:w="2720" w:type="pct"/>
            <w:shd w:val="clear" w:color="auto" w:fill="auto"/>
          </w:tcPr>
          <w:p w14:paraId="33F4BC71" w14:textId="6AEAA7DE" w:rsidR="005A5FEF" w:rsidRPr="00AD4454" w:rsidRDefault="0024538F" w:rsidP="00891625">
            <w:pPr>
              <w:pStyle w:val="tabletext1"/>
              <w:spacing w:after="120"/>
              <w:ind w:left="0"/>
              <w:rPr>
                <w:rFonts w:ascii="Cambria" w:hAnsi="Cambria"/>
                <w:iCs/>
                <w:szCs w:val="22"/>
              </w:rPr>
            </w:pPr>
            <w:r w:rsidRPr="00AD4454">
              <w:rPr>
                <w:rFonts w:ascii="Cambria" w:hAnsi="Cambria"/>
                <w:iCs/>
                <w:szCs w:val="22"/>
              </w:rPr>
              <w:t>Marine</w:t>
            </w:r>
            <w:r w:rsidR="009F1503" w:rsidRPr="00AD4454">
              <w:rPr>
                <w:rFonts w:ascii="Cambria" w:hAnsi="Cambria"/>
                <w:iCs/>
                <w:szCs w:val="22"/>
              </w:rPr>
              <w:t xml:space="preserve"> species that enter estuaries sporadically and in low numbers (but can form 50% of fish in </w:t>
            </w:r>
            <w:r w:rsidR="00994253" w:rsidRPr="00AD4454">
              <w:rPr>
                <w:rFonts w:ascii="Cambria" w:hAnsi="Cambria"/>
                <w:iCs/>
                <w:szCs w:val="22"/>
              </w:rPr>
              <w:t>CLLMM); stenohaline – can’t tolerate high salinity</w:t>
            </w:r>
            <w:r w:rsidR="00094717" w:rsidRPr="00AD4454">
              <w:rPr>
                <w:rFonts w:ascii="Cambria" w:hAnsi="Cambria"/>
                <w:iCs/>
                <w:szCs w:val="22"/>
              </w:rPr>
              <w:t xml:space="preserve">; CLLMM </w:t>
            </w:r>
            <w:r w:rsidR="00B631AF" w:rsidRPr="00AD4454">
              <w:rPr>
                <w:rFonts w:ascii="Cambria" w:hAnsi="Cambria"/>
                <w:iCs/>
                <w:szCs w:val="22"/>
              </w:rPr>
              <w:t>role in regional population dynamics</w:t>
            </w:r>
            <w:r w:rsidR="00832CE7" w:rsidRPr="00AD4454">
              <w:rPr>
                <w:rFonts w:ascii="Cambria" w:hAnsi="Cambria"/>
                <w:iCs/>
                <w:szCs w:val="22"/>
              </w:rPr>
              <w:t xml:space="preserve"> is not significant</w:t>
            </w:r>
            <w:r w:rsidR="00B631AF" w:rsidRPr="00AD4454">
              <w:rPr>
                <w:rFonts w:ascii="Cambria" w:hAnsi="Cambria"/>
                <w:iCs/>
                <w:szCs w:val="22"/>
              </w:rPr>
              <w:t>.</w:t>
            </w:r>
          </w:p>
        </w:tc>
      </w:tr>
    </w:tbl>
    <w:p w14:paraId="60CA4CDD" w14:textId="77777777" w:rsidR="00A34137" w:rsidRDefault="00A34137" w:rsidP="007C1E2C">
      <w:pPr>
        <w:pStyle w:val="ListBullet"/>
      </w:pPr>
      <w:bookmarkStart w:id="53" w:name="_Toc232747025"/>
      <w:bookmarkStart w:id="54" w:name="_Toc363639650"/>
    </w:p>
    <w:p w14:paraId="54D88AAA" w14:textId="77777777" w:rsidR="00AD4454" w:rsidRDefault="00AD4454" w:rsidP="00AD4454">
      <w:r>
        <w:t xml:space="preserve">species are considered important components of the RMDS, as their presence is integral to the Coorong foodweb and contributes to the regional population (Bice et al. 2018 &amp; references therein; </w:t>
      </w:r>
      <w:r w:rsidRPr="00FC45FA">
        <w:rPr>
          <w:u w:val="single"/>
        </w:rPr>
        <w:t>Appendix B, Table B2</w:t>
      </w:r>
      <w:r>
        <w:t xml:space="preserve">). </w:t>
      </w:r>
    </w:p>
    <w:p w14:paraId="3C1D8DDF" w14:textId="19680A58" w:rsidR="00AD4454" w:rsidRDefault="00AD4454" w:rsidP="007C1E2C">
      <w:pPr>
        <w:pStyle w:val="ListBullet"/>
      </w:pPr>
      <w:r>
        <w:t xml:space="preserve">Bice et al. (2018) recognised nine ‘estuarine use functional guilds’ (EUFG) of fish occurring in the Coorong (Murray Estuary, North and South Lagoons) and Lower Lakes (Lake Albert, and Lake </w:t>
      </w:r>
      <w:r>
        <w:lastRenderedPageBreak/>
        <w:t xml:space="preserve">Alexandrina and the lowland stream reaches/terminal wetlands of the Eastern Mount Lofty Ranges tributaries). The guilds are based on life history and spawning environments, </w:t>
      </w:r>
      <w:r w:rsidRPr="00D30647">
        <w:rPr>
          <w:u w:val="single"/>
        </w:rPr>
        <w:t xml:space="preserve">Table </w:t>
      </w:r>
      <w:r>
        <w:rPr>
          <w:u w:val="single"/>
        </w:rPr>
        <w:t>9</w:t>
      </w:r>
      <w:r>
        <w:t xml:space="preserve">. </w:t>
      </w:r>
    </w:p>
    <w:p w14:paraId="0DBE0EC8" w14:textId="58596168" w:rsidR="00662532" w:rsidRPr="00A34137" w:rsidRDefault="00662532" w:rsidP="00662532">
      <w:r>
        <w:t>The diversity of fish species varies across the ecological community (</w:t>
      </w:r>
      <w:r w:rsidR="00A11C54">
        <w:t xml:space="preserve">and see </w:t>
      </w:r>
      <w:r w:rsidRPr="009678EA">
        <w:rPr>
          <w:u w:val="single"/>
        </w:rPr>
        <w:t xml:space="preserve">Table </w:t>
      </w:r>
      <w:r>
        <w:rPr>
          <w:u w:val="single"/>
        </w:rPr>
        <w:t>8</w:t>
      </w:r>
      <w:r>
        <w:t>), for example:</w:t>
      </w:r>
    </w:p>
    <w:p w14:paraId="4F49C8F3" w14:textId="3D5BE213" w:rsidR="00662532" w:rsidRDefault="00662532" w:rsidP="00662532">
      <w:pPr>
        <w:pStyle w:val="ListBullet"/>
        <w:numPr>
          <w:ilvl w:val="0"/>
          <w:numId w:val="20"/>
        </w:numPr>
      </w:pPr>
      <w:r w:rsidRPr="007F3D18">
        <w:t>Historically</w:t>
      </w:r>
      <w:r>
        <w:t>, up to 30 native species of fish have been recorded in streams of the Eastern Mount Lofty Ranges (McNeil &amp; Hammer 2007). However, only 16 native species, including the nationally endangered</w:t>
      </w:r>
      <w:r w:rsidR="00A11C54">
        <w:t xml:space="preserve"> (and now </w:t>
      </w:r>
      <w:r w:rsidR="00387E39">
        <w:t xml:space="preserve">locally </w:t>
      </w:r>
      <w:r w:rsidR="00A11C54">
        <w:t>extinct)</w:t>
      </w:r>
      <w:r>
        <w:t xml:space="preserve"> </w:t>
      </w:r>
      <w:r w:rsidRPr="00034C3F">
        <w:rPr>
          <w:i/>
        </w:rPr>
        <w:t>Nannoperca obscura</w:t>
      </w:r>
      <w:r>
        <w:t xml:space="preserve"> (Yarra pygmy perch), were recorded in 2003 (Hammer 2004; </w:t>
      </w:r>
      <w:r w:rsidRPr="00E97481">
        <w:rPr>
          <w:u w:val="single"/>
        </w:rPr>
        <w:t xml:space="preserve">Table </w:t>
      </w:r>
      <w:r>
        <w:rPr>
          <w:u w:val="single"/>
        </w:rPr>
        <w:t>8</w:t>
      </w:r>
      <w:r>
        <w:t>).</w:t>
      </w:r>
    </w:p>
    <w:p w14:paraId="5CAEF841" w14:textId="77777777" w:rsidR="00662532" w:rsidRPr="003E579B" w:rsidRDefault="00662532" w:rsidP="00662532">
      <w:pPr>
        <w:pStyle w:val="ListBullet"/>
        <w:numPr>
          <w:ilvl w:val="0"/>
          <w:numId w:val="20"/>
        </w:numPr>
        <w:rPr>
          <w:u w:val="single"/>
        </w:rPr>
      </w:pPr>
      <w:r>
        <w:t>In 2021, 14 species of fish (10 native, 4 non-native) were recorded</w:t>
      </w:r>
      <w:r w:rsidRPr="000D6801">
        <w:t xml:space="preserve"> within the </w:t>
      </w:r>
      <w:r>
        <w:t xml:space="preserve">Chowilla Anabranch and floodplain system, which constitutes the largest area of undeveloped floodplain and wetland within the ecological community (Fredburg et al. 2022; </w:t>
      </w:r>
      <w:r w:rsidRPr="00A82356">
        <w:rPr>
          <w:u w:val="single"/>
        </w:rPr>
        <w:t xml:space="preserve">Table </w:t>
      </w:r>
      <w:r>
        <w:rPr>
          <w:u w:val="single"/>
        </w:rPr>
        <w:t>8</w:t>
      </w:r>
      <w:r>
        <w:t xml:space="preserve">). This area also includes the Riverland Ramsar site (which includes Lake Woolpolool), for which the character description reports 16 native fish species and 4 alien species (Newell et al. 2009). </w:t>
      </w:r>
    </w:p>
    <w:p w14:paraId="699A65C6" w14:textId="5EA0595F" w:rsidR="00662532" w:rsidRDefault="00662532" w:rsidP="007C1E2C">
      <w:pPr>
        <w:pStyle w:val="ListBullet"/>
        <w:numPr>
          <w:ilvl w:val="0"/>
          <w:numId w:val="20"/>
        </w:numPr>
      </w:pPr>
      <w:r w:rsidRPr="003E579B">
        <w:rPr>
          <w:bCs/>
        </w:rPr>
        <w:t>Up to 104 fish species (with about half of marine origin and only irregular visitors) have been found in various surveys downstream of Lock 1, including the Coorong lagoons and the Murray Estuary (93 spp.), with relative richness of fish species shifting from high to low along the</w:t>
      </w:r>
      <w:r>
        <w:rPr>
          <w:bCs/>
        </w:rPr>
        <w:t xml:space="preserve"> </w:t>
      </w:r>
      <w:r>
        <w:t>increasing salinity gradient, and the Lower Lakes (45 spp.) (Higham et al. 2002; Noell et al. 2009; Bice 2010; Bice et al. 2018</w:t>
      </w:r>
      <w:r w:rsidR="00972A1A">
        <w:t xml:space="preserve">; </w:t>
      </w:r>
      <w:r w:rsidR="00972A1A" w:rsidRPr="00D03F7C">
        <w:rPr>
          <w:u w:val="single"/>
        </w:rPr>
        <w:t>T</w:t>
      </w:r>
      <w:r w:rsidR="00D03F7C" w:rsidRPr="00D03F7C">
        <w:rPr>
          <w:u w:val="single"/>
        </w:rPr>
        <w:t>able 8 &amp; 9</w:t>
      </w:r>
      <w:r>
        <w:t>).</w:t>
      </w:r>
    </w:p>
    <w:p w14:paraId="10741EC5" w14:textId="2301F91A" w:rsidR="005A6A19" w:rsidRPr="00B0125F" w:rsidRDefault="005A6A19" w:rsidP="00AD4454">
      <w:pPr>
        <w:pStyle w:val="Heading6"/>
      </w:pPr>
      <w:r w:rsidRPr="00B0125F">
        <w:t>Amphibians and reptiles</w:t>
      </w:r>
      <w:bookmarkEnd w:id="53"/>
      <w:bookmarkEnd w:id="54"/>
    </w:p>
    <w:p w14:paraId="10BD560A" w14:textId="7F045BD8" w:rsidR="00AD0BA2" w:rsidRDefault="00AD0BA2" w:rsidP="00AD0BA2">
      <w:r w:rsidRPr="00AD0BA2">
        <w:t xml:space="preserve">The River Murray corridor </w:t>
      </w:r>
      <w:r w:rsidR="00CC5391">
        <w:t>(</w:t>
      </w:r>
      <w:r w:rsidRPr="00AD0BA2">
        <w:t>or valley</w:t>
      </w:r>
      <w:r w:rsidR="00CC5391">
        <w:t>)</w:t>
      </w:r>
      <w:r w:rsidRPr="00AD0BA2">
        <w:t xml:space="preserve">—i.e. the main river channel and its floodplains, billabongs, and wetlands, lies on the intersection of two major climatic and zoogeographic regions, the temperate southeast and the arid centre. This contributes to </w:t>
      </w:r>
      <w:r w:rsidR="00783A97">
        <w:t xml:space="preserve">a relatively </w:t>
      </w:r>
      <w:r w:rsidRPr="00AD0BA2">
        <w:t xml:space="preserve">high biodiversity of amphibians and reptiles </w:t>
      </w:r>
      <w:r w:rsidR="00DC1D9F">
        <w:t xml:space="preserve">occurring </w:t>
      </w:r>
      <w:r w:rsidRPr="00AD0BA2">
        <w:t>within the ecological community,</w:t>
      </w:r>
      <w:r w:rsidR="009D6D97">
        <w:t xml:space="preserve"> as it</w:t>
      </w:r>
      <w:r w:rsidRPr="00AD0BA2">
        <w:t xml:space="preserve"> provides the only natural permanent water in the broader arid region. Therefore, the </w:t>
      </w:r>
      <w:r w:rsidR="00387E39">
        <w:t>RMDS</w:t>
      </w:r>
      <w:r w:rsidR="00DC1D9F">
        <w:t xml:space="preserve"> </w:t>
      </w:r>
      <w:r w:rsidRPr="00AD0BA2">
        <w:t>supports species that would otherwise be unable to live in the region. This includes wetlands specialists and arboreal species that need the large trees</w:t>
      </w:r>
      <w:r w:rsidR="00A564FD">
        <w:t xml:space="preserve"> </w:t>
      </w:r>
      <w:r w:rsidR="0030073A">
        <w:t>o</w:t>
      </w:r>
      <w:r w:rsidRPr="00AD0BA2">
        <w:t>f floodplain woodlands</w:t>
      </w:r>
      <w:r w:rsidR="004B520A">
        <w:t xml:space="preserve"> and forests</w:t>
      </w:r>
      <w:r w:rsidR="00A564FD">
        <w:t xml:space="preserve">, such as </w:t>
      </w:r>
      <w:r w:rsidR="00387E39">
        <w:t xml:space="preserve">river </w:t>
      </w:r>
      <w:r w:rsidR="00A564FD">
        <w:t>red gum and black box.</w:t>
      </w:r>
    </w:p>
    <w:p w14:paraId="09C86D46" w14:textId="77777777" w:rsidR="00AD4454" w:rsidRPr="00AD0BA2" w:rsidRDefault="00AD4454" w:rsidP="00AD4454">
      <w:pPr>
        <w:keepLines/>
      </w:pPr>
      <w:r w:rsidRPr="00AD0BA2">
        <w:t xml:space="preserve">At least twelve species of Anura (frogs) are known from the broader region of the </w:t>
      </w:r>
      <w:r>
        <w:t>RMDS</w:t>
      </w:r>
      <w:r w:rsidRPr="00AD0BA2">
        <w:t xml:space="preserve"> (</w:t>
      </w:r>
      <w:r w:rsidRPr="00AD0BA2">
        <w:rPr>
          <w:u w:val="single"/>
        </w:rPr>
        <w:t xml:space="preserve">Table </w:t>
      </w:r>
      <w:r>
        <w:rPr>
          <w:u w:val="single"/>
        </w:rPr>
        <w:t>10</w:t>
      </w:r>
      <w:r w:rsidRPr="00AD0BA2">
        <w:t xml:space="preserve">). Most are conventional pond breeders using overflow areas adjacent to billabongs and wetlands as breeding sites (usually in spring) (Hutchinson 2009). </w:t>
      </w:r>
      <w:r w:rsidRPr="00AD0BA2">
        <w:rPr>
          <w:i/>
          <w:iCs/>
        </w:rPr>
        <w:t>Limnodynastes dumerilii</w:t>
      </w:r>
      <w:r w:rsidRPr="00AD0BA2">
        <w:t xml:space="preserve"> (eastern banjo) and </w:t>
      </w:r>
      <w:r w:rsidRPr="00AD0BA2">
        <w:rPr>
          <w:i/>
          <w:iCs/>
        </w:rPr>
        <w:t>Neobatrachus pictus</w:t>
      </w:r>
      <w:r w:rsidRPr="00AD0BA2">
        <w:t xml:space="preserve"> (Mallee spadefoot) are burrowing species that can live up to a meter below ground, waiting for the next flood event to breed (Scott 2001).  Frogs are major contributors to ecosystem functions (e.g. nutrient cycling, decomposition) and ecosystem structure (bioturbation, burrowing) (Hocking &amp; Babbit 2014). </w:t>
      </w:r>
      <w:r>
        <w:t>While frogs are opportunistic carnivores, tadpoles feed on vegetation and sediments, but will also opportunistically prey on insects (Antis 2007).</w:t>
      </w:r>
    </w:p>
    <w:p w14:paraId="4D587A28" w14:textId="77777777" w:rsidR="00C637BD" w:rsidRDefault="00AD4454" w:rsidP="00C637BD">
      <w:r w:rsidRPr="00AD0BA2">
        <w:t>Nine of the twelve frog species have been recorded from the Riverland Ramsar site and the Chowilla–Lindsay/Wallpolla Icon site, which represent the most biodiverse areas of floodplain-wetlands in the ecological community (Hutchinson 2009; Stewart et al. 2010). This includes the</w:t>
      </w:r>
      <w:r w:rsidR="00C637BD">
        <w:t xml:space="preserve"> </w:t>
      </w:r>
      <w:r w:rsidR="00C637BD" w:rsidRPr="00AD0BA2">
        <w:t xml:space="preserve">threatened (EPBC Act) </w:t>
      </w:r>
      <w:r w:rsidR="00C637BD" w:rsidRPr="00AD0BA2">
        <w:rPr>
          <w:i/>
        </w:rPr>
        <w:t>Litoria raniformis</w:t>
      </w:r>
      <w:r w:rsidR="00C637BD" w:rsidRPr="00AD0BA2">
        <w:t xml:space="preserve"> (southern bell frog) and two species, </w:t>
      </w:r>
      <w:r w:rsidR="00C637BD" w:rsidRPr="00AD0BA2">
        <w:rPr>
          <w:i/>
          <w:iCs/>
        </w:rPr>
        <w:t>Crinia parinsignifera</w:t>
      </w:r>
      <w:r w:rsidR="00C637BD" w:rsidRPr="00AD0BA2">
        <w:t xml:space="preserve"> and </w:t>
      </w:r>
      <w:r w:rsidR="00C637BD" w:rsidRPr="00AD0BA2">
        <w:rPr>
          <w:i/>
          <w:iCs/>
        </w:rPr>
        <w:t>Limnodynastes fletcheri</w:t>
      </w:r>
      <w:r w:rsidR="00C637BD" w:rsidRPr="00F46F76">
        <w:t xml:space="preserve">, </w:t>
      </w:r>
      <w:r w:rsidR="00C637BD" w:rsidRPr="00AD0BA2">
        <w:t xml:space="preserve">that occur nowhere else in South Australia. </w:t>
      </w:r>
      <w:r w:rsidR="00C637BD">
        <w:t xml:space="preserve">Three species are tree dwelling </w:t>
      </w:r>
      <w:r w:rsidR="00C637BD" w:rsidRPr="00ED2DFC">
        <w:rPr>
          <w:i/>
          <w:iCs/>
        </w:rPr>
        <w:t>Litoria</w:t>
      </w:r>
      <w:r w:rsidR="00C637BD">
        <w:t xml:space="preserve"> species (see </w:t>
      </w:r>
      <w:r w:rsidR="00C637BD" w:rsidRPr="00A75E4F">
        <w:rPr>
          <w:u w:val="single"/>
        </w:rPr>
        <w:t xml:space="preserve">Table </w:t>
      </w:r>
      <w:r w:rsidR="00C637BD">
        <w:rPr>
          <w:u w:val="single"/>
        </w:rPr>
        <w:t>10</w:t>
      </w:r>
      <w:r w:rsidR="00C637BD">
        <w:t xml:space="preserve">). </w:t>
      </w:r>
      <w:r w:rsidR="00C637BD" w:rsidRPr="00AD0BA2">
        <w:t xml:space="preserve">Eight </w:t>
      </w:r>
      <w:r w:rsidR="00C637BD">
        <w:t xml:space="preserve">of the twelve </w:t>
      </w:r>
      <w:r w:rsidR="00C637BD" w:rsidRPr="00AD0BA2">
        <w:t xml:space="preserve">frog species have been recorded from the Coorong, Lower Lakes and Murray Mouth (CLLMM) </w:t>
      </w:r>
      <w:r w:rsidR="00C637BD">
        <w:t xml:space="preserve">region of the RMDS, of which </w:t>
      </w:r>
      <w:r w:rsidR="00C637BD" w:rsidRPr="00A85B6C">
        <w:rPr>
          <w:i/>
          <w:iCs/>
        </w:rPr>
        <w:t>Crinia signifera</w:t>
      </w:r>
      <w:r w:rsidR="00C637BD">
        <w:t xml:space="preserve"> (common eastern froglet) is the most common </w:t>
      </w:r>
      <w:r w:rsidR="00C637BD" w:rsidRPr="00AD0BA2">
        <w:t>(Mason &amp; Turner 2018).</w:t>
      </w:r>
    </w:p>
    <w:p w14:paraId="02A81D60" w14:textId="36866D19" w:rsidR="00821032" w:rsidRPr="00A34BE6" w:rsidRDefault="00A34BE6" w:rsidP="00A34BE6">
      <w:pPr>
        <w:pStyle w:val="Caption"/>
        <w:rPr>
          <w:b w:val="0"/>
          <w:bCs/>
          <w:szCs w:val="22"/>
        </w:rPr>
      </w:pPr>
      <w:r w:rsidRPr="00A34BE6">
        <w:rPr>
          <w:szCs w:val="22"/>
        </w:rPr>
        <w:lastRenderedPageBreak/>
        <w:t xml:space="preserve">Table </w:t>
      </w:r>
      <w:r w:rsidRPr="00A34BE6">
        <w:rPr>
          <w:szCs w:val="22"/>
        </w:rPr>
        <w:fldChar w:fldCharType="begin"/>
      </w:r>
      <w:r w:rsidRPr="00A34BE6">
        <w:rPr>
          <w:szCs w:val="22"/>
        </w:rPr>
        <w:instrText xml:space="preserve"> SEQ Table \* ARABIC </w:instrText>
      </w:r>
      <w:r w:rsidRPr="00A34BE6">
        <w:rPr>
          <w:szCs w:val="22"/>
        </w:rPr>
        <w:fldChar w:fldCharType="separate"/>
      </w:r>
      <w:r w:rsidR="006D35C5">
        <w:rPr>
          <w:noProof/>
          <w:szCs w:val="22"/>
        </w:rPr>
        <w:t>10</w:t>
      </w:r>
      <w:r w:rsidRPr="00A34BE6">
        <w:rPr>
          <w:szCs w:val="22"/>
        </w:rPr>
        <w:fldChar w:fldCharType="end"/>
      </w:r>
      <w:r w:rsidR="00821032" w:rsidRPr="00A34BE6">
        <w:rPr>
          <w:bCs/>
          <w:szCs w:val="22"/>
        </w:rPr>
        <w:t xml:space="preserve">: Frogs known or likely to occur in the RMDS ecological community </w:t>
      </w:r>
      <w:r w:rsidR="00821032" w:rsidRPr="00A34BE6">
        <w:rPr>
          <w:szCs w:val="22"/>
        </w:rPr>
        <w:t>(</w:t>
      </w:r>
      <w:r w:rsidR="00821032" w:rsidRPr="00A34BE6">
        <w:rPr>
          <w:bCs/>
          <w:szCs w:val="22"/>
        </w:rPr>
        <w:t xml:space="preserve">after Bird &amp; Armstrong 1990; Butcher et al. 2009; Hutchinson 2009; Newall et al 2009; Stewart et al. 2010; Tyler &amp; Walker 2011; Mason &amp; Turner 2018; </w:t>
      </w:r>
      <w:r w:rsidR="00821032" w:rsidRPr="00A34BE6">
        <w:rPr>
          <w:rFonts w:cs="Times New Roman"/>
          <w:szCs w:val="22"/>
        </w:rPr>
        <w:t>Vӧrӧs</w:t>
      </w:r>
      <w:r w:rsidR="00821032" w:rsidRPr="00A34BE6">
        <w:rPr>
          <w:bCs/>
          <w:szCs w:val="22"/>
        </w:rPr>
        <w:t xml:space="preserve"> et al. 2023).</w:t>
      </w:r>
    </w:p>
    <w:tbl>
      <w:tblPr>
        <w:tblStyle w:val="TableGrid"/>
        <w:tblW w:w="5000" w:type="pct"/>
        <w:tblLook w:val="04A0" w:firstRow="1" w:lastRow="0" w:firstColumn="1" w:lastColumn="0" w:noHBand="0" w:noVBand="1"/>
      </w:tblPr>
      <w:tblGrid>
        <w:gridCol w:w="4668"/>
        <w:gridCol w:w="2975"/>
        <w:gridCol w:w="1417"/>
      </w:tblGrid>
      <w:tr w:rsidR="00821032" w14:paraId="1445D348" w14:textId="77777777" w:rsidTr="00A34BE6">
        <w:trPr>
          <w:trHeight w:hRule="exact" w:val="624"/>
        </w:trPr>
        <w:tc>
          <w:tcPr>
            <w:tcW w:w="2576" w:type="pct"/>
            <w:shd w:val="clear" w:color="auto" w:fill="DEEAF6" w:themeFill="accent1" w:themeFillTint="33"/>
          </w:tcPr>
          <w:p w14:paraId="067BB097" w14:textId="77777777" w:rsidR="00821032" w:rsidRPr="00DF3098" w:rsidRDefault="00821032" w:rsidP="00C226A7">
            <w:pPr>
              <w:rPr>
                <w:b/>
                <w:bCs/>
              </w:rPr>
            </w:pPr>
            <w:r w:rsidRPr="00DF3098">
              <w:rPr>
                <w:b/>
                <w:bCs/>
              </w:rPr>
              <w:t>Common Name</w:t>
            </w:r>
          </w:p>
        </w:tc>
        <w:tc>
          <w:tcPr>
            <w:tcW w:w="1642" w:type="pct"/>
            <w:shd w:val="clear" w:color="auto" w:fill="DEEAF6" w:themeFill="accent1" w:themeFillTint="33"/>
          </w:tcPr>
          <w:p w14:paraId="523233A0" w14:textId="77777777" w:rsidR="00821032" w:rsidRPr="00DF3098" w:rsidRDefault="00821032" w:rsidP="00C226A7">
            <w:pPr>
              <w:rPr>
                <w:b/>
                <w:bCs/>
              </w:rPr>
            </w:pPr>
            <w:r w:rsidRPr="00DF3098">
              <w:rPr>
                <w:b/>
                <w:bCs/>
              </w:rPr>
              <w:t>Taxonomic Name</w:t>
            </w:r>
          </w:p>
        </w:tc>
        <w:tc>
          <w:tcPr>
            <w:tcW w:w="782" w:type="pct"/>
            <w:shd w:val="clear" w:color="auto" w:fill="DEEAF6" w:themeFill="accent1" w:themeFillTint="33"/>
          </w:tcPr>
          <w:p w14:paraId="6AF35662" w14:textId="77777777" w:rsidR="00821032" w:rsidRPr="00DF3098" w:rsidRDefault="00821032" w:rsidP="00C226A7">
            <w:pPr>
              <w:jc w:val="center"/>
              <w:rPr>
                <w:b/>
                <w:bCs/>
              </w:rPr>
            </w:pPr>
            <w:r w:rsidRPr="00DF3098">
              <w:rPr>
                <w:b/>
                <w:bCs/>
              </w:rPr>
              <w:t>Recorded                       in CLMM</w:t>
            </w:r>
          </w:p>
        </w:tc>
      </w:tr>
      <w:tr w:rsidR="00821032" w14:paraId="19BBD575" w14:textId="77777777" w:rsidTr="00A34BE6">
        <w:trPr>
          <w:trHeight w:hRule="exact" w:val="340"/>
        </w:trPr>
        <w:tc>
          <w:tcPr>
            <w:tcW w:w="2576" w:type="pct"/>
            <w:shd w:val="clear" w:color="auto" w:fill="F2F2F2" w:themeFill="background1" w:themeFillShade="F2"/>
          </w:tcPr>
          <w:p w14:paraId="55C7375D" w14:textId="77777777" w:rsidR="00821032" w:rsidRPr="008E575A" w:rsidRDefault="00821032" w:rsidP="00C226A7">
            <w:pPr>
              <w:rPr>
                <w:b/>
                <w:bCs/>
              </w:rPr>
            </w:pPr>
            <w:r w:rsidRPr="008E575A">
              <w:rPr>
                <w:b/>
                <w:bCs/>
              </w:rPr>
              <w:t>HYLIDAE</w:t>
            </w:r>
          </w:p>
        </w:tc>
        <w:tc>
          <w:tcPr>
            <w:tcW w:w="1642" w:type="pct"/>
            <w:shd w:val="clear" w:color="auto" w:fill="F2F2F2" w:themeFill="background1" w:themeFillShade="F2"/>
          </w:tcPr>
          <w:p w14:paraId="56A3CC31" w14:textId="77777777" w:rsidR="00821032" w:rsidRDefault="00821032" w:rsidP="00C226A7">
            <w:pPr>
              <w:rPr>
                <w:i/>
                <w:iCs/>
              </w:rPr>
            </w:pPr>
          </w:p>
        </w:tc>
        <w:tc>
          <w:tcPr>
            <w:tcW w:w="782" w:type="pct"/>
            <w:shd w:val="clear" w:color="auto" w:fill="F2F2F2" w:themeFill="background1" w:themeFillShade="F2"/>
          </w:tcPr>
          <w:p w14:paraId="64DD52BC" w14:textId="77777777" w:rsidR="00821032" w:rsidRDefault="00821032" w:rsidP="00C226A7">
            <w:pPr>
              <w:rPr>
                <w:i/>
                <w:iCs/>
              </w:rPr>
            </w:pPr>
          </w:p>
        </w:tc>
      </w:tr>
      <w:tr w:rsidR="00821032" w14:paraId="67E30B78" w14:textId="77777777" w:rsidTr="00A34BE6">
        <w:trPr>
          <w:trHeight w:hRule="exact" w:val="340"/>
        </w:trPr>
        <w:tc>
          <w:tcPr>
            <w:tcW w:w="2576" w:type="pct"/>
          </w:tcPr>
          <w:p w14:paraId="55F8B734" w14:textId="77777777" w:rsidR="00821032" w:rsidRPr="00A47ECF" w:rsidRDefault="00821032" w:rsidP="00C226A7">
            <w:pPr>
              <w:rPr>
                <w:sz w:val="21"/>
                <w:szCs w:val="21"/>
              </w:rPr>
            </w:pPr>
            <w:r w:rsidRPr="00A47ECF">
              <w:rPr>
                <w:sz w:val="21"/>
                <w:szCs w:val="21"/>
              </w:rPr>
              <w:t>Brown tree frog</w:t>
            </w:r>
          </w:p>
        </w:tc>
        <w:tc>
          <w:tcPr>
            <w:tcW w:w="1642" w:type="pct"/>
          </w:tcPr>
          <w:p w14:paraId="41992D97" w14:textId="77777777" w:rsidR="00821032" w:rsidRPr="00A47ECF" w:rsidRDefault="00821032" w:rsidP="00C226A7">
            <w:pPr>
              <w:rPr>
                <w:i/>
                <w:iCs/>
                <w:sz w:val="21"/>
                <w:szCs w:val="21"/>
              </w:rPr>
            </w:pPr>
            <w:r w:rsidRPr="00A47ECF">
              <w:rPr>
                <w:i/>
                <w:iCs/>
                <w:sz w:val="21"/>
                <w:szCs w:val="21"/>
              </w:rPr>
              <w:t>Litoria ewingii</w:t>
            </w:r>
          </w:p>
        </w:tc>
        <w:tc>
          <w:tcPr>
            <w:tcW w:w="782" w:type="pct"/>
          </w:tcPr>
          <w:p w14:paraId="2C76E2AF" w14:textId="77777777" w:rsidR="00821032" w:rsidRPr="00A47ECF" w:rsidRDefault="00821032" w:rsidP="00C226A7">
            <w:pPr>
              <w:jc w:val="center"/>
              <w:rPr>
                <w:i/>
                <w:iCs/>
                <w:sz w:val="21"/>
                <w:szCs w:val="21"/>
              </w:rPr>
            </w:pPr>
            <w:r>
              <w:rPr>
                <w:i/>
                <w:iCs/>
                <w:sz w:val="21"/>
                <w:szCs w:val="21"/>
              </w:rPr>
              <w:t>√</w:t>
            </w:r>
          </w:p>
        </w:tc>
      </w:tr>
      <w:tr w:rsidR="00821032" w14:paraId="6FB4EE27" w14:textId="77777777" w:rsidTr="00A34BE6">
        <w:trPr>
          <w:trHeight w:hRule="exact" w:val="340"/>
        </w:trPr>
        <w:tc>
          <w:tcPr>
            <w:tcW w:w="2576" w:type="pct"/>
          </w:tcPr>
          <w:p w14:paraId="0C3BE7C5" w14:textId="77777777" w:rsidR="00821032" w:rsidRPr="00A47ECF" w:rsidRDefault="00821032" w:rsidP="00C226A7">
            <w:pPr>
              <w:rPr>
                <w:sz w:val="21"/>
                <w:szCs w:val="21"/>
              </w:rPr>
            </w:pPr>
            <w:r w:rsidRPr="00A47ECF">
              <w:rPr>
                <w:sz w:val="21"/>
                <w:szCs w:val="21"/>
              </w:rPr>
              <w:t>Peron’s tree frog</w:t>
            </w:r>
          </w:p>
        </w:tc>
        <w:tc>
          <w:tcPr>
            <w:tcW w:w="1642" w:type="pct"/>
          </w:tcPr>
          <w:p w14:paraId="713716A1" w14:textId="77777777" w:rsidR="00821032" w:rsidRPr="00A47ECF" w:rsidRDefault="00821032" w:rsidP="00C226A7">
            <w:pPr>
              <w:rPr>
                <w:i/>
                <w:iCs/>
                <w:sz w:val="21"/>
                <w:szCs w:val="21"/>
              </w:rPr>
            </w:pPr>
            <w:r w:rsidRPr="00A47ECF">
              <w:rPr>
                <w:i/>
                <w:iCs/>
                <w:sz w:val="21"/>
                <w:szCs w:val="21"/>
              </w:rPr>
              <w:t>Litoria peronii</w:t>
            </w:r>
          </w:p>
        </w:tc>
        <w:tc>
          <w:tcPr>
            <w:tcW w:w="782" w:type="pct"/>
          </w:tcPr>
          <w:p w14:paraId="696C02D1" w14:textId="77777777" w:rsidR="00821032" w:rsidRPr="00A47ECF" w:rsidRDefault="00821032" w:rsidP="00C226A7">
            <w:pPr>
              <w:jc w:val="center"/>
              <w:rPr>
                <w:i/>
                <w:iCs/>
                <w:sz w:val="21"/>
                <w:szCs w:val="21"/>
              </w:rPr>
            </w:pPr>
            <w:r>
              <w:rPr>
                <w:i/>
                <w:iCs/>
                <w:sz w:val="21"/>
                <w:szCs w:val="21"/>
              </w:rPr>
              <w:t>√</w:t>
            </w:r>
          </w:p>
        </w:tc>
      </w:tr>
      <w:tr w:rsidR="00821032" w14:paraId="58E0CCD2" w14:textId="77777777" w:rsidTr="00A34BE6">
        <w:trPr>
          <w:trHeight w:hRule="exact" w:val="340"/>
        </w:trPr>
        <w:tc>
          <w:tcPr>
            <w:tcW w:w="2576" w:type="pct"/>
          </w:tcPr>
          <w:p w14:paraId="0B215365" w14:textId="77777777" w:rsidR="00821032" w:rsidRPr="00A47ECF" w:rsidRDefault="00821032" w:rsidP="00C226A7">
            <w:pPr>
              <w:rPr>
                <w:sz w:val="21"/>
                <w:szCs w:val="21"/>
              </w:rPr>
            </w:pPr>
            <w:r>
              <w:rPr>
                <w:sz w:val="21"/>
                <w:szCs w:val="21"/>
              </w:rPr>
              <w:t>Mount Lofty Ranges/ South Australian tree frog</w:t>
            </w:r>
          </w:p>
        </w:tc>
        <w:tc>
          <w:tcPr>
            <w:tcW w:w="1642" w:type="pct"/>
          </w:tcPr>
          <w:p w14:paraId="1888FBAC" w14:textId="77777777" w:rsidR="00821032" w:rsidRPr="00A47ECF" w:rsidRDefault="00821032" w:rsidP="00C226A7">
            <w:pPr>
              <w:rPr>
                <w:i/>
                <w:iCs/>
                <w:sz w:val="21"/>
                <w:szCs w:val="21"/>
              </w:rPr>
            </w:pPr>
            <w:r>
              <w:rPr>
                <w:i/>
                <w:iCs/>
                <w:sz w:val="21"/>
                <w:szCs w:val="21"/>
              </w:rPr>
              <w:t>Litoria calliscelis</w:t>
            </w:r>
          </w:p>
        </w:tc>
        <w:tc>
          <w:tcPr>
            <w:tcW w:w="782" w:type="pct"/>
          </w:tcPr>
          <w:p w14:paraId="5A2BAEE1" w14:textId="77777777" w:rsidR="00821032" w:rsidRDefault="00821032" w:rsidP="00C226A7">
            <w:pPr>
              <w:jc w:val="center"/>
              <w:rPr>
                <w:i/>
                <w:iCs/>
                <w:sz w:val="21"/>
                <w:szCs w:val="21"/>
              </w:rPr>
            </w:pPr>
          </w:p>
        </w:tc>
      </w:tr>
      <w:tr w:rsidR="00821032" w14:paraId="0C9EAE5C" w14:textId="77777777" w:rsidTr="00A34BE6">
        <w:trPr>
          <w:trHeight w:hRule="exact" w:val="340"/>
        </w:trPr>
        <w:tc>
          <w:tcPr>
            <w:tcW w:w="2576" w:type="pct"/>
          </w:tcPr>
          <w:p w14:paraId="431E8163" w14:textId="77777777" w:rsidR="00821032" w:rsidRPr="00A47ECF" w:rsidRDefault="00821032" w:rsidP="00C226A7">
            <w:pPr>
              <w:rPr>
                <w:sz w:val="21"/>
                <w:szCs w:val="21"/>
              </w:rPr>
            </w:pPr>
            <w:r w:rsidRPr="00A47ECF">
              <w:rPr>
                <w:sz w:val="21"/>
                <w:szCs w:val="21"/>
              </w:rPr>
              <w:t>Southern bell (growling grass/ golden bell) frog</w:t>
            </w:r>
            <w:r>
              <w:rPr>
                <w:sz w:val="21"/>
                <w:szCs w:val="21"/>
              </w:rPr>
              <w:t>*</w:t>
            </w:r>
          </w:p>
        </w:tc>
        <w:tc>
          <w:tcPr>
            <w:tcW w:w="1642" w:type="pct"/>
          </w:tcPr>
          <w:p w14:paraId="0456786D" w14:textId="77777777" w:rsidR="00821032" w:rsidRPr="00A47ECF" w:rsidRDefault="00821032" w:rsidP="00C226A7">
            <w:pPr>
              <w:rPr>
                <w:i/>
                <w:iCs/>
                <w:sz w:val="21"/>
                <w:szCs w:val="21"/>
              </w:rPr>
            </w:pPr>
            <w:r w:rsidRPr="00A47ECF">
              <w:rPr>
                <w:i/>
                <w:iCs/>
                <w:sz w:val="21"/>
                <w:szCs w:val="21"/>
              </w:rPr>
              <w:t>Litoria raniformis</w:t>
            </w:r>
            <w:r>
              <w:rPr>
                <w:i/>
                <w:iCs/>
                <w:sz w:val="21"/>
                <w:szCs w:val="21"/>
              </w:rPr>
              <w:t xml:space="preserve"> major</w:t>
            </w:r>
          </w:p>
        </w:tc>
        <w:tc>
          <w:tcPr>
            <w:tcW w:w="782" w:type="pct"/>
          </w:tcPr>
          <w:p w14:paraId="0456AFB0" w14:textId="77777777" w:rsidR="00821032" w:rsidRPr="00A47ECF" w:rsidRDefault="00821032" w:rsidP="00C226A7">
            <w:pPr>
              <w:jc w:val="center"/>
              <w:rPr>
                <w:i/>
                <w:iCs/>
                <w:sz w:val="21"/>
                <w:szCs w:val="21"/>
              </w:rPr>
            </w:pPr>
            <w:r>
              <w:rPr>
                <w:i/>
                <w:iCs/>
                <w:sz w:val="21"/>
                <w:szCs w:val="21"/>
              </w:rPr>
              <w:t>√</w:t>
            </w:r>
          </w:p>
        </w:tc>
      </w:tr>
      <w:tr w:rsidR="00821032" w14:paraId="73A7FE59" w14:textId="77777777" w:rsidTr="00A34BE6">
        <w:trPr>
          <w:trHeight w:hRule="exact" w:val="340"/>
        </w:trPr>
        <w:tc>
          <w:tcPr>
            <w:tcW w:w="2576" w:type="pct"/>
            <w:shd w:val="clear" w:color="auto" w:fill="F2F2F2" w:themeFill="background1" w:themeFillShade="F2"/>
          </w:tcPr>
          <w:p w14:paraId="3E93B479" w14:textId="77777777" w:rsidR="00821032" w:rsidRPr="00B7112B" w:rsidRDefault="00821032" w:rsidP="00C226A7">
            <w:pPr>
              <w:rPr>
                <w:b/>
                <w:bCs/>
              </w:rPr>
            </w:pPr>
            <w:r w:rsidRPr="00B7112B">
              <w:rPr>
                <w:b/>
                <w:bCs/>
              </w:rPr>
              <w:t>MYOBATRACHIDAE</w:t>
            </w:r>
          </w:p>
        </w:tc>
        <w:tc>
          <w:tcPr>
            <w:tcW w:w="1642" w:type="pct"/>
            <w:shd w:val="clear" w:color="auto" w:fill="F2F2F2" w:themeFill="background1" w:themeFillShade="F2"/>
          </w:tcPr>
          <w:p w14:paraId="437F5083" w14:textId="77777777" w:rsidR="00821032" w:rsidRDefault="00821032" w:rsidP="00C226A7">
            <w:pPr>
              <w:rPr>
                <w:i/>
                <w:iCs/>
              </w:rPr>
            </w:pPr>
          </w:p>
        </w:tc>
        <w:tc>
          <w:tcPr>
            <w:tcW w:w="782" w:type="pct"/>
            <w:shd w:val="clear" w:color="auto" w:fill="F2F2F2" w:themeFill="background1" w:themeFillShade="F2"/>
          </w:tcPr>
          <w:p w14:paraId="0640812B" w14:textId="77777777" w:rsidR="00821032" w:rsidRDefault="00821032" w:rsidP="00C226A7">
            <w:pPr>
              <w:rPr>
                <w:i/>
                <w:iCs/>
              </w:rPr>
            </w:pPr>
          </w:p>
        </w:tc>
      </w:tr>
      <w:tr w:rsidR="00821032" w14:paraId="018C03AA" w14:textId="77777777" w:rsidTr="00A34BE6">
        <w:trPr>
          <w:trHeight w:hRule="exact" w:val="340"/>
        </w:trPr>
        <w:tc>
          <w:tcPr>
            <w:tcW w:w="2576" w:type="pct"/>
          </w:tcPr>
          <w:p w14:paraId="0ED59139" w14:textId="77777777" w:rsidR="00821032" w:rsidRPr="00A47ECF" w:rsidRDefault="00821032" w:rsidP="00C226A7">
            <w:pPr>
              <w:rPr>
                <w:sz w:val="21"/>
                <w:szCs w:val="21"/>
              </w:rPr>
            </w:pPr>
            <w:r w:rsidRPr="00A47ECF">
              <w:rPr>
                <w:sz w:val="21"/>
                <w:szCs w:val="21"/>
              </w:rPr>
              <w:t>Barking marsh/ long-thumbed frog</w:t>
            </w:r>
          </w:p>
        </w:tc>
        <w:tc>
          <w:tcPr>
            <w:tcW w:w="1642" w:type="pct"/>
          </w:tcPr>
          <w:p w14:paraId="3230F8F9" w14:textId="77777777" w:rsidR="00821032" w:rsidRPr="00A47ECF" w:rsidRDefault="00821032" w:rsidP="00C226A7">
            <w:pPr>
              <w:rPr>
                <w:i/>
                <w:iCs/>
                <w:sz w:val="21"/>
                <w:szCs w:val="21"/>
              </w:rPr>
            </w:pPr>
            <w:r w:rsidRPr="00A47ECF">
              <w:rPr>
                <w:i/>
                <w:iCs/>
                <w:sz w:val="21"/>
                <w:szCs w:val="21"/>
              </w:rPr>
              <w:t>Limnodynastes fletcheri</w:t>
            </w:r>
          </w:p>
        </w:tc>
        <w:tc>
          <w:tcPr>
            <w:tcW w:w="782" w:type="pct"/>
          </w:tcPr>
          <w:p w14:paraId="1BCC23F4" w14:textId="77777777" w:rsidR="00821032" w:rsidRPr="00A47ECF" w:rsidRDefault="00821032" w:rsidP="00C226A7">
            <w:pPr>
              <w:jc w:val="center"/>
              <w:rPr>
                <w:i/>
                <w:iCs/>
                <w:sz w:val="21"/>
                <w:szCs w:val="21"/>
              </w:rPr>
            </w:pPr>
            <w:r>
              <w:rPr>
                <w:i/>
                <w:iCs/>
                <w:sz w:val="21"/>
                <w:szCs w:val="21"/>
              </w:rPr>
              <w:t>√</w:t>
            </w:r>
          </w:p>
        </w:tc>
      </w:tr>
      <w:tr w:rsidR="00821032" w14:paraId="6DC2D848" w14:textId="77777777" w:rsidTr="00A34BE6">
        <w:trPr>
          <w:trHeight w:hRule="exact" w:val="340"/>
        </w:trPr>
        <w:tc>
          <w:tcPr>
            <w:tcW w:w="2576" w:type="pct"/>
          </w:tcPr>
          <w:p w14:paraId="737530D3" w14:textId="77777777" w:rsidR="00821032" w:rsidRPr="00A47ECF" w:rsidRDefault="00821032" w:rsidP="00C226A7">
            <w:pPr>
              <w:rPr>
                <w:sz w:val="21"/>
                <w:szCs w:val="21"/>
              </w:rPr>
            </w:pPr>
            <w:r w:rsidRPr="00A47ECF">
              <w:rPr>
                <w:sz w:val="21"/>
                <w:szCs w:val="21"/>
              </w:rPr>
              <w:t>Bibron’s/brown toadlet</w:t>
            </w:r>
            <w:r>
              <w:rPr>
                <w:sz w:val="21"/>
                <w:szCs w:val="21"/>
              </w:rPr>
              <w:t>#</w:t>
            </w:r>
          </w:p>
        </w:tc>
        <w:tc>
          <w:tcPr>
            <w:tcW w:w="1642" w:type="pct"/>
          </w:tcPr>
          <w:p w14:paraId="71DF04F6" w14:textId="77777777" w:rsidR="00821032" w:rsidRPr="00A47ECF" w:rsidRDefault="00821032" w:rsidP="00C226A7">
            <w:pPr>
              <w:rPr>
                <w:i/>
                <w:iCs/>
                <w:sz w:val="21"/>
                <w:szCs w:val="21"/>
              </w:rPr>
            </w:pPr>
            <w:r w:rsidRPr="00A47ECF">
              <w:rPr>
                <w:i/>
                <w:iCs/>
                <w:sz w:val="21"/>
                <w:szCs w:val="21"/>
              </w:rPr>
              <w:t>Pseudophryne bibronii</w:t>
            </w:r>
          </w:p>
        </w:tc>
        <w:tc>
          <w:tcPr>
            <w:tcW w:w="782" w:type="pct"/>
          </w:tcPr>
          <w:p w14:paraId="13CE55EB" w14:textId="77777777" w:rsidR="00821032" w:rsidRPr="00A47ECF" w:rsidRDefault="00821032" w:rsidP="00C226A7">
            <w:pPr>
              <w:jc w:val="center"/>
              <w:rPr>
                <w:i/>
                <w:iCs/>
                <w:sz w:val="21"/>
                <w:szCs w:val="21"/>
              </w:rPr>
            </w:pPr>
          </w:p>
        </w:tc>
      </w:tr>
      <w:tr w:rsidR="00821032" w14:paraId="284CB11D" w14:textId="77777777" w:rsidTr="00A34BE6">
        <w:trPr>
          <w:trHeight w:hRule="exact" w:val="340"/>
        </w:trPr>
        <w:tc>
          <w:tcPr>
            <w:tcW w:w="2576" w:type="pct"/>
          </w:tcPr>
          <w:p w14:paraId="66F04009" w14:textId="77777777" w:rsidR="00821032" w:rsidRPr="00A47ECF" w:rsidRDefault="00821032" w:rsidP="00C226A7">
            <w:pPr>
              <w:rPr>
                <w:sz w:val="21"/>
                <w:szCs w:val="21"/>
              </w:rPr>
            </w:pPr>
            <w:r w:rsidRPr="00A47ECF">
              <w:rPr>
                <w:sz w:val="21"/>
                <w:szCs w:val="21"/>
              </w:rPr>
              <w:t>Common eastern froglet</w:t>
            </w:r>
          </w:p>
        </w:tc>
        <w:tc>
          <w:tcPr>
            <w:tcW w:w="1642" w:type="pct"/>
          </w:tcPr>
          <w:p w14:paraId="29D5791B" w14:textId="77777777" w:rsidR="00821032" w:rsidRPr="00A47ECF" w:rsidRDefault="00821032" w:rsidP="00C226A7">
            <w:pPr>
              <w:rPr>
                <w:i/>
                <w:iCs/>
                <w:sz w:val="21"/>
                <w:szCs w:val="21"/>
              </w:rPr>
            </w:pPr>
            <w:r w:rsidRPr="00A47ECF">
              <w:rPr>
                <w:i/>
                <w:iCs/>
                <w:sz w:val="21"/>
                <w:szCs w:val="21"/>
              </w:rPr>
              <w:t>Crinia signifera</w:t>
            </w:r>
          </w:p>
        </w:tc>
        <w:tc>
          <w:tcPr>
            <w:tcW w:w="782" w:type="pct"/>
          </w:tcPr>
          <w:p w14:paraId="7D93C07F" w14:textId="77777777" w:rsidR="00821032" w:rsidRPr="00A47ECF" w:rsidRDefault="00821032" w:rsidP="00C226A7">
            <w:pPr>
              <w:jc w:val="center"/>
              <w:rPr>
                <w:i/>
                <w:iCs/>
                <w:sz w:val="21"/>
                <w:szCs w:val="21"/>
              </w:rPr>
            </w:pPr>
            <w:r>
              <w:rPr>
                <w:i/>
                <w:iCs/>
                <w:sz w:val="21"/>
                <w:szCs w:val="21"/>
              </w:rPr>
              <w:t>√</w:t>
            </w:r>
          </w:p>
        </w:tc>
      </w:tr>
      <w:tr w:rsidR="00821032" w14:paraId="4686628A" w14:textId="77777777" w:rsidTr="00A34BE6">
        <w:trPr>
          <w:trHeight w:hRule="exact" w:val="340"/>
        </w:trPr>
        <w:tc>
          <w:tcPr>
            <w:tcW w:w="2576" w:type="pct"/>
          </w:tcPr>
          <w:p w14:paraId="21336B72" w14:textId="77777777" w:rsidR="00821032" w:rsidRPr="00A47ECF" w:rsidRDefault="00821032" w:rsidP="00C226A7">
            <w:pPr>
              <w:rPr>
                <w:sz w:val="21"/>
                <w:szCs w:val="21"/>
              </w:rPr>
            </w:pPr>
            <w:r w:rsidRPr="00A47ECF">
              <w:rPr>
                <w:sz w:val="21"/>
                <w:szCs w:val="21"/>
              </w:rPr>
              <w:t>Eastern banjo/Pobblebonk/ Bull frog</w:t>
            </w:r>
          </w:p>
        </w:tc>
        <w:tc>
          <w:tcPr>
            <w:tcW w:w="1642" w:type="pct"/>
          </w:tcPr>
          <w:p w14:paraId="4CADB9F2" w14:textId="77777777" w:rsidR="00821032" w:rsidRPr="00A47ECF" w:rsidRDefault="00821032" w:rsidP="00C226A7">
            <w:pPr>
              <w:rPr>
                <w:i/>
                <w:iCs/>
                <w:sz w:val="21"/>
                <w:szCs w:val="21"/>
              </w:rPr>
            </w:pPr>
            <w:r w:rsidRPr="00A47ECF">
              <w:rPr>
                <w:i/>
                <w:iCs/>
                <w:sz w:val="21"/>
                <w:szCs w:val="21"/>
              </w:rPr>
              <w:t>Limnodynastes dumerilii</w:t>
            </w:r>
          </w:p>
        </w:tc>
        <w:tc>
          <w:tcPr>
            <w:tcW w:w="782" w:type="pct"/>
          </w:tcPr>
          <w:p w14:paraId="3FC36855" w14:textId="77777777" w:rsidR="00821032" w:rsidRPr="00A47ECF" w:rsidRDefault="00821032" w:rsidP="00C226A7">
            <w:pPr>
              <w:jc w:val="center"/>
              <w:rPr>
                <w:i/>
                <w:iCs/>
                <w:sz w:val="21"/>
                <w:szCs w:val="21"/>
              </w:rPr>
            </w:pPr>
            <w:r>
              <w:rPr>
                <w:i/>
                <w:iCs/>
                <w:sz w:val="21"/>
                <w:szCs w:val="21"/>
              </w:rPr>
              <w:t>√</w:t>
            </w:r>
          </w:p>
        </w:tc>
      </w:tr>
      <w:tr w:rsidR="00821032" w14:paraId="092E92BD" w14:textId="77777777" w:rsidTr="00A34BE6">
        <w:trPr>
          <w:trHeight w:hRule="exact" w:val="340"/>
        </w:trPr>
        <w:tc>
          <w:tcPr>
            <w:tcW w:w="2576" w:type="pct"/>
          </w:tcPr>
          <w:p w14:paraId="2C7F23EC" w14:textId="77777777" w:rsidR="00821032" w:rsidRPr="00A47ECF" w:rsidRDefault="00821032" w:rsidP="00C226A7">
            <w:pPr>
              <w:rPr>
                <w:sz w:val="21"/>
                <w:szCs w:val="21"/>
              </w:rPr>
            </w:pPr>
            <w:r w:rsidRPr="00A47ECF">
              <w:rPr>
                <w:sz w:val="21"/>
                <w:szCs w:val="21"/>
              </w:rPr>
              <w:t>Eastern sing-bearing</w:t>
            </w:r>
            <w:r>
              <w:rPr>
                <w:sz w:val="21"/>
                <w:szCs w:val="21"/>
              </w:rPr>
              <w:t>/ Murray Valley</w:t>
            </w:r>
            <w:r w:rsidRPr="00A47ECF">
              <w:rPr>
                <w:sz w:val="21"/>
                <w:szCs w:val="21"/>
              </w:rPr>
              <w:t xml:space="preserve"> froglet</w:t>
            </w:r>
          </w:p>
        </w:tc>
        <w:tc>
          <w:tcPr>
            <w:tcW w:w="1642" w:type="pct"/>
          </w:tcPr>
          <w:p w14:paraId="2491DBC5" w14:textId="77777777" w:rsidR="00821032" w:rsidRPr="00A47ECF" w:rsidRDefault="00821032" w:rsidP="00C226A7">
            <w:pPr>
              <w:rPr>
                <w:i/>
                <w:iCs/>
                <w:sz w:val="21"/>
                <w:szCs w:val="21"/>
              </w:rPr>
            </w:pPr>
            <w:r w:rsidRPr="00A47ECF">
              <w:rPr>
                <w:i/>
                <w:iCs/>
                <w:sz w:val="21"/>
                <w:szCs w:val="21"/>
              </w:rPr>
              <w:t>Crinia parinsignifera</w:t>
            </w:r>
          </w:p>
        </w:tc>
        <w:tc>
          <w:tcPr>
            <w:tcW w:w="782" w:type="pct"/>
          </w:tcPr>
          <w:p w14:paraId="0AA8CF8A" w14:textId="77777777" w:rsidR="00821032" w:rsidRPr="00A47ECF" w:rsidRDefault="00821032" w:rsidP="00C226A7">
            <w:pPr>
              <w:jc w:val="center"/>
              <w:rPr>
                <w:i/>
                <w:iCs/>
                <w:sz w:val="21"/>
                <w:szCs w:val="21"/>
              </w:rPr>
            </w:pPr>
          </w:p>
        </w:tc>
      </w:tr>
      <w:tr w:rsidR="00821032" w14:paraId="38F15DD5" w14:textId="77777777" w:rsidTr="00A34BE6">
        <w:trPr>
          <w:trHeight w:hRule="exact" w:val="340"/>
        </w:trPr>
        <w:tc>
          <w:tcPr>
            <w:tcW w:w="2576" w:type="pct"/>
          </w:tcPr>
          <w:p w14:paraId="5AC01993" w14:textId="77777777" w:rsidR="00821032" w:rsidRPr="00A47ECF" w:rsidRDefault="00821032" w:rsidP="00C226A7">
            <w:pPr>
              <w:rPr>
                <w:sz w:val="21"/>
                <w:szCs w:val="21"/>
              </w:rPr>
            </w:pPr>
            <w:r w:rsidRPr="00A47ECF">
              <w:rPr>
                <w:sz w:val="21"/>
                <w:szCs w:val="21"/>
              </w:rPr>
              <w:t>Mallee spadefoot/ painted frog</w:t>
            </w:r>
          </w:p>
        </w:tc>
        <w:tc>
          <w:tcPr>
            <w:tcW w:w="1642" w:type="pct"/>
          </w:tcPr>
          <w:p w14:paraId="16A21018" w14:textId="77777777" w:rsidR="00821032" w:rsidRPr="00A47ECF" w:rsidRDefault="00821032" w:rsidP="00C226A7">
            <w:pPr>
              <w:rPr>
                <w:i/>
                <w:iCs/>
                <w:sz w:val="21"/>
                <w:szCs w:val="21"/>
              </w:rPr>
            </w:pPr>
            <w:r w:rsidRPr="00A47ECF">
              <w:rPr>
                <w:i/>
                <w:iCs/>
                <w:sz w:val="21"/>
                <w:szCs w:val="21"/>
              </w:rPr>
              <w:t>Neobatrachus pictus</w:t>
            </w:r>
          </w:p>
        </w:tc>
        <w:tc>
          <w:tcPr>
            <w:tcW w:w="782" w:type="pct"/>
          </w:tcPr>
          <w:p w14:paraId="62502D93" w14:textId="77777777" w:rsidR="00821032" w:rsidRPr="00A47ECF" w:rsidRDefault="00821032" w:rsidP="00C226A7">
            <w:pPr>
              <w:jc w:val="center"/>
              <w:rPr>
                <w:i/>
                <w:iCs/>
                <w:sz w:val="21"/>
                <w:szCs w:val="21"/>
              </w:rPr>
            </w:pPr>
            <w:r>
              <w:rPr>
                <w:i/>
                <w:iCs/>
                <w:sz w:val="21"/>
                <w:szCs w:val="21"/>
              </w:rPr>
              <w:t>√</w:t>
            </w:r>
          </w:p>
        </w:tc>
      </w:tr>
      <w:tr w:rsidR="00821032" w14:paraId="2EE36997" w14:textId="77777777" w:rsidTr="00A34BE6">
        <w:trPr>
          <w:trHeight w:hRule="exact" w:val="340"/>
        </w:trPr>
        <w:tc>
          <w:tcPr>
            <w:tcW w:w="2576" w:type="pct"/>
          </w:tcPr>
          <w:p w14:paraId="1EA990C5" w14:textId="77777777" w:rsidR="00821032" w:rsidRPr="00A47ECF" w:rsidRDefault="00821032" w:rsidP="00C226A7">
            <w:pPr>
              <w:rPr>
                <w:sz w:val="21"/>
                <w:szCs w:val="21"/>
              </w:rPr>
            </w:pPr>
            <w:r w:rsidRPr="00A47ECF">
              <w:rPr>
                <w:sz w:val="21"/>
                <w:szCs w:val="21"/>
              </w:rPr>
              <w:t>Spotted grass frog</w:t>
            </w:r>
          </w:p>
        </w:tc>
        <w:tc>
          <w:tcPr>
            <w:tcW w:w="1642" w:type="pct"/>
          </w:tcPr>
          <w:p w14:paraId="6A23879E" w14:textId="77777777" w:rsidR="00821032" w:rsidRPr="00A47ECF" w:rsidRDefault="00821032" w:rsidP="00C226A7">
            <w:pPr>
              <w:rPr>
                <w:i/>
                <w:iCs/>
                <w:sz w:val="21"/>
                <w:szCs w:val="21"/>
              </w:rPr>
            </w:pPr>
            <w:r w:rsidRPr="00A47ECF">
              <w:rPr>
                <w:i/>
                <w:iCs/>
                <w:sz w:val="21"/>
                <w:szCs w:val="21"/>
              </w:rPr>
              <w:t>Limnodynastes tasmaniensis</w:t>
            </w:r>
          </w:p>
        </w:tc>
        <w:tc>
          <w:tcPr>
            <w:tcW w:w="782" w:type="pct"/>
          </w:tcPr>
          <w:p w14:paraId="70169F1F" w14:textId="77777777" w:rsidR="00821032" w:rsidRPr="00A47ECF" w:rsidRDefault="00821032" w:rsidP="00C226A7">
            <w:pPr>
              <w:jc w:val="center"/>
              <w:rPr>
                <w:i/>
                <w:iCs/>
                <w:sz w:val="21"/>
                <w:szCs w:val="21"/>
              </w:rPr>
            </w:pPr>
            <w:r>
              <w:rPr>
                <w:i/>
                <w:iCs/>
                <w:sz w:val="21"/>
                <w:szCs w:val="21"/>
              </w:rPr>
              <w:t>√</w:t>
            </w:r>
          </w:p>
        </w:tc>
      </w:tr>
      <w:tr w:rsidR="00821032" w14:paraId="4369B7CA" w14:textId="77777777" w:rsidTr="00A34BE6">
        <w:trPr>
          <w:trHeight w:hRule="exact" w:val="340"/>
        </w:trPr>
        <w:tc>
          <w:tcPr>
            <w:tcW w:w="2576" w:type="pct"/>
          </w:tcPr>
          <w:p w14:paraId="65568D1C" w14:textId="77777777" w:rsidR="00821032" w:rsidRPr="00A47ECF" w:rsidRDefault="00821032" w:rsidP="00C226A7">
            <w:pPr>
              <w:rPr>
                <w:sz w:val="21"/>
                <w:szCs w:val="21"/>
              </w:rPr>
            </w:pPr>
            <w:r w:rsidRPr="00A47ECF">
              <w:rPr>
                <w:sz w:val="21"/>
                <w:szCs w:val="21"/>
              </w:rPr>
              <w:t>Sudell’s/trilling frog</w:t>
            </w:r>
          </w:p>
        </w:tc>
        <w:tc>
          <w:tcPr>
            <w:tcW w:w="1642" w:type="pct"/>
          </w:tcPr>
          <w:p w14:paraId="44706169" w14:textId="77777777" w:rsidR="00821032" w:rsidRPr="00A47ECF" w:rsidRDefault="00821032" w:rsidP="00C226A7">
            <w:pPr>
              <w:rPr>
                <w:i/>
                <w:iCs/>
                <w:sz w:val="21"/>
                <w:szCs w:val="21"/>
              </w:rPr>
            </w:pPr>
            <w:r w:rsidRPr="00A47ECF">
              <w:rPr>
                <w:i/>
                <w:iCs/>
                <w:sz w:val="21"/>
                <w:szCs w:val="21"/>
              </w:rPr>
              <w:t>Neobatrachus sudellae</w:t>
            </w:r>
          </w:p>
        </w:tc>
        <w:tc>
          <w:tcPr>
            <w:tcW w:w="782" w:type="pct"/>
          </w:tcPr>
          <w:p w14:paraId="2655C4C0" w14:textId="77777777" w:rsidR="00821032" w:rsidRPr="00A47ECF" w:rsidRDefault="00821032" w:rsidP="00C226A7">
            <w:pPr>
              <w:jc w:val="center"/>
              <w:rPr>
                <w:i/>
                <w:iCs/>
                <w:sz w:val="21"/>
                <w:szCs w:val="21"/>
              </w:rPr>
            </w:pPr>
          </w:p>
        </w:tc>
      </w:tr>
    </w:tbl>
    <w:p w14:paraId="49BCA982" w14:textId="7CD38134" w:rsidR="00821032" w:rsidRPr="00C637BD" w:rsidRDefault="00821032" w:rsidP="00821032">
      <w:pPr>
        <w:rPr>
          <w:i/>
          <w:iCs/>
          <w:sz w:val="20"/>
          <w:szCs w:val="20"/>
        </w:rPr>
      </w:pPr>
      <w:r w:rsidRPr="00A34BE6">
        <w:rPr>
          <w:sz w:val="20"/>
          <w:szCs w:val="20"/>
        </w:rPr>
        <w:t>*</w:t>
      </w:r>
      <w:r w:rsidRPr="00C637BD">
        <w:rPr>
          <w:i/>
          <w:iCs/>
          <w:sz w:val="20"/>
          <w:szCs w:val="20"/>
        </w:rPr>
        <w:t>Listed as Vulnerable under EPBC Act; #listed as Rare under SA National Parks and Wildlife Ac</w:t>
      </w:r>
      <w:r w:rsidR="00C637BD">
        <w:rPr>
          <w:i/>
          <w:iCs/>
          <w:sz w:val="20"/>
          <w:szCs w:val="20"/>
        </w:rPr>
        <w:t>t.</w:t>
      </w:r>
    </w:p>
    <w:p w14:paraId="1E672773" w14:textId="4D92CF5A" w:rsidR="008045CC" w:rsidRDefault="008045CC" w:rsidP="008045CC">
      <w:r w:rsidRPr="002B1472">
        <w:t>Of note is that</w:t>
      </w:r>
      <w:r>
        <w:rPr>
          <w:i/>
          <w:iCs/>
        </w:rPr>
        <w:t xml:space="preserve"> </w:t>
      </w:r>
      <w:r w:rsidRPr="00A73947">
        <w:rPr>
          <w:i/>
          <w:iCs/>
        </w:rPr>
        <w:t>Litoria ewingii</w:t>
      </w:r>
      <w:r>
        <w:t xml:space="preserve">, the brown tree frog (known for its characteristic whistling call), was only recently reassessed as three species, with </w:t>
      </w:r>
      <w:r w:rsidRPr="005E3B59">
        <w:rPr>
          <w:i/>
          <w:iCs/>
        </w:rPr>
        <w:t>Litoria calliscelis</w:t>
      </w:r>
      <w:r>
        <w:t xml:space="preserve"> occurring in the Mount Lofty Ranges (thus the </w:t>
      </w:r>
      <w:r w:rsidR="00FE03F9">
        <w:t>RMDS</w:t>
      </w:r>
      <w:r>
        <w:t>) and Fleurieu Peninsula</w:t>
      </w:r>
      <w:r w:rsidR="00943FBD">
        <w:t xml:space="preserve"> </w:t>
      </w:r>
      <w:r>
        <w:t xml:space="preserve">(Parkin et al. 2024). Additionally, the threatened southern bell frog was recently assessed to be two sub-species, </w:t>
      </w:r>
      <w:r w:rsidRPr="00E20D88">
        <w:rPr>
          <w:i/>
          <w:iCs/>
        </w:rPr>
        <w:t xml:space="preserve">L. r. raniformis </w:t>
      </w:r>
      <w:r>
        <w:t xml:space="preserve">for the northern lineage and </w:t>
      </w:r>
      <w:r w:rsidRPr="00E20D88">
        <w:rPr>
          <w:i/>
          <w:iCs/>
        </w:rPr>
        <w:t>L. r. major</w:t>
      </w:r>
      <w:r>
        <w:t xml:space="preserve"> for the southern lineage </w:t>
      </w:r>
      <w:r w:rsidRPr="00E20D88">
        <w:t>(</w:t>
      </w:r>
      <w:r w:rsidRPr="00E20D88">
        <w:rPr>
          <w:rFonts w:cs="Times New Roman"/>
        </w:rPr>
        <w:t>Vӧrӧs</w:t>
      </w:r>
      <w:r w:rsidRPr="00E20D88">
        <w:t xml:space="preserve"> et al. 2023).</w:t>
      </w:r>
    </w:p>
    <w:p w14:paraId="00CC2429" w14:textId="002BEE27" w:rsidR="00BA4DA1" w:rsidRDefault="00BA4DA1" w:rsidP="007E003E">
      <w:r>
        <w:t xml:space="preserve">At least </w:t>
      </w:r>
      <w:r w:rsidR="008A6CC6">
        <w:t>49</w:t>
      </w:r>
      <w:r>
        <w:t xml:space="preserve"> reptile species have been recorded from the </w:t>
      </w:r>
      <w:r w:rsidR="002F3A28">
        <w:t xml:space="preserve">South Australian </w:t>
      </w:r>
      <w:r w:rsidR="00A75E4F">
        <w:t xml:space="preserve">River Murray </w:t>
      </w:r>
      <w:r>
        <w:t>floodplains</w:t>
      </w:r>
      <w:r w:rsidR="008D174C">
        <w:t xml:space="preserve"> from combined surveys and museum records</w:t>
      </w:r>
      <w:r w:rsidR="00A75E4F">
        <w:t xml:space="preserve">, </w:t>
      </w:r>
      <w:r>
        <w:t>with approximately half considered to have affinities to specific habitat types such as wetlands, floodplains</w:t>
      </w:r>
      <w:r w:rsidR="002E1877">
        <w:t>,</w:t>
      </w:r>
      <w:r>
        <w:t xml:space="preserve"> and fringing woodlands (Bird &amp; Armstrong 1990; </w:t>
      </w:r>
      <w:r w:rsidR="00A661A0">
        <w:t xml:space="preserve">Scott 2001; </w:t>
      </w:r>
      <w:r w:rsidR="00DD66D9">
        <w:t xml:space="preserve">Brandle 2002; </w:t>
      </w:r>
      <w:r w:rsidR="00A76E29">
        <w:t xml:space="preserve">MDBC </w:t>
      </w:r>
      <w:r w:rsidR="00DD66D9">
        <w:t>2006</w:t>
      </w:r>
      <w:r w:rsidR="00A76E29">
        <w:t>b,</w:t>
      </w:r>
      <w:r w:rsidR="00DE01BE">
        <w:t xml:space="preserve"> </w:t>
      </w:r>
      <w:r w:rsidR="00A76E29">
        <w:t>c</w:t>
      </w:r>
      <w:r w:rsidR="00A551F2">
        <w:t xml:space="preserve">; </w:t>
      </w:r>
      <w:r>
        <w:t>Hutchinson 2009; Newall et al. 2009; Stewart et al. 2010</w:t>
      </w:r>
      <w:r w:rsidR="00B233C1">
        <w:t>; Scott et al. 2022</w:t>
      </w:r>
      <w:r>
        <w:t xml:space="preserve">). </w:t>
      </w:r>
      <w:r w:rsidR="0043757C">
        <w:t xml:space="preserve">Of these, at least </w:t>
      </w:r>
      <w:r w:rsidR="008A6CC6">
        <w:t xml:space="preserve">35 species </w:t>
      </w:r>
      <w:r w:rsidR="008B6C4A">
        <w:t xml:space="preserve">have been observed at Chowilla (Bird &amp; Armstrong 1990). </w:t>
      </w:r>
      <w:r>
        <w:t>In particular, three species of t</w:t>
      </w:r>
      <w:r w:rsidR="005C276F">
        <w:t>urtle</w:t>
      </w:r>
      <w:r>
        <w:t xml:space="preserve">, two water skinks, a goanna, and two snake species are reliant on these </w:t>
      </w:r>
      <w:r w:rsidR="00E2574D">
        <w:t xml:space="preserve">critical </w:t>
      </w:r>
      <w:r>
        <w:t xml:space="preserve">riverine habitats for their survival in the region (Stewart et al. 2010; </w:t>
      </w:r>
      <w:r w:rsidR="00BE22E7">
        <w:t xml:space="preserve">Van Dyke et al. 2019; </w:t>
      </w:r>
      <w:r w:rsidRPr="00492D4E">
        <w:rPr>
          <w:u w:val="single"/>
        </w:rPr>
        <w:t>Table</w:t>
      </w:r>
      <w:r w:rsidR="00BE431A">
        <w:rPr>
          <w:u w:val="single"/>
        </w:rPr>
        <w:t xml:space="preserve"> </w:t>
      </w:r>
      <w:r w:rsidR="0072383E">
        <w:rPr>
          <w:u w:val="single"/>
        </w:rPr>
        <w:t>1</w:t>
      </w:r>
      <w:r w:rsidR="00D50E22">
        <w:rPr>
          <w:u w:val="single"/>
        </w:rPr>
        <w:t>1</w:t>
      </w:r>
      <w:r>
        <w:t xml:space="preserve">). For example, the wetland specialist </w:t>
      </w:r>
      <w:r w:rsidRPr="00492D4E">
        <w:rPr>
          <w:i/>
          <w:iCs/>
        </w:rPr>
        <w:t>Eulamprus quoyii</w:t>
      </w:r>
      <w:r>
        <w:t xml:space="preserve"> (eastern water skink) is strongly associated with the riparian zones of streams and wetlands. </w:t>
      </w:r>
    </w:p>
    <w:p w14:paraId="217AE4E3" w14:textId="77777777" w:rsidR="0080110D" w:rsidRDefault="0080110D" w:rsidP="0080110D">
      <w:r>
        <w:t xml:space="preserve">Some of the most common reptiles on the River Murray floodplain are: </w:t>
      </w:r>
      <w:r w:rsidRPr="00A30D42">
        <w:rPr>
          <w:i/>
          <w:iCs/>
        </w:rPr>
        <w:t>Morethia boulenger</w:t>
      </w:r>
      <w:r>
        <w:t xml:space="preserve"> (common snake-eye skink), </w:t>
      </w:r>
      <w:r w:rsidRPr="001F3880">
        <w:rPr>
          <w:i/>
          <w:iCs/>
        </w:rPr>
        <w:t>Christinus marmoratus</w:t>
      </w:r>
      <w:r>
        <w:rPr>
          <w:i/>
          <w:iCs/>
        </w:rPr>
        <w:t xml:space="preserve"> </w:t>
      </w:r>
      <w:r>
        <w:t xml:space="preserve">(marbled gecko), </w:t>
      </w:r>
      <w:r w:rsidRPr="00B25A7D">
        <w:rPr>
          <w:i/>
          <w:iCs/>
        </w:rPr>
        <w:t>Menetia greyii</w:t>
      </w:r>
      <w:r>
        <w:t xml:space="preserve"> (dwarf skink), </w:t>
      </w:r>
      <w:r w:rsidRPr="00384C01">
        <w:rPr>
          <w:i/>
          <w:iCs/>
        </w:rPr>
        <w:t>Tiliqua rugosa</w:t>
      </w:r>
      <w:r>
        <w:t xml:space="preserve"> (sleepy lizard), and </w:t>
      </w:r>
      <w:r w:rsidRPr="0098646D">
        <w:rPr>
          <w:i/>
          <w:iCs/>
        </w:rPr>
        <w:t>Egernia striolata</w:t>
      </w:r>
      <w:r>
        <w:t xml:space="preserve"> (eastern tree skink) (Stewart et al. 2010). </w:t>
      </w:r>
      <w:r w:rsidRPr="00201EB2">
        <w:rPr>
          <w:i/>
          <w:iCs/>
        </w:rPr>
        <w:t>Notechis scutatus</w:t>
      </w:r>
      <w:r>
        <w:t xml:space="preserve"> (eastern tiger snake), and to a lesser extent </w:t>
      </w:r>
      <w:r w:rsidRPr="000E7357">
        <w:rPr>
          <w:i/>
          <w:iCs/>
        </w:rPr>
        <w:t>Pseudechis porphyriacus</w:t>
      </w:r>
      <w:r>
        <w:t xml:space="preserve"> (red-bellied black snake), have suffered drastic population declines along the more arid sections of the River Murray (Bird &amp; Armstrong 1990; Eckert 2000 in Hutchinson 2009). Both are wetland specialists and anurophagous (aka batrachophagous) snakes, feeding predominately on frogs (Hutchinson 2009). </w:t>
      </w:r>
      <w:r w:rsidRPr="007261C1">
        <w:rPr>
          <w:i/>
          <w:iCs/>
        </w:rPr>
        <w:t>Morelia spilota</w:t>
      </w:r>
      <w:r>
        <w:t xml:space="preserve"> (carpet python) utilise two significant microhabitats in the River Murray floodplain corridor—large fallen limbs and hollow tree trunks, and rocky hollows and overhangs along the limestone cliffs (Hutchinson 2009). </w:t>
      </w:r>
    </w:p>
    <w:p w14:paraId="723CF2BB" w14:textId="12FB9C29" w:rsidR="0080110D" w:rsidRPr="00C51F04" w:rsidRDefault="000B0D0B" w:rsidP="00C05EE7">
      <w:pPr>
        <w:keepLines/>
      </w:pPr>
      <w:r w:rsidRPr="00054D8B">
        <w:rPr>
          <w:i/>
          <w:iCs/>
        </w:rPr>
        <w:lastRenderedPageBreak/>
        <w:t>Denesonia devisi</w:t>
      </w:r>
      <w:r>
        <w:t xml:space="preserve"> (De Vis’ banded snake) has recently been discovered for the first time in SA—four adults at Chowilla, with one of them observed biting into a large southern bell frog (Scott et al. 2022). This discovery represents a range extension for this species, which mainly eats frogs and is typically associated with floodplains and riparian systems that receive significant seasonal</w:t>
      </w:r>
      <w:r w:rsidR="003730C6">
        <w:t xml:space="preserve"> </w:t>
      </w:r>
      <w:r>
        <w:t xml:space="preserve">inundation (Wilson &amp; Swan 2021; Scott et al. 2022). This discovery takes the number of reptile species on the floodplain of the </w:t>
      </w:r>
      <w:r w:rsidR="00987619">
        <w:t>RMDS</w:t>
      </w:r>
      <w:r>
        <w:t xml:space="preserve"> to at least 50.</w:t>
      </w:r>
    </w:p>
    <w:p w14:paraId="5D4DF5D3" w14:textId="588367DD" w:rsidR="00653F67" w:rsidRPr="00C637BD" w:rsidRDefault="00A34BE6" w:rsidP="00C637BD">
      <w:pPr>
        <w:spacing w:after="160" w:line="259" w:lineRule="auto"/>
        <w:rPr>
          <w:b/>
          <w:bCs/>
          <w:iCs/>
        </w:rPr>
      </w:pPr>
      <w:r w:rsidRPr="00C637BD">
        <w:rPr>
          <w:b/>
          <w:bCs/>
        </w:rPr>
        <w:t xml:space="preserve">Table </w:t>
      </w:r>
      <w:r w:rsidRPr="00C637BD">
        <w:rPr>
          <w:b/>
          <w:bCs/>
        </w:rPr>
        <w:fldChar w:fldCharType="begin"/>
      </w:r>
      <w:r w:rsidRPr="00C637BD">
        <w:rPr>
          <w:b/>
          <w:bCs/>
        </w:rPr>
        <w:instrText xml:space="preserve"> SEQ Table \* ARABIC </w:instrText>
      </w:r>
      <w:r w:rsidRPr="00C637BD">
        <w:rPr>
          <w:b/>
          <w:bCs/>
        </w:rPr>
        <w:fldChar w:fldCharType="separate"/>
      </w:r>
      <w:r w:rsidR="006D35C5">
        <w:rPr>
          <w:b/>
          <w:bCs/>
          <w:noProof/>
        </w:rPr>
        <w:t>11</w:t>
      </w:r>
      <w:r w:rsidRPr="00C637BD">
        <w:rPr>
          <w:b/>
          <w:bCs/>
        </w:rPr>
        <w:fldChar w:fldCharType="end"/>
      </w:r>
      <w:r w:rsidR="00653F67" w:rsidRPr="00C637BD">
        <w:rPr>
          <w:b/>
          <w:bCs/>
        </w:rPr>
        <w:t>: Reptile families and associated number of species recorded during the 2002</w:t>
      </w:r>
      <w:r w:rsidR="00D02E90" w:rsidRPr="00C637BD">
        <w:rPr>
          <w:b/>
          <w:bCs/>
        </w:rPr>
        <w:t>–</w:t>
      </w:r>
      <w:r w:rsidR="00653F67" w:rsidRPr="00C637BD">
        <w:rPr>
          <w:b/>
          <w:bCs/>
        </w:rPr>
        <w:t>04 and earlier surveys of the Murray River Valley (i.e. floodplain) (Stewart et al. 2010). Key species of reptiles reliant on riverine</w:t>
      </w:r>
      <w:r w:rsidR="008C4A06" w:rsidRPr="00C637BD">
        <w:rPr>
          <w:b/>
          <w:bCs/>
        </w:rPr>
        <w:t xml:space="preserve"> floodplain</w:t>
      </w:r>
      <w:r w:rsidR="00653F67" w:rsidRPr="00C637BD">
        <w:rPr>
          <w:b/>
          <w:bCs/>
        </w:rPr>
        <w:t>/wetland habitat are also listed</w:t>
      </w:r>
      <w:r w:rsidR="00C241E8" w:rsidRPr="00C637BD">
        <w:rPr>
          <w:b/>
          <w:bCs/>
        </w:rPr>
        <w:t xml:space="preserve">. Note, </w:t>
      </w:r>
      <w:r w:rsidR="00C82138" w:rsidRPr="00C637BD">
        <w:rPr>
          <w:b/>
          <w:bCs/>
          <w:i/>
        </w:rPr>
        <w:t>Morelia spiota</w:t>
      </w:r>
      <w:r w:rsidR="00C82138" w:rsidRPr="00C637BD">
        <w:rPr>
          <w:b/>
          <w:bCs/>
        </w:rPr>
        <w:t xml:space="preserve"> (</w:t>
      </w:r>
      <w:r w:rsidR="00653F67" w:rsidRPr="00C637BD">
        <w:rPr>
          <w:b/>
          <w:bCs/>
        </w:rPr>
        <w:t>carpet python</w:t>
      </w:r>
      <w:r w:rsidR="003E68AE" w:rsidRPr="00C637BD">
        <w:rPr>
          <w:b/>
          <w:bCs/>
        </w:rPr>
        <w:t>)</w:t>
      </w:r>
      <w:r w:rsidR="00653F67" w:rsidRPr="00C637BD">
        <w:rPr>
          <w:b/>
          <w:bCs/>
        </w:rPr>
        <w:t xml:space="preserve"> was not found</w:t>
      </w:r>
      <w:r w:rsidR="00C241E8" w:rsidRPr="00C637BD">
        <w:rPr>
          <w:b/>
          <w:bCs/>
        </w:rPr>
        <w:t xml:space="preserve"> during the 2002</w:t>
      </w:r>
      <w:r w:rsidR="00D02E90" w:rsidRPr="00C637BD">
        <w:rPr>
          <w:b/>
          <w:bCs/>
        </w:rPr>
        <w:t>–</w:t>
      </w:r>
      <w:r w:rsidR="00C241E8" w:rsidRPr="00C637BD">
        <w:rPr>
          <w:b/>
          <w:bCs/>
        </w:rPr>
        <w:t>04 survey</w:t>
      </w:r>
      <w:r w:rsidR="00EA172A" w:rsidRPr="00C637BD">
        <w:rPr>
          <w:b/>
          <w:bCs/>
        </w:rPr>
        <w:t xml:space="preserve">, and </w:t>
      </w:r>
      <w:r w:rsidR="00EA172A" w:rsidRPr="00C637BD">
        <w:rPr>
          <w:b/>
          <w:bCs/>
          <w:i/>
        </w:rPr>
        <w:t xml:space="preserve">Denesonia </w:t>
      </w:r>
      <w:r w:rsidR="005F601B" w:rsidRPr="00C637BD">
        <w:rPr>
          <w:b/>
          <w:bCs/>
          <w:i/>
        </w:rPr>
        <w:t>devisi</w:t>
      </w:r>
      <w:r w:rsidR="003E68AE" w:rsidRPr="00C637BD">
        <w:rPr>
          <w:b/>
          <w:bCs/>
        </w:rPr>
        <w:t xml:space="preserve"> </w:t>
      </w:r>
      <w:r w:rsidR="005F601B" w:rsidRPr="00C637BD">
        <w:rPr>
          <w:b/>
          <w:bCs/>
        </w:rPr>
        <w:t>(</w:t>
      </w:r>
      <w:r w:rsidR="003E68AE" w:rsidRPr="00C637BD">
        <w:rPr>
          <w:b/>
          <w:bCs/>
        </w:rPr>
        <w:t xml:space="preserve">De Vis’ banded snake) </w:t>
      </w:r>
      <w:r w:rsidR="00456FF8" w:rsidRPr="00C637BD">
        <w:rPr>
          <w:b/>
          <w:bCs/>
        </w:rPr>
        <w:t>w</w:t>
      </w:r>
      <w:r w:rsidR="00EA172A" w:rsidRPr="00C637BD">
        <w:rPr>
          <w:b/>
          <w:bCs/>
        </w:rPr>
        <w:t>as</w:t>
      </w:r>
      <w:r w:rsidR="00456FF8" w:rsidRPr="00C637BD">
        <w:rPr>
          <w:b/>
          <w:bCs/>
        </w:rPr>
        <w:t xml:space="preserve"> </w:t>
      </w:r>
      <w:r w:rsidR="0030232C" w:rsidRPr="00C637BD">
        <w:rPr>
          <w:b/>
          <w:bCs/>
        </w:rPr>
        <w:t xml:space="preserve">recently </w:t>
      </w:r>
      <w:r w:rsidR="00456FF8" w:rsidRPr="00C637BD">
        <w:rPr>
          <w:b/>
          <w:bCs/>
        </w:rPr>
        <w:t>discovered in the MRV in 2021 (Scott et al. 2022)</w:t>
      </w:r>
      <w:r w:rsidR="00653F67" w:rsidRPr="00C637BD">
        <w:rPr>
          <w:b/>
          <w:bCs/>
        </w:rPr>
        <w:t xml:space="preserve">. </w:t>
      </w:r>
      <w:r w:rsidR="00456FF8" w:rsidRPr="00C637BD">
        <w:rPr>
          <w:b/>
          <w:bCs/>
        </w:rPr>
        <w:t xml:space="preserve"> </w:t>
      </w:r>
      <w:r w:rsidR="00653F67" w:rsidRPr="00C637BD">
        <w:rPr>
          <w:b/>
          <w:bCs/>
        </w:rPr>
        <w:t>SA-CS=conservation status in SA.</w:t>
      </w:r>
    </w:p>
    <w:tbl>
      <w:tblPr>
        <w:tblStyle w:val="TableGrid"/>
        <w:tblW w:w="5000" w:type="pct"/>
        <w:tblLook w:val="04A0" w:firstRow="1" w:lastRow="0" w:firstColumn="1" w:lastColumn="0" w:noHBand="0" w:noVBand="1"/>
      </w:tblPr>
      <w:tblGrid>
        <w:gridCol w:w="1398"/>
        <w:gridCol w:w="1299"/>
        <w:gridCol w:w="968"/>
        <w:gridCol w:w="2266"/>
        <w:gridCol w:w="2498"/>
        <w:gridCol w:w="631"/>
      </w:tblGrid>
      <w:tr w:rsidR="009B6E79" w:rsidRPr="004B6C06" w14:paraId="576D0B18" w14:textId="77777777" w:rsidTr="00A34BE6">
        <w:trPr>
          <w:trHeight w:val="340"/>
        </w:trPr>
        <w:tc>
          <w:tcPr>
            <w:tcW w:w="726" w:type="pct"/>
            <w:shd w:val="clear" w:color="auto" w:fill="DEEAF6" w:themeFill="accent1" w:themeFillTint="33"/>
          </w:tcPr>
          <w:p w14:paraId="26D0B40E" w14:textId="77777777" w:rsidR="009B6E79" w:rsidRPr="004B6C06" w:rsidRDefault="009B6E79" w:rsidP="001B7C08">
            <w:pPr>
              <w:rPr>
                <w:b/>
                <w:bCs/>
              </w:rPr>
            </w:pPr>
            <w:r w:rsidRPr="004B6C06">
              <w:rPr>
                <w:b/>
                <w:bCs/>
              </w:rPr>
              <w:t>Family</w:t>
            </w:r>
          </w:p>
        </w:tc>
        <w:tc>
          <w:tcPr>
            <w:tcW w:w="736" w:type="pct"/>
            <w:shd w:val="clear" w:color="auto" w:fill="DEEAF6" w:themeFill="accent1" w:themeFillTint="33"/>
          </w:tcPr>
          <w:p w14:paraId="2F9837C2" w14:textId="77777777" w:rsidR="009B6E79" w:rsidRPr="004B6C06" w:rsidRDefault="009B6E79" w:rsidP="001B7C08">
            <w:pPr>
              <w:rPr>
                <w:b/>
                <w:bCs/>
              </w:rPr>
            </w:pPr>
            <w:r w:rsidRPr="004B6C06">
              <w:rPr>
                <w:b/>
                <w:bCs/>
              </w:rPr>
              <w:t>Common name</w:t>
            </w:r>
          </w:p>
        </w:tc>
        <w:tc>
          <w:tcPr>
            <w:tcW w:w="502" w:type="pct"/>
            <w:shd w:val="clear" w:color="auto" w:fill="DEEAF6" w:themeFill="accent1" w:themeFillTint="33"/>
          </w:tcPr>
          <w:p w14:paraId="7D9FC991" w14:textId="77777777" w:rsidR="009B6E79" w:rsidRPr="004B6C06" w:rsidRDefault="009B6E79" w:rsidP="001B7C08">
            <w:pPr>
              <w:rPr>
                <w:b/>
                <w:bCs/>
              </w:rPr>
            </w:pPr>
            <w:r w:rsidRPr="004B6C06">
              <w:rPr>
                <w:b/>
                <w:bCs/>
              </w:rPr>
              <w:t>No. Species</w:t>
            </w:r>
          </w:p>
        </w:tc>
        <w:tc>
          <w:tcPr>
            <w:tcW w:w="1270" w:type="pct"/>
            <w:shd w:val="clear" w:color="auto" w:fill="DEEAF6" w:themeFill="accent1" w:themeFillTint="33"/>
          </w:tcPr>
          <w:p w14:paraId="7604B370" w14:textId="77777777" w:rsidR="009B6E79" w:rsidRPr="004B6C06" w:rsidRDefault="009B6E79" w:rsidP="001B7C08">
            <w:pPr>
              <w:rPr>
                <w:b/>
                <w:bCs/>
              </w:rPr>
            </w:pPr>
            <w:r w:rsidRPr="004B6C06">
              <w:rPr>
                <w:b/>
                <w:bCs/>
              </w:rPr>
              <w:t>Key species reliant on riverine habitat</w:t>
            </w:r>
          </w:p>
        </w:tc>
        <w:tc>
          <w:tcPr>
            <w:tcW w:w="1398" w:type="pct"/>
            <w:shd w:val="clear" w:color="auto" w:fill="DEEAF6" w:themeFill="accent1" w:themeFillTint="33"/>
          </w:tcPr>
          <w:p w14:paraId="2D64C1F4" w14:textId="77777777" w:rsidR="009B6E79" w:rsidRPr="004B6C06" w:rsidRDefault="009B6E79" w:rsidP="001B7C08">
            <w:pPr>
              <w:rPr>
                <w:b/>
                <w:bCs/>
              </w:rPr>
            </w:pPr>
            <w:r w:rsidRPr="004B6C06">
              <w:rPr>
                <w:b/>
                <w:bCs/>
              </w:rPr>
              <w:t>Common name</w:t>
            </w:r>
          </w:p>
        </w:tc>
        <w:tc>
          <w:tcPr>
            <w:tcW w:w="367" w:type="pct"/>
            <w:shd w:val="clear" w:color="auto" w:fill="DEEAF6" w:themeFill="accent1" w:themeFillTint="33"/>
          </w:tcPr>
          <w:p w14:paraId="0D7187A2" w14:textId="77777777" w:rsidR="009B6E79" w:rsidRPr="004B6C06" w:rsidRDefault="009B6E79" w:rsidP="001B7C08">
            <w:pPr>
              <w:rPr>
                <w:b/>
                <w:bCs/>
              </w:rPr>
            </w:pPr>
            <w:r w:rsidRPr="004B6C06">
              <w:rPr>
                <w:b/>
                <w:bCs/>
              </w:rPr>
              <w:t>SA-CS</w:t>
            </w:r>
          </w:p>
        </w:tc>
      </w:tr>
      <w:tr w:rsidR="009B6E79" w:rsidRPr="004B6C06" w14:paraId="5C3D8C60" w14:textId="77777777" w:rsidTr="00A34BE6">
        <w:trPr>
          <w:trHeight w:hRule="exact" w:val="340"/>
        </w:trPr>
        <w:tc>
          <w:tcPr>
            <w:tcW w:w="726" w:type="pct"/>
          </w:tcPr>
          <w:p w14:paraId="0D4F8F3C" w14:textId="4A23015E" w:rsidR="009B6E79" w:rsidRPr="004B6C06" w:rsidRDefault="009B6E79" w:rsidP="001B7C08">
            <w:r w:rsidRPr="004B6C06">
              <w:t>Agamidae</w:t>
            </w:r>
          </w:p>
        </w:tc>
        <w:tc>
          <w:tcPr>
            <w:tcW w:w="736" w:type="pct"/>
          </w:tcPr>
          <w:p w14:paraId="40369969" w14:textId="77777777" w:rsidR="009B6E79" w:rsidRPr="004B6C06" w:rsidRDefault="009B6E79" w:rsidP="001B7C08">
            <w:r w:rsidRPr="004B6C06">
              <w:t>dragon</w:t>
            </w:r>
          </w:p>
        </w:tc>
        <w:tc>
          <w:tcPr>
            <w:tcW w:w="502" w:type="pct"/>
          </w:tcPr>
          <w:p w14:paraId="09A815DB" w14:textId="77777777" w:rsidR="009B6E79" w:rsidRPr="004B6C06" w:rsidRDefault="009B6E79" w:rsidP="001B7C08">
            <w:pPr>
              <w:jc w:val="center"/>
            </w:pPr>
            <w:r w:rsidRPr="004B6C06">
              <w:t>4</w:t>
            </w:r>
          </w:p>
        </w:tc>
        <w:tc>
          <w:tcPr>
            <w:tcW w:w="1270" w:type="pct"/>
          </w:tcPr>
          <w:p w14:paraId="105B3BB1" w14:textId="77777777" w:rsidR="009B6E79" w:rsidRPr="004B6C06" w:rsidRDefault="009B6E79" w:rsidP="001B7C08"/>
        </w:tc>
        <w:tc>
          <w:tcPr>
            <w:tcW w:w="1398" w:type="pct"/>
          </w:tcPr>
          <w:p w14:paraId="170DB392" w14:textId="77777777" w:rsidR="009B6E79" w:rsidRPr="004B6C06" w:rsidRDefault="009B6E79" w:rsidP="001B7C08"/>
        </w:tc>
        <w:tc>
          <w:tcPr>
            <w:tcW w:w="367" w:type="pct"/>
          </w:tcPr>
          <w:p w14:paraId="03AE9959" w14:textId="77777777" w:rsidR="009B6E79" w:rsidRPr="004B6C06" w:rsidRDefault="009B6E79" w:rsidP="001B7C08"/>
        </w:tc>
      </w:tr>
      <w:tr w:rsidR="009B6E79" w:rsidRPr="004B6C06" w14:paraId="4030B7CB" w14:textId="77777777" w:rsidTr="00A34BE6">
        <w:trPr>
          <w:trHeight w:val="340"/>
        </w:trPr>
        <w:tc>
          <w:tcPr>
            <w:tcW w:w="726" w:type="pct"/>
          </w:tcPr>
          <w:p w14:paraId="403F1CAF" w14:textId="77777777" w:rsidR="009B6E79" w:rsidRPr="004B6C06" w:rsidRDefault="009B6E79" w:rsidP="001B7C08">
            <w:r w:rsidRPr="004B6C06">
              <w:t>Chelidae</w:t>
            </w:r>
          </w:p>
        </w:tc>
        <w:tc>
          <w:tcPr>
            <w:tcW w:w="736" w:type="pct"/>
          </w:tcPr>
          <w:p w14:paraId="503C4F4C" w14:textId="08232A7D" w:rsidR="009B6E79" w:rsidRPr="004B6C06" w:rsidRDefault="009B6E79" w:rsidP="001B7C08">
            <w:r w:rsidRPr="004B6C06">
              <w:t>t</w:t>
            </w:r>
            <w:r w:rsidR="009911BC" w:rsidRPr="004B6C06">
              <w:t>urtle</w:t>
            </w:r>
          </w:p>
        </w:tc>
        <w:tc>
          <w:tcPr>
            <w:tcW w:w="502" w:type="pct"/>
          </w:tcPr>
          <w:p w14:paraId="34BAFBC3" w14:textId="77777777" w:rsidR="009B6E79" w:rsidRPr="004B6C06" w:rsidRDefault="009B6E79" w:rsidP="001B7C08">
            <w:pPr>
              <w:jc w:val="center"/>
            </w:pPr>
            <w:r w:rsidRPr="004B6C06">
              <w:t>3</w:t>
            </w:r>
          </w:p>
        </w:tc>
        <w:tc>
          <w:tcPr>
            <w:tcW w:w="1270" w:type="pct"/>
          </w:tcPr>
          <w:p w14:paraId="045949ED" w14:textId="77777777" w:rsidR="009B6E79" w:rsidRPr="004B6C06" w:rsidRDefault="009B6E79" w:rsidP="004162AC">
            <w:pPr>
              <w:pStyle w:val="ListParagraph"/>
              <w:numPr>
                <w:ilvl w:val="0"/>
                <w:numId w:val="76"/>
              </w:numPr>
              <w:ind w:left="190" w:hanging="190"/>
              <w:rPr>
                <w:i/>
                <w:iCs/>
              </w:rPr>
            </w:pPr>
            <w:r w:rsidRPr="004B6C06">
              <w:rPr>
                <w:i/>
                <w:iCs/>
              </w:rPr>
              <w:t>Chelodina expansa</w:t>
            </w:r>
          </w:p>
          <w:p w14:paraId="7075B3A8" w14:textId="77777777" w:rsidR="009B6E79" w:rsidRPr="004B6C06" w:rsidRDefault="009B6E79" w:rsidP="004162AC">
            <w:pPr>
              <w:pStyle w:val="ListParagraph"/>
              <w:numPr>
                <w:ilvl w:val="0"/>
                <w:numId w:val="76"/>
              </w:numPr>
              <w:ind w:left="190" w:hanging="190"/>
              <w:rPr>
                <w:i/>
                <w:iCs/>
              </w:rPr>
            </w:pPr>
            <w:r w:rsidRPr="004B6C06">
              <w:rPr>
                <w:i/>
                <w:iCs/>
              </w:rPr>
              <w:t>Chelodina longicollis</w:t>
            </w:r>
          </w:p>
          <w:p w14:paraId="6E7A1476" w14:textId="77777777" w:rsidR="009B6E79" w:rsidRPr="004B6C06" w:rsidRDefault="009B6E79" w:rsidP="004162AC">
            <w:pPr>
              <w:pStyle w:val="ListParagraph"/>
              <w:numPr>
                <w:ilvl w:val="0"/>
                <w:numId w:val="76"/>
              </w:numPr>
              <w:ind w:left="190" w:hanging="190"/>
              <w:rPr>
                <w:i/>
                <w:iCs/>
              </w:rPr>
            </w:pPr>
            <w:r w:rsidRPr="004B6C06">
              <w:rPr>
                <w:i/>
                <w:iCs/>
              </w:rPr>
              <w:t>Emydura macquarii</w:t>
            </w:r>
          </w:p>
        </w:tc>
        <w:tc>
          <w:tcPr>
            <w:tcW w:w="1398" w:type="pct"/>
          </w:tcPr>
          <w:p w14:paraId="5C6FEA60" w14:textId="389D4FEB" w:rsidR="009B6E79" w:rsidRPr="004B6C06" w:rsidRDefault="009B6E79" w:rsidP="004162AC">
            <w:pPr>
              <w:pStyle w:val="ListParagraph"/>
              <w:numPr>
                <w:ilvl w:val="0"/>
                <w:numId w:val="76"/>
              </w:numPr>
              <w:ind w:left="190" w:hanging="190"/>
            </w:pPr>
            <w:r w:rsidRPr="004B6C06">
              <w:t>broad-shelled t</w:t>
            </w:r>
            <w:r w:rsidR="009911BC" w:rsidRPr="004B6C06">
              <w:t>urtle</w:t>
            </w:r>
          </w:p>
          <w:p w14:paraId="4C7F5A4A" w14:textId="0DD174CD" w:rsidR="009B6E79" w:rsidRPr="004B6C06" w:rsidRDefault="009B6E79" w:rsidP="004162AC">
            <w:pPr>
              <w:pStyle w:val="ListParagraph"/>
              <w:numPr>
                <w:ilvl w:val="0"/>
                <w:numId w:val="76"/>
              </w:numPr>
              <w:ind w:left="190" w:hanging="190"/>
            </w:pPr>
            <w:r w:rsidRPr="004B6C06">
              <w:t xml:space="preserve">long-necked </w:t>
            </w:r>
            <w:r w:rsidR="002A0718" w:rsidRPr="004B6C06">
              <w:t>turtle</w:t>
            </w:r>
          </w:p>
          <w:p w14:paraId="4CB7948F" w14:textId="70B6AEDF" w:rsidR="009B6E79" w:rsidRPr="004B6C06" w:rsidRDefault="009B6E79" w:rsidP="004162AC">
            <w:pPr>
              <w:pStyle w:val="ListParagraph"/>
              <w:numPr>
                <w:ilvl w:val="0"/>
                <w:numId w:val="76"/>
              </w:numPr>
              <w:ind w:left="190" w:hanging="190"/>
            </w:pPr>
            <w:r w:rsidRPr="004B6C06">
              <w:t>Murray River t</w:t>
            </w:r>
            <w:r w:rsidR="002A0718" w:rsidRPr="004B6C06">
              <w:t>urtle</w:t>
            </w:r>
            <w:r w:rsidR="00F848DC" w:rsidRPr="004B6C06">
              <w:t xml:space="preserve"> (</w:t>
            </w:r>
            <w:r w:rsidR="00627860" w:rsidRPr="004B6C06">
              <w:t xml:space="preserve">or, </w:t>
            </w:r>
            <w:r w:rsidR="00F848DC" w:rsidRPr="004B6C06">
              <w:t>short-necked turtle)</w:t>
            </w:r>
          </w:p>
        </w:tc>
        <w:tc>
          <w:tcPr>
            <w:tcW w:w="367" w:type="pct"/>
          </w:tcPr>
          <w:p w14:paraId="39CB1D52" w14:textId="77777777" w:rsidR="009B6E79" w:rsidRPr="004B6C06" w:rsidRDefault="009B6E79" w:rsidP="00B44CB8">
            <w:r w:rsidRPr="004B6C06">
              <w:t>V</w:t>
            </w:r>
          </w:p>
        </w:tc>
      </w:tr>
      <w:tr w:rsidR="009B6E79" w:rsidRPr="004B6C06" w14:paraId="5295711A" w14:textId="77777777" w:rsidTr="00A34BE6">
        <w:trPr>
          <w:trHeight w:val="340"/>
        </w:trPr>
        <w:tc>
          <w:tcPr>
            <w:tcW w:w="726" w:type="pct"/>
          </w:tcPr>
          <w:p w14:paraId="2807BAE4" w14:textId="77777777" w:rsidR="009B6E79" w:rsidRPr="004B6C06" w:rsidRDefault="009B6E79" w:rsidP="001B7C08">
            <w:r w:rsidRPr="004B6C06">
              <w:t>Elapidae</w:t>
            </w:r>
          </w:p>
        </w:tc>
        <w:tc>
          <w:tcPr>
            <w:tcW w:w="736" w:type="pct"/>
          </w:tcPr>
          <w:p w14:paraId="4B9995FE" w14:textId="77777777" w:rsidR="009B6E79" w:rsidRPr="004B6C06" w:rsidRDefault="009B6E79" w:rsidP="001B7C08">
            <w:r w:rsidRPr="004B6C06">
              <w:t>snake</w:t>
            </w:r>
          </w:p>
        </w:tc>
        <w:tc>
          <w:tcPr>
            <w:tcW w:w="502" w:type="pct"/>
          </w:tcPr>
          <w:p w14:paraId="5E1C10F5" w14:textId="77777777" w:rsidR="009B6E79" w:rsidRPr="004B6C06" w:rsidRDefault="009B6E79" w:rsidP="001B7C08">
            <w:pPr>
              <w:jc w:val="center"/>
            </w:pPr>
            <w:r w:rsidRPr="004B6C06">
              <w:t xml:space="preserve">4 </w:t>
            </w:r>
          </w:p>
        </w:tc>
        <w:tc>
          <w:tcPr>
            <w:tcW w:w="1270" w:type="pct"/>
          </w:tcPr>
          <w:p w14:paraId="75C35F1E" w14:textId="77777777" w:rsidR="009B6E79" w:rsidRPr="004B6C06" w:rsidRDefault="009B6E79" w:rsidP="004162AC">
            <w:pPr>
              <w:pStyle w:val="ListParagraph"/>
              <w:numPr>
                <w:ilvl w:val="0"/>
                <w:numId w:val="76"/>
              </w:numPr>
              <w:ind w:left="190" w:hanging="190"/>
              <w:rPr>
                <w:i/>
                <w:iCs/>
              </w:rPr>
            </w:pPr>
            <w:r w:rsidRPr="004B6C06">
              <w:rPr>
                <w:i/>
                <w:iCs/>
              </w:rPr>
              <w:t>Notechis scutatus</w:t>
            </w:r>
          </w:p>
          <w:p w14:paraId="4917580F" w14:textId="6429F116" w:rsidR="00E0717C" w:rsidRPr="004B6C06" w:rsidRDefault="00EB57DD" w:rsidP="004162AC">
            <w:pPr>
              <w:pStyle w:val="ListParagraph"/>
              <w:numPr>
                <w:ilvl w:val="0"/>
                <w:numId w:val="76"/>
              </w:numPr>
              <w:ind w:left="190" w:hanging="190"/>
              <w:rPr>
                <w:i/>
                <w:iCs/>
              </w:rPr>
            </w:pPr>
            <w:r w:rsidRPr="004B6C06">
              <w:rPr>
                <w:i/>
                <w:iCs/>
              </w:rPr>
              <w:t>Pseudechis prophyriacus</w:t>
            </w:r>
          </w:p>
          <w:p w14:paraId="1ED78E80" w14:textId="77777777" w:rsidR="009B6E79" w:rsidRPr="004B6C06" w:rsidRDefault="009B6E79" w:rsidP="004162AC">
            <w:pPr>
              <w:pStyle w:val="ListParagraph"/>
              <w:numPr>
                <w:ilvl w:val="0"/>
                <w:numId w:val="76"/>
              </w:numPr>
              <w:ind w:left="190" w:hanging="190"/>
              <w:rPr>
                <w:i/>
                <w:iCs/>
              </w:rPr>
            </w:pPr>
            <w:r w:rsidRPr="004B6C06">
              <w:rPr>
                <w:i/>
                <w:iCs/>
              </w:rPr>
              <w:t>Morelia spiota</w:t>
            </w:r>
          </w:p>
          <w:p w14:paraId="6324F31D" w14:textId="0F0D63B3" w:rsidR="00BC4AC5" w:rsidRPr="004B6C06" w:rsidRDefault="000D77EB" w:rsidP="004162AC">
            <w:pPr>
              <w:pStyle w:val="ListParagraph"/>
              <w:numPr>
                <w:ilvl w:val="0"/>
                <w:numId w:val="76"/>
              </w:numPr>
              <w:ind w:left="190" w:hanging="190"/>
              <w:rPr>
                <w:i/>
                <w:iCs/>
              </w:rPr>
            </w:pPr>
            <w:r w:rsidRPr="004B6C06">
              <w:rPr>
                <w:i/>
                <w:iCs/>
              </w:rPr>
              <w:t>Denesonia devisi</w:t>
            </w:r>
          </w:p>
        </w:tc>
        <w:tc>
          <w:tcPr>
            <w:tcW w:w="1398" w:type="pct"/>
          </w:tcPr>
          <w:p w14:paraId="1B8F8B0F" w14:textId="77777777" w:rsidR="009B6E79" w:rsidRPr="004B6C06" w:rsidRDefault="009B6E79" w:rsidP="004162AC">
            <w:pPr>
              <w:pStyle w:val="ListParagraph"/>
              <w:numPr>
                <w:ilvl w:val="0"/>
                <w:numId w:val="76"/>
              </w:numPr>
              <w:ind w:left="190" w:hanging="190"/>
            </w:pPr>
            <w:r w:rsidRPr="004B6C06">
              <w:t>eastern tiger snake</w:t>
            </w:r>
          </w:p>
          <w:p w14:paraId="72403074" w14:textId="098F1ADA" w:rsidR="00E0717C" w:rsidRPr="004B6C06" w:rsidRDefault="00E0717C" w:rsidP="004162AC">
            <w:pPr>
              <w:pStyle w:val="ListParagraph"/>
              <w:numPr>
                <w:ilvl w:val="0"/>
                <w:numId w:val="76"/>
              </w:numPr>
              <w:ind w:left="190" w:hanging="190"/>
            </w:pPr>
            <w:r w:rsidRPr="004B6C06">
              <w:t>red-bellied black snake</w:t>
            </w:r>
          </w:p>
          <w:p w14:paraId="7FA482ED" w14:textId="77777777" w:rsidR="009B6E79" w:rsidRPr="004B6C06" w:rsidRDefault="009B6E79" w:rsidP="004162AC">
            <w:pPr>
              <w:pStyle w:val="ListParagraph"/>
              <w:numPr>
                <w:ilvl w:val="0"/>
                <w:numId w:val="76"/>
              </w:numPr>
              <w:ind w:left="190" w:hanging="190"/>
            </w:pPr>
            <w:r w:rsidRPr="004B6C06">
              <w:t>carpet python</w:t>
            </w:r>
          </w:p>
          <w:p w14:paraId="6CD68B06" w14:textId="1BAB2269" w:rsidR="00BC4AC5" w:rsidRPr="004B6C06" w:rsidRDefault="00BC4AC5" w:rsidP="004162AC">
            <w:pPr>
              <w:pStyle w:val="ListParagraph"/>
              <w:numPr>
                <w:ilvl w:val="0"/>
                <w:numId w:val="76"/>
              </w:numPr>
              <w:ind w:left="190" w:hanging="190"/>
            </w:pPr>
            <w:r w:rsidRPr="004B6C06">
              <w:t>De Vis’ banded snake</w:t>
            </w:r>
          </w:p>
        </w:tc>
        <w:tc>
          <w:tcPr>
            <w:tcW w:w="367" w:type="pct"/>
          </w:tcPr>
          <w:p w14:paraId="7DA05771" w14:textId="77777777" w:rsidR="009B6E79" w:rsidRPr="004B6C06" w:rsidRDefault="009B6E79" w:rsidP="001B7C08">
            <w:pPr>
              <w:pStyle w:val="ListParagraph"/>
              <w:ind w:left="190"/>
            </w:pPr>
          </w:p>
          <w:p w14:paraId="0B478A68" w14:textId="77777777" w:rsidR="009B6E79" w:rsidRPr="004B6C06" w:rsidRDefault="009B6E79" w:rsidP="00B44CB8">
            <w:r w:rsidRPr="004B6C06">
              <w:t xml:space="preserve">R    </w:t>
            </w:r>
          </w:p>
        </w:tc>
      </w:tr>
      <w:tr w:rsidR="009B6E79" w:rsidRPr="004B6C06" w14:paraId="4E1207D2" w14:textId="77777777" w:rsidTr="00A34BE6">
        <w:trPr>
          <w:trHeight w:val="340"/>
        </w:trPr>
        <w:tc>
          <w:tcPr>
            <w:tcW w:w="726" w:type="pct"/>
          </w:tcPr>
          <w:p w14:paraId="4A20CA90" w14:textId="77777777" w:rsidR="009B6E79" w:rsidRPr="004B6C06" w:rsidRDefault="009B6E79" w:rsidP="001B7C08">
            <w:r w:rsidRPr="004B6C06">
              <w:t>Gekkonidae</w:t>
            </w:r>
          </w:p>
        </w:tc>
        <w:tc>
          <w:tcPr>
            <w:tcW w:w="736" w:type="pct"/>
          </w:tcPr>
          <w:p w14:paraId="6707C12A" w14:textId="77777777" w:rsidR="009B6E79" w:rsidRPr="004B6C06" w:rsidRDefault="009B6E79" w:rsidP="001B7C08">
            <w:r w:rsidRPr="004B6C06">
              <w:t>gecko</w:t>
            </w:r>
          </w:p>
        </w:tc>
        <w:tc>
          <w:tcPr>
            <w:tcW w:w="502" w:type="pct"/>
          </w:tcPr>
          <w:p w14:paraId="2F8A53B5" w14:textId="77777777" w:rsidR="009B6E79" w:rsidRPr="004B6C06" w:rsidRDefault="009B6E79" w:rsidP="001B7C08">
            <w:pPr>
              <w:jc w:val="center"/>
            </w:pPr>
            <w:r w:rsidRPr="004B6C06">
              <w:t>8</w:t>
            </w:r>
          </w:p>
        </w:tc>
        <w:tc>
          <w:tcPr>
            <w:tcW w:w="1270" w:type="pct"/>
          </w:tcPr>
          <w:p w14:paraId="68BA0C5C" w14:textId="77777777" w:rsidR="009B6E79" w:rsidRPr="004B6C06" w:rsidRDefault="009B6E79" w:rsidP="001B7C08">
            <w:pPr>
              <w:pStyle w:val="ListParagraph"/>
              <w:ind w:left="190"/>
              <w:rPr>
                <w:i/>
                <w:iCs/>
              </w:rPr>
            </w:pPr>
          </w:p>
        </w:tc>
        <w:tc>
          <w:tcPr>
            <w:tcW w:w="1398" w:type="pct"/>
          </w:tcPr>
          <w:p w14:paraId="44791BCF" w14:textId="77777777" w:rsidR="009B6E79" w:rsidRPr="004B6C06" w:rsidRDefault="009B6E79" w:rsidP="001B7C08">
            <w:pPr>
              <w:pStyle w:val="ListParagraph"/>
              <w:ind w:left="190"/>
            </w:pPr>
          </w:p>
        </w:tc>
        <w:tc>
          <w:tcPr>
            <w:tcW w:w="367" w:type="pct"/>
          </w:tcPr>
          <w:p w14:paraId="752CADBC" w14:textId="77777777" w:rsidR="009B6E79" w:rsidRPr="004B6C06" w:rsidRDefault="009B6E79" w:rsidP="001B7C08">
            <w:pPr>
              <w:pStyle w:val="ListParagraph"/>
              <w:ind w:left="190"/>
            </w:pPr>
          </w:p>
        </w:tc>
      </w:tr>
      <w:tr w:rsidR="009B6E79" w:rsidRPr="004B6C06" w14:paraId="4193664A" w14:textId="77777777" w:rsidTr="00A34BE6">
        <w:trPr>
          <w:trHeight w:val="340"/>
        </w:trPr>
        <w:tc>
          <w:tcPr>
            <w:tcW w:w="726" w:type="pct"/>
          </w:tcPr>
          <w:p w14:paraId="24C2ED51" w14:textId="77777777" w:rsidR="009B6E79" w:rsidRPr="004B6C06" w:rsidRDefault="009B6E79" w:rsidP="001B7C08">
            <w:r w:rsidRPr="004B6C06">
              <w:t>Scincidae</w:t>
            </w:r>
          </w:p>
        </w:tc>
        <w:tc>
          <w:tcPr>
            <w:tcW w:w="736" w:type="pct"/>
          </w:tcPr>
          <w:p w14:paraId="6516F0B9" w14:textId="77777777" w:rsidR="009B6E79" w:rsidRPr="004B6C06" w:rsidRDefault="009B6E79" w:rsidP="001B7C08">
            <w:r w:rsidRPr="004B6C06">
              <w:t xml:space="preserve">skink / lizard </w:t>
            </w:r>
          </w:p>
        </w:tc>
        <w:tc>
          <w:tcPr>
            <w:tcW w:w="502" w:type="pct"/>
          </w:tcPr>
          <w:p w14:paraId="3C1DE12B" w14:textId="04388179" w:rsidR="009B6E79" w:rsidRPr="004B6C06" w:rsidRDefault="009B6E79" w:rsidP="001B7C08">
            <w:pPr>
              <w:jc w:val="center"/>
            </w:pPr>
            <w:r w:rsidRPr="004B6C06">
              <w:t>1</w:t>
            </w:r>
            <w:r w:rsidR="00F43C38" w:rsidRPr="004B6C06">
              <w:t>6</w:t>
            </w:r>
          </w:p>
        </w:tc>
        <w:tc>
          <w:tcPr>
            <w:tcW w:w="1270" w:type="pct"/>
          </w:tcPr>
          <w:p w14:paraId="6154010A" w14:textId="77777777" w:rsidR="009B6E79" w:rsidRPr="004B6C06" w:rsidRDefault="009B6E79" w:rsidP="004162AC">
            <w:pPr>
              <w:pStyle w:val="ListParagraph"/>
              <w:numPr>
                <w:ilvl w:val="0"/>
                <w:numId w:val="76"/>
              </w:numPr>
              <w:ind w:left="190" w:hanging="190"/>
            </w:pPr>
            <w:r w:rsidRPr="004B6C06">
              <w:rPr>
                <w:i/>
                <w:iCs/>
              </w:rPr>
              <w:t>Eulamprus quoyii</w:t>
            </w:r>
          </w:p>
          <w:p w14:paraId="6EB8D557" w14:textId="77777777" w:rsidR="009B6E79" w:rsidRPr="004B6C06" w:rsidRDefault="009B6E79" w:rsidP="004162AC">
            <w:pPr>
              <w:pStyle w:val="ListParagraph"/>
              <w:numPr>
                <w:ilvl w:val="0"/>
                <w:numId w:val="76"/>
              </w:numPr>
              <w:ind w:left="190" w:hanging="190"/>
              <w:rPr>
                <w:i/>
                <w:iCs/>
              </w:rPr>
            </w:pPr>
            <w:r w:rsidRPr="004B6C06">
              <w:rPr>
                <w:i/>
                <w:iCs/>
              </w:rPr>
              <w:t>Egernia striolata</w:t>
            </w:r>
          </w:p>
        </w:tc>
        <w:tc>
          <w:tcPr>
            <w:tcW w:w="1398" w:type="pct"/>
          </w:tcPr>
          <w:p w14:paraId="43DD5C59" w14:textId="77777777" w:rsidR="009B6E79" w:rsidRPr="004B6C06" w:rsidRDefault="009B6E79" w:rsidP="004162AC">
            <w:pPr>
              <w:pStyle w:val="ListParagraph"/>
              <w:numPr>
                <w:ilvl w:val="0"/>
                <w:numId w:val="76"/>
              </w:numPr>
              <w:ind w:left="190" w:hanging="190"/>
            </w:pPr>
            <w:r w:rsidRPr="004B6C06">
              <w:t>eastern water skink</w:t>
            </w:r>
          </w:p>
          <w:p w14:paraId="1E2C91FC" w14:textId="77777777" w:rsidR="009B6E79" w:rsidRPr="004B6C06" w:rsidRDefault="009B6E79" w:rsidP="004162AC">
            <w:pPr>
              <w:pStyle w:val="ListParagraph"/>
              <w:numPr>
                <w:ilvl w:val="0"/>
                <w:numId w:val="76"/>
              </w:numPr>
              <w:ind w:left="190" w:hanging="190"/>
            </w:pPr>
            <w:r w:rsidRPr="004B6C06">
              <w:t>eastern tree skink</w:t>
            </w:r>
          </w:p>
        </w:tc>
        <w:tc>
          <w:tcPr>
            <w:tcW w:w="367" w:type="pct"/>
          </w:tcPr>
          <w:p w14:paraId="2EE9273F" w14:textId="77777777" w:rsidR="009B6E79" w:rsidRPr="004B6C06" w:rsidRDefault="009B6E79" w:rsidP="001B7C08">
            <w:pPr>
              <w:pStyle w:val="ListParagraph"/>
              <w:ind w:left="190"/>
            </w:pPr>
          </w:p>
        </w:tc>
      </w:tr>
      <w:tr w:rsidR="009B6E79" w:rsidRPr="004B6C06" w14:paraId="719F1FCC" w14:textId="77777777" w:rsidTr="00A34BE6">
        <w:trPr>
          <w:trHeight w:val="340"/>
        </w:trPr>
        <w:tc>
          <w:tcPr>
            <w:tcW w:w="726" w:type="pct"/>
          </w:tcPr>
          <w:p w14:paraId="4EC80CE2" w14:textId="77777777" w:rsidR="009B6E79" w:rsidRPr="004B6C06" w:rsidRDefault="009B6E79" w:rsidP="001B7C08">
            <w:r w:rsidRPr="004B6C06">
              <w:t>Typhlopidae</w:t>
            </w:r>
          </w:p>
        </w:tc>
        <w:tc>
          <w:tcPr>
            <w:tcW w:w="736" w:type="pct"/>
          </w:tcPr>
          <w:p w14:paraId="6BA3186F" w14:textId="77777777" w:rsidR="009B6E79" w:rsidRPr="004B6C06" w:rsidRDefault="009B6E79" w:rsidP="001B7C08">
            <w:r w:rsidRPr="004B6C06">
              <w:t>blind snake</w:t>
            </w:r>
          </w:p>
        </w:tc>
        <w:tc>
          <w:tcPr>
            <w:tcW w:w="502" w:type="pct"/>
          </w:tcPr>
          <w:p w14:paraId="6AED4E76" w14:textId="77777777" w:rsidR="009B6E79" w:rsidRPr="004B6C06" w:rsidRDefault="009B6E79" w:rsidP="001B7C08">
            <w:pPr>
              <w:jc w:val="center"/>
            </w:pPr>
            <w:r w:rsidRPr="004B6C06">
              <w:t>2</w:t>
            </w:r>
          </w:p>
        </w:tc>
        <w:tc>
          <w:tcPr>
            <w:tcW w:w="1270" w:type="pct"/>
          </w:tcPr>
          <w:p w14:paraId="2CE7F3B0" w14:textId="23378F32" w:rsidR="00DA1039" w:rsidRPr="004B6C06" w:rsidRDefault="00DA1039" w:rsidP="00CF4E21"/>
        </w:tc>
        <w:tc>
          <w:tcPr>
            <w:tcW w:w="1398" w:type="pct"/>
          </w:tcPr>
          <w:p w14:paraId="597C734A" w14:textId="77777777" w:rsidR="009B6E79" w:rsidRPr="004B6C06" w:rsidRDefault="009B6E79" w:rsidP="001B7C08"/>
        </w:tc>
        <w:tc>
          <w:tcPr>
            <w:tcW w:w="367" w:type="pct"/>
          </w:tcPr>
          <w:p w14:paraId="165FBB3F" w14:textId="77777777" w:rsidR="009B6E79" w:rsidRPr="004B6C06" w:rsidRDefault="009B6E79" w:rsidP="001B7C08"/>
        </w:tc>
      </w:tr>
      <w:tr w:rsidR="009B6E79" w:rsidRPr="004B6C06" w14:paraId="7B3C9E4B" w14:textId="77777777" w:rsidTr="00A34BE6">
        <w:trPr>
          <w:trHeight w:hRule="exact" w:val="340"/>
        </w:trPr>
        <w:tc>
          <w:tcPr>
            <w:tcW w:w="726" w:type="pct"/>
          </w:tcPr>
          <w:p w14:paraId="0093D2FE" w14:textId="77777777" w:rsidR="009B6E79" w:rsidRPr="004B6C06" w:rsidRDefault="009B6E79" w:rsidP="001B7C08">
            <w:r w:rsidRPr="004B6C06">
              <w:t>Varanidae</w:t>
            </w:r>
          </w:p>
        </w:tc>
        <w:tc>
          <w:tcPr>
            <w:tcW w:w="736" w:type="pct"/>
          </w:tcPr>
          <w:p w14:paraId="421213BE" w14:textId="77777777" w:rsidR="009B6E79" w:rsidRPr="004B6C06" w:rsidRDefault="009B6E79" w:rsidP="001B7C08">
            <w:r w:rsidRPr="004B6C06">
              <w:t>goanna</w:t>
            </w:r>
          </w:p>
        </w:tc>
        <w:tc>
          <w:tcPr>
            <w:tcW w:w="502" w:type="pct"/>
          </w:tcPr>
          <w:p w14:paraId="4A8C4614" w14:textId="77777777" w:rsidR="009B6E79" w:rsidRPr="004B6C06" w:rsidRDefault="009B6E79" w:rsidP="001B7C08">
            <w:pPr>
              <w:jc w:val="center"/>
            </w:pPr>
            <w:r w:rsidRPr="004B6C06">
              <w:t>2</w:t>
            </w:r>
          </w:p>
        </w:tc>
        <w:tc>
          <w:tcPr>
            <w:tcW w:w="1270" w:type="pct"/>
          </w:tcPr>
          <w:p w14:paraId="02693B58" w14:textId="77777777" w:rsidR="009B6E79" w:rsidRPr="004B6C06" w:rsidRDefault="009B6E79" w:rsidP="004162AC">
            <w:pPr>
              <w:pStyle w:val="ListParagraph"/>
              <w:numPr>
                <w:ilvl w:val="0"/>
                <w:numId w:val="76"/>
              </w:numPr>
              <w:ind w:left="190" w:hanging="190"/>
              <w:rPr>
                <w:i/>
                <w:iCs/>
              </w:rPr>
            </w:pPr>
            <w:r w:rsidRPr="004B6C06">
              <w:rPr>
                <w:i/>
                <w:iCs/>
              </w:rPr>
              <w:t>Varanus varius</w:t>
            </w:r>
          </w:p>
        </w:tc>
        <w:tc>
          <w:tcPr>
            <w:tcW w:w="1398" w:type="pct"/>
          </w:tcPr>
          <w:p w14:paraId="1A165CCA" w14:textId="77777777" w:rsidR="009B6E79" w:rsidRPr="004B6C06" w:rsidRDefault="009B6E79" w:rsidP="004162AC">
            <w:pPr>
              <w:pStyle w:val="ListParagraph"/>
              <w:numPr>
                <w:ilvl w:val="0"/>
                <w:numId w:val="76"/>
              </w:numPr>
              <w:ind w:left="190" w:hanging="190"/>
            </w:pPr>
            <w:r w:rsidRPr="004B6C06">
              <w:t>tree goanna</w:t>
            </w:r>
          </w:p>
        </w:tc>
        <w:tc>
          <w:tcPr>
            <w:tcW w:w="367" w:type="pct"/>
          </w:tcPr>
          <w:p w14:paraId="66F25F3D" w14:textId="77777777" w:rsidR="009B6E79" w:rsidRPr="004B6C06" w:rsidRDefault="009B6E79" w:rsidP="00B44CB8">
            <w:r w:rsidRPr="004B6C06">
              <w:t>R</w:t>
            </w:r>
          </w:p>
        </w:tc>
      </w:tr>
    </w:tbl>
    <w:p w14:paraId="0A8503A5" w14:textId="77777777" w:rsidR="00162626" w:rsidRDefault="00162626" w:rsidP="00584BF0">
      <w:bookmarkStart w:id="55" w:name="_Toc232747026"/>
      <w:bookmarkStart w:id="56" w:name="_Toc363639651"/>
    </w:p>
    <w:p w14:paraId="5000AC90" w14:textId="6CFEEADD" w:rsidR="00D83CBF" w:rsidRPr="00542B15" w:rsidRDefault="00D83CBF" w:rsidP="00AD4454">
      <w:pPr>
        <w:pStyle w:val="Heading6"/>
      </w:pPr>
      <w:r w:rsidRPr="00542B15">
        <w:t>Birds</w:t>
      </w:r>
      <w:bookmarkEnd w:id="55"/>
      <w:bookmarkEnd w:id="56"/>
    </w:p>
    <w:p w14:paraId="7093A80D" w14:textId="0BD2DFE0" w:rsidR="00A43FB5" w:rsidRDefault="00341CE5" w:rsidP="00A43FB5">
      <w:pPr>
        <w:pStyle w:val="twentypointnormal"/>
        <w:spacing w:after="200"/>
        <w:ind w:left="0"/>
        <w:rPr>
          <w:rFonts w:ascii="Cambria" w:hAnsi="Cambria"/>
          <w:sz w:val="22"/>
          <w:szCs w:val="22"/>
        </w:rPr>
      </w:pPr>
      <w:r>
        <w:rPr>
          <w:rFonts w:ascii="Cambria" w:hAnsi="Cambria"/>
          <w:sz w:val="22"/>
          <w:szCs w:val="22"/>
        </w:rPr>
        <w:t xml:space="preserve">The River Murray runs through semi-arid South Australia and ends in a more temperate region adjacent to the Mount Lofty Ranges, and this provides for a diverse range of bird species </w:t>
      </w:r>
      <w:r w:rsidR="00D0364B">
        <w:rPr>
          <w:rFonts w:ascii="Cambria" w:hAnsi="Cambria"/>
          <w:sz w:val="22"/>
          <w:szCs w:val="22"/>
        </w:rPr>
        <w:t xml:space="preserve">with areas of relatively high species diversity </w:t>
      </w:r>
      <w:r>
        <w:rPr>
          <w:rFonts w:ascii="Cambria" w:hAnsi="Cambria"/>
          <w:sz w:val="22"/>
          <w:szCs w:val="22"/>
        </w:rPr>
        <w:t>(Stewart et al. 2010</w:t>
      </w:r>
      <w:r w:rsidR="002704A8">
        <w:rPr>
          <w:rFonts w:ascii="Cambria" w:hAnsi="Cambria"/>
          <w:sz w:val="22"/>
          <w:szCs w:val="22"/>
        </w:rPr>
        <w:t xml:space="preserve">; </w:t>
      </w:r>
      <w:r w:rsidR="002704A8" w:rsidRPr="002704A8">
        <w:rPr>
          <w:rFonts w:ascii="Cambria" w:hAnsi="Cambria"/>
          <w:sz w:val="22"/>
          <w:szCs w:val="22"/>
          <w:u w:val="single"/>
        </w:rPr>
        <w:t>Table 1</w:t>
      </w:r>
      <w:r w:rsidR="0079146C">
        <w:rPr>
          <w:rFonts w:ascii="Cambria" w:hAnsi="Cambria"/>
          <w:sz w:val="22"/>
          <w:szCs w:val="22"/>
          <w:u w:val="single"/>
        </w:rPr>
        <w:t>2</w:t>
      </w:r>
      <w:r>
        <w:rPr>
          <w:rFonts w:ascii="Cambria" w:hAnsi="Cambria"/>
          <w:sz w:val="22"/>
          <w:szCs w:val="22"/>
        </w:rPr>
        <w:t xml:space="preserve">). </w:t>
      </w:r>
      <w:r w:rsidR="00A43FB5">
        <w:rPr>
          <w:rFonts w:ascii="Cambria" w:hAnsi="Cambria"/>
          <w:sz w:val="22"/>
          <w:szCs w:val="22"/>
        </w:rPr>
        <w:t>W</w:t>
      </w:r>
      <w:r w:rsidR="00A43FB5" w:rsidRPr="00D83CBF">
        <w:rPr>
          <w:rFonts w:ascii="Cambria" w:hAnsi="Cambria"/>
          <w:sz w:val="22"/>
          <w:szCs w:val="22"/>
        </w:rPr>
        <w:t>ithin the ecological community</w:t>
      </w:r>
      <w:r w:rsidR="00E74AC2">
        <w:rPr>
          <w:rFonts w:ascii="Cambria" w:hAnsi="Cambria"/>
          <w:sz w:val="22"/>
          <w:szCs w:val="22"/>
        </w:rPr>
        <w:t>,</w:t>
      </w:r>
      <w:r w:rsidR="00A43FB5" w:rsidRPr="00D83CBF">
        <w:rPr>
          <w:rFonts w:ascii="Cambria" w:hAnsi="Cambria"/>
          <w:sz w:val="22"/>
          <w:szCs w:val="22"/>
        </w:rPr>
        <w:t xml:space="preserve"> </w:t>
      </w:r>
      <w:r w:rsidR="0011155A">
        <w:rPr>
          <w:rFonts w:ascii="Cambria" w:hAnsi="Cambria"/>
          <w:sz w:val="22"/>
          <w:szCs w:val="22"/>
        </w:rPr>
        <w:t xml:space="preserve">these </w:t>
      </w:r>
      <w:r w:rsidR="00A43FB5" w:rsidRPr="00D83CBF">
        <w:rPr>
          <w:rFonts w:ascii="Cambria" w:hAnsi="Cambria"/>
          <w:sz w:val="22"/>
          <w:szCs w:val="22"/>
        </w:rPr>
        <w:t xml:space="preserve">diverse bird assemblages that include </w:t>
      </w:r>
      <w:r w:rsidR="00A43FB5">
        <w:rPr>
          <w:rFonts w:ascii="Cambria" w:hAnsi="Cambria"/>
          <w:sz w:val="22"/>
          <w:szCs w:val="22"/>
        </w:rPr>
        <w:t xml:space="preserve">both </w:t>
      </w:r>
      <w:r w:rsidR="00A43FB5" w:rsidRPr="00D83CBF">
        <w:rPr>
          <w:rFonts w:ascii="Cambria" w:hAnsi="Cambria"/>
          <w:sz w:val="22"/>
          <w:szCs w:val="22"/>
        </w:rPr>
        <w:t>terrestrial and waterbird species</w:t>
      </w:r>
      <w:r w:rsidR="00A43FB5">
        <w:rPr>
          <w:rFonts w:ascii="Cambria" w:hAnsi="Cambria"/>
          <w:sz w:val="22"/>
          <w:szCs w:val="22"/>
        </w:rPr>
        <w:t>,</w:t>
      </w:r>
      <w:r w:rsidR="00A43FB5" w:rsidRPr="00D83CBF">
        <w:rPr>
          <w:rFonts w:ascii="Cambria" w:hAnsi="Cambria"/>
          <w:sz w:val="22"/>
          <w:szCs w:val="22"/>
        </w:rPr>
        <w:t xml:space="preserve"> from </w:t>
      </w:r>
      <w:r w:rsidR="00A43FB5">
        <w:rPr>
          <w:rFonts w:ascii="Cambria" w:hAnsi="Cambria"/>
          <w:sz w:val="22"/>
          <w:szCs w:val="22"/>
        </w:rPr>
        <w:t xml:space="preserve">a range of </w:t>
      </w:r>
      <w:r w:rsidR="00A43FB5" w:rsidRPr="00D83CBF">
        <w:rPr>
          <w:rFonts w:ascii="Cambria" w:hAnsi="Cambria"/>
          <w:sz w:val="22"/>
          <w:szCs w:val="22"/>
        </w:rPr>
        <w:t>wetland, woodland, shrubland, grassland, and coastal habitats, some of which are endemic to the region (DEH, 2010</w:t>
      </w:r>
      <w:r w:rsidR="00A43FB5">
        <w:rPr>
          <w:rFonts w:ascii="Cambria" w:hAnsi="Cambria"/>
          <w:sz w:val="22"/>
          <w:szCs w:val="22"/>
        </w:rPr>
        <w:t xml:space="preserve">; </w:t>
      </w:r>
      <w:r w:rsidR="00A43FB5" w:rsidRPr="00D83CBF">
        <w:rPr>
          <w:rFonts w:ascii="Cambria" w:hAnsi="Cambria"/>
          <w:sz w:val="22"/>
          <w:szCs w:val="22"/>
        </w:rPr>
        <w:t>Paton et al. 2009a</w:t>
      </w:r>
      <w:r w:rsidR="00A43FB5">
        <w:rPr>
          <w:rFonts w:ascii="Cambria" w:hAnsi="Cambria"/>
          <w:sz w:val="22"/>
          <w:szCs w:val="22"/>
        </w:rPr>
        <w:t>, 2018; Wassens et al. 2021</w:t>
      </w:r>
      <w:r w:rsidR="00A43FB5" w:rsidRPr="00D83CBF">
        <w:rPr>
          <w:rFonts w:ascii="Cambria" w:hAnsi="Cambria"/>
          <w:sz w:val="22"/>
          <w:szCs w:val="22"/>
        </w:rPr>
        <w:t xml:space="preserve">). For example, birds such as parrots and raptors nest along the river corridor, typically in large river red gums, including rare species such as </w:t>
      </w:r>
      <w:r w:rsidR="00A43FB5" w:rsidRPr="00D83CBF">
        <w:rPr>
          <w:rFonts w:ascii="Cambria" w:hAnsi="Cambria"/>
          <w:i/>
          <w:iCs/>
          <w:sz w:val="22"/>
          <w:szCs w:val="22"/>
        </w:rPr>
        <w:t xml:space="preserve">Lophoictinia isura </w:t>
      </w:r>
      <w:r w:rsidR="00A43FB5" w:rsidRPr="00D83CBF">
        <w:rPr>
          <w:rFonts w:ascii="Cambria" w:hAnsi="Cambria"/>
          <w:iCs/>
          <w:sz w:val="22"/>
          <w:szCs w:val="22"/>
        </w:rPr>
        <w:t>(</w:t>
      </w:r>
      <w:r w:rsidR="00A43FB5" w:rsidRPr="00D83CBF">
        <w:rPr>
          <w:rFonts w:ascii="Cambria" w:hAnsi="Cambria"/>
          <w:sz w:val="22"/>
          <w:szCs w:val="22"/>
        </w:rPr>
        <w:t>square-tailed kite) and</w:t>
      </w:r>
      <w:r w:rsidR="00A43FB5">
        <w:rPr>
          <w:rFonts w:ascii="Cambria" w:hAnsi="Cambria"/>
          <w:sz w:val="22"/>
          <w:szCs w:val="22"/>
        </w:rPr>
        <w:t xml:space="preserve"> </w:t>
      </w:r>
      <w:r w:rsidR="00A43FB5" w:rsidRPr="00D83CBF">
        <w:rPr>
          <w:rFonts w:ascii="Cambria" w:hAnsi="Cambria"/>
          <w:i/>
          <w:iCs/>
          <w:sz w:val="22"/>
          <w:szCs w:val="22"/>
        </w:rPr>
        <w:t xml:space="preserve">Haliaeetus leucogaster </w:t>
      </w:r>
      <w:r w:rsidR="00A43FB5" w:rsidRPr="00D83CBF">
        <w:rPr>
          <w:rFonts w:ascii="Cambria" w:hAnsi="Cambria"/>
          <w:iCs/>
          <w:sz w:val="22"/>
          <w:szCs w:val="22"/>
        </w:rPr>
        <w:t>(</w:t>
      </w:r>
      <w:r w:rsidR="00A43FB5" w:rsidRPr="00D83CBF">
        <w:rPr>
          <w:rFonts w:ascii="Cambria" w:hAnsi="Cambria"/>
          <w:sz w:val="22"/>
          <w:szCs w:val="22"/>
        </w:rPr>
        <w:t xml:space="preserve">white-bellied sea-eagle), and the nationally threatened </w:t>
      </w:r>
      <w:r w:rsidR="00A43FB5" w:rsidRPr="00D83CBF">
        <w:rPr>
          <w:rFonts w:ascii="Cambria" w:hAnsi="Cambria"/>
          <w:i/>
          <w:iCs/>
          <w:sz w:val="22"/>
          <w:szCs w:val="22"/>
        </w:rPr>
        <w:t xml:space="preserve">Polytelis anthopeplus monarchoides </w:t>
      </w:r>
      <w:r w:rsidR="00A43FB5" w:rsidRPr="00D83CBF">
        <w:rPr>
          <w:rFonts w:ascii="Cambria" w:hAnsi="Cambria"/>
          <w:iCs/>
          <w:sz w:val="22"/>
          <w:szCs w:val="22"/>
        </w:rPr>
        <w:t>(eastern</w:t>
      </w:r>
      <w:r w:rsidR="00A43FB5" w:rsidRPr="00D83CBF">
        <w:rPr>
          <w:rFonts w:ascii="Cambria" w:hAnsi="Cambria"/>
          <w:i/>
          <w:iCs/>
          <w:sz w:val="22"/>
          <w:szCs w:val="22"/>
        </w:rPr>
        <w:t xml:space="preserve"> </w:t>
      </w:r>
      <w:r w:rsidR="00A43FB5" w:rsidRPr="00D83CBF">
        <w:rPr>
          <w:rFonts w:ascii="Cambria" w:hAnsi="Cambria"/>
          <w:sz w:val="22"/>
          <w:szCs w:val="22"/>
        </w:rPr>
        <w:t xml:space="preserve">regent parrot) (MDBC 2003a). </w:t>
      </w:r>
    </w:p>
    <w:p w14:paraId="02F4009C" w14:textId="08A23EB2" w:rsidR="00A640B3" w:rsidRPr="00C637BD" w:rsidRDefault="004B6C06" w:rsidP="00C637BD">
      <w:pPr>
        <w:spacing w:after="160" w:line="259" w:lineRule="auto"/>
        <w:rPr>
          <w:b/>
          <w:bCs/>
          <w:iCs/>
          <w:szCs w:val="18"/>
        </w:rPr>
      </w:pPr>
      <w:bookmarkStart w:id="57" w:name="_Toc232747180"/>
      <w:bookmarkStart w:id="58" w:name="_Toc232747256"/>
      <w:bookmarkStart w:id="59" w:name="_Toc232747499"/>
      <w:r>
        <w:br w:type="page"/>
      </w:r>
      <w:r w:rsidR="00B44CB8" w:rsidRPr="00C637BD">
        <w:rPr>
          <w:b/>
          <w:bCs/>
        </w:rPr>
        <w:lastRenderedPageBreak/>
        <w:t xml:space="preserve">Table </w:t>
      </w:r>
      <w:r w:rsidR="00B44CB8" w:rsidRPr="00C637BD">
        <w:rPr>
          <w:b/>
          <w:bCs/>
        </w:rPr>
        <w:fldChar w:fldCharType="begin"/>
      </w:r>
      <w:r w:rsidR="00B44CB8" w:rsidRPr="00C637BD">
        <w:rPr>
          <w:b/>
          <w:bCs/>
        </w:rPr>
        <w:instrText xml:space="preserve"> SEQ Table \* ARABIC </w:instrText>
      </w:r>
      <w:r w:rsidR="00B44CB8" w:rsidRPr="00C637BD">
        <w:rPr>
          <w:b/>
          <w:bCs/>
        </w:rPr>
        <w:fldChar w:fldCharType="separate"/>
      </w:r>
      <w:r w:rsidR="006D35C5">
        <w:rPr>
          <w:b/>
          <w:bCs/>
          <w:noProof/>
        </w:rPr>
        <w:t>12</w:t>
      </w:r>
      <w:r w:rsidR="00B44CB8" w:rsidRPr="00C637BD">
        <w:rPr>
          <w:b/>
          <w:bCs/>
        </w:rPr>
        <w:fldChar w:fldCharType="end"/>
      </w:r>
      <w:r w:rsidR="00A640B3" w:rsidRPr="00C637BD">
        <w:rPr>
          <w:b/>
          <w:bCs/>
        </w:rPr>
        <w:t>: Bird species diversity from surveys and reviews within the broader region of the ecological community.</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890"/>
        <w:gridCol w:w="2381"/>
      </w:tblGrid>
      <w:tr w:rsidR="00A640B3" w:rsidRPr="004B6C06" w14:paraId="24B05AEF" w14:textId="77777777" w:rsidTr="00B44CB8">
        <w:tc>
          <w:tcPr>
            <w:tcW w:w="1539" w:type="pct"/>
            <w:shd w:val="clear" w:color="auto" w:fill="DEEAF6" w:themeFill="accent1" w:themeFillTint="33"/>
          </w:tcPr>
          <w:p w14:paraId="057F3C41" w14:textId="77777777" w:rsidR="00A640B3" w:rsidRPr="004B6C06" w:rsidRDefault="00A640B3" w:rsidP="00CD5901">
            <w:pPr>
              <w:pStyle w:val="tableheadertext"/>
            </w:pPr>
            <w:r w:rsidRPr="004B6C06">
              <w:t>Survey region</w:t>
            </w:r>
          </w:p>
        </w:tc>
        <w:tc>
          <w:tcPr>
            <w:tcW w:w="2147" w:type="pct"/>
            <w:shd w:val="clear" w:color="auto" w:fill="DEEAF6" w:themeFill="accent1" w:themeFillTint="33"/>
          </w:tcPr>
          <w:p w14:paraId="7D373E82" w14:textId="77777777" w:rsidR="00A640B3" w:rsidRPr="004B6C06" w:rsidRDefault="00A640B3" w:rsidP="00CD5901">
            <w:pPr>
              <w:pStyle w:val="tableheadertext"/>
            </w:pPr>
            <w:r w:rsidRPr="004B6C06">
              <w:t>Number of Species</w:t>
            </w:r>
          </w:p>
        </w:tc>
        <w:tc>
          <w:tcPr>
            <w:tcW w:w="1314" w:type="pct"/>
            <w:shd w:val="clear" w:color="auto" w:fill="DEEAF6" w:themeFill="accent1" w:themeFillTint="33"/>
          </w:tcPr>
          <w:p w14:paraId="4B660A92" w14:textId="77777777" w:rsidR="00A640B3" w:rsidRPr="004B6C06" w:rsidRDefault="00A640B3" w:rsidP="00CD5901">
            <w:pPr>
              <w:pStyle w:val="tableheadertext"/>
            </w:pPr>
            <w:r w:rsidRPr="004B6C06">
              <w:t>Reference</w:t>
            </w:r>
          </w:p>
        </w:tc>
      </w:tr>
      <w:tr w:rsidR="00A640B3" w:rsidRPr="004B6C06" w14:paraId="01F8C9CD" w14:textId="77777777" w:rsidTr="00B44CB8">
        <w:tc>
          <w:tcPr>
            <w:tcW w:w="1539" w:type="pct"/>
          </w:tcPr>
          <w:p w14:paraId="1C9D38C6" w14:textId="77777777" w:rsidR="00A640B3" w:rsidRPr="004B6C06" w:rsidRDefault="00A640B3" w:rsidP="00B10C18">
            <w:pPr>
              <w:pStyle w:val="tabletext1"/>
              <w:spacing w:after="120"/>
              <w:ind w:left="0"/>
              <w:rPr>
                <w:szCs w:val="22"/>
              </w:rPr>
            </w:pPr>
            <w:r w:rsidRPr="004B6C06">
              <w:rPr>
                <w:szCs w:val="22"/>
              </w:rPr>
              <w:t>Murray-Darling Basin</w:t>
            </w:r>
          </w:p>
        </w:tc>
        <w:tc>
          <w:tcPr>
            <w:tcW w:w="2147" w:type="pct"/>
          </w:tcPr>
          <w:p w14:paraId="51104376" w14:textId="0BF49F40" w:rsidR="00A640B3" w:rsidRPr="004B6C06" w:rsidRDefault="00411BF2" w:rsidP="00B10C18">
            <w:pPr>
              <w:pStyle w:val="tabletext1"/>
              <w:numPr>
                <w:ilvl w:val="0"/>
                <w:numId w:val="20"/>
              </w:numPr>
              <w:spacing w:after="120"/>
              <w:rPr>
                <w:szCs w:val="22"/>
              </w:rPr>
            </w:pPr>
            <w:r w:rsidRPr="004B6C06">
              <w:rPr>
                <w:szCs w:val="22"/>
              </w:rPr>
              <w:t>95</w:t>
            </w:r>
            <w:r w:rsidR="00A640B3" w:rsidRPr="004B6C06">
              <w:rPr>
                <w:szCs w:val="22"/>
              </w:rPr>
              <w:t xml:space="preserve"> waterbird species</w:t>
            </w:r>
          </w:p>
          <w:p w14:paraId="5697D560" w14:textId="4C088D55" w:rsidR="00B15794" w:rsidRPr="004B6C06" w:rsidRDefault="00411BF2" w:rsidP="00B10C18">
            <w:pPr>
              <w:pStyle w:val="tabletext1"/>
              <w:numPr>
                <w:ilvl w:val="0"/>
                <w:numId w:val="20"/>
              </w:numPr>
              <w:spacing w:after="120"/>
              <w:rPr>
                <w:szCs w:val="22"/>
              </w:rPr>
            </w:pPr>
            <w:r w:rsidRPr="004B6C06">
              <w:rPr>
                <w:szCs w:val="22"/>
              </w:rPr>
              <w:t>&gt;100 waterbird species</w:t>
            </w:r>
          </w:p>
        </w:tc>
        <w:tc>
          <w:tcPr>
            <w:tcW w:w="1314" w:type="pct"/>
          </w:tcPr>
          <w:p w14:paraId="02E56C14" w14:textId="77777777" w:rsidR="00411BF2" w:rsidRPr="004B6C06" w:rsidRDefault="00A640B3" w:rsidP="00B10C18">
            <w:pPr>
              <w:pStyle w:val="tabletext1"/>
              <w:spacing w:after="120"/>
              <w:ind w:left="0"/>
              <w:rPr>
                <w:szCs w:val="22"/>
              </w:rPr>
            </w:pPr>
            <w:r w:rsidRPr="004B6C06">
              <w:rPr>
                <w:szCs w:val="22"/>
              </w:rPr>
              <w:t>Scott 1997</w:t>
            </w:r>
          </w:p>
          <w:p w14:paraId="19E1AEBA" w14:textId="4C01FA20" w:rsidR="00A640B3" w:rsidRPr="004B6C06" w:rsidRDefault="00A640B3" w:rsidP="00B10C18">
            <w:pPr>
              <w:pStyle w:val="tabletext1"/>
              <w:spacing w:after="120"/>
              <w:ind w:left="0"/>
              <w:rPr>
                <w:szCs w:val="22"/>
              </w:rPr>
            </w:pPr>
            <w:r w:rsidRPr="004B6C06">
              <w:rPr>
                <w:szCs w:val="22"/>
              </w:rPr>
              <w:t>Wassens et al. 2021</w:t>
            </w:r>
          </w:p>
        </w:tc>
      </w:tr>
      <w:tr w:rsidR="006039C7" w:rsidRPr="004B6C06" w14:paraId="149F753C" w14:textId="77777777" w:rsidTr="00B44CB8">
        <w:tc>
          <w:tcPr>
            <w:tcW w:w="1539" w:type="pct"/>
          </w:tcPr>
          <w:p w14:paraId="3B5B80BD" w14:textId="46B797FA" w:rsidR="006039C7" w:rsidRPr="004B6C06" w:rsidRDefault="006039C7" w:rsidP="00B10C18">
            <w:pPr>
              <w:pStyle w:val="tabletext1"/>
              <w:spacing w:after="120"/>
              <w:ind w:left="0"/>
              <w:rPr>
                <w:szCs w:val="22"/>
              </w:rPr>
            </w:pPr>
            <w:r w:rsidRPr="004B6C06">
              <w:rPr>
                <w:szCs w:val="22"/>
              </w:rPr>
              <w:t>Murray-Darling Basin</w:t>
            </w:r>
          </w:p>
        </w:tc>
        <w:tc>
          <w:tcPr>
            <w:tcW w:w="2147" w:type="pct"/>
          </w:tcPr>
          <w:p w14:paraId="4066AB3A" w14:textId="0A4DE23F" w:rsidR="006039C7" w:rsidRPr="004B6C06" w:rsidRDefault="004557FE" w:rsidP="00B10C18">
            <w:pPr>
              <w:pStyle w:val="tabletext1"/>
              <w:numPr>
                <w:ilvl w:val="0"/>
                <w:numId w:val="20"/>
              </w:numPr>
              <w:spacing w:after="120"/>
              <w:rPr>
                <w:szCs w:val="22"/>
              </w:rPr>
            </w:pPr>
            <w:r w:rsidRPr="004B6C06">
              <w:rPr>
                <w:szCs w:val="22"/>
              </w:rPr>
              <w:t>108 woodland species</w:t>
            </w:r>
          </w:p>
        </w:tc>
        <w:tc>
          <w:tcPr>
            <w:tcW w:w="1314" w:type="pct"/>
          </w:tcPr>
          <w:p w14:paraId="3DC39E5F" w14:textId="03DC4284" w:rsidR="006039C7" w:rsidRPr="004B6C06" w:rsidRDefault="004557FE" w:rsidP="00B10C18">
            <w:pPr>
              <w:pStyle w:val="tabletext1"/>
              <w:spacing w:after="120"/>
              <w:ind w:left="0"/>
              <w:rPr>
                <w:szCs w:val="22"/>
              </w:rPr>
            </w:pPr>
            <w:r w:rsidRPr="004B6C06">
              <w:rPr>
                <w:szCs w:val="22"/>
              </w:rPr>
              <w:t>McGuinness et al. 2010; Mott et al. 2020</w:t>
            </w:r>
          </w:p>
        </w:tc>
      </w:tr>
      <w:tr w:rsidR="008571C4" w:rsidRPr="004B6C06" w14:paraId="29FD45C0" w14:textId="77777777" w:rsidTr="00B44CB8">
        <w:tc>
          <w:tcPr>
            <w:tcW w:w="1539" w:type="pct"/>
          </w:tcPr>
          <w:p w14:paraId="344C22CF" w14:textId="0E6C6258" w:rsidR="008571C4" w:rsidRPr="004B6C06" w:rsidRDefault="008571C4" w:rsidP="008571C4">
            <w:pPr>
              <w:pStyle w:val="tabletext1"/>
              <w:spacing w:after="120"/>
              <w:ind w:left="0"/>
              <w:rPr>
                <w:szCs w:val="22"/>
              </w:rPr>
            </w:pPr>
            <w:r w:rsidRPr="004B6C06">
              <w:rPr>
                <w:szCs w:val="22"/>
              </w:rPr>
              <w:t>8 wetlands</w:t>
            </w:r>
            <w:r w:rsidR="007803D6" w:rsidRPr="004B6C06">
              <w:rPr>
                <w:szCs w:val="22"/>
              </w:rPr>
              <w:t>:</w:t>
            </w:r>
            <w:r w:rsidRPr="004B6C06">
              <w:rPr>
                <w:szCs w:val="22"/>
              </w:rPr>
              <w:t xml:space="preserve"> Lake Carlet (nr Mannum) to Clover Lake (nr </w:t>
            </w:r>
            <w:r w:rsidR="00B676DB" w:rsidRPr="004B6C06">
              <w:rPr>
                <w:szCs w:val="22"/>
              </w:rPr>
              <w:t xml:space="preserve">SA </w:t>
            </w:r>
            <w:r w:rsidRPr="004B6C06">
              <w:rPr>
                <w:szCs w:val="22"/>
              </w:rPr>
              <w:t>border) 1992–93</w:t>
            </w:r>
          </w:p>
        </w:tc>
        <w:tc>
          <w:tcPr>
            <w:tcW w:w="2147" w:type="pct"/>
          </w:tcPr>
          <w:p w14:paraId="54497BB2" w14:textId="77777777" w:rsidR="008571C4" w:rsidRPr="004B6C06" w:rsidRDefault="008571C4" w:rsidP="008571C4">
            <w:pPr>
              <w:pStyle w:val="tabletext1"/>
              <w:numPr>
                <w:ilvl w:val="0"/>
                <w:numId w:val="20"/>
              </w:numPr>
              <w:spacing w:after="120"/>
              <w:rPr>
                <w:szCs w:val="22"/>
              </w:rPr>
            </w:pPr>
            <w:r w:rsidRPr="004B6C06">
              <w:rPr>
                <w:szCs w:val="22"/>
              </w:rPr>
              <w:t xml:space="preserve">41 species waterbirds </w:t>
            </w:r>
          </w:p>
          <w:p w14:paraId="67E02734" w14:textId="1145A378" w:rsidR="008571C4" w:rsidRPr="004B6C06" w:rsidRDefault="00456A7E" w:rsidP="00456A7E">
            <w:pPr>
              <w:pStyle w:val="tabletext1"/>
              <w:numPr>
                <w:ilvl w:val="0"/>
                <w:numId w:val="20"/>
              </w:numPr>
              <w:spacing w:after="120"/>
              <w:rPr>
                <w:szCs w:val="22"/>
              </w:rPr>
            </w:pPr>
            <w:r w:rsidRPr="004B6C06">
              <w:rPr>
                <w:szCs w:val="22"/>
              </w:rPr>
              <w:t>l</w:t>
            </w:r>
            <w:r w:rsidR="008571C4" w:rsidRPr="004B6C06">
              <w:rPr>
                <w:szCs w:val="22"/>
              </w:rPr>
              <w:t>arge breeding colony of Silver Gull</w:t>
            </w:r>
          </w:p>
        </w:tc>
        <w:tc>
          <w:tcPr>
            <w:tcW w:w="1314" w:type="pct"/>
          </w:tcPr>
          <w:p w14:paraId="1D4CE516" w14:textId="0C83BDA3" w:rsidR="008571C4" w:rsidRPr="004B6C06" w:rsidRDefault="008571C4" w:rsidP="008571C4">
            <w:pPr>
              <w:pStyle w:val="tabletext1"/>
              <w:spacing w:after="120"/>
              <w:ind w:left="0"/>
              <w:rPr>
                <w:szCs w:val="22"/>
              </w:rPr>
            </w:pPr>
            <w:r w:rsidRPr="004B6C06">
              <w:rPr>
                <w:szCs w:val="22"/>
              </w:rPr>
              <w:t>Suter et al. 1995</w:t>
            </w:r>
          </w:p>
        </w:tc>
      </w:tr>
      <w:tr w:rsidR="00F74D1B" w:rsidRPr="004B6C06" w14:paraId="04709ABB" w14:textId="77777777" w:rsidTr="00B44CB8">
        <w:tc>
          <w:tcPr>
            <w:tcW w:w="1539" w:type="pct"/>
          </w:tcPr>
          <w:p w14:paraId="0B3953F0" w14:textId="1B1E83A9" w:rsidR="00F74D1B" w:rsidRPr="004B6C06" w:rsidRDefault="00F74D1B" w:rsidP="00F74D1B">
            <w:pPr>
              <w:pStyle w:val="tabletext1"/>
              <w:spacing w:after="120"/>
              <w:ind w:left="0"/>
              <w:rPr>
                <w:szCs w:val="22"/>
              </w:rPr>
            </w:pPr>
            <w:r w:rsidRPr="004B6C06">
              <w:rPr>
                <w:szCs w:val="22"/>
              </w:rPr>
              <w:t>River Murray floodplain in SA (defined by 1956 flood line &amp; SA border to Murray Bridge)</w:t>
            </w:r>
          </w:p>
        </w:tc>
        <w:tc>
          <w:tcPr>
            <w:tcW w:w="2147" w:type="pct"/>
          </w:tcPr>
          <w:p w14:paraId="3155D376" w14:textId="5150BA91" w:rsidR="00F74D1B" w:rsidRPr="004B6C06" w:rsidRDefault="00F74D1B" w:rsidP="00F74D1B">
            <w:pPr>
              <w:pStyle w:val="tabletext1"/>
              <w:numPr>
                <w:ilvl w:val="0"/>
                <w:numId w:val="20"/>
              </w:numPr>
              <w:spacing w:after="120"/>
              <w:rPr>
                <w:szCs w:val="22"/>
              </w:rPr>
            </w:pPr>
            <w:r w:rsidRPr="004B6C06">
              <w:rPr>
                <w:szCs w:val="22"/>
              </w:rPr>
              <w:t>174 species from 53 families (of 229 species known for area BDBSA</w:t>
            </w:r>
            <w:r w:rsidRPr="004B6C06">
              <w:rPr>
                <w:szCs w:val="22"/>
                <w:vertAlign w:val="superscript"/>
              </w:rPr>
              <w:t>*</w:t>
            </w:r>
            <w:r w:rsidRPr="004B6C06">
              <w:rPr>
                <w:szCs w:val="22"/>
              </w:rPr>
              <w:t>); includes woodland &amp; waterbirds, &amp; 28 species with conservation status in SA</w:t>
            </w:r>
            <w:r w:rsidRPr="004B6C06">
              <w:rPr>
                <w:szCs w:val="22"/>
                <w:vertAlign w:val="superscript"/>
              </w:rPr>
              <w:t>#</w:t>
            </w:r>
          </w:p>
        </w:tc>
        <w:tc>
          <w:tcPr>
            <w:tcW w:w="1314" w:type="pct"/>
          </w:tcPr>
          <w:p w14:paraId="449E3553" w14:textId="2E90A307" w:rsidR="00F74D1B" w:rsidRPr="004B6C06" w:rsidRDefault="00F74D1B" w:rsidP="00F74D1B">
            <w:pPr>
              <w:pStyle w:val="tabletext1"/>
              <w:spacing w:after="120"/>
              <w:ind w:left="0"/>
              <w:rPr>
                <w:szCs w:val="22"/>
              </w:rPr>
            </w:pPr>
            <w:r w:rsidRPr="004B6C06">
              <w:rPr>
                <w:szCs w:val="22"/>
              </w:rPr>
              <w:t>Stewart et al. 2010 [and summarises previous survey records]</w:t>
            </w:r>
          </w:p>
        </w:tc>
      </w:tr>
      <w:tr w:rsidR="00A640B3" w:rsidRPr="004B6C06" w14:paraId="34928B3A" w14:textId="77777777" w:rsidTr="00B44CB8">
        <w:tc>
          <w:tcPr>
            <w:tcW w:w="1539" w:type="pct"/>
          </w:tcPr>
          <w:p w14:paraId="28EA7E9D" w14:textId="77777777" w:rsidR="00A640B3" w:rsidRPr="004B6C06" w:rsidRDefault="00A640B3" w:rsidP="00B10C18">
            <w:pPr>
              <w:pStyle w:val="tabletext1"/>
              <w:spacing w:after="120"/>
              <w:ind w:left="0"/>
              <w:rPr>
                <w:szCs w:val="22"/>
              </w:rPr>
            </w:pPr>
            <w:r w:rsidRPr="004B6C06">
              <w:rPr>
                <w:szCs w:val="22"/>
              </w:rPr>
              <w:t>Chowilla Floodplain</w:t>
            </w:r>
          </w:p>
        </w:tc>
        <w:tc>
          <w:tcPr>
            <w:tcW w:w="2147" w:type="pct"/>
          </w:tcPr>
          <w:p w14:paraId="47081A36" w14:textId="77777777" w:rsidR="00A640B3" w:rsidRPr="004B6C06" w:rsidRDefault="00A640B3" w:rsidP="00B10C18">
            <w:pPr>
              <w:pStyle w:val="tabletext1"/>
              <w:numPr>
                <w:ilvl w:val="0"/>
                <w:numId w:val="20"/>
              </w:numPr>
              <w:spacing w:after="120"/>
              <w:rPr>
                <w:szCs w:val="22"/>
              </w:rPr>
            </w:pPr>
            <w:r w:rsidRPr="004B6C06">
              <w:rPr>
                <w:szCs w:val="22"/>
              </w:rPr>
              <w:t>134 (of 170 recorded previously); 30 breeding species</w:t>
            </w:r>
          </w:p>
        </w:tc>
        <w:tc>
          <w:tcPr>
            <w:tcW w:w="1314" w:type="pct"/>
          </w:tcPr>
          <w:p w14:paraId="1CE266E8" w14:textId="77777777" w:rsidR="00A640B3" w:rsidRPr="004B6C06" w:rsidRDefault="00A640B3" w:rsidP="00B10C18">
            <w:pPr>
              <w:pStyle w:val="tabletext1"/>
              <w:spacing w:after="120"/>
              <w:ind w:left="0"/>
              <w:rPr>
                <w:szCs w:val="22"/>
              </w:rPr>
            </w:pPr>
            <w:r w:rsidRPr="004B6C06">
              <w:rPr>
                <w:szCs w:val="22"/>
              </w:rPr>
              <w:t>Carpenter 1990</w:t>
            </w:r>
          </w:p>
        </w:tc>
      </w:tr>
      <w:tr w:rsidR="00A640B3" w:rsidRPr="004B6C06" w14:paraId="2CE7B9C3" w14:textId="77777777" w:rsidTr="00B44CB8">
        <w:tc>
          <w:tcPr>
            <w:tcW w:w="1539" w:type="pct"/>
          </w:tcPr>
          <w:p w14:paraId="74F40BB4" w14:textId="77777777" w:rsidR="00A640B3" w:rsidRPr="004B6C06" w:rsidRDefault="00A640B3" w:rsidP="00B10C18">
            <w:pPr>
              <w:pStyle w:val="tabletext1"/>
              <w:spacing w:after="120"/>
              <w:ind w:left="0"/>
              <w:rPr>
                <w:szCs w:val="22"/>
              </w:rPr>
            </w:pPr>
            <w:r w:rsidRPr="004B6C06">
              <w:rPr>
                <w:szCs w:val="22"/>
              </w:rPr>
              <w:t>Chowilla Floodplain and nearby regions</w:t>
            </w:r>
          </w:p>
        </w:tc>
        <w:tc>
          <w:tcPr>
            <w:tcW w:w="2147" w:type="pct"/>
          </w:tcPr>
          <w:p w14:paraId="5171FE36" w14:textId="77777777" w:rsidR="00A640B3" w:rsidRPr="004B6C06" w:rsidRDefault="00A640B3" w:rsidP="00B10C18">
            <w:pPr>
              <w:pStyle w:val="tabletext1"/>
              <w:numPr>
                <w:ilvl w:val="0"/>
                <w:numId w:val="20"/>
              </w:numPr>
              <w:spacing w:after="120"/>
              <w:rPr>
                <w:szCs w:val="22"/>
              </w:rPr>
            </w:pPr>
            <w:r w:rsidRPr="004B6C06">
              <w:rPr>
                <w:szCs w:val="22"/>
              </w:rPr>
              <w:t>165 native (wetland, migratory, mallee-dependent)</w:t>
            </w:r>
          </w:p>
        </w:tc>
        <w:tc>
          <w:tcPr>
            <w:tcW w:w="1314" w:type="pct"/>
          </w:tcPr>
          <w:p w14:paraId="1D324758" w14:textId="77777777" w:rsidR="00A640B3" w:rsidRPr="004B6C06" w:rsidRDefault="00A640B3" w:rsidP="00B10C18">
            <w:pPr>
              <w:pStyle w:val="tabletext1"/>
              <w:spacing w:after="120"/>
              <w:ind w:left="0"/>
              <w:rPr>
                <w:szCs w:val="22"/>
              </w:rPr>
            </w:pPr>
            <w:r w:rsidRPr="004B6C06">
              <w:rPr>
                <w:szCs w:val="22"/>
              </w:rPr>
              <w:t>Newall et al. 2009: DEH 2010</w:t>
            </w:r>
          </w:p>
        </w:tc>
      </w:tr>
      <w:tr w:rsidR="00A640B3" w:rsidRPr="004B6C06" w14:paraId="20C8A07D" w14:textId="77777777" w:rsidTr="00B44CB8">
        <w:tc>
          <w:tcPr>
            <w:tcW w:w="1539" w:type="pct"/>
          </w:tcPr>
          <w:p w14:paraId="50CE298F" w14:textId="77777777" w:rsidR="00A640B3" w:rsidRPr="004B6C06" w:rsidRDefault="00A640B3" w:rsidP="00B10C18">
            <w:pPr>
              <w:pStyle w:val="tabletext1"/>
              <w:spacing w:after="120"/>
              <w:ind w:left="0"/>
              <w:rPr>
                <w:szCs w:val="22"/>
              </w:rPr>
            </w:pPr>
            <w:r w:rsidRPr="004B6C06">
              <w:rPr>
                <w:szCs w:val="22"/>
              </w:rPr>
              <w:t>Lake Woolpolool</w:t>
            </w:r>
          </w:p>
        </w:tc>
        <w:tc>
          <w:tcPr>
            <w:tcW w:w="2147" w:type="pct"/>
          </w:tcPr>
          <w:p w14:paraId="101D23E0" w14:textId="77777777" w:rsidR="00A640B3" w:rsidRPr="004B6C06" w:rsidRDefault="00A640B3" w:rsidP="00B10C18">
            <w:pPr>
              <w:pStyle w:val="tabletext1"/>
              <w:numPr>
                <w:ilvl w:val="0"/>
                <w:numId w:val="20"/>
              </w:numPr>
              <w:spacing w:after="120"/>
              <w:rPr>
                <w:szCs w:val="22"/>
              </w:rPr>
            </w:pPr>
            <w:r w:rsidRPr="004B6C06">
              <w:rPr>
                <w:szCs w:val="22"/>
              </w:rPr>
              <w:t>&gt;60 waterbirds (including 2 wetland raptors)</w:t>
            </w:r>
          </w:p>
        </w:tc>
        <w:tc>
          <w:tcPr>
            <w:tcW w:w="1314" w:type="pct"/>
          </w:tcPr>
          <w:p w14:paraId="48F60272" w14:textId="77777777" w:rsidR="00A640B3" w:rsidRPr="004B6C06" w:rsidRDefault="00A640B3" w:rsidP="00B10C18">
            <w:pPr>
              <w:pStyle w:val="tabletext1"/>
              <w:spacing w:after="120"/>
              <w:ind w:left="0"/>
              <w:rPr>
                <w:szCs w:val="22"/>
              </w:rPr>
            </w:pPr>
            <w:r w:rsidRPr="004B6C06">
              <w:rPr>
                <w:szCs w:val="22"/>
                <w:lang w:val="fr-RE"/>
              </w:rPr>
              <w:t>Jensen et al. 2000 in Newall et al. 2009</w:t>
            </w:r>
          </w:p>
        </w:tc>
      </w:tr>
      <w:tr w:rsidR="00A640B3" w:rsidRPr="004B6C06" w14:paraId="31F9F69B" w14:textId="77777777" w:rsidTr="00B44CB8">
        <w:tc>
          <w:tcPr>
            <w:tcW w:w="1539" w:type="pct"/>
          </w:tcPr>
          <w:p w14:paraId="4BC1A36A" w14:textId="77777777" w:rsidR="00A640B3" w:rsidRPr="004B6C06" w:rsidRDefault="00A640B3" w:rsidP="00B10C18">
            <w:pPr>
              <w:pStyle w:val="tabletext1"/>
              <w:spacing w:after="120"/>
              <w:ind w:left="0"/>
              <w:rPr>
                <w:szCs w:val="22"/>
              </w:rPr>
            </w:pPr>
            <w:r w:rsidRPr="004B6C06">
              <w:rPr>
                <w:szCs w:val="22"/>
              </w:rPr>
              <w:t>Banrock Station Wetland Complex</w:t>
            </w:r>
          </w:p>
        </w:tc>
        <w:tc>
          <w:tcPr>
            <w:tcW w:w="2147" w:type="pct"/>
          </w:tcPr>
          <w:p w14:paraId="5EA708B3" w14:textId="77777777" w:rsidR="00A640B3" w:rsidRPr="004B6C06" w:rsidRDefault="00A640B3" w:rsidP="00B10C18">
            <w:pPr>
              <w:pStyle w:val="tabletext1"/>
              <w:numPr>
                <w:ilvl w:val="0"/>
                <w:numId w:val="20"/>
              </w:numPr>
              <w:spacing w:after="120"/>
              <w:rPr>
                <w:szCs w:val="22"/>
              </w:rPr>
            </w:pPr>
            <w:r w:rsidRPr="004B6C06">
              <w:rPr>
                <w:szCs w:val="22"/>
              </w:rPr>
              <w:t>61 wetland associated species (resident &amp; transient)</w:t>
            </w:r>
          </w:p>
          <w:p w14:paraId="4905AA25" w14:textId="23592188" w:rsidR="00A640B3" w:rsidRPr="004B6C06" w:rsidRDefault="000E7088" w:rsidP="00B10C18">
            <w:pPr>
              <w:pStyle w:val="tabletext1"/>
              <w:numPr>
                <w:ilvl w:val="0"/>
                <w:numId w:val="20"/>
              </w:numPr>
              <w:spacing w:after="120"/>
              <w:rPr>
                <w:szCs w:val="22"/>
              </w:rPr>
            </w:pPr>
            <w:r w:rsidRPr="004B6C06">
              <w:rPr>
                <w:szCs w:val="22"/>
              </w:rPr>
              <w:t xml:space="preserve">up to </w:t>
            </w:r>
            <w:r w:rsidR="009E3F0E" w:rsidRPr="004B6C06">
              <w:rPr>
                <w:szCs w:val="22"/>
              </w:rPr>
              <w:t>1</w:t>
            </w:r>
            <w:r w:rsidR="004F25F3" w:rsidRPr="004B6C06">
              <w:rPr>
                <w:szCs w:val="22"/>
              </w:rPr>
              <w:t>91</w:t>
            </w:r>
            <w:r w:rsidR="009E3F0E" w:rsidRPr="004B6C06">
              <w:rPr>
                <w:szCs w:val="22"/>
              </w:rPr>
              <w:t xml:space="preserve"> species </w:t>
            </w:r>
            <w:r w:rsidR="004460BE" w:rsidRPr="004B6C06">
              <w:rPr>
                <w:szCs w:val="22"/>
              </w:rPr>
              <w:t xml:space="preserve">in </w:t>
            </w:r>
            <w:r w:rsidR="004F25F3" w:rsidRPr="004B6C06">
              <w:rPr>
                <w:szCs w:val="22"/>
              </w:rPr>
              <w:t>20 y</w:t>
            </w:r>
            <w:r w:rsidR="004460BE" w:rsidRPr="004B6C06">
              <w:rPr>
                <w:szCs w:val="22"/>
              </w:rPr>
              <w:t>ears of</w:t>
            </w:r>
            <w:r w:rsidR="004F25F3" w:rsidRPr="004B6C06">
              <w:rPr>
                <w:szCs w:val="22"/>
              </w:rPr>
              <w:t xml:space="preserve"> monitoring </w:t>
            </w:r>
            <w:r w:rsidR="004460BE" w:rsidRPr="004B6C06">
              <w:rPr>
                <w:szCs w:val="22"/>
              </w:rPr>
              <w:t>(</w:t>
            </w:r>
            <w:r w:rsidR="009E3F0E" w:rsidRPr="004B6C06">
              <w:rPr>
                <w:szCs w:val="22"/>
              </w:rPr>
              <w:t>wetland, floodplain,</w:t>
            </w:r>
            <w:r w:rsidR="001006CD" w:rsidRPr="004B6C06">
              <w:rPr>
                <w:szCs w:val="22"/>
              </w:rPr>
              <w:t xml:space="preserve"> mallee</w:t>
            </w:r>
            <w:r w:rsidR="009E3F0E" w:rsidRPr="004B6C06">
              <w:rPr>
                <w:szCs w:val="22"/>
              </w:rPr>
              <w:t xml:space="preserve"> </w:t>
            </w:r>
            <w:r w:rsidR="001006CD" w:rsidRPr="004B6C06">
              <w:rPr>
                <w:szCs w:val="22"/>
              </w:rPr>
              <w:t>spp.</w:t>
            </w:r>
            <w:r w:rsidR="00C00EC4" w:rsidRPr="004B6C06">
              <w:rPr>
                <w:szCs w:val="22"/>
              </w:rPr>
              <w:t xml:space="preserve">); </w:t>
            </w:r>
            <w:r w:rsidR="00A640B3" w:rsidRPr="004B6C06">
              <w:rPr>
                <w:szCs w:val="22"/>
              </w:rPr>
              <w:t>32 waterbird sp</w:t>
            </w:r>
            <w:r w:rsidR="007604EC" w:rsidRPr="004B6C06">
              <w:rPr>
                <w:szCs w:val="22"/>
              </w:rPr>
              <w:t>p.</w:t>
            </w:r>
            <w:r w:rsidR="00A640B3" w:rsidRPr="004B6C06">
              <w:rPr>
                <w:szCs w:val="22"/>
              </w:rPr>
              <w:t xml:space="preserve"> in 2019-20</w:t>
            </w:r>
          </w:p>
        </w:tc>
        <w:tc>
          <w:tcPr>
            <w:tcW w:w="1314" w:type="pct"/>
          </w:tcPr>
          <w:p w14:paraId="795D3597" w14:textId="77777777" w:rsidR="00A640B3" w:rsidRPr="004B6C06" w:rsidRDefault="00A640B3" w:rsidP="00B10C18">
            <w:pPr>
              <w:pStyle w:val="tabletext1"/>
              <w:spacing w:after="120"/>
              <w:ind w:left="0"/>
              <w:rPr>
                <w:szCs w:val="22"/>
              </w:rPr>
            </w:pPr>
            <w:r w:rsidRPr="004B6C06">
              <w:rPr>
                <w:szCs w:val="22"/>
              </w:rPr>
              <w:t>Butcher et al. 2009</w:t>
            </w:r>
          </w:p>
          <w:p w14:paraId="2E07FECB" w14:textId="77777777" w:rsidR="00BF5A54" w:rsidRPr="004B6C06" w:rsidRDefault="00BF5A54" w:rsidP="00B10C18">
            <w:pPr>
              <w:pStyle w:val="tabletext1"/>
              <w:spacing w:after="120"/>
              <w:ind w:left="0"/>
              <w:rPr>
                <w:szCs w:val="22"/>
              </w:rPr>
            </w:pPr>
          </w:p>
          <w:p w14:paraId="63398D98" w14:textId="5DF49C9E" w:rsidR="00A640B3" w:rsidRPr="004B6C06" w:rsidRDefault="00B564E8" w:rsidP="00B10C18">
            <w:pPr>
              <w:pStyle w:val="tabletext1"/>
              <w:spacing w:after="120"/>
              <w:ind w:left="0"/>
              <w:rPr>
                <w:szCs w:val="22"/>
              </w:rPr>
            </w:pPr>
            <w:r w:rsidRPr="004B6C06">
              <w:rPr>
                <w:szCs w:val="22"/>
              </w:rPr>
              <w:t>Field &amp; T</w:t>
            </w:r>
            <w:r w:rsidR="005C7AAB" w:rsidRPr="004B6C06">
              <w:rPr>
                <w:szCs w:val="22"/>
              </w:rPr>
              <w:t xml:space="preserve">urenq 2014; </w:t>
            </w:r>
            <w:r w:rsidR="00A640B3" w:rsidRPr="004B6C06">
              <w:rPr>
                <w:szCs w:val="22"/>
              </w:rPr>
              <w:t>Field 2020</w:t>
            </w:r>
          </w:p>
        </w:tc>
      </w:tr>
      <w:tr w:rsidR="00A640B3" w:rsidRPr="004B6C06" w14:paraId="5646F6D4" w14:textId="77777777" w:rsidTr="00B44CB8">
        <w:tc>
          <w:tcPr>
            <w:tcW w:w="1539" w:type="pct"/>
          </w:tcPr>
          <w:p w14:paraId="7A127E8F" w14:textId="77777777" w:rsidR="00A640B3" w:rsidRPr="004B6C06" w:rsidRDefault="00A640B3" w:rsidP="00B10C18">
            <w:pPr>
              <w:pStyle w:val="tabletext1"/>
              <w:spacing w:after="120"/>
              <w:ind w:left="0"/>
              <w:rPr>
                <w:szCs w:val="22"/>
              </w:rPr>
            </w:pPr>
            <w:r w:rsidRPr="004B6C06">
              <w:rPr>
                <w:szCs w:val="22"/>
              </w:rPr>
              <w:t>Coorong – January 2000– 2009</w:t>
            </w:r>
          </w:p>
          <w:p w14:paraId="186A19FD" w14:textId="40ED3440" w:rsidR="00CB755F" w:rsidRPr="004B6C06" w:rsidRDefault="00A640B3" w:rsidP="00B10C18">
            <w:pPr>
              <w:pStyle w:val="tabletext1"/>
              <w:spacing w:after="120"/>
              <w:ind w:left="0"/>
              <w:rPr>
                <w:szCs w:val="22"/>
              </w:rPr>
            </w:pPr>
            <w:r w:rsidRPr="004B6C06">
              <w:rPr>
                <w:szCs w:val="22"/>
              </w:rPr>
              <w:t>Coorong – January 2000–2015</w:t>
            </w:r>
          </w:p>
          <w:p w14:paraId="12150921" w14:textId="3D91AB6C" w:rsidR="00CC41BA" w:rsidRPr="004B6C06" w:rsidRDefault="00CC41BA" w:rsidP="00B10C18">
            <w:pPr>
              <w:pStyle w:val="tabletext1"/>
              <w:spacing w:after="120"/>
              <w:ind w:left="0"/>
              <w:rPr>
                <w:szCs w:val="22"/>
              </w:rPr>
            </w:pPr>
            <w:r w:rsidRPr="004B6C06">
              <w:rPr>
                <w:szCs w:val="22"/>
              </w:rPr>
              <w:t>Coorong – January 2023</w:t>
            </w:r>
          </w:p>
        </w:tc>
        <w:tc>
          <w:tcPr>
            <w:tcW w:w="2147" w:type="pct"/>
          </w:tcPr>
          <w:p w14:paraId="4C0C0391" w14:textId="7EC82AF0" w:rsidR="00A640B3" w:rsidRPr="004B6C06" w:rsidRDefault="002060DF" w:rsidP="00B10C18">
            <w:pPr>
              <w:pStyle w:val="tabletext1"/>
              <w:numPr>
                <w:ilvl w:val="0"/>
                <w:numId w:val="20"/>
              </w:numPr>
              <w:spacing w:after="120"/>
              <w:rPr>
                <w:szCs w:val="22"/>
              </w:rPr>
            </w:pPr>
            <w:r w:rsidRPr="004B6C06">
              <w:rPr>
                <w:szCs w:val="22"/>
              </w:rPr>
              <w:t xml:space="preserve">up to </w:t>
            </w:r>
            <w:r w:rsidR="00A640B3" w:rsidRPr="004B6C06">
              <w:rPr>
                <w:szCs w:val="22"/>
              </w:rPr>
              <w:t>71 waterbirds (40 species present every year; 17 most years; 14 rarely)</w:t>
            </w:r>
          </w:p>
          <w:p w14:paraId="08C80E36" w14:textId="19B7A612" w:rsidR="00A640B3" w:rsidRPr="004B6C06" w:rsidRDefault="00EF25D3" w:rsidP="00B10C18">
            <w:pPr>
              <w:pStyle w:val="tabletext1"/>
              <w:numPr>
                <w:ilvl w:val="0"/>
                <w:numId w:val="20"/>
              </w:numPr>
              <w:spacing w:after="120"/>
              <w:rPr>
                <w:szCs w:val="22"/>
              </w:rPr>
            </w:pPr>
            <w:r w:rsidRPr="004B6C06">
              <w:rPr>
                <w:szCs w:val="22"/>
              </w:rPr>
              <w:t xml:space="preserve">up to </w:t>
            </w:r>
            <w:r w:rsidR="00A640B3" w:rsidRPr="004B6C06">
              <w:rPr>
                <w:szCs w:val="22"/>
              </w:rPr>
              <w:t>82 sp</w:t>
            </w:r>
            <w:r w:rsidR="009B460A" w:rsidRPr="004B6C06">
              <w:rPr>
                <w:szCs w:val="22"/>
              </w:rPr>
              <w:t>p.</w:t>
            </w:r>
            <w:r w:rsidR="00A640B3" w:rsidRPr="004B6C06">
              <w:rPr>
                <w:szCs w:val="22"/>
              </w:rPr>
              <w:t xml:space="preserve"> (35 present every year; 5 in all but one year; 33 with &gt;100</w:t>
            </w:r>
            <w:r w:rsidR="00C13C29" w:rsidRPr="004B6C06">
              <w:rPr>
                <w:szCs w:val="22"/>
              </w:rPr>
              <w:t xml:space="preserve"> birds</w:t>
            </w:r>
            <w:r w:rsidR="00A640B3" w:rsidRPr="004B6C06">
              <w:rPr>
                <w:szCs w:val="22"/>
              </w:rPr>
              <w:t>)</w:t>
            </w:r>
          </w:p>
          <w:p w14:paraId="03F19D95" w14:textId="17EC8669" w:rsidR="00CC41BA" w:rsidRPr="004B6C06" w:rsidRDefault="00CC41BA" w:rsidP="00B10C18">
            <w:pPr>
              <w:pStyle w:val="tabletext1"/>
              <w:numPr>
                <w:ilvl w:val="0"/>
                <w:numId w:val="20"/>
              </w:numPr>
              <w:spacing w:after="120"/>
              <w:rPr>
                <w:szCs w:val="22"/>
              </w:rPr>
            </w:pPr>
            <w:r w:rsidRPr="004B6C06">
              <w:rPr>
                <w:szCs w:val="22"/>
              </w:rPr>
              <w:t>49 sp</w:t>
            </w:r>
            <w:r w:rsidR="009B460A" w:rsidRPr="004B6C06">
              <w:rPr>
                <w:szCs w:val="22"/>
              </w:rPr>
              <w:t>p.</w:t>
            </w:r>
            <w:r w:rsidR="00C30E1D" w:rsidRPr="004B6C06">
              <w:rPr>
                <w:szCs w:val="22"/>
              </w:rPr>
              <w:t xml:space="preserve"> (31 below long-term median abundance</w:t>
            </w:r>
            <w:r w:rsidR="00443310" w:rsidRPr="004B6C06">
              <w:rPr>
                <w:szCs w:val="22"/>
              </w:rPr>
              <w:t xml:space="preserve"> (LTMA)</w:t>
            </w:r>
            <w:r w:rsidR="00C30E1D" w:rsidRPr="004B6C06">
              <w:rPr>
                <w:szCs w:val="22"/>
              </w:rPr>
              <w:t>)</w:t>
            </w:r>
          </w:p>
        </w:tc>
        <w:tc>
          <w:tcPr>
            <w:tcW w:w="1314" w:type="pct"/>
          </w:tcPr>
          <w:p w14:paraId="673710AD" w14:textId="77777777" w:rsidR="00A640B3" w:rsidRPr="004B6C06" w:rsidRDefault="00A640B3" w:rsidP="00B10C18">
            <w:pPr>
              <w:pStyle w:val="tabletext1"/>
              <w:spacing w:after="120"/>
              <w:ind w:left="0"/>
              <w:rPr>
                <w:szCs w:val="22"/>
              </w:rPr>
            </w:pPr>
            <w:r w:rsidRPr="004B6C06">
              <w:rPr>
                <w:szCs w:val="22"/>
              </w:rPr>
              <w:t>Paton 2010</w:t>
            </w:r>
          </w:p>
          <w:p w14:paraId="4687BBDA" w14:textId="77777777" w:rsidR="00A640B3" w:rsidRPr="004B6C06" w:rsidRDefault="00A640B3" w:rsidP="00B10C18">
            <w:pPr>
              <w:pStyle w:val="tabletext1"/>
              <w:spacing w:after="120"/>
              <w:ind w:left="0"/>
              <w:rPr>
                <w:szCs w:val="22"/>
              </w:rPr>
            </w:pPr>
          </w:p>
          <w:p w14:paraId="29C505E1" w14:textId="77777777" w:rsidR="00A640B3" w:rsidRPr="004B6C06" w:rsidRDefault="00A640B3" w:rsidP="00B10C18">
            <w:pPr>
              <w:pStyle w:val="tabletext1"/>
              <w:spacing w:after="120"/>
              <w:ind w:left="0"/>
              <w:rPr>
                <w:szCs w:val="22"/>
              </w:rPr>
            </w:pPr>
            <w:r w:rsidRPr="004B6C06">
              <w:rPr>
                <w:szCs w:val="22"/>
              </w:rPr>
              <w:t>Paton et al. 2018</w:t>
            </w:r>
          </w:p>
          <w:p w14:paraId="5BC8498C" w14:textId="77777777" w:rsidR="00C30E1D" w:rsidRPr="004B6C06" w:rsidRDefault="00C30E1D" w:rsidP="00B10C18">
            <w:pPr>
              <w:pStyle w:val="tabletext1"/>
              <w:spacing w:after="120"/>
              <w:ind w:left="0"/>
              <w:rPr>
                <w:szCs w:val="22"/>
              </w:rPr>
            </w:pPr>
          </w:p>
          <w:p w14:paraId="603E6F76" w14:textId="411D0705" w:rsidR="00C30E1D" w:rsidRPr="004B6C06" w:rsidRDefault="00C30E1D" w:rsidP="00B10C18">
            <w:pPr>
              <w:pStyle w:val="tabletext1"/>
              <w:spacing w:after="120"/>
              <w:ind w:left="0"/>
              <w:rPr>
                <w:szCs w:val="22"/>
              </w:rPr>
            </w:pPr>
            <w:r w:rsidRPr="004B6C06">
              <w:rPr>
                <w:szCs w:val="22"/>
              </w:rPr>
              <w:t>Paton et al. 2023</w:t>
            </w:r>
          </w:p>
        </w:tc>
      </w:tr>
      <w:tr w:rsidR="00A640B3" w:rsidRPr="004B6C06" w14:paraId="3B26EBEA" w14:textId="77777777" w:rsidTr="00B44CB8">
        <w:tc>
          <w:tcPr>
            <w:tcW w:w="1539" w:type="pct"/>
          </w:tcPr>
          <w:p w14:paraId="376CCD26" w14:textId="35E0AD99" w:rsidR="00AD3616" w:rsidRPr="004B6C06" w:rsidRDefault="00A640B3" w:rsidP="00B10C18">
            <w:pPr>
              <w:pStyle w:val="tabletext1"/>
              <w:spacing w:after="120"/>
              <w:ind w:left="0"/>
              <w:rPr>
                <w:szCs w:val="22"/>
              </w:rPr>
            </w:pPr>
            <w:r w:rsidRPr="004B6C06">
              <w:rPr>
                <w:szCs w:val="22"/>
              </w:rPr>
              <w:t>Lower Lakes – January 2009–2015</w:t>
            </w:r>
          </w:p>
          <w:p w14:paraId="7B78119B" w14:textId="131F6B87" w:rsidR="00A55F71" w:rsidRPr="004B6C06" w:rsidRDefault="00A55F71" w:rsidP="00B10C18">
            <w:pPr>
              <w:pStyle w:val="tabletext1"/>
              <w:spacing w:after="120"/>
              <w:ind w:left="0"/>
              <w:rPr>
                <w:szCs w:val="22"/>
              </w:rPr>
            </w:pPr>
            <w:r w:rsidRPr="004B6C06">
              <w:rPr>
                <w:szCs w:val="22"/>
              </w:rPr>
              <w:t>Lower Lakes – Jan. 2023</w:t>
            </w:r>
          </w:p>
        </w:tc>
        <w:tc>
          <w:tcPr>
            <w:tcW w:w="2147" w:type="pct"/>
          </w:tcPr>
          <w:p w14:paraId="62F0AD4B" w14:textId="6F4AFC4B" w:rsidR="00A640B3" w:rsidRPr="004B6C06" w:rsidRDefault="00A640B3" w:rsidP="00B10C18">
            <w:pPr>
              <w:pStyle w:val="tabletext1"/>
              <w:numPr>
                <w:ilvl w:val="0"/>
                <w:numId w:val="20"/>
              </w:numPr>
              <w:spacing w:after="120"/>
              <w:rPr>
                <w:szCs w:val="22"/>
              </w:rPr>
            </w:pPr>
            <w:r w:rsidRPr="004B6C06">
              <w:rPr>
                <w:szCs w:val="22"/>
              </w:rPr>
              <w:t xml:space="preserve">72 species (33 species present in all years, with 22 species at &gt;100 </w:t>
            </w:r>
            <w:r w:rsidR="00D86E4D" w:rsidRPr="004B6C06">
              <w:rPr>
                <w:szCs w:val="22"/>
              </w:rPr>
              <w:t>birds</w:t>
            </w:r>
            <w:r w:rsidRPr="004B6C06">
              <w:rPr>
                <w:szCs w:val="22"/>
              </w:rPr>
              <w:t>)</w:t>
            </w:r>
          </w:p>
          <w:p w14:paraId="48486B68" w14:textId="2104B1E7" w:rsidR="00331A8A" w:rsidRPr="004B6C06" w:rsidRDefault="00D670A0" w:rsidP="00B10C18">
            <w:pPr>
              <w:pStyle w:val="tabletext1"/>
              <w:numPr>
                <w:ilvl w:val="0"/>
                <w:numId w:val="20"/>
              </w:numPr>
              <w:spacing w:after="120"/>
              <w:rPr>
                <w:szCs w:val="22"/>
              </w:rPr>
            </w:pPr>
            <w:r w:rsidRPr="004B6C06">
              <w:rPr>
                <w:szCs w:val="22"/>
              </w:rPr>
              <w:t>48 spp.</w:t>
            </w:r>
            <w:r w:rsidR="00CE69AC" w:rsidRPr="004B6C06">
              <w:rPr>
                <w:szCs w:val="22"/>
              </w:rPr>
              <w:t xml:space="preserve"> (16 </w:t>
            </w:r>
            <w:r w:rsidR="00443310" w:rsidRPr="004B6C06">
              <w:rPr>
                <w:szCs w:val="22"/>
              </w:rPr>
              <w:t>spp. below LTMA)</w:t>
            </w:r>
          </w:p>
        </w:tc>
        <w:tc>
          <w:tcPr>
            <w:tcW w:w="1314" w:type="pct"/>
          </w:tcPr>
          <w:p w14:paraId="7668DAEF" w14:textId="77777777" w:rsidR="00A640B3" w:rsidRPr="004B6C06" w:rsidRDefault="00A640B3" w:rsidP="00B10C18">
            <w:pPr>
              <w:pStyle w:val="tabletext1"/>
              <w:spacing w:after="120"/>
              <w:ind w:left="0"/>
              <w:rPr>
                <w:szCs w:val="22"/>
              </w:rPr>
            </w:pPr>
            <w:r w:rsidRPr="004B6C06">
              <w:rPr>
                <w:szCs w:val="22"/>
              </w:rPr>
              <w:t>Paton et al. 2018</w:t>
            </w:r>
          </w:p>
          <w:p w14:paraId="2B1EF296" w14:textId="77777777" w:rsidR="00B15794" w:rsidRPr="004B6C06" w:rsidRDefault="00B15794" w:rsidP="00B10C18">
            <w:pPr>
              <w:pStyle w:val="tabletext1"/>
              <w:spacing w:after="120"/>
              <w:ind w:left="0"/>
              <w:rPr>
                <w:szCs w:val="22"/>
              </w:rPr>
            </w:pPr>
          </w:p>
          <w:p w14:paraId="1D4D579D" w14:textId="0C04B1A0" w:rsidR="00443310" w:rsidRPr="004B6C06" w:rsidRDefault="00AD3616" w:rsidP="00B10C18">
            <w:pPr>
              <w:pStyle w:val="tabletext1"/>
              <w:spacing w:after="120"/>
              <w:ind w:left="0"/>
              <w:rPr>
                <w:szCs w:val="22"/>
              </w:rPr>
            </w:pPr>
            <w:r w:rsidRPr="004B6C06">
              <w:rPr>
                <w:szCs w:val="22"/>
              </w:rPr>
              <w:t>Paton et al. 2023</w:t>
            </w:r>
          </w:p>
        </w:tc>
      </w:tr>
    </w:tbl>
    <w:p w14:paraId="02ABDEFB" w14:textId="2668B481" w:rsidR="00A640B3" w:rsidRDefault="00A640B3" w:rsidP="00A640B3">
      <w:pPr>
        <w:rPr>
          <w:i/>
          <w:iCs/>
          <w:sz w:val="18"/>
          <w:szCs w:val="18"/>
        </w:rPr>
      </w:pPr>
      <w:r>
        <w:rPr>
          <w:sz w:val="20"/>
          <w:szCs w:val="20"/>
        </w:rPr>
        <w:t>*</w:t>
      </w:r>
      <w:r w:rsidRPr="00AD3616">
        <w:rPr>
          <w:sz w:val="18"/>
          <w:szCs w:val="18"/>
        </w:rPr>
        <w:t xml:space="preserve">BDBSA=Biological Survey Databases of South Australia; # SA </w:t>
      </w:r>
      <w:r w:rsidRPr="00AD3616">
        <w:rPr>
          <w:i/>
          <w:iCs/>
          <w:sz w:val="18"/>
          <w:szCs w:val="18"/>
        </w:rPr>
        <w:t>National Parks and Wildlife Act 1972</w:t>
      </w:r>
      <w:r w:rsidR="00C637BD">
        <w:rPr>
          <w:i/>
          <w:iCs/>
          <w:sz w:val="18"/>
          <w:szCs w:val="18"/>
        </w:rPr>
        <w:t>.</w:t>
      </w:r>
    </w:p>
    <w:p w14:paraId="7B788F92" w14:textId="48717F8C" w:rsidR="00C637BD" w:rsidRPr="00C637BD" w:rsidRDefault="00C637BD" w:rsidP="00A640B3">
      <w:r>
        <w:t xml:space="preserve">For birds that are known to occur, or are likely to occur, within the ecological community, extensive species lists are provided in Scott (1997), Brandle (2002), Butcher et al. (2009), Newall et al. (2009), DEH (2010), Paton (2010), Stewart et al. (2010), and Paton et al. (2018). For species with conservation significance, see </w:t>
      </w:r>
      <w:r w:rsidRPr="00945C36">
        <w:rPr>
          <w:u w:val="single"/>
        </w:rPr>
        <w:t xml:space="preserve">Appendix </w:t>
      </w:r>
      <w:r>
        <w:rPr>
          <w:u w:val="single"/>
        </w:rPr>
        <w:t>D</w:t>
      </w:r>
      <w:r>
        <w:t>.</w:t>
      </w:r>
    </w:p>
    <w:p w14:paraId="4BF8FBA2" w14:textId="77777777" w:rsidR="00707DEA" w:rsidRPr="00FA0E8C" w:rsidRDefault="00707DEA" w:rsidP="00CE6457">
      <w:pPr>
        <w:pStyle w:val="Heading7"/>
      </w:pPr>
      <w:r w:rsidRPr="00FA0E8C">
        <w:lastRenderedPageBreak/>
        <w:t xml:space="preserve">Bird </w:t>
      </w:r>
      <w:r>
        <w:t>d</w:t>
      </w:r>
      <w:r w:rsidRPr="00FA0E8C">
        <w:t>iversity</w:t>
      </w:r>
    </w:p>
    <w:p w14:paraId="32038458" w14:textId="7FD18B9B" w:rsidR="00707DEA" w:rsidRPr="00707DEA" w:rsidRDefault="00707DEA" w:rsidP="00B44CB8">
      <w:pPr>
        <w:pStyle w:val="twentypointnormal"/>
        <w:keepLines/>
        <w:spacing w:after="200"/>
        <w:ind w:left="0"/>
        <w:rPr>
          <w:rFonts w:ascii="Cambria" w:hAnsi="Cambria"/>
          <w:sz w:val="22"/>
          <w:szCs w:val="22"/>
        </w:rPr>
      </w:pPr>
      <w:r w:rsidRPr="00754573">
        <w:rPr>
          <w:rFonts w:ascii="Cambria" w:hAnsi="Cambria"/>
          <w:sz w:val="22"/>
          <w:szCs w:val="22"/>
        </w:rPr>
        <w:t xml:space="preserve">Various surveys highlight the diversity of birds found within the ecological community, see </w:t>
      </w:r>
      <w:r w:rsidRPr="00754573">
        <w:rPr>
          <w:rFonts w:ascii="Cambria" w:hAnsi="Cambria"/>
          <w:sz w:val="22"/>
          <w:szCs w:val="22"/>
          <w:u w:val="single"/>
        </w:rPr>
        <w:t>Table 1</w:t>
      </w:r>
      <w:r>
        <w:rPr>
          <w:rFonts w:ascii="Cambria" w:hAnsi="Cambria"/>
          <w:sz w:val="22"/>
          <w:szCs w:val="22"/>
          <w:u w:val="single"/>
        </w:rPr>
        <w:t>2</w:t>
      </w:r>
      <w:r w:rsidRPr="00754573">
        <w:rPr>
          <w:rFonts w:ascii="Cambria" w:hAnsi="Cambria"/>
          <w:sz w:val="22"/>
          <w:szCs w:val="22"/>
        </w:rPr>
        <w:t>. The highest numbers have been recorded along the River Murray floodplain corridor, including</w:t>
      </w:r>
      <w:r>
        <w:rPr>
          <w:rFonts w:ascii="Cambria" w:hAnsi="Cambria"/>
          <w:sz w:val="22"/>
          <w:szCs w:val="22"/>
        </w:rPr>
        <w:t xml:space="preserve"> </w:t>
      </w:r>
      <w:r w:rsidRPr="00754573">
        <w:rPr>
          <w:rFonts w:ascii="Cambria" w:hAnsi="Cambria"/>
          <w:sz w:val="22"/>
          <w:szCs w:val="22"/>
        </w:rPr>
        <w:t>Chowilla and nearby regions (see Newall et al. 2009</w:t>
      </w:r>
      <w:r w:rsidR="009D4A96">
        <w:rPr>
          <w:rFonts w:ascii="Cambria" w:hAnsi="Cambria"/>
          <w:sz w:val="22"/>
          <w:szCs w:val="22"/>
        </w:rPr>
        <w:t xml:space="preserve">, </w:t>
      </w:r>
      <w:r w:rsidR="0004460F">
        <w:rPr>
          <w:rFonts w:ascii="Cambria" w:hAnsi="Cambria"/>
          <w:sz w:val="22"/>
          <w:szCs w:val="22"/>
        </w:rPr>
        <w:t xml:space="preserve">McGuinnes et al. 2010, </w:t>
      </w:r>
      <w:r w:rsidRPr="00754573">
        <w:rPr>
          <w:rFonts w:ascii="Cambria" w:hAnsi="Cambria"/>
          <w:sz w:val="22"/>
          <w:szCs w:val="22"/>
        </w:rPr>
        <w:t>Stewart et al. 2010</w:t>
      </w:r>
      <w:r w:rsidR="0004460F">
        <w:rPr>
          <w:rFonts w:ascii="Cambria" w:hAnsi="Cambria"/>
          <w:sz w:val="22"/>
          <w:szCs w:val="22"/>
        </w:rPr>
        <w:t>, Paton et al. 2018,</w:t>
      </w:r>
      <w:r w:rsidRPr="00754573">
        <w:rPr>
          <w:rFonts w:ascii="Cambria" w:hAnsi="Cambria"/>
          <w:sz w:val="22"/>
          <w:szCs w:val="22"/>
        </w:rPr>
        <w:t xml:space="preserve"> </w:t>
      </w:r>
      <w:r w:rsidR="0004460F">
        <w:rPr>
          <w:rFonts w:ascii="Cambria" w:hAnsi="Cambria"/>
          <w:sz w:val="22"/>
          <w:szCs w:val="22"/>
        </w:rPr>
        <w:t xml:space="preserve">Mott et al. 2020 </w:t>
      </w:r>
      <w:r w:rsidRPr="00754573">
        <w:rPr>
          <w:rFonts w:ascii="Cambria" w:hAnsi="Cambria"/>
          <w:sz w:val="22"/>
          <w:szCs w:val="22"/>
        </w:rPr>
        <w:t>for species lists</w:t>
      </w:r>
      <w:r w:rsidR="0004460F">
        <w:rPr>
          <w:rFonts w:ascii="Cambria" w:hAnsi="Cambria"/>
          <w:sz w:val="22"/>
          <w:szCs w:val="22"/>
        </w:rPr>
        <w:t xml:space="preserve"> and associated habitat information</w:t>
      </w:r>
      <w:r w:rsidRPr="00754573">
        <w:rPr>
          <w:rFonts w:ascii="Cambria" w:hAnsi="Cambria"/>
          <w:sz w:val="22"/>
          <w:szCs w:val="22"/>
        </w:rPr>
        <w:t>). Many</w:t>
      </w:r>
      <w:r>
        <w:rPr>
          <w:rFonts w:ascii="Cambria" w:hAnsi="Cambria"/>
          <w:sz w:val="22"/>
          <w:szCs w:val="22"/>
        </w:rPr>
        <w:t xml:space="preserve"> </w:t>
      </w:r>
      <w:r w:rsidRPr="00754573">
        <w:rPr>
          <w:rFonts w:ascii="Cambria" w:hAnsi="Cambria"/>
          <w:sz w:val="22"/>
          <w:szCs w:val="22"/>
        </w:rPr>
        <w:t>of the species recorded were found to be generalists occupying a range of vegetations types, while</w:t>
      </w:r>
      <w:r>
        <w:rPr>
          <w:rFonts w:ascii="Cambria" w:hAnsi="Cambria"/>
          <w:sz w:val="22"/>
          <w:szCs w:val="22"/>
        </w:rPr>
        <w:t xml:space="preserve"> </w:t>
      </w:r>
      <w:r w:rsidRPr="00754573">
        <w:rPr>
          <w:rFonts w:ascii="Cambria" w:hAnsi="Cambria"/>
          <w:sz w:val="22"/>
          <w:szCs w:val="22"/>
        </w:rPr>
        <w:t>others had a closer association with the river or wetlands. Species richness of birds was found to be</w:t>
      </w:r>
      <w:r>
        <w:rPr>
          <w:rFonts w:ascii="Cambria" w:hAnsi="Cambria"/>
          <w:sz w:val="22"/>
          <w:szCs w:val="22"/>
        </w:rPr>
        <w:t xml:space="preserve"> </w:t>
      </w:r>
      <w:r w:rsidRPr="00754573">
        <w:rPr>
          <w:rFonts w:ascii="Cambria" w:hAnsi="Cambria"/>
          <w:sz w:val="22"/>
          <w:szCs w:val="22"/>
        </w:rPr>
        <w:t xml:space="preserve">highest in vegetation with high structural complexity, such as forest and woodland with dense understory (Stewart et al. 2010). </w:t>
      </w:r>
    </w:p>
    <w:p w14:paraId="5281E185" w14:textId="16BED524" w:rsidR="00667FDB" w:rsidRPr="00911949" w:rsidRDefault="00667FDB" w:rsidP="00CE6457">
      <w:pPr>
        <w:pStyle w:val="Heading7"/>
      </w:pPr>
      <w:r w:rsidRPr="00911949">
        <w:t>Floodplain and woodland birds</w:t>
      </w:r>
    </w:p>
    <w:p w14:paraId="4E7BAE42" w14:textId="39884D99" w:rsidR="00C637BD" w:rsidRPr="00C637BD" w:rsidRDefault="00667FDB" w:rsidP="00C637BD">
      <w:pPr>
        <w:contextualSpacing/>
      </w:pPr>
      <w:r>
        <w:t>Stewart et al. (2010) identified six broad groups of bird species and particular structural floristic associations on the SA Murray floodplain (</w:t>
      </w:r>
      <w:r w:rsidRPr="00D83C4E">
        <w:rPr>
          <w:u w:val="single"/>
        </w:rPr>
        <w:t>Table 1</w:t>
      </w:r>
      <w:r>
        <w:rPr>
          <w:u w:val="single"/>
        </w:rPr>
        <w:t>3</w:t>
      </w:r>
      <w:r>
        <w:t xml:space="preserve">). Woodland and forest habitats of the floodplain (i.e. the ecological community) are considered important complementary habitats for woodland </w:t>
      </w:r>
      <w:r w:rsidR="001F5E60">
        <w:t xml:space="preserve">birds in the broader semi-arid landscape. Within South Australia, some species have a limited range that is largely centred on the eucalypt habitat of the Murray floodplain corridor, for example: </w:t>
      </w:r>
      <w:r w:rsidR="001F5E60" w:rsidRPr="00366470">
        <w:rPr>
          <w:i/>
          <w:iCs/>
        </w:rPr>
        <w:t>Entomyzon cyanotis</w:t>
      </w:r>
      <w:r w:rsidR="001F5E60">
        <w:t xml:space="preserve"> (blue-faced honeyeater), </w:t>
      </w:r>
      <w:r w:rsidR="001F5E60" w:rsidRPr="00366470">
        <w:rPr>
          <w:i/>
          <w:iCs/>
        </w:rPr>
        <w:t>Philemon</w:t>
      </w:r>
      <w:r w:rsidR="001F5E60">
        <w:t xml:space="preserve"> </w:t>
      </w:r>
      <w:r w:rsidR="001F5E60" w:rsidRPr="00366470">
        <w:rPr>
          <w:i/>
          <w:iCs/>
        </w:rPr>
        <w:t xml:space="preserve">citreogularis </w:t>
      </w:r>
      <w:r w:rsidR="001F5E60">
        <w:t xml:space="preserve">(little friarbird), </w:t>
      </w:r>
      <w:r w:rsidR="001F5E60" w:rsidRPr="00366470">
        <w:rPr>
          <w:i/>
          <w:iCs/>
        </w:rPr>
        <w:t>Plectorhyncha lanceolata</w:t>
      </w:r>
      <w:r w:rsidR="001F5E60">
        <w:t xml:space="preserve"> (striped honeyeater), </w:t>
      </w:r>
      <w:r w:rsidR="001F5E60" w:rsidRPr="00CA188F">
        <w:rPr>
          <w:i/>
          <w:iCs/>
        </w:rPr>
        <w:t>Polytelis anthopeplus</w:t>
      </w:r>
      <w:r w:rsidR="001F5E60">
        <w:t xml:space="preserve"> (regent parrot), and </w:t>
      </w:r>
      <w:r w:rsidR="001F5E60" w:rsidRPr="00D87599">
        <w:rPr>
          <w:i/>
          <w:iCs/>
        </w:rPr>
        <w:t>Polytelis alexandrae</w:t>
      </w:r>
      <w:r w:rsidR="001F5E60">
        <w:t xml:space="preserve"> (princess parrot) (Stewart et al. 2010). </w:t>
      </w:r>
      <w:r w:rsidR="003848EC">
        <w:t>In addition, l</w:t>
      </w:r>
      <w:r w:rsidR="001F5E60">
        <w:t>ignum shrublands along the River Murray corridor are likely to greatly increase habitat available to small birds that require cover, such as fairy wrens (</w:t>
      </w:r>
      <w:r w:rsidR="001F5E60" w:rsidRPr="00E35FF6">
        <w:rPr>
          <w:i/>
          <w:iCs/>
        </w:rPr>
        <w:t>Malurus</w:t>
      </w:r>
      <w:r w:rsidR="001F5E60">
        <w:t xml:space="preserve"> spp.). </w:t>
      </w:r>
    </w:p>
    <w:p w14:paraId="79D8FADB" w14:textId="77777777" w:rsidR="00C637BD" w:rsidRPr="00431EDB" w:rsidRDefault="00C637BD" w:rsidP="00C637BD">
      <w:pPr>
        <w:pStyle w:val="Heading7"/>
      </w:pPr>
      <w:r w:rsidRPr="00431EDB">
        <w:t>Waterbirds</w:t>
      </w:r>
    </w:p>
    <w:p w14:paraId="141C9E72" w14:textId="77777777" w:rsidR="00C637BD" w:rsidRPr="00BF0B06" w:rsidRDefault="00C637BD" w:rsidP="00C637BD">
      <w:pPr>
        <w:pStyle w:val="twentypointnormal"/>
        <w:spacing w:after="200"/>
        <w:ind w:left="0"/>
        <w:rPr>
          <w:rFonts w:ascii="Cambria" w:hAnsi="Cambria"/>
          <w:sz w:val="22"/>
          <w:szCs w:val="22"/>
        </w:rPr>
      </w:pPr>
      <w:r w:rsidRPr="000269AC">
        <w:rPr>
          <w:rFonts w:ascii="Cambria" w:hAnsi="Cambria"/>
          <w:sz w:val="22"/>
          <w:szCs w:val="22"/>
        </w:rPr>
        <w:t>Waterbirds rely on wetlands and the riparian zone</w:t>
      </w:r>
      <w:r>
        <w:rPr>
          <w:rFonts w:ascii="Cambria" w:hAnsi="Cambria"/>
          <w:sz w:val="22"/>
          <w:szCs w:val="22"/>
        </w:rPr>
        <w:t xml:space="preserve"> </w:t>
      </w:r>
      <w:r w:rsidRPr="000269AC">
        <w:rPr>
          <w:rFonts w:ascii="Cambria" w:hAnsi="Cambria"/>
          <w:sz w:val="22"/>
          <w:szCs w:val="22"/>
        </w:rPr>
        <w:t xml:space="preserve">and are generally highly mobile (DEWNR 2012). They are a key component of the bird fauna of the ecological community. Waterbird biodiversity is high in the three Ramsar wetlands of international importance that occur within the </w:t>
      </w:r>
      <w:r>
        <w:rPr>
          <w:rFonts w:ascii="Cambria" w:hAnsi="Cambria"/>
          <w:sz w:val="22"/>
          <w:szCs w:val="22"/>
        </w:rPr>
        <w:t>RMDS</w:t>
      </w:r>
      <w:r w:rsidRPr="000269AC">
        <w:rPr>
          <w:rFonts w:ascii="Cambria" w:hAnsi="Cambria"/>
          <w:sz w:val="22"/>
          <w:szCs w:val="22"/>
        </w:rPr>
        <w:t xml:space="preserve">:  the Coorong, Lower Lakes and Murray Mouth (CLLMM); Banrock Station Wetland Complex; and Riverland (see </w:t>
      </w:r>
      <w:r w:rsidRPr="000269AC">
        <w:rPr>
          <w:rFonts w:ascii="Cambria" w:hAnsi="Cambria"/>
          <w:sz w:val="22"/>
          <w:szCs w:val="22"/>
          <w:u w:val="single"/>
        </w:rPr>
        <w:t>Table 12</w:t>
      </w:r>
      <w:r w:rsidRPr="000269AC">
        <w:rPr>
          <w:rFonts w:ascii="Cambria" w:hAnsi="Cambria"/>
          <w:sz w:val="22"/>
          <w:szCs w:val="22"/>
        </w:rPr>
        <w:t xml:space="preserve">). Wetlands are valuable to waterbirds as breeding habitat and as a rich food source driven by productivity peaks following inundation after a dry period (Suter et al. 1993, 1995; Scott 1997; Paton et al. 2009b, 2018). </w:t>
      </w:r>
    </w:p>
    <w:p w14:paraId="28F72AB2" w14:textId="77777777" w:rsidR="00C637BD" w:rsidRPr="000269AC" w:rsidRDefault="00C637BD" w:rsidP="00C637BD">
      <w:pPr>
        <w:pStyle w:val="twentypointnormal"/>
        <w:spacing w:after="200"/>
        <w:ind w:left="0"/>
        <w:rPr>
          <w:rFonts w:ascii="Cambria" w:hAnsi="Cambria"/>
          <w:sz w:val="22"/>
          <w:szCs w:val="22"/>
        </w:rPr>
      </w:pPr>
      <w:r w:rsidRPr="000269AC">
        <w:rPr>
          <w:rFonts w:ascii="Cambria" w:hAnsi="Cambria"/>
          <w:sz w:val="22"/>
          <w:szCs w:val="22"/>
        </w:rPr>
        <w:t>The high diversity of waterbirds recorded at Lake Woolpolool (</w:t>
      </w:r>
      <w:r w:rsidRPr="000269AC">
        <w:rPr>
          <w:rFonts w:ascii="Cambria" w:hAnsi="Cambria"/>
          <w:sz w:val="22"/>
          <w:szCs w:val="22"/>
          <w:u w:val="single"/>
        </w:rPr>
        <w:t>Table 12</w:t>
      </w:r>
      <w:r w:rsidRPr="000269AC">
        <w:rPr>
          <w:rFonts w:ascii="Cambria" w:hAnsi="Cambria"/>
          <w:sz w:val="22"/>
          <w:szCs w:val="22"/>
        </w:rPr>
        <w:t>) is indicative of the ecological community having a significant proportion of the aquatic avian fauna when compared to the entire Murray-Darling Basin. Broad groups of waterbirds include (Butcher et al. 2009; Paton et al. 2018):</w:t>
      </w:r>
    </w:p>
    <w:tbl>
      <w:tblPr>
        <w:tblW w:w="0" w:type="auto"/>
        <w:tblInd w:w="284" w:type="dxa"/>
        <w:tblLook w:val="04A0" w:firstRow="1" w:lastRow="0" w:firstColumn="1" w:lastColumn="0" w:noHBand="0" w:noVBand="1"/>
      </w:tblPr>
      <w:tblGrid>
        <w:gridCol w:w="4391"/>
        <w:gridCol w:w="4395"/>
      </w:tblGrid>
      <w:tr w:rsidR="00C637BD" w14:paraId="5CDDBAB2" w14:textId="77777777" w:rsidTr="00BE3931">
        <w:trPr>
          <w:trHeight w:hRule="exact" w:val="397"/>
        </w:trPr>
        <w:tc>
          <w:tcPr>
            <w:tcW w:w="4728" w:type="dxa"/>
            <w:shd w:val="clear" w:color="auto" w:fill="auto"/>
          </w:tcPr>
          <w:p w14:paraId="2D2DB9BE" w14:textId="77777777" w:rsidR="00C637BD" w:rsidRDefault="00C637BD" w:rsidP="00BE3931">
            <w:pPr>
              <w:pStyle w:val="ListParagraph"/>
              <w:numPr>
                <w:ilvl w:val="0"/>
                <w:numId w:val="22"/>
              </w:numPr>
              <w:contextualSpacing w:val="0"/>
            </w:pPr>
            <w:r>
              <w:t>Anatidae (ducks, geese, swans)</w:t>
            </w:r>
          </w:p>
        </w:tc>
        <w:tc>
          <w:tcPr>
            <w:tcW w:w="4729" w:type="dxa"/>
            <w:shd w:val="clear" w:color="auto" w:fill="auto"/>
          </w:tcPr>
          <w:p w14:paraId="4E3B8803" w14:textId="77777777" w:rsidR="00C637BD" w:rsidRDefault="00C637BD" w:rsidP="00BE3931">
            <w:pPr>
              <w:pStyle w:val="ListParagraph"/>
              <w:numPr>
                <w:ilvl w:val="0"/>
                <w:numId w:val="22"/>
              </w:numPr>
              <w:contextualSpacing w:val="0"/>
            </w:pPr>
            <w:r>
              <w:t>Ardeidae (egrets, herons)</w:t>
            </w:r>
          </w:p>
        </w:tc>
      </w:tr>
      <w:tr w:rsidR="00C637BD" w14:paraId="21F9D3DD" w14:textId="77777777" w:rsidTr="00BE3931">
        <w:trPr>
          <w:trHeight w:hRule="exact" w:val="397"/>
        </w:trPr>
        <w:tc>
          <w:tcPr>
            <w:tcW w:w="4728" w:type="dxa"/>
            <w:shd w:val="clear" w:color="auto" w:fill="auto"/>
          </w:tcPr>
          <w:p w14:paraId="4150362D" w14:textId="77777777" w:rsidR="00C637BD" w:rsidRDefault="00C637BD" w:rsidP="00BE3931">
            <w:pPr>
              <w:pStyle w:val="ListParagraph"/>
              <w:numPr>
                <w:ilvl w:val="0"/>
                <w:numId w:val="22"/>
              </w:numPr>
              <w:contextualSpacing w:val="0"/>
            </w:pPr>
            <w:r>
              <w:t>Charadriidae (plovers, dotterels)</w:t>
            </w:r>
          </w:p>
        </w:tc>
        <w:tc>
          <w:tcPr>
            <w:tcW w:w="4729" w:type="dxa"/>
            <w:shd w:val="clear" w:color="auto" w:fill="auto"/>
          </w:tcPr>
          <w:p w14:paraId="3D3B2B53" w14:textId="77777777" w:rsidR="00C637BD" w:rsidRDefault="00C637BD" w:rsidP="00BE3931">
            <w:pPr>
              <w:pStyle w:val="ListParagraph"/>
              <w:numPr>
                <w:ilvl w:val="0"/>
                <w:numId w:val="22"/>
              </w:numPr>
              <w:contextualSpacing w:val="0"/>
            </w:pPr>
            <w:r>
              <w:t>Laridae (gulls, terns)</w:t>
            </w:r>
          </w:p>
        </w:tc>
      </w:tr>
      <w:tr w:rsidR="00C637BD" w14:paraId="0D5EDF62" w14:textId="77777777" w:rsidTr="00BE3931">
        <w:trPr>
          <w:trHeight w:hRule="exact" w:val="397"/>
        </w:trPr>
        <w:tc>
          <w:tcPr>
            <w:tcW w:w="4728" w:type="dxa"/>
            <w:shd w:val="clear" w:color="auto" w:fill="auto"/>
          </w:tcPr>
          <w:p w14:paraId="08418E6B" w14:textId="77777777" w:rsidR="00C637BD" w:rsidRDefault="00C637BD" w:rsidP="00BE3931">
            <w:pPr>
              <w:pStyle w:val="ListParagraph"/>
              <w:numPr>
                <w:ilvl w:val="0"/>
                <w:numId w:val="22"/>
              </w:numPr>
              <w:contextualSpacing w:val="0"/>
            </w:pPr>
            <w:r>
              <w:t>Pelecanidae (pelican)</w:t>
            </w:r>
          </w:p>
        </w:tc>
        <w:tc>
          <w:tcPr>
            <w:tcW w:w="4729" w:type="dxa"/>
            <w:shd w:val="clear" w:color="auto" w:fill="auto"/>
          </w:tcPr>
          <w:p w14:paraId="56015D23" w14:textId="77777777" w:rsidR="00C637BD" w:rsidRDefault="00C637BD" w:rsidP="00BE3931">
            <w:pPr>
              <w:pStyle w:val="ListParagraph"/>
              <w:numPr>
                <w:ilvl w:val="0"/>
                <w:numId w:val="22"/>
              </w:numPr>
              <w:contextualSpacing w:val="0"/>
            </w:pPr>
            <w:r>
              <w:t>Phalacrocoracidae (cormorants)</w:t>
            </w:r>
          </w:p>
        </w:tc>
      </w:tr>
      <w:tr w:rsidR="00C637BD" w14:paraId="69A37D7E" w14:textId="77777777" w:rsidTr="00BE3931">
        <w:trPr>
          <w:trHeight w:hRule="exact" w:val="397"/>
        </w:trPr>
        <w:tc>
          <w:tcPr>
            <w:tcW w:w="4728" w:type="dxa"/>
            <w:shd w:val="clear" w:color="auto" w:fill="auto"/>
          </w:tcPr>
          <w:p w14:paraId="0BAC7A03" w14:textId="77777777" w:rsidR="00C637BD" w:rsidRDefault="00C637BD" w:rsidP="00BE3931">
            <w:pPr>
              <w:pStyle w:val="ListParagraph"/>
              <w:numPr>
                <w:ilvl w:val="0"/>
                <w:numId w:val="22"/>
              </w:numPr>
              <w:contextualSpacing w:val="0"/>
            </w:pPr>
            <w:r>
              <w:t>Threskiornithidae</w:t>
            </w:r>
            <w:r w:rsidDel="001F0D86">
              <w:t xml:space="preserve"> </w:t>
            </w:r>
            <w:r>
              <w:t>(ibis, spoonbills)</w:t>
            </w:r>
          </w:p>
        </w:tc>
        <w:tc>
          <w:tcPr>
            <w:tcW w:w="4729" w:type="dxa"/>
            <w:shd w:val="clear" w:color="auto" w:fill="auto"/>
          </w:tcPr>
          <w:p w14:paraId="72D17C89" w14:textId="77777777" w:rsidR="00C637BD" w:rsidRDefault="00C637BD" w:rsidP="00BE3931">
            <w:pPr>
              <w:pStyle w:val="ListParagraph"/>
              <w:numPr>
                <w:ilvl w:val="0"/>
                <w:numId w:val="22"/>
              </w:numPr>
              <w:contextualSpacing w:val="0"/>
            </w:pPr>
            <w:r>
              <w:t>Podicipedidae (grebes)</w:t>
            </w:r>
          </w:p>
        </w:tc>
      </w:tr>
      <w:tr w:rsidR="00C637BD" w14:paraId="650D1486" w14:textId="77777777" w:rsidTr="00BE3931">
        <w:trPr>
          <w:trHeight w:hRule="exact" w:val="397"/>
        </w:trPr>
        <w:tc>
          <w:tcPr>
            <w:tcW w:w="4728" w:type="dxa"/>
            <w:shd w:val="clear" w:color="auto" w:fill="auto"/>
          </w:tcPr>
          <w:p w14:paraId="40123000" w14:textId="77777777" w:rsidR="00C637BD" w:rsidRDefault="00C637BD" w:rsidP="00BE3931">
            <w:pPr>
              <w:pStyle w:val="ListParagraph"/>
              <w:numPr>
                <w:ilvl w:val="0"/>
                <w:numId w:val="22"/>
              </w:numPr>
              <w:contextualSpacing w:val="0"/>
            </w:pPr>
            <w:r>
              <w:t>Rallidae (crakes, rails)</w:t>
            </w:r>
          </w:p>
        </w:tc>
        <w:tc>
          <w:tcPr>
            <w:tcW w:w="4729" w:type="dxa"/>
            <w:shd w:val="clear" w:color="auto" w:fill="auto"/>
          </w:tcPr>
          <w:p w14:paraId="14C8590D" w14:textId="77777777" w:rsidR="00C637BD" w:rsidRDefault="00C637BD" w:rsidP="00BE3931">
            <w:pPr>
              <w:pStyle w:val="ListParagraph"/>
              <w:numPr>
                <w:ilvl w:val="0"/>
                <w:numId w:val="22"/>
              </w:numPr>
              <w:contextualSpacing w:val="0"/>
            </w:pPr>
            <w:r>
              <w:t xml:space="preserve">Recurvirostridae (avocets, stilts) </w:t>
            </w:r>
          </w:p>
        </w:tc>
      </w:tr>
      <w:tr w:rsidR="00C637BD" w14:paraId="3D78E022" w14:textId="77777777" w:rsidTr="00BE3931">
        <w:trPr>
          <w:trHeight w:hRule="exact" w:val="397"/>
        </w:trPr>
        <w:tc>
          <w:tcPr>
            <w:tcW w:w="4728" w:type="dxa"/>
            <w:shd w:val="clear" w:color="auto" w:fill="auto"/>
          </w:tcPr>
          <w:p w14:paraId="41D9397D" w14:textId="77777777" w:rsidR="00C637BD" w:rsidRDefault="00C637BD" w:rsidP="00BE3931">
            <w:pPr>
              <w:pStyle w:val="ListParagraph"/>
              <w:numPr>
                <w:ilvl w:val="0"/>
                <w:numId w:val="22"/>
              </w:numPr>
              <w:contextualSpacing w:val="0"/>
            </w:pPr>
            <w:r>
              <w:t>Scolopacidae (sandpipers, stints)</w:t>
            </w:r>
          </w:p>
        </w:tc>
        <w:tc>
          <w:tcPr>
            <w:tcW w:w="4729" w:type="dxa"/>
            <w:shd w:val="clear" w:color="auto" w:fill="auto"/>
          </w:tcPr>
          <w:p w14:paraId="457F3DF6" w14:textId="77777777" w:rsidR="00C637BD" w:rsidRDefault="00C637BD" w:rsidP="00BE3931"/>
        </w:tc>
      </w:tr>
    </w:tbl>
    <w:p w14:paraId="594C97F5" w14:textId="77777777" w:rsidR="00C637BD" w:rsidRDefault="00C637BD" w:rsidP="00B44CB8">
      <w:pPr>
        <w:pStyle w:val="Caption"/>
        <w:rPr>
          <w:szCs w:val="22"/>
        </w:rPr>
      </w:pPr>
    </w:p>
    <w:p w14:paraId="2B53F650" w14:textId="77777777" w:rsidR="00C637BD" w:rsidRDefault="00C637BD" w:rsidP="00B44CB8">
      <w:pPr>
        <w:pStyle w:val="Caption"/>
        <w:rPr>
          <w:szCs w:val="22"/>
        </w:rPr>
      </w:pPr>
    </w:p>
    <w:p w14:paraId="2ADA3DC0" w14:textId="77777777" w:rsidR="00C637BD" w:rsidRDefault="00C637BD" w:rsidP="00B44CB8">
      <w:pPr>
        <w:pStyle w:val="Caption"/>
        <w:rPr>
          <w:szCs w:val="22"/>
        </w:rPr>
      </w:pPr>
    </w:p>
    <w:p w14:paraId="534AEAB0" w14:textId="08B8CD19" w:rsidR="00E101F2" w:rsidRPr="00B44CB8" w:rsidRDefault="00B44CB8" w:rsidP="00B44CB8">
      <w:pPr>
        <w:pStyle w:val="Caption"/>
        <w:rPr>
          <w:b w:val="0"/>
          <w:bCs/>
          <w:szCs w:val="22"/>
        </w:rPr>
      </w:pPr>
      <w:r w:rsidRPr="00B44CB8">
        <w:rPr>
          <w:szCs w:val="22"/>
        </w:rPr>
        <w:lastRenderedPageBreak/>
        <w:t xml:space="preserve">Table </w:t>
      </w:r>
      <w:r w:rsidRPr="00B44CB8">
        <w:rPr>
          <w:szCs w:val="22"/>
        </w:rPr>
        <w:fldChar w:fldCharType="begin"/>
      </w:r>
      <w:r w:rsidRPr="00B44CB8">
        <w:rPr>
          <w:szCs w:val="22"/>
        </w:rPr>
        <w:instrText xml:space="preserve"> SEQ Table \* ARABIC </w:instrText>
      </w:r>
      <w:r w:rsidRPr="00B44CB8">
        <w:rPr>
          <w:szCs w:val="22"/>
        </w:rPr>
        <w:fldChar w:fldCharType="separate"/>
      </w:r>
      <w:r w:rsidR="006D35C5">
        <w:rPr>
          <w:noProof/>
          <w:szCs w:val="22"/>
        </w:rPr>
        <w:t>13</w:t>
      </w:r>
      <w:r w:rsidRPr="00B44CB8">
        <w:rPr>
          <w:szCs w:val="22"/>
        </w:rPr>
        <w:fldChar w:fldCharType="end"/>
      </w:r>
      <w:r w:rsidR="00E101F2" w:rsidRPr="00B44CB8">
        <w:rPr>
          <w:bCs/>
          <w:szCs w:val="22"/>
        </w:rPr>
        <w:t>: Floodplain bird assemblages determined from analysis of data from the 2003</w:t>
      </w:r>
      <w:r w:rsidR="00A81091">
        <w:rPr>
          <w:bCs/>
          <w:szCs w:val="22"/>
        </w:rPr>
        <w:t>–</w:t>
      </w:r>
      <w:r w:rsidR="00E101F2" w:rsidRPr="00B44CB8">
        <w:rPr>
          <w:bCs/>
          <w:szCs w:val="22"/>
        </w:rPr>
        <w:t>04 survey of the South Australian River Murray Valley (</w:t>
      </w:r>
      <w:r w:rsidR="008949F2" w:rsidRPr="00B44CB8">
        <w:rPr>
          <w:bCs/>
          <w:szCs w:val="22"/>
        </w:rPr>
        <w:t xml:space="preserve">note, </w:t>
      </w:r>
      <w:r w:rsidR="00E101F2" w:rsidRPr="00B44CB8">
        <w:rPr>
          <w:bCs/>
          <w:szCs w:val="22"/>
        </w:rPr>
        <w:t xml:space="preserve">all waterbirds, migratory, highly mobile species or birds at &lt; 4 sites </w:t>
      </w:r>
      <w:r w:rsidR="008949F2" w:rsidRPr="00B44CB8">
        <w:rPr>
          <w:bCs/>
          <w:szCs w:val="22"/>
        </w:rPr>
        <w:t xml:space="preserve">were </w:t>
      </w:r>
      <w:r w:rsidR="00E101F2" w:rsidRPr="00B44CB8">
        <w:rPr>
          <w:bCs/>
          <w:szCs w:val="22"/>
        </w:rPr>
        <w:t>removed from th</w:t>
      </w:r>
      <w:r w:rsidR="008949F2" w:rsidRPr="00B44CB8">
        <w:rPr>
          <w:bCs/>
          <w:szCs w:val="22"/>
        </w:rPr>
        <w:t>is</w:t>
      </w:r>
      <w:r w:rsidR="00E101F2" w:rsidRPr="00B44CB8">
        <w:rPr>
          <w:bCs/>
          <w:szCs w:val="22"/>
        </w:rPr>
        <w:t xml:space="preserve"> analysis). Note, species may occur in more than one group</w:t>
      </w:r>
      <w:r w:rsidR="00B25DE4" w:rsidRPr="00B44CB8">
        <w:rPr>
          <w:bCs/>
          <w:szCs w:val="22"/>
        </w:rPr>
        <w:t xml:space="preserve"> (Stewart et al. 2010)</w:t>
      </w:r>
      <w:r w:rsidR="00E101F2" w:rsidRPr="00B44CB8">
        <w:rPr>
          <w:bCs/>
          <w:szCs w:val="22"/>
        </w:rPr>
        <w:t>.</w:t>
      </w:r>
    </w:p>
    <w:tbl>
      <w:tblPr>
        <w:tblStyle w:val="TableGrid"/>
        <w:tblW w:w="5000" w:type="pct"/>
        <w:tblLook w:val="04A0" w:firstRow="1" w:lastRow="0" w:firstColumn="1" w:lastColumn="0" w:noHBand="0" w:noVBand="1"/>
      </w:tblPr>
      <w:tblGrid>
        <w:gridCol w:w="4190"/>
        <w:gridCol w:w="947"/>
        <w:gridCol w:w="3923"/>
      </w:tblGrid>
      <w:tr w:rsidR="00BA3CA4" w14:paraId="7D7013E9" w14:textId="77777777" w:rsidTr="00667538">
        <w:trPr>
          <w:trHeight w:val="340"/>
          <w:tblHeader/>
        </w:trPr>
        <w:tc>
          <w:tcPr>
            <w:tcW w:w="2312" w:type="pct"/>
            <w:shd w:val="clear" w:color="auto" w:fill="DEEAF6" w:themeFill="accent1" w:themeFillTint="33"/>
          </w:tcPr>
          <w:p w14:paraId="362F722E" w14:textId="6E5EC8EA" w:rsidR="00BA3CA4" w:rsidRPr="00A927F8" w:rsidRDefault="00BA3CA4" w:rsidP="00B10C18">
            <w:pPr>
              <w:rPr>
                <w:b/>
                <w:bCs/>
                <w:sz w:val="24"/>
                <w:szCs w:val="24"/>
              </w:rPr>
            </w:pPr>
            <w:r w:rsidRPr="00A927F8">
              <w:rPr>
                <w:b/>
                <w:bCs/>
                <w:sz w:val="24"/>
                <w:szCs w:val="24"/>
              </w:rPr>
              <w:t xml:space="preserve">Bird Assemblage Group       </w:t>
            </w:r>
            <w:r w:rsidR="001E2A13" w:rsidRPr="00A927F8">
              <w:rPr>
                <w:b/>
                <w:bCs/>
                <w:sz w:val="24"/>
                <w:szCs w:val="24"/>
              </w:rPr>
              <w:t xml:space="preserve">  (</w:t>
            </w:r>
            <w:r w:rsidRPr="00A927F8">
              <w:rPr>
                <w:b/>
                <w:bCs/>
                <w:sz w:val="24"/>
                <w:szCs w:val="24"/>
              </w:rPr>
              <w:t>salinity/understory)</w:t>
            </w:r>
          </w:p>
        </w:tc>
        <w:tc>
          <w:tcPr>
            <w:tcW w:w="522" w:type="pct"/>
            <w:shd w:val="clear" w:color="auto" w:fill="DEEAF6" w:themeFill="accent1" w:themeFillTint="33"/>
          </w:tcPr>
          <w:p w14:paraId="553C15D1" w14:textId="77777777" w:rsidR="00BA3CA4" w:rsidRPr="00A927F8" w:rsidRDefault="00BA3CA4" w:rsidP="00B10C18">
            <w:pPr>
              <w:rPr>
                <w:b/>
                <w:bCs/>
                <w:sz w:val="24"/>
                <w:szCs w:val="24"/>
              </w:rPr>
            </w:pPr>
            <w:r w:rsidRPr="00A927F8">
              <w:rPr>
                <w:b/>
                <w:bCs/>
                <w:sz w:val="24"/>
                <w:szCs w:val="24"/>
              </w:rPr>
              <w:t xml:space="preserve"> No. Spp. / (Sites)</w:t>
            </w:r>
          </w:p>
        </w:tc>
        <w:tc>
          <w:tcPr>
            <w:tcW w:w="2165" w:type="pct"/>
            <w:shd w:val="clear" w:color="auto" w:fill="DEEAF6" w:themeFill="accent1" w:themeFillTint="33"/>
          </w:tcPr>
          <w:p w14:paraId="7D1DDB39" w14:textId="77777777" w:rsidR="00BA3CA4" w:rsidRPr="00A927F8" w:rsidRDefault="00BA3CA4" w:rsidP="00B10C18">
            <w:pPr>
              <w:rPr>
                <w:b/>
                <w:bCs/>
                <w:sz w:val="24"/>
                <w:szCs w:val="24"/>
              </w:rPr>
            </w:pPr>
            <w:r w:rsidRPr="00A927F8">
              <w:rPr>
                <w:b/>
                <w:bCs/>
                <w:sz w:val="24"/>
                <w:szCs w:val="24"/>
              </w:rPr>
              <w:t>‘Indicator’ and example species</w:t>
            </w:r>
          </w:p>
        </w:tc>
      </w:tr>
      <w:tr w:rsidR="00BA3CA4" w14:paraId="0C35A180" w14:textId="77777777" w:rsidTr="00B44CB8">
        <w:tc>
          <w:tcPr>
            <w:tcW w:w="2312" w:type="pct"/>
          </w:tcPr>
          <w:p w14:paraId="4FB8DBBD" w14:textId="3076EF91" w:rsidR="00BA3CA4" w:rsidRPr="00BC3ABE" w:rsidRDefault="00BA3CA4" w:rsidP="00B10C18">
            <w:pPr>
              <w:rPr>
                <w:sz w:val="20"/>
                <w:szCs w:val="20"/>
              </w:rPr>
            </w:pPr>
            <w:r w:rsidRPr="00BC3ABE">
              <w:rPr>
                <w:b/>
                <w:bCs/>
                <w:sz w:val="20"/>
                <w:szCs w:val="20"/>
              </w:rPr>
              <w:t xml:space="preserve">1/Birds of </w:t>
            </w:r>
            <w:r w:rsidR="00AF75D2" w:rsidRPr="00BC3ABE">
              <w:rPr>
                <w:b/>
                <w:bCs/>
                <w:sz w:val="20"/>
                <w:szCs w:val="20"/>
              </w:rPr>
              <w:t>t</w:t>
            </w:r>
            <w:r w:rsidRPr="00BC3ABE">
              <w:rPr>
                <w:b/>
                <w:bCs/>
                <w:sz w:val="20"/>
                <w:szCs w:val="20"/>
              </w:rPr>
              <w:t xml:space="preserve">aller </w:t>
            </w:r>
            <w:r w:rsidR="00AF75D2" w:rsidRPr="00BC3ABE">
              <w:rPr>
                <w:b/>
                <w:bCs/>
                <w:sz w:val="20"/>
                <w:szCs w:val="20"/>
              </w:rPr>
              <w:t>ri</w:t>
            </w:r>
            <w:r w:rsidRPr="00BC3ABE">
              <w:rPr>
                <w:b/>
                <w:bCs/>
                <w:sz w:val="20"/>
                <w:szCs w:val="20"/>
              </w:rPr>
              <w:t xml:space="preserve">ver </w:t>
            </w:r>
            <w:r w:rsidR="00AF75D2" w:rsidRPr="00BC3ABE">
              <w:rPr>
                <w:b/>
                <w:bCs/>
                <w:sz w:val="20"/>
                <w:szCs w:val="20"/>
              </w:rPr>
              <w:t>r</w:t>
            </w:r>
            <w:r w:rsidRPr="00BC3ABE">
              <w:rPr>
                <w:b/>
                <w:bCs/>
                <w:sz w:val="20"/>
                <w:szCs w:val="20"/>
              </w:rPr>
              <w:t xml:space="preserve">ed </w:t>
            </w:r>
            <w:r w:rsidR="00AF75D2" w:rsidRPr="00BC3ABE">
              <w:rPr>
                <w:b/>
                <w:bCs/>
                <w:sz w:val="20"/>
                <w:szCs w:val="20"/>
              </w:rPr>
              <w:t>g</w:t>
            </w:r>
            <w:r w:rsidRPr="00BC3ABE">
              <w:rPr>
                <w:b/>
                <w:bCs/>
                <w:sz w:val="20"/>
                <w:szCs w:val="20"/>
              </w:rPr>
              <w:t xml:space="preserve">um and </w:t>
            </w:r>
            <w:r w:rsidR="00AF75D2" w:rsidRPr="00BC3ABE">
              <w:rPr>
                <w:b/>
                <w:bCs/>
                <w:sz w:val="20"/>
                <w:szCs w:val="20"/>
              </w:rPr>
              <w:t>b</w:t>
            </w:r>
            <w:r w:rsidRPr="00BC3ABE">
              <w:rPr>
                <w:b/>
                <w:bCs/>
                <w:sz w:val="20"/>
                <w:szCs w:val="20"/>
              </w:rPr>
              <w:t xml:space="preserve">lack </w:t>
            </w:r>
            <w:r w:rsidR="00AF75D2" w:rsidRPr="00BC3ABE">
              <w:rPr>
                <w:b/>
                <w:bCs/>
                <w:sz w:val="20"/>
                <w:szCs w:val="20"/>
              </w:rPr>
              <w:t>b</w:t>
            </w:r>
            <w:r w:rsidRPr="00BC3ABE">
              <w:rPr>
                <w:b/>
                <w:bCs/>
                <w:sz w:val="20"/>
                <w:szCs w:val="20"/>
              </w:rPr>
              <w:t xml:space="preserve">ox woodlands &amp; forests </w:t>
            </w:r>
            <w:r w:rsidRPr="00BC3ABE">
              <w:rPr>
                <w:sz w:val="20"/>
                <w:szCs w:val="20"/>
              </w:rPr>
              <w:t xml:space="preserve">(least saline; lignum, Phragmites; bottlebrush, chenopod shrubs) </w:t>
            </w:r>
          </w:p>
        </w:tc>
        <w:tc>
          <w:tcPr>
            <w:tcW w:w="522" w:type="pct"/>
          </w:tcPr>
          <w:p w14:paraId="01D2B283" w14:textId="77777777" w:rsidR="00BA3CA4" w:rsidRPr="00BC3ABE" w:rsidRDefault="00BA3CA4" w:rsidP="00B10C18">
            <w:pPr>
              <w:jc w:val="center"/>
              <w:rPr>
                <w:sz w:val="20"/>
                <w:szCs w:val="20"/>
              </w:rPr>
            </w:pPr>
            <w:r w:rsidRPr="00BC3ABE">
              <w:rPr>
                <w:sz w:val="20"/>
                <w:szCs w:val="20"/>
              </w:rPr>
              <w:t>61 (59)</w:t>
            </w:r>
          </w:p>
        </w:tc>
        <w:tc>
          <w:tcPr>
            <w:tcW w:w="2165" w:type="pct"/>
          </w:tcPr>
          <w:p w14:paraId="0B16FEB2" w14:textId="77777777" w:rsidR="00BA3CA4" w:rsidRPr="00BC3ABE" w:rsidRDefault="00BA3CA4" w:rsidP="00B10C18">
            <w:pPr>
              <w:rPr>
                <w:sz w:val="20"/>
                <w:szCs w:val="20"/>
              </w:rPr>
            </w:pPr>
            <w:r w:rsidRPr="00BC3ABE">
              <w:rPr>
                <w:sz w:val="20"/>
                <w:szCs w:val="20"/>
              </w:rPr>
              <w:t>crimson rosella; white-plumed honeyeater; striated pardalote; dusky wood swallow</w:t>
            </w:r>
          </w:p>
        </w:tc>
      </w:tr>
      <w:tr w:rsidR="00BA3CA4" w14:paraId="6D9FF4F1" w14:textId="77777777" w:rsidTr="00B44CB8">
        <w:tc>
          <w:tcPr>
            <w:tcW w:w="2312" w:type="pct"/>
          </w:tcPr>
          <w:p w14:paraId="008163C4" w14:textId="2D3EEAD6" w:rsidR="00BA3CA4" w:rsidRPr="00BC3ABE" w:rsidRDefault="00BA3CA4" w:rsidP="00B10C18">
            <w:pPr>
              <w:rPr>
                <w:sz w:val="20"/>
                <w:szCs w:val="20"/>
              </w:rPr>
            </w:pPr>
            <w:r w:rsidRPr="00BC3ABE">
              <w:rPr>
                <w:b/>
                <w:bCs/>
                <w:sz w:val="20"/>
                <w:szCs w:val="20"/>
              </w:rPr>
              <w:t xml:space="preserve">2/Birds of </w:t>
            </w:r>
            <w:r w:rsidR="00AF75D2" w:rsidRPr="00BC3ABE">
              <w:rPr>
                <w:b/>
                <w:bCs/>
                <w:sz w:val="20"/>
                <w:szCs w:val="20"/>
              </w:rPr>
              <w:t>d</w:t>
            </w:r>
            <w:r w:rsidRPr="00BC3ABE">
              <w:rPr>
                <w:b/>
                <w:bCs/>
                <w:sz w:val="20"/>
                <w:szCs w:val="20"/>
              </w:rPr>
              <w:t xml:space="preserve">egraded </w:t>
            </w:r>
            <w:r w:rsidR="00AF75D2" w:rsidRPr="00BC3ABE">
              <w:rPr>
                <w:b/>
                <w:bCs/>
                <w:sz w:val="20"/>
                <w:szCs w:val="20"/>
              </w:rPr>
              <w:t>r</w:t>
            </w:r>
            <w:r w:rsidRPr="00BC3ABE">
              <w:rPr>
                <w:b/>
                <w:bCs/>
                <w:sz w:val="20"/>
                <w:szCs w:val="20"/>
              </w:rPr>
              <w:t xml:space="preserve">iver </w:t>
            </w:r>
            <w:r w:rsidR="00AF75D2" w:rsidRPr="00BC3ABE">
              <w:rPr>
                <w:b/>
                <w:bCs/>
                <w:sz w:val="20"/>
                <w:szCs w:val="20"/>
              </w:rPr>
              <w:t>r</w:t>
            </w:r>
            <w:r w:rsidRPr="00BC3ABE">
              <w:rPr>
                <w:b/>
                <w:bCs/>
                <w:sz w:val="20"/>
                <w:szCs w:val="20"/>
              </w:rPr>
              <w:t xml:space="preserve">ed </w:t>
            </w:r>
            <w:r w:rsidR="00AF75D2" w:rsidRPr="00BC3ABE">
              <w:rPr>
                <w:b/>
                <w:bCs/>
                <w:sz w:val="20"/>
                <w:szCs w:val="20"/>
              </w:rPr>
              <w:t>g</w:t>
            </w:r>
            <w:r w:rsidRPr="00BC3ABE">
              <w:rPr>
                <w:b/>
                <w:bCs/>
                <w:sz w:val="20"/>
                <w:szCs w:val="20"/>
              </w:rPr>
              <w:t xml:space="preserve">um woodlands &amp; forests of southern River Murray </w:t>
            </w:r>
            <w:r w:rsidRPr="00BC3ABE">
              <w:rPr>
                <w:sz w:val="20"/>
                <w:szCs w:val="20"/>
              </w:rPr>
              <w:t>(low-medium salinity; lignum, Phragmites, ruby saltbush, river saltbush)</w:t>
            </w:r>
          </w:p>
        </w:tc>
        <w:tc>
          <w:tcPr>
            <w:tcW w:w="522" w:type="pct"/>
          </w:tcPr>
          <w:p w14:paraId="7EDD0A3A" w14:textId="77777777" w:rsidR="00BA3CA4" w:rsidRPr="00BC3ABE" w:rsidRDefault="00BA3CA4" w:rsidP="00B10C18">
            <w:pPr>
              <w:jc w:val="center"/>
              <w:rPr>
                <w:sz w:val="20"/>
                <w:szCs w:val="20"/>
              </w:rPr>
            </w:pPr>
            <w:r w:rsidRPr="00BC3ABE">
              <w:rPr>
                <w:sz w:val="20"/>
                <w:szCs w:val="20"/>
              </w:rPr>
              <w:t>43 (17)</w:t>
            </w:r>
          </w:p>
        </w:tc>
        <w:tc>
          <w:tcPr>
            <w:tcW w:w="2165" w:type="pct"/>
          </w:tcPr>
          <w:p w14:paraId="00DE5CEF" w14:textId="77777777" w:rsidR="00BA3CA4" w:rsidRPr="00BC3ABE" w:rsidRDefault="00BA3CA4" w:rsidP="00B10C18">
            <w:pPr>
              <w:rPr>
                <w:sz w:val="20"/>
                <w:szCs w:val="20"/>
              </w:rPr>
            </w:pPr>
            <w:r w:rsidRPr="00BC3ABE">
              <w:rPr>
                <w:sz w:val="20"/>
                <w:szCs w:val="20"/>
              </w:rPr>
              <w:t>superb fairy-wren; little grassbird; new holland honeyeater; high proportion of feral species</w:t>
            </w:r>
          </w:p>
        </w:tc>
      </w:tr>
      <w:tr w:rsidR="00BA3CA4" w14:paraId="5306549A" w14:textId="77777777" w:rsidTr="00B44CB8">
        <w:tc>
          <w:tcPr>
            <w:tcW w:w="2312" w:type="pct"/>
          </w:tcPr>
          <w:p w14:paraId="2C84C3A1" w14:textId="32333330" w:rsidR="00BA3CA4" w:rsidRPr="00BC3ABE" w:rsidRDefault="00BA3CA4" w:rsidP="00B10C18">
            <w:pPr>
              <w:rPr>
                <w:b/>
                <w:bCs/>
                <w:sz w:val="20"/>
                <w:szCs w:val="20"/>
              </w:rPr>
            </w:pPr>
            <w:r w:rsidRPr="00BC3ABE">
              <w:rPr>
                <w:b/>
                <w:bCs/>
                <w:sz w:val="20"/>
                <w:szCs w:val="20"/>
              </w:rPr>
              <w:t xml:space="preserve">3/Birds of </w:t>
            </w:r>
            <w:r w:rsidR="00AF75D2" w:rsidRPr="00BC3ABE">
              <w:rPr>
                <w:b/>
                <w:bCs/>
                <w:sz w:val="20"/>
                <w:szCs w:val="20"/>
              </w:rPr>
              <w:t>n</w:t>
            </w:r>
            <w:r w:rsidRPr="00BC3ABE">
              <w:rPr>
                <w:b/>
                <w:bCs/>
                <w:sz w:val="20"/>
                <w:szCs w:val="20"/>
              </w:rPr>
              <w:t xml:space="preserve">orthern </w:t>
            </w:r>
            <w:r w:rsidR="00AF75D2" w:rsidRPr="00BC3ABE">
              <w:rPr>
                <w:b/>
                <w:bCs/>
                <w:sz w:val="20"/>
                <w:szCs w:val="20"/>
              </w:rPr>
              <w:t>b</w:t>
            </w:r>
            <w:r w:rsidRPr="00BC3ABE">
              <w:rPr>
                <w:b/>
                <w:bCs/>
                <w:sz w:val="20"/>
                <w:szCs w:val="20"/>
              </w:rPr>
              <w:t xml:space="preserve">lack </w:t>
            </w:r>
            <w:r w:rsidR="000E023D" w:rsidRPr="00BC3ABE">
              <w:rPr>
                <w:b/>
                <w:bCs/>
                <w:sz w:val="20"/>
                <w:szCs w:val="20"/>
              </w:rPr>
              <w:t>b</w:t>
            </w:r>
            <w:r w:rsidRPr="00BC3ABE">
              <w:rPr>
                <w:b/>
                <w:bCs/>
                <w:sz w:val="20"/>
                <w:szCs w:val="20"/>
              </w:rPr>
              <w:t xml:space="preserve">ox woodlands &amp; </w:t>
            </w:r>
            <w:r w:rsidR="00AF75D2" w:rsidRPr="00BC3ABE">
              <w:rPr>
                <w:b/>
                <w:bCs/>
                <w:sz w:val="20"/>
                <w:szCs w:val="20"/>
              </w:rPr>
              <w:t>l</w:t>
            </w:r>
            <w:r w:rsidRPr="00BC3ABE">
              <w:rPr>
                <w:b/>
                <w:bCs/>
                <w:sz w:val="20"/>
                <w:szCs w:val="20"/>
              </w:rPr>
              <w:t xml:space="preserve">ignum shrublands </w:t>
            </w:r>
            <w:r w:rsidRPr="00BC3ABE">
              <w:rPr>
                <w:sz w:val="20"/>
                <w:szCs w:val="20"/>
              </w:rPr>
              <w:t xml:space="preserve">(low-medium salinity; typically open shrubland; river saltbush, spreading emubush, ruby saltbush) </w:t>
            </w:r>
          </w:p>
        </w:tc>
        <w:tc>
          <w:tcPr>
            <w:tcW w:w="522" w:type="pct"/>
          </w:tcPr>
          <w:p w14:paraId="7C51C316" w14:textId="77777777" w:rsidR="00BA3CA4" w:rsidRPr="00BC3ABE" w:rsidRDefault="00BA3CA4" w:rsidP="00B10C18">
            <w:pPr>
              <w:jc w:val="center"/>
              <w:rPr>
                <w:sz w:val="20"/>
                <w:szCs w:val="20"/>
              </w:rPr>
            </w:pPr>
            <w:r w:rsidRPr="00BC3ABE">
              <w:rPr>
                <w:sz w:val="20"/>
                <w:szCs w:val="20"/>
              </w:rPr>
              <w:t>61 (32)</w:t>
            </w:r>
          </w:p>
        </w:tc>
        <w:tc>
          <w:tcPr>
            <w:tcW w:w="2165" w:type="pct"/>
          </w:tcPr>
          <w:p w14:paraId="67B62DC2" w14:textId="77777777" w:rsidR="00BA3CA4" w:rsidRPr="00BC3ABE" w:rsidRDefault="00BA3CA4" w:rsidP="00B10C18">
            <w:pPr>
              <w:rPr>
                <w:sz w:val="20"/>
                <w:szCs w:val="20"/>
              </w:rPr>
            </w:pPr>
            <w:r w:rsidRPr="00BC3ABE">
              <w:rPr>
                <w:sz w:val="20"/>
                <w:szCs w:val="20"/>
              </w:rPr>
              <w:t>weebill; chestnut-rumped thornbill; little friarbird; striped honeyeater</w:t>
            </w:r>
          </w:p>
        </w:tc>
      </w:tr>
      <w:tr w:rsidR="00BA3CA4" w14:paraId="21221C1B" w14:textId="77777777" w:rsidTr="00B44CB8">
        <w:tc>
          <w:tcPr>
            <w:tcW w:w="2312" w:type="pct"/>
          </w:tcPr>
          <w:p w14:paraId="34E86BB7" w14:textId="77777777" w:rsidR="00BA3CA4" w:rsidRPr="00BC3ABE" w:rsidRDefault="00BA3CA4" w:rsidP="00B10C18">
            <w:pPr>
              <w:rPr>
                <w:sz w:val="20"/>
                <w:szCs w:val="20"/>
              </w:rPr>
            </w:pPr>
            <w:r w:rsidRPr="00BC3ABE">
              <w:rPr>
                <w:b/>
                <w:bCs/>
                <w:sz w:val="20"/>
                <w:szCs w:val="20"/>
              </w:rPr>
              <w:t>4/Birds of the highly saline Chowilla floodplain shrublands</w:t>
            </w:r>
            <w:r w:rsidRPr="00BC3ABE">
              <w:rPr>
                <w:sz w:val="20"/>
                <w:szCs w:val="20"/>
              </w:rPr>
              <w:t xml:space="preserve"> (very high salinity; open lignum shrubland)</w:t>
            </w:r>
          </w:p>
        </w:tc>
        <w:tc>
          <w:tcPr>
            <w:tcW w:w="522" w:type="pct"/>
          </w:tcPr>
          <w:p w14:paraId="5379282A" w14:textId="77777777" w:rsidR="00BA3CA4" w:rsidRPr="00BC3ABE" w:rsidRDefault="00BA3CA4" w:rsidP="00B10C18">
            <w:pPr>
              <w:jc w:val="center"/>
              <w:rPr>
                <w:sz w:val="20"/>
                <w:szCs w:val="20"/>
              </w:rPr>
            </w:pPr>
            <w:r w:rsidRPr="00BC3ABE">
              <w:rPr>
                <w:sz w:val="20"/>
                <w:szCs w:val="20"/>
              </w:rPr>
              <w:t>13 (3)</w:t>
            </w:r>
          </w:p>
        </w:tc>
        <w:tc>
          <w:tcPr>
            <w:tcW w:w="2165" w:type="pct"/>
          </w:tcPr>
          <w:p w14:paraId="6A06C78B" w14:textId="77777777" w:rsidR="00BA3CA4" w:rsidRPr="00BC3ABE" w:rsidRDefault="00BA3CA4" w:rsidP="00B10C18">
            <w:pPr>
              <w:rPr>
                <w:sz w:val="20"/>
                <w:szCs w:val="20"/>
              </w:rPr>
            </w:pPr>
            <w:r w:rsidRPr="00BC3ABE">
              <w:rPr>
                <w:sz w:val="20"/>
                <w:szCs w:val="20"/>
              </w:rPr>
              <w:t>hooded robin; blue bonnet; chestnut-rumped thornbill; red-capped robin; southern whiteface</w:t>
            </w:r>
          </w:p>
        </w:tc>
      </w:tr>
      <w:tr w:rsidR="00BA3CA4" w14:paraId="41A8D31F" w14:textId="77777777" w:rsidTr="00B44CB8">
        <w:tc>
          <w:tcPr>
            <w:tcW w:w="2312" w:type="pct"/>
          </w:tcPr>
          <w:p w14:paraId="349CEDE8" w14:textId="41CE2F0B" w:rsidR="00BA3CA4" w:rsidRPr="00BC3ABE" w:rsidRDefault="00BA3CA4" w:rsidP="00B10C18">
            <w:pPr>
              <w:rPr>
                <w:sz w:val="20"/>
                <w:szCs w:val="20"/>
              </w:rPr>
            </w:pPr>
            <w:r w:rsidRPr="00BC3ABE">
              <w:rPr>
                <w:b/>
                <w:bCs/>
                <w:sz w:val="20"/>
                <w:szCs w:val="20"/>
              </w:rPr>
              <w:t xml:space="preserve">5/Birds of highly saline </w:t>
            </w:r>
            <w:r w:rsidR="00AF75D2" w:rsidRPr="00BC3ABE">
              <w:rPr>
                <w:b/>
                <w:bCs/>
                <w:sz w:val="20"/>
                <w:szCs w:val="20"/>
              </w:rPr>
              <w:t>l</w:t>
            </w:r>
            <w:r w:rsidRPr="00BC3ABE">
              <w:rPr>
                <w:b/>
                <w:bCs/>
                <w:sz w:val="20"/>
                <w:szCs w:val="20"/>
              </w:rPr>
              <w:t xml:space="preserve">ignum shrublands </w:t>
            </w:r>
            <w:r w:rsidRPr="00BC3ABE">
              <w:rPr>
                <w:sz w:val="20"/>
                <w:szCs w:val="20"/>
              </w:rPr>
              <w:t>(50% low salinity, 50% medium to extreme high salinity; typical open shrubland &amp; some adjacent to woodland)</w:t>
            </w:r>
          </w:p>
        </w:tc>
        <w:tc>
          <w:tcPr>
            <w:tcW w:w="522" w:type="pct"/>
          </w:tcPr>
          <w:p w14:paraId="035FBCAB" w14:textId="77777777" w:rsidR="00BA3CA4" w:rsidRPr="00BC3ABE" w:rsidRDefault="00BA3CA4" w:rsidP="00B10C18">
            <w:pPr>
              <w:jc w:val="center"/>
              <w:rPr>
                <w:sz w:val="20"/>
                <w:szCs w:val="20"/>
              </w:rPr>
            </w:pPr>
            <w:r w:rsidRPr="00BC3ABE">
              <w:rPr>
                <w:sz w:val="20"/>
                <w:szCs w:val="20"/>
              </w:rPr>
              <w:t>44 (14)</w:t>
            </w:r>
          </w:p>
        </w:tc>
        <w:tc>
          <w:tcPr>
            <w:tcW w:w="2165" w:type="pct"/>
          </w:tcPr>
          <w:p w14:paraId="0AD5A85E" w14:textId="77777777" w:rsidR="00BA3CA4" w:rsidRPr="00BC3ABE" w:rsidRDefault="00BA3CA4" w:rsidP="00B10C18">
            <w:pPr>
              <w:rPr>
                <w:sz w:val="20"/>
                <w:szCs w:val="20"/>
              </w:rPr>
            </w:pPr>
            <w:r w:rsidRPr="00BC3ABE">
              <w:rPr>
                <w:sz w:val="20"/>
                <w:szCs w:val="20"/>
              </w:rPr>
              <w:t>white-fronted chat; Australian magpie; crested pigeon; pied butcherbird; variegated fairy-wren</w:t>
            </w:r>
          </w:p>
        </w:tc>
      </w:tr>
      <w:tr w:rsidR="00BA3CA4" w14:paraId="300FA5B4" w14:textId="77777777" w:rsidTr="00B44CB8">
        <w:tc>
          <w:tcPr>
            <w:tcW w:w="2312" w:type="pct"/>
          </w:tcPr>
          <w:p w14:paraId="04B83637" w14:textId="2B58F799" w:rsidR="00BA3CA4" w:rsidRPr="00BC3ABE" w:rsidRDefault="00BA3CA4" w:rsidP="00B10C18">
            <w:pPr>
              <w:rPr>
                <w:sz w:val="20"/>
                <w:szCs w:val="20"/>
              </w:rPr>
            </w:pPr>
            <w:r w:rsidRPr="00BC3ABE">
              <w:rPr>
                <w:b/>
                <w:bCs/>
                <w:sz w:val="20"/>
                <w:szCs w:val="20"/>
              </w:rPr>
              <w:t xml:space="preserve">6/Birds of </w:t>
            </w:r>
            <w:r w:rsidR="00AF75D2" w:rsidRPr="00BC3ABE">
              <w:rPr>
                <w:b/>
                <w:bCs/>
                <w:sz w:val="20"/>
                <w:szCs w:val="20"/>
              </w:rPr>
              <w:t>b</w:t>
            </w:r>
            <w:r w:rsidRPr="00BC3ABE">
              <w:rPr>
                <w:b/>
                <w:bCs/>
                <w:sz w:val="20"/>
                <w:szCs w:val="20"/>
              </w:rPr>
              <w:t xml:space="preserve">lack box and </w:t>
            </w:r>
            <w:r w:rsidR="00AF75D2" w:rsidRPr="00BC3ABE">
              <w:rPr>
                <w:b/>
                <w:bCs/>
                <w:sz w:val="20"/>
                <w:szCs w:val="20"/>
              </w:rPr>
              <w:t>r</w:t>
            </w:r>
            <w:r w:rsidRPr="00BC3ABE">
              <w:rPr>
                <w:b/>
                <w:bCs/>
                <w:sz w:val="20"/>
                <w:szCs w:val="20"/>
              </w:rPr>
              <w:t xml:space="preserve">iver </w:t>
            </w:r>
            <w:r w:rsidR="00AF75D2" w:rsidRPr="00BC3ABE">
              <w:rPr>
                <w:b/>
                <w:bCs/>
                <w:sz w:val="20"/>
                <w:szCs w:val="20"/>
              </w:rPr>
              <w:t>c</w:t>
            </w:r>
            <w:r w:rsidRPr="00BC3ABE">
              <w:rPr>
                <w:b/>
                <w:bCs/>
                <w:sz w:val="20"/>
                <w:szCs w:val="20"/>
              </w:rPr>
              <w:t>oobah woodlands with open understoreys</w:t>
            </w:r>
            <w:r w:rsidRPr="00BC3ABE">
              <w:rPr>
                <w:sz w:val="20"/>
                <w:szCs w:val="20"/>
              </w:rPr>
              <w:t xml:space="preserve"> (low</w:t>
            </w:r>
            <w:r w:rsidR="001463A0" w:rsidRPr="00BC3ABE">
              <w:rPr>
                <w:sz w:val="20"/>
                <w:szCs w:val="20"/>
              </w:rPr>
              <w:t xml:space="preserve"> &amp;</w:t>
            </w:r>
            <w:r w:rsidR="007106A4" w:rsidRPr="00BC3ABE">
              <w:rPr>
                <w:sz w:val="20"/>
                <w:szCs w:val="20"/>
              </w:rPr>
              <w:t xml:space="preserve"> </w:t>
            </w:r>
            <w:r w:rsidRPr="00BC3ABE">
              <w:rPr>
                <w:sz w:val="20"/>
                <w:szCs w:val="20"/>
              </w:rPr>
              <w:t>high salinity; open shrubland dominated by round-leaf pigface &amp; ruby saltbush)</w:t>
            </w:r>
          </w:p>
        </w:tc>
        <w:tc>
          <w:tcPr>
            <w:tcW w:w="522" w:type="pct"/>
          </w:tcPr>
          <w:p w14:paraId="2A048950" w14:textId="77777777" w:rsidR="00BA3CA4" w:rsidRPr="00BC3ABE" w:rsidRDefault="00BA3CA4" w:rsidP="00B10C18">
            <w:pPr>
              <w:jc w:val="center"/>
              <w:rPr>
                <w:sz w:val="20"/>
                <w:szCs w:val="20"/>
              </w:rPr>
            </w:pPr>
            <w:r w:rsidRPr="00BC3ABE">
              <w:rPr>
                <w:sz w:val="20"/>
                <w:szCs w:val="20"/>
              </w:rPr>
              <w:t>26 (9)</w:t>
            </w:r>
          </w:p>
        </w:tc>
        <w:tc>
          <w:tcPr>
            <w:tcW w:w="2165" w:type="pct"/>
          </w:tcPr>
          <w:p w14:paraId="0B1497C9" w14:textId="77777777" w:rsidR="00BA3CA4" w:rsidRPr="00BC3ABE" w:rsidRDefault="00BA3CA4" w:rsidP="00B10C18">
            <w:pPr>
              <w:rPr>
                <w:sz w:val="20"/>
                <w:szCs w:val="20"/>
              </w:rPr>
            </w:pPr>
            <w:r w:rsidRPr="00BC3ABE">
              <w:rPr>
                <w:sz w:val="20"/>
                <w:szCs w:val="20"/>
              </w:rPr>
              <w:t>indicator species; similar species to Group 3; crested pigeon, crimson rosella; weebill; common bronzewing</w:t>
            </w:r>
          </w:p>
        </w:tc>
      </w:tr>
    </w:tbl>
    <w:p w14:paraId="1F403D45" w14:textId="77777777" w:rsidR="00C637BD" w:rsidRPr="00C637BD" w:rsidRDefault="00C637BD" w:rsidP="00C637BD"/>
    <w:p w14:paraId="403ADF77" w14:textId="3D15B46F" w:rsidR="00972A54" w:rsidRPr="00CE3967" w:rsidRDefault="00972A54" w:rsidP="00864ABB">
      <w:pPr>
        <w:pStyle w:val="Heading7"/>
      </w:pPr>
      <w:r w:rsidRPr="00CE3967">
        <w:t>Waterbird breeding</w:t>
      </w:r>
    </w:p>
    <w:p w14:paraId="2D9BA050" w14:textId="77777777" w:rsidR="00972A54" w:rsidRPr="00996902" w:rsidRDefault="00972A54" w:rsidP="001E2A13">
      <w:pPr>
        <w:keepLines/>
      </w:pPr>
      <w:r>
        <w:t>The three Ramsar sites within the ecological community are particularly important for bird breeding, including colonial nesting bird species (</w:t>
      </w:r>
      <w:r w:rsidRPr="00343CB7">
        <w:rPr>
          <w:u w:val="single"/>
        </w:rPr>
        <w:t>Table 1</w:t>
      </w:r>
      <w:r>
        <w:rPr>
          <w:u w:val="single"/>
        </w:rPr>
        <w:t>4</w:t>
      </w:r>
      <w:r>
        <w:t xml:space="preserve">). For example, </w:t>
      </w:r>
      <w:r w:rsidRPr="000D6801">
        <w:t>Lake Merreti</w:t>
      </w:r>
      <w:r>
        <w:t xml:space="preserve"> (</w:t>
      </w:r>
      <w:r w:rsidRPr="000D6801">
        <w:t>Riverland Ramsar site</w:t>
      </w:r>
      <w:r>
        <w:t>),</w:t>
      </w:r>
      <w:r w:rsidRPr="000D6801">
        <w:t xml:space="preserve"> has the largest </w:t>
      </w:r>
      <w:r>
        <w:t xml:space="preserve">bird </w:t>
      </w:r>
      <w:r w:rsidRPr="000D6801">
        <w:t>colonies</w:t>
      </w:r>
      <w:r>
        <w:t xml:space="preserve"> and</w:t>
      </w:r>
      <w:r w:rsidRPr="000D6801">
        <w:t xml:space="preserve"> in a year when there is a large flood</w:t>
      </w:r>
      <w:r>
        <w:t>,</w:t>
      </w:r>
      <w:r w:rsidRPr="000D6801">
        <w:t xml:space="preserve"> </w:t>
      </w:r>
      <w:r>
        <w:t xml:space="preserve">these </w:t>
      </w:r>
      <w:r w:rsidRPr="000D6801">
        <w:t>can number over 1,000 nests of up to six breeding species</w:t>
      </w:r>
      <w:r>
        <w:t xml:space="preserve"> which are dominated by two ibis species</w:t>
      </w:r>
      <w:r w:rsidRPr="000D6801">
        <w:t xml:space="preserve"> (</w:t>
      </w:r>
      <w:r>
        <w:t xml:space="preserve">Newall et al. 2009; </w:t>
      </w:r>
      <w:r w:rsidRPr="000D6801">
        <w:t>DEH 2010</w:t>
      </w:r>
      <w:r>
        <w:t xml:space="preserve">; </w:t>
      </w:r>
      <w:r w:rsidRPr="00343CB7">
        <w:rPr>
          <w:u w:val="single"/>
        </w:rPr>
        <w:t>Table 1</w:t>
      </w:r>
      <w:r>
        <w:rPr>
          <w:u w:val="single"/>
        </w:rPr>
        <w:t>4</w:t>
      </w:r>
      <w:r w:rsidRPr="000D6801">
        <w:t xml:space="preserve">). </w:t>
      </w:r>
      <w:r>
        <w:t xml:space="preserve">Another Ramsar site, the Coorong, represents the only regular historic breeding location in South Australia for </w:t>
      </w:r>
      <w:r w:rsidRPr="00B25A67">
        <w:rPr>
          <w:i/>
          <w:iCs/>
        </w:rPr>
        <w:t>Pelecanus conspicillatus</w:t>
      </w:r>
      <w:r>
        <w:t xml:space="preserve"> (Australian pelican) (i.e. ‘Pelican Islands’ &amp; Seagull Island) and other bird species use the islands of the Coorong’s South Lagoon to breed (Paton 2010; Paton &amp; Paton 2021; </w:t>
      </w:r>
      <w:r w:rsidRPr="003A69B1">
        <w:rPr>
          <w:u w:val="single"/>
        </w:rPr>
        <w:t>Table 1</w:t>
      </w:r>
      <w:r>
        <w:rPr>
          <w:u w:val="single"/>
        </w:rPr>
        <w:t>4</w:t>
      </w:r>
      <w:r>
        <w:t xml:space="preserve">). Similarly, the Lower Lakes are an important breeding area for at least eight colonial nesting species (Paton &amp; Paton 2021; </w:t>
      </w:r>
      <w:r w:rsidRPr="003C3AC5">
        <w:rPr>
          <w:u w:val="single"/>
        </w:rPr>
        <w:t>Table 1</w:t>
      </w:r>
      <w:r>
        <w:rPr>
          <w:u w:val="single"/>
        </w:rPr>
        <w:t>4</w:t>
      </w:r>
      <w:r>
        <w:t xml:space="preserve">). </w:t>
      </w:r>
    </w:p>
    <w:p w14:paraId="6920159B" w14:textId="77777777" w:rsidR="001E2A13" w:rsidRDefault="001E2A13">
      <w:pPr>
        <w:spacing w:after="160" w:line="259" w:lineRule="auto"/>
        <w:rPr>
          <w:b/>
          <w:iCs/>
        </w:rPr>
      </w:pPr>
      <w:r>
        <w:br w:type="page"/>
      </w:r>
    </w:p>
    <w:p w14:paraId="11FF4C8A" w14:textId="2847E0D8" w:rsidR="00900E61" w:rsidRPr="00C637BD" w:rsidRDefault="0074128E" w:rsidP="0074128E">
      <w:pPr>
        <w:pStyle w:val="Caption"/>
        <w:rPr>
          <w:sz w:val="21"/>
          <w:szCs w:val="21"/>
        </w:rPr>
      </w:pPr>
      <w:r w:rsidRPr="0074128E">
        <w:rPr>
          <w:szCs w:val="22"/>
        </w:rPr>
        <w:lastRenderedPageBreak/>
        <w:t xml:space="preserve">Table </w:t>
      </w:r>
      <w:r w:rsidRPr="0074128E">
        <w:rPr>
          <w:szCs w:val="22"/>
        </w:rPr>
        <w:fldChar w:fldCharType="begin"/>
      </w:r>
      <w:r w:rsidRPr="0074128E">
        <w:rPr>
          <w:szCs w:val="22"/>
        </w:rPr>
        <w:instrText xml:space="preserve"> SEQ Table \* ARABIC </w:instrText>
      </w:r>
      <w:r w:rsidRPr="0074128E">
        <w:rPr>
          <w:szCs w:val="22"/>
        </w:rPr>
        <w:fldChar w:fldCharType="separate"/>
      </w:r>
      <w:r w:rsidR="006D35C5">
        <w:rPr>
          <w:noProof/>
          <w:szCs w:val="22"/>
        </w:rPr>
        <w:t>14</w:t>
      </w:r>
      <w:r w:rsidRPr="0074128E">
        <w:rPr>
          <w:szCs w:val="22"/>
        </w:rPr>
        <w:fldChar w:fldCharType="end"/>
      </w:r>
      <w:r w:rsidR="00900E61" w:rsidRPr="0074128E">
        <w:rPr>
          <w:bCs/>
          <w:szCs w:val="22"/>
        </w:rPr>
        <w:t xml:space="preserve">: </w:t>
      </w:r>
      <w:r w:rsidR="00900E61" w:rsidRPr="00C637BD">
        <w:rPr>
          <w:bCs/>
          <w:sz w:val="21"/>
          <w:szCs w:val="21"/>
        </w:rPr>
        <w:t>Waterbird breeding observations at Ramsar sites within the ecological community (Butcher et al. 2009; Newall et al. 2009; DEH 2010; Paton et al. 2018; Paton &amp; Paton 2022).</w:t>
      </w:r>
    </w:p>
    <w:tbl>
      <w:tblPr>
        <w:tblStyle w:val="TableGrid"/>
        <w:tblW w:w="5000" w:type="pct"/>
        <w:tblLook w:val="04A0" w:firstRow="1" w:lastRow="0" w:firstColumn="1" w:lastColumn="0" w:noHBand="0" w:noVBand="1"/>
      </w:tblPr>
      <w:tblGrid>
        <w:gridCol w:w="2531"/>
        <w:gridCol w:w="2133"/>
        <w:gridCol w:w="2265"/>
        <w:gridCol w:w="2131"/>
      </w:tblGrid>
      <w:tr w:rsidR="00CA2106" w14:paraId="10207CAD" w14:textId="77777777" w:rsidTr="004057B1">
        <w:trPr>
          <w:trHeight w:val="340"/>
          <w:tblHeader/>
        </w:trPr>
        <w:tc>
          <w:tcPr>
            <w:tcW w:w="2574" w:type="pct"/>
            <w:gridSpan w:val="2"/>
            <w:shd w:val="clear" w:color="auto" w:fill="DEEAF6" w:themeFill="accent1" w:themeFillTint="33"/>
          </w:tcPr>
          <w:p w14:paraId="0BC82132" w14:textId="77777777" w:rsidR="00CA2106" w:rsidRPr="00E835E0" w:rsidRDefault="00CA2106" w:rsidP="00B10C18">
            <w:pPr>
              <w:rPr>
                <w:b/>
                <w:bCs/>
                <w:sz w:val="24"/>
                <w:szCs w:val="24"/>
              </w:rPr>
            </w:pPr>
            <w:r w:rsidRPr="00E835E0">
              <w:rPr>
                <w:b/>
                <w:bCs/>
                <w:sz w:val="24"/>
                <w:szCs w:val="24"/>
              </w:rPr>
              <w:t>Colonial Nesting Waterbird Breeding</w:t>
            </w:r>
          </w:p>
        </w:tc>
        <w:tc>
          <w:tcPr>
            <w:tcW w:w="2426" w:type="pct"/>
            <w:gridSpan w:val="2"/>
            <w:shd w:val="clear" w:color="auto" w:fill="DEEAF6" w:themeFill="accent1" w:themeFillTint="33"/>
          </w:tcPr>
          <w:p w14:paraId="17AE2DD2" w14:textId="77777777" w:rsidR="00CA2106" w:rsidRPr="00E835E0" w:rsidRDefault="00CA2106" w:rsidP="00B10C18">
            <w:pPr>
              <w:rPr>
                <w:b/>
                <w:bCs/>
                <w:sz w:val="24"/>
                <w:szCs w:val="24"/>
              </w:rPr>
            </w:pPr>
            <w:r w:rsidRPr="00E835E0">
              <w:rPr>
                <w:b/>
                <w:bCs/>
                <w:sz w:val="24"/>
                <w:szCs w:val="24"/>
              </w:rPr>
              <w:t>Non-colonial Waterbird Breeding</w:t>
            </w:r>
          </w:p>
        </w:tc>
      </w:tr>
      <w:tr w:rsidR="00CA2106" w14:paraId="230A9490" w14:textId="77777777" w:rsidTr="004057B1">
        <w:trPr>
          <w:trHeight w:val="340"/>
          <w:tblHeader/>
        </w:trPr>
        <w:tc>
          <w:tcPr>
            <w:tcW w:w="1397" w:type="pct"/>
            <w:shd w:val="clear" w:color="auto" w:fill="DEEAF6" w:themeFill="accent1" w:themeFillTint="33"/>
          </w:tcPr>
          <w:p w14:paraId="495BB2D8" w14:textId="77777777" w:rsidR="00CA2106" w:rsidRPr="0010226D" w:rsidRDefault="00CA2106" w:rsidP="00B10C18">
            <w:pPr>
              <w:rPr>
                <w:b/>
                <w:bCs/>
              </w:rPr>
            </w:pPr>
            <w:r w:rsidRPr="0010226D">
              <w:rPr>
                <w:b/>
                <w:bCs/>
              </w:rPr>
              <w:t>Scientific Name</w:t>
            </w:r>
          </w:p>
        </w:tc>
        <w:tc>
          <w:tcPr>
            <w:tcW w:w="1176" w:type="pct"/>
            <w:shd w:val="clear" w:color="auto" w:fill="DEEAF6" w:themeFill="accent1" w:themeFillTint="33"/>
          </w:tcPr>
          <w:p w14:paraId="5DE8D292" w14:textId="77777777" w:rsidR="00CA2106" w:rsidRPr="0010226D" w:rsidRDefault="00CA2106" w:rsidP="00B10C18">
            <w:pPr>
              <w:rPr>
                <w:b/>
                <w:bCs/>
              </w:rPr>
            </w:pPr>
            <w:r w:rsidRPr="0010226D">
              <w:rPr>
                <w:b/>
                <w:bCs/>
              </w:rPr>
              <w:t>Common Name</w:t>
            </w:r>
          </w:p>
        </w:tc>
        <w:tc>
          <w:tcPr>
            <w:tcW w:w="1250" w:type="pct"/>
            <w:shd w:val="clear" w:color="auto" w:fill="DEEAF6" w:themeFill="accent1" w:themeFillTint="33"/>
          </w:tcPr>
          <w:p w14:paraId="47E31D88" w14:textId="77777777" w:rsidR="00CA2106" w:rsidRPr="0010226D" w:rsidRDefault="00CA2106" w:rsidP="00B10C18">
            <w:pPr>
              <w:rPr>
                <w:b/>
                <w:bCs/>
              </w:rPr>
            </w:pPr>
            <w:r w:rsidRPr="0010226D">
              <w:rPr>
                <w:b/>
                <w:bCs/>
              </w:rPr>
              <w:t>Scientific Name</w:t>
            </w:r>
          </w:p>
        </w:tc>
        <w:tc>
          <w:tcPr>
            <w:tcW w:w="1176" w:type="pct"/>
            <w:shd w:val="clear" w:color="auto" w:fill="DEEAF6" w:themeFill="accent1" w:themeFillTint="33"/>
          </w:tcPr>
          <w:p w14:paraId="6EF0B2DC" w14:textId="77777777" w:rsidR="00CA2106" w:rsidRPr="0010226D" w:rsidRDefault="00CA2106" w:rsidP="00B10C18">
            <w:pPr>
              <w:rPr>
                <w:b/>
                <w:bCs/>
              </w:rPr>
            </w:pPr>
            <w:r w:rsidRPr="0010226D">
              <w:rPr>
                <w:b/>
                <w:bCs/>
              </w:rPr>
              <w:t>Common Name</w:t>
            </w:r>
          </w:p>
        </w:tc>
      </w:tr>
      <w:tr w:rsidR="00CA2106" w14:paraId="50FC5988" w14:textId="77777777" w:rsidTr="0074128E">
        <w:trPr>
          <w:trHeight w:hRule="exact" w:val="340"/>
        </w:trPr>
        <w:tc>
          <w:tcPr>
            <w:tcW w:w="5000" w:type="pct"/>
            <w:gridSpan w:val="4"/>
            <w:shd w:val="clear" w:color="auto" w:fill="FBE4D5" w:themeFill="accent2" w:themeFillTint="33"/>
          </w:tcPr>
          <w:p w14:paraId="67F22EDA" w14:textId="77777777" w:rsidR="00CA2106" w:rsidRPr="00E835E0" w:rsidRDefault="00CA2106" w:rsidP="00B10C18">
            <w:pPr>
              <w:rPr>
                <w:b/>
                <w:bCs/>
              </w:rPr>
            </w:pPr>
            <w:r w:rsidRPr="00E835E0">
              <w:rPr>
                <w:b/>
                <w:bCs/>
              </w:rPr>
              <w:t xml:space="preserve">Riverland </w:t>
            </w:r>
          </w:p>
        </w:tc>
      </w:tr>
      <w:tr w:rsidR="00CA2106" w14:paraId="15EB9743" w14:textId="77777777" w:rsidTr="004057B1">
        <w:trPr>
          <w:trHeight w:hRule="exact" w:val="593"/>
        </w:trPr>
        <w:tc>
          <w:tcPr>
            <w:tcW w:w="1397" w:type="pct"/>
          </w:tcPr>
          <w:p w14:paraId="7C03854D" w14:textId="77777777" w:rsidR="00CA2106" w:rsidRPr="00E835E0" w:rsidRDefault="00CA2106" w:rsidP="00B10C18">
            <w:r w:rsidRPr="00E835E0">
              <w:rPr>
                <w:rStyle w:val="Emphasis"/>
              </w:rPr>
              <w:t>Threskiornis moluccus</w:t>
            </w:r>
          </w:p>
        </w:tc>
        <w:tc>
          <w:tcPr>
            <w:tcW w:w="1176" w:type="pct"/>
          </w:tcPr>
          <w:p w14:paraId="2E1DE571" w14:textId="77777777" w:rsidR="00CA2106" w:rsidRPr="00E835E0" w:rsidRDefault="00CA2106" w:rsidP="00B10C18">
            <w:r w:rsidRPr="00E835E0">
              <w:t>Australian white ibis</w:t>
            </w:r>
          </w:p>
        </w:tc>
        <w:tc>
          <w:tcPr>
            <w:tcW w:w="1250" w:type="pct"/>
          </w:tcPr>
          <w:p w14:paraId="4BF7ED4D" w14:textId="77777777" w:rsidR="00CA2106" w:rsidRPr="00E835E0" w:rsidRDefault="00CA2106" w:rsidP="00B10C18">
            <w:pPr>
              <w:rPr>
                <w:i/>
                <w:iCs/>
              </w:rPr>
            </w:pPr>
            <w:r w:rsidRPr="00E835E0">
              <w:rPr>
                <w:i/>
                <w:iCs/>
              </w:rPr>
              <w:t>Stictonetta naevosa</w:t>
            </w:r>
          </w:p>
        </w:tc>
        <w:tc>
          <w:tcPr>
            <w:tcW w:w="1176" w:type="pct"/>
          </w:tcPr>
          <w:p w14:paraId="0157873B" w14:textId="77777777" w:rsidR="00CA2106" w:rsidRPr="00E835E0" w:rsidRDefault="00CA2106" w:rsidP="00B10C18">
            <w:r w:rsidRPr="00E835E0">
              <w:t>freckled duck</w:t>
            </w:r>
          </w:p>
        </w:tc>
      </w:tr>
      <w:tr w:rsidR="00CA2106" w14:paraId="095DA528" w14:textId="77777777" w:rsidTr="0074128E">
        <w:trPr>
          <w:trHeight w:val="397"/>
        </w:trPr>
        <w:tc>
          <w:tcPr>
            <w:tcW w:w="1397" w:type="pct"/>
          </w:tcPr>
          <w:p w14:paraId="0A169AFE" w14:textId="77777777" w:rsidR="00CA2106" w:rsidRPr="00E835E0" w:rsidRDefault="00CA2106" w:rsidP="00B10C18">
            <w:r w:rsidRPr="00E835E0">
              <w:rPr>
                <w:rStyle w:val="Emphasis"/>
              </w:rPr>
              <w:t>Threskiornis spinicollis</w:t>
            </w:r>
          </w:p>
        </w:tc>
        <w:tc>
          <w:tcPr>
            <w:tcW w:w="1176" w:type="pct"/>
          </w:tcPr>
          <w:p w14:paraId="2044C35A" w14:textId="77777777" w:rsidR="00CA2106" w:rsidRPr="00E835E0" w:rsidRDefault="00CA2106" w:rsidP="00B10C18">
            <w:r w:rsidRPr="00E835E0">
              <w:t>straw-necked ibis</w:t>
            </w:r>
          </w:p>
        </w:tc>
        <w:tc>
          <w:tcPr>
            <w:tcW w:w="1250" w:type="pct"/>
          </w:tcPr>
          <w:p w14:paraId="090710F4" w14:textId="77777777" w:rsidR="00CA2106" w:rsidRPr="00E835E0" w:rsidRDefault="00CA2106" w:rsidP="00B10C18">
            <w:pPr>
              <w:rPr>
                <w:i/>
                <w:iCs/>
              </w:rPr>
            </w:pPr>
            <w:r w:rsidRPr="00E835E0">
              <w:rPr>
                <w:i/>
                <w:iCs/>
              </w:rPr>
              <w:t>Recurvirostra novaehollandiae</w:t>
            </w:r>
          </w:p>
        </w:tc>
        <w:tc>
          <w:tcPr>
            <w:tcW w:w="1176" w:type="pct"/>
          </w:tcPr>
          <w:p w14:paraId="6F2213C7" w14:textId="77777777" w:rsidR="00CA2106" w:rsidRPr="00E835E0" w:rsidRDefault="00CA2106" w:rsidP="00B10C18">
            <w:r w:rsidRPr="00E835E0">
              <w:t>red-necked avocet</w:t>
            </w:r>
          </w:p>
        </w:tc>
      </w:tr>
      <w:tr w:rsidR="00CA2106" w14:paraId="6B886A2A" w14:textId="77777777" w:rsidTr="0074128E">
        <w:trPr>
          <w:trHeight w:hRule="exact" w:val="397"/>
        </w:trPr>
        <w:tc>
          <w:tcPr>
            <w:tcW w:w="1397" w:type="pct"/>
          </w:tcPr>
          <w:p w14:paraId="6895A1F5" w14:textId="77777777" w:rsidR="00CA2106" w:rsidRPr="00E835E0" w:rsidRDefault="00CA2106" w:rsidP="00B10C18"/>
        </w:tc>
        <w:tc>
          <w:tcPr>
            <w:tcW w:w="1176" w:type="pct"/>
          </w:tcPr>
          <w:p w14:paraId="4F731735" w14:textId="77777777" w:rsidR="00CA2106" w:rsidRPr="00E835E0" w:rsidRDefault="00CA2106" w:rsidP="00B10C18"/>
        </w:tc>
        <w:tc>
          <w:tcPr>
            <w:tcW w:w="1250" w:type="pct"/>
          </w:tcPr>
          <w:p w14:paraId="0D4E38FA" w14:textId="77777777" w:rsidR="00CA2106" w:rsidRPr="00E835E0" w:rsidRDefault="00CA2106" w:rsidP="00B10C18">
            <w:pPr>
              <w:rPr>
                <w:i/>
                <w:iCs/>
              </w:rPr>
            </w:pPr>
            <w:r w:rsidRPr="00E835E0">
              <w:rPr>
                <w:i/>
                <w:iCs/>
              </w:rPr>
              <w:t>Erythrogonys cinctus</w:t>
            </w:r>
          </w:p>
        </w:tc>
        <w:tc>
          <w:tcPr>
            <w:tcW w:w="1176" w:type="pct"/>
          </w:tcPr>
          <w:p w14:paraId="0CEC97CE" w14:textId="77777777" w:rsidR="00CA2106" w:rsidRPr="00E835E0" w:rsidRDefault="00CA2106" w:rsidP="00B10C18">
            <w:r w:rsidRPr="00E835E0">
              <w:t>red-kneed dotterel</w:t>
            </w:r>
          </w:p>
        </w:tc>
      </w:tr>
      <w:tr w:rsidR="00CA2106" w14:paraId="03C91148" w14:textId="77777777" w:rsidTr="0074128E">
        <w:trPr>
          <w:trHeight w:hRule="exact" w:val="340"/>
        </w:trPr>
        <w:tc>
          <w:tcPr>
            <w:tcW w:w="5000" w:type="pct"/>
            <w:gridSpan w:val="4"/>
            <w:shd w:val="clear" w:color="auto" w:fill="FBE4D5" w:themeFill="accent2" w:themeFillTint="33"/>
          </w:tcPr>
          <w:p w14:paraId="6B5DAD2A" w14:textId="77777777" w:rsidR="00CA2106" w:rsidRPr="00E835E0" w:rsidRDefault="00CA2106" w:rsidP="00B10C18">
            <w:pPr>
              <w:rPr>
                <w:b/>
                <w:bCs/>
              </w:rPr>
            </w:pPr>
            <w:r w:rsidRPr="00E835E0">
              <w:rPr>
                <w:b/>
                <w:bCs/>
              </w:rPr>
              <w:t xml:space="preserve">Banrock Station Wetland Complex </w:t>
            </w:r>
          </w:p>
        </w:tc>
      </w:tr>
      <w:tr w:rsidR="00CA2106" w14:paraId="73EB4D90" w14:textId="77777777" w:rsidTr="0074128E">
        <w:trPr>
          <w:trHeight w:hRule="exact" w:val="397"/>
        </w:trPr>
        <w:tc>
          <w:tcPr>
            <w:tcW w:w="1397" w:type="pct"/>
            <w:shd w:val="clear" w:color="auto" w:fill="auto"/>
          </w:tcPr>
          <w:p w14:paraId="53A8B5B8" w14:textId="77777777" w:rsidR="00CA2106" w:rsidRPr="00E835E0" w:rsidRDefault="00CA2106" w:rsidP="00B10C18">
            <w:pPr>
              <w:spacing w:after="0" w:line="240" w:lineRule="auto"/>
            </w:pPr>
          </w:p>
        </w:tc>
        <w:tc>
          <w:tcPr>
            <w:tcW w:w="1176" w:type="pct"/>
            <w:shd w:val="clear" w:color="auto" w:fill="auto"/>
          </w:tcPr>
          <w:p w14:paraId="0A504763" w14:textId="77777777" w:rsidR="00CA2106" w:rsidRPr="00E835E0" w:rsidRDefault="00CA2106" w:rsidP="00B10C18">
            <w:pPr>
              <w:spacing w:after="0" w:line="240" w:lineRule="auto"/>
            </w:pPr>
          </w:p>
        </w:tc>
        <w:tc>
          <w:tcPr>
            <w:tcW w:w="1250" w:type="pct"/>
            <w:shd w:val="clear" w:color="auto" w:fill="auto"/>
          </w:tcPr>
          <w:p w14:paraId="44CF57E3" w14:textId="77777777" w:rsidR="00CA2106" w:rsidRPr="00E835E0" w:rsidRDefault="00CA2106" w:rsidP="00B10C18">
            <w:pPr>
              <w:spacing w:after="0" w:line="240" w:lineRule="auto"/>
              <w:rPr>
                <w:i/>
                <w:iCs/>
              </w:rPr>
            </w:pPr>
            <w:r w:rsidRPr="00E835E0">
              <w:rPr>
                <w:i/>
                <w:iCs/>
              </w:rPr>
              <w:t>Tadorna tadornoides</w:t>
            </w:r>
          </w:p>
        </w:tc>
        <w:tc>
          <w:tcPr>
            <w:tcW w:w="1176" w:type="pct"/>
            <w:shd w:val="clear" w:color="auto" w:fill="auto"/>
          </w:tcPr>
          <w:p w14:paraId="616B7EC6" w14:textId="77777777" w:rsidR="00CA2106" w:rsidRPr="00E835E0" w:rsidRDefault="00CA2106" w:rsidP="00B10C18">
            <w:r w:rsidRPr="00E835E0">
              <w:t>Australian shelduck</w:t>
            </w:r>
          </w:p>
        </w:tc>
      </w:tr>
      <w:tr w:rsidR="00CA2106" w14:paraId="4EEAAC9E" w14:textId="77777777" w:rsidTr="004057B1">
        <w:trPr>
          <w:trHeight w:hRule="exact" w:val="601"/>
        </w:trPr>
        <w:tc>
          <w:tcPr>
            <w:tcW w:w="1397" w:type="pct"/>
            <w:shd w:val="clear" w:color="auto" w:fill="auto"/>
          </w:tcPr>
          <w:p w14:paraId="250B9323" w14:textId="77777777" w:rsidR="00CA2106" w:rsidRPr="00E835E0" w:rsidRDefault="00CA2106" w:rsidP="00B10C18">
            <w:pPr>
              <w:spacing w:after="0" w:line="240" w:lineRule="auto"/>
            </w:pPr>
          </w:p>
        </w:tc>
        <w:tc>
          <w:tcPr>
            <w:tcW w:w="1176" w:type="pct"/>
            <w:shd w:val="clear" w:color="auto" w:fill="auto"/>
          </w:tcPr>
          <w:p w14:paraId="48186913" w14:textId="77777777" w:rsidR="00CA2106" w:rsidRPr="00E835E0" w:rsidRDefault="00CA2106" w:rsidP="00B10C18">
            <w:pPr>
              <w:spacing w:after="0" w:line="240" w:lineRule="auto"/>
            </w:pPr>
          </w:p>
        </w:tc>
        <w:tc>
          <w:tcPr>
            <w:tcW w:w="1250" w:type="pct"/>
            <w:shd w:val="clear" w:color="auto" w:fill="auto"/>
          </w:tcPr>
          <w:p w14:paraId="6B83E30E" w14:textId="05E634B5" w:rsidR="00CA2106" w:rsidRPr="00E835E0" w:rsidRDefault="00CA2106" w:rsidP="00B10C18">
            <w:pPr>
              <w:spacing w:after="0" w:line="240" w:lineRule="auto"/>
              <w:rPr>
                <w:i/>
                <w:iCs/>
              </w:rPr>
            </w:pPr>
            <w:r w:rsidRPr="00E835E0">
              <w:rPr>
                <w:i/>
                <w:iCs/>
              </w:rPr>
              <w:t>Chenonetta jubata</w:t>
            </w:r>
          </w:p>
        </w:tc>
        <w:tc>
          <w:tcPr>
            <w:tcW w:w="1176" w:type="pct"/>
            <w:shd w:val="clear" w:color="auto" w:fill="auto"/>
          </w:tcPr>
          <w:p w14:paraId="3DAA722B" w14:textId="77777777" w:rsidR="00CA2106" w:rsidRPr="00E835E0" w:rsidRDefault="00CA2106" w:rsidP="00B10C18">
            <w:r w:rsidRPr="00E835E0">
              <w:t>Australian wood duck</w:t>
            </w:r>
          </w:p>
        </w:tc>
      </w:tr>
      <w:tr w:rsidR="00CA2106" w14:paraId="36FF8407" w14:textId="77777777" w:rsidTr="0074128E">
        <w:trPr>
          <w:trHeight w:hRule="exact" w:val="397"/>
        </w:trPr>
        <w:tc>
          <w:tcPr>
            <w:tcW w:w="1397" w:type="pct"/>
            <w:shd w:val="clear" w:color="auto" w:fill="auto"/>
          </w:tcPr>
          <w:p w14:paraId="1BED10CD" w14:textId="77777777" w:rsidR="00CA2106" w:rsidRPr="00E835E0" w:rsidRDefault="00CA2106" w:rsidP="00B10C18">
            <w:pPr>
              <w:spacing w:after="0" w:line="240" w:lineRule="auto"/>
            </w:pPr>
          </w:p>
        </w:tc>
        <w:tc>
          <w:tcPr>
            <w:tcW w:w="1176" w:type="pct"/>
            <w:shd w:val="clear" w:color="auto" w:fill="auto"/>
          </w:tcPr>
          <w:p w14:paraId="70AA556C" w14:textId="77777777" w:rsidR="00CA2106" w:rsidRPr="00E835E0" w:rsidRDefault="00CA2106" w:rsidP="00B10C18">
            <w:pPr>
              <w:spacing w:after="0" w:line="240" w:lineRule="auto"/>
            </w:pPr>
          </w:p>
        </w:tc>
        <w:tc>
          <w:tcPr>
            <w:tcW w:w="1250" w:type="pct"/>
            <w:shd w:val="clear" w:color="auto" w:fill="auto"/>
          </w:tcPr>
          <w:p w14:paraId="519BFEFA" w14:textId="77777777" w:rsidR="00CA2106" w:rsidRPr="00E835E0" w:rsidRDefault="00CA2106" w:rsidP="00B10C18">
            <w:pPr>
              <w:spacing w:after="0" w:line="240" w:lineRule="auto"/>
              <w:rPr>
                <w:i/>
                <w:iCs/>
              </w:rPr>
            </w:pPr>
            <w:r w:rsidRPr="00E835E0">
              <w:rPr>
                <w:i/>
                <w:iCs/>
              </w:rPr>
              <w:t>Cygnus atratus</w:t>
            </w:r>
          </w:p>
        </w:tc>
        <w:tc>
          <w:tcPr>
            <w:tcW w:w="1176" w:type="pct"/>
            <w:shd w:val="clear" w:color="auto" w:fill="auto"/>
          </w:tcPr>
          <w:p w14:paraId="6891A8A4" w14:textId="77777777" w:rsidR="00CA2106" w:rsidRPr="00E835E0" w:rsidRDefault="00CA2106" w:rsidP="00B10C18">
            <w:r w:rsidRPr="00E835E0">
              <w:t>black swan</w:t>
            </w:r>
          </w:p>
        </w:tc>
      </w:tr>
      <w:tr w:rsidR="00CA2106" w14:paraId="01B533D3" w14:textId="77777777" w:rsidTr="0074128E">
        <w:trPr>
          <w:trHeight w:hRule="exact" w:val="397"/>
        </w:trPr>
        <w:tc>
          <w:tcPr>
            <w:tcW w:w="1397" w:type="pct"/>
            <w:shd w:val="clear" w:color="auto" w:fill="auto"/>
          </w:tcPr>
          <w:p w14:paraId="0378E254" w14:textId="77777777" w:rsidR="00CA2106" w:rsidRPr="00E835E0" w:rsidRDefault="00CA2106" w:rsidP="00B10C18">
            <w:pPr>
              <w:spacing w:after="0" w:line="240" w:lineRule="auto"/>
            </w:pPr>
          </w:p>
        </w:tc>
        <w:tc>
          <w:tcPr>
            <w:tcW w:w="1176" w:type="pct"/>
            <w:shd w:val="clear" w:color="auto" w:fill="auto"/>
          </w:tcPr>
          <w:p w14:paraId="4F8F6590" w14:textId="77777777" w:rsidR="00CA2106" w:rsidRPr="00E835E0" w:rsidRDefault="00CA2106" w:rsidP="00B10C18">
            <w:pPr>
              <w:spacing w:after="0" w:line="240" w:lineRule="auto"/>
            </w:pPr>
          </w:p>
        </w:tc>
        <w:tc>
          <w:tcPr>
            <w:tcW w:w="1250" w:type="pct"/>
            <w:shd w:val="clear" w:color="auto" w:fill="auto"/>
          </w:tcPr>
          <w:p w14:paraId="4B38363B" w14:textId="77777777" w:rsidR="00CA2106" w:rsidRPr="00E835E0" w:rsidRDefault="00CA2106" w:rsidP="00B10C18">
            <w:pPr>
              <w:spacing w:after="0" w:line="240" w:lineRule="auto"/>
              <w:rPr>
                <w:i/>
                <w:iCs/>
              </w:rPr>
            </w:pPr>
            <w:r w:rsidRPr="00E835E0">
              <w:rPr>
                <w:i/>
                <w:iCs/>
              </w:rPr>
              <w:t>Anas gracilis</w:t>
            </w:r>
          </w:p>
        </w:tc>
        <w:tc>
          <w:tcPr>
            <w:tcW w:w="1176" w:type="pct"/>
            <w:shd w:val="clear" w:color="auto" w:fill="auto"/>
          </w:tcPr>
          <w:p w14:paraId="46854502" w14:textId="77777777" w:rsidR="00CA2106" w:rsidRPr="00E835E0" w:rsidRDefault="00CA2106" w:rsidP="00B10C18">
            <w:r w:rsidRPr="00E835E0">
              <w:t>grey teal</w:t>
            </w:r>
          </w:p>
        </w:tc>
      </w:tr>
      <w:tr w:rsidR="00CA2106" w14:paraId="36F4CD5B" w14:textId="77777777" w:rsidTr="0074128E">
        <w:trPr>
          <w:trHeight w:hRule="exact" w:val="397"/>
        </w:trPr>
        <w:tc>
          <w:tcPr>
            <w:tcW w:w="1397" w:type="pct"/>
            <w:shd w:val="clear" w:color="auto" w:fill="auto"/>
          </w:tcPr>
          <w:p w14:paraId="1F91CDD1" w14:textId="77777777" w:rsidR="00CA2106" w:rsidRPr="00E835E0" w:rsidRDefault="00CA2106" w:rsidP="00B10C18">
            <w:pPr>
              <w:spacing w:after="0" w:line="240" w:lineRule="auto"/>
            </w:pPr>
          </w:p>
        </w:tc>
        <w:tc>
          <w:tcPr>
            <w:tcW w:w="1176" w:type="pct"/>
            <w:shd w:val="clear" w:color="auto" w:fill="auto"/>
          </w:tcPr>
          <w:p w14:paraId="37918C31" w14:textId="77777777" w:rsidR="00CA2106" w:rsidRPr="00E835E0" w:rsidRDefault="00CA2106" w:rsidP="00B10C18">
            <w:pPr>
              <w:spacing w:after="0" w:line="240" w:lineRule="auto"/>
            </w:pPr>
          </w:p>
        </w:tc>
        <w:tc>
          <w:tcPr>
            <w:tcW w:w="1250" w:type="pct"/>
            <w:shd w:val="clear" w:color="auto" w:fill="auto"/>
          </w:tcPr>
          <w:p w14:paraId="65BC064B" w14:textId="77777777" w:rsidR="00CA2106" w:rsidRPr="00E835E0" w:rsidRDefault="00CA2106" w:rsidP="00B10C18">
            <w:pPr>
              <w:spacing w:after="0" w:line="240" w:lineRule="auto"/>
              <w:rPr>
                <w:i/>
                <w:iCs/>
              </w:rPr>
            </w:pPr>
            <w:r w:rsidRPr="00E835E0">
              <w:rPr>
                <w:i/>
                <w:iCs/>
              </w:rPr>
              <w:t>Biziura lobata</w:t>
            </w:r>
          </w:p>
        </w:tc>
        <w:tc>
          <w:tcPr>
            <w:tcW w:w="1176" w:type="pct"/>
            <w:shd w:val="clear" w:color="auto" w:fill="auto"/>
          </w:tcPr>
          <w:p w14:paraId="794A6AEC" w14:textId="77777777" w:rsidR="00CA2106" w:rsidRPr="00E835E0" w:rsidRDefault="00CA2106" w:rsidP="00B10C18">
            <w:r w:rsidRPr="00E835E0">
              <w:t>musk duck</w:t>
            </w:r>
          </w:p>
        </w:tc>
      </w:tr>
      <w:tr w:rsidR="00CA2106" w14:paraId="3548DB4C" w14:textId="77777777" w:rsidTr="0074128E">
        <w:trPr>
          <w:trHeight w:hRule="exact" w:val="340"/>
        </w:trPr>
        <w:tc>
          <w:tcPr>
            <w:tcW w:w="5000" w:type="pct"/>
            <w:gridSpan w:val="4"/>
            <w:shd w:val="clear" w:color="auto" w:fill="FBE4D5" w:themeFill="accent2" w:themeFillTint="33"/>
          </w:tcPr>
          <w:p w14:paraId="6876EC01" w14:textId="77777777" w:rsidR="00CA2106" w:rsidRPr="00E835E0" w:rsidRDefault="00CA2106" w:rsidP="00B10C18">
            <w:pPr>
              <w:rPr>
                <w:b/>
                <w:bCs/>
              </w:rPr>
            </w:pPr>
            <w:r w:rsidRPr="00E835E0">
              <w:rPr>
                <w:b/>
                <w:bCs/>
              </w:rPr>
              <w:t xml:space="preserve">Coorong (islands and lagoons) &amp; Murray Mouth </w:t>
            </w:r>
          </w:p>
        </w:tc>
      </w:tr>
      <w:tr w:rsidR="00CA2106" w14:paraId="1906D752" w14:textId="77777777" w:rsidTr="0074128E">
        <w:trPr>
          <w:trHeight w:val="397"/>
        </w:trPr>
        <w:tc>
          <w:tcPr>
            <w:tcW w:w="1397" w:type="pct"/>
          </w:tcPr>
          <w:p w14:paraId="4711D2E4" w14:textId="77777777" w:rsidR="00CA2106" w:rsidRPr="00E835E0" w:rsidRDefault="00CA2106" w:rsidP="00B10C18">
            <w:r w:rsidRPr="00E835E0">
              <w:rPr>
                <w:i/>
                <w:iCs/>
              </w:rPr>
              <w:t>Chroicocephalus novaehollandiae</w:t>
            </w:r>
          </w:p>
        </w:tc>
        <w:tc>
          <w:tcPr>
            <w:tcW w:w="1176" w:type="pct"/>
          </w:tcPr>
          <w:p w14:paraId="11D45E55" w14:textId="77777777" w:rsidR="00CA2106" w:rsidRPr="00E835E0" w:rsidRDefault="00CA2106" w:rsidP="00B10C18">
            <w:r w:rsidRPr="00E835E0">
              <w:t>silver gull</w:t>
            </w:r>
          </w:p>
        </w:tc>
        <w:tc>
          <w:tcPr>
            <w:tcW w:w="1250" w:type="pct"/>
          </w:tcPr>
          <w:p w14:paraId="1B338CC4" w14:textId="77777777" w:rsidR="00CA2106" w:rsidRPr="00E835E0" w:rsidRDefault="00CA2106" w:rsidP="00B10C18">
            <w:pPr>
              <w:rPr>
                <w:i/>
                <w:iCs/>
              </w:rPr>
            </w:pPr>
            <w:r w:rsidRPr="00E835E0">
              <w:rPr>
                <w:i/>
                <w:iCs/>
              </w:rPr>
              <w:t>Anas castanea</w:t>
            </w:r>
          </w:p>
        </w:tc>
        <w:tc>
          <w:tcPr>
            <w:tcW w:w="1176" w:type="pct"/>
          </w:tcPr>
          <w:p w14:paraId="23AC0349" w14:textId="77777777" w:rsidR="00CA2106" w:rsidRPr="00E835E0" w:rsidRDefault="00CA2106" w:rsidP="00B10C18">
            <w:r w:rsidRPr="00E835E0">
              <w:t>chestnut teal</w:t>
            </w:r>
          </w:p>
        </w:tc>
      </w:tr>
      <w:tr w:rsidR="00CA2106" w14:paraId="393B21B7" w14:textId="77777777" w:rsidTr="0074128E">
        <w:trPr>
          <w:trHeight w:hRule="exact" w:val="397"/>
        </w:trPr>
        <w:tc>
          <w:tcPr>
            <w:tcW w:w="1397" w:type="pct"/>
          </w:tcPr>
          <w:p w14:paraId="367F296D" w14:textId="77777777" w:rsidR="00CA2106" w:rsidRPr="00E835E0" w:rsidRDefault="00CA2106" w:rsidP="00B10C18">
            <w:pPr>
              <w:rPr>
                <w:i/>
                <w:iCs/>
              </w:rPr>
            </w:pPr>
            <w:r w:rsidRPr="00E835E0">
              <w:rPr>
                <w:i/>
                <w:iCs/>
              </w:rPr>
              <w:t>Hydroprogne caspia</w:t>
            </w:r>
          </w:p>
        </w:tc>
        <w:tc>
          <w:tcPr>
            <w:tcW w:w="1176" w:type="pct"/>
          </w:tcPr>
          <w:p w14:paraId="4764FCC2" w14:textId="77777777" w:rsidR="00CA2106" w:rsidRPr="00E835E0" w:rsidRDefault="00CA2106" w:rsidP="00B10C18">
            <w:r w:rsidRPr="00E835E0">
              <w:t>caspian tern</w:t>
            </w:r>
          </w:p>
        </w:tc>
        <w:tc>
          <w:tcPr>
            <w:tcW w:w="1250" w:type="pct"/>
          </w:tcPr>
          <w:p w14:paraId="0841873B" w14:textId="77777777" w:rsidR="00CA2106" w:rsidRPr="00E835E0" w:rsidRDefault="00CA2106" w:rsidP="00B10C18">
            <w:pPr>
              <w:rPr>
                <w:i/>
                <w:iCs/>
              </w:rPr>
            </w:pPr>
            <w:r w:rsidRPr="00E835E0">
              <w:rPr>
                <w:i/>
                <w:iCs/>
              </w:rPr>
              <w:t>Cygnus atratus</w:t>
            </w:r>
          </w:p>
        </w:tc>
        <w:tc>
          <w:tcPr>
            <w:tcW w:w="1176" w:type="pct"/>
          </w:tcPr>
          <w:p w14:paraId="54ED935C" w14:textId="77777777" w:rsidR="00CA2106" w:rsidRPr="00E835E0" w:rsidRDefault="00CA2106" w:rsidP="00B10C18">
            <w:r w:rsidRPr="00E835E0">
              <w:t>black swan</w:t>
            </w:r>
          </w:p>
        </w:tc>
      </w:tr>
      <w:tr w:rsidR="00CA2106" w14:paraId="361F76C0" w14:textId="77777777" w:rsidTr="0074128E">
        <w:trPr>
          <w:trHeight w:val="397"/>
        </w:trPr>
        <w:tc>
          <w:tcPr>
            <w:tcW w:w="1397" w:type="pct"/>
          </w:tcPr>
          <w:p w14:paraId="2C893589" w14:textId="77777777" w:rsidR="00CA2106" w:rsidRPr="00E835E0" w:rsidRDefault="00CA2106" w:rsidP="00B10C18">
            <w:r w:rsidRPr="00E835E0">
              <w:rPr>
                <w:i/>
                <w:iCs/>
              </w:rPr>
              <w:t>Pelecanus conspicillatus</w:t>
            </w:r>
          </w:p>
        </w:tc>
        <w:tc>
          <w:tcPr>
            <w:tcW w:w="1176" w:type="pct"/>
          </w:tcPr>
          <w:p w14:paraId="26D78A42" w14:textId="77777777" w:rsidR="00CA2106" w:rsidRPr="00E835E0" w:rsidRDefault="00CA2106" w:rsidP="00B10C18">
            <w:r w:rsidRPr="00E835E0">
              <w:t>Australian pelican</w:t>
            </w:r>
          </w:p>
        </w:tc>
        <w:tc>
          <w:tcPr>
            <w:tcW w:w="1250" w:type="pct"/>
          </w:tcPr>
          <w:p w14:paraId="35DFD660" w14:textId="77777777" w:rsidR="00CA2106" w:rsidRPr="00E835E0" w:rsidRDefault="00CA2106" w:rsidP="00B10C18">
            <w:r w:rsidRPr="00E835E0">
              <w:rPr>
                <w:i/>
                <w:iCs/>
              </w:rPr>
              <w:t>Haematopus longirostris</w:t>
            </w:r>
          </w:p>
        </w:tc>
        <w:tc>
          <w:tcPr>
            <w:tcW w:w="1176" w:type="pct"/>
          </w:tcPr>
          <w:p w14:paraId="672FF6E4" w14:textId="77777777" w:rsidR="00CA2106" w:rsidRPr="00E835E0" w:rsidRDefault="00CA2106" w:rsidP="00B10C18">
            <w:r w:rsidRPr="00E835E0">
              <w:t>pied oystercatcher</w:t>
            </w:r>
          </w:p>
        </w:tc>
      </w:tr>
      <w:tr w:rsidR="00CA2106" w14:paraId="396E5621" w14:textId="77777777" w:rsidTr="0074128E">
        <w:trPr>
          <w:trHeight w:hRule="exact" w:val="397"/>
        </w:trPr>
        <w:tc>
          <w:tcPr>
            <w:tcW w:w="1397" w:type="pct"/>
          </w:tcPr>
          <w:p w14:paraId="701B6922" w14:textId="77777777" w:rsidR="00CA2106" w:rsidRPr="00E835E0" w:rsidRDefault="00CA2106" w:rsidP="00B10C18">
            <w:r w:rsidRPr="00E835E0">
              <w:rPr>
                <w:i/>
                <w:iCs/>
              </w:rPr>
              <w:t>Thalasseus bergii</w:t>
            </w:r>
          </w:p>
        </w:tc>
        <w:tc>
          <w:tcPr>
            <w:tcW w:w="1176" w:type="pct"/>
          </w:tcPr>
          <w:p w14:paraId="669D1ED5" w14:textId="77777777" w:rsidR="00CA2106" w:rsidRPr="00E835E0" w:rsidRDefault="00CA2106" w:rsidP="00B10C18">
            <w:r w:rsidRPr="00E835E0">
              <w:t>greater crested tern</w:t>
            </w:r>
          </w:p>
        </w:tc>
        <w:tc>
          <w:tcPr>
            <w:tcW w:w="1250" w:type="pct"/>
          </w:tcPr>
          <w:p w14:paraId="34B4B75B" w14:textId="77777777" w:rsidR="00CA2106" w:rsidRPr="00E835E0" w:rsidRDefault="00CA2106" w:rsidP="00B10C18"/>
        </w:tc>
        <w:tc>
          <w:tcPr>
            <w:tcW w:w="1176" w:type="pct"/>
          </w:tcPr>
          <w:p w14:paraId="13EB0011" w14:textId="77777777" w:rsidR="00CA2106" w:rsidRPr="00E835E0" w:rsidRDefault="00CA2106" w:rsidP="00B10C18"/>
        </w:tc>
      </w:tr>
      <w:tr w:rsidR="00CA2106" w14:paraId="0183EE8C" w14:textId="77777777" w:rsidTr="0074128E">
        <w:trPr>
          <w:trHeight w:hRule="exact" w:val="397"/>
        </w:trPr>
        <w:tc>
          <w:tcPr>
            <w:tcW w:w="1397" w:type="pct"/>
          </w:tcPr>
          <w:p w14:paraId="58EB148A" w14:textId="77777777" w:rsidR="00CA2106" w:rsidRPr="00E835E0" w:rsidRDefault="00CA2106" w:rsidP="00B10C18">
            <w:pPr>
              <w:rPr>
                <w:i/>
                <w:iCs/>
              </w:rPr>
            </w:pPr>
            <w:r w:rsidRPr="00E835E0">
              <w:rPr>
                <w:i/>
                <w:iCs/>
              </w:rPr>
              <w:t>Sternula nereis nereis</w:t>
            </w:r>
          </w:p>
        </w:tc>
        <w:tc>
          <w:tcPr>
            <w:tcW w:w="1176" w:type="pct"/>
          </w:tcPr>
          <w:p w14:paraId="4D7FE932" w14:textId="77777777" w:rsidR="00CA2106" w:rsidRPr="00E835E0" w:rsidRDefault="00CA2106" w:rsidP="00B10C18">
            <w:r w:rsidRPr="00E835E0">
              <w:t>fairy tern</w:t>
            </w:r>
          </w:p>
        </w:tc>
        <w:tc>
          <w:tcPr>
            <w:tcW w:w="1250" w:type="pct"/>
          </w:tcPr>
          <w:p w14:paraId="3F21EEB1" w14:textId="77777777" w:rsidR="00CA2106" w:rsidRPr="00E835E0" w:rsidRDefault="00CA2106" w:rsidP="00B10C18"/>
        </w:tc>
        <w:tc>
          <w:tcPr>
            <w:tcW w:w="1176" w:type="pct"/>
          </w:tcPr>
          <w:p w14:paraId="13CED9BD" w14:textId="77777777" w:rsidR="00CA2106" w:rsidRPr="00E835E0" w:rsidRDefault="00CA2106" w:rsidP="00B10C18"/>
        </w:tc>
      </w:tr>
      <w:tr w:rsidR="00CA2106" w14:paraId="1E7E940A" w14:textId="77777777" w:rsidTr="0074128E">
        <w:trPr>
          <w:trHeight w:hRule="exact" w:val="340"/>
        </w:trPr>
        <w:tc>
          <w:tcPr>
            <w:tcW w:w="5000" w:type="pct"/>
            <w:gridSpan w:val="4"/>
            <w:shd w:val="clear" w:color="auto" w:fill="FBE4D5" w:themeFill="accent2" w:themeFillTint="33"/>
          </w:tcPr>
          <w:p w14:paraId="3D631DE4" w14:textId="77777777" w:rsidR="00CA2106" w:rsidRPr="00E835E0" w:rsidRDefault="00CA2106" w:rsidP="0045582A">
            <w:pPr>
              <w:keepNext/>
              <w:rPr>
                <w:b/>
                <w:bCs/>
              </w:rPr>
            </w:pPr>
            <w:r w:rsidRPr="00E835E0">
              <w:rPr>
                <w:b/>
                <w:bCs/>
              </w:rPr>
              <w:t xml:space="preserve">Lower </w:t>
            </w:r>
            <w:r w:rsidRPr="00E835E0">
              <w:rPr>
                <w:b/>
                <w:bCs/>
                <w:shd w:val="clear" w:color="auto" w:fill="FBE4D5" w:themeFill="accent2" w:themeFillTint="33"/>
              </w:rPr>
              <w:t>Lakes</w:t>
            </w:r>
          </w:p>
        </w:tc>
      </w:tr>
      <w:tr w:rsidR="00CA2106" w14:paraId="2C2408B6" w14:textId="77777777" w:rsidTr="004057B1">
        <w:trPr>
          <w:trHeight w:hRule="exact" w:val="631"/>
        </w:trPr>
        <w:tc>
          <w:tcPr>
            <w:tcW w:w="1397" w:type="pct"/>
          </w:tcPr>
          <w:p w14:paraId="79020B43" w14:textId="77777777" w:rsidR="00CA2106" w:rsidRPr="00E835E0" w:rsidRDefault="00CA2106" w:rsidP="00B10C18">
            <w:pPr>
              <w:rPr>
                <w:i/>
                <w:iCs/>
              </w:rPr>
            </w:pPr>
            <w:r w:rsidRPr="00E835E0">
              <w:rPr>
                <w:i/>
                <w:iCs/>
              </w:rPr>
              <w:t>Anhinga novaehollandiae</w:t>
            </w:r>
          </w:p>
        </w:tc>
        <w:tc>
          <w:tcPr>
            <w:tcW w:w="1176" w:type="pct"/>
          </w:tcPr>
          <w:p w14:paraId="5E76FC0E" w14:textId="77777777" w:rsidR="00CA2106" w:rsidRPr="00E835E0" w:rsidRDefault="00CA2106" w:rsidP="00B10C18">
            <w:r w:rsidRPr="00E835E0">
              <w:t>Australian darter</w:t>
            </w:r>
          </w:p>
        </w:tc>
        <w:tc>
          <w:tcPr>
            <w:tcW w:w="1250" w:type="pct"/>
          </w:tcPr>
          <w:p w14:paraId="15B08286" w14:textId="77777777" w:rsidR="00CA2106" w:rsidRPr="00E835E0" w:rsidRDefault="00CA2106" w:rsidP="00B10C18">
            <w:pPr>
              <w:rPr>
                <w:i/>
                <w:iCs/>
              </w:rPr>
            </w:pPr>
            <w:r w:rsidRPr="00E835E0">
              <w:rPr>
                <w:i/>
                <w:iCs/>
              </w:rPr>
              <w:t>Anas gracilis</w:t>
            </w:r>
          </w:p>
        </w:tc>
        <w:tc>
          <w:tcPr>
            <w:tcW w:w="1176" w:type="pct"/>
          </w:tcPr>
          <w:p w14:paraId="2F8C1590" w14:textId="77777777" w:rsidR="00CA2106" w:rsidRPr="00E835E0" w:rsidRDefault="00CA2106" w:rsidP="00B10C18">
            <w:r w:rsidRPr="00E835E0">
              <w:t>grey teal</w:t>
            </w:r>
          </w:p>
        </w:tc>
      </w:tr>
      <w:tr w:rsidR="00CA2106" w14:paraId="054C900D" w14:textId="77777777" w:rsidTr="004057B1">
        <w:trPr>
          <w:trHeight w:hRule="exact" w:val="569"/>
        </w:trPr>
        <w:tc>
          <w:tcPr>
            <w:tcW w:w="1397" w:type="pct"/>
          </w:tcPr>
          <w:p w14:paraId="7D6EE7F5" w14:textId="77777777" w:rsidR="00CA2106" w:rsidRPr="00E835E0" w:rsidRDefault="00CA2106" w:rsidP="00B10C18">
            <w:pPr>
              <w:rPr>
                <w:i/>
                <w:iCs/>
              </w:rPr>
            </w:pPr>
            <w:r w:rsidRPr="00E835E0">
              <w:rPr>
                <w:i/>
                <w:iCs/>
              </w:rPr>
              <w:t>Microcarbo melanoleucos</w:t>
            </w:r>
          </w:p>
        </w:tc>
        <w:tc>
          <w:tcPr>
            <w:tcW w:w="1176" w:type="pct"/>
          </w:tcPr>
          <w:p w14:paraId="22C5AAE6" w14:textId="77777777" w:rsidR="00CA2106" w:rsidRPr="00E835E0" w:rsidRDefault="00CA2106" w:rsidP="00B10C18">
            <w:r w:rsidRPr="00E835E0">
              <w:t>little pied cormorant</w:t>
            </w:r>
          </w:p>
        </w:tc>
        <w:tc>
          <w:tcPr>
            <w:tcW w:w="1250" w:type="pct"/>
          </w:tcPr>
          <w:p w14:paraId="143A0E00" w14:textId="77777777" w:rsidR="00CA2106" w:rsidRPr="00E835E0" w:rsidRDefault="00CA2106" w:rsidP="00B10C18">
            <w:pPr>
              <w:rPr>
                <w:i/>
                <w:iCs/>
              </w:rPr>
            </w:pPr>
            <w:r w:rsidRPr="00E835E0">
              <w:rPr>
                <w:i/>
                <w:iCs/>
              </w:rPr>
              <w:t>Cygnus atratus</w:t>
            </w:r>
          </w:p>
        </w:tc>
        <w:tc>
          <w:tcPr>
            <w:tcW w:w="1176" w:type="pct"/>
          </w:tcPr>
          <w:p w14:paraId="1237E4AE" w14:textId="77777777" w:rsidR="00CA2106" w:rsidRPr="00E835E0" w:rsidRDefault="00CA2106" w:rsidP="00B10C18">
            <w:r w:rsidRPr="00E835E0">
              <w:t>black swan</w:t>
            </w:r>
          </w:p>
        </w:tc>
      </w:tr>
      <w:tr w:rsidR="00CA2106" w14:paraId="31C74D3B" w14:textId="77777777" w:rsidTr="0074128E">
        <w:trPr>
          <w:trHeight w:hRule="exact" w:val="397"/>
        </w:trPr>
        <w:tc>
          <w:tcPr>
            <w:tcW w:w="1397" w:type="pct"/>
          </w:tcPr>
          <w:p w14:paraId="653EF5F9" w14:textId="77777777" w:rsidR="00CA2106" w:rsidRPr="00E835E0" w:rsidRDefault="00CA2106" w:rsidP="00B10C18">
            <w:pPr>
              <w:rPr>
                <w:i/>
                <w:iCs/>
              </w:rPr>
            </w:pPr>
            <w:r w:rsidRPr="00E835E0">
              <w:rPr>
                <w:i/>
                <w:iCs/>
              </w:rPr>
              <w:t>Phalacrocorax carbo</w:t>
            </w:r>
          </w:p>
        </w:tc>
        <w:tc>
          <w:tcPr>
            <w:tcW w:w="1176" w:type="pct"/>
          </w:tcPr>
          <w:p w14:paraId="3B6F3496" w14:textId="77777777" w:rsidR="00CA2106" w:rsidRPr="00E835E0" w:rsidRDefault="00CA2106" w:rsidP="00B10C18">
            <w:r w:rsidRPr="00E835E0">
              <w:t>great cormorant</w:t>
            </w:r>
          </w:p>
        </w:tc>
        <w:tc>
          <w:tcPr>
            <w:tcW w:w="1250" w:type="pct"/>
          </w:tcPr>
          <w:p w14:paraId="3441443F" w14:textId="77777777" w:rsidR="00CA2106" w:rsidRPr="00E835E0" w:rsidRDefault="00CA2106" w:rsidP="00B10C18">
            <w:pPr>
              <w:rPr>
                <w:i/>
                <w:iCs/>
              </w:rPr>
            </w:pPr>
            <w:r w:rsidRPr="00E835E0">
              <w:rPr>
                <w:i/>
                <w:iCs/>
              </w:rPr>
              <w:t>Fulica atra</w:t>
            </w:r>
          </w:p>
        </w:tc>
        <w:tc>
          <w:tcPr>
            <w:tcW w:w="1176" w:type="pct"/>
          </w:tcPr>
          <w:p w14:paraId="46E3F1FD" w14:textId="77777777" w:rsidR="00CA2106" w:rsidRPr="00E835E0" w:rsidRDefault="00CA2106" w:rsidP="00B10C18">
            <w:r w:rsidRPr="00E835E0">
              <w:t>Eurasian coot</w:t>
            </w:r>
          </w:p>
        </w:tc>
      </w:tr>
      <w:tr w:rsidR="00CA2106" w14:paraId="29E86E27" w14:textId="77777777" w:rsidTr="004057B1">
        <w:trPr>
          <w:trHeight w:hRule="exact" w:val="597"/>
        </w:trPr>
        <w:tc>
          <w:tcPr>
            <w:tcW w:w="1397" w:type="pct"/>
          </w:tcPr>
          <w:p w14:paraId="45EA8D80" w14:textId="77777777" w:rsidR="00CA2106" w:rsidRPr="00E835E0" w:rsidRDefault="00CA2106" w:rsidP="00B10C18">
            <w:pPr>
              <w:rPr>
                <w:i/>
                <w:iCs/>
              </w:rPr>
            </w:pPr>
            <w:r w:rsidRPr="00E835E0">
              <w:rPr>
                <w:i/>
                <w:iCs/>
              </w:rPr>
              <w:t>Phalacrocorax sulcirostris</w:t>
            </w:r>
          </w:p>
        </w:tc>
        <w:tc>
          <w:tcPr>
            <w:tcW w:w="1176" w:type="pct"/>
          </w:tcPr>
          <w:p w14:paraId="524342C3" w14:textId="77777777" w:rsidR="00CA2106" w:rsidRPr="00E835E0" w:rsidRDefault="00CA2106" w:rsidP="00B10C18">
            <w:r w:rsidRPr="00E835E0">
              <w:t>little black cormorant</w:t>
            </w:r>
          </w:p>
        </w:tc>
        <w:tc>
          <w:tcPr>
            <w:tcW w:w="1250" w:type="pct"/>
          </w:tcPr>
          <w:p w14:paraId="796515D1" w14:textId="77777777" w:rsidR="00CA2106" w:rsidRPr="00E835E0" w:rsidRDefault="00CA2106" w:rsidP="00B10C18">
            <w:pPr>
              <w:rPr>
                <w:i/>
                <w:iCs/>
              </w:rPr>
            </w:pPr>
            <w:r w:rsidRPr="00E835E0">
              <w:rPr>
                <w:i/>
                <w:iCs/>
              </w:rPr>
              <w:t>Porphyrio porphyrio</w:t>
            </w:r>
          </w:p>
        </w:tc>
        <w:tc>
          <w:tcPr>
            <w:tcW w:w="1176" w:type="pct"/>
          </w:tcPr>
          <w:p w14:paraId="3602F11B" w14:textId="77777777" w:rsidR="00CA2106" w:rsidRPr="00E835E0" w:rsidRDefault="00CA2106" w:rsidP="00B10C18">
            <w:r w:rsidRPr="00E835E0">
              <w:t>purple swamphen</w:t>
            </w:r>
          </w:p>
        </w:tc>
      </w:tr>
      <w:tr w:rsidR="00CA2106" w14:paraId="789C524B" w14:textId="77777777" w:rsidTr="0074128E">
        <w:trPr>
          <w:trHeight w:hRule="exact" w:val="397"/>
        </w:trPr>
        <w:tc>
          <w:tcPr>
            <w:tcW w:w="1397" w:type="pct"/>
          </w:tcPr>
          <w:p w14:paraId="54D6A3BC" w14:textId="77777777" w:rsidR="00CA2106" w:rsidRPr="00E835E0" w:rsidRDefault="00CA2106" w:rsidP="00B10C18">
            <w:pPr>
              <w:rPr>
                <w:i/>
                <w:iCs/>
              </w:rPr>
            </w:pPr>
            <w:r w:rsidRPr="00E835E0">
              <w:rPr>
                <w:i/>
                <w:iCs/>
              </w:rPr>
              <w:t>Phalacrocorax varius</w:t>
            </w:r>
          </w:p>
        </w:tc>
        <w:tc>
          <w:tcPr>
            <w:tcW w:w="1176" w:type="pct"/>
          </w:tcPr>
          <w:p w14:paraId="49544DC5" w14:textId="77777777" w:rsidR="00CA2106" w:rsidRPr="00E835E0" w:rsidRDefault="00CA2106" w:rsidP="00B10C18">
            <w:r w:rsidRPr="00E835E0">
              <w:t>pied cormorant</w:t>
            </w:r>
          </w:p>
        </w:tc>
        <w:tc>
          <w:tcPr>
            <w:tcW w:w="1250" w:type="pct"/>
          </w:tcPr>
          <w:p w14:paraId="42385CAD" w14:textId="77777777" w:rsidR="00CA2106" w:rsidRPr="00E835E0" w:rsidRDefault="00CA2106" w:rsidP="00B10C18"/>
        </w:tc>
        <w:tc>
          <w:tcPr>
            <w:tcW w:w="1176" w:type="pct"/>
          </w:tcPr>
          <w:p w14:paraId="07483816" w14:textId="77777777" w:rsidR="00CA2106" w:rsidRPr="00E835E0" w:rsidRDefault="00CA2106" w:rsidP="00B10C18"/>
        </w:tc>
      </w:tr>
      <w:tr w:rsidR="00CA2106" w14:paraId="41A156C2" w14:textId="77777777" w:rsidTr="0074128E">
        <w:trPr>
          <w:trHeight w:hRule="exact" w:val="397"/>
        </w:trPr>
        <w:tc>
          <w:tcPr>
            <w:tcW w:w="1397" w:type="pct"/>
          </w:tcPr>
          <w:p w14:paraId="200E1131" w14:textId="77777777" w:rsidR="00CA2106" w:rsidRPr="00E835E0" w:rsidRDefault="00CA2106" w:rsidP="00B10C18">
            <w:pPr>
              <w:rPr>
                <w:i/>
                <w:iCs/>
              </w:rPr>
            </w:pPr>
            <w:r w:rsidRPr="00E835E0">
              <w:rPr>
                <w:i/>
                <w:iCs/>
              </w:rPr>
              <w:t>Platalea regia</w:t>
            </w:r>
          </w:p>
        </w:tc>
        <w:tc>
          <w:tcPr>
            <w:tcW w:w="1176" w:type="pct"/>
          </w:tcPr>
          <w:p w14:paraId="56B647B6" w14:textId="77777777" w:rsidR="00CA2106" w:rsidRPr="00E835E0" w:rsidRDefault="00CA2106" w:rsidP="00B10C18">
            <w:r w:rsidRPr="00E835E0">
              <w:t>royal spoonbill</w:t>
            </w:r>
          </w:p>
        </w:tc>
        <w:tc>
          <w:tcPr>
            <w:tcW w:w="1250" w:type="pct"/>
          </w:tcPr>
          <w:p w14:paraId="29E9F2D3" w14:textId="77777777" w:rsidR="00CA2106" w:rsidRPr="00E835E0" w:rsidRDefault="00CA2106" w:rsidP="00B10C18"/>
        </w:tc>
        <w:tc>
          <w:tcPr>
            <w:tcW w:w="1176" w:type="pct"/>
          </w:tcPr>
          <w:p w14:paraId="0F155D1A" w14:textId="77777777" w:rsidR="00CA2106" w:rsidRPr="00E835E0" w:rsidRDefault="00CA2106" w:rsidP="00B10C18"/>
        </w:tc>
      </w:tr>
      <w:tr w:rsidR="00CA2106" w14:paraId="7A92DB4C" w14:textId="77777777" w:rsidTr="0074128E">
        <w:trPr>
          <w:trHeight w:hRule="exact" w:val="397"/>
        </w:trPr>
        <w:tc>
          <w:tcPr>
            <w:tcW w:w="1397" w:type="pct"/>
          </w:tcPr>
          <w:p w14:paraId="658A1FAC" w14:textId="392D67E4" w:rsidR="00CA2106" w:rsidRPr="00E835E0" w:rsidRDefault="00CA2106" w:rsidP="00B10C18">
            <w:pPr>
              <w:rPr>
                <w:i/>
                <w:iCs/>
              </w:rPr>
            </w:pPr>
            <w:r w:rsidRPr="00E835E0">
              <w:rPr>
                <w:i/>
                <w:iCs/>
              </w:rPr>
              <w:t>Threskiornis moluccus</w:t>
            </w:r>
          </w:p>
        </w:tc>
        <w:tc>
          <w:tcPr>
            <w:tcW w:w="1176" w:type="pct"/>
          </w:tcPr>
          <w:p w14:paraId="7EEE0975" w14:textId="77777777" w:rsidR="00CA2106" w:rsidRPr="00E835E0" w:rsidRDefault="00CA2106" w:rsidP="00B10C18">
            <w:r w:rsidRPr="00E835E0">
              <w:t>Australian white ibis</w:t>
            </w:r>
          </w:p>
        </w:tc>
        <w:tc>
          <w:tcPr>
            <w:tcW w:w="1250" w:type="pct"/>
          </w:tcPr>
          <w:p w14:paraId="0CEDD700" w14:textId="77777777" w:rsidR="00CA2106" w:rsidRPr="00E835E0" w:rsidRDefault="00CA2106" w:rsidP="00B10C18"/>
        </w:tc>
        <w:tc>
          <w:tcPr>
            <w:tcW w:w="1176" w:type="pct"/>
          </w:tcPr>
          <w:p w14:paraId="1B5DDA78" w14:textId="77777777" w:rsidR="00CA2106" w:rsidRPr="00E835E0" w:rsidRDefault="00CA2106" w:rsidP="00B10C18"/>
        </w:tc>
      </w:tr>
      <w:tr w:rsidR="00CA2106" w14:paraId="6BAC24F7" w14:textId="77777777" w:rsidTr="0074128E">
        <w:trPr>
          <w:trHeight w:hRule="exact" w:val="397"/>
        </w:trPr>
        <w:tc>
          <w:tcPr>
            <w:tcW w:w="1397" w:type="pct"/>
          </w:tcPr>
          <w:p w14:paraId="6EF3EB2B" w14:textId="77777777" w:rsidR="00CA2106" w:rsidRPr="00E835E0" w:rsidRDefault="00CA2106" w:rsidP="00B10C18">
            <w:r w:rsidRPr="00E835E0">
              <w:rPr>
                <w:i/>
                <w:iCs/>
              </w:rPr>
              <w:t>Threskiornis spinicollis</w:t>
            </w:r>
          </w:p>
        </w:tc>
        <w:tc>
          <w:tcPr>
            <w:tcW w:w="1176" w:type="pct"/>
          </w:tcPr>
          <w:p w14:paraId="1E91B481" w14:textId="77777777" w:rsidR="00CA2106" w:rsidRPr="00E835E0" w:rsidRDefault="00CA2106" w:rsidP="00B10C18">
            <w:r w:rsidRPr="00E835E0">
              <w:t>straw-necked ibis</w:t>
            </w:r>
          </w:p>
        </w:tc>
        <w:tc>
          <w:tcPr>
            <w:tcW w:w="1250" w:type="pct"/>
          </w:tcPr>
          <w:p w14:paraId="56C67149" w14:textId="77777777" w:rsidR="00CA2106" w:rsidRPr="00E835E0" w:rsidRDefault="00CA2106" w:rsidP="00B10C18"/>
        </w:tc>
        <w:tc>
          <w:tcPr>
            <w:tcW w:w="1176" w:type="pct"/>
          </w:tcPr>
          <w:p w14:paraId="15F4CEBF" w14:textId="77777777" w:rsidR="00CA2106" w:rsidRPr="00E835E0" w:rsidRDefault="00CA2106" w:rsidP="00B10C18"/>
        </w:tc>
      </w:tr>
    </w:tbl>
    <w:p w14:paraId="028A03D8" w14:textId="77777777" w:rsidR="00A247A4" w:rsidRDefault="00A247A4" w:rsidP="00EF1B57">
      <w:pPr>
        <w:contextualSpacing/>
        <w:rPr>
          <w:b/>
          <w:bCs/>
          <w:i/>
          <w:iCs/>
        </w:rPr>
      </w:pPr>
    </w:p>
    <w:p w14:paraId="25790251" w14:textId="77777777" w:rsidR="00C637BD" w:rsidRPr="00242FDA" w:rsidRDefault="00C637BD" w:rsidP="00C637BD">
      <w:pPr>
        <w:pStyle w:val="Heading7"/>
      </w:pPr>
      <w:r w:rsidRPr="00242FDA">
        <w:lastRenderedPageBreak/>
        <w:t>Waterbird feeding</w:t>
      </w:r>
    </w:p>
    <w:p w14:paraId="2E5A9FE3" w14:textId="77777777" w:rsidR="00C637BD" w:rsidRPr="00B7343B" w:rsidRDefault="00C637BD" w:rsidP="00C637BD">
      <w:pPr>
        <w:keepLines/>
      </w:pPr>
      <w:r>
        <w:t xml:space="preserve">In the CLLMM component of the ecological community, three main foraging groups have been identified for waterbirds—invertebrate foragers, (mainly) aquatic plant feeders; and a fish-eating group (Paton 2010; Paton et al. 2018; see </w:t>
      </w:r>
      <w:r w:rsidRPr="004111A4">
        <w:rPr>
          <w:u w:val="single"/>
        </w:rPr>
        <w:t xml:space="preserve">Appendix </w:t>
      </w:r>
      <w:r>
        <w:rPr>
          <w:u w:val="single"/>
        </w:rPr>
        <w:t>B</w:t>
      </w:r>
      <w:r w:rsidRPr="004111A4">
        <w:rPr>
          <w:u w:val="single"/>
        </w:rPr>
        <w:t xml:space="preserve">, Table </w:t>
      </w:r>
      <w:r>
        <w:rPr>
          <w:u w:val="single"/>
        </w:rPr>
        <w:t>B3</w:t>
      </w:r>
      <w:r>
        <w:t xml:space="preserve">). Long-term surveys have shown that more fish-eating waterbirds use the Lower Lakes (approx. double), while the use of both the Coorong and Lower Lakes by waterfowl is fairly even (Paton et al. 2018, 2023; see </w:t>
      </w:r>
      <w:r w:rsidRPr="006C607B">
        <w:rPr>
          <w:u w:val="single"/>
        </w:rPr>
        <w:t>Appendix B, Table B</w:t>
      </w:r>
      <w:r>
        <w:rPr>
          <w:u w:val="single"/>
        </w:rPr>
        <w:t>3</w:t>
      </w:r>
      <w:r w:rsidRPr="006C607B">
        <w:t>)</w:t>
      </w:r>
      <w:r>
        <w:t>. Invertebrate foragers (mainly shorebirds and waders) feed by wading in shallow water around the shoreline, with the depth of water in which they forage in determined by relative leg length (Paton et al. 2018).</w:t>
      </w:r>
    </w:p>
    <w:p w14:paraId="74421052" w14:textId="7EDB265B" w:rsidR="00C637BD" w:rsidRPr="00C637BD" w:rsidRDefault="00C637BD" w:rsidP="00EF1B57">
      <w:r>
        <w:t xml:space="preserve">Surveys have also shown a range of terrestrial birds with foraging niches in the Coorong, with frugivores making up the largest proportion (~50%), insectivores around a third (~33%) and smaller proportions of nectivores and granivores (Paton 2010; see </w:t>
      </w:r>
      <w:r w:rsidRPr="00FF5727">
        <w:rPr>
          <w:u w:val="single"/>
        </w:rPr>
        <w:t>Appendix B, Table B</w:t>
      </w:r>
      <w:r>
        <w:rPr>
          <w:u w:val="single"/>
        </w:rPr>
        <w:t>4</w:t>
      </w:r>
      <w:r>
        <w:t>):</w:t>
      </w:r>
    </w:p>
    <w:p w14:paraId="1254075E" w14:textId="77777777" w:rsidR="0082100A" w:rsidRDefault="0082100A" w:rsidP="00864ABB">
      <w:pPr>
        <w:pStyle w:val="Heading7"/>
      </w:pPr>
      <w:r w:rsidRPr="00242FDA">
        <w:t>Migratory birds</w:t>
      </w:r>
    </w:p>
    <w:p w14:paraId="12350E21" w14:textId="35F764DD" w:rsidR="00B7343B" w:rsidRDefault="0082100A" w:rsidP="00B7343B">
      <w:r w:rsidRPr="000D6801">
        <w:t>Significant component</w:t>
      </w:r>
      <w:r>
        <w:t>s of the ecological community are</w:t>
      </w:r>
      <w:r w:rsidRPr="000D6801">
        <w:t xml:space="preserve"> also habitat for many nomadic</w:t>
      </w:r>
      <w:r>
        <w:t xml:space="preserve"> and/or migratory</w:t>
      </w:r>
      <w:r w:rsidRPr="000D6801">
        <w:t xml:space="preserve"> waterbirds when inland wetlands dry</w:t>
      </w:r>
      <w:r>
        <w:t>,</w:t>
      </w:r>
      <w:r w:rsidRPr="000D6801">
        <w:t xml:space="preserve"> or during times of drought in central and eastern</w:t>
      </w:r>
      <w:r w:rsidR="00003850">
        <w:t xml:space="preserve"> </w:t>
      </w:r>
      <w:r w:rsidR="00B7343B" w:rsidRPr="000D6801">
        <w:t>Australia, as well as for</w:t>
      </w:r>
      <w:r w:rsidR="00B7343B">
        <w:t xml:space="preserve"> </w:t>
      </w:r>
      <w:r w:rsidR="00B7343B" w:rsidRPr="000D6801">
        <w:t>no</w:t>
      </w:r>
      <w:r w:rsidR="00B7343B">
        <w:t xml:space="preserve">madic bush-birds </w:t>
      </w:r>
      <w:r w:rsidR="00B7343B" w:rsidRPr="00FA5C22">
        <w:t>during summer.</w:t>
      </w:r>
      <w:r w:rsidR="00B7343B">
        <w:t xml:space="preserve"> In particular, the Lower Lakes is a critical site for migratory birds, </w:t>
      </w:r>
      <w:r w:rsidR="00B7343B" w:rsidRPr="00895C20">
        <w:t xml:space="preserve">supporting </w:t>
      </w:r>
      <w:r w:rsidR="00B7343B">
        <w:t xml:space="preserve">an estimated </w:t>
      </w:r>
      <w:r w:rsidR="00B7343B" w:rsidRPr="00895C20">
        <w:t>30% of the migratory shorebirds summering in Australia, of which many species are listed under international agreements with Japan, China</w:t>
      </w:r>
      <w:r w:rsidR="00B7343B">
        <w:t>,</w:t>
      </w:r>
      <w:r w:rsidR="00B7343B" w:rsidRPr="00895C20">
        <w:t xml:space="preserve"> and Korea (Paton 2010</w:t>
      </w:r>
      <w:r w:rsidR="00B7343B">
        <w:t xml:space="preserve">; </w:t>
      </w:r>
      <w:r w:rsidR="00D765EE">
        <w:t xml:space="preserve">Paton et al. 2018; </w:t>
      </w:r>
      <w:r w:rsidR="00B7343B" w:rsidRPr="00893075">
        <w:rPr>
          <w:u w:val="single"/>
        </w:rPr>
        <w:t xml:space="preserve">Appendix B, Table </w:t>
      </w:r>
      <w:r w:rsidR="00D765EE" w:rsidRPr="00893075">
        <w:rPr>
          <w:u w:val="single"/>
        </w:rPr>
        <w:t>B</w:t>
      </w:r>
      <w:r w:rsidR="00893075" w:rsidRPr="00893075">
        <w:rPr>
          <w:u w:val="single"/>
        </w:rPr>
        <w:t>5</w:t>
      </w:r>
      <w:r w:rsidR="00B7343B" w:rsidRPr="00895C20">
        <w:t>).</w:t>
      </w:r>
      <w:r w:rsidR="00B7343B">
        <w:t xml:space="preserve"> </w:t>
      </w:r>
    </w:p>
    <w:p w14:paraId="103667B4" w14:textId="6C16AB45" w:rsidR="00B7343B" w:rsidRPr="00B7343B" w:rsidRDefault="00B7343B" w:rsidP="00EF1B57">
      <w:r>
        <w:t>The Coorong also supports large numbers of small migratory birds, in addition to non-migratory waders, piscivorous birds, and waterfowl, with more than 80 species recorded over long-term surveys (Paton et al. 2018, 2022</w:t>
      </w:r>
      <w:r w:rsidR="00D13FFD">
        <w:t xml:space="preserve">; </w:t>
      </w:r>
      <w:r w:rsidR="00D13FFD" w:rsidRPr="00893075">
        <w:rPr>
          <w:u w:val="single"/>
        </w:rPr>
        <w:t>Appendix B, Table B</w:t>
      </w:r>
      <w:r w:rsidR="00893075">
        <w:rPr>
          <w:u w:val="single"/>
        </w:rPr>
        <w:t>5</w:t>
      </w:r>
      <w:r>
        <w:t xml:space="preserve">). Importantly, there are large number of shorebirds (e.g. sandpipers, stints, plovers, stilts, avocets) that use the saline wetlands of the Coorong but not the freshwater wetlands of the Lower Lakes (Paton et al. 2018). </w:t>
      </w:r>
    </w:p>
    <w:p w14:paraId="243F559B" w14:textId="1E926BC6" w:rsidR="00953EBF" w:rsidRDefault="00E43644" w:rsidP="00AD4454">
      <w:pPr>
        <w:pStyle w:val="Heading6"/>
      </w:pPr>
      <w:bookmarkStart w:id="60" w:name="_Toc232747027"/>
      <w:bookmarkStart w:id="61" w:name="_Toc363639652"/>
      <w:r w:rsidRPr="000015C0">
        <w:t>M</w:t>
      </w:r>
      <w:r w:rsidR="00D42F9E" w:rsidRPr="000015C0">
        <w:t>ammals</w:t>
      </w:r>
      <w:bookmarkEnd w:id="60"/>
      <w:bookmarkEnd w:id="61"/>
    </w:p>
    <w:p w14:paraId="6FB80F94" w14:textId="0042C80E" w:rsidR="00D94785" w:rsidRPr="00953EBF" w:rsidRDefault="00953EBF" w:rsidP="00BC66C3">
      <w:pPr>
        <w:pStyle w:val="Heading7"/>
      </w:pPr>
      <w:r w:rsidRPr="00953EBF">
        <w:t>Historic</w:t>
      </w:r>
      <w:r w:rsidR="00D765EE">
        <w:t xml:space="preserve"> </w:t>
      </w:r>
      <w:r>
        <w:t>loss</w:t>
      </w:r>
    </w:p>
    <w:p w14:paraId="2CB0A966" w14:textId="0D380E5D" w:rsidR="009533FE" w:rsidRDefault="00D42F9E" w:rsidP="00D42F9E">
      <w:pPr>
        <w:rPr>
          <w:rFonts w:cs="Times New Roman"/>
        </w:rPr>
      </w:pPr>
      <w:r w:rsidRPr="00D42F9E">
        <w:rPr>
          <w:rFonts w:cs="Times New Roman"/>
        </w:rPr>
        <w:t>The broader Riverland and Murraylands of South Australia were once home to around 70 species of native mammals</w:t>
      </w:r>
      <w:r w:rsidR="00910FC1">
        <w:rPr>
          <w:rFonts w:cs="Times New Roman"/>
        </w:rPr>
        <w:t xml:space="preserve">: </w:t>
      </w:r>
      <w:r w:rsidR="000137B7">
        <w:rPr>
          <w:rFonts w:cs="Times New Roman"/>
        </w:rPr>
        <w:t>two</w:t>
      </w:r>
      <w:r w:rsidR="009752BC">
        <w:rPr>
          <w:rFonts w:cs="Times New Roman"/>
        </w:rPr>
        <w:t xml:space="preserve"> monotremes, 39 marsupials, 11 rodents and 18 bats</w:t>
      </w:r>
      <w:r w:rsidR="00A57896">
        <w:rPr>
          <w:rFonts w:cs="Times New Roman"/>
        </w:rPr>
        <w:t xml:space="preserve"> </w:t>
      </w:r>
      <w:r w:rsidRPr="00D42F9E">
        <w:rPr>
          <w:rFonts w:cs="Times New Roman"/>
        </w:rPr>
        <w:t xml:space="preserve">(Carthew </w:t>
      </w:r>
      <w:r w:rsidR="00146812">
        <w:rPr>
          <w:rFonts w:cs="Times New Roman"/>
        </w:rPr>
        <w:t xml:space="preserve">&amp; </w:t>
      </w:r>
      <w:r w:rsidRPr="00D42F9E">
        <w:rPr>
          <w:rFonts w:cs="Times New Roman"/>
        </w:rPr>
        <w:t xml:space="preserve">Reardon 2009). </w:t>
      </w:r>
      <w:r w:rsidR="000137B7">
        <w:rPr>
          <w:rFonts w:cs="Times New Roman"/>
        </w:rPr>
        <w:t>However, t</w:t>
      </w:r>
      <w:r w:rsidR="000C3828">
        <w:rPr>
          <w:rFonts w:cs="Times New Roman"/>
        </w:rPr>
        <w:t>he mammal f</w:t>
      </w:r>
      <w:r w:rsidR="00314DFB">
        <w:rPr>
          <w:rFonts w:cs="Times New Roman"/>
        </w:rPr>
        <w:t>au</w:t>
      </w:r>
      <w:r w:rsidR="000C3828">
        <w:rPr>
          <w:rFonts w:cs="Times New Roman"/>
        </w:rPr>
        <w:t>n</w:t>
      </w:r>
      <w:r w:rsidR="00D75DF3">
        <w:rPr>
          <w:rFonts w:cs="Times New Roman"/>
        </w:rPr>
        <w:t>a</w:t>
      </w:r>
      <w:r w:rsidR="000C3828">
        <w:rPr>
          <w:rFonts w:cs="Times New Roman"/>
        </w:rPr>
        <w:t xml:space="preserve"> of the Murray River valley floodplain has been heavily impacted by habitat </w:t>
      </w:r>
      <w:r w:rsidR="00457126">
        <w:rPr>
          <w:rFonts w:cs="Times New Roman"/>
        </w:rPr>
        <w:t>clearing, change</w:t>
      </w:r>
      <w:r w:rsidR="000C3828">
        <w:rPr>
          <w:rFonts w:cs="Times New Roman"/>
        </w:rPr>
        <w:t xml:space="preserve"> and </w:t>
      </w:r>
      <w:r w:rsidR="00457126">
        <w:rPr>
          <w:rFonts w:cs="Times New Roman"/>
        </w:rPr>
        <w:t>degradation due to the high use of this area since European settlement</w:t>
      </w:r>
      <w:r w:rsidR="00936988">
        <w:rPr>
          <w:rFonts w:cs="Times New Roman"/>
        </w:rPr>
        <w:t xml:space="preserve">, in addition to predation by </w:t>
      </w:r>
      <w:r w:rsidR="002A5EDA">
        <w:rPr>
          <w:rFonts w:cs="Times New Roman"/>
        </w:rPr>
        <w:t>feral cats and foxes</w:t>
      </w:r>
      <w:r w:rsidR="00457126">
        <w:rPr>
          <w:rFonts w:cs="Times New Roman"/>
        </w:rPr>
        <w:t xml:space="preserve"> (</w:t>
      </w:r>
      <w:r w:rsidR="00740419">
        <w:rPr>
          <w:rFonts w:cs="Times New Roman"/>
        </w:rPr>
        <w:t xml:space="preserve">Foulkes &amp; Gillen 2000; </w:t>
      </w:r>
      <w:r w:rsidR="00457126">
        <w:rPr>
          <w:rFonts w:cs="Times New Roman"/>
        </w:rPr>
        <w:t>Br</w:t>
      </w:r>
      <w:r w:rsidR="004E6900">
        <w:rPr>
          <w:rFonts w:cs="Times New Roman"/>
        </w:rPr>
        <w:t>andle</w:t>
      </w:r>
      <w:r w:rsidR="00457126">
        <w:rPr>
          <w:rFonts w:cs="Times New Roman"/>
        </w:rPr>
        <w:t xml:space="preserve"> 2002)</w:t>
      </w:r>
      <w:r w:rsidR="00341488">
        <w:rPr>
          <w:rFonts w:cs="Times New Roman"/>
        </w:rPr>
        <w:t>; the species composition has altered dramatically</w:t>
      </w:r>
      <w:r w:rsidR="00236A38">
        <w:rPr>
          <w:rFonts w:cs="Times New Roman"/>
        </w:rPr>
        <w:t xml:space="preserve">, with </w:t>
      </w:r>
      <w:r w:rsidR="00611CD5">
        <w:rPr>
          <w:rFonts w:cs="Times New Roman"/>
        </w:rPr>
        <w:t xml:space="preserve">losses including </w:t>
      </w:r>
      <w:r w:rsidR="00FB7F0B">
        <w:rPr>
          <w:rFonts w:cs="Times New Roman"/>
        </w:rPr>
        <w:t>75% of dasyurids</w:t>
      </w:r>
      <w:r w:rsidR="00611CD5">
        <w:rPr>
          <w:rFonts w:cs="Times New Roman"/>
        </w:rPr>
        <w:t>, 50% of macropods and rodents, and all peramelids and potoroids</w:t>
      </w:r>
      <w:r w:rsidR="00341488">
        <w:rPr>
          <w:rFonts w:cs="Times New Roman"/>
        </w:rPr>
        <w:t xml:space="preserve"> (Carthew &amp; Reardon 2009).</w:t>
      </w:r>
      <w:r w:rsidR="00457126">
        <w:rPr>
          <w:rFonts w:cs="Times New Roman"/>
        </w:rPr>
        <w:t xml:space="preserve"> </w:t>
      </w:r>
      <w:r w:rsidR="009533FE" w:rsidRPr="00D42F9E">
        <w:rPr>
          <w:rFonts w:cs="Times New Roman"/>
        </w:rPr>
        <w:t xml:space="preserve">Species lists of </w:t>
      </w:r>
      <w:r w:rsidR="009533FE">
        <w:rPr>
          <w:rFonts w:cs="Times New Roman"/>
        </w:rPr>
        <w:t xml:space="preserve">extant </w:t>
      </w:r>
      <w:r w:rsidR="009533FE" w:rsidRPr="00D42F9E">
        <w:rPr>
          <w:rFonts w:cs="Times New Roman"/>
        </w:rPr>
        <w:t xml:space="preserve">mammals are provided in Carthew </w:t>
      </w:r>
      <w:r w:rsidR="009533FE">
        <w:rPr>
          <w:rFonts w:cs="Times New Roman"/>
        </w:rPr>
        <w:t xml:space="preserve">&amp; </w:t>
      </w:r>
      <w:r w:rsidR="009533FE" w:rsidRPr="00D42F9E">
        <w:rPr>
          <w:rFonts w:cs="Times New Roman"/>
        </w:rPr>
        <w:t>Reardon (2009)</w:t>
      </w:r>
      <w:r w:rsidR="009533FE">
        <w:rPr>
          <w:rFonts w:cs="Times New Roman"/>
        </w:rPr>
        <w:t xml:space="preserve"> and Stewart et al. (2010)</w:t>
      </w:r>
      <w:r w:rsidR="009533FE" w:rsidRPr="00D42F9E">
        <w:rPr>
          <w:rFonts w:cs="Times New Roman"/>
        </w:rPr>
        <w:t>.</w:t>
      </w:r>
      <w:r w:rsidR="009533FE">
        <w:rPr>
          <w:rFonts w:cs="Times New Roman"/>
        </w:rPr>
        <w:t xml:space="preserve"> </w:t>
      </w:r>
    </w:p>
    <w:p w14:paraId="6E9AA05A" w14:textId="29804247" w:rsidR="00A247A4" w:rsidRPr="00A247A4" w:rsidRDefault="006E10DA" w:rsidP="0045582A">
      <w:pPr>
        <w:keepLines/>
        <w:rPr>
          <w:rFonts w:cs="Times New Roman"/>
        </w:rPr>
      </w:pPr>
      <w:r>
        <w:rPr>
          <w:rFonts w:cs="Times New Roman"/>
        </w:rPr>
        <w:t>F</w:t>
      </w:r>
      <w:r w:rsidR="007A524B">
        <w:rPr>
          <w:rFonts w:cs="Times New Roman"/>
        </w:rPr>
        <w:t xml:space="preserve">urther south, </w:t>
      </w:r>
      <w:r>
        <w:rPr>
          <w:rFonts w:cs="Times New Roman"/>
        </w:rPr>
        <w:t>s</w:t>
      </w:r>
      <w:r w:rsidRPr="00BE43A7">
        <w:rPr>
          <w:rFonts w:cs="Times New Roman"/>
        </w:rPr>
        <w:t xml:space="preserve">everal mammals recorded at the Coorong </w:t>
      </w:r>
      <w:r>
        <w:rPr>
          <w:rFonts w:cs="Times New Roman"/>
        </w:rPr>
        <w:t xml:space="preserve">and Lower Lakes </w:t>
      </w:r>
      <w:r w:rsidRPr="00BE43A7">
        <w:rPr>
          <w:rFonts w:cs="Times New Roman"/>
        </w:rPr>
        <w:t>in the 19</w:t>
      </w:r>
      <w:r w:rsidRPr="00BE43A7">
        <w:rPr>
          <w:rFonts w:cs="Times New Roman"/>
          <w:vertAlign w:val="superscript"/>
        </w:rPr>
        <w:t>th</w:t>
      </w:r>
      <w:r w:rsidRPr="00BE43A7">
        <w:rPr>
          <w:rFonts w:cs="Times New Roman"/>
        </w:rPr>
        <w:t xml:space="preserve"> Century no longer remain</w:t>
      </w:r>
      <w:r>
        <w:rPr>
          <w:rFonts w:cs="Times New Roman"/>
        </w:rPr>
        <w:t xml:space="preserve"> (i.e. extinct or extirpated, e.g. toolache wallaby and </w:t>
      </w:r>
      <w:r w:rsidR="006A6A06">
        <w:rPr>
          <w:rFonts w:cs="Times New Roman"/>
        </w:rPr>
        <w:t>numbat</w:t>
      </w:r>
      <w:r>
        <w:rPr>
          <w:rFonts w:cs="Times New Roman"/>
        </w:rPr>
        <w:t>, respectively)</w:t>
      </w:r>
      <w:r w:rsidRPr="00BE43A7">
        <w:rPr>
          <w:rFonts w:cs="Times New Roman"/>
        </w:rPr>
        <w:t>, with native mammal species now limited to the southern Coorong and adjacent coastal shrubland</w:t>
      </w:r>
      <w:r>
        <w:rPr>
          <w:rFonts w:cs="Times New Roman"/>
        </w:rPr>
        <w:t xml:space="preserve"> (Paton 2010)</w:t>
      </w:r>
      <w:r w:rsidRPr="00BE43A7">
        <w:rPr>
          <w:rFonts w:cs="Times New Roman"/>
        </w:rPr>
        <w:t>.</w:t>
      </w:r>
      <w:r>
        <w:rPr>
          <w:rFonts w:cs="Times New Roman"/>
        </w:rPr>
        <w:t xml:space="preserve"> </w:t>
      </w:r>
      <w:r w:rsidR="007802C7">
        <w:rPr>
          <w:rFonts w:cs="Times New Roman"/>
        </w:rPr>
        <w:t xml:space="preserve">Surveys in 1982 and 2002 of the Murray Mouth reserves recorded only four native mammal species (Brandle 2002). </w:t>
      </w:r>
    </w:p>
    <w:p w14:paraId="116AB115" w14:textId="77777777" w:rsidR="0025451C" w:rsidRPr="005C2500" w:rsidRDefault="0025451C" w:rsidP="00BC66C3">
      <w:pPr>
        <w:pStyle w:val="Heading7"/>
      </w:pPr>
      <w:r w:rsidRPr="005C2500">
        <w:t>Monotremes</w:t>
      </w:r>
    </w:p>
    <w:p w14:paraId="45182A9A" w14:textId="0C331B0D" w:rsidR="0025451C" w:rsidRDefault="0025451C" w:rsidP="0025451C">
      <w:pPr>
        <w:rPr>
          <w:rFonts w:cs="Times New Roman"/>
        </w:rPr>
      </w:pPr>
      <w:r>
        <w:rPr>
          <w:rFonts w:cs="Times New Roman"/>
        </w:rPr>
        <w:t xml:space="preserve">One monotreme, </w:t>
      </w:r>
      <w:r w:rsidRPr="00515C5A">
        <w:rPr>
          <w:rFonts w:cs="Times New Roman"/>
          <w:i/>
          <w:iCs/>
        </w:rPr>
        <w:t>Tachyglossus aculeatus</w:t>
      </w:r>
      <w:r>
        <w:rPr>
          <w:rFonts w:cs="Times New Roman"/>
        </w:rPr>
        <w:t xml:space="preserve"> (short-beaked echidna), occurs within the ecological community (</w:t>
      </w:r>
      <w:r w:rsidRPr="00A65D88">
        <w:rPr>
          <w:rFonts w:cs="Times New Roman"/>
          <w:u w:val="single"/>
        </w:rPr>
        <w:t>Table 15</w:t>
      </w:r>
      <w:r>
        <w:rPr>
          <w:rFonts w:cs="Times New Roman"/>
        </w:rPr>
        <w:t xml:space="preserve">). </w:t>
      </w:r>
      <w:r w:rsidRPr="008F63C5">
        <w:rPr>
          <w:rFonts w:cs="Times New Roman"/>
          <w:i/>
          <w:iCs/>
        </w:rPr>
        <w:t>O</w:t>
      </w:r>
      <w:r w:rsidRPr="008F63C5">
        <w:rPr>
          <w:i/>
          <w:iCs/>
        </w:rPr>
        <w:t>rnithorhynchus anatinus</w:t>
      </w:r>
      <w:r>
        <w:rPr>
          <w:rFonts w:cs="Times New Roman"/>
        </w:rPr>
        <w:t xml:space="preserve"> (platypus) has been extirpated in South Australia for decades, and therefore within the ecological community. There are current plans to </w:t>
      </w:r>
      <w:r>
        <w:rPr>
          <w:rFonts w:cs="Times New Roman"/>
        </w:rPr>
        <w:lastRenderedPageBreak/>
        <w:t xml:space="preserve">reintroduce it to the Torrens River in Adelaide (Zukowski &amp; Whiterod 2022)—i.e. outside of the </w:t>
      </w:r>
      <w:r w:rsidR="000A505D">
        <w:rPr>
          <w:rFonts w:cs="Times New Roman"/>
        </w:rPr>
        <w:t>RMDS</w:t>
      </w:r>
      <w:r>
        <w:rPr>
          <w:rFonts w:cs="Times New Roman"/>
        </w:rPr>
        <w:t>.</w:t>
      </w:r>
    </w:p>
    <w:p w14:paraId="4B2723B8" w14:textId="77777777" w:rsidR="0025451C" w:rsidRDefault="0025451C" w:rsidP="00BC66C3">
      <w:pPr>
        <w:pStyle w:val="Heading7"/>
      </w:pPr>
      <w:r w:rsidRPr="007C4703">
        <w:t>Placental mammals and marsupials</w:t>
      </w:r>
    </w:p>
    <w:p w14:paraId="24E5D804" w14:textId="3C2CCE40" w:rsidR="00C637BD" w:rsidRPr="00AD0AF7" w:rsidRDefault="0025451C" w:rsidP="00C637BD">
      <w:pPr>
        <w:rPr>
          <w:rFonts w:cs="Times New Roman"/>
        </w:rPr>
      </w:pPr>
      <w:r>
        <w:rPr>
          <w:rFonts w:cs="Times New Roman"/>
        </w:rPr>
        <w:t xml:space="preserve">Surveys of the River Murray Valley floodplain over 2002-04 (and earlier), recorded 24 native mammals and 12 non-native mammals (Stewart et al. 2010, see </w:t>
      </w:r>
      <w:r w:rsidRPr="001D5939">
        <w:rPr>
          <w:rFonts w:cs="Times New Roman"/>
          <w:u w:val="single"/>
        </w:rPr>
        <w:t>Table 15</w:t>
      </w:r>
      <w:r>
        <w:rPr>
          <w:rFonts w:cs="Times New Roman"/>
        </w:rPr>
        <w:t>). The most commonly detected species were non-natives, with native species having low species richness</w:t>
      </w:r>
      <w:r w:rsidR="002D0AA6">
        <w:rPr>
          <w:rFonts w:cs="Times New Roman"/>
        </w:rPr>
        <w:t>,</w:t>
      </w:r>
      <w:r>
        <w:rPr>
          <w:rFonts w:cs="Times New Roman"/>
        </w:rPr>
        <w:t xml:space="preserve"> apart from bats (10 species). The sites that supported more than three native mammal species were all in river red gum woodlands, which also had a good cover of lignum, or reeds and sedges, in the understory. Fifteen native mammal species once known to have occurred along the River Murray Valley are now extinct in the region (Stewart et al. 2010).</w:t>
      </w:r>
    </w:p>
    <w:p w14:paraId="5034BDAA" w14:textId="7E5F1CFA" w:rsidR="00DB6414" w:rsidRPr="00C637BD" w:rsidRDefault="0045582A" w:rsidP="0045582A">
      <w:pPr>
        <w:pStyle w:val="Caption"/>
        <w:rPr>
          <w:rFonts w:cs="Times New Roman"/>
          <w:b w:val="0"/>
          <w:bCs/>
          <w:sz w:val="21"/>
          <w:szCs w:val="21"/>
        </w:rPr>
      </w:pPr>
      <w:r>
        <w:t xml:space="preserve">Table </w:t>
      </w:r>
      <w:r>
        <w:fldChar w:fldCharType="begin"/>
      </w:r>
      <w:r>
        <w:instrText xml:space="preserve"> SEQ Table \* ARABIC </w:instrText>
      </w:r>
      <w:r>
        <w:fldChar w:fldCharType="separate"/>
      </w:r>
      <w:r w:rsidR="006D35C5">
        <w:rPr>
          <w:noProof/>
        </w:rPr>
        <w:t>15</w:t>
      </w:r>
      <w:r>
        <w:fldChar w:fldCharType="end"/>
      </w:r>
      <w:r w:rsidR="00DB6414" w:rsidRPr="00F43D2B">
        <w:rPr>
          <w:rFonts w:cs="Times New Roman"/>
          <w:bCs/>
        </w:rPr>
        <w:t xml:space="preserve">: </w:t>
      </w:r>
      <w:r w:rsidR="00DB6414" w:rsidRPr="00C637BD">
        <w:rPr>
          <w:rFonts w:cs="Times New Roman"/>
          <w:bCs/>
          <w:sz w:val="21"/>
          <w:szCs w:val="21"/>
        </w:rPr>
        <w:t xml:space="preserve">Mammal species known </w:t>
      </w:r>
      <w:r w:rsidR="004331C8" w:rsidRPr="00C637BD">
        <w:rPr>
          <w:rFonts w:cs="Times New Roman"/>
          <w:bCs/>
          <w:sz w:val="21"/>
          <w:szCs w:val="21"/>
        </w:rPr>
        <w:t>to occur</w:t>
      </w:r>
      <w:r w:rsidR="00337E3F" w:rsidRPr="00C637BD">
        <w:rPr>
          <w:rFonts w:cs="Times New Roman"/>
          <w:bCs/>
          <w:sz w:val="21"/>
          <w:szCs w:val="21"/>
        </w:rPr>
        <w:t>,</w:t>
      </w:r>
      <w:r w:rsidR="004331C8" w:rsidRPr="00C637BD">
        <w:rPr>
          <w:rFonts w:cs="Times New Roman"/>
          <w:bCs/>
          <w:sz w:val="21"/>
          <w:szCs w:val="21"/>
        </w:rPr>
        <w:t xml:space="preserve"> </w:t>
      </w:r>
      <w:r w:rsidR="00DB6414" w:rsidRPr="00C637BD">
        <w:rPr>
          <w:rFonts w:cs="Times New Roman"/>
          <w:bCs/>
          <w:sz w:val="21"/>
          <w:szCs w:val="21"/>
        </w:rPr>
        <w:t>or likely to occur</w:t>
      </w:r>
      <w:r w:rsidR="00337E3F" w:rsidRPr="00C637BD">
        <w:rPr>
          <w:rFonts w:cs="Times New Roman"/>
          <w:bCs/>
          <w:sz w:val="21"/>
          <w:szCs w:val="21"/>
        </w:rPr>
        <w:t>,</w:t>
      </w:r>
      <w:r w:rsidR="00DB6414" w:rsidRPr="00C637BD">
        <w:rPr>
          <w:rFonts w:cs="Times New Roman"/>
          <w:bCs/>
          <w:sz w:val="21"/>
          <w:szCs w:val="21"/>
        </w:rPr>
        <w:t xml:space="preserve"> within the ecological community (</w:t>
      </w:r>
      <w:r w:rsidR="00951A96" w:rsidRPr="00C637BD">
        <w:rPr>
          <w:rFonts w:cs="Times New Roman"/>
          <w:bCs/>
          <w:sz w:val="21"/>
          <w:szCs w:val="21"/>
        </w:rPr>
        <w:t xml:space="preserve">Brandle 2002; </w:t>
      </w:r>
      <w:r w:rsidR="00B710AD" w:rsidRPr="00C637BD">
        <w:rPr>
          <w:rFonts w:cs="Times New Roman"/>
          <w:bCs/>
          <w:sz w:val="21"/>
          <w:szCs w:val="21"/>
        </w:rPr>
        <w:t>Carthew &amp; Reardon 2009; Newall et al. 2009; St</w:t>
      </w:r>
      <w:r w:rsidR="002C0E20" w:rsidRPr="00C637BD">
        <w:rPr>
          <w:rFonts w:cs="Times New Roman"/>
          <w:bCs/>
          <w:sz w:val="21"/>
          <w:szCs w:val="21"/>
        </w:rPr>
        <w:t>ew</w:t>
      </w:r>
      <w:r w:rsidR="00B710AD" w:rsidRPr="00C637BD">
        <w:rPr>
          <w:rFonts w:cs="Times New Roman"/>
          <w:bCs/>
          <w:sz w:val="21"/>
          <w:szCs w:val="21"/>
        </w:rPr>
        <w:t>art et al. 2010</w:t>
      </w:r>
      <w:r w:rsidR="00A259BD" w:rsidRPr="00C637BD">
        <w:rPr>
          <w:rFonts w:cs="Times New Roman"/>
          <w:bCs/>
          <w:sz w:val="21"/>
          <w:szCs w:val="21"/>
        </w:rPr>
        <w:t>)</w:t>
      </w:r>
      <w:r w:rsidR="002C0E20" w:rsidRPr="00C637BD">
        <w:rPr>
          <w:rFonts w:cs="Times New Roman"/>
          <w:bCs/>
          <w:sz w:val="21"/>
          <w:szCs w:val="21"/>
        </w:rPr>
        <w:t>.</w:t>
      </w:r>
      <w:r w:rsidR="00B710AD" w:rsidRPr="00C637BD">
        <w:rPr>
          <w:rFonts w:cs="Times New Roman"/>
          <w:bCs/>
          <w:sz w:val="21"/>
          <w:szCs w:val="21"/>
        </w:rPr>
        <w:t xml:space="preserve"> </w:t>
      </w:r>
    </w:p>
    <w:tbl>
      <w:tblPr>
        <w:tblStyle w:val="TableGrid"/>
        <w:tblW w:w="5000" w:type="pct"/>
        <w:tblLook w:val="04A0" w:firstRow="1" w:lastRow="0" w:firstColumn="1" w:lastColumn="0" w:noHBand="0" w:noVBand="1"/>
      </w:tblPr>
      <w:tblGrid>
        <w:gridCol w:w="1948"/>
        <w:gridCol w:w="7112"/>
      </w:tblGrid>
      <w:tr w:rsidR="00D5762D" w14:paraId="67F911DE" w14:textId="77777777" w:rsidTr="009D232A">
        <w:trPr>
          <w:trHeight w:hRule="exact" w:val="340"/>
          <w:tblHeader/>
        </w:trPr>
        <w:tc>
          <w:tcPr>
            <w:tcW w:w="1075" w:type="pct"/>
            <w:shd w:val="clear" w:color="auto" w:fill="DEEAF6" w:themeFill="accent1" w:themeFillTint="33"/>
          </w:tcPr>
          <w:p w14:paraId="046099D1" w14:textId="77777777" w:rsidR="00D5762D" w:rsidRPr="00E835E0" w:rsidRDefault="00D5762D" w:rsidP="00B10C18">
            <w:pPr>
              <w:rPr>
                <w:rFonts w:cs="Times New Roman"/>
                <w:b/>
                <w:bCs/>
                <w:sz w:val="24"/>
                <w:szCs w:val="24"/>
              </w:rPr>
            </w:pPr>
            <w:r w:rsidRPr="00E835E0">
              <w:rPr>
                <w:rFonts w:cs="Times New Roman"/>
                <w:b/>
                <w:bCs/>
                <w:sz w:val="24"/>
                <w:szCs w:val="24"/>
              </w:rPr>
              <w:t>Mammal Group</w:t>
            </w:r>
          </w:p>
        </w:tc>
        <w:tc>
          <w:tcPr>
            <w:tcW w:w="3925" w:type="pct"/>
            <w:shd w:val="clear" w:color="auto" w:fill="DEEAF6" w:themeFill="accent1" w:themeFillTint="33"/>
          </w:tcPr>
          <w:p w14:paraId="08F98893" w14:textId="77777777" w:rsidR="00D5762D" w:rsidRPr="00E835E0" w:rsidRDefault="00D5762D" w:rsidP="00B10C18">
            <w:pPr>
              <w:rPr>
                <w:rFonts w:cs="Times New Roman"/>
                <w:b/>
                <w:bCs/>
                <w:sz w:val="24"/>
                <w:szCs w:val="24"/>
              </w:rPr>
            </w:pPr>
            <w:r w:rsidRPr="00E835E0">
              <w:rPr>
                <w:rFonts w:cs="Times New Roman"/>
                <w:b/>
                <w:bCs/>
                <w:sz w:val="24"/>
                <w:szCs w:val="24"/>
              </w:rPr>
              <w:t>Species</w:t>
            </w:r>
          </w:p>
        </w:tc>
      </w:tr>
      <w:tr w:rsidR="00D5762D" w14:paraId="09A0275B" w14:textId="77777777" w:rsidTr="0045582A">
        <w:trPr>
          <w:trHeight w:hRule="exact" w:val="340"/>
        </w:trPr>
        <w:tc>
          <w:tcPr>
            <w:tcW w:w="5000" w:type="pct"/>
            <w:gridSpan w:val="2"/>
            <w:shd w:val="clear" w:color="auto" w:fill="D9D9D9" w:themeFill="background1" w:themeFillShade="D9"/>
          </w:tcPr>
          <w:p w14:paraId="592F60C4" w14:textId="66233BAB" w:rsidR="00D5762D" w:rsidRPr="004A4D90" w:rsidRDefault="004A4D90" w:rsidP="00B10C18">
            <w:pPr>
              <w:rPr>
                <w:rFonts w:cs="Times New Roman"/>
                <w:b/>
                <w:bCs/>
              </w:rPr>
            </w:pPr>
            <w:r>
              <w:rPr>
                <w:rFonts w:cs="Times New Roman"/>
                <w:b/>
                <w:bCs/>
              </w:rPr>
              <w:t>MONOTRE</w:t>
            </w:r>
            <w:r w:rsidR="00377294">
              <w:rPr>
                <w:rFonts w:cs="Times New Roman"/>
                <w:b/>
                <w:bCs/>
              </w:rPr>
              <w:t>MES</w:t>
            </w:r>
          </w:p>
        </w:tc>
      </w:tr>
      <w:tr w:rsidR="004A4D90" w14:paraId="548458D9" w14:textId="77777777" w:rsidTr="0045582A">
        <w:trPr>
          <w:trHeight w:val="397"/>
        </w:trPr>
        <w:tc>
          <w:tcPr>
            <w:tcW w:w="1075" w:type="pct"/>
            <w:shd w:val="clear" w:color="auto" w:fill="auto"/>
          </w:tcPr>
          <w:p w14:paraId="08B98198" w14:textId="2C9E4ABF" w:rsidR="004A4D90" w:rsidRPr="00377294" w:rsidRDefault="00377294" w:rsidP="00B10C18">
            <w:pPr>
              <w:rPr>
                <w:rFonts w:cs="Times New Roman"/>
              </w:rPr>
            </w:pPr>
            <w:r>
              <w:rPr>
                <w:rFonts w:cs="Times New Roman"/>
              </w:rPr>
              <w:t>Echidna</w:t>
            </w:r>
            <w:r w:rsidR="00795BBB">
              <w:rPr>
                <w:rFonts w:cs="Times New Roman"/>
              </w:rPr>
              <w:t xml:space="preserve"> </w:t>
            </w:r>
            <w:r w:rsidR="00631B29">
              <w:rPr>
                <w:rFonts w:cs="Times New Roman"/>
              </w:rPr>
              <w:t>(1)</w:t>
            </w:r>
          </w:p>
        </w:tc>
        <w:tc>
          <w:tcPr>
            <w:tcW w:w="3925" w:type="pct"/>
            <w:shd w:val="clear" w:color="auto" w:fill="auto"/>
          </w:tcPr>
          <w:p w14:paraId="2EACACB6" w14:textId="77777777" w:rsidR="009D1F99" w:rsidRDefault="00377294" w:rsidP="00631B29">
            <w:pPr>
              <w:contextualSpacing/>
              <w:rPr>
                <w:rFonts w:cs="Times New Roman"/>
              </w:rPr>
            </w:pPr>
            <w:r w:rsidRPr="00631B29">
              <w:rPr>
                <w:rFonts w:cs="Times New Roman"/>
                <w:i/>
                <w:iCs/>
              </w:rPr>
              <w:t>Tachyglossus aculeatus</w:t>
            </w:r>
            <w:r w:rsidRPr="00631B29">
              <w:rPr>
                <w:rFonts w:cs="Times New Roman"/>
              </w:rPr>
              <w:t xml:space="preserve"> (short-beaked echidna)</w:t>
            </w:r>
          </w:p>
          <w:p w14:paraId="4B198B41" w14:textId="77777777" w:rsidR="009D1F99" w:rsidRDefault="0052196F" w:rsidP="00631B29">
            <w:pPr>
              <w:contextualSpacing/>
              <w:rPr>
                <w:rFonts w:cs="Times New Roman"/>
              </w:rPr>
            </w:pPr>
            <w:r>
              <w:rPr>
                <w:rFonts w:cs="Times New Roman"/>
              </w:rPr>
              <w:t>(</w:t>
            </w:r>
            <w:r w:rsidR="009D1F99">
              <w:rPr>
                <w:rFonts w:cs="Times New Roman"/>
              </w:rPr>
              <w:t xml:space="preserve">Note: </w:t>
            </w:r>
            <w:r w:rsidRPr="008F63C5">
              <w:rPr>
                <w:rFonts w:cs="Times New Roman"/>
                <w:i/>
                <w:iCs/>
              </w:rPr>
              <w:t>O</w:t>
            </w:r>
            <w:r w:rsidRPr="008F63C5">
              <w:rPr>
                <w:i/>
                <w:iCs/>
              </w:rPr>
              <w:t>rnithorhynchus anatinus</w:t>
            </w:r>
            <w:r>
              <w:rPr>
                <w:rFonts w:cs="Times New Roman"/>
              </w:rPr>
              <w:t xml:space="preserve"> (platypus) is extinct in the EC &amp; SA)</w:t>
            </w:r>
          </w:p>
          <w:p w14:paraId="1B81902A" w14:textId="6C5521C2" w:rsidR="0052196F" w:rsidRPr="0052196F" w:rsidRDefault="0052196F" w:rsidP="00631B29">
            <w:pPr>
              <w:contextualSpacing/>
              <w:rPr>
                <w:rFonts w:cs="Times New Roman"/>
                <w:sz w:val="8"/>
                <w:szCs w:val="8"/>
              </w:rPr>
            </w:pPr>
          </w:p>
        </w:tc>
      </w:tr>
      <w:tr w:rsidR="00E16E07" w14:paraId="3CB50016" w14:textId="77777777" w:rsidTr="0045582A">
        <w:trPr>
          <w:trHeight w:hRule="exact" w:val="340"/>
        </w:trPr>
        <w:tc>
          <w:tcPr>
            <w:tcW w:w="5000" w:type="pct"/>
            <w:gridSpan w:val="2"/>
            <w:shd w:val="clear" w:color="auto" w:fill="D9D9D9" w:themeFill="background1" w:themeFillShade="D9"/>
          </w:tcPr>
          <w:p w14:paraId="760F1C13" w14:textId="22FE1972" w:rsidR="00E16E07" w:rsidRPr="00004C6F" w:rsidRDefault="004A4D90" w:rsidP="00B10C18">
            <w:pPr>
              <w:rPr>
                <w:rFonts w:cs="Times New Roman"/>
                <w:b/>
                <w:bCs/>
              </w:rPr>
            </w:pPr>
            <w:r w:rsidRPr="00004C6F">
              <w:rPr>
                <w:rFonts w:cs="Times New Roman"/>
                <w:b/>
                <w:bCs/>
              </w:rPr>
              <w:t>PLACENTAL MAMMALS</w:t>
            </w:r>
          </w:p>
        </w:tc>
      </w:tr>
      <w:tr w:rsidR="00D5762D" w14:paraId="37DF278B" w14:textId="77777777" w:rsidTr="0045582A">
        <w:tc>
          <w:tcPr>
            <w:tcW w:w="1075" w:type="pct"/>
          </w:tcPr>
          <w:p w14:paraId="601293F7" w14:textId="69F568A0" w:rsidR="00D5762D" w:rsidRDefault="00D5762D" w:rsidP="00B10C18">
            <w:pPr>
              <w:rPr>
                <w:rFonts w:cs="Times New Roman"/>
              </w:rPr>
            </w:pPr>
            <w:r>
              <w:rPr>
                <w:rFonts w:cs="Times New Roman"/>
              </w:rPr>
              <w:t>Bats (~1</w:t>
            </w:r>
            <w:r w:rsidR="001A7ACA">
              <w:rPr>
                <w:rFonts w:cs="Times New Roman"/>
              </w:rPr>
              <w:t>8</w:t>
            </w:r>
            <w:r>
              <w:rPr>
                <w:rFonts w:cs="Times New Roman"/>
              </w:rPr>
              <w:t xml:space="preserve">) </w:t>
            </w:r>
          </w:p>
        </w:tc>
        <w:tc>
          <w:tcPr>
            <w:tcW w:w="3925" w:type="pct"/>
          </w:tcPr>
          <w:p w14:paraId="43C356A1" w14:textId="275B8ECA" w:rsidR="00D5762D" w:rsidRDefault="001A7ACA" w:rsidP="00B10C18">
            <w:pPr>
              <w:rPr>
                <w:rFonts w:cs="Times New Roman"/>
              </w:rPr>
            </w:pPr>
            <w:r>
              <w:rPr>
                <w:rFonts w:cs="Times New Roman"/>
              </w:rPr>
              <w:t xml:space="preserve">See </w:t>
            </w:r>
            <w:r w:rsidR="003E7A80" w:rsidRPr="003E7A80">
              <w:rPr>
                <w:rFonts w:cs="Times New Roman"/>
                <w:u w:val="single"/>
              </w:rPr>
              <w:t xml:space="preserve">Appendix B, Table </w:t>
            </w:r>
            <w:r w:rsidR="003E7A80">
              <w:rPr>
                <w:rFonts w:cs="Times New Roman"/>
                <w:u w:val="single"/>
              </w:rPr>
              <w:t>B</w:t>
            </w:r>
            <w:r w:rsidR="006915A2">
              <w:rPr>
                <w:rFonts w:cs="Times New Roman"/>
                <w:u w:val="single"/>
              </w:rPr>
              <w:t>3</w:t>
            </w:r>
            <w:r w:rsidR="006657FA">
              <w:rPr>
                <w:rFonts w:cs="Times New Roman"/>
                <w:u w:val="single"/>
              </w:rPr>
              <w:t xml:space="preserve"> for full list</w:t>
            </w:r>
            <w:r w:rsidR="003E7A80">
              <w:rPr>
                <w:rFonts w:cs="Times New Roman"/>
              </w:rPr>
              <w:t>.</w:t>
            </w:r>
            <w:r w:rsidR="00CE487E">
              <w:rPr>
                <w:rFonts w:cs="Times New Roman"/>
              </w:rPr>
              <w:t xml:space="preserve"> Dominant</w:t>
            </w:r>
            <w:r w:rsidR="00305DE7">
              <w:rPr>
                <w:rFonts w:cs="Times New Roman"/>
              </w:rPr>
              <w:t>/common</w:t>
            </w:r>
            <w:r w:rsidR="00CE487E">
              <w:rPr>
                <w:rFonts w:cs="Times New Roman"/>
              </w:rPr>
              <w:t xml:space="preserve"> species are: </w:t>
            </w:r>
            <w:r w:rsidR="00CE487E" w:rsidRPr="00305DE7">
              <w:rPr>
                <w:rFonts w:cs="Times New Roman"/>
                <w:i/>
                <w:iCs/>
              </w:rPr>
              <w:t>Chalinolobus gouldii</w:t>
            </w:r>
            <w:r w:rsidR="00CE487E">
              <w:rPr>
                <w:rFonts w:cs="Times New Roman"/>
              </w:rPr>
              <w:t xml:space="preserve"> (Gould’s wattle bat)</w:t>
            </w:r>
            <w:r w:rsidR="00305DE7">
              <w:rPr>
                <w:rFonts w:cs="Times New Roman"/>
              </w:rPr>
              <w:t xml:space="preserve">; </w:t>
            </w:r>
            <w:r w:rsidR="006657FA" w:rsidRPr="006657FA">
              <w:rPr>
                <w:rFonts w:cs="Times New Roman"/>
                <w:i/>
                <w:iCs/>
              </w:rPr>
              <w:t>Nyctophilus geoffroyi</w:t>
            </w:r>
            <w:r w:rsidR="006657FA">
              <w:rPr>
                <w:rFonts w:cs="Times New Roman"/>
              </w:rPr>
              <w:t xml:space="preserve"> (lesser long-eared bat); </w:t>
            </w:r>
            <w:r w:rsidR="00210281" w:rsidRPr="008424B8">
              <w:rPr>
                <w:rFonts w:cs="Times New Roman"/>
                <w:i/>
                <w:iCs/>
              </w:rPr>
              <w:t>Vespadelus vulturnus</w:t>
            </w:r>
            <w:r w:rsidR="00210281">
              <w:rPr>
                <w:rFonts w:cs="Times New Roman"/>
              </w:rPr>
              <w:t xml:space="preserve"> (little forest bat); </w:t>
            </w:r>
            <w:r w:rsidR="00AB0BE9" w:rsidRPr="008424B8">
              <w:rPr>
                <w:rFonts w:cs="Times New Roman"/>
                <w:i/>
                <w:iCs/>
              </w:rPr>
              <w:t xml:space="preserve">Austronomus australis </w:t>
            </w:r>
            <w:r w:rsidR="00AB0BE9">
              <w:rPr>
                <w:rFonts w:cs="Times New Roman"/>
              </w:rPr>
              <w:t>(white-str</w:t>
            </w:r>
            <w:r w:rsidR="008424B8">
              <w:rPr>
                <w:rFonts w:cs="Times New Roman"/>
              </w:rPr>
              <w:t>i</w:t>
            </w:r>
            <w:r w:rsidR="00AB0BE9">
              <w:rPr>
                <w:rFonts w:cs="Times New Roman"/>
              </w:rPr>
              <w:t xml:space="preserve">ped free-tailed bat); </w:t>
            </w:r>
            <w:r w:rsidR="00E5321C" w:rsidRPr="00E519D0">
              <w:rPr>
                <w:rFonts w:cs="Times New Roman"/>
                <w:i/>
                <w:iCs/>
              </w:rPr>
              <w:t>Ozimops planiceps</w:t>
            </w:r>
            <w:r w:rsidR="00E5321C">
              <w:rPr>
                <w:rFonts w:cs="Times New Roman"/>
              </w:rPr>
              <w:t xml:space="preserve"> (southern free-tailed bat)</w:t>
            </w:r>
          </w:p>
        </w:tc>
      </w:tr>
      <w:tr w:rsidR="00D5762D" w14:paraId="4C00C7D2" w14:textId="77777777" w:rsidTr="0045582A">
        <w:tc>
          <w:tcPr>
            <w:tcW w:w="1075" w:type="pct"/>
          </w:tcPr>
          <w:p w14:paraId="06FCDD29" w14:textId="77777777" w:rsidR="00D5762D" w:rsidRDefault="00D5762D" w:rsidP="00B10C18">
            <w:pPr>
              <w:rPr>
                <w:rFonts w:cs="Times New Roman"/>
              </w:rPr>
            </w:pPr>
            <w:r>
              <w:rPr>
                <w:rFonts w:cs="Times New Roman"/>
              </w:rPr>
              <w:t>Native rodents (3)</w:t>
            </w:r>
          </w:p>
        </w:tc>
        <w:tc>
          <w:tcPr>
            <w:tcW w:w="3925" w:type="pct"/>
          </w:tcPr>
          <w:p w14:paraId="2DBD2352" w14:textId="28CA227A" w:rsidR="00D5762D" w:rsidRPr="00631B29" w:rsidRDefault="00D5762D" w:rsidP="00631B29">
            <w:pPr>
              <w:rPr>
                <w:rFonts w:cs="Times New Roman"/>
              </w:rPr>
            </w:pPr>
            <w:r w:rsidRPr="00631B29">
              <w:rPr>
                <w:rFonts w:cs="Times New Roman"/>
                <w:i/>
              </w:rPr>
              <w:t xml:space="preserve">Hydromys chrysogaster </w:t>
            </w:r>
            <w:r w:rsidRPr="00631B29">
              <w:rPr>
                <w:rFonts w:cs="Times New Roman"/>
                <w:iCs/>
              </w:rPr>
              <w:t>(native water rat);</w:t>
            </w:r>
            <w:r w:rsidRPr="00631B29">
              <w:rPr>
                <w:rFonts w:cs="Times New Roman"/>
                <w:i/>
              </w:rPr>
              <w:t xml:space="preserve"> Pseudomys bolami </w:t>
            </w:r>
            <w:r w:rsidRPr="00631B29">
              <w:rPr>
                <w:rFonts w:cs="Times New Roman"/>
                <w:iCs/>
              </w:rPr>
              <w:t xml:space="preserve">(Bolam’s mouse); </w:t>
            </w:r>
            <w:r w:rsidRPr="00631B29">
              <w:rPr>
                <w:rFonts w:cs="Times New Roman"/>
                <w:i/>
              </w:rPr>
              <w:t>Rattus lutreolus</w:t>
            </w:r>
            <w:r w:rsidRPr="00631B29">
              <w:rPr>
                <w:rFonts w:cs="Times New Roman"/>
                <w:iCs/>
              </w:rPr>
              <w:t xml:space="preserve"> (Australian swamp rat)</w:t>
            </w:r>
          </w:p>
        </w:tc>
      </w:tr>
      <w:tr w:rsidR="004A4D90" w14:paraId="7FDFA5D9" w14:textId="77777777" w:rsidTr="0045582A">
        <w:trPr>
          <w:trHeight w:hRule="exact" w:val="340"/>
        </w:trPr>
        <w:tc>
          <w:tcPr>
            <w:tcW w:w="5000" w:type="pct"/>
            <w:gridSpan w:val="2"/>
            <w:shd w:val="clear" w:color="auto" w:fill="D9D9D9" w:themeFill="background1" w:themeFillShade="D9"/>
          </w:tcPr>
          <w:p w14:paraId="47FE3FBA" w14:textId="75F12FD7" w:rsidR="004A4D90" w:rsidRPr="00BE43A7" w:rsidRDefault="004A4D90" w:rsidP="00B10C18">
            <w:pPr>
              <w:rPr>
                <w:rFonts w:cs="Times New Roman"/>
                <w:i/>
              </w:rPr>
            </w:pPr>
            <w:r w:rsidRPr="00EC3D4F">
              <w:rPr>
                <w:rFonts w:cs="Times New Roman"/>
                <w:b/>
                <w:bCs/>
              </w:rPr>
              <w:t>MARSUPIALS</w:t>
            </w:r>
          </w:p>
        </w:tc>
      </w:tr>
      <w:tr w:rsidR="00D5762D" w14:paraId="7DD7CB32" w14:textId="77777777" w:rsidTr="0045582A">
        <w:trPr>
          <w:trHeight w:hRule="exact" w:val="794"/>
        </w:trPr>
        <w:tc>
          <w:tcPr>
            <w:tcW w:w="1075" w:type="pct"/>
          </w:tcPr>
          <w:p w14:paraId="41EA6986" w14:textId="77777777" w:rsidR="00D5762D" w:rsidRDefault="00D5762D" w:rsidP="00B10C18">
            <w:pPr>
              <w:rPr>
                <w:rFonts w:cs="Times New Roman"/>
              </w:rPr>
            </w:pPr>
            <w:r>
              <w:rPr>
                <w:rFonts w:cs="Times New Roman"/>
              </w:rPr>
              <w:t>Dasyurids (3)</w:t>
            </w:r>
          </w:p>
        </w:tc>
        <w:tc>
          <w:tcPr>
            <w:tcW w:w="3925" w:type="pct"/>
          </w:tcPr>
          <w:p w14:paraId="58DEFE8A" w14:textId="00DB3AEF" w:rsidR="00D5762D" w:rsidRPr="00004C6F" w:rsidRDefault="00D5762D" w:rsidP="00B10C18">
            <w:pPr>
              <w:rPr>
                <w:rFonts w:cs="Times New Roman"/>
              </w:rPr>
            </w:pPr>
            <w:r w:rsidRPr="00D5762D">
              <w:rPr>
                <w:rFonts w:cs="Times New Roman"/>
                <w:i/>
                <w:iCs/>
              </w:rPr>
              <w:t>Sminthopsis crassicaudata</w:t>
            </w:r>
            <w:r>
              <w:rPr>
                <w:rFonts w:cs="Times New Roman"/>
              </w:rPr>
              <w:t xml:space="preserve"> (fat-tailed dunnart); </w:t>
            </w:r>
            <w:r w:rsidRPr="003D152C">
              <w:rPr>
                <w:rFonts w:cs="Times New Roman"/>
                <w:i/>
                <w:iCs/>
              </w:rPr>
              <w:t>S. murina</w:t>
            </w:r>
            <w:r>
              <w:rPr>
                <w:rFonts w:cs="Times New Roman"/>
              </w:rPr>
              <w:t xml:space="preserve"> (common dunart)</w:t>
            </w:r>
            <w:r w:rsidR="00A35F8C">
              <w:rPr>
                <w:rFonts w:cs="Times New Roman"/>
              </w:rPr>
              <w:t>;</w:t>
            </w:r>
            <w:r>
              <w:rPr>
                <w:rFonts w:cs="Times New Roman"/>
              </w:rPr>
              <w:t xml:space="preserve"> </w:t>
            </w:r>
            <w:r w:rsidRPr="003D152C">
              <w:rPr>
                <w:rFonts w:cs="Times New Roman"/>
                <w:i/>
                <w:iCs/>
              </w:rPr>
              <w:t>Planigale gilesi</w:t>
            </w:r>
            <w:r>
              <w:rPr>
                <w:rFonts w:cs="Times New Roman"/>
              </w:rPr>
              <w:t xml:space="preserve"> (Giles’ planigale)</w:t>
            </w:r>
          </w:p>
        </w:tc>
      </w:tr>
      <w:tr w:rsidR="00D5762D" w14:paraId="5A8511D5" w14:textId="77777777" w:rsidTr="0045582A">
        <w:trPr>
          <w:trHeight w:val="794"/>
        </w:trPr>
        <w:tc>
          <w:tcPr>
            <w:tcW w:w="1075" w:type="pct"/>
          </w:tcPr>
          <w:p w14:paraId="5A9B3FEA" w14:textId="77777777" w:rsidR="00D5762D" w:rsidRDefault="00D5762D" w:rsidP="00B10C18">
            <w:pPr>
              <w:rPr>
                <w:rFonts w:cs="Times New Roman"/>
              </w:rPr>
            </w:pPr>
            <w:r>
              <w:rPr>
                <w:rFonts w:cs="Times New Roman"/>
              </w:rPr>
              <w:t>Possums/ Gliders (3)</w:t>
            </w:r>
          </w:p>
        </w:tc>
        <w:tc>
          <w:tcPr>
            <w:tcW w:w="3925" w:type="pct"/>
            <w:shd w:val="clear" w:color="auto" w:fill="auto"/>
          </w:tcPr>
          <w:p w14:paraId="10EFCC80" w14:textId="77777777" w:rsidR="00D5762D" w:rsidRDefault="00D5762D" w:rsidP="00B10C18">
            <w:pPr>
              <w:rPr>
                <w:rFonts w:cs="Times New Roman"/>
              </w:rPr>
            </w:pPr>
            <w:r w:rsidRPr="000152DE">
              <w:rPr>
                <w:i/>
                <w:iCs/>
              </w:rPr>
              <w:t>Cercartetus concinnus</w:t>
            </w:r>
            <w:r>
              <w:t xml:space="preserve"> (western pygmy-possum); </w:t>
            </w:r>
            <w:r w:rsidRPr="00D65243">
              <w:rPr>
                <w:i/>
                <w:iCs/>
              </w:rPr>
              <w:t>Trichosurus vulpecular</w:t>
            </w:r>
            <w:r>
              <w:t xml:space="preserve"> (common brushtail possum); </w:t>
            </w:r>
            <w:r w:rsidRPr="0049343D">
              <w:rPr>
                <w:i/>
                <w:iCs/>
              </w:rPr>
              <w:t>Acrobates pygmaeus</w:t>
            </w:r>
            <w:r>
              <w:t xml:space="preserve"> (feathertail glider)</w:t>
            </w:r>
          </w:p>
        </w:tc>
      </w:tr>
      <w:tr w:rsidR="00D5762D" w14:paraId="783E8737" w14:textId="77777777" w:rsidTr="0045582A">
        <w:tc>
          <w:tcPr>
            <w:tcW w:w="1075" w:type="pct"/>
          </w:tcPr>
          <w:p w14:paraId="3E09EF39" w14:textId="77777777" w:rsidR="00D5762D" w:rsidRDefault="00D5762D" w:rsidP="00B10C18">
            <w:pPr>
              <w:rPr>
                <w:rFonts w:cs="Times New Roman"/>
              </w:rPr>
            </w:pPr>
            <w:r>
              <w:rPr>
                <w:rFonts w:cs="Times New Roman"/>
              </w:rPr>
              <w:t>Macropods (3)</w:t>
            </w:r>
          </w:p>
        </w:tc>
        <w:tc>
          <w:tcPr>
            <w:tcW w:w="3925" w:type="pct"/>
          </w:tcPr>
          <w:p w14:paraId="1E2B2531" w14:textId="77777777" w:rsidR="00D5762D" w:rsidRDefault="00D5762D" w:rsidP="00B10C18">
            <w:pPr>
              <w:rPr>
                <w:rFonts w:cs="Times New Roman"/>
              </w:rPr>
            </w:pPr>
            <w:r w:rsidRPr="00815044">
              <w:rPr>
                <w:i/>
                <w:iCs/>
              </w:rPr>
              <w:t>Macropus fuliginosus</w:t>
            </w:r>
            <w:r>
              <w:t xml:space="preserve"> (western grey kangaroo); </w:t>
            </w:r>
            <w:r w:rsidRPr="00F43D2B">
              <w:rPr>
                <w:i/>
                <w:iCs/>
              </w:rPr>
              <w:t>Macropus rufus</w:t>
            </w:r>
            <w:r>
              <w:t xml:space="preserve"> (red kangaroo); </w:t>
            </w:r>
            <w:r w:rsidRPr="00032554">
              <w:rPr>
                <w:i/>
                <w:iCs/>
              </w:rPr>
              <w:t>Macropus robustus</w:t>
            </w:r>
            <w:r>
              <w:t xml:space="preserve"> (euro)</w:t>
            </w:r>
          </w:p>
        </w:tc>
      </w:tr>
      <w:tr w:rsidR="00D5762D" w14:paraId="2487DE98" w14:textId="77777777" w:rsidTr="0045582A">
        <w:tc>
          <w:tcPr>
            <w:tcW w:w="1075" w:type="pct"/>
          </w:tcPr>
          <w:p w14:paraId="11D62E96" w14:textId="63CDC986" w:rsidR="00D5762D" w:rsidRDefault="00D5762D" w:rsidP="00B10C18">
            <w:pPr>
              <w:rPr>
                <w:rFonts w:cs="Times New Roman"/>
              </w:rPr>
            </w:pPr>
            <w:r>
              <w:rPr>
                <w:rFonts w:cs="Times New Roman"/>
              </w:rPr>
              <w:t>Other (1)</w:t>
            </w:r>
            <w:r w:rsidR="00445024">
              <w:rPr>
                <w:rFonts w:cs="Times New Roman"/>
              </w:rPr>
              <w:t>*</w:t>
            </w:r>
          </w:p>
        </w:tc>
        <w:tc>
          <w:tcPr>
            <w:tcW w:w="3925" w:type="pct"/>
          </w:tcPr>
          <w:p w14:paraId="60C5EFA8" w14:textId="7021DDD8" w:rsidR="00D5762D" w:rsidRDefault="00D5762D" w:rsidP="00B10C18">
            <w:pPr>
              <w:rPr>
                <w:rFonts w:cs="Times New Roman"/>
              </w:rPr>
            </w:pPr>
            <w:r w:rsidRPr="00D00CE7">
              <w:rPr>
                <w:i/>
                <w:iCs/>
              </w:rPr>
              <w:t>Lasiorhinus latifrons</w:t>
            </w:r>
            <w:r>
              <w:t xml:space="preserve"> (southern hairy-nosed wombat)</w:t>
            </w:r>
          </w:p>
        </w:tc>
      </w:tr>
    </w:tbl>
    <w:p w14:paraId="1E80CC3C" w14:textId="1EAC6F1F" w:rsidR="00D765EE" w:rsidRDefault="00445024" w:rsidP="00A65D88">
      <w:pPr>
        <w:rPr>
          <w:rFonts w:cs="Times New Roman"/>
          <w:sz w:val="18"/>
          <w:szCs w:val="18"/>
        </w:rPr>
      </w:pPr>
      <w:r w:rsidRPr="0007761E">
        <w:rPr>
          <w:rFonts w:cs="Times New Roman"/>
          <w:sz w:val="18"/>
          <w:szCs w:val="18"/>
        </w:rPr>
        <w:t>*</w:t>
      </w:r>
      <w:r w:rsidR="00733FA6">
        <w:rPr>
          <w:rFonts w:cs="Times New Roman"/>
          <w:sz w:val="18"/>
          <w:szCs w:val="18"/>
        </w:rPr>
        <w:t>O</w:t>
      </w:r>
      <w:r w:rsidRPr="0007761E">
        <w:rPr>
          <w:rFonts w:cs="Times New Roman"/>
          <w:sz w:val="18"/>
          <w:szCs w:val="18"/>
        </w:rPr>
        <w:t xml:space="preserve">ne koala </w:t>
      </w:r>
      <w:r w:rsidR="00DA4AE2" w:rsidRPr="0007761E">
        <w:rPr>
          <w:rFonts w:cs="Times New Roman"/>
          <w:sz w:val="18"/>
          <w:szCs w:val="18"/>
        </w:rPr>
        <w:t>(</w:t>
      </w:r>
      <w:r w:rsidR="00DA4AE2" w:rsidRPr="0007761E">
        <w:rPr>
          <w:i/>
          <w:iCs/>
          <w:sz w:val="18"/>
          <w:szCs w:val="18"/>
        </w:rPr>
        <w:t>Phascolarctos cinereus</w:t>
      </w:r>
      <w:r w:rsidR="00DA4AE2" w:rsidRPr="0007761E">
        <w:rPr>
          <w:sz w:val="18"/>
          <w:szCs w:val="18"/>
        </w:rPr>
        <w:t xml:space="preserve">) </w:t>
      </w:r>
      <w:r w:rsidRPr="0007761E">
        <w:rPr>
          <w:rFonts w:cs="Times New Roman"/>
          <w:sz w:val="18"/>
          <w:szCs w:val="18"/>
        </w:rPr>
        <w:t xml:space="preserve">observed </w:t>
      </w:r>
      <w:r w:rsidR="00A65D88">
        <w:rPr>
          <w:rFonts w:cs="Times New Roman"/>
          <w:sz w:val="18"/>
          <w:szCs w:val="18"/>
        </w:rPr>
        <w:t>during survey</w:t>
      </w:r>
      <w:r w:rsidR="00733FA6">
        <w:rPr>
          <w:rFonts w:cs="Times New Roman"/>
          <w:sz w:val="18"/>
          <w:szCs w:val="18"/>
        </w:rPr>
        <w:t xml:space="preserve"> but</w:t>
      </w:r>
      <w:r w:rsidR="001B727E">
        <w:rPr>
          <w:rFonts w:cs="Times New Roman"/>
          <w:sz w:val="18"/>
          <w:szCs w:val="18"/>
        </w:rPr>
        <w:t xml:space="preserve"> listed</w:t>
      </w:r>
      <w:r w:rsidRPr="0007761E">
        <w:rPr>
          <w:rFonts w:cs="Times New Roman"/>
          <w:sz w:val="18"/>
          <w:szCs w:val="18"/>
        </w:rPr>
        <w:t xml:space="preserve"> as an introduced species</w:t>
      </w:r>
      <w:r w:rsidR="00DA4AE2" w:rsidRPr="0007761E">
        <w:rPr>
          <w:rFonts w:cs="Times New Roman"/>
          <w:sz w:val="18"/>
          <w:szCs w:val="18"/>
        </w:rPr>
        <w:t xml:space="preserve"> (Stewart et al. 2010)</w:t>
      </w:r>
      <w:r w:rsidRPr="0007761E">
        <w:rPr>
          <w:rFonts w:cs="Times New Roman"/>
          <w:sz w:val="18"/>
          <w:szCs w:val="18"/>
        </w:rPr>
        <w:t>.</w:t>
      </w:r>
    </w:p>
    <w:p w14:paraId="61283523" w14:textId="7E6EB468" w:rsidR="00C637BD" w:rsidRPr="00C637BD" w:rsidRDefault="00C637BD" w:rsidP="00A65D88">
      <w:r>
        <w:rPr>
          <w:rFonts w:cs="Times New Roman"/>
        </w:rPr>
        <w:t xml:space="preserve">Survey records confirm that bats are the most diverse group of mammals within the South Australian River Murray floodplain (i.e. the ecological community), with at least 18 species of microchiropteran bats (microbats) from four families recorded (Carthew &amp; Reardon 2009; Armstrong et al. 2019, 2020a, b; </w:t>
      </w:r>
      <w:r w:rsidRPr="002137DA">
        <w:rPr>
          <w:rFonts w:cs="Times New Roman"/>
          <w:u w:val="single"/>
        </w:rPr>
        <w:t>Appendix B, Table B</w:t>
      </w:r>
      <w:r>
        <w:rPr>
          <w:rFonts w:cs="Times New Roman"/>
          <w:u w:val="single"/>
        </w:rPr>
        <w:t>6</w:t>
      </w:r>
      <w:r w:rsidRPr="002137DA">
        <w:rPr>
          <w:rFonts w:cs="Times New Roman"/>
        </w:rPr>
        <w:t>).</w:t>
      </w:r>
      <w:r>
        <w:rPr>
          <w:rFonts w:cs="Times New Roman"/>
        </w:rPr>
        <w:t xml:space="preserve"> This is likely due to the availability of roosting habitat, foraging habitat/prey, and drinking water (Blakey et al. 2018). The most common native mammal (and bat) species in a 2002-04 survey was </w:t>
      </w:r>
      <w:r w:rsidRPr="00B40250">
        <w:rPr>
          <w:rFonts w:cs="Times New Roman"/>
          <w:i/>
          <w:iCs/>
        </w:rPr>
        <w:t>V</w:t>
      </w:r>
      <w:r>
        <w:rPr>
          <w:rFonts w:cs="Times New Roman"/>
          <w:i/>
          <w:iCs/>
        </w:rPr>
        <w:t>espadelus</w:t>
      </w:r>
      <w:r w:rsidRPr="00B40250">
        <w:rPr>
          <w:rFonts w:cs="Times New Roman"/>
          <w:i/>
          <w:iCs/>
        </w:rPr>
        <w:t xml:space="preserve"> vulturnus</w:t>
      </w:r>
      <w:r>
        <w:rPr>
          <w:rFonts w:cs="Times New Roman"/>
        </w:rPr>
        <w:t xml:space="preserve"> (little forest bat) (Carthew &amp; Reardon 2009), while a more recent survey, the citizen science Mega bat survey of 2017-19, found </w:t>
      </w:r>
      <w:r w:rsidRPr="00A102B9">
        <w:rPr>
          <w:i/>
          <w:iCs/>
        </w:rPr>
        <w:t xml:space="preserve">Chalinolobus gouldii </w:t>
      </w:r>
      <w:r w:rsidRPr="00A102B9">
        <w:t>(Gould’s wattle bat)</w:t>
      </w:r>
      <w:r w:rsidRPr="00A102B9">
        <w:rPr>
          <w:sz w:val="20"/>
          <w:szCs w:val="20"/>
        </w:rPr>
        <w:t xml:space="preserve"> </w:t>
      </w:r>
      <w:r w:rsidRPr="00AD0AF7">
        <w:t xml:space="preserve">to be the most abundant </w:t>
      </w:r>
      <w:r>
        <w:t xml:space="preserve">bat </w:t>
      </w:r>
      <w:r w:rsidRPr="00AD0AF7">
        <w:t>species in the Riverland and Murrayland (Armstron</w:t>
      </w:r>
      <w:r>
        <w:t>g</w:t>
      </w:r>
      <w:r w:rsidRPr="00AD0AF7">
        <w:t xml:space="preserve"> et al. </w:t>
      </w:r>
      <w:r>
        <w:t xml:space="preserve">2019, </w:t>
      </w:r>
      <w:r w:rsidRPr="00AD0AF7">
        <w:t>2020</w:t>
      </w:r>
      <w:r>
        <w:t>a, b</w:t>
      </w:r>
      <w:r w:rsidRPr="00AD0AF7">
        <w:t>).</w:t>
      </w:r>
      <w:r>
        <w:t xml:space="preserve"> </w:t>
      </w:r>
    </w:p>
    <w:p w14:paraId="100B97AB" w14:textId="47CA6BBC" w:rsidR="007F5343" w:rsidRPr="002A653A" w:rsidRDefault="007F5343" w:rsidP="00BC66C3">
      <w:pPr>
        <w:pStyle w:val="Heading7"/>
      </w:pPr>
      <w:r w:rsidRPr="002A653A">
        <w:lastRenderedPageBreak/>
        <w:t xml:space="preserve">Highest </w:t>
      </w:r>
      <w:r w:rsidR="002B52E1">
        <w:t xml:space="preserve">mammal </w:t>
      </w:r>
      <w:r w:rsidRPr="002A653A">
        <w:t>diversity</w:t>
      </w:r>
      <w:r>
        <w:t xml:space="preserve"> habitat</w:t>
      </w:r>
    </w:p>
    <w:p w14:paraId="21505511" w14:textId="780BFC4E" w:rsidR="00247398" w:rsidRPr="0098372A" w:rsidRDefault="00ED51E7" w:rsidP="00BE43A7">
      <w:pPr>
        <w:rPr>
          <w:rFonts w:cs="Times New Roman"/>
        </w:rPr>
      </w:pPr>
      <w:r>
        <w:rPr>
          <w:rFonts w:cs="Times New Roman"/>
        </w:rPr>
        <w:t xml:space="preserve">At </w:t>
      </w:r>
      <w:r w:rsidR="007F5343" w:rsidRPr="00D42F9E">
        <w:rPr>
          <w:rFonts w:cs="Times New Roman"/>
        </w:rPr>
        <w:t xml:space="preserve">least </w:t>
      </w:r>
      <w:r>
        <w:rPr>
          <w:rFonts w:cs="Times New Roman"/>
        </w:rPr>
        <w:t>20</w:t>
      </w:r>
      <w:r w:rsidR="007F5343" w:rsidRPr="00D42F9E">
        <w:rPr>
          <w:rFonts w:cs="Times New Roman"/>
        </w:rPr>
        <w:t xml:space="preserve"> native mammal</w:t>
      </w:r>
      <w:r w:rsidR="007F5343">
        <w:rPr>
          <w:rFonts w:cs="Times New Roman"/>
        </w:rPr>
        <w:t xml:space="preserve"> species</w:t>
      </w:r>
      <w:r w:rsidR="007F5343" w:rsidRPr="00D42F9E">
        <w:rPr>
          <w:rFonts w:cs="Times New Roman"/>
        </w:rPr>
        <w:t xml:space="preserve"> have been recorded in the Chowilla floodplain-wetland complex</w:t>
      </w:r>
      <w:r w:rsidR="002B52E1">
        <w:rPr>
          <w:rFonts w:cs="Times New Roman"/>
        </w:rPr>
        <w:t>, including</w:t>
      </w:r>
      <w:r w:rsidR="007F5343" w:rsidRPr="00D42F9E">
        <w:rPr>
          <w:rFonts w:cs="Times New Roman"/>
        </w:rPr>
        <w:t xml:space="preserve"> the Riverland Ramsar site (</w:t>
      </w:r>
      <w:r w:rsidR="007F5343" w:rsidRPr="00BE43A7">
        <w:rPr>
          <w:rFonts w:cs="Times New Roman"/>
        </w:rPr>
        <w:t xml:space="preserve">Carthew </w:t>
      </w:r>
      <w:r w:rsidR="007F5343">
        <w:rPr>
          <w:rFonts w:cs="Times New Roman"/>
        </w:rPr>
        <w:t xml:space="preserve">&amp; </w:t>
      </w:r>
      <w:r w:rsidR="007F5343" w:rsidRPr="00BE43A7">
        <w:rPr>
          <w:rFonts w:cs="Times New Roman"/>
        </w:rPr>
        <w:t>Reardon 2009</w:t>
      </w:r>
      <w:r w:rsidR="007F5343">
        <w:rPr>
          <w:rFonts w:cs="Times New Roman"/>
        </w:rPr>
        <w:t xml:space="preserve">; </w:t>
      </w:r>
      <w:r w:rsidR="007F5343" w:rsidRPr="00D42F9E">
        <w:rPr>
          <w:rFonts w:cs="Times New Roman"/>
        </w:rPr>
        <w:t>Newall et al. 2009; DEH 2010)</w:t>
      </w:r>
      <w:r w:rsidR="007F5343">
        <w:rPr>
          <w:rFonts w:cs="Times New Roman"/>
        </w:rPr>
        <w:t>,</w:t>
      </w:r>
      <w:r w:rsidR="007F5343" w:rsidRPr="00D42F9E">
        <w:rPr>
          <w:rFonts w:cs="Times New Roman"/>
        </w:rPr>
        <w:t xml:space="preserve"> which is likely to be the most diverse </w:t>
      </w:r>
      <w:r w:rsidR="007F5343">
        <w:rPr>
          <w:rFonts w:cs="Times New Roman"/>
        </w:rPr>
        <w:t xml:space="preserve">area </w:t>
      </w:r>
      <w:r w:rsidR="007F5343" w:rsidRPr="00D42F9E">
        <w:rPr>
          <w:rFonts w:cs="Times New Roman"/>
        </w:rPr>
        <w:t xml:space="preserve">of </w:t>
      </w:r>
      <w:r w:rsidR="007F5343">
        <w:rPr>
          <w:rFonts w:cs="Times New Roman"/>
        </w:rPr>
        <w:t xml:space="preserve">native mammals within </w:t>
      </w:r>
      <w:r w:rsidR="007F5343" w:rsidRPr="00D42F9E">
        <w:rPr>
          <w:rFonts w:cs="Times New Roman"/>
        </w:rPr>
        <w:t>the ecological community</w:t>
      </w:r>
      <w:r w:rsidR="007F5343">
        <w:rPr>
          <w:rFonts w:cs="Times New Roman"/>
        </w:rPr>
        <w:t xml:space="preserve"> (</w:t>
      </w:r>
      <w:r w:rsidR="007F5343" w:rsidRPr="005E028B">
        <w:rPr>
          <w:rFonts w:cs="Times New Roman"/>
          <w:u w:val="single"/>
        </w:rPr>
        <w:t xml:space="preserve">Table </w:t>
      </w:r>
      <w:r w:rsidR="007F5343">
        <w:rPr>
          <w:rFonts w:cs="Times New Roman"/>
          <w:u w:val="single"/>
        </w:rPr>
        <w:t>15</w:t>
      </w:r>
      <w:r w:rsidR="007F5343">
        <w:rPr>
          <w:rFonts w:cs="Times New Roman"/>
        </w:rPr>
        <w:t>)</w:t>
      </w:r>
      <w:r w:rsidR="007F5343" w:rsidRPr="00D42F9E">
        <w:rPr>
          <w:rFonts w:cs="Times New Roman"/>
        </w:rPr>
        <w:t xml:space="preserve">. </w:t>
      </w:r>
      <w:r w:rsidR="007F5343">
        <w:rPr>
          <w:rFonts w:cs="Times New Roman"/>
        </w:rPr>
        <w:t>For example, the Chowilla area is identified as containing the greatest diversity of bats found anywhere in South Australia (Brandle &amp; Bird 1990; Carthew &amp; Reardon 2009</w:t>
      </w:r>
      <w:r w:rsidR="00E4025D">
        <w:rPr>
          <w:rFonts w:cs="Times New Roman"/>
        </w:rPr>
        <w:t xml:space="preserve">; Armstrong et al. </w:t>
      </w:r>
      <w:r w:rsidR="00EC11DD">
        <w:rPr>
          <w:rFonts w:cs="Times New Roman"/>
        </w:rPr>
        <w:t xml:space="preserve">2019, </w:t>
      </w:r>
      <w:r w:rsidR="00E4025D">
        <w:rPr>
          <w:rFonts w:cs="Times New Roman"/>
        </w:rPr>
        <w:t>2020</w:t>
      </w:r>
      <w:r w:rsidR="007F5343">
        <w:rPr>
          <w:rFonts w:cs="Times New Roman"/>
        </w:rPr>
        <w:t>).</w:t>
      </w:r>
    </w:p>
    <w:tbl>
      <w:tblPr>
        <w:tblStyle w:val="TableGrid"/>
        <w:tblW w:w="0" w:type="auto"/>
        <w:tblLook w:val="04A0" w:firstRow="1" w:lastRow="0" w:firstColumn="1" w:lastColumn="0" w:noHBand="0" w:noVBand="1"/>
      </w:tblPr>
      <w:tblGrid>
        <w:gridCol w:w="9060"/>
      </w:tblGrid>
      <w:tr w:rsidR="00161FA4" w14:paraId="18DA403F" w14:textId="77777777" w:rsidTr="00EA0CDF">
        <w:tc>
          <w:tcPr>
            <w:tcW w:w="9402" w:type="dxa"/>
            <w:shd w:val="clear" w:color="auto" w:fill="FFF2CC" w:themeFill="accent4" w:themeFillTint="33"/>
          </w:tcPr>
          <w:p w14:paraId="1737B6F4" w14:textId="0EB7BFEE" w:rsidR="00161FA4" w:rsidRDefault="00161FA4" w:rsidP="00BE43A7">
            <w:pPr>
              <w:rPr>
                <w:rFonts w:cs="Times New Roman"/>
              </w:rPr>
            </w:pPr>
            <w:r>
              <w:rPr>
                <w:rFonts w:cs="Times New Roman"/>
              </w:rPr>
              <w:t>Consultat</w:t>
            </w:r>
            <w:r w:rsidR="004961FB">
              <w:rPr>
                <w:rFonts w:cs="Times New Roman"/>
              </w:rPr>
              <w:t>i</w:t>
            </w:r>
            <w:r>
              <w:rPr>
                <w:rFonts w:cs="Times New Roman"/>
              </w:rPr>
              <w:t xml:space="preserve">on Questions on Fauna (Animal) </w:t>
            </w:r>
            <w:r w:rsidR="00BA74B5">
              <w:rPr>
                <w:rFonts w:cs="Times New Roman"/>
              </w:rPr>
              <w:t xml:space="preserve">and Micro-biota </w:t>
            </w:r>
            <w:r>
              <w:rPr>
                <w:rFonts w:cs="Times New Roman"/>
              </w:rPr>
              <w:t>species:</w:t>
            </w:r>
          </w:p>
          <w:p w14:paraId="645AB1C3" w14:textId="09DC9C72" w:rsidR="00EA0CDF" w:rsidRDefault="00912825" w:rsidP="00EA0CDF">
            <w:pPr>
              <w:pStyle w:val="ListParagraph"/>
              <w:numPr>
                <w:ilvl w:val="0"/>
                <w:numId w:val="20"/>
              </w:numPr>
              <w:contextualSpacing w:val="0"/>
            </w:pPr>
            <w:r>
              <w:t xml:space="preserve">This </w:t>
            </w:r>
            <w:r w:rsidRPr="00EA0CDF">
              <w:rPr>
                <w:i/>
                <w:iCs/>
              </w:rPr>
              <w:t>Conservation Advice</w:t>
            </w:r>
            <w:r>
              <w:t xml:space="preserve"> aims to provide an indicative description of animal </w:t>
            </w:r>
            <w:r w:rsidR="00BA74B5">
              <w:t xml:space="preserve">and micro-biota </w:t>
            </w:r>
            <w:r>
              <w:t>species, with further species lists provide</w:t>
            </w:r>
            <w:r w:rsidR="00C35383">
              <w:t>d</w:t>
            </w:r>
            <w:r>
              <w:t xml:space="preserve"> through citations of existing references. However, please provide any suggestions (with sources) to clarify the </w:t>
            </w:r>
            <w:r w:rsidR="007370A5">
              <w:t>species assemblage.</w:t>
            </w:r>
          </w:p>
          <w:p w14:paraId="380BC551" w14:textId="11126411" w:rsidR="00EA0CDF" w:rsidRDefault="008B2A94" w:rsidP="00EA0CDF">
            <w:pPr>
              <w:pStyle w:val="ListParagraph"/>
              <w:numPr>
                <w:ilvl w:val="0"/>
                <w:numId w:val="20"/>
              </w:numPr>
              <w:contextualSpacing w:val="0"/>
            </w:pPr>
            <w:r>
              <w:t>Can you identify more recent survey or monitoring data</w:t>
            </w:r>
            <w:r w:rsidR="00CE3D36">
              <w:t xml:space="preserve"> to those used thus far in this draft </w:t>
            </w:r>
            <w:r w:rsidR="00CE3D36" w:rsidRPr="00EA0CDF">
              <w:rPr>
                <w:i/>
                <w:iCs/>
              </w:rPr>
              <w:t>Conservation Advice</w:t>
            </w:r>
            <w:r w:rsidR="00CE3D36">
              <w:t>?  If so</w:t>
            </w:r>
            <w:r w:rsidR="00EA0CDF">
              <w:t>,</w:t>
            </w:r>
            <w:r w:rsidR="00CE3D36">
              <w:t xml:space="preserve"> could you please provide </w:t>
            </w:r>
            <w:r w:rsidR="00EA0CDF">
              <w:t xml:space="preserve">a </w:t>
            </w:r>
            <w:r w:rsidR="00CE3D36">
              <w:t>referen</w:t>
            </w:r>
            <w:r w:rsidR="00EA0CDF">
              <w:t>ce or source.</w:t>
            </w:r>
          </w:p>
          <w:p w14:paraId="3DF270B2" w14:textId="37D5E92C" w:rsidR="00161FA4" w:rsidRPr="004961FB" w:rsidRDefault="004961FB" w:rsidP="00EA0CDF">
            <w:pPr>
              <w:pStyle w:val="ListParagraph"/>
              <w:numPr>
                <w:ilvl w:val="0"/>
                <w:numId w:val="20"/>
              </w:numPr>
              <w:contextualSpacing w:val="0"/>
            </w:pPr>
            <w:r>
              <w:t>Do you know of other</w:t>
            </w:r>
            <w:r w:rsidR="00CE3D36">
              <w:t xml:space="preserve"> </w:t>
            </w:r>
            <w:r>
              <w:t xml:space="preserve">’characteristic’ </w:t>
            </w:r>
            <w:r w:rsidR="007370A5">
              <w:t xml:space="preserve">animal and micro-biota </w:t>
            </w:r>
            <w:r>
              <w:t xml:space="preserve">species occurring within the RMDS EC that are not highlighted in this draft </w:t>
            </w:r>
            <w:r w:rsidRPr="00EA0CDF">
              <w:rPr>
                <w:i/>
                <w:iCs/>
              </w:rPr>
              <w:t>Conservation Advice</w:t>
            </w:r>
            <w:r>
              <w:t>. If so, can you please provide details and reference sources to the Committee.</w:t>
            </w:r>
          </w:p>
        </w:tc>
      </w:tr>
    </w:tbl>
    <w:p w14:paraId="4FC5F472" w14:textId="77777777" w:rsidR="009D232A" w:rsidRDefault="009D232A" w:rsidP="009D232A">
      <w:bookmarkStart w:id="62" w:name="_Ref98942124"/>
      <w:bookmarkStart w:id="63" w:name="_Toc175317068"/>
    </w:p>
    <w:p w14:paraId="5E6571F8" w14:textId="046FCADB" w:rsidR="00FE5A69" w:rsidRDefault="00646CFA" w:rsidP="00550384">
      <w:pPr>
        <w:pStyle w:val="Heading3"/>
      </w:pPr>
      <w:r>
        <w:t xml:space="preserve">1.2.3 </w:t>
      </w:r>
      <w:r w:rsidR="00FE5A69" w:rsidRPr="00A94D4B">
        <w:t>Functionally important species within the ecological community</w:t>
      </w:r>
      <w:bookmarkEnd w:id="62"/>
      <w:bookmarkEnd w:id="63"/>
    </w:p>
    <w:p w14:paraId="4125F229" w14:textId="2FE0AD5C" w:rsidR="00476737" w:rsidRPr="007F4B06" w:rsidRDefault="00476737" w:rsidP="006E2204">
      <w:pPr>
        <w:pStyle w:val="Heading4"/>
      </w:pPr>
      <w:r w:rsidRPr="007F4B06">
        <w:t>Keyston</w:t>
      </w:r>
      <w:r w:rsidR="007F4B06">
        <w:t>e</w:t>
      </w:r>
      <w:r w:rsidR="00FD7C36" w:rsidRPr="007F4B06">
        <w:t xml:space="preserve"> </w:t>
      </w:r>
      <w:r w:rsidRPr="007F4B06">
        <w:t xml:space="preserve">Species </w:t>
      </w:r>
      <w:r w:rsidR="007B1916" w:rsidRPr="007F4B06">
        <w:t>and ecosystem engineers</w:t>
      </w:r>
    </w:p>
    <w:p w14:paraId="2CE099A8" w14:textId="31BF2DF1" w:rsidR="00306818" w:rsidRDefault="00306818" w:rsidP="00306818">
      <w:pPr>
        <w:spacing w:before="120"/>
      </w:pPr>
      <w:r>
        <w:t>Keystone</w:t>
      </w:r>
      <w:r w:rsidR="004D54BE">
        <w:t>-type</w:t>
      </w:r>
      <w:r>
        <w:t xml:space="preserve"> </w:t>
      </w:r>
      <w:r w:rsidRPr="00A07D97">
        <w:t>species play a critical role in maintaining the stru</w:t>
      </w:r>
      <w:r>
        <w:t>cture</w:t>
      </w:r>
      <w:r w:rsidR="00E62BEA">
        <w:t xml:space="preserve">, composition and function </w:t>
      </w:r>
      <w:r>
        <w:t>of a particular</w:t>
      </w:r>
      <w:r w:rsidRPr="00A07D97">
        <w:t xml:space="preserve"> ecological community</w:t>
      </w:r>
      <w:r>
        <w:t xml:space="preserve">—they can </w:t>
      </w:r>
      <w:r w:rsidRPr="00A07D97">
        <w:t>affect many other organisms</w:t>
      </w:r>
      <w:r>
        <w:t xml:space="preserve">, </w:t>
      </w:r>
      <w:r w:rsidRPr="00A07D97">
        <w:t>determine the types and numbers</w:t>
      </w:r>
      <w:r>
        <w:t xml:space="preserve"> of various other species, and influence ecosystem processes</w:t>
      </w:r>
      <w:r w:rsidRPr="00A07D97">
        <w:t>.</w:t>
      </w:r>
      <w:r>
        <w:t xml:space="preserve"> </w:t>
      </w:r>
    </w:p>
    <w:p w14:paraId="325EEEA3" w14:textId="5552FB9E" w:rsidR="005D6455" w:rsidRDefault="00476737" w:rsidP="00476737">
      <w:r>
        <w:t xml:space="preserve">A keystone species is one that has a </w:t>
      </w:r>
      <w:r w:rsidRPr="00A07D97">
        <w:t xml:space="preserve">disproportionately large effect on its environment </w:t>
      </w:r>
      <w:r w:rsidR="0044733E">
        <w:t xml:space="preserve">and community </w:t>
      </w:r>
      <w:r w:rsidRPr="00A07D97">
        <w:t>relative to its abundance</w:t>
      </w:r>
      <w:r>
        <w:t xml:space="preserve"> or biomass; they can be predators, prey/hosts, or habitat modifiers (Stiling 1999). </w:t>
      </w:r>
      <w:r w:rsidR="00D81431">
        <w:t>The concept was originally proposed by Paine (1966,</w:t>
      </w:r>
      <w:r w:rsidR="00AE7040">
        <w:t xml:space="preserve"> 19</w:t>
      </w:r>
      <w:r w:rsidR="00D81431">
        <w:t>69</w:t>
      </w:r>
      <w:r w:rsidR="00621C68">
        <w:t xml:space="preserve">) who defined a keystone as a species whose activities greatly modify “the composition and physical appearance” of its </w:t>
      </w:r>
      <w:r w:rsidR="00356729">
        <w:t xml:space="preserve">ecological </w:t>
      </w:r>
      <w:r w:rsidR="00621C68">
        <w:t xml:space="preserve">community. </w:t>
      </w:r>
      <w:r w:rsidR="00EF731A">
        <w:t xml:space="preserve">While originally </w:t>
      </w:r>
      <w:r w:rsidR="004C277C">
        <w:t>having a trophic focus</w:t>
      </w:r>
      <w:r w:rsidR="00BC0D29">
        <w:t xml:space="preserve">, </w:t>
      </w:r>
      <w:r w:rsidR="004C277C">
        <w:t xml:space="preserve">the </w:t>
      </w:r>
      <w:r w:rsidR="00070033">
        <w:t xml:space="preserve">ecological </w:t>
      </w:r>
      <w:r w:rsidR="004C277C">
        <w:t>concept expan</w:t>
      </w:r>
      <w:r w:rsidR="00EE0F18">
        <w:t>d</w:t>
      </w:r>
      <w:r w:rsidR="004C277C">
        <w:t>ed</w:t>
      </w:r>
      <w:r w:rsidR="00E07996">
        <w:t xml:space="preserve">, with </w:t>
      </w:r>
      <w:r w:rsidR="007828C0">
        <w:t xml:space="preserve">the </w:t>
      </w:r>
      <w:r>
        <w:t>two hallmarks of keystone species</w:t>
      </w:r>
      <w:r w:rsidR="005D6455">
        <w:t xml:space="preserve"> </w:t>
      </w:r>
      <w:r w:rsidR="007E2989">
        <w:t xml:space="preserve">commonly accepted as </w:t>
      </w:r>
      <w:r w:rsidR="005D6455">
        <w:t>(</w:t>
      </w:r>
      <w:r w:rsidR="004D54BE">
        <w:t xml:space="preserve">e.g. </w:t>
      </w:r>
      <w:r w:rsidR="005D6455">
        <w:t>Mills et al. 1993)</w:t>
      </w:r>
      <w:r>
        <w:t>:</w:t>
      </w:r>
    </w:p>
    <w:p w14:paraId="385EC53B" w14:textId="0029E1FF" w:rsidR="005D6455" w:rsidRPr="005D6455" w:rsidRDefault="00476737" w:rsidP="0012104E">
      <w:pPr>
        <w:pStyle w:val="ListParagraph"/>
        <w:numPr>
          <w:ilvl w:val="0"/>
          <w:numId w:val="23"/>
        </w:numPr>
        <w:spacing w:before="80" w:after="80"/>
        <w:ind w:left="714" w:hanging="357"/>
        <w:contextualSpacing w:val="0"/>
        <w:rPr>
          <w:b/>
          <w:i/>
        </w:rPr>
      </w:pPr>
      <w:r>
        <w:t>their presence is crucial in maintaining the organisation and diversity of their ecological communit</w:t>
      </w:r>
      <w:r w:rsidR="00C23831">
        <w:t>y</w:t>
      </w:r>
      <w:r>
        <w:t>, and</w:t>
      </w:r>
    </w:p>
    <w:p w14:paraId="02B1151D" w14:textId="2BE0E4FF" w:rsidR="005D6455" w:rsidRPr="005D6455" w:rsidRDefault="00476737" w:rsidP="0012104E">
      <w:pPr>
        <w:pStyle w:val="ListParagraph"/>
        <w:numPr>
          <w:ilvl w:val="0"/>
          <w:numId w:val="23"/>
        </w:numPr>
        <w:spacing w:before="120" w:after="120"/>
        <w:ind w:left="714" w:hanging="357"/>
        <w:contextualSpacing w:val="0"/>
        <w:rPr>
          <w:b/>
          <w:i/>
        </w:rPr>
      </w:pPr>
      <w:r>
        <w:t>these species are 'exceptional', relative to the rest of the community, in their importance</w:t>
      </w:r>
      <w:r w:rsidR="0044733E">
        <w:t>.</w:t>
      </w:r>
      <w:r>
        <w:t xml:space="preserve"> </w:t>
      </w:r>
    </w:p>
    <w:p w14:paraId="77CC6D38" w14:textId="064F5CFF" w:rsidR="005F6C6B" w:rsidRDefault="001328D1" w:rsidP="002E7C9A">
      <w:pPr>
        <w:spacing w:before="120"/>
      </w:pPr>
      <w:r>
        <w:t>In addition to the physical environment and broader community, c</w:t>
      </w:r>
      <w:r w:rsidR="005F6C6B">
        <w:t xml:space="preserve">haracteristics of a species can affect its status </w:t>
      </w:r>
      <w:r w:rsidR="00AF0F64">
        <w:t>as a keystone species, for example: trophic position</w:t>
      </w:r>
      <w:r w:rsidR="0094669C">
        <w:t xml:space="preserve"> (</w:t>
      </w:r>
      <w:r w:rsidR="0016339F">
        <w:t>top predator versus primary producer</w:t>
      </w:r>
      <w:r w:rsidR="00AF0F64">
        <w:t>; connectivity (number of direct links to other species</w:t>
      </w:r>
      <w:r w:rsidR="00070033">
        <w:t>)</w:t>
      </w:r>
      <w:r w:rsidR="00AF0F64">
        <w:t xml:space="preserve">; </w:t>
      </w:r>
      <w:r w:rsidR="00DD0515">
        <w:t>strength of its interactions with other species (Ebenman &amp; Jons</w:t>
      </w:r>
      <w:r w:rsidR="007A1FC9">
        <w:t>s</w:t>
      </w:r>
      <w:r w:rsidR="00DD0515">
        <w:t>on 2005)</w:t>
      </w:r>
      <w:r w:rsidR="007A1FC9">
        <w:t>.</w:t>
      </w:r>
    </w:p>
    <w:p w14:paraId="0989172C" w14:textId="0060D710" w:rsidR="0000281A" w:rsidRDefault="005F6C6B" w:rsidP="002E7C9A">
      <w:pPr>
        <w:spacing w:before="120"/>
      </w:pPr>
      <w:r>
        <w:t>‘</w:t>
      </w:r>
      <w:r w:rsidR="00476737" w:rsidRPr="00A07D97">
        <w:t>Ecosystem engineers</w:t>
      </w:r>
      <w:r w:rsidR="005D6455">
        <w:t>’</w:t>
      </w:r>
      <w:r w:rsidR="0009609C">
        <w:t xml:space="preserve"> are </w:t>
      </w:r>
      <w:r w:rsidR="00476737">
        <w:t>a particular type of keystone species</w:t>
      </w:r>
      <w:r w:rsidR="0009609C">
        <w:t xml:space="preserve">; they </w:t>
      </w:r>
      <w:r w:rsidR="00476737" w:rsidRPr="00A07D97">
        <w:t>are species</w:t>
      </w:r>
      <w:r w:rsidR="00476737">
        <w:t xml:space="preserve"> that modify and modulate</w:t>
      </w:r>
      <w:r w:rsidR="00476737" w:rsidRPr="00A07D97">
        <w:t xml:space="preserve"> the physical environment and its resources, and thus</w:t>
      </w:r>
      <w:r w:rsidR="00876DE0">
        <w:t xml:space="preserve"> may </w:t>
      </w:r>
      <w:r w:rsidR="00476737" w:rsidRPr="00A07D97">
        <w:t>create, maintain</w:t>
      </w:r>
      <w:r w:rsidR="00876DE0">
        <w:t>,</w:t>
      </w:r>
      <w:r w:rsidR="00476737" w:rsidRPr="00A07D97">
        <w:t xml:space="preserve"> and change habitats and resources (Jones et al. 1994; W</w:t>
      </w:r>
      <w:r w:rsidR="00476737">
        <w:t xml:space="preserve">right and </w:t>
      </w:r>
      <w:r w:rsidR="00476737" w:rsidRPr="00A07D97">
        <w:t>Jones 2006)</w:t>
      </w:r>
      <w:r w:rsidR="0044733E">
        <w:t>.</w:t>
      </w:r>
      <w:r w:rsidR="005D32D1">
        <w:t xml:space="preserve"> </w:t>
      </w:r>
      <w:r w:rsidR="005A74F3">
        <w:t>‘</w:t>
      </w:r>
      <w:r w:rsidR="0044733E">
        <w:t>A</w:t>
      </w:r>
      <w:r w:rsidR="005A74F3">
        <w:t>utogenic engineers</w:t>
      </w:r>
      <w:r w:rsidR="00020AEC">
        <w:t>’</w:t>
      </w:r>
      <w:r w:rsidR="005A74F3">
        <w:t xml:space="preserve"> chan</w:t>
      </w:r>
      <w:r w:rsidR="00020AEC">
        <w:t>g</w:t>
      </w:r>
      <w:r w:rsidR="005A74F3">
        <w:t>e the environment via their own physical structure (e.g. corals, trees) and ‘allogenic</w:t>
      </w:r>
      <w:r w:rsidR="005D2868">
        <w:t xml:space="preserve">’ engineers </w:t>
      </w:r>
      <w:r w:rsidR="005D2868">
        <w:lastRenderedPageBreak/>
        <w:t xml:space="preserve">(typically fauna) change the environment by transforming living or non-living materials from </w:t>
      </w:r>
      <w:r w:rsidR="00020AEC">
        <w:t xml:space="preserve">one physical state to another (Jones et al. 1994). </w:t>
      </w:r>
    </w:p>
    <w:p w14:paraId="769D1CEA" w14:textId="62361BD6" w:rsidR="00D97691" w:rsidRDefault="007B1916" w:rsidP="00247398">
      <w:pPr>
        <w:keepLines/>
        <w:spacing w:before="120"/>
      </w:pPr>
      <w:r>
        <w:t xml:space="preserve">Of note, </w:t>
      </w:r>
      <w:r w:rsidR="00020AEC">
        <w:t xml:space="preserve">Ellison (2019) </w:t>
      </w:r>
      <w:r w:rsidR="00472C6B">
        <w:t xml:space="preserve">presents </w:t>
      </w:r>
      <w:r w:rsidR="0000281A">
        <w:t>the</w:t>
      </w:r>
      <w:r w:rsidR="00472C6B">
        <w:t xml:space="preserve"> case </w:t>
      </w:r>
      <w:r w:rsidR="00A528A5">
        <w:t>for the use and focus on</w:t>
      </w:r>
      <w:r w:rsidR="00472C6B">
        <w:t xml:space="preserve"> ‘foundation’ </w:t>
      </w:r>
      <w:r w:rsidR="00926993">
        <w:t>species (or group of functionally similar taxa)</w:t>
      </w:r>
      <w:r w:rsidR="007828C0">
        <w:t>, as</w:t>
      </w:r>
      <w:r w:rsidR="00926993">
        <w:t xml:space="preserve"> </w:t>
      </w:r>
      <w:r w:rsidR="00912472">
        <w:t>first introduced by Dayton (1972)</w:t>
      </w:r>
      <w:r w:rsidR="00CA756D">
        <w:t xml:space="preserve">. </w:t>
      </w:r>
      <w:r w:rsidR="00B21D82">
        <w:t>He defines a</w:t>
      </w:r>
      <w:r w:rsidR="00EF731A">
        <w:t xml:space="preserve"> foundation species as one that</w:t>
      </w:r>
      <w:r w:rsidR="0074078C">
        <w:t xml:space="preserve">—dominates </w:t>
      </w:r>
      <w:r w:rsidR="00926993">
        <w:t xml:space="preserve">an assemblage </w:t>
      </w:r>
      <w:r w:rsidR="00EE3F28">
        <w:t>numerically and in size (biomass), determines the diversity of associated taxa through non-trophic interactions, and modulates fluxes of nutrients and energy at multiple control points in the ecosystem it defines</w:t>
      </w:r>
      <w:r w:rsidR="00C8610D">
        <w:t>.</w:t>
      </w:r>
      <w:r>
        <w:t xml:space="preserve"> However, for the purpose</w:t>
      </w:r>
      <w:r w:rsidR="00F97632">
        <w:t xml:space="preserve">s of the current assessment, the </w:t>
      </w:r>
      <w:r w:rsidR="007B0477">
        <w:t xml:space="preserve">more straightforward </w:t>
      </w:r>
      <w:r w:rsidR="00F97632">
        <w:t xml:space="preserve">concept of keystone species, </w:t>
      </w:r>
      <w:r w:rsidR="00E00A92">
        <w:t>including ecosystem engineers</w:t>
      </w:r>
      <w:r w:rsidR="007B0477">
        <w:t>,</w:t>
      </w:r>
      <w:r w:rsidR="00E00A92">
        <w:t xml:space="preserve"> </w:t>
      </w:r>
      <w:r w:rsidR="007B0477">
        <w:t xml:space="preserve">is </w:t>
      </w:r>
      <w:r w:rsidR="00E00A92">
        <w:t>used.</w:t>
      </w:r>
    </w:p>
    <w:p w14:paraId="67C7D9D2" w14:textId="0349E7DD" w:rsidR="00476737" w:rsidRPr="005D6455" w:rsidRDefault="00476737" w:rsidP="002E7C9A">
      <w:pPr>
        <w:rPr>
          <w:b/>
          <w:i/>
        </w:rPr>
      </w:pPr>
      <w:r w:rsidRPr="00A07D97">
        <w:t xml:space="preserve">Removal, addition, or changes in local populations of </w:t>
      </w:r>
      <w:r>
        <w:t xml:space="preserve">keystone species or </w:t>
      </w:r>
      <w:r w:rsidRPr="00A07D97">
        <w:t>ecosystem eng</w:t>
      </w:r>
      <w:r>
        <w:t>ineers</w:t>
      </w:r>
      <w:r w:rsidRPr="00A07D97">
        <w:t xml:space="preserve"> can have significant impacts on the functioning of </w:t>
      </w:r>
      <w:r w:rsidR="00422805">
        <w:t xml:space="preserve">ecological and </w:t>
      </w:r>
      <w:r w:rsidRPr="00A07D97">
        <w:t>ecosystem processes, predatory relationships, and overall long-term stability and resilience of the ecological community</w:t>
      </w:r>
      <w:r>
        <w:t>.</w:t>
      </w:r>
      <w:r w:rsidR="00A07A0B">
        <w:t xml:space="preserve"> </w:t>
      </w:r>
      <w:r w:rsidR="00477B7D">
        <w:t>Owing to the interdependences among species in ecological communities, the loss of one keystone</w:t>
      </w:r>
      <w:r w:rsidR="00242E38">
        <w:t>-type</w:t>
      </w:r>
      <w:r w:rsidR="00477B7D">
        <w:t xml:space="preserve"> species can trigger a cascade of secondary extinctions</w:t>
      </w:r>
      <w:r w:rsidR="0096799F">
        <w:t xml:space="preserve"> which may </w:t>
      </w:r>
      <w:r w:rsidR="00F45903">
        <w:t>destabilise</w:t>
      </w:r>
      <w:r w:rsidR="00BE06E2">
        <w:t xml:space="preserve"> and threatened the functionality of the ecological community (e.g. Ebenman &amp; Joh</w:t>
      </w:r>
      <w:r w:rsidR="00F45903">
        <w:t>n</w:t>
      </w:r>
      <w:r w:rsidR="00BE06E2">
        <w:t>s</w:t>
      </w:r>
      <w:r w:rsidR="005C52A6">
        <w:t>s</w:t>
      </w:r>
      <w:r w:rsidR="00BE06E2">
        <w:t>on</w:t>
      </w:r>
      <w:r w:rsidR="005C52A6">
        <w:t xml:space="preserve"> 2005</w:t>
      </w:r>
      <w:r w:rsidR="00242E38">
        <w:t>).</w:t>
      </w:r>
      <w:r w:rsidR="00BE06E2">
        <w:t xml:space="preserve"> </w:t>
      </w:r>
    </w:p>
    <w:p w14:paraId="5F0A761A" w14:textId="5FF6D230" w:rsidR="00F525ED" w:rsidRDefault="00422805" w:rsidP="00476737">
      <w:r>
        <w:t>E</w:t>
      </w:r>
      <w:r w:rsidR="00476737" w:rsidRPr="00662ADC">
        <w:t xml:space="preserve">cosystem engineers provide resilience to the broader ecosystem through the </w:t>
      </w:r>
      <w:r w:rsidR="00192A04">
        <w:t xml:space="preserve">foundational </w:t>
      </w:r>
      <w:r w:rsidR="00476737" w:rsidRPr="00662ADC">
        <w:t xml:space="preserve">physical ecosystem engineering functions </w:t>
      </w:r>
      <w:r w:rsidR="00E00A92">
        <w:t xml:space="preserve">and structure </w:t>
      </w:r>
      <w:r w:rsidR="00476737" w:rsidRPr="00662ADC">
        <w:t>they provide</w:t>
      </w:r>
      <w:r w:rsidR="00192A04">
        <w:t>,</w:t>
      </w:r>
      <w:r w:rsidR="00476737" w:rsidRPr="00662ADC">
        <w:t xml:space="preserve"> combined with their trophic interactions. For example, two significant ecosystem engineers within the ecological community are the long-lived </w:t>
      </w:r>
      <w:r w:rsidR="00192A04">
        <w:t xml:space="preserve">eucalypt </w:t>
      </w:r>
      <w:r w:rsidR="00476737" w:rsidRPr="00662ADC">
        <w:t>trees, river red gum and black box. In addition to their leaves, bark, flowers</w:t>
      </w:r>
      <w:r w:rsidR="00CA465E">
        <w:t>,</w:t>
      </w:r>
      <w:r w:rsidR="00476737" w:rsidRPr="00662ADC">
        <w:t xml:space="preserve"> and seeds providing an important food</w:t>
      </w:r>
      <w:r w:rsidR="00476737">
        <w:t xml:space="preserve"> source to a range of organisms</w:t>
      </w:r>
      <w:r w:rsidR="00476737" w:rsidRPr="00662ADC">
        <w:t xml:space="preserve"> (Robertson et al. 2001), the dead leaves, branches and bark accumulating on the ground </w:t>
      </w:r>
      <w:r w:rsidR="0092677F">
        <w:t xml:space="preserve">can </w:t>
      </w:r>
      <w:r w:rsidR="00476737" w:rsidRPr="00662ADC">
        <w:t xml:space="preserve">affect rainfall </w:t>
      </w:r>
      <w:r w:rsidR="00EE6057">
        <w:t xml:space="preserve">throughfall, rates of </w:t>
      </w:r>
      <w:r w:rsidR="00476737" w:rsidRPr="00662ADC">
        <w:t>evaporation</w:t>
      </w:r>
      <w:r w:rsidR="0015353B">
        <w:t>,</w:t>
      </w:r>
      <w:r w:rsidR="00476737" w:rsidRPr="00662ADC">
        <w:t xml:space="preserve"> and local hydrology, as well as providing microbial and invertebrate habitat.</w:t>
      </w:r>
      <w:r w:rsidR="008A18FE">
        <w:t xml:space="preserve"> </w:t>
      </w:r>
      <w:r w:rsidR="0092677F">
        <w:t xml:space="preserve">Therefore, they are critical to nutrient and energy cycling and contribute substantial amounts of carbon to terrestrial and aquatic food webs. </w:t>
      </w:r>
      <w:r w:rsidR="008F504B">
        <w:t>In addition, t</w:t>
      </w:r>
      <w:r w:rsidR="00022161">
        <w:t>heir branches</w:t>
      </w:r>
      <w:r w:rsidR="008F504B">
        <w:t xml:space="preserve"> and hollows provide shelter and nesting habitat for a range of birds</w:t>
      </w:r>
      <w:r w:rsidR="0092677F">
        <w:t xml:space="preserve">, </w:t>
      </w:r>
      <w:r w:rsidR="008F504B">
        <w:t>marsupials</w:t>
      </w:r>
      <w:r w:rsidR="0092677F">
        <w:t>, and other animals</w:t>
      </w:r>
      <w:r w:rsidR="008F504B">
        <w:t>.</w:t>
      </w:r>
    </w:p>
    <w:p w14:paraId="78FC3FB4" w14:textId="6969F95E" w:rsidR="00476737" w:rsidRPr="00662ADC" w:rsidRDefault="00CA465E" w:rsidP="00476737">
      <w:r>
        <w:t>I</w:t>
      </w:r>
      <w:r w:rsidR="00476737" w:rsidRPr="00662ADC">
        <w:t>n aquatic habitats, the</w:t>
      </w:r>
      <w:r w:rsidR="00F525ED">
        <w:t xml:space="preserve">se </w:t>
      </w:r>
      <w:r w:rsidR="0017530D">
        <w:t xml:space="preserve">same </w:t>
      </w:r>
      <w:r w:rsidR="00F525ED">
        <w:t>trees</w:t>
      </w:r>
      <w:r w:rsidR="00476737" w:rsidRPr="00662ADC">
        <w:t xml:space="preserve"> </w:t>
      </w:r>
      <w:r w:rsidR="0017530D">
        <w:t xml:space="preserve">can </w:t>
      </w:r>
      <w:r w:rsidR="00476737" w:rsidRPr="00662ADC">
        <w:t>form debris dams and ponds, reduce erosion and flow</w:t>
      </w:r>
      <w:r w:rsidR="00EE6057">
        <w:t xml:space="preserve"> rates</w:t>
      </w:r>
      <w:r w:rsidR="00476737" w:rsidRPr="00662ADC">
        <w:t xml:space="preserve">, provide habitat for fish, and influence sediment accumulation (Colloff </w:t>
      </w:r>
      <w:r w:rsidR="00E517B8">
        <w:t>&amp;</w:t>
      </w:r>
      <w:r w:rsidR="00476737" w:rsidRPr="00662ADC">
        <w:t xml:space="preserve"> Baldwin 2010</w:t>
      </w:r>
      <w:r w:rsidR="0080466A">
        <w:t>; Tonkin et al. 2020, 2022</w:t>
      </w:r>
      <w:r w:rsidR="00476737" w:rsidRPr="00662ADC">
        <w:t>). Their roots provide substrate stabilisation and habitat for mammals and reptiles, and can alter local topography and water infiltration. Their canopy alters microclimate, affecting shade, shelter, temperature</w:t>
      </w:r>
      <w:r w:rsidR="0015353B">
        <w:t>,</w:t>
      </w:r>
      <w:r w:rsidR="00476737" w:rsidRPr="00662ADC">
        <w:t xml:space="preserve"> and humidity, as well as mitigating erosive effects of wind and rainfall (Colloff and Baldwin 2010). Resilience </w:t>
      </w:r>
      <w:r w:rsidR="006F7B92">
        <w:t xml:space="preserve">of the system </w:t>
      </w:r>
      <w:r w:rsidR="00476737" w:rsidRPr="00662ADC">
        <w:t xml:space="preserve">is also strengthened by a positive feedback loop linking soil carbon </w:t>
      </w:r>
      <w:r w:rsidR="00EE6057">
        <w:t xml:space="preserve">content </w:t>
      </w:r>
      <w:r w:rsidR="00476737" w:rsidRPr="00662ADC">
        <w:t xml:space="preserve">to soil moisture and vegetation condition (Colloff </w:t>
      </w:r>
      <w:r w:rsidR="00E517B8">
        <w:t>&amp;</w:t>
      </w:r>
      <w:r w:rsidR="00476737" w:rsidRPr="00662ADC">
        <w:t xml:space="preserve"> Baldwin</w:t>
      </w:r>
      <w:r w:rsidR="003C0E08">
        <w:t xml:space="preserve"> </w:t>
      </w:r>
      <w:r w:rsidR="00476737" w:rsidRPr="00662ADC">
        <w:t>2010).</w:t>
      </w:r>
    </w:p>
    <w:p w14:paraId="20553772" w14:textId="7138341E" w:rsidR="00515FCB" w:rsidRDefault="00476737" w:rsidP="00476737">
      <w:r>
        <w:t xml:space="preserve">Where disturbance (particularly anthropogenic) constrains growth of </w:t>
      </w:r>
      <w:r w:rsidR="006429D7">
        <w:t xml:space="preserve">these </w:t>
      </w:r>
      <w:r>
        <w:t xml:space="preserve">keystone species/ecosystem engineers, or where age structure is skewed towards younger individuals, ecological performance or function within the ecological community is likely to be compromised. In terms of ecosystem function, measurements </w:t>
      </w:r>
      <w:r w:rsidR="00863553">
        <w:t>of</w:t>
      </w:r>
      <w:r>
        <w:t xml:space="preserve"> </w:t>
      </w:r>
      <w:r w:rsidR="006429D7">
        <w:t xml:space="preserve">these eucalypts as </w:t>
      </w:r>
      <w:r>
        <w:t>ecosystem engineers relating to age structure, recruitment</w:t>
      </w:r>
      <w:r w:rsidR="00042C4D">
        <w:t>,</w:t>
      </w:r>
      <w:r>
        <w:t xml:space="preserve"> and condition may represent useful surrogates for the assessment of resilience and relative 'health' of the ecological community (Colloff </w:t>
      </w:r>
      <w:r w:rsidR="000928E0">
        <w:t xml:space="preserve">&amp; </w:t>
      </w:r>
      <w:r>
        <w:t xml:space="preserve">Baldwin 2010). For example, in some areas, river red gum along the River Murray </w:t>
      </w:r>
      <w:r w:rsidR="007C0ADC">
        <w:t xml:space="preserve">have </w:t>
      </w:r>
      <w:r w:rsidR="006429D7">
        <w:t xml:space="preserve">shown </w:t>
      </w:r>
      <w:r w:rsidR="00E71F3F">
        <w:t xml:space="preserve">signs of </w:t>
      </w:r>
      <w:r>
        <w:t>reduced frequency and extent of flowering event</w:t>
      </w:r>
      <w:r w:rsidR="00E71F3F">
        <w:t>s, likely</w:t>
      </w:r>
      <w:r>
        <w:t xml:space="preserve"> due to decreased flood frequency</w:t>
      </w:r>
      <w:r w:rsidR="005C4BAC">
        <w:t xml:space="preserve"> (</w:t>
      </w:r>
      <w:r w:rsidR="007C0ADC">
        <w:t>Colloff &amp; Baldwin 2010; Jensen 2011a; Lamontagnew et al. 201</w:t>
      </w:r>
      <w:r w:rsidR="00E71F3F">
        <w:t xml:space="preserve">2). </w:t>
      </w:r>
      <w:r>
        <w:t xml:space="preserve">This </w:t>
      </w:r>
      <w:r w:rsidR="00E71F3F">
        <w:t xml:space="preserve">would have </w:t>
      </w:r>
      <w:r>
        <w:t>cascading trophic effects and implications for the seed bank</w:t>
      </w:r>
      <w:r w:rsidR="00595811">
        <w:t xml:space="preserve"> and future recruitment</w:t>
      </w:r>
      <w:r>
        <w:t xml:space="preserve">. </w:t>
      </w:r>
    </w:p>
    <w:p w14:paraId="3008CBC2" w14:textId="3F0AE0CB" w:rsidR="00712A9E" w:rsidRDefault="00712A9E" w:rsidP="00247398">
      <w:pPr>
        <w:keepLines/>
      </w:pPr>
      <w:r>
        <w:lastRenderedPageBreak/>
        <w:t xml:space="preserve">Further examples of eco-physiological effects (such as on key functional/keystone species) in natural ecosystems associated with changes to alternative states is provided in </w:t>
      </w:r>
      <w:r w:rsidRPr="00AB3F89">
        <w:rPr>
          <w:u w:val="single"/>
        </w:rPr>
        <w:t>Table 1</w:t>
      </w:r>
      <w:r>
        <w:rPr>
          <w:u w:val="single"/>
        </w:rPr>
        <w:t>6</w:t>
      </w:r>
      <w:r>
        <w:t xml:space="preserve">. Such processes and changes are acutely relevant to the ecological community and are related to the threats outlined in </w:t>
      </w:r>
      <w:r w:rsidRPr="00595811">
        <w:rPr>
          <w:u w:val="single"/>
        </w:rPr>
        <w:t>Section 4</w:t>
      </w:r>
      <w:r w:rsidR="006429D7" w:rsidRPr="006429D7">
        <w:t xml:space="preserve"> and the assessment of Criterion 3 in </w:t>
      </w:r>
      <w:r w:rsidR="006429D7">
        <w:rPr>
          <w:u w:val="single"/>
        </w:rPr>
        <w:t>Section 6</w:t>
      </w:r>
      <w:r>
        <w:t>.</w:t>
      </w:r>
    </w:p>
    <w:p w14:paraId="5C7DA2C6" w14:textId="77777777" w:rsidR="00712A9E" w:rsidRDefault="00712A9E" w:rsidP="00712A9E">
      <w:r>
        <w:t xml:space="preserve">A table of functionally important species (or suites of species/taxon groups) indicative of the </w:t>
      </w:r>
      <w:r w:rsidRPr="00ED7387">
        <w:rPr>
          <w:i/>
        </w:rPr>
        <w:t>River Murray – Darling to Sea</w:t>
      </w:r>
      <w:r>
        <w:t xml:space="preserve"> ecological community is provided at </w:t>
      </w:r>
      <w:r w:rsidRPr="001130A2">
        <w:rPr>
          <w:u w:val="single"/>
        </w:rPr>
        <w:t>Table 1</w:t>
      </w:r>
      <w:r>
        <w:rPr>
          <w:u w:val="single"/>
        </w:rPr>
        <w:t>7</w:t>
      </w:r>
      <w:r>
        <w:t>. This table provides further detail on the functional roles and ecological characteristics and requirements of these species, many of which are keystone species or ecosystem engineers.</w:t>
      </w:r>
    </w:p>
    <w:p w14:paraId="560B78EB" w14:textId="5572B4EE" w:rsidR="008D3A3B" w:rsidRPr="00C637BD" w:rsidRDefault="009D232A" w:rsidP="009D232A">
      <w:pPr>
        <w:pStyle w:val="Caption"/>
        <w:rPr>
          <w:bCs/>
          <w:iCs w:val="0"/>
          <w:sz w:val="21"/>
          <w:szCs w:val="21"/>
        </w:rPr>
      </w:pPr>
      <w:r>
        <w:t xml:space="preserve">Table </w:t>
      </w:r>
      <w:r>
        <w:fldChar w:fldCharType="begin"/>
      </w:r>
      <w:r>
        <w:instrText xml:space="preserve"> SEQ Table \* ARABIC </w:instrText>
      </w:r>
      <w:r>
        <w:fldChar w:fldCharType="separate"/>
      </w:r>
      <w:r w:rsidR="006D35C5">
        <w:rPr>
          <w:noProof/>
        </w:rPr>
        <w:t>16</w:t>
      </w:r>
      <w:r>
        <w:fldChar w:fldCharType="end"/>
      </w:r>
      <w:r w:rsidR="008D3A3B" w:rsidRPr="00997698">
        <w:t>:</w:t>
      </w:r>
      <w:r w:rsidR="008D3A3B">
        <w:t xml:space="preserve"> </w:t>
      </w:r>
      <w:r w:rsidR="008D3A3B" w:rsidRPr="00C637BD">
        <w:rPr>
          <w:bCs/>
          <w:sz w:val="21"/>
          <w:szCs w:val="21"/>
        </w:rPr>
        <w:t>Examples of biogeochemical processes, drivers and parameters relating to eco-phys</w:t>
      </w:r>
      <w:r w:rsidR="00993ACA" w:rsidRPr="00C637BD">
        <w:rPr>
          <w:bCs/>
          <w:sz w:val="21"/>
          <w:szCs w:val="21"/>
        </w:rPr>
        <w:t>iological</w:t>
      </w:r>
      <w:r w:rsidR="008D3A3B" w:rsidRPr="00C637BD">
        <w:rPr>
          <w:bCs/>
          <w:sz w:val="21"/>
          <w:szCs w:val="21"/>
        </w:rPr>
        <w:t xml:space="preserve"> effects in natural ecosystems, such as the ecological community, associated with changes to alternative stable states (modified from Colloff </w:t>
      </w:r>
      <w:r w:rsidR="00ED3FB3" w:rsidRPr="00C637BD">
        <w:rPr>
          <w:bCs/>
          <w:sz w:val="21"/>
          <w:szCs w:val="21"/>
        </w:rPr>
        <w:t xml:space="preserve">&amp; </w:t>
      </w:r>
      <w:r w:rsidR="008D3A3B" w:rsidRPr="00C637BD">
        <w:rPr>
          <w:bCs/>
          <w:sz w:val="21"/>
          <w:szCs w:val="21"/>
        </w:rPr>
        <w:t xml:space="preserve">Baldwin 2010 </w:t>
      </w:r>
      <w:r w:rsidR="0017527D" w:rsidRPr="00C637BD">
        <w:rPr>
          <w:bCs/>
          <w:sz w:val="21"/>
          <w:szCs w:val="21"/>
        </w:rPr>
        <w:t xml:space="preserve">&amp; </w:t>
      </w:r>
      <w:r w:rsidR="008D3A3B" w:rsidRPr="00C637BD">
        <w:rPr>
          <w:bCs/>
          <w:sz w:val="21"/>
          <w:szCs w:val="21"/>
        </w:rPr>
        <w:t>references therein).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821"/>
        <w:gridCol w:w="1450"/>
        <w:gridCol w:w="1846"/>
        <w:gridCol w:w="2299"/>
      </w:tblGrid>
      <w:tr w:rsidR="00D337EE" w14:paraId="481DD028" w14:textId="77777777" w:rsidTr="001C5051">
        <w:trPr>
          <w:tblHeader/>
        </w:trPr>
        <w:tc>
          <w:tcPr>
            <w:tcW w:w="907" w:type="pct"/>
            <w:shd w:val="clear" w:color="auto" w:fill="D9D9D9" w:themeFill="background1" w:themeFillShade="D9"/>
          </w:tcPr>
          <w:p w14:paraId="59E42BDA" w14:textId="77777777" w:rsidR="00D337EE" w:rsidRPr="00340F10" w:rsidRDefault="00D337EE" w:rsidP="00CD5901">
            <w:pPr>
              <w:pStyle w:val="tableheadertext"/>
            </w:pPr>
            <w:r w:rsidRPr="00340F10">
              <w:t>Process</w:t>
            </w:r>
          </w:p>
        </w:tc>
        <w:tc>
          <w:tcPr>
            <w:tcW w:w="1005" w:type="pct"/>
            <w:shd w:val="clear" w:color="auto" w:fill="D9D9D9" w:themeFill="background1" w:themeFillShade="D9"/>
          </w:tcPr>
          <w:p w14:paraId="21732696" w14:textId="77777777" w:rsidR="00D337EE" w:rsidRPr="00340F10" w:rsidRDefault="00D337EE" w:rsidP="00CD5901">
            <w:pPr>
              <w:pStyle w:val="tableheadertext"/>
            </w:pPr>
            <w:r w:rsidRPr="00340F10">
              <w:t>Driver</w:t>
            </w:r>
          </w:p>
        </w:tc>
        <w:tc>
          <w:tcPr>
            <w:tcW w:w="800" w:type="pct"/>
            <w:shd w:val="clear" w:color="auto" w:fill="D9D9D9" w:themeFill="background1" w:themeFillShade="D9"/>
          </w:tcPr>
          <w:p w14:paraId="599BFA8B" w14:textId="77777777" w:rsidR="00D337EE" w:rsidRPr="00340F10" w:rsidRDefault="00D337EE" w:rsidP="00CD5901">
            <w:pPr>
              <w:pStyle w:val="tableheadertext"/>
            </w:pPr>
            <w:r w:rsidRPr="00340F10">
              <w:t>Parameter</w:t>
            </w:r>
          </w:p>
        </w:tc>
        <w:tc>
          <w:tcPr>
            <w:tcW w:w="1019" w:type="pct"/>
            <w:shd w:val="clear" w:color="auto" w:fill="D9D9D9" w:themeFill="background1" w:themeFillShade="D9"/>
          </w:tcPr>
          <w:p w14:paraId="4FE78D39" w14:textId="77777777" w:rsidR="00D337EE" w:rsidRPr="00340F10" w:rsidRDefault="00D337EE" w:rsidP="00CD5901">
            <w:pPr>
              <w:pStyle w:val="tableheadertext"/>
            </w:pPr>
            <w:r w:rsidRPr="00340F10">
              <w:t>Eco-physiological effect</w:t>
            </w:r>
          </w:p>
        </w:tc>
        <w:tc>
          <w:tcPr>
            <w:tcW w:w="1269" w:type="pct"/>
            <w:shd w:val="clear" w:color="auto" w:fill="D9D9D9" w:themeFill="background1" w:themeFillShade="D9"/>
          </w:tcPr>
          <w:p w14:paraId="01219EAD" w14:textId="77777777" w:rsidR="00D337EE" w:rsidRPr="00340F10" w:rsidRDefault="00D337EE" w:rsidP="00CD5901">
            <w:pPr>
              <w:pStyle w:val="tableheadertext"/>
            </w:pPr>
            <w:r w:rsidRPr="00340F10">
              <w:t>System/state</w:t>
            </w:r>
          </w:p>
          <w:p w14:paraId="01D0F398" w14:textId="77777777" w:rsidR="00D337EE" w:rsidRPr="00340F10" w:rsidRDefault="00D337EE" w:rsidP="00CD5901">
            <w:pPr>
              <w:pStyle w:val="tableheadertext"/>
            </w:pPr>
            <w:r w:rsidRPr="00340F10">
              <w:t>change</w:t>
            </w:r>
          </w:p>
        </w:tc>
      </w:tr>
      <w:tr w:rsidR="00D337EE" w14:paraId="21F9B3FB" w14:textId="77777777" w:rsidTr="001C5051">
        <w:tc>
          <w:tcPr>
            <w:tcW w:w="907" w:type="pct"/>
          </w:tcPr>
          <w:p w14:paraId="3AC76DE0" w14:textId="0234F781" w:rsidR="00D337EE" w:rsidRPr="00174648" w:rsidRDefault="000A7AFE" w:rsidP="0017527D">
            <w:pPr>
              <w:pStyle w:val="tabletext1"/>
              <w:spacing w:after="0"/>
              <w:ind w:left="0"/>
              <w:rPr>
                <w:rFonts w:ascii="Cambria" w:hAnsi="Cambria"/>
              </w:rPr>
            </w:pPr>
            <w:r>
              <w:rPr>
                <w:rFonts w:ascii="Cambria" w:hAnsi="Cambria"/>
              </w:rPr>
              <w:t>c</w:t>
            </w:r>
            <w:r w:rsidR="00D337EE" w:rsidRPr="00174648">
              <w:rPr>
                <w:rFonts w:ascii="Cambria" w:hAnsi="Cambria"/>
              </w:rPr>
              <w:t>hanges in flood regime</w:t>
            </w:r>
          </w:p>
        </w:tc>
        <w:tc>
          <w:tcPr>
            <w:tcW w:w="1005" w:type="pct"/>
          </w:tcPr>
          <w:p w14:paraId="0FCF05B7" w14:textId="77777777" w:rsidR="00D337EE" w:rsidRPr="00174648" w:rsidRDefault="00D337EE" w:rsidP="008703C7">
            <w:pPr>
              <w:pStyle w:val="tabletext1"/>
              <w:spacing w:after="0"/>
              <w:ind w:left="0"/>
              <w:rPr>
                <w:rFonts w:ascii="Cambria" w:hAnsi="Cambria"/>
              </w:rPr>
            </w:pPr>
            <w:r w:rsidRPr="00174648">
              <w:rPr>
                <w:rFonts w:ascii="Cambria" w:hAnsi="Cambria"/>
              </w:rPr>
              <w:t>water diversions, climate change</w:t>
            </w:r>
          </w:p>
        </w:tc>
        <w:tc>
          <w:tcPr>
            <w:tcW w:w="800" w:type="pct"/>
          </w:tcPr>
          <w:p w14:paraId="141B0112" w14:textId="77777777" w:rsidR="00D337EE" w:rsidRPr="00174648" w:rsidRDefault="00D337EE" w:rsidP="000A7AFE">
            <w:pPr>
              <w:pStyle w:val="tabletext1"/>
              <w:spacing w:after="0"/>
              <w:ind w:left="0"/>
              <w:rPr>
                <w:rFonts w:ascii="Cambria" w:hAnsi="Cambria"/>
              </w:rPr>
            </w:pPr>
            <w:r w:rsidRPr="00174648">
              <w:rPr>
                <w:rFonts w:ascii="Cambria" w:hAnsi="Cambria"/>
              </w:rPr>
              <w:t>water</w:t>
            </w:r>
          </w:p>
        </w:tc>
        <w:tc>
          <w:tcPr>
            <w:tcW w:w="1019" w:type="pct"/>
          </w:tcPr>
          <w:p w14:paraId="6B04BCDE" w14:textId="77777777" w:rsidR="00D337EE" w:rsidRPr="00174648" w:rsidRDefault="00D337EE" w:rsidP="000A7AFE">
            <w:pPr>
              <w:pStyle w:val="tabletext1"/>
              <w:spacing w:after="0"/>
              <w:ind w:left="0"/>
              <w:rPr>
                <w:rFonts w:ascii="Cambria" w:hAnsi="Cambria"/>
              </w:rPr>
            </w:pPr>
            <w:r w:rsidRPr="00174648">
              <w:rPr>
                <w:rFonts w:ascii="Cambria" w:hAnsi="Cambria"/>
              </w:rPr>
              <w:t>succession of terrestrial plants</w:t>
            </w:r>
          </w:p>
        </w:tc>
        <w:tc>
          <w:tcPr>
            <w:tcW w:w="1269" w:type="pct"/>
          </w:tcPr>
          <w:p w14:paraId="2FCE8CBB" w14:textId="77777777" w:rsidR="00D337EE" w:rsidRPr="00174648" w:rsidRDefault="00D337EE" w:rsidP="000A7AFE">
            <w:pPr>
              <w:pStyle w:val="tabletext1"/>
              <w:spacing w:after="0"/>
              <w:ind w:left="0"/>
              <w:rPr>
                <w:rFonts w:ascii="Cambria" w:hAnsi="Cambria"/>
              </w:rPr>
            </w:pPr>
            <w:r w:rsidRPr="00174648">
              <w:rPr>
                <w:rFonts w:ascii="Cambria" w:hAnsi="Cambria"/>
              </w:rPr>
              <w:t>reduction in wetland area - permanent terrestrial grasslands and woodlands</w:t>
            </w:r>
          </w:p>
        </w:tc>
      </w:tr>
      <w:tr w:rsidR="00D337EE" w14:paraId="5EA190F9" w14:textId="77777777" w:rsidTr="001C5051">
        <w:tc>
          <w:tcPr>
            <w:tcW w:w="907" w:type="pct"/>
          </w:tcPr>
          <w:p w14:paraId="037A7A0E" w14:textId="77777777" w:rsidR="00D337EE" w:rsidRPr="00174648" w:rsidRDefault="00D337EE" w:rsidP="008703C7">
            <w:pPr>
              <w:pStyle w:val="tabletext1"/>
              <w:spacing w:after="0"/>
              <w:ind w:left="0"/>
              <w:rPr>
                <w:rFonts w:ascii="Cambria" w:hAnsi="Cambria"/>
              </w:rPr>
            </w:pPr>
            <w:r w:rsidRPr="00174648">
              <w:rPr>
                <w:rFonts w:ascii="Cambria" w:hAnsi="Cambria"/>
              </w:rPr>
              <w:t>reduced soil water infiltration</w:t>
            </w:r>
          </w:p>
          <w:p w14:paraId="0CA924B6" w14:textId="77777777" w:rsidR="00D337EE" w:rsidRPr="00174648" w:rsidRDefault="00D337EE" w:rsidP="008703C7">
            <w:pPr>
              <w:pStyle w:val="tabletext1"/>
              <w:spacing w:after="0"/>
              <w:ind w:left="0"/>
              <w:rPr>
                <w:rFonts w:ascii="Cambria" w:hAnsi="Cambria"/>
              </w:rPr>
            </w:pPr>
          </w:p>
        </w:tc>
        <w:tc>
          <w:tcPr>
            <w:tcW w:w="1005" w:type="pct"/>
          </w:tcPr>
          <w:p w14:paraId="4FF20161" w14:textId="77777777" w:rsidR="00D337EE" w:rsidRPr="00174648" w:rsidRDefault="00D337EE" w:rsidP="008703C7">
            <w:pPr>
              <w:pStyle w:val="tabletext1"/>
              <w:spacing w:after="0"/>
              <w:ind w:left="0"/>
              <w:rPr>
                <w:rFonts w:ascii="Cambria" w:hAnsi="Cambria"/>
              </w:rPr>
            </w:pPr>
            <w:r w:rsidRPr="00174648">
              <w:rPr>
                <w:rFonts w:ascii="Cambria" w:hAnsi="Cambria"/>
              </w:rPr>
              <w:t>overgrazing; crusting;</w:t>
            </w:r>
          </w:p>
          <w:p w14:paraId="122BC6F9" w14:textId="77777777" w:rsidR="00D337EE" w:rsidRPr="00174648" w:rsidRDefault="00D337EE" w:rsidP="008703C7">
            <w:pPr>
              <w:pStyle w:val="tabletext1"/>
              <w:spacing w:after="0"/>
              <w:ind w:left="0"/>
              <w:rPr>
                <w:rFonts w:ascii="Cambria" w:hAnsi="Cambria"/>
              </w:rPr>
            </w:pPr>
            <w:r w:rsidRPr="00174648">
              <w:rPr>
                <w:rFonts w:ascii="Cambria" w:hAnsi="Cambria"/>
              </w:rPr>
              <w:t>reduced macropores</w:t>
            </w:r>
            <w:r w:rsidRPr="00174648">
              <w:rPr>
                <w:rFonts w:ascii="Cambria" w:hAnsi="Cambria"/>
                <w:b/>
              </w:rPr>
              <w:t>*</w:t>
            </w:r>
          </w:p>
        </w:tc>
        <w:tc>
          <w:tcPr>
            <w:tcW w:w="800" w:type="pct"/>
          </w:tcPr>
          <w:p w14:paraId="347D050A" w14:textId="77777777" w:rsidR="00D337EE" w:rsidRPr="00174648" w:rsidRDefault="00D337EE" w:rsidP="008703C7">
            <w:pPr>
              <w:pStyle w:val="tabletext1"/>
              <w:spacing w:after="0"/>
              <w:ind w:left="17" w:firstLine="16"/>
              <w:rPr>
                <w:rFonts w:ascii="Cambria" w:hAnsi="Cambria"/>
              </w:rPr>
            </w:pPr>
            <w:r w:rsidRPr="00174648">
              <w:rPr>
                <w:rFonts w:ascii="Cambria" w:hAnsi="Cambria"/>
              </w:rPr>
              <w:t>water</w:t>
            </w:r>
          </w:p>
        </w:tc>
        <w:tc>
          <w:tcPr>
            <w:tcW w:w="1019" w:type="pct"/>
          </w:tcPr>
          <w:p w14:paraId="3B372E85" w14:textId="77777777" w:rsidR="00D337EE" w:rsidRPr="00174648" w:rsidRDefault="00D337EE" w:rsidP="000A7AFE">
            <w:pPr>
              <w:pStyle w:val="tabletext1"/>
              <w:spacing w:after="0"/>
              <w:ind w:left="0"/>
              <w:rPr>
                <w:rFonts w:ascii="Cambria" w:hAnsi="Cambria"/>
              </w:rPr>
            </w:pPr>
            <w:r w:rsidRPr="00174648">
              <w:rPr>
                <w:rFonts w:ascii="Cambria" w:hAnsi="Cambria"/>
              </w:rPr>
              <w:t>reduced water uptake by plant roots</w:t>
            </w:r>
          </w:p>
        </w:tc>
        <w:tc>
          <w:tcPr>
            <w:tcW w:w="1269" w:type="pct"/>
          </w:tcPr>
          <w:p w14:paraId="4F006EA5" w14:textId="77777777" w:rsidR="00D337EE" w:rsidRPr="00174648" w:rsidRDefault="00D337EE" w:rsidP="000A7AFE">
            <w:pPr>
              <w:pStyle w:val="tabletext1"/>
              <w:spacing w:after="0"/>
              <w:ind w:left="0"/>
              <w:rPr>
                <w:rFonts w:ascii="Cambria" w:hAnsi="Cambria"/>
              </w:rPr>
            </w:pPr>
            <w:r w:rsidRPr="00174648">
              <w:rPr>
                <w:rFonts w:ascii="Cambria" w:hAnsi="Cambria"/>
              </w:rPr>
              <w:t>rangelands to semi-desert</w:t>
            </w:r>
          </w:p>
        </w:tc>
      </w:tr>
      <w:tr w:rsidR="00D337EE" w14:paraId="12833301" w14:textId="77777777" w:rsidTr="001C5051">
        <w:tc>
          <w:tcPr>
            <w:tcW w:w="907" w:type="pct"/>
          </w:tcPr>
          <w:p w14:paraId="774382E9" w14:textId="77777777" w:rsidR="00D337EE" w:rsidRPr="00174648" w:rsidRDefault="00D337EE" w:rsidP="008703C7">
            <w:pPr>
              <w:pStyle w:val="tabletext1"/>
              <w:spacing w:after="0"/>
              <w:ind w:left="0"/>
              <w:rPr>
                <w:rFonts w:ascii="Cambria" w:hAnsi="Cambria"/>
              </w:rPr>
            </w:pPr>
            <w:r w:rsidRPr="00174648">
              <w:rPr>
                <w:rFonts w:ascii="Cambria" w:hAnsi="Cambria"/>
              </w:rPr>
              <w:t>eutrophication &amp; algal blooms</w:t>
            </w:r>
          </w:p>
          <w:p w14:paraId="74021868" w14:textId="77777777" w:rsidR="00D337EE" w:rsidRPr="00174648" w:rsidRDefault="00D337EE" w:rsidP="008703C7">
            <w:pPr>
              <w:pStyle w:val="tabletext1"/>
              <w:spacing w:after="0"/>
              <w:ind w:left="0"/>
              <w:rPr>
                <w:rFonts w:ascii="Cambria" w:hAnsi="Cambria"/>
              </w:rPr>
            </w:pPr>
          </w:p>
        </w:tc>
        <w:tc>
          <w:tcPr>
            <w:tcW w:w="1005" w:type="pct"/>
          </w:tcPr>
          <w:p w14:paraId="0F6F400D" w14:textId="77777777" w:rsidR="00D337EE" w:rsidRPr="00174648" w:rsidRDefault="00D337EE" w:rsidP="008703C7">
            <w:pPr>
              <w:pStyle w:val="tabletext1"/>
              <w:spacing w:after="0"/>
              <w:ind w:left="0"/>
              <w:rPr>
                <w:rFonts w:ascii="Cambria" w:hAnsi="Cambria"/>
              </w:rPr>
            </w:pPr>
            <w:r w:rsidRPr="00174648">
              <w:rPr>
                <w:rFonts w:ascii="Cambria" w:hAnsi="Cambria"/>
              </w:rPr>
              <w:t>runoff from agriculture</w:t>
            </w:r>
          </w:p>
        </w:tc>
        <w:tc>
          <w:tcPr>
            <w:tcW w:w="800" w:type="pct"/>
          </w:tcPr>
          <w:p w14:paraId="39F8E659" w14:textId="77777777" w:rsidR="00D337EE" w:rsidRPr="00174648" w:rsidRDefault="00D337EE" w:rsidP="008703C7">
            <w:pPr>
              <w:pStyle w:val="tabletext1"/>
              <w:spacing w:after="0"/>
              <w:ind w:left="17" w:firstLine="16"/>
              <w:rPr>
                <w:rFonts w:ascii="Cambria" w:hAnsi="Cambria"/>
              </w:rPr>
            </w:pPr>
            <w:r w:rsidRPr="00174648">
              <w:rPr>
                <w:rFonts w:ascii="Cambria" w:hAnsi="Cambria"/>
              </w:rPr>
              <w:t>nutrients</w:t>
            </w:r>
          </w:p>
        </w:tc>
        <w:tc>
          <w:tcPr>
            <w:tcW w:w="1019" w:type="pct"/>
          </w:tcPr>
          <w:p w14:paraId="1CA9C3F1" w14:textId="77777777" w:rsidR="00D337EE" w:rsidRPr="00174648" w:rsidRDefault="00D337EE" w:rsidP="000A7AFE">
            <w:pPr>
              <w:pStyle w:val="tabletext1"/>
              <w:spacing w:after="0"/>
              <w:ind w:left="0"/>
              <w:rPr>
                <w:rFonts w:ascii="Cambria" w:hAnsi="Cambria"/>
              </w:rPr>
            </w:pPr>
            <w:r w:rsidRPr="00174648">
              <w:rPr>
                <w:rFonts w:ascii="Cambria" w:hAnsi="Cambria"/>
              </w:rPr>
              <w:t>shifts in decomposition</w:t>
            </w:r>
          </w:p>
        </w:tc>
        <w:tc>
          <w:tcPr>
            <w:tcW w:w="1269" w:type="pct"/>
          </w:tcPr>
          <w:p w14:paraId="37CEC5B3" w14:textId="77777777" w:rsidR="00D337EE" w:rsidRPr="00174648" w:rsidRDefault="00D337EE" w:rsidP="000A7AFE">
            <w:pPr>
              <w:pStyle w:val="tabletext1"/>
              <w:spacing w:after="0"/>
              <w:ind w:left="0"/>
              <w:rPr>
                <w:rFonts w:ascii="Cambria" w:hAnsi="Cambria"/>
              </w:rPr>
            </w:pPr>
            <w:r w:rsidRPr="00174648">
              <w:rPr>
                <w:rFonts w:ascii="Cambria" w:hAnsi="Cambria"/>
              </w:rPr>
              <w:t>clear to turbid lakes/rivers, reduced aquatic biodiversity</w:t>
            </w:r>
          </w:p>
        </w:tc>
      </w:tr>
      <w:tr w:rsidR="00D337EE" w14:paraId="727D9C87" w14:textId="77777777" w:rsidTr="001C5051">
        <w:tc>
          <w:tcPr>
            <w:tcW w:w="907" w:type="pct"/>
          </w:tcPr>
          <w:p w14:paraId="4E487212" w14:textId="77777777" w:rsidR="00D337EE" w:rsidRPr="00174648" w:rsidRDefault="00D337EE" w:rsidP="008703C7">
            <w:pPr>
              <w:pStyle w:val="tabletext1"/>
              <w:spacing w:after="0"/>
              <w:ind w:left="0"/>
              <w:rPr>
                <w:rFonts w:ascii="Cambria" w:hAnsi="Cambria"/>
              </w:rPr>
            </w:pPr>
            <w:r w:rsidRPr="00174648">
              <w:rPr>
                <w:rFonts w:ascii="Cambria" w:hAnsi="Cambria"/>
              </w:rPr>
              <w:t>dryland salinity</w:t>
            </w:r>
          </w:p>
        </w:tc>
        <w:tc>
          <w:tcPr>
            <w:tcW w:w="1005" w:type="pct"/>
          </w:tcPr>
          <w:p w14:paraId="4C4D0C08" w14:textId="77777777" w:rsidR="00D337EE" w:rsidRPr="00174648" w:rsidRDefault="00D337EE" w:rsidP="008703C7">
            <w:pPr>
              <w:pStyle w:val="tabletext1"/>
              <w:spacing w:after="0"/>
              <w:ind w:left="0"/>
              <w:rPr>
                <w:rFonts w:ascii="Cambria" w:hAnsi="Cambria"/>
              </w:rPr>
            </w:pPr>
            <w:r w:rsidRPr="00174648">
              <w:rPr>
                <w:rFonts w:ascii="Cambria" w:hAnsi="Cambria"/>
              </w:rPr>
              <w:t>vegetation clearance</w:t>
            </w:r>
          </w:p>
        </w:tc>
        <w:tc>
          <w:tcPr>
            <w:tcW w:w="800" w:type="pct"/>
          </w:tcPr>
          <w:p w14:paraId="42D37389" w14:textId="77777777" w:rsidR="00D337EE" w:rsidRPr="00174648" w:rsidRDefault="00D337EE" w:rsidP="008703C7">
            <w:pPr>
              <w:pStyle w:val="tabletext1"/>
              <w:spacing w:after="0"/>
              <w:ind w:left="17" w:firstLine="16"/>
              <w:rPr>
                <w:rFonts w:ascii="Cambria" w:hAnsi="Cambria"/>
              </w:rPr>
            </w:pPr>
            <w:r w:rsidRPr="00174648">
              <w:rPr>
                <w:rFonts w:ascii="Cambria" w:hAnsi="Cambria"/>
              </w:rPr>
              <w:t>salt</w:t>
            </w:r>
          </w:p>
        </w:tc>
        <w:tc>
          <w:tcPr>
            <w:tcW w:w="1019" w:type="pct"/>
          </w:tcPr>
          <w:p w14:paraId="45042670" w14:textId="77777777" w:rsidR="00D337EE" w:rsidRPr="00174648" w:rsidRDefault="00D337EE" w:rsidP="000A7AFE">
            <w:pPr>
              <w:pStyle w:val="tabletext1"/>
              <w:spacing w:after="0"/>
              <w:ind w:left="0"/>
              <w:rPr>
                <w:rFonts w:ascii="Cambria" w:hAnsi="Cambria"/>
              </w:rPr>
            </w:pPr>
            <w:r w:rsidRPr="00174648">
              <w:rPr>
                <w:rFonts w:ascii="Cambria" w:hAnsi="Cambria"/>
              </w:rPr>
              <w:t>osmotic disruption</w:t>
            </w:r>
          </w:p>
        </w:tc>
        <w:tc>
          <w:tcPr>
            <w:tcW w:w="1269" w:type="pct"/>
          </w:tcPr>
          <w:p w14:paraId="4B435E18" w14:textId="77777777" w:rsidR="00D337EE" w:rsidRPr="00174648" w:rsidRDefault="00D337EE" w:rsidP="000A7AFE">
            <w:pPr>
              <w:pStyle w:val="tabletext1"/>
              <w:spacing w:after="0"/>
              <w:ind w:left="0"/>
              <w:rPr>
                <w:rFonts w:ascii="Cambria" w:hAnsi="Cambria"/>
              </w:rPr>
            </w:pPr>
            <w:r w:rsidRPr="00174648">
              <w:rPr>
                <w:rFonts w:ascii="Cambria" w:hAnsi="Cambria"/>
              </w:rPr>
              <w:t>woodland to chenopod shrubland</w:t>
            </w:r>
          </w:p>
        </w:tc>
      </w:tr>
      <w:tr w:rsidR="00D337EE" w14:paraId="1E42BDC5" w14:textId="77777777" w:rsidTr="001C5051">
        <w:tc>
          <w:tcPr>
            <w:tcW w:w="907" w:type="pct"/>
          </w:tcPr>
          <w:p w14:paraId="57EAD0C4" w14:textId="77777777" w:rsidR="00D337EE" w:rsidRPr="00174648" w:rsidRDefault="00D337EE" w:rsidP="008703C7">
            <w:pPr>
              <w:pStyle w:val="tabletext1"/>
              <w:spacing w:after="0"/>
              <w:ind w:left="0"/>
              <w:rPr>
                <w:rFonts w:ascii="Cambria" w:hAnsi="Cambria"/>
              </w:rPr>
            </w:pPr>
            <w:r w:rsidRPr="00174648">
              <w:rPr>
                <w:rFonts w:ascii="Cambria" w:hAnsi="Cambria"/>
              </w:rPr>
              <w:t>hypoxia</w:t>
            </w:r>
          </w:p>
        </w:tc>
        <w:tc>
          <w:tcPr>
            <w:tcW w:w="1005" w:type="pct"/>
          </w:tcPr>
          <w:p w14:paraId="6657D46E" w14:textId="77777777" w:rsidR="00D337EE" w:rsidRPr="00174648" w:rsidRDefault="00D337EE" w:rsidP="008703C7">
            <w:pPr>
              <w:pStyle w:val="tabletext1"/>
              <w:spacing w:after="0"/>
              <w:ind w:left="0"/>
              <w:rPr>
                <w:rFonts w:ascii="Cambria" w:hAnsi="Cambria"/>
              </w:rPr>
            </w:pPr>
            <w:r w:rsidRPr="00174648">
              <w:rPr>
                <w:rFonts w:ascii="Cambria" w:hAnsi="Cambria"/>
              </w:rPr>
              <w:t>runoff with high labile carbon content</w:t>
            </w:r>
          </w:p>
        </w:tc>
        <w:tc>
          <w:tcPr>
            <w:tcW w:w="800" w:type="pct"/>
          </w:tcPr>
          <w:p w14:paraId="527D6902" w14:textId="77777777" w:rsidR="00D337EE" w:rsidRPr="00174648" w:rsidRDefault="00D337EE" w:rsidP="008703C7">
            <w:pPr>
              <w:pStyle w:val="tabletext1"/>
              <w:spacing w:after="0"/>
              <w:ind w:left="17" w:firstLine="16"/>
              <w:rPr>
                <w:rFonts w:ascii="Cambria" w:hAnsi="Cambria"/>
              </w:rPr>
            </w:pPr>
            <w:r w:rsidRPr="00174648">
              <w:rPr>
                <w:rFonts w:ascii="Cambria" w:hAnsi="Cambria"/>
              </w:rPr>
              <w:t>oxygen</w:t>
            </w:r>
          </w:p>
        </w:tc>
        <w:tc>
          <w:tcPr>
            <w:tcW w:w="1019" w:type="pct"/>
          </w:tcPr>
          <w:p w14:paraId="303264E5" w14:textId="77777777" w:rsidR="00D337EE" w:rsidRPr="00174648" w:rsidRDefault="00D337EE" w:rsidP="000A7AFE">
            <w:pPr>
              <w:pStyle w:val="tabletext1"/>
              <w:spacing w:after="0"/>
              <w:ind w:left="0"/>
              <w:rPr>
                <w:rFonts w:ascii="Cambria" w:hAnsi="Cambria"/>
              </w:rPr>
            </w:pPr>
            <w:r w:rsidRPr="00174648">
              <w:rPr>
                <w:rFonts w:ascii="Cambria" w:hAnsi="Cambria"/>
              </w:rPr>
              <w:t>inhibition of aerobic respiration</w:t>
            </w:r>
          </w:p>
        </w:tc>
        <w:tc>
          <w:tcPr>
            <w:tcW w:w="1269" w:type="pct"/>
          </w:tcPr>
          <w:p w14:paraId="18555FA3" w14:textId="77777777" w:rsidR="00D337EE" w:rsidRPr="00174648" w:rsidRDefault="00D337EE" w:rsidP="000A7AFE">
            <w:pPr>
              <w:pStyle w:val="tabletext1"/>
              <w:spacing w:after="0"/>
              <w:ind w:left="0"/>
              <w:rPr>
                <w:rFonts w:ascii="Cambria" w:hAnsi="Cambria"/>
              </w:rPr>
            </w:pPr>
            <w:r w:rsidRPr="00174648">
              <w:rPr>
                <w:rFonts w:ascii="Cambria" w:hAnsi="Cambria"/>
              </w:rPr>
              <w:t>productive to unproductive estuaries</w:t>
            </w:r>
          </w:p>
        </w:tc>
      </w:tr>
      <w:tr w:rsidR="00D337EE" w14:paraId="19563A57" w14:textId="77777777" w:rsidTr="001C5051">
        <w:tc>
          <w:tcPr>
            <w:tcW w:w="907" w:type="pct"/>
          </w:tcPr>
          <w:p w14:paraId="0176E1F9" w14:textId="77777777" w:rsidR="00D337EE" w:rsidRPr="00174648" w:rsidRDefault="00D337EE" w:rsidP="008703C7">
            <w:pPr>
              <w:pStyle w:val="tabletext1"/>
              <w:spacing w:after="0"/>
              <w:ind w:left="0"/>
              <w:rPr>
                <w:rFonts w:ascii="Cambria" w:hAnsi="Cambria"/>
              </w:rPr>
            </w:pPr>
            <w:r w:rsidRPr="00174648">
              <w:rPr>
                <w:rFonts w:ascii="Cambria" w:hAnsi="Cambria"/>
              </w:rPr>
              <w:t>acid sulfate sediments</w:t>
            </w:r>
          </w:p>
          <w:p w14:paraId="48C7B1CC" w14:textId="77777777" w:rsidR="00D337EE" w:rsidRPr="00174648" w:rsidRDefault="00D337EE" w:rsidP="008703C7">
            <w:pPr>
              <w:pStyle w:val="tabletext1"/>
              <w:spacing w:after="0"/>
              <w:ind w:left="0"/>
              <w:rPr>
                <w:rFonts w:ascii="Cambria" w:hAnsi="Cambria"/>
              </w:rPr>
            </w:pPr>
          </w:p>
        </w:tc>
        <w:tc>
          <w:tcPr>
            <w:tcW w:w="1005" w:type="pct"/>
          </w:tcPr>
          <w:p w14:paraId="2FFCBC9F" w14:textId="77777777" w:rsidR="00D337EE" w:rsidRPr="00174648" w:rsidRDefault="00D337EE" w:rsidP="008703C7">
            <w:pPr>
              <w:pStyle w:val="tabletext1"/>
              <w:spacing w:after="0"/>
              <w:ind w:left="0"/>
              <w:rPr>
                <w:rFonts w:ascii="Cambria" w:hAnsi="Cambria"/>
              </w:rPr>
            </w:pPr>
            <w:r w:rsidRPr="00174648">
              <w:rPr>
                <w:rFonts w:ascii="Cambria" w:hAnsi="Cambria"/>
              </w:rPr>
              <w:t>drying, oxidisation of pyrite, re-wetting</w:t>
            </w:r>
          </w:p>
        </w:tc>
        <w:tc>
          <w:tcPr>
            <w:tcW w:w="800" w:type="pct"/>
          </w:tcPr>
          <w:p w14:paraId="0DDCF914" w14:textId="77777777" w:rsidR="00D337EE" w:rsidRPr="00174648" w:rsidRDefault="00D337EE" w:rsidP="008703C7">
            <w:pPr>
              <w:pStyle w:val="tabletext1"/>
              <w:spacing w:after="0"/>
              <w:ind w:left="17" w:firstLine="16"/>
              <w:rPr>
                <w:rFonts w:ascii="Cambria" w:hAnsi="Cambria"/>
              </w:rPr>
            </w:pPr>
            <w:r w:rsidRPr="00174648">
              <w:rPr>
                <w:rFonts w:ascii="Cambria" w:hAnsi="Cambria"/>
              </w:rPr>
              <w:t>pH</w:t>
            </w:r>
          </w:p>
        </w:tc>
        <w:tc>
          <w:tcPr>
            <w:tcW w:w="1019" w:type="pct"/>
          </w:tcPr>
          <w:p w14:paraId="714C3B85" w14:textId="77777777" w:rsidR="00D337EE" w:rsidRPr="00174648" w:rsidRDefault="00D337EE" w:rsidP="000A7AFE">
            <w:pPr>
              <w:pStyle w:val="tabletext1"/>
              <w:spacing w:after="0"/>
              <w:ind w:left="0"/>
              <w:rPr>
                <w:rFonts w:ascii="Cambria" w:hAnsi="Cambria"/>
              </w:rPr>
            </w:pPr>
            <w:r w:rsidRPr="00174648">
              <w:rPr>
                <w:rFonts w:ascii="Cambria" w:hAnsi="Cambria"/>
              </w:rPr>
              <w:t>direct cell and tissue damage</w:t>
            </w:r>
          </w:p>
        </w:tc>
        <w:tc>
          <w:tcPr>
            <w:tcW w:w="1269" w:type="pct"/>
          </w:tcPr>
          <w:p w14:paraId="1494538E" w14:textId="77777777" w:rsidR="00D337EE" w:rsidRPr="00174648" w:rsidRDefault="00D337EE" w:rsidP="000A7AFE">
            <w:pPr>
              <w:pStyle w:val="tabletext1"/>
              <w:spacing w:after="0"/>
              <w:ind w:left="0"/>
              <w:rPr>
                <w:rFonts w:ascii="Cambria" w:hAnsi="Cambria"/>
              </w:rPr>
            </w:pPr>
            <w:r w:rsidRPr="00174648">
              <w:rPr>
                <w:rFonts w:ascii="Cambria" w:hAnsi="Cambria"/>
              </w:rPr>
              <w:t>lake/river and forest degradation</w:t>
            </w:r>
          </w:p>
        </w:tc>
      </w:tr>
      <w:tr w:rsidR="00D337EE" w14:paraId="1A5AC3E2" w14:textId="77777777" w:rsidTr="001C5051">
        <w:tc>
          <w:tcPr>
            <w:tcW w:w="907" w:type="pct"/>
          </w:tcPr>
          <w:p w14:paraId="1C08E796" w14:textId="77777777" w:rsidR="00D337EE" w:rsidRPr="00174648" w:rsidRDefault="00D337EE" w:rsidP="008703C7">
            <w:pPr>
              <w:pStyle w:val="tabletext1"/>
              <w:spacing w:after="0"/>
              <w:ind w:left="0"/>
              <w:rPr>
                <w:rFonts w:ascii="Cambria" w:hAnsi="Cambria"/>
              </w:rPr>
            </w:pPr>
            <w:r w:rsidRPr="00174648">
              <w:rPr>
                <w:rFonts w:ascii="Cambria" w:hAnsi="Cambria"/>
              </w:rPr>
              <w:t>changes in fire regime</w:t>
            </w:r>
          </w:p>
          <w:p w14:paraId="1CA92003" w14:textId="77777777" w:rsidR="00D337EE" w:rsidRPr="00174648" w:rsidRDefault="00D337EE" w:rsidP="008703C7">
            <w:pPr>
              <w:pStyle w:val="tabletext1"/>
              <w:spacing w:after="0"/>
              <w:ind w:left="0"/>
              <w:rPr>
                <w:rFonts w:ascii="Cambria" w:hAnsi="Cambria"/>
              </w:rPr>
            </w:pPr>
          </w:p>
        </w:tc>
        <w:tc>
          <w:tcPr>
            <w:tcW w:w="1005" w:type="pct"/>
          </w:tcPr>
          <w:p w14:paraId="1F3DE79C" w14:textId="77777777" w:rsidR="00D337EE" w:rsidRPr="00174648" w:rsidRDefault="00D337EE" w:rsidP="008703C7">
            <w:pPr>
              <w:pStyle w:val="tabletext1"/>
              <w:spacing w:after="0"/>
              <w:ind w:left="0"/>
              <w:rPr>
                <w:rFonts w:ascii="Cambria" w:hAnsi="Cambria"/>
              </w:rPr>
            </w:pPr>
            <w:r w:rsidRPr="00174648">
              <w:rPr>
                <w:rFonts w:ascii="Cambria" w:hAnsi="Cambria"/>
              </w:rPr>
              <w:t>grazing intensity and reduced fire frequency</w:t>
            </w:r>
          </w:p>
        </w:tc>
        <w:tc>
          <w:tcPr>
            <w:tcW w:w="800" w:type="pct"/>
          </w:tcPr>
          <w:p w14:paraId="24EB2151" w14:textId="77777777" w:rsidR="00D337EE" w:rsidRPr="00174648" w:rsidRDefault="00D337EE" w:rsidP="008703C7">
            <w:pPr>
              <w:pStyle w:val="tabletext1"/>
              <w:spacing w:after="0"/>
              <w:ind w:left="17" w:firstLine="16"/>
              <w:rPr>
                <w:rFonts w:ascii="Cambria" w:hAnsi="Cambria"/>
              </w:rPr>
            </w:pPr>
            <w:r w:rsidRPr="00174648">
              <w:rPr>
                <w:rFonts w:ascii="Cambria" w:hAnsi="Cambria"/>
              </w:rPr>
              <w:t>temperature</w:t>
            </w:r>
          </w:p>
        </w:tc>
        <w:tc>
          <w:tcPr>
            <w:tcW w:w="1019" w:type="pct"/>
          </w:tcPr>
          <w:p w14:paraId="6B69EB80" w14:textId="77777777" w:rsidR="00D337EE" w:rsidRPr="00174648" w:rsidRDefault="00D337EE" w:rsidP="000A7AFE">
            <w:pPr>
              <w:pStyle w:val="tabletext1"/>
              <w:spacing w:after="0"/>
              <w:ind w:left="0"/>
              <w:rPr>
                <w:rFonts w:ascii="Cambria" w:hAnsi="Cambria"/>
              </w:rPr>
            </w:pPr>
            <w:r w:rsidRPr="00174648">
              <w:rPr>
                <w:rFonts w:ascii="Cambria" w:hAnsi="Cambria"/>
              </w:rPr>
              <w:t>succession of terrestrial shrubs</w:t>
            </w:r>
          </w:p>
        </w:tc>
        <w:tc>
          <w:tcPr>
            <w:tcW w:w="1269" w:type="pct"/>
          </w:tcPr>
          <w:p w14:paraId="597C8DDA" w14:textId="77777777" w:rsidR="00D337EE" w:rsidRPr="00174648" w:rsidRDefault="00D337EE" w:rsidP="008703C7">
            <w:pPr>
              <w:pStyle w:val="tabletext1"/>
              <w:spacing w:after="0"/>
              <w:ind w:left="17" w:firstLine="16"/>
              <w:rPr>
                <w:rFonts w:ascii="Cambria" w:hAnsi="Cambria"/>
              </w:rPr>
            </w:pPr>
            <w:r w:rsidRPr="00174648">
              <w:rPr>
                <w:rFonts w:ascii="Cambria" w:hAnsi="Cambria"/>
              </w:rPr>
              <w:t>grassland to shrubland</w:t>
            </w:r>
          </w:p>
        </w:tc>
      </w:tr>
    </w:tbl>
    <w:p w14:paraId="7D39E9DC" w14:textId="3E179B37" w:rsidR="003225B1" w:rsidRPr="00010CF7" w:rsidRDefault="009F590E" w:rsidP="00010CF7">
      <w:pPr>
        <w:pStyle w:val="singlespacebodytext"/>
        <w:ind w:left="0"/>
        <w:rPr>
          <w:szCs w:val="20"/>
        </w:rPr>
      </w:pPr>
      <w:r w:rsidRPr="00775B01">
        <w:rPr>
          <w:b/>
        </w:rPr>
        <w:t>*</w:t>
      </w:r>
      <w:r w:rsidRPr="007D397A">
        <w:rPr>
          <w:szCs w:val="20"/>
        </w:rPr>
        <w:t>In soil, macropores are defined as cavities that are larger than 75</w:t>
      </w:r>
      <w:r w:rsidR="00174648">
        <w:rPr>
          <w:szCs w:val="20"/>
        </w:rPr>
        <w:t xml:space="preserve"> </w:t>
      </w:r>
      <w:r w:rsidRPr="007D397A">
        <w:rPr>
          <w:szCs w:val="20"/>
        </w:rPr>
        <w:t xml:space="preserve">μm.  Macropores increase the </w:t>
      </w:r>
      <w:r w:rsidR="00EF02FA">
        <w:t xml:space="preserve">hydraulics </w:t>
      </w:r>
      <w:r w:rsidRPr="007D397A">
        <w:rPr>
          <w:szCs w:val="20"/>
        </w:rPr>
        <w:t xml:space="preserve">of soil, allowing water to </w:t>
      </w:r>
      <w:r w:rsidR="00EF02FA">
        <w:t xml:space="preserve">infiltrate </w:t>
      </w:r>
      <w:r w:rsidRPr="007D397A">
        <w:rPr>
          <w:szCs w:val="20"/>
        </w:rPr>
        <w:t>and</w:t>
      </w:r>
      <w:r w:rsidR="00EF02FA">
        <w:rPr>
          <w:szCs w:val="20"/>
        </w:rPr>
        <w:t xml:space="preserve"> </w:t>
      </w:r>
      <w:r w:rsidR="00EF02FA">
        <w:t>drain</w:t>
      </w:r>
      <w:r w:rsidRPr="007D397A">
        <w:rPr>
          <w:szCs w:val="20"/>
        </w:rPr>
        <w:t xml:space="preserve"> quickly, and shallow </w:t>
      </w:r>
      <w:r w:rsidR="00EF02FA">
        <w:t xml:space="preserve">groundwater </w:t>
      </w:r>
      <w:r w:rsidRPr="007D397A">
        <w:rPr>
          <w:szCs w:val="20"/>
        </w:rPr>
        <w:t>to move relatively rapidly via lateral flow.</w:t>
      </w:r>
    </w:p>
    <w:p w14:paraId="461B5030" w14:textId="77777777" w:rsidR="00EA161B" w:rsidRDefault="00EA161B" w:rsidP="008B7234"/>
    <w:p w14:paraId="6D35237C" w14:textId="7549BD6A" w:rsidR="00EA161B" w:rsidRDefault="00EA161B" w:rsidP="008B7234">
      <w:pPr>
        <w:sectPr w:rsidR="00EA161B" w:rsidSect="00AD4454">
          <w:headerReference w:type="even" r:id="rId21"/>
          <w:headerReference w:type="default" r:id="rId22"/>
          <w:footerReference w:type="even" r:id="rId23"/>
          <w:footerReference w:type="default" r:id="rId24"/>
          <w:headerReference w:type="first" r:id="rId25"/>
          <w:footerReference w:type="first" r:id="rId26"/>
          <w:pgSz w:w="11906" w:h="16838"/>
          <w:pgMar w:top="1134" w:right="1418" w:bottom="1134" w:left="1418" w:header="454" w:footer="454" w:gutter="0"/>
          <w:pgNumType w:start="1"/>
          <w:cols w:space="708"/>
          <w:docGrid w:linePitch="360"/>
        </w:sectPr>
      </w:pPr>
    </w:p>
    <w:p w14:paraId="240D8057" w14:textId="70DB6DF8" w:rsidR="00AF7553" w:rsidRPr="00671126" w:rsidRDefault="001C5051" w:rsidP="001C5051">
      <w:pPr>
        <w:pStyle w:val="Caption"/>
      </w:pPr>
      <w:bookmarkStart w:id="64" w:name="_Toc232747207"/>
      <w:bookmarkStart w:id="65" w:name="_Toc232747283"/>
      <w:bookmarkStart w:id="66" w:name="_Toc232747526"/>
      <w:r>
        <w:lastRenderedPageBreak/>
        <w:t xml:space="preserve">Table </w:t>
      </w:r>
      <w:r>
        <w:fldChar w:fldCharType="begin"/>
      </w:r>
      <w:r>
        <w:instrText xml:space="preserve"> SEQ Table \* ARABIC </w:instrText>
      </w:r>
      <w:r>
        <w:fldChar w:fldCharType="separate"/>
      </w:r>
      <w:r w:rsidR="006D35C5">
        <w:rPr>
          <w:noProof/>
        </w:rPr>
        <w:t>17</w:t>
      </w:r>
      <w:r>
        <w:fldChar w:fldCharType="end"/>
      </w:r>
      <w:r w:rsidR="00AF7553" w:rsidRPr="00F52E8E">
        <w:rPr>
          <w:szCs w:val="22"/>
        </w:rPr>
        <w:t>:</w:t>
      </w:r>
      <w:r w:rsidR="007F5B99">
        <w:t xml:space="preserve"> </w:t>
      </w:r>
      <w:r w:rsidR="00AF7553" w:rsidRPr="00F52E8E">
        <w:rPr>
          <w:bCs/>
          <w:szCs w:val="22"/>
        </w:rPr>
        <w:t>Functional</w:t>
      </w:r>
      <w:r w:rsidR="007F5B99">
        <w:rPr>
          <w:bCs/>
          <w:szCs w:val="22"/>
        </w:rPr>
        <w:t>ly Important</w:t>
      </w:r>
      <w:r w:rsidR="00AF7553" w:rsidRPr="00F52E8E">
        <w:rPr>
          <w:bCs/>
          <w:szCs w:val="22"/>
        </w:rPr>
        <w:t xml:space="preserve"> Species/Taxon Groups indicative of the </w:t>
      </w:r>
      <w:r w:rsidR="00AF7553" w:rsidRPr="007F5B99">
        <w:rPr>
          <w:bCs/>
          <w:i/>
          <w:szCs w:val="22"/>
        </w:rPr>
        <w:t>River Murray</w:t>
      </w:r>
      <w:r w:rsidR="00A32210" w:rsidRPr="007F5B99">
        <w:rPr>
          <w:bCs/>
          <w:i/>
          <w:szCs w:val="22"/>
        </w:rPr>
        <w:t xml:space="preserve">—Darling </w:t>
      </w:r>
      <w:r w:rsidR="00AF7553" w:rsidRPr="007F5B99">
        <w:rPr>
          <w:bCs/>
          <w:i/>
          <w:szCs w:val="22"/>
        </w:rPr>
        <w:t>to Sea</w:t>
      </w:r>
      <w:r w:rsidR="00AF7553" w:rsidRPr="00F52E8E">
        <w:rPr>
          <w:bCs/>
          <w:szCs w:val="22"/>
        </w:rPr>
        <w:t xml:space="preserve"> Ecological Community</w:t>
      </w:r>
      <w:bookmarkEnd w:id="64"/>
      <w:bookmarkEnd w:id="65"/>
      <w:bookmarkEnd w:id="66"/>
      <w:r w:rsidR="00F52E8E" w:rsidRPr="00F52E8E">
        <w:rPr>
          <w:szCs w:val="22"/>
        </w:rPr>
        <w:t>.</w:t>
      </w:r>
      <w:r w:rsidR="00AF7553" w:rsidRPr="0067112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4415"/>
        <w:gridCol w:w="4942"/>
        <w:gridCol w:w="2370"/>
      </w:tblGrid>
      <w:tr w:rsidR="00DF2A34" w:rsidRPr="0055753D" w14:paraId="0E8D3BE8" w14:textId="77777777" w:rsidTr="000E6894">
        <w:trPr>
          <w:tblHeader/>
        </w:trPr>
        <w:tc>
          <w:tcPr>
            <w:tcW w:w="809" w:type="pct"/>
            <w:shd w:val="clear" w:color="auto" w:fill="D9D9D9"/>
          </w:tcPr>
          <w:p w14:paraId="49D1594B" w14:textId="77777777" w:rsidR="00DF2A34" w:rsidRPr="00C637BD" w:rsidRDefault="00DF2A34" w:rsidP="00CD5901">
            <w:pPr>
              <w:pStyle w:val="tableheadertext"/>
            </w:pPr>
            <w:r w:rsidRPr="00C637BD">
              <w:t>Taxon</w:t>
            </w:r>
          </w:p>
        </w:tc>
        <w:tc>
          <w:tcPr>
            <w:tcW w:w="1578" w:type="pct"/>
            <w:shd w:val="clear" w:color="auto" w:fill="D9D9D9"/>
          </w:tcPr>
          <w:p w14:paraId="7F5B5BBF" w14:textId="77777777" w:rsidR="00DF2A34" w:rsidRPr="00C637BD" w:rsidRDefault="00DF2A34" w:rsidP="00CD5901">
            <w:pPr>
              <w:pStyle w:val="tableheadertext"/>
            </w:pPr>
            <w:r w:rsidRPr="00C637BD">
              <w:t>Functional Role</w:t>
            </w:r>
          </w:p>
        </w:tc>
        <w:tc>
          <w:tcPr>
            <w:tcW w:w="1766" w:type="pct"/>
            <w:shd w:val="clear" w:color="auto" w:fill="D9D9D9"/>
          </w:tcPr>
          <w:p w14:paraId="6EDBB5DB" w14:textId="77777777" w:rsidR="00DF2A34" w:rsidRPr="00C637BD" w:rsidRDefault="00DF2A34" w:rsidP="00CD5901">
            <w:pPr>
              <w:pStyle w:val="tableheadertext"/>
            </w:pPr>
            <w:r w:rsidRPr="00C637BD">
              <w:t>Ecological Characteristics/Requirements</w:t>
            </w:r>
          </w:p>
        </w:tc>
        <w:tc>
          <w:tcPr>
            <w:tcW w:w="847" w:type="pct"/>
            <w:shd w:val="clear" w:color="auto" w:fill="D9D9D9"/>
          </w:tcPr>
          <w:p w14:paraId="7DDC7BFB" w14:textId="77777777" w:rsidR="00DF2A34" w:rsidRPr="00C637BD" w:rsidRDefault="00DF2A34" w:rsidP="00CD5901">
            <w:pPr>
              <w:pStyle w:val="tableheadertext"/>
            </w:pPr>
            <w:r w:rsidRPr="00C637BD">
              <w:t>References</w:t>
            </w:r>
          </w:p>
        </w:tc>
      </w:tr>
      <w:tr w:rsidR="00DF2A34" w:rsidRPr="0055753D" w14:paraId="774DB89B" w14:textId="77777777" w:rsidTr="000E6894">
        <w:tc>
          <w:tcPr>
            <w:tcW w:w="809" w:type="pct"/>
            <w:shd w:val="clear" w:color="auto" w:fill="D9D9D9"/>
          </w:tcPr>
          <w:p w14:paraId="5B3FE029" w14:textId="77777777" w:rsidR="00DF2A34" w:rsidRPr="00C637BD" w:rsidRDefault="00DF2A34" w:rsidP="00CD5901">
            <w:pPr>
              <w:pStyle w:val="tableheadertext"/>
            </w:pPr>
            <w:r w:rsidRPr="00C637BD">
              <w:t>Flora</w:t>
            </w:r>
          </w:p>
        </w:tc>
        <w:tc>
          <w:tcPr>
            <w:tcW w:w="1578" w:type="pct"/>
            <w:shd w:val="clear" w:color="auto" w:fill="D9D9D9"/>
          </w:tcPr>
          <w:p w14:paraId="3C877D88" w14:textId="77777777" w:rsidR="00DF2A34" w:rsidRPr="000D4911" w:rsidRDefault="00DF2A34" w:rsidP="00CD5901">
            <w:pPr>
              <w:pStyle w:val="tableheadertext"/>
            </w:pPr>
          </w:p>
        </w:tc>
        <w:tc>
          <w:tcPr>
            <w:tcW w:w="1766" w:type="pct"/>
            <w:shd w:val="clear" w:color="auto" w:fill="D9D9D9"/>
          </w:tcPr>
          <w:p w14:paraId="34E78ED1" w14:textId="77777777" w:rsidR="00DF2A34" w:rsidRPr="000D4911" w:rsidRDefault="00DF2A34" w:rsidP="00CD5901">
            <w:pPr>
              <w:pStyle w:val="tableheadertext"/>
            </w:pPr>
          </w:p>
        </w:tc>
        <w:tc>
          <w:tcPr>
            <w:tcW w:w="847" w:type="pct"/>
            <w:shd w:val="clear" w:color="auto" w:fill="D9D9D9"/>
          </w:tcPr>
          <w:p w14:paraId="325EBB8C" w14:textId="77777777" w:rsidR="00DF2A34" w:rsidRPr="000D4911" w:rsidRDefault="00DF2A34" w:rsidP="00CD5901">
            <w:pPr>
              <w:pStyle w:val="tableheadertext"/>
            </w:pPr>
          </w:p>
        </w:tc>
      </w:tr>
      <w:tr w:rsidR="00DF2A34" w:rsidRPr="0055753D" w14:paraId="269FC277" w14:textId="77777777" w:rsidTr="000E6894">
        <w:tc>
          <w:tcPr>
            <w:tcW w:w="809" w:type="pct"/>
          </w:tcPr>
          <w:p w14:paraId="7BB00ED6" w14:textId="77777777" w:rsidR="00DF2A34" w:rsidRPr="00C637BD" w:rsidRDefault="00DF2A34" w:rsidP="00891625">
            <w:pPr>
              <w:spacing w:after="0"/>
              <w:ind w:left="34"/>
              <w:rPr>
                <w:b/>
              </w:rPr>
            </w:pPr>
            <w:r w:rsidRPr="00C637BD">
              <w:rPr>
                <w:b/>
              </w:rPr>
              <w:t>River red gum</w:t>
            </w:r>
          </w:p>
          <w:p w14:paraId="2C3623C0" w14:textId="77777777" w:rsidR="00DF2A34" w:rsidRPr="00C637BD" w:rsidRDefault="00DF2A34" w:rsidP="00891625">
            <w:pPr>
              <w:spacing w:after="0"/>
              <w:ind w:left="34"/>
              <w:rPr>
                <w:i/>
              </w:rPr>
            </w:pPr>
            <w:r w:rsidRPr="00C637BD">
              <w:rPr>
                <w:i/>
              </w:rPr>
              <w:t>Eucalyptus camaldulensis</w:t>
            </w:r>
          </w:p>
        </w:tc>
        <w:tc>
          <w:tcPr>
            <w:tcW w:w="1578" w:type="pct"/>
          </w:tcPr>
          <w:p w14:paraId="340647E7" w14:textId="77777777" w:rsidR="00DF2A34" w:rsidRPr="000D4911" w:rsidRDefault="00DF2A34" w:rsidP="0012104E">
            <w:pPr>
              <w:pStyle w:val="ListBullet"/>
              <w:numPr>
                <w:ilvl w:val="0"/>
                <w:numId w:val="25"/>
              </w:numPr>
              <w:spacing w:after="0"/>
              <w:rPr>
                <w:sz w:val="20"/>
                <w:szCs w:val="20"/>
              </w:rPr>
            </w:pPr>
            <w:r w:rsidRPr="000D4911">
              <w:rPr>
                <w:sz w:val="20"/>
                <w:szCs w:val="20"/>
              </w:rPr>
              <w:t>perennial, single stemmed, large-boled, medium to tall tree up to 45 m</w:t>
            </w:r>
          </w:p>
          <w:p w14:paraId="700149DF" w14:textId="54679DA4" w:rsidR="00DF2A34" w:rsidRPr="000D4911" w:rsidRDefault="00DF2A34" w:rsidP="0012104E">
            <w:pPr>
              <w:pStyle w:val="ListBullet"/>
              <w:numPr>
                <w:ilvl w:val="0"/>
                <w:numId w:val="25"/>
              </w:numPr>
              <w:spacing w:after="0"/>
              <w:rPr>
                <w:sz w:val="20"/>
                <w:szCs w:val="20"/>
              </w:rPr>
            </w:pPr>
            <w:r w:rsidRPr="000D4911">
              <w:rPr>
                <w:sz w:val="20"/>
                <w:szCs w:val="20"/>
              </w:rPr>
              <w:t xml:space="preserve">provides </w:t>
            </w:r>
            <w:r w:rsidR="0005720E" w:rsidRPr="000D4911">
              <w:rPr>
                <w:sz w:val="20"/>
                <w:szCs w:val="20"/>
              </w:rPr>
              <w:t>feeding</w:t>
            </w:r>
            <w:r w:rsidRPr="000D4911">
              <w:rPr>
                <w:sz w:val="20"/>
                <w:szCs w:val="20"/>
              </w:rPr>
              <w:t xml:space="preserve"> &amp; shelter </w:t>
            </w:r>
            <w:r w:rsidR="0083001F" w:rsidRPr="000D4911">
              <w:rPr>
                <w:sz w:val="20"/>
                <w:szCs w:val="20"/>
              </w:rPr>
              <w:t xml:space="preserve">habitat </w:t>
            </w:r>
            <w:r w:rsidRPr="000D4911">
              <w:rPr>
                <w:sz w:val="20"/>
                <w:szCs w:val="20"/>
              </w:rPr>
              <w:t>for a wide variety of fauna, e.g. mammals, birds, reptiles, in</w:t>
            </w:r>
            <w:r w:rsidR="003261C9" w:rsidRPr="000D4911">
              <w:rPr>
                <w:sz w:val="20"/>
                <w:szCs w:val="20"/>
              </w:rPr>
              <w:t>vertebrates</w:t>
            </w:r>
          </w:p>
          <w:p w14:paraId="7C7BF1DC" w14:textId="16468658" w:rsidR="00DF2A34" w:rsidRPr="000D4911" w:rsidRDefault="00DF2A34" w:rsidP="0012104E">
            <w:pPr>
              <w:pStyle w:val="ListBullet"/>
              <w:numPr>
                <w:ilvl w:val="0"/>
                <w:numId w:val="25"/>
              </w:numPr>
              <w:spacing w:after="0"/>
              <w:rPr>
                <w:sz w:val="20"/>
                <w:szCs w:val="20"/>
              </w:rPr>
            </w:pPr>
            <w:r w:rsidRPr="000D4911">
              <w:rPr>
                <w:sz w:val="20"/>
                <w:szCs w:val="20"/>
              </w:rPr>
              <w:t xml:space="preserve">contributes to instream production and habitat structure (e.g. </w:t>
            </w:r>
            <w:r w:rsidR="00516F38" w:rsidRPr="000D4911">
              <w:rPr>
                <w:sz w:val="20"/>
                <w:szCs w:val="20"/>
              </w:rPr>
              <w:t xml:space="preserve">debris, ponds, </w:t>
            </w:r>
            <w:r w:rsidRPr="000D4911">
              <w:rPr>
                <w:sz w:val="20"/>
                <w:szCs w:val="20"/>
              </w:rPr>
              <w:t>snags, leaf litter; biofilms)</w:t>
            </w:r>
          </w:p>
          <w:p w14:paraId="39FA7CE2" w14:textId="085CA44A" w:rsidR="00DF2A34" w:rsidRPr="000D4911" w:rsidRDefault="00DF2A34" w:rsidP="0083001F">
            <w:pPr>
              <w:pStyle w:val="ListBullet"/>
              <w:numPr>
                <w:ilvl w:val="0"/>
                <w:numId w:val="25"/>
              </w:numPr>
              <w:spacing w:after="0"/>
              <w:rPr>
                <w:sz w:val="20"/>
                <w:szCs w:val="20"/>
              </w:rPr>
            </w:pPr>
            <w:r w:rsidRPr="000D4911">
              <w:rPr>
                <w:sz w:val="20"/>
                <w:szCs w:val="20"/>
              </w:rPr>
              <w:t>contributes to nutrient recycling</w:t>
            </w:r>
          </w:p>
          <w:p w14:paraId="5995BC99" w14:textId="77777777" w:rsidR="00DF2A34" w:rsidRPr="000D4911" w:rsidRDefault="00DF2A34" w:rsidP="0012104E">
            <w:pPr>
              <w:pStyle w:val="ListBullet"/>
              <w:numPr>
                <w:ilvl w:val="0"/>
                <w:numId w:val="25"/>
              </w:numPr>
              <w:spacing w:after="0"/>
              <w:rPr>
                <w:sz w:val="20"/>
                <w:szCs w:val="20"/>
              </w:rPr>
            </w:pPr>
            <w:r w:rsidRPr="000D4911">
              <w:rPr>
                <w:sz w:val="20"/>
                <w:szCs w:val="20"/>
              </w:rPr>
              <w:t>contributes to soil-water balance on floodplain</w:t>
            </w:r>
          </w:p>
        </w:tc>
        <w:tc>
          <w:tcPr>
            <w:tcW w:w="1766" w:type="pct"/>
          </w:tcPr>
          <w:p w14:paraId="607112E5" w14:textId="2356E249"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relatively long lived - up to </w:t>
            </w:r>
            <w:r w:rsidR="0005720E" w:rsidRPr="000D4911">
              <w:rPr>
                <w:sz w:val="20"/>
                <w:szCs w:val="20"/>
              </w:rPr>
              <w:t>950</w:t>
            </w:r>
            <w:r w:rsidRPr="000D4911">
              <w:rPr>
                <w:sz w:val="20"/>
                <w:szCs w:val="20"/>
              </w:rPr>
              <w:t xml:space="preserve"> years.</w:t>
            </w:r>
          </w:p>
          <w:p w14:paraId="6CEEC8CF" w14:textId="60D87D9A"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prefers close proximity to permanent fresh water</w:t>
            </w:r>
          </w:p>
          <w:p w14:paraId="1F9AA370" w14:textId="58D88F5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high water</w:t>
            </w:r>
            <w:r w:rsidR="00A6570A" w:rsidRPr="000D4911">
              <w:rPr>
                <w:sz w:val="20"/>
                <w:szCs w:val="20"/>
              </w:rPr>
              <w:t xml:space="preserve"> demand</w:t>
            </w:r>
            <w:r w:rsidRPr="000D4911">
              <w:rPr>
                <w:sz w:val="20"/>
                <w:szCs w:val="20"/>
              </w:rPr>
              <w:t xml:space="preserve"> (limited stomatal control if soil deficit</w:t>
            </w:r>
            <w:r w:rsidR="00A6570A" w:rsidRPr="000D4911">
              <w:rPr>
                <w:sz w:val="20"/>
                <w:szCs w:val="20"/>
              </w:rPr>
              <w:t>)</w:t>
            </w:r>
            <w:r w:rsidRPr="000D4911">
              <w:rPr>
                <w:sz w:val="20"/>
                <w:szCs w:val="20"/>
              </w:rPr>
              <w:t>; survival dependent on water availability (e.g. have extensive roots and can depend on groundwater if &lt; 40 dSm-1)</w:t>
            </w:r>
          </w:p>
          <w:p w14:paraId="0A7CCB72" w14:textId="720B183D" w:rsidR="00DF2A34" w:rsidRPr="000D4911" w:rsidRDefault="00C4445A" w:rsidP="0012104E">
            <w:pPr>
              <w:pStyle w:val="ListBullet"/>
              <w:numPr>
                <w:ilvl w:val="0"/>
                <w:numId w:val="25"/>
              </w:numPr>
              <w:tabs>
                <w:tab w:val="num" w:pos="360"/>
              </w:tabs>
              <w:spacing w:after="0"/>
              <w:rPr>
                <w:sz w:val="20"/>
                <w:szCs w:val="20"/>
              </w:rPr>
            </w:pPr>
            <w:r w:rsidRPr="000D4911">
              <w:rPr>
                <w:sz w:val="20"/>
                <w:szCs w:val="20"/>
              </w:rPr>
              <w:t>environmental water requirements (</w:t>
            </w:r>
            <w:r w:rsidR="00DF2A34" w:rsidRPr="000D4911">
              <w:rPr>
                <w:sz w:val="20"/>
                <w:szCs w:val="20"/>
              </w:rPr>
              <w:t>flooding</w:t>
            </w:r>
            <w:r w:rsidRPr="000D4911">
              <w:rPr>
                <w:sz w:val="20"/>
                <w:szCs w:val="20"/>
              </w:rPr>
              <w:t xml:space="preserve">): </w:t>
            </w:r>
            <w:r w:rsidR="008F5BB7" w:rsidRPr="000D4911">
              <w:rPr>
                <w:sz w:val="20"/>
                <w:szCs w:val="20"/>
              </w:rPr>
              <w:t>D</w:t>
            </w:r>
            <w:r w:rsidRPr="000D4911">
              <w:rPr>
                <w:sz w:val="20"/>
                <w:szCs w:val="20"/>
              </w:rPr>
              <w:t xml:space="preserve">uration </w:t>
            </w:r>
            <w:r w:rsidR="005E17D9" w:rsidRPr="000D4911">
              <w:rPr>
                <w:sz w:val="20"/>
                <w:szCs w:val="20"/>
              </w:rPr>
              <w:t xml:space="preserve">1-4 months, &lt;2 y; Timing spring-early summer; </w:t>
            </w:r>
            <w:r w:rsidR="006A6225" w:rsidRPr="000D4911">
              <w:rPr>
                <w:sz w:val="20"/>
                <w:szCs w:val="20"/>
              </w:rPr>
              <w:t>Frequency 1-4 y; Max. interval 5-7 y</w:t>
            </w:r>
            <w:r w:rsidR="00DF2A34" w:rsidRPr="000D4911">
              <w:rPr>
                <w:sz w:val="20"/>
                <w:szCs w:val="20"/>
              </w:rPr>
              <w:t xml:space="preserve"> </w:t>
            </w:r>
          </w:p>
          <w:p w14:paraId="5AC9DD1F" w14:textId="2DFD3DF4" w:rsidR="008F5BB7" w:rsidRPr="000D4911" w:rsidRDefault="00CF2AFB" w:rsidP="0012104E">
            <w:pPr>
              <w:pStyle w:val="ListBullet"/>
              <w:numPr>
                <w:ilvl w:val="0"/>
                <w:numId w:val="25"/>
              </w:numPr>
              <w:tabs>
                <w:tab w:val="num" w:pos="360"/>
              </w:tabs>
              <w:spacing w:after="0"/>
              <w:rPr>
                <w:sz w:val="20"/>
                <w:szCs w:val="20"/>
              </w:rPr>
            </w:pPr>
            <w:r w:rsidRPr="000D4911">
              <w:rPr>
                <w:sz w:val="20"/>
                <w:szCs w:val="20"/>
              </w:rPr>
              <w:t>inundation &gt; 2-4 y likely to cause tree death</w:t>
            </w:r>
          </w:p>
          <w:p w14:paraId="70957A0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seed production, germination and recruitment promoted by flooding (e.g. summer watering reinforces bud set, flowering &amp; germination during peak seed rain from aerial seed banks)</w:t>
            </w:r>
          </w:p>
          <w:p w14:paraId="31773F6D" w14:textId="2D42E3CA" w:rsidR="006A6225" w:rsidRPr="000D4911" w:rsidRDefault="00DF2A34" w:rsidP="006A6225">
            <w:pPr>
              <w:pStyle w:val="ListBullet"/>
              <w:numPr>
                <w:ilvl w:val="0"/>
                <w:numId w:val="25"/>
              </w:numPr>
              <w:tabs>
                <w:tab w:val="num" w:pos="360"/>
              </w:tabs>
              <w:spacing w:after="0"/>
              <w:rPr>
                <w:sz w:val="20"/>
                <w:szCs w:val="20"/>
              </w:rPr>
            </w:pPr>
            <w:r w:rsidRPr="000D4911">
              <w:rPr>
                <w:sz w:val="20"/>
                <w:szCs w:val="20"/>
              </w:rPr>
              <w:t xml:space="preserve">flood duration </w:t>
            </w:r>
            <w:r w:rsidR="003F34AF" w:rsidRPr="000D4911">
              <w:rPr>
                <w:sz w:val="20"/>
                <w:szCs w:val="20"/>
              </w:rPr>
              <w:t xml:space="preserve">of </w:t>
            </w:r>
            <w:r w:rsidRPr="000D4911">
              <w:rPr>
                <w:sz w:val="20"/>
                <w:szCs w:val="20"/>
              </w:rPr>
              <w:t xml:space="preserve">4–7 months </w:t>
            </w:r>
            <w:r w:rsidR="003F34AF" w:rsidRPr="000D4911">
              <w:rPr>
                <w:sz w:val="20"/>
                <w:szCs w:val="20"/>
              </w:rPr>
              <w:t>for</w:t>
            </w:r>
            <w:r w:rsidR="001964B3" w:rsidRPr="000D4911">
              <w:rPr>
                <w:sz w:val="20"/>
                <w:szCs w:val="20"/>
              </w:rPr>
              <w:t xml:space="preserve"> seed </w:t>
            </w:r>
            <w:r w:rsidR="00893D94" w:rsidRPr="000D4911">
              <w:rPr>
                <w:sz w:val="20"/>
                <w:szCs w:val="20"/>
              </w:rPr>
              <w:t>germination</w:t>
            </w:r>
          </w:p>
        </w:tc>
        <w:tc>
          <w:tcPr>
            <w:tcW w:w="847" w:type="pct"/>
          </w:tcPr>
          <w:p w14:paraId="46C90D31" w14:textId="2C6F0980" w:rsidR="00DF2A34" w:rsidRPr="000D4911" w:rsidRDefault="00DF2A34" w:rsidP="00FE38B4">
            <w:pPr>
              <w:pStyle w:val="TableText0"/>
              <w:rPr>
                <w:sz w:val="20"/>
                <w:szCs w:val="20"/>
              </w:rPr>
            </w:pPr>
            <w:r w:rsidRPr="000D4911">
              <w:rPr>
                <w:sz w:val="20"/>
                <w:szCs w:val="20"/>
              </w:rPr>
              <w:t xml:space="preserve">White et al. 2000; George et al., 2005; Jensen et al., 2007; Jensen 2008; Newall et al., 2009; </w:t>
            </w:r>
            <w:r w:rsidR="000966E6" w:rsidRPr="000D4911">
              <w:rPr>
                <w:sz w:val="20"/>
                <w:szCs w:val="20"/>
              </w:rPr>
              <w:t xml:space="preserve">Roberts &amp; Marston 2011; </w:t>
            </w:r>
            <w:r w:rsidRPr="000D4911">
              <w:rPr>
                <w:sz w:val="20"/>
                <w:szCs w:val="20"/>
              </w:rPr>
              <w:t>Rogers and Ralph 2011 (and references therein)</w:t>
            </w:r>
            <w:r w:rsidR="00A7787D" w:rsidRPr="000D4911">
              <w:rPr>
                <w:sz w:val="20"/>
                <w:szCs w:val="20"/>
              </w:rPr>
              <w:t xml:space="preserve">; Doody et al. </w:t>
            </w:r>
            <w:r w:rsidR="002A5E09" w:rsidRPr="000D4911">
              <w:rPr>
                <w:sz w:val="20"/>
                <w:szCs w:val="20"/>
              </w:rPr>
              <w:t>2014</w:t>
            </w:r>
            <w:r w:rsidR="00EA7A92" w:rsidRPr="000D4911">
              <w:rPr>
                <w:sz w:val="20"/>
                <w:szCs w:val="20"/>
              </w:rPr>
              <w:t>, 2015</w:t>
            </w:r>
            <w:r w:rsidR="00874C46" w:rsidRPr="000D4911">
              <w:rPr>
                <w:sz w:val="20"/>
                <w:szCs w:val="20"/>
              </w:rPr>
              <w:t>, 2023</w:t>
            </w:r>
            <w:r w:rsidR="002C4C78" w:rsidRPr="000D4911">
              <w:rPr>
                <w:sz w:val="20"/>
                <w:szCs w:val="20"/>
              </w:rPr>
              <w:t xml:space="preserve">; Kilsby &amp; Steggles 2015; </w:t>
            </w:r>
            <w:r w:rsidR="00381636" w:rsidRPr="000D4911">
              <w:rPr>
                <w:sz w:val="20"/>
                <w:szCs w:val="20"/>
              </w:rPr>
              <w:t xml:space="preserve">Overton et al. 2018; </w:t>
            </w:r>
            <w:r w:rsidR="0056366C" w:rsidRPr="000D4911">
              <w:rPr>
                <w:sz w:val="20"/>
                <w:szCs w:val="20"/>
              </w:rPr>
              <w:t>DEW 2020c, 2023b, 2024; Stoltefaut et al. 2024</w:t>
            </w:r>
            <w:r w:rsidRPr="000D4911">
              <w:rPr>
                <w:sz w:val="20"/>
                <w:szCs w:val="20"/>
              </w:rPr>
              <w:t>.</w:t>
            </w:r>
          </w:p>
          <w:p w14:paraId="2A0BED6A" w14:textId="77777777" w:rsidR="00DF2A34" w:rsidRPr="000D4911" w:rsidRDefault="00DF2A34" w:rsidP="00891625">
            <w:pPr>
              <w:spacing w:after="0"/>
              <w:rPr>
                <w:sz w:val="20"/>
                <w:szCs w:val="20"/>
              </w:rPr>
            </w:pPr>
          </w:p>
        </w:tc>
      </w:tr>
      <w:tr w:rsidR="00DF2A34" w:rsidRPr="0055753D" w14:paraId="4890EFC6" w14:textId="77777777" w:rsidTr="000E6894">
        <w:tc>
          <w:tcPr>
            <w:tcW w:w="809" w:type="pct"/>
          </w:tcPr>
          <w:p w14:paraId="59F42998" w14:textId="77777777" w:rsidR="00DF2A34" w:rsidRPr="00C637BD" w:rsidRDefault="00DF2A34" w:rsidP="00891625">
            <w:pPr>
              <w:spacing w:after="0"/>
              <w:ind w:left="34"/>
              <w:rPr>
                <w:b/>
              </w:rPr>
            </w:pPr>
            <w:r w:rsidRPr="00C637BD">
              <w:rPr>
                <w:b/>
              </w:rPr>
              <w:t>Black box</w:t>
            </w:r>
          </w:p>
          <w:p w14:paraId="06EC884F" w14:textId="77777777" w:rsidR="00DF2A34" w:rsidRPr="00C637BD" w:rsidRDefault="00DF2A34" w:rsidP="00891625">
            <w:pPr>
              <w:spacing w:after="0"/>
              <w:ind w:left="34"/>
              <w:rPr>
                <w:i/>
              </w:rPr>
            </w:pPr>
            <w:r w:rsidRPr="00C637BD">
              <w:rPr>
                <w:i/>
              </w:rPr>
              <w:t>Eucalyptus largiflorens</w:t>
            </w:r>
          </w:p>
        </w:tc>
        <w:tc>
          <w:tcPr>
            <w:tcW w:w="1578" w:type="pct"/>
          </w:tcPr>
          <w:p w14:paraId="3B35FB3E" w14:textId="77777777" w:rsidR="00DF2A34" w:rsidRPr="000D4911" w:rsidRDefault="00DF2A34" w:rsidP="0012104E">
            <w:pPr>
              <w:pStyle w:val="ListBullet"/>
              <w:numPr>
                <w:ilvl w:val="0"/>
                <w:numId w:val="25"/>
              </w:numPr>
              <w:spacing w:after="0"/>
              <w:rPr>
                <w:sz w:val="20"/>
                <w:szCs w:val="20"/>
              </w:rPr>
            </w:pPr>
            <w:r w:rsidRPr="000D4911">
              <w:rPr>
                <w:sz w:val="20"/>
                <w:szCs w:val="20"/>
              </w:rPr>
              <w:t>single stemmed tree up to 20 m (becomes twisted under drier conditions)</w:t>
            </w:r>
          </w:p>
          <w:p w14:paraId="20F44A60" w14:textId="77777777" w:rsidR="00DF2A34" w:rsidRPr="000D4911" w:rsidRDefault="00DF2A34" w:rsidP="0012104E">
            <w:pPr>
              <w:pStyle w:val="ListBullet"/>
              <w:numPr>
                <w:ilvl w:val="0"/>
                <w:numId w:val="25"/>
              </w:numPr>
              <w:spacing w:after="0"/>
              <w:rPr>
                <w:sz w:val="20"/>
                <w:szCs w:val="20"/>
              </w:rPr>
            </w:pPr>
            <w:r w:rsidRPr="000D4911">
              <w:rPr>
                <w:sz w:val="20"/>
                <w:szCs w:val="20"/>
              </w:rPr>
              <w:t>provides habitat &amp; shelter for a range of fauna, e.g. mammals, reptiles, insects</w:t>
            </w:r>
          </w:p>
          <w:p w14:paraId="56D5F7FA" w14:textId="526C540C" w:rsidR="00DF2A34" w:rsidRPr="000D4911" w:rsidRDefault="00DF2A34" w:rsidP="00A6570A">
            <w:pPr>
              <w:pStyle w:val="ListBullet"/>
              <w:numPr>
                <w:ilvl w:val="0"/>
                <w:numId w:val="25"/>
              </w:numPr>
              <w:spacing w:after="0"/>
              <w:rPr>
                <w:sz w:val="20"/>
                <w:szCs w:val="20"/>
              </w:rPr>
            </w:pPr>
            <w:r w:rsidRPr="000D4911">
              <w:rPr>
                <w:sz w:val="20"/>
                <w:szCs w:val="20"/>
              </w:rPr>
              <w:t>contributes to nutrient recycling</w:t>
            </w:r>
          </w:p>
          <w:p w14:paraId="69970703" w14:textId="77777777" w:rsidR="00DF2A34" w:rsidRPr="000D4911" w:rsidRDefault="00DF2A34" w:rsidP="0012104E">
            <w:pPr>
              <w:pStyle w:val="ListBullet"/>
              <w:numPr>
                <w:ilvl w:val="0"/>
                <w:numId w:val="25"/>
              </w:numPr>
              <w:spacing w:after="0"/>
              <w:rPr>
                <w:sz w:val="20"/>
                <w:szCs w:val="20"/>
              </w:rPr>
            </w:pPr>
            <w:r w:rsidRPr="000D4911">
              <w:rPr>
                <w:sz w:val="20"/>
                <w:szCs w:val="20"/>
              </w:rPr>
              <w:t>contributes to soil-water balance on floodplain</w:t>
            </w:r>
          </w:p>
        </w:tc>
        <w:tc>
          <w:tcPr>
            <w:tcW w:w="1766" w:type="pct"/>
          </w:tcPr>
          <w:p w14:paraId="61F4EC15" w14:textId="045F38D6"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generally</w:t>
            </w:r>
            <w:r w:rsidR="006353DD" w:rsidRPr="000D4911">
              <w:rPr>
                <w:sz w:val="20"/>
                <w:szCs w:val="20"/>
              </w:rPr>
              <w:t>,</w:t>
            </w:r>
            <w:r w:rsidRPr="000D4911">
              <w:rPr>
                <w:sz w:val="20"/>
                <w:szCs w:val="20"/>
              </w:rPr>
              <w:t xml:space="preserve"> marks outer limits of larger floods and higher levels on floodplain</w:t>
            </w:r>
          </w:p>
          <w:p w14:paraId="0C11D459" w14:textId="0B206FC6" w:rsidR="00DF2A34" w:rsidRPr="000D4911" w:rsidRDefault="0039003B" w:rsidP="0012104E">
            <w:pPr>
              <w:pStyle w:val="ListBullet"/>
              <w:numPr>
                <w:ilvl w:val="0"/>
                <w:numId w:val="25"/>
              </w:numPr>
              <w:tabs>
                <w:tab w:val="num" w:pos="360"/>
              </w:tabs>
              <w:spacing w:after="0"/>
              <w:rPr>
                <w:sz w:val="20"/>
                <w:szCs w:val="20"/>
              </w:rPr>
            </w:pPr>
            <w:r w:rsidRPr="000D4911">
              <w:rPr>
                <w:sz w:val="20"/>
                <w:szCs w:val="20"/>
              </w:rPr>
              <w:t xml:space="preserve">more </w:t>
            </w:r>
            <w:r w:rsidR="00466954" w:rsidRPr="000D4911">
              <w:rPr>
                <w:sz w:val="20"/>
                <w:szCs w:val="20"/>
              </w:rPr>
              <w:t xml:space="preserve">drought </w:t>
            </w:r>
            <w:r w:rsidRPr="000D4911">
              <w:rPr>
                <w:sz w:val="20"/>
                <w:szCs w:val="20"/>
              </w:rPr>
              <w:t>tolerant</w:t>
            </w:r>
            <w:r w:rsidR="00466954" w:rsidRPr="000D4911">
              <w:rPr>
                <w:sz w:val="20"/>
                <w:szCs w:val="20"/>
              </w:rPr>
              <w:t xml:space="preserve"> than river red gum, but </w:t>
            </w:r>
            <w:r w:rsidR="00DF2A34" w:rsidRPr="000D4911">
              <w:rPr>
                <w:sz w:val="20"/>
                <w:szCs w:val="20"/>
              </w:rPr>
              <w:t xml:space="preserve">survival dependent on water </w:t>
            </w:r>
          </w:p>
          <w:p w14:paraId="40CECAEE" w14:textId="187A58FE" w:rsidR="008733A3" w:rsidRPr="000D4911" w:rsidRDefault="008733A3" w:rsidP="00490D77">
            <w:pPr>
              <w:pStyle w:val="ListBullet"/>
              <w:numPr>
                <w:ilvl w:val="0"/>
                <w:numId w:val="25"/>
              </w:numPr>
              <w:tabs>
                <w:tab w:val="num" w:pos="360"/>
              </w:tabs>
              <w:spacing w:after="0"/>
              <w:rPr>
                <w:sz w:val="20"/>
                <w:szCs w:val="20"/>
              </w:rPr>
            </w:pPr>
            <w:r w:rsidRPr="000D4911">
              <w:rPr>
                <w:sz w:val="20"/>
                <w:szCs w:val="20"/>
              </w:rPr>
              <w:t>prefers areas that are intermittently flooded, supplemented by other water sources (rainfall, groundwater)</w:t>
            </w:r>
          </w:p>
          <w:p w14:paraId="1BC8168C" w14:textId="0C558611" w:rsidR="00490D77" w:rsidRPr="000D4911" w:rsidRDefault="00490D77" w:rsidP="00490D77">
            <w:pPr>
              <w:pStyle w:val="ListBullet"/>
              <w:numPr>
                <w:ilvl w:val="0"/>
                <w:numId w:val="25"/>
              </w:numPr>
              <w:tabs>
                <w:tab w:val="num" w:pos="360"/>
              </w:tabs>
              <w:spacing w:after="0"/>
              <w:rPr>
                <w:sz w:val="20"/>
                <w:szCs w:val="20"/>
              </w:rPr>
            </w:pPr>
            <w:r w:rsidRPr="000D4911">
              <w:rPr>
                <w:sz w:val="20"/>
                <w:szCs w:val="20"/>
              </w:rPr>
              <w:t>groundwater a potential alternative water source (depending on salinity, &lt; 40 dSm-1)</w:t>
            </w:r>
          </w:p>
          <w:p w14:paraId="230C1155" w14:textId="21C4F3C2"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flooding requirements: 1 year in 7</w:t>
            </w:r>
            <w:r w:rsidR="00F37C01" w:rsidRPr="000D4911">
              <w:rPr>
                <w:sz w:val="20"/>
                <w:szCs w:val="20"/>
              </w:rPr>
              <w:t>–</w:t>
            </w:r>
            <w:r w:rsidRPr="000D4911">
              <w:rPr>
                <w:sz w:val="20"/>
                <w:szCs w:val="20"/>
              </w:rPr>
              <w:t>10 y, 2-3 y in succession every 30 years (timing not critical)</w:t>
            </w:r>
          </w:p>
          <w:p w14:paraId="70D21925" w14:textId="77777777" w:rsidR="00FC13C5" w:rsidRPr="000D4911" w:rsidRDefault="00DF2A34" w:rsidP="0012104E">
            <w:pPr>
              <w:pStyle w:val="ListBullet"/>
              <w:numPr>
                <w:ilvl w:val="0"/>
                <w:numId w:val="25"/>
              </w:numPr>
              <w:tabs>
                <w:tab w:val="num" w:pos="360"/>
              </w:tabs>
              <w:spacing w:after="0"/>
              <w:rPr>
                <w:sz w:val="20"/>
                <w:szCs w:val="20"/>
              </w:rPr>
            </w:pPr>
            <w:r w:rsidRPr="000D4911">
              <w:rPr>
                <w:sz w:val="20"/>
                <w:szCs w:val="20"/>
              </w:rPr>
              <w:t>flooding duration needed 2–4 months for reproduction, longer may compromise reproduction and vigour</w:t>
            </w:r>
          </w:p>
          <w:p w14:paraId="2101A9CC" w14:textId="658FFF9B" w:rsidR="00DF2A34" w:rsidRPr="000D4911" w:rsidRDefault="00675B50" w:rsidP="0012104E">
            <w:pPr>
              <w:pStyle w:val="ListBullet"/>
              <w:numPr>
                <w:ilvl w:val="0"/>
                <w:numId w:val="25"/>
              </w:numPr>
              <w:tabs>
                <w:tab w:val="num" w:pos="360"/>
              </w:tabs>
              <w:spacing w:after="0"/>
              <w:rPr>
                <w:sz w:val="20"/>
                <w:szCs w:val="20"/>
              </w:rPr>
            </w:pPr>
            <w:r w:rsidRPr="000D4911">
              <w:rPr>
                <w:sz w:val="20"/>
                <w:szCs w:val="20"/>
              </w:rPr>
              <w:t xml:space="preserve">cannot take </w:t>
            </w:r>
            <w:r w:rsidR="00FC13C5" w:rsidRPr="000D4911">
              <w:rPr>
                <w:sz w:val="20"/>
                <w:szCs w:val="20"/>
              </w:rPr>
              <w:t>anoxia during prolonged flooding</w:t>
            </w:r>
          </w:p>
          <w:p w14:paraId="20D2F22D" w14:textId="52662492"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lastRenderedPageBreak/>
              <w:t xml:space="preserve">summer or winter (May-July) </w:t>
            </w:r>
            <w:r w:rsidR="00490D77" w:rsidRPr="000D4911">
              <w:rPr>
                <w:sz w:val="20"/>
                <w:szCs w:val="20"/>
              </w:rPr>
              <w:t xml:space="preserve">water </w:t>
            </w:r>
            <w:r w:rsidRPr="000D4911">
              <w:rPr>
                <w:sz w:val="20"/>
                <w:szCs w:val="20"/>
              </w:rPr>
              <w:t>to reinforce bud set &amp; flowering (depending on phenological cycle)</w:t>
            </w:r>
          </w:p>
          <w:p w14:paraId="21A0A49B" w14:textId="657C380B" w:rsidR="008C7B0F" w:rsidRPr="000D4911" w:rsidRDefault="008C7B0F" w:rsidP="0012104E">
            <w:pPr>
              <w:pStyle w:val="ListBullet"/>
              <w:numPr>
                <w:ilvl w:val="0"/>
                <w:numId w:val="25"/>
              </w:numPr>
              <w:tabs>
                <w:tab w:val="num" w:pos="360"/>
              </w:tabs>
              <w:spacing w:after="0"/>
              <w:rPr>
                <w:sz w:val="20"/>
                <w:szCs w:val="20"/>
              </w:rPr>
            </w:pPr>
            <w:r w:rsidRPr="000D4911">
              <w:rPr>
                <w:sz w:val="20"/>
                <w:szCs w:val="20"/>
              </w:rPr>
              <w:t xml:space="preserve">distribution represents </w:t>
            </w:r>
            <w:r w:rsidR="00AE43C3" w:rsidRPr="000D4911">
              <w:rPr>
                <w:sz w:val="20"/>
                <w:szCs w:val="20"/>
              </w:rPr>
              <w:t>recruitment episodes in response to historic natural flood events</w:t>
            </w:r>
          </w:p>
          <w:p w14:paraId="57A16809"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susceptible to disease if stressed (e.g. mistletoe)</w:t>
            </w:r>
          </w:p>
          <w:p w14:paraId="66210A3E" w14:textId="43AD534C" w:rsidR="00586EE4" w:rsidRPr="000D4911" w:rsidRDefault="00DF2A34" w:rsidP="0012104E">
            <w:pPr>
              <w:pStyle w:val="ListBullet"/>
              <w:numPr>
                <w:ilvl w:val="0"/>
                <w:numId w:val="25"/>
              </w:numPr>
              <w:spacing w:after="0"/>
              <w:rPr>
                <w:sz w:val="20"/>
                <w:szCs w:val="20"/>
              </w:rPr>
            </w:pPr>
            <w:r w:rsidRPr="000D4911">
              <w:rPr>
                <w:sz w:val="20"/>
                <w:szCs w:val="20"/>
              </w:rPr>
              <w:t>seedlings susceptible to flooding stress</w:t>
            </w:r>
          </w:p>
        </w:tc>
        <w:tc>
          <w:tcPr>
            <w:tcW w:w="847" w:type="pct"/>
          </w:tcPr>
          <w:p w14:paraId="1C92D8B9" w14:textId="1AE3A681" w:rsidR="00DF2A34" w:rsidRPr="000D4911" w:rsidRDefault="00DF2A34" w:rsidP="00F05647">
            <w:pPr>
              <w:pStyle w:val="Tabletext"/>
              <w:rPr>
                <w:sz w:val="20"/>
                <w:szCs w:val="20"/>
              </w:rPr>
            </w:pPr>
            <w:r w:rsidRPr="000D4911">
              <w:rPr>
                <w:sz w:val="20"/>
                <w:szCs w:val="20"/>
              </w:rPr>
              <w:lastRenderedPageBreak/>
              <w:t>Jensen et al., 2007; George et al., 2005; Newall et al., 2009; Rogers and Ralph, 2011 (and references therein); Jensen, 2011a</w:t>
            </w:r>
            <w:r w:rsidR="00B82014" w:rsidRPr="000D4911">
              <w:rPr>
                <w:sz w:val="20"/>
                <w:szCs w:val="20"/>
              </w:rPr>
              <w:t xml:space="preserve">; </w:t>
            </w:r>
            <w:r w:rsidR="000966E6" w:rsidRPr="000D4911">
              <w:rPr>
                <w:sz w:val="20"/>
                <w:szCs w:val="20"/>
              </w:rPr>
              <w:t xml:space="preserve">Roberts &amp; Marston 2011; </w:t>
            </w:r>
            <w:r w:rsidR="008D16A0" w:rsidRPr="000D4911">
              <w:rPr>
                <w:sz w:val="20"/>
                <w:szCs w:val="20"/>
              </w:rPr>
              <w:t xml:space="preserve">AWE 2015; </w:t>
            </w:r>
            <w:r w:rsidR="0013175E" w:rsidRPr="000D4911">
              <w:rPr>
                <w:sz w:val="20"/>
                <w:szCs w:val="20"/>
              </w:rPr>
              <w:t>G</w:t>
            </w:r>
            <w:r w:rsidR="00B330A9" w:rsidRPr="000D4911">
              <w:rPr>
                <w:sz w:val="20"/>
                <w:szCs w:val="20"/>
              </w:rPr>
              <w:t xml:space="preserve">ehrig &amp; Frahn 2015; </w:t>
            </w:r>
            <w:r w:rsidR="00B82014" w:rsidRPr="000D4911">
              <w:rPr>
                <w:sz w:val="20"/>
                <w:szCs w:val="20"/>
              </w:rPr>
              <w:t xml:space="preserve">Kilsby &amp; Steggles 2015; </w:t>
            </w:r>
            <w:r w:rsidR="00251391" w:rsidRPr="000D4911">
              <w:rPr>
                <w:sz w:val="20"/>
                <w:szCs w:val="20"/>
              </w:rPr>
              <w:t xml:space="preserve">McGuiness et al. 2018; </w:t>
            </w:r>
            <w:r w:rsidR="00B82014" w:rsidRPr="000D4911">
              <w:rPr>
                <w:sz w:val="20"/>
                <w:szCs w:val="20"/>
              </w:rPr>
              <w:t xml:space="preserve">Overton et al. 2018; DEW 2020c, 2023b, 2024; </w:t>
            </w:r>
            <w:r w:rsidR="0013175E" w:rsidRPr="000D4911">
              <w:rPr>
                <w:sz w:val="20"/>
                <w:szCs w:val="20"/>
              </w:rPr>
              <w:t xml:space="preserve">Gibbs et al. 2020; Doody et al. 2021, 2023; </w:t>
            </w:r>
            <w:r w:rsidR="00B82014" w:rsidRPr="000D4911">
              <w:rPr>
                <w:sz w:val="20"/>
                <w:szCs w:val="20"/>
              </w:rPr>
              <w:t>Stoltefaut et al. 2024.</w:t>
            </w:r>
          </w:p>
        </w:tc>
      </w:tr>
      <w:tr w:rsidR="00DF2A34" w:rsidRPr="0055753D" w14:paraId="7ECA5571" w14:textId="77777777" w:rsidTr="000E6894">
        <w:tc>
          <w:tcPr>
            <w:tcW w:w="809" w:type="pct"/>
          </w:tcPr>
          <w:p w14:paraId="7B4B4C1A" w14:textId="77777777" w:rsidR="00DF2A34" w:rsidRPr="00C637BD" w:rsidRDefault="00DF2A34" w:rsidP="00891625">
            <w:pPr>
              <w:spacing w:after="0"/>
              <w:ind w:left="34"/>
              <w:rPr>
                <w:b/>
              </w:rPr>
            </w:pPr>
            <w:r w:rsidRPr="00C637BD">
              <w:rPr>
                <w:b/>
              </w:rPr>
              <w:t>River Cooba</w:t>
            </w:r>
          </w:p>
          <w:p w14:paraId="12B38519" w14:textId="77777777" w:rsidR="00DF2A34" w:rsidRPr="00C637BD" w:rsidRDefault="00DF2A34" w:rsidP="00891625">
            <w:pPr>
              <w:spacing w:after="0"/>
              <w:ind w:left="34"/>
              <w:rPr>
                <w:i/>
              </w:rPr>
            </w:pPr>
            <w:r w:rsidRPr="00C637BD">
              <w:rPr>
                <w:i/>
              </w:rPr>
              <w:t>Acacia stenophylla</w:t>
            </w:r>
          </w:p>
        </w:tc>
        <w:tc>
          <w:tcPr>
            <w:tcW w:w="1578" w:type="pct"/>
          </w:tcPr>
          <w:p w14:paraId="766FA3CD" w14:textId="77777777" w:rsidR="00DF2A34" w:rsidRPr="000D4911" w:rsidRDefault="00A6570A" w:rsidP="000419AE">
            <w:pPr>
              <w:pStyle w:val="ListBullet"/>
              <w:numPr>
                <w:ilvl w:val="0"/>
                <w:numId w:val="25"/>
              </w:numPr>
              <w:tabs>
                <w:tab w:val="num" w:pos="360"/>
              </w:tabs>
              <w:spacing w:after="0"/>
              <w:rPr>
                <w:sz w:val="20"/>
                <w:szCs w:val="20"/>
              </w:rPr>
            </w:pPr>
            <w:r w:rsidRPr="000D4911">
              <w:rPr>
                <w:sz w:val="20"/>
                <w:szCs w:val="20"/>
              </w:rPr>
              <w:t>perennial tree to height of 13 m</w:t>
            </w:r>
          </w:p>
          <w:p w14:paraId="33EBDD65" w14:textId="77777777" w:rsidR="00A6570A" w:rsidRPr="000D4911" w:rsidRDefault="00A6570A" w:rsidP="00A6570A">
            <w:pPr>
              <w:pStyle w:val="ListBullet"/>
              <w:numPr>
                <w:ilvl w:val="0"/>
                <w:numId w:val="25"/>
              </w:numPr>
              <w:spacing w:after="0"/>
              <w:rPr>
                <w:sz w:val="20"/>
                <w:szCs w:val="20"/>
              </w:rPr>
            </w:pPr>
            <w:r w:rsidRPr="000D4911">
              <w:rPr>
                <w:sz w:val="20"/>
                <w:szCs w:val="20"/>
              </w:rPr>
              <w:t>provides habitat &amp; shelter for a range of fauna, e.g. mammals, reptiles, insects</w:t>
            </w:r>
          </w:p>
          <w:p w14:paraId="7A993126" w14:textId="77777777" w:rsidR="00A6570A" w:rsidRPr="000D4911" w:rsidRDefault="00A6570A" w:rsidP="00A6570A">
            <w:pPr>
              <w:pStyle w:val="ListBullet"/>
              <w:numPr>
                <w:ilvl w:val="0"/>
                <w:numId w:val="25"/>
              </w:numPr>
              <w:spacing w:after="0"/>
              <w:rPr>
                <w:sz w:val="20"/>
                <w:szCs w:val="20"/>
              </w:rPr>
            </w:pPr>
            <w:r w:rsidRPr="000D4911">
              <w:rPr>
                <w:sz w:val="20"/>
                <w:szCs w:val="20"/>
              </w:rPr>
              <w:t>contributes to nutrient recycling</w:t>
            </w:r>
          </w:p>
          <w:p w14:paraId="5500CD0D" w14:textId="61FF6741" w:rsidR="00A6570A" w:rsidRPr="000D4911" w:rsidRDefault="00A6570A" w:rsidP="00A6570A">
            <w:pPr>
              <w:pStyle w:val="ListBullet"/>
              <w:numPr>
                <w:ilvl w:val="0"/>
                <w:numId w:val="25"/>
              </w:numPr>
              <w:tabs>
                <w:tab w:val="num" w:pos="360"/>
              </w:tabs>
              <w:spacing w:after="0"/>
              <w:rPr>
                <w:sz w:val="20"/>
                <w:szCs w:val="20"/>
              </w:rPr>
            </w:pPr>
            <w:r w:rsidRPr="000D4911">
              <w:rPr>
                <w:sz w:val="20"/>
                <w:szCs w:val="20"/>
              </w:rPr>
              <w:t>contributes to soil-water balance on floodplain</w:t>
            </w:r>
          </w:p>
        </w:tc>
        <w:tc>
          <w:tcPr>
            <w:tcW w:w="1766" w:type="pct"/>
          </w:tcPr>
          <w:p w14:paraId="1AC7471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regarded as drought and flood tolerant</w:t>
            </w:r>
          </w:p>
          <w:p w14:paraId="69FDF46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often occurs between river red gum and black box</w:t>
            </w:r>
          </w:p>
          <w:p w14:paraId="4E95C0C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survival limited in salinity &gt; 15 dSm-1</w:t>
            </w:r>
          </w:p>
          <w:p w14:paraId="62105B77" w14:textId="35A41715" w:rsidR="000419AE" w:rsidRPr="000D4911" w:rsidRDefault="00DF2A34" w:rsidP="00A6570A">
            <w:pPr>
              <w:pStyle w:val="ListBullet"/>
              <w:numPr>
                <w:ilvl w:val="0"/>
                <w:numId w:val="25"/>
              </w:numPr>
              <w:tabs>
                <w:tab w:val="num" w:pos="360"/>
              </w:tabs>
              <w:spacing w:after="0"/>
              <w:rPr>
                <w:sz w:val="20"/>
                <w:szCs w:val="20"/>
              </w:rPr>
            </w:pPr>
            <w:r w:rsidRPr="000D4911">
              <w:rPr>
                <w:sz w:val="20"/>
                <w:szCs w:val="20"/>
              </w:rPr>
              <w:t>flooding increases likelihood of germination</w:t>
            </w:r>
          </w:p>
        </w:tc>
        <w:tc>
          <w:tcPr>
            <w:tcW w:w="847" w:type="pct"/>
          </w:tcPr>
          <w:p w14:paraId="2891DCA4" w14:textId="3F111424" w:rsidR="00DF2A34" w:rsidRPr="000D4911" w:rsidRDefault="000966E6" w:rsidP="00AA08FB">
            <w:pPr>
              <w:pStyle w:val="TableText0"/>
              <w:rPr>
                <w:sz w:val="20"/>
                <w:szCs w:val="20"/>
              </w:rPr>
            </w:pPr>
            <w:r w:rsidRPr="000D4911">
              <w:rPr>
                <w:sz w:val="20"/>
                <w:szCs w:val="20"/>
              </w:rPr>
              <w:t xml:space="preserve">Roberts &amp; Marston 2011; </w:t>
            </w:r>
            <w:r w:rsidR="00DF2A34" w:rsidRPr="000D4911">
              <w:rPr>
                <w:sz w:val="20"/>
                <w:szCs w:val="20"/>
              </w:rPr>
              <w:t>Rogers and Ralph, 2011.</w:t>
            </w:r>
          </w:p>
        </w:tc>
      </w:tr>
      <w:tr w:rsidR="00DF2A34" w:rsidRPr="0055753D" w14:paraId="5C0BB504" w14:textId="77777777" w:rsidTr="000E6894">
        <w:tc>
          <w:tcPr>
            <w:tcW w:w="809" w:type="pct"/>
          </w:tcPr>
          <w:p w14:paraId="333CD666" w14:textId="77777777" w:rsidR="00DF2A34" w:rsidRPr="00C637BD" w:rsidRDefault="00DF2A34" w:rsidP="00891625">
            <w:pPr>
              <w:spacing w:after="0"/>
              <w:ind w:left="34"/>
              <w:rPr>
                <w:b/>
              </w:rPr>
            </w:pPr>
            <w:r w:rsidRPr="00C637BD">
              <w:rPr>
                <w:b/>
              </w:rPr>
              <w:t>Swamp Paperbark</w:t>
            </w:r>
          </w:p>
          <w:p w14:paraId="3FF9D4C1" w14:textId="77777777" w:rsidR="00DF2A34" w:rsidRPr="00C637BD" w:rsidRDefault="00DF2A34" w:rsidP="00891625">
            <w:pPr>
              <w:spacing w:after="0"/>
              <w:ind w:left="34"/>
              <w:rPr>
                <w:i/>
              </w:rPr>
            </w:pPr>
            <w:r w:rsidRPr="00C637BD">
              <w:rPr>
                <w:i/>
              </w:rPr>
              <w:t>Melaleuca halmaturorum</w:t>
            </w:r>
          </w:p>
          <w:p w14:paraId="6E63D7D0" w14:textId="77777777" w:rsidR="00DF2A34" w:rsidRPr="00C637BD" w:rsidRDefault="00DF2A34" w:rsidP="00891625">
            <w:pPr>
              <w:spacing w:after="0"/>
              <w:ind w:left="34"/>
            </w:pPr>
          </w:p>
        </w:tc>
        <w:tc>
          <w:tcPr>
            <w:tcW w:w="1578" w:type="pct"/>
          </w:tcPr>
          <w:p w14:paraId="075B2F6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in Coorong region, nesting habitat for birds</w:t>
            </w:r>
          </w:p>
        </w:tc>
        <w:tc>
          <w:tcPr>
            <w:tcW w:w="1766" w:type="pct"/>
          </w:tcPr>
          <w:p w14:paraId="5035C74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occurs along margins of wetlands</w:t>
            </w:r>
          </w:p>
          <w:p w14:paraId="3A2BA2C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can live for 100 years</w:t>
            </w:r>
          </w:p>
          <w:p w14:paraId="370F680F" w14:textId="6895D94F"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at risk from flooding as seedlings drown; survival increases if mature trees flower, set and drop seed in spring as water recedes</w:t>
            </w:r>
          </w:p>
        </w:tc>
        <w:tc>
          <w:tcPr>
            <w:tcW w:w="847" w:type="pct"/>
          </w:tcPr>
          <w:p w14:paraId="6517C5CA" w14:textId="4F2C1105" w:rsidR="00DF2A34" w:rsidRPr="000D4911" w:rsidRDefault="00DF2A34" w:rsidP="00AA08FB">
            <w:pPr>
              <w:pStyle w:val="TableText0"/>
              <w:rPr>
                <w:sz w:val="20"/>
                <w:szCs w:val="20"/>
              </w:rPr>
            </w:pPr>
            <w:r w:rsidRPr="000D4911">
              <w:rPr>
                <w:sz w:val="20"/>
                <w:szCs w:val="20"/>
              </w:rPr>
              <w:t>Paton, 2010</w:t>
            </w:r>
            <w:r w:rsidR="003F1B00" w:rsidRPr="000D4911">
              <w:rPr>
                <w:sz w:val="20"/>
                <w:szCs w:val="20"/>
              </w:rPr>
              <w:t>; Paton et al. 2018</w:t>
            </w:r>
            <w:r w:rsidRPr="000D4911">
              <w:rPr>
                <w:sz w:val="20"/>
                <w:szCs w:val="20"/>
              </w:rPr>
              <w:t>.</w:t>
            </w:r>
          </w:p>
        </w:tc>
      </w:tr>
      <w:tr w:rsidR="00DF2A34" w:rsidRPr="0055753D" w14:paraId="56CC47E7" w14:textId="77777777" w:rsidTr="000E6894">
        <w:tc>
          <w:tcPr>
            <w:tcW w:w="809" w:type="pct"/>
          </w:tcPr>
          <w:p w14:paraId="482C441A" w14:textId="77777777" w:rsidR="00DF2A34" w:rsidRPr="00C637BD" w:rsidRDefault="00DF2A34" w:rsidP="00891625">
            <w:pPr>
              <w:spacing w:after="0"/>
              <w:ind w:left="34"/>
              <w:rPr>
                <w:b/>
              </w:rPr>
            </w:pPr>
            <w:r w:rsidRPr="00C637BD">
              <w:rPr>
                <w:b/>
              </w:rPr>
              <w:t>Tangled lignum</w:t>
            </w:r>
          </w:p>
          <w:p w14:paraId="653D77A1" w14:textId="77777777" w:rsidR="00DF2A34" w:rsidRPr="00C637BD" w:rsidRDefault="00DF2A34" w:rsidP="00891625">
            <w:pPr>
              <w:spacing w:after="0"/>
              <w:ind w:left="34"/>
              <w:rPr>
                <w:i/>
              </w:rPr>
            </w:pPr>
            <w:r w:rsidRPr="00C637BD">
              <w:rPr>
                <w:i/>
              </w:rPr>
              <w:t>Duma florulenta</w:t>
            </w:r>
          </w:p>
        </w:tc>
        <w:tc>
          <w:tcPr>
            <w:tcW w:w="1578" w:type="pct"/>
          </w:tcPr>
          <w:p w14:paraId="022341B2"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important nesting habitat for water birds</w:t>
            </w:r>
          </w:p>
          <w:p w14:paraId="1D9BF3DA" w14:textId="56F84F1D" w:rsidR="00DF2A34" w:rsidRPr="000D4911" w:rsidRDefault="00DF2A34" w:rsidP="0012104E">
            <w:pPr>
              <w:pStyle w:val="ListBullet"/>
              <w:numPr>
                <w:ilvl w:val="0"/>
                <w:numId w:val="25"/>
              </w:numPr>
              <w:spacing w:after="0"/>
              <w:rPr>
                <w:sz w:val="20"/>
                <w:szCs w:val="20"/>
              </w:rPr>
            </w:pPr>
            <w:r w:rsidRPr="000D4911">
              <w:rPr>
                <w:sz w:val="20"/>
                <w:szCs w:val="20"/>
              </w:rPr>
              <w:t>shelter &amp; refuge for Murray cod &amp; other large</w:t>
            </w:r>
            <w:r w:rsidR="0044059F" w:rsidRPr="000D4911">
              <w:rPr>
                <w:sz w:val="20"/>
                <w:szCs w:val="20"/>
              </w:rPr>
              <w:t>-</w:t>
            </w:r>
            <w:r w:rsidR="00A84A16" w:rsidRPr="000D4911">
              <w:rPr>
                <w:sz w:val="20"/>
                <w:szCs w:val="20"/>
              </w:rPr>
              <w:t xml:space="preserve"> </w:t>
            </w:r>
            <w:r w:rsidRPr="000D4911">
              <w:rPr>
                <w:sz w:val="20"/>
                <w:szCs w:val="20"/>
              </w:rPr>
              <w:t>bodied fish</w:t>
            </w:r>
          </w:p>
          <w:p w14:paraId="02E6AFCB" w14:textId="11014491"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shelter &amp; refuge for juvenile fish</w:t>
            </w:r>
            <w:r w:rsidR="0083001F" w:rsidRPr="000D4911">
              <w:rPr>
                <w:sz w:val="20"/>
                <w:szCs w:val="20"/>
              </w:rPr>
              <w:t xml:space="preserve"> and turtles when flooded</w:t>
            </w:r>
          </w:p>
          <w:p w14:paraId="66F2AEB3" w14:textId="57360719" w:rsidR="00DF2A34" w:rsidRPr="000D4911" w:rsidRDefault="00DF2A34" w:rsidP="0083001F">
            <w:pPr>
              <w:pStyle w:val="ListBullet"/>
              <w:numPr>
                <w:ilvl w:val="0"/>
                <w:numId w:val="25"/>
              </w:numPr>
              <w:tabs>
                <w:tab w:val="num" w:pos="360"/>
              </w:tabs>
              <w:spacing w:after="0"/>
              <w:rPr>
                <w:sz w:val="20"/>
                <w:szCs w:val="20"/>
              </w:rPr>
            </w:pPr>
            <w:r w:rsidRPr="000D4911">
              <w:rPr>
                <w:sz w:val="20"/>
                <w:szCs w:val="20"/>
              </w:rPr>
              <w:t>habitat for invertebrates</w:t>
            </w:r>
          </w:p>
          <w:p w14:paraId="0724EC77" w14:textId="77777777" w:rsidR="00DF2A34" w:rsidRPr="000D4911" w:rsidRDefault="00DF2A34" w:rsidP="0012104E">
            <w:pPr>
              <w:pStyle w:val="ListBullet"/>
              <w:numPr>
                <w:ilvl w:val="0"/>
                <w:numId w:val="25"/>
              </w:numPr>
              <w:spacing w:after="0"/>
              <w:rPr>
                <w:sz w:val="20"/>
                <w:szCs w:val="20"/>
              </w:rPr>
            </w:pPr>
            <w:r w:rsidRPr="000D4911">
              <w:rPr>
                <w:sz w:val="20"/>
                <w:szCs w:val="20"/>
              </w:rPr>
              <w:t>shelter for terrestrial fauna (birds, mammals, reptiles)</w:t>
            </w:r>
          </w:p>
          <w:p w14:paraId="2E9036C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protects eucalypt seedlings from grazers</w:t>
            </w:r>
          </w:p>
          <w:p w14:paraId="6D91FD7A" w14:textId="77777777" w:rsidR="00DF2A34" w:rsidRPr="000D4911" w:rsidRDefault="00DF2A34" w:rsidP="0012104E">
            <w:pPr>
              <w:pStyle w:val="ListBullet"/>
              <w:numPr>
                <w:ilvl w:val="0"/>
                <w:numId w:val="25"/>
              </w:numPr>
              <w:spacing w:after="0"/>
              <w:rPr>
                <w:sz w:val="20"/>
                <w:szCs w:val="20"/>
              </w:rPr>
            </w:pPr>
            <w:r w:rsidRPr="000D4911">
              <w:rPr>
                <w:sz w:val="20"/>
                <w:szCs w:val="20"/>
              </w:rPr>
              <w:t xml:space="preserve">critical role in soil water (evaporation) balance </w:t>
            </w:r>
          </w:p>
          <w:p w14:paraId="14B63054" w14:textId="56298C0D" w:rsidR="00DF2A34" w:rsidRPr="000D4911" w:rsidRDefault="00DF2A34" w:rsidP="0012104E">
            <w:pPr>
              <w:pStyle w:val="ListBullet"/>
              <w:numPr>
                <w:ilvl w:val="0"/>
                <w:numId w:val="25"/>
              </w:numPr>
              <w:spacing w:after="0"/>
              <w:rPr>
                <w:sz w:val="20"/>
                <w:szCs w:val="20"/>
              </w:rPr>
            </w:pPr>
            <w:r w:rsidRPr="000D4911">
              <w:rPr>
                <w:sz w:val="20"/>
                <w:szCs w:val="20"/>
              </w:rPr>
              <w:t>role in salt-water balance on floodplain (i.e. helps keep saline groundwater levels down)</w:t>
            </w:r>
          </w:p>
        </w:tc>
        <w:tc>
          <w:tcPr>
            <w:tcW w:w="1766" w:type="pct"/>
          </w:tcPr>
          <w:p w14:paraId="2C68B57F" w14:textId="57BEAC80"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long-lived, perennial shrub, 1-3 m height &amp; persistent rootstock 2-3 m deep</w:t>
            </w:r>
          </w:p>
          <w:p w14:paraId="48079EB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tangled woody stems remain bare until wetted when shoots, leaves &amp; flowers rapidly form</w:t>
            </w:r>
          </w:p>
          <w:p w14:paraId="676049D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prefers higher flood frequency zones than low</w:t>
            </w:r>
          </w:p>
          <w:p w14:paraId="73FE816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reliant on flooding to reproduce vegetatively and sexually from seed (i.e. a prerequisite)*</w:t>
            </w:r>
          </w:p>
          <w:p w14:paraId="05B6DEEE" w14:textId="08BB2860"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seed germination cued by flooding, soil moisture &amp; fluctuating temperature (seeds buoyant for 5-28* days); seeds can ripen &amp; disperse in 12 days; no persistent seed</w:t>
            </w:r>
            <w:r w:rsidR="00A84A16" w:rsidRPr="000D4911">
              <w:rPr>
                <w:sz w:val="20"/>
                <w:szCs w:val="20"/>
              </w:rPr>
              <w:t>-</w:t>
            </w:r>
            <w:r w:rsidRPr="000D4911">
              <w:rPr>
                <w:sz w:val="20"/>
                <w:szCs w:val="20"/>
              </w:rPr>
              <w:t xml:space="preserve">bank </w:t>
            </w:r>
            <w:r w:rsidR="0008745A" w:rsidRPr="000D4911">
              <w:rPr>
                <w:sz w:val="20"/>
                <w:szCs w:val="20"/>
              </w:rPr>
              <w:t>(seeds not viable for extended periods)</w:t>
            </w:r>
          </w:p>
          <w:p w14:paraId="5392FED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flowers in spring (from winter rains) or a few weeks after flooding</w:t>
            </w:r>
          </w:p>
          <w:p w14:paraId="2A8C54BD" w14:textId="783B8DE1" w:rsidR="00063972" w:rsidRPr="000D4911" w:rsidRDefault="00063972" w:rsidP="0012104E">
            <w:pPr>
              <w:pStyle w:val="ListBullet"/>
              <w:numPr>
                <w:ilvl w:val="0"/>
                <w:numId w:val="25"/>
              </w:numPr>
              <w:tabs>
                <w:tab w:val="num" w:pos="360"/>
              </w:tabs>
              <w:spacing w:after="0"/>
              <w:rPr>
                <w:sz w:val="20"/>
                <w:szCs w:val="20"/>
              </w:rPr>
            </w:pPr>
            <w:r w:rsidRPr="000D4911">
              <w:rPr>
                <w:sz w:val="20"/>
                <w:szCs w:val="20"/>
              </w:rPr>
              <w:lastRenderedPageBreak/>
              <w:t>germination influenced by temperature, with rates highest &amp; fastest between 15 and 30</w:t>
            </w:r>
            <w:r w:rsidR="00A528FF" w:rsidRPr="000D4911">
              <w:rPr>
                <w:sz w:val="20"/>
                <w:szCs w:val="20"/>
              </w:rPr>
              <w:t>°</w:t>
            </w:r>
            <w:r w:rsidRPr="000D4911">
              <w:rPr>
                <w:sz w:val="20"/>
                <w:szCs w:val="20"/>
              </w:rPr>
              <w:t xml:space="preserve"> C</w:t>
            </w:r>
          </w:p>
          <w:p w14:paraId="494768A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spring growing season; clone emergence coincides with high moisture soil through autumn &amp; winter*</w:t>
            </w:r>
          </w:p>
          <w:p w14:paraId="5386B3B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on EC floodplain where flooding to &lt; 60 cm depth occurs for 45-115 days per year</w:t>
            </w:r>
          </w:p>
          <w:p w14:paraId="71AA817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relatively salt and drought tolerant but growth limited at high salinities</w:t>
            </w:r>
          </w:p>
          <w:p w14:paraId="3536E08B"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dies under prolonged flood conditions (&gt; 1 yr)</w:t>
            </w:r>
          </w:p>
          <w:p w14:paraId="155114A2" w14:textId="033CDFA5"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prefers flood frequency of </w:t>
            </w:r>
            <w:r w:rsidR="005D4F59" w:rsidRPr="000D4911">
              <w:rPr>
                <w:sz w:val="20"/>
                <w:szCs w:val="20"/>
              </w:rPr>
              <w:t>1-</w:t>
            </w:r>
            <w:r w:rsidRPr="000D4911">
              <w:rPr>
                <w:sz w:val="20"/>
                <w:szCs w:val="20"/>
              </w:rPr>
              <w:t>3</w:t>
            </w:r>
            <w:r w:rsidR="00DF4F24" w:rsidRPr="000D4911">
              <w:rPr>
                <w:sz w:val="20"/>
                <w:szCs w:val="20"/>
              </w:rPr>
              <w:t xml:space="preserve"> (max. 3</w:t>
            </w:r>
            <w:r w:rsidRPr="000D4911">
              <w:rPr>
                <w:sz w:val="20"/>
                <w:szCs w:val="20"/>
              </w:rPr>
              <w:t>-10</w:t>
            </w:r>
            <w:r w:rsidR="00DF4F24" w:rsidRPr="000D4911">
              <w:rPr>
                <w:sz w:val="20"/>
                <w:szCs w:val="20"/>
              </w:rPr>
              <w:t>)</w:t>
            </w:r>
            <w:r w:rsidRPr="000D4911">
              <w:rPr>
                <w:sz w:val="20"/>
                <w:szCs w:val="20"/>
              </w:rPr>
              <w:t xml:space="preserve"> years and timing important; flood duration important for germination</w:t>
            </w:r>
            <w:r w:rsidR="00EB13EF" w:rsidRPr="000D4911">
              <w:rPr>
                <w:sz w:val="20"/>
                <w:szCs w:val="20"/>
              </w:rPr>
              <w:t xml:space="preserve"> (~1-3 months)</w:t>
            </w:r>
          </w:p>
          <w:p w14:paraId="6291400D" w14:textId="783B036A" w:rsidR="00DF2A34" w:rsidRPr="000D4911" w:rsidRDefault="0008745A" w:rsidP="0012104E">
            <w:pPr>
              <w:pStyle w:val="ListBullet"/>
              <w:numPr>
                <w:ilvl w:val="0"/>
                <w:numId w:val="25"/>
              </w:numPr>
              <w:tabs>
                <w:tab w:val="num" w:pos="360"/>
              </w:tabs>
              <w:spacing w:after="0"/>
              <w:rPr>
                <w:sz w:val="20"/>
                <w:szCs w:val="20"/>
              </w:rPr>
            </w:pPr>
            <w:r w:rsidRPr="000D4911">
              <w:rPr>
                <w:sz w:val="20"/>
                <w:szCs w:val="20"/>
              </w:rPr>
              <w:t>floods important for dispersal and genetic diversity</w:t>
            </w:r>
          </w:p>
        </w:tc>
        <w:tc>
          <w:tcPr>
            <w:tcW w:w="847" w:type="pct"/>
          </w:tcPr>
          <w:p w14:paraId="79530B36" w14:textId="150D8EEE" w:rsidR="00DF2A34" w:rsidRPr="000D4911" w:rsidRDefault="00DF2A34" w:rsidP="00AA08FB">
            <w:pPr>
              <w:pStyle w:val="TableText0"/>
              <w:rPr>
                <w:sz w:val="20"/>
                <w:szCs w:val="20"/>
              </w:rPr>
            </w:pPr>
            <w:r w:rsidRPr="000D4911">
              <w:rPr>
                <w:sz w:val="20"/>
                <w:szCs w:val="20"/>
              </w:rPr>
              <w:lastRenderedPageBreak/>
              <w:t xml:space="preserve">Craig et al. 1991; Capon 2005; Chong </w:t>
            </w:r>
            <w:r w:rsidR="00AF7834" w:rsidRPr="000D4911">
              <w:rPr>
                <w:sz w:val="20"/>
                <w:szCs w:val="20"/>
              </w:rPr>
              <w:t xml:space="preserve">&amp; </w:t>
            </w:r>
            <w:r w:rsidRPr="000D4911">
              <w:rPr>
                <w:sz w:val="20"/>
                <w:szCs w:val="20"/>
              </w:rPr>
              <w:t xml:space="preserve">Walker, 2005; Jensen et al. 2006 and references therein; </w:t>
            </w:r>
            <w:r w:rsidR="00F24EBC" w:rsidRPr="000D4911">
              <w:rPr>
                <w:sz w:val="20"/>
                <w:szCs w:val="20"/>
              </w:rPr>
              <w:t xml:space="preserve">Overton &amp; Doody 2007; </w:t>
            </w:r>
            <w:r w:rsidRPr="000D4911">
              <w:rPr>
                <w:sz w:val="20"/>
                <w:szCs w:val="20"/>
              </w:rPr>
              <w:t xml:space="preserve">Jensen 2008; </w:t>
            </w:r>
            <w:r w:rsidR="003B34DB" w:rsidRPr="000D4911">
              <w:rPr>
                <w:sz w:val="20"/>
                <w:szCs w:val="20"/>
              </w:rPr>
              <w:t xml:space="preserve">Capon et al. 2009; </w:t>
            </w:r>
            <w:r w:rsidR="006D4B2B" w:rsidRPr="000D4911">
              <w:rPr>
                <w:sz w:val="20"/>
                <w:szCs w:val="20"/>
              </w:rPr>
              <w:t xml:space="preserve">Roberts &amp; Marston 2011; </w:t>
            </w:r>
            <w:r w:rsidRPr="000D4911">
              <w:rPr>
                <w:sz w:val="20"/>
                <w:szCs w:val="20"/>
              </w:rPr>
              <w:t xml:space="preserve">Rogers </w:t>
            </w:r>
            <w:r w:rsidR="00AF7834" w:rsidRPr="000D4911">
              <w:rPr>
                <w:sz w:val="20"/>
                <w:szCs w:val="20"/>
              </w:rPr>
              <w:t>&amp;</w:t>
            </w:r>
            <w:r w:rsidRPr="000D4911">
              <w:rPr>
                <w:sz w:val="20"/>
                <w:szCs w:val="20"/>
              </w:rPr>
              <w:t xml:space="preserve"> Ralph 2011; Jensen et al. 2011b</w:t>
            </w:r>
            <w:r w:rsidR="00FA148B" w:rsidRPr="000D4911">
              <w:rPr>
                <w:sz w:val="20"/>
                <w:szCs w:val="20"/>
              </w:rPr>
              <w:t xml:space="preserve">; </w:t>
            </w:r>
            <w:r w:rsidR="00AF7834" w:rsidRPr="000D4911">
              <w:rPr>
                <w:sz w:val="20"/>
                <w:szCs w:val="20"/>
              </w:rPr>
              <w:t xml:space="preserve">Freestone et al. 2017; </w:t>
            </w:r>
            <w:r w:rsidR="00501904" w:rsidRPr="000D4911">
              <w:rPr>
                <w:sz w:val="20"/>
                <w:szCs w:val="20"/>
              </w:rPr>
              <w:t xml:space="preserve">Jensen &amp; Walker 2017; </w:t>
            </w:r>
            <w:r w:rsidR="00FA148B" w:rsidRPr="000D4911">
              <w:rPr>
                <w:sz w:val="20"/>
                <w:szCs w:val="20"/>
              </w:rPr>
              <w:t>DEW 2023</w:t>
            </w:r>
            <w:r w:rsidR="00774442" w:rsidRPr="000D4911">
              <w:rPr>
                <w:sz w:val="20"/>
                <w:szCs w:val="20"/>
              </w:rPr>
              <w:t>a</w:t>
            </w:r>
            <w:r w:rsidR="006136A1" w:rsidRPr="000D4911">
              <w:rPr>
                <w:sz w:val="20"/>
                <w:szCs w:val="20"/>
              </w:rPr>
              <w:t>; Mokany et al. 2024</w:t>
            </w:r>
          </w:p>
          <w:p w14:paraId="01E20451" w14:textId="77777777" w:rsidR="00DF2A34" w:rsidRPr="000D4911" w:rsidRDefault="00DF2A34" w:rsidP="00FE38B4">
            <w:pPr>
              <w:pStyle w:val="TableText0"/>
              <w:rPr>
                <w:sz w:val="20"/>
                <w:szCs w:val="20"/>
              </w:rPr>
            </w:pPr>
            <w:r w:rsidRPr="000D4911">
              <w:rPr>
                <w:sz w:val="20"/>
                <w:szCs w:val="20"/>
              </w:rPr>
              <w:t>* Jensen pers. comm.</w:t>
            </w:r>
          </w:p>
        </w:tc>
      </w:tr>
      <w:tr w:rsidR="00DF2A34" w:rsidRPr="0055753D" w14:paraId="1DD737DB" w14:textId="77777777" w:rsidTr="000E6894">
        <w:tc>
          <w:tcPr>
            <w:tcW w:w="809" w:type="pct"/>
          </w:tcPr>
          <w:p w14:paraId="75EF56C3" w14:textId="77777777" w:rsidR="00DF2A34" w:rsidRPr="00C637BD" w:rsidRDefault="00DF2A34" w:rsidP="00891625">
            <w:pPr>
              <w:spacing w:after="0"/>
              <w:ind w:left="34"/>
              <w:rPr>
                <w:b/>
              </w:rPr>
            </w:pPr>
            <w:r w:rsidRPr="00C637BD">
              <w:rPr>
                <w:b/>
              </w:rPr>
              <w:t xml:space="preserve">Emergent macrophytes </w:t>
            </w:r>
          </w:p>
          <w:p w14:paraId="79E0729E" w14:textId="77777777" w:rsidR="00DF2A34" w:rsidRPr="00C637BD" w:rsidRDefault="00DF2A34" w:rsidP="00891625">
            <w:pPr>
              <w:spacing w:after="0"/>
              <w:ind w:left="34"/>
              <w:rPr>
                <w:b/>
              </w:rPr>
            </w:pPr>
            <w:r w:rsidRPr="00C637BD">
              <w:t>e.g.</w:t>
            </w:r>
            <w:r w:rsidRPr="00C637BD">
              <w:rPr>
                <w:b/>
              </w:rPr>
              <w:t xml:space="preserve"> </w:t>
            </w:r>
            <w:r w:rsidRPr="00C637BD">
              <w:rPr>
                <w:i/>
              </w:rPr>
              <w:t>Phragmites australis</w:t>
            </w:r>
            <w:r w:rsidRPr="00C637BD">
              <w:t xml:space="preserve"> (CR) (common reed)</w:t>
            </w:r>
          </w:p>
          <w:p w14:paraId="329A1A4D" w14:textId="77777777" w:rsidR="00DF2A34" w:rsidRPr="00C637BD" w:rsidRDefault="00DF2A34" w:rsidP="00891625">
            <w:pPr>
              <w:spacing w:after="0"/>
              <w:ind w:left="34"/>
            </w:pPr>
            <w:r w:rsidRPr="00C637BD">
              <w:rPr>
                <w:i/>
              </w:rPr>
              <w:t>Typha</w:t>
            </w:r>
            <w:r w:rsidRPr="00C637BD">
              <w:t xml:space="preserve"> spp. (C)</w:t>
            </w:r>
          </w:p>
          <w:p w14:paraId="5CEFBC09" w14:textId="77777777" w:rsidR="00DF2A34" w:rsidRPr="00C637BD" w:rsidRDefault="00DF2A34" w:rsidP="00891625">
            <w:pPr>
              <w:spacing w:after="0"/>
              <w:ind w:left="34"/>
            </w:pPr>
            <w:r w:rsidRPr="00C637BD">
              <w:t>(cumbungi)</w:t>
            </w:r>
          </w:p>
        </w:tc>
        <w:tc>
          <w:tcPr>
            <w:tcW w:w="1578" w:type="pct"/>
          </w:tcPr>
          <w:p w14:paraId="740D8AB8"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habitats/refuges for littoral fauna and flora</w:t>
            </w:r>
          </w:p>
          <w:p w14:paraId="5B059977" w14:textId="77777777" w:rsidR="00DF2A34" w:rsidRPr="000D4911" w:rsidRDefault="00DF2A34" w:rsidP="0012104E">
            <w:pPr>
              <w:pStyle w:val="ListBullet"/>
              <w:numPr>
                <w:ilvl w:val="0"/>
                <w:numId w:val="25"/>
              </w:numPr>
              <w:spacing w:after="0"/>
              <w:rPr>
                <w:sz w:val="20"/>
                <w:szCs w:val="20"/>
              </w:rPr>
            </w:pPr>
            <w:r w:rsidRPr="000D4911">
              <w:rPr>
                <w:sz w:val="20"/>
                <w:szCs w:val="20"/>
              </w:rPr>
              <w:t xml:space="preserve">contributes to productivity via </w:t>
            </w:r>
            <w:r w:rsidR="001964B3" w:rsidRPr="000D4911">
              <w:rPr>
                <w:sz w:val="20"/>
                <w:szCs w:val="20"/>
              </w:rPr>
              <w:t xml:space="preserve">promoting </w:t>
            </w:r>
            <w:r w:rsidRPr="000D4911">
              <w:rPr>
                <w:sz w:val="20"/>
                <w:szCs w:val="20"/>
              </w:rPr>
              <w:t>detritus and biofilms</w:t>
            </w:r>
          </w:p>
          <w:p w14:paraId="1468C728" w14:textId="77777777" w:rsidR="000476E9" w:rsidRPr="000D4911" w:rsidRDefault="000476E9" w:rsidP="0012104E">
            <w:pPr>
              <w:pStyle w:val="ListBullet"/>
              <w:numPr>
                <w:ilvl w:val="0"/>
                <w:numId w:val="25"/>
              </w:numPr>
              <w:spacing w:after="0"/>
              <w:rPr>
                <w:sz w:val="20"/>
                <w:szCs w:val="20"/>
              </w:rPr>
            </w:pPr>
            <w:r w:rsidRPr="000D4911">
              <w:rPr>
                <w:sz w:val="20"/>
                <w:szCs w:val="20"/>
              </w:rPr>
              <w:t>maintains and improves water quality (nutrient control)</w:t>
            </w:r>
          </w:p>
          <w:p w14:paraId="468FB2CC" w14:textId="2E5F9DE2" w:rsidR="00CA2F19" w:rsidRPr="000D4911" w:rsidRDefault="00CA2F19" w:rsidP="0012104E">
            <w:pPr>
              <w:pStyle w:val="ListBullet"/>
              <w:numPr>
                <w:ilvl w:val="0"/>
                <w:numId w:val="25"/>
              </w:numPr>
              <w:spacing w:after="0"/>
              <w:rPr>
                <w:sz w:val="20"/>
                <w:szCs w:val="20"/>
              </w:rPr>
            </w:pPr>
            <w:r w:rsidRPr="000D4911">
              <w:rPr>
                <w:sz w:val="20"/>
                <w:szCs w:val="20"/>
              </w:rPr>
              <w:t>erosion control and flood abatement</w:t>
            </w:r>
          </w:p>
        </w:tc>
        <w:tc>
          <w:tcPr>
            <w:tcW w:w="1766" w:type="pct"/>
          </w:tcPr>
          <w:p w14:paraId="11CB22FD" w14:textId="0DA392B4"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CR occurs in fluctuating or static water levels to 4 m; C prefers stable water levels to 2 m</w:t>
            </w:r>
          </w:p>
          <w:p w14:paraId="390A0672"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flood and dry tolerant (C less so at 4 months)</w:t>
            </w:r>
          </w:p>
          <w:p w14:paraId="50A628A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flowering in summer/ full height autumn</w:t>
            </w:r>
          </w:p>
          <w:p w14:paraId="117204A1"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peak below-ground biomass winter</w:t>
            </w:r>
          </w:p>
          <w:p w14:paraId="5E28614A"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brackish/saline tolerant </w:t>
            </w:r>
          </w:p>
        </w:tc>
        <w:tc>
          <w:tcPr>
            <w:tcW w:w="847" w:type="pct"/>
          </w:tcPr>
          <w:p w14:paraId="4E2934B1" w14:textId="15D329E8" w:rsidR="00DF2A34" w:rsidRPr="000D4911" w:rsidRDefault="00DF2A34" w:rsidP="00FE38B4">
            <w:pPr>
              <w:pStyle w:val="TableText0"/>
              <w:rPr>
                <w:sz w:val="20"/>
                <w:szCs w:val="20"/>
              </w:rPr>
            </w:pPr>
            <w:r w:rsidRPr="000D4911">
              <w:rPr>
                <w:sz w:val="20"/>
                <w:szCs w:val="20"/>
              </w:rPr>
              <w:t xml:space="preserve">Blanch et al. 1999; Rogers </w:t>
            </w:r>
            <w:r w:rsidR="00347C60" w:rsidRPr="000D4911">
              <w:rPr>
                <w:sz w:val="20"/>
                <w:szCs w:val="20"/>
              </w:rPr>
              <w:t xml:space="preserve">&amp; </w:t>
            </w:r>
            <w:r w:rsidRPr="000D4911">
              <w:rPr>
                <w:sz w:val="20"/>
                <w:szCs w:val="20"/>
              </w:rPr>
              <w:t>Ralph 2011</w:t>
            </w:r>
            <w:r w:rsidR="00071B91" w:rsidRPr="000D4911">
              <w:rPr>
                <w:sz w:val="20"/>
                <w:szCs w:val="20"/>
              </w:rPr>
              <w:t xml:space="preserve">; </w:t>
            </w:r>
            <w:r w:rsidR="004C1349" w:rsidRPr="000D4911">
              <w:rPr>
                <w:sz w:val="20"/>
                <w:szCs w:val="20"/>
              </w:rPr>
              <w:t xml:space="preserve">Brookes et al. 2018; </w:t>
            </w:r>
            <w:r w:rsidR="00071B91" w:rsidRPr="000D4911">
              <w:rPr>
                <w:sz w:val="20"/>
                <w:szCs w:val="20"/>
              </w:rPr>
              <w:t>Jellinek et al. 2018</w:t>
            </w:r>
            <w:r w:rsidR="00DC6CAA" w:rsidRPr="000D4911">
              <w:rPr>
                <w:sz w:val="20"/>
                <w:szCs w:val="20"/>
              </w:rPr>
              <w:t>; Nicol et al. 2018</w:t>
            </w:r>
            <w:r w:rsidR="00400E37" w:rsidRPr="000D4911">
              <w:rPr>
                <w:sz w:val="20"/>
                <w:szCs w:val="20"/>
              </w:rPr>
              <w:t>, 2020, 2021, 2023.</w:t>
            </w:r>
          </w:p>
        </w:tc>
      </w:tr>
      <w:tr w:rsidR="00DF2A34" w:rsidRPr="0055753D" w14:paraId="44EBC839" w14:textId="77777777" w:rsidTr="000E6894">
        <w:trPr>
          <w:trHeight w:val="699"/>
        </w:trPr>
        <w:tc>
          <w:tcPr>
            <w:tcW w:w="809" w:type="pct"/>
          </w:tcPr>
          <w:p w14:paraId="64867FF5" w14:textId="77777777" w:rsidR="00DF2A34" w:rsidRPr="00C637BD" w:rsidRDefault="00DF2A34" w:rsidP="00891625">
            <w:pPr>
              <w:spacing w:after="0"/>
              <w:ind w:left="34"/>
            </w:pPr>
            <w:r w:rsidRPr="00C637BD">
              <w:rPr>
                <w:b/>
              </w:rPr>
              <w:t>Reeds</w:t>
            </w:r>
            <w:r w:rsidRPr="00C637BD">
              <w:t xml:space="preserve"> (basket weaving)</w:t>
            </w:r>
          </w:p>
          <w:p w14:paraId="16E7CB13" w14:textId="77777777" w:rsidR="00DF2A34" w:rsidRPr="00C637BD" w:rsidRDefault="00DF2A34" w:rsidP="00891625">
            <w:pPr>
              <w:spacing w:after="0"/>
              <w:ind w:left="34"/>
              <w:rPr>
                <w:i/>
              </w:rPr>
            </w:pPr>
            <w:r w:rsidRPr="00C637BD">
              <w:rPr>
                <w:i/>
              </w:rPr>
              <w:t>Cyperus gymnocaulos</w:t>
            </w:r>
          </w:p>
          <w:p w14:paraId="55664F0C" w14:textId="77777777" w:rsidR="00DF2A34" w:rsidRPr="00C637BD" w:rsidRDefault="00DF2A34" w:rsidP="00891625">
            <w:pPr>
              <w:spacing w:after="0"/>
              <w:ind w:left="34"/>
            </w:pPr>
            <w:r w:rsidRPr="00C637BD">
              <w:t>(spiny flat sedge)</w:t>
            </w:r>
          </w:p>
        </w:tc>
        <w:tc>
          <w:tcPr>
            <w:tcW w:w="1578" w:type="pct"/>
          </w:tcPr>
          <w:p w14:paraId="50F37393" w14:textId="77777777" w:rsidR="00DF2A34" w:rsidRPr="000D4911" w:rsidRDefault="00DF2A34" w:rsidP="0012104E">
            <w:pPr>
              <w:pStyle w:val="ListBullet"/>
              <w:numPr>
                <w:ilvl w:val="0"/>
                <w:numId w:val="25"/>
              </w:numPr>
              <w:spacing w:after="0"/>
              <w:rPr>
                <w:sz w:val="20"/>
                <w:szCs w:val="20"/>
              </w:rPr>
            </w:pPr>
            <w:r w:rsidRPr="000D4911">
              <w:rPr>
                <w:sz w:val="20"/>
                <w:szCs w:val="20"/>
              </w:rPr>
              <w:t>coarse leaves used by Ngarrindjeri weavers for nets, basketry, etc.</w:t>
            </w:r>
          </w:p>
        </w:tc>
        <w:tc>
          <w:tcPr>
            <w:tcW w:w="1766" w:type="pct"/>
          </w:tcPr>
          <w:p w14:paraId="26A59DA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occurs along river and lake margins, in areas prone to frequent flooding</w:t>
            </w:r>
          </w:p>
          <w:p w14:paraId="3A9ED66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hardy, tolerant of drying</w:t>
            </w:r>
          </w:p>
        </w:tc>
        <w:tc>
          <w:tcPr>
            <w:tcW w:w="847" w:type="pct"/>
          </w:tcPr>
          <w:p w14:paraId="7A9518F7" w14:textId="33F6C43C" w:rsidR="00DF2A34" w:rsidRPr="000D4911" w:rsidRDefault="00DF2A34" w:rsidP="00FE38B4">
            <w:pPr>
              <w:pStyle w:val="TableText0"/>
              <w:rPr>
                <w:sz w:val="20"/>
                <w:szCs w:val="20"/>
              </w:rPr>
            </w:pPr>
            <w:r w:rsidRPr="000D4911">
              <w:rPr>
                <w:sz w:val="20"/>
                <w:szCs w:val="20"/>
              </w:rPr>
              <w:t>Blanch et al. 1999</w:t>
            </w:r>
            <w:r w:rsidR="00071B91" w:rsidRPr="000D4911">
              <w:rPr>
                <w:sz w:val="20"/>
                <w:szCs w:val="20"/>
              </w:rPr>
              <w:t>;</w:t>
            </w:r>
            <w:r w:rsidR="000E36A1" w:rsidRPr="000D4911">
              <w:rPr>
                <w:sz w:val="20"/>
                <w:szCs w:val="20"/>
              </w:rPr>
              <w:t xml:space="preserve"> Coleman et al. 2017; </w:t>
            </w:r>
            <w:r w:rsidR="00071B91" w:rsidRPr="000D4911">
              <w:rPr>
                <w:sz w:val="20"/>
                <w:szCs w:val="20"/>
              </w:rPr>
              <w:t>Jellinek et al. 2018</w:t>
            </w:r>
            <w:r w:rsidR="00DC6CAA" w:rsidRPr="000D4911">
              <w:rPr>
                <w:sz w:val="20"/>
                <w:szCs w:val="20"/>
              </w:rPr>
              <w:t>; Nicol et al. 2018</w:t>
            </w:r>
            <w:r w:rsidR="00400E37" w:rsidRPr="000D4911">
              <w:rPr>
                <w:sz w:val="20"/>
                <w:szCs w:val="20"/>
              </w:rPr>
              <w:t>, 2020, 2021, 2023</w:t>
            </w:r>
            <w:r w:rsidRPr="000D4911">
              <w:rPr>
                <w:sz w:val="20"/>
                <w:szCs w:val="20"/>
              </w:rPr>
              <w:t>.</w:t>
            </w:r>
          </w:p>
        </w:tc>
      </w:tr>
      <w:tr w:rsidR="00DF2A34" w:rsidRPr="0055753D" w14:paraId="7CB907C5" w14:textId="77777777" w:rsidTr="000E6894">
        <w:tc>
          <w:tcPr>
            <w:tcW w:w="809" w:type="pct"/>
          </w:tcPr>
          <w:p w14:paraId="246CFC5D" w14:textId="77777777" w:rsidR="00DF2A34" w:rsidRPr="00C637BD" w:rsidRDefault="00DF2A34" w:rsidP="00891625">
            <w:pPr>
              <w:spacing w:after="0"/>
              <w:ind w:left="34"/>
              <w:rPr>
                <w:b/>
              </w:rPr>
            </w:pPr>
            <w:r w:rsidRPr="00C637BD">
              <w:rPr>
                <w:b/>
              </w:rPr>
              <w:t>Widgeon/Tassel grass</w:t>
            </w:r>
          </w:p>
          <w:p w14:paraId="041A4478" w14:textId="77777777" w:rsidR="00DF2A34" w:rsidRPr="00C637BD" w:rsidRDefault="00DF2A34" w:rsidP="00891625">
            <w:pPr>
              <w:spacing w:after="0"/>
              <w:ind w:left="34"/>
            </w:pPr>
            <w:r w:rsidRPr="00C637BD">
              <w:rPr>
                <w:i/>
              </w:rPr>
              <w:t>Ruppia megacarpa</w:t>
            </w:r>
            <w:r w:rsidRPr="00C637BD">
              <w:t xml:space="preserve"> (RM)</w:t>
            </w:r>
          </w:p>
          <w:p w14:paraId="7EC16A69" w14:textId="77777777" w:rsidR="00DF2A34" w:rsidRPr="00C637BD" w:rsidRDefault="00DF2A34" w:rsidP="00891625">
            <w:pPr>
              <w:spacing w:after="0"/>
              <w:ind w:left="34"/>
            </w:pPr>
            <w:r w:rsidRPr="00C637BD">
              <w:rPr>
                <w:i/>
              </w:rPr>
              <w:t>Ruppia tuberosa</w:t>
            </w:r>
            <w:r w:rsidRPr="00C637BD">
              <w:t xml:space="preserve"> (RT)</w:t>
            </w:r>
          </w:p>
          <w:p w14:paraId="42573452" w14:textId="15C88B00" w:rsidR="00FA148B" w:rsidRPr="00C637BD" w:rsidRDefault="00FA148B" w:rsidP="00891625">
            <w:pPr>
              <w:spacing w:after="0"/>
              <w:ind w:left="34"/>
              <w:rPr>
                <w:iCs/>
              </w:rPr>
            </w:pPr>
            <w:r w:rsidRPr="00C637BD">
              <w:rPr>
                <w:iCs/>
              </w:rPr>
              <w:t>“Ruppia Community’</w:t>
            </w:r>
          </w:p>
          <w:p w14:paraId="5D1C2E89" w14:textId="77777777" w:rsidR="00DF2A34" w:rsidRPr="00C637BD" w:rsidRDefault="00DF2A34" w:rsidP="00891625">
            <w:pPr>
              <w:spacing w:after="0"/>
              <w:ind w:left="33"/>
            </w:pPr>
          </w:p>
        </w:tc>
        <w:tc>
          <w:tcPr>
            <w:tcW w:w="1578" w:type="pct"/>
          </w:tcPr>
          <w:p w14:paraId="1D32294B" w14:textId="77777777" w:rsidR="00DF2A34" w:rsidRPr="000D4911" w:rsidRDefault="00DF2A34" w:rsidP="0012104E">
            <w:pPr>
              <w:pStyle w:val="ListBullet"/>
              <w:numPr>
                <w:ilvl w:val="0"/>
                <w:numId w:val="25"/>
              </w:numPr>
              <w:spacing w:after="0"/>
              <w:rPr>
                <w:sz w:val="20"/>
                <w:szCs w:val="20"/>
              </w:rPr>
            </w:pPr>
            <w:r w:rsidRPr="000D4911">
              <w:rPr>
                <w:sz w:val="20"/>
                <w:szCs w:val="20"/>
              </w:rPr>
              <w:lastRenderedPageBreak/>
              <w:t>provide habitat &amp; shelter (e.g. for small fish &amp; invertebrates)</w:t>
            </w:r>
          </w:p>
          <w:p w14:paraId="2866EED3"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primary producers in the Coorong</w:t>
            </w:r>
          </w:p>
          <w:p w14:paraId="0FE4E08F" w14:textId="77777777" w:rsidR="00DF2A34" w:rsidRPr="000D4911" w:rsidRDefault="00DF2A34" w:rsidP="0012104E">
            <w:pPr>
              <w:pStyle w:val="ListBullet"/>
              <w:numPr>
                <w:ilvl w:val="0"/>
                <w:numId w:val="25"/>
              </w:numPr>
              <w:spacing w:after="0"/>
              <w:rPr>
                <w:sz w:val="20"/>
                <w:szCs w:val="20"/>
              </w:rPr>
            </w:pPr>
            <w:r w:rsidRPr="000D4911">
              <w:rPr>
                <w:sz w:val="20"/>
                <w:szCs w:val="20"/>
              </w:rPr>
              <w:t>leaves, seeds &amp; turions provide vital food for fish &amp; waterbirds (e.g. swans, ducks)</w:t>
            </w:r>
          </w:p>
          <w:p w14:paraId="5A878180" w14:textId="77777777" w:rsidR="00DF2A34" w:rsidRPr="000D4911" w:rsidRDefault="00DF2A34" w:rsidP="0012104E">
            <w:pPr>
              <w:pStyle w:val="ListBullet"/>
              <w:numPr>
                <w:ilvl w:val="0"/>
                <w:numId w:val="25"/>
              </w:numPr>
              <w:spacing w:after="0"/>
              <w:rPr>
                <w:sz w:val="20"/>
                <w:szCs w:val="20"/>
              </w:rPr>
            </w:pPr>
            <w:r w:rsidRPr="000D4911">
              <w:rPr>
                <w:sz w:val="20"/>
                <w:szCs w:val="20"/>
              </w:rPr>
              <w:t>contribute to carbon &amp; nutrient recycling, &amp; a major source of detritus</w:t>
            </w:r>
          </w:p>
          <w:p w14:paraId="1B7FE425" w14:textId="77777777" w:rsidR="00DF2A34" w:rsidRPr="000D4911" w:rsidRDefault="00DF2A34" w:rsidP="0012104E">
            <w:pPr>
              <w:pStyle w:val="ListBullet"/>
              <w:numPr>
                <w:ilvl w:val="0"/>
                <w:numId w:val="25"/>
              </w:numPr>
              <w:spacing w:after="0"/>
              <w:rPr>
                <w:sz w:val="20"/>
                <w:szCs w:val="20"/>
              </w:rPr>
            </w:pPr>
            <w:r w:rsidRPr="000D4911">
              <w:rPr>
                <w:sz w:val="20"/>
                <w:szCs w:val="20"/>
              </w:rPr>
              <w:lastRenderedPageBreak/>
              <w:t>provide substrate for algal growth and fish egg deposition</w:t>
            </w:r>
          </w:p>
        </w:tc>
        <w:tc>
          <w:tcPr>
            <w:tcW w:w="1766" w:type="pct"/>
          </w:tcPr>
          <w:p w14:paraId="14600E59"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lastRenderedPageBreak/>
              <w:t>require relatively high light levels e.g. RM restricted to water &lt; 2 m deep &amp; RT &lt; 1 m deep</w:t>
            </w:r>
          </w:p>
          <w:p w14:paraId="44133AE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sensitive to desiccation and do not grow in water &lt; 0.3 m deep (due mainly to wind disturbance)</w:t>
            </w:r>
          </w:p>
          <w:p w14:paraId="30C8AB0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RM - perennial; brackish to hypersaline, preferred salinity range 5-46 ppt, depth &lt; 1-2m</w:t>
            </w:r>
          </w:p>
          <w:p w14:paraId="1D5715D3" w14:textId="45864DC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lastRenderedPageBreak/>
              <w:t>RT - annual (often in ephemeral saline wetlands); exclusively hypersaline, preferred salinity range 40-80 ppt, depth 0.3-1 m</w:t>
            </w:r>
          </w:p>
          <w:p w14:paraId="30ECFC0C"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RM regenerates from seeds or asexual propagules (turions)</w:t>
            </w:r>
          </w:p>
        </w:tc>
        <w:tc>
          <w:tcPr>
            <w:tcW w:w="847" w:type="pct"/>
          </w:tcPr>
          <w:p w14:paraId="0E8E1B46" w14:textId="0FA280A9" w:rsidR="00DF2A34" w:rsidRPr="000D4911" w:rsidRDefault="00DF2A34" w:rsidP="00FE38B4">
            <w:pPr>
              <w:pStyle w:val="TableText0"/>
              <w:rPr>
                <w:sz w:val="20"/>
                <w:szCs w:val="20"/>
              </w:rPr>
            </w:pPr>
            <w:r w:rsidRPr="000D4911">
              <w:rPr>
                <w:sz w:val="20"/>
                <w:szCs w:val="20"/>
              </w:rPr>
              <w:lastRenderedPageBreak/>
              <w:t xml:space="preserve">Phillips </w:t>
            </w:r>
            <w:r w:rsidR="00347C60" w:rsidRPr="000D4911">
              <w:rPr>
                <w:sz w:val="20"/>
                <w:szCs w:val="20"/>
              </w:rPr>
              <w:t xml:space="preserve">&amp; </w:t>
            </w:r>
            <w:r w:rsidRPr="000D4911">
              <w:rPr>
                <w:sz w:val="20"/>
                <w:szCs w:val="20"/>
              </w:rPr>
              <w:t>Muller 2006; Paton 2010; Paton 2010; Whipp 2010 (and references therein)</w:t>
            </w:r>
            <w:r w:rsidR="00D076BA" w:rsidRPr="000D4911">
              <w:rPr>
                <w:sz w:val="20"/>
                <w:szCs w:val="20"/>
              </w:rPr>
              <w:t xml:space="preserve">; </w:t>
            </w:r>
            <w:r w:rsidR="00AF050C" w:rsidRPr="000D4911">
              <w:rPr>
                <w:sz w:val="20"/>
                <w:szCs w:val="20"/>
              </w:rPr>
              <w:t>Nicol et al. 2018</w:t>
            </w:r>
            <w:r w:rsidR="00400E37" w:rsidRPr="000D4911">
              <w:rPr>
                <w:sz w:val="20"/>
                <w:szCs w:val="20"/>
              </w:rPr>
              <w:t>, 2020, 2021, 2023</w:t>
            </w:r>
            <w:r w:rsidR="00AF050C" w:rsidRPr="000D4911">
              <w:rPr>
                <w:sz w:val="20"/>
                <w:szCs w:val="20"/>
              </w:rPr>
              <w:t xml:space="preserve">; Asanopoulos &amp; Waycott </w:t>
            </w:r>
            <w:r w:rsidR="00BE753E" w:rsidRPr="000D4911">
              <w:rPr>
                <w:sz w:val="20"/>
                <w:szCs w:val="20"/>
              </w:rPr>
              <w:lastRenderedPageBreak/>
              <w:t xml:space="preserve">2022; </w:t>
            </w:r>
            <w:r w:rsidR="00D076BA" w:rsidRPr="000D4911">
              <w:rPr>
                <w:sz w:val="20"/>
                <w:szCs w:val="20"/>
              </w:rPr>
              <w:t>Lewis et al. 2022; Waycott &amp; Lewis 2022</w:t>
            </w:r>
            <w:r w:rsidRPr="000D4911">
              <w:rPr>
                <w:sz w:val="20"/>
                <w:szCs w:val="20"/>
              </w:rPr>
              <w:t>.</w:t>
            </w:r>
          </w:p>
        </w:tc>
      </w:tr>
      <w:tr w:rsidR="00DF2A34" w:rsidRPr="0055753D" w14:paraId="48305D29" w14:textId="77777777" w:rsidTr="000E6894">
        <w:tc>
          <w:tcPr>
            <w:tcW w:w="809" w:type="pct"/>
          </w:tcPr>
          <w:p w14:paraId="616C0B5F" w14:textId="77777777" w:rsidR="00DF2A34" w:rsidRPr="00C637BD" w:rsidRDefault="00DF2A34" w:rsidP="00891625">
            <w:pPr>
              <w:spacing w:after="0"/>
              <w:ind w:left="33"/>
              <w:rPr>
                <w:b/>
              </w:rPr>
            </w:pPr>
            <w:r w:rsidRPr="00C637BD">
              <w:rPr>
                <w:b/>
              </w:rPr>
              <w:lastRenderedPageBreak/>
              <w:t>Phytoplankton</w:t>
            </w:r>
          </w:p>
        </w:tc>
        <w:tc>
          <w:tcPr>
            <w:tcW w:w="1578" w:type="pct"/>
          </w:tcPr>
          <w:p w14:paraId="08FD30A1"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primary producers in aquatic food chains</w:t>
            </w:r>
          </w:p>
        </w:tc>
        <w:tc>
          <w:tcPr>
            <w:tcW w:w="1766" w:type="pct"/>
          </w:tcPr>
          <w:p w14:paraId="743F404A"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over 150 taxa recorded</w:t>
            </w:r>
          </w:p>
          <w:p w14:paraId="399252B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typically ‘lake’ type composition during summer-autumn low flows</w:t>
            </w:r>
          </w:p>
          <w:p w14:paraId="3D7D003E" w14:textId="620A6913" w:rsidR="0075658E"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some forms (e.g. Cyanobacteria) can develop blooms in warm, nutrient-rich water (e.g. </w:t>
            </w:r>
            <w:r w:rsidR="001964B3" w:rsidRPr="000D4911">
              <w:rPr>
                <w:sz w:val="20"/>
                <w:szCs w:val="20"/>
              </w:rPr>
              <w:t>L</w:t>
            </w:r>
            <w:r w:rsidRPr="000D4911">
              <w:rPr>
                <w:sz w:val="20"/>
                <w:szCs w:val="20"/>
              </w:rPr>
              <w:t>ake Alexandrina)</w:t>
            </w:r>
          </w:p>
        </w:tc>
        <w:tc>
          <w:tcPr>
            <w:tcW w:w="847" w:type="pct"/>
          </w:tcPr>
          <w:p w14:paraId="7F7F0D5B" w14:textId="7CEAE2BE" w:rsidR="00DF2A34" w:rsidRPr="000D4911" w:rsidRDefault="00DF2A34" w:rsidP="00FE38B4">
            <w:pPr>
              <w:pStyle w:val="TableText0"/>
              <w:rPr>
                <w:sz w:val="20"/>
                <w:szCs w:val="20"/>
              </w:rPr>
            </w:pPr>
            <w:r w:rsidRPr="000D4911">
              <w:rPr>
                <w:sz w:val="20"/>
                <w:szCs w:val="20"/>
              </w:rPr>
              <w:t>Sullivan 1990; Young et al. 2001; Aldridge et al. 2012a</w:t>
            </w:r>
            <w:r w:rsidR="00347C60" w:rsidRPr="000D4911">
              <w:rPr>
                <w:sz w:val="20"/>
                <w:szCs w:val="20"/>
              </w:rPr>
              <w:t>; Leterme et al. 2018</w:t>
            </w:r>
            <w:r w:rsidRPr="000D4911">
              <w:rPr>
                <w:sz w:val="20"/>
                <w:szCs w:val="20"/>
              </w:rPr>
              <w:t>.</w:t>
            </w:r>
          </w:p>
        </w:tc>
      </w:tr>
      <w:tr w:rsidR="00DF2A34" w:rsidRPr="0055753D" w14:paraId="5D4AA990" w14:textId="77777777" w:rsidTr="000E6894">
        <w:tc>
          <w:tcPr>
            <w:tcW w:w="809" w:type="pct"/>
            <w:shd w:val="clear" w:color="auto" w:fill="D9D9D9"/>
          </w:tcPr>
          <w:p w14:paraId="0272C68A" w14:textId="77777777" w:rsidR="00DF2A34" w:rsidRPr="000D4911" w:rsidRDefault="00DF2A34" w:rsidP="00CD5901">
            <w:pPr>
              <w:pStyle w:val="tableheadertext"/>
            </w:pPr>
            <w:r w:rsidRPr="000D4911">
              <w:t>Fauna</w:t>
            </w:r>
          </w:p>
        </w:tc>
        <w:tc>
          <w:tcPr>
            <w:tcW w:w="1578" w:type="pct"/>
            <w:shd w:val="clear" w:color="auto" w:fill="D9D9D9"/>
          </w:tcPr>
          <w:p w14:paraId="08374B0B" w14:textId="77777777" w:rsidR="00DF2A34" w:rsidRPr="000D4911" w:rsidRDefault="00DF2A34" w:rsidP="00CD5901">
            <w:pPr>
              <w:pStyle w:val="tableheadertext"/>
            </w:pPr>
          </w:p>
        </w:tc>
        <w:tc>
          <w:tcPr>
            <w:tcW w:w="1766" w:type="pct"/>
            <w:shd w:val="clear" w:color="auto" w:fill="D9D9D9"/>
          </w:tcPr>
          <w:p w14:paraId="4C468D3C" w14:textId="77777777" w:rsidR="00DF2A34" w:rsidRPr="000D4911" w:rsidRDefault="00DF2A34" w:rsidP="00CD5901">
            <w:pPr>
              <w:pStyle w:val="tableheadertext"/>
            </w:pPr>
          </w:p>
        </w:tc>
        <w:tc>
          <w:tcPr>
            <w:tcW w:w="847" w:type="pct"/>
            <w:shd w:val="clear" w:color="auto" w:fill="D9D9D9"/>
          </w:tcPr>
          <w:p w14:paraId="49A51605" w14:textId="77777777" w:rsidR="00DF2A34" w:rsidRPr="000D4911" w:rsidRDefault="00DF2A34" w:rsidP="00CD5901">
            <w:pPr>
              <w:pStyle w:val="tableheadertext"/>
            </w:pPr>
          </w:p>
        </w:tc>
      </w:tr>
      <w:tr w:rsidR="00DF2A34" w:rsidRPr="0055753D" w14:paraId="2A04E734" w14:textId="77777777" w:rsidTr="000E6894">
        <w:tc>
          <w:tcPr>
            <w:tcW w:w="809" w:type="pct"/>
          </w:tcPr>
          <w:p w14:paraId="1457DACC" w14:textId="77777777" w:rsidR="00DF2A34" w:rsidRPr="00C637BD" w:rsidRDefault="00DF2A34" w:rsidP="00891625">
            <w:pPr>
              <w:spacing w:after="0"/>
              <w:ind w:left="33"/>
              <w:rPr>
                <w:b/>
              </w:rPr>
            </w:pPr>
            <w:r w:rsidRPr="00C637BD">
              <w:rPr>
                <w:b/>
              </w:rPr>
              <w:t>Zooplankton</w:t>
            </w:r>
          </w:p>
        </w:tc>
        <w:tc>
          <w:tcPr>
            <w:tcW w:w="1578" w:type="pct"/>
          </w:tcPr>
          <w:p w14:paraId="097183A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secondary producers in aquatic food chains</w:t>
            </w:r>
          </w:p>
          <w:p w14:paraId="62D45257" w14:textId="4DF4D6C0" w:rsidR="00DF2A34" w:rsidRPr="000D4911" w:rsidRDefault="00344D97" w:rsidP="00DF2A34">
            <w:pPr>
              <w:pStyle w:val="ListBullet"/>
              <w:tabs>
                <w:tab w:val="num" w:pos="360"/>
              </w:tabs>
              <w:spacing w:after="0"/>
              <w:ind w:left="33"/>
              <w:rPr>
                <w:sz w:val="20"/>
                <w:szCs w:val="20"/>
              </w:rPr>
            </w:pPr>
            <w:r w:rsidRPr="000D4911">
              <w:rPr>
                <w:sz w:val="20"/>
                <w:szCs w:val="20"/>
              </w:rPr>
              <w:t xml:space="preserve">       </w:t>
            </w:r>
            <w:r w:rsidR="00DF2A34" w:rsidRPr="000D4911">
              <w:rPr>
                <w:sz w:val="20"/>
                <w:szCs w:val="20"/>
              </w:rPr>
              <w:t>primary food source for larval fish</w:t>
            </w:r>
          </w:p>
        </w:tc>
        <w:tc>
          <w:tcPr>
            <w:tcW w:w="1766" w:type="pct"/>
          </w:tcPr>
          <w:p w14:paraId="0667C80C"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over 180 taxa recorded</w:t>
            </w:r>
          </w:p>
          <w:p w14:paraId="5672322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some species unique to system</w:t>
            </w:r>
          </w:p>
          <w:p w14:paraId="75FBBC9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a mixed assemblage derived from the Darling riverine zooplankton (rotifer dominated) and the middle Murray (crustacean dominated)</w:t>
            </w:r>
          </w:p>
          <w:p w14:paraId="557DE6C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estuarine taxa in Coorong</w:t>
            </w:r>
          </w:p>
        </w:tc>
        <w:tc>
          <w:tcPr>
            <w:tcW w:w="847" w:type="pct"/>
          </w:tcPr>
          <w:p w14:paraId="5A0C6ED6" w14:textId="4F3CA699" w:rsidR="00DF2A34" w:rsidRPr="000D4911" w:rsidRDefault="00DF2A34" w:rsidP="00FE38B4">
            <w:pPr>
              <w:pStyle w:val="TableText0"/>
              <w:rPr>
                <w:sz w:val="20"/>
                <w:szCs w:val="20"/>
              </w:rPr>
            </w:pPr>
            <w:r w:rsidRPr="000D4911">
              <w:rPr>
                <w:sz w:val="20"/>
                <w:szCs w:val="20"/>
              </w:rPr>
              <w:t xml:space="preserve">Shiel 1990; Shiel </w:t>
            </w:r>
            <w:r w:rsidR="00347C60" w:rsidRPr="000D4911">
              <w:rPr>
                <w:sz w:val="20"/>
                <w:szCs w:val="20"/>
              </w:rPr>
              <w:t>&amp;</w:t>
            </w:r>
            <w:r w:rsidRPr="000D4911">
              <w:rPr>
                <w:sz w:val="20"/>
                <w:szCs w:val="20"/>
              </w:rPr>
              <w:t xml:space="preserve"> Aldridge 2011</w:t>
            </w:r>
            <w:r w:rsidR="00347C60" w:rsidRPr="000D4911">
              <w:rPr>
                <w:sz w:val="20"/>
                <w:szCs w:val="20"/>
              </w:rPr>
              <w:t>; Leterme et al. 2018.</w:t>
            </w:r>
          </w:p>
        </w:tc>
      </w:tr>
      <w:tr w:rsidR="00DF2A34" w:rsidRPr="0055753D" w14:paraId="46ADD6A5" w14:textId="77777777" w:rsidTr="000E6894">
        <w:tc>
          <w:tcPr>
            <w:tcW w:w="809" w:type="pct"/>
          </w:tcPr>
          <w:p w14:paraId="1926791B" w14:textId="77777777" w:rsidR="00DF2A34" w:rsidRPr="00C637BD" w:rsidRDefault="00DF2A34" w:rsidP="00891625">
            <w:pPr>
              <w:spacing w:after="0"/>
              <w:ind w:left="33"/>
              <w:rPr>
                <w:b/>
              </w:rPr>
            </w:pPr>
            <w:r w:rsidRPr="00C637BD">
              <w:rPr>
                <w:b/>
              </w:rPr>
              <w:t>Macroinvertebrates</w:t>
            </w:r>
          </w:p>
        </w:tc>
        <w:tc>
          <w:tcPr>
            <w:tcW w:w="1578" w:type="pct"/>
          </w:tcPr>
          <w:p w14:paraId="7400B1A9" w14:textId="77777777" w:rsidR="00DF2A34" w:rsidRPr="000D4911" w:rsidRDefault="00DF2A34" w:rsidP="0012104E">
            <w:pPr>
              <w:pStyle w:val="ListBullet"/>
              <w:numPr>
                <w:ilvl w:val="0"/>
                <w:numId w:val="25"/>
              </w:numPr>
              <w:spacing w:after="0"/>
              <w:rPr>
                <w:sz w:val="20"/>
                <w:szCs w:val="20"/>
              </w:rPr>
            </w:pPr>
            <w:r w:rsidRPr="000D4911">
              <w:rPr>
                <w:sz w:val="20"/>
                <w:szCs w:val="20"/>
              </w:rPr>
              <w:t>multiple functional groups - e.g. shredders, grazers, gatherers, filterers, predators</w:t>
            </w:r>
          </w:p>
          <w:p w14:paraId="59AC8AB7" w14:textId="77777777" w:rsidR="00DF2A34" w:rsidRPr="000D4911" w:rsidRDefault="00DF2A34" w:rsidP="0012104E">
            <w:pPr>
              <w:pStyle w:val="ListBullet"/>
              <w:numPr>
                <w:ilvl w:val="0"/>
                <w:numId w:val="25"/>
              </w:numPr>
              <w:spacing w:after="0"/>
              <w:rPr>
                <w:sz w:val="20"/>
                <w:szCs w:val="20"/>
              </w:rPr>
            </w:pPr>
            <w:r w:rsidRPr="000D4911">
              <w:rPr>
                <w:sz w:val="20"/>
                <w:szCs w:val="20"/>
              </w:rPr>
              <w:t>influence nutrient cycling, primary production, decomposition and translocation of materials</w:t>
            </w:r>
          </w:p>
          <w:p w14:paraId="4B528517" w14:textId="77777777" w:rsidR="00DF2A34" w:rsidRPr="000D4911" w:rsidRDefault="00DF2A34" w:rsidP="0012104E">
            <w:pPr>
              <w:pStyle w:val="ListBullet"/>
              <w:numPr>
                <w:ilvl w:val="0"/>
                <w:numId w:val="25"/>
              </w:numPr>
              <w:spacing w:after="0"/>
              <w:rPr>
                <w:sz w:val="20"/>
                <w:szCs w:val="20"/>
              </w:rPr>
            </w:pPr>
            <w:r w:rsidRPr="000D4911">
              <w:rPr>
                <w:sz w:val="20"/>
                <w:szCs w:val="20"/>
              </w:rPr>
              <w:t>important link between primary producers, detrital deposits, and higher trophic levels in aquatic food webs</w:t>
            </w:r>
          </w:p>
          <w:p w14:paraId="37C8B1C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important source of food for fish (+ larvae)</w:t>
            </w:r>
          </w:p>
          <w:p w14:paraId="2959D546"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good environmental indicators</w:t>
            </w:r>
          </w:p>
        </w:tc>
        <w:tc>
          <w:tcPr>
            <w:tcW w:w="1766" w:type="pct"/>
          </w:tcPr>
          <w:p w14:paraId="7657A310" w14:textId="44FF107F"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approximately 440 taxa recorded</w:t>
            </w:r>
          </w:p>
          <w:p w14:paraId="1B17855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include crayfish, shrimps, freshwater mussels, snails, insects, worms and many other forms</w:t>
            </w:r>
          </w:p>
          <w:p w14:paraId="70631D10" w14:textId="77777777" w:rsidR="00DF2A34" w:rsidRPr="000D4911" w:rsidRDefault="00DF2A34" w:rsidP="00DF2A34">
            <w:pPr>
              <w:pStyle w:val="ListBullet"/>
              <w:tabs>
                <w:tab w:val="num" w:pos="360"/>
              </w:tabs>
              <w:spacing w:after="0"/>
              <w:ind w:left="360" w:hanging="360"/>
              <w:rPr>
                <w:sz w:val="20"/>
                <w:szCs w:val="20"/>
              </w:rPr>
            </w:pPr>
          </w:p>
        </w:tc>
        <w:tc>
          <w:tcPr>
            <w:tcW w:w="847" w:type="pct"/>
          </w:tcPr>
          <w:p w14:paraId="255EF370" w14:textId="6BE7FFAF" w:rsidR="00DF2A34" w:rsidRPr="000D4911" w:rsidRDefault="00DF2A34" w:rsidP="00FE38B4">
            <w:pPr>
              <w:pStyle w:val="TableText0"/>
              <w:rPr>
                <w:sz w:val="20"/>
                <w:szCs w:val="20"/>
              </w:rPr>
            </w:pPr>
            <w:r w:rsidRPr="000D4911">
              <w:rPr>
                <w:sz w:val="20"/>
                <w:szCs w:val="20"/>
              </w:rPr>
              <w:t>MDBC 2008b; Walker et al. 2009</w:t>
            </w:r>
            <w:r w:rsidR="00126C37" w:rsidRPr="000D4911">
              <w:rPr>
                <w:sz w:val="20"/>
                <w:szCs w:val="20"/>
              </w:rPr>
              <w:t>, 2018</w:t>
            </w:r>
            <w:r w:rsidR="00821F23" w:rsidRPr="000D4911">
              <w:rPr>
                <w:sz w:val="20"/>
                <w:szCs w:val="20"/>
              </w:rPr>
              <w:t xml:space="preserve">; </w:t>
            </w:r>
            <w:r w:rsidR="00126C37" w:rsidRPr="000D4911">
              <w:rPr>
                <w:sz w:val="20"/>
                <w:szCs w:val="20"/>
              </w:rPr>
              <w:t xml:space="preserve">Davies et al. </w:t>
            </w:r>
            <w:r w:rsidR="005512F8" w:rsidRPr="000D4911">
              <w:rPr>
                <w:sz w:val="20"/>
                <w:szCs w:val="20"/>
              </w:rPr>
              <w:t xml:space="preserve">2010; </w:t>
            </w:r>
            <w:r w:rsidR="00232493" w:rsidRPr="000D4911">
              <w:rPr>
                <w:sz w:val="20"/>
                <w:szCs w:val="20"/>
              </w:rPr>
              <w:t xml:space="preserve">Geddes et al. 2016; </w:t>
            </w:r>
            <w:r w:rsidR="00821F23" w:rsidRPr="000D4911">
              <w:rPr>
                <w:sz w:val="20"/>
                <w:szCs w:val="20"/>
              </w:rPr>
              <w:t>Dittmann et al. 2018</w:t>
            </w:r>
            <w:r w:rsidR="00232493" w:rsidRPr="000D4911">
              <w:rPr>
                <w:sz w:val="20"/>
                <w:szCs w:val="20"/>
              </w:rPr>
              <w:t xml:space="preserve">, 2019; </w:t>
            </w:r>
            <w:r w:rsidR="00126C37" w:rsidRPr="000D4911">
              <w:rPr>
                <w:sz w:val="20"/>
                <w:szCs w:val="20"/>
              </w:rPr>
              <w:t>Le et al. 2021</w:t>
            </w:r>
          </w:p>
        </w:tc>
      </w:tr>
      <w:tr w:rsidR="00DF2A34" w:rsidRPr="0055753D" w14:paraId="656883A9" w14:textId="77777777" w:rsidTr="000E6894">
        <w:tc>
          <w:tcPr>
            <w:tcW w:w="809" w:type="pct"/>
          </w:tcPr>
          <w:p w14:paraId="1610524F" w14:textId="77777777" w:rsidR="00DF2A34" w:rsidRPr="000E6894" w:rsidRDefault="00DF2A34" w:rsidP="00891625">
            <w:pPr>
              <w:spacing w:after="0"/>
            </w:pPr>
            <w:r w:rsidRPr="000E6894">
              <w:rPr>
                <w:b/>
              </w:rPr>
              <w:t>River mussel</w:t>
            </w:r>
            <w:r w:rsidRPr="000E6894">
              <w:t xml:space="preserve"> (RM)</w:t>
            </w:r>
          </w:p>
          <w:p w14:paraId="0B32566D" w14:textId="1F13DDF5" w:rsidR="00DF2A34" w:rsidRPr="000E6894" w:rsidRDefault="00DF2A34" w:rsidP="00891625">
            <w:pPr>
              <w:spacing w:after="0"/>
              <w:ind w:left="34"/>
              <w:rPr>
                <w:i/>
              </w:rPr>
            </w:pPr>
            <w:r w:rsidRPr="000E6894">
              <w:rPr>
                <w:i/>
              </w:rPr>
              <w:t>Alathyria jacksoni</w:t>
            </w:r>
            <w:r w:rsidR="0069480F" w:rsidRPr="000E6894">
              <w:rPr>
                <w:i/>
              </w:rPr>
              <w:t xml:space="preserve"> </w:t>
            </w:r>
            <w:r w:rsidR="0069480F" w:rsidRPr="000E6894">
              <w:rPr>
                <w:iCs/>
              </w:rPr>
              <w:t>and</w:t>
            </w:r>
          </w:p>
          <w:p w14:paraId="252A5024" w14:textId="0AEA2F09" w:rsidR="00DF2A34" w:rsidRPr="000E6894" w:rsidRDefault="00DF2A34" w:rsidP="00891625">
            <w:pPr>
              <w:pStyle w:val="ListBullet"/>
              <w:spacing w:after="0"/>
              <w:ind w:left="34"/>
              <w:rPr>
                <w:i/>
              </w:rPr>
            </w:pPr>
            <w:r w:rsidRPr="000E6894">
              <w:rPr>
                <w:b/>
              </w:rPr>
              <w:t>Floodplain mussel</w:t>
            </w:r>
            <w:r w:rsidRPr="000E6894">
              <w:t xml:space="preserve"> (FM)</w:t>
            </w:r>
          </w:p>
          <w:p w14:paraId="635145ED" w14:textId="77777777" w:rsidR="00DF2A34" w:rsidRPr="000D4911" w:rsidRDefault="00DF2A34" w:rsidP="00891625">
            <w:pPr>
              <w:spacing w:after="0"/>
              <w:ind w:left="34"/>
              <w:rPr>
                <w:i/>
                <w:sz w:val="20"/>
                <w:szCs w:val="20"/>
              </w:rPr>
            </w:pPr>
            <w:r w:rsidRPr="000E6894">
              <w:rPr>
                <w:i/>
              </w:rPr>
              <w:lastRenderedPageBreak/>
              <w:t>Velesunio ambiguus</w:t>
            </w:r>
          </w:p>
        </w:tc>
        <w:tc>
          <w:tcPr>
            <w:tcW w:w="1578" w:type="pct"/>
          </w:tcPr>
          <w:p w14:paraId="3FF46E9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lastRenderedPageBreak/>
              <w:t>filter feeders</w:t>
            </w:r>
          </w:p>
          <w:p w14:paraId="1F425F82" w14:textId="77777777" w:rsidR="00DF2A34" w:rsidRPr="000D4911" w:rsidRDefault="00DF2A34" w:rsidP="0012104E">
            <w:pPr>
              <w:pStyle w:val="ListBullet"/>
              <w:numPr>
                <w:ilvl w:val="0"/>
                <w:numId w:val="25"/>
              </w:numPr>
              <w:spacing w:after="0"/>
              <w:rPr>
                <w:sz w:val="20"/>
                <w:szCs w:val="20"/>
              </w:rPr>
            </w:pPr>
            <w:r w:rsidRPr="000D4911">
              <w:rPr>
                <w:sz w:val="20"/>
                <w:szCs w:val="20"/>
              </w:rPr>
              <w:t xml:space="preserve">filter phytoplankton and organic matter from the water </w:t>
            </w:r>
          </w:p>
          <w:p w14:paraId="5056C5DB" w14:textId="77777777" w:rsidR="00DF2A34" w:rsidRPr="000D4911" w:rsidRDefault="00DF2A34" w:rsidP="0012104E">
            <w:pPr>
              <w:pStyle w:val="ListBullet"/>
              <w:numPr>
                <w:ilvl w:val="0"/>
                <w:numId w:val="25"/>
              </w:numPr>
              <w:spacing w:after="0"/>
              <w:rPr>
                <w:sz w:val="20"/>
                <w:szCs w:val="20"/>
              </w:rPr>
            </w:pPr>
            <w:r w:rsidRPr="000D4911">
              <w:rPr>
                <w:sz w:val="20"/>
                <w:szCs w:val="20"/>
              </w:rPr>
              <w:t>accumulate chemical pollutants including heavy metals, pesticides</w:t>
            </w:r>
          </w:p>
          <w:p w14:paraId="2BF15546" w14:textId="77777777" w:rsidR="00DF2A34" w:rsidRPr="000D4911" w:rsidRDefault="00DF2A34" w:rsidP="0012104E">
            <w:pPr>
              <w:pStyle w:val="ListBullet"/>
              <w:numPr>
                <w:ilvl w:val="0"/>
                <w:numId w:val="25"/>
              </w:numPr>
              <w:spacing w:after="0"/>
              <w:rPr>
                <w:sz w:val="20"/>
                <w:szCs w:val="20"/>
              </w:rPr>
            </w:pPr>
            <w:r w:rsidRPr="000D4911">
              <w:rPr>
                <w:sz w:val="20"/>
                <w:szCs w:val="20"/>
              </w:rPr>
              <w:lastRenderedPageBreak/>
              <w:t>shells provide important substrate for algae, insect larvae and other macroinvertebrates; attracts fish</w:t>
            </w:r>
          </w:p>
          <w:p w14:paraId="4913967E" w14:textId="6F955D44" w:rsidR="001964B3" w:rsidRPr="000D4911" w:rsidRDefault="001964B3" w:rsidP="0012104E">
            <w:pPr>
              <w:pStyle w:val="ListBullet"/>
              <w:numPr>
                <w:ilvl w:val="0"/>
                <w:numId w:val="25"/>
              </w:numPr>
              <w:spacing w:after="0"/>
              <w:rPr>
                <w:sz w:val="20"/>
                <w:szCs w:val="20"/>
              </w:rPr>
            </w:pPr>
            <w:r w:rsidRPr="000D4911">
              <w:rPr>
                <w:sz w:val="20"/>
                <w:szCs w:val="20"/>
              </w:rPr>
              <w:t>food for large-bodied fish, including Murray cod</w:t>
            </w:r>
          </w:p>
          <w:p w14:paraId="64613BCA" w14:textId="77777777" w:rsidR="00DF2A34" w:rsidRPr="000D4911" w:rsidRDefault="00DF2A34" w:rsidP="0012104E">
            <w:pPr>
              <w:pStyle w:val="ListBullet"/>
              <w:numPr>
                <w:ilvl w:val="0"/>
                <w:numId w:val="25"/>
              </w:numPr>
              <w:spacing w:after="0"/>
              <w:rPr>
                <w:sz w:val="20"/>
                <w:szCs w:val="20"/>
              </w:rPr>
            </w:pPr>
            <w:r w:rsidRPr="000D4911">
              <w:rPr>
                <w:sz w:val="20"/>
                <w:szCs w:val="20"/>
              </w:rPr>
              <w:t>can contribute to stabilisation and oxygenation of bottom substrate</w:t>
            </w:r>
          </w:p>
          <w:p w14:paraId="013F9AAA" w14:textId="0AB2D27B" w:rsidR="00DF2A34" w:rsidRPr="000D4911" w:rsidRDefault="00DF2A34" w:rsidP="0012104E">
            <w:pPr>
              <w:pStyle w:val="ListBullet"/>
              <w:numPr>
                <w:ilvl w:val="0"/>
                <w:numId w:val="25"/>
              </w:numPr>
              <w:spacing w:after="0"/>
              <w:rPr>
                <w:sz w:val="20"/>
                <w:szCs w:val="20"/>
              </w:rPr>
            </w:pPr>
            <w:r w:rsidRPr="000D4911">
              <w:rPr>
                <w:sz w:val="20"/>
                <w:szCs w:val="20"/>
              </w:rPr>
              <w:t>formerly key food resource for Ngarrindjeri people (hence middens along river</w:t>
            </w:r>
            <w:r w:rsidR="0047387A" w:rsidRPr="000D4911">
              <w:rPr>
                <w:sz w:val="20"/>
                <w:szCs w:val="20"/>
              </w:rPr>
              <w:t>-</w:t>
            </w:r>
            <w:r w:rsidRPr="000D4911">
              <w:rPr>
                <w:sz w:val="20"/>
                <w:szCs w:val="20"/>
              </w:rPr>
              <w:t>banks)</w:t>
            </w:r>
          </w:p>
        </w:tc>
        <w:tc>
          <w:tcPr>
            <w:tcW w:w="1766" w:type="pct"/>
          </w:tcPr>
          <w:p w14:paraId="001D1CEA"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lastRenderedPageBreak/>
              <w:t>RM - flowing water; strong burrower; intolerant of hypoxia and dehydration (most abundant in strong currents such as river bends)</w:t>
            </w:r>
          </w:p>
          <w:p w14:paraId="77EAF67A"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FM - still and slow-flowing water including weir pools and river margins, floodplain wetlands; </w:t>
            </w:r>
            <w:r w:rsidRPr="000D4911">
              <w:rPr>
                <w:sz w:val="20"/>
                <w:szCs w:val="20"/>
              </w:rPr>
              <w:lastRenderedPageBreak/>
              <w:t xml:space="preserve">weak burrower; tolerant of hypoxia and dehydration </w:t>
            </w:r>
          </w:p>
          <w:p w14:paraId="0BFE97E0" w14:textId="1DDBA300"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critical temperature for growth and activity is &gt; 12° C for RM &amp; FM</w:t>
            </w:r>
          </w:p>
          <w:p w14:paraId="4115299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larvae (glochidia) are parasites on fish </w:t>
            </w:r>
          </w:p>
          <w:p w14:paraId="63E96F0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adult aestivation: No RM; Yes FM</w:t>
            </w:r>
          </w:p>
          <w:p w14:paraId="0D5646D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lifespan of decades provides stability to aquatic habitats</w:t>
            </w:r>
          </w:p>
        </w:tc>
        <w:tc>
          <w:tcPr>
            <w:tcW w:w="847" w:type="pct"/>
          </w:tcPr>
          <w:p w14:paraId="785163A4" w14:textId="48DC674E" w:rsidR="00DF2A34" w:rsidRPr="000D4911" w:rsidRDefault="00DF2A34" w:rsidP="00FE38B4">
            <w:pPr>
              <w:pStyle w:val="TableText0"/>
              <w:rPr>
                <w:sz w:val="20"/>
                <w:szCs w:val="20"/>
              </w:rPr>
            </w:pPr>
            <w:r w:rsidRPr="000D4911">
              <w:rPr>
                <w:sz w:val="20"/>
                <w:szCs w:val="20"/>
              </w:rPr>
              <w:lastRenderedPageBreak/>
              <w:t>Walker 1981, 1998, 2006</w:t>
            </w:r>
            <w:r w:rsidR="001964B3" w:rsidRPr="000D4911">
              <w:rPr>
                <w:sz w:val="20"/>
                <w:szCs w:val="20"/>
              </w:rPr>
              <w:t>, 2017</w:t>
            </w:r>
            <w:r w:rsidRPr="000D4911">
              <w:rPr>
                <w:sz w:val="20"/>
                <w:szCs w:val="20"/>
              </w:rPr>
              <w:t xml:space="preserve">; Walker et al. </w:t>
            </w:r>
            <w:r w:rsidR="000B1A85" w:rsidRPr="000D4911">
              <w:rPr>
                <w:sz w:val="20"/>
                <w:szCs w:val="20"/>
              </w:rPr>
              <w:t xml:space="preserve">2001, </w:t>
            </w:r>
            <w:r w:rsidRPr="000D4911">
              <w:rPr>
                <w:sz w:val="20"/>
                <w:szCs w:val="20"/>
              </w:rPr>
              <w:t>2009</w:t>
            </w:r>
            <w:r w:rsidR="00D31748" w:rsidRPr="000D4911">
              <w:rPr>
                <w:sz w:val="20"/>
                <w:szCs w:val="20"/>
              </w:rPr>
              <w:t xml:space="preserve">, </w:t>
            </w:r>
            <w:r w:rsidR="00423B96" w:rsidRPr="000D4911">
              <w:rPr>
                <w:sz w:val="20"/>
                <w:szCs w:val="20"/>
              </w:rPr>
              <w:t xml:space="preserve">2014, </w:t>
            </w:r>
            <w:r w:rsidR="00D31748" w:rsidRPr="000D4911">
              <w:rPr>
                <w:sz w:val="20"/>
                <w:szCs w:val="20"/>
              </w:rPr>
              <w:t>2018</w:t>
            </w:r>
            <w:r w:rsidRPr="000D4911">
              <w:rPr>
                <w:sz w:val="20"/>
                <w:szCs w:val="20"/>
              </w:rPr>
              <w:t>;</w:t>
            </w:r>
            <w:r w:rsidR="000B1A85" w:rsidRPr="000D4911">
              <w:rPr>
                <w:sz w:val="20"/>
                <w:szCs w:val="20"/>
              </w:rPr>
              <w:t xml:space="preserve"> </w:t>
            </w:r>
            <w:r w:rsidRPr="000D4911">
              <w:rPr>
                <w:sz w:val="20"/>
                <w:szCs w:val="20"/>
              </w:rPr>
              <w:t xml:space="preserve">Rogers </w:t>
            </w:r>
            <w:r w:rsidR="00527462" w:rsidRPr="000D4911">
              <w:rPr>
                <w:sz w:val="20"/>
                <w:szCs w:val="20"/>
              </w:rPr>
              <w:t xml:space="preserve">&amp; </w:t>
            </w:r>
            <w:r w:rsidRPr="000D4911">
              <w:rPr>
                <w:sz w:val="20"/>
                <w:szCs w:val="20"/>
              </w:rPr>
              <w:t>Ralph 2011</w:t>
            </w:r>
            <w:r w:rsidR="00D31748" w:rsidRPr="000D4911">
              <w:rPr>
                <w:sz w:val="20"/>
                <w:szCs w:val="20"/>
              </w:rPr>
              <w:t xml:space="preserve">; </w:t>
            </w:r>
            <w:r w:rsidR="008C4AA5" w:rsidRPr="000D4911">
              <w:rPr>
                <w:sz w:val="20"/>
                <w:szCs w:val="20"/>
              </w:rPr>
              <w:t xml:space="preserve">Sheldon et al. 2014, 2020; </w:t>
            </w:r>
            <w:r w:rsidR="00423B96" w:rsidRPr="000D4911">
              <w:rPr>
                <w:sz w:val="20"/>
                <w:szCs w:val="20"/>
              </w:rPr>
              <w:t xml:space="preserve">Graf et al. 2015; </w:t>
            </w:r>
            <w:r w:rsidR="00086F36" w:rsidRPr="000D4911">
              <w:rPr>
                <w:sz w:val="20"/>
                <w:szCs w:val="20"/>
              </w:rPr>
              <w:lastRenderedPageBreak/>
              <w:t xml:space="preserve">Vaughn 2018; </w:t>
            </w:r>
            <w:r w:rsidR="00D31748" w:rsidRPr="000D4911">
              <w:rPr>
                <w:sz w:val="20"/>
                <w:szCs w:val="20"/>
              </w:rPr>
              <w:t>Whiterod &amp; Zukowski 201</w:t>
            </w:r>
            <w:r w:rsidR="00086F36" w:rsidRPr="000D4911">
              <w:rPr>
                <w:sz w:val="20"/>
                <w:szCs w:val="20"/>
              </w:rPr>
              <w:t>9</w:t>
            </w:r>
            <w:r w:rsidR="007953B8" w:rsidRPr="000D4911">
              <w:rPr>
                <w:sz w:val="20"/>
                <w:szCs w:val="20"/>
              </w:rPr>
              <w:t xml:space="preserve">; Brower et al. 2023; Humphries 2023; Wright et al. 2023 </w:t>
            </w:r>
          </w:p>
        </w:tc>
      </w:tr>
      <w:tr w:rsidR="00DF2A34" w:rsidRPr="0055753D" w14:paraId="6B308385" w14:textId="77777777" w:rsidTr="000E6894">
        <w:tc>
          <w:tcPr>
            <w:tcW w:w="809" w:type="pct"/>
          </w:tcPr>
          <w:p w14:paraId="758FD89C" w14:textId="77777777" w:rsidR="00DF2A34" w:rsidRPr="000E6894" w:rsidRDefault="00DF2A34" w:rsidP="00891625">
            <w:pPr>
              <w:spacing w:after="0"/>
              <w:ind w:left="34"/>
            </w:pPr>
            <w:r w:rsidRPr="000E6894">
              <w:rPr>
                <w:b/>
              </w:rPr>
              <w:lastRenderedPageBreak/>
              <w:t>Aquatic snails</w:t>
            </w:r>
            <w:r w:rsidRPr="000E6894">
              <w:t xml:space="preserve"> e.g.</w:t>
            </w:r>
          </w:p>
          <w:p w14:paraId="2A75E04B" w14:textId="1A79F6D3" w:rsidR="00DF2A34" w:rsidRPr="000E6894" w:rsidRDefault="00DF2A34" w:rsidP="00891625">
            <w:pPr>
              <w:spacing w:after="0"/>
              <w:ind w:left="34"/>
              <w:rPr>
                <w:i/>
              </w:rPr>
            </w:pPr>
            <w:r w:rsidRPr="000E6894">
              <w:rPr>
                <w:i/>
              </w:rPr>
              <w:t>Notopala shanleyi</w:t>
            </w:r>
          </w:p>
        </w:tc>
        <w:tc>
          <w:tcPr>
            <w:tcW w:w="1578" w:type="pct"/>
          </w:tcPr>
          <w:p w14:paraId="072A6E66" w14:textId="77777777" w:rsidR="00DF2A34" w:rsidRPr="000D4911" w:rsidRDefault="00DF2A34" w:rsidP="0012104E">
            <w:pPr>
              <w:pStyle w:val="ListBullet"/>
              <w:numPr>
                <w:ilvl w:val="0"/>
                <w:numId w:val="25"/>
              </w:numPr>
              <w:spacing w:after="0"/>
              <w:rPr>
                <w:sz w:val="20"/>
                <w:szCs w:val="20"/>
              </w:rPr>
            </w:pPr>
            <w:r w:rsidRPr="000D4911">
              <w:rPr>
                <w:sz w:val="20"/>
                <w:szCs w:val="20"/>
              </w:rPr>
              <w:t>grazers, feeding on biofilms - scrape plants, surfaces and sediments with toothy radulae (some filter feed)</w:t>
            </w:r>
          </w:p>
          <w:p w14:paraId="01D9E7AC"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prey to crayfish, fish, amphibians, birds</w:t>
            </w:r>
          </w:p>
        </w:tc>
        <w:tc>
          <w:tcPr>
            <w:tcW w:w="1766" w:type="pct"/>
          </w:tcPr>
          <w:p w14:paraId="1F994FD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native fauna (18 species) much reduced by regional extinctions; some introduced species now common</w:t>
            </w:r>
          </w:p>
          <w:p w14:paraId="57986783" w14:textId="77777777" w:rsidR="00DF2A34" w:rsidRPr="000D4911" w:rsidRDefault="00DF2A34" w:rsidP="00DF2A34">
            <w:pPr>
              <w:pStyle w:val="ListBullet"/>
              <w:tabs>
                <w:tab w:val="num" w:pos="360"/>
              </w:tabs>
              <w:spacing w:after="0"/>
              <w:ind w:left="360" w:hanging="360"/>
              <w:rPr>
                <w:sz w:val="20"/>
                <w:szCs w:val="20"/>
              </w:rPr>
            </w:pPr>
          </w:p>
        </w:tc>
        <w:tc>
          <w:tcPr>
            <w:tcW w:w="847" w:type="pct"/>
          </w:tcPr>
          <w:p w14:paraId="0CC7E1DD" w14:textId="262DE539" w:rsidR="00DF2A34" w:rsidRPr="000D4911" w:rsidRDefault="00DF2A34" w:rsidP="00FE38B4">
            <w:pPr>
              <w:pStyle w:val="TableText0"/>
              <w:rPr>
                <w:sz w:val="20"/>
                <w:szCs w:val="20"/>
              </w:rPr>
            </w:pPr>
            <w:r w:rsidRPr="000D4911">
              <w:rPr>
                <w:sz w:val="20"/>
                <w:szCs w:val="20"/>
              </w:rPr>
              <w:t>Walker 2006; Walker et al. 2009</w:t>
            </w:r>
            <w:r w:rsidR="00086F36" w:rsidRPr="000D4911">
              <w:rPr>
                <w:sz w:val="20"/>
                <w:szCs w:val="20"/>
              </w:rPr>
              <w:t>, 2018</w:t>
            </w:r>
            <w:r w:rsidR="00A66C2F" w:rsidRPr="000D4911">
              <w:rPr>
                <w:sz w:val="20"/>
                <w:szCs w:val="20"/>
              </w:rPr>
              <w:t xml:space="preserve">; Holmes et al. 2013; FSC 2015; </w:t>
            </w:r>
            <w:r w:rsidR="002A0E82" w:rsidRPr="000D4911">
              <w:rPr>
                <w:sz w:val="20"/>
                <w:szCs w:val="20"/>
              </w:rPr>
              <w:t>DISRD 2018</w:t>
            </w:r>
            <w:r w:rsidR="002B7DF7" w:rsidRPr="000D4911">
              <w:rPr>
                <w:sz w:val="20"/>
                <w:szCs w:val="20"/>
              </w:rPr>
              <w:t>; Ponder et al. 2023</w:t>
            </w:r>
          </w:p>
        </w:tc>
      </w:tr>
      <w:tr w:rsidR="00DF2A34" w:rsidRPr="0055753D" w14:paraId="663A5EA9" w14:textId="77777777" w:rsidTr="000E6894">
        <w:tc>
          <w:tcPr>
            <w:tcW w:w="809" w:type="pct"/>
          </w:tcPr>
          <w:p w14:paraId="3F3273E9" w14:textId="09DAAC03" w:rsidR="00DF2A34" w:rsidRPr="000E6894" w:rsidRDefault="00DF2A34" w:rsidP="00891625">
            <w:pPr>
              <w:spacing w:after="0"/>
              <w:ind w:left="34"/>
              <w:rPr>
                <w:b/>
                <w:lang w:val="fr-RE"/>
              </w:rPr>
            </w:pPr>
            <w:r w:rsidRPr="000E6894">
              <w:rPr>
                <w:b/>
                <w:lang w:val="fr-RE"/>
              </w:rPr>
              <w:t>Crayfish</w:t>
            </w:r>
          </w:p>
          <w:p w14:paraId="0D958F62" w14:textId="4BEF11CC" w:rsidR="00DF2A34" w:rsidRPr="000E6894" w:rsidRDefault="00DF2A34" w:rsidP="00891625">
            <w:pPr>
              <w:spacing w:after="0"/>
              <w:ind w:left="34"/>
              <w:rPr>
                <w:lang w:val="fr-RE"/>
              </w:rPr>
            </w:pPr>
            <w:r w:rsidRPr="000E6894">
              <w:rPr>
                <w:i/>
                <w:lang w:val="fr-RE"/>
              </w:rPr>
              <w:t>Euastacus armatus</w:t>
            </w:r>
            <w:r w:rsidRPr="000E6894">
              <w:rPr>
                <w:lang w:val="fr-RE"/>
              </w:rPr>
              <w:t xml:space="preserve"> (EA</w:t>
            </w:r>
            <w:r w:rsidR="00A14340" w:rsidRPr="000E6894">
              <w:rPr>
                <w:lang w:val="fr-RE"/>
              </w:rPr>
              <w:t xml:space="preserve"> – Murray crayfish</w:t>
            </w:r>
            <w:r w:rsidRPr="000E6894">
              <w:rPr>
                <w:lang w:val="fr-RE"/>
              </w:rPr>
              <w:t>)</w:t>
            </w:r>
          </w:p>
          <w:p w14:paraId="3DAA5EFF" w14:textId="2B841C91" w:rsidR="00DF2A34" w:rsidRPr="000E6894" w:rsidRDefault="00DF2A34" w:rsidP="00891625">
            <w:pPr>
              <w:spacing w:after="0"/>
              <w:ind w:left="34"/>
              <w:rPr>
                <w:lang w:val="fr-RE"/>
              </w:rPr>
            </w:pPr>
            <w:r w:rsidRPr="000E6894">
              <w:rPr>
                <w:i/>
                <w:lang w:val="fr-RE"/>
              </w:rPr>
              <w:t>Cherax destructor</w:t>
            </w:r>
            <w:r w:rsidRPr="000E6894">
              <w:rPr>
                <w:lang w:val="fr-RE"/>
              </w:rPr>
              <w:t xml:space="preserve"> (CD</w:t>
            </w:r>
            <w:r w:rsidR="00A14340" w:rsidRPr="000E6894">
              <w:rPr>
                <w:lang w:val="fr-RE"/>
              </w:rPr>
              <w:t xml:space="preserve"> - yabby</w:t>
            </w:r>
            <w:r w:rsidRPr="000E6894">
              <w:rPr>
                <w:lang w:val="fr-RE"/>
              </w:rPr>
              <w:t>)</w:t>
            </w:r>
          </w:p>
        </w:tc>
        <w:tc>
          <w:tcPr>
            <w:tcW w:w="1578" w:type="pct"/>
          </w:tcPr>
          <w:p w14:paraId="4C0B1F8C" w14:textId="77777777" w:rsidR="00DF2A34" w:rsidRPr="000D4911" w:rsidRDefault="00DF2A34" w:rsidP="0012104E">
            <w:pPr>
              <w:pStyle w:val="ListBullet"/>
              <w:numPr>
                <w:ilvl w:val="0"/>
                <w:numId w:val="25"/>
              </w:numPr>
              <w:spacing w:after="0"/>
              <w:rPr>
                <w:sz w:val="20"/>
                <w:szCs w:val="20"/>
              </w:rPr>
            </w:pPr>
            <w:r w:rsidRPr="000D4911">
              <w:rPr>
                <w:sz w:val="20"/>
                <w:szCs w:val="20"/>
              </w:rPr>
              <w:t>generalist predators, scavengers, detritivores, and at times filter-feeders, of anything edible</w:t>
            </w:r>
          </w:p>
        </w:tc>
        <w:tc>
          <w:tcPr>
            <w:tcW w:w="1766" w:type="pct"/>
          </w:tcPr>
          <w:p w14:paraId="61C61F90" w14:textId="3C28BDCE"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EA large, up to 3 kg and 50 cm; slow growing, long lived (2</w:t>
            </w:r>
            <w:r w:rsidR="00827FA5" w:rsidRPr="000D4911">
              <w:rPr>
                <w:sz w:val="20"/>
                <w:szCs w:val="20"/>
              </w:rPr>
              <w:t>8</w:t>
            </w:r>
            <w:r w:rsidRPr="000D4911">
              <w:rPr>
                <w:sz w:val="20"/>
                <w:szCs w:val="20"/>
              </w:rPr>
              <w:t xml:space="preserve"> y for maximum size, up to 50 y)</w:t>
            </w:r>
          </w:p>
          <w:p w14:paraId="08B5D22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EA prefers faster-flowing cool water habitats of main channel, clay banks, woody debris, deep holes, boulders</w:t>
            </w:r>
          </w:p>
          <w:p w14:paraId="424ABDF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low dispersal ability; small home range</w:t>
            </w:r>
          </w:p>
          <w:p w14:paraId="48656F63" w14:textId="2AB35981"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EA tolerates temperatures up to 27°C; intolerant of low DO</w:t>
            </w:r>
          </w:p>
          <w:p w14:paraId="4B81A8A3" w14:textId="7C50C83C" w:rsidR="00827FA5" w:rsidRPr="000D4911" w:rsidRDefault="00827FA5" w:rsidP="0012104E">
            <w:pPr>
              <w:pStyle w:val="ListBullet"/>
              <w:numPr>
                <w:ilvl w:val="0"/>
                <w:numId w:val="25"/>
              </w:numPr>
              <w:tabs>
                <w:tab w:val="num" w:pos="360"/>
              </w:tabs>
              <w:spacing w:after="0"/>
              <w:rPr>
                <w:sz w:val="20"/>
                <w:szCs w:val="20"/>
              </w:rPr>
            </w:pPr>
            <w:r w:rsidRPr="000D4911">
              <w:rPr>
                <w:sz w:val="20"/>
                <w:szCs w:val="20"/>
              </w:rPr>
              <w:t>EA optimal temperatu</w:t>
            </w:r>
            <w:r w:rsidR="0002281A" w:rsidRPr="000D4911">
              <w:rPr>
                <w:sz w:val="20"/>
                <w:szCs w:val="20"/>
              </w:rPr>
              <w:t>r</w:t>
            </w:r>
            <w:r w:rsidRPr="000D4911">
              <w:rPr>
                <w:sz w:val="20"/>
                <w:szCs w:val="20"/>
              </w:rPr>
              <w:t>e for tail flippin</w:t>
            </w:r>
            <w:r w:rsidR="0002281A" w:rsidRPr="000D4911">
              <w:rPr>
                <w:sz w:val="20"/>
                <w:szCs w:val="20"/>
              </w:rPr>
              <w:t>g</w:t>
            </w:r>
            <w:r w:rsidRPr="000D4911">
              <w:rPr>
                <w:sz w:val="20"/>
                <w:szCs w:val="20"/>
              </w:rPr>
              <w:t xml:space="preserve"> 18</w:t>
            </w:r>
            <w:r w:rsidR="0002281A" w:rsidRPr="000D4911">
              <w:rPr>
                <w:sz w:val="20"/>
                <w:szCs w:val="20"/>
              </w:rPr>
              <w:t>°</w:t>
            </w:r>
            <w:r w:rsidRPr="000D4911">
              <w:rPr>
                <w:sz w:val="20"/>
                <w:szCs w:val="20"/>
              </w:rPr>
              <w:t xml:space="preserve"> C</w:t>
            </w:r>
          </w:p>
          <w:p w14:paraId="766F0293" w14:textId="2ED213B3"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EA matures at 4 y males; 6–10 y females; low fecundity (200–</w:t>
            </w:r>
            <w:r w:rsidR="009E5680" w:rsidRPr="000D4911">
              <w:rPr>
                <w:sz w:val="20"/>
                <w:szCs w:val="20"/>
              </w:rPr>
              <w:t>20</w:t>
            </w:r>
            <w:r w:rsidRPr="000D4911">
              <w:rPr>
                <w:sz w:val="20"/>
                <w:szCs w:val="20"/>
              </w:rPr>
              <w:t>00 eggs); high mortality prior to maturity (~ 50%)</w:t>
            </w:r>
          </w:p>
          <w:p w14:paraId="1BC2CAE6"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CD (yabbie) prefers slow, warm water - common in weir pools and wetlands</w:t>
            </w:r>
          </w:p>
          <w:p w14:paraId="1AEE9906" w14:textId="28BF1BDB"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CD small, ≤ 250 g</w:t>
            </w:r>
          </w:p>
        </w:tc>
        <w:tc>
          <w:tcPr>
            <w:tcW w:w="847" w:type="pct"/>
          </w:tcPr>
          <w:p w14:paraId="4E7128E3" w14:textId="08168D96" w:rsidR="00DF2A34" w:rsidRPr="000D4911" w:rsidRDefault="00DF2A34" w:rsidP="00FE38B4">
            <w:pPr>
              <w:pStyle w:val="TableText0"/>
              <w:rPr>
                <w:sz w:val="20"/>
                <w:szCs w:val="20"/>
              </w:rPr>
            </w:pPr>
            <w:r w:rsidRPr="000D4911">
              <w:rPr>
                <w:sz w:val="20"/>
                <w:szCs w:val="20"/>
              </w:rPr>
              <w:t>Geddes 1990; Walke</w:t>
            </w:r>
            <w:r w:rsidR="00086F36" w:rsidRPr="000D4911">
              <w:rPr>
                <w:sz w:val="20"/>
                <w:szCs w:val="20"/>
              </w:rPr>
              <w:t>r</w:t>
            </w:r>
            <w:r w:rsidRPr="000D4911">
              <w:rPr>
                <w:sz w:val="20"/>
                <w:szCs w:val="20"/>
              </w:rPr>
              <w:t xml:space="preserve"> 2006; Gilligan et al. 2007; McKinnon 1995 in Walker et al. 2009</w:t>
            </w:r>
            <w:r w:rsidR="00086F36" w:rsidRPr="000D4911">
              <w:rPr>
                <w:sz w:val="20"/>
                <w:szCs w:val="20"/>
              </w:rPr>
              <w:t>, 2018</w:t>
            </w:r>
            <w:r w:rsidR="00A14340" w:rsidRPr="000D4911">
              <w:rPr>
                <w:sz w:val="20"/>
                <w:szCs w:val="20"/>
              </w:rPr>
              <w:t xml:space="preserve">; </w:t>
            </w:r>
            <w:r w:rsidR="00294E22" w:rsidRPr="000D4911">
              <w:rPr>
                <w:sz w:val="20"/>
                <w:szCs w:val="20"/>
              </w:rPr>
              <w:t>Furse &amp; Coughran 2011a,</w:t>
            </w:r>
            <w:r w:rsidR="00086F36" w:rsidRPr="000D4911">
              <w:rPr>
                <w:sz w:val="20"/>
                <w:szCs w:val="20"/>
              </w:rPr>
              <w:t xml:space="preserve"> </w:t>
            </w:r>
            <w:r w:rsidR="00294E22" w:rsidRPr="000D4911">
              <w:rPr>
                <w:sz w:val="20"/>
                <w:szCs w:val="20"/>
              </w:rPr>
              <w:t>b,</w:t>
            </w:r>
            <w:r w:rsidR="00086F36" w:rsidRPr="000D4911">
              <w:rPr>
                <w:sz w:val="20"/>
                <w:szCs w:val="20"/>
              </w:rPr>
              <w:t xml:space="preserve"> </w:t>
            </w:r>
            <w:r w:rsidR="00294E22" w:rsidRPr="000D4911">
              <w:rPr>
                <w:sz w:val="20"/>
                <w:szCs w:val="20"/>
              </w:rPr>
              <w:t xml:space="preserve">c; </w:t>
            </w:r>
            <w:r w:rsidR="008E138A" w:rsidRPr="000D4911">
              <w:rPr>
                <w:sz w:val="20"/>
                <w:szCs w:val="20"/>
              </w:rPr>
              <w:t xml:space="preserve">FSC 2013; </w:t>
            </w:r>
            <w:r w:rsidR="00B25BF2" w:rsidRPr="000D4911">
              <w:rPr>
                <w:sz w:val="20"/>
                <w:szCs w:val="20"/>
              </w:rPr>
              <w:t>Soffels et al. 2015;</w:t>
            </w:r>
            <w:r w:rsidR="00294E22" w:rsidRPr="000D4911">
              <w:rPr>
                <w:sz w:val="20"/>
                <w:szCs w:val="20"/>
              </w:rPr>
              <w:t xml:space="preserve"> </w:t>
            </w:r>
            <w:r w:rsidR="00855D0B" w:rsidRPr="000D4911">
              <w:rPr>
                <w:sz w:val="20"/>
                <w:szCs w:val="20"/>
              </w:rPr>
              <w:t xml:space="preserve">Noel &amp; Fulton 2017; </w:t>
            </w:r>
            <w:r w:rsidR="00385497" w:rsidRPr="000D4911">
              <w:rPr>
                <w:sz w:val="20"/>
                <w:szCs w:val="20"/>
              </w:rPr>
              <w:t xml:space="preserve">Whiterod &amp; Zukowski 2017, 2019; </w:t>
            </w:r>
            <w:r w:rsidR="00855D0B" w:rsidRPr="000D4911">
              <w:rPr>
                <w:sz w:val="20"/>
                <w:szCs w:val="20"/>
              </w:rPr>
              <w:t>Whiterod et al. 20</w:t>
            </w:r>
            <w:r w:rsidR="008D4875" w:rsidRPr="000D4911">
              <w:rPr>
                <w:sz w:val="20"/>
                <w:szCs w:val="20"/>
              </w:rPr>
              <w:t xml:space="preserve">18; Forbes et al. 2019; Laurence et al. 2022; </w:t>
            </w:r>
            <w:r w:rsidR="00A14340" w:rsidRPr="000D4911">
              <w:rPr>
                <w:sz w:val="20"/>
                <w:szCs w:val="20"/>
              </w:rPr>
              <w:t>Z</w:t>
            </w:r>
            <w:r w:rsidR="00B25BF2" w:rsidRPr="000D4911">
              <w:rPr>
                <w:sz w:val="20"/>
                <w:szCs w:val="20"/>
              </w:rPr>
              <w:t xml:space="preserve">ukowski et al. 2024 </w:t>
            </w:r>
          </w:p>
        </w:tc>
      </w:tr>
      <w:tr w:rsidR="00721B2F" w:rsidRPr="0055753D" w14:paraId="459E837F" w14:textId="77777777" w:rsidTr="000E6894">
        <w:tc>
          <w:tcPr>
            <w:tcW w:w="809" w:type="pct"/>
          </w:tcPr>
          <w:p w14:paraId="0A16401D" w14:textId="77777777" w:rsidR="00721B2F" w:rsidRPr="000E6894" w:rsidRDefault="00721B2F" w:rsidP="00612874">
            <w:pPr>
              <w:keepNext/>
              <w:spacing w:after="0"/>
              <w:ind w:left="34"/>
              <w:rPr>
                <w:b/>
              </w:rPr>
            </w:pPr>
            <w:r w:rsidRPr="000E6894">
              <w:rPr>
                <w:b/>
              </w:rPr>
              <w:lastRenderedPageBreak/>
              <w:t>Freshwater catfish</w:t>
            </w:r>
          </w:p>
          <w:p w14:paraId="7312181B" w14:textId="12A647BE" w:rsidR="00721B2F" w:rsidRPr="000E6894" w:rsidRDefault="00721B2F" w:rsidP="00721B2F">
            <w:pPr>
              <w:spacing w:after="0"/>
              <w:ind w:left="34"/>
              <w:rPr>
                <w:b/>
                <w:lang w:val="fr-RE"/>
              </w:rPr>
            </w:pPr>
            <w:r w:rsidRPr="000E6894">
              <w:rPr>
                <w:i/>
              </w:rPr>
              <w:t>Tandanus tandanus</w:t>
            </w:r>
          </w:p>
        </w:tc>
        <w:tc>
          <w:tcPr>
            <w:tcW w:w="1578" w:type="pct"/>
          </w:tcPr>
          <w:p w14:paraId="101B0823" w14:textId="77777777" w:rsidR="00721B2F" w:rsidRPr="000D4911" w:rsidRDefault="00721B2F" w:rsidP="00721B2F">
            <w:pPr>
              <w:pStyle w:val="ListBullet"/>
              <w:numPr>
                <w:ilvl w:val="0"/>
                <w:numId w:val="25"/>
              </w:numPr>
              <w:spacing w:after="0"/>
              <w:rPr>
                <w:sz w:val="20"/>
                <w:szCs w:val="20"/>
              </w:rPr>
            </w:pPr>
            <w:r w:rsidRPr="000D4911">
              <w:rPr>
                <w:sz w:val="20"/>
                <w:szCs w:val="20"/>
              </w:rPr>
              <w:t>medium to large benthic (bottom) feeder (now largely replaced by carp)</w:t>
            </w:r>
          </w:p>
          <w:p w14:paraId="1833B541" w14:textId="7813DE75" w:rsidR="00721B2F" w:rsidRPr="000D4911" w:rsidRDefault="00721B2F" w:rsidP="00721B2F">
            <w:pPr>
              <w:pStyle w:val="ListBullet"/>
              <w:numPr>
                <w:ilvl w:val="0"/>
                <w:numId w:val="25"/>
              </w:numPr>
              <w:spacing w:after="0"/>
              <w:rPr>
                <w:sz w:val="20"/>
                <w:szCs w:val="20"/>
              </w:rPr>
            </w:pPr>
            <w:r w:rsidRPr="000D4911">
              <w:rPr>
                <w:sz w:val="20"/>
                <w:szCs w:val="20"/>
              </w:rPr>
              <w:t>males build (and guard) elaborate nest on bottom substrate</w:t>
            </w:r>
          </w:p>
        </w:tc>
        <w:tc>
          <w:tcPr>
            <w:tcW w:w="1766" w:type="pct"/>
          </w:tcPr>
          <w:p w14:paraId="2D4A341A"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max. 90 cm &amp; 6.8 kg; usual 30–50 cm &amp; &lt; 2 kg</w:t>
            </w:r>
          </w:p>
          <w:p w14:paraId="12BD9E31"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max. age 12 y; sexual maturity 2–5 y</w:t>
            </w:r>
          </w:p>
          <w:p w14:paraId="0F6A81FD"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prefers habitat structure - submerged vegetation, woody debris, undercut banks (unknown in Lower Lakes)</w:t>
            </w:r>
          </w:p>
          <w:p w14:paraId="040985A1"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spawn spring/summer 20–24° C</w:t>
            </w:r>
          </w:p>
          <w:p w14:paraId="7C58263C"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juveniles often in backwater habitats</w:t>
            </w:r>
          </w:p>
          <w:p w14:paraId="12BD3264" w14:textId="5CBFC734"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no long-distance movements/migrations</w:t>
            </w:r>
          </w:p>
        </w:tc>
        <w:tc>
          <w:tcPr>
            <w:tcW w:w="847" w:type="pct"/>
          </w:tcPr>
          <w:p w14:paraId="7F42ED82" w14:textId="5AA045BB" w:rsidR="00721B2F" w:rsidRPr="000D4911" w:rsidRDefault="00721B2F" w:rsidP="00FE38B4">
            <w:pPr>
              <w:pStyle w:val="TableText0"/>
              <w:rPr>
                <w:sz w:val="20"/>
                <w:szCs w:val="20"/>
              </w:rPr>
            </w:pPr>
            <w:r w:rsidRPr="000D4911">
              <w:rPr>
                <w:sz w:val="20"/>
                <w:szCs w:val="20"/>
                <w:lang w:val="fr-RE"/>
              </w:rPr>
              <w:t>Clunie &amp; Koehn 2001; Lintermans 2007</w:t>
            </w:r>
            <w:r w:rsidR="0099746F" w:rsidRPr="000D4911">
              <w:rPr>
                <w:sz w:val="20"/>
                <w:szCs w:val="20"/>
                <w:lang w:val="fr-RE"/>
              </w:rPr>
              <w:t>, 2023</w:t>
            </w:r>
            <w:r w:rsidRPr="000D4911">
              <w:rPr>
                <w:sz w:val="20"/>
                <w:szCs w:val="20"/>
                <w:lang w:val="fr-RE"/>
              </w:rPr>
              <w:t xml:space="preserve">; Hammer et al. 2009; Bice 2010 ;Wilson et al. 2014 ; Kostner </w:t>
            </w:r>
            <w:r w:rsidRPr="000D4911">
              <w:rPr>
                <w:sz w:val="20"/>
                <w:szCs w:val="20"/>
              </w:rPr>
              <w:t>et</w:t>
            </w:r>
            <w:r w:rsidRPr="000D4911">
              <w:rPr>
                <w:sz w:val="20"/>
                <w:szCs w:val="20"/>
                <w:lang w:val="fr-RE"/>
              </w:rPr>
              <w:t xml:space="preserve"> al. 2015 ; Ye et al. 2015 ; Burndred et al. 2017.</w:t>
            </w:r>
          </w:p>
        </w:tc>
      </w:tr>
      <w:tr w:rsidR="00721B2F" w:rsidRPr="0055753D" w14:paraId="34AB7D2D" w14:textId="77777777" w:rsidTr="000E6894">
        <w:tc>
          <w:tcPr>
            <w:tcW w:w="809" w:type="pct"/>
          </w:tcPr>
          <w:p w14:paraId="62CCE510" w14:textId="77777777" w:rsidR="00721B2F" w:rsidRPr="000E6894" w:rsidRDefault="00721B2F" w:rsidP="00721B2F">
            <w:pPr>
              <w:spacing w:after="0"/>
              <w:ind w:left="34"/>
              <w:rPr>
                <w:b/>
              </w:rPr>
            </w:pPr>
            <w:r w:rsidRPr="000E6894">
              <w:rPr>
                <w:b/>
              </w:rPr>
              <w:t xml:space="preserve">Silver perch </w:t>
            </w:r>
          </w:p>
          <w:p w14:paraId="697C94FD" w14:textId="77777777" w:rsidR="00721B2F" w:rsidRPr="000E6894" w:rsidRDefault="00721B2F" w:rsidP="00721B2F">
            <w:pPr>
              <w:spacing w:after="0"/>
              <w:ind w:left="34"/>
              <w:rPr>
                <w:i/>
              </w:rPr>
            </w:pPr>
            <w:r w:rsidRPr="000E6894">
              <w:rPr>
                <w:i/>
              </w:rPr>
              <w:t xml:space="preserve"> Bidyanus bidyanus</w:t>
            </w:r>
          </w:p>
          <w:p w14:paraId="3349ED5B" w14:textId="77777777" w:rsidR="00721B2F" w:rsidRPr="000E6894" w:rsidRDefault="00721B2F" w:rsidP="00721B2F">
            <w:pPr>
              <w:spacing w:after="0"/>
              <w:ind w:left="34"/>
              <w:rPr>
                <w:b/>
                <w:lang w:val="fr-RE"/>
              </w:rPr>
            </w:pPr>
          </w:p>
        </w:tc>
        <w:tc>
          <w:tcPr>
            <w:tcW w:w="1578" w:type="pct"/>
          </w:tcPr>
          <w:p w14:paraId="362386FD" w14:textId="6B6CA99D" w:rsidR="00721B2F" w:rsidRPr="000D4911" w:rsidRDefault="00721B2F" w:rsidP="00721B2F">
            <w:pPr>
              <w:pStyle w:val="ListBullet"/>
              <w:numPr>
                <w:ilvl w:val="0"/>
                <w:numId w:val="25"/>
              </w:numPr>
              <w:spacing w:after="0"/>
              <w:rPr>
                <w:sz w:val="20"/>
                <w:szCs w:val="20"/>
              </w:rPr>
            </w:pPr>
            <w:r w:rsidRPr="000D4911">
              <w:rPr>
                <w:sz w:val="20"/>
                <w:szCs w:val="20"/>
              </w:rPr>
              <w:t>large-bodied fish, omnivore</w:t>
            </w:r>
          </w:p>
        </w:tc>
        <w:tc>
          <w:tcPr>
            <w:tcW w:w="1766" w:type="pct"/>
          </w:tcPr>
          <w:p w14:paraId="42B3E7F7" w14:textId="77777777"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highly migratory (adults spawning related, up to 517 km; juveniles dispersal related)</w:t>
            </w:r>
          </w:p>
          <w:p w14:paraId="0BFE7AF8" w14:textId="0AD6D95B" w:rsidR="00721B2F" w:rsidRPr="000D4911" w:rsidRDefault="00721B2F" w:rsidP="00721B2F">
            <w:pPr>
              <w:pStyle w:val="ListBullet"/>
              <w:numPr>
                <w:ilvl w:val="0"/>
                <w:numId w:val="25"/>
              </w:numPr>
              <w:tabs>
                <w:tab w:val="num" w:pos="360"/>
              </w:tabs>
              <w:spacing w:after="0"/>
              <w:rPr>
                <w:sz w:val="20"/>
                <w:szCs w:val="20"/>
              </w:rPr>
            </w:pPr>
            <w:r w:rsidRPr="000D4911">
              <w:rPr>
                <w:sz w:val="20"/>
                <w:szCs w:val="20"/>
              </w:rPr>
              <w:t>flow a trigger for spawning</w:t>
            </w:r>
          </w:p>
        </w:tc>
        <w:tc>
          <w:tcPr>
            <w:tcW w:w="847" w:type="pct"/>
          </w:tcPr>
          <w:p w14:paraId="3CC03484" w14:textId="79011335" w:rsidR="00721B2F" w:rsidRPr="000D4911" w:rsidRDefault="00721B2F" w:rsidP="00FE38B4">
            <w:pPr>
              <w:pStyle w:val="TableText0"/>
              <w:rPr>
                <w:sz w:val="20"/>
                <w:szCs w:val="20"/>
              </w:rPr>
            </w:pPr>
            <w:r w:rsidRPr="000D4911">
              <w:rPr>
                <w:sz w:val="20"/>
                <w:szCs w:val="20"/>
              </w:rPr>
              <w:t>Reynolds, 1983; Mallen-Cooper &amp; Stuart (2003); Lintermans, 2007</w:t>
            </w:r>
            <w:r w:rsidR="0099746F" w:rsidRPr="000D4911">
              <w:rPr>
                <w:sz w:val="20"/>
                <w:szCs w:val="20"/>
              </w:rPr>
              <w:t>, 2023</w:t>
            </w:r>
            <w:r w:rsidR="00D17B08" w:rsidRPr="000D4911">
              <w:rPr>
                <w:sz w:val="20"/>
                <w:szCs w:val="20"/>
              </w:rPr>
              <w:t xml:space="preserve">; </w:t>
            </w:r>
            <w:r w:rsidR="00BB28B0" w:rsidRPr="000D4911">
              <w:rPr>
                <w:sz w:val="20"/>
                <w:szCs w:val="20"/>
              </w:rPr>
              <w:t>Tonkin et al. 2017, 2019; Kostner et al. 2020; Michie et al. 2020</w:t>
            </w:r>
            <w:r w:rsidR="00555D8F" w:rsidRPr="000D4911">
              <w:rPr>
                <w:sz w:val="20"/>
                <w:szCs w:val="20"/>
              </w:rPr>
              <w:t>.</w:t>
            </w:r>
          </w:p>
        </w:tc>
      </w:tr>
      <w:tr w:rsidR="00DF2A34" w:rsidRPr="0055753D" w14:paraId="7191A2B1" w14:textId="77777777" w:rsidTr="000E6894">
        <w:tc>
          <w:tcPr>
            <w:tcW w:w="809" w:type="pct"/>
          </w:tcPr>
          <w:p w14:paraId="684E5D32" w14:textId="77777777" w:rsidR="00DF2A34" w:rsidRPr="000E6894" w:rsidRDefault="00DF2A34" w:rsidP="00891625">
            <w:pPr>
              <w:spacing w:after="0"/>
              <w:ind w:left="34"/>
              <w:rPr>
                <w:b/>
              </w:rPr>
            </w:pPr>
            <w:r w:rsidRPr="000E6894">
              <w:rPr>
                <w:b/>
              </w:rPr>
              <w:t>Murray cod</w:t>
            </w:r>
          </w:p>
          <w:p w14:paraId="215A4545" w14:textId="77777777" w:rsidR="00DF2A34" w:rsidRPr="000E6894" w:rsidRDefault="00DF2A34" w:rsidP="00891625">
            <w:pPr>
              <w:spacing w:after="0"/>
              <w:ind w:left="34"/>
              <w:rPr>
                <w:i/>
              </w:rPr>
            </w:pPr>
            <w:r w:rsidRPr="000E6894">
              <w:rPr>
                <w:i/>
              </w:rPr>
              <w:t>Macculochella peelii</w:t>
            </w:r>
          </w:p>
        </w:tc>
        <w:tc>
          <w:tcPr>
            <w:tcW w:w="1578" w:type="pct"/>
          </w:tcPr>
          <w:p w14:paraId="1F203672" w14:textId="2A9EADE8" w:rsidR="00DF2A34" w:rsidRPr="000D4911" w:rsidRDefault="00DF2A34" w:rsidP="0012104E">
            <w:pPr>
              <w:pStyle w:val="ListBullet"/>
              <w:numPr>
                <w:ilvl w:val="0"/>
                <w:numId w:val="25"/>
              </w:numPr>
              <w:spacing w:after="0"/>
              <w:rPr>
                <w:sz w:val="20"/>
                <w:szCs w:val="20"/>
              </w:rPr>
            </w:pPr>
            <w:r w:rsidRPr="000D4911">
              <w:rPr>
                <w:sz w:val="20"/>
                <w:szCs w:val="20"/>
              </w:rPr>
              <w:t xml:space="preserve">large bodied: max 1.8 m, 113.6 kg; </w:t>
            </w:r>
            <w:r w:rsidR="003932C4" w:rsidRPr="000D4911">
              <w:rPr>
                <w:sz w:val="20"/>
                <w:szCs w:val="20"/>
              </w:rPr>
              <w:t xml:space="preserve">typically          </w:t>
            </w:r>
            <w:r w:rsidRPr="000D4911">
              <w:rPr>
                <w:sz w:val="20"/>
                <w:szCs w:val="20"/>
              </w:rPr>
              <w:t>&lt; 20 kg</w:t>
            </w:r>
          </w:p>
          <w:p w14:paraId="31D566B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long lived: max. 114 y, usually &lt; 48 y</w:t>
            </w:r>
          </w:p>
          <w:p w14:paraId="62D34AC2" w14:textId="77777777" w:rsidR="00DF2A34" w:rsidRPr="000D4911" w:rsidRDefault="00DF2A34" w:rsidP="0012104E">
            <w:pPr>
              <w:pStyle w:val="ListBullet"/>
              <w:numPr>
                <w:ilvl w:val="0"/>
                <w:numId w:val="25"/>
              </w:numPr>
              <w:spacing w:after="0"/>
              <w:rPr>
                <w:sz w:val="20"/>
                <w:szCs w:val="20"/>
              </w:rPr>
            </w:pPr>
            <w:r w:rsidRPr="000D4911">
              <w:rPr>
                <w:sz w:val="20"/>
                <w:szCs w:val="20"/>
              </w:rPr>
              <w:t>powerful apex predator (adults - fish &amp; crustaceans, occasionally larger prey; larvae - zooplankton &amp; aquatic insects)</w:t>
            </w:r>
          </w:p>
          <w:p w14:paraId="5EE7D61B" w14:textId="77777777" w:rsidR="00DF2A34" w:rsidRPr="000D4911" w:rsidRDefault="00DF2A34" w:rsidP="00DF2A34">
            <w:pPr>
              <w:pStyle w:val="ListBullet"/>
              <w:tabs>
                <w:tab w:val="num" w:pos="360"/>
              </w:tabs>
              <w:spacing w:after="0"/>
              <w:ind w:left="33"/>
              <w:rPr>
                <w:sz w:val="20"/>
                <w:szCs w:val="20"/>
              </w:rPr>
            </w:pPr>
          </w:p>
        </w:tc>
        <w:tc>
          <w:tcPr>
            <w:tcW w:w="1766" w:type="pct"/>
          </w:tcPr>
          <w:p w14:paraId="7F0DBDA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slow to mature 4–6 y; low fecundity</w:t>
            </w:r>
          </w:p>
          <w:p w14:paraId="4D315C1A"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cover-oriented at all life-stages (snags, rocks)</w:t>
            </w:r>
          </w:p>
          <w:p w14:paraId="79A7205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prefers fast-flowing mesohabitats</w:t>
            </w:r>
          </w:p>
          <w:p w14:paraId="1B90B413"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diet: ~ 45% fish, also crustaceans (eg. yabby)</w:t>
            </w:r>
          </w:p>
          <w:p w14:paraId="19590A28"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floods/freshes not needed to trigger spawning; but gain significant benefits from increased flow which improves larval survivorship</w:t>
            </w:r>
          </w:p>
          <w:p w14:paraId="07E75E6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annual spawning triggered by rising    temperature (15–23.5° C) &amp; day length (October/November)</w:t>
            </w:r>
          </w:p>
          <w:p w14:paraId="521E306C"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large upstream migration prior to spawning (after, rapid return to same area/snag)</w:t>
            </w:r>
          </w:p>
          <w:p w14:paraId="6B347B3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yolk-sac/early larvae at risk from raised salinity</w:t>
            </w:r>
          </w:p>
        </w:tc>
        <w:tc>
          <w:tcPr>
            <w:tcW w:w="847" w:type="pct"/>
          </w:tcPr>
          <w:p w14:paraId="5768FBD3" w14:textId="02BE4500" w:rsidR="00DF2A34" w:rsidRPr="000D4911" w:rsidRDefault="00DF2A34" w:rsidP="00FE38B4">
            <w:pPr>
              <w:pStyle w:val="TableText0"/>
              <w:rPr>
                <w:sz w:val="20"/>
                <w:szCs w:val="20"/>
              </w:rPr>
            </w:pPr>
            <w:r w:rsidRPr="000D4911">
              <w:rPr>
                <w:sz w:val="20"/>
                <w:szCs w:val="20"/>
              </w:rPr>
              <w:t>Harris &amp; Rowland, 1996; Koehn, 1996; Humphries et al., 1999; Ye et al., 2000; Rowland, 2005; Ebner, 2006: Koehn &amp; Harrington, 2006; Baumgartner, 2007; Lintermans, 2007</w:t>
            </w:r>
            <w:r w:rsidR="00C86572" w:rsidRPr="000D4911">
              <w:rPr>
                <w:sz w:val="20"/>
                <w:szCs w:val="20"/>
              </w:rPr>
              <w:t>, 2023</w:t>
            </w:r>
            <w:r w:rsidRPr="000D4911">
              <w:rPr>
                <w:sz w:val="20"/>
                <w:szCs w:val="20"/>
              </w:rPr>
              <w:t>; Ye and Zampatti, 2007; Bice, 2010; Ye et al. 2010</w:t>
            </w:r>
            <w:r w:rsidR="008A7B59" w:rsidRPr="000D4911">
              <w:rPr>
                <w:sz w:val="20"/>
                <w:szCs w:val="20"/>
              </w:rPr>
              <w:t>, 2012, 2022, 2023</w:t>
            </w:r>
            <w:r w:rsidRPr="000D4911">
              <w:rPr>
                <w:sz w:val="20"/>
                <w:szCs w:val="20"/>
              </w:rPr>
              <w:t>; Leigh &amp; Zampatti 2011; Zampatti et al. 2011a,b; Zampatti 2012</w:t>
            </w:r>
            <w:r w:rsidR="00321193" w:rsidRPr="000D4911">
              <w:rPr>
                <w:sz w:val="20"/>
                <w:szCs w:val="20"/>
              </w:rPr>
              <w:t xml:space="preserve">; </w:t>
            </w:r>
            <w:r w:rsidR="002B756E" w:rsidRPr="000D4911">
              <w:rPr>
                <w:sz w:val="20"/>
                <w:szCs w:val="20"/>
              </w:rPr>
              <w:t xml:space="preserve">Vilizzi et al. 2014; </w:t>
            </w:r>
            <w:r w:rsidR="008A7B59" w:rsidRPr="000D4911">
              <w:rPr>
                <w:sz w:val="20"/>
                <w:szCs w:val="20"/>
              </w:rPr>
              <w:t>Gi</w:t>
            </w:r>
            <w:r w:rsidR="002B756E" w:rsidRPr="000D4911">
              <w:rPr>
                <w:sz w:val="20"/>
                <w:szCs w:val="20"/>
              </w:rPr>
              <w:t xml:space="preserve">ri &amp; Hall 2015; </w:t>
            </w:r>
            <w:r w:rsidR="00A21C2D" w:rsidRPr="000D4911">
              <w:rPr>
                <w:sz w:val="20"/>
                <w:szCs w:val="20"/>
              </w:rPr>
              <w:t xml:space="preserve">Mallen-Cooper &amp; Zampatti </w:t>
            </w:r>
            <w:r w:rsidR="008A7B59" w:rsidRPr="000D4911">
              <w:rPr>
                <w:sz w:val="20"/>
                <w:szCs w:val="20"/>
              </w:rPr>
              <w:t xml:space="preserve">2018, 2020; </w:t>
            </w:r>
            <w:r w:rsidR="006B2380" w:rsidRPr="000D4911">
              <w:rPr>
                <w:sz w:val="20"/>
                <w:szCs w:val="20"/>
              </w:rPr>
              <w:t xml:space="preserve">Kaminskas 2021; </w:t>
            </w:r>
            <w:r w:rsidR="00D71BF1" w:rsidRPr="000D4911">
              <w:rPr>
                <w:sz w:val="20"/>
                <w:szCs w:val="20"/>
              </w:rPr>
              <w:t>Stuart et al. 2021</w:t>
            </w:r>
            <w:r w:rsidR="006B2380" w:rsidRPr="000D4911">
              <w:rPr>
                <w:sz w:val="20"/>
                <w:szCs w:val="20"/>
              </w:rPr>
              <w:t xml:space="preserve">; Fredberg et al. </w:t>
            </w:r>
            <w:r w:rsidR="004B42ED" w:rsidRPr="000D4911">
              <w:rPr>
                <w:sz w:val="20"/>
                <w:szCs w:val="20"/>
              </w:rPr>
              <w:t>2022; DEW 2023</w:t>
            </w:r>
            <w:r w:rsidR="00774442" w:rsidRPr="000D4911">
              <w:rPr>
                <w:sz w:val="20"/>
                <w:szCs w:val="20"/>
              </w:rPr>
              <w:t>a</w:t>
            </w:r>
            <w:r w:rsidR="004B42ED" w:rsidRPr="000D4911">
              <w:rPr>
                <w:sz w:val="20"/>
                <w:szCs w:val="20"/>
              </w:rPr>
              <w:t xml:space="preserve">; </w:t>
            </w:r>
            <w:r w:rsidR="00D71BF1" w:rsidRPr="000D4911">
              <w:rPr>
                <w:sz w:val="20"/>
                <w:szCs w:val="20"/>
              </w:rPr>
              <w:t xml:space="preserve"> </w:t>
            </w:r>
            <w:r w:rsidR="0099746F" w:rsidRPr="000D4911">
              <w:rPr>
                <w:sz w:val="20"/>
                <w:szCs w:val="20"/>
              </w:rPr>
              <w:t xml:space="preserve">Humphries 2023; </w:t>
            </w:r>
            <w:r w:rsidR="00D71BF1" w:rsidRPr="000D4911">
              <w:rPr>
                <w:sz w:val="20"/>
                <w:szCs w:val="20"/>
              </w:rPr>
              <w:t>Fanson et al. 2024; Schilling et al. 2024</w:t>
            </w:r>
            <w:r w:rsidR="006B2380" w:rsidRPr="000D4911">
              <w:rPr>
                <w:sz w:val="20"/>
                <w:szCs w:val="20"/>
              </w:rPr>
              <w:t>.</w:t>
            </w:r>
          </w:p>
        </w:tc>
      </w:tr>
      <w:tr w:rsidR="00DF2A34" w:rsidRPr="0055753D" w14:paraId="6C1E5962" w14:textId="77777777" w:rsidTr="000E6894">
        <w:tc>
          <w:tcPr>
            <w:tcW w:w="809" w:type="pct"/>
          </w:tcPr>
          <w:p w14:paraId="06AF8C6B" w14:textId="77777777" w:rsidR="00DF2A34" w:rsidRPr="000E6894" w:rsidRDefault="00DF2A34" w:rsidP="00612874">
            <w:pPr>
              <w:keepNext/>
              <w:spacing w:after="0"/>
              <w:ind w:left="34"/>
              <w:rPr>
                <w:b/>
                <w:bCs/>
              </w:rPr>
            </w:pPr>
            <w:r w:rsidRPr="000E6894">
              <w:rPr>
                <w:b/>
                <w:bCs/>
              </w:rPr>
              <w:lastRenderedPageBreak/>
              <w:t>Congolli</w:t>
            </w:r>
          </w:p>
          <w:p w14:paraId="17AA8D43" w14:textId="77777777" w:rsidR="00DF2A34" w:rsidRPr="000E6894" w:rsidRDefault="00DF2A34" w:rsidP="00891625">
            <w:pPr>
              <w:spacing w:after="0"/>
              <w:ind w:left="34"/>
              <w:rPr>
                <w:i/>
              </w:rPr>
            </w:pPr>
            <w:r w:rsidRPr="000E6894">
              <w:rPr>
                <w:i/>
              </w:rPr>
              <w:t>Pseudaphritis urvillii</w:t>
            </w:r>
          </w:p>
        </w:tc>
        <w:tc>
          <w:tcPr>
            <w:tcW w:w="1578" w:type="pct"/>
          </w:tcPr>
          <w:p w14:paraId="04F9F326" w14:textId="77777777" w:rsidR="00DF2A34" w:rsidRPr="000D4911" w:rsidRDefault="00DF2A34" w:rsidP="0012104E">
            <w:pPr>
              <w:pStyle w:val="ListBullet"/>
              <w:numPr>
                <w:ilvl w:val="0"/>
                <w:numId w:val="25"/>
              </w:numPr>
              <w:spacing w:after="0"/>
              <w:rPr>
                <w:sz w:val="20"/>
                <w:szCs w:val="20"/>
              </w:rPr>
            </w:pPr>
            <w:r w:rsidRPr="000D4911">
              <w:rPr>
                <w:sz w:val="20"/>
                <w:szCs w:val="20"/>
              </w:rPr>
              <w:t>estuarine/freshwater species - in channel, terminal wetlands, lowland streams</w:t>
            </w:r>
          </w:p>
          <w:p w14:paraId="03F1A7F0"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opportunistic benthic carnivore</w:t>
            </w:r>
          </w:p>
          <w:p w14:paraId="68C45F54"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diadromous species (catadromous)</w:t>
            </w:r>
          </w:p>
        </w:tc>
        <w:tc>
          <w:tcPr>
            <w:tcW w:w="1766" w:type="pct"/>
          </w:tcPr>
          <w:p w14:paraId="5089FBB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migrates upstream (up to 215 km)</w:t>
            </w:r>
          </w:p>
          <w:p w14:paraId="588BAD3F"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highest adult female abundance in freshwater; males in coastal/estuarine zones</w:t>
            </w:r>
          </w:p>
          <w:p w14:paraId="0182221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moves downstream to estuaries to spawn in autumn/winter</w:t>
            </w:r>
          </w:p>
          <w:p w14:paraId="78622B16"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prefers habitat with soft silt or sand in which can bury, or lots of instream vegetation cover</w:t>
            </w:r>
          </w:p>
          <w:p w14:paraId="691BD251"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opportunistic benthic carnivore</w:t>
            </w:r>
          </w:p>
        </w:tc>
        <w:tc>
          <w:tcPr>
            <w:tcW w:w="847" w:type="pct"/>
          </w:tcPr>
          <w:p w14:paraId="6B606562" w14:textId="4628C2E3" w:rsidR="00DF2A34" w:rsidRPr="000D4911" w:rsidRDefault="00DF2A34" w:rsidP="00FE38B4">
            <w:pPr>
              <w:pStyle w:val="TableText0"/>
              <w:rPr>
                <w:sz w:val="20"/>
                <w:szCs w:val="20"/>
              </w:rPr>
            </w:pPr>
            <w:r w:rsidRPr="000D4911">
              <w:rPr>
                <w:sz w:val="20"/>
                <w:szCs w:val="20"/>
              </w:rPr>
              <w:t>Bice et al. 2007</w:t>
            </w:r>
            <w:r w:rsidR="00171B67" w:rsidRPr="000D4911">
              <w:rPr>
                <w:sz w:val="20"/>
                <w:szCs w:val="20"/>
              </w:rPr>
              <w:t xml:space="preserve">, </w:t>
            </w:r>
            <w:r w:rsidR="007C4906" w:rsidRPr="000D4911">
              <w:rPr>
                <w:sz w:val="20"/>
                <w:szCs w:val="20"/>
              </w:rPr>
              <w:t>2017b, 2018a, b; 2020, 2021, 2023</w:t>
            </w:r>
            <w:r w:rsidRPr="000D4911">
              <w:rPr>
                <w:sz w:val="20"/>
                <w:szCs w:val="20"/>
              </w:rPr>
              <w:t>; DEH 2008; Bice 2010; Hortle 1978 in Zampatti et al. 2011</w:t>
            </w:r>
            <w:r w:rsidR="001E24E6" w:rsidRPr="000D4911">
              <w:rPr>
                <w:sz w:val="20"/>
                <w:szCs w:val="20"/>
              </w:rPr>
              <w:t>a</w:t>
            </w:r>
            <w:r w:rsidRPr="000D4911">
              <w:rPr>
                <w:sz w:val="20"/>
                <w:szCs w:val="20"/>
              </w:rPr>
              <w:t xml:space="preserve">, </w:t>
            </w:r>
            <w:r w:rsidR="001E24E6" w:rsidRPr="000D4911">
              <w:rPr>
                <w:sz w:val="20"/>
                <w:szCs w:val="20"/>
              </w:rPr>
              <w:t>b</w:t>
            </w:r>
            <w:r w:rsidR="00B32626" w:rsidRPr="000D4911">
              <w:rPr>
                <w:sz w:val="20"/>
                <w:szCs w:val="20"/>
              </w:rPr>
              <w:t xml:space="preserve">; </w:t>
            </w:r>
            <w:r w:rsidR="00DE7CDF" w:rsidRPr="000D4911">
              <w:rPr>
                <w:sz w:val="20"/>
                <w:szCs w:val="20"/>
              </w:rPr>
              <w:t xml:space="preserve">Ye et al. 2012; Reinfelds et al. 2013; </w:t>
            </w:r>
            <w:r w:rsidR="00675979" w:rsidRPr="000D4911">
              <w:rPr>
                <w:sz w:val="20"/>
                <w:szCs w:val="20"/>
                <w:lang w:val="it-IT"/>
              </w:rPr>
              <w:t xml:space="preserve">Mallen-Cooper &amp; Zampatti 2018; </w:t>
            </w:r>
            <w:r w:rsidR="00B32626" w:rsidRPr="000D4911">
              <w:rPr>
                <w:sz w:val="20"/>
                <w:szCs w:val="20"/>
              </w:rPr>
              <w:t>Bice 2023</w:t>
            </w:r>
            <w:r w:rsidR="00675979" w:rsidRPr="000D4911">
              <w:rPr>
                <w:sz w:val="20"/>
                <w:szCs w:val="20"/>
              </w:rPr>
              <w:t>.</w:t>
            </w:r>
          </w:p>
        </w:tc>
      </w:tr>
      <w:tr w:rsidR="00DF2A34" w:rsidRPr="0055753D" w14:paraId="3EA413D3" w14:textId="77777777" w:rsidTr="000E6894">
        <w:tc>
          <w:tcPr>
            <w:tcW w:w="809" w:type="pct"/>
          </w:tcPr>
          <w:p w14:paraId="6357FD4F" w14:textId="77777777" w:rsidR="00DF2A34" w:rsidRPr="000E6894" w:rsidRDefault="00DF2A34" w:rsidP="00891625">
            <w:pPr>
              <w:spacing w:after="0"/>
              <w:ind w:left="34"/>
              <w:rPr>
                <w:b/>
              </w:rPr>
            </w:pPr>
            <w:r w:rsidRPr="000E6894">
              <w:rPr>
                <w:b/>
              </w:rPr>
              <w:t xml:space="preserve">Lampreys </w:t>
            </w:r>
          </w:p>
          <w:p w14:paraId="419DB184" w14:textId="77777777" w:rsidR="00DF2A34" w:rsidRPr="000E6894" w:rsidRDefault="00DF2A34" w:rsidP="00891625">
            <w:pPr>
              <w:spacing w:after="0"/>
              <w:ind w:left="34"/>
              <w:rPr>
                <w:i/>
              </w:rPr>
            </w:pPr>
            <w:r w:rsidRPr="000E6894">
              <w:rPr>
                <w:i/>
              </w:rPr>
              <w:t>Geotria australis/ Mordacia mordax</w:t>
            </w:r>
          </w:p>
          <w:p w14:paraId="59AFEB6B" w14:textId="77777777" w:rsidR="00DF2A34" w:rsidRPr="000E6894" w:rsidRDefault="00DF2A34" w:rsidP="00891625">
            <w:pPr>
              <w:spacing w:after="0"/>
              <w:ind w:left="33"/>
            </w:pPr>
          </w:p>
        </w:tc>
        <w:tc>
          <w:tcPr>
            <w:tcW w:w="1578" w:type="pct"/>
          </w:tcPr>
          <w:p w14:paraId="4CE7593D"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diadromous species (anadromous)</w:t>
            </w:r>
          </w:p>
        </w:tc>
        <w:tc>
          <w:tcPr>
            <w:tcW w:w="1766" w:type="pct"/>
          </w:tcPr>
          <w:p w14:paraId="62574C2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lives mostly in sea but migrates into freshwater to breed</w:t>
            </w:r>
          </w:p>
        </w:tc>
        <w:tc>
          <w:tcPr>
            <w:tcW w:w="847" w:type="pct"/>
          </w:tcPr>
          <w:p w14:paraId="4A126471" w14:textId="403D84B3" w:rsidR="00DF2A34" w:rsidRPr="000D4911" w:rsidRDefault="00DF2A34" w:rsidP="00FE38B4">
            <w:pPr>
              <w:pStyle w:val="TableText0"/>
              <w:rPr>
                <w:sz w:val="20"/>
                <w:szCs w:val="20"/>
                <w:lang w:val="it-IT"/>
              </w:rPr>
            </w:pPr>
            <w:r w:rsidRPr="000D4911">
              <w:rPr>
                <w:sz w:val="20"/>
                <w:szCs w:val="20"/>
                <w:lang w:val="it-IT"/>
              </w:rPr>
              <w:t>Zampatti et al. 2011</w:t>
            </w:r>
            <w:r w:rsidR="001E24E6" w:rsidRPr="000D4911">
              <w:rPr>
                <w:sz w:val="20"/>
                <w:szCs w:val="20"/>
                <w:lang w:val="it-IT"/>
              </w:rPr>
              <w:t>a</w:t>
            </w:r>
            <w:r w:rsidRPr="000D4911">
              <w:rPr>
                <w:sz w:val="20"/>
                <w:szCs w:val="20"/>
                <w:lang w:val="it-IT"/>
              </w:rPr>
              <w:t>,</w:t>
            </w:r>
            <w:r w:rsidR="009803EA" w:rsidRPr="000D4911">
              <w:rPr>
                <w:sz w:val="20"/>
                <w:szCs w:val="20"/>
                <w:lang w:val="it-IT"/>
              </w:rPr>
              <w:t xml:space="preserve"> </w:t>
            </w:r>
            <w:r w:rsidR="001E24E6" w:rsidRPr="000D4911">
              <w:rPr>
                <w:sz w:val="20"/>
                <w:szCs w:val="20"/>
                <w:lang w:val="it-IT"/>
              </w:rPr>
              <w:t>b</w:t>
            </w:r>
            <w:r w:rsidR="00613B77" w:rsidRPr="000D4911">
              <w:rPr>
                <w:sz w:val="20"/>
                <w:szCs w:val="20"/>
                <w:lang w:val="it-IT"/>
              </w:rPr>
              <w:t xml:space="preserve">; Bice et al. </w:t>
            </w:r>
            <w:r w:rsidR="00292AAD" w:rsidRPr="000D4911">
              <w:rPr>
                <w:sz w:val="20"/>
                <w:szCs w:val="20"/>
                <w:lang w:val="it-IT"/>
              </w:rPr>
              <w:t>2017</w:t>
            </w:r>
            <w:r w:rsidR="00C81676" w:rsidRPr="000D4911">
              <w:rPr>
                <w:sz w:val="20"/>
                <w:szCs w:val="20"/>
                <w:lang w:val="it-IT"/>
              </w:rPr>
              <w:t xml:space="preserve">b, </w:t>
            </w:r>
            <w:r w:rsidR="00613B77" w:rsidRPr="000D4911">
              <w:rPr>
                <w:sz w:val="20"/>
                <w:szCs w:val="20"/>
                <w:lang w:val="it-IT"/>
              </w:rPr>
              <w:t>2018</w:t>
            </w:r>
            <w:r w:rsidR="00E530EA" w:rsidRPr="000D4911">
              <w:rPr>
                <w:sz w:val="20"/>
                <w:szCs w:val="20"/>
                <w:lang w:val="it-IT"/>
              </w:rPr>
              <w:t>a</w:t>
            </w:r>
            <w:r w:rsidR="00AA2EE4" w:rsidRPr="000D4911">
              <w:rPr>
                <w:sz w:val="20"/>
                <w:szCs w:val="20"/>
                <w:lang w:val="it-IT"/>
              </w:rPr>
              <w:t>, 2021</w:t>
            </w:r>
            <w:r w:rsidR="00675979" w:rsidRPr="000D4911">
              <w:rPr>
                <w:sz w:val="20"/>
                <w:szCs w:val="20"/>
                <w:lang w:val="it-IT"/>
              </w:rPr>
              <w:t>; Mallen-Cooper &amp; Zampatti 2018.</w:t>
            </w:r>
          </w:p>
        </w:tc>
      </w:tr>
      <w:tr w:rsidR="00DF2A34" w:rsidRPr="0055753D" w14:paraId="236C69F2" w14:textId="77777777" w:rsidTr="000E6894">
        <w:tc>
          <w:tcPr>
            <w:tcW w:w="809" w:type="pct"/>
          </w:tcPr>
          <w:p w14:paraId="37995826" w14:textId="77777777" w:rsidR="00DF2A34" w:rsidRPr="000E6894" w:rsidRDefault="00DF2A34" w:rsidP="00891625">
            <w:pPr>
              <w:spacing w:after="0"/>
              <w:ind w:left="34"/>
            </w:pPr>
            <w:r w:rsidRPr="000E6894">
              <w:rPr>
                <w:b/>
              </w:rPr>
              <w:t>Assemblage small-bodied fish</w:t>
            </w:r>
            <w:r w:rsidRPr="000E6894">
              <w:t xml:space="preserve"> (various species)</w:t>
            </w:r>
          </w:p>
          <w:p w14:paraId="10D7831F" w14:textId="77777777" w:rsidR="00DF2A34" w:rsidRPr="000E6894" w:rsidRDefault="00DF2A34" w:rsidP="00891625">
            <w:pPr>
              <w:spacing w:after="0"/>
              <w:ind w:left="34"/>
            </w:pPr>
            <w:r w:rsidRPr="000E6894">
              <w:t>e.g. Murray hardyhead</w:t>
            </w:r>
          </w:p>
          <w:p w14:paraId="36CE0385" w14:textId="77777777" w:rsidR="00DF2A34" w:rsidRPr="000E6894" w:rsidRDefault="00DF2A34" w:rsidP="00891625">
            <w:pPr>
              <w:spacing w:after="0"/>
              <w:ind w:left="34"/>
              <w:rPr>
                <w:i/>
              </w:rPr>
            </w:pPr>
            <w:r w:rsidRPr="000E6894">
              <w:rPr>
                <w:i/>
              </w:rPr>
              <w:t>Craterocephalus fluviatilis</w:t>
            </w:r>
          </w:p>
          <w:p w14:paraId="1869D531" w14:textId="77777777" w:rsidR="00DF2A34" w:rsidRPr="000E6894" w:rsidRDefault="00DF2A34" w:rsidP="00891625">
            <w:pPr>
              <w:spacing w:after="0"/>
              <w:ind w:left="34"/>
            </w:pPr>
            <w:r w:rsidRPr="000E6894">
              <w:t>Yarra pygmy perch</w:t>
            </w:r>
          </w:p>
          <w:p w14:paraId="2F248468" w14:textId="77777777" w:rsidR="00DF2A34" w:rsidRPr="000E6894" w:rsidRDefault="00DF2A34" w:rsidP="00891625">
            <w:pPr>
              <w:spacing w:after="0"/>
              <w:ind w:left="34"/>
              <w:rPr>
                <w:i/>
              </w:rPr>
            </w:pPr>
            <w:r w:rsidRPr="000E6894">
              <w:rPr>
                <w:i/>
              </w:rPr>
              <w:t>Nannoperca obscura</w:t>
            </w:r>
          </w:p>
          <w:p w14:paraId="26F847D3" w14:textId="77777777" w:rsidR="00DF2A34" w:rsidRPr="000E6894" w:rsidRDefault="00DF2A34" w:rsidP="00891625">
            <w:pPr>
              <w:spacing w:after="0"/>
              <w:ind w:left="34"/>
            </w:pPr>
            <w:r w:rsidRPr="000E6894">
              <w:t>Small mouth hardyhead</w:t>
            </w:r>
          </w:p>
          <w:p w14:paraId="1DE82C6A" w14:textId="77777777" w:rsidR="00DF2A34" w:rsidRPr="000E6894" w:rsidRDefault="00DF2A34" w:rsidP="00891625">
            <w:pPr>
              <w:spacing w:after="0"/>
              <w:ind w:left="34"/>
              <w:rPr>
                <w:i/>
              </w:rPr>
            </w:pPr>
            <w:r w:rsidRPr="000E6894">
              <w:rPr>
                <w:i/>
              </w:rPr>
              <w:t>Atherinosoma microstoma</w:t>
            </w:r>
          </w:p>
        </w:tc>
        <w:tc>
          <w:tcPr>
            <w:tcW w:w="1578" w:type="pct"/>
          </w:tcPr>
          <w:p w14:paraId="253F94A0" w14:textId="136A3D20" w:rsidR="0093331E" w:rsidRPr="000D4911" w:rsidRDefault="00226D40" w:rsidP="0012104E">
            <w:pPr>
              <w:pStyle w:val="ListBullet"/>
              <w:numPr>
                <w:ilvl w:val="0"/>
                <w:numId w:val="25"/>
              </w:numPr>
              <w:spacing w:after="0"/>
              <w:rPr>
                <w:sz w:val="20"/>
                <w:szCs w:val="20"/>
              </w:rPr>
            </w:pPr>
            <w:r w:rsidRPr="000D4911">
              <w:rPr>
                <w:sz w:val="20"/>
                <w:szCs w:val="20"/>
              </w:rPr>
              <w:t>wetland ecological specialists</w:t>
            </w:r>
            <w:r w:rsidR="00292091" w:rsidRPr="000D4911">
              <w:rPr>
                <w:sz w:val="20"/>
                <w:szCs w:val="20"/>
              </w:rPr>
              <w:t xml:space="preserve">—dependent on macrophytes and </w:t>
            </w:r>
            <w:r w:rsidR="0015229B" w:rsidRPr="000D4911">
              <w:rPr>
                <w:sz w:val="20"/>
                <w:szCs w:val="20"/>
              </w:rPr>
              <w:t>low flows</w:t>
            </w:r>
          </w:p>
          <w:p w14:paraId="6EFCB246" w14:textId="458078B5" w:rsidR="00DF2A34" w:rsidRPr="000D4911" w:rsidRDefault="00292091" w:rsidP="0012104E">
            <w:pPr>
              <w:pStyle w:val="ListBullet"/>
              <w:numPr>
                <w:ilvl w:val="0"/>
                <w:numId w:val="25"/>
              </w:numPr>
              <w:spacing w:after="0"/>
              <w:rPr>
                <w:sz w:val="20"/>
                <w:szCs w:val="20"/>
              </w:rPr>
            </w:pPr>
            <w:r w:rsidRPr="000D4911">
              <w:rPr>
                <w:sz w:val="20"/>
                <w:szCs w:val="20"/>
              </w:rPr>
              <w:t>convert resources at base of food chain (plant detritus, epiphytes, zooplankton</w:t>
            </w:r>
            <w:r w:rsidR="000C136A" w:rsidRPr="000D4911">
              <w:rPr>
                <w:sz w:val="20"/>
                <w:szCs w:val="20"/>
              </w:rPr>
              <w:t>, insect larve,</w:t>
            </w:r>
            <w:r w:rsidRPr="000D4911">
              <w:rPr>
                <w:sz w:val="20"/>
                <w:szCs w:val="20"/>
              </w:rPr>
              <w:t xml:space="preserve"> etc.) </w:t>
            </w:r>
          </w:p>
          <w:p w14:paraId="610539BD" w14:textId="77777777" w:rsidR="00DF2A34" w:rsidRPr="000D4911" w:rsidRDefault="00DF2A34" w:rsidP="0012104E">
            <w:pPr>
              <w:pStyle w:val="ListBullet"/>
              <w:numPr>
                <w:ilvl w:val="0"/>
                <w:numId w:val="25"/>
              </w:numPr>
              <w:spacing w:after="0"/>
              <w:rPr>
                <w:sz w:val="20"/>
                <w:szCs w:val="20"/>
              </w:rPr>
            </w:pPr>
            <w:r w:rsidRPr="000D4911">
              <w:rPr>
                <w:sz w:val="20"/>
                <w:szCs w:val="20"/>
              </w:rPr>
              <w:t>important prey items for higher trophic levels, particularly large</w:t>
            </w:r>
            <w:r w:rsidR="004C5C4A" w:rsidRPr="000D4911">
              <w:rPr>
                <w:sz w:val="20"/>
                <w:szCs w:val="20"/>
              </w:rPr>
              <w:t>-</w:t>
            </w:r>
            <w:r w:rsidRPr="000D4911">
              <w:rPr>
                <w:sz w:val="20"/>
                <w:szCs w:val="20"/>
              </w:rPr>
              <w:t>bodied fishes and piscivorous birds</w:t>
            </w:r>
          </w:p>
          <w:p w14:paraId="6F502A7A" w14:textId="4B486275" w:rsidR="00E33D6C" w:rsidRPr="000D4911" w:rsidRDefault="00E33D6C" w:rsidP="0012104E">
            <w:pPr>
              <w:pStyle w:val="ListBullet"/>
              <w:numPr>
                <w:ilvl w:val="0"/>
                <w:numId w:val="25"/>
              </w:numPr>
              <w:spacing w:after="0"/>
              <w:rPr>
                <w:sz w:val="20"/>
                <w:szCs w:val="20"/>
              </w:rPr>
            </w:pPr>
            <w:r w:rsidRPr="000D4911">
              <w:rPr>
                <w:sz w:val="20"/>
                <w:szCs w:val="20"/>
              </w:rPr>
              <w:t>graze zooplankton and invertebrates</w:t>
            </w:r>
          </w:p>
        </w:tc>
        <w:tc>
          <w:tcPr>
            <w:tcW w:w="1766" w:type="pct"/>
          </w:tcPr>
          <w:p w14:paraId="717A7EAE" w14:textId="31579302"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dependent on macrophytes for habitat – reproduction</w:t>
            </w:r>
            <w:r w:rsidR="00292091" w:rsidRPr="000D4911">
              <w:rPr>
                <w:sz w:val="20"/>
                <w:szCs w:val="20"/>
              </w:rPr>
              <w:t>, shelter,</w:t>
            </w:r>
            <w:r w:rsidRPr="000D4911">
              <w:rPr>
                <w:sz w:val="20"/>
                <w:szCs w:val="20"/>
              </w:rPr>
              <w:t xml:space="preserve"> and feeding</w:t>
            </w:r>
          </w:p>
          <w:p w14:paraId="02AA8138" w14:textId="77777777" w:rsidR="0048680A" w:rsidRPr="000D4911" w:rsidRDefault="0048680A" w:rsidP="0012104E">
            <w:pPr>
              <w:pStyle w:val="ListBullet"/>
              <w:numPr>
                <w:ilvl w:val="0"/>
                <w:numId w:val="25"/>
              </w:numPr>
              <w:tabs>
                <w:tab w:val="num" w:pos="360"/>
              </w:tabs>
              <w:spacing w:after="0"/>
              <w:rPr>
                <w:sz w:val="20"/>
                <w:szCs w:val="20"/>
              </w:rPr>
            </w:pPr>
            <w:r w:rsidRPr="000D4911">
              <w:rPr>
                <w:sz w:val="20"/>
                <w:szCs w:val="20"/>
              </w:rPr>
              <w:t xml:space="preserve">short-lived (&lt; 2 y) </w:t>
            </w:r>
          </w:p>
          <w:p w14:paraId="7BA0C4FF" w14:textId="77777777" w:rsidR="000C136A" w:rsidRPr="000D4911" w:rsidRDefault="000C136A" w:rsidP="0012104E">
            <w:pPr>
              <w:pStyle w:val="ListBullet"/>
              <w:numPr>
                <w:ilvl w:val="0"/>
                <w:numId w:val="25"/>
              </w:numPr>
              <w:tabs>
                <w:tab w:val="num" w:pos="360"/>
              </w:tabs>
              <w:spacing w:after="0"/>
              <w:rPr>
                <w:sz w:val="20"/>
                <w:szCs w:val="20"/>
              </w:rPr>
            </w:pPr>
            <w:r w:rsidRPr="000D4911">
              <w:rPr>
                <w:sz w:val="20"/>
                <w:szCs w:val="20"/>
              </w:rPr>
              <w:t>freshwater species, with MH adults tolerant of saline waters (adults can survive &gt; 90 ppt; larvae, 30 ppt)</w:t>
            </w:r>
          </w:p>
          <w:p w14:paraId="786B560F" w14:textId="386E5432"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wide range of spawning strategies, including main channel generalists, wetland specialist and low flow specialists</w:t>
            </w:r>
            <w:r w:rsidR="00292091" w:rsidRPr="000D4911">
              <w:rPr>
                <w:sz w:val="20"/>
                <w:szCs w:val="20"/>
              </w:rPr>
              <w:t xml:space="preserve">—with </w:t>
            </w:r>
            <w:r w:rsidRPr="000D4911">
              <w:rPr>
                <w:sz w:val="20"/>
                <w:szCs w:val="20"/>
              </w:rPr>
              <w:t>most species falling into more than one of these categories</w:t>
            </w:r>
          </w:p>
          <w:p w14:paraId="30224E5A" w14:textId="77777777" w:rsidR="002B6F3A" w:rsidRPr="000D4911" w:rsidRDefault="004E1671" w:rsidP="0012104E">
            <w:pPr>
              <w:pStyle w:val="ListBullet"/>
              <w:numPr>
                <w:ilvl w:val="0"/>
                <w:numId w:val="25"/>
              </w:numPr>
              <w:tabs>
                <w:tab w:val="num" w:pos="360"/>
              </w:tabs>
              <w:spacing w:after="0"/>
              <w:rPr>
                <w:sz w:val="20"/>
                <w:szCs w:val="20"/>
              </w:rPr>
            </w:pPr>
            <w:r w:rsidRPr="000D4911">
              <w:rPr>
                <w:sz w:val="20"/>
                <w:szCs w:val="20"/>
              </w:rPr>
              <w:t>MH – spawn spring-summer (Sept. to March); lays eggs on submerged vegetation</w:t>
            </w:r>
          </w:p>
          <w:p w14:paraId="035ADCDD" w14:textId="4EFDB966" w:rsidR="00CB1080" w:rsidRPr="000D4911" w:rsidRDefault="00CB1080" w:rsidP="0012104E">
            <w:pPr>
              <w:pStyle w:val="ListBullet"/>
              <w:numPr>
                <w:ilvl w:val="0"/>
                <w:numId w:val="25"/>
              </w:numPr>
              <w:tabs>
                <w:tab w:val="num" w:pos="360"/>
              </w:tabs>
              <w:spacing w:after="0"/>
              <w:rPr>
                <w:sz w:val="20"/>
                <w:szCs w:val="20"/>
              </w:rPr>
            </w:pPr>
            <w:r w:rsidRPr="000D4911">
              <w:rPr>
                <w:sz w:val="20"/>
                <w:szCs w:val="20"/>
              </w:rPr>
              <w:t xml:space="preserve">SPSG </w:t>
            </w:r>
            <w:r w:rsidR="000327E8" w:rsidRPr="000D4911">
              <w:rPr>
                <w:sz w:val="20"/>
                <w:szCs w:val="20"/>
              </w:rPr>
              <w:t>–</w:t>
            </w:r>
            <w:r w:rsidRPr="000D4911">
              <w:rPr>
                <w:sz w:val="20"/>
                <w:szCs w:val="20"/>
              </w:rPr>
              <w:t xml:space="preserve"> </w:t>
            </w:r>
            <w:r w:rsidR="000327E8" w:rsidRPr="000D4911">
              <w:rPr>
                <w:sz w:val="20"/>
                <w:szCs w:val="20"/>
              </w:rPr>
              <w:t>spawn summer</w:t>
            </w:r>
            <w:r w:rsidR="005706BF" w:rsidRPr="000D4911">
              <w:rPr>
                <w:sz w:val="20"/>
                <w:szCs w:val="20"/>
              </w:rPr>
              <w:t xml:space="preserve"> (above 20 C); eggs on firm substrates &amp; guarded by male</w:t>
            </w:r>
          </w:p>
        </w:tc>
        <w:tc>
          <w:tcPr>
            <w:tcW w:w="847" w:type="pct"/>
          </w:tcPr>
          <w:p w14:paraId="4FD7C34E" w14:textId="5FF9749A" w:rsidR="00DF2A34" w:rsidRPr="000D4911" w:rsidRDefault="00DF2A34" w:rsidP="00D422F6">
            <w:pPr>
              <w:pStyle w:val="TableText0"/>
              <w:rPr>
                <w:sz w:val="20"/>
                <w:szCs w:val="20"/>
              </w:rPr>
            </w:pPr>
            <w:r w:rsidRPr="000D4911">
              <w:rPr>
                <w:sz w:val="20"/>
                <w:szCs w:val="20"/>
              </w:rPr>
              <w:t xml:space="preserve">Lloyd </w:t>
            </w:r>
            <w:r w:rsidR="009803EA" w:rsidRPr="000D4911">
              <w:rPr>
                <w:sz w:val="20"/>
                <w:szCs w:val="20"/>
              </w:rPr>
              <w:t xml:space="preserve">&amp; </w:t>
            </w:r>
            <w:r w:rsidRPr="000D4911">
              <w:rPr>
                <w:sz w:val="20"/>
                <w:szCs w:val="20"/>
              </w:rPr>
              <w:t>Walker 1986; Humphries et al. 1999; Hammer 2004; McNeil et al. 2007; Hammer et al. 2009; Bice 2010; McNeil et al. 2011</w:t>
            </w:r>
            <w:r w:rsidR="002F1CAA" w:rsidRPr="000D4911">
              <w:rPr>
                <w:sz w:val="20"/>
                <w:szCs w:val="20"/>
              </w:rPr>
              <w:t>; Wedderburn et al. 2012, 2014</w:t>
            </w:r>
            <w:r w:rsidR="00890A96" w:rsidRPr="000D4911">
              <w:rPr>
                <w:sz w:val="20"/>
                <w:szCs w:val="20"/>
              </w:rPr>
              <w:t xml:space="preserve">, 2017, 2019, 2020, 2022, 2023; </w:t>
            </w:r>
            <w:r w:rsidR="0099746F" w:rsidRPr="000D4911">
              <w:rPr>
                <w:sz w:val="20"/>
                <w:szCs w:val="20"/>
              </w:rPr>
              <w:t>Hump</w:t>
            </w:r>
            <w:r w:rsidR="00BE702B" w:rsidRPr="000D4911">
              <w:rPr>
                <w:sz w:val="20"/>
                <w:szCs w:val="20"/>
              </w:rPr>
              <w:t xml:space="preserve">hries &amp; Walker 2013 ; </w:t>
            </w:r>
            <w:r w:rsidR="00EF1A38" w:rsidRPr="000D4911">
              <w:rPr>
                <w:sz w:val="20"/>
                <w:szCs w:val="20"/>
              </w:rPr>
              <w:t>Sad</w:t>
            </w:r>
            <w:r w:rsidR="00EE50F5" w:rsidRPr="000D4911">
              <w:rPr>
                <w:sz w:val="20"/>
                <w:szCs w:val="20"/>
              </w:rPr>
              <w:t>d</w:t>
            </w:r>
            <w:r w:rsidR="00EF1A38" w:rsidRPr="000D4911">
              <w:rPr>
                <w:sz w:val="20"/>
                <w:szCs w:val="20"/>
              </w:rPr>
              <w:t xml:space="preserve">lier et al. 2013 ; </w:t>
            </w:r>
            <w:r w:rsidR="00DE0380" w:rsidRPr="000D4911">
              <w:rPr>
                <w:sz w:val="20"/>
                <w:szCs w:val="20"/>
              </w:rPr>
              <w:t xml:space="preserve">Attard et al. 2016; </w:t>
            </w:r>
            <w:r w:rsidR="00E76A40" w:rsidRPr="000D4911">
              <w:rPr>
                <w:sz w:val="20"/>
                <w:szCs w:val="20"/>
              </w:rPr>
              <w:t>Cole et al. 201</w:t>
            </w:r>
            <w:r w:rsidR="004F0CB3" w:rsidRPr="000D4911">
              <w:rPr>
                <w:sz w:val="20"/>
                <w:szCs w:val="20"/>
              </w:rPr>
              <w:t>6</w:t>
            </w:r>
            <w:r w:rsidR="00E76A40" w:rsidRPr="000D4911">
              <w:rPr>
                <w:sz w:val="20"/>
                <w:szCs w:val="20"/>
              </w:rPr>
              <w:t>:</w:t>
            </w:r>
            <w:r w:rsidR="004F0CB3" w:rsidRPr="000D4911">
              <w:rPr>
                <w:sz w:val="20"/>
                <w:szCs w:val="20"/>
              </w:rPr>
              <w:t xml:space="preserve"> </w:t>
            </w:r>
            <w:r w:rsidR="00A97E24" w:rsidRPr="000D4911">
              <w:rPr>
                <w:sz w:val="20"/>
                <w:szCs w:val="20"/>
              </w:rPr>
              <w:t xml:space="preserve">Koehn et al. 2017, 2020; </w:t>
            </w:r>
            <w:r w:rsidR="00C859CF" w:rsidRPr="000D4911">
              <w:rPr>
                <w:sz w:val="20"/>
                <w:szCs w:val="20"/>
              </w:rPr>
              <w:t xml:space="preserve">Lovett 2019; </w:t>
            </w:r>
            <w:r w:rsidR="002F1CAA" w:rsidRPr="000D4911">
              <w:rPr>
                <w:sz w:val="20"/>
                <w:szCs w:val="20"/>
              </w:rPr>
              <w:t>Whiterod 2019;</w:t>
            </w:r>
            <w:r w:rsidR="00701E9C" w:rsidRPr="000D4911">
              <w:rPr>
                <w:sz w:val="20"/>
                <w:szCs w:val="20"/>
              </w:rPr>
              <w:t xml:space="preserve"> Whiterod et al. 2019, 202</w:t>
            </w:r>
            <w:r w:rsidR="00D12B8F" w:rsidRPr="000D4911">
              <w:rPr>
                <w:sz w:val="20"/>
                <w:szCs w:val="20"/>
              </w:rPr>
              <w:t>1</w:t>
            </w:r>
            <w:r w:rsidR="00B847B8" w:rsidRPr="000D4911">
              <w:rPr>
                <w:sz w:val="20"/>
                <w:szCs w:val="20"/>
              </w:rPr>
              <w:t>;</w:t>
            </w:r>
            <w:r w:rsidR="002F1CAA" w:rsidRPr="000D4911">
              <w:rPr>
                <w:sz w:val="20"/>
                <w:szCs w:val="20"/>
              </w:rPr>
              <w:t xml:space="preserve"> </w:t>
            </w:r>
            <w:r w:rsidR="008D3A5F" w:rsidRPr="000D4911">
              <w:rPr>
                <w:sz w:val="20"/>
                <w:szCs w:val="20"/>
              </w:rPr>
              <w:t xml:space="preserve">Brauer &amp; Beheregaray 2020; </w:t>
            </w:r>
            <w:r w:rsidR="005C57CB" w:rsidRPr="000D4911">
              <w:rPr>
                <w:sz w:val="20"/>
                <w:szCs w:val="20"/>
              </w:rPr>
              <w:t xml:space="preserve">Theile et al. 2020; </w:t>
            </w:r>
            <w:r w:rsidR="00F936BA" w:rsidRPr="000D4911">
              <w:rPr>
                <w:sz w:val="20"/>
                <w:szCs w:val="20"/>
              </w:rPr>
              <w:t xml:space="preserve">Stoessel et al. 2020; </w:t>
            </w:r>
            <w:r w:rsidR="00754516" w:rsidRPr="000D4911">
              <w:rPr>
                <w:sz w:val="20"/>
                <w:szCs w:val="20"/>
              </w:rPr>
              <w:t xml:space="preserve">Beheregaray </w:t>
            </w:r>
            <w:r w:rsidR="0044738A" w:rsidRPr="000D4911">
              <w:rPr>
                <w:sz w:val="20"/>
                <w:szCs w:val="20"/>
              </w:rPr>
              <w:t>et al. 2021</w:t>
            </w:r>
            <w:r w:rsidR="0089677B" w:rsidRPr="000D4911">
              <w:rPr>
                <w:sz w:val="20"/>
                <w:szCs w:val="20"/>
              </w:rPr>
              <w:t xml:space="preserve">; </w:t>
            </w:r>
            <w:r w:rsidR="00952165" w:rsidRPr="000D4911">
              <w:rPr>
                <w:sz w:val="20"/>
                <w:szCs w:val="20"/>
              </w:rPr>
              <w:t>Zukow</w:t>
            </w:r>
            <w:r w:rsidR="00E33D6C" w:rsidRPr="000D4911">
              <w:rPr>
                <w:sz w:val="20"/>
                <w:szCs w:val="20"/>
              </w:rPr>
              <w:t xml:space="preserve">ski et al. 2021 ; </w:t>
            </w:r>
            <w:r w:rsidR="00623E3D" w:rsidRPr="000D4911">
              <w:rPr>
                <w:sz w:val="20"/>
                <w:szCs w:val="20"/>
              </w:rPr>
              <w:t xml:space="preserve">Buckley et al. 2023; </w:t>
            </w:r>
            <w:r w:rsidR="0089677B" w:rsidRPr="000D4911">
              <w:rPr>
                <w:sz w:val="20"/>
                <w:szCs w:val="20"/>
              </w:rPr>
              <w:t>Lintermans 2023</w:t>
            </w:r>
            <w:r w:rsidR="00623E3D" w:rsidRPr="000D4911">
              <w:rPr>
                <w:sz w:val="20"/>
                <w:szCs w:val="20"/>
              </w:rPr>
              <w:t xml:space="preserve">; </w:t>
            </w:r>
            <w:r w:rsidR="00623E3D" w:rsidRPr="000D4911">
              <w:rPr>
                <w:sz w:val="20"/>
                <w:szCs w:val="20"/>
              </w:rPr>
              <w:lastRenderedPageBreak/>
              <w:t>Wedderburn &amp; Bailey 2024</w:t>
            </w:r>
          </w:p>
        </w:tc>
      </w:tr>
      <w:tr w:rsidR="00DF2A34" w:rsidRPr="0055753D" w14:paraId="64F559F2" w14:textId="77777777" w:rsidTr="000E6894">
        <w:tc>
          <w:tcPr>
            <w:tcW w:w="809" w:type="pct"/>
          </w:tcPr>
          <w:p w14:paraId="11291DE4" w14:textId="77777777" w:rsidR="00DF2A34" w:rsidRPr="000E6894" w:rsidRDefault="00DF2A34" w:rsidP="00891625">
            <w:pPr>
              <w:spacing w:after="0"/>
              <w:ind w:left="34"/>
              <w:rPr>
                <w:b/>
                <w:lang w:val="it-IT"/>
              </w:rPr>
            </w:pPr>
            <w:r w:rsidRPr="000E6894">
              <w:rPr>
                <w:b/>
                <w:lang w:val="it-IT"/>
              </w:rPr>
              <w:lastRenderedPageBreak/>
              <w:t>Freshwater turtle</w:t>
            </w:r>
          </w:p>
          <w:p w14:paraId="716C7769" w14:textId="7A583EF0" w:rsidR="00DF2A34" w:rsidRPr="000E6894" w:rsidRDefault="00A35E2E" w:rsidP="00891625">
            <w:pPr>
              <w:spacing w:after="0"/>
              <w:ind w:left="34"/>
              <w:rPr>
                <w:lang w:val="it-IT"/>
              </w:rPr>
            </w:pPr>
            <w:r w:rsidRPr="000E6894">
              <w:rPr>
                <w:i/>
                <w:lang w:val="it-IT"/>
              </w:rPr>
              <w:t>Chelidina</w:t>
            </w:r>
            <w:r w:rsidR="00DF2A34" w:rsidRPr="000E6894">
              <w:rPr>
                <w:i/>
                <w:lang w:val="it-IT"/>
              </w:rPr>
              <w:t xml:space="preserve"> expansa</w:t>
            </w:r>
            <w:r w:rsidR="00DF2A34" w:rsidRPr="000E6894">
              <w:rPr>
                <w:lang w:val="it-IT"/>
              </w:rPr>
              <w:t xml:space="preserve"> (</w:t>
            </w:r>
            <w:r w:rsidR="00AC332E" w:rsidRPr="000E6894">
              <w:rPr>
                <w:lang w:val="it-IT"/>
              </w:rPr>
              <w:t>C</w:t>
            </w:r>
            <w:r w:rsidR="00DF2A34" w:rsidRPr="000E6894">
              <w:rPr>
                <w:lang w:val="it-IT"/>
              </w:rPr>
              <w:t>E)</w:t>
            </w:r>
          </w:p>
          <w:p w14:paraId="692DF133" w14:textId="77777777" w:rsidR="00DF2A34" w:rsidRPr="000E6894" w:rsidRDefault="00DF2A34" w:rsidP="00891625">
            <w:pPr>
              <w:spacing w:after="0"/>
              <w:ind w:left="34"/>
              <w:rPr>
                <w:lang w:val="it-IT"/>
              </w:rPr>
            </w:pPr>
            <w:r w:rsidRPr="000E6894">
              <w:rPr>
                <w:i/>
                <w:lang w:val="it-IT"/>
              </w:rPr>
              <w:t>Chelodina longicollis</w:t>
            </w:r>
            <w:r w:rsidRPr="000E6894">
              <w:rPr>
                <w:lang w:val="it-IT"/>
              </w:rPr>
              <w:t xml:space="preserve"> (CL)</w:t>
            </w:r>
          </w:p>
          <w:p w14:paraId="228B2DB0" w14:textId="77777777" w:rsidR="00DF2A34" w:rsidRPr="000E6894" w:rsidRDefault="00DF2A34" w:rsidP="00891625">
            <w:pPr>
              <w:spacing w:after="0"/>
              <w:ind w:left="34"/>
              <w:rPr>
                <w:lang w:val="fr-RE"/>
              </w:rPr>
            </w:pPr>
            <w:r w:rsidRPr="000E6894">
              <w:rPr>
                <w:i/>
                <w:lang w:val="fr-RE"/>
              </w:rPr>
              <w:t>Emydura macquarii</w:t>
            </w:r>
            <w:r w:rsidRPr="000E6894">
              <w:rPr>
                <w:lang w:val="fr-RE"/>
              </w:rPr>
              <w:t xml:space="preserve"> (EM)</w:t>
            </w:r>
          </w:p>
        </w:tc>
        <w:tc>
          <w:tcPr>
            <w:tcW w:w="1578" w:type="pct"/>
          </w:tcPr>
          <w:p w14:paraId="50646B97"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multiple functional groups</w:t>
            </w:r>
          </w:p>
          <w:p w14:paraId="61320EA8" w14:textId="580C319D" w:rsidR="003661F9" w:rsidRPr="000D4911" w:rsidRDefault="003661F9" w:rsidP="0012104E">
            <w:pPr>
              <w:pStyle w:val="ListBullet"/>
              <w:numPr>
                <w:ilvl w:val="0"/>
                <w:numId w:val="25"/>
              </w:numPr>
              <w:tabs>
                <w:tab w:val="num" w:pos="360"/>
              </w:tabs>
              <w:spacing w:after="0"/>
              <w:rPr>
                <w:sz w:val="20"/>
                <w:szCs w:val="20"/>
              </w:rPr>
            </w:pPr>
            <w:r w:rsidRPr="000D4911">
              <w:rPr>
                <w:sz w:val="20"/>
                <w:szCs w:val="20"/>
              </w:rPr>
              <w:t>nutrient recycling</w:t>
            </w:r>
          </w:p>
          <w:p w14:paraId="3780519A" w14:textId="77777777" w:rsidR="00DF2A34" w:rsidRPr="000D4911" w:rsidRDefault="00DF2A34" w:rsidP="0012104E">
            <w:pPr>
              <w:pStyle w:val="ListBullet"/>
              <w:numPr>
                <w:ilvl w:val="0"/>
                <w:numId w:val="25"/>
              </w:numPr>
              <w:spacing w:after="0"/>
              <w:rPr>
                <w:sz w:val="20"/>
                <w:szCs w:val="20"/>
              </w:rPr>
            </w:pPr>
            <w:r w:rsidRPr="000D4911">
              <w:rPr>
                <w:sz w:val="20"/>
                <w:szCs w:val="20"/>
              </w:rPr>
              <w:t>ME specialist predator (decapod crustaceans)</w:t>
            </w:r>
          </w:p>
          <w:p w14:paraId="50C7614D" w14:textId="42B5F7CF" w:rsidR="00DF2A34" w:rsidRPr="000D4911" w:rsidRDefault="00DF2A34" w:rsidP="0012104E">
            <w:pPr>
              <w:pStyle w:val="ListBullet"/>
              <w:numPr>
                <w:ilvl w:val="0"/>
                <w:numId w:val="25"/>
              </w:numPr>
              <w:spacing w:after="0"/>
              <w:rPr>
                <w:sz w:val="20"/>
                <w:szCs w:val="20"/>
              </w:rPr>
            </w:pPr>
            <w:r w:rsidRPr="000D4911">
              <w:rPr>
                <w:sz w:val="20"/>
                <w:szCs w:val="20"/>
              </w:rPr>
              <w:t>CL opportunistic carnivore (invertebrates, small fish)</w:t>
            </w:r>
          </w:p>
          <w:p w14:paraId="0BECB772" w14:textId="77777777" w:rsidR="00DF2A34" w:rsidRPr="000D4911" w:rsidRDefault="00DF2A34" w:rsidP="0012104E">
            <w:pPr>
              <w:pStyle w:val="ListBullet"/>
              <w:numPr>
                <w:ilvl w:val="0"/>
                <w:numId w:val="25"/>
              </w:numPr>
              <w:spacing w:after="0"/>
              <w:rPr>
                <w:sz w:val="20"/>
                <w:szCs w:val="20"/>
              </w:rPr>
            </w:pPr>
            <w:r w:rsidRPr="000D4911">
              <w:rPr>
                <w:sz w:val="20"/>
                <w:szCs w:val="20"/>
              </w:rPr>
              <w:t>EM -opportunistic omnivore (algae, carrion, invertebrates)</w:t>
            </w:r>
          </w:p>
        </w:tc>
        <w:tc>
          <w:tcPr>
            <w:tcW w:w="1766" w:type="pct"/>
          </w:tcPr>
          <w:p w14:paraId="1346362E" w14:textId="349BD9BC"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habitats include channels and billabongs (EM), swamps, slow-moving rivers and streams (CL), and turbid water e.g.  river bottom (</w:t>
            </w:r>
            <w:r w:rsidR="00AC332E" w:rsidRPr="000D4911">
              <w:rPr>
                <w:sz w:val="20"/>
                <w:szCs w:val="20"/>
              </w:rPr>
              <w:t>C</w:t>
            </w:r>
            <w:r w:rsidRPr="000D4911">
              <w:rPr>
                <w:sz w:val="20"/>
                <w:szCs w:val="20"/>
              </w:rPr>
              <w:t>E)</w:t>
            </w:r>
          </w:p>
          <w:p w14:paraId="13FACB93"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CL and EM spring mating, hatch summer/autumn; ME less abundant, autumn mating, hatch summer</w:t>
            </w:r>
          </w:p>
          <w:p w14:paraId="5A41404D" w14:textId="77777777" w:rsidR="003A59E4" w:rsidRPr="000D4911" w:rsidRDefault="003A59E4" w:rsidP="0012104E">
            <w:pPr>
              <w:pStyle w:val="ListBullet"/>
              <w:numPr>
                <w:ilvl w:val="0"/>
                <w:numId w:val="25"/>
              </w:numPr>
              <w:tabs>
                <w:tab w:val="num" w:pos="360"/>
              </w:tabs>
              <w:spacing w:after="0"/>
              <w:rPr>
                <w:sz w:val="20"/>
                <w:szCs w:val="20"/>
              </w:rPr>
            </w:pPr>
            <w:r w:rsidRPr="000D4911">
              <w:rPr>
                <w:sz w:val="20"/>
                <w:szCs w:val="20"/>
              </w:rPr>
              <w:t xml:space="preserve">Australian freshwater turtles </w:t>
            </w:r>
            <w:r w:rsidR="00D74ED4" w:rsidRPr="000D4911">
              <w:rPr>
                <w:sz w:val="20"/>
                <w:szCs w:val="20"/>
              </w:rPr>
              <w:t xml:space="preserve">are slow growing and mature at around 10 y; they </w:t>
            </w:r>
            <w:r w:rsidRPr="000D4911">
              <w:rPr>
                <w:sz w:val="20"/>
                <w:szCs w:val="20"/>
              </w:rPr>
              <w:t>can live up to 75 years</w:t>
            </w:r>
          </w:p>
          <w:p w14:paraId="258004E8" w14:textId="069CA087" w:rsidR="00D74ED4" w:rsidRPr="000D4911" w:rsidRDefault="002A1B35" w:rsidP="0012104E">
            <w:pPr>
              <w:pStyle w:val="ListBullet"/>
              <w:numPr>
                <w:ilvl w:val="0"/>
                <w:numId w:val="25"/>
              </w:numPr>
              <w:tabs>
                <w:tab w:val="num" w:pos="360"/>
              </w:tabs>
              <w:spacing w:after="0"/>
              <w:rPr>
                <w:sz w:val="20"/>
                <w:szCs w:val="20"/>
              </w:rPr>
            </w:pPr>
            <w:r w:rsidRPr="000D4911">
              <w:rPr>
                <w:sz w:val="20"/>
                <w:szCs w:val="20"/>
              </w:rPr>
              <w:t>Nest sites are usually in the open, between 2 and 40 metres from the water’s edge</w:t>
            </w:r>
            <w:r w:rsidR="00AC332E" w:rsidRPr="000D4911">
              <w:rPr>
                <w:sz w:val="20"/>
                <w:szCs w:val="20"/>
              </w:rPr>
              <w:t xml:space="preserve"> (EM)</w:t>
            </w:r>
          </w:p>
          <w:p w14:paraId="07994B2C" w14:textId="687A6A8F" w:rsidR="00405883" w:rsidRPr="000D4911" w:rsidRDefault="00405883" w:rsidP="0012104E">
            <w:pPr>
              <w:pStyle w:val="ListBullet"/>
              <w:numPr>
                <w:ilvl w:val="0"/>
                <w:numId w:val="25"/>
              </w:numPr>
              <w:tabs>
                <w:tab w:val="num" w:pos="360"/>
              </w:tabs>
              <w:spacing w:after="0"/>
              <w:rPr>
                <w:sz w:val="20"/>
                <w:szCs w:val="20"/>
              </w:rPr>
            </w:pPr>
            <w:r w:rsidRPr="000D4911">
              <w:rPr>
                <w:sz w:val="20"/>
                <w:szCs w:val="20"/>
              </w:rPr>
              <w:t>Up to 30 eggs per ne</w:t>
            </w:r>
            <w:r w:rsidR="00AC332E" w:rsidRPr="000D4911">
              <w:rPr>
                <w:sz w:val="20"/>
                <w:szCs w:val="20"/>
              </w:rPr>
              <w:t>st (EM)</w:t>
            </w:r>
          </w:p>
        </w:tc>
        <w:tc>
          <w:tcPr>
            <w:tcW w:w="847" w:type="pct"/>
          </w:tcPr>
          <w:p w14:paraId="1EE57CE7" w14:textId="76EE7332" w:rsidR="00DF2A34" w:rsidRPr="000D4911" w:rsidRDefault="00DF2A34" w:rsidP="00D422F6">
            <w:pPr>
              <w:pStyle w:val="TableText0"/>
              <w:rPr>
                <w:sz w:val="20"/>
                <w:szCs w:val="20"/>
              </w:rPr>
            </w:pPr>
            <w:r w:rsidRPr="000D4911">
              <w:rPr>
                <w:sz w:val="20"/>
                <w:szCs w:val="20"/>
              </w:rPr>
              <w:t>CSIRO, 2004; Hutchinson, 2009</w:t>
            </w:r>
            <w:r w:rsidR="00374FAB" w:rsidRPr="000D4911">
              <w:rPr>
                <w:sz w:val="20"/>
                <w:szCs w:val="20"/>
              </w:rPr>
              <w:t xml:space="preserve">; </w:t>
            </w:r>
            <w:r w:rsidR="00783C3F" w:rsidRPr="000D4911">
              <w:rPr>
                <w:sz w:val="20"/>
                <w:szCs w:val="20"/>
              </w:rPr>
              <w:t xml:space="preserve">Howard et al. 2016; </w:t>
            </w:r>
            <w:r w:rsidR="00BE702B" w:rsidRPr="000D4911">
              <w:rPr>
                <w:sz w:val="20"/>
                <w:szCs w:val="20"/>
              </w:rPr>
              <w:t xml:space="preserve">Cann &amp; Sadler 2017; </w:t>
            </w:r>
            <w:r w:rsidR="00374FAB" w:rsidRPr="000D4911">
              <w:rPr>
                <w:sz w:val="20"/>
                <w:szCs w:val="20"/>
              </w:rPr>
              <w:t>Van Dyke et al. 2019</w:t>
            </w:r>
            <w:r w:rsidR="00F90775" w:rsidRPr="000D4911">
              <w:rPr>
                <w:sz w:val="20"/>
                <w:szCs w:val="20"/>
              </w:rPr>
              <w:t xml:space="preserve"> (&amp; references therein)</w:t>
            </w:r>
          </w:p>
        </w:tc>
      </w:tr>
      <w:tr w:rsidR="00DF2A34" w:rsidRPr="0055753D" w14:paraId="4769B001" w14:textId="77777777" w:rsidTr="000E6894">
        <w:tc>
          <w:tcPr>
            <w:tcW w:w="809" w:type="pct"/>
          </w:tcPr>
          <w:p w14:paraId="33888350" w14:textId="77777777" w:rsidR="00DF2A34" w:rsidRPr="000E6894" w:rsidRDefault="00DF2A34" w:rsidP="00891625">
            <w:pPr>
              <w:spacing w:after="0"/>
              <w:ind w:left="34"/>
              <w:rPr>
                <w:b/>
              </w:rPr>
            </w:pPr>
            <w:r w:rsidRPr="000E6894">
              <w:rPr>
                <w:b/>
              </w:rPr>
              <w:t>Black swan</w:t>
            </w:r>
          </w:p>
          <w:p w14:paraId="17226B35" w14:textId="77777777" w:rsidR="00DF2A34" w:rsidRPr="000E6894" w:rsidRDefault="00DF2A34" w:rsidP="00891625">
            <w:pPr>
              <w:spacing w:after="0"/>
              <w:ind w:left="34"/>
              <w:rPr>
                <w:i/>
              </w:rPr>
            </w:pPr>
            <w:r w:rsidRPr="000E6894">
              <w:rPr>
                <w:i/>
              </w:rPr>
              <w:t>Cygnus atratus</w:t>
            </w:r>
          </w:p>
        </w:tc>
        <w:tc>
          <w:tcPr>
            <w:tcW w:w="1578" w:type="pct"/>
          </w:tcPr>
          <w:p w14:paraId="1E778D3F" w14:textId="77777777" w:rsidR="00DF2A34" w:rsidRPr="000D4911" w:rsidRDefault="00DF2A34" w:rsidP="0012104E">
            <w:pPr>
              <w:pStyle w:val="ListBullet"/>
              <w:numPr>
                <w:ilvl w:val="0"/>
                <w:numId w:val="24"/>
              </w:numPr>
              <w:spacing w:after="0"/>
              <w:rPr>
                <w:sz w:val="20"/>
                <w:szCs w:val="20"/>
              </w:rPr>
            </w:pPr>
            <w:r w:rsidRPr="000D4911">
              <w:rPr>
                <w:sz w:val="20"/>
                <w:szCs w:val="20"/>
              </w:rPr>
              <w:t>top-order consumer; dispersal of aquatic flora and fauna (via seeds, dormant eggs, etc.)</w:t>
            </w:r>
          </w:p>
        </w:tc>
        <w:tc>
          <w:tcPr>
            <w:tcW w:w="1766" w:type="pct"/>
          </w:tcPr>
          <w:p w14:paraId="6B727E2E"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nesting - ground, floating or island nesting</w:t>
            </w:r>
          </w:p>
        </w:tc>
        <w:tc>
          <w:tcPr>
            <w:tcW w:w="847" w:type="pct"/>
          </w:tcPr>
          <w:p w14:paraId="225F91D0" w14:textId="01F16FF2" w:rsidR="00DF2A34" w:rsidRPr="000D4911" w:rsidRDefault="00DF2A34" w:rsidP="00D422F6">
            <w:pPr>
              <w:pStyle w:val="TableText0"/>
              <w:rPr>
                <w:sz w:val="20"/>
                <w:szCs w:val="20"/>
              </w:rPr>
            </w:pPr>
            <w:r w:rsidRPr="000D4911">
              <w:rPr>
                <w:sz w:val="20"/>
                <w:szCs w:val="20"/>
              </w:rPr>
              <w:t xml:space="preserve">Paton et al. 2009a, b; Rogers </w:t>
            </w:r>
            <w:r w:rsidR="00645CBC" w:rsidRPr="000D4911">
              <w:rPr>
                <w:sz w:val="20"/>
                <w:szCs w:val="20"/>
              </w:rPr>
              <w:t xml:space="preserve">&amp; </w:t>
            </w:r>
            <w:r w:rsidRPr="000D4911">
              <w:rPr>
                <w:sz w:val="20"/>
                <w:szCs w:val="20"/>
              </w:rPr>
              <w:t>Ralph, 2011</w:t>
            </w:r>
            <w:r w:rsidR="00687DD0" w:rsidRPr="000D4911">
              <w:rPr>
                <w:sz w:val="20"/>
                <w:szCs w:val="20"/>
              </w:rPr>
              <w:t>; Paton et al. 2018</w:t>
            </w:r>
            <w:r w:rsidRPr="000D4911">
              <w:rPr>
                <w:sz w:val="20"/>
                <w:szCs w:val="20"/>
              </w:rPr>
              <w:t>.</w:t>
            </w:r>
          </w:p>
        </w:tc>
      </w:tr>
      <w:tr w:rsidR="00DF2A34" w:rsidRPr="0055753D" w14:paraId="67041F5C" w14:textId="77777777" w:rsidTr="000E6894">
        <w:tc>
          <w:tcPr>
            <w:tcW w:w="809" w:type="pct"/>
          </w:tcPr>
          <w:p w14:paraId="3C91EF3B" w14:textId="77777777" w:rsidR="00DF2A34" w:rsidRPr="000E6894" w:rsidRDefault="00DF2A34" w:rsidP="00891625">
            <w:pPr>
              <w:spacing w:after="0"/>
              <w:ind w:left="34"/>
              <w:rPr>
                <w:b/>
              </w:rPr>
            </w:pPr>
            <w:r w:rsidRPr="000E6894">
              <w:rPr>
                <w:b/>
              </w:rPr>
              <w:t>Pelican</w:t>
            </w:r>
          </w:p>
          <w:p w14:paraId="45936E3E" w14:textId="77777777" w:rsidR="00DF2A34" w:rsidRPr="000E6894" w:rsidRDefault="00DF2A34" w:rsidP="00891625">
            <w:pPr>
              <w:spacing w:after="0"/>
              <w:ind w:left="34"/>
              <w:rPr>
                <w:i/>
              </w:rPr>
            </w:pPr>
            <w:r w:rsidRPr="000E6894">
              <w:rPr>
                <w:i/>
              </w:rPr>
              <w:t>Pelecanus conspicillatus</w:t>
            </w:r>
          </w:p>
        </w:tc>
        <w:tc>
          <w:tcPr>
            <w:tcW w:w="1578" w:type="pct"/>
          </w:tcPr>
          <w:p w14:paraId="43F92920" w14:textId="77777777" w:rsidR="00DF2A34" w:rsidRPr="000D4911" w:rsidRDefault="00DF2A34" w:rsidP="0012104E">
            <w:pPr>
              <w:pStyle w:val="ListBullet"/>
              <w:numPr>
                <w:ilvl w:val="0"/>
                <w:numId w:val="25"/>
              </w:numPr>
              <w:spacing w:after="0"/>
              <w:rPr>
                <w:sz w:val="20"/>
                <w:szCs w:val="20"/>
              </w:rPr>
            </w:pPr>
            <w:r w:rsidRPr="000D4911">
              <w:rPr>
                <w:sz w:val="20"/>
                <w:szCs w:val="20"/>
              </w:rPr>
              <w:t>top-order consumer; dispersal of aquatic flora and fauna (via seeds, dormant eggs, etc.)</w:t>
            </w:r>
          </w:p>
        </w:tc>
        <w:tc>
          <w:tcPr>
            <w:tcW w:w="1766" w:type="pct"/>
          </w:tcPr>
          <w:p w14:paraId="48AB79FB"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nesting - ground, floating or island </w:t>
            </w:r>
          </w:p>
        </w:tc>
        <w:tc>
          <w:tcPr>
            <w:tcW w:w="847" w:type="pct"/>
          </w:tcPr>
          <w:p w14:paraId="7573655A" w14:textId="62DCFF61" w:rsidR="00DF2A34" w:rsidRPr="000D4911" w:rsidRDefault="00DF2A34" w:rsidP="00D422F6">
            <w:pPr>
              <w:pStyle w:val="TableText0"/>
              <w:rPr>
                <w:sz w:val="20"/>
                <w:szCs w:val="20"/>
              </w:rPr>
            </w:pPr>
            <w:r w:rsidRPr="000D4911">
              <w:rPr>
                <w:sz w:val="20"/>
                <w:szCs w:val="20"/>
              </w:rPr>
              <w:t xml:space="preserve">Paton et al. 2009a, b; Rogers </w:t>
            </w:r>
            <w:r w:rsidR="00645CBC" w:rsidRPr="000D4911">
              <w:rPr>
                <w:sz w:val="20"/>
                <w:szCs w:val="20"/>
              </w:rPr>
              <w:t xml:space="preserve">&amp; </w:t>
            </w:r>
            <w:r w:rsidRPr="000D4911">
              <w:rPr>
                <w:sz w:val="20"/>
                <w:szCs w:val="20"/>
              </w:rPr>
              <w:t>Ralph 2011</w:t>
            </w:r>
            <w:r w:rsidR="005D2047" w:rsidRPr="000D4911">
              <w:rPr>
                <w:sz w:val="20"/>
                <w:szCs w:val="20"/>
              </w:rPr>
              <w:t>; Paton et al. 2018</w:t>
            </w:r>
            <w:r w:rsidR="00D465FB" w:rsidRPr="000D4911">
              <w:rPr>
                <w:sz w:val="20"/>
                <w:szCs w:val="20"/>
              </w:rPr>
              <w:t>, 2022</w:t>
            </w:r>
            <w:r w:rsidRPr="000D4911">
              <w:rPr>
                <w:sz w:val="20"/>
                <w:szCs w:val="20"/>
              </w:rPr>
              <w:t>.</w:t>
            </w:r>
          </w:p>
        </w:tc>
      </w:tr>
      <w:tr w:rsidR="00DF2A34" w:rsidRPr="0055753D" w14:paraId="0F685E54" w14:textId="77777777" w:rsidTr="000E6894">
        <w:tc>
          <w:tcPr>
            <w:tcW w:w="809" w:type="pct"/>
          </w:tcPr>
          <w:p w14:paraId="2433FB65" w14:textId="77777777" w:rsidR="00DF2A34" w:rsidRPr="000E6894" w:rsidRDefault="00DF2A34" w:rsidP="00891625">
            <w:pPr>
              <w:spacing w:after="0"/>
              <w:ind w:left="34"/>
            </w:pPr>
            <w:r w:rsidRPr="000E6894">
              <w:rPr>
                <w:b/>
              </w:rPr>
              <w:t xml:space="preserve">Colonial Nesting Water Birds </w:t>
            </w:r>
            <w:r w:rsidRPr="000E6894">
              <w:t>e.g. Ibis</w:t>
            </w:r>
          </w:p>
        </w:tc>
        <w:tc>
          <w:tcPr>
            <w:tcW w:w="1578" w:type="pct"/>
          </w:tcPr>
          <w:p w14:paraId="7940058A" w14:textId="77777777" w:rsidR="00DF2A34" w:rsidRPr="000D4911" w:rsidRDefault="00DF2A34" w:rsidP="0012104E">
            <w:pPr>
              <w:pStyle w:val="ListBullet"/>
              <w:numPr>
                <w:ilvl w:val="0"/>
                <w:numId w:val="25"/>
              </w:numPr>
              <w:spacing w:after="0"/>
              <w:rPr>
                <w:sz w:val="20"/>
                <w:szCs w:val="20"/>
              </w:rPr>
            </w:pPr>
            <w:r w:rsidRPr="000D4911">
              <w:rPr>
                <w:sz w:val="20"/>
                <w:szCs w:val="20"/>
              </w:rPr>
              <w:t>top-order consumer; dispersal of aquatic flora and fauna (via seeds, dormant eggs, etc.)</w:t>
            </w:r>
          </w:p>
        </w:tc>
        <w:tc>
          <w:tcPr>
            <w:tcW w:w="1766" w:type="pct"/>
          </w:tcPr>
          <w:p w14:paraId="282173A6"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 xml:space="preserve">nesting - live tree, shrubs or reed </w:t>
            </w:r>
          </w:p>
        </w:tc>
        <w:tc>
          <w:tcPr>
            <w:tcW w:w="847" w:type="pct"/>
          </w:tcPr>
          <w:p w14:paraId="265E6C2A" w14:textId="67C4E4A1" w:rsidR="00DF2A34" w:rsidRPr="000D4911" w:rsidRDefault="00DF2A34" w:rsidP="00D422F6">
            <w:pPr>
              <w:pStyle w:val="TableText0"/>
              <w:rPr>
                <w:sz w:val="20"/>
                <w:szCs w:val="20"/>
              </w:rPr>
            </w:pPr>
            <w:r w:rsidRPr="000D4911">
              <w:rPr>
                <w:sz w:val="20"/>
                <w:szCs w:val="20"/>
              </w:rPr>
              <w:t xml:space="preserve">Paton et al. 2009a, b; Rogers </w:t>
            </w:r>
            <w:r w:rsidR="005D2047" w:rsidRPr="000D4911">
              <w:rPr>
                <w:sz w:val="20"/>
                <w:szCs w:val="20"/>
              </w:rPr>
              <w:t xml:space="preserve">&amp; </w:t>
            </w:r>
            <w:r w:rsidRPr="000D4911">
              <w:rPr>
                <w:sz w:val="20"/>
                <w:szCs w:val="20"/>
              </w:rPr>
              <w:t>Ralph 2011</w:t>
            </w:r>
            <w:r w:rsidR="005D2047" w:rsidRPr="000D4911">
              <w:rPr>
                <w:sz w:val="20"/>
                <w:szCs w:val="20"/>
              </w:rPr>
              <w:t>; Paton et al. 2018</w:t>
            </w:r>
            <w:r w:rsidR="00D465FB" w:rsidRPr="000D4911">
              <w:rPr>
                <w:sz w:val="20"/>
                <w:szCs w:val="20"/>
              </w:rPr>
              <w:t>, 2022</w:t>
            </w:r>
            <w:r w:rsidRPr="000D4911">
              <w:rPr>
                <w:sz w:val="20"/>
                <w:szCs w:val="20"/>
              </w:rPr>
              <w:t>.</w:t>
            </w:r>
          </w:p>
        </w:tc>
      </w:tr>
      <w:tr w:rsidR="00DF2A34" w:rsidRPr="0055753D" w14:paraId="2985697C" w14:textId="77777777" w:rsidTr="000E6894">
        <w:tc>
          <w:tcPr>
            <w:tcW w:w="809" w:type="pct"/>
          </w:tcPr>
          <w:p w14:paraId="31F7728A" w14:textId="77777777" w:rsidR="00DF2A34" w:rsidRPr="000E6894" w:rsidRDefault="00DF2A34" w:rsidP="00891625">
            <w:pPr>
              <w:spacing w:after="0"/>
              <w:ind w:left="34"/>
            </w:pPr>
            <w:r w:rsidRPr="000E6894">
              <w:rPr>
                <w:b/>
              </w:rPr>
              <w:t>Migratory Water Birds</w:t>
            </w:r>
            <w:r w:rsidRPr="000E6894">
              <w:t xml:space="preserve"> e.g</w:t>
            </w:r>
            <w:r w:rsidRPr="000E6894">
              <w:rPr>
                <w:i/>
              </w:rPr>
              <w:t>. Calidris</w:t>
            </w:r>
            <w:r w:rsidRPr="000E6894">
              <w:t xml:space="preserve"> species, </w:t>
            </w:r>
            <w:r w:rsidRPr="000E6894">
              <w:rPr>
                <w:i/>
              </w:rPr>
              <w:t>Numenius madagascarensis</w:t>
            </w:r>
          </w:p>
        </w:tc>
        <w:tc>
          <w:tcPr>
            <w:tcW w:w="1578" w:type="pct"/>
          </w:tcPr>
          <w:p w14:paraId="7CF1F08B" w14:textId="77777777" w:rsidR="00DF2A34" w:rsidRPr="000D4911" w:rsidRDefault="00DF2A34" w:rsidP="0012104E">
            <w:pPr>
              <w:pStyle w:val="ListBullet"/>
              <w:numPr>
                <w:ilvl w:val="0"/>
                <w:numId w:val="25"/>
              </w:numPr>
              <w:spacing w:after="0"/>
              <w:rPr>
                <w:sz w:val="20"/>
                <w:szCs w:val="20"/>
              </w:rPr>
            </w:pPr>
            <w:r w:rsidRPr="000D4911">
              <w:rPr>
                <w:sz w:val="20"/>
                <w:szCs w:val="20"/>
              </w:rPr>
              <w:t>top-order consumer; dispersal of aquatic flora and fauna (via seeds, dormant eggs, etc.)</w:t>
            </w:r>
          </w:p>
        </w:tc>
        <w:tc>
          <w:tcPr>
            <w:tcW w:w="1766" w:type="pct"/>
          </w:tcPr>
          <w:p w14:paraId="68A61195" w14:textId="77777777" w:rsidR="00DF2A34" w:rsidRPr="000D4911" w:rsidRDefault="00DF2A34" w:rsidP="0012104E">
            <w:pPr>
              <w:pStyle w:val="ListBullet"/>
              <w:numPr>
                <w:ilvl w:val="0"/>
                <w:numId w:val="25"/>
              </w:numPr>
              <w:tabs>
                <w:tab w:val="num" w:pos="360"/>
              </w:tabs>
              <w:spacing w:after="0"/>
              <w:rPr>
                <w:sz w:val="20"/>
                <w:szCs w:val="20"/>
              </w:rPr>
            </w:pPr>
            <w:r w:rsidRPr="000D4911">
              <w:rPr>
                <w:sz w:val="20"/>
                <w:szCs w:val="20"/>
              </w:rPr>
              <w:t>nesting - live tree, shrubs, reed, ground, floating or island</w:t>
            </w:r>
          </w:p>
        </w:tc>
        <w:tc>
          <w:tcPr>
            <w:tcW w:w="847" w:type="pct"/>
          </w:tcPr>
          <w:p w14:paraId="45FD8288" w14:textId="50186D91" w:rsidR="00DF2A34" w:rsidRPr="000D4911" w:rsidRDefault="00DF2A34" w:rsidP="00D422F6">
            <w:pPr>
              <w:pStyle w:val="TableText0"/>
              <w:rPr>
                <w:sz w:val="20"/>
                <w:szCs w:val="20"/>
              </w:rPr>
            </w:pPr>
            <w:r w:rsidRPr="000D4911">
              <w:rPr>
                <w:sz w:val="20"/>
                <w:szCs w:val="20"/>
              </w:rPr>
              <w:t xml:space="preserve">Paton et al. 2009a, b; Rogers </w:t>
            </w:r>
            <w:r w:rsidR="005D2047" w:rsidRPr="000D4911">
              <w:rPr>
                <w:sz w:val="20"/>
                <w:szCs w:val="20"/>
              </w:rPr>
              <w:t xml:space="preserve">&amp; </w:t>
            </w:r>
            <w:r w:rsidRPr="000D4911">
              <w:rPr>
                <w:sz w:val="20"/>
                <w:szCs w:val="20"/>
              </w:rPr>
              <w:t>Ralph 2011</w:t>
            </w:r>
            <w:r w:rsidR="005D2047" w:rsidRPr="000D4911">
              <w:rPr>
                <w:sz w:val="20"/>
                <w:szCs w:val="20"/>
              </w:rPr>
              <w:t>; Paton et al. 2018</w:t>
            </w:r>
            <w:r w:rsidR="00D465FB" w:rsidRPr="000D4911">
              <w:rPr>
                <w:sz w:val="20"/>
                <w:szCs w:val="20"/>
              </w:rPr>
              <w:t>, 2022</w:t>
            </w:r>
            <w:r w:rsidRPr="000D4911">
              <w:rPr>
                <w:sz w:val="20"/>
                <w:szCs w:val="20"/>
              </w:rPr>
              <w:t>.</w:t>
            </w:r>
          </w:p>
        </w:tc>
      </w:tr>
    </w:tbl>
    <w:p w14:paraId="61E480DC" w14:textId="77777777" w:rsidR="00B07E38" w:rsidRDefault="00B07E38" w:rsidP="008B7234"/>
    <w:p w14:paraId="19AE2AA9" w14:textId="77777777" w:rsidR="000E6894" w:rsidRDefault="000E6894" w:rsidP="000E6894">
      <w:pPr>
        <w:keepNext/>
        <w:pBdr>
          <w:top w:val="single" w:sz="4" w:space="1" w:color="auto"/>
          <w:left w:val="single" w:sz="4" w:space="4" w:color="auto"/>
          <w:bottom w:val="single" w:sz="4" w:space="1" w:color="auto"/>
          <w:right w:val="single" w:sz="4" w:space="9" w:color="auto"/>
        </w:pBdr>
        <w:shd w:val="clear" w:color="auto" w:fill="FFF2CC" w:themeFill="accent4" w:themeFillTint="33"/>
      </w:pPr>
      <w:r w:rsidRPr="00DF09D1">
        <w:t>Consultation Questions</w:t>
      </w:r>
      <w:r>
        <w:t xml:space="preserve"> on the functionally important species </w:t>
      </w:r>
    </w:p>
    <w:p w14:paraId="49A74ECA" w14:textId="77777777" w:rsidR="000E6894" w:rsidRDefault="000E6894" w:rsidP="000E6894">
      <w:pPr>
        <w:pStyle w:val="Consultationquestions"/>
        <w:pBdr>
          <w:right w:val="single" w:sz="4" w:space="9" w:color="auto"/>
        </w:pBdr>
        <w:shd w:val="clear" w:color="auto" w:fill="FFF2CC" w:themeFill="accent4" w:themeFillTint="33"/>
        <w:ind w:left="425" w:hanging="425"/>
        <w:rPr>
          <w:color w:val="auto"/>
        </w:rPr>
      </w:pPr>
      <w:r w:rsidRPr="00E370D3">
        <w:rPr>
          <w:color w:val="auto"/>
        </w:rPr>
        <w:t>Do you have any feedback or further relevant source</w:t>
      </w:r>
      <w:r>
        <w:rPr>
          <w:color w:val="auto"/>
        </w:rPr>
        <w:t>-</w:t>
      </w:r>
      <w:r w:rsidRPr="00E370D3">
        <w:rPr>
          <w:color w:val="auto"/>
        </w:rPr>
        <w:t>information for this section</w:t>
      </w:r>
      <w:r>
        <w:rPr>
          <w:color w:val="auto"/>
        </w:rPr>
        <w:t>, including other functionally important species that should be highlighted</w:t>
      </w:r>
      <w:r w:rsidRPr="00E370D3">
        <w:rPr>
          <w:color w:val="auto"/>
        </w:rPr>
        <w:t xml:space="preserve">? If so, please provide details </w:t>
      </w:r>
      <w:r>
        <w:rPr>
          <w:color w:val="auto"/>
        </w:rPr>
        <w:t xml:space="preserve">and reference sources </w:t>
      </w:r>
      <w:r w:rsidRPr="00E370D3">
        <w:rPr>
          <w:color w:val="auto"/>
        </w:rPr>
        <w:t xml:space="preserve">in your response.  </w:t>
      </w:r>
    </w:p>
    <w:p w14:paraId="32867A78" w14:textId="77777777" w:rsidR="000E6894" w:rsidRPr="00E370D3" w:rsidRDefault="000E6894" w:rsidP="000E6894">
      <w:pPr>
        <w:pStyle w:val="Consultationquestions"/>
        <w:numPr>
          <w:ilvl w:val="0"/>
          <w:numId w:val="0"/>
        </w:numPr>
        <w:pBdr>
          <w:right w:val="single" w:sz="4" w:space="9" w:color="auto"/>
        </w:pBdr>
        <w:shd w:val="clear" w:color="auto" w:fill="FFF2CC" w:themeFill="accent4" w:themeFillTint="33"/>
        <w:rPr>
          <w:color w:val="auto"/>
        </w:rPr>
      </w:pPr>
    </w:p>
    <w:p w14:paraId="60880990" w14:textId="77777777" w:rsidR="000E6894" w:rsidRDefault="000E6894" w:rsidP="008B7234">
      <w:pPr>
        <w:sectPr w:rsidR="000E6894" w:rsidSect="000E6894">
          <w:pgSz w:w="16838" w:h="11906" w:orient="landscape"/>
          <w:pgMar w:top="1134" w:right="1418" w:bottom="1134" w:left="1418" w:header="454" w:footer="454" w:gutter="0"/>
          <w:cols w:space="708"/>
          <w:docGrid w:linePitch="360"/>
        </w:sectPr>
      </w:pPr>
    </w:p>
    <w:p w14:paraId="477D2EE6" w14:textId="3E68AE5C" w:rsidR="009E29C9" w:rsidRPr="000E6894" w:rsidRDefault="000F48AC" w:rsidP="000E6894">
      <w:pPr>
        <w:spacing w:after="160" w:line="259" w:lineRule="auto"/>
        <w:rPr>
          <w:b/>
          <w:bCs/>
          <w:iCs/>
          <w:sz w:val="21"/>
          <w:szCs w:val="21"/>
        </w:rPr>
      </w:pPr>
      <w:bookmarkStart w:id="67" w:name="_Toc232747201"/>
      <w:bookmarkStart w:id="68" w:name="_Toc232747277"/>
      <w:bookmarkStart w:id="69" w:name="_Toc232747520"/>
      <w:r w:rsidRPr="000E6894">
        <w:rPr>
          <w:b/>
          <w:bCs/>
        </w:rPr>
        <w:lastRenderedPageBreak/>
        <w:t xml:space="preserve">Table </w:t>
      </w:r>
      <w:r w:rsidRPr="000E6894">
        <w:rPr>
          <w:b/>
          <w:bCs/>
        </w:rPr>
        <w:fldChar w:fldCharType="begin"/>
      </w:r>
      <w:r w:rsidRPr="000E6894">
        <w:rPr>
          <w:b/>
          <w:bCs/>
        </w:rPr>
        <w:instrText xml:space="preserve"> SEQ Table \* ARABIC </w:instrText>
      </w:r>
      <w:r w:rsidRPr="000E6894">
        <w:rPr>
          <w:b/>
          <w:bCs/>
        </w:rPr>
        <w:fldChar w:fldCharType="separate"/>
      </w:r>
      <w:r w:rsidR="006D35C5">
        <w:rPr>
          <w:b/>
          <w:bCs/>
          <w:noProof/>
        </w:rPr>
        <w:t>18</w:t>
      </w:r>
      <w:r w:rsidRPr="000E6894">
        <w:rPr>
          <w:b/>
          <w:bCs/>
        </w:rPr>
        <w:fldChar w:fldCharType="end"/>
      </w:r>
      <w:r w:rsidR="009E29C9" w:rsidRPr="000E6894">
        <w:rPr>
          <w:b/>
          <w:bCs/>
        </w:rPr>
        <w:t xml:space="preserve">: </w:t>
      </w:r>
      <w:r w:rsidR="009E29C9" w:rsidRPr="000E6894">
        <w:rPr>
          <w:b/>
          <w:bCs/>
          <w:sz w:val="21"/>
          <w:szCs w:val="21"/>
        </w:rPr>
        <w:t>Examples of ecological processes that generally operate within aquatic ecosystems and apply to the ecological community (modified from DSE 2005</w:t>
      </w:r>
      <w:r w:rsidR="00E825DF" w:rsidRPr="000E6894">
        <w:rPr>
          <w:b/>
          <w:bCs/>
          <w:sz w:val="21"/>
          <w:szCs w:val="21"/>
        </w:rPr>
        <w:t>; Rogers</w:t>
      </w:r>
      <w:r w:rsidR="003D17CC" w:rsidRPr="000E6894">
        <w:rPr>
          <w:b/>
          <w:bCs/>
          <w:sz w:val="21"/>
          <w:szCs w:val="21"/>
        </w:rPr>
        <w:t xml:space="preserve"> &amp;</w:t>
      </w:r>
      <w:r w:rsidR="00E825DF" w:rsidRPr="000E6894">
        <w:rPr>
          <w:b/>
          <w:bCs/>
          <w:sz w:val="21"/>
          <w:szCs w:val="21"/>
        </w:rPr>
        <w:t xml:space="preserve"> Ralph 2011</w:t>
      </w:r>
      <w:r w:rsidR="009E29C9" w:rsidRPr="000E6894">
        <w:rPr>
          <w:b/>
          <w:bCs/>
          <w:sz w:val="21"/>
          <w:szCs w:val="21"/>
        </w:rPr>
        <w:t>).</w:t>
      </w:r>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5777"/>
      </w:tblGrid>
      <w:tr w:rsidR="004C6A8B" w:rsidRPr="00612874" w14:paraId="38BF9871" w14:textId="77777777" w:rsidTr="000F48AC">
        <w:trPr>
          <w:tblHeader/>
        </w:trPr>
        <w:tc>
          <w:tcPr>
            <w:tcW w:w="1812" w:type="pct"/>
            <w:shd w:val="clear" w:color="auto" w:fill="D9D9D9" w:themeFill="background1" w:themeFillShade="D9"/>
          </w:tcPr>
          <w:p w14:paraId="736E9E4B" w14:textId="77777777" w:rsidR="004C6A8B" w:rsidRPr="00612874" w:rsidRDefault="004C6A8B" w:rsidP="00CD5901">
            <w:pPr>
              <w:pStyle w:val="tableheadertext"/>
            </w:pPr>
            <w:r w:rsidRPr="00612874">
              <w:t>Process Categories</w:t>
            </w:r>
          </w:p>
        </w:tc>
        <w:tc>
          <w:tcPr>
            <w:tcW w:w="3188" w:type="pct"/>
            <w:shd w:val="clear" w:color="auto" w:fill="D9D9D9" w:themeFill="background1" w:themeFillShade="D9"/>
          </w:tcPr>
          <w:p w14:paraId="75BB97E8" w14:textId="77777777" w:rsidR="004C6A8B" w:rsidRPr="00612874" w:rsidRDefault="004C6A8B" w:rsidP="00CD5901">
            <w:pPr>
              <w:pStyle w:val="tableheadertext"/>
            </w:pPr>
            <w:r w:rsidRPr="00612874">
              <w:t>Key Processes or attribute</w:t>
            </w:r>
          </w:p>
        </w:tc>
      </w:tr>
      <w:tr w:rsidR="004C6A8B" w:rsidRPr="00612874" w14:paraId="2935A7E8" w14:textId="77777777" w:rsidTr="000F48AC">
        <w:tc>
          <w:tcPr>
            <w:tcW w:w="1812" w:type="pct"/>
          </w:tcPr>
          <w:p w14:paraId="2947F5F4" w14:textId="77777777" w:rsidR="004C6A8B" w:rsidRPr="00612874" w:rsidRDefault="004C6A8B" w:rsidP="003D17CC">
            <w:pPr>
              <w:pStyle w:val="tabletext1"/>
              <w:spacing w:after="0"/>
              <w:ind w:left="0"/>
              <w:rPr>
                <w:rFonts w:ascii="Cambria" w:hAnsi="Cambria"/>
              </w:rPr>
            </w:pPr>
            <w:r w:rsidRPr="00612874">
              <w:rPr>
                <w:rFonts w:ascii="Cambria" w:hAnsi="Cambria"/>
              </w:rPr>
              <w:t>Energy and nutrient dynamics</w:t>
            </w:r>
          </w:p>
        </w:tc>
        <w:tc>
          <w:tcPr>
            <w:tcW w:w="3188" w:type="pct"/>
          </w:tcPr>
          <w:p w14:paraId="48B34F62"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primary production</w:t>
            </w:r>
          </w:p>
          <w:p w14:paraId="21F92FDB"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nutrient cycling e.g. N, P</w:t>
            </w:r>
          </w:p>
          <w:p w14:paraId="6FADA272"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carbon cycling</w:t>
            </w:r>
          </w:p>
          <w:p w14:paraId="733DF0F6"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decomposition</w:t>
            </w:r>
          </w:p>
          <w:p w14:paraId="2A520FD2"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oxidation-reduction</w:t>
            </w:r>
          </w:p>
        </w:tc>
      </w:tr>
      <w:tr w:rsidR="004C6A8B" w:rsidRPr="00612874" w14:paraId="43BCAC61" w14:textId="77777777" w:rsidTr="000F48AC">
        <w:tc>
          <w:tcPr>
            <w:tcW w:w="1812" w:type="pct"/>
          </w:tcPr>
          <w:p w14:paraId="0A77471A" w14:textId="77777777" w:rsidR="004C6A8B" w:rsidRPr="00612874" w:rsidRDefault="004C6A8B" w:rsidP="003D17CC">
            <w:pPr>
              <w:pStyle w:val="tabletext1"/>
              <w:spacing w:after="0"/>
              <w:ind w:left="0"/>
              <w:rPr>
                <w:rFonts w:ascii="Cambria" w:hAnsi="Cambria"/>
              </w:rPr>
            </w:pPr>
            <w:r w:rsidRPr="00612874">
              <w:rPr>
                <w:rFonts w:ascii="Cambria" w:hAnsi="Cambria"/>
              </w:rPr>
              <w:t>Processes which maintain animal and plant populations</w:t>
            </w:r>
          </w:p>
        </w:tc>
        <w:tc>
          <w:tcPr>
            <w:tcW w:w="3188" w:type="pct"/>
          </w:tcPr>
          <w:p w14:paraId="1B226BBC"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survival/ mortality</w:t>
            </w:r>
          </w:p>
          <w:p w14:paraId="6FDE644E" w14:textId="77777777" w:rsidR="008121EB" w:rsidRPr="00612874" w:rsidRDefault="008121EB" w:rsidP="0012104E">
            <w:pPr>
              <w:pStyle w:val="tabletext1"/>
              <w:numPr>
                <w:ilvl w:val="0"/>
                <w:numId w:val="27"/>
              </w:numPr>
              <w:spacing w:after="0"/>
              <w:rPr>
                <w:rFonts w:ascii="Cambria" w:hAnsi="Cambria"/>
              </w:rPr>
            </w:pPr>
            <w:r w:rsidRPr="00612874">
              <w:rPr>
                <w:rFonts w:ascii="Cambria" w:hAnsi="Cambria"/>
              </w:rPr>
              <w:t>reproduction and recruitment</w:t>
            </w:r>
          </w:p>
          <w:p w14:paraId="128BC30C" w14:textId="55493A49" w:rsidR="004C6A8B" w:rsidRPr="00612874" w:rsidRDefault="004C6A8B" w:rsidP="0012104E">
            <w:pPr>
              <w:pStyle w:val="tabletext1"/>
              <w:numPr>
                <w:ilvl w:val="0"/>
                <w:numId w:val="27"/>
              </w:numPr>
              <w:spacing w:after="0"/>
              <w:rPr>
                <w:rFonts w:ascii="Cambria" w:hAnsi="Cambria"/>
              </w:rPr>
            </w:pPr>
            <w:r w:rsidRPr="00612874">
              <w:rPr>
                <w:rFonts w:ascii="Cambria" w:hAnsi="Cambria"/>
              </w:rPr>
              <w:t>dispersal or migration</w:t>
            </w:r>
            <w:r w:rsidR="00874159" w:rsidRPr="00612874">
              <w:rPr>
                <w:rFonts w:ascii="Cambria" w:hAnsi="Cambria"/>
              </w:rPr>
              <w:t xml:space="preserve"> (recolonisation)</w:t>
            </w:r>
          </w:p>
          <w:p w14:paraId="187A050B" w14:textId="77777777" w:rsidR="008121EB" w:rsidRPr="00612874" w:rsidRDefault="004C6A8B" w:rsidP="0012104E">
            <w:pPr>
              <w:pStyle w:val="tabletext1"/>
              <w:numPr>
                <w:ilvl w:val="0"/>
                <w:numId w:val="27"/>
              </w:numPr>
              <w:spacing w:after="0"/>
              <w:rPr>
                <w:rFonts w:ascii="Cambria" w:hAnsi="Cambria"/>
              </w:rPr>
            </w:pPr>
            <w:r w:rsidRPr="00612874">
              <w:rPr>
                <w:rFonts w:ascii="Cambria" w:hAnsi="Cambria"/>
              </w:rPr>
              <w:t>spawning or pollination</w:t>
            </w:r>
          </w:p>
          <w:p w14:paraId="16C65C3C" w14:textId="61F83854" w:rsidR="004C6A8B" w:rsidRPr="00612874" w:rsidRDefault="008121EB" w:rsidP="0012104E">
            <w:pPr>
              <w:pStyle w:val="tabletext1"/>
              <w:numPr>
                <w:ilvl w:val="0"/>
                <w:numId w:val="27"/>
              </w:numPr>
              <w:spacing w:after="0"/>
              <w:rPr>
                <w:rFonts w:ascii="Cambria" w:hAnsi="Cambria"/>
              </w:rPr>
            </w:pPr>
            <w:r w:rsidRPr="00612874">
              <w:rPr>
                <w:rFonts w:ascii="Cambria" w:hAnsi="Cambria"/>
              </w:rPr>
              <w:t>regeneration (recovery after disturbance)</w:t>
            </w:r>
            <w:r w:rsidR="004C6A8B" w:rsidRPr="00612874">
              <w:rPr>
                <w:rFonts w:ascii="Cambria" w:hAnsi="Cambria"/>
              </w:rPr>
              <w:t xml:space="preserve"> </w:t>
            </w:r>
          </w:p>
          <w:p w14:paraId="6CE6370A" w14:textId="2309890F" w:rsidR="004C6A8B" w:rsidRPr="00612874" w:rsidRDefault="004C6A8B" w:rsidP="0012104E">
            <w:pPr>
              <w:pStyle w:val="tabletext1"/>
              <w:numPr>
                <w:ilvl w:val="0"/>
                <w:numId w:val="27"/>
              </w:numPr>
              <w:spacing w:after="0"/>
              <w:rPr>
                <w:rFonts w:ascii="Cambria" w:hAnsi="Cambria"/>
              </w:rPr>
            </w:pPr>
            <w:r w:rsidRPr="00612874">
              <w:rPr>
                <w:rFonts w:ascii="Cambria" w:hAnsi="Cambria"/>
              </w:rPr>
              <w:t>access to refuge (</w:t>
            </w:r>
            <w:r w:rsidR="00125805" w:rsidRPr="00612874">
              <w:rPr>
                <w:rFonts w:ascii="Cambria" w:hAnsi="Cambria"/>
              </w:rPr>
              <w:t>i.e</w:t>
            </w:r>
            <w:r w:rsidRPr="00612874">
              <w:rPr>
                <w:rFonts w:ascii="Cambria" w:hAnsi="Cambria"/>
              </w:rPr>
              <w:t>. from predators, drought or flood)</w:t>
            </w:r>
          </w:p>
          <w:p w14:paraId="21228107" w14:textId="650E395E" w:rsidR="008121EB" w:rsidRPr="00612874" w:rsidRDefault="008121EB" w:rsidP="0012104E">
            <w:pPr>
              <w:pStyle w:val="tabletext1"/>
              <w:numPr>
                <w:ilvl w:val="0"/>
                <w:numId w:val="27"/>
              </w:numPr>
              <w:spacing w:after="0"/>
              <w:rPr>
                <w:rFonts w:ascii="Cambria" w:hAnsi="Cambria"/>
              </w:rPr>
            </w:pPr>
            <w:r w:rsidRPr="00612874">
              <w:rPr>
                <w:rFonts w:ascii="Cambria" w:hAnsi="Cambria"/>
              </w:rPr>
              <w:t>dormancy (encystment); seed/egg banks</w:t>
            </w:r>
          </w:p>
        </w:tc>
      </w:tr>
      <w:tr w:rsidR="004C6A8B" w:rsidRPr="00612874" w14:paraId="156BB594" w14:textId="77777777" w:rsidTr="000F48AC">
        <w:tc>
          <w:tcPr>
            <w:tcW w:w="1812" w:type="pct"/>
          </w:tcPr>
          <w:p w14:paraId="382DDFFA" w14:textId="77777777" w:rsidR="004C6A8B" w:rsidRPr="00612874" w:rsidRDefault="004C6A8B" w:rsidP="003D17CC">
            <w:pPr>
              <w:pStyle w:val="tabletext1"/>
              <w:spacing w:after="0"/>
              <w:ind w:left="0"/>
              <w:rPr>
                <w:rFonts w:ascii="Cambria" w:hAnsi="Cambria"/>
              </w:rPr>
            </w:pPr>
            <w:r w:rsidRPr="00612874">
              <w:rPr>
                <w:rFonts w:ascii="Cambria" w:hAnsi="Cambria"/>
              </w:rPr>
              <w:t>Species interactions</w:t>
            </w:r>
          </w:p>
        </w:tc>
        <w:tc>
          <w:tcPr>
            <w:tcW w:w="3188" w:type="pct"/>
          </w:tcPr>
          <w:p w14:paraId="10C28C2B" w14:textId="77777777" w:rsidR="00451599" w:rsidRPr="00612874" w:rsidRDefault="00451599" w:rsidP="0012104E">
            <w:pPr>
              <w:pStyle w:val="tabletext1"/>
              <w:numPr>
                <w:ilvl w:val="0"/>
                <w:numId w:val="27"/>
              </w:numPr>
              <w:spacing w:after="0"/>
              <w:rPr>
                <w:rFonts w:ascii="Cambria" w:hAnsi="Cambria"/>
              </w:rPr>
            </w:pPr>
            <w:r w:rsidRPr="00612874">
              <w:rPr>
                <w:rFonts w:ascii="Cambria" w:hAnsi="Cambria"/>
              </w:rPr>
              <w:t>herbivory or detritivory</w:t>
            </w:r>
          </w:p>
          <w:p w14:paraId="4EC36E44"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predation</w:t>
            </w:r>
          </w:p>
          <w:p w14:paraId="36E3D468" w14:textId="77777777" w:rsidR="00451599" w:rsidRPr="00612874" w:rsidRDefault="00451599" w:rsidP="0012104E">
            <w:pPr>
              <w:pStyle w:val="tabletext1"/>
              <w:numPr>
                <w:ilvl w:val="0"/>
                <w:numId w:val="27"/>
              </w:numPr>
              <w:spacing w:after="0"/>
              <w:rPr>
                <w:rFonts w:ascii="Cambria" w:hAnsi="Cambria"/>
              </w:rPr>
            </w:pPr>
            <w:r w:rsidRPr="00612874">
              <w:rPr>
                <w:rFonts w:ascii="Cambria" w:hAnsi="Cambria"/>
              </w:rPr>
              <w:t>competition for resources</w:t>
            </w:r>
          </w:p>
          <w:p w14:paraId="3A69F96D"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mutualism (symbiosis)</w:t>
            </w:r>
          </w:p>
          <w:p w14:paraId="07EB130E"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parasitism</w:t>
            </w:r>
          </w:p>
          <w:p w14:paraId="0A2DFDEC"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diseases and pathogens</w:t>
            </w:r>
          </w:p>
          <w:p w14:paraId="6046C11F" w14:textId="50FC840F" w:rsidR="00451599" w:rsidRPr="00612874" w:rsidRDefault="00451599" w:rsidP="0012104E">
            <w:pPr>
              <w:pStyle w:val="tabletext1"/>
              <w:numPr>
                <w:ilvl w:val="0"/>
                <w:numId w:val="27"/>
              </w:numPr>
              <w:spacing w:after="0"/>
              <w:rPr>
                <w:rFonts w:ascii="Cambria" w:hAnsi="Cambria"/>
              </w:rPr>
            </w:pPr>
            <w:r w:rsidRPr="00612874">
              <w:rPr>
                <w:rFonts w:ascii="Cambria" w:hAnsi="Cambria"/>
              </w:rPr>
              <w:t>succession</w:t>
            </w:r>
          </w:p>
        </w:tc>
      </w:tr>
      <w:tr w:rsidR="004C6A8B" w:rsidRPr="00612874" w14:paraId="78D91409" w14:textId="77777777" w:rsidTr="000F48AC">
        <w:tc>
          <w:tcPr>
            <w:tcW w:w="1812" w:type="pct"/>
          </w:tcPr>
          <w:p w14:paraId="6021B725" w14:textId="77777777" w:rsidR="004C6A8B" w:rsidRPr="00612874" w:rsidRDefault="004C6A8B" w:rsidP="003D17CC">
            <w:pPr>
              <w:pStyle w:val="tabletext1"/>
              <w:spacing w:after="0"/>
              <w:ind w:left="0"/>
              <w:rPr>
                <w:rFonts w:ascii="Cambria" w:hAnsi="Cambria"/>
              </w:rPr>
            </w:pPr>
            <w:r w:rsidRPr="00612874">
              <w:rPr>
                <w:rFonts w:ascii="Cambria" w:hAnsi="Cambria"/>
              </w:rPr>
              <w:t>Geomorphologic and fluvial processes</w:t>
            </w:r>
          </w:p>
        </w:tc>
        <w:tc>
          <w:tcPr>
            <w:tcW w:w="3188" w:type="pct"/>
          </w:tcPr>
          <w:p w14:paraId="087BF21E"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sediment regime (erosion, transport, deposition, turbidity)</w:t>
            </w:r>
          </w:p>
          <w:p w14:paraId="16041D0D"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acid sulfate soil formation</w:t>
            </w:r>
          </w:p>
          <w:p w14:paraId="36DB3F62"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boundary effects (e.g. areas of low velocity)</w:t>
            </w:r>
          </w:p>
          <w:p w14:paraId="141B6D45"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connectivity</w:t>
            </w:r>
          </w:p>
          <w:p w14:paraId="7B3B9B4C"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salt transport</w:t>
            </w:r>
          </w:p>
          <w:p w14:paraId="38C1AB65"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nutrient transport</w:t>
            </w:r>
          </w:p>
        </w:tc>
      </w:tr>
      <w:tr w:rsidR="004C6A8B" w:rsidRPr="00612874" w14:paraId="57E93B3B" w14:textId="77777777" w:rsidTr="000F48AC">
        <w:tc>
          <w:tcPr>
            <w:tcW w:w="1812" w:type="pct"/>
          </w:tcPr>
          <w:p w14:paraId="3AE28F03" w14:textId="77777777" w:rsidR="004C6A8B" w:rsidRPr="00612874" w:rsidRDefault="004C6A8B" w:rsidP="003D17CC">
            <w:pPr>
              <w:pStyle w:val="tabletext1"/>
              <w:spacing w:after="0"/>
              <w:ind w:left="0"/>
              <w:rPr>
                <w:rFonts w:ascii="Cambria" w:hAnsi="Cambria"/>
              </w:rPr>
            </w:pPr>
            <w:r w:rsidRPr="00612874">
              <w:rPr>
                <w:rFonts w:ascii="Cambria" w:hAnsi="Cambria"/>
              </w:rPr>
              <w:t>Hydrological regime</w:t>
            </w:r>
          </w:p>
        </w:tc>
        <w:tc>
          <w:tcPr>
            <w:tcW w:w="3188" w:type="pct"/>
          </w:tcPr>
          <w:p w14:paraId="209535BE" w14:textId="57F5D688" w:rsidR="004C6A8B" w:rsidRPr="00612874" w:rsidRDefault="004C6A8B" w:rsidP="0012104E">
            <w:pPr>
              <w:pStyle w:val="tabletext1"/>
              <w:numPr>
                <w:ilvl w:val="0"/>
                <w:numId w:val="27"/>
              </w:numPr>
              <w:spacing w:after="0"/>
              <w:rPr>
                <w:rFonts w:ascii="Cambria" w:hAnsi="Cambria"/>
              </w:rPr>
            </w:pPr>
            <w:r w:rsidRPr="00612874">
              <w:rPr>
                <w:rFonts w:ascii="Cambria" w:hAnsi="Cambria"/>
              </w:rPr>
              <w:t>flow regime</w:t>
            </w:r>
            <w:r w:rsidR="004651D7" w:rsidRPr="00612874">
              <w:rPr>
                <w:rFonts w:ascii="Cambria" w:hAnsi="Cambria"/>
              </w:rPr>
              <w:t>—frequency</w:t>
            </w:r>
            <w:r w:rsidRPr="00612874">
              <w:rPr>
                <w:rFonts w:ascii="Cambria" w:hAnsi="Cambria"/>
              </w:rPr>
              <w:t>, magnitude, duration, timing</w:t>
            </w:r>
            <w:r w:rsidR="004651D7" w:rsidRPr="00612874">
              <w:rPr>
                <w:rFonts w:ascii="Cambria" w:hAnsi="Cambria"/>
              </w:rPr>
              <w:t xml:space="preserve"> (+seasonality)</w:t>
            </w:r>
            <w:r w:rsidRPr="00612874">
              <w:rPr>
                <w:rFonts w:ascii="Cambria" w:hAnsi="Cambria"/>
              </w:rPr>
              <w:t>, time since last flooding</w:t>
            </w:r>
            <w:r w:rsidR="005E28FC" w:rsidRPr="00612874">
              <w:rPr>
                <w:rFonts w:ascii="Cambria" w:hAnsi="Cambria"/>
              </w:rPr>
              <w:t xml:space="preserve"> (return period</w:t>
            </w:r>
            <w:r w:rsidR="004651D7" w:rsidRPr="00612874">
              <w:rPr>
                <w:rFonts w:ascii="Cambria" w:hAnsi="Cambria"/>
              </w:rPr>
              <w:t>)</w:t>
            </w:r>
            <w:r w:rsidRPr="00612874">
              <w:rPr>
                <w:rFonts w:ascii="Cambria" w:hAnsi="Cambria"/>
              </w:rPr>
              <w:t>)</w:t>
            </w:r>
          </w:p>
          <w:p w14:paraId="173B70B9" w14:textId="796AFA8D" w:rsidR="004C6A8B" w:rsidRPr="00612874" w:rsidRDefault="004C6A8B" w:rsidP="0012104E">
            <w:pPr>
              <w:pStyle w:val="tabletext1"/>
              <w:numPr>
                <w:ilvl w:val="0"/>
                <w:numId w:val="27"/>
              </w:numPr>
              <w:spacing w:after="0"/>
              <w:rPr>
                <w:rFonts w:ascii="Cambria" w:hAnsi="Cambria"/>
              </w:rPr>
            </w:pPr>
            <w:r w:rsidRPr="00612874">
              <w:rPr>
                <w:rFonts w:ascii="Cambria" w:hAnsi="Cambria"/>
              </w:rPr>
              <w:t>water depth</w:t>
            </w:r>
            <w:r w:rsidR="004651D7" w:rsidRPr="00612874">
              <w:rPr>
                <w:rFonts w:ascii="Cambria" w:hAnsi="Cambria"/>
              </w:rPr>
              <w:t xml:space="preserve"> (and level)</w:t>
            </w:r>
            <w:r w:rsidRPr="00612874">
              <w:rPr>
                <w:rFonts w:ascii="Cambria" w:hAnsi="Cambria"/>
              </w:rPr>
              <w:t xml:space="preserve"> persistence (</w:t>
            </w:r>
            <w:r w:rsidR="00E85DBA" w:rsidRPr="00612874">
              <w:rPr>
                <w:rFonts w:ascii="Cambria" w:hAnsi="Cambria"/>
              </w:rPr>
              <w:t>variable/stable</w:t>
            </w:r>
            <w:r w:rsidRPr="00612874">
              <w:rPr>
                <w:rFonts w:ascii="Cambria" w:hAnsi="Cambria"/>
              </w:rPr>
              <w:t>)</w:t>
            </w:r>
          </w:p>
          <w:p w14:paraId="5E60339C"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climate (e.g. temperature)</w:t>
            </w:r>
          </w:p>
          <w:p w14:paraId="2BA8CFAD" w14:textId="68C3D1C3" w:rsidR="004C6A8B" w:rsidRPr="00612874" w:rsidRDefault="004C6A8B" w:rsidP="0012104E">
            <w:pPr>
              <w:pStyle w:val="tabletext1"/>
              <w:numPr>
                <w:ilvl w:val="0"/>
                <w:numId w:val="27"/>
              </w:numPr>
              <w:spacing w:after="0"/>
              <w:rPr>
                <w:rFonts w:ascii="Cambria" w:hAnsi="Cambria"/>
              </w:rPr>
            </w:pPr>
            <w:r w:rsidRPr="00612874">
              <w:rPr>
                <w:rFonts w:ascii="Cambria" w:hAnsi="Cambria"/>
              </w:rPr>
              <w:t>groundwater</w:t>
            </w:r>
            <w:r w:rsidR="00E85DBA" w:rsidRPr="00612874">
              <w:rPr>
                <w:rFonts w:ascii="Cambria" w:hAnsi="Cambria"/>
              </w:rPr>
              <w:t xml:space="preserve">—surface </w:t>
            </w:r>
            <w:r w:rsidRPr="00612874">
              <w:rPr>
                <w:rFonts w:ascii="Cambria" w:hAnsi="Cambria"/>
              </w:rPr>
              <w:t>water connections</w:t>
            </w:r>
          </w:p>
          <w:p w14:paraId="0633D7D3" w14:textId="3970F9DD" w:rsidR="004C6A8B" w:rsidRPr="00612874" w:rsidRDefault="004C6A8B" w:rsidP="0012104E">
            <w:pPr>
              <w:pStyle w:val="tabletext1"/>
              <w:numPr>
                <w:ilvl w:val="0"/>
                <w:numId w:val="27"/>
              </w:numPr>
              <w:spacing w:after="0"/>
              <w:rPr>
                <w:rFonts w:ascii="Cambria" w:hAnsi="Cambria"/>
              </w:rPr>
            </w:pPr>
            <w:r w:rsidRPr="00612874">
              <w:rPr>
                <w:rFonts w:ascii="Cambria" w:hAnsi="Cambria"/>
              </w:rPr>
              <w:t>water balance</w:t>
            </w:r>
            <w:r w:rsidR="00E85DBA" w:rsidRPr="00612874">
              <w:rPr>
                <w:rFonts w:ascii="Cambria" w:hAnsi="Cambria"/>
              </w:rPr>
              <w:t xml:space="preserve">—water </w:t>
            </w:r>
            <w:r w:rsidRPr="00612874">
              <w:rPr>
                <w:rFonts w:ascii="Cambria" w:hAnsi="Cambria"/>
              </w:rPr>
              <w:t>inflow, evaporation, water outflow</w:t>
            </w:r>
          </w:p>
          <w:p w14:paraId="0DEB6111"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 xml:space="preserve">residence time </w:t>
            </w:r>
          </w:p>
          <w:p w14:paraId="19F7917C"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infiltration and soil moisture content</w:t>
            </w:r>
          </w:p>
          <w:p w14:paraId="49950063" w14:textId="77777777" w:rsidR="004C6A8B" w:rsidRPr="00612874" w:rsidRDefault="004C6A8B" w:rsidP="0012104E">
            <w:pPr>
              <w:pStyle w:val="tabletext1"/>
              <w:numPr>
                <w:ilvl w:val="0"/>
                <w:numId w:val="27"/>
              </w:numPr>
              <w:spacing w:after="0"/>
              <w:rPr>
                <w:rFonts w:ascii="Cambria" w:hAnsi="Cambria"/>
              </w:rPr>
            </w:pPr>
            <w:r w:rsidRPr="00612874">
              <w:rPr>
                <w:rFonts w:ascii="Cambria" w:hAnsi="Cambria"/>
              </w:rPr>
              <w:t>water quality (e.g. salinity, algal blooms, etc.)</w:t>
            </w:r>
          </w:p>
          <w:p w14:paraId="38502983" w14:textId="3D8DC631" w:rsidR="004C6A8B" w:rsidRPr="00612874" w:rsidRDefault="004C6A8B" w:rsidP="0012104E">
            <w:pPr>
              <w:pStyle w:val="tabletext1"/>
              <w:numPr>
                <w:ilvl w:val="0"/>
                <w:numId w:val="27"/>
              </w:numPr>
              <w:spacing w:after="0"/>
              <w:rPr>
                <w:rFonts w:ascii="Cambria" w:hAnsi="Cambria"/>
              </w:rPr>
            </w:pPr>
            <w:r w:rsidRPr="00612874">
              <w:rPr>
                <w:rFonts w:ascii="Cambria" w:hAnsi="Cambria"/>
              </w:rPr>
              <w:t xml:space="preserve">boundary effects (e.g. </w:t>
            </w:r>
            <w:r w:rsidR="00D478DA" w:rsidRPr="00612874">
              <w:rPr>
                <w:rFonts w:ascii="Cambria" w:hAnsi="Cambria"/>
              </w:rPr>
              <w:t xml:space="preserve">stratification from </w:t>
            </w:r>
            <w:r w:rsidRPr="00612874">
              <w:rPr>
                <w:rFonts w:ascii="Cambria" w:hAnsi="Cambria"/>
              </w:rPr>
              <w:t>thermoclines</w:t>
            </w:r>
            <w:r w:rsidR="00D478DA" w:rsidRPr="00612874">
              <w:rPr>
                <w:rFonts w:ascii="Cambria" w:hAnsi="Cambria"/>
              </w:rPr>
              <w:t xml:space="preserve"> or</w:t>
            </w:r>
            <w:r w:rsidRPr="00612874">
              <w:rPr>
                <w:rFonts w:ascii="Cambria" w:hAnsi="Cambria"/>
              </w:rPr>
              <w:t xml:space="preserve"> haloclines</w:t>
            </w:r>
            <w:r w:rsidR="00A45FD5" w:rsidRPr="00612874">
              <w:rPr>
                <w:rFonts w:ascii="Cambria" w:hAnsi="Cambria"/>
              </w:rPr>
              <w:t>; mouth closure</w:t>
            </w:r>
            <w:r w:rsidRPr="00612874">
              <w:rPr>
                <w:rFonts w:ascii="Cambria" w:hAnsi="Cambria"/>
              </w:rPr>
              <w:t>)</w:t>
            </w:r>
          </w:p>
          <w:p w14:paraId="743CB499" w14:textId="1B0BAA04" w:rsidR="005724AE" w:rsidRPr="00612874" w:rsidRDefault="005724AE" w:rsidP="0012104E">
            <w:pPr>
              <w:pStyle w:val="tabletext1"/>
              <w:numPr>
                <w:ilvl w:val="0"/>
                <w:numId w:val="27"/>
              </w:numPr>
              <w:spacing w:after="0"/>
              <w:rPr>
                <w:rFonts w:ascii="Cambria" w:hAnsi="Cambria"/>
              </w:rPr>
            </w:pPr>
            <w:r w:rsidRPr="00612874">
              <w:rPr>
                <w:rFonts w:ascii="Cambria" w:hAnsi="Cambria"/>
              </w:rPr>
              <w:t xml:space="preserve">mixing—wind, </w:t>
            </w:r>
            <w:r w:rsidR="00F6202D" w:rsidRPr="00612874">
              <w:rPr>
                <w:rFonts w:ascii="Cambria" w:hAnsi="Cambria"/>
              </w:rPr>
              <w:t>stratification breakdown</w:t>
            </w:r>
          </w:p>
        </w:tc>
      </w:tr>
    </w:tbl>
    <w:p w14:paraId="74D89533" w14:textId="17404D66" w:rsidR="00A52B9C" w:rsidRDefault="00A52B9C" w:rsidP="009D0F69"/>
    <w:p w14:paraId="146DE66F" w14:textId="77777777" w:rsidR="000E6894" w:rsidRPr="0063204E" w:rsidRDefault="000E6894" w:rsidP="00550384">
      <w:pPr>
        <w:pStyle w:val="Heading3"/>
      </w:pPr>
      <w:bookmarkStart w:id="70" w:name="_Toc175317069"/>
      <w:r>
        <w:t xml:space="preserve">1.2.4 </w:t>
      </w:r>
      <w:r w:rsidRPr="0063204E">
        <w:t>Key biological and ecological processes</w:t>
      </w:r>
      <w:bookmarkEnd w:id="70"/>
    </w:p>
    <w:p w14:paraId="572DEAFE" w14:textId="77777777" w:rsidR="000E6894" w:rsidRDefault="000E6894" w:rsidP="000E6894">
      <w:r>
        <w:lastRenderedPageBreak/>
        <w:t>In general, the relevant biology and ecology of species assemblages within the ecological community are influenced by five main drivers. These combine to shape the diversity, dynamics, and distribution of plants and animals and their habitats in this complex riverine-floodplain system (e.g. Bayley 1995; Walker 2006; Goode and Harvey 2009; Walker et al. 2009; Rogers and Ralph 2011). The five main drivers are:</w:t>
      </w:r>
    </w:p>
    <w:p w14:paraId="179CF4BB" w14:textId="77777777" w:rsidR="000E6894" w:rsidRDefault="000E6894" w:rsidP="000E6894">
      <w:pPr>
        <w:pStyle w:val="ListBullet"/>
        <w:numPr>
          <w:ilvl w:val="0"/>
          <w:numId w:val="26"/>
        </w:numPr>
        <w:spacing w:before="80" w:after="80"/>
        <w:ind w:left="714" w:hanging="357"/>
      </w:pPr>
      <w:r>
        <w:t xml:space="preserve">Hydrology— </w:t>
      </w:r>
      <w:r w:rsidRPr="004C49D0">
        <w:t>temporal and spatial variability</w:t>
      </w:r>
      <w:r>
        <w:t xml:space="preserve"> of flows and water levels (see Section 1.2)</w:t>
      </w:r>
    </w:p>
    <w:p w14:paraId="7B657755" w14:textId="77777777" w:rsidR="000E6894" w:rsidRDefault="000E6894" w:rsidP="000E6894">
      <w:pPr>
        <w:pStyle w:val="ListBullet"/>
        <w:numPr>
          <w:ilvl w:val="0"/>
          <w:numId w:val="26"/>
        </w:numPr>
        <w:spacing w:before="80" w:after="80"/>
        <w:ind w:left="714" w:hanging="357"/>
      </w:pPr>
      <w:r>
        <w:t>C</w:t>
      </w:r>
      <w:r w:rsidRPr="004C49D0">
        <w:t>onnectivity</w:t>
      </w:r>
      <w:r>
        <w:t>—</w:t>
      </w:r>
      <w:r w:rsidRPr="004C49D0">
        <w:t xml:space="preserve"> between the river an</w:t>
      </w:r>
      <w:r>
        <w:t>d its floodplain woodlands and wetlands, and between the river and the sea</w:t>
      </w:r>
    </w:p>
    <w:p w14:paraId="7E9FEA11" w14:textId="77777777" w:rsidR="000E6894" w:rsidRDefault="000E6894" w:rsidP="000E6894">
      <w:pPr>
        <w:pStyle w:val="ListBullet"/>
        <w:numPr>
          <w:ilvl w:val="0"/>
          <w:numId w:val="26"/>
        </w:numPr>
        <w:spacing w:before="80" w:after="80"/>
        <w:ind w:left="714" w:hanging="357"/>
      </w:pPr>
      <w:r>
        <w:t xml:space="preserve">Transport of particless—sediments, </w:t>
      </w:r>
      <w:r w:rsidRPr="004C49D0">
        <w:t>nutrient</w:t>
      </w:r>
      <w:r>
        <w:t>s, and carbon (i.e. influencing productivity and water chemistry)</w:t>
      </w:r>
    </w:p>
    <w:p w14:paraId="57E3877C" w14:textId="77777777" w:rsidR="000E6894" w:rsidRDefault="000E6894" w:rsidP="000E6894">
      <w:pPr>
        <w:pStyle w:val="ListBullet"/>
        <w:numPr>
          <w:ilvl w:val="0"/>
          <w:numId w:val="26"/>
        </w:numPr>
        <w:spacing w:before="80" w:after="80"/>
        <w:ind w:left="714" w:hanging="357"/>
      </w:pPr>
      <w:r>
        <w:t>Salinity—i.e. as influenced by groundwater and surface hydrology, and</w:t>
      </w:r>
    </w:p>
    <w:p w14:paraId="4ED17CE2" w14:textId="77777777" w:rsidR="000E6894" w:rsidRDefault="000E6894" w:rsidP="000E6894">
      <w:pPr>
        <w:pStyle w:val="ListBullet"/>
        <w:numPr>
          <w:ilvl w:val="0"/>
          <w:numId w:val="26"/>
        </w:numPr>
        <w:spacing w:before="80" w:after="80"/>
        <w:ind w:left="714" w:hanging="357"/>
      </w:pPr>
      <w:r>
        <w:t>Regional climate.</w:t>
      </w:r>
    </w:p>
    <w:p w14:paraId="55B0C5F6" w14:textId="77777777" w:rsidR="000E6894" w:rsidRDefault="000E6894" w:rsidP="000E6894">
      <w:pPr>
        <w:pStyle w:val="ListBullet"/>
        <w:spacing w:before="80" w:after="80"/>
        <w:ind w:left="714"/>
      </w:pPr>
    </w:p>
    <w:p w14:paraId="79A762BA" w14:textId="77777777" w:rsidR="000E6894" w:rsidRPr="004C2CA2" w:rsidRDefault="000E6894" w:rsidP="000E6894">
      <w:r>
        <w:t>Biota within the ecological community have basic requirements for survival, growth and reproduction that are related to preferred habitats, and water regimes and trophic linkages (Walker et al. 1995; Rogers and Ralph 2011). These requirements, and the underlying ecological processes, are also subject to disturbances through river regulation and other anthropogenic effects. Ecosystems and biota have some inherent degree of resilience to cope with such disturbances, but there are limits that, once exceeded, may change the ecological character of the community.</w:t>
      </w:r>
    </w:p>
    <w:p w14:paraId="383184F0" w14:textId="38CB17F1" w:rsidR="000E6894" w:rsidRDefault="000E6894" w:rsidP="000E6894">
      <w:pPr>
        <w:pStyle w:val="ListBullet"/>
        <w:spacing w:before="80" w:after="80"/>
      </w:pPr>
      <w:r w:rsidRPr="000B7C8B">
        <w:rPr>
          <w:u w:val="single"/>
        </w:rPr>
        <w:t>Table 1</w:t>
      </w:r>
      <w:r>
        <w:rPr>
          <w:u w:val="single"/>
        </w:rPr>
        <w:t>8</w:t>
      </w:r>
      <w:r>
        <w:t xml:space="preserve"> provides an overview of the ecological processes that generally operate in aquatic ecosystems and key elements of the biology and ecology of the ecological community, as influenced by the main drivers (with the exception of climate), are elaborated below, in addition to in </w:t>
      </w:r>
      <w:r w:rsidRPr="000B7C8B">
        <w:rPr>
          <w:u w:val="single"/>
        </w:rPr>
        <w:t>Table 1</w:t>
      </w:r>
      <w:r>
        <w:rPr>
          <w:u w:val="single"/>
        </w:rPr>
        <w:t>7</w:t>
      </w:r>
      <w:r>
        <w:t>.</w:t>
      </w:r>
    </w:p>
    <w:p w14:paraId="6DC3BD3E" w14:textId="77777777" w:rsidR="000E6894" w:rsidRDefault="000E6894" w:rsidP="000E6894">
      <w:pPr>
        <w:pStyle w:val="ListBullet"/>
        <w:spacing w:before="80" w:after="80"/>
      </w:pPr>
    </w:p>
    <w:p w14:paraId="7C6C5255" w14:textId="3B4CF9A0" w:rsidR="0022055E" w:rsidRPr="00010811" w:rsidRDefault="0022055E" w:rsidP="006E2204">
      <w:pPr>
        <w:pStyle w:val="Heading4"/>
      </w:pPr>
      <w:bookmarkStart w:id="71" w:name="_Toc232747140"/>
      <w:bookmarkStart w:id="72" w:name="_Toc363639708"/>
      <w:r w:rsidRPr="00010811">
        <w:t>Flow and Connectivity</w:t>
      </w:r>
      <w:bookmarkEnd w:id="71"/>
      <w:bookmarkEnd w:id="72"/>
    </w:p>
    <w:p w14:paraId="629F8C40" w14:textId="77777777" w:rsidR="0022055E" w:rsidRPr="00010811" w:rsidRDefault="0022055E" w:rsidP="00A2521C">
      <w:pPr>
        <w:pStyle w:val="Heading5"/>
      </w:pPr>
      <w:bookmarkStart w:id="73" w:name="_Toc232747141"/>
      <w:r w:rsidRPr="00010811">
        <w:t>The transport-transformation model</w:t>
      </w:r>
      <w:bookmarkEnd w:id="73"/>
    </w:p>
    <w:p w14:paraId="411C460A" w14:textId="45D78DE3" w:rsidR="000D78AA" w:rsidRDefault="0022055E" w:rsidP="000E6894">
      <w:r w:rsidRPr="00AB0EC4">
        <w:t xml:space="preserve">River ecosystems are governed by </w:t>
      </w:r>
      <w:r>
        <w:t xml:space="preserve">their </w:t>
      </w:r>
      <w:r w:rsidRPr="00AB0EC4">
        <w:t>flow regime</w:t>
      </w:r>
      <w:r>
        <w:t>s (i.e. hydrology), and the effects of flow are so pervasive that it has been called the ‘Maestro’, or ‘Master’ variable, in river ecology (Walker et al. 1995; Young 2001). Flow influences virtually all features of the riverine environment, including the character of the sediment, the shape of the channel and the lay of the land, and the transport of sediment, salt and nutrients. It also determines the kinds of animals and plants that are present, their dispersal and dynamics, and governs hydraulic connections between the channel and the floodplain wetlands</w:t>
      </w:r>
      <w:r w:rsidR="00B909DA">
        <w:t>, shrublands</w:t>
      </w:r>
      <w:r>
        <w:t xml:space="preserve"> and woodlands</w:t>
      </w:r>
      <w:r w:rsidR="00B909DA">
        <w:t>.</w:t>
      </w:r>
    </w:p>
    <w:p w14:paraId="1AA3B172" w14:textId="76DC307A" w:rsidR="000E6894" w:rsidRDefault="0022055E" w:rsidP="00DF70BC">
      <w:r w:rsidRPr="003A54BF">
        <w:t xml:space="preserve">A </w:t>
      </w:r>
      <w:r>
        <w:t xml:space="preserve">simple model of a floodplain river ecosystem is at </w:t>
      </w:r>
      <w:r w:rsidRPr="00D4068F">
        <w:rPr>
          <w:u w:val="single"/>
        </w:rPr>
        <w:t>Figure</w:t>
      </w:r>
      <w:r w:rsidR="00F12A0E" w:rsidRPr="00D4068F">
        <w:rPr>
          <w:u w:val="single"/>
        </w:rPr>
        <w:t xml:space="preserve"> </w:t>
      </w:r>
      <w:r w:rsidR="00D4068F" w:rsidRPr="00D4068F">
        <w:rPr>
          <w:u w:val="single"/>
        </w:rPr>
        <w:t>4</w:t>
      </w:r>
      <w:r w:rsidRPr="00D844A0">
        <w:t xml:space="preserve"> </w:t>
      </w:r>
      <w:r>
        <w:t>(Walker 2010)</w:t>
      </w:r>
      <w:r w:rsidRPr="003A54BF">
        <w:t xml:space="preserve">. The channel is shown as a strong vector, representing its role in </w:t>
      </w:r>
      <w:r w:rsidRPr="003A54BF">
        <w:rPr>
          <w:i/>
        </w:rPr>
        <w:t>transport</w:t>
      </w:r>
      <w:r>
        <w:t xml:space="preserve"> of</w:t>
      </w:r>
      <w:r w:rsidRPr="003A54BF">
        <w:t xml:space="preserve"> water and matter, and as a corridor for dispersal of aquatic a</w:t>
      </w:r>
      <w:r>
        <w:t xml:space="preserve">nd riparian plants and animals. </w:t>
      </w:r>
      <w:r w:rsidRPr="003A54BF">
        <w:t>On the floodplain, matter from the river is deposi</w:t>
      </w:r>
      <w:r>
        <w:t xml:space="preserve">ted in wetlands and woodlands to </w:t>
      </w:r>
      <w:r w:rsidRPr="003A54BF">
        <w:t xml:space="preserve">undergo </w:t>
      </w:r>
      <w:r w:rsidRPr="003A54BF">
        <w:rPr>
          <w:i/>
        </w:rPr>
        <w:t>transformation</w:t>
      </w:r>
      <w:r w:rsidRPr="003A54BF">
        <w:t xml:space="preserve">, whereby it is </w:t>
      </w:r>
      <w:r>
        <w:t xml:space="preserve">stored, </w:t>
      </w:r>
      <w:r w:rsidRPr="003A54BF">
        <w:t xml:space="preserve">broken down and reassembled as the bodies of new organisms. As decomposition </w:t>
      </w:r>
      <w:r>
        <w:t>and production</w:t>
      </w:r>
      <w:r w:rsidR="00DF70BC">
        <w:t xml:space="preserve"> </w:t>
      </w:r>
      <w:r w:rsidR="00DF70BC" w:rsidRPr="003A54BF">
        <w:t>are more complex processes than those involved in transport, there often are more ecological niches and correspondingly more bio</w:t>
      </w:r>
      <w:r w:rsidR="00DF70BC" w:rsidRPr="003A54BF">
        <w:softHyphen/>
        <w:t>diversity in floodplain environments, including aquatic, terrestrial and amphibious species.</w:t>
      </w:r>
    </w:p>
    <w:p w14:paraId="56EF1675" w14:textId="783CB632" w:rsidR="000E6894" w:rsidRDefault="000E6894" w:rsidP="000E6894">
      <w:r>
        <w:rPr>
          <w:noProof/>
        </w:rPr>
        <w:lastRenderedPageBreak/>
        <w:drawing>
          <wp:anchor distT="0" distB="0" distL="114300" distR="114300" simplePos="0" relativeHeight="251664896" behindDoc="0" locked="0" layoutInCell="1" allowOverlap="1" wp14:anchorId="28D6686C" wp14:editId="34D38B8F">
            <wp:simplePos x="0" y="0"/>
            <wp:positionH relativeFrom="margin">
              <wp:posOffset>818515</wp:posOffset>
            </wp:positionH>
            <wp:positionV relativeFrom="paragraph">
              <wp:posOffset>208280</wp:posOffset>
            </wp:positionV>
            <wp:extent cx="3919220" cy="2905760"/>
            <wp:effectExtent l="0" t="0" r="5080" b="8890"/>
            <wp:wrapTopAndBottom/>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a:extLst>
                        <a:ext uri="{C183D7F6-B498-43B3-948B-1728B52AA6E4}">
                          <adec:decorative xmlns:adec="http://schemas.microsoft.com/office/drawing/2017/decorative" val="1"/>
                        </a:ext>
                      </a:extLst>
                    </pic:cNvPr>
                    <pic:cNvPicPr>
                      <a:picLocks noChangeAspect="1" noChangeArrowheads="1"/>
                    </pic:cNvPicPr>
                  </pic:nvPicPr>
                  <pic:blipFill>
                    <a:blip r:embed="rId27" cstate="print"/>
                    <a:srcRect/>
                    <a:stretch>
                      <a:fillRect/>
                    </a:stretch>
                  </pic:blipFill>
                  <pic:spPr bwMode="auto">
                    <a:xfrm>
                      <a:off x="0" y="0"/>
                      <a:ext cx="3919220" cy="2905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D07B22" w14:textId="4F57D1D0" w:rsidR="000E6894" w:rsidRPr="000E6894" w:rsidRDefault="000E6894" w:rsidP="008F1260">
      <w:pPr>
        <w:rPr>
          <w:b/>
          <w:bCs/>
          <w:sz w:val="21"/>
          <w:szCs w:val="21"/>
        </w:rPr>
      </w:pPr>
      <w:bookmarkStart w:id="74" w:name="_Toc232747960"/>
      <w:r w:rsidRPr="000E6894">
        <w:rPr>
          <w:b/>
          <w:bCs/>
        </w:rPr>
        <w:t xml:space="preserve">Figure </w:t>
      </w:r>
      <w:r w:rsidRPr="000E6894">
        <w:rPr>
          <w:b/>
          <w:bCs/>
        </w:rPr>
        <w:fldChar w:fldCharType="begin"/>
      </w:r>
      <w:r w:rsidRPr="000E6894">
        <w:rPr>
          <w:b/>
          <w:bCs/>
        </w:rPr>
        <w:instrText xml:space="preserve"> SEQ Figure \* ARABIC </w:instrText>
      </w:r>
      <w:r w:rsidRPr="000E6894">
        <w:rPr>
          <w:b/>
          <w:bCs/>
        </w:rPr>
        <w:fldChar w:fldCharType="separate"/>
      </w:r>
      <w:r w:rsidR="006D35C5">
        <w:rPr>
          <w:b/>
          <w:bCs/>
          <w:noProof/>
        </w:rPr>
        <w:t>4</w:t>
      </w:r>
      <w:r w:rsidRPr="000E6894">
        <w:rPr>
          <w:b/>
          <w:bCs/>
        </w:rPr>
        <w:fldChar w:fldCharType="end"/>
      </w:r>
      <w:r w:rsidRPr="000E6894">
        <w:rPr>
          <w:b/>
          <w:bCs/>
        </w:rPr>
        <w:t xml:space="preserve">: </w:t>
      </w:r>
      <w:r w:rsidRPr="000E6894">
        <w:rPr>
          <w:b/>
          <w:bCs/>
          <w:sz w:val="21"/>
          <w:szCs w:val="21"/>
        </w:rPr>
        <w:t>The ‘transport’ and ‘transformation’ functions of a floodplain river (Walker 2010).</w:t>
      </w:r>
      <w:bookmarkEnd w:id="74"/>
    </w:p>
    <w:p w14:paraId="68767104" w14:textId="5993166F" w:rsidR="00370E5D" w:rsidRDefault="008F1260" w:rsidP="008F1260">
      <w:r w:rsidRPr="003A54BF">
        <w:t>The transpo</w:t>
      </w:r>
      <w:r>
        <w:t>rt-transformation model emphasis</w:t>
      </w:r>
      <w:r w:rsidRPr="003A54BF">
        <w:t>es the integrity of rivers and floodplains and the necessity</w:t>
      </w:r>
      <w:r>
        <w:t xml:space="preserve"> for hydrological ‘connectivity’. </w:t>
      </w:r>
      <w:r w:rsidRPr="003A54BF">
        <w:t>It portrays the channel as a cond</w:t>
      </w:r>
      <w:r>
        <w:t>uit and corridor, and the flood</w:t>
      </w:r>
      <w:r w:rsidRPr="003A54BF">
        <w:t>plain as a site for key biological processes, and it highlights the channel’s role in connecting the elements of the system. In a regulated river, where overbank flows are limited, channel functions are promoted, the floodplain is isolated, processes are constrained and biodiversity declines (e.g. Walker 2006).</w:t>
      </w:r>
    </w:p>
    <w:p w14:paraId="4A685466" w14:textId="298458D0" w:rsidR="008F1260" w:rsidRDefault="008F1260" w:rsidP="00B645F2">
      <w:pPr>
        <w:keepLines/>
      </w:pPr>
      <w:r w:rsidRPr="003A54BF">
        <w:t>Connectivity is the opposite of fragmentation, and refers to connections along the channel, between the channel and floodplain</w:t>
      </w:r>
      <w:r>
        <w:t xml:space="preserve">, as well as </w:t>
      </w:r>
      <w:r w:rsidRPr="003A54BF">
        <w:t xml:space="preserve">throughout the drainage network. Connectivity is a prerequisite for a healthy </w:t>
      </w:r>
      <w:r>
        <w:t>floodplain-</w:t>
      </w:r>
      <w:r w:rsidRPr="003A54BF">
        <w:t>river eco</w:t>
      </w:r>
      <w:r w:rsidRPr="003A54BF">
        <w:softHyphen/>
        <w:t>system</w:t>
      </w:r>
      <w:r>
        <w:t>.</w:t>
      </w:r>
      <w:r w:rsidRPr="00DB138A">
        <w:t xml:space="preserve"> </w:t>
      </w:r>
      <w:r>
        <w:t>Aquatic connections between the channel and the floodplain may include anabranches, flood runners and ephemeral, seasonal and permanent backwaters, billabongs and lakes (Sheldon and Walker 1998). The floodplain as a whole is, by definition, dependent on flows in the river, and the fauna and flora of the channel also depend on access to floodplain habitats.</w:t>
      </w:r>
    </w:p>
    <w:p w14:paraId="1469069F" w14:textId="77777777" w:rsidR="002F6C0A" w:rsidRPr="003B7382" w:rsidRDefault="002F6C0A" w:rsidP="00A2521C">
      <w:pPr>
        <w:pStyle w:val="Heading5"/>
      </w:pPr>
      <w:bookmarkStart w:id="75" w:name="_Toc232747142"/>
      <w:r w:rsidRPr="003B7382">
        <w:t>Wetting and drying cycles</w:t>
      </w:r>
      <w:bookmarkEnd w:id="75"/>
    </w:p>
    <w:p w14:paraId="1C2FC5A6" w14:textId="7F9B32C1" w:rsidR="002F6C0A" w:rsidRDefault="002F6C0A" w:rsidP="002F6C0A">
      <w:r>
        <w:t>In the River Murray, as in most dryland rivers, the pattern of flow (the flow regime) is</w:t>
      </w:r>
      <w:r w:rsidRPr="00AB0EC4">
        <w:t xml:space="preserve"> highly vari</w:t>
      </w:r>
      <w:r>
        <w:t xml:space="preserve">able </w:t>
      </w:r>
      <w:r w:rsidRPr="00AB0EC4">
        <w:t xml:space="preserve">(Young 2001). </w:t>
      </w:r>
      <w:r>
        <w:t>The hydrograph shows erratic sequences of flood and drought, and a high degree of variability between years and decades, although the natural pattern has been modified by diversions and regulation (e.g. Maheshwari et al. 1995). The propensity for river flows to vary widely is reflected in the life cycles of many native species that are opportunistic, tolerant and capable of rapid dispersal. The effects of regulation, however, have reduced flow variability within and between years</w:t>
      </w:r>
      <w:r w:rsidR="00B84A30">
        <w:t xml:space="preserve"> for the RMDS</w:t>
      </w:r>
      <w:r>
        <w:t>, and generally favoured introduced species, with regular, seasonal life cycles, over native species.</w:t>
      </w:r>
    </w:p>
    <w:p w14:paraId="7733D0A8" w14:textId="61F8E89B" w:rsidR="002C2C38" w:rsidRDefault="002F6C0A" w:rsidP="002C2C38">
      <w:r w:rsidRPr="00AB0EC4">
        <w:t>The river channel</w:t>
      </w:r>
      <w:r>
        <w:t>, unlike most floodplain habitats,</w:t>
      </w:r>
      <w:r w:rsidRPr="00AB0EC4">
        <w:t xml:space="preserve"> is characterised by strong currents, unstable sediments, a shallow photic zone</w:t>
      </w:r>
      <w:r>
        <w:t>,</w:t>
      </w:r>
      <w:r w:rsidRPr="00AB0EC4">
        <w:t xml:space="preserve"> and other conditions that represent a harsh environment for many organisms. The littoral</w:t>
      </w:r>
      <w:r>
        <w:rPr>
          <w:rStyle w:val="FootnoteReference"/>
        </w:rPr>
        <w:footnoteReference w:id="2"/>
      </w:r>
      <w:r>
        <w:t xml:space="preserve"> zone, at the channel edge,</w:t>
      </w:r>
      <w:r w:rsidRPr="00AB0EC4">
        <w:t xml:space="preserve"> supports a narrow band of emergent and submerged plants that forms a refuge for many animals</w:t>
      </w:r>
      <w:r>
        <w:t xml:space="preserve"> and is often a place of high </w:t>
      </w:r>
      <w:r>
        <w:lastRenderedPageBreak/>
        <w:t xml:space="preserve">biodiversity (Walker et al. 1992; Walker et al. 2009). The distribution of aquatic/emergent </w:t>
      </w:r>
      <w:r w:rsidRPr="00AB0EC4">
        <w:t>plants is</w:t>
      </w:r>
      <w:r w:rsidR="002C2C38">
        <w:t xml:space="preserve"> </w:t>
      </w:r>
      <w:r w:rsidR="002C2C38" w:rsidRPr="00AB0EC4">
        <w:t>influenced by the frequency of flooding and exposure (Walker et al. 1994)</w:t>
      </w:r>
      <w:r w:rsidR="002C2C38">
        <w:t>,</w:t>
      </w:r>
      <w:r w:rsidR="002C2C38" w:rsidRPr="00AB0EC4">
        <w:t xml:space="preserve"> and </w:t>
      </w:r>
      <w:r w:rsidR="002C2C38">
        <w:t xml:space="preserve">this zone </w:t>
      </w:r>
      <w:r w:rsidR="002C2C38" w:rsidRPr="00AB0EC4">
        <w:t xml:space="preserve">was much less developed (or absent) prior to </w:t>
      </w:r>
      <w:r w:rsidR="002C2C38">
        <w:t xml:space="preserve">river </w:t>
      </w:r>
      <w:r w:rsidR="002C2C38" w:rsidRPr="00AB0EC4">
        <w:t xml:space="preserve">regulation (Blanch et al. 2000). </w:t>
      </w:r>
    </w:p>
    <w:p w14:paraId="4A061254" w14:textId="27057928" w:rsidR="00A80362" w:rsidRDefault="00A80362" w:rsidP="00A80362">
      <w:r>
        <w:t>Many wetlands in semi-arid Australia are adapted to intermittent periods of wetting and drying (Passfield et al. 2008) and the wetting-dry</w:t>
      </w:r>
      <w:r w:rsidRPr="00AB0EC4">
        <w:t>ing sequence is also importan</w:t>
      </w:r>
      <w:r>
        <w:t xml:space="preserve">t for habitats within the river </w:t>
      </w:r>
      <w:r w:rsidRPr="00AB0EC4">
        <w:t>channel</w:t>
      </w:r>
      <w:r>
        <w:t xml:space="preserve"> component of the ecological community</w:t>
      </w:r>
      <w:r w:rsidRPr="00AB0EC4">
        <w:t xml:space="preserve">. Primarily, changes in </w:t>
      </w:r>
      <w:r>
        <w:t xml:space="preserve">the </w:t>
      </w:r>
      <w:r w:rsidRPr="00AB0EC4">
        <w:t xml:space="preserve">water level </w:t>
      </w:r>
      <w:r>
        <w:t xml:space="preserve">in the channel </w:t>
      </w:r>
      <w:r w:rsidRPr="00AB0EC4">
        <w:t>affect the grow</w:t>
      </w:r>
      <w:r>
        <w:t>th of biofilms</w:t>
      </w:r>
      <w:r>
        <w:rPr>
          <w:rStyle w:val="FootnoteReference"/>
        </w:rPr>
        <w:footnoteReference w:id="3"/>
      </w:r>
      <w:r>
        <w:t xml:space="preserve"> that provide food for</w:t>
      </w:r>
      <w:r w:rsidRPr="00AB0EC4">
        <w:t xml:space="preserve"> fish, and for snails and other grazing invertebrates (Walker 2001).</w:t>
      </w:r>
      <w:r>
        <w:t xml:space="preserve"> </w:t>
      </w:r>
    </w:p>
    <w:p w14:paraId="65F9FA81" w14:textId="042128F3" w:rsidR="00A80362" w:rsidRDefault="00A80362" w:rsidP="00A80362">
      <w:r>
        <w:t>In a natural system, the wetting and drying cycles are driven by ephemeral stream inflow or floodplain flooding (Passfield et al. 2008). Wetting and drying cycles influence temporal surface water and groundwater interactions, and these changes can determine the accumulation of salt in a wetland (Passfield et al. 2008). Within floodplain systems, the interaction between temperature</w:t>
      </w:r>
      <w:r w:rsidRPr="00970E33">
        <w:t xml:space="preserve"> </w:t>
      </w:r>
      <w:r>
        <w:t>and flow also contributes to the structuring of biotic communities (Tockner et al. 2000).</w:t>
      </w:r>
    </w:p>
    <w:p w14:paraId="16E62D84" w14:textId="77777777" w:rsidR="00FE1ABD" w:rsidRPr="00010811" w:rsidRDefault="00FE1ABD" w:rsidP="00A2521C">
      <w:pPr>
        <w:pStyle w:val="Heading5"/>
      </w:pPr>
      <w:bookmarkStart w:id="76" w:name="_Toc232747143"/>
      <w:r w:rsidRPr="00010811">
        <w:t>Wetting and drying model</w:t>
      </w:r>
      <w:bookmarkEnd w:id="76"/>
      <w:r w:rsidRPr="00010811">
        <w:t xml:space="preserve"> </w:t>
      </w:r>
    </w:p>
    <w:p w14:paraId="45E94AEA" w14:textId="77777777" w:rsidR="000F45E5" w:rsidRDefault="00FE1ABD" w:rsidP="00612874">
      <w:pPr>
        <w:keepLines/>
      </w:pPr>
      <w:r>
        <w:t xml:space="preserve">In general, floodplain </w:t>
      </w:r>
      <w:r w:rsidRPr="00AB0EC4">
        <w:t>wetland</w:t>
      </w:r>
      <w:r>
        <w:t>s occur along a water-</w:t>
      </w:r>
      <w:r w:rsidRPr="00AB0EC4">
        <w:t>availability gradient that governs the zones where particular plant and animal species may occur (</w:t>
      </w:r>
      <w:r>
        <w:t>Brock 1994</w:t>
      </w:r>
      <w:r w:rsidRPr="00AB0EC4">
        <w:t>).</w:t>
      </w:r>
      <w:r>
        <w:t xml:space="preserve"> </w:t>
      </w:r>
      <w:r w:rsidRPr="00AB0EC4">
        <w:t xml:space="preserve">Zones of a wetland may </w:t>
      </w:r>
      <w:r>
        <w:t xml:space="preserve">range from fully terrestrial </w:t>
      </w:r>
      <w:r w:rsidRPr="00AB0EC4">
        <w:t xml:space="preserve">land </w:t>
      </w:r>
      <w:r>
        <w:t xml:space="preserve">that has wet and dry phases but is dry most of the time, </w:t>
      </w:r>
      <w:r w:rsidRPr="00AB0EC4">
        <w:t xml:space="preserve">through to an edge zone </w:t>
      </w:r>
      <w:r>
        <w:t xml:space="preserve">(littoral) </w:t>
      </w:r>
      <w:r w:rsidRPr="00AB0EC4">
        <w:t xml:space="preserve">characterised by fluctuating water levels, and potentially to a fully submerged zone </w:t>
      </w:r>
      <w:r>
        <w:t xml:space="preserve">where inundation is effectively </w:t>
      </w:r>
      <w:r w:rsidRPr="00AB0EC4">
        <w:t xml:space="preserve">permanent. </w:t>
      </w:r>
    </w:p>
    <w:p w14:paraId="176CDFF8" w14:textId="3A27A6A2" w:rsidR="00FE1ABD" w:rsidRDefault="00FE1ABD" w:rsidP="00FE1ABD">
      <w:r>
        <w:t xml:space="preserve">According to the ‘wetting and drying’ model of Brock and Casanova (1997), plants occupying the upper edge of a wetland are regarded as ‘terrestrial’, those on the lower edge are ‘submerged’ and plants located between those zones are referred to as ‘amphibious’. These are further classified into 'functional groups' on the basis of wetting and drying cycles (see </w:t>
      </w:r>
      <w:r w:rsidRPr="000F45E5">
        <w:rPr>
          <w:u w:val="single"/>
        </w:rPr>
        <w:t xml:space="preserve">Table </w:t>
      </w:r>
      <w:r w:rsidR="000E6EB1" w:rsidRPr="000F45E5">
        <w:rPr>
          <w:u w:val="single"/>
        </w:rPr>
        <w:t>1</w:t>
      </w:r>
      <w:r w:rsidR="00A93CB9">
        <w:rPr>
          <w:u w:val="single"/>
        </w:rPr>
        <w:t>9</w:t>
      </w:r>
      <w:r w:rsidRPr="00997698">
        <w:t>).</w:t>
      </w:r>
      <w:r>
        <w:t xml:space="preserve"> </w:t>
      </w:r>
      <w:r w:rsidRPr="00AB0EC4">
        <w:t>Species less tolerant of waterlogging are limited to the upper, drier sections of the moisture gradient whilst species that require full inundation are limited to the submerged zone. The area between is occupied by amphibious species that can cope with variable wet and dry conditions.</w:t>
      </w:r>
      <w:r>
        <w:t xml:space="preserve"> </w:t>
      </w:r>
      <w:r w:rsidRPr="00AB0EC4">
        <w:t>Amphibious plants can be classified into two broad groups (Brock and Casanova 1997):</w:t>
      </w:r>
    </w:p>
    <w:p w14:paraId="46D8FDB7" w14:textId="77777777" w:rsidR="00FE1ABD" w:rsidRPr="00AB0EC4" w:rsidRDefault="00FE1ABD" w:rsidP="0012104E">
      <w:pPr>
        <w:pStyle w:val="ListBullet"/>
        <w:numPr>
          <w:ilvl w:val="0"/>
          <w:numId w:val="28"/>
        </w:numPr>
        <w:spacing w:after="120"/>
      </w:pPr>
      <w:r w:rsidRPr="00E9314A">
        <w:rPr>
          <w:i/>
        </w:rPr>
        <w:t>Fluctuation tolerators</w:t>
      </w:r>
      <w:r>
        <w:t xml:space="preserve"> that </w:t>
      </w:r>
      <w:r w:rsidRPr="00AB0EC4">
        <w:t xml:space="preserve">cope with changes in water level without any major change in their growth or habit. Examples include upright sedges and </w:t>
      </w:r>
      <w:r>
        <w:t>g</w:t>
      </w:r>
      <w:r w:rsidRPr="00AB0EC4">
        <w:t>rasses that can have their roots and lower shoots submerged on occasion but their upper shoots nearly always emerg</w:t>
      </w:r>
      <w:r>
        <w:t>e above the surface water level, and</w:t>
      </w:r>
      <w:r w:rsidRPr="00AB0EC4">
        <w:t xml:space="preserve"> </w:t>
      </w:r>
    </w:p>
    <w:p w14:paraId="0445F13F" w14:textId="6BB9025C" w:rsidR="00167031" w:rsidRDefault="00FE1ABD" w:rsidP="0012104E">
      <w:pPr>
        <w:pStyle w:val="ListBullet"/>
        <w:numPr>
          <w:ilvl w:val="0"/>
          <w:numId w:val="28"/>
        </w:numPr>
        <w:spacing w:after="320"/>
      </w:pPr>
      <w:r w:rsidRPr="00E9314A">
        <w:rPr>
          <w:i/>
        </w:rPr>
        <w:t>Fluctuation responders</w:t>
      </w:r>
      <w:r w:rsidRPr="00AB0EC4">
        <w:t xml:space="preserve"> </w:t>
      </w:r>
      <w:r>
        <w:t xml:space="preserve">that </w:t>
      </w:r>
      <w:r w:rsidRPr="00AB0EC4">
        <w:t xml:space="preserve">can change their patterns of growth or habit when water is present. An example is </w:t>
      </w:r>
      <w:r>
        <w:t xml:space="preserve">species of </w:t>
      </w:r>
      <w:r w:rsidRPr="00AB0EC4">
        <w:rPr>
          <w:i/>
        </w:rPr>
        <w:t>Myriophyllum</w:t>
      </w:r>
      <w:r w:rsidRPr="00AB0EC4">
        <w:t xml:space="preserve"> (water milfoil) that changes its leaf shape depending on whether </w:t>
      </w:r>
      <w:r>
        <w:t xml:space="preserve">or not </w:t>
      </w:r>
      <w:r w:rsidRPr="00AB0EC4">
        <w:t>shoots are submerged or not.</w:t>
      </w:r>
      <w:bookmarkStart w:id="77" w:name="_Toc232747202"/>
      <w:bookmarkStart w:id="78" w:name="_Toc232747278"/>
      <w:bookmarkStart w:id="79" w:name="_Toc232747521"/>
    </w:p>
    <w:p w14:paraId="6B431640" w14:textId="77777777" w:rsidR="00B61001" w:rsidRDefault="00B61001" w:rsidP="00B61001">
      <w:pPr>
        <w:ind w:left="30"/>
      </w:pPr>
      <w:r>
        <w:t>Variable water levels have special significance for the riverine littoral community. Aquatic and semi-aquatic plants along the river margins of the Murray are confined to a band whose width varies with the magnitude of seasonal water-level changes (Walker et al. 1994).</w:t>
      </w:r>
    </w:p>
    <w:p w14:paraId="3079F387" w14:textId="5EF404D1" w:rsidR="00A93CB9" w:rsidRPr="00167031" w:rsidRDefault="00B645F2" w:rsidP="00B645F2">
      <w:pPr>
        <w:pStyle w:val="Caption"/>
        <w:rPr>
          <w:b w:val="0"/>
          <w:bCs/>
        </w:rPr>
      </w:pPr>
      <w:r>
        <w:lastRenderedPageBreak/>
        <w:t xml:space="preserve">Table </w:t>
      </w:r>
      <w:r>
        <w:fldChar w:fldCharType="begin"/>
      </w:r>
      <w:r>
        <w:instrText xml:space="preserve"> SEQ Table \* ARABIC </w:instrText>
      </w:r>
      <w:r>
        <w:fldChar w:fldCharType="separate"/>
      </w:r>
      <w:r w:rsidR="006D35C5">
        <w:rPr>
          <w:noProof/>
        </w:rPr>
        <w:t>19</w:t>
      </w:r>
      <w:r>
        <w:fldChar w:fldCharType="end"/>
      </w:r>
      <w:r w:rsidR="00167031" w:rsidRPr="00167031">
        <w:rPr>
          <w:bCs/>
        </w:rPr>
        <w:t xml:space="preserve">: The wetting and drying model (Brock </w:t>
      </w:r>
      <w:r w:rsidR="00EB7200">
        <w:rPr>
          <w:bCs/>
        </w:rPr>
        <w:t xml:space="preserve">&amp; </w:t>
      </w:r>
      <w:r w:rsidR="00167031" w:rsidRPr="00167031">
        <w:rPr>
          <w:bCs/>
        </w:rPr>
        <w:t>Casanova, 1997), with classification of Australian wetland plants based on responses to wetting and drying patterns (Source: Brock and Casanova, 1997; Casanova and Brock, 2000 in Rogers &amp; Ralph, 2011).</w:t>
      </w:r>
      <w:bookmarkEnd w:id="77"/>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006"/>
        <w:gridCol w:w="5347"/>
      </w:tblGrid>
      <w:tr w:rsidR="00167031" w:rsidRPr="00612874" w14:paraId="7CF6F3AE" w14:textId="77777777" w:rsidTr="00B645F2">
        <w:trPr>
          <w:tblHeader/>
        </w:trPr>
        <w:tc>
          <w:tcPr>
            <w:tcW w:w="942" w:type="pct"/>
            <w:shd w:val="clear" w:color="auto" w:fill="D9D9D9" w:themeFill="background1" w:themeFillShade="D9"/>
          </w:tcPr>
          <w:p w14:paraId="1566A097" w14:textId="77777777" w:rsidR="00167031" w:rsidRPr="00612874" w:rsidRDefault="00167031" w:rsidP="00CD5901">
            <w:pPr>
              <w:pStyle w:val="tableheadertext"/>
            </w:pPr>
            <w:r w:rsidRPr="00612874">
              <w:t>Primary Category</w:t>
            </w:r>
          </w:p>
        </w:tc>
        <w:tc>
          <w:tcPr>
            <w:tcW w:w="1107" w:type="pct"/>
            <w:shd w:val="clear" w:color="auto" w:fill="D9D9D9" w:themeFill="background1" w:themeFillShade="D9"/>
          </w:tcPr>
          <w:p w14:paraId="1D2B856B" w14:textId="77777777" w:rsidR="00167031" w:rsidRPr="00612874" w:rsidRDefault="00167031" w:rsidP="00CD5901">
            <w:pPr>
              <w:pStyle w:val="tableheadertext"/>
            </w:pPr>
            <w:r w:rsidRPr="00612874">
              <w:t>Secondary Category</w:t>
            </w:r>
          </w:p>
        </w:tc>
        <w:tc>
          <w:tcPr>
            <w:tcW w:w="2951" w:type="pct"/>
            <w:shd w:val="clear" w:color="auto" w:fill="D9D9D9" w:themeFill="background1" w:themeFillShade="D9"/>
          </w:tcPr>
          <w:p w14:paraId="29AA1511" w14:textId="77777777" w:rsidR="00167031" w:rsidRPr="00612874" w:rsidRDefault="00167031" w:rsidP="00CD5901">
            <w:pPr>
              <w:pStyle w:val="tableheadertext"/>
            </w:pPr>
            <w:r w:rsidRPr="00612874">
              <w:t>Description</w:t>
            </w:r>
          </w:p>
        </w:tc>
      </w:tr>
      <w:tr w:rsidR="00167031" w:rsidRPr="00612874" w14:paraId="48DD014F" w14:textId="77777777" w:rsidTr="00B645F2">
        <w:tc>
          <w:tcPr>
            <w:tcW w:w="942" w:type="pct"/>
          </w:tcPr>
          <w:p w14:paraId="28EF577E" w14:textId="77777777" w:rsidR="00167031" w:rsidRPr="00612874" w:rsidRDefault="00167031" w:rsidP="007108A6">
            <w:pPr>
              <w:pStyle w:val="tabletext1"/>
              <w:spacing w:after="0"/>
              <w:ind w:left="0"/>
              <w:rPr>
                <w:rFonts w:ascii="Cambria" w:hAnsi="Cambria"/>
              </w:rPr>
            </w:pPr>
            <w:r w:rsidRPr="00612874">
              <w:rPr>
                <w:rFonts w:ascii="Cambria" w:hAnsi="Cambria"/>
              </w:rPr>
              <w:t>Terrestrial</w:t>
            </w:r>
          </w:p>
        </w:tc>
        <w:tc>
          <w:tcPr>
            <w:tcW w:w="1107" w:type="pct"/>
          </w:tcPr>
          <w:p w14:paraId="00FC4B3A" w14:textId="77777777" w:rsidR="00167031" w:rsidRPr="00612874" w:rsidRDefault="00167031" w:rsidP="007108A6">
            <w:pPr>
              <w:pStyle w:val="tabletext1"/>
              <w:spacing w:after="0"/>
              <w:ind w:left="0"/>
              <w:rPr>
                <w:rFonts w:ascii="Cambria" w:hAnsi="Cambria"/>
              </w:rPr>
            </w:pPr>
            <w:r w:rsidRPr="00612874">
              <w:rPr>
                <w:rFonts w:ascii="Cambria" w:hAnsi="Cambria"/>
              </w:rPr>
              <w:t>Dry species</w:t>
            </w:r>
          </w:p>
        </w:tc>
        <w:tc>
          <w:tcPr>
            <w:tcW w:w="2951" w:type="pct"/>
          </w:tcPr>
          <w:p w14:paraId="1E3A97C4" w14:textId="098D5C09" w:rsidR="00167031" w:rsidRPr="00612874" w:rsidRDefault="00167031" w:rsidP="00837567">
            <w:pPr>
              <w:pStyle w:val="tabletext1"/>
              <w:spacing w:after="0"/>
              <w:ind w:left="0"/>
              <w:rPr>
                <w:rFonts w:ascii="Cambria" w:hAnsi="Cambria"/>
              </w:rPr>
            </w:pPr>
            <w:r w:rsidRPr="00612874">
              <w:rPr>
                <w:rFonts w:ascii="Cambria" w:hAnsi="Cambria"/>
              </w:rPr>
              <w:t xml:space="preserve">Species which germinate, grow and reproduce where there is no surface water and the </w:t>
            </w:r>
            <w:r w:rsidR="00CE4673" w:rsidRPr="00612874">
              <w:rPr>
                <w:rFonts w:ascii="Cambria" w:hAnsi="Cambria"/>
              </w:rPr>
              <w:t>water table</w:t>
            </w:r>
            <w:r w:rsidRPr="00612874">
              <w:rPr>
                <w:rFonts w:ascii="Cambria" w:hAnsi="Cambria"/>
              </w:rPr>
              <w:t xml:space="preserve"> is below the soil surface</w:t>
            </w:r>
          </w:p>
        </w:tc>
      </w:tr>
      <w:tr w:rsidR="00167031" w:rsidRPr="00612874" w14:paraId="635C4094" w14:textId="77777777" w:rsidTr="00B645F2">
        <w:tc>
          <w:tcPr>
            <w:tcW w:w="942" w:type="pct"/>
          </w:tcPr>
          <w:p w14:paraId="61881BFF" w14:textId="77777777" w:rsidR="00167031" w:rsidRPr="00612874" w:rsidRDefault="00167031" w:rsidP="007108A6">
            <w:pPr>
              <w:pStyle w:val="tabletext1"/>
              <w:spacing w:after="0"/>
              <w:ind w:left="0"/>
              <w:rPr>
                <w:rFonts w:ascii="Cambria" w:hAnsi="Cambria"/>
              </w:rPr>
            </w:pPr>
            <w:r w:rsidRPr="00612874">
              <w:rPr>
                <w:rFonts w:ascii="Cambria" w:hAnsi="Cambria"/>
              </w:rPr>
              <w:t>Terrestrial</w:t>
            </w:r>
          </w:p>
        </w:tc>
        <w:tc>
          <w:tcPr>
            <w:tcW w:w="1107" w:type="pct"/>
          </w:tcPr>
          <w:p w14:paraId="3DA6FFD8" w14:textId="77777777" w:rsidR="00167031" w:rsidRPr="00612874" w:rsidRDefault="00167031" w:rsidP="007108A6">
            <w:pPr>
              <w:pStyle w:val="tabletext1"/>
              <w:spacing w:after="0"/>
              <w:ind w:left="0"/>
              <w:rPr>
                <w:rFonts w:ascii="Cambria" w:hAnsi="Cambria"/>
              </w:rPr>
            </w:pPr>
            <w:r w:rsidRPr="00612874">
              <w:rPr>
                <w:rFonts w:ascii="Cambria" w:hAnsi="Cambria"/>
              </w:rPr>
              <w:t>Damp species</w:t>
            </w:r>
          </w:p>
        </w:tc>
        <w:tc>
          <w:tcPr>
            <w:tcW w:w="2951" w:type="pct"/>
          </w:tcPr>
          <w:p w14:paraId="25AFC66E" w14:textId="59CD8DF6" w:rsidR="00167031" w:rsidRPr="00612874" w:rsidRDefault="00167031" w:rsidP="00837567">
            <w:pPr>
              <w:pStyle w:val="tabletext1"/>
              <w:spacing w:after="0"/>
              <w:ind w:left="0"/>
              <w:rPr>
                <w:rFonts w:ascii="Cambria" w:hAnsi="Cambria"/>
              </w:rPr>
            </w:pPr>
            <w:r w:rsidRPr="00612874">
              <w:rPr>
                <w:rFonts w:ascii="Cambria" w:hAnsi="Cambria"/>
              </w:rPr>
              <w:t>Species which germinate, grow and reproduce on saturated soil</w:t>
            </w:r>
          </w:p>
        </w:tc>
      </w:tr>
      <w:tr w:rsidR="00167031" w:rsidRPr="00612874" w14:paraId="14BA08D1" w14:textId="77777777" w:rsidTr="00B645F2">
        <w:tc>
          <w:tcPr>
            <w:tcW w:w="942" w:type="pct"/>
          </w:tcPr>
          <w:p w14:paraId="652646B4" w14:textId="77777777" w:rsidR="00167031" w:rsidRPr="00612874" w:rsidRDefault="00167031" w:rsidP="007108A6">
            <w:pPr>
              <w:pStyle w:val="tabletext1"/>
              <w:spacing w:after="0"/>
              <w:ind w:left="0"/>
              <w:rPr>
                <w:rFonts w:ascii="Cambria" w:hAnsi="Cambria"/>
              </w:rPr>
            </w:pPr>
            <w:r w:rsidRPr="00612874">
              <w:rPr>
                <w:rFonts w:ascii="Cambria" w:hAnsi="Cambria"/>
              </w:rPr>
              <w:t>Amphibious fluctuation-tolerators</w:t>
            </w:r>
          </w:p>
        </w:tc>
        <w:tc>
          <w:tcPr>
            <w:tcW w:w="1107" w:type="pct"/>
          </w:tcPr>
          <w:p w14:paraId="08735889" w14:textId="77777777" w:rsidR="00167031" w:rsidRPr="00612874" w:rsidRDefault="00167031" w:rsidP="007108A6">
            <w:pPr>
              <w:pStyle w:val="tabletext1"/>
              <w:spacing w:after="0"/>
              <w:ind w:left="0"/>
              <w:rPr>
                <w:rFonts w:ascii="Cambria" w:hAnsi="Cambria"/>
              </w:rPr>
            </w:pPr>
            <w:r w:rsidRPr="00612874">
              <w:rPr>
                <w:rFonts w:ascii="Cambria" w:hAnsi="Cambria"/>
              </w:rPr>
              <w:t>Emergent species</w:t>
            </w:r>
          </w:p>
        </w:tc>
        <w:tc>
          <w:tcPr>
            <w:tcW w:w="2951" w:type="pct"/>
          </w:tcPr>
          <w:p w14:paraId="590AF731" w14:textId="278C0AEF" w:rsidR="00167031" w:rsidRPr="00612874" w:rsidRDefault="00167031" w:rsidP="00837567">
            <w:pPr>
              <w:pStyle w:val="tabletext1"/>
              <w:spacing w:after="0"/>
              <w:ind w:left="0"/>
              <w:rPr>
                <w:rFonts w:ascii="Cambria" w:hAnsi="Cambria"/>
              </w:rPr>
            </w:pPr>
            <w:r w:rsidRPr="00612874">
              <w:rPr>
                <w:rFonts w:ascii="Cambria" w:hAnsi="Cambria"/>
              </w:rPr>
              <w:t>Species which germinate in damp or flooded conditions, tolerate variation in water level, and grow with their basal portions under water and reproduce out of the water</w:t>
            </w:r>
          </w:p>
        </w:tc>
      </w:tr>
      <w:tr w:rsidR="00167031" w:rsidRPr="00612874" w14:paraId="68EEBDA7" w14:textId="77777777" w:rsidTr="00B645F2">
        <w:tc>
          <w:tcPr>
            <w:tcW w:w="942" w:type="pct"/>
          </w:tcPr>
          <w:p w14:paraId="3FF0F0A0" w14:textId="77777777" w:rsidR="00167031" w:rsidRPr="00612874" w:rsidRDefault="00167031" w:rsidP="007108A6">
            <w:pPr>
              <w:pStyle w:val="tabletext1"/>
              <w:spacing w:after="0"/>
              <w:ind w:left="0"/>
              <w:rPr>
                <w:rFonts w:ascii="Cambria" w:hAnsi="Cambria"/>
              </w:rPr>
            </w:pPr>
            <w:r w:rsidRPr="00612874">
              <w:rPr>
                <w:rFonts w:ascii="Cambria" w:hAnsi="Cambria"/>
              </w:rPr>
              <w:t>Amphibious fluctuation-tolerators</w:t>
            </w:r>
          </w:p>
        </w:tc>
        <w:tc>
          <w:tcPr>
            <w:tcW w:w="1107" w:type="pct"/>
          </w:tcPr>
          <w:p w14:paraId="194BF488" w14:textId="77777777" w:rsidR="00167031" w:rsidRPr="00612874" w:rsidRDefault="00167031" w:rsidP="007108A6">
            <w:pPr>
              <w:pStyle w:val="tabletext1"/>
              <w:spacing w:after="0"/>
              <w:ind w:left="0"/>
              <w:rPr>
                <w:rFonts w:ascii="Cambria" w:hAnsi="Cambria"/>
              </w:rPr>
            </w:pPr>
            <w:r w:rsidRPr="00612874">
              <w:rPr>
                <w:rFonts w:ascii="Cambria" w:hAnsi="Cambria"/>
              </w:rPr>
              <w:t>Low growing species</w:t>
            </w:r>
          </w:p>
        </w:tc>
        <w:tc>
          <w:tcPr>
            <w:tcW w:w="2951" w:type="pct"/>
          </w:tcPr>
          <w:p w14:paraId="5D10CF54" w14:textId="3BAF647C" w:rsidR="00167031" w:rsidRPr="00612874" w:rsidRDefault="00167031" w:rsidP="00837567">
            <w:pPr>
              <w:pStyle w:val="tabletext1"/>
              <w:spacing w:after="0"/>
              <w:ind w:left="0"/>
              <w:rPr>
                <w:rFonts w:ascii="Cambria" w:hAnsi="Cambria"/>
              </w:rPr>
            </w:pPr>
            <w:r w:rsidRPr="00612874">
              <w:rPr>
                <w:rFonts w:ascii="Cambria" w:hAnsi="Cambria"/>
              </w:rPr>
              <w:t>Species which germinate in damp or flooded conditions, tolerate variation in water level, are low-growing and tolerate complete submersion when water levels rise</w:t>
            </w:r>
          </w:p>
        </w:tc>
      </w:tr>
      <w:tr w:rsidR="00167031" w:rsidRPr="00612874" w14:paraId="73956258" w14:textId="77777777" w:rsidTr="00B645F2">
        <w:tc>
          <w:tcPr>
            <w:tcW w:w="942" w:type="pct"/>
          </w:tcPr>
          <w:p w14:paraId="29EE9E57" w14:textId="77777777" w:rsidR="00167031" w:rsidRPr="00612874" w:rsidRDefault="00167031" w:rsidP="007108A6">
            <w:pPr>
              <w:pStyle w:val="tabletext1"/>
              <w:spacing w:after="0"/>
              <w:ind w:left="0"/>
              <w:rPr>
                <w:rFonts w:ascii="Cambria" w:hAnsi="Cambria"/>
              </w:rPr>
            </w:pPr>
            <w:r w:rsidRPr="00612874">
              <w:rPr>
                <w:rFonts w:ascii="Cambria" w:hAnsi="Cambria"/>
              </w:rPr>
              <w:t>Amphibious fluctuation- responders</w:t>
            </w:r>
          </w:p>
        </w:tc>
        <w:tc>
          <w:tcPr>
            <w:tcW w:w="1107" w:type="pct"/>
          </w:tcPr>
          <w:p w14:paraId="423D2DF2" w14:textId="77777777" w:rsidR="00167031" w:rsidRPr="00612874" w:rsidRDefault="00167031" w:rsidP="007108A6">
            <w:pPr>
              <w:pStyle w:val="tabletext1"/>
              <w:spacing w:after="0"/>
              <w:ind w:left="0"/>
              <w:rPr>
                <w:rFonts w:ascii="Cambria" w:hAnsi="Cambria"/>
              </w:rPr>
            </w:pPr>
            <w:r w:rsidRPr="00612874">
              <w:rPr>
                <w:rFonts w:ascii="Cambria" w:hAnsi="Cambria"/>
              </w:rPr>
              <w:t xml:space="preserve">Morphologically </w:t>
            </w:r>
          </w:p>
          <w:p w14:paraId="40187B8C" w14:textId="77777777" w:rsidR="00167031" w:rsidRPr="00612874" w:rsidRDefault="00167031" w:rsidP="007108A6">
            <w:pPr>
              <w:pStyle w:val="tabletext1"/>
              <w:spacing w:after="0"/>
              <w:ind w:left="0"/>
              <w:rPr>
                <w:rFonts w:ascii="Cambria" w:hAnsi="Cambria"/>
              </w:rPr>
            </w:pPr>
            <w:r w:rsidRPr="00612874">
              <w:rPr>
                <w:rFonts w:ascii="Cambria" w:hAnsi="Cambria"/>
              </w:rPr>
              <w:t>plastic species</w:t>
            </w:r>
          </w:p>
        </w:tc>
        <w:tc>
          <w:tcPr>
            <w:tcW w:w="2951" w:type="pct"/>
          </w:tcPr>
          <w:p w14:paraId="294FC06A" w14:textId="2F9F4FC0" w:rsidR="00167031" w:rsidRPr="00612874" w:rsidRDefault="00167031" w:rsidP="00837567">
            <w:pPr>
              <w:pStyle w:val="tabletext1"/>
              <w:spacing w:after="0"/>
              <w:ind w:left="0"/>
              <w:rPr>
                <w:rFonts w:ascii="Cambria" w:hAnsi="Cambria"/>
              </w:rPr>
            </w:pPr>
            <w:r w:rsidRPr="00612874">
              <w:rPr>
                <w:rFonts w:ascii="Cambria" w:hAnsi="Cambria"/>
              </w:rPr>
              <w:t>Species which germinate in flooded conditions, grow in both flooded and damp conditions, reproduce above the surface of the water, and have morphological plasticity (e.g. heterophylly) in response to water level variation</w:t>
            </w:r>
          </w:p>
        </w:tc>
      </w:tr>
      <w:tr w:rsidR="00167031" w:rsidRPr="00612874" w14:paraId="2444CECF" w14:textId="77777777" w:rsidTr="00B645F2">
        <w:tc>
          <w:tcPr>
            <w:tcW w:w="942" w:type="pct"/>
          </w:tcPr>
          <w:p w14:paraId="44EAC0E1" w14:textId="77777777" w:rsidR="00167031" w:rsidRPr="00612874" w:rsidRDefault="00167031" w:rsidP="007108A6">
            <w:pPr>
              <w:pStyle w:val="tabletext1"/>
              <w:spacing w:after="0"/>
              <w:ind w:left="0"/>
              <w:rPr>
                <w:rFonts w:ascii="Cambria" w:hAnsi="Cambria"/>
              </w:rPr>
            </w:pPr>
            <w:r w:rsidRPr="00612874">
              <w:rPr>
                <w:rFonts w:ascii="Cambria" w:hAnsi="Cambria"/>
              </w:rPr>
              <w:t>Amphibious fluctuation- responders</w:t>
            </w:r>
          </w:p>
        </w:tc>
        <w:tc>
          <w:tcPr>
            <w:tcW w:w="1107" w:type="pct"/>
          </w:tcPr>
          <w:p w14:paraId="7CF65BC4" w14:textId="77777777" w:rsidR="00167031" w:rsidRPr="00612874" w:rsidRDefault="00167031" w:rsidP="007108A6">
            <w:pPr>
              <w:pStyle w:val="tabletext1"/>
              <w:spacing w:after="0"/>
              <w:ind w:left="0"/>
              <w:rPr>
                <w:rFonts w:ascii="Cambria" w:hAnsi="Cambria"/>
              </w:rPr>
            </w:pPr>
            <w:r w:rsidRPr="00612874">
              <w:rPr>
                <w:rFonts w:ascii="Cambria" w:hAnsi="Cambria"/>
              </w:rPr>
              <w:t>Species with floating leaves</w:t>
            </w:r>
          </w:p>
        </w:tc>
        <w:tc>
          <w:tcPr>
            <w:tcW w:w="2951" w:type="pct"/>
          </w:tcPr>
          <w:p w14:paraId="24491F5C" w14:textId="2755E1A9" w:rsidR="00167031" w:rsidRPr="00612874" w:rsidRDefault="00167031" w:rsidP="00837567">
            <w:pPr>
              <w:pStyle w:val="tabletext1"/>
              <w:spacing w:after="0"/>
              <w:ind w:left="0"/>
              <w:rPr>
                <w:rFonts w:ascii="Cambria" w:hAnsi="Cambria"/>
              </w:rPr>
            </w:pPr>
            <w:r w:rsidRPr="00612874">
              <w:rPr>
                <w:rFonts w:ascii="Cambria" w:hAnsi="Cambria"/>
              </w:rPr>
              <w:t>Species which germinate in flooded conditions, grow in both flooded and damp conditions, reproduce above the surface of the water, and have floating leaves when inundated</w:t>
            </w:r>
          </w:p>
        </w:tc>
      </w:tr>
      <w:tr w:rsidR="00167031" w:rsidRPr="00612874" w14:paraId="09C36731" w14:textId="77777777" w:rsidTr="00B645F2">
        <w:tc>
          <w:tcPr>
            <w:tcW w:w="942" w:type="pct"/>
          </w:tcPr>
          <w:p w14:paraId="7EBEB27D" w14:textId="77777777" w:rsidR="00167031" w:rsidRPr="00612874" w:rsidRDefault="00167031" w:rsidP="007108A6">
            <w:pPr>
              <w:pStyle w:val="tabletext1"/>
              <w:spacing w:after="0"/>
              <w:ind w:left="0"/>
              <w:rPr>
                <w:rFonts w:ascii="Cambria" w:hAnsi="Cambria"/>
              </w:rPr>
            </w:pPr>
            <w:r w:rsidRPr="00612874">
              <w:rPr>
                <w:rFonts w:ascii="Cambria" w:hAnsi="Cambria"/>
              </w:rPr>
              <w:t>Submerged</w:t>
            </w:r>
          </w:p>
        </w:tc>
        <w:tc>
          <w:tcPr>
            <w:tcW w:w="1107" w:type="pct"/>
          </w:tcPr>
          <w:p w14:paraId="74D256B3" w14:textId="77777777" w:rsidR="00167031" w:rsidRPr="00612874" w:rsidRDefault="00167031" w:rsidP="007108A6">
            <w:pPr>
              <w:pStyle w:val="tabletext1"/>
              <w:spacing w:after="0"/>
              <w:ind w:left="0"/>
              <w:rPr>
                <w:rFonts w:ascii="Cambria" w:hAnsi="Cambria"/>
              </w:rPr>
            </w:pPr>
            <w:r w:rsidRPr="00612874">
              <w:rPr>
                <w:rFonts w:ascii="Cambria" w:hAnsi="Cambria"/>
              </w:rPr>
              <w:t>Submerged</w:t>
            </w:r>
          </w:p>
        </w:tc>
        <w:tc>
          <w:tcPr>
            <w:tcW w:w="2951" w:type="pct"/>
          </w:tcPr>
          <w:p w14:paraId="0C71EDFB" w14:textId="1A013B19" w:rsidR="00167031" w:rsidRPr="00612874" w:rsidRDefault="00167031" w:rsidP="00837567">
            <w:pPr>
              <w:pStyle w:val="tabletext1"/>
              <w:spacing w:after="0"/>
              <w:ind w:left="0"/>
              <w:rPr>
                <w:rFonts w:ascii="Cambria" w:hAnsi="Cambria"/>
              </w:rPr>
            </w:pPr>
            <w:r w:rsidRPr="00612874">
              <w:rPr>
                <w:rFonts w:ascii="Cambria" w:hAnsi="Cambria"/>
              </w:rPr>
              <w:t>Species which germinate, grow, and reproduce underwater</w:t>
            </w:r>
          </w:p>
        </w:tc>
      </w:tr>
    </w:tbl>
    <w:p w14:paraId="165A03D4" w14:textId="77777777" w:rsidR="00167031" w:rsidRDefault="00167031" w:rsidP="00FE1ABD"/>
    <w:p w14:paraId="109FD957" w14:textId="74C7E1D4" w:rsidR="00074E7D" w:rsidRDefault="00074E7D" w:rsidP="00825EF6">
      <w:pPr>
        <w:keepLines/>
      </w:pPr>
      <w:r>
        <w:t>In general, an increase in flooding (including frequency, depth, extent, duration, variability) may encourage competitive submerged and amphibious species and decrease species richness, whereas the opposite conditions (i.e. more permanently dry) may encourage weedy terrestrial species, with a concomitant decrease in species richness of amphibious and submerged species (Brock and Casanova 1997).</w:t>
      </w:r>
    </w:p>
    <w:p w14:paraId="048F6C81" w14:textId="327CE7F4" w:rsidR="00074E7D" w:rsidRPr="00AB0EC4" w:rsidRDefault="00074E7D" w:rsidP="00074E7D">
      <w:r>
        <w:t>Further information on</w:t>
      </w:r>
      <w:r w:rsidRPr="00AB0EC4">
        <w:t xml:space="preserve"> hydrological processes that underpin the riverine, wetland, and floodplain components of the ecological community, and the biological adaptations to </w:t>
      </w:r>
      <w:r>
        <w:t xml:space="preserve">flow and wetting and </w:t>
      </w:r>
      <w:r w:rsidRPr="00AB0EC4">
        <w:t xml:space="preserve">drying cycles of the various plants and </w:t>
      </w:r>
      <w:r>
        <w:t>animals that inhabit them is provided by Mackay &amp; Eastburn (</w:t>
      </w:r>
      <w:r w:rsidRPr="00AB0EC4">
        <w:t>1990</w:t>
      </w:r>
      <w:r>
        <w:t>), Boulton &amp; Brock (</w:t>
      </w:r>
      <w:r w:rsidRPr="00AB0EC4">
        <w:t>1999</w:t>
      </w:r>
      <w:r>
        <w:t>), Young (</w:t>
      </w:r>
      <w:r w:rsidRPr="00AB0EC4">
        <w:t>2001</w:t>
      </w:r>
      <w:r>
        <w:t>), Jennings (</w:t>
      </w:r>
      <w:r w:rsidRPr="00AB0EC4">
        <w:t>2009</w:t>
      </w:r>
      <w:r>
        <w:t>),</w:t>
      </w:r>
      <w:r w:rsidRPr="00AB0EC4">
        <w:t xml:space="preserve"> </w:t>
      </w:r>
      <w:r>
        <w:t>and Paton (</w:t>
      </w:r>
      <w:r w:rsidRPr="00AB0EC4">
        <w:t>2010).</w:t>
      </w:r>
    </w:p>
    <w:p w14:paraId="6F51FBC0" w14:textId="15693F70" w:rsidR="00181AA4" w:rsidRPr="00010811" w:rsidRDefault="00181AA4" w:rsidP="00A2521C">
      <w:pPr>
        <w:pStyle w:val="Heading5"/>
      </w:pPr>
      <w:r w:rsidRPr="00010811">
        <w:t>The ‘Flood Pulse Concept’</w:t>
      </w:r>
      <w:r w:rsidR="00DC7D32" w:rsidRPr="00010811">
        <w:t xml:space="preserve"> (FPC)</w:t>
      </w:r>
    </w:p>
    <w:p w14:paraId="55BDDBBF" w14:textId="6B7944CF" w:rsidR="002143E3" w:rsidRDefault="00181AA4" w:rsidP="002143E3">
      <w:r>
        <w:t xml:space="preserve">The floodplain component of the ecological community is part of the river-floodplain ecosystem that is regularly flooded and dried, and could be considered to be a type of wetland (Bayley 1995). Floodplains are characterised by two phases, wet and dry, interspersed by floods and drought; each phase with a dominant biota (Colloff </w:t>
      </w:r>
      <w:r w:rsidR="002C3D3C">
        <w:t xml:space="preserve"> &amp;</w:t>
      </w:r>
      <w:r>
        <w:t xml:space="preserve"> Baldwin 2010). Thus, riverine floodplains</w:t>
      </w:r>
      <w:r w:rsidR="002143E3">
        <w:t xml:space="preserve"> </w:t>
      </w:r>
      <w:r w:rsidR="002143E3">
        <w:lastRenderedPageBreak/>
        <w:t>are expanding and contracting systems (at both the over and below bankfull scales)</w:t>
      </w:r>
      <w:r w:rsidR="00936F0C">
        <w:t xml:space="preserve"> </w:t>
      </w:r>
      <w:r w:rsidR="002143E3">
        <w:t>and are often fragmented.</w:t>
      </w:r>
    </w:p>
    <w:p w14:paraId="62841F09" w14:textId="073BC1AF" w:rsidR="00B370D5" w:rsidRDefault="00B370D5" w:rsidP="00B370D5">
      <w:r>
        <w:t>Connectivity, the c</w:t>
      </w:r>
      <w:r w:rsidRPr="00CB20F0">
        <w:t>onnection between the floodplain and rive</w:t>
      </w:r>
      <w:r>
        <w:t>r, is of critical importance and supports</w:t>
      </w:r>
      <w:r w:rsidRPr="00CB20F0">
        <w:t xml:space="preserve"> a myriad of ecological functions and interactions (Goode </w:t>
      </w:r>
      <w:r w:rsidR="00837567">
        <w:t>&amp;</w:t>
      </w:r>
      <w:r w:rsidRPr="00CB20F0">
        <w:t xml:space="preserve"> Harvey 2009). </w:t>
      </w:r>
      <w:r w:rsidRPr="00AB0EC4">
        <w:t>The floodplain flora and fauna depend on the river for dispersal and replenishment, and in turn, the r</w:t>
      </w:r>
      <w:r>
        <w:t xml:space="preserve">iverine biota </w:t>
      </w:r>
      <w:r w:rsidRPr="00AB0EC4">
        <w:t>depend on the floodplain for food, nurseries</w:t>
      </w:r>
      <w:r>
        <w:t>,</w:t>
      </w:r>
      <w:r w:rsidRPr="00AB0EC4">
        <w:t xml:space="preserve"> and refuges (Walker 2001).</w:t>
      </w:r>
    </w:p>
    <w:p w14:paraId="07DE9ED5" w14:textId="39B35AF1" w:rsidR="00B370D5" w:rsidRDefault="00B370D5" w:rsidP="00B370D5">
      <w:r>
        <w:t xml:space="preserve">A useful general model for the lowland floodplain reaches of large rivers, such as for the ecological community, is that of the </w:t>
      </w:r>
      <w:r w:rsidRPr="00B623AD">
        <w:rPr>
          <w:i/>
        </w:rPr>
        <w:t>Flood Pulse Concept</w:t>
      </w:r>
      <w:r>
        <w:t xml:space="preserve"> (FPC) which recognises the importance of lateral linkages between the river and floodplain and consequent exchange of water, organic material, nutrients</w:t>
      </w:r>
      <w:r w:rsidR="002412E7">
        <w:t>,</w:t>
      </w:r>
      <w:r>
        <w:t xml:space="preserve"> and organisms (Junk et al. 1989; Robertson et al. 1999;</w:t>
      </w:r>
      <w:r w:rsidRPr="006654DE">
        <w:t xml:space="preserve"> </w:t>
      </w:r>
      <w:r>
        <w:t>Tockner et al</w:t>
      </w:r>
      <w:r w:rsidR="002412E7">
        <w:t>.</w:t>
      </w:r>
      <w:r>
        <w:t xml:space="preserve"> 2000; Junk </w:t>
      </w:r>
      <w:r w:rsidR="00837567">
        <w:t>&amp;</w:t>
      </w:r>
      <w:r>
        <w:t xml:space="preserve"> Wantzen 2004; see also </w:t>
      </w:r>
      <w:r w:rsidR="006F23CA" w:rsidRPr="00D07C7B">
        <w:rPr>
          <w:u w:val="single"/>
        </w:rPr>
        <w:t xml:space="preserve">Figure </w:t>
      </w:r>
      <w:r w:rsidR="001B4EE9">
        <w:rPr>
          <w:u w:val="single"/>
        </w:rPr>
        <w:t>4</w:t>
      </w:r>
      <w:r w:rsidRPr="00D07C7B">
        <w:t>).</w:t>
      </w:r>
      <w:r>
        <w:t xml:space="preserve"> The FPC is based on overbank inundation driven by floods and is considered to be the key ecological determinant of river</w:t>
      </w:r>
      <w:r w:rsidR="006F23CA">
        <w:t>-</w:t>
      </w:r>
      <w:r>
        <w:t>floodplain system function (Junk et al. 1989; Robertson et al. 1999).</w:t>
      </w:r>
    </w:p>
    <w:p w14:paraId="2BCDE8D3" w14:textId="0B7D9724" w:rsidR="00BF30B2" w:rsidRDefault="00BF30B2" w:rsidP="00612874">
      <w:pPr>
        <w:keepLines/>
      </w:pPr>
      <w:r w:rsidRPr="00AB0EC4">
        <w:t xml:space="preserve">According to the </w:t>
      </w:r>
      <w:r>
        <w:t>FPC,</w:t>
      </w:r>
      <w:r w:rsidRPr="00AB0EC4">
        <w:t xml:space="preserve"> biota respond to characteristics of the flood pulse, including flood timing, magnitude, duration</w:t>
      </w:r>
      <w:r>
        <w:t xml:space="preserve">, </w:t>
      </w:r>
      <w:r w:rsidRPr="00AB0EC4">
        <w:t>and rate of rise and fall (</w:t>
      </w:r>
      <w:r>
        <w:t xml:space="preserve">Junk </w:t>
      </w:r>
      <w:r w:rsidR="00837567">
        <w:t>&amp;</w:t>
      </w:r>
      <w:r>
        <w:t xml:space="preserve"> Wantzen 2004; </w:t>
      </w:r>
      <w:r w:rsidRPr="00AB0EC4">
        <w:t xml:space="preserve">Rogers </w:t>
      </w:r>
      <w:r w:rsidR="00837567">
        <w:t>&amp;</w:t>
      </w:r>
      <w:r w:rsidRPr="00AB0EC4">
        <w:t xml:space="preserve"> Ralph</w:t>
      </w:r>
      <w:r>
        <w:t xml:space="preserve"> </w:t>
      </w:r>
      <w:r w:rsidRPr="00AB0EC4">
        <w:t xml:space="preserve">2011). </w:t>
      </w:r>
      <w:r>
        <w:t xml:space="preserve">The flood pulse enhances biological productivity (e.g. through exchange of nutrients) and maintains diversity in the system (Bayley 1995). The 'moving littoral' zone during flooding also provides excellent nursery grounds for fish and optimal environments for many invertebrates, especially those associated with macrophytes (Bayley 1995). Many fish species anticipate these conditions by spawning before or during the period of water rise. </w:t>
      </w:r>
      <w:r w:rsidR="007A3367">
        <w:t>Thus, l</w:t>
      </w:r>
      <w:r>
        <w:t>ateral connectivity directly determines the diversity patterns of many taxonomic groups (Tockner et al</w:t>
      </w:r>
      <w:r w:rsidR="007A3367">
        <w:t>.</w:t>
      </w:r>
      <w:r>
        <w:t xml:space="preserve"> 1999 in Junk </w:t>
      </w:r>
      <w:r w:rsidR="00837567">
        <w:t>&amp;</w:t>
      </w:r>
      <w:r>
        <w:t xml:space="preserve"> Wantzen 2004).</w:t>
      </w:r>
    </w:p>
    <w:p w14:paraId="64ED537F" w14:textId="4CD5E311" w:rsidR="006C3F01" w:rsidRDefault="00894A62" w:rsidP="00894A62">
      <w:r w:rsidRPr="00AB0EC4">
        <w:t>For floodplain wetlands, floods and dry periods can be both beneficial and detrimental to the performance of biota</w:t>
      </w:r>
      <w:r>
        <w:t>, depending on their extent</w:t>
      </w:r>
      <w:r w:rsidRPr="00AB0EC4">
        <w:t>. For example, flood pulses can introduce high levels of productivity from the floodplain into the channel environment</w:t>
      </w:r>
      <w:r w:rsidR="00193A8D">
        <w:t>,</w:t>
      </w:r>
      <w:r>
        <w:t xml:space="preserve"> or open up space or new habitats, or alternatively, act as detrimental perturbations</w:t>
      </w:r>
      <w:r w:rsidR="000509C2">
        <w:t xml:space="preserve">—thereby </w:t>
      </w:r>
      <w:r>
        <w:t xml:space="preserve">reducing the physiological function of some </w:t>
      </w:r>
      <w:r w:rsidR="001B4EE9">
        <w:t>biota</w:t>
      </w:r>
      <w:r>
        <w:t xml:space="preserve"> (Odum et al. 1979 in Rogers and Ralph 2011; Tockner et al. 2000)</w:t>
      </w:r>
      <w:r w:rsidRPr="00AB0EC4">
        <w:t xml:space="preserve">. </w:t>
      </w:r>
    </w:p>
    <w:p w14:paraId="36A6E36A" w14:textId="0AC55B04" w:rsidR="00894A62" w:rsidRDefault="00894A62" w:rsidP="00894A62">
      <w:r>
        <w:t>Many floodplain organisms have a 'physiological and phenological</w:t>
      </w:r>
      <w:r>
        <w:rPr>
          <w:rStyle w:val="FootnoteReference"/>
        </w:rPr>
        <w:footnoteReference w:id="4"/>
      </w:r>
      <w:r>
        <w:t xml:space="preserve"> window of susceptibility' to the benefits and disturbances of the flooding (Junk </w:t>
      </w:r>
      <w:r w:rsidR="00837567">
        <w:t>&amp;</w:t>
      </w:r>
      <w:r>
        <w:t xml:space="preserve"> Wantze</w:t>
      </w:r>
      <w:r w:rsidR="006C3F01">
        <w:t>n</w:t>
      </w:r>
      <w:r w:rsidR="000509C2">
        <w:t xml:space="preserve"> </w:t>
      </w:r>
      <w:r>
        <w:t xml:space="preserve">2004). The timing decides whether an organism can profit from the flood-borne resources or apply survival strategies. Importantly, when river water inundates the floodplain or retreats from the floodplain, various key processes occur (see </w:t>
      </w:r>
      <w:r w:rsidRPr="001C107D">
        <w:rPr>
          <w:u w:val="single"/>
        </w:rPr>
        <w:t xml:space="preserve">Table </w:t>
      </w:r>
      <w:r w:rsidR="008C398B">
        <w:rPr>
          <w:u w:val="single"/>
        </w:rPr>
        <w:t>20</w:t>
      </w:r>
      <w:r w:rsidRPr="00997698">
        <w:t>)</w:t>
      </w:r>
      <w:r>
        <w:t>.</w:t>
      </w:r>
    </w:p>
    <w:p w14:paraId="5E3F9B1C" w14:textId="5469D4B5" w:rsidR="00C33A73" w:rsidRDefault="00C33A73" w:rsidP="00C33A73">
      <w:r w:rsidRPr="00AB0EC4">
        <w:t>Floodplain and wetland vegetation and fauna exhibit varying degrees of adaptation to flooding and/or drought</w:t>
      </w:r>
      <w:r>
        <w:t>,</w:t>
      </w:r>
      <w:r w:rsidRPr="00AB0EC4">
        <w:t xml:space="preserve"> and knowledge remains limited regarding specific water requirements of much of the freshwater biota.</w:t>
      </w:r>
      <w:r>
        <w:t xml:space="preserve"> Common survival strategies for systems with highly variable and less predictable flood pulses include (Williams 1985; Tockner et al. 2000):</w:t>
      </w:r>
    </w:p>
    <w:p w14:paraId="492E6ECB" w14:textId="77777777" w:rsidR="00C33A73" w:rsidRDefault="00C33A73" w:rsidP="0012104E">
      <w:pPr>
        <w:pStyle w:val="ListParagraph"/>
        <w:numPr>
          <w:ilvl w:val="0"/>
          <w:numId w:val="30"/>
        </w:numPr>
        <w:spacing w:before="80" w:after="80"/>
        <w:ind w:left="714" w:hanging="357"/>
        <w:contextualSpacing w:val="0"/>
      </w:pPr>
      <w:r>
        <w:t>flexible life cycles</w:t>
      </w:r>
    </w:p>
    <w:p w14:paraId="155D319F" w14:textId="77777777" w:rsidR="00C33A73" w:rsidRDefault="00C33A73" w:rsidP="0012104E">
      <w:pPr>
        <w:pStyle w:val="ListParagraph"/>
        <w:numPr>
          <w:ilvl w:val="0"/>
          <w:numId w:val="30"/>
        </w:numPr>
        <w:spacing w:before="80" w:after="80"/>
        <w:ind w:left="714" w:hanging="357"/>
        <w:contextualSpacing w:val="0"/>
      </w:pPr>
      <w:r>
        <w:t>rapid development and early reproduction</w:t>
      </w:r>
    </w:p>
    <w:p w14:paraId="33456C5E" w14:textId="77777777" w:rsidR="00C33A73" w:rsidRDefault="00C33A73" w:rsidP="0012104E">
      <w:pPr>
        <w:pStyle w:val="ListParagraph"/>
        <w:numPr>
          <w:ilvl w:val="0"/>
          <w:numId w:val="30"/>
        </w:numPr>
        <w:spacing w:before="80" w:after="80"/>
        <w:ind w:left="714" w:hanging="357"/>
        <w:contextualSpacing w:val="0"/>
      </w:pPr>
      <w:r>
        <w:t>high fecundity</w:t>
      </w:r>
    </w:p>
    <w:p w14:paraId="095B1031" w14:textId="77777777" w:rsidR="00C33A73" w:rsidRDefault="00C33A73" w:rsidP="0012104E">
      <w:pPr>
        <w:pStyle w:val="ListParagraph"/>
        <w:numPr>
          <w:ilvl w:val="0"/>
          <w:numId w:val="30"/>
        </w:numPr>
        <w:spacing w:before="80" w:after="80"/>
        <w:ind w:left="714" w:hanging="357"/>
        <w:contextualSpacing w:val="0"/>
      </w:pPr>
      <w:r>
        <w:t>short life spans</w:t>
      </w:r>
    </w:p>
    <w:p w14:paraId="0588EA91" w14:textId="77777777" w:rsidR="00C33A73" w:rsidRDefault="00C33A73" w:rsidP="0012104E">
      <w:pPr>
        <w:pStyle w:val="ListParagraph"/>
        <w:numPr>
          <w:ilvl w:val="0"/>
          <w:numId w:val="30"/>
        </w:numPr>
        <w:spacing w:before="80" w:after="80"/>
        <w:ind w:left="714" w:hanging="357"/>
        <w:contextualSpacing w:val="0"/>
      </w:pPr>
      <w:r>
        <w:lastRenderedPageBreak/>
        <w:t>production of resistant seeds or dormant eggs</w:t>
      </w:r>
    </w:p>
    <w:p w14:paraId="0CD9029E" w14:textId="7B1216C4" w:rsidR="00853211" w:rsidRDefault="00C33A73" w:rsidP="00B61001">
      <w:pPr>
        <w:pStyle w:val="ListParagraph"/>
        <w:numPr>
          <w:ilvl w:val="0"/>
          <w:numId w:val="30"/>
        </w:numPr>
        <w:ind w:left="714" w:hanging="357"/>
        <w:contextualSpacing w:val="0"/>
      </w:pPr>
      <w:r>
        <w:t>retreat to refugia; or the formation of metapopulations (e.g. some species of insects).</w:t>
      </w:r>
      <w:bookmarkStart w:id="80" w:name="_Toc232747203"/>
      <w:bookmarkStart w:id="81" w:name="_Toc232747279"/>
      <w:bookmarkStart w:id="82" w:name="_Toc232747522"/>
    </w:p>
    <w:p w14:paraId="69EFE0FA" w14:textId="34291849" w:rsidR="008C398B" w:rsidRDefault="001A4BD0" w:rsidP="00B61001">
      <w:r>
        <w:t xml:space="preserve">For example, snails and certain crustaceans (e.g. cladocerans and ostracods) are abundant in floodplain wetlands and have evolved strategies to take advantage of the 'boom and bust' cycles that are characteristic of this environment. However, regulation has tended to stabilise flow and water level within the ecological community and decreased the frequency of overbank flows (Walker 1991). Small floods (e.g. return period less than seven years) have been almost eliminated, but there is insufficient storage to check large floods (Walker 1991). </w:t>
      </w:r>
      <w:r w:rsidR="00D36387">
        <w:t xml:space="preserve">The book by </w:t>
      </w:r>
      <w:r>
        <w:t>Rogers and</w:t>
      </w:r>
      <w:r w:rsidR="00AA47C4">
        <w:t xml:space="preserve"> Ralph</w:t>
      </w:r>
      <w:r w:rsidR="00D36387">
        <w:t xml:space="preserve"> (2011) provide</w:t>
      </w:r>
      <w:r w:rsidR="001B4EE9">
        <w:t>s</w:t>
      </w:r>
      <w:r w:rsidR="00D36387">
        <w:t xml:space="preserve"> a useful synthesis of available biological and ecological knowledge for key flora and fauna in freshwater floodplain wetlands.</w:t>
      </w:r>
    </w:p>
    <w:p w14:paraId="75BFC858" w14:textId="6CEADA6A" w:rsidR="00BC4904" w:rsidRPr="00B61001" w:rsidRDefault="00C619B3" w:rsidP="00C619B3">
      <w:pPr>
        <w:pStyle w:val="Caption"/>
        <w:rPr>
          <w:sz w:val="21"/>
          <w:szCs w:val="21"/>
        </w:rPr>
      </w:pPr>
      <w:r>
        <w:t xml:space="preserve">Table </w:t>
      </w:r>
      <w:r>
        <w:fldChar w:fldCharType="begin"/>
      </w:r>
      <w:r>
        <w:instrText xml:space="preserve"> SEQ Table \* ARABIC </w:instrText>
      </w:r>
      <w:r>
        <w:fldChar w:fldCharType="separate"/>
      </w:r>
      <w:r w:rsidR="006D35C5">
        <w:rPr>
          <w:noProof/>
        </w:rPr>
        <w:t>20</w:t>
      </w:r>
      <w:r>
        <w:fldChar w:fldCharType="end"/>
      </w:r>
      <w:r w:rsidR="00BC4904" w:rsidRPr="00D7581B">
        <w:rPr>
          <w:szCs w:val="22"/>
        </w:rPr>
        <w:t xml:space="preserve">:  </w:t>
      </w:r>
      <w:r w:rsidR="00BC4904" w:rsidRPr="00B61001">
        <w:rPr>
          <w:sz w:val="21"/>
          <w:szCs w:val="21"/>
        </w:rPr>
        <w:t xml:space="preserve">Key processes that occur simultaneously during river water inundation or consequent retreat on the floodplain (after Junk and Wantzen, 2004 </w:t>
      </w:r>
      <w:r w:rsidR="00D7581B" w:rsidRPr="00B61001">
        <w:rPr>
          <w:sz w:val="21"/>
          <w:szCs w:val="21"/>
        </w:rPr>
        <w:t xml:space="preserve">&amp; </w:t>
      </w:r>
      <w:r w:rsidR="00BC4904" w:rsidRPr="00B61001">
        <w:rPr>
          <w:sz w:val="21"/>
          <w:szCs w:val="21"/>
        </w:rPr>
        <w:t>references therein).</w:t>
      </w:r>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671"/>
      </w:tblGrid>
      <w:tr w:rsidR="000C3820" w:rsidRPr="00151E57" w14:paraId="032C1C78" w14:textId="77777777" w:rsidTr="00C619B3">
        <w:trPr>
          <w:tblHeader/>
        </w:trPr>
        <w:tc>
          <w:tcPr>
            <w:tcW w:w="2422" w:type="pct"/>
            <w:shd w:val="clear" w:color="auto" w:fill="D9D9D9" w:themeFill="background1" w:themeFillShade="D9"/>
          </w:tcPr>
          <w:p w14:paraId="42C2541B" w14:textId="77777777" w:rsidR="000C3820" w:rsidRPr="00151E57" w:rsidRDefault="000C3820" w:rsidP="00CD5901">
            <w:pPr>
              <w:pStyle w:val="tableheadertext"/>
            </w:pPr>
            <w:r w:rsidRPr="00151E57">
              <w:t>River inundates the floodplain - via overspill or floodplain channels</w:t>
            </w:r>
          </w:p>
        </w:tc>
        <w:tc>
          <w:tcPr>
            <w:tcW w:w="2578" w:type="pct"/>
            <w:shd w:val="clear" w:color="auto" w:fill="D9D9D9" w:themeFill="background1" w:themeFillShade="D9"/>
          </w:tcPr>
          <w:p w14:paraId="34217902" w14:textId="77777777" w:rsidR="000C3820" w:rsidRPr="00151E57" w:rsidRDefault="000C3820" w:rsidP="00CD5901">
            <w:pPr>
              <w:pStyle w:val="tableheadertext"/>
            </w:pPr>
            <w:r w:rsidRPr="00151E57">
              <w:t>Water level falls on the floodplain</w:t>
            </w:r>
          </w:p>
        </w:tc>
      </w:tr>
      <w:tr w:rsidR="000C3820" w:rsidRPr="00151E57" w14:paraId="07A9E6DF" w14:textId="77777777" w:rsidTr="00C619B3">
        <w:tc>
          <w:tcPr>
            <w:tcW w:w="2422" w:type="pct"/>
          </w:tcPr>
          <w:p w14:paraId="4E4CD9CC" w14:textId="2A2158F6" w:rsidR="000C3820" w:rsidRPr="00151E57" w:rsidRDefault="00FE1708" w:rsidP="0012104E">
            <w:pPr>
              <w:pStyle w:val="ListParagraph"/>
              <w:numPr>
                <w:ilvl w:val="0"/>
                <w:numId w:val="29"/>
              </w:numPr>
              <w:contextualSpacing w:val="0"/>
            </w:pPr>
            <w:r w:rsidRPr="00151E57">
              <w:rPr>
                <w:b/>
                <w:bCs/>
                <w:i/>
                <w:iCs/>
              </w:rPr>
              <w:t>reset</w:t>
            </w:r>
            <w:r w:rsidR="00023476" w:rsidRPr="00151E57">
              <w:rPr>
                <w:b/>
                <w:bCs/>
                <w:i/>
                <w:iCs/>
              </w:rPr>
              <w:t xml:space="preserve"> </w:t>
            </w:r>
            <w:r w:rsidR="00023476" w:rsidRPr="00151E57">
              <w:t xml:space="preserve">- </w:t>
            </w:r>
            <w:r w:rsidR="000C3820" w:rsidRPr="00151E57">
              <w:t>pre-flood thermal and chemical heterogeneity</w:t>
            </w:r>
            <w:r w:rsidR="000C3820" w:rsidRPr="00151E57">
              <w:rPr>
                <w:rStyle w:val="FootnoteReference"/>
              </w:rPr>
              <w:footnoteReference w:id="5"/>
            </w:r>
            <w:r w:rsidR="000C3820" w:rsidRPr="00151E57">
              <w:t xml:space="preserve"> between main channel and floodplain water bodies temporarily resets</w:t>
            </w:r>
          </w:p>
        </w:tc>
        <w:tc>
          <w:tcPr>
            <w:tcW w:w="2578" w:type="pct"/>
          </w:tcPr>
          <w:p w14:paraId="754C3569" w14:textId="078A7AEC" w:rsidR="000C3820" w:rsidRPr="00151E57" w:rsidRDefault="006B128B" w:rsidP="0012104E">
            <w:pPr>
              <w:pStyle w:val="ListParagraph"/>
              <w:numPr>
                <w:ilvl w:val="0"/>
                <w:numId w:val="29"/>
              </w:numPr>
              <w:contextualSpacing w:val="0"/>
            </w:pPr>
            <w:r w:rsidRPr="00151E57">
              <w:rPr>
                <w:b/>
                <w:bCs/>
                <w:i/>
                <w:iCs/>
              </w:rPr>
              <w:t xml:space="preserve">disperse </w:t>
            </w:r>
            <w:r w:rsidRPr="00151E57">
              <w:t xml:space="preserve">- </w:t>
            </w:r>
            <w:r w:rsidR="000C3820" w:rsidRPr="00151E57">
              <w:t>water stored in the floodplain with any dissolved and suspended matter enters the parent river or lake</w:t>
            </w:r>
          </w:p>
        </w:tc>
      </w:tr>
      <w:tr w:rsidR="000C3820" w:rsidRPr="00151E57" w14:paraId="57A02366" w14:textId="77777777" w:rsidTr="00C619B3">
        <w:tc>
          <w:tcPr>
            <w:tcW w:w="2422" w:type="pct"/>
          </w:tcPr>
          <w:p w14:paraId="1C0AB7E1" w14:textId="34B705EA" w:rsidR="000C3820" w:rsidRPr="00151E57" w:rsidRDefault="00023476" w:rsidP="0012104E">
            <w:pPr>
              <w:pStyle w:val="ListParagraph"/>
              <w:numPr>
                <w:ilvl w:val="0"/>
                <w:numId w:val="29"/>
              </w:numPr>
              <w:contextualSpacing w:val="0"/>
            </w:pPr>
            <w:r w:rsidRPr="00151E57">
              <w:rPr>
                <w:b/>
                <w:bCs/>
                <w:i/>
                <w:iCs/>
              </w:rPr>
              <w:t xml:space="preserve">recharge </w:t>
            </w:r>
            <w:r w:rsidRPr="00151E57">
              <w:t xml:space="preserve">- </w:t>
            </w:r>
            <w:r w:rsidR="000C3820" w:rsidRPr="00151E57">
              <w:t>considerable inputs of mainstream water-bound substances (dissolved and suspended, organic and inorganic) flush into the floodplain</w:t>
            </w:r>
          </w:p>
        </w:tc>
        <w:tc>
          <w:tcPr>
            <w:tcW w:w="2578" w:type="pct"/>
          </w:tcPr>
          <w:p w14:paraId="623CF56C" w14:textId="345104CF" w:rsidR="000C3820" w:rsidRPr="00151E57" w:rsidRDefault="00A66A1E" w:rsidP="0012104E">
            <w:pPr>
              <w:pStyle w:val="ListParagraph"/>
              <w:numPr>
                <w:ilvl w:val="0"/>
                <w:numId w:val="29"/>
              </w:numPr>
              <w:contextualSpacing w:val="0"/>
            </w:pPr>
            <w:r w:rsidRPr="00151E57">
              <w:rPr>
                <w:b/>
                <w:bCs/>
                <w:i/>
                <w:iCs/>
              </w:rPr>
              <w:t>dry</w:t>
            </w:r>
            <w:r w:rsidRPr="00151E57">
              <w:t xml:space="preserve"> - </w:t>
            </w:r>
            <w:r w:rsidR="000C3820" w:rsidRPr="00151E57">
              <w:t>the aquatic/terrestrial transition zone (ATTZ) dries out and becomes colonised by terrestrial organisms</w:t>
            </w:r>
          </w:p>
        </w:tc>
      </w:tr>
      <w:tr w:rsidR="000C3820" w:rsidRPr="00151E57" w14:paraId="20972A82" w14:textId="77777777" w:rsidTr="00C619B3">
        <w:tc>
          <w:tcPr>
            <w:tcW w:w="2422" w:type="pct"/>
          </w:tcPr>
          <w:p w14:paraId="357AE0DD" w14:textId="163F0C3D" w:rsidR="000C3820" w:rsidRPr="00151E57" w:rsidRDefault="00023476" w:rsidP="0012104E">
            <w:pPr>
              <w:pStyle w:val="ListParagraph"/>
              <w:numPr>
                <w:ilvl w:val="0"/>
                <w:numId w:val="29"/>
              </w:numPr>
              <w:contextualSpacing w:val="0"/>
            </w:pPr>
            <w:r w:rsidRPr="00151E57">
              <w:rPr>
                <w:b/>
                <w:bCs/>
                <w:i/>
                <w:iCs/>
              </w:rPr>
              <w:t>recycle</w:t>
            </w:r>
            <w:r w:rsidR="00787DAA" w:rsidRPr="00151E57">
              <w:t xml:space="preserve"> - </w:t>
            </w:r>
            <w:r w:rsidR="000C3820" w:rsidRPr="00151E57">
              <w:t>terrestrial habitats are flooded, large amounts of biomass decays and large amounts of inorganic matter deposited during the terrestrial phase are mobilised by the overlying water</w:t>
            </w:r>
          </w:p>
        </w:tc>
        <w:tc>
          <w:tcPr>
            <w:tcW w:w="2578" w:type="pct"/>
          </w:tcPr>
          <w:p w14:paraId="46114BD6" w14:textId="4CC769A2" w:rsidR="000C3820" w:rsidRPr="00151E57" w:rsidRDefault="00DE38DA" w:rsidP="0012104E">
            <w:pPr>
              <w:pStyle w:val="ListParagraph"/>
              <w:numPr>
                <w:ilvl w:val="0"/>
                <w:numId w:val="29"/>
              </w:numPr>
              <w:contextualSpacing w:val="0"/>
            </w:pPr>
            <w:r w:rsidRPr="00151E57">
              <w:rPr>
                <w:b/>
                <w:bCs/>
                <w:i/>
                <w:iCs/>
              </w:rPr>
              <w:t xml:space="preserve">detach </w:t>
            </w:r>
            <w:r w:rsidRPr="00151E57">
              <w:t xml:space="preserve">- </w:t>
            </w:r>
            <w:r w:rsidR="000C3820" w:rsidRPr="00151E57">
              <w:t>fringing vegetation in the once-submerged littoral or riparian zone becomes isolated, removing an important habitat and/or food source for many aquatic organisms</w:t>
            </w:r>
          </w:p>
        </w:tc>
      </w:tr>
      <w:tr w:rsidR="000C3820" w:rsidRPr="00151E57" w14:paraId="23E8284F" w14:textId="77777777" w:rsidTr="00C619B3">
        <w:tc>
          <w:tcPr>
            <w:tcW w:w="2422" w:type="pct"/>
          </w:tcPr>
          <w:p w14:paraId="624687EE" w14:textId="3BA8BC8A" w:rsidR="000C3820" w:rsidRPr="00151E57" w:rsidRDefault="00787DAA" w:rsidP="0012104E">
            <w:pPr>
              <w:pStyle w:val="ListParagraph"/>
              <w:numPr>
                <w:ilvl w:val="0"/>
                <w:numId w:val="29"/>
              </w:numPr>
              <w:contextualSpacing w:val="0"/>
            </w:pPr>
            <w:r w:rsidRPr="00151E57">
              <w:rPr>
                <w:b/>
                <w:bCs/>
                <w:i/>
                <w:iCs/>
              </w:rPr>
              <w:t xml:space="preserve">renew </w:t>
            </w:r>
            <w:r w:rsidRPr="00151E57">
              <w:t xml:space="preserve">- </w:t>
            </w:r>
            <w:r w:rsidR="000C3820" w:rsidRPr="00151E57">
              <w:t>aquatic organisms are flushed or migrate into the floodplain or emerge/hatch from resting stages</w:t>
            </w:r>
          </w:p>
        </w:tc>
        <w:tc>
          <w:tcPr>
            <w:tcW w:w="2578" w:type="pct"/>
          </w:tcPr>
          <w:p w14:paraId="46D992F9" w14:textId="3D446DE1" w:rsidR="000C3820" w:rsidRPr="00151E57" w:rsidRDefault="004446B4" w:rsidP="0012104E">
            <w:pPr>
              <w:pStyle w:val="ListParagraph"/>
              <w:numPr>
                <w:ilvl w:val="0"/>
                <w:numId w:val="29"/>
              </w:numPr>
              <w:contextualSpacing w:val="0"/>
            </w:pPr>
            <w:r w:rsidRPr="00151E57">
              <w:rPr>
                <w:b/>
                <w:bCs/>
                <w:i/>
                <w:iCs/>
              </w:rPr>
              <w:t xml:space="preserve">disconnect </w:t>
            </w:r>
            <w:r w:rsidRPr="00151E57">
              <w:t xml:space="preserve">- </w:t>
            </w:r>
            <w:r w:rsidR="000C3820" w:rsidRPr="00151E57">
              <w:t>large amounts of water-borne organic carbon become stranded and incorporated in the terrestrial food webs</w:t>
            </w:r>
          </w:p>
        </w:tc>
      </w:tr>
      <w:tr w:rsidR="000C3820" w:rsidRPr="00151E57" w14:paraId="0D8380A5" w14:textId="77777777" w:rsidTr="00C619B3">
        <w:tc>
          <w:tcPr>
            <w:tcW w:w="2422" w:type="pct"/>
          </w:tcPr>
          <w:p w14:paraId="1C5F2DFA" w14:textId="58911D1D" w:rsidR="000C3820" w:rsidRPr="00151E57" w:rsidRDefault="00B84CEE" w:rsidP="0012104E">
            <w:pPr>
              <w:pStyle w:val="ListParagraph"/>
              <w:numPr>
                <w:ilvl w:val="0"/>
                <w:numId w:val="29"/>
              </w:numPr>
              <w:contextualSpacing w:val="0"/>
            </w:pPr>
            <w:r w:rsidRPr="00151E57">
              <w:rPr>
                <w:b/>
                <w:bCs/>
                <w:i/>
                <w:iCs/>
              </w:rPr>
              <w:t>respond</w:t>
            </w:r>
            <w:r w:rsidRPr="00151E57">
              <w:t xml:space="preserve"> - </w:t>
            </w:r>
            <w:r w:rsidR="000C3820" w:rsidRPr="00151E57">
              <w:t>terrestrial organisms migrate into non-flooded habitats or show adaptations to flooding</w:t>
            </w:r>
          </w:p>
        </w:tc>
        <w:tc>
          <w:tcPr>
            <w:tcW w:w="2578" w:type="pct"/>
          </w:tcPr>
          <w:p w14:paraId="0A738A0B" w14:textId="2455C284" w:rsidR="000C3820" w:rsidRPr="00151E57" w:rsidRDefault="00752CBF" w:rsidP="0012104E">
            <w:pPr>
              <w:pStyle w:val="ListParagraph"/>
              <w:numPr>
                <w:ilvl w:val="0"/>
                <w:numId w:val="29"/>
              </w:numPr>
              <w:contextualSpacing w:val="0"/>
            </w:pPr>
            <w:r w:rsidRPr="00151E57">
              <w:rPr>
                <w:b/>
                <w:bCs/>
                <w:i/>
                <w:iCs/>
              </w:rPr>
              <w:t>differentiate</w:t>
            </w:r>
            <w:r w:rsidRPr="00151E57">
              <w:t xml:space="preserve"> - </w:t>
            </w:r>
            <w:r w:rsidR="000C3820" w:rsidRPr="00151E57">
              <w:t>aquatic organisms move to permanent water bodies or show adaptations to periodic drought</w:t>
            </w:r>
          </w:p>
        </w:tc>
      </w:tr>
      <w:tr w:rsidR="000C3820" w:rsidRPr="00151E57" w14:paraId="2681CAF5" w14:textId="77777777" w:rsidTr="00C619B3">
        <w:tc>
          <w:tcPr>
            <w:tcW w:w="2422" w:type="pct"/>
          </w:tcPr>
          <w:p w14:paraId="08EAF9B6" w14:textId="78D1369F" w:rsidR="000C3820" w:rsidRPr="00151E57" w:rsidRDefault="00477F96" w:rsidP="0012104E">
            <w:pPr>
              <w:pStyle w:val="ListParagraph"/>
              <w:numPr>
                <w:ilvl w:val="0"/>
                <w:numId w:val="29"/>
              </w:numPr>
              <w:contextualSpacing w:val="0"/>
            </w:pPr>
            <w:r w:rsidRPr="00151E57">
              <w:rPr>
                <w:b/>
                <w:bCs/>
                <w:i/>
                <w:iCs/>
              </w:rPr>
              <w:t>re-enter</w:t>
            </w:r>
            <w:r w:rsidRPr="00151E57">
              <w:t xml:space="preserve"> - </w:t>
            </w:r>
            <w:r w:rsidR="000C3820" w:rsidRPr="00151E57">
              <w:t>terrestrial carbon and floodplain products from the canopy of the floodplain woodland/forest, such as terrestrial invertebrates, fruits and seeds, are incorporated into aquatic food webs</w:t>
            </w:r>
          </w:p>
        </w:tc>
        <w:tc>
          <w:tcPr>
            <w:tcW w:w="2578" w:type="pct"/>
          </w:tcPr>
          <w:p w14:paraId="397A5E56" w14:textId="6E681A5A" w:rsidR="000C3820" w:rsidRPr="00151E57" w:rsidRDefault="000D6086" w:rsidP="0012104E">
            <w:pPr>
              <w:pStyle w:val="ListParagraph"/>
              <w:numPr>
                <w:ilvl w:val="0"/>
                <w:numId w:val="29"/>
              </w:numPr>
              <w:contextualSpacing w:val="0"/>
            </w:pPr>
            <w:r w:rsidRPr="00151E57">
              <w:rPr>
                <w:b/>
                <w:bCs/>
                <w:i/>
                <w:iCs/>
              </w:rPr>
              <w:t>di</w:t>
            </w:r>
            <w:r w:rsidR="0047156E" w:rsidRPr="00151E57">
              <w:rPr>
                <w:b/>
                <w:bCs/>
                <w:i/>
                <w:iCs/>
              </w:rPr>
              <w:t>s</w:t>
            </w:r>
            <w:r w:rsidR="00EB11EA" w:rsidRPr="00151E57">
              <w:rPr>
                <w:b/>
                <w:bCs/>
                <w:i/>
                <w:iCs/>
              </w:rPr>
              <w:t>sociate</w:t>
            </w:r>
            <w:r w:rsidRPr="00151E57">
              <w:t xml:space="preserve"> - </w:t>
            </w:r>
            <w:r w:rsidR="000C3820" w:rsidRPr="00151E57">
              <w:t>permanent water bodies become increasingly isolated from the parent river or lake and develop specific physical and chemical characteristics and specific species assemblages</w:t>
            </w:r>
          </w:p>
        </w:tc>
      </w:tr>
    </w:tbl>
    <w:p w14:paraId="0870BB18" w14:textId="77777777" w:rsidR="00B61001" w:rsidRPr="008C6D51" w:rsidRDefault="00B61001" w:rsidP="006E2204">
      <w:pPr>
        <w:pStyle w:val="Heading4"/>
      </w:pPr>
      <w:r w:rsidRPr="008C6D51">
        <w:lastRenderedPageBreak/>
        <w:t>Productivity and Trophic Linkages</w:t>
      </w:r>
    </w:p>
    <w:p w14:paraId="73330C6E" w14:textId="3CA5AA25" w:rsidR="00B61001" w:rsidRDefault="00B61001" w:rsidP="00B61001">
      <w:pPr>
        <w:keepLines/>
      </w:pPr>
      <w:r>
        <w:t xml:space="preserve">The </w:t>
      </w:r>
      <w:r w:rsidRPr="006E20BA">
        <w:rPr>
          <w:i/>
        </w:rPr>
        <w:t>Flood Pulse Concept</w:t>
      </w:r>
      <w:r>
        <w:t xml:space="preserve"> (FPC) implies that biological production in the ecological community is enhanced through a variety of processes during the flooding cycle (Bayley 1995). </w:t>
      </w:r>
      <w:r w:rsidRPr="00AB0EC4">
        <w:t xml:space="preserve">Nutrient and energy pathways are complex in riverine-floodplain ecosystems and depend on both biological and geo-chemical processes. </w:t>
      </w:r>
      <w:r>
        <w:t>For example, during flooding, high primary production rates can occur, as nutrients previously mineralised during the preceding dry phase are dissolved and additional nutrients dissolved in the flood waters or associated with suspended sediment are also brought in from the main river (Bayley 1995). Therefore, for floodplain habitats of the ecological community, primary production is closely related to the hydrological regime, and changes to flood frequency, seasonal timing, and duration can have marked impacts on patterns of production (Brinston 1990 in Robertson et al. 1999, 2001). In addition, catchment vegetation, particularly in the riparian zone, contributes carbon and regulates in-stream primary production through reducing incident light and lowering water temperatures (Gregory et al. 1991).</w:t>
      </w:r>
    </w:p>
    <w:p w14:paraId="15BF2ECA" w14:textId="431E0F05" w:rsidR="006C3574" w:rsidRDefault="006C3574" w:rsidP="00B61001">
      <w:r w:rsidRPr="00AB0EC4">
        <w:t>Cen</w:t>
      </w:r>
      <w:r>
        <w:t>tral to productivity</w:t>
      </w:r>
      <w:r w:rsidRPr="00AB0EC4">
        <w:t xml:space="preserve"> are riverine food webs</w:t>
      </w:r>
      <w:r>
        <w:t>,</w:t>
      </w:r>
      <w:r w:rsidRPr="00AB0EC4">
        <w:t xml:space="preserve"> which are formed from a myriad of food chains</w:t>
      </w:r>
      <w:r>
        <w:t xml:space="preserve">—the </w:t>
      </w:r>
      <w:r w:rsidRPr="00AB0EC4">
        <w:t xml:space="preserve">feeding relationship between organisms at different trophic levels. The lowest trophic level is </w:t>
      </w:r>
      <w:r>
        <w:t xml:space="preserve">that of </w:t>
      </w:r>
      <w:r w:rsidRPr="00AB0EC4">
        <w:t>th</w:t>
      </w:r>
      <w:r>
        <w:t xml:space="preserve">e primary producers—plants </w:t>
      </w:r>
      <w:r w:rsidRPr="00AB0EC4">
        <w:t>and algae that convert solar energy, carbon and nutrients into organic matter. Animals then consume or br</w:t>
      </w:r>
      <w:r>
        <w:t>eak down this organic material:</w:t>
      </w:r>
    </w:p>
    <w:p w14:paraId="01A7AF4D" w14:textId="2B6262B6" w:rsidR="005458E3" w:rsidRDefault="006C3574" w:rsidP="0012104E">
      <w:pPr>
        <w:pStyle w:val="ListParagraph"/>
        <w:numPr>
          <w:ilvl w:val="0"/>
          <w:numId w:val="31"/>
        </w:numPr>
        <w:spacing w:before="80" w:after="80"/>
        <w:ind w:left="714" w:hanging="357"/>
        <w:contextualSpacing w:val="0"/>
      </w:pPr>
      <w:r>
        <w:t>in the open water, zooplankton are the most important grazers, including rotifers (Rotifera), copepods (Copepoda), and 'water fleas' (Cladocera)</w:t>
      </w:r>
    </w:p>
    <w:p w14:paraId="3986109B" w14:textId="06F1F453" w:rsidR="0069268F" w:rsidRDefault="00290028" w:rsidP="0012104E">
      <w:pPr>
        <w:pStyle w:val="ListParagraph"/>
        <w:numPr>
          <w:ilvl w:val="0"/>
          <w:numId w:val="31"/>
        </w:numPr>
        <w:spacing w:before="80" w:after="80"/>
        <w:ind w:left="714" w:hanging="357"/>
        <w:contextualSpacing w:val="0"/>
      </w:pPr>
      <w:r>
        <w:t>i</w:t>
      </w:r>
      <w:r w:rsidR="00F1585F">
        <w:t>n the littoral zone</w:t>
      </w:r>
      <w:r w:rsidR="00CF72B0">
        <w:t>,</w:t>
      </w:r>
      <w:r w:rsidR="00F1585F">
        <w:t xml:space="preserve"> important invertebrate grazers include insect larvae, aquatic snails (Gastropoda), and beetles (e.g. Curculionidae, weevils), and important vertebrate grazers include tadpoles and waterbirds (Boulton and Brock 1999).</w:t>
      </w:r>
    </w:p>
    <w:p w14:paraId="58EDE449" w14:textId="77777777" w:rsidR="00331754" w:rsidRDefault="00F1585F" w:rsidP="0069268F">
      <w:r>
        <w:t>In turn, grazers are generally preyed upon by fauna at higher trophic levels</w:t>
      </w:r>
      <w:r w:rsidR="0069268F">
        <w:t xml:space="preserve">—the </w:t>
      </w:r>
      <w:r>
        <w:t>littoral and nektonic predators, such as diving beetles (Dytiscidae), dragonfly larvae (</w:t>
      </w:r>
      <w:r w:rsidRPr="001A0CCD">
        <w:rPr>
          <w:i/>
          <w:iCs/>
        </w:rPr>
        <w:t>Odonata</w:t>
      </w:r>
      <w:r>
        <w:t>), fish, frogs</w:t>
      </w:r>
      <w:r w:rsidR="0069268F">
        <w:t>,</w:t>
      </w:r>
      <w:r>
        <w:t xml:space="preserve"> and waterbirds. </w:t>
      </w:r>
    </w:p>
    <w:p w14:paraId="373381D4" w14:textId="3BA800FA" w:rsidR="00F1585F" w:rsidRDefault="00F1585F" w:rsidP="0069268F">
      <w:r>
        <w:t>Importantly, size-selective predation underpins the 'trophic cascade' concept</w:t>
      </w:r>
      <w:r>
        <w:rPr>
          <w:rStyle w:val="FootnoteReference"/>
        </w:rPr>
        <w:footnoteReference w:id="6"/>
      </w:r>
      <w:r>
        <w:t>, which is based on the expected sequence of changes in abundance of prey and predators or plants and herbivores due to biological interactions (Boulton and Brock</w:t>
      </w:r>
      <w:r w:rsidR="00331754">
        <w:t xml:space="preserve"> </w:t>
      </w:r>
      <w:r>
        <w:t>1999). For example, if an important predator (such as an apex predator at the highest trophic level in a food web) is removed from the community, then the abundance of their prey increases; if that prey species usually grazes on certain plants, then these plants are similarly impacted</w:t>
      </w:r>
      <w:r w:rsidR="00331754">
        <w:t xml:space="preserve">—possibly </w:t>
      </w:r>
      <w:r>
        <w:t>to the point where the grazer can no longer be supported (Estes et al. 2001).</w:t>
      </w:r>
    </w:p>
    <w:p w14:paraId="20B4A25A" w14:textId="57BF9320" w:rsidR="00D83E8C" w:rsidRDefault="00D83E8C" w:rsidP="00D83E8C">
      <w:r w:rsidRPr="00AB0EC4">
        <w:t>Bacteria, the smallest and most abundant organism in aquatic ecosystems, live on and in the river</w:t>
      </w:r>
      <w:r w:rsidR="0035157B">
        <w:t>-</w:t>
      </w:r>
      <w:r>
        <w:t>bed</w:t>
      </w:r>
      <w:r w:rsidR="005C5103">
        <w:t>, as well as</w:t>
      </w:r>
      <w:r>
        <w:t xml:space="preserve"> suspended in the water-</w:t>
      </w:r>
      <w:r w:rsidRPr="00AB0EC4">
        <w:t xml:space="preserve">column where they can also take up dissolved carbon (Young 2001). Bacteria are an extremely important food source and recognised as </w:t>
      </w:r>
      <w:r w:rsidR="005C5103">
        <w:t xml:space="preserve">a vital </w:t>
      </w:r>
      <w:r w:rsidRPr="00AB0EC4">
        <w:t>link between detritus and higher consumers in aquatic food chains (Young 2001)</w:t>
      </w:r>
      <w:r w:rsidR="005C5103">
        <w:t>; f</w:t>
      </w:r>
      <w:r>
        <w:t>or example, d</w:t>
      </w:r>
      <w:r w:rsidRPr="00AB0EC4">
        <w:t>ead organic matter is recycled into the f</w:t>
      </w:r>
      <w:r>
        <w:t xml:space="preserve">ood web by bacteria and fungi.  Biofilms of microorganisms coating organic matter on the bottom or other substrates </w:t>
      </w:r>
      <w:r w:rsidR="005C5103">
        <w:t xml:space="preserve">(such as gum leaves) </w:t>
      </w:r>
      <w:r>
        <w:t>also provide nutritious energy-rich food for grazing invertebrates (Boulton and Brock 1999).</w:t>
      </w:r>
    </w:p>
    <w:p w14:paraId="71A30EF7" w14:textId="59CB93E6" w:rsidR="00E373B9" w:rsidRDefault="00E373B9" w:rsidP="00E373B9">
      <w:r>
        <w:lastRenderedPageBreak/>
        <w:t>Food webs in freshwaters can be supported by bottom detritus and/or from primary production in the pelagic</w:t>
      </w:r>
      <w:r>
        <w:rPr>
          <w:rStyle w:val="FootnoteReference"/>
        </w:rPr>
        <w:footnoteReference w:id="7"/>
      </w:r>
      <w:r>
        <w:t xml:space="preserve"> zone. Food webs in large floodplain rivers can also be influenced by terrestrial input and organic matter derived laterally from the floodplain (i.e. the FPC).  Flow and its interaction with geomorphology control organic carbon fluxes in rivers. In general, riparian sources dominate organic carbon pools in catchment streams (exceptions occur where cover is absent, in-stream gross primary production is more than 1 gCm</w:t>
      </w:r>
      <w:r w:rsidRPr="00EB16B4">
        <w:rPr>
          <w:vertAlign w:val="superscript"/>
        </w:rPr>
        <w:t>-2</w:t>
      </w:r>
      <w:r>
        <w:t>day</w:t>
      </w:r>
      <w:r w:rsidRPr="00EB16B4">
        <w:rPr>
          <w:vertAlign w:val="superscript"/>
        </w:rPr>
        <w:t>-1</w:t>
      </w:r>
      <w:r>
        <w:t xml:space="preserve">, and ratios of production to respiration are greater than 1) as demonstrated by the </w:t>
      </w:r>
      <w:r w:rsidR="008D214F">
        <w:t>comparisons in</w:t>
      </w:r>
      <w:r>
        <w:t xml:space="preserve"> </w:t>
      </w:r>
      <w:r w:rsidRPr="00C8094A">
        <w:rPr>
          <w:u w:val="single"/>
        </w:rPr>
        <w:t xml:space="preserve">Table </w:t>
      </w:r>
      <w:r w:rsidR="00C8094A">
        <w:rPr>
          <w:u w:val="single"/>
        </w:rPr>
        <w:t>21</w:t>
      </w:r>
      <w:r w:rsidRPr="00997698">
        <w:t>.</w:t>
      </w:r>
      <w:r>
        <w:t xml:space="preserve"> For example, the major floodplain overstorey species</w:t>
      </w:r>
      <w:r w:rsidR="008D214F">
        <w:t>,</w:t>
      </w:r>
      <w:r>
        <w:t xml:space="preserve"> river red gum and black box</w:t>
      </w:r>
      <w:r w:rsidR="008D214F">
        <w:t>,</w:t>
      </w:r>
      <w:r>
        <w:t xml:space="preserve"> generate a large annual biomass of leaf litter, around 2500 g m</w:t>
      </w:r>
      <w:r w:rsidRPr="00CA6D8C">
        <w:rPr>
          <w:vertAlign w:val="superscript"/>
        </w:rPr>
        <w:t>-2</w:t>
      </w:r>
      <w:r>
        <w:t xml:space="preserve"> and 600 g m</w:t>
      </w:r>
      <w:r w:rsidRPr="00CA6D8C">
        <w:rPr>
          <w:vertAlign w:val="superscript"/>
        </w:rPr>
        <w:t>-2</w:t>
      </w:r>
      <w:r>
        <w:t xml:space="preserve"> respectively, which is a major source of organic matter to the system (Wallace 2009). </w:t>
      </w:r>
    </w:p>
    <w:p w14:paraId="2D9A0E06" w14:textId="0B72B8F4" w:rsidR="001841C5" w:rsidRPr="007858B7" w:rsidRDefault="001841C5" w:rsidP="001841C5">
      <w:r>
        <w:t xml:space="preserve">Flood release and export of dissolved organic carbon (DOC) from the floodplain may be substantial relative to in-stream production in river channels, while sediments deposited on floodplains during large floods represent a substantial sink of riverine particulate organic matter (POC) (Robertson et al. 1999, see </w:t>
      </w:r>
      <w:r w:rsidRPr="00997698">
        <w:t>Table D4).</w:t>
      </w:r>
      <w:r>
        <w:t xml:space="preserve"> Bacteria are responsible for rapid decomposition of DOC and POC in floodplain wetlands (</w:t>
      </w:r>
      <w:r w:rsidRPr="00C57430">
        <w:rPr>
          <w:u w:val="single"/>
        </w:rPr>
        <w:t>Table 21</w:t>
      </w:r>
      <w:r>
        <w:t>). Importantly, river regulation and disturbance to the catchment have resulted in decreased inputs of floodplain carbon, and domination by algal production in the river channel (Robertson et al. 1999; Walker 2006).</w:t>
      </w:r>
    </w:p>
    <w:p w14:paraId="3DB08D15" w14:textId="14BEFEE8" w:rsidR="00B2131D" w:rsidRPr="00B00D7C" w:rsidRDefault="00C22D95" w:rsidP="00C22D95">
      <w:pPr>
        <w:pStyle w:val="Caption"/>
        <w:rPr>
          <w:szCs w:val="22"/>
        </w:rPr>
      </w:pPr>
      <w:bookmarkStart w:id="83" w:name="_Toc232747204"/>
      <w:bookmarkStart w:id="84" w:name="_Toc232747280"/>
      <w:bookmarkStart w:id="85" w:name="_Toc232747523"/>
      <w:r>
        <w:t xml:space="preserve">Table </w:t>
      </w:r>
      <w:r>
        <w:fldChar w:fldCharType="begin"/>
      </w:r>
      <w:r>
        <w:instrText xml:space="preserve"> SEQ Table \* ARABIC </w:instrText>
      </w:r>
      <w:r>
        <w:fldChar w:fldCharType="separate"/>
      </w:r>
      <w:r w:rsidR="006D35C5">
        <w:rPr>
          <w:noProof/>
        </w:rPr>
        <w:t>21</w:t>
      </w:r>
      <w:r>
        <w:fldChar w:fldCharType="end"/>
      </w:r>
      <w:r w:rsidR="00B2131D" w:rsidRPr="00B00D7C">
        <w:rPr>
          <w:szCs w:val="22"/>
        </w:rPr>
        <w:t>: Sources and comparative amounts of organic carbon on riverine floodplains (Robertson et al. 1999).</w:t>
      </w:r>
      <w:bookmarkEnd w:id="83"/>
      <w:bookmarkEnd w:id="84"/>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7"/>
        <w:gridCol w:w="2473"/>
      </w:tblGrid>
      <w:tr w:rsidR="00A303AA" w:rsidRPr="00151E57" w14:paraId="5995766D" w14:textId="77777777" w:rsidTr="00C22D95">
        <w:trPr>
          <w:jc w:val="center"/>
        </w:trPr>
        <w:tc>
          <w:tcPr>
            <w:tcW w:w="3635" w:type="pct"/>
            <w:shd w:val="clear" w:color="auto" w:fill="D9D9D9" w:themeFill="background1" w:themeFillShade="D9"/>
          </w:tcPr>
          <w:p w14:paraId="66868BF3" w14:textId="77777777" w:rsidR="00A303AA" w:rsidRPr="00151E57" w:rsidRDefault="00A303AA" w:rsidP="00CD5901">
            <w:pPr>
              <w:pStyle w:val="tableheadertext"/>
            </w:pPr>
            <w:r w:rsidRPr="00151E57">
              <w:t>Aspect of organic carbon/production</w:t>
            </w:r>
          </w:p>
        </w:tc>
        <w:tc>
          <w:tcPr>
            <w:tcW w:w="1365" w:type="pct"/>
            <w:shd w:val="clear" w:color="auto" w:fill="D9D9D9" w:themeFill="background1" w:themeFillShade="D9"/>
          </w:tcPr>
          <w:p w14:paraId="52B3DF97" w14:textId="77777777" w:rsidR="00A303AA" w:rsidRPr="00151E57" w:rsidRDefault="00A303AA" w:rsidP="00CD5901">
            <w:pPr>
              <w:pStyle w:val="tableheadertext"/>
            </w:pPr>
            <w:r w:rsidRPr="00151E57">
              <w:t>Amount</w:t>
            </w:r>
          </w:p>
        </w:tc>
      </w:tr>
      <w:tr w:rsidR="00A303AA" w:rsidRPr="00151E57" w14:paraId="12175C69" w14:textId="77777777" w:rsidTr="00C22D95">
        <w:trPr>
          <w:jc w:val="center"/>
        </w:trPr>
        <w:tc>
          <w:tcPr>
            <w:tcW w:w="3635" w:type="pct"/>
          </w:tcPr>
          <w:p w14:paraId="55ED13E1" w14:textId="77777777" w:rsidR="00A303AA" w:rsidRPr="00151E57" w:rsidRDefault="00A303AA" w:rsidP="002730BD">
            <w:pPr>
              <w:pStyle w:val="tabletext1"/>
              <w:spacing w:after="120"/>
              <w:ind w:left="30"/>
              <w:rPr>
                <w:rFonts w:ascii="Cambria" w:hAnsi="Cambria"/>
              </w:rPr>
            </w:pPr>
            <w:r w:rsidRPr="00151E57">
              <w:rPr>
                <w:rFonts w:ascii="Cambria" w:hAnsi="Cambria"/>
              </w:rPr>
              <w:t>Floodplain primary production by river red gum forests</w:t>
            </w:r>
          </w:p>
        </w:tc>
        <w:tc>
          <w:tcPr>
            <w:tcW w:w="1365" w:type="pct"/>
          </w:tcPr>
          <w:p w14:paraId="0320883E" w14:textId="77777777" w:rsidR="00A303AA" w:rsidRPr="00151E57" w:rsidRDefault="00A303AA" w:rsidP="00891625">
            <w:pPr>
              <w:pStyle w:val="tabletext1"/>
              <w:spacing w:after="120"/>
              <w:ind w:left="272"/>
              <w:rPr>
                <w:rFonts w:ascii="Cambria" w:hAnsi="Cambria"/>
              </w:rPr>
            </w:pPr>
            <w:r w:rsidRPr="00151E57">
              <w:rPr>
                <w:rFonts w:ascii="Cambria" w:hAnsi="Cambria"/>
              </w:rPr>
              <w:t>~600 gC m</w:t>
            </w:r>
            <w:r w:rsidRPr="00151E57">
              <w:rPr>
                <w:rFonts w:ascii="Cambria" w:hAnsi="Cambria"/>
                <w:vertAlign w:val="superscript"/>
              </w:rPr>
              <w:t xml:space="preserve">-2 </w:t>
            </w:r>
            <w:r w:rsidRPr="00151E57">
              <w:rPr>
                <w:rFonts w:ascii="Cambria" w:hAnsi="Cambria"/>
              </w:rPr>
              <w:t>year</w:t>
            </w:r>
            <w:r w:rsidRPr="00151E57">
              <w:rPr>
                <w:rFonts w:ascii="Cambria" w:hAnsi="Cambria"/>
                <w:vertAlign w:val="superscript"/>
              </w:rPr>
              <w:t>-1</w:t>
            </w:r>
          </w:p>
        </w:tc>
      </w:tr>
      <w:tr w:rsidR="00A303AA" w:rsidRPr="00151E57" w14:paraId="679C97F1" w14:textId="77777777" w:rsidTr="00C22D95">
        <w:trPr>
          <w:jc w:val="center"/>
        </w:trPr>
        <w:tc>
          <w:tcPr>
            <w:tcW w:w="3635" w:type="pct"/>
          </w:tcPr>
          <w:p w14:paraId="2540F03B" w14:textId="77777777" w:rsidR="00A303AA" w:rsidRPr="00151E57" w:rsidRDefault="00A303AA" w:rsidP="002730BD">
            <w:pPr>
              <w:pStyle w:val="tabletext1"/>
              <w:spacing w:after="120"/>
              <w:ind w:left="30"/>
              <w:rPr>
                <w:rFonts w:ascii="Cambria" w:hAnsi="Cambria"/>
              </w:rPr>
            </w:pPr>
            <w:r w:rsidRPr="00151E57">
              <w:rPr>
                <w:rFonts w:ascii="Cambria" w:hAnsi="Cambria"/>
              </w:rPr>
              <w:t>Total primary production by aquatic macrophytes in floodplain wetlands</w:t>
            </w:r>
          </w:p>
        </w:tc>
        <w:tc>
          <w:tcPr>
            <w:tcW w:w="1365" w:type="pct"/>
          </w:tcPr>
          <w:p w14:paraId="474CC7DF" w14:textId="77777777" w:rsidR="00A303AA" w:rsidRPr="00151E57" w:rsidRDefault="00A303AA" w:rsidP="00891625">
            <w:pPr>
              <w:pStyle w:val="tabletext1"/>
              <w:spacing w:after="120"/>
              <w:ind w:left="272"/>
              <w:rPr>
                <w:rFonts w:ascii="Cambria" w:hAnsi="Cambria"/>
              </w:rPr>
            </w:pPr>
            <w:r w:rsidRPr="00151E57">
              <w:rPr>
                <w:rFonts w:ascii="Cambria" w:hAnsi="Cambria"/>
              </w:rPr>
              <w:t>&gt;2500 gC m</w:t>
            </w:r>
            <w:r w:rsidRPr="00151E57">
              <w:rPr>
                <w:rFonts w:ascii="Cambria" w:hAnsi="Cambria"/>
                <w:vertAlign w:val="superscript"/>
              </w:rPr>
              <w:t xml:space="preserve">-2 </w:t>
            </w:r>
            <w:r w:rsidRPr="00151E57">
              <w:rPr>
                <w:rFonts w:ascii="Cambria" w:hAnsi="Cambria"/>
              </w:rPr>
              <w:t>year</w:t>
            </w:r>
            <w:r w:rsidRPr="00151E57">
              <w:rPr>
                <w:rFonts w:ascii="Cambria" w:hAnsi="Cambria"/>
                <w:vertAlign w:val="superscript"/>
              </w:rPr>
              <w:t>-1</w:t>
            </w:r>
          </w:p>
        </w:tc>
      </w:tr>
      <w:tr w:rsidR="00A303AA" w:rsidRPr="00151E57" w14:paraId="597E30D5" w14:textId="77777777" w:rsidTr="00C22D95">
        <w:trPr>
          <w:jc w:val="center"/>
        </w:trPr>
        <w:tc>
          <w:tcPr>
            <w:tcW w:w="3635" w:type="pct"/>
          </w:tcPr>
          <w:p w14:paraId="7D7DE1E6" w14:textId="77777777" w:rsidR="00A303AA" w:rsidRPr="00151E57" w:rsidRDefault="00A303AA" w:rsidP="002730BD">
            <w:pPr>
              <w:pStyle w:val="tabletext1"/>
              <w:spacing w:after="120"/>
              <w:ind w:left="30"/>
              <w:rPr>
                <w:rFonts w:ascii="Cambria" w:hAnsi="Cambria"/>
              </w:rPr>
            </w:pPr>
            <w:r w:rsidRPr="00151E57">
              <w:rPr>
                <w:rFonts w:ascii="Cambria" w:hAnsi="Cambria"/>
              </w:rPr>
              <w:t>Total primary production by aquatic biofilms in floodplain wetlands</w:t>
            </w:r>
          </w:p>
        </w:tc>
        <w:tc>
          <w:tcPr>
            <w:tcW w:w="1365" w:type="pct"/>
          </w:tcPr>
          <w:p w14:paraId="61501D3A" w14:textId="77777777" w:rsidR="00A303AA" w:rsidRPr="00151E57" w:rsidRDefault="00A303AA" w:rsidP="00891625">
            <w:pPr>
              <w:pStyle w:val="tabletext1"/>
              <w:spacing w:after="120"/>
              <w:ind w:left="272"/>
              <w:rPr>
                <w:rFonts w:ascii="Cambria" w:hAnsi="Cambria"/>
              </w:rPr>
            </w:pPr>
            <w:r w:rsidRPr="00151E57">
              <w:rPr>
                <w:rFonts w:ascii="Cambria" w:hAnsi="Cambria"/>
              </w:rPr>
              <w:t>&gt;620 gC m</w:t>
            </w:r>
            <w:r w:rsidRPr="00151E57">
              <w:rPr>
                <w:rFonts w:ascii="Cambria" w:hAnsi="Cambria"/>
                <w:vertAlign w:val="superscript"/>
              </w:rPr>
              <w:t xml:space="preserve">-2 </w:t>
            </w:r>
            <w:r w:rsidRPr="00151E57">
              <w:rPr>
                <w:rFonts w:ascii="Cambria" w:hAnsi="Cambria"/>
              </w:rPr>
              <w:t>year</w:t>
            </w:r>
            <w:r w:rsidRPr="00151E57">
              <w:rPr>
                <w:rFonts w:ascii="Cambria" w:hAnsi="Cambria"/>
                <w:vertAlign w:val="superscript"/>
              </w:rPr>
              <w:t>-1</w:t>
            </w:r>
          </w:p>
        </w:tc>
      </w:tr>
      <w:tr w:rsidR="00A303AA" w:rsidRPr="00151E57" w14:paraId="634D956B" w14:textId="77777777" w:rsidTr="00C22D95">
        <w:trPr>
          <w:jc w:val="center"/>
        </w:trPr>
        <w:tc>
          <w:tcPr>
            <w:tcW w:w="3635" w:type="pct"/>
          </w:tcPr>
          <w:p w14:paraId="59243165" w14:textId="77777777" w:rsidR="00A303AA" w:rsidRPr="00151E57" w:rsidRDefault="00A303AA" w:rsidP="002730BD">
            <w:pPr>
              <w:pStyle w:val="tabletext1"/>
              <w:spacing w:after="120"/>
              <w:ind w:left="30"/>
              <w:rPr>
                <w:rFonts w:ascii="Cambria" w:hAnsi="Cambria"/>
              </w:rPr>
            </w:pPr>
            <w:r w:rsidRPr="00151E57">
              <w:rPr>
                <w:rFonts w:ascii="Cambria" w:hAnsi="Cambria"/>
              </w:rPr>
              <w:t>Large pools of particulate organic carbon (POC) as floodplain litter</w:t>
            </w:r>
          </w:p>
        </w:tc>
        <w:tc>
          <w:tcPr>
            <w:tcW w:w="1365" w:type="pct"/>
          </w:tcPr>
          <w:p w14:paraId="5C87DD9C" w14:textId="77777777" w:rsidR="00A303AA" w:rsidRPr="00151E57" w:rsidRDefault="00A303AA" w:rsidP="00891625">
            <w:pPr>
              <w:pStyle w:val="tabletext1"/>
              <w:spacing w:after="120"/>
              <w:ind w:left="272"/>
              <w:rPr>
                <w:rFonts w:ascii="Cambria" w:hAnsi="Cambria"/>
              </w:rPr>
            </w:pPr>
            <w:r w:rsidRPr="00151E57">
              <w:rPr>
                <w:rFonts w:ascii="Cambria" w:hAnsi="Cambria"/>
              </w:rPr>
              <w:t>&gt;500 gC m</w:t>
            </w:r>
            <w:r w:rsidRPr="00151E57">
              <w:rPr>
                <w:rFonts w:ascii="Cambria" w:hAnsi="Cambria"/>
                <w:vertAlign w:val="superscript"/>
              </w:rPr>
              <w:t>-2</w:t>
            </w:r>
          </w:p>
        </w:tc>
      </w:tr>
      <w:tr w:rsidR="00A303AA" w:rsidRPr="00151E57" w14:paraId="72A7059E" w14:textId="77777777" w:rsidTr="00C22D95">
        <w:trPr>
          <w:jc w:val="center"/>
        </w:trPr>
        <w:tc>
          <w:tcPr>
            <w:tcW w:w="3635" w:type="pct"/>
          </w:tcPr>
          <w:p w14:paraId="326A0B5B" w14:textId="77777777" w:rsidR="00A303AA" w:rsidRPr="00151E57" w:rsidRDefault="00A303AA" w:rsidP="002730BD">
            <w:pPr>
              <w:pStyle w:val="tabletext1"/>
              <w:spacing w:after="120"/>
              <w:ind w:left="30"/>
              <w:rPr>
                <w:rFonts w:ascii="Cambria" w:hAnsi="Cambria"/>
              </w:rPr>
            </w:pPr>
            <w:r w:rsidRPr="00151E57">
              <w:rPr>
                <w:rFonts w:ascii="Cambria" w:hAnsi="Cambria"/>
              </w:rPr>
              <w:t>POC on floodplain as coarse woody debris</w:t>
            </w:r>
          </w:p>
        </w:tc>
        <w:tc>
          <w:tcPr>
            <w:tcW w:w="1365" w:type="pct"/>
          </w:tcPr>
          <w:p w14:paraId="29426199" w14:textId="77777777" w:rsidR="00A303AA" w:rsidRPr="00151E57" w:rsidRDefault="00A303AA" w:rsidP="00891625">
            <w:pPr>
              <w:pStyle w:val="tabletext1"/>
              <w:spacing w:after="120"/>
              <w:ind w:left="272"/>
              <w:rPr>
                <w:rFonts w:ascii="Cambria" w:hAnsi="Cambria"/>
              </w:rPr>
            </w:pPr>
            <w:r w:rsidRPr="00151E57">
              <w:rPr>
                <w:rFonts w:ascii="Cambria" w:hAnsi="Cambria"/>
              </w:rPr>
              <w:t>~6 kgC m</w:t>
            </w:r>
            <w:r w:rsidRPr="00151E57">
              <w:rPr>
                <w:rFonts w:ascii="Cambria" w:hAnsi="Cambria"/>
                <w:vertAlign w:val="superscript"/>
              </w:rPr>
              <w:t>-2</w:t>
            </w:r>
          </w:p>
        </w:tc>
      </w:tr>
      <w:tr w:rsidR="00A303AA" w:rsidRPr="00151E57" w14:paraId="78B374B1" w14:textId="77777777" w:rsidTr="00C22D95">
        <w:trPr>
          <w:jc w:val="center"/>
        </w:trPr>
        <w:tc>
          <w:tcPr>
            <w:tcW w:w="3635" w:type="pct"/>
          </w:tcPr>
          <w:p w14:paraId="0C8F72D7" w14:textId="77777777" w:rsidR="00A303AA" w:rsidRPr="00151E57" w:rsidRDefault="00A303AA" w:rsidP="002730BD">
            <w:pPr>
              <w:pStyle w:val="tabletext1"/>
              <w:spacing w:after="120"/>
              <w:ind w:left="30"/>
              <w:rPr>
                <w:rFonts w:ascii="Cambria" w:hAnsi="Cambria"/>
              </w:rPr>
            </w:pPr>
            <w:r w:rsidRPr="00151E57">
              <w:rPr>
                <w:rFonts w:ascii="Cambria" w:hAnsi="Cambria"/>
              </w:rPr>
              <w:t>Floods may release dissolved organic carbon (DOC) from leaf litter</w:t>
            </w:r>
          </w:p>
        </w:tc>
        <w:tc>
          <w:tcPr>
            <w:tcW w:w="1365" w:type="pct"/>
          </w:tcPr>
          <w:p w14:paraId="76356011" w14:textId="77777777" w:rsidR="00A303AA" w:rsidRPr="00151E57" w:rsidRDefault="00A303AA" w:rsidP="00891625">
            <w:pPr>
              <w:pStyle w:val="tabletext1"/>
              <w:spacing w:after="120"/>
              <w:ind w:left="272"/>
              <w:rPr>
                <w:rFonts w:ascii="Cambria" w:hAnsi="Cambria"/>
              </w:rPr>
            </w:pPr>
            <w:r w:rsidRPr="00151E57">
              <w:rPr>
                <w:rFonts w:ascii="Cambria" w:hAnsi="Cambria"/>
              </w:rPr>
              <w:t>50 gDOC m</w:t>
            </w:r>
            <w:r w:rsidRPr="00151E57">
              <w:rPr>
                <w:rFonts w:ascii="Cambria" w:hAnsi="Cambria"/>
                <w:vertAlign w:val="superscript"/>
              </w:rPr>
              <w:t>-2</w:t>
            </w:r>
          </w:p>
        </w:tc>
      </w:tr>
      <w:tr w:rsidR="00A303AA" w:rsidRPr="00151E57" w14:paraId="08F39BA8" w14:textId="77777777" w:rsidTr="00C22D95">
        <w:trPr>
          <w:jc w:val="center"/>
        </w:trPr>
        <w:tc>
          <w:tcPr>
            <w:tcW w:w="3635" w:type="pct"/>
          </w:tcPr>
          <w:p w14:paraId="1790A8B5" w14:textId="77777777" w:rsidR="00A303AA" w:rsidRPr="00151E57" w:rsidRDefault="00A303AA" w:rsidP="002730BD">
            <w:pPr>
              <w:pStyle w:val="tabletext1"/>
              <w:spacing w:after="120"/>
              <w:ind w:left="30"/>
              <w:rPr>
                <w:rFonts w:ascii="Cambria" w:hAnsi="Cambria"/>
              </w:rPr>
            </w:pPr>
            <w:r w:rsidRPr="00151E57">
              <w:rPr>
                <w:rFonts w:ascii="Cambria" w:hAnsi="Cambria"/>
              </w:rPr>
              <w:t>Sink of riverine POC onto floodplain by large floods</w:t>
            </w:r>
          </w:p>
        </w:tc>
        <w:tc>
          <w:tcPr>
            <w:tcW w:w="1365" w:type="pct"/>
          </w:tcPr>
          <w:p w14:paraId="23A4EBB7" w14:textId="42D9B6D2" w:rsidR="00A303AA" w:rsidRPr="00151E57" w:rsidRDefault="00A303AA" w:rsidP="00891625">
            <w:pPr>
              <w:pStyle w:val="tabletext1"/>
              <w:spacing w:after="120"/>
              <w:ind w:left="272"/>
              <w:rPr>
                <w:rFonts w:ascii="Cambria" w:hAnsi="Cambria"/>
              </w:rPr>
            </w:pPr>
            <w:r w:rsidRPr="00151E57">
              <w:rPr>
                <w:rFonts w:ascii="Cambria" w:hAnsi="Cambria"/>
              </w:rPr>
              <w:t>up to 280 gC m</w:t>
            </w:r>
            <w:r w:rsidRPr="00151E57">
              <w:rPr>
                <w:rFonts w:ascii="Cambria" w:hAnsi="Cambria"/>
                <w:vertAlign w:val="superscript"/>
              </w:rPr>
              <w:t>-2</w:t>
            </w:r>
          </w:p>
        </w:tc>
      </w:tr>
      <w:tr w:rsidR="00A303AA" w:rsidRPr="00151E57" w14:paraId="22F5BE0B" w14:textId="77777777" w:rsidTr="00C22D95">
        <w:trPr>
          <w:jc w:val="center"/>
        </w:trPr>
        <w:tc>
          <w:tcPr>
            <w:tcW w:w="3635" w:type="pct"/>
          </w:tcPr>
          <w:p w14:paraId="04A73D26" w14:textId="77777777" w:rsidR="00A303AA" w:rsidRPr="00151E57" w:rsidRDefault="00A303AA" w:rsidP="002730BD">
            <w:pPr>
              <w:pStyle w:val="tabletext1"/>
              <w:spacing w:after="120"/>
              <w:ind w:left="30"/>
              <w:rPr>
                <w:rFonts w:ascii="Cambria" w:hAnsi="Cambria"/>
              </w:rPr>
            </w:pPr>
            <w:r w:rsidRPr="00151E57">
              <w:rPr>
                <w:rFonts w:ascii="Cambria" w:hAnsi="Cambria"/>
              </w:rPr>
              <w:t>Decomposition of DOC and POC by bacteria in floodplain wetlands (i.e. sediment respiration and methanogenesis)</w:t>
            </w:r>
          </w:p>
        </w:tc>
        <w:tc>
          <w:tcPr>
            <w:tcW w:w="1365" w:type="pct"/>
          </w:tcPr>
          <w:p w14:paraId="1EE1885D" w14:textId="77777777" w:rsidR="00A303AA" w:rsidRPr="00151E57" w:rsidRDefault="00A303AA" w:rsidP="00891625">
            <w:pPr>
              <w:pStyle w:val="tabletext1"/>
              <w:spacing w:after="120"/>
              <w:ind w:left="272"/>
              <w:rPr>
                <w:rFonts w:ascii="Cambria" w:hAnsi="Cambria"/>
              </w:rPr>
            </w:pPr>
            <w:r w:rsidRPr="00151E57">
              <w:rPr>
                <w:rFonts w:ascii="Cambria" w:hAnsi="Cambria"/>
              </w:rPr>
              <w:t>both processes</w:t>
            </w:r>
          </w:p>
          <w:p w14:paraId="4D391C0B" w14:textId="77777777" w:rsidR="00A303AA" w:rsidRPr="00151E57" w:rsidRDefault="00A303AA" w:rsidP="00891625">
            <w:pPr>
              <w:pStyle w:val="tabletext1"/>
              <w:spacing w:after="120"/>
              <w:ind w:left="272"/>
              <w:rPr>
                <w:rFonts w:ascii="Cambria" w:hAnsi="Cambria"/>
              </w:rPr>
            </w:pPr>
            <w:r w:rsidRPr="00151E57">
              <w:rPr>
                <w:rFonts w:ascii="Cambria" w:hAnsi="Cambria"/>
              </w:rPr>
              <w:t>~1 gC m</w:t>
            </w:r>
            <w:r w:rsidRPr="00151E57">
              <w:rPr>
                <w:rFonts w:ascii="Cambria" w:hAnsi="Cambria"/>
                <w:vertAlign w:val="superscript"/>
              </w:rPr>
              <w:t>-2</w:t>
            </w:r>
            <w:r w:rsidRPr="00151E57">
              <w:rPr>
                <w:rFonts w:ascii="Cambria" w:hAnsi="Cambria"/>
              </w:rPr>
              <w:t xml:space="preserve"> day</w:t>
            </w:r>
            <w:r w:rsidRPr="00151E57">
              <w:rPr>
                <w:rFonts w:ascii="Cambria" w:hAnsi="Cambria"/>
                <w:vertAlign w:val="superscript"/>
              </w:rPr>
              <w:t>-1</w:t>
            </w:r>
          </w:p>
        </w:tc>
      </w:tr>
    </w:tbl>
    <w:p w14:paraId="79AD936A" w14:textId="77777777" w:rsidR="00B2131D" w:rsidRPr="00B2131D" w:rsidRDefault="00B2131D" w:rsidP="002730BD"/>
    <w:p w14:paraId="7C92EE45" w14:textId="77777777" w:rsidR="00192B2F" w:rsidRPr="00AF31FC" w:rsidRDefault="00192B2F" w:rsidP="006E2204">
      <w:pPr>
        <w:pStyle w:val="Heading4"/>
      </w:pPr>
      <w:r w:rsidRPr="00AF31FC">
        <w:t>Salinity</w:t>
      </w:r>
    </w:p>
    <w:p w14:paraId="1C5F5D55" w14:textId="05EEF995" w:rsidR="003236AA" w:rsidRDefault="00192B2F" w:rsidP="00192B2F">
      <w:r>
        <w:t>S</w:t>
      </w:r>
      <w:r w:rsidRPr="00F44A68">
        <w:t>alinity is another important driver influencing aquatic ecology</w:t>
      </w:r>
      <w:r>
        <w:t>. The region of the ecological community has been flooded by rising sea levels over the last 20 million years, and the regional groundwater contains large quantities of relictual salt. The salt entered the surface water slowly, until the rate of accession was greatly increased by clearing of vegetation and irrigation (Miles and Kirk 2005</w:t>
      </w:r>
      <w:r w:rsidRPr="00097917">
        <w:t>)</w:t>
      </w:r>
      <w:r>
        <w:t xml:space="preserve">. </w:t>
      </w:r>
      <w:r w:rsidR="003236AA">
        <w:t xml:space="preserve">The River Murray channel, a major component of the ecological community, also provides the only natural conduit to flush salt from the entire Murray-Darling Basin through to </w:t>
      </w:r>
      <w:r w:rsidR="003236AA">
        <w:lastRenderedPageBreak/>
        <w:t>the sea (Evans et al. 1990). The quantity of salt transported by the river in South Australia is estimated to be about two million tonnes (MDBA 2010).</w:t>
      </w:r>
    </w:p>
    <w:p w14:paraId="2BCBBBAA" w14:textId="779E9DB0" w:rsidR="00192B2F" w:rsidRDefault="00192B2F" w:rsidP="00192B2F">
      <w:r>
        <w:t>Levels of salinity in riverine, floodplain, wetland</w:t>
      </w:r>
      <w:r w:rsidR="00CA7780">
        <w:t>,</w:t>
      </w:r>
      <w:r>
        <w:t xml:space="preserve"> and groundwater environments </w:t>
      </w:r>
      <w:r w:rsidR="002A76F0">
        <w:t xml:space="preserve">of the ecological community </w:t>
      </w:r>
      <w:r>
        <w:t xml:space="preserve">are largely influenced by flow, although the retention of salt in floodplain soils has been increased through the hydraulic effects of </w:t>
      </w:r>
      <w:r w:rsidR="0029555E">
        <w:t xml:space="preserve">the </w:t>
      </w:r>
      <w:r>
        <w:t>weirs (</w:t>
      </w:r>
      <w:r w:rsidR="002A76F0">
        <w:t xml:space="preserve">e.g. </w:t>
      </w:r>
      <w:r>
        <w:t>Walker 2006). If the river level drops suddenly after an overbank flood, high levels of salt can be entrained and passed down</w:t>
      </w:r>
      <w:r w:rsidR="00D965BC">
        <w:t>-</w:t>
      </w:r>
      <w:r>
        <w:t>river. M</w:t>
      </w:r>
      <w:r w:rsidRPr="00AB0EC4">
        <w:t xml:space="preserve">any of the temporary wetlands </w:t>
      </w:r>
      <w:r>
        <w:t xml:space="preserve">in the ecological community can </w:t>
      </w:r>
      <w:r w:rsidRPr="00AB0EC4">
        <w:t>become saline afte</w:t>
      </w:r>
      <w:r>
        <w:t>r flooding (Suter et al. 1993), with terminal wetlands that are seldom flushed most at risk from salinisation (Hart et al. 1990).</w:t>
      </w:r>
    </w:p>
    <w:p w14:paraId="3789D83B" w14:textId="1B144ED8" w:rsidR="00DD43D8" w:rsidRDefault="00DD43D8" w:rsidP="00DD43D8">
      <w:r>
        <w:t xml:space="preserve">The native flora and fauna of the ecological community have evolved under conditions where salinity fluctuated widely. Before impoundment, the river would </w:t>
      </w:r>
      <w:r w:rsidR="00D80F05">
        <w:t xml:space="preserve">sometimes </w:t>
      </w:r>
      <w:r>
        <w:t>contract to a series of pools during very dry seasons, with salinities up to 6 g/L, and seawater would move some 100 km upstream (Mackay et al. 1988 in Williams and Williams 1991). Consequently</w:t>
      </w:r>
      <w:r w:rsidR="00D80F05">
        <w:t>,</w:t>
      </w:r>
      <w:r>
        <w:t xml:space="preserve"> animals and plants in the ecological community often display varying levels of tolerance to elevated salinity, particularly in the adult phase. Some of the fish </w:t>
      </w:r>
      <w:r w:rsidR="00D80F05">
        <w:t xml:space="preserve">species </w:t>
      </w:r>
      <w:r>
        <w:t>move between the sea, estuary</w:t>
      </w:r>
      <w:r w:rsidR="00D80F05">
        <w:t>,</w:t>
      </w:r>
      <w:r>
        <w:t xml:space="preserve"> and freshwater</w:t>
      </w:r>
      <w:r w:rsidR="00D80F05">
        <w:t xml:space="preserve"> habitats</w:t>
      </w:r>
      <w:r>
        <w:t xml:space="preserve"> and have at least moderate salinity tolerance (Williams and Williams 1991).</w:t>
      </w:r>
    </w:p>
    <w:p w14:paraId="3E39297F" w14:textId="7F2036C6" w:rsidR="00DD43D8" w:rsidRDefault="00DD43D8" w:rsidP="00C22D95">
      <w:pPr>
        <w:keepLines/>
      </w:pPr>
      <w:r>
        <w:t xml:space="preserve">Plants and animals </w:t>
      </w:r>
      <w:r w:rsidR="005419D4">
        <w:t xml:space="preserve">typically </w:t>
      </w:r>
      <w:r>
        <w:t>have a range of physiological mechanisms and adaptations to maintain the necessary balance of water and ions in cells and tissues. These abilities determine the level of sensitivity to salinity changes, with high increases in salinity being lethal to most freshwater plants and animals. For example, certain groups of insects and molluscs are particularly sensitive to small increases in salinity (Hart et al.</w:t>
      </w:r>
      <w:r w:rsidR="006845EB">
        <w:t xml:space="preserve"> </w:t>
      </w:r>
      <w:r>
        <w:t>1991). In general, the juvenile stages of both animals and plants are less tolerant of salinity than the corresponding adults; this means that the range of salinities where adult organisms occur is not a reliable indication of the range where self-sustaining, reproducing populations of those organisms can persist.</w:t>
      </w:r>
    </w:p>
    <w:p w14:paraId="508F947A" w14:textId="3601ADA1" w:rsidR="00D86B60" w:rsidRDefault="0063171F" w:rsidP="00D83E8C">
      <w:r>
        <w:t>A review of salt sensitivity of Australian freshwater biota (including microbes, plants, and a range of invertebrate and vertebrate taxa) found that biological effects are likely to occur in river, stream, and wetland ecosystems if salinity (total soluble salts) is increased to around 1 g/L</w:t>
      </w:r>
      <w:r w:rsidR="0003496C">
        <w:t xml:space="preserve"> (Heart et al. 1991 and references therein)</w:t>
      </w:r>
      <w:r>
        <w:t xml:space="preserve">. </w:t>
      </w:r>
      <w:r w:rsidR="0003496C">
        <w:t>This review also found that:</w:t>
      </w:r>
    </w:p>
    <w:p w14:paraId="33C3E07F" w14:textId="0B26EE2C" w:rsidR="00D041DA" w:rsidRDefault="0063171F" w:rsidP="0012104E">
      <w:pPr>
        <w:pStyle w:val="ListParagraph"/>
        <w:numPr>
          <w:ilvl w:val="0"/>
          <w:numId w:val="32"/>
        </w:numPr>
        <w:spacing w:before="80" w:after="80"/>
        <w:ind w:left="357" w:hanging="357"/>
        <w:contextualSpacing w:val="0"/>
      </w:pPr>
      <w:r>
        <w:t>freshwater macrophytes are not generally adapted to survive major fluctuations of salinity and water level, and many species of riparian plants are salt sensitive with adverse effects often apparent at salinities above 2 g/L (Hart et al. 1991</w:t>
      </w:r>
      <w:r w:rsidR="00813465">
        <w:t>)</w:t>
      </w:r>
      <w:r>
        <w:rPr>
          <w:rStyle w:val="FootnoteReference"/>
        </w:rPr>
        <w:footnoteReference w:id="8"/>
      </w:r>
      <w:r>
        <w:t xml:space="preserve"> </w:t>
      </w:r>
    </w:p>
    <w:p w14:paraId="0704FD42" w14:textId="752174AE" w:rsidR="00580B1C" w:rsidRDefault="0063171F" w:rsidP="0012104E">
      <w:pPr>
        <w:pStyle w:val="ListParagraph"/>
        <w:numPr>
          <w:ilvl w:val="0"/>
          <w:numId w:val="32"/>
        </w:numPr>
        <w:spacing w:before="80" w:after="80"/>
        <w:ind w:left="357" w:hanging="357"/>
        <w:contextualSpacing w:val="0"/>
      </w:pPr>
      <w:r>
        <w:t>osmoregulatory mechanisms of most freshwater invertebrates fail when animals are exposed to solutions containing salts in excess of 9 g/L</w:t>
      </w:r>
      <w:r w:rsidR="00D041DA">
        <w:t xml:space="preserve">—however </w:t>
      </w:r>
      <w:r>
        <w:t>most also experience significant deleterious effects on physiology, biochemistry</w:t>
      </w:r>
      <w:r w:rsidR="00D041DA">
        <w:t>,</w:t>
      </w:r>
      <w:r>
        <w:t xml:space="preserve"> and behaviour at far lower salt concentrations (Hart et al. 1991).</w:t>
      </w:r>
    </w:p>
    <w:p w14:paraId="4D2C202A" w14:textId="4640B9EA" w:rsidR="004D48FD" w:rsidRDefault="004D48FD" w:rsidP="004D48FD">
      <w:r>
        <w:t xml:space="preserve">Therefore, in general, most freshwater organisms live at salinities &lt; 1 g/L. Some species 'drop out' above this level, and there is a further loss of biodiversity at about 3 g/L and again at about 10 g/L (Hart et al. 1991). As an example of conditions in </w:t>
      </w:r>
      <w:r w:rsidR="00EF23AB">
        <w:t xml:space="preserve">important </w:t>
      </w:r>
      <w:r>
        <w:t xml:space="preserve">components of the ecological community, from 1978 to 1991, salinities of up to 21 g/L were recorded in tributaries which receive drainage from irrigation areas (i.e. which concentrate salt from rising groundwater), </w:t>
      </w:r>
      <w:r>
        <w:lastRenderedPageBreak/>
        <w:t>while salinity in the river itself rarely exceeded 1.2 g/L (Mackay et al. 1988 in Williams and Williams 1991).</w:t>
      </w:r>
    </w:p>
    <w:p w14:paraId="17F1EB93" w14:textId="1F862A9A" w:rsidR="00D934B6" w:rsidRDefault="008468E6" w:rsidP="008468E6">
      <w:r>
        <w:t>Given the above, it is clear that salinity plays a major role in structuring aquatic communities and influencing survival of aquatic biota and rates of many ecological process, such as organic matter decomposition and productivity (Boulton and Brock 1999). For example, salinity was found to be the main determinant of species composition within the dominant phytoplankton group of the ecological community (Tibby and Reid 2005 in Walker 2006). Concomitantly, changes in salinity may have indirect effects on the invertebrates (particularly zooplankton) that graze diatoms. T</w:t>
      </w:r>
      <w:r w:rsidRPr="00F44A68">
        <w:t xml:space="preserve">he significance of salinity in ordering </w:t>
      </w:r>
      <w:r>
        <w:t>macro</w:t>
      </w:r>
      <w:r w:rsidRPr="00F44A68">
        <w:t xml:space="preserve">invertebrate assemblages </w:t>
      </w:r>
      <w:r>
        <w:t xml:space="preserve">in the ecological community </w:t>
      </w:r>
      <w:r w:rsidRPr="00F44A68">
        <w:t xml:space="preserve">has </w:t>
      </w:r>
      <w:r>
        <w:t xml:space="preserve">also </w:t>
      </w:r>
      <w:r w:rsidRPr="00F44A68">
        <w:t xml:space="preserve">been </w:t>
      </w:r>
      <w:r>
        <w:t xml:space="preserve">well </w:t>
      </w:r>
      <w:r w:rsidRPr="00F44A68">
        <w:t xml:space="preserve">demonstrated </w:t>
      </w:r>
      <w:r w:rsidR="00D934B6">
        <w:t>by</w:t>
      </w:r>
      <w:r w:rsidRPr="00F44A68">
        <w:t xml:space="preserve"> the results of the national AUSRIVAS (Australian River Assessment System) bio</w:t>
      </w:r>
      <w:r>
        <w:t>-assessment program (Suter et al. 1993).</w:t>
      </w:r>
    </w:p>
    <w:p w14:paraId="63A1A23D" w14:textId="791D254B" w:rsidR="008468E6" w:rsidRDefault="00DC1789" w:rsidP="008468E6">
      <w:r>
        <w:t>Alternatively, s</w:t>
      </w:r>
      <w:r w:rsidR="008468E6" w:rsidRPr="00F44A68">
        <w:t xml:space="preserve">ome species are only found in </w:t>
      </w:r>
      <w:r w:rsidR="008468E6">
        <w:t xml:space="preserve">saline water, for example certain species of insect </w:t>
      </w:r>
      <w:r w:rsidR="008468E6" w:rsidRPr="00F44A68">
        <w:t>larva</w:t>
      </w:r>
      <w:r w:rsidR="008468E6">
        <w:t xml:space="preserve">e (e.g. </w:t>
      </w:r>
      <w:r w:rsidR="008468E6" w:rsidRPr="00F44A68">
        <w:t>caddis fly</w:t>
      </w:r>
      <w:r w:rsidR="008468E6">
        <w:t xml:space="preserve">, midge), water beetle (e.g. </w:t>
      </w:r>
      <w:r w:rsidR="008468E6" w:rsidRPr="001946CA">
        <w:rPr>
          <w:i/>
        </w:rPr>
        <w:t>Laccobius</w:t>
      </w:r>
      <w:r w:rsidR="008468E6">
        <w:rPr>
          <w:i/>
        </w:rPr>
        <w:t xml:space="preserve"> </w:t>
      </w:r>
      <w:r w:rsidR="008468E6" w:rsidRPr="001946CA">
        <w:rPr>
          <w:i/>
        </w:rPr>
        <w:t>zietzi</w:t>
      </w:r>
      <w:r w:rsidR="008468E6" w:rsidRPr="00D31DB0">
        <w:t>)</w:t>
      </w:r>
      <w:r w:rsidR="008468E6">
        <w:t>, segmented worm</w:t>
      </w:r>
      <w:r w:rsidR="008468E6" w:rsidRPr="00D31DB0">
        <w:t xml:space="preserve"> (e.g.</w:t>
      </w:r>
      <w:r w:rsidR="008468E6">
        <w:rPr>
          <w:i/>
        </w:rPr>
        <w:t xml:space="preserve"> Paranais l</w:t>
      </w:r>
      <w:r w:rsidR="008468E6" w:rsidRPr="00F44A68">
        <w:rPr>
          <w:i/>
        </w:rPr>
        <w:t>itorali</w:t>
      </w:r>
      <w:r w:rsidR="008468E6" w:rsidRPr="00D31DB0">
        <w:t>)</w:t>
      </w:r>
      <w:r w:rsidR="008468E6">
        <w:t>, and water snail (</w:t>
      </w:r>
      <w:r w:rsidR="008468E6" w:rsidRPr="00BF5DC5">
        <w:rPr>
          <w:i/>
        </w:rPr>
        <w:t>Coxiella</w:t>
      </w:r>
      <w:r w:rsidR="008468E6" w:rsidRPr="00D31DB0">
        <w:t>)</w:t>
      </w:r>
      <w:r w:rsidR="008468E6" w:rsidRPr="00F44A68">
        <w:t>. Though they support fewer spe</w:t>
      </w:r>
      <w:r w:rsidR="008468E6">
        <w:t>cies in total, saline streams can be</w:t>
      </w:r>
      <w:r w:rsidR="008468E6" w:rsidRPr="00F44A68">
        <w:t xml:space="preserve"> important for maintain</w:t>
      </w:r>
      <w:r w:rsidR="008468E6">
        <w:t>ing genetic diversity</w:t>
      </w:r>
      <w:r w:rsidR="00CC2832">
        <w:t>. Along with estuarine regions, these</w:t>
      </w:r>
      <w:r w:rsidR="008468E6">
        <w:t xml:space="preserve"> </w:t>
      </w:r>
      <w:r w:rsidR="00CC2832">
        <w:t>can be</w:t>
      </w:r>
      <w:r w:rsidR="008468E6" w:rsidRPr="00F44A68">
        <w:t xml:space="preserve"> significant habitats for biodiversity conservation with</w:t>
      </w:r>
      <w:r w:rsidR="008468E6">
        <w:t xml:space="preserve">in the region of the ecological </w:t>
      </w:r>
      <w:r w:rsidR="008468E6" w:rsidRPr="00F44A68">
        <w:t xml:space="preserve">community. </w:t>
      </w:r>
      <w:r w:rsidR="008468E6">
        <w:t>For example, saline wetlands can, at times, provide important refuges and food sources for waterbirds (Suter et al. 1993).</w:t>
      </w:r>
    </w:p>
    <w:p w14:paraId="3944D10C" w14:textId="6E2C95CB" w:rsidR="007666EF" w:rsidRDefault="00F55115" w:rsidP="00F55115">
      <w:r>
        <w:t>Up until the 1980s, salinity and water level were the two key drivers in the ecology of the Coorong lagoons (Paton, 2010). Salinities typically increase along the Coorong from north to south, and vary seasonally and annually depending on flows to the Murray Mouth</w:t>
      </w:r>
      <w:r w:rsidR="007666EF">
        <w:t xml:space="preserve">. Some example records </w:t>
      </w:r>
      <w:r w:rsidR="001D2916">
        <w:t xml:space="preserve">from this period </w:t>
      </w:r>
      <w:r w:rsidR="007666EF">
        <w:t>include:</w:t>
      </w:r>
    </w:p>
    <w:p w14:paraId="73CD9859" w14:textId="123B1747" w:rsidR="007666EF" w:rsidRDefault="00F55115" w:rsidP="0012104E">
      <w:pPr>
        <w:pStyle w:val="ListParagraph"/>
        <w:numPr>
          <w:ilvl w:val="0"/>
          <w:numId w:val="33"/>
        </w:numPr>
        <w:spacing w:before="80" w:after="80"/>
        <w:ind w:left="357" w:hanging="357"/>
        <w:contextualSpacing w:val="0"/>
      </w:pPr>
      <w:r>
        <w:t xml:space="preserve">North </w:t>
      </w:r>
      <w:r w:rsidR="007666EF">
        <w:t>L</w:t>
      </w:r>
      <w:r>
        <w:t xml:space="preserve">agoon: 20–80 g/L </w:t>
      </w:r>
      <w:r w:rsidR="007666EF">
        <w:t xml:space="preserve">from </w:t>
      </w:r>
      <w:r>
        <w:t xml:space="preserve">1981–83 </w:t>
      </w:r>
      <w:r w:rsidR="007666EF">
        <w:t>(</w:t>
      </w:r>
      <w:r>
        <w:t>Geddes and Butler 1984</w:t>
      </w:r>
      <w:r w:rsidR="007666EF">
        <w:t>)</w:t>
      </w:r>
      <w:r>
        <w:t xml:space="preserve">; 5–35 g/L </w:t>
      </w:r>
      <w:r w:rsidR="007666EF">
        <w:t xml:space="preserve"> in 1987 (Geddes </w:t>
      </w:r>
      <w:r>
        <w:t>1987</w:t>
      </w:r>
      <w:r w:rsidR="007666EF">
        <w:t>)</w:t>
      </w:r>
    </w:p>
    <w:p w14:paraId="6DAAFB3A" w14:textId="3F7B8E26" w:rsidR="00832EA8" w:rsidRDefault="00F55115" w:rsidP="0012104E">
      <w:pPr>
        <w:pStyle w:val="ListParagraph"/>
        <w:numPr>
          <w:ilvl w:val="0"/>
          <w:numId w:val="33"/>
        </w:numPr>
        <w:spacing w:before="120" w:after="120"/>
        <w:ind w:left="357" w:hanging="357"/>
        <w:contextualSpacing w:val="0"/>
      </w:pPr>
      <w:r>
        <w:t xml:space="preserve">South Lagoon: up to 80–120+ g/L </w:t>
      </w:r>
      <w:r w:rsidR="001D2916">
        <w:t>(</w:t>
      </w:r>
      <w:r>
        <w:t>same studies</w:t>
      </w:r>
      <w:r w:rsidR="001D2916">
        <w:t xml:space="preserve"> as above</w:t>
      </w:r>
      <w:r>
        <w:t>).</w:t>
      </w:r>
    </w:p>
    <w:p w14:paraId="1E2699FE" w14:textId="020915F6" w:rsidR="001852F0" w:rsidRDefault="00F55115" w:rsidP="00832EA8">
      <w:pPr>
        <w:spacing w:before="120" w:after="120"/>
      </w:pPr>
      <w:r>
        <w:t xml:space="preserve">Aquatic invertebrates and fish are influenced by this salinity gradient, with species richness declining progressively as salinity increases (Paton 2010 and references therein). Most estuarine species can tolerate salinities up to about 5–60g/L. Only a few species can tolerate higher salinities (i.e. hypersaline conditions), for example: </w:t>
      </w:r>
      <w:r w:rsidRPr="00832EA8">
        <w:rPr>
          <w:i/>
        </w:rPr>
        <w:t xml:space="preserve">Capitella </w:t>
      </w:r>
      <w:r>
        <w:t xml:space="preserve">(polychaete), </w:t>
      </w:r>
      <w:r w:rsidRPr="00832EA8">
        <w:rPr>
          <w:i/>
        </w:rPr>
        <w:t>Salinator</w:t>
      </w:r>
      <w:r>
        <w:t xml:space="preserve"> (gastropod), dipteran larvae such as </w:t>
      </w:r>
      <w:r w:rsidRPr="00832EA8">
        <w:rPr>
          <w:i/>
        </w:rPr>
        <w:t>Tanytarsus barbitarsis</w:t>
      </w:r>
      <w:r>
        <w:t xml:space="preserve"> (chironomid or midge) and </w:t>
      </w:r>
      <w:r w:rsidRPr="00832EA8">
        <w:rPr>
          <w:i/>
        </w:rPr>
        <w:t xml:space="preserve">Ephydrella </w:t>
      </w:r>
      <w:r>
        <w:t xml:space="preserve">sp. (brine fly), </w:t>
      </w:r>
      <w:r w:rsidRPr="00832EA8">
        <w:rPr>
          <w:i/>
        </w:rPr>
        <w:t>Haloniscus searlei</w:t>
      </w:r>
      <w:r>
        <w:t xml:space="preserve"> (isopod), </w:t>
      </w:r>
      <w:r w:rsidRPr="00832EA8">
        <w:rPr>
          <w:i/>
        </w:rPr>
        <w:t>Diacypris compacta</w:t>
      </w:r>
      <w:r>
        <w:t xml:space="preserve"> (ostracod) and small mouthed hardyhead.</w:t>
      </w:r>
    </w:p>
    <w:p w14:paraId="301311B4" w14:textId="599109B2" w:rsidR="00F55115" w:rsidRDefault="00F55115" w:rsidP="00832EA8">
      <w:pPr>
        <w:spacing w:before="120" w:after="120"/>
      </w:pPr>
      <w:r>
        <w:t>Importantly, while many faunal species are able to shift their distribution moderately quickly in response to changes in salinity and water levels (unless prevented by infrastructure), most aquatic plants do not have this capacity (Paton 2010). Submerged and emergent aquatic plants provide important habitat for a range of invertebrates and fish and food for waterbirds. The response of aquatic plants to salinity and water level changes is particularly critical to the ecological health of the Coorong component of the ecological community (</w:t>
      </w:r>
      <w:r w:rsidR="0093660D">
        <w:t xml:space="preserve">e.g. </w:t>
      </w:r>
      <w:r>
        <w:t>Paton 2010).</w:t>
      </w:r>
    </w:p>
    <w:p w14:paraId="16F3699D" w14:textId="082CAB69" w:rsidR="001F1CEB" w:rsidRPr="009610C1" w:rsidRDefault="001F1CEB" w:rsidP="006E2204">
      <w:pPr>
        <w:pStyle w:val="Heading4"/>
      </w:pPr>
      <w:r w:rsidRPr="009610C1">
        <w:t xml:space="preserve">Resilience </w:t>
      </w:r>
      <w:r w:rsidR="00A5396A" w:rsidRPr="009610C1">
        <w:t>via</w:t>
      </w:r>
      <w:r w:rsidRPr="009610C1">
        <w:t xml:space="preserve"> Dormancy and Refugia</w:t>
      </w:r>
    </w:p>
    <w:p w14:paraId="79B75367" w14:textId="648A2120" w:rsidR="008000F2" w:rsidRDefault="001F1CEB" w:rsidP="001F1CEB">
      <w:r>
        <w:t xml:space="preserve">Resilience is the capacity of an ecosystem to resist disturbance, maintain core functions, and recover to some form of equilibrium state afterwards (Colloff and Baldwin 2010 and references therein). Many </w:t>
      </w:r>
      <w:r w:rsidR="00A5396A">
        <w:t xml:space="preserve">aquatic </w:t>
      </w:r>
      <w:r>
        <w:t>species are adapted to cope with the natural variability of flow and climate, with some species more tolerant and resilient than others. For example, m</w:t>
      </w:r>
      <w:r w:rsidRPr="00AB0EC4">
        <w:t>any aquatic plant species have a long-lived seed bank that can cope with periods of</w:t>
      </w:r>
      <w:r>
        <w:t xml:space="preserve"> dryness and successive </w:t>
      </w:r>
      <w:r>
        <w:lastRenderedPageBreak/>
        <w:t>wetting-</w:t>
      </w:r>
      <w:r w:rsidRPr="00AB0EC4">
        <w:t>drying cycles</w:t>
      </w:r>
      <w:r>
        <w:t>,</w:t>
      </w:r>
      <w:r w:rsidRPr="00AB0EC4">
        <w:t xml:space="preserve"> which allows species to re-establish after dry periods (Brock </w:t>
      </w:r>
      <w:r>
        <w:t>1994, 1998</w:t>
      </w:r>
      <w:r w:rsidRPr="00AB0EC4">
        <w:t>).</w:t>
      </w:r>
      <w:r>
        <w:t xml:space="preserve"> Similarly,</w:t>
      </w:r>
      <w:r w:rsidR="00F05BCA">
        <w:t xml:space="preserve"> </w:t>
      </w:r>
      <w:r w:rsidR="008000F2">
        <w:t xml:space="preserve">aquatic </w:t>
      </w:r>
      <w:r>
        <w:t xml:space="preserve">animals </w:t>
      </w:r>
      <w:r w:rsidR="00110200">
        <w:t xml:space="preserve">may </w:t>
      </w:r>
      <w:r w:rsidR="008000F2">
        <w:t>exhibit several strategies, such as:</w:t>
      </w:r>
    </w:p>
    <w:p w14:paraId="44D43DDD" w14:textId="77777777" w:rsidR="008000F2" w:rsidRDefault="001F1CEB" w:rsidP="0012104E">
      <w:pPr>
        <w:pStyle w:val="ListParagraph"/>
        <w:numPr>
          <w:ilvl w:val="0"/>
          <w:numId w:val="34"/>
        </w:numPr>
        <w:spacing w:before="80" w:after="80"/>
        <w:ind w:left="357" w:hanging="357"/>
        <w:contextualSpacing w:val="0"/>
      </w:pPr>
      <w:r>
        <w:t>drought-resistant stages in the life-cycle</w:t>
      </w:r>
      <w:r w:rsidR="008000F2">
        <w:t>,</w:t>
      </w:r>
      <w:r>
        <w:t xml:space="preserve"> </w:t>
      </w:r>
      <w:r w:rsidR="009A64CF">
        <w:t>such as</w:t>
      </w:r>
      <w:r>
        <w:t xml:space="preserve"> dormant eggs</w:t>
      </w:r>
      <w:r w:rsidR="00F7666D">
        <w:t xml:space="preserve"> </w:t>
      </w:r>
      <w:r w:rsidR="009A64CF">
        <w:t>(Newton</w:t>
      </w:r>
      <w:r w:rsidR="00F7666D">
        <w:t xml:space="preserve"> &amp; Mitchell</w:t>
      </w:r>
      <w:r w:rsidR="009A64CF">
        <w:t xml:space="preserve"> 199</w:t>
      </w:r>
      <w:r w:rsidR="00F7666D">
        <w:t>9</w:t>
      </w:r>
      <w:r>
        <w:t>)</w:t>
      </w:r>
    </w:p>
    <w:p w14:paraId="67F47031" w14:textId="1DB8E8A6" w:rsidR="00BB328E" w:rsidRDefault="00110200" w:rsidP="0012104E">
      <w:pPr>
        <w:pStyle w:val="ListParagraph"/>
        <w:numPr>
          <w:ilvl w:val="0"/>
          <w:numId w:val="34"/>
        </w:numPr>
        <w:spacing w:before="80" w:after="80"/>
        <w:ind w:left="357" w:hanging="357"/>
        <w:contextualSpacing w:val="0"/>
      </w:pPr>
      <w:r>
        <w:t xml:space="preserve">a </w:t>
      </w:r>
      <w:r w:rsidR="001F1CEB">
        <w:t>physiological capacity for diapause</w:t>
      </w:r>
      <w:r w:rsidR="001F1CEB">
        <w:rPr>
          <w:rStyle w:val="FootnoteReference"/>
        </w:rPr>
        <w:footnoteReference w:id="9"/>
      </w:r>
      <w:r w:rsidR="001F1CEB">
        <w:t xml:space="preserve"> (Boulton and Lloyd 1992</w:t>
      </w:r>
      <w:r w:rsidR="00BB328E">
        <w:t xml:space="preserve">; </w:t>
      </w:r>
      <w:r w:rsidR="001F1CEB">
        <w:t>Brock et al. 2003)</w:t>
      </w:r>
    </w:p>
    <w:p w14:paraId="07096F4B" w14:textId="319C1CCA" w:rsidR="00BB328E" w:rsidRDefault="001F1CEB" w:rsidP="0012104E">
      <w:pPr>
        <w:pStyle w:val="ListParagraph"/>
        <w:numPr>
          <w:ilvl w:val="0"/>
          <w:numId w:val="34"/>
        </w:numPr>
        <w:spacing w:before="120" w:after="120"/>
        <w:ind w:left="357" w:hanging="357"/>
        <w:contextualSpacing w:val="0"/>
      </w:pPr>
      <w:r>
        <w:t>adopt</w:t>
      </w:r>
      <w:r w:rsidR="00BB328E">
        <w:t>ing</w:t>
      </w:r>
      <w:r>
        <w:t xml:space="preserve"> highly mobile strategies </w:t>
      </w:r>
      <w:r w:rsidR="00106339">
        <w:t>that enable the</w:t>
      </w:r>
      <w:r>
        <w:t xml:space="preserve"> track</w:t>
      </w:r>
      <w:r w:rsidR="00106339">
        <w:t>ing of</w:t>
      </w:r>
      <w:r>
        <w:t xml:space="preserve"> scarce resources (e.g. waterbirds).</w:t>
      </w:r>
    </w:p>
    <w:p w14:paraId="13277CE3" w14:textId="0A0C2543" w:rsidR="001F1CEB" w:rsidRDefault="001F1CEB" w:rsidP="005659BD">
      <w:pPr>
        <w:keepLines/>
        <w:spacing w:before="120" w:after="120"/>
      </w:pPr>
      <w:r>
        <w:t>For example, many floodplain snails are capable of aestivation</w:t>
      </w:r>
      <w:r>
        <w:rPr>
          <w:rStyle w:val="FootnoteReference"/>
        </w:rPr>
        <w:footnoteReference w:id="10"/>
      </w:r>
      <w:r>
        <w:t xml:space="preserve"> (Walker 1998). Dormant aquatic plant seeds (or vegetative propagules) and eggs of zooplankton (e.g. rotifers, ostracods, cladocerans, copepods) exist in substantial numbers in temporary wetland sediments, and seed and egg banks have been shown to be long-lived (Williams 1985; </w:t>
      </w:r>
      <w:r w:rsidR="001A7F0C">
        <w:t>Newton &amp; Mitchell</w:t>
      </w:r>
      <w:r w:rsidR="007E3456">
        <w:t xml:space="preserve"> </w:t>
      </w:r>
      <w:r w:rsidR="009610C1">
        <w:t>19</w:t>
      </w:r>
      <w:r w:rsidR="005A687A">
        <w:t xml:space="preserve">99 </w:t>
      </w:r>
      <w:r w:rsidR="007E3456">
        <w:t xml:space="preserve">and references therein; </w:t>
      </w:r>
      <w:r>
        <w:t>Neilson et al. 2000; Brock et al. 2003 and references therein). These dormant stages provide not only refuge from drying but also a means of maintaining genetic, phenotypic, species and community diversity (Brock et al. 2003 and references therein). As such, many species of zooplankton</w:t>
      </w:r>
      <w:r w:rsidR="005879E0">
        <w:t xml:space="preserve">, </w:t>
      </w:r>
      <w:r w:rsidR="001674CB">
        <w:t>other invertebrat</w:t>
      </w:r>
      <w:r w:rsidR="005879E0">
        <w:t>e</w:t>
      </w:r>
      <w:r w:rsidR="001674CB">
        <w:t>s</w:t>
      </w:r>
      <w:r w:rsidR="005879E0">
        <w:t>,</w:t>
      </w:r>
      <w:r>
        <w:t xml:space="preserve"> and aquatic plants recover after the disturbance of drying by means of specific patterns of dormancy, dormancy breakage (e.g. staged hatching or germination), </w:t>
      </w:r>
      <w:r w:rsidR="00A322E6">
        <w:t>re-</w:t>
      </w:r>
      <w:r>
        <w:t>establishment</w:t>
      </w:r>
      <w:r w:rsidR="001674CB">
        <w:t>,</w:t>
      </w:r>
      <w:r>
        <w:t xml:space="preserve"> and reproduction.</w:t>
      </w:r>
    </w:p>
    <w:p w14:paraId="6CEEC390" w14:textId="21480257" w:rsidR="001F1CEB" w:rsidRDefault="001F1CEB" w:rsidP="001F1CEB">
      <w:r>
        <w:t>Multiple generations in egg and seed banks, and complexity of environmental cues for dormancy breakage</w:t>
      </w:r>
      <w:r w:rsidR="00A322E6">
        <w:t xml:space="preserve"> (</w:t>
      </w:r>
      <w:r w:rsidR="00AF5938">
        <w:t>e.g</w:t>
      </w:r>
      <w:r w:rsidR="00A322E6">
        <w:t>. diapause versus quiescence, see Newton &amp; Mitchell 1999)</w:t>
      </w:r>
      <w:r>
        <w:t xml:space="preserve">, facilitate </w:t>
      </w:r>
      <w:r w:rsidR="00AD120C">
        <w:t xml:space="preserve">ecological </w:t>
      </w:r>
      <w:r>
        <w:t>community recovery on flooding of a temporary wetland following a drying event. However, this capacity can become compromised</w:t>
      </w:r>
      <w:r w:rsidR="001D2514">
        <w:t>,</w:t>
      </w:r>
      <w:r>
        <w:t xml:space="preserve"> as </w:t>
      </w:r>
      <w:r w:rsidR="001D2514">
        <w:t xml:space="preserve">changes to </w:t>
      </w:r>
      <w:r>
        <w:t>the water regime will select for different components of the ecological community, and thus modify future seed/egg bank replenishment. For example</w:t>
      </w:r>
      <w:r w:rsidR="00E31108">
        <w:t>,</w:t>
      </w:r>
      <w:r>
        <w:t xml:space="preserve"> more permanent flooding (i.e. loss of drying) removes one of the cues necessary to trigger hatching of some zooplankton species, and long-term loss of flooding </w:t>
      </w:r>
      <w:r w:rsidR="00AD120C">
        <w:t xml:space="preserve">can </w:t>
      </w:r>
      <w:r>
        <w:t>result in the loss of viability of eggs, which in turn leads to a loss of biodiversity (Neilsen et al. 2000; Brock et al. 2003).</w:t>
      </w:r>
    </w:p>
    <w:p w14:paraId="1ED166DF" w14:textId="01EF3C5E" w:rsidR="001F1CEB" w:rsidRDefault="001F1CEB" w:rsidP="001F1CEB">
      <w:r>
        <w:t xml:space="preserve">Disturbed environments often favour opportunistic species that recover rapidly through vegetative </w:t>
      </w:r>
      <w:r w:rsidR="0064645D">
        <w:t xml:space="preserve">(plants) </w:t>
      </w:r>
      <w:r w:rsidR="00FE348E">
        <w:t xml:space="preserve">or r-selected </w:t>
      </w:r>
      <w:r w:rsidR="0064645D">
        <w:t xml:space="preserve">(animals) </w:t>
      </w:r>
      <w:r>
        <w:t>growth, indicating low resilience at the community scale and high resilience at the species scale (Hughes 1990 in Walker et al. 1994). Thus</w:t>
      </w:r>
      <w:r w:rsidR="00E31108">
        <w:t>,</w:t>
      </w:r>
      <w:r>
        <w:t xml:space="preserve"> the effects of water regime alterations on the survival and composition of seed and egg banks has important implications for the composition and functionality of the</w:t>
      </w:r>
      <w:r w:rsidR="008B2796">
        <w:t xml:space="preserve"> RMDS </w:t>
      </w:r>
      <w:r>
        <w:t xml:space="preserve"> ecological community. Maintaining a variety of hydrological patterns and wetland types across the landscape will enhance system resilience and biodiversity</w:t>
      </w:r>
      <w:r w:rsidR="00F23270">
        <w:t xml:space="preserve"> (at both the genetic and species levels)</w:t>
      </w:r>
      <w:r>
        <w:t>.</w:t>
      </w:r>
    </w:p>
    <w:p w14:paraId="6063E653" w14:textId="57CB7DF0" w:rsidR="00AD6055" w:rsidRDefault="002370FB" w:rsidP="002370FB">
      <w:r>
        <w:t>Species may also seek refuge from disturbance if suitable areas exist nearby (i.e. refugia</w:t>
      </w:r>
      <w:r>
        <w:rPr>
          <w:rStyle w:val="FootnoteReference"/>
        </w:rPr>
        <w:footnoteReference w:id="11"/>
      </w:r>
      <w:r>
        <w:t xml:space="preserve">) and recolonise their previous habitat once the disturbance has passed. Refuges (or refugia) are </w:t>
      </w:r>
      <w:r w:rsidR="00AD6055">
        <w:t>sites</w:t>
      </w:r>
      <w:r>
        <w:t xml:space="preserve"> that are secure from one or more disturbances.  They support populations of plants and animals </w:t>
      </w:r>
      <w:r w:rsidR="00AD6055">
        <w:t>while un</w:t>
      </w:r>
      <w:r>
        <w:t>able to live elsewhere in the surrounding landscape</w:t>
      </w:r>
      <w:r w:rsidR="00AD6055">
        <w:t>;</w:t>
      </w:r>
      <w:r>
        <w:t xml:space="preserve"> t</w:t>
      </w:r>
      <w:r w:rsidRPr="00BE72B7">
        <w:t>hey are a source of colonists for the wider landscape once a disturbance is past (e.g. Robson et al. 2008).</w:t>
      </w:r>
    </w:p>
    <w:p w14:paraId="50454FC4" w14:textId="1EFC747E" w:rsidR="002370FB" w:rsidRDefault="002370FB" w:rsidP="002370FB">
      <w:r>
        <w:lastRenderedPageBreak/>
        <w:t>Access to r</w:t>
      </w:r>
      <w:r w:rsidRPr="00676326">
        <w:t>e</w:t>
      </w:r>
      <w:r>
        <w:t xml:space="preserve">fugia contributes to the </w:t>
      </w:r>
      <w:r w:rsidRPr="00676326">
        <w:t>resilience</w:t>
      </w:r>
      <w:r>
        <w:t xml:space="preserve"> of </w:t>
      </w:r>
      <w:r w:rsidR="008B2796">
        <w:t>the RMDS</w:t>
      </w:r>
      <w:r>
        <w:t xml:space="preserve"> ecological community</w:t>
      </w:r>
      <w:r w:rsidRPr="00676326">
        <w:t>.</w:t>
      </w:r>
      <w:r>
        <w:t xml:space="preserve"> </w:t>
      </w:r>
      <w:r w:rsidR="003D2135">
        <w:t>The availability of r</w:t>
      </w:r>
      <w:r>
        <w:t>efuges depend on the nature, scale</w:t>
      </w:r>
      <w:r w:rsidR="003D2135">
        <w:t>,</w:t>
      </w:r>
      <w:r>
        <w:t xml:space="preserve"> and timing of a disturbance</w:t>
      </w:r>
      <w:r w:rsidR="001F25FC">
        <w:t>. It</w:t>
      </w:r>
      <w:r>
        <w:t xml:space="preserve"> will </w:t>
      </w:r>
      <w:r w:rsidR="001F25FC">
        <w:t xml:space="preserve">also </w:t>
      </w:r>
      <w:r>
        <w:t>vary from species to species</w:t>
      </w:r>
      <w:r w:rsidR="001F25FC">
        <w:t xml:space="preserve">, </w:t>
      </w:r>
      <w:r>
        <w:t xml:space="preserve">depending on various factors including life history traits and the extent of dependence on an aquatic environment. For example, refuges are critical to </w:t>
      </w:r>
      <w:r w:rsidR="00831EAF">
        <w:t xml:space="preserve">the </w:t>
      </w:r>
      <w:r>
        <w:t xml:space="preserve">recovery </w:t>
      </w:r>
      <w:r w:rsidR="00831EAF">
        <w:t>of</w:t>
      </w:r>
      <w:r>
        <w:t xml:space="preserve"> macroinvertebrates from drought and drying </w:t>
      </w:r>
      <w:r w:rsidR="00EE20F8">
        <w:t>of</w:t>
      </w:r>
      <w:r>
        <w:t xml:space="preserve"> streams, including the use of sheltering (e.g. below cobbles, in debris, or among macrophytes) or by penetrating the hyporheic</w:t>
      </w:r>
      <w:r>
        <w:rPr>
          <w:rStyle w:val="FootnoteReference"/>
        </w:rPr>
        <w:footnoteReference w:id="12"/>
      </w:r>
      <w:r>
        <w:t xml:space="preserve"> zone (Boulton 2003 and references therein). Yabbies may take refuge in burrows beneath the wetland during the inter-flood dry period (Williams 1985). In general, two types of places provide refuge for a wide range of plants and animals (and see </w:t>
      </w:r>
      <w:r w:rsidRPr="007F4A93">
        <w:rPr>
          <w:u w:val="single"/>
        </w:rPr>
        <w:t xml:space="preserve">Table </w:t>
      </w:r>
      <w:r w:rsidR="00BF5BEC" w:rsidRPr="007F4A93">
        <w:rPr>
          <w:u w:val="single"/>
        </w:rPr>
        <w:t>2</w:t>
      </w:r>
      <w:r w:rsidR="007F4A93" w:rsidRPr="007F4A93">
        <w:rPr>
          <w:u w:val="single"/>
        </w:rPr>
        <w:t>2</w:t>
      </w:r>
      <w:r>
        <w:t xml:space="preserve"> for specific refuges for different organisms):</w:t>
      </w:r>
    </w:p>
    <w:p w14:paraId="0E11EF1E" w14:textId="77777777" w:rsidR="002370FB" w:rsidRDefault="002370FB" w:rsidP="0012104E">
      <w:pPr>
        <w:pStyle w:val="ListParagraph"/>
        <w:numPr>
          <w:ilvl w:val="0"/>
          <w:numId w:val="35"/>
        </w:numPr>
        <w:spacing w:before="80" w:after="80"/>
        <w:ind w:left="714" w:hanging="357"/>
        <w:contextualSpacing w:val="0"/>
      </w:pPr>
      <w:r w:rsidRPr="00A82AAD">
        <w:t>places where the natural water regime is maintained, and</w:t>
      </w:r>
    </w:p>
    <w:p w14:paraId="610F0E5D" w14:textId="77777777" w:rsidR="002370FB" w:rsidRDefault="002370FB" w:rsidP="0012104E">
      <w:pPr>
        <w:pStyle w:val="ListParagraph"/>
        <w:numPr>
          <w:ilvl w:val="0"/>
          <w:numId w:val="35"/>
        </w:numPr>
        <w:spacing w:before="120" w:after="120"/>
        <w:ind w:left="714" w:hanging="357"/>
        <w:contextualSpacing w:val="0"/>
      </w:pPr>
      <w:r w:rsidRPr="00A82AAD">
        <w:t>places where natural water-riparian zone interactions are maintained.</w:t>
      </w:r>
    </w:p>
    <w:p w14:paraId="19A6F608" w14:textId="34AB3755" w:rsidR="002370FB" w:rsidRDefault="002370FB" w:rsidP="00D22FC8">
      <w:pPr>
        <w:pStyle w:val="ListBullet"/>
        <w:spacing w:before="120" w:after="120"/>
      </w:pPr>
      <w:r w:rsidRPr="00383DBE">
        <w:t>The number of viable refuges that survive a disturbance governs t</w:t>
      </w:r>
      <w:r>
        <w:t>he rate and success of recover</w:t>
      </w:r>
      <w:r w:rsidR="00D22FC8">
        <w:t>y</w:t>
      </w:r>
      <w:r>
        <w:t xml:space="preserve"> </w:t>
      </w:r>
      <w:r w:rsidRPr="00383DBE">
        <w:t>for the various components of the ecological community (</w:t>
      </w:r>
      <w:r w:rsidR="00BA73D0">
        <w:t xml:space="preserve">e.g. </w:t>
      </w:r>
      <w:r w:rsidRPr="00383DBE">
        <w:t>Robson et al. 2008).</w:t>
      </w:r>
    </w:p>
    <w:p w14:paraId="371BF4FC" w14:textId="37FBF753" w:rsidR="00A76A19" w:rsidRPr="00B61001" w:rsidRDefault="00643197" w:rsidP="00643197">
      <w:pPr>
        <w:pStyle w:val="Caption"/>
        <w:rPr>
          <w:szCs w:val="22"/>
        </w:rPr>
      </w:pPr>
      <w:r>
        <w:t xml:space="preserve">Table </w:t>
      </w:r>
      <w:r>
        <w:fldChar w:fldCharType="begin"/>
      </w:r>
      <w:r>
        <w:instrText xml:space="preserve"> SEQ Table \* ARABIC </w:instrText>
      </w:r>
      <w:r>
        <w:fldChar w:fldCharType="separate"/>
      </w:r>
      <w:r w:rsidR="006D35C5">
        <w:rPr>
          <w:noProof/>
        </w:rPr>
        <w:t>22</w:t>
      </w:r>
      <w:r>
        <w:fldChar w:fldCharType="end"/>
      </w:r>
      <w:r w:rsidR="00A76A19" w:rsidRPr="00085515">
        <w:rPr>
          <w:szCs w:val="22"/>
        </w:rPr>
        <w:t xml:space="preserve">: </w:t>
      </w:r>
      <w:r w:rsidR="00CB075D" w:rsidRPr="00B61001">
        <w:rPr>
          <w:szCs w:val="22"/>
        </w:rPr>
        <w:t>Examples of s</w:t>
      </w:r>
      <w:r w:rsidR="00A76A19" w:rsidRPr="00B61001">
        <w:rPr>
          <w:szCs w:val="22"/>
        </w:rPr>
        <w:t xml:space="preserve">pecific refuges for different </w:t>
      </w:r>
      <w:r w:rsidR="00E26801" w:rsidRPr="00B61001">
        <w:rPr>
          <w:szCs w:val="22"/>
        </w:rPr>
        <w:t xml:space="preserve">aquatic </w:t>
      </w:r>
      <w:r w:rsidR="00A76A19" w:rsidRPr="00B61001">
        <w:rPr>
          <w:szCs w:val="22"/>
        </w:rPr>
        <w:t>organisms (source: Robson et al. 2008).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144"/>
        <w:gridCol w:w="5521"/>
      </w:tblGrid>
      <w:tr w:rsidR="00E40E5C" w14:paraId="412D3F6E" w14:textId="77777777" w:rsidTr="00B61001">
        <w:trPr>
          <w:trHeight w:hRule="exact" w:val="454"/>
        </w:trPr>
        <w:tc>
          <w:tcPr>
            <w:tcW w:w="770" w:type="pct"/>
            <w:vMerge w:val="restart"/>
            <w:shd w:val="clear" w:color="auto" w:fill="D9D9D9" w:themeFill="background1" w:themeFillShade="D9"/>
          </w:tcPr>
          <w:p w14:paraId="3C26FF4E" w14:textId="77777777" w:rsidR="00E40E5C" w:rsidRPr="003E300F" w:rsidRDefault="00E40E5C" w:rsidP="00CD5901">
            <w:pPr>
              <w:pStyle w:val="tableheadertext"/>
            </w:pPr>
            <w:r w:rsidRPr="003E300F">
              <w:t>Plants</w:t>
            </w:r>
          </w:p>
        </w:tc>
        <w:tc>
          <w:tcPr>
            <w:tcW w:w="1183" w:type="pct"/>
          </w:tcPr>
          <w:p w14:paraId="3F1D1A85" w14:textId="77777777" w:rsidR="00E40E5C" w:rsidRPr="00624F30" w:rsidRDefault="00E40E5C" w:rsidP="00314679">
            <w:pPr>
              <w:pStyle w:val="tabletext1"/>
              <w:spacing w:after="0"/>
              <w:ind w:left="0"/>
              <w:rPr>
                <w:rFonts w:ascii="Cambria" w:hAnsi="Cambria"/>
              </w:rPr>
            </w:pPr>
            <w:r w:rsidRPr="00624F30">
              <w:rPr>
                <w:rFonts w:ascii="Cambria" w:hAnsi="Cambria"/>
              </w:rPr>
              <w:t>Algae</w:t>
            </w:r>
          </w:p>
        </w:tc>
        <w:tc>
          <w:tcPr>
            <w:tcW w:w="3047" w:type="pct"/>
          </w:tcPr>
          <w:p w14:paraId="199C9985"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dry stones, dry biofilm, dry leaf packs, perennial pools</w:t>
            </w:r>
          </w:p>
          <w:p w14:paraId="5A8F2938" w14:textId="77777777" w:rsidR="00624F30" w:rsidRPr="00B61001" w:rsidRDefault="00624F30" w:rsidP="00314679">
            <w:pPr>
              <w:pStyle w:val="tabletext1"/>
              <w:spacing w:after="0"/>
              <w:ind w:left="0"/>
              <w:rPr>
                <w:rFonts w:ascii="Cambria" w:hAnsi="Cambria"/>
                <w:sz w:val="20"/>
                <w:szCs w:val="20"/>
              </w:rPr>
            </w:pPr>
          </w:p>
        </w:tc>
      </w:tr>
      <w:tr w:rsidR="00E40E5C" w14:paraId="2798DAEC" w14:textId="77777777" w:rsidTr="00B61001">
        <w:trPr>
          <w:trHeight w:hRule="exact" w:val="454"/>
        </w:trPr>
        <w:tc>
          <w:tcPr>
            <w:tcW w:w="770" w:type="pct"/>
            <w:vMerge/>
            <w:shd w:val="clear" w:color="auto" w:fill="D9D9D9" w:themeFill="background1" w:themeFillShade="D9"/>
          </w:tcPr>
          <w:p w14:paraId="7FE742FD" w14:textId="77777777" w:rsidR="00E40E5C" w:rsidRPr="003E300F" w:rsidRDefault="00E40E5C" w:rsidP="00CD5901">
            <w:pPr>
              <w:pStyle w:val="tableheadertext"/>
            </w:pPr>
          </w:p>
        </w:tc>
        <w:tc>
          <w:tcPr>
            <w:tcW w:w="1183" w:type="pct"/>
          </w:tcPr>
          <w:p w14:paraId="6601D08E" w14:textId="77777777" w:rsidR="00E40E5C" w:rsidRPr="00624F30" w:rsidRDefault="00E40E5C" w:rsidP="00314679">
            <w:pPr>
              <w:pStyle w:val="tabletext1"/>
              <w:spacing w:after="0"/>
              <w:ind w:left="0"/>
              <w:rPr>
                <w:rFonts w:ascii="Cambria" w:hAnsi="Cambria"/>
              </w:rPr>
            </w:pPr>
            <w:r w:rsidRPr="00624F30">
              <w:rPr>
                <w:rFonts w:ascii="Cambria" w:hAnsi="Cambria"/>
              </w:rPr>
              <w:t>Macrophytes</w:t>
            </w:r>
          </w:p>
        </w:tc>
        <w:tc>
          <w:tcPr>
            <w:tcW w:w="3047" w:type="pct"/>
          </w:tcPr>
          <w:p w14:paraId="18F359C9"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soil where seed banks reside</w:t>
            </w:r>
          </w:p>
          <w:p w14:paraId="6EAAC01C" w14:textId="77777777" w:rsidR="00624F30" w:rsidRPr="00B61001" w:rsidRDefault="00624F30" w:rsidP="00314679">
            <w:pPr>
              <w:pStyle w:val="tabletext1"/>
              <w:spacing w:after="0"/>
              <w:ind w:left="0"/>
              <w:rPr>
                <w:rFonts w:ascii="Cambria" w:hAnsi="Cambria"/>
                <w:sz w:val="20"/>
                <w:szCs w:val="20"/>
              </w:rPr>
            </w:pPr>
          </w:p>
        </w:tc>
      </w:tr>
      <w:tr w:rsidR="00E40E5C" w14:paraId="65A81CFB" w14:textId="77777777" w:rsidTr="00B61001">
        <w:trPr>
          <w:trHeight w:hRule="exact" w:val="849"/>
        </w:trPr>
        <w:tc>
          <w:tcPr>
            <w:tcW w:w="770" w:type="pct"/>
            <w:vMerge/>
            <w:shd w:val="clear" w:color="auto" w:fill="D9D9D9" w:themeFill="background1" w:themeFillShade="D9"/>
          </w:tcPr>
          <w:p w14:paraId="2E13672D" w14:textId="77777777" w:rsidR="00E40E5C" w:rsidRPr="003E300F" w:rsidRDefault="00E40E5C" w:rsidP="00CD5901">
            <w:pPr>
              <w:pStyle w:val="tableheadertext"/>
            </w:pPr>
          </w:p>
        </w:tc>
        <w:tc>
          <w:tcPr>
            <w:tcW w:w="1183" w:type="pct"/>
          </w:tcPr>
          <w:p w14:paraId="396A0237" w14:textId="77777777" w:rsidR="00E40E5C" w:rsidRPr="00624F30" w:rsidRDefault="00E40E5C" w:rsidP="00314679">
            <w:pPr>
              <w:pStyle w:val="tabletext1"/>
              <w:spacing w:after="0"/>
              <w:ind w:left="0"/>
              <w:rPr>
                <w:rFonts w:ascii="Cambria" w:hAnsi="Cambria"/>
              </w:rPr>
            </w:pPr>
            <w:r w:rsidRPr="00624F30">
              <w:rPr>
                <w:rFonts w:ascii="Cambria" w:hAnsi="Cambria"/>
              </w:rPr>
              <w:t>Trees and riparian vegetation</w:t>
            </w:r>
          </w:p>
        </w:tc>
        <w:tc>
          <w:tcPr>
            <w:tcW w:w="3047" w:type="pct"/>
          </w:tcPr>
          <w:p w14:paraId="7D6070A1"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areas of remnant vegetation with a suitable flow regime, protected from livestock and associated wee</w:t>
            </w:r>
            <w:r w:rsidR="00BB29F2" w:rsidRPr="00B61001">
              <w:rPr>
                <w:rFonts w:ascii="Cambria" w:hAnsi="Cambria"/>
                <w:sz w:val="20"/>
                <w:szCs w:val="20"/>
              </w:rPr>
              <w:t>d</w:t>
            </w:r>
            <w:r w:rsidRPr="00B61001">
              <w:rPr>
                <w:rFonts w:ascii="Cambria" w:hAnsi="Cambria"/>
                <w:sz w:val="20"/>
                <w:szCs w:val="20"/>
              </w:rPr>
              <w:t xml:space="preserve"> infestation</w:t>
            </w:r>
            <w:r w:rsidR="00BB29F2" w:rsidRPr="00B61001">
              <w:rPr>
                <w:rFonts w:ascii="Cambria" w:hAnsi="Cambria"/>
                <w:sz w:val="20"/>
                <w:szCs w:val="20"/>
              </w:rPr>
              <w:t xml:space="preserve"> and disease</w:t>
            </w:r>
          </w:p>
          <w:p w14:paraId="32E3BBCB" w14:textId="534FE4E2" w:rsidR="00624F30" w:rsidRPr="00B61001" w:rsidRDefault="00624F30" w:rsidP="00314679">
            <w:pPr>
              <w:pStyle w:val="tabletext1"/>
              <w:spacing w:after="0"/>
              <w:ind w:left="0"/>
              <w:rPr>
                <w:rFonts w:ascii="Cambria" w:hAnsi="Cambria"/>
                <w:sz w:val="20"/>
                <w:szCs w:val="20"/>
              </w:rPr>
            </w:pPr>
          </w:p>
        </w:tc>
      </w:tr>
      <w:tr w:rsidR="00E40E5C" w14:paraId="11AC55AB" w14:textId="77777777" w:rsidTr="00B61001">
        <w:trPr>
          <w:trHeight w:hRule="exact" w:val="860"/>
        </w:trPr>
        <w:tc>
          <w:tcPr>
            <w:tcW w:w="770" w:type="pct"/>
            <w:vMerge w:val="restart"/>
            <w:shd w:val="clear" w:color="auto" w:fill="D9D9D9" w:themeFill="background1" w:themeFillShade="D9"/>
          </w:tcPr>
          <w:p w14:paraId="7D6CB8E6" w14:textId="77777777" w:rsidR="00E40E5C" w:rsidRPr="003E300F" w:rsidRDefault="00E40E5C" w:rsidP="00CD5901">
            <w:pPr>
              <w:pStyle w:val="tableheadertext"/>
            </w:pPr>
            <w:r w:rsidRPr="003E300F">
              <w:t>Animals</w:t>
            </w:r>
          </w:p>
        </w:tc>
        <w:tc>
          <w:tcPr>
            <w:tcW w:w="1183" w:type="pct"/>
          </w:tcPr>
          <w:p w14:paraId="4EFE4916" w14:textId="77777777" w:rsidR="00E40E5C" w:rsidRPr="00624F30" w:rsidRDefault="00E40E5C" w:rsidP="00314679">
            <w:pPr>
              <w:pStyle w:val="tabletext1"/>
              <w:spacing w:after="0"/>
              <w:ind w:left="0"/>
              <w:rPr>
                <w:rFonts w:ascii="Cambria" w:hAnsi="Cambria"/>
              </w:rPr>
            </w:pPr>
            <w:r w:rsidRPr="00624F30">
              <w:rPr>
                <w:rFonts w:ascii="Cambria" w:hAnsi="Cambria"/>
              </w:rPr>
              <w:t>Invertebrates</w:t>
            </w:r>
          </w:p>
        </w:tc>
        <w:tc>
          <w:tcPr>
            <w:tcW w:w="3047" w:type="pct"/>
          </w:tcPr>
          <w:p w14:paraId="2F1F18CA"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perennial pools or flowing sections, moist leaf litter, hyporheic zone, backwaters, spaces between stable stones, sediment with egg banks, riparian vegetation</w:t>
            </w:r>
          </w:p>
          <w:p w14:paraId="0C46C2D0" w14:textId="77777777" w:rsidR="00624F30" w:rsidRPr="00B61001" w:rsidRDefault="00624F30" w:rsidP="00314679">
            <w:pPr>
              <w:pStyle w:val="tabletext1"/>
              <w:spacing w:after="0"/>
              <w:ind w:left="0"/>
              <w:rPr>
                <w:rFonts w:ascii="Cambria" w:hAnsi="Cambria"/>
                <w:sz w:val="20"/>
                <w:szCs w:val="20"/>
              </w:rPr>
            </w:pPr>
          </w:p>
        </w:tc>
      </w:tr>
      <w:tr w:rsidR="00E40E5C" w14:paraId="51D62A42" w14:textId="77777777" w:rsidTr="00B61001">
        <w:trPr>
          <w:trHeight w:hRule="exact" w:val="717"/>
        </w:trPr>
        <w:tc>
          <w:tcPr>
            <w:tcW w:w="770" w:type="pct"/>
            <w:vMerge/>
            <w:shd w:val="clear" w:color="auto" w:fill="D9D9D9" w:themeFill="background1" w:themeFillShade="D9"/>
          </w:tcPr>
          <w:p w14:paraId="1B5F4C20" w14:textId="77777777" w:rsidR="00E40E5C" w:rsidRPr="003E300F" w:rsidRDefault="00E40E5C" w:rsidP="00314679">
            <w:pPr>
              <w:spacing w:after="0"/>
              <w:ind w:left="272"/>
            </w:pPr>
          </w:p>
        </w:tc>
        <w:tc>
          <w:tcPr>
            <w:tcW w:w="1183" w:type="pct"/>
          </w:tcPr>
          <w:p w14:paraId="31F83AA6" w14:textId="77777777" w:rsidR="00E40E5C" w:rsidRPr="00624F30" w:rsidRDefault="00E40E5C" w:rsidP="00314679">
            <w:pPr>
              <w:pStyle w:val="tabletext1"/>
              <w:spacing w:after="0"/>
              <w:ind w:left="0"/>
              <w:rPr>
                <w:rFonts w:ascii="Cambria" w:hAnsi="Cambria"/>
              </w:rPr>
            </w:pPr>
            <w:r w:rsidRPr="00624F30">
              <w:rPr>
                <w:rFonts w:ascii="Cambria" w:hAnsi="Cambria"/>
              </w:rPr>
              <w:t>Fish</w:t>
            </w:r>
          </w:p>
        </w:tc>
        <w:tc>
          <w:tcPr>
            <w:tcW w:w="3047" w:type="pct"/>
          </w:tcPr>
          <w:p w14:paraId="3995D8BF"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perennial pools, sections of perennial flow in non-perennial rivers and streams, slackwaters</w:t>
            </w:r>
          </w:p>
          <w:p w14:paraId="1AEEAFAC" w14:textId="77777777" w:rsidR="00624F30" w:rsidRPr="00B61001" w:rsidRDefault="00624F30" w:rsidP="00314679">
            <w:pPr>
              <w:pStyle w:val="tabletext1"/>
              <w:spacing w:after="0"/>
              <w:ind w:left="0"/>
              <w:rPr>
                <w:rFonts w:ascii="Cambria" w:hAnsi="Cambria"/>
                <w:sz w:val="20"/>
                <w:szCs w:val="20"/>
              </w:rPr>
            </w:pPr>
          </w:p>
        </w:tc>
      </w:tr>
      <w:tr w:rsidR="00E40E5C" w14:paraId="58B4CECF" w14:textId="77777777" w:rsidTr="00B61001">
        <w:trPr>
          <w:trHeight w:hRule="exact" w:val="454"/>
        </w:trPr>
        <w:tc>
          <w:tcPr>
            <w:tcW w:w="770" w:type="pct"/>
            <w:vMerge/>
            <w:shd w:val="clear" w:color="auto" w:fill="D9D9D9" w:themeFill="background1" w:themeFillShade="D9"/>
          </w:tcPr>
          <w:p w14:paraId="201FF87A" w14:textId="77777777" w:rsidR="00E40E5C" w:rsidRPr="003E300F" w:rsidRDefault="00E40E5C" w:rsidP="00314679">
            <w:pPr>
              <w:spacing w:after="0"/>
              <w:ind w:left="272"/>
            </w:pPr>
          </w:p>
        </w:tc>
        <w:tc>
          <w:tcPr>
            <w:tcW w:w="1183" w:type="pct"/>
          </w:tcPr>
          <w:p w14:paraId="058C1347" w14:textId="77777777" w:rsidR="00E40E5C" w:rsidRPr="00624F30" w:rsidRDefault="00E40E5C" w:rsidP="00314679">
            <w:pPr>
              <w:pStyle w:val="tabletext1"/>
              <w:spacing w:after="0"/>
              <w:ind w:left="0"/>
              <w:rPr>
                <w:rFonts w:ascii="Cambria" w:hAnsi="Cambria"/>
              </w:rPr>
            </w:pPr>
            <w:r w:rsidRPr="00624F30">
              <w:rPr>
                <w:rFonts w:ascii="Cambria" w:hAnsi="Cambria"/>
              </w:rPr>
              <w:t>Frogs</w:t>
            </w:r>
          </w:p>
        </w:tc>
        <w:tc>
          <w:tcPr>
            <w:tcW w:w="3047" w:type="pct"/>
          </w:tcPr>
          <w:p w14:paraId="1E862367"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perennial streams and wetlands, drainage ditches, farm dams</w:t>
            </w:r>
          </w:p>
          <w:p w14:paraId="69CC2BAF" w14:textId="77777777" w:rsidR="00624F30" w:rsidRPr="00B61001" w:rsidRDefault="00624F30" w:rsidP="00314679">
            <w:pPr>
              <w:pStyle w:val="tabletext1"/>
              <w:spacing w:after="0"/>
              <w:ind w:left="0"/>
              <w:rPr>
                <w:rFonts w:ascii="Cambria" w:hAnsi="Cambria"/>
                <w:sz w:val="20"/>
                <w:szCs w:val="20"/>
              </w:rPr>
            </w:pPr>
          </w:p>
        </w:tc>
      </w:tr>
      <w:tr w:rsidR="00E40E5C" w14:paraId="02017617" w14:textId="77777777" w:rsidTr="00B61001">
        <w:trPr>
          <w:trHeight w:hRule="exact" w:val="675"/>
        </w:trPr>
        <w:tc>
          <w:tcPr>
            <w:tcW w:w="770" w:type="pct"/>
            <w:vMerge/>
            <w:shd w:val="clear" w:color="auto" w:fill="D9D9D9" w:themeFill="background1" w:themeFillShade="D9"/>
          </w:tcPr>
          <w:p w14:paraId="2B6ECD2B" w14:textId="77777777" w:rsidR="00E40E5C" w:rsidRPr="003E300F" w:rsidRDefault="00E40E5C" w:rsidP="00314679">
            <w:pPr>
              <w:spacing w:after="0"/>
              <w:ind w:left="272"/>
            </w:pPr>
          </w:p>
        </w:tc>
        <w:tc>
          <w:tcPr>
            <w:tcW w:w="1183" w:type="pct"/>
          </w:tcPr>
          <w:p w14:paraId="54C1A8A9" w14:textId="77777777" w:rsidR="00E40E5C" w:rsidRPr="00624F30" w:rsidRDefault="00E40E5C" w:rsidP="00314679">
            <w:pPr>
              <w:pStyle w:val="tabletext1"/>
              <w:spacing w:after="0"/>
              <w:ind w:left="0"/>
              <w:rPr>
                <w:rFonts w:ascii="Cambria" w:hAnsi="Cambria"/>
              </w:rPr>
            </w:pPr>
            <w:r w:rsidRPr="00624F30">
              <w:rPr>
                <w:rFonts w:ascii="Cambria" w:hAnsi="Cambria"/>
              </w:rPr>
              <w:t>Reptiles</w:t>
            </w:r>
          </w:p>
        </w:tc>
        <w:tc>
          <w:tcPr>
            <w:tcW w:w="3047" w:type="pct"/>
          </w:tcPr>
          <w:p w14:paraId="630C171D"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spaces undercut in river</w:t>
            </w:r>
            <w:r w:rsidR="00624F30" w:rsidRPr="00B61001">
              <w:rPr>
                <w:rFonts w:ascii="Cambria" w:hAnsi="Cambria"/>
                <w:sz w:val="20"/>
                <w:szCs w:val="20"/>
              </w:rPr>
              <w:t>-</w:t>
            </w:r>
            <w:r w:rsidRPr="00B61001">
              <w:rPr>
                <w:rFonts w:ascii="Cambria" w:hAnsi="Cambria"/>
                <w:sz w:val="20"/>
                <w:szCs w:val="20"/>
              </w:rPr>
              <w:t>banks, deep perennial pools, floodplain swamps, leaf litter</w:t>
            </w:r>
          </w:p>
          <w:p w14:paraId="24704485" w14:textId="72F030CF" w:rsidR="00624F30" w:rsidRPr="00B61001" w:rsidRDefault="00624F30" w:rsidP="00314679">
            <w:pPr>
              <w:pStyle w:val="tabletext1"/>
              <w:spacing w:after="0"/>
              <w:ind w:left="0"/>
              <w:rPr>
                <w:rFonts w:ascii="Cambria" w:hAnsi="Cambria"/>
                <w:sz w:val="20"/>
                <w:szCs w:val="20"/>
              </w:rPr>
            </w:pPr>
          </w:p>
        </w:tc>
      </w:tr>
      <w:tr w:rsidR="00E40E5C" w14:paraId="200CBAC8" w14:textId="77777777" w:rsidTr="00B61001">
        <w:trPr>
          <w:trHeight w:hRule="exact" w:val="454"/>
        </w:trPr>
        <w:tc>
          <w:tcPr>
            <w:tcW w:w="770" w:type="pct"/>
            <w:vMerge/>
            <w:shd w:val="clear" w:color="auto" w:fill="D9D9D9" w:themeFill="background1" w:themeFillShade="D9"/>
          </w:tcPr>
          <w:p w14:paraId="0D1C06AF" w14:textId="77777777" w:rsidR="00E40E5C" w:rsidRPr="003E300F" w:rsidRDefault="00E40E5C" w:rsidP="00314679">
            <w:pPr>
              <w:spacing w:after="0"/>
              <w:ind w:left="272"/>
            </w:pPr>
          </w:p>
        </w:tc>
        <w:tc>
          <w:tcPr>
            <w:tcW w:w="1183" w:type="pct"/>
          </w:tcPr>
          <w:p w14:paraId="07390F24" w14:textId="77777777" w:rsidR="00E40E5C" w:rsidRPr="00624F30" w:rsidRDefault="00E40E5C" w:rsidP="00314679">
            <w:pPr>
              <w:pStyle w:val="tabletext1"/>
              <w:spacing w:after="0"/>
              <w:ind w:left="0"/>
              <w:rPr>
                <w:rFonts w:ascii="Cambria" w:hAnsi="Cambria"/>
              </w:rPr>
            </w:pPr>
            <w:r w:rsidRPr="00624F30">
              <w:rPr>
                <w:rFonts w:ascii="Cambria" w:hAnsi="Cambria"/>
              </w:rPr>
              <w:t>Birds</w:t>
            </w:r>
          </w:p>
        </w:tc>
        <w:tc>
          <w:tcPr>
            <w:tcW w:w="3047" w:type="pct"/>
          </w:tcPr>
          <w:p w14:paraId="5B89A7A7" w14:textId="77777777" w:rsidR="00E40E5C" w:rsidRPr="00B61001" w:rsidRDefault="00E40E5C" w:rsidP="00314679">
            <w:pPr>
              <w:pStyle w:val="tabletext1"/>
              <w:spacing w:after="0"/>
              <w:ind w:left="0"/>
              <w:rPr>
                <w:rFonts w:ascii="Cambria" w:hAnsi="Cambria"/>
                <w:sz w:val="20"/>
                <w:szCs w:val="20"/>
              </w:rPr>
            </w:pPr>
            <w:r w:rsidRPr="00B61001">
              <w:rPr>
                <w:rFonts w:ascii="Cambria" w:hAnsi="Cambria"/>
                <w:sz w:val="20"/>
                <w:szCs w:val="20"/>
              </w:rPr>
              <w:t>perennial wetlands and rivers, dams, sewage farms</w:t>
            </w:r>
          </w:p>
          <w:p w14:paraId="33069EF4" w14:textId="77777777" w:rsidR="00624F30" w:rsidRPr="00B61001" w:rsidRDefault="00624F30" w:rsidP="00314679">
            <w:pPr>
              <w:pStyle w:val="tabletext1"/>
              <w:spacing w:after="0"/>
              <w:ind w:left="0"/>
              <w:rPr>
                <w:rFonts w:ascii="Cambria" w:hAnsi="Cambria"/>
                <w:sz w:val="20"/>
                <w:szCs w:val="20"/>
              </w:rPr>
            </w:pPr>
          </w:p>
        </w:tc>
      </w:tr>
    </w:tbl>
    <w:p w14:paraId="00B96B82" w14:textId="77777777" w:rsidR="00E83E89" w:rsidRDefault="00E83E89" w:rsidP="004725B6">
      <w:pPr>
        <w:rPr>
          <w:color w:val="808080" w:themeColor="background1" w:themeShade="80"/>
        </w:rPr>
      </w:pPr>
    </w:p>
    <w:p w14:paraId="4494C8D2" w14:textId="3F0CAAAF" w:rsidR="007E38AA" w:rsidRDefault="007E38AA" w:rsidP="00C55BF2">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w:t>
      </w:r>
      <w:r w:rsidR="00BB29F2">
        <w:t>key</w:t>
      </w:r>
      <w:r>
        <w:t xml:space="preserve"> biolog</w:t>
      </w:r>
      <w:r w:rsidR="00BB29F2">
        <w:t>ical</w:t>
      </w:r>
      <w:r>
        <w:t xml:space="preserve"> and ecolog</w:t>
      </w:r>
      <w:r w:rsidR="00BB29F2">
        <w:t>ical processes</w:t>
      </w:r>
    </w:p>
    <w:p w14:paraId="67F01944" w14:textId="77777777" w:rsidR="008B2796" w:rsidRPr="008B2796" w:rsidRDefault="00353CDB" w:rsidP="00BB29F2">
      <w:pPr>
        <w:pStyle w:val="Consultationquestions"/>
        <w:shd w:val="clear" w:color="auto" w:fill="FFF2CC" w:themeFill="accent4" w:themeFillTint="33"/>
        <w:ind w:left="425" w:hanging="425"/>
        <w:rPr>
          <w:color w:val="000000" w:themeColor="text1"/>
        </w:rPr>
      </w:pPr>
      <w:r w:rsidRPr="008A5641">
        <w:rPr>
          <w:color w:val="auto"/>
        </w:rPr>
        <w:t xml:space="preserve">Do you have any feedback </w:t>
      </w:r>
      <w:r w:rsidR="008A5641" w:rsidRPr="008A5641">
        <w:rPr>
          <w:color w:val="auto"/>
        </w:rPr>
        <w:t xml:space="preserve">or further information </w:t>
      </w:r>
      <w:r w:rsidRPr="008A5641">
        <w:rPr>
          <w:color w:val="auto"/>
        </w:rPr>
        <w:t>on relevant biolog</w:t>
      </w:r>
      <w:r w:rsidR="00BB29F2">
        <w:rPr>
          <w:color w:val="auto"/>
        </w:rPr>
        <w:t>ical</w:t>
      </w:r>
      <w:r w:rsidRPr="008A5641">
        <w:rPr>
          <w:color w:val="auto"/>
        </w:rPr>
        <w:t xml:space="preserve"> and ecolog</w:t>
      </w:r>
      <w:r w:rsidR="00BB29F2">
        <w:rPr>
          <w:color w:val="auto"/>
        </w:rPr>
        <w:t>ical processes</w:t>
      </w:r>
      <w:r w:rsidRPr="008A5641">
        <w:rPr>
          <w:color w:val="auto"/>
        </w:rPr>
        <w:t xml:space="preserve"> related to the RMDS ecological community?</w:t>
      </w:r>
    </w:p>
    <w:p w14:paraId="22D13E54" w14:textId="3780565B" w:rsidR="00BB29F2" w:rsidRDefault="008B2796" w:rsidP="00BB29F2">
      <w:pPr>
        <w:pStyle w:val="Consultationquestions"/>
        <w:shd w:val="clear" w:color="auto" w:fill="FFF2CC" w:themeFill="accent4" w:themeFillTint="33"/>
        <w:ind w:left="425" w:hanging="425"/>
        <w:rPr>
          <w:color w:val="000000" w:themeColor="text1"/>
        </w:rPr>
      </w:pPr>
      <w:r>
        <w:rPr>
          <w:color w:val="auto"/>
        </w:rPr>
        <w:t>Are there any other relevant functional biology and ecology processes or other elements you think are important to highlight in this section?</w:t>
      </w:r>
      <w:r w:rsidR="00BB29F2" w:rsidRPr="00BB29F2">
        <w:rPr>
          <w:color w:val="000000" w:themeColor="text1"/>
        </w:rPr>
        <w:t xml:space="preserve"> </w:t>
      </w:r>
    </w:p>
    <w:p w14:paraId="23D586B1" w14:textId="5A86333C" w:rsidR="00BB29F2" w:rsidRPr="002962C6" w:rsidRDefault="00BB29F2" w:rsidP="00BB29F2">
      <w:pPr>
        <w:pStyle w:val="Consultationquestions"/>
        <w:shd w:val="clear" w:color="auto" w:fill="FFF2CC" w:themeFill="accent4" w:themeFillTint="33"/>
        <w:ind w:left="425" w:hanging="425"/>
        <w:rPr>
          <w:color w:val="000000" w:themeColor="text1"/>
        </w:rPr>
      </w:pPr>
      <w:r>
        <w:rPr>
          <w:color w:val="000000" w:themeColor="text1"/>
        </w:rPr>
        <w:t>P</w:t>
      </w:r>
      <w:r w:rsidRPr="002962C6">
        <w:rPr>
          <w:color w:val="000000" w:themeColor="text1"/>
        </w:rPr>
        <w:t xml:space="preserve">lease provide </w:t>
      </w:r>
      <w:r w:rsidR="007F4A93">
        <w:rPr>
          <w:color w:val="000000" w:themeColor="text1"/>
        </w:rPr>
        <w:t xml:space="preserve">citations for </w:t>
      </w:r>
      <w:r w:rsidRPr="002962C6">
        <w:rPr>
          <w:color w:val="000000" w:themeColor="text1"/>
        </w:rPr>
        <w:t xml:space="preserve">any supporting evidence or </w:t>
      </w:r>
      <w:r w:rsidR="007F4A93">
        <w:rPr>
          <w:color w:val="000000" w:themeColor="text1"/>
        </w:rPr>
        <w:t xml:space="preserve">relevant </w:t>
      </w:r>
      <w:r w:rsidRPr="002962C6">
        <w:rPr>
          <w:color w:val="000000" w:themeColor="text1"/>
        </w:rPr>
        <w:t xml:space="preserve">references you </w:t>
      </w:r>
      <w:r w:rsidR="007F4A93">
        <w:rPr>
          <w:color w:val="000000" w:themeColor="text1"/>
        </w:rPr>
        <w:t xml:space="preserve">may </w:t>
      </w:r>
      <w:r w:rsidRPr="002962C6">
        <w:rPr>
          <w:color w:val="000000" w:themeColor="text1"/>
        </w:rPr>
        <w:t>have.</w:t>
      </w:r>
    </w:p>
    <w:p w14:paraId="6E17D329" w14:textId="4E78ED20" w:rsidR="00D23FA9" w:rsidRDefault="00D23FA9">
      <w:pPr>
        <w:spacing w:after="160" w:line="259" w:lineRule="auto"/>
        <w:rPr>
          <w:rFonts w:asciiTheme="minorHAnsi" w:eastAsiaTheme="majorEastAsia" w:hAnsiTheme="minorHAnsi" w:cstheme="majorBidi"/>
          <w:bCs/>
          <w:sz w:val="36"/>
          <w:szCs w:val="32"/>
        </w:rPr>
      </w:pPr>
      <w:bookmarkStart w:id="86" w:name="_Ref40360175"/>
      <w:bookmarkStart w:id="87" w:name="_Toc158683479"/>
      <w:bookmarkStart w:id="88" w:name="_Toc175317070"/>
      <w:bookmarkStart w:id="89" w:name="_Ref23846389"/>
      <w:bookmarkStart w:id="90" w:name="_Ref19263872"/>
      <w:bookmarkStart w:id="91" w:name="_Ref23846293"/>
      <w:bookmarkStart w:id="92" w:name="_Ref39071500"/>
    </w:p>
    <w:p w14:paraId="3651D150" w14:textId="006642A8" w:rsidR="00636B31" w:rsidRPr="0007183B" w:rsidRDefault="00636B31" w:rsidP="00D23FA9">
      <w:pPr>
        <w:pStyle w:val="Heading1"/>
      </w:pPr>
      <w:bookmarkStart w:id="93" w:name="_Toc175572778"/>
      <w:r w:rsidRPr="0007183B">
        <w:lastRenderedPageBreak/>
        <w:t>Identif</w:t>
      </w:r>
      <w:r w:rsidR="00BC140B" w:rsidRPr="0007183B">
        <w:t xml:space="preserve">ying areas </w:t>
      </w:r>
      <w:r w:rsidRPr="0007183B">
        <w:t>of the ecological community</w:t>
      </w:r>
      <w:bookmarkEnd w:id="86"/>
      <w:bookmarkEnd w:id="87"/>
      <w:bookmarkEnd w:id="88"/>
      <w:bookmarkEnd w:id="93"/>
    </w:p>
    <w:p w14:paraId="5CFAD13E" w14:textId="7648E2E0" w:rsidR="00BB29F2" w:rsidRPr="005F29DC" w:rsidRDefault="00BB29F2" w:rsidP="00BB29F2">
      <w:pPr>
        <w:rPr>
          <w:rFonts w:eastAsiaTheme="majorEastAsia" w:cstheme="majorBidi"/>
        </w:rPr>
      </w:pPr>
      <w:r w:rsidRPr="005F29DC">
        <w:rPr>
          <w:rStyle w:val="Crossreference"/>
        </w:rPr>
        <w:t>Section</w:t>
      </w:r>
      <w:r>
        <w:rPr>
          <w:rStyle w:val="Crossreference"/>
        </w:rPr>
        <w:t xml:space="preserve"> </w:t>
      </w:r>
      <w:r>
        <w:rPr>
          <w:rStyle w:val="Crossreference"/>
        </w:rPr>
        <w:fldChar w:fldCharType="begin"/>
      </w:r>
      <w:r>
        <w:rPr>
          <w:rStyle w:val="Crossreference"/>
        </w:rPr>
        <w:instrText xml:space="preserve"> REF _Ref68096477 \r \h </w:instrText>
      </w:r>
      <w:r>
        <w:rPr>
          <w:rStyle w:val="Crossreference"/>
        </w:rPr>
      </w:r>
      <w:r>
        <w:rPr>
          <w:rStyle w:val="Crossreference"/>
        </w:rPr>
        <w:fldChar w:fldCharType="separate"/>
      </w:r>
      <w:r w:rsidR="006D35C5">
        <w:rPr>
          <w:rStyle w:val="Crossreference"/>
        </w:rPr>
        <w:t>1.2</w:t>
      </w:r>
      <w:r>
        <w:rPr>
          <w:rStyle w:val="Crossreference"/>
        </w:rPr>
        <w:fldChar w:fldCharType="end"/>
      </w:r>
      <w:r w:rsidR="0096427A" w:rsidRPr="009177B9">
        <w:rPr>
          <w:rStyle w:val="Crossreference"/>
          <w:u w:val="none"/>
        </w:rPr>
        <w:t xml:space="preserve"> (and</w:t>
      </w:r>
      <w:r w:rsidR="0096427A">
        <w:rPr>
          <w:rStyle w:val="Crossreference"/>
        </w:rPr>
        <w:t xml:space="preserve"> Appendices A and B)</w:t>
      </w:r>
      <w:r w:rsidRPr="1DBD01D7">
        <w:rPr>
          <w:rFonts w:eastAsiaTheme="majorEastAsia" w:cstheme="majorBidi"/>
        </w:rPr>
        <w:t xml:space="preserve"> describes </w:t>
      </w:r>
      <w:r w:rsidRPr="2FAD10A6">
        <w:rPr>
          <w:rFonts w:eastAsiaTheme="majorEastAsia" w:cstheme="majorBidi"/>
        </w:rPr>
        <w:t>the</w:t>
      </w:r>
      <w:r w:rsidRPr="1DBD01D7">
        <w:rPr>
          <w:rFonts w:eastAsiaTheme="majorEastAsia" w:cstheme="majorBidi"/>
        </w:rPr>
        <w:t xml:space="preserve"> </w:t>
      </w:r>
      <w:r>
        <w:rPr>
          <w:rFonts w:eastAsiaTheme="majorEastAsia" w:cstheme="majorBidi"/>
        </w:rPr>
        <w:t xml:space="preserve">species assemblage comprising the </w:t>
      </w:r>
      <w:r w:rsidRPr="1DBD01D7">
        <w:rPr>
          <w:rFonts w:eastAsiaTheme="majorEastAsia" w:cstheme="majorBidi"/>
        </w:rPr>
        <w:t>ecological community and the particular area in nature that it inhabits</w:t>
      </w:r>
      <w:r>
        <w:rPr>
          <w:rFonts w:eastAsiaTheme="majorEastAsia" w:cstheme="majorBidi"/>
        </w:rPr>
        <w:t xml:space="preserve"> (as well as key ecological processes). </w:t>
      </w:r>
      <w:r w:rsidRPr="1DBD01D7">
        <w:rPr>
          <w:rFonts w:eastAsiaTheme="majorEastAsia" w:cstheme="majorBidi"/>
        </w:rPr>
        <w:t xml:space="preserve">This section provides additional information to assist with the identification of the </w:t>
      </w:r>
      <w:r w:rsidR="009177B9">
        <w:rPr>
          <w:rFonts w:eastAsiaTheme="majorEastAsia" w:cstheme="majorBidi"/>
        </w:rPr>
        <w:t xml:space="preserve">RMDS </w:t>
      </w:r>
      <w:r w:rsidRPr="1DBD01D7">
        <w:rPr>
          <w:rFonts w:eastAsiaTheme="majorEastAsia" w:cstheme="majorBidi"/>
        </w:rPr>
        <w:t xml:space="preserve">ecological community and important </w:t>
      </w:r>
      <w:r>
        <w:rPr>
          <w:rFonts w:eastAsiaTheme="majorEastAsia" w:cstheme="majorBidi"/>
        </w:rPr>
        <w:t>areas</w:t>
      </w:r>
      <w:r w:rsidRPr="1DBD01D7">
        <w:rPr>
          <w:rFonts w:eastAsiaTheme="majorEastAsia" w:cstheme="majorBidi"/>
        </w:rPr>
        <w:t xml:space="preserve"> of it.</w:t>
      </w:r>
    </w:p>
    <w:p w14:paraId="5E8B5B5A" w14:textId="04EF01E1" w:rsidR="00636B31" w:rsidRPr="00AC1C30" w:rsidRDefault="00636B31" w:rsidP="008E4F36">
      <w:pPr>
        <w:pStyle w:val="Heading2"/>
        <w:rPr>
          <w:rFonts w:eastAsiaTheme="minorHAnsi"/>
        </w:rPr>
      </w:pPr>
      <w:bookmarkStart w:id="94" w:name="_Ref24022341"/>
      <w:bookmarkStart w:id="95" w:name="_Toc158683480"/>
      <w:bookmarkStart w:id="96" w:name="_Toc175317071"/>
      <w:bookmarkStart w:id="97" w:name="_Toc175572779"/>
      <w:r w:rsidRPr="00AC1C30">
        <w:rPr>
          <w:rFonts w:eastAsiaTheme="minorHAnsi"/>
        </w:rPr>
        <w:t>Key diagnostic</w:t>
      </w:r>
      <w:bookmarkEnd w:id="89"/>
      <w:bookmarkEnd w:id="94"/>
      <w:r w:rsidR="00E20FAF">
        <w:rPr>
          <w:rFonts w:eastAsiaTheme="minorHAnsi"/>
        </w:rPr>
        <w:t xml:space="preserve"> characteristics</w:t>
      </w:r>
      <w:bookmarkEnd w:id="95"/>
      <w:bookmarkEnd w:id="96"/>
      <w:bookmarkEnd w:id="97"/>
    </w:p>
    <w:p w14:paraId="1A44A807" w14:textId="2F1A705C" w:rsidR="00AB5DDD" w:rsidRDefault="3CC72101" w:rsidP="2FAD10A6">
      <w:pPr>
        <w:keepNext/>
      </w:pPr>
      <w:bookmarkStart w:id="98" w:name="_Hlk83726935"/>
      <w:r w:rsidRPr="2FAD10A6">
        <w:rPr>
          <w:rFonts w:eastAsiaTheme="majorEastAsia" w:cstheme="majorBidi"/>
        </w:rPr>
        <w:t xml:space="preserve">The </w:t>
      </w:r>
      <w:r w:rsidR="00134538">
        <w:rPr>
          <w:rFonts w:eastAsiaTheme="majorEastAsia" w:cstheme="majorBidi"/>
        </w:rPr>
        <w:t xml:space="preserve">RMDS </w:t>
      </w:r>
      <w:r w:rsidRPr="2FAD10A6">
        <w:rPr>
          <w:rFonts w:eastAsiaTheme="majorEastAsia" w:cstheme="majorBidi"/>
        </w:rPr>
        <w:t xml:space="preserve">ecological community is defined as </w:t>
      </w:r>
      <w:r w:rsidR="008F1266" w:rsidRPr="008F1266">
        <w:rPr>
          <w:rFonts w:eastAsiaTheme="majorEastAsia" w:cstheme="majorBidi"/>
        </w:rPr>
        <w:t>the</w:t>
      </w:r>
      <w:r w:rsidR="2CAEE39A" w:rsidRPr="008F1266">
        <w:rPr>
          <w:rFonts w:eastAsiaTheme="majorEastAsia" w:cstheme="majorBidi"/>
        </w:rPr>
        <w:t xml:space="preserve"> </w:t>
      </w:r>
      <w:r w:rsidRPr="008F1266">
        <w:rPr>
          <w:rFonts w:eastAsiaTheme="majorEastAsia" w:cstheme="majorBidi"/>
        </w:rPr>
        <w:t xml:space="preserve">assemblage of </w:t>
      </w:r>
      <w:r w:rsidR="041B5178" w:rsidRPr="008F1266">
        <w:rPr>
          <w:rFonts w:eastAsiaTheme="majorEastAsia" w:cstheme="majorBidi"/>
        </w:rPr>
        <w:t xml:space="preserve">native </w:t>
      </w:r>
      <w:r w:rsidR="041B5178" w:rsidRPr="008F1266">
        <w:t xml:space="preserve">species </w:t>
      </w:r>
      <w:r w:rsidR="041B5178">
        <w:t>inhabit</w:t>
      </w:r>
      <w:r w:rsidR="008F1266">
        <w:t>ing</w:t>
      </w:r>
      <w:r w:rsidR="041B5178">
        <w:t xml:space="preserve"> a particular area in nature</w:t>
      </w:r>
      <w:r w:rsidR="041B5178" w:rsidRPr="2FAD10A6">
        <w:rPr>
          <w:rFonts w:eastAsiaTheme="majorEastAsia" w:cstheme="majorBidi"/>
          <w:color w:val="FF0000"/>
        </w:rPr>
        <w:t xml:space="preserve"> </w:t>
      </w:r>
      <w:r w:rsidR="008F1266">
        <w:rPr>
          <w:rFonts w:eastAsiaTheme="majorEastAsia" w:cstheme="majorBidi"/>
        </w:rPr>
        <w:t>as described in</w:t>
      </w:r>
      <w:r w:rsidRPr="2FAD10A6">
        <w:rPr>
          <w:rFonts w:eastAsiaTheme="majorEastAsia" w:cstheme="majorBidi"/>
        </w:rPr>
        <w:t xml:space="preserve"> </w:t>
      </w:r>
      <w:r w:rsidR="00134538">
        <w:rPr>
          <w:rStyle w:val="Crossreference"/>
        </w:rPr>
        <w:t>S</w:t>
      </w:r>
      <w:r w:rsidRPr="006E4C1F">
        <w:rPr>
          <w:rStyle w:val="Crossreference"/>
        </w:rPr>
        <w:t>ection</w:t>
      </w:r>
      <w:r w:rsidR="00A53B61">
        <w:rPr>
          <w:rStyle w:val="Crossreference"/>
        </w:rPr>
        <w:t xml:space="preserve">s </w:t>
      </w:r>
      <w:r w:rsidR="00D34854">
        <w:rPr>
          <w:rStyle w:val="Crossreference"/>
        </w:rPr>
        <w:t>1.1 and</w:t>
      </w:r>
      <w:r w:rsidR="1939141B">
        <w:rPr>
          <w:rStyle w:val="Crossreference"/>
        </w:rPr>
        <w:t xml:space="preserve"> </w:t>
      </w:r>
      <w:r w:rsidR="0077190E">
        <w:rPr>
          <w:rStyle w:val="Crossreference"/>
        </w:rPr>
        <w:fldChar w:fldCharType="begin"/>
      </w:r>
      <w:r w:rsidR="0077190E">
        <w:rPr>
          <w:rStyle w:val="Crossreference"/>
        </w:rPr>
        <w:instrText xml:space="preserve"> REF _Ref68096638 \r \h </w:instrText>
      </w:r>
      <w:r w:rsidR="0077190E">
        <w:rPr>
          <w:rStyle w:val="Crossreference"/>
        </w:rPr>
      </w:r>
      <w:r w:rsidR="0077190E">
        <w:rPr>
          <w:rStyle w:val="Crossreference"/>
        </w:rPr>
        <w:fldChar w:fldCharType="separate"/>
      </w:r>
      <w:r w:rsidR="006D35C5">
        <w:rPr>
          <w:rStyle w:val="Crossreference"/>
        </w:rPr>
        <w:t>1.2</w:t>
      </w:r>
      <w:r w:rsidR="0077190E">
        <w:rPr>
          <w:rStyle w:val="Crossreference"/>
        </w:rPr>
        <w:fldChar w:fldCharType="end"/>
      </w:r>
      <w:r w:rsidR="008F1266">
        <w:rPr>
          <w:rFonts w:eastAsiaTheme="majorEastAsia" w:cstheme="majorBidi"/>
        </w:rPr>
        <w:t xml:space="preserve"> and referenced information therein</w:t>
      </w:r>
      <w:r w:rsidR="0078132C">
        <w:rPr>
          <w:rFonts w:eastAsiaTheme="majorEastAsia" w:cstheme="majorBidi"/>
        </w:rPr>
        <w:t xml:space="preserve">. </w:t>
      </w:r>
      <w:r w:rsidR="00160C74">
        <w:rPr>
          <w:rFonts w:eastAsiaTheme="majorEastAsia" w:cstheme="majorBidi"/>
        </w:rPr>
        <w:t xml:space="preserve">This ecological community is most clearly defined by its area in nature and associated hydrology, with a large diversity of </w:t>
      </w:r>
      <w:r w:rsidR="00CE4673">
        <w:rPr>
          <w:rFonts w:eastAsiaTheme="majorEastAsia" w:cstheme="majorBidi"/>
        </w:rPr>
        <w:t>mostly</w:t>
      </w:r>
      <w:r w:rsidR="00160C74">
        <w:rPr>
          <w:rFonts w:eastAsiaTheme="majorEastAsia" w:cstheme="majorBidi"/>
        </w:rPr>
        <w:t xml:space="preserve"> aquatic or semi-aquatic species organised around several biogeographical sub</w:t>
      </w:r>
      <w:r w:rsidR="007718B0">
        <w:rPr>
          <w:rFonts w:eastAsiaTheme="majorEastAsia" w:cstheme="majorBidi"/>
        </w:rPr>
        <w:t xml:space="preserve">-units and associated sub-communities. </w:t>
      </w:r>
      <w:r w:rsidR="0078132C">
        <w:rPr>
          <w:rFonts w:eastAsiaTheme="majorEastAsia" w:cstheme="majorBidi"/>
        </w:rPr>
        <w:t xml:space="preserve">The following key diagnostic characteristics represent a summary of the main </w:t>
      </w:r>
      <w:r w:rsidR="00A054C8">
        <w:rPr>
          <w:rFonts w:eastAsiaTheme="majorEastAsia" w:cstheme="majorBidi"/>
        </w:rPr>
        <w:t>features of the RMDS EC</w:t>
      </w:r>
      <w:r w:rsidR="006D14BF">
        <w:rPr>
          <w:rFonts w:eastAsiaTheme="majorEastAsia" w:cstheme="majorBidi"/>
        </w:rPr>
        <w:t xml:space="preserve"> (i.e. across </w:t>
      </w:r>
      <w:r w:rsidR="007718B0">
        <w:rPr>
          <w:rFonts w:eastAsiaTheme="majorEastAsia" w:cstheme="majorBidi"/>
        </w:rPr>
        <w:t>the sub-units</w:t>
      </w:r>
      <w:r w:rsidR="003E02F1">
        <w:rPr>
          <w:rFonts w:eastAsiaTheme="majorEastAsia" w:cstheme="majorBidi"/>
        </w:rPr>
        <w:t>)</w:t>
      </w:r>
      <w:r w:rsidR="00695C9B">
        <w:rPr>
          <w:rFonts w:eastAsiaTheme="majorEastAsia" w:cstheme="majorBidi"/>
        </w:rPr>
        <w:t>, including further information on boundaries</w:t>
      </w:r>
      <w:r w:rsidR="007B2E46">
        <w:rPr>
          <w:rFonts w:eastAsiaTheme="majorEastAsia" w:cstheme="majorBidi"/>
        </w:rPr>
        <w:t xml:space="preserve"> and key hydrology</w:t>
      </w:r>
      <w:r w:rsidR="00695C9B">
        <w:rPr>
          <w:rFonts w:eastAsiaTheme="majorEastAsia" w:cstheme="majorBidi"/>
        </w:rPr>
        <w:t xml:space="preserve">. They serve to assist with </w:t>
      </w:r>
      <w:r w:rsidR="00134538">
        <w:t xml:space="preserve">determining whether </w:t>
      </w:r>
      <w:r w:rsidR="00134538" w:rsidRPr="003E02F1">
        <w:rPr>
          <w:u w:val="single"/>
        </w:rPr>
        <w:t>the ecological community is present at a particular time and place</w:t>
      </w:r>
      <w:r w:rsidR="00134538" w:rsidRPr="00246A46">
        <w:t>.</w:t>
      </w:r>
    </w:p>
    <w:p w14:paraId="08DB1CEC" w14:textId="29E02163" w:rsidR="00D467B9" w:rsidRPr="0007183B" w:rsidRDefault="009211B0" w:rsidP="00550384">
      <w:pPr>
        <w:pStyle w:val="Heading3"/>
      </w:pPr>
      <w:bookmarkStart w:id="99" w:name="_Toc232747030"/>
      <w:bookmarkStart w:id="100" w:name="_Toc175317072"/>
      <w:r>
        <w:t xml:space="preserve">2.1.1 </w:t>
      </w:r>
      <w:r w:rsidR="003452A8" w:rsidRPr="0007183B">
        <w:t>Location and l</w:t>
      </w:r>
      <w:r w:rsidR="00D467B9" w:rsidRPr="0007183B">
        <w:t>andscape</w:t>
      </w:r>
      <w:bookmarkEnd w:id="99"/>
      <w:bookmarkEnd w:id="100"/>
    </w:p>
    <w:p w14:paraId="58F133C5" w14:textId="7B73203B" w:rsidR="00D467B9" w:rsidRDefault="00D467B9" w:rsidP="0012104E">
      <w:pPr>
        <w:pStyle w:val="ListBullet"/>
        <w:numPr>
          <w:ilvl w:val="0"/>
          <w:numId w:val="37"/>
        </w:numPr>
        <w:spacing w:after="120"/>
      </w:pPr>
      <w:r>
        <w:t>T</w:t>
      </w:r>
      <w:r w:rsidRPr="006674EA">
        <w:t xml:space="preserve">he </w:t>
      </w:r>
      <w:r>
        <w:t>ecological community</w:t>
      </w:r>
      <w:r w:rsidRPr="006674EA">
        <w:t xml:space="preserve"> </w:t>
      </w:r>
      <w:r>
        <w:t>inhabits more than</w:t>
      </w:r>
      <w:r w:rsidRPr="006674EA">
        <w:t xml:space="preserve"> </w:t>
      </w:r>
      <w:r>
        <w:t>830 river-kilometres</w:t>
      </w:r>
      <w:r w:rsidRPr="006674EA">
        <w:t xml:space="preserve"> </w:t>
      </w:r>
      <w:r w:rsidR="00C2742E">
        <w:t xml:space="preserve">of the River Murray </w:t>
      </w:r>
      <w:r w:rsidRPr="006674EA">
        <w:t xml:space="preserve">from </w:t>
      </w:r>
      <w:r>
        <w:t xml:space="preserve">near </w:t>
      </w:r>
      <w:r w:rsidRPr="006674EA">
        <w:t xml:space="preserve">Wentworth NSW </w:t>
      </w:r>
      <w:r>
        <w:t xml:space="preserve">(Lock 10) </w:t>
      </w:r>
      <w:r w:rsidRPr="006674EA">
        <w:t>to Goolwa SA</w:t>
      </w:r>
      <w:r>
        <w:t xml:space="preserve"> (Coorong and Murray Mouth)</w:t>
      </w:r>
      <w:r w:rsidRPr="006674EA">
        <w:t xml:space="preserve">; it is </w:t>
      </w:r>
      <w:r>
        <w:t xml:space="preserve">formed by two dissimilar rivers, </w:t>
      </w:r>
      <w:r w:rsidRPr="006674EA">
        <w:t>the Darling from the nor</w:t>
      </w:r>
      <w:r>
        <w:t xml:space="preserve">th and the Murray from the east, </w:t>
      </w:r>
      <w:r w:rsidRPr="006674EA">
        <w:t>and its ecological character combines features of both</w:t>
      </w:r>
      <w:r>
        <w:t>.</w:t>
      </w:r>
    </w:p>
    <w:p w14:paraId="385BE296" w14:textId="37190AA7" w:rsidR="00D467B9" w:rsidRDefault="00D467B9" w:rsidP="0012104E">
      <w:pPr>
        <w:pStyle w:val="ListBullet"/>
        <w:numPr>
          <w:ilvl w:val="0"/>
          <w:numId w:val="37"/>
        </w:numPr>
        <w:spacing w:after="120"/>
      </w:pPr>
      <w:r>
        <w:t xml:space="preserve">The ecological community lies on the intersection of two major climatic and zoogeographic regions, the temperate southeast and the arid centre, which contributes to </w:t>
      </w:r>
      <w:r w:rsidR="00DE466A">
        <w:t>its</w:t>
      </w:r>
      <w:r w:rsidR="00BB29F2">
        <w:t xml:space="preserve"> </w:t>
      </w:r>
      <w:r>
        <w:t>high biodiversity (Jennings 2009).</w:t>
      </w:r>
    </w:p>
    <w:p w14:paraId="38105C0D" w14:textId="6021CA3B" w:rsidR="00D467B9" w:rsidRPr="00E519B2" w:rsidRDefault="00D467B9" w:rsidP="0012104E">
      <w:pPr>
        <w:pStyle w:val="ListBullet"/>
        <w:numPr>
          <w:ilvl w:val="0"/>
          <w:numId w:val="37"/>
        </w:numPr>
        <w:spacing w:after="120"/>
      </w:pPr>
      <w:r w:rsidRPr="00551465">
        <w:t xml:space="preserve">The </w:t>
      </w:r>
      <w:r w:rsidR="003C4560">
        <w:t xml:space="preserve">riverine component </w:t>
      </w:r>
      <w:r w:rsidR="00892FD8">
        <w:t xml:space="preserve">where </w:t>
      </w:r>
      <w:r w:rsidR="003C4560">
        <w:t xml:space="preserve">the </w:t>
      </w:r>
      <w:r w:rsidRPr="00551465">
        <w:t xml:space="preserve">ecological community </w:t>
      </w:r>
      <w:r w:rsidR="00892FD8">
        <w:t xml:space="preserve">occurs </w:t>
      </w:r>
      <w:r w:rsidRPr="00551465">
        <w:t xml:space="preserve">can be divided into six bio-geographical sub-units along the length of the </w:t>
      </w:r>
      <w:r>
        <w:t>main channel are highly connected:</w:t>
      </w:r>
    </w:p>
    <w:p w14:paraId="66A8241B" w14:textId="45C96820" w:rsidR="00D467B9" w:rsidRPr="006674EA" w:rsidRDefault="00D467B9" w:rsidP="0012104E">
      <w:pPr>
        <w:pStyle w:val="ListBullet"/>
        <w:numPr>
          <w:ilvl w:val="0"/>
          <w:numId w:val="36"/>
        </w:numPr>
        <w:spacing w:after="120"/>
      </w:pPr>
      <w:r w:rsidRPr="00246A46">
        <w:rPr>
          <w:i/>
        </w:rPr>
        <w:t>Top Valley Section</w:t>
      </w:r>
      <w:r w:rsidRPr="00551465">
        <w:t xml:space="preserve"> (Wentworth to Overland Corner), with the river meandering westward over a 10–20 km wide floodplain, with extensive wetlands and woodlands</w:t>
      </w:r>
    </w:p>
    <w:p w14:paraId="5B7E014A" w14:textId="02393622" w:rsidR="00D467B9" w:rsidRPr="006674EA" w:rsidRDefault="00D467B9" w:rsidP="0012104E">
      <w:pPr>
        <w:pStyle w:val="ListBullet"/>
        <w:numPr>
          <w:ilvl w:val="0"/>
          <w:numId w:val="36"/>
        </w:numPr>
        <w:spacing w:after="120"/>
      </w:pPr>
      <w:r w:rsidRPr="00246A46">
        <w:rPr>
          <w:i/>
        </w:rPr>
        <w:t>Murray Gorge Section</w:t>
      </w:r>
      <w:r>
        <w:t xml:space="preserve"> </w:t>
      </w:r>
      <w:r w:rsidRPr="006674EA">
        <w:t>(</w:t>
      </w:r>
      <w:r>
        <w:t xml:space="preserve">Overland Corner </w:t>
      </w:r>
      <w:r w:rsidRPr="006674EA">
        <w:t>to Mannum), where the river’s course is realigned southward and the</w:t>
      </w:r>
      <w:r>
        <w:t xml:space="preserve"> floodplain is constrained to 4–5 km, within a 30 </w:t>
      </w:r>
      <w:r w:rsidRPr="006674EA">
        <w:t>m deep limestone gorge</w:t>
      </w:r>
    </w:p>
    <w:p w14:paraId="0C0459CA" w14:textId="67DE68DA" w:rsidR="00D467B9" w:rsidRDefault="00D467B9" w:rsidP="0012104E">
      <w:pPr>
        <w:pStyle w:val="ListBullet"/>
        <w:numPr>
          <w:ilvl w:val="0"/>
          <w:numId w:val="36"/>
        </w:numPr>
        <w:spacing w:after="120"/>
      </w:pPr>
      <w:r w:rsidRPr="00246A46">
        <w:rPr>
          <w:i/>
        </w:rPr>
        <w:t>Lower Swamplands</w:t>
      </w:r>
      <w:r>
        <w:t xml:space="preserve"> Section</w:t>
      </w:r>
      <w:r w:rsidRPr="006674EA">
        <w:t xml:space="preserve"> (</w:t>
      </w:r>
      <w:r>
        <w:t xml:space="preserve">Mannum </w:t>
      </w:r>
      <w:r w:rsidRPr="006674EA">
        <w:t>to Wellington), with the river flowing through areas that formerly had extensive riparian swamps, now rec</w:t>
      </w:r>
      <w:r>
        <w:t>laimed for agriculture and pro</w:t>
      </w:r>
      <w:r w:rsidRPr="006674EA">
        <w:t>t</w:t>
      </w:r>
      <w:r>
        <w:t>ected by levees</w:t>
      </w:r>
    </w:p>
    <w:p w14:paraId="1DF54F0F" w14:textId="2F68D087" w:rsidR="00D467B9" w:rsidRPr="006674EA" w:rsidRDefault="00D467B9" w:rsidP="0012104E">
      <w:pPr>
        <w:pStyle w:val="ListBullet"/>
        <w:numPr>
          <w:ilvl w:val="0"/>
          <w:numId w:val="36"/>
        </w:numPr>
        <w:spacing w:after="120"/>
      </w:pPr>
      <w:r w:rsidRPr="00246A46">
        <w:rPr>
          <w:i/>
        </w:rPr>
        <w:t>Eastern Mount Lofty Ranges Watershed</w:t>
      </w:r>
      <w:r>
        <w:t xml:space="preserve">, </w:t>
      </w:r>
      <w:r w:rsidR="00AB655D">
        <w:t xml:space="preserve">including </w:t>
      </w:r>
      <w:r>
        <w:t>the perennial and ephemeral streams</w:t>
      </w:r>
      <w:r w:rsidR="00F41CA7">
        <w:t xml:space="preserve"> </w:t>
      </w:r>
    </w:p>
    <w:p w14:paraId="66E6C086" w14:textId="7FBB4790" w:rsidR="00D467B9" w:rsidRDefault="00D467B9" w:rsidP="0012104E">
      <w:pPr>
        <w:pStyle w:val="ListBullet"/>
        <w:numPr>
          <w:ilvl w:val="0"/>
          <w:numId w:val="36"/>
        </w:numPr>
        <w:spacing w:after="120"/>
      </w:pPr>
      <w:r w:rsidRPr="00246A46">
        <w:rPr>
          <w:i/>
        </w:rPr>
        <w:t>Lower Lakes Section</w:t>
      </w:r>
      <w:r>
        <w:t xml:space="preserve"> including Lakes Alexandrina and Lake Albert</w:t>
      </w:r>
      <w:r w:rsidR="005026AF">
        <w:t>, and</w:t>
      </w:r>
      <w:r>
        <w:t xml:space="preserve"> </w:t>
      </w:r>
    </w:p>
    <w:p w14:paraId="3D74B8DC" w14:textId="5A695D5F" w:rsidR="00D467B9" w:rsidRPr="00551465" w:rsidRDefault="00D467B9" w:rsidP="0012104E">
      <w:pPr>
        <w:pStyle w:val="ListBullet"/>
        <w:numPr>
          <w:ilvl w:val="0"/>
          <w:numId w:val="36"/>
        </w:numPr>
        <w:spacing w:after="120"/>
      </w:pPr>
      <w:r w:rsidRPr="00246A46">
        <w:rPr>
          <w:i/>
        </w:rPr>
        <w:t>Coorong and Murray Mouth</w:t>
      </w:r>
      <w:r>
        <w:t>, the estuarine terminus of the River Murray</w:t>
      </w:r>
      <w:r w:rsidR="00BC75A2">
        <w:t xml:space="preserve"> and the entire Murray-Darling Basin</w:t>
      </w:r>
      <w:r w:rsidRPr="00C37F19">
        <w:t>.</w:t>
      </w:r>
    </w:p>
    <w:p w14:paraId="7B79D935" w14:textId="68586EF3" w:rsidR="00D467B9" w:rsidRDefault="00D467B9" w:rsidP="0012104E">
      <w:pPr>
        <w:pStyle w:val="ListBullet"/>
        <w:numPr>
          <w:ilvl w:val="0"/>
          <w:numId w:val="37"/>
        </w:numPr>
        <w:tabs>
          <w:tab w:val="num" w:pos="360"/>
        </w:tabs>
        <w:spacing w:after="120"/>
      </w:pPr>
      <w:r>
        <w:t xml:space="preserve">The ecological community </w:t>
      </w:r>
      <w:r w:rsidR="00A4553C">
        <w:t xml:space="preserve">also </w:t>
      </w:r>
      <w:r w:rsidR="00892FD8">
        <w:t xml:space="preserve">occurs on </w:t>
      </w:r>
      <w:r>
        <w:t xml:space="preserve">the </w:t>
      </w:r>
      <w:r w:rsidRPr="000D6801">
        <w:t xml:space="preserve">islands </w:t>
      </w:r>
      <w:r>
        <w:t xml:space="preserve">and coastal dune systems </w:t>
      </w:r>
      <w:r w:rsidRPr="000D6801">
        <w:t>wit</w:t>
      </w:r>
      <w:r>
        <w:t xml:space="preserve">hin the Murray Mouth </w:t>
      </w:r>
      <w:r w:rsidRPr="000D6801">
        <w:t>complex</w:t>
      </w:r>
      <w:r>
        <w:t xml:space="preserve">, and natural components of islands within the </w:t>
      </w:r>
      <w:r w:rsidR="00732BC9">
        <w:t xml:space="preserve">Lower Lakes, </w:t>
      </w:r>
      <w:r w:rsidR="000C7D0B">
        <w:t xml:space="preserve">River Murray </w:t>
      </w:r>
      <w:r>
        <w:t>channel</w:t>
      </w:r>
      <w:r w:rsidR="00732BC9">
        <w:t>,</w:t>
      </w:r>
      <w:r>
        <w:t xml:space="preserve"> and in </w:t>
      </w:r>
      <w:r w:rsidR="000C7D0B">
        <w:t xml:space="preserve">associated </w:t>
      </w:r>
      <w:r>
        <w:t>floodplain-wetland complexes.</w:t>
      </w:r>
    </w:p>
    <w:p w14:paraId="3595F419" w14:textId="765AD9A1" w:rsidR="00516E5C" w:rsidRDefault="00516E5C" w:rsidP="00EA0E81">
      <w:pPr>
        <w:pStyle w:val="ListBullet"/>
        <w:numPr>
          <w:ilvl w:val="0"/>
          <w:numId w:val="37"/>
        </w:numPr>
        <w:tabs>
          <w:tab w:val="num" w:pos="360"/>
        </w:tabs>
      </w:pPr>
      <w:r>
        <w:lastRenderedPageBreak/>
        <w:t xml:space="preserve">The ecological community </w:t>
      </w:r>
      <w:r w:rsidR="00892FD8">
        <w:t xml:space="preserve">occurs within </w:t>
      </w:r>
      <w:r>
        <w:t>the coastal lakes that occur between the South Lagoon of the Coorong and Kingston</w:t>
      </w:r>
      <w:r w:rsidR="000C7D0B">
        <w:t xml:space="preserve"> in South Australia</w:t>
      </w:r>
      <w:r>
        <w:t xml:space="preserve">, </w:t>
      </w:r>
      <w:r w:rsidR="00752307">
        <w:t>including</w:t>
      </w:r>
      <w:r w:rsidR="00AB655D">
        <w:t xml:space="preserve"> (but not restricted to)</w:t>
      </w:r>
      <w:r>
        <w:t xml:space="preserve">: </w:t>
      </w:r>
      <w:r w:rsidR="000D061B">
        <w:t>Lake Cantara North and South, Brine Shrimp, Coxiella, Paranki Lagoon, and Teilaka.</w:t>
      </w:r>
    </w:p>
    <w:p w14:paraId="57586ECB" w14:textId="20D9273A" w:rsidR="00027F7F" w:rsidRDefault="009211B0" w:rsidP="00550384">
      <w:pPr>
        <w:pStyle w:val="Heading3"/>
      </w:pPr>
      <w:bookmarkStart w:id="101" w:name="_Toc232747031"/>
      <w:bookmarkStart w:id="102" w:name="_Toc175317073"/>
      <w:r>
        <w:t xml:space="preserve">2.1.2 </w:t>
      </w:r>
      <w:r w:rsidR="00027F7F" w:rsidRPr="006F2735">
        <w:t>Boundaries</w:t>
      </w:r>
      <w:bookmarkEnd w:id="101"/>
      <w:bookmarkEnd w:id="102"/>
      <w:r w:rsidR="00AF3BCB" w:rsidRPr="006F2735">
        <w:t xml:space="preserve"> </w:t>
      </w:r>
    </w:p>
    <w:p w14:paraId="4D3BCE56" w14:textId="4A8F8559" w:rsidR="000C7D0B" w:rsidRDefault="00D1501D" w:rsidP="000C7D0B">
      <w:r>
        <w:t>The main boundaries</w:t>
      </w:r>
      <w:r w:rsidR="002C10E2">
        <w:t xml:space="preserve"> </w:t>
      </w:r>
      <w:r w:rsidR="00A4553C">
        <w:t xml:space="preserve">for the RMDS </w:t>
      </w:r>
      <w:r w:rsidR="00210184">
        <w:t xml:space="preserve">ecological community </w:t>
      </w:r>
      <w:r w:rsidR="00964116">
        <w:t>are</w:t>
      </w:r>
      <w:r w:rsidR="00A5231D">
        <w:t xml:space="preserve"> (and see </w:t>
      </w:r>
      <w:r w:rsidR="00A5231D" w:rsidRPr="00A5231D">
        <w:rPr>
          <w:u w:val="single"/>
        </w:rPr>
        <w:t>Tables 2 and 3</w:t>
      </w:r>
      <w:r w:rsidR="00A5231D">
        <w:t>):</w:t>
      </w:r>
      <w:r w:rsidR="00A5231D" w:rsidRPr="001248EB">
        <w:rPr>
          <w:color w:val="FF0000"/>
        </w:rPr>
        <w:t xml:space="preserve"> </w:t>
      </w:r>
    </w:p>
    <w:p w14:paraId="21D1125F" w14:textId="0D754662" w:rsidR="00D2241C" w:rsidRDefault="00027F7F" w:rsidP="0029074B">
      <w:pPr>
        <w:pStyle w:val="ListBullet"/>
        <w:numPr>
          <w:ilvl w:val="0"/>
          <w:numId w:val="37"/>
        </w:numPr>
        <w:tabs>
          <w:tab w:val="num" w:pos="360"/>
        </w:tabs>
        <w:spacing w:after="120"/>
      </w:pPr>
      <w:r>
        <w:t xml:space="preserve">The upstream boundary of the RMDS </w:t>
      </w:r>
      <w:r w:rsidR="00701F72">
        <w:t>EC</w:t>
      </w:r>
      <w:r>
        <w:t xml:space="preserve"> is at Lock 10, near the </w:t>
      </w:r>
      <w:r w:rsidRPr="000D6801">
        <w:t>conflu</w:t>
      </w:r>
      <w:r>
        <w:t xml:space="preserve">ence of the Murray and Darling rivers (i.e. where the waters of the two rivers begin to mix). </w:t>
      </w:r>
    </w:p>
    <w:p w14:paraId="55AF5BCF" w14:textId="045090D6" w:rsidR="00027F7F" w:rsidRPr="005C599B" w:rsidRDefault="00027F7F" w:rsidP="00610D91">
      <w:pPr>
        <w:pStyle w:val="ListParagraph"/>
        <w:numPr>
          <w:ilvl w:val="0"/>
          <w:numId w:val="37"/>
        </w:numPr>
        <w:tabs>
          <w:tab w:val="num" w:pos="360"/>
        </w:tabs>
        <w:spacing w:after="120"/>
      </w:pPr>
      <w:r>
        <w:t>The d</w:t>
      </w:r>
      <w:r w:rsidRPr="001B79AC">
        <w:t>ownstream boundary</w:t>
      </w:r>
      <w:r>
        <w:t xml:space="preserve"> is at the </w:t>
      </w:r>
      <w:r w:rsidRPr="000D6801">
        <w:t>Murray Mouth</w:t>
      </w:r>
      <w:r>
        <w:t xml:space="preserve"> and the Coorong lagoons</w:t>
      </w:r>
      <w:r w:rsidRPr="000D6801">
        <w:t xml:space="preserve">, </w:t>
      </w:r>
      <w:r>
        <w:t>and includes</w:t>
      </w:r>
      <w:r w:rsidRPr="000D6801">
        <w:t xml:space="preserve"> associated sa</w:t>
      </w:r>
      <w:r>
        <w:t>nd dune systems, peninsulas</w:t>
      </w:r>
      <w:r w:rsidR="00936651">
        <w:t>,</w:t>
      </w:r>
      <w:r>
        <w:t xml:space="preserve"> and </w:t>
      </w:r>
      <w:r w:rsidRPr="000D6801">
        <w:t>islands</w:t>
      </w:r>
      <w:r>
        <w:t>.</w:t>
      </w:r>
    </w:p>
    <w:p w14:paraId="43620245" w14:textId="6D29CD51" w:rsidR="00027F7F" w:rsidRPr="00EC2078" w:rsidRDefault="00027F7F" w:rsidP="0012104E">
      <w:pPr>
        <w:pStyle w:val="ListBullet"/>
        <w:numPr>
          <w:ilvl w:val="0"/>
          <w:numId w:val="37"/>
        </w:numPr>
        <w:tabs>
          <w:tab w:val="num" w:pos="360"/>
        </w:tabs>
        <w:spacing w:after="120"/>
        <w:rPr>
          <w:color w:val="FF0000"/>
        </w:rPr>
      </w:pPr>
      <w:r>
        <w:t xml:space="preserve">The general lateral boundary envelope for the </w:t>
      </w:r>
      <w:r w:rsidR="00936651">
        <w:t xml:space="preserve">RMDS EC </w:t>
      </w:r>
      <w:r>
        <w:t xml:space="preserve">is </w:t>
      </w:r>
      <w:r w:rsidRPr="000D6801">
        <w:t>the 1956 flood</w:t>
      </w:r>
      <w:r w:rsidR="00177B35">
        <w:t xml:space="preserve"> </w:t>
      </w:r>
      <w:r w:rsidRPr="000D6801">
        <w:t>line</w:t>
      </w:r>
      <w:r>
        <w:t xml:space="preserve">. </w:t>
      </w:r>
    </w:p>
    <w:p w14:paraId="21FDE464" w14:textId="77777777" w:rsidR="00027F7F" w:rsidRPr="000D6801" w:rsidRDefault="00027F7F" w:rsidP="0012104E">
      <w:pPr>
        <w:pStyle w:val="ListBullet"/>
        <w:numPr>
          <w:ilvl w:val="0"/>
          <w:numId w:val="37"/>
        </w:numPr>
        <w:tabs>
          <w:tab w:val="num" w:pos="360"/>
        </w:tabs>
        <w:spacing w:after="120"/>
      </w:pPr>
      <w:r>
        <w:t xml:space="preserve">Permanent and episodic </w:t>
      </w:r>
      <w:r w:rsidRPr="000D6801">
        <w:t>streams and tributaries</w:t>
      </w:r>
      <w:r>
        <w:t xml:space="preserve"> that flow into or adjoin the River Murray:</w:t>
      </w:r>
    </w:p>
    <w:p w14:paraId="242F8335" w14:textId="08F9DC5E" w:rsidR="00027F7F" w:rsidRPr="000D6801" w:rsidRDefault="00027F7F" w:rsidP="0012104E">
      <w:pPr>
        <w:pStyle w:val="ListBullet"/>
        <w:numPr>
          <w:ilvl w:val="0"/>
          <w:numId w:val="38"/>
        </w:numPr>
        <w:spacing w:after="120"/>
        <w:ind w:left="720"/>
      </w:pPr>
      <w:r w:rsidRPr="000D6801">
        <w:t>East</w:t>
      </w:r>
      <w:r>
        <w:t>ern</w:t>
      </w:r>
      <w:r w:rsidRPr="000D6801">
        <w:t xml:space="preserve"> Mount Loft</w:t>
      </w:r>
      <w:r>
        <w:t>y Ranges (EMLR) Section</w:t>
      </w:r>
      <w:r w:rsidR="00EC2078">
        <w:t>—for</w:t>
      </w:r>
      <w:r w:rsidRPr="000D6801">
        <w:t xml:space="preserve"> individual </w:t>
      </w:r>
      <w:r>
        <w:t xml:space="preserve">permanent and episodic </w:t>
      </w:r>
      <w:r w:rsidRPr="000D6801">
        <w:t>stream</w:t>
      </w:r>
      <w:r>
        <w:t>s/tributaries that enter the Murray via the Eastern Mount Lofty Ranges or the Marne-Saunders Prescribed Water Resources Areas (SAMDBNRM Board 2010a, 2010b)</w:t>
      </w:r>
      <w:r w:rsidR="00EC2078">
        <w:t>,</w:t>
      </w:r>
      <w:r>
        <w:t xml:space="preserve">  the longitudinal</w:t>
      </w:r>
      <w:r w:rsidRPr="000D6801">
        <w:t xml:space="preserve"> boundary </w:t>
      </w:r>
      <w:r>
        <w:t xml:space="preserve">is that </w:t>
      </w:r>
      <w:r w:rsidRPr="000D6801">
        <w:t>of the Prescribed Water Area</w:t>
      </w:r>
      <w:r>
        <w:t xml:space="preserve"> for each</w:t>
      </w:r>
      <w:r w:rsidR="00AA24FD">
        <w:t xml:space="preserve">. </w:t>
      </w:r>
    </w:p>
    <w:p w14:paraId="4DC9488B" w14:textId="587EC06F" w:rsidR="00027F7F" w:rsidRPr="000D6801" w:rsidRDefault="00027F7F" w:rsidP="0012104E">
      <w:pPr>
        <w:pStyle w:val="ListBullet"/>
        <w:numPr>
          <w:ilvl w:val="0"/>
          <w:numId w:val="38"/>
        </w:numPr>
        <w:spacing w:after="120"/>
        <w:ind w:left="720"/>
      </w:pPr>
      <w:r w:rsidRPr="000D6801">
        <w:t xml:space="preserve">Salt </w:t>
      </w:r>
      <w:r>
        <w:t>Creek (entire length) which intermittently funnels surface water into the South Lagoon of the Coorong</w:t>
      </w:r>
      <w:r w:rsidR="00FE1E28">
        <w:t>.</w:t>
      </w:r>
    </w:p>
    <w:p w14:paraId="3DF0D07E" w14:textId="44143026" w:rsidR="00027F7F" w:rsidRPr="000D6801" w:rsidRDefault="00027F7F" w:rsidP="0012104E">
      <w:pPr>
        <w:pStyle w:val="ListBullet"/>
        <w:numPr>
          <w:ilvl w:val="0"/>
          <w:numId w:val="38"/>
        </w:numPr>
        <w:spacing w:after="120"/>
        <w:ind w:left="720"/>
      </w:pPr>
      <w:r w:rsidRPr="000D6801">
        <w:t>Lower Darling Anabranch</w:t>
      </w:r>
      <w:r w:rsidR="008F3FF2">
        <w:t xml:space="preserve">—from </w:t>
      </w:r>
      <w:r>
        <w:t xml:space="preserve">the junction with the River Murray </w:t>
      </w:r>
      <w:r w:rsidRPr="000D6801">
        <w:t xml:space="preserve">to </w:t>
      </w:r>
      <w:r>
        <w:t xml:space="preserve">the </w:t>
      </w:r>
      <w:r w:rsidRPr="000D6801">
        <w:t>upstream influence of Lock 9</w:t>
      </w:r>
      <w:r w:rsidR="008F3FF2">
        <w:t xml:space="preserve">, which occurs at around </w:t>
      </w:r>
      <w:r>
        <w:t>Glen Esk</w:t>
      </w:r>
      <w:r w:rsidR="008F3FF2">
        <w:t xml:space="preserve"> and is </w:t>
      </w:r>
      <w:r>
        <w:t>approximately 25 km from the Murray</w:t>
      </w:r>
      <w:r w:rsidR="008F3FF2">
        <w:t xml:space="preserve"> River</w:t>
      </w:r>
      <w:r w:rsidR="00191713">
        <w:t xml:space="preserve">. </w:t>
      </w:r>
    </w:p>
    <w:p w14:paraId="5A7B3D00" w14:textId="172FDEC1" w:rsidR="00027F7F" w:rsidRPr="000D6801" w:rsidRDefault="00C6542C" w:rsidP="0012104E">
      <w:pPr>
        <w:pStyle w:val="ListBullet"/>
        <w:numPr>
          <w:ilvl w:val="0"/>
          <w:numId w:val="38"/>
        </w:numPr>
        <w:spacing w:after="120"/>
        <w:ind w:left="720"/>
      </w:pPr>
      <w:r>
        <w:t>O</w:t>
      </w:r>
      <w:r w:rsidR="00027F7F">
        <w:t>ther streams/</w:t>
      </w:r>
      <w:r w:rsidR="00027F7F" w:rsidRPr="000D6801">
        <w:t xml:space="preserve">tributaries </w:t>
      </w:r>
      <w:r w:rsidR="00027F7F">
        <w:t xml:space="preserve">that connect the River Murray channel with wetlands upstream of Mannum (i.e. </w:t>
      </w:r>
      <w:r>
        <w:t xml:space="preserve">those </w:t>
      </w:r>
      <w:r w:rsidR="00027F7F" w:rsidRPr="000D6801">
        <w:t xml:space="preserve">occurring between </w:t>
      </w:r>
      <w:r w:rsidR="00027F7F">
        <w:t>Lock 1 and Lock 10)</w:t>
      </w:r>
      <w:r w:rsidR="00232F72">
        <w:t>.</w:t>
      </w:r>
    </w:p>
    <w:p w14:paraId="268BBAE9" w14:textId="13894F33" w:rsidR="00695C9B" w:rsidRDefault="00027F7F" w:rsidP="0012104E">
      <w:pPr>
        <w:pStyle w:val="ListBullet"/>
        <w:numPr>
          <w:ilvl w:val="0"/>
          <w:numId w:val="38"/>
        </w:numPr>
        <w:spacing w:after="120"/>
        <w:ind w:left="720"/>
      </w:pPr>
      <w:r w:rsidRPr="000D6801">
        <w:t xml:space="preserve">Lake Victoria </w:t>
      </w:r>
      <w:r>
        <w:t xml:space="preserve">(located in south-western NSW) </w:t>
      </w:r>
      <w:r w:rsidRPr="000D6801">
        <w:t>and its input/</w:t>
      </w:r>
      <w:r>
        <w:t xml:space="preserve">output streams, </w:t>
      </w:r>
      <w:r w:rsidRPr="000D6801">
        <w:t>Frenchman's Creek</w:t>
      </w:r>
      <w:r>
        <w:t xml:space="preserve"> and Rufus River</w:t>
      </w:r>
      <w:r w:rsidRPr="000D6801">
        <w:t>.</w:t>
      </w:r>
      <w:r>
        <w:t xml:space="preserve"> Note: the lateral boundary for Lake Victoria is the 1956 flood</w:t>
      </w:r>
      <w:r w:rsidR="00177B35">
        <w:t xml:space="preserve"> </w:t>
      </w:r>
      <w:r>
        <w:t>line.</w:t>
      </w:r>
    </w:p>
    <w:p w14:paraId="015E62AF" w14:textId="34D0F32B" w:rsidR="00DB104D" w:rsidRPr="00432C00" w:rsidRDefault="001C2760" w:rsidP="00F04655">
      <w:pPr>
        <w:pStyle w:val="ListBullet"/>
        <w:numPr>
          <w:ilvl w:val="0"/>
          <w:numId w:val="38"/>
        </w:numPr>
        <w:ind w:left="720"/>
      </w:pPr>
      <w:r>
        <w:t>F</w:t>
      </w:r>
      <w:r w:rsidR="00232F72">
        <w:t xml:space="preserve">or </w:t>
      </w:r>
      <w:r w:rsidR="001F3255">
        <w:t xml:space="preserve">the Darling Anabranch and other </w:t>
      </w:r>
      <w:r w:rsidR="00232F72">
        <w:t>streams</w:t>
      </w:r>
      <w:r w:rsidR="00FE194F">
        <w:t xml:space="preserve"> or tributaries,</w:t>
      </w:r>
      <w:r w:rsidR="00232F72">
        <w:t xml:space="preserve"> as included above</w:t>
      </w:r>
      <w:r w:rsidR="00FE194F">
        <w:t xml:space="preserve">, the lateral boundary </w:t>
      </w:r>
      <w:r>
        <w:t xml:space="preserve">is the </w:t>
      </w:r>
      <w:r w:rsidR="00376A19">
        <w:t>1956 flood</w:t>
      </w:r>
      <w:r w:rsidR="00177B35">
        <w:t xml:space="preserve"> </w:t>
      </w:r>
      <w:r w:rsidR="00376A19">
        <w:t>line, or</w:t>
      </w:r>
      <w:r w:rsidR="00FF127D">
        <w:t>,</w:t>
      </w:r>
      <w:r w:rsidR="00376A19">
        <w:t xml:space="preserve"> 100 m</w:t>
      </w:r>
      <w:r w:rsidR="00376A19" w:rsidRPr="00376A19">
        <w:t xml:space="preserve"> </w:t>
      </w:r>
      <w:r w:rsidR="00376A19">
        <w:t xml:space="preserve">on either side from the ‘typical’ edge of the stream—whichever of these </w:t>
      </w:r>
      <w:r w:rsidR="00FF127D">
        <w:t xml:space="preserve">two measures </w:t>
      </w:r>
      <w:r w:rsidR="00376A19">
        <w:t>is the greater</w:t>
      </w:r>
      <w:r w:rsidR="00376A19" w:rsidRPr="002D2BF5">
        <w:t>.</w:t>
      </w:r>
      <w:r w:rsidR="00376A19">
        <w:t xml:space="preserve"> </w:t>
      </w:r>
      <w:bookmarkStart w:id="103" w:name="_Toc232747032"/>
    </w:p>
    <w:p w14:paraId="0B5236D5" w14:textId="3B337404" w:rsidR="00B70E6E" w:rsidRPr="003A2C26" w:rsidRDefault="009211B0" w:rsidP="00550384">
      <w:pPr>
        <w:pStyle w:val="Heading3"/>
      </w:pPr>
      <w:bookmarkStart w:id="104" w:name="_Toc175317074"/>
      <w:r>
        <w:t xml:space="preserve">2.1.3 </w:t>
      </w:r>
      <w:r w:rsidR="007B2E46" w:rsidRPr="003A2C26">
        <w:t>Key h</w:t>
      </w:r>
      <w:r w:rsidR="00B70E6E" w:rsidRPr="003A2C26">
        <w:t>ydrology</w:t>
      </w:r>
      <w:bookmarkEnd w:id="103"/>
      <w:bookmarkEnd w:id="104"/>
    </w:p>
    <w:p w14:paraId="6C0E4026" w14:textId="375EF5BC" w:rsidR="00B70E6E" w:rsidRDefault="00B70E6E" w:rsidP="0012104E">
      <w:pPr>
        <w:pStyle w:val="ListBullet"/>
        <w:numPr>
          <w:ilvl w:val="0"/>
          <w:numId w:val="37"/>
        </w:numPr>
        <w:tabs>
          <w:tab w:val="num" w:pos="360"/>
        </w:tabs>
        <w:spacing w:after="120"/>
      </w:pPr>
      <w:r>
        <w:t xml:space="preserve">Flow is </w:t>
      </w:r>
      <w:r w:rsidR="001011A4">
        <w:t>a</w:t>
      </w:r>
      <w:r>
        <w:t xml:space="preserve"> driver variable that sustains all natural physical and biological processes in the ecological community, including keeping the mouth of the river open and determining wetting and drying cycles and overbank flows on the floodplain. There is not a simple relationship between flow (discharge) and water levels, as the latter are affected by </w:t>
      </w:r>
      <w:r w:rsidR="001011A4">
        <w:t xml:space="preserve">the </w:t>
      </w:r>
      <w:r>
        <w:t>weirs</w:t>
      </w:r>
      <w:r w:rsidR="001011A4">
        <w:t xml:space="preserve"> (locks) and barrages</w:t>
      </w:r>
      <w:r>
        <w:t>.</w:t>
      </w:r>
    </w:p>
    <w:p w14:paraId="58A6233F" w14:textId="0EF05328" w:rsidR="00C926F0" w:rsidRDefault="00B70E6E" w:rsidP="0012104E">
      <w:pPr>
        <w:pStyle w:val="ListBullet"/>
        <w:numPr>
          <w:ilvl w:val="0"/>
          <w:numId w:val="37"/>
        </w:numPr>
        <w:tabs>
          <w:tab w:val="num" w:pos="360"/>
        </w:tabs>
        <w:spacing w:after="120"/>
      </w:pPr>
      <w:r>
        <w:t>H</w:t>
      </w:r>
      <w:r w:rsidRPr="006744A3">
        <w:t>ydrological connectivity</w:t>
      </w:r>
      <w:r>
        <w:t xml:space="preserve">, driven by flow, is </w:t>
      </w:r>
      <w:r w:rsidRPr="006744A3">
        <w:t xml:space="preserve">central for maintaining </w:t>
      </w:r>
      <w:r w:rsidR="00463800">
        <w:t>the ecological community in a</w:t>
      </w:r>
      <w:r w:rsidRPr="006744A3">
        <w:t xml:space="preserve"> healthy functioning</w:t>
      </w:r>
      <w:r w:rsidR="00463800">
        <w:t xml:space="preserve"> state</w:t>
      </w:r>
      <w:r>
        <w:t xml:space="preserve">. There are </w:t>
      </w:r>
      <w:r w:rsidR="00A036F8">
        <w:t>three</w:t>
      </w:r>
      <w:r w:rsidRPr="006744A3">
        <w:t xml:space="preserve"> main dimensions for operational connectivity</w:t>
      </w:r>
      <w:r>
        <w:t>:</w:t>
      </w:r>
    </w:p>
    <w:p w14:paraId="71062993" w14:textId="7BBBA6BE" w:rsidR="00C926F0" w:rsidRDefault="00B70E6E" w:rsidP="0012104E">
      <w:pPr>
        <w:pStyle w:val="ListBullet"/>
        <w:numPr>
          <w:ilvl w:val="1"/>
          <w:numId w:val="37"/>
        </w:numPr>
        <w:spacing w:after="120"/>
      </w:pPr>
      <w:r w:rsidRPr="006744A3">
        <w:t>vertical</w:t>
      </w:r>
      <w:r>
        <w:t>ly</w:t>
      </w:r>
      <w:r w:rsidRPr="006744A3">
        <w:t xml:space="preserve"> (groundwater/surface water)</w:t>
      </w:r>
    </w:p>
    <w:p w14:paraId="08370856" w14:textId="44029888" w:rsidR="00C926F0" w:rsidRDefault="00B70E6E" w:rsidP="0012104E">
      <w:pPr>
        <w:pStyle w:val="ListBullet"/>
        <w:numPr>
          <w:ilvl w:val="1"/>
          <w:numId w:val="37"/>
        </w:numPr>
        <w:spacing w:after="120"/>
      </w:pPr>
      <w:r w:rsidRPr="006744A3">
        <w:t>longitudinally (along river to sea</w:t>
      </w:r>
      <w:r w:rsidR="00A036F8">
        <w:t xml:space="preserve">, including </w:t>
      </w:r>
      <w:r w:rsidR="00124FD3">
        <w:t>an open river mouth</w:t>
      </w:r>
      <w:r w:rsidRPr="006744A3">
        <w:t xml:space="preserve">), </w:t>
      </w:r>
      <w:r>
        <w:t xml:space="preserve">and </w:t>
      </w:r>
    </w:p>
    <w:p w14:paraId="79BFE989" w14:textId="63C8EFB8" w:rsidR="00B70E6E" w:rsidRPr="006744A3" w:rsidRDefault="00B70E6E" w:rsidP="0012104E">
      <w:pPr>
        <w:pStyle w:val="ListBullet"/>
        <w:numPr>
          <w:ilvl w:val="1"/>
          <w:numId w:val="37"/>
        </w:numPr>
        <w:spacing w:after="120"/>
      </w:pPr>
      <w:r w:rsidRPr="006744A3">
        <w:t>laterally (across banks</w:t>
      </w:r>
      <w:r w:rsidR="00C926F0">
        <w:t>, wetlands,</w:t>
      </w:r>
      <w:r w:rsidRPr="006744A3">
        <w:t xml:space="preserve"> and floodplain).</w:t>
      </w:r>
    </w:p>
    <w:p w14:paraId="7483575A" w14:textId="34B2DFD4" w:rsidR="00F038D0" w:rsidRPr="00296371" w:rsidRDefault="003A6A84" w:rsidP="0012104E">
      <w:pPr>
        <w:pStyle w:val="ListBullet"/>
        <w:numPr>
          <w:ilvl w:val="0"/>
          <w:numId w:val="37"/>
        </w:numPr>
        <w:tabs>
          <w:tab w:val="num" w:pos="360"/>
        </w:tabs>
        <w:spacing w:after="120"/>
      </w:pPr>
      <w:r>
        <w:lastRenderedPageBreak/>
        <w:t>It is recognised that t</w:t>
      </w:r>
      <w:r w:rsidR="00B70E6E">
        <w:t xml:space="preserve">he flow regime </w:t>
      </w:r>
      <w:r w:rsidR="00892FD8">
        <w:t xml:space="preserve">for </w:t>
      </w:r>
      <w:r w:rsidR="00B70E6E">
        <w:t>the ecological community, including</w:t>
      </w:r>
      <w:r w:rsidR="00B70E6E" w:rsidRPr="006674EA">
        <w:t xml:space="preserve"> overbank flows</w:t>
      </w:r>
      <w:r w:rsidR="00B70E6E">
        <w:t xml:space="preserve"> and hydraulic connectivity, is</w:t>
      </w:r>
      <w:r w:rsidR="00B70E6E" w:rsidRPr="006674EA">
        <w:t xml:space="preserve"> highly </w:t>
      </w:r>
      <w:r w:rsidR="00DA2B23">
        <w:t xml:space="preserve">and permanently </w:t>
      </w:r>
      <w:r w:rsidR="00B70E6E" w:rsidRPr="006674EA">
        <w:t xml:space="preserve">modified by </w:t>
      </w:r>
      <w:r w:rsidR="00C035C4">
        <w:t xml:space="preserve">the </w:t>
      </w:r>
      <w:r w:rsidR="00B70E6E" w:rsidRPr="006674EA">
        <w:t>10 weirs</w:t>
      </w:r>
      <w:r w:rsidR="00124FD3">
        <w:t xml:space="preserve"> (locks)</w:t>
      </w:r>
      <w:r w:rsidR="00B70E6E" w:rsidRPr="006674EA">
        <w:t xml:space="preserve"> on the channel</w:t>
      </w:r>
      <w:r w:rsidR="007A5707">
        <w:t xml:space="preserve"> </w:t>
      </w:r>
      <w:r w:rsidR="006B2021" w:rsidRPr="006674EA">
        <w:t>and five barrages on Lake Alexandrina</w:t>
      </w:r>
      <w:r w:rsidR="006B2021">
        <w:t xml:space="preserve"> that have been in place since 1922-1940. </w:t>
      </w:r>
      <w:r w:rsidR="00C8229E">
        <w:t>F</w:t>
      </w:r>
      <w:r w:rsidR="00C328DC">
        <w:t xml:space="preserve">low is also modified by </w:t>
      </w:r>
      <w:r w:rsidR="00B70E6E" w:rsidRPr="006674EA">
        <w:t>about 200 km of riverbank levees, numerous off</w:t>
      </w:r>
      <w:r w:rsidR="00167786">
        <w:t>-</w:t>
      </w:r>
      <w:r w:rsidR="00B70E6E" w:rsidRPr="006674EA">
        <w:t xml:space="preserve">stream </w:t>
      </w:r>
      <w:r w:rsidR="00B70E6E">
        <w:t>wetland regulators</w:t>
      </w:r>
      <w:r w:rsidR="00124FD3">
        <w:t>,</w:t>
      </w:r>
      <w:r w:rsidR="00B70E6E">
        <w:t xml:space="preserve"> </w:t>
      </w:r>
      <w:r w:rsidR="00C328DC">
        <w:t xml:space="preserve">and </w:t>
      </w:r>
      <w:r w:rsidR="00B70E6E" w:rsidRPr="006674EA">
        <w:t>temporary weirs (</w:t>
      </w:r>
      <w:r w:rsidR="00B70E6E">
        <w:t xml:space="preserve">e.g. </w:t>
      </w:r>
      <w:r w:rsidR="00B70E6E" w:rsidRPr="006674EA">
        <w:t>The Narrows, Clayton Bay</w:t>
      </w:r>
      <w:r w:rsidR="00B70E6E">
        <w:t xml:space="preserve"> (</w:t>
      </w:r>
      <w:bookmarkStart w:id="105" w:name="_Hlk158647778"/>
      <w:r w:rsidR="00030087">
        <w:t xml:space="preserve">this was </w:t>
      </w:r>
      <w:r w:rsidR="00B70E6E">
        <w:t>removed</w:t>
      </w:r>
      <w:r w:rsidR="00030087">
        <w:t xml:space="preserve"> in</w:t>
      </w:r>
      <w:r w:rsidR="00B70E6E">
        <w:t xml:space="preserve"> </w:t>
      </w:r>
      <w:bookmarkEnd w:id="105"/>
      <w:r w:rsidR="00B70E6E">
        <w:t>2011)</w:t>
      </w:r>
      <w:r w:rsidR="00B70E6E" w:rsidRPr="006674EA">
        <w:t>, Currency Creek</w:t>
      </w:r>
      <w:r w:rsidR="002D2BF5">
        <w:t>.</w:t>
      </w:r>
    </w:p>
    <w:p w14:paraId="0FA40C9E" w14:textId="768D0619" w:rsidR="00B70E6E" w:rsidRPr="00B70E6E" w:rsidRDefault="00B70E6E" w:rsidP="0012104E">
      <w:pPr>
        <w:pStyle w:val="ListBullet"/>
        <w:numPr>
          <w:ilvl w:val="0"/>
          <w:numId w:val="37"/>
        </w:numPr>
        <w:tabs>
          <w:tab w:val="num" w:pos="360"/>
        </w:tabs>
        <w:spacing w:after="120"/>
      </w:pPr>
      <w:r>
        <w:t xml:space="preserve">Groundwater from aquifers can contribute significantly to baseflow in many of the associated streams and wetlands that form part of the </w:t>
      </w:r>
      <w:r w:rsidR="00892FD8">
        <w:t xml:space="preserve">habitat for the </w:t>
      </w:r>
      <w:r>
        <w:t>ecological community, including those that may feed directly into the River Murray.</w:t>
      </w:r>
    </w:p>
    <w:p w14:paraId="24A6DD66" w14:textId="5F58AAA5" w:rsidR="003712AD" w:rsidRPr="003712AD" w:rsidRDefault="00B70E6E" w:rsidP="0012104E">
      <w:pPr>
        <w:pStyle w:val="ListBullet"/>
        <w:numPr>
          <w:ilvl w:val="0"/>
          <w:numId w:val="37"/>
        </w:numPr>
        <w:tabs>
          <w:tab w:val="num" w:pos="360"/>
        </w:tabs>
        <w:spacing w:after="120"/>
      </w:pPr>
      <w:r>
        <w:t xml:space="preserve">Although pre-regulation is a more natural benchmark state (reference condition), a useful reference condition for the ecological community may be the periods of </w:t>
      </w:r>
      <w:r w:rsidR="00641438">
        <w:t>‘</w:t>
      </w:r>
      <w:r>
        <w:t>good</w:t>
      </w:r>
      <w:r w:rsidR="00641438">
        <w:t>’</w:t>
      </w:r>
      <w:r>
        <w:t xml:space="preserve"> flows </w:t>
      </w:r>
      <w:r w:rsidR="00641438">
        <w:t xml:space="preserve">(i.e. small, medium, overbank) </w:t>
      </w:r>
      <w:r>
        <w:t>in the early 1970s or earlier (i.e. prior to the establishment of common carp) (TSSC 2010).</w:t>
      </w:r>
    </w:p>
    <w:p w14:paraId="51BA9724" w14:textId="6D392652" w:rsidR="009E7CDF" w:rsidRPr="003A2C26" w:rsidRDefault="009211B0" w:rsidP="00550384">
      <w:pPr>
        <w:pStyle w:val="Heading3"/>
      </w:pPr>
      <w:bookmarkStart w:id="106" w:name="_Toc232747033"/>
      <w:bookmarkStart w:id="107" w:name="_Toc175317075"/>
      <w:r>
        <w:t xml:space="preserve">2.1.4 </w:t>
      </w:r>
      <w:r w:rsidR="009E7CDF" w:rsidRPr="003A2C26">
        <w:t>Biota</w:t>
      </w:r>
      <w:bookmarkEnd w:id="106"/>
      <w:r w:rsidR="009E7CDF" w:rsidRPr="003A2C26">
        <w:t xml:space="preserve"> </w:t>
      </w:r>
      <w:r w:rsidR="00365F12" w:rsidRPr="003A2C26">
        <w:t>that is</w:t>
      </w:r>
      <w:r w:rsidR="00CA7FA8" w:rsidRPr="003A2C26">
        <w:t xml:space="preserve"> the RMDS EC</w:t>
      </w:r>
      <w:bookmarkEnd w:id="107"/>
    </w:p>
    <w:p w14:paraId="7E452680" w14:textId="43298063" w:rsidR="009E7CDF" w:rsidRDefault="009E7CDF" w:rsidP="0012104E">
      <w:pPr>
        <w:pStyle w:val="ListBullet"/>
        <w:numPr>
          <w:ilvl w:val="0"/>
          <w:numId w:val="37"/>
        </w:numPr>
      </w:pPr>
      <w:r w:rsidRPr="002D1FEC">
        <w:t>The geomorphic diversity</w:t>
      </w:r>
      <w:r>
        <w:t xml:space="preserve"> within the</w:t>
      </w:r>
      <w:r w:rsidR="00365F12">
        <w:t xml:space="preserve"> environment of the</w:t>
      </w:r>
      <w:r>
        <w:t xml:space="preserve"> RMDS ecological community </w:t>
      </w:r>
      <w:r w:rsidRPr="002D1FEC">
        <w:t xml:space="preserve">is reflected in diverse aquatic and terrestrial habitats, and correspondingly high levels of biodiversity and </w:t>
      </w:r>
      <w:r>
        <w:t xml:space="preserve">keystone biota </w:t>
      </w:r>
      <w:r w:rsidR="00C84746">
        <w:t xml:space="preserve">(see </w:t>
      </w:r>
      <w:r w:rsidR="00C84746" w:rsidRPr="00C84746">
        <w:rPr>
          <w:u w:val="single"/>
        </w:rPr>
        <w:t>Section 1.2.2</w:t>
      </w:r>
      <w:r w:rsidR="00C84746">
        <w:t xml:space="preserve">). </w:t>
      </w:r>
    </w:p>
    <w:p w14:paraId="70A3A6BB" w14:textId="34E3FC5B" w:rsidR="00F16996" w:rsidRDefault="00F16996" w:rsidP="00F16996">
      <w:pPr>
        <w:pStyle w:val="ListBullet"/>
        <w:numPr>
          <w:ilvl w:val="0"/>
          <w:numId w:val="37"/>
        </w:numPr>
      </w:pPr>
      <w:r>
        <w:t>A range of vegetation types is present, which intergrade and are variable and dynamic depending on wet and dry cycles, including: woodland-forest, shrubland, herb</w:t>
      </w:r>
      <w:r w:rsidR="0022744E">
        <w:t>land</w:t>
      </w:r>
      <w:r>
        <w:t>, grassland, riparian and submerged aquatic.</w:t>
      </w:r>
      <w:r w:rsidRPr="00F90576">
        <w:t xml:space="preserve"> </w:t>
      </w:r>
      <w:r>
        <w:t>Some species may not be visible or suffer significant dieback during prolonged drought</w:t>
      </w:r>
      <w:r w:rsidR="0022744E">
        <w:t xml:space="preserve"> </w:t>
      </w:r>
      <w:r>
        <w:t>but may be retained in the seedbank</w:t>
      </w:r>
      <w:r w:rsidRPr="00A66E53">
        <w:t xml:space="preserve"> </w:t>
      </w:r>
      <w:r>
        <w:t>or resprout foliage when flooded.</w:t>
      </w:r>
    </w:p>
    <w:p w14:paraId="13B3B7EC" w14:textId="791ABD34" w:rsidR="00F16996" w:rsidRPr="004B41E6" w:rsidRDefault="00D02E1E" w:rsidP="00D02E1E">
      <w:pPr>
        <w:pStyle w:val="ListBullet"/>
        <w:numPr>
          <w:ilvl w:val="0"/>
          <w:numId w:val="37"/>
        </w:numPr>
      </w:pPr>
      <w:r>
        <w:t xml:space="preserve">The canopy of the floodplain and riparian vegetation of the ecological community is generally dominated by two tree species, </w:t>
      </w:r>
      <w:r>
        <w:rPr>
          <w:i/>
        </w:rPr>
        <w:t>Eucalyptus camaldulensis</w:t>
      </w:r>
      <w:r>
        <w:t xml:space="preserve"> (river red gum), typically along the river-banks and foreshore, and </w:t>
      </w:r>
      <w:r w:rsidRPr="008A5B3D">
        <w:rPr>
          <w:i/>
        </w:rPr>
        <w:t>Eucalyptus largiflorens</w:t>
      </w:r>
      <w:r>
        <w:t xml:space="preserve"> (black box), typically on the outer or higher parts of the floodplain. </w:t>
      </w:r>
      <w:r w:rsidR="00735BFC" w:rsidRPr="004B41E6">
        <w:t xml:space="preserve">Dead hollow-bearing individuals of these trees are considered </w:t>
      </w:r>
      <w:r w:rsidR="004B41E6">
        <w:t>to be</w:t>
      </w:r>
      <w:r w:rsidR="00735BFC" w:rsidRPr="004B41E6">
        <w:t xml:space="preserve"> part of the RMDS EC</w:t>
      </w:r>
      <w:r w:rsidR="004B41E6">
        <w:t>.</w:t>
      </w:r>
    </w:p>
    <w:p w14:paraId="3DE30851" w14:textId="40A8BC89" w:rsidR="009E7CDF" w:rsidRDefault="009E7CDF" w:rsidP="0012104E">
      <w:pPr>
        <w:pStyle w:val="ListBullet"/>
        <w:numPr>
          <w:ilvl w:val="0"/>
          <w:numId w:val="37"/>
        </w:numPr>
      </w:pPr>
      <w:r>
        <w:t>There is considerable variation in the understorey</w:t>
      </w:r>
      <w:r w:rsidR="001158AD">
        <w:t>, shrub</w:t>
      </w:r>
      <w:r w:rsidR="00C844E5">
        <w:t xml:space="preserve"> layer, and ground layer</w:t>
      </w:r>
      <w:r>
        <w:t xml:space="preserve"> along the river and across the floodplain, with over </w:t>
      </w:r>
      <w:r w:rsidRPr="00610A32">
        <w:t>300</w:t>
      </w:r>
      <w:r>
        <w:t xml:space="preserve"> plant species. </w:t>
      </w:r>
    </w:p>
    <w:p w14:paraId="7E9C98CD" w14:textId="58B2BA30" w:rsidR="00B254FC" w:rsidRDefault="00B254FC" w:rsidP="0012104E">
      <w:pPr>
        <w:pStyle w:val="ListBullet"/>
        <w:numPr>
          <w:ilvl w:val="0"/>
          <w:numId w:val="37"/>
        </w:numPr>
      </w:pPr>
      <w:r>
        <w:t>Emergent, free</w:t>
      </w:r>
      <w:r w:rsidR="00570C3C">
        <w:t xml:space="preserve">-floating, and submerged aquatic plants (macrophytes) in the river channel, </w:t>
      </w:r>
      <w:r w:rsidR="00B55AFA">
        <w:t xml:space="preserve">estuaries, </w:t>
      </w:r>
      <w:r w:rsidR="00570C3C">
        <w:t xml:space="preserve">lakes, and </w:t>
      </w:r>
      <w:r w:rsidR="00B55AFA">
        <w:t>other wetlands</w:t>
      </w:r>
      <w:r w:rsidR="002E1A60">
        <w:t xml:space="preserve"> include a variety of species as outlined in </w:t>
      </w:r>
      <w:r w:rsidR="002E1A60" w:rsidRPr="002E1A60">
        <w:rPr>
          <w:u w:val="single"/>
        </w:rPr>
        <w:t>Section 1.2.2</w:t>
      </w:r>
      <w:r w:rsidR="002E1A60">
        <w:t xml:space="preserve"> and </w:t>
      </w:r>
      <w:r w:rsidR="002E1A60" w:rsidRPr="002E1A60">
        <w:rPr>
          <w:u w:val="single"/>
        </w:rPr>
        <w:t>Appendix B, Table B1</w:t>
      </w:r>
      <w:r w:rsidR="002E1A60">
        <w:t xml:space="preserve">. </w:t>
      </w:r>
    </w:p>
    <w:p w14:paraId="1253F781" w14:textId="77FD377A" w:rsidR="00D82BE0" w:rsidRDefault="00D82BE0" w:rsidP="0012104E">
      <w:pPr>
        <w:pStyle w:val="ListBullet"/>
        <w:numPr>
          <w:ilvl w:val="0"/>
          <w:numId w:val="37"/>
        </w:numPr>
      </w:pPr>
      <w:r>
        <w:t xml:space="preserve">The submerged aquatic macrophyte community of the Coorong features </w:t>
      </w:r>
      <w:r w:rsidRPr="00D82BE0">
        <w:rPr>
          <w:i/>
          <w:iCs/>
        </w:rPr>
        <w:t>Ruppia</w:t>
      </w:r>
      <w:r>
        <w:t xml:space="preserve">, </w:t>
      </w:r>
      <w:r w:rsidRPr="00D82BE0">
        <w:rPr>
          <w:i/>
          <w:iCs/>
        </w:rPr>
        <w:t>Althenia</w:t>
      </w:r>
      <w:r>
        <w:t xml:space="preserve"> and </w:t>
      </w:r>
      <w:r w:rsidR="00B12544" w:rsidRPr="00ED2057">
        <w:rPr>
          <w:i/>
          <w:iCs/>
        </w:rPr>
        <w:t>L</w:t>
      </w:r>
      <w:r w:rsidR="00F04FE1" w:rsidRPr="00ED2057">
        <w:rPr>
          <w:i/>
          <w:iCs/>
        </w:rPr>
        <w:t>am</w:t>
      </w:r>
      <w:r w:rsidR="00ED2057" w:rsidRPr="00ED2057">
        <w:rPr>
          <w:i/>
          <w:iCs/>
        </w:rPr>
        <w:t>prothamnium</w:t>
      </w:r>
      <w:r w:rsidR="00ED2057">
        <w:t>.</w:t>
      </w:r>
    </w:p>
    <w:p w14:paraId="5D2B72A1" w14:textId="77777777" w:rsidR="008768DF" w:rsidRDefault="009E7CDF" w:rsidP="00A82AB8">
      <w:pPr>
        <w:pStyle w:val="ListBullet"/>
        <w:numPr>
          <w:ilvl w:val="0"/>
          <w:numId w:val="37"/>
        </w:numPr>
      </w:pPr>
      <w:r>
        <w:t xml:space="preserve">The phytoplankton of the </w:t>
      </w:r>
      <w:r w:rsidR="001B27D6">
        <w:t xml:space="preserve">River Murray component of the </w:t>
      </w:r>
      <w:r>
        <w:t>ecological community forms one of four distinct compositional and distributional zones defined for the River Murray</w:t>
      </w:r>
      <w:r w:rsidR="00ED2057">
        <w:t>.</w:t>
      </w:r>
    </w:p>
    <w:p w14:paraId="5491B6FF" w14:textId="27FE2DB0" w:rsidR="009E7CDF" w:rsidRPr="006674EA" w:rsidRDefault="009E7CDF" w:rsidP="00A82AB8">
      <w:pPr>
        <w:pStyle w:val="ListBullet"/>
        <w:numPr>
          <w:ilvl w:val="0"/>
          <w:numId w:val="37"/>
        </w:numPr>
      </w:pPr>
      <w:r>
        <w:lastRenderedPageBreak/>
        <w:t xml:space="preserve">The ecological community </w:t>
      </w:r>
      <w:r w:rsidRPr="002D1FEC">
        <w:t>has a mixed assemblage of zooplankton derived from the Darling, which has</w:t>
      </w:r>
      <w:r>
        <w:t xml:space="preserve"> a typical lotic</w:t>
      </w:r>
      <w:r>
        <w:rPr>
          <w:rStyle w:val="FootnoteReference"/>
          <w:bCs/>
        </w:rPr>
        <w:footnoteReference w:id="13"/>
      </w:r>
      <w:r>
        <w:t xml:space="preserve"> assemblage </w:t>
      </w:r>
      <w:r w:rsidRPr="002D1FEC">
        <w:t>dominated by rotifers, and the Murray, which has a lenti</w:t>
      </w:r>
      <w:r>
        <w:t>c</w:t>
      </w:r>
      <w:r>
        <w:rPr>
          <w:rStyle w:val="FootnoteReference"/>
          <w:bCs/>
        </w:rPr>
        <w:footnoteReference w:id="14"/>
      </w:r>
      <w:r>
        <w:t xml:space="preserve"> assemblage dominated by micro</w:t>
      </w:r>
      <w:r w:rsidRPr="002D1FEC">
        <w:t>crustaceans typical of impoundments and wetlands</w:t>
      </w:r>
      <w:r w:rsidR="00ED2057">
        <w:t>.</w:t>
      </w:r>
      <w:r w:rsidR="0022242D">
        <w:t xml:space="preserve"> </w:t>
      </w:r>
    </w:p>
    <w:p w14:paraId="75262E53" w14:textId="0B1BD273" w:rsidR="009E7CDF" w:rsidRDefault="009E7CDF" w:rsidP="0012104E">
      <w:pPr>
        <w:pStyle w:val="ListBullet"/>
        <w:numPr>
          <w:ilvl w:val="0"/>
          <w:numId w:val="37"/>
        </w:numPr>
      </w:pPr>
      <w:r>
        <w:t>The ecological community has been found to have the most diverse region of macroinvertebrate fauna within the entire River Murray, with a distinctive zonation present</w:t>
      </w:r>
      <w:r w:rsidR="00ED2057">
        <w:t>.</w:t>
      </w:r>
    </w:p>
    <w:p w14:paraId="54CC1040" w14:textId="55240F0C" w:rsidR="009E7CDF" w:rsidRPr="00B43B1C" w:rsidRDefault="009E7CDF" w:rsidP="0012104E">
      <w:pPr>
        <w:pStyle w:val="ListBullet"/>
        <w:numPr>
          <w:ilvl w:val="0"/>
          <w:numId w:val="37"/>
        </w:numPr>
      </w:pPr>
      <w:r>
        <w:t xml:space="preserve">A diverse fish fauna, of which about three quarters are native freshwater species, with the remainder showing a </w:t>
      </w:r>
      <w:r w:rsidRPr="006674EA">
        <w:t>strong marine/estuari</w:t>
      </w:r>
      <w:r>
        <w:t xml:space="preserve">ne influence (including diadromous species), particularly near the river mouth. </w:t>
      </w:r>
    </w:p>
    <w:p w14:paraId="339848E2" w14:textId="74B77A8C" w:rsidR="003F1E87" w:rsidRDefault="009E7CDF" w:rsidP="0012104E">
      <w:pPr>
        <w:pStyle w:val="ListBullet"/>
        <w:numPr>
          <w:ilvl w:val="0"/>
          <w:numId w:val="37"/>
        </w:numPr>
      </w:pPr>
      <w:r>
        <w:t>There is an abundant and diverse bird fauna</w:t>
      </w:r>
      <w:r w:rsidR="00EF0905">
        <w:t xml:space="preserve"> within the ecolog</w:t>
      </w:r>
      <w:r w:rsidR="005E074A">
        <w:t>ica</w:t>
      </w:r>
      <w:r w:rsidR="00EF0905">
        <w:t>l community</w:t>
      </w:r>
      <w:r w:rsidR="005E074A">
        <w:t>—both wetland and woodland assemblages</w:t>
      </w:r>
      <w:r>
        <w:t>. Colonial nesting water birds are an important component of the wetland complexes within the ecological community, which also provide seasonal habitat for many migratory birds listed under international agreements</w:t>
      </w:r>
      <w:r w:rsidR="00C76B4C">
        <w:t>.</w:t>
      </w:r>
    </w:p>
    <w:p w14:paraId="0345FA79" w14:textId="77777777" w:rsidR="004726AE" w:rsidRPr="004726AE" w:rsidRDefault="00FB3525" w:rsidP="00984022">
      <w:pPr>
        <w:pStyle w:val="ListBullet"/>
        <w:numPr>
          <w:ilvl w:val="0"/>
          <w:numId w:val="37"/>
        </w:numPr>
      </w:pPr>
      <w:r>
        <w:t>Additional</w:t>
      </w:r>
      <w:r w:rsidR="005F0659">
        <w:t xml:space="preserve"> information on plants and </w:t>
      </w:r>
      <w:r w:rsidR="007C60EA">
        <w:t xml:space="preserve">animals in the </w:t>
      </w:r>
      <w:r w:rsidR="00C76B4C">
        <w:t>RMDS</w:t>
      </w:r>
      <w:r w:rsidR="004713B8">
        <w:t xml:space="preserve"> ecological community</w:t>
      </w:r>
      <w:r w:rsidR="005F0659">
        <w:t xml:space="preserve"> is at </w:t>
      </w:r>
      <w:r w:rsidR="005F0659" w:rsidRPr="007C60EA">
        <w:rPr>
          <w:u w:val="single"/>
        </w:rPr>
        <w:t>Section 1.2.</w:t>
      </w:r>
      <w:r w:rsidR="007B4B86">
        <w:rPr>
          <w:u w:val="single"/>
        </w:rPr>
        <w:t>2</w:t>
      </w:r>
      <w:r w:rsidR="005F0659">
        <w:t xml:space="preserve"> and </w:t>
      </w:r>
      <w:r w:rsidR="005F0659" w:rsidRPr="007C60EA">
        <w:rPr>
          <w:u w:val="single"/>
        </w:rPr>
        <w:t>Appendix</w:t>
      </w:r>
      <w:r w:rsidR="007C60EA" w:rsidRPr="007C60EA">
        <w:rPr>
          <w:u w:val="single"/>
        </w:rPr>
        <w:t xml:space="preserve"> B</w:t>
      </w:r>
    </w:p>
    <w:p w14:paraId="3CCFF11A" w14:textId="1C83D05C" w:rsidR="004726AE" w:rsidRPr="003A2C26" w:rsidRDefault="009211B0" w:rsidP="00550384">
      <w:pPr>
        <w:pStyle w:val="Heading3"/>
      </w:pPr>
      <w:r>
        <w:t xml:space="preserve">2.1.5 </w:t>
      </w:r>
      <w:r w:rsidR="007C60EA" w:rsidRPr="003A2C26">
        <w:t xml:space="preserve"> </w:t>
      </w:r>
      <w:bookmarkStart w:id="108" w:name="_Toc175317076"/>
      <w:r w:rsidR="004726AE" w:rsidRPr="003A2C26">
        <w:t>Exclusions</w:t>
      </w:r>
      <w:bookmarkEnd w:id="108"/>
      <w:r w:rsidR="004726AE" w:rsidRPr="003A2C26">
        <w:t xml:space="preserve"> </w:t>
      </w:r>
    </w:p>
    <w:p w14:paraId="03078C3C" w14:textId="2887BDA7" w:rsidR="00DB6D68" w:rsidRDefault="00DB6D68" w:rsidP="00DB6D68">
      <w:pPr>
        <w:pStyle w:val="ListParagraph"/>
        <w:numPr>
          <w:ilvl w:val="0"/>
          <w:numId w:val="37"/>
        </w:numPr>
      </w:pPr>
      <w:r>
        <w:t>E</w:t>
      </w:r>
      <w:r w:rsidRPr="00CE4490">
        <w:t xml:space="preserve">xisting infrastructure, land already permanently replaced </w:t>
      </w:r>
      <w:r>
        <w:t xml:space="preserve">with crops or exotic pasture or plantations (i.e. at the time of listing), </w:t>
      </w:r>
      <w:r w:rsidRPr="00CE4490">
        <w:t>and human settlements</w:t>
      </w:r>
      <w:r w:rsidR="007E3912">
        <w:t>,</w:t>
      </w:r>
      <w:r>
        <w:t xml:space="preserve"> are typically modified or degraded beyond restoration and </w:t>
      </w:r>
      <w:r w:rsidRPr="00097721">
        <w:rPr>
          <w:u w:val="single"/>
        </w:rPr>
        <w:t>do not</w:t>
      </w:r>
      <w:r>
        <w:t xml:space="preserve"> form part of the </w:t>
      </w:r>
      <w:r w:rsidR="007E3912">
        <w:t xml:space="preserve">RMDS </w:t>
      </w:r>
      <w:r>
        <w:t>ecological community</w:t>
      </w:r>
      <w:r w:rsidRPr="00CE4490">
        <w:t>.</w:t>
      </w:r>
      <w:r>
        <w:t xml:space="preserve"> This includes built infrastructure such as that related to dwellings, sheds, bridges, and existing roads. </w:t>
      </w:r>
    </w:p>
    <w:p w14:paraId="539B88DA" w14:textId="77777777" w:rsidR="00DB6D68" w:rsidRDefault="00DB6D68" w:rsidP="00DB6D68">
      <w:pPr>
        <w:pStyle w:val="ListParagraph"/>
        <w:ind w:left="360"/>
      </w:pPr>
    </w:p>
    <w:p w14:paraId="3452AD75" w14:textId="646AA92C" w:rsidR="00984022" w:rsidRDefault="007E3912" w:rsidP="004726AE">
      <w:pPr>
        <w:pStyle w:val="ListParagraph"/>
        <w:numPr>
          <w:ilvl w:val="0"/>
          <w:numId w:val="37"/>
        </w:numPr>
      </w:pPr>
      <w:r>
        <w:t>Importantly, h</w:t>
      </w:r>
      <w:r w:rsidR="00DB6D68">
        <w:t xml:space="preserve">owever, </w:t>
      </w:r>
      <w:r w:rsidR="00DB6D68" w:rsidRPr="00312870">
        <w:t xml:space="preserve">areas of the ecological community altered by </w:t>
      </w:r>
      <w:r>
        <w:t>‘</w:t>
      </w:r>
      <w:r w:rsidR="00DB6D68" w:rsidRPr="00312870">
        <w:t xml:space="preserve">official’ river regulatory structures, while not part of the ‘natural’ ecological community historically, are considered to be part of it if they are consistent with the key diagnostic characteristics at </w:t>
      </w:r>
      <w:r w:rsidR="00DB6D68" w:rsidRPr="00312870">
        <w:rPr>
          <w:u w:val="single"/>
        </w:rPr>
        <w:t>Section 2.1</w:t>
      </w:r>
      <w:r w:rsidR="00DB6D68" w:rsidRPr="00312870">
        <w:t xml:space="preserve"> and condition thresholds at Section 2.2.</w:t>
      </w:r>
    </w:p>
    <w:p w14:paraId="25F6B957" w14:textId="26D2C52D" w:rsidR="00984022" w:rsidRPr="00DF09D1" w:rsidRDefault="00984022" w:rsidP="00984022">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C55BF2">
        <w:rPr>
          <w:color w:val="000000" w:themeColor="text1"/>
        </w:rPr>
        <w:t>Questions on the key diagnostic characteristics</w:t>
      </w:r>
      <w:bookmarkStart w:id="109" w:name="_Hlk87363493"/>
    </w:p>
    <w:p w14:paraId="0531039E" w14:textId="77777777" w:rsidR="00984022" w:rsidRPr="006A2923" w:rsidRDefault="00984022" w:rsidP="0012104E">
      <w:pPr>
        <w:pStyle w:val="Consultationquestions"/>
        <w:numPr>
          <w:ilvl w:val="0"/>
          <w:numId w:val="37"/>
        </w:numPr>
        <w:shd w:val="clear" w:color="auto" w:fill="FFF2CC" w:themeFill="accent4" w:themeFillTint="33"/>
        <w:rPr>
          <w:color w:val="auto"/>
        </w:rPr>
      </w:pPr>
      <w:r w:rsidRPr="006A2923">
        <w:rPr>
          <w:color w:val="auto"/>
        </w:rPr>
        <w:t>Do you have any feedback on any aspect of the key diagnostic characteristics?</w:t>
      </w:r>
    </w:p>
    <w:p w14:paraId="1E4FA0AD" w14:textId="77777777" w:rsidR="002A46E7" w:rsidRDefault="002A46E7" w:rsidP="009D429F">
      <w:bookmarkStart w:id="110" w:name="_Ref68096371"/>
      <w:bookmarkStart w:id="111" w:name="_Ref68097779"/>
      <w:bookmarkStart w:id="112" w:name="_Ref87362595"/>
      <w:bookmarkStart w:id="113" w:name="_Toc158683481"/>
      <w:bookmarkEnd w:id="98"/>
      <w:bookmarkEnd w:id="109"/>
    </w:p>
    <w:p w14:paraId="11371E53" w14:textId="174A73F8" w:rsidR="00636B31" w:rsidRPr="00AE1CE7" w:rsidRDefault="00AC1C30" w:rsidP="008E4F36">
      <w:pPr>
        <w:pStyle w:val="Heading2"/>
      </w:pPr>
      <w:bookmarkStart w:id="114" w:name="_Toc175317077"/>
      <w:bookmarkStart w:id="115" w:name="_Toc175572780"/>
      <w:r w:rsidRPr="00AE1CE7">
        <w:t>Condition thresholds</w:t>
      </w:r>
      <w:bookmarkEnd w:id="110"/>
      <w:bookmarkEnd w:id="111"/>
      <w:bookmarkEnd w:id="112"/>
      <w:bookmarkEnd w:id="113"/>
      <w:bookmarkEnd w:id="114"/>
      <w:bookmarkEnd w:id="115"/>
    </w:p>
    <w:p w14:paraId="25084045" w14:textId="756B3F4B" w:rsidR="00636B31" w:rsidRPr="00AE1CE7" w:rsidRDefault="3CC72101" w:rsidP="0032464B">
      <w:bookmarkStart w:id="116" w:name="_Hlk83728476"/>
      <w:bookmarkEnd w:id="90"/>
      <w:r>
        <w:t xml:space="preserve">National listing focuses legal protection on </w:t>
      </w:r>
      <w:r w:rsidR="00205C5E">
        <w:t xml:space="preserve">areas </w:t>
      </w:r>
      <w:r>
        <w:t xml:space="preserve">of the ecological community that are the most functional, </w:t>
      </w:r>
      <w:r w:rsidR="007B2E46">
        <w:t xml:space="preserve">relatively natural, </w:t>
      </w:r>
      <w:r>
        <w:t xml:space="preserve">and in comparatively </w:t>
      </w:r>
      <w:r w:rsidR="7BF98F00">
        <w:t>good</w:t>
      </w:r>
      <w:r>
        <w:t xml:space="preserve"> condition. </w:t>
      </w:r>
      <w:r w:rsidR="007B2E46">
        <w:t xml:space="preserve">Protecting these areas is vital for the long-term persistence of the ecological community and its ecological functions. </w:t>
      </w:r>
      <w:r w:rsidR="00942727">
        <w:t xml:space="preserve">These areas are identified through the </w:t>
      </w:r>
      <w:r w:rsidR="00DB4011">
        <w:t>description (</w:t>
      </w:r>
      <w:r w:rsidR="00DB4011" w:rsidRPr="00DB4011">
        <w:rPr>
          <w:u w:val="single"/>
        </w:rPr>
        <w:t>Section 1</w:t>
      </w:r>
      <w:r w:rsidR="00DB4011">
        <w:t xml:space="preserve">) and </w:t>
      </w:r>
      <w:r w:rsidR="00942727">
        <w:t xml:space="preserve">key diagnostic characteristics </w:t>
      </w:r>
      <w:r w:rsidR="000301B2">
        <w:t>(</w:t>
      </w:r>
      <w:r w:rsidR="000301B2" w:rsidRPr="000301B2">
        <w:rPr>
          <w:u w:val="single"/>
        </w:rPr>
        <w:t>Section 2.1</w:t>
      </w:r>
      <w:r w:rsidR="000301B2">
        <w:t>)</w:t>
      </w:r>
      <w:r w:rsidR="00DB4011">
        <w:t>,</w:t>
      </w:r>
      <w:r w:rsidR="000301B2">
        <w:t xml:space="preserve"> </w:t>
      </w:r>
      <w:r w:rsidR="00942727">
        <w:t xml:space="preserve">and sometimes additionally though minimum </w:t>
      </w:r>
      <w:r w:rsidR="00D65996">
        <w:t>C</w:t>
      </w:r>
      <w:r w:rsidR="000301B2">
        <w:t xml:space="preserve">ondition </w:t>
      </w:r>
      <w:r w:rsidR="00D65996">
        <w:t>T</w:t>
      </w:r>
      <w:r w:rsidR="000301B2">
        <w:t xml:space="preserve">hresholds. </w:t>
      </w:r>
      <w:r w:rsidR="003C2875">
        <w:t>Therefore</w:t>
      </w:r>
      <w:r w:rsidR="001D6B4D">
        <w:t>, i</w:t>
      </w:r>
      <w:r>
        <w:t xml:space="preserve">n order to be protected as a </w:t>
      </w:r>
      <w:r w:rsidR="00832A48">
        <w:t>M</w:t>
      </w:r>
      <w:r>
        <w:t xml:space="preserve">atter of </w:t>
      </w:r>
      <w:r w:rsidR="00832A48">
        <w:t>N</w:t>
      </w:r>
      <w:r>
        <w:t xml:space="preserve">ational </w:t>
      </w:r>
      <w:r w:rsidR="00832A48">
        <w:t>E</w:t>
      </w:r>
      <w:r>
        <w:t xml:space="preserve">nvironmental </w:t>
      </w:r>
      <w:r w:rsidR="00832A48">
        <w:t>S</w:t>
      </w:r>
      <w:r>
        <w:t>ignificance</w:t>
      </w:r>
      <w:r w:rsidR="001D6B4D">
        <w:t xml:space="preserve"> (MNES)</w:t>
      </w:r>
      <w:r w:rsidR="00205C5E">
        <w:t>, areas</w:t>
      </w:r>
      <w:r>
        <w:t xml:space="preserve"> of the ecological community must meet both:</w:t>
      </w:r>
    </w:p>
    <w:p w14:paraId="489661EB" w14:textId="785F6366" w:rsidR="00636B31" w:rsidRPr="00AE1CE7" w:rsidRDefault="00DB4011" w:rsidP="000C6EE4">
      <w:pPr>
        <w:numPr>
          <w:ilvl w:val="0"/>
          <w:numId w:val="3"/>
        </w:numPr>
        <w:ind w:left="714" w:hanging="357"/>
      </w:pPr>
      <w:r>
        <w:lastRenderedPageBreak/>
        <w:t xml:space="preserve">The </w:t>
      </w:r>
      <w:r w:rsidR="00FE2B4E">
        <w:t>‘</w:t>
      </w:r>
      <w:r>
        <w:t>description</w:t>
      </w:r>
      <w:r w:rsidR="00FE2B4E">
        <w:t>’</w:t>
      </w:r>
      <w:r>
        <w:t xml:space="preserve"> (Section 1)</w:t>
      </w:r>
      <w:r w:rsidR="00406F8A">
        <w:t xml:space="preserve">, as also summarised in the </w:t>
      </w:r>
      <w:r w:rsidR="3CC72101" w:rsidRPr="00AE1CE7">
        <w:t>key diagnostic characteristics (</w:t>
      </w:r>
      <w:r w:rsidR="00832A48">
        <w:t xml:space="preserve">i.e. </w:t>
      </w:r>
      <w:r w:rsidR="00406F8A">
        <w:rPr>
          <w:rStyle w:val="Crossreference"/>
        </w:rPr>
        <w:t>S</w:t>
      </w:r>
      <w:r w:rsidR="3CC72101" w:rsidRPr="00AE1CE7">
        <w:rPr>
          <w:rStyle w:val="Crossreference"/>
        </w:rPr>
        <w:t xml:space="preserve">ection </w:t>
      </w:r>
      <w:r w:rsidR="00636B31" w:rsidRPr="00AE1CE7">
        <w:rPr>
          <w:rStyle w:val="Crossreference"/>
        </w:rPr>
        <w:fldChar w:fldCharType="begin"/>
      </w:r>
      <w:r w:rsidR="00636B31" w:rsidRPr="00AE1CE7">
        <w:rPr>
          <w:rStyle w:val="Crossreference"/>
        </w:rPr>
        <w:instrText xml:space="preserve"> REF _Ref24022341 \r \h  \* MERGEFORMAT </w:instrText>
      </w:r>
      <w:r w:rsidR="00636B31" w:rsidRPr="00AE1CE7">
        <w:rPr>
          <w:rStyle w:val="Crossreference"/>
        </w:rPr>
      </w:r>
      <w:r w:rsidR="00636B31" w:rsidRPr="00AE1CE7">
        <w:rPr>
          <w:rStyle w:val="Crossreference"/>
        </w:rPr>
        <w:fldChar w:fldCharType="separate"/>
      </w:r>
      <w:r w:rsidR="006D35C5">
        <w:rPr>
          <w:rStyle w:val="Crossreference"/>
        </w:rPr>
        <w:t>2.1</w:t>
      </w:r>
      <w:r w:rsidR="00636B31" w:rsidRPr="00AE1CE7">
        <w:rPr>
          <w:rStyle w:val="Crossreference"/>
        </w:rPr>
        <w:fldChar w:fldCharType="end"/>
      </w:r>
      <w:r w:rsidR="3CC72101" w:rsidRPr="00AE1CE7">
        <w:t xml:space="preserve">) </w:t>
      </w:r>
      <w:r w:rsidR="3CC72101" w:rsidRPr="007B4B86">
        <w:rPr>
          <w:b/>
          <w:bCs/>
        </w:rPr>
        <w:t>AND</w:t>
      </w:r>
    </w:p>
    <w:p w14:paraId="4C375FD1" w14:textId="30C3DACD" w:rsidR="00636B31" w:rsidRPr="00AE1CE7" w:rsidRDefault="00636B31" w:rsidP="000C6EE4">
      <w:pPr>
        <w:numPr>
          <w:ilvl w:val="0"/>
          <w:numId w:val="3"/>
        </w:numPr>
      </w:pPr>
      <w:r w:rsidRPr="00D65996">
        <w:t xml:space="preserve">at least </w:t>
      </w:r>
      <w:r w:rsidRPr="00AE1CE7">
        <w:t xml:space="preserve">the minimum </w:t>
      </w:r>
      <w:r w:rsidR="00D65996">
        <w:t>C</w:t>
      </w:r>
      <w:r w:rsidRPr="00AE1CE7">
        <w:t>ondition</w:t>
      </w:r>
      <w:r w:rsidR="000530A1" w:rsidRPr="00AE1CE7">
        <w:t xml:space="preserve"> </w:t>
      </w:r>
      <w:r w:rsidR="00D65996">
        <w:t>T</w:t>
      </w:r>
      <w:r w:rsidR="000530A1" w:rsidRPr="00AE1CE7">
        <w:t>hresholds</w:t>
      </w:r>
      <w:r w:rsidR="001D6B4D">
        <w:t xml:space="preserve"> (where applicable)</w:t>
      </w:r>
      <w:r w:rsidR="00E30915">
        <w:t>.</w:t>
      </w:r>
    </w:p>
    <w:bookmarkEnd w:id="116"/>
    <w:p w14:paraId="24401B38" w14:textId="7EA0E983" w:rsidR="001D5CA9" w:rsidRDefault="00FE2B4E" w:rsidP="00831F94">
      <w:r>
        <w:t>C</w:t>
      </w:r>
      <w:r w:rsidR="00EE1F6B">
        <w:t xml:space="preserve">ondition thresholds provide guidance for when a threatened ecological community retain sufficient </w:t>
      </w:r>
      <w:r w:rsidR="00EC10DF">
        <w:t xml:space="preserve">parts of the assemblage and </w:t>
      </w:r>
      <w:r w:rsidR="00EE1F6B">
        <w:t>conservation values to be considered a</w:t>
      </w:r>
      <w:r w:rsidR="00B46772">
        <w:t xml:space="preserve">n MNES </w:t>
      </w:r>
      <w:r w:rsidR="00EC10DF">
        <w:t>under</w:t>
      </w:r>
      <w:r w:rsidR="00EE1F6B">
        <w:t xml:space="preserve"> </w:t>
      </w:r>
      <w:r>
        <w:t>national environment law</w:t>
      </w:r>
      <w:r w:rsidR="00476700">
        <w:t xml:space="preserve"> (currently </w:t>
      </w:r>
      <w:r w:rsidR="00EE1F6B">
        <w:t>the EPBC Act</w:t>
      </w:r>
      <w:r w:rsidR="00476700">
        <w:t>)</w:t>
      </w:r>
      <w:r w:rsidR="00EE1F6B">
        <w:t xml:space="preserve">. This then allows for the referral, assessment, </w:t>
      </w:r>
      <w:r w:rsidR="00476700">
        <w:t xml:space="preserve">approval, </w:t>
      </w:r>
      <w:r w:rsidR="00EE1F6B">
        <w:t xml:space="preserve">and compliance provisions of the </w:t>
      </w:r>
      <w:r w:rsidR="00476700">
        <w:t xml:space="preserve">national environment law </w:t>
      </w:r>
      <w:r w:rsidR="00EE1F6B">
        <w:t>to be focussed on the most valuable elements of Australia's natural environment, while heavily degraded or heavily modified elements are excluded.</w:t>
      </w:r>
    </w:p>
    <w:p w14:paraId="40DA8124" w14:textId="13D7AC10" w:rsidR="00831F94" w:rsidRDefault="001D5CA9" w:rsidP="00831F94">
      <w:r>
        <w:t>Importantly</w:t>
      </w:r>
      <w:r w:rsidR="00831F94">
        <w:t>, any exclusions resulting from condition thresholds may still retain important natural values, and although they would not be part of the national listed ecological community, they should not be excluded from recovery or rehabilitation actions.</w:t>
      </w:r>
      <w:r w:rsidR="00476700">
        <w:t xml:space="preserve"> Suitable recovery and management actions (e.g. environmental watering) may improve these areas to the point that they may be regarded as part of the </w:t>
      </w:r>
      <w:r w:rsidR="00DC7E5A">
        <w:t>EPBC Act threatened ecological community, again.</w:t>
      </w:r>
    </w:p>
    <w:p w14:paraId="75ADD7E4" w14:textId="3904DB1C" w:rsidR="00E96448" w:rsidRDefault="001D5CA9" w:rsidP="00005F74">
      <w:pPr>
        <w:keepNext/>
      </w:pPr>
      <w:r>
        <w:t xml:space="preserve">However, </w:t>
      </w:r>
      <w:r w:rsidR="00605419">
        <w:t xml:space="preserve">in </w:t>
      </w:r>
      <w:r w:rsidR="003F4B26">
        <w:t xml:space="preserve">applying </w:t>
      </w:r>
      <w:r w:rsidR="00CA18A7">
        <w:t>‘</w:t>
      </w:r>
      <w:r>
        <w:t xml:space="preserve">minimum </w:t>
      </w:r>
      <w:r w:rsidR="00CA18A7">
        <w:t>c</w:t>
      </w:r>
      <w:r>
        <w:t xml:space="preserve">ondition thresholds’ it is important to recognise that the </w:t>
      </w:r>
      <w:r w:rsidR="00831F94" w:rsidRPr="00D26F0E">
        <w:rPr>
          <w:i/>
        </w:rPr>
        <w:t>River Murray</w:t>
      </w:r>
      <w:r w:rsidR="00CA18A7">
        <w:rPr>
          <w:i/>
        </w:rPr>
        <w:t xml:space="preserve">—Darling </w:t>
      </w:r>
      <w:r w:rsidR="00831F94" w:rsidRPr="00D26F0E">
        <w:rPr>
          <w:i/>
        </w:rPr>
        <w:t>to Sea</w:t>
      </w:r>
      <w:r w:rsidR="00831F94" w:rsidRPr="00D26F0E">
        <w:t xml:space="preserve"> ecological community</w:t>
      </w:r>
      <w:r w:rsidR="00E96448">
        <w:t>:</w:t>
      </w:r>
    </w:p>
    <w:p w14:paraId="6C8478E4" w14:textId="4526F66B" w:rsidR="003F4B26" w:rsidRDefault="003F4B26" w:rsidP="004162AC">
      <w:pPr>
        <w:pStyle w:val="ListParagraph"/>
        <w:numPr>
          <w:ilvl w:val="0"/>
          <w:numId w:val="83"/>
        </w:numPr>
      </w:pPr>
      <w:r>
        <w:t xml:space="preserve">is strongly influenced by </w:t>
      </w:r>
      <w:r w:rsidR="00831F94" w:rsidRPr="00D26F0E">
        <w:t>seasonal and inter-annual variation in rainfall, run-off, temperature, regulation</w:t>
      </w:r>
      <w:r w:rsidR="00C06CC0">
        <w:t>,</w:t>
      </w:r>
      <w:r w:rsidR="00831F94" w:rsidRPr="00D26F0E">
        <w:t xml:space="preserve"> and extraction</w:t>
      </w:r>
    </w:p>
    <w:p w14:paraId="1D2E5D23" w14:textId="22316D7A" w:rsidR="003F4B26" w:rsidRDefault="003F4B26" w:rsidP="004162AC">
      <w:pPr>
        <w:pStyle w:val="ListParagraph"/>
        <w:numPr>
          <w:ilvl w:val="0"/>
          <w:numId w:val="83"/>
        </w:numPr>
      </w:pPr>
      <w:r>
        <w:t>that w</w:t>
      </w:r>
      <w:r w:rsidR="00831F94" w:rsidRPr="00D26F0E">
        <w:t>etting and drying cycles are particularly important to the ecology and productivity of the system</w:t>
      </w:r>
      <w:r w:rsidR="00C90D73">
        <w:t xml:space="preserve">, </w:t>
      </w:r>
      <w:r w:rsidR="00FC5EBA">
        <w:t xml:space="preserve">and these cycles </w:t>
      </w:r>
      <w:r w:rsidR="00C06CC0">
        <w:t>will be i</w:t>
      </w:r>
      <w:r w:rsidR="00FC5EBA">
        <w:t>mpacted by climate change events and trends, and</w:t>
      </w:r>
    </w:p>
    <w:p w14:paraId="51129DE5" w14:textId="3B3E9526" w:rsidR="00831F94" w:rsidRPr="00D26F0E" w:rsidRDefault="00FD717E" w:rsidP="004162AC">
      <w:pPr>
        <w:pStyle w:val="ListParagraph"/>
        <w:numPr>
          <w:ilvl w:val="0"/>
          <w:numId w:val="83"/>
        </w:numPr>
      </w:pPr>
      <w:r>
        <w:t>that c</w:t>
      </w:r>
      <w:r w:rsidR="00831F94" w:rsidRPr="00D26F0E">
        <w:t>omponents of the system are permanently wet, while others are episodically wet (e.g. some wetlands and parts of the floodplain) or mostly dry (e.g. coastal dune vegetation, island vegetation, some parts of the floodplain vegetation, particularly close to the 1956 flood</w:t>
      </w:r>
      <w:r w:rsidR="00177B35">
        <w:t xml:space="preserve"> </w:t>
      </w:r>
      <w:r w:rsidR="00831F94" w:rsidRPr="00D26F0E">
        <w:t>line boundary).</w:t>
      </w:r>
    </w:p>
    <w:p w14:paraId="7BBC1F1F" w14:textId="7ACF379A" w:rsidR="00EE1F6B" w:rsidRDefault="00EE1F6B" w:rsidP="00EE1F6B">
      <w:r>
        <w:t xml:space="preserve">The </w:t>
      </w:r>
      <w:r w:rsidR="006019F5" w:rsidRPr="006019F5">
        <w:rPr>
          <w:iCs/>
        </w:rPr>
        <w:t>RMDS</w:t>
      </w:r>
      <w:r w:rsidR="006019F5">
        <w:rPr>
          <w:i/>
        </w:rPr>
        <w:t xml:space="preserve"> </w:t>
      </w:r>
      <w:r>
        <w:t xml:space="preserve">ecological community has been heavily disturbed in the past, for example by clearing floodplain vegetation, regulation of water flow, and the introduction of invasive species. </w:t>
      </w:r>
      <w:bookmarkStart w:id="117" w:name="_Hlk158765720"/>
      <w:r>
        <w:t>In some cases</w:t>
      </w:r>
      <w:r w:rsidR="00C90D73">
        <w:t>,</w:t>
      </w:r>
      <w:r>
        <w:t xml:space="preserve"> the natural assets have been permanently replaced by agriculture or urban infrastructure, and such areas o</w:t>
      </w:r>
      <w:r w:rsidR="00424F6C">
        <w:t>n</w:t>
      </w:r>
      <w:r>
        <w:t xml:space="preserve"> the floodplain </w:t>
      </w:r>
      <w:r w:rsidRPr="0016400F">
        <w:rPr>
          <w:u w:val="single"/>
        </w:rPr>
        <w:t>do not</w:t>
      </w:r>
      <w:r>
        <w:t xml:space="preserve"> form part of the ecological community.</w:t>
      </w:r>
      <w:r w:rsidR="009964BA">
        <w:t xml:space="preserve"> </w:t>
      </w:r>
    </w:p>
    <w:p w14:paraId="7B02F580" w14:textId="7A3C85CF" w:rsidR="00EE1F6B" w:rsidRDefault="004A378B" w:rsidP="00EE1F6B">
      <w:r>
        <w:t>Importantly</w:t>
      </w:r>
      <w:r w:rsidR="00EE1F6B">
        <w:t>, aquatic ecosystems are dynamic, and there may be strong potential to recover or rehabilitate aquatic and floodplain components of the RMDS ecological community, even if heavily degraded (as an example, by employing translocations in the case of local extinction of</w:t>
      </w:r>
      <w:r w:rsidR="00BA3063">
        <w:t xml:space="preserve"> </w:t>
      </w:r>
      <w:r>
        <w:t>a species</w:t>
      </w:r>
      <w:r w:rsidR="00EE1F6B">
        <w:t xml:space="preserve">, or, </w:t>
      </w:r>
      <w:r w:rsidR="00E96BB4">
        <w:t xml:space="preserve">by </w:t>
      </w:r>
      <w:r w:rsidR="00EE1F6B">
        <w:t>management of exposed acid sulfate soils).</w:t>
      </w:r>
    </w:p>
    <w:p w14:paraId="27D56563" w14:textId="77777777" w:rsidR="006577DB" w:rsidRDefault="006E4824" w:rsidP="00EE1F6B">
      <w:bookmarkStart w:id="118" w:name="_Hlk158765646"/>
      <w:bookmarkEnd w:id="117"/>
      <w:r>
        <w:t>D</w:t>
      </w:r>
      <w:r w:rsidR="00EE1F6B">
        <w:t xml:space="preserve">ue to the highly variable nature of this complex landscape-scale, connected riverine-floodplain ecological community, the presence of long-term regulatory infrastructure, and the potential for a degree of rehabilitation (albeit variable), </w:t>
      </w:r>
      <w:r w:rsidR="00C90D73">
        <w:t xml:space="preserve">minimum </w:t>
      </w:r>
      <w:r w:rsidR="00BA3063">
        <w:t>C</w:t>
      </w:r>
      <w:r w:rsidR="00EE1F6B">
        <w:t xml:space="preserve">ondition </w:t>
      </w:r>
      <w:r w:rsidR="00BA3063">
        <w:t>T</w:t>
      </w:r>
      <w:r w:rsidR="00EE1F6B">
        <w:t>hresholds</w:t>
      </w:r>
      <w:r w:rsidR="00576E4A">
        <w:t xml:space="preserve"> are </w:t>
      </w:r>
      <w:r w:rsidR="00576E4A" w:rsidRPr="00BA3063">
        <w:rPr>
          <w:b/>
          <w:bCs/>
          <w:u w:val="single"/>
        </w:rPr>
        <w:t xml:space="preserve">not </w:t>
      </w:r>
      <w:r w:rsidR="00576E4A">
        <w:t xml:space="preserve">recommended </w:t>
      </w:r>
      <w:r w:rsidR="0034043D">
        <w:t xml:space="preserve">for the </w:t>
      </w:r>
      <w:r w:rsidR="0034043D" w:rsidRPr="00971408">
        <w:rPr>
          <w:i/>
          <w:iCs/>
        </w:rPr>
        <w:t>River Murray—Darling to Sea</w:t>
      </w:r>
      <w:r w:rsidR="0034043D">
        <w:t xml:space="preserve"> ecological community</w:t>
      </w:r>
      <w:r w:rsidR="00AA301D">
        <w:t xml:space="preserve">. </w:t>
      </w:r>
    </w:p>
    <w:p w14:paraId="44598D59" w14:textId="23127E5E" w:rsidR="00787595" w:rsidRDefault="00AA301D" w:rsidP="00EE1F6B">
      <w:r>
        <w:t>However, an</w:t>
      </w:r>
      <w:r w:rsidR="0034043D">
        <w:t xml:space="preserve"> exception </w:t>
      </w:r>
      <w:r>
        <w:t>occur</w:t>
      </w:r>
      <w:r w:rsidR="00AD4AF8">
        <w:t>s</w:t>
      </w:r>
      <w:r>
        <w:t xml:space="preserve"> with </w:t>
      </w:r>
      <w:r w:rsidR="0034043D">
        <w:t>terrestrial vegetation</w:t>
      </w:r>
      <w:r w:rsidR="00CB6A25">
        <w:t xml:space="preserve">, </w:t>
      </w:r>
      <w:r>
        <w:t xml:space="preserve">which </w:t>
      </w:r>
      <w:r w:rsidR="00971408">
        <w:t>includ</w:t>
      </w:r>
      <w:r>
        <w:t>es</w:t>
      </w:r>
      <w:r w:rsidR="00971408">
        <w:t xml:space="preserve"> </w:t>
      </w:r>
      <w:r w:rsidR="004029BF">
        <w:t xml:space="preserve">vegetation </w:t>
      </w:r>
      <w:r w:rsidR="00971408">
        <w:t>on the floodplain</w:t>
      </w:r>
      <w:r>
        <w:t xml:space="preserve">, </w:t>
      </w:r>
      <w:r w:rsidR="00704D15">
        <w:t>adjacent to wetlands, dunes, associated islands,</w:t>
      </w:r>
      <w:r w:rsidR="00971408">
        <w:t xml:space="preserve"> and in some cases, the riparian</w:t>
      </w:r>
      <w:r w:rsidR="0065425B">
        <w:t xml:space="preserve"> strip</w:t>
      </w:r>
      <w:r w:rsidR="00971408">
        <w:t>.</w:t>
      </w:r>
      <w:r w:rsidR="00CF189F">
        <w:t xml:space="preserve"> </w:t>
      </w:r>
      <w:r w:rsidR="00397DCC">
        <w:t>For the</w:t>
      </w:r>
      <w:r w:rsidR="00983426">
        <w:t xml:space="preserve">se areas, the ecological community </w:t>
      </w:r>
      <w:r w:rsidR="00983426" w:rsidRPr="00CD6F79">
        <w:rPr>
          <w:b/>
          <w:bCs/>
        </w:rPr>
        <w:t>is present</w:t>
      </w:r>
      <w:r w:rsidR="00983426">
        <w:t xml:space="preserve"> if native vegetation is ‘dominant’ in the canopy and ground vegetation layers (where present)</w:t>
      </w:r>
      <w:r w:rsidR="00857689">
        <w:t xml:space="preserve">, as per </w:t>
      </w:r>
      <w:r w:rsidR="00857689" w:rsidRPr="00787595">
        <w:rPr>
          <w:u w:val="single"/>
        </w:rPr>
        <w:t xml:space="preserve">Table </w:t>
      </w:r>
      <w:r w:rsidR="00885BAE">
        <w:rPr>
          <w:u w:val="single"/>
        </w:rPr>
        <w:t>22</w:t>
      </w:r>
      <w:r w:rsidR="00E65B85">
        <w:rPr>
          <w:u w:val="single"/>
        </w:rPr>
        <w:t>x</w:t>
      </w:r>
      <w:r w:rsidR="00983426">
        <w:t xml:space="preserve">. </w:t>
      </w:r>
    </w:p>
    <w:p w14:paraId="6B931B92" w14:textId="77777777" w:rsidR="00C51479" w:rsidRDefault="00C51479" w:rsidP="00EB65DA">
      <w:pPr>
        <w:pStyle w:val="Caption"/>
        <w:rPr>
          <w:lang w:val="en-US"/>
        </w:rPr>
      </w:pPr>
    </w:p>
    <w:p w14:paraId="17896715" w14:textId="5EAB456C" w:rsidR="00C94129" w:rsidRPr="00B5406D" w:rsidRDefault="00C94129" w:rsidP="00EB65DA">
      <w:pPr>
        <w:pStyle w:val="Caption"/>
        <w:rPr>
          <w:lang w:val="en-US"/>
        </w:rPr>
      </w:pPr>
      <w:r w:rsidRPr="00D65996">
        <w:rPr>
          <w:lang w:val="en-US"/>
        </w:rPr>
        <w:lastRenderedPageBreak/>
        <w:t xml:space="preserve">Table </w:t>
      </w:r>
      <w:r w:rsidR="00885BAE">
        <w:rPr>
          <w:lang w:val="en-US"/>
        </w:rPr>
        <w:t>22</w:t>
      </w:r>
      <w:r w:rsidR="00E65B85">
        <w:rPr>
          <w:lang w:val="en-US"/>
        </w:rPr>
        <w:t>x</w:t>
      </w:r>
      <w:r w:rsidRPr="00D65996">
        <w:rPr>
          <w:lang w:val="en-US"/>
        </w:rPr>
        <w:t xml:space="preserve">: </w:t>
      </w:r>
      <w:r w:rsidR="00846488" w:rsidRPr="00D65996">
        <w:rPr>
          <w:lang w:val="en-US"/>
        </w:rPr>
        <w:t>Minimum</w:t>
      </w:r>
      <w:r w:rsidR="00846488">
        <w:rPr>
          <w:lang w:val="en-US"/>
        </w:rPr>
        <w:t xml:space="preserve"> </w:t>
      </w:r>
      <w:r w:rsidRPr="00B5406D">
        <w:rPr>
          <w:lang w:val="en-US"/>
        </w:rPr>
        <w:t xml:space="preserve">Condition Thresholds </w:t>
      </w:r>
      <w:r w:rsidR="00991777">
        <w:rPr>
          <w:lang w:val="en-US"/>
        </w:rPr>
        <w:t xml:space="preserve">which indicate in which areas of </w:t>
      </w:r>
      <w:r w:rsidR="006C7910">
        <w:rPr>
          <w:lang w:val="en-US"/>
        </w:rPr>
        <w:t xml:space="preserve">native </w:t>
      </w:r>
      <w:r w:rsidR="00991777">
        <w:rPr>
          <w:lang w:val="en-US"/>
        </w:rPr>
        <w:t xml:space="preserve">vegetation </w:t>
      </w:r>
      <w:r w:rsidR="006D7791">
        <w:rPr>
          <w:lang w:val="en-US"/>
        </w:rPr>
        <w:t>that are not inundated with water</w:t>
      </w:r>
      <w:r w:rsidR="00883D09">
        <w:rPr>
          <w:lang w:val="en-US"/>
        </w:rPr>
        <w:t>.</w:t>
      </w:r>
    </w:p>
    <w:tbl>
      <w:tblPr>
        <w:tblStyle w:val="TableGrid"/>
        <w:tblW w:w="0" w:type="auto"/>
        <w:tblLook w:val="04A0" w:firstRow="1" w:lastRow="0" w:firstColumn="1" w:lastColumn="0" w:noHBand="0" w:noVBand="1"/>
      </w:tblPr>
      <w:tblGrid>
        <w:gridCol w:w="2122"/>
        <w:gridCol w:w="6894"/>
      </w:tblGrid>
      <w:tr w:rsidR="005371CB" w:rsidRPr="00B5406D" w14:paraId="1BEEBC68" w14:textId="77777777" w:rsidTr="00422BE8">
        <w:trPr>
          <w:trHeight w:hRule="exact" w:val="502"/>
        </w:trPr>
        <w:tc>
          <w:tcPr>
            <w:tcW w:w="9016" w:type="dxa"/>
            <w:gridSpan w:val="2"/>
            <w:shd w:val="clear" w:color="auto" w:fill="F7CAAC" w:themeFill="accent2" w:themeFillTint="66"/>
          </w:tcPr>
          <w:p w14:paraId="2612024B" w14:textId="6AA5DEAC" w:rsidR="005371CB" w:rsidRPr="00FE2513" w:rsidRDefault="0092436E" w:rsidP="00CD5901">
            <w:pPr>
              <w:pStyle w:val="tableheadertext"/>
            </w:pPr>
            <w:r>
              <w:t xml:space="preserve">MINIMUM CONDITION THRESHOLDS </w:t>
            </w:r>
            <w:r w:rsidR="00223074" w:rsidRPr="00FE2513">
              <w:t>for RMDS EC</w:t>
            </w:r>
          </w:p>
        </w:tc>
      </w:tr>
      <w:tr w:rsidR="005371CB" w:rsidRPr="00B5406D" w14:paraId="3FB38C32" w14:textId="77777777" w:rsidTr="00C53132">
        <w:trPr>
          <w:trHeight w:hRule="exact" w:val="1260"/>
        </w:trPr>
        <w:tc>
          <w:tcPr>
            <w:tcW w:w="9016" w:type="dxa"/>
            <w:gridSpan w:val="2"/>
          </w:tcPr>
          <w:p w14:paraId="1CC4A9D2" w14:textId="27FB1A3A" w:rsidR="005371CB" w:rsidRPr="00A86897" w:rsidRDefault="00975599" w:rsidP="008B5161">
            <w:r w:rsidRPr="00A86897">
              <w:rPr>
                <w:i/>
                <w:iCs/>
              </w:rPr>
              <w:t>If at a particular place and time, a patch of native vegetation comprising the RMDS EC is present within the specified boundaries from Section 1</w:t>
            </w:r>
            <w:r w:rsidR="005778D9" w:rsidRPr="00A86897">
              <w:rPr>
                <w:i/>
                <w:iCs/>
              </w:rPr>
              <w:t xml:space="preserve"> (and </w:t>
            </w:r>
            <w:r w:rsidR="005778D9" w:rsidRPr="00A86897">
              <w:rPr>
                <w:i/>
                <w:iCs/>
                <w:u w:val="single"/>
              </w:rPr>
              <w:t>Table 2</w:t>
            </w:r>
            <w:r w:rsidR="005778D9" w:rsidRPr="00A86897">
              <w:rPr>
                <w:i/>
                <w:iCs/>
              </w:rPr>
              <w:t>)</w:t>
            </w:r>
            <w:r w:rsidRPr="00A86897">
              <w:rPr>
                <w:i/>
                <w:iCs/>
              </w:rPr>
              <w:t xml:space="preserve">, and it is in areas other than those currently inundated with water, then the minimum condition thresholds specified below apply. </w:t>
            </w:r>
            <w:r w:rsidRPr="00A86897">
              <w:rPr>
                <w:b/>
                <w:bCs/>
                <w:i/>
                <w:iCs/>
              </w:rPr>
              <w:t>This is relevant within the following areas:</w:t>
            </w:r>
          </w:p>
        </w:tc>
      </w:tr>
      <w:tr w:rsidR="005371CB" w:rsidRPr="00B5406D" w14:paraId="4A240BDB" w14:textId="77777777" w:rsidTr="00EA6C5F">
        <w:trPr>
          <w:trHeight w:hRule="exact" w:val="3135"/>
        </w:trPr>
        <w:tc>
          <w:tcPr>
            <w:tcW w:w="2122" w:type="dxa"/>
          </w:tcPr>
          <w:p w14:paraId="27590948" w14:textId="54BBBBE3" w:rsidR="005371CB" w:rsidRPr="00B5406D" w:rsidRDefault="005371CB" w:rsidP="008B5161">
            <w:pPr>
              <w:rPr>
                <w:b/>
                <w:bCs/>
                <w:lang w:val="en-US"/>
              </w:rPr>
            </w:pPr>
            <w:r>
              <w:rPr>
                <w:b/>
                <w:bCs/>
                <w:lang w:val="en-US"/>
              </w:rPr>
              <w:t xml:space="preserve">Riparian </w:t>
            </w:r>
            <w:r w:rsidR="005778D9">
              <w:rPr>
                <w:b/>
                <w:bCs/>
                <w:lang w:val="en-US"/>
              </w:rPr>
              <w:t xml:space="preserve">&amp; Floodplain </w:t>
            </w:r>
            <w:r>
              <w:rPr>
                <w:b/>
                <w:bCs/>
                <w:lang w:val="en-US"/>
              </w:rPr>
              <w:t>zones</w:t>
            </w:r>
          </w:p>
        </w:tc>
        <w:tc>
          <w:tcPr>
            <w:tcW w:w="6894" w:type="dxa"/>
          </w:tcPr>
          <w:p w14:paraId="15D87764" w14:textId="2EE1CB2A" w:rsidR="005778D9" w:rsidRPr="00A86897" w:rsidRDefault="00EA6C5F" w:rsidP="008B5161">
            <w:pPr>
              <w:pStyle w:val="ListBullet"/>
            </w:pPr>
            <w:r w:rsidRPr="00A86897">
              <w:t>Any vegetation on the floodplain within the 1956 flood line boundary.</w:t>
            </w:r>
          </w:p>
          <w:p w14:paraId="2A5F8334" w14:textId="4123CF67" w:rsidR="006D2566" w:rsidRPr="00A86897" w:rsidRDefault="006D2566" w:rsidP="008B5161">
            <w:pPr>
              <w:pStyle w:val="ListBullet"/>
            </w:pPr>
            <w:r w:rsidRPr="00A86897">
              <w:t>Any vegetation adjacent to the inundated areas of the River Murray, Lower Lakes, Coorong Lagoons, or ‘southern’ coastal lakes within the boundary of the RMDS EC.</w:t>
            </w:r>
          </w:p>
          <w:p w14:paraId="1DC5D90A" w14:textId="4655C0F2" w:rsidR="005371CB" w:rsidRPr="00A86897" w:rsidRDefault="005371CB" w:rsidP="008B5161">
            <w:pPr>
              <w:pStyle w:val="ListBullet"/>
            </w:pPr>
            <w:r w:rsidRPr="00A86897">
              <w:t xml:space="preserve">Any riparian vegetation adjacent to the Eastern Mount Lofty Ranges streams, the Darling Anabranch, and Lake Victoria and its tributaries within a 100 m strip from the ‘typical’ edge and on both sides of a stream, </w:t>
            </w:r>
            <w:r w:rsidRPr="00A86897">
              <w:rPr>
                <w:b/>
                <w:bCs/>
              </w:rPr>
              <w:t>OR</w:t>
            </w:r>
            <w:r w:rsidRPr="00A86897">
              <w:t xml:space="preserve">, from the edge of Lake Victoria, </w:t>
            </w:r>
            <w:r w:rsidRPr="00A86897">
              <w:rPr>
                <w:b/>
                <w:bCs/>
              </w:rPr>
              <w:t>OR</w:t>
            </w:r>
            <w:r w:rsidRPr="00A86897">
              <w:t>, to the 1956 flood line—whichever is the greater.</w:t>
            </w:r>
          </w:p>
        </w:tc>
      </w:tr>
      <w:tr w:rsidR="005371CB" w:rsidRPr="00B5406D" w14:paraId="1332EE4A" w14:textId="77777777" w:rsidTr="00E538E6">
        <w:trPr>
          <w:trHeight w:hRule="exact" w:val="680"/>
        </w:trPr>
        <w:tc>
          <w:tcPr>
            <w:tcW w:w="2122" w:type="dxa"/>
          </w:tcPr>
          <w:p w14:paraId="63E7A560" w14:textId="77777777" w:rsidR="005371CB" w:rsidRPr="00B5406D" w:rsidRDefault="005371CB" w:rsidP="008B5161">
            <w:pPr>
              <w:rPr>
                <w:b/>
                <w:bCs/>
                <w:lang w:val="en-US"/>
              </w:rPr>
            </w:pPr>
            <w:r>
              <w:rPr>
                <w:b/>
                <w:bCs/>
                <w:lang w:val="en-US"/>
              </w:rPr>
              <w:t>On Islands or Dunes</w:t>
            </w:r>
          </w:p>
        </w:tc>
        <w:tc>
          <w:tcPr>
            <w:tcW w:w="6894" w:type="dxa"/>
          </w:tcPr>
          <w:p w14:paraId="48C04564" w14:textId="77747AA2" w:rsidR="005371CB" w:rsidRPr="00A86897" w:rsidRDefault="005371CB" w:rsidP="008B5161">
            <w:pPr>
              <w:pStyle w:val="ListBullet"/>
            </w:pPr>
            <w:r w:rsidRPr="00A86897">
              <w:t>Any vegetation on islands or dunes within the boundaries or according to the description of the EC.</w:t>
            </w:r>
          </w:p>
        </w:tc>
      </w:tr>
      <w:tr w:rsidR="005371CB" w:rsidRPr="00B5406D" w14:paraId="39AD1840" w14:textId="77777777" w:rsidTr="005778D9">
        <w:trPr>
          <w:trHeight w:hRule="exact" w:val="645"/>
        </w:trPr>
        <w:tc>
          <w:tcPr>
            <w:tcW w:w="9016" w:type="dxa"/>
            <w:gridSpan w:val="2"/>
            <w:shd w:val="clear" w:color="auto" w:fill="E2EFD9" w:themeFill="accent6" w:themeFillTint="33"/>
            <w:vAlign w:val="center"/>
          </w:tcPr>
          <w:p w14:paraId="24D5E171" w14:textId="77777777" w:rsidR="0055419A" w:rsidRPr="0055419A" w:rsidRDefault="0055419A" w:rsidP="005778D9">
            <w:pPr>
              <w:pStyle w:val="ListBullet"/>
              <w:ind w:left="23" w:hanging="23"/>
              <w:contextualSpacing/>
              <w:rPr>
                <w:b/>
                <w:bCs/>
                <w:sz w:val="24"/>
                <w:szCs w:val="24"/>
                <w:lang w:val="en-US"/>
              </w:rPr>
            </w:pPr>
            <w:r w:rsidRPr="0055419A">
              <w:rPr>
                <w:b/>
                <w:bCs/>
                <w:sz w:val="24"/>
                <w:szCs w:val="24"/>
                <w:lang w:val="en-US"/>
              </w:rPr>
              <w:t>Minimum Condition Thresholds</w:t>
            </w:r>
          </w:p>
          <w:p w14:paraId="60DE7401" w14:textId="06A937FF" w:rsidR="00657DEE" w:rsidRPr="00A86897" w:rsidRDefault="00657DEE" w:rsidP="005778D9">
            <w:pPr>
              <w:pStyle w:val="ListBullet"/>
              <w:ind w:left="23" w:hanging="23"/>
              <w:contextualSpacing/>
              <w:rPr>
                <w:b/>
                <w:bCs/>
                <w:lang w:val="en-US"/>
              </w:rPr>
            </w:pPr>
            <w:r w:rsidRPr="00A86897">
              <w:rPr>
                <w:i/>
                <w:iCs/>
              </w:rPr>
              <w:t xml:space="preserve">One or both of the following two sets of minimum </w:t>
            </w:r>
            <w:r w:rsidR="00933FCC">
              <w:rPr>
                <w:i/>
                <w:iCs/>
              </w:rPr>
              <w:t>C</w:t>
            </w:r>
            <w:r w:rsidRPr="00A86897">
              <w:rPr>
                <w:i/>
                <w:iCs/>
              </w:rPr>
              <w:t xml:space="preserve">ondition </w:t>
            </w:r>
            <w:r w:rsidR="00933FCC">
              <w:rPr>
                <w:i/>
                <w:iCs/>
              </w:rPr>
              <w:t>T</w:t>
            </w:r>
            <w:r w:rsidRPr="00A86897">
              <w:rPr>
                <w:i/>
                <w:iCs/>
              </w:rPr>
              <w:t>hresholds apply:</w:t>
            </w:r>
          </w:p>
          <w:p w14:paraId="23EC4202" w14:textId="34AB1695" w:rsidR="00584D7B" w:rsidRPr="00A86897" w:rsidRDefault="00584D7B" w:rsidP="008B5161">
            <w:pPr>
              <w:pStyle w:val="ListBullet"/>
              <w:ind w:left="22" w:hanging="22"/>
              <w:rPr>
                <w:b/>
                <w:bCs/>
                <w:lang w:val="en-US"/>
              </w:rPr>
            </w:pPr>
          </w:p>
        </w:tc>
      </w:tr>
      <w:tr w:rsidR="005371CB" w:rsidRPr="00B5406D" w14:paraId="407541DC" w14:textId="77777777" w:rsidTr="00624FA0">
        <w:trPr>
          <w:trHeight w:hRule="exact" w:val="737"/>
        </w:trPr>
        <w:tc>
          <w:tcPr>
            <w:tcW w:w="9016" w:type="dxa"/>
            <w:gridSpan w:val="2"/>
            <w:vAlign w:val="center"/>
          </w:tcPr>
          <w:p w14:paraId="40881AB4" w14:textId="3D17B86F" w:rsidR="005371CB" w:rsidRPr="00A86897" w:rsidRDefault="005371CB" w:rsidP="00624FA0">
            <w:pPr>
              <w:pStyle w:val="ListBullet"/>
              <w:ind w:left="22" w:hanging="22"/>
            </w:pPr>
            <w:r w:rsidRPr="00A86897">
              <w:rPr>
                <w:b/>
                <w:bCs/>
                <w:lang w:val="en-US"/>
              </w:rPr>
              <w:t xml:space="preserve">1) </w:t>
            </w:r>
            <w:r w:rsidR="00075BEC" w:rsidRPr="00A86897">
              <w:rPr>
                <w:b/>
                <w:bCs/>
                <w:lang w:val="en-US"/>
              </w:rPr>
              <w:t xml:space="preserve">At least 50% Native Canopy and/or </w:t>
            </w:r>
            <w:r w:rsidR="00B33B19" w:rsidRPr="00A86897">
              <w:rPr>
                <w:b/>
                <w:bCs/>
                <w:lang w:val="en-US"/>
              </w:rPr>
              <w:t>Understory</w:t>
            </w:r>
            <w:r w:rsidR="00075BEC" w:rsidRPr="00A86897">
              <w:rPr>
                <w:b/>
                <w:bCs/>
                <w:lang w:val="en-US"/>
              </w:rPr>
              <w:t>/Ground Vegetation Cover</w:t>
            </w:r>
          </w:p>
        </w:tc>
      </w:tr>
      <w:tr w:rsidR="00075BEC" w:rsidRPr="00B5406D" w14:paraId="75C494A0" w14:textId="77777777" w:rsidTr="00E666C8">
        <w:trPr>
          <w:trHeight w:val="2938"/>
        </w:trPr>
        <w:tc>
          <w:tcPr>
            <w:tcW w:w="9016" w:type="dxa"/>
            <w:gridSpan w:val="2"/>
          </w:tcPr>
          <w:p w14:paraId="68850710" w14:textId="6B99E04D" w:rsidR="00075BEC" w:rsidRPr="00A86897" w:rsidRDefault="00075BEC" w:rsidP="008B5161">
            <w:pPr>
              <w:pStyle w:val="ListBullet"/>
              <w:rPr>
                <w:b/>
                <w:bCs/>
              </w:rPr>
            </w:pPr>
            <w:r w:rsidRPr="00A86897">
              <w:t xml:space="preserve">A tree or shrub canopy is present with 50% or more of the crown cover from </w:t>
            </w:r>
            <w:r w:rsidRPr="00A86897">
              <w:rPr>
                <w:b/>
                <w:bCs/>
              </w:rPr>
              <w:t>native species</w:t>
            </w:r>
            <w:r w:rsidRPr="00A86897">
              <w:t xml:space="preserve"> </w:t>
            </w:r>
          </w:p>
          <w:p w14:paraId="4CE9FAAF" w14:textId="77777777" w:rsidR="00075BEC" w:rsidRPr="00A86897" w:rsidRDefault="00075BEC" w:rsidP="008B5161">
            <w:pPr>
              <w:pStyle w:val="ListBullet"/>
              <w:rPr>
                <w:i/>
                <w:iCs/>
                <w:lang w:val="en-US"/>
              </w:rPr>
            </w:pPr>
            <w:r w:rsidRPr="00A86897">
              <w:rPr>
                <w:i/>
                <w:iCs/>
                <w:lang w:val="en-US"/>
              </w:rPr>
              <w:t>[Note: crown cover is the percentage cover of an area within the vertical projection of the periphery of crowns. In this case, crowns are treated as ‘opaque’.]</w:t>
            </w:r>
          </w:p>
          <w:p w14:paraId="5A18515B" w14:textId="6A0116AB" w:rsidR="00075BEC" w:rsidRPr="00A86897" w:rsidRDefault="00075BEC" w:rsidP="008B5161">
            <w:pPr>
              <w:pStyle w:val="ListBullet"/>
              <w:rPr>
                <w:i/>
                <w:iCs/>
                <w:lang w:val="en-US"/>
              </w:rPr>
            </w:pPr>
            <w:r w:rsidRPr="00A86897">
              <w:rPr>
                <w:b/>
                <w:bCs/>
              </w:rPr>
              <w:t>A</w:t>
            </w:r>
            <w:r w:rsidR="00C53132" w:rsidRPr="00A86897">
              <w:rPr>
                <w:b/>
                <w:bCs/>
              </w:rPr>
              <w:t>nd</w:t>
            </w:r>
            <w:r w:rsidRPr="00A86897">
              <w:rPr>
                <w:b/>
                <w:bCs/>
              </w:rPr>
              <w:t>/ O</w:t>
            </w:r>
            <w:r w:rsidR="00C53132" w:rsidRPr="00A86897">
              <w:rPr>
                <w:b/>
                <w:bCs/>
              </w:rPr>
              <w:t>r</w:t>
            </w:r>
          </w:p>
          <w:p w14:paraId="28D215E3" w14:textId="77777777" w:rsidR="00075BEC" w:rsidRPr="00A86897" w:rsidRDefault="00075BEC" w:rsidP="008B5161">
            <w:pPr>
              <w:pStyle w:val="ListBullet"/>
            </w:pPr>
            <w:r w:rsidRPr="00A86897">
              <w:t>at least 50% of the perennial understorey or ground vegetation cover is comprised of native species (including small or immature trees, shrubs, and herbaceous plants, with a life-cycle of more than two growing seasons)</w:t>
            </w:r>
          </w:p>
          <w:p w14:paraId="71A8DA1E" w14:textId="1A0F40F7" w:rsidR="00075BEC" w:rsidRPr="00A86897" w:rsidRDefault="00075BEC" w:rsidP="008B5161">
            <w:pPr>
              <w:pStyle w:val="ListBullet"/>
              <w:rPr>
                <w:i/>
                <w:iCs/>
                <w:lang w:val="en-US"/>
              </w:rPr>
            </w:pPr>
            <w:r w:rsidRPr="00A86897">
              <w:rPr>
                <w:b/>
                <w:bCs/>
              </w:rPr>
              <w:t>OR</w:t>
            </w:r>
          </w:p>
        </w:tc>
      </w:tr>
      <w:tr w:rsidR="005371CB" w:rsidRPr="00B5406D" w14:paraId="4B88AF3A" w14:textId="77777777" w:rsidTr="009964BA">
        <w:trPr>
          <w:trHeight w:hRule="exact" w:val="737"/>
        </w:trPr>
        <w:tc>
          <w:tcPr>
            <w:tcW w:w="9016" w:type="dxa"/>
            <w:gridSpan w:val="2"/>
            <w:vAlign w:val="center"/>
          </w:tcPr>
          <w:p w14:paraId="2F362726" w14:textId="187D575D" w:rsidR="005371CB" w:rsidRPr="00A86897" w:rsidRDefault="005371CB" w:rsidP="008B5161">
            <w:pPr>
              <w:rPr>
                <w:i/>
                <w:iCs/>
              </w:rPr>
            </w:pPr>
            <w:r w:rsidRPr="00A86897">
              <w:rPr>
                <w:b/>
                <w:bCs/>
                <w:lang w:val="en-US"/>
              </w:rPr>
              <w:t>2)</w:t>
            </w:r>
            <w:r w:rsidRPr="00A86897">
              <w:rPr>
                <w:lang w:val="en-US"/>
              </w:rPr>
              <w:t xml:space="preserve"> </w:t>
            </w:r>
            <w:r w:rsidR="00956386" w:rsidRPr="00A86897">
              <w:rPr>
                <w:b/>
                <w:bCs/>
                <w:lang w:val="en-US"/>
              </w:rPr>
              <w:t xml:space="preserve">At least 25% </w:t>
            </w:r>
            <w:r w:rsidR="00B33B19" w:rsidRPr="00A86897">
              <w:rPr>
                <w:b/>
                <w:bCs/>
                <w:lang w:val="en-US"/>
              </w:rPr>
              <w:t>Understory</w:t>
            </w:r>
            <w:r w:rsidR="00956386" w:rsidRPr="00A86897">
              <w:rPr>
                <w:b/>
                <w:bCs/>
                <w:lang w:val="en-US"/>
              </w:rPr>
              <w:t>/Ground Native Vegetation Cover plus Large/Mature Trees</w:t>
            </w:r>
          </w:p>
        </w:tc>
      </w:tr>
      <w:tr w:rsidR="0087004E" w:rsidRPr="00B5406D" w14:paraId="5B5A84F3" w14:textId="77777777" w:rsidTr="00422BE8">
        <w:trPr>
          <w:trHeight w:hRule="exact" w:val="2685"/>
        </w:trPr>
        <w:tc>
          <w:tcPr>
            <w:tcW w:w="9016" w:type="dxa"/>
            <w:gridSpan w:val="2"/>
          </w:tcPr>
          <w:p w14:paraId="7813AFDD" w14:textId="77777777" w:rsidR="00A92A33" w:rsidRPr="00A86897" w:rsidRDefault="0087004E" w:rsidP="008B5161">
            <w:pPr>
              <w:pStyle w:val="ListBullet"/>
            </w:pPr>
            <w:bookmarkStart w:id="119" w:name="_Hlk169096213"/>
            <w:r w:rsidRPr="00A86897">
              <w:t>A canopy of large/mature trees (i.e. with hollows and/or more than 40 cm diameter at breast height) is present (typically red gum and/or black box) at a density of 5 or more per hectare (including stags with hollows)</w:t>
            </w:r>
          </w:p>
          <w:p w14:paraId="31837668" w14:textId="77777777" w:rsidR="00A92A33" w:rsidRPr="00A86897" w:rsidRDefault="00A92A33" w:rsidP="008B5161">
            <w:pPr>
              <w:pStyle w:val="ListBullet"/>
              <w:rPr>
                <w:b/>
                <w:bCs/>
              </w:rPr>
            </w:pPr>
            <w:r w:rsidRPr="00A86897">
              <w:rPr>
                <w:b/>
                <w:bCs/>
              </w:rPr>
              <w:t>AND</w:t>
            </w:r>
          </w:p>
          <w:bookmarkEnd w:id="119"/>
          <w:p w14:paraId="1E05B0C0" w14:textId="1EA95D7F" w:rsidR="0087004E" w:rsidRPr="00A86897" w:rsidRDefault="002B566F" w:rsidP="008B5161">
            <w:pPr>
              <w:pStyle w:val="ListBullet"/>
            </w:pPr>
            <w:r w:rsidRPr="00A86897">
              <w:t>at least 25% of the perennial vegetation understorey or ground vegetation cover is comprised of native species (including small or immature trees, shrubs, and herbaceous plants with a life-cycle of more than two growing seasons)</w:t>
            </w:r>
          </w:p>
        </w:tc>
      </w:tr>
    </w:tbl>
    <w:p w14:paraId="1FA74054" w14:textId="77777777" w:rsidR="0092436E" w:rsidRDefault="0092436E" w:rsidP="0092436E">
      <w:pPr>
        <w:keepLines/>
      </w:pPr>
      <w:bookmarkStart w:id="120" w:name="_Toc232747037"/>
      <w:bookmarkStart w:id="121" w:name="_Toc175317078"/>
      <w:bookmarkEnd w:id="118"/>
      <w:r>
        <w:lastRenderedPageBreak/>
        <w:t xml:space="preserve">Where condition is variable and the condition of the total area determined to be the ecological community falls below the minimum thresholds, the largest area (or areas) that meet the minimum Condition Thresholds within the total area should be identified. This may result in multiple protected occurrences of the ecological community being identified within the original area where condition is being assessed. </w:t>
      </w:r>
    </w:p>
    <w:p w14:paraId="2B0E03A5" w14:textId="5DDBACCD" w:rsidR="008E5147" w:rsidRDefault="0092436E" w:rsidP="008E5147">
      <w:r>
        <w:t>Restored (including r</w:t>
      </w:r>
      <w:r w:rsidRPr="0050225E">
        <w:t>evegetated or replanted</w:t>
      </w:r>
      <w:r>
        <w:t>)</w:t>
      </w:r>
      <w:r w:rsidRPr="0050225E">
        <w:t xml:space="preserve"> sites or areas of regrowth are not excluded from the listed ecological community </w:t>
      </w:r>
      <w:r>
        <w:t>as</w:t>
      </w:r>
      <w:r w:rsidRPr="0050225E">
        <w:t xml:space="preserve"> long as the</w:t>
      </w:r>
      <w:r>
        <w:t xml:space="preserve"> </w:t>
      </w:r>
      <w:r w:rsidRPr="00817ED6">
        <w:rPr>
          <w:rFonts w:cs="Cambria"/>
          <w:color w:val="000000" w:themeColor="text1"/>
        </w:rPr>
        <w:t>patch or</w:t>
      </w:r>
      <w:r w:rsidRPr="0050225E">
        <w:t xml:space="preserve"> occurrence meets the </w:t>
      </w:r>
      <w:r>
        <w:t>description</w:t>
      </w:r>
      <w:r w:rsidRPr="0050225E">
        <w:t xml:space="preserve"> </w:t>
      </w:r>
      <w:r>
        <w:t>and Condition Thresholds</w:t>
      </w:r>
      <w:r w:rsidRPr="0050225E">
        <w:t xml:space="preserve">. </w:t>
      </w:r>
    </w:p>
    <w:p w14:paraId="48595D25" w14:textId="3FAEAC1F" w:rsidR="004F1A0E" w:rsidRDefault="008E5147" w:rsidP="00550384">
      <w:pPr>
        <w:pStyle w:val="Heading3"/>
      </w:pPr>
      <w:r>
        <w:t xml:space="preserve">2.2.1 </w:t>
      </w:r>
      <w:r w:rsidR="00F50467" w:rsidRPr="00984022">
        <w:t>Additional considerations</w:t>
      </w:r>
      <w:bookmarkEnd w:id="120"/>
      <w:bookmarkEnd w:id="121"/>
    </w:p>
    <w:p w14:paraId="0FB39085" w14:textId="653E01A8" w:rsidR="0065777B" w:rsidRPr="0065777B" w:rsidRDefault="00F50467" w:rsidP="00377677">
      <w:pPr>
        <w:rPr>
          <w:i/>
        </w:rPr>
      </w:pPr>
      <w:r w:rsidRPr="004F1A0E">
        <w:t xml:space="preserve">When determining whether or not the above </w:t>
      </w:r>
      <w:r w:rsidR="006861F0" w:rsidRPr="004F1A0E">
        <w:t>C</w:t>
      </w:r>
      <w:r w:rsidRPr="004F1A0E">
        <w:t xml:space="preserve">ondition </w:t>
      </w:r>
      <w:r w:rsidR="006861F0" w:rsidRPr="004F1A0E">
        <w:t>T</w:t>
      </w:r>
      <w:r w:rsidRPr="004F1A0E">
        <w:t xml:space="preserve">hresholds apply, the timing </w:t>
      </w:r>
      <w:r w:rsidR="00B05B63">
        <w:t xml:space="preserve">and search effort </w:t>
      </w:r>
      <w:r w:rsidRPr="004F1A0E">
        <w:t xml:space="preserve">of surveys of the vegetation is an important consideration. </w:t>
      </w:r>
      <w:r w:rsidR="00CD1169">
        <w:t>Samplin of areas to determine proportion of vegetation cover should be based upon an accepted metho</w:t>
      </w:r>
      <w:r w:rsidR="0065777B">
        <w:t>dology and appropriate plot/transect/quadrat size.</w:t>
      </w:r>
    </w:p>
    <w:p w14:paraId="305280D6" w14:textId="5A1128CC" w:rsidR="00F50467" w:rsidRDefault="00831F94" w:rsidP="00377677">
      <w:pPr>
        <w:rPr>
          <w:i/>
        </w:rPr>
      </w:pPr>
      <w:r w:rsidRPr="004F1A0E">
        <w:t>Native vegetation</w:t>
      </w:r>
      <w:r w:rsidR="00F50467" w:rsidRPr="004F1A0E">
        <w:t xml:space="preserve"> can be variable in appearance throughout the year and between years, depending on drought/rain cycles. </w:t>
      </w:r>
      <w:r w:rsidR="00183D9F" w:rsidRPr="004F1A0E">
        <w:t>S</w:t>
      </w:r>
      <w:r w:rsidR="00F50467" w:rsidRPr="004F1A0E">
        <w:t xml:space="preserve">ome areas may </w:t>
      </w:r>
      <w:r w:rsidR="00183D9F" w:rsidRPr="004F1A0E">
        <w:t>have</w:t>
      </w:r>
      <w:r w:rsidR="00F50467" w:rsidRPr="004F1A0E">
        <w:t xml:space="preserve"> native </w:t>
      </w:r>
      <w:r w:rsidRPr="004F1A0E">
        <w:t xml:space="preserve">or exotic </w:t>
      </w:r>
      <w:r w:rsidR="00F50467" w:rsidRPr="004F1A0E">
        <w:t xml:space="preserve">species of vegetation present all year round in the ground layer, </w:t>
      </w:r>
      <w:r w:rsidR="00183D9F" w:rsidRPr="004F1A0E">
        <w:t>while in</w:t>
      </w:r>
      <w:r w:rsidR="00F50467" w:rsidRPr="004F1A0E">
        <w:t xml:space="preserve"> other areas there may be a seasonal component</w:t>
      </w:r>
      <w:r w:rsidR="00183D9F" w:rsidRPr="004F1A0E">
        <w:t xml:space="preserve">—for </w:t>
      </w:r>
      <w:r w:rsidR="00F50467" w:rsidRPr="004F1A0E">
        <w:t>example, with only spring/summer flowering evident. Thus</w:t>
      </w:r>
      <w:r w:rsidR="004F1A0E">
        <w:t>,</w:t>
      </w:r>
      <w:r w:rsidR="00F50467" w:rsidRPr="004F1A0E">
        <w:t xml:space="preserve"> the timing of surveys should consider the detectability of mid</w:t>
      </w:r>
      <w:r w:rsidR="006F1E22">
        <w:t>-</w:t>
      </w:r>
      <w:r w:rsidR="00F50467" w:rsidRPr="004F1A0E">
        <w:t xml:space="preserve"> and ground</w:t>
      </w:r>
      <w:r w:rsidR="006F1E22">
        <w:t>-</w:t>
      </w:r>
      <w:r w:rsidR="00F50467" w:rsidRPr="004F1A0E">
        <w:t xml:space="preserve">layer </w:t>
      </w:r>
      <w:r w:rsidRPr="004F1A0E">
        <w:t xml:space="preserve">native </w:t>
      </w:r>
      <w:r w:rsidR="00F50467" w:rsidRPr="004F1A0E">
        <w:t xml:space="preserve">species at different times of their life cycle, or their </w:t>
      </w:r>
      <w:r w:rsidR="006017EF" w:rsidRPr="004F1A0E">
        <w:t xml:space="preserve">potential </w:t>
      </w:r>
      <w:r w:rsidR="00F50467" w:rsidRPr="004F1A0E">
        <w:t xml:space="preserve">recovery after recent disturbances (natural or </w:t>
      </w:r>
      <w:r w:rsidR="002B158D">
        <w:t>anthropogenic) to the ecological community.</w:t>
      </w:r>
    </w:p>
    <w:p w14:paraId="28E5EFE0" w14:textId="2E0B594D" w:rsidR="002B158D" w:rsidRPr="002B158D" w:rsidRDefault="002B158D" w:rsidP="002B158D">
      <w:pPr>
        <w:rPr>
          <w:lang w:val="en-US"/>
        </w:rPr>
      </w:pPr>
      <w:r w:rsidRPr="001964CD">
        <w:t>Ideally, surveys should be conducted in more than one season to maximise the chance of detecting all species present. In years of low rainfall</w:t>
      </w:r>
      <w:r>
        <w:t xml:space="preserve"> and/or flow</w:t>
      </w:r>
      <w:r w:rsidRPr="001964CD">
        <w:t>, assessors should recognise that many species may not be detected</w:t>
      </w:r>
      <w:r>
        <w:t xml:space="preserve"> or may be defoliated</w:t>
      </w:r>
      <w:r w:rsidRPr="001964CD">
        <w:t>. In these situations, it is preferable that surveys are carried out over more than one year</w:t>
      </w:r>
      <w:r>
        <w:t xml:space="preserve"> and in a reasonable timeframe after disturbance</w:t>
      </w:r>
      <w:r w:rsidRPr="001964CD">
        <w:t>.</w:t>
      </w:r>
    </w:p>
    <w:p w14:paraId="68255061" w14:textId="6C12C93E" w:rsidR="00F50467" w:rsidRDefault="00F50467" w:rsidP="007209AD">
      <w:r>
        <w:t xml:space="preserve">When determining ‘significant impact’ upon the ecological community, it is also important to consider influences and impacts pertaining to the surrounding catchment areas, regardless of the cover of native vegetation.  These adjacent catchment areas </w:t>
      </w:r>
      <w:r w:rsidR="00A33372">
        <w:t xml:space="preserve">are critical for connectivity and </w:t>
      </w:r>
      <w:r>
        <w:t>a buffer against significant impacts on aspects critical to the ecological community’s integrity and functioning, for example, maintaining adequate flows and groundwater levels, or minimising pollution or invasive species.</w:t>
      </w:r>
    </w:p>
    <w:p w14:paraId="5E4E354A" w14:textId="093E9A93" w:rsidR="00EE1F6B" w:rsidRDefault="00F50467" w:rsidP="00DF09D1">
      <w:r w:rsidRPr="008D7EE7">
        <w:t xml:space="preserve">It is recognised that the </w:t>
      </w:r>
      <w:r w:rsidR="00423E9C">
        <w:t xml:space="preserve">main </w:t>
      </w:r>
      <w:r w:rsidRPr="008D7EE7">
        <w:t xml:space="preserve">river channel </w:t>
      </w:r>
      <w:r w:rsidR="00423E9C">
        <w:t xml:space="preserve">in the natural area of </w:t>
      </w:r>
      <w:r w:rsidRPr="008D7EE7">
        <w:t>the ecological community is highly regulated and has been for many decades (i.e. since 19</w:t>
      </w:r>
      <w:r w:rsidR="00973925">
        <w:t>2</w:t>
      </w:r>
      <w:r w:rsidRPr="008D7EE7">
        <w:t xml:space="preserve">0s) and that the system </w:t>
      </w:r>
      <w:r>
        <w:t>is now composed</w:t>
      </w:r>
      <w:r w:rsidRPr="008D7EE7">
        <w:t xml:space="preserve"> of a series of weir pools influenced by regulated and natural flows. It is also accepted that the ecological community is altered from its original, more natural condition due to this regulation and therefore using pre-European or pre-regulation condition as a </w:t>
      </w:r>
      <w:r w:rsidR="00B05B63">
        <w:t xml:space="preserve">reference </w:t>
      </w:r>
      <w:r w:rsidRPr="008D7EE7">
        <w:t xml:space="preserve">state is </w:t>
      </w:r>
      <w:r>
        <w:t>not always practical</w:t>
      </w:r>
      <w:r w:rsidRPr="008D7EE7">
        <w:t xml:space="preserve"> </w:t>
      </w:r>
      <w:r w:rsidR="00B05B63">
        <w:t xml:space="preserve">or desirable, given the influence of these regulatory structures on the ecology of the system </w:t>
      </w:r>
      <w:r w:rsidRPr="008D7EE7">
        <w:t>(TSSC 2010).</w:t>
      </w:r>
    </w:p>
    <w:p w14:paraId="2780A0E2" w14:textId="6403F9AB" w:rsidR="00AA4104" w:rsidRPr="00DF09D1" w:rsidRDefault="00DF09D1" w:rsidP="00AA4104">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w:t>
      </w:r>
      <w:r w:rsidR="009A21DB">
        <w:t>‘</w:t>
      </w:r>
      <w:r w:rsidR="00472E3D">
        <w:t>C</w:t>
      </w:r>
      <w:r>
        <w:t xml:space="preserve">ondition </w:t>
      </w:r>
      <w:r w:rsidR="00472E3D">
        <w:t>T</w:t>
      </w:r>
      <w:r w:rsidR="00AA4104">
        <w:t>hresholds</w:t>
      </w:r>
      <w:r w:rsidR="009A21DB">
        <w:t>’</w:t>
      </w:r>
      <w:r w:rsidR="00AA4104">
        <w:t xml:space="preserve"> </w:t>
      </w:r>
    </w:p>
    <w:p w14:paraId="5EAD066E" w14:textId="02360436" w:rsidR="004C4A83" w:rsidRPr="009017DB" w:rsidRDefault="009017DB" w:rsidP="009017DB">
      <w:pPr>
        <w:pStyle w:val="Consultationquestions"/>
        <w:shd w:val="clear" w:color="auto" w:fill="FFF2CC" w:themeFill="accent4" w:themeFillTint="33"/>
        <w:spacing w:before="120"/>
        <w:ind w:left="425" w:hanging="425"/>
        <w:contextualSpacing w:val="0"/>
        <w:rPr>
          <w:color w:val="000000" w:themeColor="text1"/>
        </w:rPr>
      </w:pPr>
      <w:r>
        <w:rPr>
          <w:color w:val="000000" w:themeColor="text1"/>
        </w:rPr>
        <w:t xml:space="preserve">Are the Condition Thresholds appropriate for this ecological community? If not, please suggest and justify any alternatives. </w:t>
      </w:r>
      <w:bookmarkStart w:id="122" w:name="_Toc158683482"/>
    </w:p>
    <w:p w14:paraId="7EB5EBA4" w14:textId="6D4C2C6F" w:rsidR="00636B31" w:rsidRDefault="00636B31" w:rsidP="008E4F36">
      <w:pPr>
        <w:pStyle w:val="Heading2"/>
      </w:pPr>
      <w:bookmarkStart w:id="123" w:name="_Toc175317079"/>
      <w:bookmarkStart w:id="124" w:name="_Toc175572781"/>
      <w:r>
        <w:lastRenderedPageBreak/>
        <w:t xml:space="preserve">Habitat </w:t>
      </w:r>
      <w:r w:rsidR="001263C8">
        <w:t xml:space="preserve">important or </w:t>
      </w:r>
      <w:r>
        <w:t>critical to the survival of the ecological community</w:t>
      </w:r>
      <w:bookmarkEnd w:id="122"/>
      <w:bookmarkEnd w:id="123"/>
      <w:bookmarkEnd w:id="124"/>
    </w:p>
    <w:p w14:paraId="6E5C533D" w14:textId="39B1E6F2" w:rsidR="00E91987" w:rsidRDefault="00D33FA0" w:rsidP="00E91987">
      <w:bookmarkStart w:id="125" w:name="_Hlk86605695"/>
      <w:r w:rsidRPr="002E7ADD">
        <w:t>Of critical importance to the survival of the ecological community is a flow regime (surface and groundwater) adequate to ensure connectivity and ecological function between the riverine and floodplain wetland components, and connectivity between the river and the adjacent ocean (MDBA</w:t>
      </w:r>
      <w:r>
        <w:t xml:space="preserve"> </w:t>
      </w:r>
      <w:r w:rsidRPr="002E7ADD">
        <w:t>2010 b,</w:t>
      </w:r>
      <w:r w:rsidR="00472E3D">
        <w:t xml:space="preserve"> </w:t>
      </w:r>
      <w:r w:rsidRPr="002E7ADD">
        <w:t>c</w:t>
      </w:r>
      <w:r w:rsidR="009273EF">
        <w:t>, 2012</w:t>
      </w:r>
      <w:r w:rsidRPr="002E7ADD">
        <w:t xml:space="preserve">; </w:t>
      </w:r>
      <w:r w:rsidR="005C0537">
        <w:t>TSSC 2010</w:t>
      </w:r>
      <w:r w:rsidR="009017DB">
        <w:t>,</w:t>
      </w:r>
      <w:r w:rsidR="005C0537">
        <w:t xml:space="preserve"> 201</w:t>
      </w:r>
      <w:r w:rsidR="009273EF">
        <w:t>1</w:t>
      </w:r>
      <w:r w:rsidRPr="002E7ADD">
        <w:t>).</w:t>
      </w:r>
      <w:r w:rsidR="00E91987">
        <w:t xml:space="preserve"> Notwithstanding this, the ecological community </w:t>
      </w:r>
      <w:r w:rsidR="001263C8">
        <w:t>can</w:t>
      </w:r>
      <w:r w:rsidR="00E91987">
        <w:t xml:space="preserve"> still </w:t>
      </w:r>
      <w:r w:rsidR="001263C8">
        <w:t>be</w:t>
      </w:r>
      <w:r w:rsidR="00E91987">
        <w:t xml:space="preserve"> present should ‘cease-to-flow’ or desiccation of aquatic components occur.</w:t>
      </w:r>
    </w:p>
    <w:p w14:paraId="6000BFE4" w14:textId="4BE5FF17" w:rsidR="0025512F" w:rsidRPr="001263C8" w:rsidRDefault="00DB7C62" w:rsidP="00423E9C">
      <w:pPr>
        <w:pStyle w:val="twentypointnormal"/>
        <w:spacing w:after="200"/>
        <w:ind w:left="0"/>
        <w:rPr>
          <w:rFonts w:ascii="Cambria" w:hAnsi="Cambria"/>
          <w:b/>
          <w:i/>
          <w:sz w:val="22"/>
          <w:szCs w:val="22"/>
        </w:rPr>
      </w:pPr>
      <w:r w:rsidRPr="001263C8">
        <w:rPr>
          <w:rFonts w:ascii="Cambria" w:hAnsi="Cambria"/>
          <w:color w:val="000000" w:themeColor="text1"/>
          <w:sz w:val="22"/>
          <w:szCs w:val="22"/>
        </w:rPr>
        <w:t xml:space="preserve">Habitat that is considered </w:t>
      </w:r>
      <w:r w:rsidR="001263C8">
        <w:rPr>
          <w:rFonts w:ascii="Cambria" w:hAnsi="Cambria"/>
          <w:color w:val="000000" w:themeColor="text1"/>
          <w:sz w:val="22"/>
          <w:szCs w:val="22"/>
        </w:rPr>
        <w:t>important</w:t>
      </w:r>
      <w:r w:rsidRPr="001263C8">
        <w:rPr>
          <w:rFonts w:ascii="Cambria" w:hAnsi="Cambria"/>
          <w:color w:val="000000" w:themeColor="text1"/>
          <w:sz w:val="22"/>
          <w:szCs w:val="22"/>
        </w:rPr>
        <w:t xml:space="preserve"> </w:t>
      </w:r>
      <w:r w:rsidR="001263C8">
        <w:rPr>
          <w:rFonts w:ascii="Cambria" w:hAnsi="Cambria"/>
          <w:color w:val="000000" w:themeColor="text1"/>
          <w:sz w:val="22"/>
          <w:szCs w:val="22"/>
        </w:rPr>
        <w:t xml:space="preserve">or critical </w:t>
      </w:r>
      <w:r w:rsidRPr="001263C8">
        <w:rPr>
          <w:rFonts w:ascii="Cambria" w:hAnsi="Cambria"/>
          <w:color w:val="000000" w:themeColor="text1"/>
          <w:sz w:val="22"/>
          <w:szCs w:val="22"/>
        </w:rPr>
        <w:t xml:space="preserve">to the survival of the ecological community </w:t>
      </w:r>
      <w:r w:rsidR="00423E9C">
        <w:rPr>
          <w:rFonts w:ascii="Cambria" w:hAnsi="Cambria"/>
          <w:color w:val="000000" w:themeColor="text1"/>
          <w:sz w:val="22"/>
          <w:szCs w:val="22"/>
        </w:rPr>
        <w:t>consists of</w:t>
      </w:r>
      <w:r w:rsidRPr="001263C8">
        <w:rPr>
          <w:rFonts w:ascii="Cambria" w:hAnsi="Cambria"/>
          <w:color w:val="000000" w:themeColor="text1"/>
          <w:sz w:val="22"/>
          <w:szCs w:val="22"/>
        </w:rPr>
        <w:t xml:space="preserve"> </w:t>
      </w:r>
      <w:r w:rsidR="00C71643" w:rsidRPr="001263C8">
        <w:rPr>
          <w:rFonts w:ascii="Cambria" w:hAnsi="Cambria"/>
          <w:color w:val="000000" w:themeColor="text1"/>
          <w:sz w:val="22"/>
          <w:szCs w:val="22"/>
        </w:rPr>
        <w:t>al</w:t>
      </w:r>
      <w:r w:rsidR="002E1F5C" w:rsidRPr="001263C8">
        <w:rPr>
          <w:rFonts w:ascii="Cambria" w:hAnsi="Cambria"/>
          <w:color w:val="000000" w:themeColor="text1"/>
          <w:sz w:val="22"/>
          <w:szCs w:val="22"/>
        </w:rPr>
        <w:t xml:space="preserve">l </w:t>
      </w:r>
      <w:r w:rsidR="00692054" w:rsidRPr="001263C8">
        <w:rPr>
          <w:rFonts w:ascii="Cambria" w:hAnsi="Cambria"/>
          <w:color w:val="000000" w:themeColor="text1"/>
          <w:sz w:val="22"/>
          <w:szCs w:val="22"/>
        </w:rPr>
        <w:t xml:space="preserve">of the </w:t>
      </w:r>
      <w:r w:rsidR="002E1F5C" w:rsidRPr="001263C8">
        <w:rPr>
          <w:rFonts w:ascii="Cambria" w:hAnsi="Cambria"/>
          <w:color w:val="000000" w:themeColor="text1"/>
          <w:sz w:val="22"/>
          <w:szCs w:val="22"/>
        </w:rPr>
        <w:t xml:space="preserve">areas that meet the </w:t>
      </w:r>
      <w:r w:rsidR="009017DB">
        <w:rPr>
          <w:rFonts w:ascii="Cambria" w:hAnsi="Cambria"/>
          <w:color w:val="000000" w:themeColor="text1"/>
          <w:sz w:val="22"/>
          <w:szCs w:val="22"/>
        </w:rPr>
        <w:t>description (as per Section 1)</w:t>
      </w:r>
      <w:r w:rsidR="00714106">
        <w:rPr>
          <w:rFonts w:ascii="Cambria" w:hAnsi="Cambria"/>
          <w:color w:val="000000" w:themeColor="text1"/>
          <w:sz w:val="22"/>
          <w:szCs w:val="22"/>
        </w:rPr>
        <w:t xml:space="preserve"> </w:t>
      </w:r>
      <w:r w:rsidR="00442823" w:rsidRPr="001263C8">
        <w:rPr>
          <w:rFonts w:ascii="Cambria" w:hAnsi="Cambria"/>
          <w:color w:val="000000" w:themeColor="text1"/>
          <w:sz w:val="22"/>
          <w:szCs w:val="22"/>
        </w:rPr>
        <w:t xml:space="preserve">within the boundaries of the RMDS </w:t>
      </w:r>
      <w:r w:rsidR="00C71643" w:rsidRPr="001263C8">
        <w:rPr>
          <w:rFonts w:ascii="Cambria" w:hAnsi="Cambria"/>
          <w:color w:val="000000" w:themeColor="text1"/>
          <w:sz w:val="22"/>
          <w:szCs w:val="22"/>
        </w:rPr>
        <w:t>EC</w:t>
      </w:r>
      <w:r w:rsidR="00C87C89" w:rsidRPr="001263C8">
        <w:rPr>
          <w:rFonts w:ascii="Cambria" w:hAnsi="Cambria"/>
          <w:color w:val="000000" w:themeColor="text1"/>
          <w:sz w:val="22"/>
          <w:szCs w:val="22"/>
        </w:rPr>
        <w:t xml:space="preserve"> (and taking into account any buffer zones)</w:t>
      </w:r>
      <w:r w:rsidR="00692054" w:rsidRPr="001263C8">
        <w:rPr>
          <w:rFonts w:ascii="Cambria" w:hAnsi="Cambria"/>
          <w:color w:val="000000" w:themeColor="text1"/>
          <w:sz w:val="22"/>
          <w:szCs w:val="22"/>
        </w:rPr>
        <w:t>,</w:t>
      </w:r>
      <w:r w:rsidR="00C71643" w:rsidRPr="001263C8">
        <w:rPr>
          <w:rFonts w:ascii="Cambria" w:hAnsi="Cambria"/>
          <w:color w:val="000000" w:themeColor="text1"/>
          <w:sz w:val="22"/>
          <w:szCs w:val="22"/>
        </w:rPr>
        <w:t xml:space="preserve"> in addition to </w:t>
      </w:r>
      <w:r w:rsidR="00E91987" w:rsidRPr="001263C8">
        <w:rPr>
          <w:rFonts w:ascii="Cambria" w:hAnsi="Cambria"/>
          <w:color w:val="000000" w:themeColor="text1"/>
          <w:sz w:val="22"/>
          <w:szCs w:val="22"/>
        </w:rPr>
        <w:t xml:space="preserve">meeting </w:t>
      </w:r>
      <w:r w:rsidR="00C71643" w:rsidRPr="001263C8">
        <w:rPr>
          <w:rFonts w:ascii="Cambria" w:hAnsi="Cambria"/>
          <w:color w:val="000000" w:themeColor="text1"/>
          <w:sz w:val="22"/>
          <w:szCs w:val="22"/>
        </w:rPr>
        <w:t xml:space="preserve">the </w:t>
      </w:r>
      <w:r w:rsidR="00692054" w:rsidRPr="001263C8">
        <w:rPr>
          <w:rFonts w:ascii="Cambria" w:hAnsi="Cambria"/>
          <w:color w:val="000000" w:themeColor="text1"/>
          <w:sz w:val="22"/>
          <w:szCs w:val="22"/>
        </w:rPr>
        <w:t>C</w:t>
      </w:r>
      <w:r w:rsidRPr="001263C8">
        <w:rPr>
          <w:rFonts w:ascii="Cambria" w:hAnsi="Cambria"/>
          <w:color w:val="000000" w:themeColor="text1"/>
          <w:sz w:val="22"/>
          <w:szCs w:val="22"/>
        </w:rPr>
        <w:t xml:space="preserve">ondition </w:t>
      </w:r>
      <w:r w:rsidR="00692054" w:rsidRPr="001263C8">
        <w:rPr>
          <w:rFonts w:ascii="Cambria" w:hAnsi="Cambria"/>
          <w:color w:val="000000" w:themeColor="text1"/>
          <w:sz w:val="22"/>
          <w:szCs w:val="22"/>
        </w:rPr>
        <w:t>T</w:t>
      </w:r>
      <w:r w:rsidRPr="001263C8">
        <w:rPr>
          <w:rFonts w:ascii="Cambria" w:hAnsi="Cambria"/>
          <w:color w:val="000000" w:themeColor="text1"/>
          <w:sz w:val="22"/>
          <w:szCs w:val="22"/>
        </w:rPr>
        <w:t>hresholds</w:t>
      </w:r>
      <w:r w:rsidR="00C71643" w:rsidRPr="001263C8">
        <w:rPr>
          <w:rFonts w:ascii="Cambria" w:hAnsi="Cambria"/>
          <w:color w:val="000000" w:themeColor="text1"/>
          <w:sz w:val="22"/>
          <w:szCs w:val="22"/>
        </w:rPr>
        <w:t xml:space="preserve"> </w:t>
      </w:r>
      <w:r w:rsidR="00423E9C">
        <w:rPr>
          <w:rFonts w:ascii="Cambria" w:hAnsi="Cambria"/>
          <w:color w:val="000000" w:themeColor="text1"/>
          <w:sz w:val="22"/>
          <w:szCs w:val="22"/>
        </w:rPr>
        <w:t xml:space="preserve">in vegetated </w:t>
      </w:r>
      <w:r w:rsidR="00C71643" w:rsidRPr="001263C8">
        <w:rPr>
          <w:rFonts w:ascii="Cambria" w:hAnsi="Cambria"/>
          <w:color w:val="000000" w:themeColor="text1"/>
          <w:sz w:val="22"/>
          <w:szCs w:val="22"/>
        </w:rPr>
        <w:t>component</w:t>
      </w:r>
      <w:r w:rsidR="00423E9C">
        <w:rPr>
          <w:rFonts w:ascii="Cambria" w:hAnsi="Cambria"/>
          <w:color w:val="000000" w:themeColor="text1"/>
          <w:sz w:val="22"/>
          <w:szCs w:val="22"/>
        </w:rPr>
        <w:t>s</w:t>
      </w:r>
      <w:r w:rsidR="00670594">
        <w:rPr>
          <w:rFonts w:ascii="Cambria" w:hAnsi="Cambria"/>
          <w:color w:val="000000" w:themeColor="text1"/>
          <w:sz w:val="22"/>
          <w:szCs w:val="22"/>
        </w:rPr>
        <w:t xml:space="preserve">. </w:t>
      </w:r>
      <w:r w:rsidR="00173CAD">
        <w:rPr>
          <w:rFonts w:ascii="Cambria" w:hAnsi="Cambria"/>
          <w:color w:val="000000" w:themeColor="text1"/>
          <w:sz w:val="22"/>
          <w:szCs w:val="22"/>
        </w:rPr>
        <w:t xml:space="preserve">The reference to </w:t>
      </w:r>
      <w:r w:rsidR="00714106">
        <w:rPr>
          <w:rFonts w:ascii="Cambria" w:hAnsi="Cambria"/>
          <w:color w:val="000000" w:themeColor="text1"/>
          <w:sz w:val="22"/>
          <w:szCs w:val="22"/>
        </w:rPr>
        <w:t xml:space="preserve">vegetated </w:t>
      </w:r>
      <w:r w:rsidR="00670594">
        <w:rPr>
          <w:rFonts w:ascii="Cambria" w:hAnsi="Cambria"/>
          <w:color w:val="000000" w:themeColor="text1"/>
          <w:sz w:val="22"/>
          <w:szCs w:val="22"/>
        </w:rPr>
        <w:t xml:space="preserve">components </w:t>
      </w:r>
      <w:r w:rsidR="00173CAD">
        <w:rPr>
          <w:rFonts w:ascii="Cambria" w:hAnsi="Cambria"/>
          <w:color w:val="000000" w:themeColor="text1"/>
          <w:sz w:val="22"/>
          <w:szCs w:val="22"/>
        </w:rPr>
        <w:t xml:space="preserve">here, </w:t>
      </w:r>
      <w:r w:rsidR="00670594">
        <w:rPr>
          <w:rFonts w:ascii="Cambria" w:hAnsi="Cambria"/>
          <w:color w:val="000000" w:themeColor="text1"/>
          <w:sz w:val="22"/>
          <w:szCs w:val="22"/>
        </w:rPr>
        <w:t>include</w:t>
      </w:r>
      <w:r w:rsidR="00173CAD">
        <w:rPr>
          <w:rFonts w:ascii="Cambria" w:hAnsi="Cambria"/>
          <w:color w:val="000000" w:themeColor="text1"/>
          <w:sz w:val="22"/>
          <w:szCs w:val="22"/>
        </w:rPr>
        <w:t>s</w:t>
      </w:r>
      <w:r w:rsidR="00670594">
        <w:rPr>
          <w:rFonts w:ascii="Cambria" w:hAnsi="Cambria"/>
          <w:color w:val="000000" w:themeColor="text1"/>
          <w:sz w:val="22"/>
          <w:szCs w:val="22"/>
        </w:rPr>
        <w:t xml:space="preserve"> those </w:t>
      </w:r>
      <w:r w:rsidR="00714106">
        <w:rPr>
          <w:rFonts w:ascii="Cambria" w:hAnsi="Cambria"/>
          <w:color w:val="000000" w:themeColor="text1"/>
          <w:sz w:val="22"/>
          <w:szCs w:val="22"/>
        </w:rPr>
        <w:t>parts of the floodplain, riparian zone, Coorong dunes, etc.</w:t>
      </w:r>
      <w:r w:rsidR="00173CAD">
        <w:rPr>
          <w:rFonts w:ascii="Cambria" w:hAnsi="Cambria"/>
          <w:color w:val="000000" w:themeColor="text1"/>
          <w:sz w:val="22"/>
          <w:szCs w:val="22"/>
        </w:rPr>
        <w:t>,</w:t>
      </w:r>
      <w:r w:rsidR="00714106">
        <w:rPr>
          <w:rFonts w:ascii="Cambria" w:hAnsi="Cambria"/>
          <w:color w:val="000000" w:themeColor="text1"/>
          <w:sz w:val="22"/>
          <w:szCs w:val="22"/>
        </w:rPr>
        <w:t xml:space="preserve"> when they are not inundated and in a relatively good condition</w:t>
      </w:r>
      <w:r w:rsidR="00173CAD">
        <w:rPr>
          <w:rFonts w:ascii="Cambria" w:hAnsi="Cambria"/>
          <w:color w:val="000000" w:themeColor="text1"/>
          <w:sz w:val="22"/>
          <w:szCs w:val="22"/>
        </w:rPr>
        <w:t>.</w:t>
      </w:r>
      <w:r w:rsidR="008A2561">
        <w:rPr>
          <w:rFonts w:ascii="Cambria" w:hAnsi="Cambria"/>
          <w:color w:val="000000" w:themeColor="text1"/>
          <w:sz w:val="22"/>
          <w:szCs w:val="22"/>
        </w:rPr>
        <w:t xml:space="preserve"> </w:t>
      </w:r>
      <w:r w:rsidR="00071581">
        <w:rPr>
          <w:rFonts w:ascii="Cambria" w:hAnsi="Cambria"/>
          <w:color w:val="000000" w:themeColor="text1"/>
          <w:sz w:val="22"/>
          <w:szCs w:val="22"/>
        </w:rPr>
        <w:t>Of the vegetated areas</w:t>
      </w:r>
      <w:r w:rsidR="00FB33E8">
        <w:rPr>
          <w:rFonts w:ascii="Cambria" w:hAnsi="Cambria"/>
          <w:color w:val="000000" w:themeColor="text1"/>
          <w:sz w:val="22"/>
          <w:szCs w:val="22"/>
        </w:rPr>
        <w:t xml:space="preserve"> that meet the </w:t>
      </w:r>
      <w:r w:rsidR="003B4C90">
        <w:rPr>
          <w:rFonts w:ascii="Cambria" w:hAnsi="Cambria"/>
          <w:color w:val="000000" w:themeColor="text1"/>
          <w:sz w:val="22"/>
          <w:szCs w:val="22"/>
        </w:rPr>
        <w:t>d</w:t>
      </w:r>
      <w:r w:rsidR="00FB33E8">
        <w:rPr>
          <w:rFonts w:ascii="Cambria" w:hAnsi="Cambria"/>
          <w:color w:val="000000" w:themeColor="text1"/>
          <w:sz w:val="22"/>
          <w:szCs w:val="22"/>
        </w:rPr>
        <w:t xml:space="preserve">escription, those that also meet the Condition Thresholds are </w:t>
      </w:r>
      <w:r w:rsidR="004053B6">
        <w:rPr>
          <w:rFonts w:ascii="Cambria" w:hAnsi="Cambria"/>
          <w:color w:val="000000" w:themeColor="text1"/>
          <w:sz w:val="22"/>
          <w:szCs w:val="22"/>
        </w:rPr>
        <w:t xml:space="preserve">most likely to retain the highest natural abundance and diversity of flora and fauna, </w:t>
      </w:r>
      <w:r w:rsidR="008A2561">
        <w:rPr>
          <w:rFonts w:ascii="Cambria" w:hAnsi="Cambria"/>
          <w:color w:val="000000" w:themeColor="text1"/>
          <w:sz w:val="22"/>
          <w:szCs w:val="22"/>
        </w:rPr>
        <w:t xml:space="preserve">the </w:t>
      </w:r>
      <w:r w:rsidR="004053B6">
        <w:rPr>
          <w:rFonts w:ascii="Cambria" w:hAnsi="Cambria"/>
          <w:color w:val="000000" w:themeColor="text1"/>
          <w:sz w:val="22"/>
          <w:szCs w:val="22"/>
        </w:rPr>
        <w:t>most intact structure and ecological function (integrity), and therefore have the highest chance of persisting in the long-term (viability and resilience</w:t>
      </w:r>
      <w:r w:rsidR="00423E9C">
        <w:rPr>
          <w:rFonts w:ascii="Cambria" w:hAnsi="Cambria"/>
          <w:color w:val="000000" w:themeColor="text1"/>
          <w:sz w:val="22"/>
          <w:szCs w:val="22"/>
        </w:rPr>
        <w:t>)</w:t>
      </w:r>
      <w:r w:rsidRPr="001263C8">
        <w:rPr>
          <w:rFonts w:ascii="Cambria" w:hAnsi="Cambria"/>
          <w:color w:val="000000" w:themeColor="text1"/>
          <w:sz w:val="22"/>
          <w:szCs w:val="22"/>
        </w:rPr>
        <w:t>.</w:t>
      </w:r>
      <w:r w:rsidR="006E4824" w:rsidRPr="001263C8">
        <w:rPr>
          <w:rFonts w:ascii="Cambria" w:hAnsi="Cambria"/>
          <w:color w:val="000000" w:themeColor="text1"/>
          <w:sz w:val="22"/>
          <w:szCs w:val="22"/>
        </w:rPr>
        <w:t xml:space="preserve"> </w:t>
      </w:r>
    </w:p>
    <w:p w14:paraId="2C7B04DE" w14:textId="343B87B5" w:rsidR="00F61961" w:rsidRDefault="00686756" w:rsidP="00423E9C">
      <w:r>
        <w:t xml:space="preserve">Apart from areas where Condition Thresholds apply, in general, </w:t>
      </w:r>
      <w:r w:rsidR="001263C8">
        <w:t xml:space="preserve">habitats or </w:t>
      </w:r>
      <w:r w:rsidR="00F61961">
        <w:t>area</w:t>
      </w:r>
      <w:r w:rsidR="001263C8">
        <w:t>s</w:t>
      </w:r>
      <w:r w:rsidR="00F61961">
        <w:t xml:space="preserve"> </w:t>
      </w:r>
      <w:r w:rsidR="001263C8">
        <w:t>critical or important</w:t>
      </w:r>
      <w:r w:rsidR="00F61961">
        <w:t xml:space="preserve"> to the survival of the </w:t>
      </w:r>
      <w:r w:rsidR="00F61961" w:rsidRPr="00FE4AF8">
        <w:rPr>
          <w:i/>
        </w:rPr>
        <w:t>River Murray</w:t>
      </w:r>
      <w:r w:rsidR="00AF10C1">
        <w:rPr>
          <w:i/>
        </w:rPr>
        <w:t xml:space="preserve">—Darling </w:t>
      </w:r>
      <w:r w:rsidR="00F61961" w:rsidRPr="00FE4AF8">
        <w:rPr>
          <w:i/>
        </w:rPr>
        <w:t xml:space="preserve">to </w:t>
      </w:r>
      <w:r w:rsidR="00F61961">
        <w:rPr>
          <w:i/>
        </w:rPr>
        <w:t>S</w:t>
      </w:r>
      <w:r w:rsidR="00F61961" w:rsidRPr="00FE4AF8">
        <w:rPr>
          <w:i/>
        </w:rPr>
        <w:t>ea</w:t>
      </w:r>
      <w:r w:rsidR="00F61961">
        <w:t xml:space="preserve"> ecological community </w:t>
      </w:r>
      <w:r w:rsidR="00B13367">
        <w:t>include</w:t>
      </w:r>
      <w:r w:rsidR="00F61961">
        <w:t>:</w:t>
      </w:r>
    </w:p>
    <w:p w14:paraId="06767220" w14:textId="124E0D22" w:rsidR="00F61961" w:rsidRDefault="00F61961" w:rsidP="0012104E">
      <w:pPr>
        <w:pStyle w:val="ListBullet"/>
        <w:numPr>
          <w:ilvl w:val="0"/>
          <w:numId w:val="39"/>
        </w:numPr>
        <w:spacing w:after="120"/>
      </w:pPr>
      <w:r>
        <w:t xml:space="preserve">the riverine and associated floodplain area </w:t>
      </w:r>
      <w:r w:rsidR="002E7ADD">
        <w:t xml:space="preserve">of the River Murray </w:t>
      </w:r>
      <w:r>
        <w:t>bounded by the 1956 flood</w:t>
      </w:r>
      <w:r w:rsidR="00177B35">
        <w:t xml:space="preserve"> </w:t>
      </w:r>
      <w:r>
        <w:t>line</w:t>
      </w:r>
      <w:r w:rsidR="002E7ADD">
        <w:t xml:space="preserve"> downstream of the Darling River and including the Coor</w:t>
      </w:r>
      <w:r w:rsidR="0038325C">
        <w:t>o</w:t>
      </w:r>
      <w:r w:rsidR="002E7ADD">
        <w:t>ng, Lower Lakes</w:t>
      </w:r>
      <w:r w:rsidR="00D33FA0">
        <w:t>,</w:t>
      </w:r>
      <w:r w:rsidR="002E7ADD">
        <w:t xml:space="preserve"> and Murray Mouth</w:t>
      </w:r>
      <w:r w:rsidR="00D33FA0">
        <w:t xml:space="preserve"> estuary</w:t>
      </w:r>
      <w:r w:rsidR="00C87C89">
        <w:t xml:space="preserve"> (i.e. as des</w:t>
      </w:r>
      <w:r w:rsidR="00A13DB4">
        <w:t>c</w:t>
      </w:r>
      <w:r w:rsidR="00C87C89">
        <w:t xml:space="preserve">ribed in </w:t>
      </w:r>
      <w:r w:rsidR="00C87C89" w:rsidRPr="001263C8">
        <w:t xml:space="preserve">Table </w:t>
      </w:r>
      <w:r w:rsidR="00A13DB4" w:rsidRPr="001263C8">
        <w:t>2</w:t>
      </w:r>
      <w:r w:rsidR="00A13DB4">
        <w:t>)</w:t>
      </w:r>
    </w:p>
    <w:p w14:paraId="3062B8C0" w14:textId="77777777" w:rsidR="002A6C6B" w:rsidRDefault="002A6C6B" w:rsidP="0012104E">
      <w:pPr>
        <w:pStyle w:val="ListBullet"/>
        <w:numPr>
          <w:ilvl w:val="0"/>
          <w:numId w:val="39"/>
        </w:numPr>
        <w:spacing w:after="120"/>
      </w:pPr>
      <w:r>
        <w:t>the streams within the Eastern Mount Lofty Ranges and the Marne-Saunders Prescribed Water Resources Areas.</w:t>
      </w:r>
    </w:p>
    <w:p w14:paraId="656F0011" w14:textId="218AFAE4" w:rsidR="002A6C6B" w:rsidRDefault="002A6C6B" w:rsidP="0012104E">
      <w:pPr>
        <w:pStyle w:val="ListBullet"/>
        <w:numPr>
          <w:ilvl w:val="0"/>
          <w:numId w:val="39"/>
        </w:numPr>
      </w:pPr>
      <w:r>
        <w:t>areas where there is e</w:t>
      </w:r>
      <w:r w:rsidRPr="00FA40D9">
        <w:t>vidence of recruitment of key</w:t>
      </w:r>
      <w:r>
        <w:t>stone/ecosystem engineer</w:t>
      </w:r>
      <w:r w:rsidRPr="00FA40D9">
        <w:t xml:space="preserve"> native species or the pre</w:t>
      </w:r>
      <w:r>
        <w:t>sence of a range of age cohorts are critical</w:t>
      </w:r>
      <w:r w:rsidR="00423E9C">
        <w:t xml:space="preserve"> </w:t>
      </w:r>
    </w:p>
    <w:p w14:paraId="3AE13BA3" w14:textId="537EAB87" w:rsidR="002A6C6B" w:rsidRPr="00895C20" w:rsidRDefault="002A6C6B" w:rsidP="0012104E">
      <w:pPr>
        <w:pStyle w:val="ListBullet"/>
        <w:numPr>
          <w:ilvl w:val="0"/>
          <w:numId w:val="39"/>
        </w:numPr>
      </w:pPr>
      <w:r>
        <w:t xml:space="preserve">areas providing </w:t>
      </w:r>
      <w:r w:rsidRPr="00895C20">
        <w:t xml:space="preserve">connectivity between </w:t>
      </w:r>
      <w:r>
        <w:t xml:space="preserve">the </w:t>
      </w:r>
      <w:r w:rsidRPr="00895C20">
        <w:t xml:space="preserve">floodplain and channels and </w:t>
      </w:r>
      <w:r>
        <w:t xml:space="preserve">where there are </w:t>
      </w:r>
      <w:r w:rsidRPr="00895C20">
        <w:t>adequate wetting and drying cycles on connected floodplain and wetland habitats</w:t>
      </w:r>
      <w:r>
        <w:t xml:space="preserve"> are critical</w:t>
      </w:r>
    </w:p>
    <w:p w14:paraId="6DB9AD6F" w14:textId="02D944B0" w:rsidR="002A6C6B" w:rsidRDefault="002A6C6B" w:rsidP="0012104E">
      <w:pPr>
        <w:pStyle w:val="ListBullet"/>
        <w:numPr>
          <w:ilvl w:val="0"/>
          <w:numId w:val="39"/>
        </w:numPr>
      </w:pPr>
      <w:r w:rsidRPr="00416056">
        <w:t>good faunal habitat</w:t>
      </w:r>
      <w:r>
        <w:t xml:space="preserve"> is critical </w:t>
      </w:r>
      <w:r w:rsidRPr="00416056">
        <w:t>as indicated</w:t>
      </w:r>
      <w:r>
        <w:t>, for example,</w:t>
      </w:r>
      <w:r w:rsidRPr="00416056">
        <w:t xml:space="preserve"> by areas containing colonial waterbird nesting sites, waterbird foraging habitat, </w:t>
      </w:r>
      <w:r>
        <w:t xml:space="preserve">large trees for resources and breeding, </w:t>
      </w:r>
      <w:r w:rsidRPr="00416056">
        <w:t>cover, refuge, contribution to movement corridors</w:t>
      </w:r>
    </w:p>
    <w:p w14:paraId="28BECB61" w14:textId="189B2688" w:rsidR="002A6C6B" w:rsidRDefault="002A6C6B" w:rsidP="0012104E">
      <w:pPr>
        <w:pStyle w:val="ListBullet"/>
        <w:numPr>
          <w:ilvl w:val="0"/>
          <w:numId w:val="39"/>
        </w:numPr>
      </w:pPr>
      <w:r>
        <w:t>areas of high s</w:t>
      </w:r>
      <w:r w:rsidRPr="00242BAE">
        <w:t>pecies richness</w:t>
      </w:r>
      <w:r>
        <w:t xml:space="preserve"> are critical</w:t>
      </w:r>
      <w:r w:rsidRPr="00242BAE">
        <w:t>, as shown by the variety and proportion of native flora and the div</w:t>
      </w:r>
      <w:r>
        <w:t>ersity of fauna species present</w:t>
      </w:r>
    </w:p>
    <w:p w14:paraId="536DD890" w14:textId="34A13D7F" w:rsidR="00981A9F" w:rsidRDefault="00981A9F" w:rsidP="0012104E">
      <w:pPr>
        <w:pStyle w:val="ListBullet"/>
        <w:numPr>
          <w:ilvl w:val="0"/>
          <w:numId w:val="39"/>
        </w:numPr>
      </w:pPr>
      <w:r>
        <w:t>p</w:t>
      </w:r>
      <w:r w:rsidRPr="00242BAE">
        <w:t xml:space="preserve">atches that </w:t>
      </w:r>
      <w:r>
        <w:t>are</w:t>
      </w:r>
      <w:r w:rsidRPr="00242BAE">
        <w:t xml:space="preserve"> in areas where unique </w:t>
      </w:r>
      <w:r>
        <w:t xml:space="preserve">or localised </w:t>
      </w:r>
      <w:r w:rsidRPr="00242BAE">
        <w:t>variant</w:t>
      </w:r>
      <w:r>
        <w:t>s/aspects</w:t>
      </w:r>
      <w:r w:rsidRPr="00242BAE">
        <w:t xml:space="preserve"> of the ecological community</w:t>
      </w:r>
      <w:r>
        <w:t xml:space="preserve"> are critical</w:t>
      </w:r>
    </w:p>
    <w:p w14:paraId="3A8D180A" w14:textId="0D1182B2" w:rsidR="002A6C6B" w:rsidRDefault="002A6C6B" w:rsidP="0012104E">
      <w:pPr>
        <w:pStyle w:val="ListBullet"/>
        <w:numPr>
          <w:ilvl w:val="0"/>
          <w:numId w:val="39"/>
        </w:numPr>
      </w:pPr>
      <w:r>
        <w:t>areas providing for unimpeded movement of fish, including diadromous species, for migrations, spawning, or recruitment are critical</w:t>
      </w:r>
    </w:p>
    <w:p w14:paraId="36EE625E" w14:textId="235B8E97" w:rsidR="00981A9F" w:rsidRPr="00242BAE" w:rsidRDefault="00981A9F" w:rsidP="0012104E">
      <w:pPr>
        <w:pStyle w:val="ListBullet"/>
        <w:numPr>
          <w:ilvl w:val="0"/>
          <w:numId w:val="39"/>
        </w:numPr>
      </w:pPr>
      <w:r>
        <w:t>areas where there are</w:t>
      </w:r>
      <w:r w:rsidR="00196708">
        <w:t xml:space="preserve"> healthy</w:t>
      </w:r>
      <w:r>
        <w:t xml:space="preserve"> populations of </w:t>
      </w:r>
      <w:r w:rsidR="00196708">
        <w:t xml:space="preserve">key functional species are critical and any populations of </w:t>
      </w:r>
      <w:r>
        <w:t>listed threatened species are important</w:t>
      </w:r>
    </w:p>
    <w:p w14:paraId="72407993" w14:textId="1682759C" w:rsidR="00981A9F" w:rsidRPr="00242BAE" w:rsidRDefault="00981A9F" w:rsidP="0012104E">
      <w:pPr>
        <w:pStyle w:val="ListBullet"/>
        <w:numPr>
          <w:ilvl w:val="0"/>
          <w:numId w:val="39"/>
        </w:numPr>
      </w:pPr>
      <w:r>
        <w:t>a</w:t>
      </w:r>
      <w:r w:rsidRPr="00242BAE">
        <w:t>reas of minimal weeds and feral animals, or where t</w:t>
      </w:r>
      <w:r>
        <w:t>hese can be managed easily are important</w:t>
      </w:r>
    </w:p>
    <w:p w14:paraId="3F5404A3" w14:textId="0A610434" w:rsidR="00981A9F" w:rsidRDefault="00981A9F" w:rsidP="0012104E">
      <w:pPr>
        <w:pStyle w:val="ListBullet"/>
        <w:numPr>
          <w:ilvl w:val="0"/>
          <w:numId w:val="39"/>
        </w:numPr>
        <w:spacing w:after="120"/>
      </w:pPr>
      <w:r>
        <w:lastRenderedPageBreak/>
        <w:t>as a specific example, the area of the Chowilla floodplain, including wetlands and islands, is considered especially critical to the survival of the RMDS EC</w:t>
      </w:r>
      <w:r w:rsidR="002046E7">
        <w:t>,</w:t>
      </w:r>
      <w:r>
        <w:t xml:space="preserve"> due to its role in recruitment and dispersal for a wide range of taxa </w:t>
      </w:r>
      <w:r w:rsidR="00294275">
        <w:t xml:space="preserve">(e.g. fish, frogs, turtles) </w:t>
      </w:r>
      <w:r>
        <w:t>and for its potential ‘refuge’ values; it also represents the largest area of floodplain woodland in South Australia, and is critical for woodland birds</w:t>
      </w:r>
      <w:r w:rsidR="00294275">
        <w:t xml:space="preserve">, bats, </w:t>
      </w:r>
      <w:r w:rsidR="0032736B">
        <w:t>marsupials</w:t>
      </w:r>
      <w:r w:rsidR="00294275">
        <w:t xml:space="preserve"> and reptiles</w:t>
      </w:r>
      <w:r>
        <w:t>.</w:t>
      </w:r>
    </w:p>
    <w:p w14:paraId="74A54516" w14:textId="0338940E" w:rsidR="007F4B33" w:rsidRDefault="0032736B" w:rsidP="00981A9F">
      <w:r>
        <w:t xml:space="preserve">For natural resource management activities, or </w:t>
      </w:r>
      <w:r w:rsidR="00981A9F" w:rsidRPr="00895C20">
        <w:t xml:space="preserve">actions that may have 'significant impacts' and </w:t>
      </w:r>
      <w:r>
        <w:t xml:space="preserve">hence </w:t>
      </w:r>
      <w:r w:rsidR="00981A9F" w:rsidRPr="00895C20">
        <w:t>require approval under</w:t>
      </w:r>
      <w:r>
        <w:t xml:space="preserve"> national environment law</w:t>
      </w:r>
      <w:r w:rsidR="00981A9F" w:rsidRPr="00895C20">
        <w:t xml:space="preserve">, it is </w:t>
      </w:r>
      <w:r w:rsidR="00981A9F">
        <w:t xml:space="preserve">also </w:t>
      </w:r>
      <w:r w:rsidR="00981A9F" w:rsidRPr="00895C20">
        <w:t xml:space="preserve">important to consider the </w:t>
      </w:r>
      <w:r>
        <w:t>entire</w:t>
      </w:r>
      <w:r w:rsidR="007F4B33">
        <w:t xml:space="preserve"> landscape context, the key ecological processes (particularly flow and other hydrological factors), and the </w:t>
      </w:r>
      <w:r w:rsidR="00981A9F" w:rsidRPr="00895C20">
        <w:t>environment and habitats that surround the</w:t>
      </w:r>
      <w:r w:rsidR="00981A9F">
        <w:t xml:space="preserve"> areas that the</w:t>
      </w:r>
      <w:r w:rsidR="00981A9F" w:rsidRPr="00895C20">
        <w:t xml:space="preserve"> ecological community</w:t>
      </w:r>
      <w:r w:rsidR="00981A9F">
        <w:t xml:space="preserve"> inhabits</w:t>
      </w:r>
      <w:r w:rsidR="00981A9F" w:rsidRPr="00895C20">
        <w:t>.</w:t>
      </w:r>
      <w:r w:rsidR="00981A9F" w:rsidRPr="00981A9F">
        <w:t xml:space="preserve"> </w:t>
      </w:r>
      <w:r w:rsidR="007F4B33">
        <w:t>Surrounding vegetation, the health of upstream wa</w:t>
      </w:r>
      <w:r w:rsidR="0025711A">
        <w:t>ter and catchments, and other landscape-scale considerations influence the health and survival of the RMDS ecological community as a whole.</w:t>
      </w:r>
    </w:p>
    <w:p w14:paraId="25DFD440" w14:textId="19B076FA" w:rsidR="00981A9F" w:rsidRDefault="00981A9F" w:rsidP="00981A9F">
      <w:r>
        <w:t xml:space="preserve">In particular, </w:t>
      </w:r>
      <w:r w:rsidRPr="00895C20">
        <w:t xml:space="preserve">adequate flows </w:t>
      </w:r>
      <w:r>
        <w:t>are needed from upstream of the area the ecological community inhabits</w:t>
      </w:r>
      <w:r w:rsidR="0025711A">
        <w:t>,</w:t>
      </w:r>
      <w:r>
        <w:t xml:space="preserve"> </w:t>
      </w:r>
      <w:r w:rsidRPr="00895C20">
        <w:t xml:space="preserve">for ecological </w:t>
      </w:r>
      <w:r>
        <w:t xml:space="preserve">and hydrological </w:t>
      </w:r>
      <w:r w:rsidRPr="00895C20">
        <w:t>function</w:t>
      </w:r>
      <w:r w:rsidR="0025711A">
        <w:t xml:space="preserve"> and </w:t>
      </w:r>
      <w:r w:rsidRPr="00895C20">
        <w:t>condition of the Coorong</w:t>
      </w:r>
      <w:r>
        <w:t>,</w:t>
      </w:r>
      <w:r w:rsidRPr="00895C20">
        <w:t xml:space="preserve"> Lower Lakes </w:t>
      </w:r>
      <w:r>
        <w:t xml:space="preserve">and Murray Mouth, including an open mouth </w:t>
      </w:r>
      <w:r w:rsidRPr="00895C20">
        <w:t>(</w:t>
      </w:r>
      <w:r>
        <w:t xml:space="preserve">and </w:t>
      </w:r>
      <w:r w:rsidRPr="00895C20">
        <w:t>see Basin Plan environmental targets, MDBA 2010b,</w:t>
      </w:r>
      <w:r w:rsidR="009B5A72">
        <w:t xml:space="preserve"> </w:t>
      </w:r>
      <w:r w:rsidRPr="00895C20">
        <w:t>c</w:t>
      </w:r>
      <w:r w:rsidR="00BD0DAE">
        <w:t xml:space="preserve">; OPC </w:t>
      </w:r>
      <w:r w:rsidR="009B5A72">
        <w:t>2018</w:t>
      </w:r>
      <w:r>
        <w:t>).</w:t>
      </w:r>
      <w:r w:rsidRPr="00981A9F">
        <w:t xml:space="preserve"> </w:t>
      </w:r>
      <w:r>
        <w:t>In addition, for groundwater there is a minimum 5000 m buffer zone</w:t>
      </w:r>
      <w:r w:rsidRPr="009B5A72">
        <w:rPr>
          <w:highlight w:val="yellow"/>
        </w:rPr>
        <w:t xml:space="preserve"> </w:t>
      </w:r>
      <w:r>
        <w:t xml:space="preserve">depending on the intensity of the threat. </w:t>
      </w:r>
      <w:r w:rsidR="009B5A72" w:rsidRPr="009B5A72">
        <w:rPr>
          <w:color w:val="FF0000"/>
        </w:rPr>
        <w:t xml:space="preserve"> </w:t>
      </w:r>
    </w:p>
    <w:p w14:paraId="5438B54A" w14:textId="293C34A0" w:rsidR="002E60EB" w:rsidRPr="005A1959" w:rsidRDefault="00F61961" w:rsidP="002E60EB">
      <w:pPr>
        <w:rPr>
          <w:lang w:val="en-GB"/>
        </w:rPr>
      </w:pPr>
      <w:r>
        <w:rPr>
          <w:lang w:val="en-GB"/>
        </w:rPr>
        <w:t>Additional areas such as adjoining native vegetation</w:t>
      </w:r>
      <w:r w:rsidR="00D07D28">
        <w:rPr>
          <w:lang w:val="en-GB"/>
        </w:rPr>
        <w:t xml:space="preserve"> and other nearby wetlands</w:t>
      </w:r>
      <w:r>
        <w:rPr>
          <w:lang w:val="en-GB"/>
        </w:rPr>
        <w:t xml:space="preserve">, and areas that meet the description of the ecological community but not the </w:t>
      </w:r>
      <w:r w:rsidR="00BC2D10">
        <w:rPr>
          <w:lang w:val="en-GB"/>
        </w:rPr>
        <w:t>C</w:t>
      </w:r>
      <w:r>
        <w:rPr>
          <w:lang w:val="en-GB"/>
        </w:rPr>
        <w:t xml:space="preserve">ondition </w:t>
      </w:r>
      <w:r w:rsidR="00BC2D10">
        <w:rPr>
          <w:lang w:val="en-GB"/>
        </w:rPr>
        <w:t>T</w:t>
      </w:r>
      <w:r>
        <w:rPr>
          <w:lang w:val="en-GB"/>
        </w:rPr>
        <w:t>hresholds, are also considered important to the survival of the ecological community</w:t>
      </w:r>
      <w:r w:rsidR="00BC2D10">
        <w:rPr>
          <w:lang w:val="en-GB"/>
        </w:rPr>
        <w:t xml:space="preserve"> into the future</w:t>
      </w:r>
      <w:r>
        <w:rPr>
          <w:lang w:val="en-GB"/>
        </w:rPr>
        <w:t xml:space="preserve">. </w:t>
      </w:r>
      <w:r w:rsidR="002E60EB">
        <w:t>For example, adjacent and nearby ecological communities are likely to play a significant complementary role in the provision of food, refuge and other habitat resources for mobile species</w:t>
      </w:r>
      <w:r w:rsidR="00964036">
        <w:t>,</w:t>
      </w:r>
      <w:r w:rsidR="002E60EB">
        <w:t xml:space="preserve"> and thereby contribute to connectivity and maintaining biodiversity and key ecological processes. These adjoining and large nearby areas of native vegetation</w:t>
      </w:r>
      <w:r w:rsidR="002E60EB" w:rsidRPr="00560A12">
        <w:t xml:space="preserve"> </w:t>
      </w:r>
      <w:r w:rsidR="002E60EB">
        <w:t xml:space="preserve">habitat </w:t>
      </w:r>
      <w:r w:rsidR="002E60EB" w:rsidRPr="00560A12">
        <w:t xml:space="preserve">are </w:t>
      </w:r>
      <w:r w:rsidR="002E60EB">
        <w:t xml:space="preserve">also </w:t>
      </w:r>
      <w:r w:rsidR="002E60EB" w:rsidRPr="00560A12">
        <w:t>critical to the survival of the ecological community</w:t>
      </w:r>
      <w:r w:rsidR="002E60EB">
        <w:t xml:space="preserve"> when they act as buffer zones to help protect the </w:t>
      </w:r>
      <w:r w:rsidR="005A1959">
        <w:t xml:space="preserve">RMDS </w:t>
      </w:r>
      <w:r w:rsidR="002E60EB">
        <w:t xml:space="preserve">ecological community from key threats (see </w:t>
      </w:r>
      <w:r w:rsidR="005A1959">
        <w:rPr>
          <w:u w:val="single"/>
        </w:rPr>
        <w:t>S</w:t>
      </w:r>
      <w:r w:rsidR="002E60EB" w:rsidRPr="002D650B">
        <w:rPr>
          <w:u w:val="single"/>
        </w:rPr>
        <w:t>ection 5</w:t>
      </w:r>
      <w:r w:rsidR="002E60EB">
        <w:t xml:space="preserve"> for more advice on buffer zones).</w:t>
      </w:r>
    </w:p>
    <w:p w14:paraId="2B356875" w14:textId="4882A775" w:rsidR="002E60EB" w:rsidRPr="00BC2D10" w:rsidRDefault="002E60EB" w:rsidP="002E60EB">
      <w:pPr>
        <w:rPr>
          <w:lang w:val="en-GB"/>
        </w:rPr>
      </w:pPr>
      <w:r w:rsidRPr="00197088">
        <w:rPr>
          <w:rFonts w:eastAsia="Times New Roman" w:cs="Times New Roman"/>
          <w:szCs w:val="24"/>
          <w:lang w:eastAsia="en-AU"/>
        </w:rPr>
        <w:t>No Critical Habitat</w:t>
      </w:r>
      <w:r w:rsidR="005A1959">
        <w:rPr>
          <w:rFonts w:eastAsia="Times New Roman" w:cs="Times New Roman"/>
          <w:szCs w:val="24"/>
          <w:lang w:eastAsia="en-AU"/>
        </w:rPr>
        <w:t>,</w:t>
      </w:r>
      <w:r w:rsidRPr="00197088">
        <w:rPr>
          <w:rFonts w:eastAsia="Times New Roman" w:cs="Times New Roman"/>
          <w:szCs w:val="24"/>
          <w:lang w:eastAsia="en-AU"/>
        </w:rPr>
        <w:t xml:space="preserve"> as defined under section 207A of the EPBC Act</w:t>
      </w:r>
      <w:r w:rsidR="005A1959">
        <w:rPr>
          <w:rFonts w:eastAsia="Times New Roman" w:cs="Times New Roman"/>
          <w:szCs w:val="24"/>
          <w:lang w:eastAsia="en-AU"/>
        </w:rPr>
        <w:t>,</w:t>
      </w:r>
      <w:r w:rsidRPr="00197088">
        <w:rPr>
          <w:rFonts w:eastAsia="Times New Roman" w:cs="Times New Roman"/>
          <w:szCs w:val="24"/>
          <w:lang w:eastAsia="en-AU"/>
        </w:rPr>
        <w:t xml:space="preserve"> has been identified </w:t>
      </w:r>
      <w:r>
        <w:rPr>
          <w:rFonts w:eastAsia="Times New Roman" w:cs="Times New Roman"/>
          <w:szCs w:val="24"/>
          <w:lang w:eastAsia="en-AU"/>
        </w:rPr>
        <w:t>f</w:t>
      </w:r>
      <w:r w:rsidRPr="00197088">
        <w:rPr>
          <w:rFonts w:eastAsia="Times New Roman" w:cs="Times New Roman"/>
          <w:szCs w:val="24"/>
          <w:lang w:eastAsia="en-AU"/>
        </w:rPr>
        <w:t>or inclu</w:t>
      </w:r>
      <w:r>
        <w:rPr>
          <w:rFonts w:eastAsia="Times New Roman" w:cs="Times New Roman"/>
          <w:szCs w:val="24"/>
          <w:lang w:eastAsia="en-AU"/>
        </w:rPr>
        <w:t xml:space="preserve">sion </w:t>
      </w:r>
      <w:r w:rsidRPr="00197088">
        <w:rPr>
          <w:rFonts w:eastAsia="Times New Roman" w:cs="Times New Roman"/>
          <w:szCs w:val="24"/>
          <w:lang w:eastAsia="en-AU"/>
        </w:rPr>
        <w:t xml:space="preserve">in the Register of Critical Habitat at this time. </w:t>
      </w:r>
      <w:r>
        <w:rPr>
          <w:rFonts w:eastAsia="Times New Roman" w:cs="Times New Roman"/>
          <w:szCs w:val="24"/>
          <w:lang w:eastAsia="en-AU"/>
        </w:rPr>
        <w:t>That is because n</w:t>
      </w:r>
      <w:r w:rsidRPr="00197088">
        <w:rPr>
          <w:rFonts w:eastAsia="Times New Roman" w:cs="Times New Roman"/>
          <w:szCs w:val="24"/>
          <w:lang w:eastAsia="en-AU"/>
        </w:rPr>
        <w:t xml:space="preserve">o </w:t>
      </w:r>
      <w:r>
        <w:rPr>
          <w:rFonts w:eastAsia="Times New Roman" w:cs="Times New Roman"/>
          <w:szCs w:val="24"/>
          <w:lang w:eastAsia="en-AU"/>
        </w:rPr>
        <w:t>significant</w:t>
      </w:r>
      <w:r w:rsidR="00824736">
        <w:rPr>
          <w:rFonts w:eastAsia="Times New Roman" w:cs="Times New Roman"/>
          <w:szCs w:val="24"/>
          <w:lang w:eastAsia="en-AU"/>
        </w:rPr>
        <w:t xml:space="preserve"> areas of this ecological community are known to occur on Commonwealth land at this time.</w:t>
      </w:r>
    </w:p>
    <w:bookmarkEnd w:id="125"/>
    <w:p w14:paraId="7C95FF82" w14:textId="0F0100DC" w:rsidR="00C9316D" w:rsidRPr="00DF09D1" w:rsidRDefault="00DF09D1" w:rsidP="00C9316D">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habitat critical to the survival</w:t>
      </w:r>
      <w:r w:rsidR="00C9316D">
        <w:t xml:space="preserve"> </w:t>
      </w:r>
    </w:p>
    <w:p w14:paraId="0B1B4303" w14:textId="23DD1D86" w:rsidR="00DF09D1" w:rsidRDefault="00824736" w:rsidP="00C9316D">
      <w:pPr>
        <w:pStyle w:val="Consultationquestions"/>
        <w:shd w:val="clear" w:color="auto" w:fill="FFF2CC" w:themeFill="accent4" w:themeFillTint="33"/>
        <w:ind w:left="425" w:hanging="425"/>
        <w:rPr>
          <w:color w:val="000000" w:themeColor="text1"/>
        </w:rPr>
      </w:pPr>
      <w:r>
        <w:rPr>
          <w:color w:val="000000" w:themeColor="text1"/>
        </w:rPr>
        <w:t>Is the description of areas critical to survival of the ecological community appropriate for the RMDS EC</w:t>
      </w:r>
      <w:r w:rsidR="00572221">
        <w:rPr>
          <w:color w:val="000000" w:themeColor="text1"/>
        </w:rPr>
        <w:t xml:space="preserve">? If not, please suggest with justification, </w:t>
      </w:r>
      <w:r w:rsidR="00FD0196">
        <w:rPr>
          <w:color w:val="000000" w:themeColor="text1"/>
        </w:rPr>
        <w:t>any alternatives</w:t>
      </w:r>
      <w:r w:rsidR="0038325C">
        <w:rPr>
          <w:color w:val="000000" w:themeColor="text1"/>
        </w:rPr>
        <w:t>.</w:t>
      </w:r>
      <w:r w:rsidR="00B6306F" w:rsidRPr="00B6306F">
        <w:rPr>
          <w:color w:val="000000" w:themeColor="text1"/>
        </w:rPr>
        <w:t xml:space="preserve"> </w:t>
      </w:r>
    </w:p>
    <w:p w14:paraId="0782B69B" w14:textId="77777777" w:rsidR="00C97987" w:rsidRPr="00C97987" w:rsidRDefault="00C97987" w:rsidP="00C97987">
      <w:pPr>
        <w:pStyle w:val="Consultationquestions"/>
        <w:numPr>
          <w:ilvl w:val="0"/>
          <w:numId w:val="0"/>
        </w:numPr>
        <w:shd w:val="clear" w:color="auto" w:fill="FFF2CC" w:themeFill="accent4" w:themeFillTint="33"/>
        <w:rPr>
          <w:color w:val="000000" w:themeColor="text1"/>
          <w:sz w:val="16"/>
          <w:szCs w:val="16"/>
        </w:rPr>
      </w:pPr>
    </w:p>
    <w:p w14:paraId="3B14A933" w14:textId="77777777" w:rsidR="00FD0196" w:rsidRDefault="00FD0196" w:rsidP="009D429F">
      <w:bookmarkStart w:id="126" w:name="_Ref83723563"/>
      <w:bookmarkStart w:id="127" w:name="_Toc158683484"/>
    </w:p>
    <w:p w14:paraId="6C628271" w14:textId="77777777" w:rsidR="00FD0196" w:rsidRDefault="00FD0196" w:rsidP="00FD0196"/>
    <w:p w14:paraId="371BBBDD" w14:textId="77777777" w:rsidR="00FD0196" w:rsidRDefault="00FD0196" w:rsidP="00FD0196"/>
    <w:p w14:paraId="0CF71001" w14:textId="77777777" w:rsidR="00FD0196" w:rsidRDefault="00FD0196" w:rsidP="00FD0196"/>
    <w:p w14:paraId="5BA890F9" w14:textId="77777777" w:rsidR="00FD0196" w:rsidRDefault="00FD0196" w:rsidP="00FD0196"/>
    <w:p w14:paraId="4CE81139" w14:textId="77777777" w:rsidR="00FD0196" w:rsidRDefault="00FD0196" w:rsidP="00FD0196"/>
    <w:p w14:paraId="04FFF3D8" w14:textId="77777777" w:rsidR="00FD0196" w:rsidRDefault="00FD0196" w:rsidP="00FD0196"/>
    <w:p w14:paraId="22C0D0C1" w14:textId="38E96B6A" w:rsidR="00C90ADA" w:rsidRDefault="00C90ADA" w:rsidP="00D23FA9">
      <w:pPr>
        <w:pStyle w:val="Heading1"/>
        <w:rPr>
          <w:rFonts w:eastAsiaTheme="minorHAnsi"/>
        </w:rPr>
      </w:pPr>
      <w:bookmarkStart w:id="128" w:name="_Toc175317080"/>
      <w:bookmarkStart w:id="129" w:name="_Toc175572782"/>
      <w:r>
        <w:rPr>
          <w:rFonts w:eastAsiaTheme="minorHAnsi"/>
        </w:rPr>
        <w:lastRenderedPageBreak/>
        <w:t>Cultural significance</w:t>
      </w:r>
      <w:bookmarkEnd w:id="126"/>
      <w:bookmarkEnd w:id="127"/>
      <w:bookmarkEnd w:id="128"/>
      <w:bookmarkEnd w:id="129"/>
    </w:p>
    <w:p w14:paraId="13F7D0CE" w14:textId="06C370D0" w:rsidR="0093346D" w:rsidRDefault="0093346D" w:rsidP="0093346D">
      <w:pPr>
        <w:spacing w:before="120" w:after="120"/>
      </w:pPr>
      <w:r>
        <w:t xml:space="preserve">The </w:t>
      </w:r>
      <w:r w:rsidRPr="00113F19">
        <w:rPr>
          <w:i/>
          <w:iCs/>
        </w:rPr>
        <w:t>River Murray—Darling to Sea</w:t>
      </w:r>
      <w:r w:rsidRPr="00A86EC8">
        <w:t xml:space="preserve"> EC </w:t>
      </w:r>
      <w:r>
        <w:t xml:space="preserve">occurs within Country (the traditional lands) of </w:t>
      </w:r>
      <w:r w:rsidR="00ED2F29">
        <w:t xml:space="preserve">several First Nations Peoples in South Australia, NSW and Victoria—including </w:t>
      </w:r>
      <w:r>
        <w:t xml:space="preserve">the </w:t>
      </w:r>
      <w:r w:rsidRPr="00A86EC8">
        <w:t xml:space="preserve">Ngarrindjeri, </w:t>
      </w:r>
      <w:r w:rsidR="00ED2F29">
        <w:t>Peranangk</w:t>
      </w:r>
      <w:r w:rsidR="00E6380C">
        <w:t xml:space="preserve">, the First Nations of the South East (southern Coorong), First Peoples of the River Murray and Mallee, </w:t>
      </w:r>
      <w:r w:rsidRPr="00A86EC8">
        <w:t xml:space="preserve">Barkindji, Latje Latje, and Kureinji </w:t>
      </w:r>
      <w:r>
        <w:t xml:space="preserve">Peoples. </w:t>
      </w:r>
      <w:r w:rsidR="009E03D4">
        <w:t xml:space="preserve"> We acknowledge their spiritual and material heritage and culture and continuing link to the ecological community, the Country (land and sea) it </w:t>
      </w:r>
      <w:r w:rsidR="00E72E5C">
        <w:t>inhabits</w:t>
      </w:r>
      <w:r w:rsidR="009E03D4">
        <w:t xml:space="preserve"> and the waters that support it.</w:t>
      </w:r>
    </w:p>
    <w:p w14:paraId="3A4F6C3A" w14:textId="6D5FF5AC" w:rsidR="0093346D" w:rsidRPr="000251E1" w:rsidRDefault="00DC295F" w:rsidP="00C90ADA">
      <w:r>
        <w:t>First Nations peoples value Country</w:t>
      </w:r>
      <w:r w:rsidR="00D40BE9">
        <w:t xml:space="preserve">, including water, </w:t>
      </w:r>
      <w:r>
        <w:t xml:space="preserve">for a range of cultural, social, and economic reasons. These include heritage, identity, and connection to Country. Recognition, access, management, stewardship, ownership, and other rights are components of their ongoing relationship with </w:t>
      </w:r>
      <w:r w:rsidR="000251E1">
        <w:t xml:space="preserve">the </w:t>
      </w:r>
      <w:r>
        <w:t>ecological community. The ecological community provides a direct link with spiritual and material culture and holds cultural significance for its Traditional Custodians.</w:t>
      </w:r>
    </w:p>
    <w:p w14:paraId="22E04BF6" w14:textId="6AC5111F" w:rsidR="00FF1CD7" w:rsidRPr="00FF1CD7" w:rsidRDefault="00FF1CD7" w:rsidP="00C90ADA">
      <w:r>
        <w:t>Listing an ecological community as threatened under national environmental law does not change land ownership</w:t>
      </w:r>
      <w:r w:rsidR="00D40BE9">
        <w:t xml:space="preserve"> or tenure</w:t>
      </w:r>
      <w:r>
        <w:t>. Nor does it affect Native Title rights, nor traditional access and use of Country</w:t>
      </w:r>
      <w:r w:rsidR="00B75E9D">
        <w:t xml:space="preserve"> (</w:t>
      </w:r>
      <w:r>
        <w:t>for example, collecting bushfood and medicine</w:t>
      </w:r>
      <w:r w:rsidR="00B75E9D">
        <w:t>)</w:t>
      </w:r>
      <w:r>
        <w:t xml:space="preserve">. </w:t>
      </w:r>
      <w:r w:rsidR="007C2422">
        <w:t xml:space="preserve">Listing the ecological community and implementing the priority </w:t>
      </w:r>
      <w:r w:rsidR="00B75E9D">
        <w:t xml:space="preserve">conservation </w:t>
      </w:r>
      <w:r w:rsidR="007C2422">
        <w:t xml:space="preserve">actions set out in this </w:t>
      </w:r>
      <w:r w:rsidR="00D40BE9">
        <w:t xml:space="preserve">Draft </w:t>
      </w:r>
      <w:r w:rsidR="004B172C">
        <w:t>C</w:t>
      </w:r>
      <w:r w:rsidR="007C2422">
        <w:t xml:space="preserve">onservation </w:t>
      </w:r>
      <w:r w:rsidR="004B172C">
        <w:t>A</w:t>
      </w:r>
      <w:r w:rsidR="007C2422">
        <w:t>dvice does not affect c</w:t>
      </w:r>
      <w:r>
        <w:t xml:space="preserve">urrent lawful use (including under Native Title) </w:t>
      </w:r>
      <w:r w:rsidR="007C2422">
        <w:t>and supports the protection and recovery of both ecological and cultural values.</w:t>
      </w:r>
    </w:p>
    <w:p w14:paraId="4299B0B1" w14:textId="4DEEC466" w:rsidR="00807D30" w:rsidRDefault="1381A166" w:rsidP="00C90ADA">
      <w:pPr>
        <w:rPr>
          <w:rFonts w:cs="Cambria"/>
        </w:rPr>
      </w:pPr>
      <w:r w:rsidRPr="2FAD10A6">
        <w:rPr>
          <w:rFonts w:cs="Cambria"/>
        </w:rPr>
        <w:t>The significance of the ecological community, particular species, spiritual and other cultural values</w:t>
      </w:r>
      <w:r w:rsidR="004B172C">
        <w:rPr>
          <w:rFonts w:cs="Cambria"/>
        </w:rPr>
        <w:t>,</w:t>
      </w:r>
      <w:r w:rsidRPr="2FAD10A6">
        <w:rPr>
          <w:rFonts w:cs="Cambria"/>
        </w:rPr>
        <w:t xml:space="preserve"> are diverse and varied for the </w:t>
      </w:r>
      <w:r w:rsidR="003B1E35">
        <w:rPr>
          <w:rFonts w:cs="Cambria"/>
        </w:rPr>
        <w:t>First Nations</w:t>
      </w:r>
      <w:r w:rsidR="7BD54550" w:rsidRPr="2FAD10A6">
        <w:rPr>
          <w:rFonts w:cs="Cambria"/>
        </w:rPr>
        <w:t xml:space="preserve"> Australians</w:t>
      </w:r>
      <w:r w:rsidR="4B260719" w:rsidRPr="2FAD10A6">
        <w:rPr>
          <w:rFonts w:cs="Cambria"/>
        </w:rPr>
        <w:t xml:space="preserve"> </w:t>
      </w:r>
      <w:r w:rsidRPr="2FAD10A6">
        <w:rPr>
          <w:rFonts w:cs="Cambria"/>
        </w:rPr>
        <w:t xml:space="preserve">that live </w:t>
      </w:r>
      <w:r w:rsidR="000C7914">
        <w:rPr>
          <w:rFonts w:cs="Cambria"/>
        </w:rPr>
        <w:t xml:space="preserve">on or </w:t>
      </w:r>
      <w:r w:rsidRPr="2FAD10A6">
        <w:rPr>
          <w:rFonts w:cs="Cambria"/>
        </w:rPr>
        <w:t xml:space="preserve">in the vicinity </w:t>
      </w:r>
      <w:r w:rsidR="004B172C">
        <w:rPr>
          <w:rFonts w:cs="Cambria"/>
        </w:rPr>
        <w:t xml:space="preserve">of </w:t>
      </w:r>
      <w:r w:rsidR="008C5CD1">
        <w:rPr>
          <w:rFonts w:cs="Cambria"/>
        </w:rPr>
        <w:t>the RMDS</w:t>
      </w:r>
      <w:r w:rsidR="00CB72C8">
        <w:rPr>
          <w:rFonts w:cs="Cambria"/>
        </w:rPr>
        <w:t xml:space="preserve">, </w:t>
      </w:r>
      <w:r w:rsidRPr="2FAD10A6">
        <w:rPr>
          <w:rFonts w:cs="Cambria"/>
        </w:rPr>
        <w:t xml:space="preserve">and care for </w:t>
      </w:r>
      <w:r w:rsidR="4B260719" w:rsidRPr="2FAD10A6">
        <w:rPr>
          <w:rFonts w:cs="Cambria"/>
        </w:rPr>
        <w:t>C</w:t>
      </w:r>
      <w:r w:rsidRPr="2FAD10A6">
        <w:rPr>
          <w:rFonts w:cs="Cambria"/>
        </w:rPr>
        <w:t xml:space="preserve">ountry. </w:t>
      </w:r>
      <w:r w:rsidR="07E7B75F" w:rsidRPr="2FAD10A6">
        <w:rPr>
          <w:rFonts w:cs="Cambria"/>
        </w:rPr>
        <w:t xml:space="preserve">In some cases, </w:t>
      </w:r>
      <w:r w:rsidR="0D9F1E38" w:rsidRPr="2FAD10A6">
        <w:rPr>
          <w:rFonts w:cs="Cambria"/>
        </w:rPr>
        <w:t>k</w:t>
      </w:r>
      <w:r w:rsidRPr="2FAD10A6">
        <w:rPr>
          <w:rFonts w:cs="Cambria"/>
        </w:rPr>
        <w:t>nowledge of this significance may be only held by Indigenous groups and individuals who are its custodians</w:t>
      </w:r>
      <w:r w:rsidR="00A12599">
        <w:rPr>
          <w:rFonts w:cs="Cambria"/>
        </w:rPr>
        <w:t xml:space="preserve"> </w:t>
      </w:r>
      <w:r w:rsidR="00A12599" w:rsidRPr="00B22A0D">
        <w:rPr>
          <w:rFonts w:cs="Cambria"/>
          <w:color w:val="000000" w:themeColor="text1"/>
        </w:rPr>
        <w:t>and have the rights to decide how it is shared and used</w:t>
      </w:r>
      <w:r w:rsidRPr="2FAD10A6">
        <w:rPr>
          <w:rFonts w:cs="Cambria"/>
        </w:rPr>
        <w:t>.</w:t>
      </w:r>
    </w:p>
    <w:p w14:paraId="1E8AB2E4" w14:textId="25DFCE47" w:rsidR="00DC6A72" w:rsidRDefault="0030301A" w:rsidP="0030301A">
      <w:pPr>
        <w:spacing w:before="120" w:after="120"/>
      </w:pPr>
      <w:r>
        <w:t xml:space="preserve">The Ngarrindjeri </w:t>
      </w:r>
      <w:r w:rsidR="00DC6A72">
        <w:t xml:space="preserve">Peoples </w:t>
      </w:r>
      <w:r>
        <w:t xml:space="preserve">have prepared a detailed Sea Country Plan </w:t>
      </w:r>
      <w:r w:rsidR="002A68C6">
        <w:t>that</w:t>
      </w:r>
      <w:r>
        <w:t xml:space="preserve"> includes the Lower Lakes, Coorong</w:t>
      </w:r>
      <w:r w:rsidR="000C7914">
        <w:t>,</w:t>
      </w:r>
      <w:r>
        <w:t xml:space="preserve"> and the marine waters adjacent to the ecological community</w:t>
      </w:r>
      <w:r w:rsidR="007D7830">
        <w:t>;</w:t>
      </w:r>
      <w:r>
        <w:t xml:space="preserve"> this region aligns with their ‘Creation Story’ (Ngarrindjeri Tendi et al. 2007). </w:t>
      </w:r>
    </w:p>
    <w:p w14:paraId="3F912B3F" w14:textId="77777777" w:rsidR="00B219DA" w:rsidRDefault="00B219DA" w:rsidP="009B5A72">
      <w:pPr>
        <w:spacing w:before="120" w:after="120"/>
      </w:pPr>
      <w:bookmarkStart w:id="130" w:name="_Hlk158820940"/>
    </w:p>
    <w:tbl>
      <w:tblPr>
        <w:tblStyle w:val="TableGrid"/>
        <w:tblW w:w="0" w:type="auto"/>
        <w:tblLook w:val="04A0" w:firstRow="1" w:lastRow="0" w:firstColumn="1" w:lastColumn="0" w:noHBand="0" w:noVBand="1"/>
      </w:tblPr>
      <w:tblGrid>
        <w:gridCol w:w="9060"/>
      </w:tblGrid>
      <w:tr w:rsidR="00621872" w14:paraId="5AC89E24" w14:textId="77777777" w:rsidTr="00A14A54">
        <w:tc>
          <w:tcPr>
            <w:tcW w:w="9174" w:type="dxa"/>
            <w:shd w:val="clear" w:color="auto" w:fill="FFF2CC" w:themeFill="accent4" w:themeFillTint="33"/>
          </w:tcPr>
          <w:p w14:paraId="4B228508" w14:textId="65C3D944" w:rsidR="00A14A54" w:rsidRPr="00A14A54" w:rsidRDefault="00FB3503" w:rsidP="00E71C41">
            <w:pPr>
              <w:spacing w:before="120" w:after="120"/>
              <w:rPr>
                <w:b/>
                <w:bCs/>
                <w:i/>
                <w:iCs/>
              </w:rPr>
            </w:pPr>
            <w:r>
              <w:rPr>
                <w:b/>
                <w:bCs/>
                <w:i/>
                <w:iCs/>
              </w:rPr>
              <w:t xml:space="preserve">Section 3: </w:t>
            </w:r>
            <w:r w:rsidR="002136A9">
              <w:rPr>
                <w:b/>
                <w:bCs/>
                <w:i/>
                <w:iCs/>
              </w:rPr>
              <w:t>Special r</w:t>
            </w:r>
            <w:r w:rsidR="00A14A54" w:rsidRPr="00A14A54">
              <w:rPr>
                <w:b/>
                <w:bCs/>
                <w:i/>
                <w:iCs/>
              </w:rPr>
              <w:t>equest</w:t>
            </w:r>
          </w:p>
          <w:p w14:paraId="3BA569D4" w14:textId="0279DE4F" w:rsidR="00DA7ED7" w:rsidRDefault="00AE171C" w:rsidP="004162AC">
            <w:pPr>
              <w:pStyle w:val="ListParagraph"/>
              <w:numPr>
                <w:ilvl w:val="0"/>
                <w:numId w:val="97"/>
              </w:numPr>
              <w:spacing w:before="120" w:after="120"/>
            </w:pPr>
            <w:r>
              <w:t xml:space="preserve">We welcome input to this </w:t>
            </w:r>
            <w:r w:rsidR="00A14A54">
              <w:t>S</w:t>
            </w:r>
            <w:r>
              <w:t xml:space="preserve">ection from First Nations’ </w:t>
            </w:r>
            <w:r w:rsidR="003560F2">
              <w:t xml:space="preserve">representatives and </w:t>
            </w:r>
            <w:r>
              <w:t>groups</w:t>
            </w:r>
            <w:r w:rsidR="003560F2">
              <w:t xml:space="preserve">. We are particularly keen to </w:t>
            </w:r>
            <w:r w:rsidR="00A14A54">
              <w:t>incorporate an</w:t>
            </w:r>
            <w:r w:rsidR="00614ADF">
              <w:t>y</w:t>
            </w:r>
            <w:r w:rsidR="00A14A54">
              <w:t xml:space="preserve"> Traditional </w:t>
            </w:r>
            <w:r w:rsidR="00520715">
              <w:t xml:space="preserve">Ecological </w:t>
            </w:r>
            <w:r w:rsidR="00541D44">
              <w:t>K</w:t>
            </w:r>
            <w:r w:rsidR="00A14A54">
              <w:t xml:space="preserve">nowledge </w:t>
            </w:r>
            <w:r w:rsidR="0061219E">
              <w:t xml:space="preserve">and/or documents </w:t>
            </w:r>
            <w:r w:rsidR="00A14A54">
              <w:t xml:space="preserve">that </w:t>
            </w:r>
            <w:r w:rsidR="0061219E">
              <w:t>are</w:t>
            </w:r>
            <w:r w:rsidR="00A14A54">
              <w:t xml:space="preserve"> relevant </w:t>
            </w:r>
            <w:r w:rsidR="00614ADF">
              <w:t xml:space="preserve">and appropriate </w:t>
            </w:r>
            <w:r w:rsidR="00A14A54">
              <w:t xml:space="preserve">for this </w:t>
            </w:r>
            <w:r w:rsidR="0061219E">
              <w:t xml:space="preserve">science-based </w:t>
            </w:r>
            <w:r w:rsidR="00541D44">
              <w:t>l</w:t>
            </w:r>
            <w:r w:rsidR="00A14A54">
              <w:t>isting assessment process.</w:t>
            </w:r>
          </w:p>
          <w:p w14:paraId="58395AF7" w14:textId="28958289" w:rsidR="00553516" w:rsidRDefault="00553516" w:rsidP="00553516">
            <w:pPr>
              <w:pStyle w:val="ListParagraph"/>
              <w:spacing w:before="120" w:after="120"/>
              <w:ind w:left="360"/>
            </w:pPr>
          </w:p>
          <w:p w14:paraId="1874FADD" w14:textId="0710D9C0" w:rsidR="00DA7ED7" w:rsidRDefault="00DA7ED7" w:rsidP="004162AC">
            <w:pPr>
              <w:pStyle w:val="ListParagraph"/>
              <w:numPr>
                <w:ilvl w:val="0"/>
                <w:numId w:val="97"/>
              </w:numPr>
              <w:spacing w:before="120" w:after="120"/>
            </w:pPr>
            <w:r>
              <w:t xml:space="preserve">We would like to know/acknowledge </w:t>
            </w:r>
            <w:r w:rsidR="00520715">
              <w:t xml:space="preserve">First Nations values and uses of the ecological community, </w:t>
            </w:r>
            <w:r>
              <w:t>totems</w:t>
            </w:r>
            <w:r w:rsidR="00553516">
              <w:t xml:space="preserve">, and </w:t>
            </w:r>
            <w:r>
              <w:t xml:space="preserve">other culturally significant species or places that may occur within this </w:t>
            </w:r>
            <w:r w:rsidR="00553516">
              <w:t xml:space="preserve">RMDS </w:t>
            </w:r>
            <w:r>
              <w:t xml:space="preserve">Ecological Community—if you are comfortable with us </w:t>
            </w:r>
            <w:r w:rsidR="00553516">
              <w:t xml:space="preserve">sharing </w:t>
            </w:r>
            <w:r w:rsidR="00396151">
              <w:t xml:space="preserve">them in this </w:t>
            </w:r>
            <w:r w:rsidR="00C97987">
              <w:t>S</w:t>
            </w:r>
            <w:r w:rsidR="00396151">
              <w:t>ection</w:t>
            </w:r>
            <w:r w:rsidR="00C97987">
              <w:t xml:space="preserve"> of the Conservation Advice (with appropriate permission and referencing)</w:t>
            </w:r>
            <w:r w:rsidR="00396151">
              <w:t>.</w:t>
            </w:r>
          </w:p>
        </w:tc>
      </w:tr>
    </w:tbl>
    <w:p w14:paraId="536DCACD" w14:textId="77777777" w:rsidR="00CB78A4" w:rsidRDefault="00CB78A4" w:rsidP="00E71C41">
      <w:pPr>
        <w:spacing w:before="120" w:after="120"/>
      </w:pPr>
    </w:p>
    <w:p w14:paraId="35F1A07E" w14:textId="77777777" w:rsidR="0043665F" w:rsidRDefault="0043665F" w:rsidP="00E71C41">
      <w:pPr>
        <w:spacing w:before="120" w:after="120"/>
      </w:pPr>
    </w:p>
    <w:p w14:paraId="03A06D23" w14:textId="77777777" w:rsidR="0043665F" w:rsidRDefault="0043665F" w:rsidP="00E71C41">
      <w:pPr>
        <w:spacing w:before="120" w:after="120"/>
      </w:pPr>
    </w:p>
    <w:p w14:paraId="7A7637B1" w14:textId="77777777" w:rsidR="0043665F" w:rsidRDefault="0043665F" w:rsidP="00E71C41">
      <w:pPr>
        <w:spacing w:before="120" w:after="120"/>
      </w:pPr>
    </w:p>
    <w:p w14:paraId="293957D2" w14:textId="77777777" w:rsidR="0043665F" w:rsidRDefault="0043665F" w:rsidP="00E71C41">
      <w:pPr>
        <w:spacing w:before="120" w:after="120"/>
      </w:pPr>
    </w:p>
    <w:p w14:paraId="39EAAC31" w14:textId="10A7A970" w:rsidR="00EF4F95" w:rsidRPr="002136A9" w:rsidRDefault="00325B31" w:rsidP="00D23FA9">
      <w:pPr>
        <w:pStyle w:val="Heading1"/>
      </w:pPr>
      <w:bookmarkStart w:id="131" w:name="_Toc158683485"/>
      <w:bookmarkStart w:id="132" w:name="_Toc175317081"/>
      <w:bookmarkStart w:id="133" w:name="_Toc175572783"/>
      <w:bookmarkEnd w:id="91"/>
      <w:bookmarkEnd w:id="92"/>
      <w:bookmarkEnd w:id="130"/>
      <w:r w:rsidRPr="002136A9">
        <w:lastRenderedPageBreak/>
        <w:t>Threats</w:t>
      </w:r>
      <w:bookmarkEnd w:id="131"/>
      <w:bookmarkEnd w:id="132"/>
      <w:bookmarkEnd w:id="133"/>
    </w:p>
    <w:p w14:paraId="0D170B83" w14:textId="6EBDE0A9" w:rsidR="000071DC" w:rsidRDefault="00D927EE" w:rsidP="00B31C33">
      <w:r w:rsidRPr="00D927EE">
        <w:t xml:space="preserve">The </w:t>
      </w:r>
      <w:r w:rsidR="00D30296" w:rsidRPr="004B30CA">
        <w:rPr>
          <w:i/>
          <w:iCs/>
        </w:rPr>
        <w:t>River Murray</w:t>
      </w:r>
      <w:r w:rsidR="00BE51F9" w:rsidRPr="004B30CA">
        <w:rPr>
          <w:i/>
          <w:iCs/>
        </w:rPr>
        <w:t>—Darling to Sea</w:t>
      </w:r>
      <w:r w:rsidR="00BE51F9">
        <w:t xml:space="preserve"> ecological community has been </w:t>
      </w:r>
      <w:r w:rsidR="00FD2DFB">
        <w:t>sever</w:t>
      </w:r>
      <w:r w:rsidR="00671129">
        <w:t>e</w:t>
      </w:r>
      <w:r w:rsidR="00FD2DFB">
        <w:t xml:space="preserve">ly </w:t>
      </w:r>
      <w:r w:rsidR="00BE51F9">
        <w:t xml:space="preserve">impacted by </w:t>
      </w:r>
      <w:r w:rsidR="00EB4425">
        <w:t xml:space="preserve">multiple and </w:t>
      </w:r>
      <w:r w:rsidR="000C6FE0">
        <w:t>long</w:t>
      </w:r>
      <w:r w:rsidR="00904921">
        <w:t>-</w:t>
      </w:r>
      <w:r w:rsidR="000C6FE0">
        <w:t xml:space="preserve">term </w:t>
      </w:r>
      <w:r w:rsidR="00BE51F9">
        <w:t>threats</w:t>
      </w:r>
      <w:r w:rsidR="00B06E8D">
        <w:t xml:space="preserve">, most notably </w:t>
      </w:r>
      <w:r w:rsidR="00FD2DFB">
        <w:t xml:space="preserve">river regulation, over-extraction of water, </w:t>
      </w:r>
      <w:r w:rsidR="00902651">
        <w:t xml:space="preserve">clearing of the floodplain, </w:t>
      </w:r>
      <w:r w:rsidR="00215BFE">
        <w:t xml:space="preserve">salinisation, </w:t>
      </w:r>
      <w:r w:rsidR="00FD2DFB">
        <w:t xml:space="preserve">and invasive species. </w:t>
      </w:r>
      <w:r w:rsidR="00EB4425">
        <w:t xml:space="preserve">These have </w:t>
      </w:r>
      <w:r w:rsidR="00D044F0">
        <w:t xml:space="preserve">compounded </w:t>
      </w:r>
      <w:r w:rsidR="001E6725">
        <w:t xml:space="preserve">and intensified </w:t>
      </w:r>
      <w:r w:rsidR="00D044F0">
        <w:t>over the past 100 years</w:t>
      </w:r>
      <w:r w:rsidR="001E6725">
        <w:t xml:space="preserve"> and,</w:t>
      </w:r>
      <w:r w:rsidR="00671129">
        <w:t xml:space="preserve"> </w:t>
      </w:r>
      <w:r w:rsidR="004B30CA">
        <w:t xml:space="preserve">over the past </w:t>
      </w:r>
      <w:r w:rsidR="005147E3">
        <w:t>few decades</w:t>
      </w:r>
      <w:r w:rsidR="00CF2EE1">
        <w:t xml:space="preserve"> </w:t>
      </w:r>
      <w:r w:rsidR="001E6725">
        <w:t>have been</w:t>
      </w:r>
      <w:r w:rsidR="00671129">
        <w:t xml:space="preserve"> </w:t>
      </w:r>
      <w:r w:rsidR="00902651">
        <w:t xml:space="preserve">exacerbated by </w:t>
      </w:r>
      <w:r w:rsidR="004703B5">
        <w:t xml:space="preserve">the current and increasing </w:t>
      </w:r>
      <w:r w:rsidR="00440F52">
        <w:t xml:space="preserve">threats </w:t>
      </w:r>
      <w:r w:rsidR="00D074F6">
        <w:t>of</w:t>
      </w:r>
      <w:r w:rsidR="00440F52">
        <w:t xml:space="preserve"> climate chan</w:t>
      </w:r>
      <w:r w:rsidR="00671129">
        <w:t>ge</w:t>
      </w:r>
      <w:r w:rsidR="00B06E8D">
        <w:t xml:space="preserve">. </w:t>
      </w:r>
      <w:r w:rsidR="00E35DF4">
        <w:t>It is well recognised that</w:t>
      </w:r>
      <w:r w:rsidR="00D074F6">
        <w:t>,</w:t>
      </w:r>
      <w:r w:rsidR="00E35DF4">
        <w:t xml:space="preserve"> in addition to being a significant threat</w:t>
      </w:r>
      <w:r w:rsidR="00035541">
        <w:t xml:space="preserve"> in isolation</w:t>
      </w:r>
      <w:r w:rsidR="00E35DF4">
        <w:t xml:space="preserve">, climate change </w:t>
      </w:r>
      <w:r w:rsidR="00BF486B">
        <w:t xml:space="preserve">may </w:t>
      </w:r>
      <w:r w:rsidR="00E35DF4">
        <w:t>exacerbate other threats (Newton 2009; Steffen et al. 2009). Importantly, the trends of impact associated with climate change may not be gradual or linear, and sudden step-wise change</w:t>
      </w:r>
      <w:r w:rsidR="00D074F6">
        <w:t>s</w:t>
      </w:r>
      <w:r w:rsidR="00E35DF4">
        <w:t xml:space="preserve"> can occur once critical thresholds are breached—some of which may be irreversible (IPCC 2023).</w:t>
      </w:r>
      <w:r w:rsidR="000C6FE0">
        <w:t xml:space="preserve"> </w:t>
      </w:r>
    </w:p>
    <w:p w14:paraId="639BCBED" w14:textId="25CE2B01" w:rsidR="006A1DE4" w:rsidRDefault="003D4BFE" w:rsidP="00B31C33">
      <w:r>
        <w:t xml:space="preserve">The effects of the Millennium Drought of 1997 to 2010, </w:t>
      </w:r>
      <w:r w:rsidR="002A7A2A">
        <w:t xml:space="preserve">brought into sharp focus the vulnerable nature of the </w:t>
      </w:r>
      <w:r w:rsidR="00771945">
        <w:t xml:space="preserve">RMDS </w:t>
      </w:r>
      <w:r w:rsidR="002A7A2A">
        <w:t xml:space="preserve">ecological community and the </w:t>
      </w:r>
      <w:r w:rsidR="00771945">
        <w:t xml:space="preserve">detrimental </w:t>
      </w:r>
      <w:r w:rsidR="002A7A2A">
        <w:t>outcomes</w:t>
      </w:r>
      <w:r w:rsidR="000071DC">
        <w:t xml:space="preserve"> </w:t>
      </w:r>
      <w:r w:rsidR="00C44B03">
        <w:t xml:space="preserve">observed </w:t>
      </w:r>
      <w:r w:rsidR="000071DC">
        <w:t xml:space="preserve">from </w:t>
      </w:r>
      <w:r w:rsidR="00E348CC">
        <w:t xml:space="preserve">a </w:t>
      </w:r>
      <w:r w:rsidR="00C44B03">
        <w:t xml:space="preserve">combination of </w:t>
      </w:r>
      <w:r w:rsidR="000071DC">
        <w:t>past</w:t>
      </w:r>
      <w:r w:rsidR="00C44B03">
        <w:t xml:space="preserve">, </w:t>
      </w:r>
      <w:r w:rsidR="000071DC">
        <w:t>contemporary</w:t>
      </w:r>
      <w:r w:rsidR="00C44B03">
        <w:t>, and ongoing</w:t>
      </w:r>
      <w:r w:rsidR="000071DC">
        <w:t xml:space="preserve"> threats</w:t>
      </w:r>
      <w:r w:rsidR="002A7A2A">
        <w:t>, some of which</w:t>
      </w:r>
      <w:r w:rsidR="00D074F6">
        <w:t xml:space="preserve"> are</w:t>
      </w:r>
      <w:r w:rsidR="002A7A2A">
        <w:t xml:space="preserve"> permanent</w:t>
      </w:r>
      <w:r w:rsidR="000054B4">
        <w:t>, with</w:t>
      </w:r>
      <w:r w:rsidR="005147E3" w:rsidRPr="005147E3">
        <w:rPr>
          <w:highlight w:val="yellow"/>
        </w:rPr>
        <w:t xml:space="preserve"> </w:t>
      </w:r>
      <w:r w:rsidR="009436C8" w:rsidRPr="00CF2EE1">
        <w:t>some</w:t>
      </w:r>
      <w:r w:rsidR="005147E3" w:rsidRPr="00CF2EE1">
        <w:t xml:space="preserve"> impacts </w:t>
      </w:r>
      <w:r w:rsidR="009436C8" w:rsidRPr="00CF2EE1">
        <w:t xml:space="preserve">likely to be </w:t>
      </w:r>
      <w:r w:rsidR="005147E3" w:rsidRPr="00CF2EE1">
        <w:t>irreversible</w:t>
      </w:r>
      <w:r w:rsidR="002A7A2A" w:rsidRPr="00CF2EE1">
        <w:t>.</w:t>
      </w:r>
      <w:r w:rsidR="00F24301">
        <w:t xml:space="preserve"> </w:t>
      </w:r>
      <w:r w:rsidR="006D0342">
        <w:t xml:space="preserve"> </w:t>
      </w:r>
    </w:p>
    <w:p w14:paraId="603F4255" w14:textId="4EDD7ECC" w:rsidR="000319B3" w:rsidRPr="00106F24" w:rsidRDefault="009F7007" w:rsidP="006E2204">
      <w:pPr>
        <w:pStyle w:val="Heading4"/>
      </w:pPr>
      <w:r>
        <w:t xml:space="preserve">Influence of </w:t>
      </w:r>
      <w:r w:rsidR="00106F24" w:rsidRPr="00106F24">
        <w:t>Basin Plan</w:t>
      </w:r>
      <w:r w:rsidR="00AF4500">
        <w:t xml:space="preserve"> </w:t>
      </w:r>
      <w:r>
        <w:t xml:space="preserve">and </w:t>
      </w:r>
      <w:r w:rsidR="00182F4D">
        <w:t>wet years</w:t>
      </w:r>
    </w:p>
    <w:p w14:paraId="6C088FE2" w14:textId="7B537483" w:rsidR="004D5DFF" w:rsidRDefault="004D5DFF" w:rsidP="004D5DFF">
      <w:r w:rsidRPr="00DC1261">
        <w:t xml:space="preserve">Implementation of the Basin Plan (under the </w:t>
      </w:r>
      <w:r w:rsidRPr="00971D5A">
        <w:rPr>
          <w:i/>
          <w:iCs/>
        </w:rPr>
        <w:t>Water Act 2007</w:t>
      </w:r>
      <w:r w:rsidRPr="00DC1261">
        <w:t xml:space="preserve">) in 2012 represented the culmination of a decades-long effort between the six Murray-Darling Basin jurisdictions to collaboratively address the degraded environmental state of the system. </w:t>
      </w:r>
      <w:r w:rsidR="00C75F76">
        <w:t>The Basin Plan has</w:t>
      </w:r>
      <w:r w:rsidRPr="00DC1261">
        <w:t xml:space="preserve"> objectives to return environmental water to the MBD and improve the health of water-dependent ecosystems</w:t>
      </w:r>
      <w:r w:rsidR="00C75F76">
        <w:t>. However,</w:t>
      </w:r>
      <w:r w:rsidRPr="00DC1261">
        <w:t xml:space="preserve"> </w:t>
      </w:r>
      <w:r w:rsidR="00EE0C7B">
        <w:t xml:space="preserve">the Plan is still in an </w:t>
      </w:r>
      <w:r w:rsidR="00AC014E">
        <w:t xml:space="preserve">implementation phase and </w:t>
      </w:r>
      <w:r w:rsidRPr="00DC1261">
        <w:t xml:space="preserve">to date only </w:t>
      </w:r>
      <w:r w:rsidR="005626F3">
        <w:t xml:space="preserve">some </w:t>
      </w:r>
      <w:r w:rsidRPr="00DC1261">
        <w:t xml:space="preserve">inroads have been made (e.g. Chen et al. 2021). Importantly, the Basin Plan, being primarily concerned with water, does not </w:t>
      </w:r>
      <w:r w:rsidR="004C1B9D">
        <w:t xml:space="preserve">have the remit to </w:t>
      </w:r>
      <w:r w:rsidRPr="00DC1261">
        <w:t>fully address the myriad of other threats currently operating on this ecological community, including those of clearing, invasive species</w:t>
      </w:r>
      <w:r w:rsidR="00D813D0">
        <w:t>, and climate change</w:t>
      </w:r>
      <w:r w:rsidRPr="00DC1261">
        <w:t>.</w:t>
      </w:r>
    </w:p>
    <w:p w14:paraId="625EEC6E" w14:textId="386CD2FE" w:rsidR="004D5DFF" w:rsidRDefault="00B72FD7" w:rsidP="00B31C33">
      <w:r>
        <w:t xml:space="preserve">The recent </w:t>
      </w:r>
      <w:r w:rsidR="00A62AFA">
        <w:t xml:space="preserve">three years of </w:t>
      </w:r>
      <w:r>
        <w:t xml:space="preserve">La Nina </w:t>
      </w:r>
      <w:r w:rsidR="005E62CB">
        <w:t>(202</w:t>
      </w:r>
      <w:r w:rsidR="00A62AFA">
        <w:t>0</w:t>
      </w:r>
      <w:r w:rsidR="00F11577">
        <w:t>-202</w:t>
      </w:r>
      <w:r w:rsidR="00A62AFA">
        <w:t>3</w:t>
      </w:r>
      <w:r w:rsidR="00F11577">
        <w:t xml:space="preserve">) and </w:t>
      </w:r>
      <w:r w:rsidR="00A62AFA">
        <w:t xml:space="preserve">large-scale </w:t>
      </w:r>
      <w:r w:rsidR="00F11577">
        <w:t>flood</w:t>
      </w:r>
      <w:r w:rsidR="004C1B9D">
        <w:t>ing</w:t>
      </w:r>
      <w:r w:rsidR="00F11577">
        <w:t xml:space="preserve"> </w:t>
      </w:r>
      <w:r w:rsidR="003E28BF">
        <w:t xml:space="preserve">provided </w:t>
      </w:r>
      <w:r w:rsidR="00FC261E">
        <w:t xml:space="preserve">a mixture of disturbance and </w:t>
      </w:r>
      <w:r w:rsidR="00106F24">
        <w:t xml:space="preserve">‘temporary’ </w:t>
      </w:r>
      <w:r w:rsidR="003E28BF">
        <w:t xml:space="preserve">recovery to certain </w:t>
      </w:r>
      <w:r w:rsidR="00591523">
        <w:t>areas</w:t>
      </w:r>
      <w:r w:rsidR="003E28BF">
        <w:t xml:space="preserve"> of the</w:t>
      </w:r>
      <w:r w:rsidR="00106F24">
        <w:t xml:space="preserve"> ecological community, particularly </w:t>
      </w:r>
      <w:r w:rsidR="009E7025">
        <w:t xml:space="preserve">higher </w:t>
      </w:r>
      <w:r w:rsidR="00106F24">
        <w:t xml:space="preserve">areas of </w:t>
      </w:r>
      <w:r w:rsidR="003E28BF">
        <w:t>floodplain and wetlands</w:t>
      </w:r>
      <w:r w:rsidR="00FC261E">
        <w:t>.</w:t>
      </w:r>
      <w:r w:rsidR="00591523">
        <w:t xml:space="preserve"> </w:t>
      </w:r>
      <w:r w:rsidR="00FC261E">
        <w:t>H</w:t>
      </w:r>
      <w:r w:rsidR="00591523">
        <w:t>ow</w:t>
      </w:r>
      <w:r w:rsidR="00D23B98">
        <w:t>ever</w:t>
      </w:r>
      <w:r w:rsidR="00FC261E">
        <w:t>,</w:t>
      </w:r>
      <w:r w:rsidR="00D23B98">
        <w:t xml:space="preserve"> </w:t>
      </w:r>
      <w:r w:rsidR="00182F4D">
        <w:t>the</w:t>
      </w:r>
      <w:r w:rsidR="001C4BA6">
        <w:t xml:space="preserve"> </w:t>
      </w:r>
      <w:r w:rsidR="00591523">
        <w:t xml:space="preserve">backdrop of </w:t>
      </w:r>
      <w:r w:rsidR="009436C8">
        <w:t>long-term environmental and ecological decline</w:t>
      </w:r>
      <w:r w:rsidR="00FC261E">
        <w:t>, which is well-researched and acknowledged</w:t>
      </w:r>
      <w:r w:rsidR="004C1B9D">
        <w:t>, remains</w:t>
      </w:r>
      <w:r w:rsidR="0031581C">
        <w:t>,</w:t>
      </w:r>
      <w:r w:rsidR="00182F4D">
        <w:t xml:space="preserve"> as does the certainty </w:t>
      </w:r>
      <w:r w:rsidR="007C0E8F">
        <w:t xml:space="preserve">of future periods of </w:t>
      </w:r>
      <w:r w:rsidR="0031581C">
        <w:t>drought</w:t>
      </w:r>
      <w:r w:rsidR="00495489">
        <w:t>.</w:t>
      </w:r>
      <w:r w:rsidR="007655BD">
        <w:t xml:space="preserve"> With multiple long-term and increasing major threat impacts, it is becoming i</w:t>
      </w:r>
      <w:r w:rsidR="003E0CDB">
        <w:t>ncreasingly difficult for key plants, animals, and functions to survive, let along recover without substantial intervention.</w:t>
      </w:r>
    </w:p>
    <w:p w14:paraId="4B331D0B" w14:textId="1571ADBB" w:rsidR="00F26D3D" w:rsidRDefault="00F26D3D" w:rsidP="008E4F36">
      <w:pPr>
        <w:pStyle w:val="Heading2"/>
      </w:pPr>
      <w:bookmarkStart w:id="134" w:name="_Toc158683486"/>
      <w:bookmarkStart w:id="135" w:name="_Toc175317082"/>
      <w:bookmarkStart w:id="136" w:name="_Toc175572784"/>
      <w:r>
        <w:t>Threat</w:t>
      </w:r>
      <w:r w:rsidR="002C1242">
        <w:t>s</w:t>
      </w:r>
      <w:r>
        <w:t xml:space="preserve"> table</w:t>
      </w:r>
      <w:bookmarkEnd w:id="134"/>
      <w:bookmarkEnd w:id="135"/>
      <w:bookmarkEnd w:id="136"/>
    </w:p>
    <w:p w14:paraId="31D8AA97" w14:textId="774148D6" w:rsidR="00885636" w:rsidRDefault="00A332C6" w:rsidP="006E4C1F">
      <w:r w:rsidRPr="004C1B9D">
        <w:rPr>
          <w:rStyle w:val="Crossreference"/>
        </w:rPr>
        <w:t xml:space="preserve">Table </w:t>
      </w:r>
      <w:r w:rsidR="00B20769">
        <w:rPr>
          <w:rStyle w:val="Crossreference"/>
        </w:rPr>
        <w:t>2</w:t>
      </w:r>
      <w:r w:rsidR="008B7AF7">
        <w:rPr>
          <w:rStyle w:val="Crossreference"/>
        </w:rPr>
        <w:t>3</w:t>
      </w:r>
      <w:r w:rsidR="6113576C">
        <w:t xml:space="preserve"> </w:t>
      </w:r>
      <w:r w:rsidR="6113576C" w:rsidRPr="003C49AD">
        <w:t xml:space="preserve">outlines the key threats </w:t>
      </w:r>
      <w:r w:rsidR="00491C56">
        <w:t>and associated</w:t>
      </w:r>
      <w:r w:rsidR="00BD3F20">
        <w:t xml:space="preserve"> risks and</w:t>
      </w:r>
      <w:r w:rsidR="00491C56">
        <w:t xml:space="preserve"> impacts </w:t>
      </w:r>
      <w:r w:rsidR="6113576C" w:rsidRPr="003C49AD">
        <w:t xml:space="preserve">facing the </w:t>
      </w:r>
      <w:r w:rsidR="004A4257" w:rsidRPr="004C1B9D">
        <w:rPr>
          <w:i/>
          <w:iCs/>
        </w:rPr>
        <w:t>River Murray—Darling to Sea</w:t>
      </w:r>
      <w:r w:rsidR="004A4257">
        <w:t xml:space="preserve"> </w:t>
      </w:r>
      <w:r w:rsidR="6113576C" w:rsidRPr="003C49AD">
        <w:t>ecological community</w:t>
      </w:r>
      <w:r w:rsidR="690B5A97" w:rsidRPr="003C49AD">
        <w:t xml:space="preserve">, which </w:t>
      </w:r>
      <w:r w:rsidR="00885636">
        <w:t xml:space="preserve">represent the </w:t>
      </w:r>
      <w:r w:rsidR="00BB796E">
        <w:t>‘</w:t>
      </w:r>
      <w:r w:rsidR="00885636" w:rsidRPr="00BB796E">
        <w:t>main factors that cause it to be eligible for listing</w:t>
      </w:r>
      <w:r w:rsidR="00BB796E">
        <w:t>’,</w:t>
      </w:r>
      <w:r w:rsidR="00D2461F" w:rsidRPr="00BB796E">
        <w:t xml:space="preserve"> as</w:t>
      </w:r>
      <w:r w:rsidR="00D2461F">
        <w:t xml:space="preserve"> required by section 266B (2) </w:t>
      </w:r>
      <w:r w:rsidR="00180E04">
        <w:t xml:space="preserve">(a) </w:t>
      </w:r>
      <w:r w:rsidR="00D2461F">
        <w:t>(ii) of the EPBC Act.</w:t>
      </w:r>
      <w:r w:rsidR="002C1242">
        <w:t xml:space="preserve"> </w:t>
      </w:r>
      <w:r w:rsidR="00D2461F">
        <w:t xml:space="preserve">This information supports </w:t>
      </w:r>
      <w:r w:rsidR="00D2461F" w:rsidRPr="003C49AD">
        <w:t xml:space="preserve">the assessment against the </w:t>
      </w:r>
      <w:r w:rsidR="00BB796E">
        <w:t xml:space="preserve">regulated </w:t>
      </w:r>
      <w:r w:rsidR="00D2461F" w:rsidRPr="003C49AD">
        <w:t xml:space="preserve">criteria at </w:t>
      </w:r>
      <w:r w:rsidR="00AA247B">
        <w:rPr>
          <w:rStyle w:val="Crossreference"/>
        </w:rPr>
        <w:t>S</w:t>
      </w:r>
      <w:r w:rsidR="00D2461F" w:rsidRPr="006E4C1F">
        <w:rPr>
          <w:rStyle w:val="Crossreference"/>
        </w:rPr>
        <w:t>ection</w:t>
      </w:r>
      <w:r w:rsidR="00D2461F">
        <w:rPr>
          <w:rStyle w:val="Crossreference"/>
        </w:rPr>
        <w:t xml:space="preserve"> </w:t>
      </w:r>
      <w:r w:rsidR="00D2461F">
        <w:rPr>
          <w:rStyle w:val="Crossreference"/>
        </w:rPr>
        <w:fldChar w:fldCharType="begin"/>
      </w:r>
      <w:r w:rsidR="00D2461F">
        <w:rPr>
          <w:rStyle w:val="Crossreference"/>
        </w:rPr>
        <w:instrText xml:space="preserve"> REF _Ref68097549 \r \h </w:instrText>
      </w:r>
      <w:r w:rsidR="00D2461F">
        <w:rPr>
          <w:rStyle w:val="Crossreference"/>
        </w:rPr>
      </w:r>
      <w:r w:rsidR="00D2461F">
        <w:rPr>
          <w:rStyle w:val="Crossreference"/>
        </w:rPr>
        <w:fldChar w:fldCharType="separate"/>
      </w:r>
      <w:r w:rsidR="006D35C5">
        <w:rPr>
          <w:rStyle w:val="Crossreference"/>
        </w:rPr>
        <w:t>0</w:t>
      </w:r>
      <w:r w:rsidR="00D2461F">
        <w:rPr>
          <w:rStyle w:val="Crossreference"/>
        </w:rPr>
        <w:fldChar w:fldCharType="end"/>
      </w:r>
      <w:r w:rsidR="00D2461F" w:rsidRPr="003C49AD">
        <w:t xml:space="preserve">. Although presented as a </w:t>
      </w:r>
      <w:r w:rsidR="00CF361D">
        <w:t>‘</w:t>
      </w:r>
      <w:r w:rsidR="00D2461F" w:rsidRPr="003C49AD">
        <w:t>list</w:t>
      </w:r>
      <w:r w:rsidR="00CF361D">
        <w:t>’</w:t>
      </w:r>
      <w:r w:rsidR="00D2461F" w:rsidRPr="003C49AD">
        <w:t>, in reality</w:t>
      </w:r>
      <w:r w:rsidR="00D2461F">
        <w:t xml:space="preserve"> </w:t>
      </w:r>
      <w:r w:rsidR="00D2461F" w:rsidRPr="003C49AD">
        <w:t xml:space="preserve">these threats </w:t>
      </w:r>
      <w:r w:rsidR="00AF0B01">
        <w:t xml:space="preserve">and their impacts </w:t>
      </w:r>
      <w:r w:rsidR="00D2461F" w:rsidRPr="003C49AD">
        <w:t xml:space="preserve">often interact </w:t>
      </w:r>
      <w:r w:rsidR="00AA247B">
        <w:t>and are compounded</w:t>
      </w:r>
      <w:r w:rsidR="00E0210D">
        <w:t xml:space="preserve">, </w:t>
      </w:r>
      <w:r w:rsidR="002A2636">
        <w:t xml:space="preserve">i.e. </w:t>
      </w:r>
      <w:r w:rsidR="00D2461F" w:rsidRPr="003C49AD">
        <w:t xml:space="preserve">rather than </w:t>
      </w:r>
      <w:r w:rsidR="00E40DAC">
        <w:t xml:space="preserve">necessarily </w:t>
      </w:r>
      <w:r w:rsidR="00D2461F" w:rsidRPr="003C49AD">
        <w:t>act</w:t>
      </w:r>
      <w:r w:rsidR="00E0210D">
        <w:t>ing</w:t>
      </w:r>
      <w:r w:rsidR="00D2461F" w:rsidRPr="003C49AD">
        <w:t xml:space="preserve"> independently.</w:t>
      </w:r>
      <w:r w:rsidR="00E0210D">
        <w:t xml:space="preserve"> </w:t>
      </w:r>
    </w:p>
    <w:tbl>
      <w:tblPr>
        <w:tblStyle w:val="TableGrid"/>
        <w:tblW w:w="0" w:type="auto"/>
        <w:tblLook w:val="04A0" w:firstRow="1" w:lastRow="0" w:firstColumn="1" w:lastColumn="0" w:noHBand="0" w:noVBand="1"/>
      </w:tblPr>
      <w:tblGrid>
        <w:gridCol w:w="9060"/>
      </w:tblGrid>
      <w:tr w:rsidR="008953D9" w14:paraId="6C278951" w14:textId="77777777" w:rsidTr="008953D9">
        <w:tc>
          <w:tcPr>
            <w:tcW w:w="9174" w:type="dxa"/>
            <w:shd w:val="clear" w:color="auto" w:fill="DEEAF6" w:themeFill="accent1" w:themeFillTint="33"/>
          </w:tcPr>
          <w:p w14:paraId="3E92F2DF" w14:textId="45C5B62C" w:rsidR="008953D9" w:rsidRPr="0099603B" w:rsidRDefault="008953D9" w:rsidP="008953D9">
            <w:pPr>
              <w:pStyle w:val="HeadingNew3"/>
              <w:shd w:val="clear" w:color="auto" w:fill="DEEAF6" w:themeFill="accent1" w:themeFillTint="33"/>
              <w:spacing w:before="0" w:after="0"/>
              <w:ind w:left="0" w:firstLine="0"/>
              <w:contextualSpacing/>
              <w:rPr>
                <w:rFonts w:ascii="Cambria" w:hAnsi="Cambria"/>
                <w:sz w:val="22"/>
                <w:szCs w:val="22"/>
              </w:rPr>
            </w:pPr>
            <w:r w:rsidRPr="0099603B">
              <w:rPr>
                <w:rFonts w:ascii="Cambria" w:hAnsi="Cambria"/>
                <w:sz w:val="22"/>
                <w:szCs w:val="22"/>
              </w:rPr>
              <w:lastRenderedPageBreak/>
              <w:t xml:space="preserve">Overview of </w:t>
            </w:r>
            <w:r>
              <w:rPr>
                <w:rFonts w:ascii="Cambria" w:hAnsi="Cambria"/>
                <w:sz w:val="22"/>
                <w:szCs w:val="22"/>
              </w:rPr>
              <w:t xml:space="preserve">Threats </w:t>
            </w:r>
            <w:r w:rsidR="00E0799E">
              <w:rPr>
                <w:rFonts w:ascii="Cambria" w:hAnsi="Cambria"/>
                <w:sz w:val="22"/>
                <w:szCs w:val="22"/>
              </w:rPr>
              <w:t>T</w:t>
            </w:r>
            <w:r w:rsidR="00E0799E">
              <w:t>able</w:t>
            </w:r>
            <w:r w:rsidR="00A80F2D">
              <w:t xml:space="preserve"> (pp. </w:t>
            </w:r>
            <w:r w:rsidR="003629D3">
              <w:t>81</w:t>
            </w:r>
            <w:r w:rsidR="00A80F2D">
              <w:t>-</w:t>
            </w:r>
            <w:r w:rsidR="00C24F5B">
              <w:t>93</w:t>
            </w:r>
            <w:r w:rsidR="00A80F2D">
              <w:t>)</w:t>
            </w:r>
          </w:p>
          <w:p w14:paraId="267C38AB" w14:textId="77777777" w:rsidR="008953D9" w:rsidRPr="00D911D4" w:rsidRDefault="008953D9" w:rsidP="008953D9">
            <w:pPr>
              <w:pStyle w:val="HeadingNew3"/>
              <w:shd w:val="clear" w:color="auto" w:fill="DEEAF6" w:themeFill="accent1" w:themeFillTint="33"/>
              <w:spacing w:before="0" w:after="0"/>
              <w:ind w:left="0" w:firstLine="0"/>
              <w:contextualSpacing/>
              <w:rPr>
                <w:rFonts w:ascii="Cambria" w:hAnsi="Cambria"/>
                <w:sz w:val="8"/>
                <w:szCs w:val="8"/>
              </w:rPr>
            </w:pPr>
          </w:p>
          <w:p w14:paraId="0696C1EE" w14:textId="77777777" w:rsidR="008953D9" w:rsidRPr="0099603B" w:rsidRDefault="008953D9" w:rsidP="008953D9">
            <w:pPr>
              <w:pStyle w:val="HeadingNew3"/>
              <w:numPr>
                <w:ilvl w:val="0"/>
                <w:numId w:val="19"/>
              </w:numPr>
              <w:shd w:val="clear" w:color="auto" w:fill="DEEAF6" w:themeFill="accent1" w:themeFillTint="33"/>
              <w:spacing w:before="0" w:after="0"/>
              <w:contextualSpacing/>
              <w:rPr>
                <w:rFonts w:ascii="Cambria" w:hAnsi="Cambria"/>
                <w:i w:val="0"/>
                <w:iCs/>
                <w:sz w:val="20"/>
                <w:szCs w:val="20"/>
              </w:rPr>
            </w:pPr>
            <w:r>
              <w:rPr>
                <w:rFonts w:ascii="Cambria" w:hAnsi="Cambria"/>
                <w:i w:val="0"/>
                <w:iCs/>
                <w:sz w:val="20"/>
                <w:szCs w:val="20"/>
              </w:rPr>
              <w:t>Climate change related threats</w:t>
            </w:r>
          </w:p>
          <w:p w14:paraId="609A77B7" w14:textId="17AE6BD3" w:rsidR="008953D9" w:rsidRPr="0099603B"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 xml:space="preserve">climate change </w:t>
            </w:r>
            <w:r w:rsidR="00095429">
              <w:rPr>
                <w:rFonts w:ascii="Cambria" w:hAnsi="Cambria"/>
                <w:b w:val="0"/>
                <w:bCs/>
                <w:i w:val="0"/>
                <w:iCs/>
                <w:sz w:val="20"/>
                <w:szCs w:val="20"/>
              </w:rPr>
              <w:t xml:space="preserve">- </w:t>
            </w:r>
            <w:r>
              <w:rPr>
                <w:rFonts w:ascii="Cambria" w:hAnsi="Cambria"/>
                <w:b w:val="0"/>
                <w:bCs/>
                <w:i w:val="0"/>
                <w:iCs/>
                <w:sz w:val="20"/>
                <w:szCs w:val="20"/>
              </w:rPr>
              <w:t xml:space="preserve">general </w:t>
            </w:r>
            <w:r w:rsidR="00095429">
              <w:rPr>
                <w:rFonts w:ascii="Cambria" w:hAnsi="Cambria"/>
                <w:b w:val="0"/>
                <w:bCs/>
                <w:i w:val="0"/>
                <w:iCs/>
                <w:sz w:val="20"/>
                <w:szCs w:val="20"/>
              </w:rPr>
              <w:t xml:space="preserve">threats </w:t>
            </w:r>
            <w:r>
              <w:rPr>
                <w:rFonts w:ascii="Cambria" w:hAnsi="Cambria"/>
                <w:b w:val="0"/>
                <w:bCs/>
                <w:i w:val="0"/>
                <w:iCs/>
                <w:sz w:val="20"/>
                <w:szCs w:val="20"/>
              </w:rPr>
              <w:t xml:space="preserve">to biodiversity </w:t>
            </w:r>
          </w:p>
          <w:p w14:paraId="20EF806C" w14:textId="77777777" w:rsidR="008953D9"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rising temperature</w:t>
            </w:r>
          </w:p>
          <w:p w14:paraId="1F1E7A04" w14:textId="77777777" w:rsidR="008953D9"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changes to rainfall &amp; runoff</w:t>
            </w:r>
          </w:p>
          <w:p w14:paraId="6F3BA991" w14:textId="77777777" w:rsidR="008953D9"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extreme events</w:t>
            </w:r>
          </w:p>
          <w:p w14:paraId="5EE50FC4" w14:textId="77777777" w:rsidR="008953D9"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fire regimes that cause declines in biodiversity</w:t>
            </w:r>
          </w:p>
          <w:p w14:paraId="149AC838" w14:textId="77777777" w:rsidR="008953D9" w:rsidRPr="0099603B" w:rsidRDefault="008953D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sea level rise (SLR) and extreme sea level (ELR)</w:t>
            </w:r>
          </w:p>
          <w:p w14:paraId="10FFC30B" w14:textId="77777777" w:rsidR="008953D9" w:rsidRDefault="008953D9" w:rsidP="008953D9">
            <w:pPr>
              <w:pStyle w:val="HeadingNew3"/>
              <w:numPr>
                <w:ilvl w:val="0"/>
                <w:numId w:val="19"/>
              </w:numPr>
              <w:shd w:val="clear" w:color="auto" w:fill="DEEAF6" w:themeFill="accent1" w:themeFillTint="33"/>
              <w:spacing w:before="0" w:after="0"/>
              <w:contextualSpacing/>
              <w:rPr>
                <w:rFonts w:ascii="Cambria" w:hAnsi="Cambria"/>
                <w:i w:val="0"/>
                <w:iCs/>
                <w:sz w:val="20"/>
                <w:szCs w:val="20"/>
              </w:rPr>
            </w:pPr>
            <w:r>
              <w:rPr>
                <w:rFonts w:ascii="Cambria" w:hAnsi="Cambria"/>
                <w:i w:val="0"/>
                <w:iCs/>
                <w:sz w:val="20"/>
                <w:szCs w:val="20"/>
              </w:rPr>
              <w:t>Hydrology related threats</w:t>
            </w:r>
            <w:r w:rsidRPr="0099603B">
              <w:rPr>
                <w:rFonts w:ascii="Cambria" w:hAnsi="Cambria"/>
                <w:i w:val="0"/>
                <w:iCs/>
                <w:sz w:val="20"/>
                <w:szCs w:val="20"/>
              </w:rPr>
              <w:t xml:space="preserve"> </w:t>
            </w:r>
          </w:p>
          <w:p w14:paraId="3EEA4766" w14:textId="12ACD2C7" w:rsidR="008953D9" w:rsidRDefault="0008650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flow – changes to hydrological regimes</w:t>
            </w:r>
          </w:p>
          <w:p w14:paraId="260E7B27" w14:textId="3718959F" w:rsidR="00086509" w:rsidRDefault="0008650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extraction of surface water</w:t>
            </w:r>
          </w:p>
          <w:p w14:paraId="681317A7" w14:textId="4812B55B" w:rsidR="00086509" w:rsidRDefault="0008650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river regulation &amp; infrastructure</w:t>
            </w:r>
          </w:p>
          <w:p w14:paraId="54310A98" w14:textId="2D781DE8" w:rsidR="00086509" w:rsidRDefault="00086509"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extraction of groundwater</w:t>
            </w:r>
          </w:p>
          <w:p w14:paraId="11195B78" w14:textId="60B7A1B1" w:rsidR="00086509" w:rsidRDefault="00370B9F"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Murray Mouth closure (&amp; lack of flow to MM)</w:t>
            </w:r>
          </w:p>
          <w:p w14:paraId="75539596" w14:textId="06B51D36" w:rsidR="00370B9F" w:rsidRDefault="00370B9F"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floodplain harvesting and farm dams</w:t>
            </w:r>
          </w:p>
          <w:p w14:paraId="7C0A83F7" w14:textId="255CEE64" w:rsidR="00370B9F" w:rsidRPr="00B93750" w:rsidRDefault="00370B9F"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irrigation pumps</w:t>
            </w:r>
          </w:p>
          <w:p w14:paraId="3CC1FC0E" w14:textId="77777777" w:rsidR="008953D9" w:rsidRPr="0099603B" w:rsidRDefault="008953D9" w:rsidP="008953D9">
            <w:pPr>
              <w:pStyle w:val="HeadingNew3"/>
              <w:numPr>
                <w:ilvl w:val="0"/>
                <w:numId w:val="19"/>
              </w:numPr>
              <w:shd w:val="clear" w:color="auto" w:fill="DEEAF6" w:themeFill="accent1" w:themeFillTint="33"/>
              <w:spacing w:before="0" w:after="0"/>
              <w:contextualSpacing/>
              <w:rPr>
                <w:rFonts w:ascii="Cambria" w:hAnsi="Cambria"/>
                <w:i w:val="0"/>
                <w:iCs/>
                <w:sz w:val="20"/>
                <w:szCs w:val="20"/>
              </w:rPr>
            </w:pPr>
            <w:r>
              <w:rPr>
                <w:rFonts w:ascii="Cambria" w:hAnsi="Cambria"/>
                <w:i w:val="0"/>
                <w:iCs/>
                <w:sz w:val="20"/>
                <w:szCs w:val="20"/>
              </w:rPr>
              <w:t>Water quality related threats</w:t>
            </w:r>
          </w:p>
          <w:p w14:paraId="78EF836B" w14:textId="75D1E249" w:rsidR="008953D9"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s</w:t>
            </w:r>
            <w:r w:rsidR="00295FDA">
              <w:rPr>
                <w:rFonts w:ascii="Cambria" w:hAnsi="Cambria"/>
                <w:b w:val="0"/>
                <w:bCs/>
                <w:i w:val="0"/>
                <w:iCs/>
                <w:sz w:val="20"/>
                <w:szCs w:val="20"/>
              </w:rPr>
              <w:t>alinisation</w:t>
            </w:r>
          </w:p>
          <w:p w14:paraId="3FA59E70" w14:textId="61E958D6" w:rsidR="00295FDA"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e</w:t>
            </w:r>
            <w:r w:rsidR="00295FDA">
              <w:rPr>
                <w:rFonts w:ascii="Cambria" w:hAnsi="Cambria"/>
                <w:b w:val="0"/>
                <w:bCs/>
                <w:i w:val="0"/>
                <w:iCs/>
                <w:sz w:val="20"/>
                <w:szCs w:val="20"/>
              </w:rPr>
              <w:t>utrophication</w:t>
            </w:r>
          </w:p>
          <w:p w14:paraId="3A8CB346" w14:textId="1ED61D8B" w:rsidR="00295FDA"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a</w:t>
            </w:r>
            <w:r w:rsidR="00295FDA">
              <w:rPr>
                <w:rFonts w:ascii="Cambria" w:hAnsi="Cambria"/>
                <w:b w:val="0"/>
                <w:bCs/>
                <w:i w:val="0"/>
                <w:iCs/>
                <w:sz w:val="20"/>
                <w:szCs w:val="20"/>
              </w:rPr>
              <w:t>lgal blooms (toxic and other)</w:t>
            </w:r>
          </w:p>
          <w:p w14:paraId="0F7A9793" w14:textId="7C96A8AC" w:rsidR="00295FDA"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b</w:t>
            </w:r>
            <w:r w:rsidR="00295FDA">
              <w:rPr>
                <w:rFonts w:ascii="Cambria" w:hAnsi="Cambria"/>
                <w:b w:val="0"/>
                <w:bCs/>
                <w:i w:val="0"/>
                <w:iCs/>
                <w:sz w:val="20"/>
                <w:szCs w:val="20"/>
              </w:rPr>
              <w:t>lackwater events</w:t>
            </w:r>
          </w:p>
          <w:p w14:paraId="4A768523" w14:textId="3C316DF8" w:rsidR="00295FDA" w:rsidRPr="0099603B"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p</w:t>
            </w:r>
            <w:r w:rsidR="00295FDA">
              <w:rPr>
                <w:rFonts w:ascii="Cambria" w:hAnsi="Cambria"/>
                <w:b w:val="0"/>
                <w:bCs/>
                <w:i w:val="0"/>
                <w:iCs/>
                <w:sz w:val="20"/>
                <w:szCs w:val="20"/>
              </w:rPr>
              <w:t>ollution</w:t>
            </w:r>
            <w:r>
              <w:rPr>
                <w:rFonts w:ascii="Cambria" w:hAnsi="Cambria"/>
                <w:b w:val="0"/>
                <w:bCs/>
                <w:i w:val="0"/>
                <w:iCs/>
                <w:sz w:val="20"/>
                <w:szCs w:val="20"/>
              </w:rPr>
              <w:t xml:space="preserve"> – chemical and litter (including micro-plastics)</w:t>
            </w:r>
          </w:p>
          <w:p w14:paraId="785B8401" w14:textId="77777777" w:rsidR="003A0E7B" w:rsidRDefault="003F2816"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 xml:space="preserve">acid sulfate soils (ASS) </w:t>
            </w:r>
          </w:p>
          <w:p w14:paraId="17919403" w14:textId="650CC38A" w:rsidR="008953D9" w:rsidRDefault="003A0E7B" w:rsidP="008953D9">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 xml:space="preserve">sedimentation – infilling &amp; </w:t>
            </w:r>
            <w:r w:rsidR="001C6AAA">
              <w:rPr>
                <w:rFonts w:ascii="Cambria" w:hAnsi="Cambria"/>
                <w:b w:val="0"/>
                <w:bCs/>
                <w:i w:val="0"/>
                <w:iCs/>
                <w:sz w:val="20"/>
                <w:szCs w:val="20"/>
              </w:rPr>
              <w:t>turbidity</w:t>
            </w:r>
            <w:r w:rsidR="008953D9">
              <w:rPr>
                <w:rFonts w:ascii="Cambria" w:hAnsi="Cambria"/>
                <w:b w:val="0"/>
                <w:bCs/>
                <w:i w:val="0"/>
                <w:iCs/>
                <w:sz w:val="20"/>
                <w:szCs w:val="20"/>
              </w:rPr>
              <w:t xml:space="preserve"> </w:t>
            </w:r>
          </w:p>
          <w:p w14:paraId="46E7FF8C" w14:textId="77777777" w:rsidR="008953D9" w:rsidRPr="003A0E7B" w:rsidRDefault="008953D9" w:rsidP="008953D9">
            <w:pPr>
              <w:pStyle w:val="HeadingNew3"/>
              <w:numPr>
                <w:ilvl w:val="0"/>
                <w:numId w:val="19"/>
              </w:numPr>
              <w:shd w:val="clear" w:color="auto" w:fill="DEEAF6" w:themeFill="accent1" w:themeFillTint="33"/>
              <w:spacing w:before="0" w:after="0"/>
              <w:contextualSpacing/>
              <w:rPr>
                <w:rFonts w:ascii="Cambria" w:hAnsi="Cambria"/>
                <w:b w:val="0"/>
                <w:bCs/>
                <w:i w:val="0"/>
                <w:iCs/>
                <w:sz w:val="20"/>
                <w:szCs w:val="20"/>
              </w:rPr>
            </w:pPr>
            <w:r w:rsidRPr="007274C3">
              <w:rPr>
                <w:rFonts w:ascii="Cambria" w:hAnsi="Cambria"/>
                <w:i w:val="0"/>
                <w:iCs/>
                <w:sz w:val="20"/>
                <w:szCs w:val="20"/>
              </w:rPr>
              <w:t>Land</w:t>
            </w:r>
            <w:r>
              <w:rPr>
                <w:rFonts w:ascii="Cambria" w:hAnsi="Cambria"/>
                <w:b w:val="0"/>
                <w:bCs/>
                <w:i w:val="0"/>
                <w:iCs/>
                <w:sz w:val="20"/>
                <w:szCs w:val="20"/>
              </w:rPr>
              <w:t xml:space="preserve"> </w:t>
            </w:r>
            <w:r w:rsidRPr="007274C3">
              <w:rPr>
                <w:rFonts w:ascii="Cambria" w:hAnsi="Cambria"/>
                <w:i w:val="0"/>
                <w:iCs/>
                <w:sz w:val="20"/>
                <w:szCs w:val="20"/>
              </w:rPr>
              <w:t>clearing related threats</w:t>
            </w:r>
          </w:p>
          <w:p w14:paraId="50307696" w14:textId="6101B1C7" w:rsidR="003A0E7B" w:rsidRDefault="003A0E7B" w:rsidP="003A0E7B">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sidRPr="003A0E7B">
              <w:rPr>
                <w:rFonts w:ascii="Cambria" w:hAnsi="Cambria"/>
                <w:b w:val="0"/>
                <w:bCs/>
                <w:i w:val="0"/>
                <w:iCs/>
                <w:sz w:val="20"/>
                <w:szCs w:val="20"/>
              </w:rPr>
              <w:t>clearing of native vegetation</w:t>
            </w:r>
          </w:p>
          <w:p w14:paraId="4A2F2719" w14:textId="0C489168" w:rsidR="003A0E7B" w:rsidRDefault="001C6AAA" w:rsidP="003A0E7B">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mining</w:t>
            </w:r>
          </w:p>
          <w:p w14:paraId="0EE96BC3" w14:textId="2D40159A" w:rsidR="001C6AAA" w:rsidRPr="003A0E7B" w:rsidRDefault="001C6AAA" w:rsidP="003A0E7B">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grazing</w:t>
            </w:r>
          </w:p>
          <w:p w14:paraId="4D436A23" w14:textId="384E36DB" w:rsidR="008953D9" w:rsidRPr="001C6AAA" w:rsidRDefault="008953D9" w:rsidP="008953D9">
            <w:pPr>
              <w:pStyle w:val="HeadingNew3"/>
              <w:numPr>
                <w:ilvl w:val="0"/>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i w:val="0"/>
                <w:iCs/>
                <w:sz w:val="20"/>
                <w:szCs w:val="20"/>
              </w:rPr>
              <w:t>Problem Species</w:t>
            </w:r>
            <w:r w:rsidR="00600A71">
              <w:rPr>
                <w:rFonts w:ascii="Cambria" w:hAnsi="Cambria"/>
                <w:i w:val="0"/>
                <w:iCs/>
                <w:sz w:val="20"/>
                <w:szCs w:val="20"/>
              </w:rPr>
              <w:t xml:space="preserve"> related threats</w:t>
            </w:r>
          </w:p>
          <w:p w14:paraId="4B632748" w14:textId="2630002C" w:rsidR="001C6AAA" w:rsidRPr="00C5126F" w:rsidRDefault="00C5126F" w:rsidP="001C6AAA">
            <w:pPr>
              <w:pStyle w:val="HeadingNew3"/>
              <w:numPr>
                <w:ilvl w:val="1"/>
                <w:numId w:val="19"/>
              </w:numPr>
              <w:shd w:val="clear" w:color="auto" w:fill="DEEAF6" w:themeFill="accent1" w:themeFillTint="33"/>
              <w:spacing w:before="0" w:after="0"/>
              <w:contextualSpacing/>
              <w:rPr>
                <w:rFonts w:ascii="Cambria" w:hAnsi="Cambria"/>
                <w:b w:val="0"/>
                <w:i w:val="0"/>
                <w:iCs/>
                <w:sz w:val="20"/>
                <w:szCs w:val="20"/>
              </w:rPr>
            </w:pPr>
            <w:r>
              <w:rPr>
                <w:rFonts w:ascii="Cambria" w:hAnsi="Cambria"/>
                <w:b w:val="0"/>
                <w:i w:val="0"/>
                <w:iCs/>
                <w:sz w:val="20"/>
                <w:szCs w:val="20"/>
              </w:rPr>
              <w:t>i</w:t>
            </w:r>
            <w:r w:rsidRPr="00C5126F">
              <w:rPr>
                <w:rFonts w:ascii="Cambria" w:hAnsi="Cambria"/>
                <w:b w:val="0"/>
                <w:i w:val="0"/>
                <w:iCs/>
                <w:sz w:val="20"/>
                <w:szCs w:val="20"/>
              </w:rPr>
              <w:t>nvasive fish</w:t>
            </w:r>
          </w:p>
          <w:p w14:paraId="302FA804" w14:textId="6443F9C5" w:rsidR="00C5126F" w:rsidRDefault="00C5126F" w:rsidP="001C6AA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invasive/pest birds</w:t>
            </w:r>
          </w:p>
          <w:p w14:paraId="72F6A9A4" w14:textId="19872ECE" w:rsidR="00C5126F" w:rsidRDefault="00C5126F" w:rsidP="001C6AA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invasive mammals</w:t>
            </w:r>
          </w:p>
          <w:p w14:paraId="665F3F3A" w14:textId="5E851D88" w:rsidR="005C2BE2" w:rsidRDefault="005C2BE2" w:rsidP="001C6AA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invasive/pest invertebrates</w:t>
            </w:r>
          </w:p>
          <w:p w14:paraId="678EC758" w14:textId="15CF681F" w:rsidR="005C2BE2" w:rsidRDefault="005C2BE2" w:rsidP="001C6AA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invasive plants (weeds)</w:t>
            </w:r>
          </w:p>
          <w:p w14:paraId="0831BB73" w14:textId="03A16B34" w:rsidR="009B1B5A" w:rsidRPr="007274C3" w:rsidRDefault="009B1B5A" w:rsidP="001C6AA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disease &amp; pathogens</w:t>
            </w:r>
          </w:p>
          <w:p w14:paraId="2E4B971C" w14:textId="77777777" w:rsidR="008953D9" w:rsidRPr="009B1B5A" w:rsidRDefault="008953D9" w:rsidP="008953D9">
            <w:pPr>
              <w:pStyle w:val="HeadingNew3"/>
              <w:numPr>
                <w:ilvl w:val="0"/>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i w:val="0"/>
                <w:iCs/>
                <w:sz w:val="20"/>
                <w:szCs w:val="20"/>
              </w:rPr>
              <w:t>Other</w:t>
            </w:r>
          </w:p>
          <w:p w14:paraId="548CECE2" w14:textId="092DC7ED" w:rsidR="009B1B5A" w:rsidRDefault="009B1B5A" w:rsidP="009B1B5A">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sidRPr="009B1B5A">
              <w:rPr>
                <w:rFonts w:ascii="Cambria" w:hAnsi="Cambria"/>
                <w:b w:val="0"/>
                <w:bCs/>
                <w:i w:val="0"/>
                <w:iCs/>
                <w:sz w:val="20"/>
                <w:szCs w:val="20"/>
              </w:rPr>
              <w:t>fishing pressure</w:t>
            </w:r>
          </w:p>
          <w:p w14:paraId="0BE85C3F" w14:textId="024DE317" w:rsidR="008953D9" w:rsidRPr="00E750DE" w:rsidRDefault="009B1B5A" w:rsidP="006E4C1F">
            <w:pPr>
              <w:pStyle w:val="HeadingNew3"/>
              <w:numPr>
                <w:ilvl w:val="1"/>
                <w:numId w:val="19"/>
              </w:numPr>
              <w:shd w:val="clear" w:color="auto" w:fill="DEEAF6" w:themeFill="accent1" w:themeFillTint="33"/>
              <w:spacing w:before="0" w:after="0"/>
              <w:contextualSpacing/>
              <w:rPr>
                <w:rFonts w:ascii="Cambria" w:hAnsi="Cambria"/>
                <w:b w:val="0"/>
                <w:bCs/>
                <w:i w:val="0"/>
                <w:iCs/>
                <w:sz w:val="20"/>
                <w:szCs w:val="20"/>
              </w:rPr>
            </w:pPr>
            <w:r>
              <w:rPr>
                <w:rFonts w:ascii="Cambria" w:hAnsi="Cambria"/>
                <w:b w:val="0"/>
                <w:bCs/>
                <w:i w:val="0"/>
                <w:iCs/>
                <w:sz w:val="20"/>
                <w:szCs w:val="20"/>
              </w:rPr>
              <w:t xml:space="preserve">recreational activities &amp; impacts from </w:t>
            </w:r>
            <w:r w:rsidR="008768DF">
              <w:rPr>
                <w:rFonts w:ascii="Cambria" w:hAnsi="Cambria"/>
                <w:b w:val="0"/>
                <w:bCs/>
                <w:i w:val="0"/>
                <w:iCs/>
                <w:sz w:val="20"/>
                <w:szCs w:val="20"/>
              </w:rPr>
              <w:t>urbanisation</w:t>
            </w:r>
          </w:p>
        </w:tc>
      </w:tr>
    </w:tbl>
    <w:p w14:paraId="18DEF310" w14:textId="170328B2" w:rsidR="00171978" w:rsidRDefault="00171978" w:rsidP="00384747">
      <w:pPr>
        <w:spacing w:after="0"/>
        <w:contextualSpacing/>
      </w:pPr>
    </w:p>
    <w:tbl>
      <w:tblPr>
        <w:tblStyle w:val="TableGrid"/>
        <w:tblW w:w="0" w:type="auto"/>
        <w:tblLook w:val="04A0" w:firstRow="1" w:lastRow="0" w:firstColumn="1" w:lastColumn="0" w:noHBand="0" w:noVBand="1"/>
      </w:tblPr>
      <w:tblGrid>
        <w:gridCol w:w="9060"/>
      </w:tblGrid>
      <w:tr w:rsidR="00290FA7" w14:paraId="4D4D382A" w14:textId="77777777" w:rsidTr="00290FA7">
        <w:tc>
          <w:tcPr>
            <w:tcW w:w="9174" w:type="dxa"/>
          </w:tcPr>
          <w:p w14:paraId="461F64CC" w14:textId="3F8BBB11" w:rsidR="00384747" w:rsidRPr="00384747" w:rsidRDefault="00893A95" w:rsidP="00A9464C">
            <w:pPr>
              <w:pStyle w:val="TableText0"/>
              <w:ind w:right="-280"/>
              <w:rPr>
                <w:b/>
                <w:bCs/>
                <w:sz w:val="22"/>
              </w:rPr>
            </w:pPr>
            <w:r w:rsidRPr="00384747">
              <w:rPr>
                <w:b/>
                <w:bCs/>
                <w:sz w:val="22"/>
              </w:rPr>
              <w:t xml:space="preserve">For interpretation of </w:t>
            </w:r>
            <w:r w:rsidRPr="00384747">
              <w:rPr>
                <w:b/>
                <w:bCs/>
                <w:sz w:val="22"/>
                <w:u w:val="single"/>
              </w:rPr>
              <w:t>Table 23</w:t>
            </w:r>
            <w:r w:rsidRPr="00384747">
              <w:rPr>
                <w:b/>
                <w:bCs/>
                <w:sz w:val="22"/>
              </w:rPr>
              <w:t>, note the following legend:</w:t>
            </w:r>
          </w:p>
          <w:p w14:paraId="27FCC236" w14:textId="1685B51B" w:rsidR="006F79B2" w:rsidRPr="00343E9B" w:rsidRDefault="00C51A40" w:rsidP="00A9464C">
            <w:pPr>
              <w:pStyle w:val="TableText0"/>
              <w:ind w:right="-280"/>
              <w:rPr>
                <w:sz w:val="20"/>
                <w:szCs w:val="20"/>
              </w:rPr>
            </w:pPr>
            <w:r w:rsidRPr="00343E9B">
              <w:rPr>
                <w:b/>
                <w:bCs/>
                <w:i/>
                <w:iCs/>
                <w:sz w:val="20"/>
                <w:szCs w:val="20"/>
              </w:rPr>
              <w:t>Severity</w:t>
            </w:r>
            <w:r w:rsidR="007C59D9" w:rsidRPr="00343E9B">
              <w:rPr>
                <w:b/>
                <w:bCs/>
                <w:i/>
                <w:iCs/>
                <w:sz w:val="20"/>
                <w:szCs w:val="20"/>
              </w:rPr>
              <w:t xml:space="preserve"> and consequ</w:t>
            </w:r>
            <w:r w:rsidR="00A9464C" w:rsidRPr="00343E9B">
              <w:rPr>
                <w:b/>
                <w:bCs/>
                <w:i/>
                <w:iCs/>
                <w:sz w:val="20"/>
                <w:szCs w:val="20"/>
              </w:rPr>
              <w:t>e</w:t>
            </w:r>
            <w:r w:rsidR="007C59D9" w:rsidRPr="00343E9B">
              <w:rPr>
                <w:b/>
                <w:bCs/>
                <w:i/>
                <w:iCs/>
                <w:sz w:val="20"/>
                <w:szCs w:val="20"/>
              </w:rPr>
              <w:t>nces</w:t>
            </w:r>
            <w:r w:rsidRPr="00343E9B">
              <w:rPr>
                <w:sz w:val="20"/>
                <w:szCs w:val="20"/>
              </w:rPr>
              <w:t xml:space="preserve"> – the threat causes</w:t>
            </w:r>
            <w:r w:rsidR="00813BC6" w:rsidRPr="00343E9B">
              <w:rPr>
                <w:sz w:val="20"/>
                <w:szCs w:val="20"/>
              </w:rPr>
              <w:t>,</w:t>
            </w:r>
            <w:r w:rsidRPr="00343E9B">
              <w:rPr>
                <w:sz w:val="20"/>
                <w:szCs w:val="20"/>
              </w:rPr>
              <w:t xml:space="preserve"> or has the potential to cause</w:t>
            </w:r>
            <w:r w:rsidR="00813BC6" w:rsidRPr="00343E9B">
              <w:rPr>
                <w:sz w:val="20"/>
                <w:szCs w:val="20"/>
              </w:rPr>
              <w:t>,</w:t>
            </w:r>
            <w:r w:rsidRPr="00343E9B">
              <w:rPr>
                <w:sz w:val="20"/>
                <w:szCs w:val="20"/>
              </w:rPr>
              <w:t xml:space="preserve"> impacts that are</w:t>
            </w:r>
            <w:r w:rsidR="006F79B2" w:rsidRPr="00343E9B">
              <w:rPr>
                <w:sz w:val="20"/>
                <w:szCs w:val="20"/>
              </w:rPr>
              <w:t>:</w:t>
            </w:r>
          </w:p>
          <w:p w14:paraId="2CB3E11A" w14:textId="0BCF7339" w:rsidR="006F79B2" w:rsidRPr="00343E9B" w:rsidRDefault="00C51A40" w:rsidP="004162AC">
            <w:pPr>
              <w:pStyle w:val="TableText0"/>
              <w:numPr>
                <w:ilvl w:val="0"/>
                <w:numId w:val="77"/>
              </w:numPr>
              <w:ind w:left="1156" w:hanging="283"/>
              <w:rPr>
                <w:b/>
                <w:bCs/>
                <w:sz w:val="20"/>
                <w:szCs w:val="20"/>
              </w:rPr>
            </w:pPr>
            <w:r w:rsidRPr="00343E9B">
              <w:rPr>
                <w:b/>
                <w:bCs/>
                <w:sz w:val="20"/>
                <w:szCs w:val="20"/>
              </w:rPr>
              <w:t>extreme</w:t>
            </w:r>
            <w:r w:rsidRPr="00343E9B">
              <w:rPr>
                <w:sz w:val="20"/>
                <w:szCs w:val="20"/>
              </w:rPr>
              <w:t xml:space="preserve"> (leading to loss or transformation of affected patches/occurrences) </w:t>
            </w:r>
          </w:p>
          <w:p w14:paraId="52ADFA6B" w14:textId="77777777" w:rsidR="006F79B2" w:rsidRPr="00343E9B" w:rsidRDefault="00C51A40" w:rsidP="004162AC">
            <w:pPr>
              <w:pStyle w:val="TableText0"/>
              <w:numPr>
                <w:ilvl w:val="0"/>
                <w:numId w:val="77"/>
              </w:numPr>
              <w:ind w:left="1156" w:hanging="283"/>
              <w:rPr>
                <w:b/>
                <w:bCs/>
                <w:sz w:val="20"/>
                <w:szCs w:val="20"/>
              </w:rPr>
            </w:pPr>
            <w:r w:rsidRPr="00343E9B">
              <w:rPr>
                <w:b/>
                <w:bCs/>
                <w:sz w:val="20"/>
                <w:szCs w:val="20"/>
              </w:rPr>
              <w:t>major</w:t>
            </w:r>
            <w:r w:rsidRPr="00343E9B">
              <w:rPr>
                <w:sz w:val="20"/>
                <w:szCs w:val="20"/>
              </w:rPr>
              <w:t xml:space="preserve"> (leading to degradation of affected patches/occurrences), </w:t>
            </w:r>
          </w:p>
          <w:p w14:paraId="235459A6" w14:textId="7600010E" w:rsidR="006F79B2" w:rsidRPr="00343E9B" w:rsidRDefault="00C51A40" w:rsidP="004162AC">
            <w:pPr>
              <w:pStyle w:val="TableText0"/>
              <w:numPr>
                <w:ilvl w:val="0"/>
                <w:numId w:val="77"/>
              </w:numPr>
              <w:ind w:left="1156" w:hanging="283"/>
              <w:rPr>
                <w:b/>
                <w:bCs/>
                <w:sz w:val="20"/>
                <w:szCs w:val="20"/>
              </w:rPr>
            </w:pPr>
            <w:r w:rsidRPr="00343E9B">
              <w:rPr>
                <w:b/>
                <w:bCs/>
                <w:sz w:val="20"/>
                <w:szCs w:val="20"/>
              </w:rPr>
              <w:t>minor</w:t>
            </w:r>
            <w:r w:rsidRPr="00343E9B">
              <w:rPr>
                <w:sz w:val="20"/>
                <w:szCs w:val="20"/>
              </w:rPr>
              <w:t xml:space="preserve"> (impacting some components of affected patches/occurrences) </w:t>
            </w:r>
          </w:p>
          <w:p w14:paraId="13502B3C" w14:textId="68A7042E" w:rsidR="009311D1" w:rsidRPr="00343E9B" w:rsidRDefault="00C51A40" w:rsidP="004162AC">
            <w:pPr>
              <w:pStyle w:val="TableText0"/>
              <w:numPr>
                <w:ilvl w:val="0"/>
                <w:numId w:val="77"/>
              </w:numPr>
              <w:ind w:left="1156" w:hanging="283"/>
              <w:rPr>
                <w:b/>
                <w:bCs/>
                <w:sz w:val="20"/>
                <w:szCs w:val="20"/>
              </w:rPr>
            </w:pPr>
            <w:r w:rsidRPr="00343E9B">
              <w:rPr>
                <w:b/>
                <w:bCs/>
                <w:sz w:val="20"/>
                <w:szCs w:val="20"/>
              </w:rPr>
              <w:t>negligible</w:t>
            </w:r>
            <w:r w:rsidRPr="00343E9B">
              <w:rPr>
                <w:sz w:val="20"/>
                <w:szCs w:val="20"/>
              </w:rPr>
              <w:t xml:space="preserve"> or </w:t>
            </w:r>
            <w:r w:rsidRPr="00343E9B">
              <w:rPr>
                <w:b/>
                <w:bCs/>
                <w:sz w:val="20"/>
                <w:szCs w:val="20"/>
              </w:rPr>
              <w:t>unknown</w:t>
            </w:r>
            <w:r w:rsidR="006F79B2" w:rsidRPr="00343E9B">
              <w:rPr>
                <w:b/>
                <w:bCs/>
                <w:sz w:val="20"/>
                <w:szCs w:val="20"/>
              </w:rPr>
              <w:t>.</w:t>
            </w:r>
          </w:p>
          <w:p w14:paraId="00A4F4E1" w14:textId="70A3682A" w:rsidR="00415FB6" w:rsidRPr="00343E9B" w:rsidRDefault="008A33FB" w:rsidP="00C70F67">
            <w:pPr>
              <w:pStyle w:val="TableText0"/>
              <w:ind w:left="873" w:hanging="873"/>
              <w:rPr>
                <w:b/>
                <w:bCs/>
                <w:sz w:val="20"/>
                <w:szCs w:val="20"/>
              </w:rPr>
            </w:pPr>
            <w:r w:rsidRPr="00343E9B">
              <w:rPr>
                <w:b/>
                <w:bCs/>
                <w:i/>
                <w:iCs/>
                <w:sz w:val="20"/>
                <w:szCs w:val="20"/>
              </w:rPr>
              <w:t>Timing</w:t>
            </w:r>
            <w:r w:rsidRPr="00343E9B">
              <w:rPr>
                <w:sz w:val="20"/>
                <w:szCs w:val="20"/>
              </w:rPr>
              <w:t xml:space="preserve"> – the threat occurs in the </w:t>
            </w:r>
            <w:r w:rsidRPr="00343E9B">
              <w:rPr>
                <w:b/>
                <w:bCs/>
                <w:sz w:val="20"/>
                <w:szCs w:val="20"/>
              </w:rPr>
              <w:t xml:space="preserve">past </w:t>
            </w:r>
            <w:r w:rsidRPr="00343E9B">
              <w:rPr>
                <w:sz w:val="20"/>
                <w:szCs w:val="20"/>
              </w:rPr>
              <w:t>(and unlikely to return</w:t>
            </w:r>
            <w:r w:rsidR="007C59D9" w:rsidRPr="00343E9B">
              <w:rPr>
                <w:sz w:val="20"/>
                <w:szCs w:val="20"/>
              </w:rPr>
              <w:t xml:space="preserve">, </w:t>
            </w:r>
            <w:r w:rsidR="00866F88" w:rsidRPr="00343E9B">
              <w:rPr>
                <w:sz w:val="20"/>
                <w:szCs w:val="20"/>
              </w:rPr>
              <w:t>though impacts may continue</w:t>
            </w:r>
            <w:r w:rsidRPr="00343E9B">
              <w:rPr>
                <w:sz w:val="20"/>
                <w:szCs w:val="20"/>
              </w:rPr>
              <w:t xml:space="preserve">), is </w:t>
            </w:r>
            <w:r w:rsidRPr="00343E9B">
              <w:rPr>
                <w:b/>
                <w:bCs/>
                <w:sz w:val="20"/>
                <w:szCs w:val="20"/>
              </w:rPr>
              <w:t>ongoing</w:t>
            </w:r>
            <w:r w:rsidRPr="00343E9B">
              <w:rPr>
                <w:sz w:val="20"/>
                <w:szCs w:val="20"/>
              </w:rPr>
              <w:t xml:space="preserve"> (present/continuing), </w:t>
            </w:r>
            <w:r w:rsidR="00866F88" w:rsidRPr="00343E9B">
              <w:rPr>
                <w:sz w:val="20"/>
                <w:szCs w:val="20"/>
              </w:rPr>
              <w:t>is</w:t>
            </w:r>
            <w:r w:rsidR="00CF4DB6" w:rsidRPr="00343E9B">
              <w:rPr>
                <w:sz w:val="20"/>
                <w:szCs w:val="20"/>
              </w:rPr>
              <w:t xml:space="preserve"> </w:t>
            </w:r>
            <w:r w:rsidRPr="00343E9B">
              <w:rPr>
                <w:sz w:val="20"/>
                <w:szCs w:val="20"/>
              </w:rPr>
              <w:t xml:space="preserve">likely to occur/return in the </w:t>
            </w:r>
            <w:r w:rsidRPr="00343E9B">
              <w:rPr>
                <w:b/>
                <w:bCs/>
                <w:sz w:val="20"/>
                <w:szCs w:val="20"/>
              </w:rPr>
              <w:t>future,</w:t>
            </w:r>
            <w:r w:rsidRPr="00343E9B">
              <w:rPr>
                <w:sz w:val="20"/>
                <w:szCs w:val="20"/>
              </w:rPr>
              <w:t xml:space="preserve"> or timing is </w:t>
            </w:r>
            <w:r w:rsidRPr="00343E9B">
              <w:rPr>
                <w:b/>
                <w:bCs/>
                <w:sz w:val="20"/>
                <w:szCs w:val="20"/>
              </w:rPr>
              <w:t>unknown</w:t>
            </w:r>
          </w:p>
          <w:p w14:paraId="621E7E47" w14:textId="39DFCBD4" w:rsidR="00290FA7" w:rsidRPr="003F66DE" w:rsidRDefault="00C51A40" w:rsidP="004C09F6">
            <w:pPr>
              <w:spacing w:before="60" w:after="60"/>
              <w:ind w:left="873" w:hanging="851"/>
              <w:contextualSpacing/>
              <w:rPr>
                <w:sz w:val="20"/>
                <w:szCs w:val="20"/>
              </w:rPr>
            </w:pPr>
            <w:r w:rsidRPr="00343E9B">
              <w:rPr>
                <w:b/>
                <w:bCs/>
                <w:i/>
                <w:iCs/>
                <w:sz w:val="20"/>
                <w:szCs w:val="20"/>
              </w:rPr>
              <w:t>Scope</w:t>
            </w:r>
            <w:r w:rsidR="00CF4DB6" w:rsidRPr="00343E9B">
              <w:rPr>
                <w:b/>
                <w:bCs/>
                <w:i/>
                <w:iCs/>
                <w:sz w:val="20"/>
                <w:szCs w:val="20"/>
              </w:rPr>
              <w:t>/extent</w:t>
            </w:r>
            <w:r w:rsidRPr="00343E9B">
              <w:rPr>
                <w:sz w:val="20"/>
                <w:szCs w:val="20"/>
              </w:rPr>
              <w:t xml:space="preserve"> – the threat is affecting the </w:t>
            </w:r>
            <w:r w:rsidR="006F79B2" w:rsidRPr="00343E9B">
              <w:rPr>
                <w:sz w:val="20"/>
                <w:szCs w:val="20"/>
              </w:rPr>
              <w:t>following</w:t>
            </w:r>
            <w:r w:rsidR="002C084A" w:rsidRPr="00343E9B">
              <w:rPr>
                <w:sz w:val="20"/>
                <w:szCs w:val="20"/>
              </w:rPr>
              <w:t xml:space="preserve"> amounts of the ecological community:</w:t>
            </w:r>
            <w:r w:rsidR="00E750DE" w:rsidRPr="00343E9B">
              <w:rPr>
                <w:sz w:val="20"/>
                <w:szCs w:val="20"/>
              </w:rPr>
              <w:t xml:space="preserve"> </w:t>
            </w:r>
            <w:r w:rsidRPr="00343E9B">
              <w:rPr>
                <w:b/>
                <w:bCs/>
                <w:sz w:val="20"/>
                <w:szCs w:val="20"/>
              </w:rPr>
              <w:t>whole</w:t>
            </w:r>
            <w:r w:rsidRPr="00343E9B">
              <w:rPr>
                <w:sz w:val="20"/>
                <w:szCs w:val="20"/>
              </w:rPr>
              <w:t xml:space="preserve"> </w:t>
            </w:r>
            <w:r w:rsidR="00CF4DB6" w:rsidRPr="00343E9B">
              <w:rPr>
                <w:sz w:val="20"/>
                <w:szCs w:val="20"/>
              </w:rPr>
              <w:t>(</w:t>
            </w:r>
            <w:r w:rsidR="004C09F6" w:rsidRPr="00343E9B">
              <w:rPr>
                <w:sz w:val="20"/>
                <w:szCs w:val="20"/>
              </w:rPr>
              <w:t xml:space="preserve">estimated </w:t>
            </w:r>
            <w:r w:rsidRPr="00343E9B">
              <w:rPr>
                <w:sz w:val="20"/>
                <w:szCs w:val="20"/>
              </w:rPr>
              <w:t xml:space="preserve">&gt;90%), </w:t>
            </w:r>
            <w:r w:rsidRPr="00343E9B">
              <w:rPr>
                <w:b/>
                <w:bCs/>
                <w:sz w:val="20"/>
                <w:szCs w:val="20"/>
              </w:rPr>
              <w:t>majority</w:t>
            </w:r>
            <w:r w:rsidRPr="00343E9B">
              <w:rPr>
                <w:sz w:val="20"/>
                <w:szCs w:val="20"/>
              </w:rPr>
              <w:t xml:space="preserve"> (&gt;50%), </w:t>
            </w:r>
            <w:r w:rsidR="00F846D9" w:rsidRPr="00343E9B">
              <w:rPr>
                <w:b/>
                <w:bCs/>
                <w:sz w:val="20"/>
                <w:szCs w:val="20"/>
              </w:rPr>
              <w:t>minority</w:t>
            </w:r>
            <w:r w:rsidR="00F846D9" w:rsidRPr="00343E9B">
              <w:rPr>
                <w:sz w:val="20"/>
                <w:szCs w:val="20"/>
              </w:rPr>
              <w:t xml:space="preserve"> (&lt;50%), </w:t>
            </w:r>
            <w:r w:rsidR="00F846D9" w:rsidRPr="00343E9B">
              <w:rPr>
                <w:b/>
                <w:bCs/>
                <w:sz w:val="20"/>
                <w:szCs w:val="20"/>
              </w:rPr>
              <w:t>negligible, unknown.</w:t>
            </w:r>
            <w:r w:rsidR="003F66DE">
              <w:rPr>
                <w:b/>
                <w:bCs/>
                <w:sz w:val="20"/>
                <w:szCs w:val="20"/>
              </w:rPr>
              <w:t xml:space="preserve"> </w:t>
            </w:r>
            <w:r w:rsidR="003F66DE">
              <w:rPr>
                <w:sz w:val="20"/>
                <w:szCs w:val="20"/>
              </w:rPr>
              <w:t>For some threats, the particular key components that are impacted may be noted.</w:t>
            </w:r>
          </w:p>
          <w:p w14:paraId="1EAC267C" w14:textId="7E1AF807" w:rsidR="00D911D4" w:rsidRPr="00EF3535" w:rsidRDefault="00EF3535" w:rsidP="004C09F6">
            <w:pPr>
              <w:spacing w:before="60" w:after="60"/>
              <w:ind w:left="873" w:hanging="851"/>
              <w:contextualSpacing/>
              <w:rPr>
                <w:sz w:val="21"/>
                <w:szCs w:val="21"/>
              </w:rPr>
            </w:pPr>
            <w:r w:rsidRPr="00343E9B">
              <w:rPr>
                <w:b/>
                <w:bCs/>
                <w:i/>
                <w:iCs/>
                <w:sz w:val="20"/>
                <w:szCs w:val="20"/>
              </w:rPr>
              <w:t xml:space="preserve">Trend </w:t>
            </w:r>
            <w:r w:rsidRPr="00343E9B">
              <w:rPr>
                <w:sz w:val="20"/>
                <w:szCs w:val="20"/>
              </w:rPr>
              <w:t xml:space="preserve">– the severity of the threat and its consequences are likely to be </w:t>
            </w:r>
            <w:r w:rsidRPr="00343E9B">
              <w:rPr>
                <w:b/>
                <w:bCs/>
                <w:sz w:val="20"/>
                <w:szCs w:val="20"/>
              </w:rPr>
              <w:t>decreasing</w:t>
            </w:r>
            <w:r w:rsidRPr="00343E9B">
              <w:rPr>
                <w:sz w:val="20"/>
                <w:szCs w:val="20"/>
              </w:rPr>
              <w:t xml:space="preserve">, </w:t>
            </w:r>
            <w:r w:rsidRPr="00343E9B">
              <w:rPr>
                <w:b/>
                <w:bCs/>
                <w:sz w:val="20"/>
                <w:szCs w:val="20"/>
              </w:rPr>
              <w:t>increasing</w:t>
            </w:r>
            <w:r w:rsidRPr="00343E9B">
              <w:rPr>
                <w:sz w:val="20"/>
                <w:szCs w:val="20"/>
              </w:rPr>
              <w:t xml:space="preserve">, </w:t>
            </w:r>
            <w:r w:rsidRPr="00343E9B">
              <w:rPr>
                <w:b/>
                <w:bCs/>
                <w:sz w:val="20"/>
                <w:szCs w:val="20"/>
              </w:rPr>
              <w:t>s</w:t>
            </w:r>
            <w:r w:rsidR="00343E9B" w:rsidRPr="00343E9B">
              <w:rPr>
                <w:b/>
                <w:bCs/>
                <w:sz w:val="20"/>
                <w:szCs w:val="20"/>
              </w:rPr>
              <w:t>table/static</w:t>
            </w:r>
            <w:r w:rsidR="00343E9B" w:rsidRPr="00343E9B">
              <w:rPr>
                <w:sz w:val="20"/>
                <w:szCs w:val="20"/>
              </w:rPr>
              <w:t xml:space="preserve"> or </w:t>
            </w:r>
            <w:r w:rsidR="00343E9B" w:rsidRPr="00343E9B">
              <w:rPr>
                <w:b/>
                <w:bCs/>
                <w:sz w:val="20"/>
                <w:szCs w:val="20"/>
              </w:rPr>
              <w:t>unknown</w:t>
            </w:r>
          </w:p>
        </w:tc>
      </w:tr>
    </w:tbl>
    <w:p w14:paraId="29212590" w14:textId="77777777" w:rsidR="00211D61" w:rsidRDefault="00211D61" w:rsidP="006E4C1F">
      <w:pPr>
        <w:sectPr w:rsidR="00211D61" w:rsidSect="00143D3C">
          <w:pgSz w:w="11906" w:h="16838"/>
          <w:pgMar w:top="1134" w:right="1418" w:bottom="1134" w:left="1418" w:header="454" w:footer="454" w:gutter="0"/>
          <w:cols w:space="708"/>
          <w:docGrid w:linePitch="360"/>
        </w:sectPr>
      </w:pPr>
    </w:p>
    <w:p w14:paraId="30B265F4" w14:textId="71D49193" w:rsidR="0028373B" w:rsidRPr="00E80164" w:rsidRDefault="006E3FB0" w:rsidP="006E3FB0">
      <w:pPr>
        <w:pStyle w:val="Caption"/>
        <w:rPr>
          <w:b w:val="0"/>
          <w:bCs/>
          <w:color w:val="FF0000"/>
          <w:sz w:val="28"/>
          <w:szCs w:val="28"/>
        </w:rPr>
      </w:pPr>
      <w:r w:rsidRPr="00E80164">
        <w:rPr>
          <w:sz w:val="28"/>
          <w:szCs w:val="28"/>
        </w:rPr>
        <w:lastRenderedPageBreak/>
        <w:t xml:space="preserve">Table </w:t>
      </w:r>
      <w:r w:rsidRPr="00E80164">
        <w:rPr>
          <w:sz w:val="28"/>
          <w:szCs w:val="28"/>
        </w:rPr>
        <w:fldChar w:fldCharType="begin"/>
      </w:r>
      <w:r w:rsidRPr="00E80164">
        <w:rPr>
          <w:sz w:val="28"/>
          <w:szCs w:val="28"/>
        </w:rPr>
        <w:instrText xml:space="preserve"> SEQ Table \* ARABIC </w:instrText>
      </w:r>
      <w:r w:rsidRPr="00E80164">
        <w:rPr>
          <w:sz w:val="28"/>
          <w:szCs w:val="28"/>
        </w:rPr>
        <w:fldChar w:fldCharType="separate"/>
      </w:r>
      <w:r w:rsidR="006D35C5">
        <w:rPr>
          <w:noProof/>
          <w:sz w:val="28"/>
          <w:szCs w:val="28"/>
        </w:rPr>
        <w:t>23</w:t>
      </w:r>
      <w:r w:rsidRPr="00E80164">
        <w:rPr>
          <w:sz w:val="28"/>
          <w:szCs w:val="28"/>
        </w:rPr>
        <w:fldChar w:fldCharType="end"/>
      </w:r>
      <w:r w:rsidR="006F494A" w:rsidRPr="00E80164">
        <w:rPr>
          <w:bCs/>
          <w:sz w:val="28"/>
          <w:szCs w:val="28"/>
        </w:rPr>
        <w:t xml:space="preserve">: </w:t>
      </w:r>
      <w:r w:rsidR="0028373B" w:rsidRPr="00E80164">
        <w:rPr>
          <w:bCs/>
          <w:sz w:val="28"/>
          <w:szCs w:val="28"/>
        </w:rPr>
        <w:t xml:space="preserve">Threats Summary Table for </w:t>
      </w:r>
      <w:r w:rsidR="0028373B" w:rsidRPr="00E80164">
        <w:rPr>
          <w:bCs/>
          <w:i/>
          <w:sz w:val="28"/>
          <w:szCs w:val="28"/>
        </w:rPr>
        <w:t>River Murray-Darling to Sea</w:t>
      </w:r>
      <w:r w:rsidR="0028373B" w:rsidRPr="00E80164">
        <w:rPr>
          <w:bCs/>
          <w:sz w:val="28"/>
          <w:szCs w:val="28"/>
        </w:rPr>
        <w:t xml:space="preserve"> EC</w:t>
      </w:r>
    </w:p>
    <w:tbl>
      <w:tblPr>
        <w:tblStyle w:val="TableGrid"/>
        <w:tblW w:w="5326" w:type="pct"/>
        <w:tblInd w:w="-147" w:type="dxa"/>
        <w:tblLook w:val="04A0" w:firstRow="1" w:lastRow="0" w:firstColumn="1" w:lastColumn="0" w:noHBand="0" w:noVBand="1"/>
      </w:tblPr>
      <w:tblGrid>
        <w:gridCol w:w="2269"/>
        <w:gridCol w:w="1557"/>
        <w:gridCol w:w="8222"/>
        <w:gridCol w:w="2978"/>
      </w:tblGrid>
      <w:tr w:rsidR="00A05B83" w:rsidRPr="0057645F" w14:paraId="24D71021" w14:textId="77777777" w:rsidTr="00EF0A36">
        <w:trPr>
          <w:tblHeader/>
        </w:trPr>
        <w:tc>
          <w:tcPr>
            <w:tcW w:w="755" w:type="pct"/>
            <w:shd w:val="clear" w:color="auto" w:fill="DEEAF6" w:themeFill="accent1" w:themeFillTint="33"/>
          </w:tcPr>
          <w:p w14:paraId="591D173D" w14:textId="02DC2AF1" w:rsidR="00B52F94" w:rsidRPr="00855303" w:rsidRDefault="00B52F94" w:rsidP="006C43B5">
            <w:pPr>
              <w:spacing w:before="80" w:after="80"/>
              <w:rPr>
                <w:b/>
                <w:bCs/>
                <w:sz w:val="32"/>
                <w:szCs w:val="32"/>
              </w:rPr>
            </w:pPr>
            <w:r w:rsidRPr="00855303">
              <w:rPr>
                <w:b/>
                <w:bCs/>
                <w:sz w:val="32"/>
                <w:szCs w:val="32"/>
              </w:rPr>
              <w:t>Threat</w:t>
            </w:r>
          </w:p>
        </w:tc>
        <w:tc>
          <w:tcPr>
            <w:tcW w:w="518" w:type="pct"/>
            <w:shd w:val="clear" w:color="auto" w:fill="DEEAF6" w:themeFill="accent1" w:themeFillTint="33"/>
          </w:tcPr>
          <w:p w14:paraId="4C1159E6" w14:textId="77777777" w:rsidR="00B52F94" w:rsidRPr="00855303" w:rsidRDefault="00B52F94" w:rsidP="006C43B5">
            <w:pPr>
              <w:spacing w:before="80" w:after="80"/>
              <w:rPr>
                <w:b/>
                <w:bCs/>
                <w:sz w:val="20"/>
                <w:szCs w:val="20"/>
              </w:rPr>
            </w:pPr>
            <w:r w:rsidRPr="00855303">
              <w:rPr>
                <w:b/>
                <w:bCs/>
                <w:sz w:val="20"/>
                <w:szCs w:val="20"/>
              </w:rPr>
              <w:t xml:space="preserve">Severity/ </w:t>
            </w:r>
          </w:p>
          <w:p w14:paraId="50B2A51F" w14:textId="199D695C" w:rsidR="00B52F94" w:rsidRPr="004E7CBF" w:rsidRDefault="00B52F94" w:rsidP="006C43B5">
            <w:pPr>
              <w:spacing w:before="80" w:after="80"/>
              <w:rPr>
                <w:b/>
                <w:bCs/>
                <w:sz w:val="28"/>
                <w:szCs w:val="28"/>
              </w:rPr>
            </w:pPr>
            <w:r w:rsidRPr="00855303">
              <w:rPr>
                <w:b/>
                <w:bCs/>
                <w:sz w:val="20"/>
                <w:szCs w:val="20"/>
              </w:rPr>
              <w:t>Timing/ Scope</w:t>
            </w:r>
            <w:r w:rsidR="00A8127D" w:rsidRPr="00855303">
              <w:rPr>
                <w:b/>
                <w:bCs/>
                <w:sz w:val="20"/>
                <w:szCs w:val="20"/>
              </w:rPr>
              <w:t xml:space="preserve">/ </w:t>
            </w:r>
            <w:r w:rsidR="006457EB" w:rsidRPr="00855303">
              <w:rPr>
                <w:b/>
                <w:bCs/>
                <w:sz w:val="20"/>
                <w:szCs w:val="20"/>
              </w:rPr>
              <w:t>Trend</w:t>
            </w:r>
          </w:p>
        </w:tc>
        <w:tc>
          <w:tcPr>
            <w:tcW w:w="2736" w:type="pct"/>
            <w:shd w:val="clear" w:color="auto" w:fill="DEEAF6" w:themeFill="accent1" w:themeFillTint="33"/>
          </w:tcPr>
          <w:p w14:paraId="7075648F" w14:textId="77777777" w:rsidR="00B52F94" w:rsidRPr="00855303" w:rsidRDefault="00B52F94" w:rsidP="006C43B5">
            <w:pPr>
              <w:spacing w:before="80" w:after="80"/>
              <w:rPr>
                <w:b/>
                <w:bCs/>
                <w:sz w:val="32"/>
                <w:szCs w:val="32"/>
              </w:rPr>
            </w:pPr>
            <w:r w:rsidRPr="00855303">
              <w:rPr>
                <w:b/>
                <w:bCs/>
                <w:sz w:val="32"/>
                <w:szCs w:val="32"/>
              </w:rPr>
              <w:t>Main Impacts on and Risks to the EC</w:t>
            </w:r>
          </w:p>
        </w:tc>
        <w:tc>
          <w:tcPr>
            <w:tcW w:w="990" w:type="pct"/>
            <w:shd w:val="clear" w:color="auto" w:fill="DEEAF6" w:themeFill="accent1" w:themeFillTint="33"/>
          </w:tcPr>
          <w:p w14:paraId="629FBB08" w14:textId="77777777" w:rsidR="00B52F94" w:rsidRPr="00855303" w:rsidRDefault="00B52F94" w:rsidP="006C43B5">
            <w:pPr>
              <w:spacing w:before="80" w:after="80"/>
              <w:rPr>
                <w:b/>
                <w:bCs/>
                <w:sz w:val="32"/>
                <w:szCs w:val="32"/>
              </w:rPr>
            </w:pPr>
            <w:r w:rsidRPr="00855303">
              <w:rPr>
                <w:b/>
                <w:bCs/>
                <w:sz w:val="32"/>
                <w:szCs w:val="32"/>
              </w:rPr>
              <w:t>Key References</w:t>
            </w:r>
          </w:p>
        </w:tc>
      </w:tr>
      <w:tr w:rsidR="00C83F98" w:rsidRPr="0057645F" w14:paraId="5E2F3E20" w14:textId="77777777" w:rsidTr="00B91F4B">
        <w:tc>
          <w:tcPr>
            <w:tcW w:w="5000" w:type="pct"/>
            <w:gridSpan w:val="4"/>
            <w:shd w:val="clear" w:color="auto" w:fill="FFF2CC" w:themeFill="accent4" w:themeFillTint="33"/>
          </w:tcPr>
          <w:p w14:paraId="232BB0ED" w14:textId="688114E4" w:rsidR="00C83F98" w:rsidRPr="0057645F" w:rsidRDefault="00C83F98" w:rsidP="006C43B5">
            <w:pPr>
              <w:spacing w:before="80" w:after="80"/>
              <w:rPr>
                <w:b/>
                <w:bCs/>
                <w:sz w:val="28"/>
                <w:szCs w:val="28"/>
              </w:rPr>
            </w:pPr>
            <w:r w:rsidRPr="0057645F">
              <w:rPr>
                <w:b/>
                <w:bCs/>
                <w:sz w:val="28"/>
                <w:szCs w:val="28"/>
              </w:rPr>
              <w:t xml:space="preserve">Climate Change related </w:t>
            </w:r>
            <w:r w:rsidR="00F44769" w:rsidRPr="0057645F">
              <w:rPr>
                <w:b/>
                <w:bCs/>
                <w:sz w:val="28"/>
                <w:szCs w:val="28"/>
              </w:rPr>
              <w:t>t</w:t>
            </w:r>
            <w:r w:rsidRPr="0057645F">
              <w:rPr>
                <w:b/>
                <w:bCs/>
                <w:sz w:val="28"/>
                <w:szCs w:val="28"/>
              </w:rPr>
              <w:t>hreats</w:t>
            </w:r>
          </w:p>
        </w:tc>
      </w:tr>
      <w:tr w:rsidR="00830CBF" w:rsidRPr="0057645F" w14:paraId="2AF24A55" w14:textId="77777777" w:rsidTr="00B91F4B">
        <w:tc>
          <w:tcPr>
            <w:tcW w:w="755" w:type="pct"/>
            <w:shd w:val="clear" w:color="auto" w:fill="auto"/>
          </w:tcPr>
          <w:p w14:paraId="69927CE1" w14:textId="7BAC769C" w:rsidR="00B52F94" w:rsidRPr="0057645F" w:rsidRDefault="00B52F94" w:rsidP="006C43B5">
            <w:pPr>
              <w:spacing w:before="80" w:after="80"/>
            </w:pPr>
            <w:r w:rsidRPr="0057645F">
              <w:rPr>
                <w:b/>
                <w:bCs/>
              </w:rPr>
              <w:t>Climate Change</w:t>
            </w:r>
            <w:r w:rsidRPr="0057645F">
              <w:t xml:space="preserve"> – </w:t>
            </w:r>
            <w:r w:rsidR="00654924" w:rsidRPr="0057645F">
              <w:t xml:space="preserve">as an overarching threat to </w:t>
            </w:r>
            <w:r w:rsidRPr="0057645F">
              <w:t>biodiversity</w:t>
            </w:r>
          </w:p>
          <w:p w14:paraId="768F957B" w14:textId="77777777" w:rsidR="00B52F94" w:rsidRPr="0057645F" w:rsidRDefault="00B52F94" w:rsidP="006C43B5">
            <w:pPr>
              <w:spacing w:before="80" w:after="80"/>
              <w:rPr>
                <w:sz w:val="19"/>
                <w:szCs w:val="19"/>
              </w:rPr>
            </w:pPr>
          </w:p>
          <w:p w14:paraId="7D6682FF" w14:textId="77777777" w:rsidR="00B52F94" w:rsidRPr="0057645F" w:rsidRDefault="00B52F94" w:rsidP="006C43B5">
            <w:pPr>
              <w:spacing w:before="80" w:after="80"/>
              <w:rPr>
                <w:sz w:val="20"/>
                <w:szCs w:val="20"/>
              </w:rPr>
            </w:pPr>
          </w:p>
          <w:p w14:paraId="60BC5F74" w14:textId="7ED1E5BA" w:rsidR="00B52F94" w:rsidRPr="0057645F" w:rsidRDefault="00B52F94" w:rsidP="006C43B5">
            <w:pPr>
              <w:spacing w:before="80" w:after="80"/>
              <w:rPr>
                <w:i/>
                <w:iCs/>
                <w:sz w:val="20"/>
                <w:szCs w:val="20"/>
              </w:rPr>
            </w:pPr>
            <w:r w:rsidRPr="0057645F">
              <w:rPr>
                <w:sz w:val="20"/>
                <w:szCs w:val="20"/>
              </w:rPr>
              <w:t>(</w:t>
            </w:r>
            <w:r w:rsidRPr="0057645F">
              <w:rPr>
                <w:i/>
                <w:iCs/>
                <w:sz w:val="20"/>
                <w:szCs w:val="20"/>
              </w:rPr>
              <w:t xml:space="preserve">Note, these impacts also apply to other specific </w:t>
            </w:r>
            <w:r w:rsidR="00417412" w:rsidRPr="0057645F">
              <w:rPr>
                <w:i/>
                <w:iCs/>
                <w:sz w:val="20"/>
                <w:szCs w:val="20"/>
              </w:rPr>
              <w:t>climate change</w:t>
            </w:r>
            <w:r w:rsidRPr="0057645F">
              <w:rPr>
                <w:i/>
                <w:iCs/>
                <w:sz w:val="20"/>
                <w:szCs w:val="20"/>
              </w:rPr>
              <w:t xml:space="preserve"> threats below)</w:t>
            </w:r>
          </w:p>
          <w:p w14:paraId="35A6D7DB" w14:textId="77777777" w:rsidR="00B52F94" w:rsidRPr="0057645F" w:rsidRDefault="00B52F94" w:rsidP="006C43B5">
            <w:pPr>
              <w:spacing w:before="80" w:after="80"/>
              <w:rPr>
                <w:sz w:val="19"/>
                <w:szCs w:val="19"/>
              </w:rPr>
            </w:pPr>
          </w:p>
        </w:tc>
        <w:tc>
          <w:tcPr>
            <w:tcW w:w="518" w:type="pct"/>
            <w:shd w:val="clear" w:color="auto" w:fill="auto"/>
          </w:tcPr>
          <w:p w14:paraId="5CB3C9EB"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extreme</w:t>
            </w:r>
          </w:p>
          <w:p w14:paraId="785622A5"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ongoing</w:t>
            </w:r>
          </w:p>
          <w:p w14:paraId="4EF2FC9E"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whole</w:t>
            </w:r>
          </w:p>
          <w:p w14:paraId="1B7C11D3" w14:textId="25BAAB2D" w:rsidR="006457EB" w:rsidRPr="0057645F" w:rsidRDefault="006457EB" w:rsidP="006C43B5">
            <w:pPr>
              <w:pStyle w:val="ListParagraph"/>
              <w:numPr>
                <w:ilvl w:val="0"/>
                <w:numId w:val="73"/>
              </w:numPr>
              <w:spacing w:before="80" w:after="80" w:line="240" w:lineRule="auto"/>
              <w:contextualSpacing w:val="0"/>
            </w:pPr>
            <w:r w:rsidRPr="0057645F">
              <w:rPr>
                <w:sz w:val="20"/>
                <w:szCs w:val="20"/>
              </w:rPr>
              <w:t>increasing</w:t>
            </w:r>
          </w:p>
        </w:tc>
        <w:tc>
          <w:tcPr>
            <w:tcW w:w="2736" w:type="pct"/>
            <w:shd w:val="clear" w:color="auto" w:fill="auto"/>
          </w:tcPr>
          <w:p w14:paraId="01C48520" w14:textId="222B4B66" w:rsidR="00B52F94" w:rsidRPr="0057645F" w:rsidRDefault="00AE62FD" w:rsidP="006C43B5">
            <w:pPr>
              <w:spacing w:before="80" w:after="80" w:line="240" w:lineRule="auto"/>
              <w:rPr>
                <w:i/>
                <w:iCs/>
                <w:sz w:val="20"/>
                <w:szCs w:val="20"/>
              </w:rPr>
            </w:pPr>
            <w:r w:rsidRPr="0057645F">
              <w:rPr>
                <w:i/>
                <w:iCs/>
                <w:sz w:val="20"/>
                <w:szCs w:val="20"/>
              </w:rPr>
              <w:t xml:space="preserve">Note: </w:t>
            </w:r>
            <w:r w:rsidR="00B52F94" w:rsidRPr="0057645F">
              <w:rPr>
                <w:i/>
                <w:iCs/>
                <w:sz w:val="20"/>
                <w:szCs w:val="20"/>
              </w:rPr>
              <w:t>Ongoing, long-term trend of warming and drying over the region of the EC, with increased potential for significant disturbance from extreme events</w:t>
            </w:r>
          </w:p>
          <w:p w14:paraId="5D4128DC" w14:textId="77777777" w:rsidR="001F00A4" w:rsidRPr="0057645F" w:rsidRDefault="001F00A4" w:rsidP="006C43B5">
            <w:pPr>
              <w:spacing w:before="80" w:after="80" w:line="240" w:lineRule="auto"/>
              <w:rPr>
                <w:i/>
                <w:iCs/>
                <w:sz w:val="20"/>
                <w:szCs w:val="20"/>
              </w:rPr>
            </w:pPr>
          </w:p>
          <w:p w14:paraId="6B33DC50" w14:textId="77777777" w:rsidR="00B52F94" w:rsidRPr="0057645F" w:rsidRDefault="00B52F94" w:rsidP="006C43B5">
            <w:pPr>
              <w:spacing w:before="80" w:after="80"/>
              <w:rPr>
                <w:b/>
                <w:bCs/>
                <w:i/>
                <w:iCs/>
                <w:sz w:val="20"/>
                <w:szCs w:val="20"/>
              </w:rPr>
            </w:pPr>
            <w:r w:rsidRPr="0057645F">
              <w:rPr>
                <w:b/>
                <w:bCs/>
                <w:i/>
                <w:iCs/>
                <w:sz w:val="20"/>
                <w:szCs w:val="20"/>
              </w:rPr>
              <w:t>Biodiversity decline or loss</w:t>
            </w:r>
          </w:p>
          <w:p w14:paraId="3F97D20A"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freshwater biodiversity is highly vulnerable due to ‘typical’ ectothermic physiology and limited habitat; particularly for species occurring close to physiological tolerance limits </w:t>
            </w:r>
          </w:p>
          <w:p w14:paraId="3E61A678"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detrimental impacts on physiology and ecology of biodiversity and related genetic stock</w:t>
            </w:r>
          </w:p>
          <w:p w14:paraId="433C2575" w14:textId="0EAD474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phenological impacts – e.g. timing of migrations or breeding, and desynchronisation of interactions between species, e.g.  predator-prey mismatch</w:t>
            </w:r>
          </w:p>
          <w:p w14:paraId="7575C780" w14:textId="00BF72D4"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may lead to recruitment failure of some plant and animal species, and loss of seed or egg ‘banks’</w:t>
            </w:r>
            <w:r w:rsidR="00C70243" w:rsidRPr="0057645F">
              <w:rPr>
                <w:sz w:val="20"/>
                <w:szCs w:val="20"/>
              </w:rPr>
              <w:t xml:space="preserve"> (e.g. via </w:t>
            </w:r>
            <w:r w:rsidR="00BD3D77" w:rsidRPr="0057645F">
              <w:rPr>
                <w:sz w:val="20"/>
                <w:szCs w:val="20"/>
              </w:rPr>
              <w:t xml:space="preserve">lack of water, increased fire intensity/frequency, extreme flood, </w:t>
            </w:r>
            <w:r w:rsidR="00B83AA5" w:rsidRPr="0057645F">
              <w:rPr>
                <w:sz w:val="20"/>
                <w:szCs w:val="20"/>
              </w:rPr>
              <w:t>increased temperature, etc.)</w:t>
            </w:r>
          </w:p>
          <w:p w14:paraId="42737D13"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may result in ‘range’ shifts or contractions for some species (i.e. depending on their ability to disperse and recolonise) – and concomitant shifts in genetic composition; for example, poleward shift in freshwater fishes, impacting already threatened fish species, or disruption of estuarine species distributions due to disturbance of salinity gradients and acidification</w:t>
            </w:r>
          </w:p>
          <w:p w14:paraId="63921A3E" w14:textId="2956259C" w:rsidR="00B52F94" w:rsidRPr="0057645F" w:rsidRDefault="0031767E" w:rsidP="006C43B5">
            <w:pPr>
              <w:pStyle w:val="ListParagraph"/>
              <w:numPr>
                <w:ilvl w:val="0"/>
                <w:numId w:val="71"/>
              </w:numPr>
              <w:spacing w:before="80" w:after="80" w:line="240" w:lineRule="auto"/>
              <w:contextualSpacing w:val="0"/>
              <w:rPr>
                <w:sz w:val="20"/>
                <w:szCs w:val="20"/>
              </w:rPr>
            </w:pPr>
            <w:r w:rsidRPr="0057645F">
              <w:rPr>
                <w:sz w:val="20"/>
                <w:szCs w:val="20"/>
              </w:rPr>
              <w:t xml:space="preserve">reassembly of </w:t>
            </w:r>
            <w:r w:rsidR="00B52F94" w:rsidRPr="0057645F">
              <w:rPr>
                <w:sz w:val="20"/>
                <w:szCs w:val="20"/>
              </w:rPr>
              <w:t xml:space="preserve">vegetation types </w:t>
            </w:r>
            <w:r w:rsidR="006979FC" w:rsidRPr="0057645F">
              <w:rPr>
                <w:sz w:val="20"/>
                <w:szCs w:val="20"/>
              </w:rPr>
              <w:t>in response to changing rainfall and temperature conditions</w:t>
            </w:r>
          </w:p>
          <w:p w14:paraId="77059C47"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 combination with other threats, may result in ‘tipping points’ leading to irreversible change for some species or ecosystems</w:t>
            </w:r>
          </w:p>
          <w:p w14:paraId="2D49553E" w14:textId="77777777" w:rsidR="00B52F94" w:rsidRPr="0057645F" w:rsidRDefault="00B52F94" w:rsidP="006C43B5">
            <w:pPr>
              <w:spacing w:before="80" w:after="80"/>
              <w:rPr>
                <w:b/>
                <w:bCs/>
                <w:i/>
                <w:iCs/>
                <w:sz w:val="20"/>
                <w:szCs w:val="20"/>
              </w:rPr>
            </w:pPr>
            <w:r w:rsidRPr="0057645F">
              <w:rPr>
                <w:b/>
                <w:bCs/>
                <w:i/>
                <w:iCs/>
                <w:sz w:val="20"/>
                <w:szCs w:val="20"/>
              </w:rPr>
              <w:t>Impaired ecosystem function</w:t>
            </w:r>
          </w:p>
          <w:p w14:paraId="7157F254"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potential impacts to ecosystem function (e.g. disruption of food-web relationships and energy transfer between taxa and habitats)</w:t>
            </w:r>
          </w:p>
          <w:p w14:paraId="55F8734E"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simplification of food-web structure and impaired energetic transfer efficiency (for example, increasing atmospheric CO2 is projected to alter molar CNP ratios of detrital inputs)</w:t>
            </w:r>
          </w:p>
          <w:p w14:paraId="376C5BAA" w14:textId="77777777" w:rsidR="00B52F94" w:rsidRPr="0057645F" w:rsidRDefault="00B52F94" w:rsidP="006C43B5">
            <w:pPr>
              <w:spacing w:before="80" w:after="80"/>
              <w:rPr>
                <w:b/>
                <w:bCs/>
                <w:i/>
                <w:iCs/>
                <w:sz w:val="20"/>
                <w:szCs w:val="20"/>
              </w:rPr>
            </w:pPr>
            <w:r w:rsidRPr="0057645F">
              <w:rPr>
                <w:b/>
                <w:bCs/>
                <w:i/>
                <w:iCs/>
                <w:sz w:val="20"/>
                <w:szCs w:val="20"/>
              </w:rPr>
              <w:lastRenderedPageBreak/>
              <w:t>Promotion of invasive species</w:t>
            </w:r>
          </w:p>
          <w:p w14:paraId="53056AEA"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invasion of weeds and pest animal species encouraged by changes in climate and/or associated conditions; i.e. promote conditions for invasive species to prosper</w:t>
            </w:r>
          </w:p>
          <w:p w14:paraId="11E36AE7"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risk of disease and parasitism leading to biodiversity loss</w:t>
            </w:r>
          </w:p>
          <w:p w14:paraId="5C88D5DD" w14:textId="77777777" w:rsidR="00B52F94" w:rsidRPr="0057645F" w:rsidRDefault="00B52F94" w:rsidP="006C43B5">
            <w:pPr>
              <w:spacing w:before="80" w:after="80"/>
              <w:rPr>
                <w:b/>
                <w:bCs/>
                <w:i/>
                <w:iCs/>
                <w:sz w:val="20"/>
                <w:szCs w:val="20"/>
              </w:rPr>
            </w:pPr>
            <w:r w:rsidRPr="0057645F">
              <w:rPr>
                <w:b/>
                <w:bCs/>
                <w:i/>
                <w:iCs/>
                <w:sz w:val="20"/>
                <w:szCs w:val="20"/>
              </w:rPr>
              <w:t>Inability to adapt</w:t>
            </w:r>
          </w:p>
          <w:p w14:paraId="08817719"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adaptation to climate change relies on reducing vulnerability (and therefore other threats) and building resilience; the former may not be practical, the latter may not be possible</w:t>
            </w:r>
          </w:p>
          <w:p w14:paraId="69C2BE90"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may depend on availability and accessibility of refuge sites</w:t>
            </w:r>
          </w:p>
        </w:tc>
        <w:tc>
          <w:tcPr>
            <w:tcW w:w="990" w:type="pct"/>
            <w:shd w:val="clear" w:color="auto" w:fill="auto"/>
          </w:tcPr>
          <w:p w14:paraId="6F159B43" w14:textId="08D0DF28" w:rsidR="00B52F94" w:rsidRPr="004E7CBF" w:rsidRDefault="00B52F94" w:rsidP="006C43B5">
            <w:pPr>
              <w:pStyle w:val="Tabletext"/>
              <w:rPr>
                <w:sz w:val="20"/>
                <w:szCs w:val="20"/>
              </w:rPr>
            </w:pPr>
            <w:r w:rsidRPr="004E7CBF">
              <w:rPr>
                <w:sz w:val="20"/>
                <w:szCs w:val="20"/>
              </w:rPr>
              <w:lastRenderedPageBreak/>
              <w:t xml:space="preserve">Bunn &amp; Arthington 2002; Chambers 2006; Bond et al. 2008; Newton 2008; Steffen et al. 2009; </w:t>
            </w:r>
            <w:r w:rsidRPr="004E7CBF">
              <w:rPr>
                <w:rFonts w:cstheme="minorHAnsi"/>
                <w:sz w:val="20"/>
                <w:szCs w:val="20"/>
              </w:rPr>
              <w:t xml:space="preserve">Morrongiello et al. 2011; </w:t>
            </w:r>
            <w:r w:rsidR="00241F8D" w:rsidRPr="004E7CBF">
              <w:rPr>
                <w:rFonts w:cstheme="minorHAnsi"/>
                <w:sz w:val="20"/>
                <w:szCs w:val="20"/>
              </w:rPr>
              <w:t xml:space="preserve">Gross et al. 2014; </w:t>
            </w:r>
            <w:r w:rsidRPr="004E7CBF">
              <w:rPr>
                <w:sz w:val="20"/>
                <w:szCs w:val="20"/>
              </w:rPr>
              <w:t xml:space="preserve">Leigh et al. 2014; Casajus et al. 2016: Woodward et al. 2016; Finlayson et al. 2017; James et al. 2017; Cohen et al. 2018; </w:t>
            </w:r>
            <w:r w:rsidR="00585734" w:rsidRPr="004E7CBF">
              <w:rPr>
                <w:sz w:val="20"/>
                <w:szCs w:val="20"/>
              </w:rPr>
              <w:t xml:space="preserve">Alexandra 2020; </w:t>
            </w:r>
            <w:r w:rsidRPr="004E7CBF">
              <w:rPr>
                <w:sz w:val="20"/>
                <w:szCs w:val="20"/>
              </w:rPr>
              <w:t xml:space="preserve">Lauchlan &amp; Nagelkerken 2020; Scanes et al. 2020; Spence &amp; Tingley 2020; </w:t>
            </w:r>
            <w:r w:rsidR="004C38E9" w:rsidRPr="004E7CBF">
              <w:rPr>
                <w:sz w:val="20"/>
                <w:szCs w:val="20"/>
              </w:rPr>
              <w:t xml:space="preserve">Alexander 2023; </w:t>
            </w:r>
            <w:r w:rsidRPr="004E7CBF">
              <w:rPr>
                <w:sz w:val="20"/>
                <w:szCs w:val="20"/>
              </w:rPr>
              <w:t>IPCC 2023; Sabater et al. 2023; Tims and Saupe 2023</w:t>
            </w:r>
            <w:r w:rsidR="00801C8F" w:rsidRPr="004E7CBF">
              <w:rPr>
                <w:sz w:val="20"/>
                <w:szCs w:val="20"/>
              </w:rPr>
              <w:t>; Dobel et al. 2024</w:t>
            </w:r>
          </w:p>
        </w:tc>
      </w:tr>
      <w:tr w:rsidR="00830CBF" w:rsidRPr="0057645F" w14:paraId="6B405DE7" w14:textId="77777777" w:rsidTr="00B91F4B">
        <w:tc>
          <w:tcPr>
            <w:tcW w:w="755" w:type="pct"/>
            <w:shd w:val="clear" w:color="auto" w:fill="auto"/>
          </w:tcPr>
          <w:p w14:paraId="2C1A756C" w14:textId="77777777" w:rsidR="00B52F94" w:rsidRPr="0057645F" w:rsidRDefault="00B52F94" w:rsidP="006C43B5">
            <w:pPr>
              <w:spacing w:before="80" w:after="80"/>
              <w:rPr>
                <w:b/>
                <w:bCs/>
              </w:rPr>
            </w:pPr>
            <w:r w:rsidRPr="0057645F">
              <w:rPr>
                <w:b/>
                <w:bCs/>
              </w:rPr>
              <w:t>Rising temperature</w:t>
            </w:r>
          </w:p>
          <w:p w14:paraId="72ACB91E" w14:textId="1231F026" w:rsidR="009B6191" w:rsidRPr="0057645F" w:rsidRDefault="009B6191" w:rsidP="006C43B5">
            <w:pPr>
              <w:spacing w:before="80" w:after="80"/>
            </w:pPr>
            <w:r w:rsidRPr="0057645F">
              <w:t xml:space="preserve">(in air </w:t>
            </w:r>
            <w:r w:rsidR="00277D97" w:rsidRPr="0057645F">
              <w:t>and/or water)</w:t>
            </w:r>
          </w:p>
          <w:p w14:paraId="36EAFA27" w14:textId="77777777" w:rsidR="00B52F94" w:rsidRPr="0057645F" w:rsidRDefault="00B52F94" w:rsidP="006C43B5">
            <w:pPr>
              <w:spacing w:before="80" w:after="80"/>
              <w:rPr>
                <w:i/>
                <w:iCs/>
                <w:sz w:val="20"/>
                <w:szCs w:val="20"/>
              </w:rPr>
            </w:pPr>
          </w:p>
        </w:tc>
        <w:tc>
          <w:tcPr>
            <w:tcW w:w="518" w:type="pct"/>
            <w:shd w:val="clear" w:color="auto" w:fill="auto"/>
          </w:tcPr>
          <w:p w14:paraId="6F8B8E45"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extreme</w:t>
            </w:r>
          </w:p>
          <w:p w14:paraId="57DDE0AE"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ongoing</w:t>
            </w:r>
          </w:p>
          <w:p w14:paraId="7F03D1E3"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whole</w:t>
            </w:r>
          </w:p>
          <w:p w14:paraId="76015789" w14:textId="60E30AFD" w:rsidR="005502F7" w:rsidRPr="0057645F" w:rsidRDefault="005502F7" w:rsidP="006C43B5">
            <w:pPr>
              <w:pStyle w:val="ListParagraph"/>
              <w:numPr>
                <w:ilvl w:val="0"/>
                <w:numId w:val="73"/>
              </w:numPr>
              <w:spacing w:before="80" w:after="80" w:line="240" w:lineRule="auto"/>
              <w:contextualSpacing w:val="0"/>
            </w:pPr>
            <w:r w:rsidRPr="0057645F">
              <w:rPr>
                <w:sz w:val="20"/>
                <w:szCs w:val="20"/>
              </w:rPr>
              <w:t>increasing</w:t>
            </w:r>
          </w:p>
        </w:tc>
        <w:tc>
          <w:tcPr>
            <w:tcW w:w="2736" w:type="pct"/>
            <w:shd w:val="clear" w:color="auto" w:fill="auto"/>
          </w:tcPr>
          <w:p w14:paraId="4C7D6F27" w14:textId="7241C57E" w:rsidR="00850206" w:rsidRPr="0057645F" w:rsidRDefault="00CF4995" w:rsidP="006C43B5">
            <w:pPr>
              <w:pStyle w:val="ListParagraph"/>
              <w:numPr>
                <w:ilvl w:val="0"/>
                <w:numId w:val="71"/>
              </w:numPr>
              <w:spacing w:before="80" w:after="80" w:line="240" w:lineRule="auto"/>
              <w:contextualSpacing w:val="0"/>
              <w:rPr>
                <w:sz w:val="20"/>
                <w:szCs w:val="20"/>
              </w:rPr>
            </w:pPr>
            <w:r w:rsidRPr="0057645F">
              <w:rPr>
                <w:sz w:val="20"/>
                <w:szCs w:val="20"/>
              </w:rPr>
              <w:t xml:space="preserve">The Basin-wide average increase in temperature over 1910-2017: </w:t>
            </w:r>
            <w:r w:rsidR="00A22313" w:rsidRPr="0057645F">
              <w:rPr>
                <w:sz w:val="20"/>
                <w:szCs w:val="20"/>
              </w:rPr>
              <w:t xml:space="preserve">Mean daily = 1.0 C; Max daily = 0.8 C; </w:t>
            </w:r>
            <w:r w:rsidR="00C308E6" w:rsidRPr="0057645F">
              <w:rPr>
                <w:sz w:val="20"/>
                <w:szCs w:val="20"/>
              </w:rPr>
              <w:t>Minimum daily = 1.3 C</w:t>
            </w:r>
          </w:p>
          <w:p w14:paraId="5D77471C" w14:textId="1BDEC6CD" w:rsidR="00B1740B" w:rsidRPr="0057645F" w:rsidRDefault="00B1740B" w:rsidP="006C43B5">
            <w:pPr>
              <w:pStyle w:val="ListParagraph"/>
              <w:numPr>
                <w:ilvl w:val="0"/>
                <w:numId w:val="71"/>
              </w:numPr>
              <w:spacing w:before="80" w:after="80" w:line="240" w:lineRule="auto"/>
              <w:contextualSpacing w:val="0"/>
              <w:rPr>
                <w:sz w:val="20"/>
                <w:szCs w:val="20"/>
              </w:rPr>
            </w:pPr>
            <w:r w:rsidRPr="0057645F">
              <w:rPr>
                <w:sz w:val="20"/>
                <w:szCs w:val="20"/>
              </w:rPr>
              <w:t xml:space="preserve">heatwaves and heat stress </w:t>
            </w:r>
            <w:r w:rsidR="009B6191" w:rsidRPr="0057645F">
              <w:rPr>
                <w:sz w:val="20"/>
                <w:szCs w:val="20"/>
              </w:rPr>
              <w:t xml:space="preserve">(in air and/or water) </w:t>
            </w:r>
            <w:r w:rsidRPr="0057645F">
              <w:rPr>
                <w:sz w:val="20"/>
                <w:szCs w:val="20"/>
              </w:rPr>
              <w:t>impact native species, plants and animals and can lead to mortality</w:t>
            </w:r>
          </w:p>
          <w:p w14:paraId="2C882B4A"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temperature impacts metabolic rates (also size dependent) which my constrain food-web structure and dynamics</w:t>
            </w:r>
          </w:p>
          <w:p w14:paraId="7EF18DEC"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temperature impacts many ecosystem processes and key aspects of foraging behaviour of fauna</w:t>
            </w:r>
          </w:p>
          <w:p w14:paraId="13DE80FC"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increased evaporation of water in rivers, wetlands, and lakes </w:t>
            </w:r>
          </w:p>
          <w:p w14:paraId="5A070CE7"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promotion of deoxygenation events and potential mass fish deaths (particularly during drought)</w:t>
            </w:r>
          </w:p>
          <w:p w14:paraId="5B86CD16"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detrimental impacts on ecological ‘triggers’ for reproduction or migration, particularly if in combination with unfavourable salinity or oxygen levels</w:t>
            </w:r>
          </w:p>
          <w:p w14:paraId="5D76B6A8"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increasing temperature linked to increasing frequency and intensity of EL Nino (i.e. drought) </w:t>
            </w:r>
          </w:p>
          <w:p w14:paraId="709D0C57"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lower soil moisture which can impact runoff</w:t>
            </w:r>
          </w:p>
          <w:p w14:paraId="53EF5E3D" w14:textId="5A0745C2"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alter photosynthesis of </w:t>
            </w:r>
            <w:r w:rsidR="00672511" w:rsidRPr="0057645F">
              <w:rPr>
                <w:sz w:val="20"/>
                <w:szCs w:val="20"/>
              </w:rPr>
              <w:t xml:space="preserve">terrestrial and </w:t>
            </w:r>
            <w:r w:rsidRPr="0057645F">
              <w:rPr>
                <w:sz w:val="20"/>
                <w:szCs w:val="20"/>
              </w:rPr>
              <w:t>submerged plants</w:t>
            </w:r>
          </w:p>
          <w:p w14:paraId="20FF3516"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reduced groundwater recharge</w:t>
            </w:r>
          </w:p>
          <w:p w14:paraId="79A4482F"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lastRenderedPageBreak/>
              <w:t>warming of adjacent ocean waters may impact estuarine waters and in turn physiological requirements of biota dependent upon a limited ranges of salinity and temperature combinations</w:t>
            </w:r>
          </w:p>
        </w:tc>
        <w:tc>
          <w:tcPr>
            <w:tcW w:w="990" w:type="pct"/>
            <w:shd w:val="clear" w:color="auto" w:fill="auto"/>
          </w:tcPr>
          <w:p w14:paraId="2E721FF2" w14:textId="6429CE55" w:rsidR="00B52F94" w:rsidRPr="00121DE0" w:rsidRDefault="00B52F94" w:rsidP="006C43B5">
            <w:pPr>
              <w:pStyle w:val="Tabletext"/>
              <w:rPr>
                <w:sz w:val="20"/>
                <w:szCs w:val="20"/>
              </w:rPr>
            </w:pPr>
            <w:r w:rsidRPr="00121DE0">
              <w:rPr>
                <w:sz w:val="20"/>
                <w:szCs w:val="20"/>
              </w:rPr>
              <w:lastRenderedPageBreak/>
              <w:t xml:space="preserve">Newton 1996, 2009; Cresswell et al. 2021; </w:t>
            </w:r>
            <w:r w:rsidR="00C308E6" w:rsidRPr="00121DE0">
              <w:rPr>
                <w:sz w:val="20"/>
                <w:szCs w:val="20"/>
              </w:rPr>
              <w:t xml:space="preserve">Whetton &amp; Chiew 2021; </w:t>
            </w:r>
            <w:r w:rsidRPr="00121DE0">
              <w:rPr>
                <w:sz w:val="20"/>
                <w:szCs w:val="20"/>
              </w:rPr>
              <w:t>Lawrence et al. 2022; BOM &amp; CSIRO 2023; IPCC 2023;</w:t>
            </w:r>
            <w:r w:rsidR="00425782" w:rsidRPr="00121DE0">
              <w:rPr>
                <w:sz w:val="20"/>
                <w:szCs w:val="20"/>
              </w:rPr>
              <w:t xml:space="preserve"> Wright et al. 2024</w:t>
            </w:r>
            <w:r w:rsidR="00C308E6" w:rsidRPr="00121DE0">
              <w:rPr>
                <w:sz w:val="20"/>
                <w:szCs w:val="20"/>
              </w:rPr>
              <w:t>; Z</w:t>
            </w:r>
            <w:r w:rsidR="00645514" w:rsidRPr="00121DE0">
              <w:rPr>
                <w:sz w:val="20"/>
                <w:szCs w:val="20"/>
              </w:rPr>
              <w:t>ha</w:t>
            </w:r>
            <w:r w:rsidR="006A6AAA" w:rsidRPr="00121DE0">
              <w:rPr>
                <w:sz w:val="20"/>
                <w:szCs w:val="20"/>
              </w:rPr>
              <w:t>ng et al. 2024</w:t>
            </w:r>
          </w:p>
        </w:tc>
      </w:tr>
      <w:tr w:rsidR="00830CBF" w:rsidRPr="0057645F" w14:paraId="0818F434" w14:textId="77777777" w:rsidTr="00B91F4B">
        <w:tc>
          <w:tcPr>
            <w:tcW w:w="755" w:type="pct"/>
            <w:shd w:val="clear" w:color="auto" w:fill="auto"/>
          </w:tcPr>
          <w:p w14:paraId="1F5F62B4" w14:textId="77777777" w:rsidR="00B52F94" w:rsidRPr="0057645F" w:rsidRDefault="00B52F94" w:rsidP="006C43B5">
            <w:pPr>
              <w:spacing w:before="80" w:after="80"/>
            </w:pPr>
            <w:r w:rsidRPr="0057645F">
              <w:rPr>
                <w:b/>
                <w:bCs/>
              </w:rPr>
              <w:t>Changes to Rainfall</w:t>
            </w:r>
            <w:r w:rsidRPr="0057645F">
              <w:t xml:space="preserve"> </w:t>
            </w:r>
            <w:r w:rsidRPr="0057645F">
              <w:rPr>
                <w:b/>
                <w:bCs/>
              </w:rPr>
              <w:t>and Runoff</w:t>
            </w:r>
          </w:p>
          <w:p w14:paraId="295A4991" w14:textId="15F99D06" w:rsidR="00B52F94" w:rsidRPr="0057645F" w:rsidRDefault="00B52F94" w:rsidP="006C43B5">
            <w:pPr>
              <w:spacing w:before="80" w:after="80"/>
              <w:rPr>
                <w:i/>
                <w:iCs/>
                <w:sz w:val="20"/>
                <w:szCs w:val="20"/>
              </w:rPr>
            </w:pPr>
          </w:p>
        </w:tc>
        <w:tc>
          <w:tcPr>
            <w:tcW w:w="518" w:type="pct"/>
            <w:shd w:val="clear" w:color="auto" w:fill="auto"/>
          </w:tcPr>
          <w:p w14:paraId="07C4FFAB"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extreme</w:t>
            </w:r>
          </w:p>
          <w:p w14:paraId="2B90FB3E"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ongoing</w:t>
            </w:r>
          </w:p>
          <w:p w14:paraId="02D78DAD"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whole</w:t>
            </w:r>
          </w:p>
          <w:p w14:paraId="7403553C" w14:textId="312A42E0" w:rsidR="009F0916" w:rsidRPr="0057645F" w:rsidRDefault="009F0916" w:rsidP="006C43B5">
            <w:pPr>
              <w:pStyle w:val="ListParagraph"/>
              <w:numPr>
                <w:ilvl w:val="0"/>
                <w:numId w:val="73"/>
              </w:numPr>
              <w:spacing w:before="80" w:after="80" w:line="240" w:lineRule="auto"/>
              <w:contextualSpacing w:val="0"/>
              <w:rPr>
                <w:sz w:val="20"/>
                <w:szCs w:val="20"/>
              </w:rPr>
            </w:pPr>
            <w:r w:rsidRPr="0057645F">
              <w:rPr>
                <w:sz w:val="20"/>
                <w:szCs w:val="20"/>
              </w:rPr>
              <w:t>increasing</w:t>
            </w:r>
          </w:p>
        </w:tc>
        <w:tc>
          <w:tcPr>
            <w:tcW w:w="2736" w:type="pct"/>
            <w:shd w:val="clear" w:color="auto" w:fill="auto"/>
          </w:tcPr>
          <w:p w14:paraId="3EE9C539"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cool-season drying trend in southeastern Australia</w:t>
            </w:r>
          </w:p>
          <w:p w14:paraId="2940013D"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combination of longer dry spells and increases in extreme precipitation magnitude leading to important changes in the character of the precipitation time series</w:t>
            </w:r>
          </w:p>
          <w:p w14:paraId="177C395C" w14:textId="100E2C5F"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changes in seasonal patterns of rainfall—resulting in miss-match of hydrological and ecological cycles, which in turn impacts biodiversity</w:t>
            </w:r>
          </w:p>
          <w:p w14:paraId="13B13ABE"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less rainfall leading to decreased runoff and drying of aquatic habitats and poor water quality</w:t>
            </w:r>
          </w:p>
          <w:p w14:paraId="112746F8"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decreased runoff leading to loss of small to overbank flows and loss of typical seasonal exchanges in productivity between the river channel and floodplain</w:t>
            </w:r>
          </w:p>
          <w:p w14:paraId="2ADA578F"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changes to ecological ‘triggers’ for reproduction or migration (e.g. via flow or water-column stratification)</w:t>
            </w:r>
          </w:p>
          <w:p w14:paraId="155DDD06"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prolonged drought may induce a post-drought low-runoff state due to increased evapotranspiration per unity of precipitation</w:t>
            </w:r>
          </w:p>
          <w:p w14:paraId="4CF4DB03"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decreased opportunity for dispersal and recolonisation</w:t>
            </w:r>
          </w:p>
          <w:p w14:paraId="6882E5E4"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disruptions to estuarine hydrological cycles (e.g. salt-wedge formation) which impacts zooplankton and some fish breeding</w:t>
            </w:r>
          </w:p>
        </w:tc>
        <w:tc>
          <w:tcPr>
            <w:tcW w:w="990" w:type="pct"/>
            <w:shd w:val="clear" w:color="auto" w:fill="auto"/>
          </w:tcPr>
          <w:p w14:paraId="00BA59F0" w14:textId="2E89544B" w:rsidR="00B52F94" w:rsidRPr="00121DE0" w:rsidRDefault="00B52F94" w:rsidP="006C43B5">
            <w:pPr>
              <w:pStyle w:val="Tabletext"/>
              <w:rPr>
                <w:sz w:val="20"/>
                <w:szCs w:val="20"/>
              </w:rPr>
            </w:pPr>
            <w:r w:rsidRPr="00121DE0">
              <w:rPr>
                <w:sz w:val="20"/>
                <w:szCs w:val="20"/>
              </w:rPr>
              <w:t>Newton 1996, 2009; Steffen et al. 2009; Cai et al. 2014;</w:t>
            </w:r>
            <w:r w:rsidR="00B1740B" w:rsidRPr="00121DE0">
              <w:rPr>
                <w:sz w:val="20"/>
                <w:szCs w:val="20"/>
              </w:rPr>
              <w:t xml:space="preserve"> </w:t>
            </w:r>
            <w:r w:rsidRPr="00121DE0">
              <w:rPr>
                <w:sz w:val="20"/>
                <w:szCs w:val="20"/>
              </w:rPr>
              <w:t xml:space="preserve">Evans et al. 2016; Glamore et al. 2016;  Freund et al. 2017; NESP? (2018); Peterson et al. 2021; Lawrence et al. 2022; CSIRO &amp; BOM 2023; IPCC 2023 </w:t>
            </w:r>
          </w:p>
        </w:tc>
      </w:tr>
      <w:tr w:rsidR="00830CBF" w:rsidRPr="0057645F" w14:paraId="1AA3E22C" w14:textId="77777777" w:rsidTr="00B91F4B">
        <w:tc>
          <w:tcPr>
            <w:tcW w:w="755" w:type="pct"/>
            <w:shd w:val="clear" w:color="auto" w:fill="auto"/>
          </w:tcPr>
          <w:p w14:paraId="405D2238" w14:textId="77777777" w:rsidR="00B52F94" w:rsidRPr="0057645F" w:rsidRDefault="00B52F94" w:rsidP="006C43B5">
            <w:pPr>
              <w:spacing w:before="80" w:after="80"/>
            </w:pPr>
            <w:r w:rsidRPr="0057645F">
              <w:rPr>
                <w:b/>
                <w:bCs/>
              </w:rPr>
              <w:t>Extreme Events</w:t>
            </w:r>
            <w:r w:rsidRPr="0057645F">
              <w:t xml:space="preserve"> </w:t>
            </w:r>
          </w:p>
          <w:p w14:paraId="4FF68D94" w14:textId="2E31619F" w:rsidR="00B52F94" w:rsidRPr="0057645F" w:rsidRDefault="00B52F94" w:rsidP="006C43B5">
            <w:pPr>
              <w:spacing w:before="80" w:after="80"/>
              <w:rPr>
                <w:i/>
                <w:iCs/>
                <w:sz w:val="20"/>
                <w:szCs w:val="20"/>
              </w:rPr>
            </w:pPr>
          </w:p>
        </w:tc>
        <w:tc>
          <w:tcPr>
            <w:tcW w:w="518" w:type="pct"/>
            <w:shd w:val="clear" w:color="auto" w:fill="auto"/>
          </w:tcPr>
          <w:p w14:paraId="40A25702" w14:textId="09EFCE83" w:rsidR="00B52F94" w:rsidRPr="0057645F" w:rsidRDefault="00A46EC3" w:rsidP="006C43B5">
            <w:pPr>
              <w:pStyle w:val="ListParagraph"/>
              <w:numPr>
                <w:ilvl w:val="0"/>
                <w:numId w:val="73"/>
              </w:numPr>
              <w:spacing w:before="80" w:after="80" w:line="240" w:lineRule="auto"/>
              <w:contextualSpacing w:val="0"/>
              <w:rPr>
                <w:sz w:val="20"/>
                <w:szCs w:val="20"/>
              </w:rPr>
            </w:pPr>
            <w:r w:rsidRPr="0057645F">
              <w:rPr>
                <w:sz w:val="20"/>
                <w:szCs w:val="20"/>
              </w:rPr>
              <w:t xml:space="preserve">potentially </w:t>
            </w:r>
            <w:r w:rsidR="00B52F94" w:rsidRPr="0057645F">
              <w:rPr>
                <w:sz w:val="20"/>
                <w:szCs w:val="20"/>
              </w:rPr>
              <w:t>extreme</w:t>
            </w:r>
          </w:p>
          <w:p w14:paraId="2EF0C550"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periodic – unknown</w:t>
            </w:r>
          </w:p>
          <w:p w14:paraId="65CE62E1"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whole</w:t>
            </w:r>
          </w:p>
          <w:p w14:paraId="1D73E5A9" w14:textId="02FFE644" w:rsidR="00084685" w:rsidRPr="0057645F" w:rsidRDefault="00084685" w:rsidP="006C43B5">
            <w:pPr>
              <w:pStyle w:val="ListParagraph"/>
              <w:numPr>
                <w:ilvl w:val="0"/>
                <w:numId w:val="73"/>
              </w:numPr>
              <w:spacing w:before="80" w:after="80" w:line="240" w:lineRule="auto"/>
              <w:contextualSpacing w:val="0"/>
              <w:rPr>
                <w:sz w:val="20"/>
                <w:szCs w:val="20"/>
              </w:rPr>
            </w:pPr>
            <w:r w:rsidRPr="0057645F">
              <w:rPr>
                <w:sz w:val="20"/>
                <w:szCs w:val="20"/>
              </w:rPr>
              <w:t>increasing</w:t>
            </w:r>
          </w:p>
          <w:p w14:paraId="39B44341" w14:textId="77777777" w:rsidR="00B52F94" w:rsidRPr="0057645F" w:rsidRDefault="00B52F94" w:rsidP="006C43B5">
            <w:pPr>
              <w:spacing w:before="80" w:after="80"/>
              <w:rPr>
                <w:sz w:val="20"/>
                <w:szCs w:val="20"/>
              </w:rPr>
            </w:pPr>
          </w:p>
        </w:tc>
        <w:tc>
          <w:tcPr>
            <w:tcW w:w="2736" w:type="pct"/>
            <w:shd w:val="clear" w:color="auto" w:fill="auto"/>
          </w:tcPr>
          <w:p w14:paraId="5384F592" w14:textId="4913A274" w:rsidR="00B52F94" w:rsidRPr="0057645F" w:rsidRDefault="001F00A4" w:rsidP="006C43B5">
            <w:pPr>
              <w:spacing w:before="80" w:after="80" w:line="240" w:lineRule="auto"/>
              <w:rPr>
                <w:i/>
                <w:iCs/>
                <w:sz w:val="20"/>
                <w:szCs w:val="20"/>
              </w:rPr>
            </w:pPr>
            <w:r w:rsidRPr="0057645F">
              <w:rPr>
                <w:i/>
                <w:iCs/>
                <w:sz w:val="20"/>
                <w:szCs w:val="20"/>
              </w:rPr>
              <w:t xml:space="preserve">Note: </w:t>
            </w:r>
            <w:r w:rsidR="00B52F94" w:rsidRPr="0057645F">
              <w:rPr>
                <w:i/>
                <w:iCs/>
                <w:sz w:val="20"/>
                <w:szCs w:val="20"/>
              </w:rPr>
              <w:t>extreme events (as opposed to trends) related to flow and temperature reduce species richness, impact productivity, and may induce regime shifts in temperate river ecosystems, particularly for invertebrates</w:t>
            </w:r>
          </w:p>
          <w:p w14:paraId="2ECDBD87"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frequency and intensity of drought periods resulting in degraded and reduced habitat, and declines and/or mortality in biodiversity</w:t>
            </w:r>
          </w:p>
          <w:p w14:paraId="25ECB591" w14:textId="4EFCEED3" w:rsidR="00B52F94" w:rsidRPr="0057645F" w:rsidRDefault="0011149F"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creation of acid sulphate soils</w:t>
            </w:r>
            <w:r w:rsidR="004077E0" w:rsidRPr="0057645F">
              <w:rPr>
                <w:rFonts w:cstheme="minorHAnsi"/>
                <w:sz w:val="20"/>
                <w:szCs w:val="20"/>
              </w:rPr>
              <w:t xml:space="preserve">. For instance, </w:t>
            </w:r>
            <w:r w:rsidR="00B52F94" w:rsidRPr="0057645F">
              <w:rPr>
                <w:rFonts w:cstheme="minorHAnsi"/>
                <w:sz w:val="20"/>
                <w:szCs w:val="20"/>
              </w:rPr>
              <w:t>during the Millennium Drought the water level of the Lower Lakes fell to -1.1 m, resulting in widespread acid sulphate soils and associated poor water quality</w:t>
            </w:r>
          </w:p>
          <w:p w14:paraId="04FE4722"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frequency and intensity of severe floods resulting in degraded or reduced habitat, and declines and/or mortality in biodiversity</w:t>
            </w:r>
          </w:p>
          <w:p w14:paraId="29FB9375"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lastRenderedPageBreak/>
              <w:t>increased frequency and intensity of storms resulting in degraded or reduced habitat, and declines and/or mortality in biodiversity</w:t>
            </w:r>
          </w:p>
          <w:p w14:paraId="3354BA82"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intensification of short-duration rainfall events leading to localised flash flooding</w:t>
            </w:r>
          </w:p>
          <w:p w14:paraId="5483E03F"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risk of algal blooms and/or blackwater events leading to deoxygenated waters</w:t>
            </w:r>
          </w:p>
        </w:tc>
        <w:tc>
          <w:tcPr>
            <w:tcW w:w="990" w:type="pct"/>
            <w:shd w:val="clear" w:color="auto" w:fill="auto"/>
          </w:tcPr>
          <w:p w14:paraId="623EB49D" w14:textId="525DF45A" w:rsidR="00B52F94" w:rsidRPr="00121DE0" w:rsidRDefault="00B52F94" w:rsidP="006C43B5">
            <w:pPr>
              <w:pStyle w:val="Tabletext"/>
              <w:rPr>
                <w:sz w:val="20"/>
                <w:szCs w:val="20"/>
              </w:rPr>
            </w:pPr>
            <w:r w:rsidRPr="00121DE0">
              <w:rPr>
                <w:sz w:val="20"/>
                <w:szCs w:val="20"/>
              </w:rPr>
              <w:lastRenderedPageBreak/>
              <w:t xml:space="preserve">Bond et al. 2008; Steffen et al. 2009; MDBA 2011c; Cai et al. 2014; Leigh et al. 2014; Woodward et al. 2016; Freund et al. 2017; </w:t>
            </w:r>
            <w:r w:rsidR="00692E9F" w:rsidRPr="00121DE0">
              <w:rPr>
                <w:sz w:val="20"/>
                <w:szCs w:val="20"/>
              </w:rPr>
              <w:t xml:space="preserve">Phelps &amp; Kelly 2019; </w:t>
            </w:r>
            <w:r w:rsidRPr="00121DE0">
              <w:rPr>
                <w:sz w:val="20"/>
                <w:szCs w:val="20"/>
              </w:rPr>
              <w:t>Cresswell et al. 2021; Fowler et al. 2021; Peterson et al. 2021; Lawrence et al. 2022; CSIRO &amp; BOM 2023; IPCC 2023; Sabater et al. 2023</w:t>
            </w:r>
          </w:p>
        </w:tc>
      </w:tr>
      <w:tr w:rsidR="00830CBF" w:rsidRPr="0057645F" w14:paraId="54EEC811" w14:textId="77777777" w:rsidTr="00B91F4B">
        <w:tc>
          <w:tcPr>
            <w:tcW w:w="755" w:type="pct"/>
            <w:shd w:val="clear" w:color="auto" w:fill="auto"/>
          </w:tcPr>
          <w:p w14:paraId="1C28847C" w14:textId="518CF58D" w:rsidR="00B52F94" w:rsidRPr="0057645F" w:rsidRDefault="005F2536" w:rsidP="006C43B5">
            <w:pPr>
              <w:spacing w:before="80" w:after="80"/>
              <w:rPr>
                <w:b/>
                <w:bCs/>
              </w:rPr>
            </w:pPr>
            <w:r w:rsidRPr="0057645F">
              <w:rPr>
                <w:b/>
                <w:bCs/>
              </w:rPr>
              <w:t>Fire regimes that cause declines in biodiversity</w:t>
            </w:r>
          </w:p>
          <w:p w14:paraId="596F3BFF" w14:textId="2B87EA9F" w:rsidR="00B52F94" w:rsidRPr="0057645F" w:rsidRDefault="00B52F94" w:rsidP="006C43B5">
            <w:pPr>
              <w:spacing w:before="80" w:after="80"/>
              <w:rPr>
                <w:i/>
                <w:iCs/>
                <w:sz w:val="20"/>
                <w:szCs w:val="20"/>
              </w:rPr>
            </w:pPr>
          </w:p>
        </w:tc>
        <w:tc>
          <w:tcPr>
            <w:tcW w:w="518" w:type="pct"/>
            <w:shd w:val="clear" w:color="auto" w:fill="auto"/>
          </w:tcPr>
          <w:p w14:paraId="1B5D9342"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extreme</w:t>
            </w:r>
          </w:p>
          <w:p w14:paraId="6FE71AD9" w14:textId="028015C8"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 xml:space="preserve"> </w:t>
            </w:r>
            <w:r w:rsidRPr="0057645F">
              <w:rPr>
                <w:sz w:val="20"/>
                <w:szCs w:val="20"/>
              </w:rPr>
              <w:t>periodic – unknown</w:t>
            </w:r>
          </w:p>
          <w:p w14:paraId="0FFDE8CD" w14:textId="0551BF02" w:rsidR="00B52F94" w:rsidRPr="0057645F" w:rsidRDefault="00084685"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mostly f</w:t>
            </w:r>
            <w:r w:rsidR="00B52F94" w:rsidRPr="0057645F">
              <w:rPr>
                <w:sz w:val="20"/>
                <w:szCs w:val="20"/>
              </w:rPr>
              <w:t>loodplain</w:t>
            </w:r>
          </w:p>
          <w:p w14:paraId="7F7BD627" w14:textId="362B05BD" w:rsidR="00084685" w:rsidRPr="0057645F" w:rsidRDefault="00084685"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increasing</w:t>
            </w:r>
          </w:p>
          <w:p w14:paraId="1AD8BE97" w14:textId="77777777" w:rsidR="00B52F94" w:rsidRPr="0057645F" w:rsidRDefault="00B52F94" w:rsidP="006C43B5">
            <w:pPr>
              <w:spacing w:before="80" w:after="80"/>
              <w:rPr>
                <w:sz w:val="20"/>
                <w:szCs w:val="20"/>
              </w:rPr>
            </w:pPr>
          </w:p>
        </w:tc>
        <w:tc>
          <w:tcPr>
            <w:tcW w:w="2736" w:type="pct"/>
            <w:shd w:val="clear" w:color="auto" w:fill="auto"/>
          </w:tcPr>
          <w:p w14:paraId="08147097" w14:textId="5BDF4C03"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trend towards more dangerous near-surface fire weather conditions, and increased pyroconvection risk factors for southern Australia (with several megafires in the past 20</w:t>
            </w:r>
            <w:r w:rsidR="00973604" w:rsidRPr="0057645F">
              <w:rPr>
                <w:sz w:val="20"/>
                <w:szCs w:val="20"/>
              </w:rPr>
              <w:t xml:space="preserve"> y</w:t>
            </w:r>
          </w:p>
          <w:p w14:paraId="329C1424" w14:textId="197764CE"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increased rate of lightning strikes and incidence of lightning-induced </w:t>
            </w:r>
            <w:r w:rsidR="00140683" w:rsidRPr="0057645F">
              <w:rPr>
                <w:sz w:val="20"/>
                <w:szCs w:val="20"/>
              </w:rPr>
              <w:t xml:space="preserve">ignitions with the potential to create </w:t>
            </w:r>
            <w:r w:rsidR="00F35E1F" w:rsidRPr="0057645F">
              <w:rPr>
                <w:sz w:val="20"/>
                <w:szCs w:val="20"/>
              </w:rPr>
              <w:t>large and high</w:t>
            </w:r>
            <w:r w:rsidR="00681E26" w:rsidRPr="0057645F">
              <w:rPr>
                <w:sz w:val="20"/>
                <w:szCs w:val="20"/>
              </w:rPr>
              <w:t xml:space="preserve"> </w:t>
            </w:r>
            <w:r w:rsidRPr="0057645F">
              <w:rPr>
                <w:sz w:val="20"/>
                <w:szCs w:val="20"/>
              </w:rPr>
              <w:t>sever</w:t>
            </w:r>
            <w:r w:rsidR="00F35E1F" w:rsidRPr="0057645F">
              <w:rPr>
                <w:sz w:val="20"/>
                <w:szCs w:val="20"/>
              </w:rPr>
              <w:t>ity</w:t>
            </w:r>
            <w:r w:rsidRPr="0057645F">
              <w:rPr>
                <w:sz w:val="20"/>
                <w:szCs w:val="20"/>
              </w:rPr>
              <w:t xml:space="preserve"> wildfire</w:t>
            </w:r>
            <w:r w:rsidR="00AF2343" w:rsidRPr="0057645F">
              <w:rPr>
                <w:sz w:val="20"/>
                <w:szCs w:val="20"/>
              </w:rPr>
              <w:t xml:space="preserve"> events</w:t>
            </w:r>
            <w:r w:rsidRPr="0057645F">
              <w:rPr>
                <w:sz w:val="20"/>
                <w:szCs w:val="20"/>
              </w:rPr>
              <w:t>, resulting in reduced habitat, and declines and/or mortality in biodiversity abundance and composition</w:t>
            </w:r>
            <w:r w:rsidR="00681E26" w:rsidRPr="0057645F">
              <w:rPr>
                <w:sz w:val="20"/>
                <w:szCs w:val="20"/>
              </w:rPr>
              <w:t>, especially on the floodplain</w:t>
            </w:r>
          </w:p>
          <w:p w14:paraId="28BD737C" w14:textId="2CA4FB18"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shorter intervals between large-scale fires </w:t>
            </w:r>
            <w:r w:rsidR="001F6E65" w:rsidRPr="0057645F">
              <w:rPr>
                <w:sz w:val="20"/>
                <w:szCs w:val="20"/>
              </w:rPr>
              <w:t xml:space="preserve">(i.e. high fire frequency) </w:t>
            </w:r>
            <w:r w:rsidRPr="0057645F">
              <w:rPr>
                <w:sz w:val="20"/>
                <w:szCs w:val="20"/>
              </w:rPr>
              <w:t>reduces potential for resilience and recovery, including resprouting of fire-tolerant vegetation</w:t>
            </w:r>
          </w:p>
          <w:p w14:paraId="07041DB0"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recent-historic and potential loss of seed banks, egg banks, and refuge areas</w:t>
            </w:r>
          </w:p>
          <w:p w14:paraId="43F3A0E9" w14:textId="5AD3A44F"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reduced water quality (including oxygen) from ash in runoff</w:t>
            </w:r>
            <w:r w:rsidR="00584E47" w:rsidRPr="0057645F">
              <w:rPr>
                <w:sz w:val="20"/>
                <w:szCs w:val="20"/>
              </w:rPr>
              <w:t xml:space="preserve">, including from fires upstream </w:t>
            </w:r>
            <w:r w:rsidR="00973604" w:rsidRPr="0057645F">
              <w:rPr>
                <w:sz w:val="20"/>
                <w:szCs w:val="20"/>
              </w:rPr>
              <w:t xml:space="preserve">or upslope </w:t>
            </w:r>
            <w:r w:rsidR="00584E47" w:rsidRPr="0057645F">
              <w:rPr>
                <w:sz w:val="20"/>
                <w:szCs w:val="20"/>
              </w:rPr>
              <w:t>of the EC</w:t>
            </w:r>
          </w:p>
          <w:p w14:paraId="7470D86B"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risk of blackwater events when rainfall induced run-off returns</w:t>
            </w:r>
          </w:p>
          <w:p w14:paraId="282B6F8B" w14:textId="36C13D2B"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may prevent regeneration of vegetation</w:t>
            </w:r>
            <w:r w:rsidR="00F37C1D" w:rsidRPr="0057645F">
              <w:rPr>
                <w:sz w:val="20"/>
                <w:szCs w:val="20"/>
              </w:rPr>
              <w:t xml:space="preserve"> (although it is recognised that </w:t>
            </w:r>
            <w:r w:rsidR="004B4BD6" w:rsidRPr="0057645F">
              <w:rPr>
                <w:sz w:val="20"/>
                <w:szCs w:val="20"/>
              </w:rPr>
              <w:t>some native species may require fire for germination</w:t>
            </w:r>
            <w:r w:rsidR="003835B3" w:rsidRPr="0057645F">
              <w:rPr>
                <w:sz w:val="20"/>
                <w:szCs w:val="20"/>
              </w:rPr>
              <w:t>/regeneration</w:t>
            </w:r>
            <w:r w:rsidR="004B4BD6" w:rsidRPr="0057645F">
              <w:rPr>
                <w:sz w:val="20"/>
                <w:szCs w:val="20"/>
              </w:rPr>
              <w:t>)</w:t>
            </w:r>
          </w:p>
          <w:p w14:paraId="2562E5EA"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 xml:space="preserve">loss of riparian vegetation results in warmer water, less insect prey </w:t>
            </w:r>
          </w:p>
          <w:p w14:paraId="5E1B013F"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some habitat lost to fire management, e.g. tracks, prescribed burns</w:t>
            </w:r>
          </w:p>
        </w:tc>
        <w:tc>
          <w:tcPr>
            <w:tcW w:w="990" w:type="pct"/>
            <w:shd w:val="clear" w:color="auto" w:fill="auto"/>
          </w:tcPr>
          <w:p w14:paraId="4D0BB36A" w14:textId="42AAB510" w:rsidR="00B52F94" w:rsidRPr="00121DE0" w:rsidRDefault="00B52F94" w:rsidP="006C43B5">
            <w:pPr>
              <w:pStyle w:val="Tabletext"/>
              <w:rPr>
                <w:sz w:val="20"/>
                <w:szCs w:val="20"/>
              </w:rPr>
            </w:pPr>
            <w:r w:rsidRPr="00121DE0">
              <w:rPr>
                <w:sz w:val="20"/>
                <w:szCs w:val="20"/>
              </w:rPr>
              <w:t xml:space="preserve">Mariani et al. 2018; Dowdy et al. 2017, 2019; Di Virgilio et al. 2019; Fairman et al. 2019; Ward et al. 2020; Canadell et al. 2021; Richardson et al. 2021; </w:t>
            </w:r>
            <w:r w:rsidR="009F1352" w:rsidRPr="00121DE0">
              <w:rPr>
                <w:sz w:val="20"/>
                <w:szCs w:val="20"/>
              </w:rPr>
              <w:t xml:space="preserve">Lane et al. 2023; </w:t>
            </w:r>
            <w:r w:rsidRPr="00121DE0">
              <w:rPr>
                <w:sz w:val="20"/>
                <w:szCs w:val="20"/>
              </w:rPr>
              <w:t xml:space="preserve">Lawrence et al. 2022; IPCC 2023 </w:t>
            </w:r>
          </w:p>
        </w:tc>
      </w:tr>
      <w:tr w:rsidR="00830CBF" w:rsidRPr="0057645F" w14:paraId="2C22C72A" w14:textId="77777777" w:rsidTr="00B91F4B">
        <w:tc>
          <w:tcPr>
            <w:tcW w:w="755" w:type="pct"/>
            <w:shd w:val="clear" w:color="auto" w:fill="auto"/>
          </w:tcPr>
          <w:p w14:paraId="677E16DB" w14:textId="77777777" w:rsidR="00B52F94" w:rsidRPr="0057645F" w:rsidRDefault="00B52F94" w:rsidP="006C43B5">
            <w:pPr>
              <w:spacing w:before="80" w:after="80"/>
              <w:rPr>
                <w:b/>
                <w:bCs/>
              </w:rPr>
            </w:pPr>
            <w:r w:rsidRPr="0057645F">
              <w:rPr>
                <w:b/>
                <w:bCs/>
              </w:rPr>
              <w:t xml:space="preserve">Sea Level Rise (SLR) </w:t>
            </w:r>
            <w:r w:rsidRPr="0057645F">
              <w:t xml:space="preserve">&amp; </w:t>
            </w:r>
            <w:r w:rsidRPr="0057645F">
              <w:rPr>
                <w:b/>
                <w:bCs/>
              </w:rPr>
              <w:t>Extreme Sea Level (ELR)</w:t>
            </w:r>
          </w:p>
          <w:p w14:paraId="6B3FB1DD" w14:textId="399F670E" w:rsidR="00B52F94" w:rsidRPr="0057645F" w:rsidRDefault="00B52F94" w:rsidP="006C43B5">
            <w:pPr>
              <w:spacing w:before="80" w:after="80"/>
              <w:rPr>
                <w:i/>
                <w:iCs/>
                <w:sz w:val="20"/>
                <w:szCs w:val="20"/>
              </w:rPr>
            </w:pPr>
          </w:p>
        </w:tc>
        <w:tc>
          <w:tcPr>
            <w:tcW w:w="518" w:type="pct"/>
            <w:shd w:val="clear" w:color="auto" w:fill="auto"/>
          </w:tcPr>
          <w:p w14:paraId="0597511E" w14:textId="2267202E" w:rsidR="00B52F94" w:rsidRPr="0057645F" w:rsidRDefault="00887D8D" w:rsidP="006C43B5">
            <w:pPr>
              <w:pStyle w:val="ListParagraph"/>
              <w:numPr>
                <w:ilvl w:val="0"/>
                <w:numId w:val="73"/>
              </w:numPr>
              <w:spacing w:before="80" w:after="80" w:line="240" w:lineRule="auto"/>
              <w:contextualSpacing w:val="0"/>
              <w:rPr>
                <w:sz w:val="20"/>
                <w:szCs w:val="20"/>
              </w:rPr>
            </w:pPr>
            <w:r w:rsidRPr="0057645F">
              <w:rPr>
                <w:sz w:val="20"/>
                <w:szCs w:val="20"/>
              </w:rPr>
              <w:t>potentially extreme</w:t>
            </w:r>
          </w:p>
          <w:p w14:paraId="190F99AF"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ongoing</w:t>
            </w:r>
          </w:p>
          <w:p w14:paraId="6C950C16" w14:textId="77777777" w:rsidR="00B52F94" w:rsidRPr="0057645F" w:rsidRDefault="00B52F94" w:rsidP="006C43B5">
            <w:pPr>
              <w:pStyle w:val="ListParagraph"/>
              <w:numPr>
                <w:ilvl w:val="0"/>
                <w:numId w:val="73"/>
              </w:numPr>
              <w:spacing w:before="80" w:after="80" w:line="240" w:lineRule="auto"/>
              <w:contextualSpacing w:val="0"/>
              <w:rPr>
                <w:sz w:val="20"/>
                <w:szCs w:val="20"/>
              </w:rPr>
            </w:pPr>
            <w:r w:rsidRPr="0057645F">
              <w:rPr>
                <w:sz w:val="20"/>
                <w:szCs w:val="20"/>
              </w:rPr>
              <w:t>CMMLL, coastal lakes</w:t>
            </w:r>
          </w:p>
          <w:p w14:paraId="06878161" w14:textId="2DFB1B7D" w:rsidR="00E80B7C" w:rsidRPr="0057645F" w:rsidRDefault="00E80B7C" w:rsidP="006C43B5">
            <w:pPr>
              <w:pStyle w:val="ListParagraph"/>
              <w:numPr>
                <w:ilvl w:val="0"/>
                <w:numId w:val="73"/>
              </w:numPr>
              <w:spacing w:before="80" w:after="80" w:line="240" w:lineRule="auto"/>
              <w:contextualSpacing w:val="0"/>
              <w:rPr>
                <w:sz w:val="20"/>
                <w:szCs w:val="20"/>
              </w:rPr>
            </w:pPr>
            <w:r w:rsidRPr="0057645F">
              <w:rPr>
                <w:sz w:val="20"/>
                <w:szCs w:val="20"/>
              </w:rPr>
              <w:t>increasing</w:t>
            </w:r>
          </w:p>
        </w:tc>
        <w:tc>
          <w:tcPr>
            <w:tcW w:w="2736" w:type="pct"/>
            <w:shd w:val="clear" w:color="auto" w:fill="auto"/>
          </w:tcPr>
          <w:p w14:paraId="177B1F90" w14:textId="4C0F9476" w:rsidR="00B52F94" w:rsidRPr="0057645F" w:rsidRDefault="00B52F94" w:rsidP="006C43B5">
            <w:pPr>
              <w:spacing w:before="80" w:after="80" w:line="240" w:lineRule="auto"/>
              <w:rPr>
                <w:sz w:val="20"/>
                <w:szCs w:val="20"/>
              </w:rPr>
            </w:pPr>
            <w:r w:rsidRPr="0057645F">
              <w:rPr>
                <w:sz w:val="20"/>
                <w:szCs w:val="20"/>
              </w:rPr>
              <w:t>SLR along with increased wave energy along Southern Australian coastline and increased storm surge activity</w:t>
            </w:r>
            <w:r w:rsidR="00F8355D" w:rsidRPr="0057645F">
              <w:rPr>
                <w:sz w:val="20"/>
                <w:szCs w:val="20"/>
              </w:rPr>
              <w:t xml:space="preserve"> </w:t>
            </w:r>
            <w:r w:rsidR="004077E0" w:rsidRPr="0057645F">
              <w:rPr>
                <w:sz w:val="20"/>
                <w:szCs w:val="20"/>
              </w:rPr>
              <w:t xml:space="preserve">(e.g. </w:t>
            </w:r>
            <w:r w:rsidR="00F8355D" w:rsidRPr="0057645F">
              <w:rPr>
                <w:sz w:val="20"/>
                <w:szCs w:val="20"/>
              </w:rPr>
              <w:t>ELR)</w:t>
            </w:r>
            <w:r w:rsidRPr="0057645F">
              <w:rPr>
                <w:sz w:val="20"/>
                <w:szCs w:val="20"/>
              </w:rPr>
              <w:t xml:space="preserve"> leading to</w:t>
            </w:r>
            <w:r w:rsidR="004077E0" w:rsidRPr="0057645F">
              <w:rPr>
                <w:sz w:val="20"/>
                <w:szCs w:val="20"/>
              </w:rPr>
              <w:t>:</w:t>
            </w:r>
            <w:r w:rsidRPr="0057645F">
              <w:rPr>
                <w:sz w:val="20"/>
                <w:szCs w:val="20"/>
              </w:rPr>
              <w:t xml:space="preserve"> </w:t>
            </w:r>
          </w:p>
          <w:p w14:paraId="69768910" w14:textId="655124D4" w:rsidR="00B52F94" w:rsidRPr="0057645F" w:rsidRDefault="004077E0" w:rsidP="006C43B5">
            <w:pPr>
              <w:pStyle w:val="ListParagraph"/>
              <w:numPr>
                <w:ilvl w:val="0"/>
                <w:numId w:val="71"/>
              </w:numPr>
              <w:spacing w:before="80" w:after="80" w:line="240" w:lineRule="auto"/>
              <w:contextualSpacing w:val="0"/>
              <w:rPr>
                <w:sz w:val="20"/>
                <w:szCs w:val="20"/>
              </w:rPr>
            </w:pPr>
            <w:r w:rsidRPr="0057645F">
              <w:rPr>
                <w:sz w:val="20"/>
                <w:szCs w:val="20"/>
              </w:rPr>
              <w:t>i</w:t>
            </w:r>
            <w:r w:rsidR="00B52F94" w:rsidRPr="0057645F">
              <w:rPr>
                <w:sz w:val="20"/>
                <w:szCs w:val="20"/>
              </w:rPr>
              <w:t>ncreased marine incursions and “marinisation” of the Murray Mouth, Coorong, and Lower Lakes; in turn resulting in degraded or reduced habitat, declines and/or mortality in biodiversity, and changes to community structure and function</w:t>
            </w:r>
          </w:p>
          <w:p w14:paraId="03751C08"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increased incursion and establishment of marine pest species (including pathogens)</w:t>
            </w:r>
          </w:p>
          <w:p w14:paraId="3EC123FE" w14:textId="77777777" w:rsidR="00B52F94"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t>changes to hydrological function of estuarine components resulting in reduced habitat and/or ecological function (e.g. loss of salt-wedge formation)</w:t>
            </w:r>
          </w:p>
          <w:p w14:paraId="128E8CE3" w14:textId="4C29F2E6" w:rsidR="001F6E65" w:rsidRPr="0057645F" w:rsidRDefault="00B52F94" w:rsidP="006C43B5">
            <w:pPr>
              <w:pStyle w:val="ListParagraph"/>
              <w:numPr>
                <w:ilvl w:val="0"/>
                <w:numId w:val="71"/>
              </w:numPr>
              <w:spacing w:before="80" w:after="80" w:line="240" w:lineRule="auto"/>
              <w:contextualSpacing w:val="0"/>
              <w:rPr>
                <w:sz w:val="20"/>
                <w:szCs w:val="20"/>
              </w:rPr>
            </w:pPr>
            <w:r w:rsidRPr="0057645F">
              <w:rPr>
                <w:sz w:val="20"/>
                <w:szCs w:val="20"/>
              </w:rPr>
              <w:lastRenderedPageBreak/>
              <w:t>long-term increased salinity and water levels of Lower Lakes resulting in reduced habitat and impacts to ecology, phenology and recruitment of biodiversity, particularly aquatic plants and small bodied fish</w:t>
            </w:r>
          </w:p>
        </w:tc>
        <w:tc>
          <w:tcPr>
            <w:tcW w:w="990" w:type="pct"/>
            <w:shd w:val="clear" w:color="auto" w:fill="auto"/>
          </w:tcPr>
          <w:p w14:paraId="01BF8A21" w14:textId="5B0BB0AE" w:rsidR="00B52F94" w:rsidRPr="00121DE0" w:rsidRDefault="00B52F94" w:rsidP="006C43B5">
            <w:pPr>
              <w:pStyle w:val="Tabletext"/>
              <w:rPr>
                <w:sz w:val="20"/>
                <w:szCs w:val="20"/>
              </w:rPr>
            </w:pPr>
            <w:r w:rsidRPr="00121DE0">
              <w:rPr>
                <w:sz w:val="20"/>
                <w:szCs w:val="20"/>
              </w:rPr>
              <w:lastRenderedPageBreak/>
              <w:t xml:space="preserve">Newton 2009; Colberg et al. 2019; Chiew et al. 2020; Tibby et al. 2021; Lawrence et al. 2022; </w:t>
            </w:r>
            <w:r w:rsidR="00883BBC" w:rsidRPr="00121DE0">
              <w:rPr>
                <w:sz w:val="20"/>
                <w:szCs w:val="20"/>
              </w:rPr>
              <w:t xml:space="preserve">Ward et al. 2022; </w:t>
            </w:r>
            <w:r w:rsidRPr="00121DE0">
              <w:rPr>
                <w:sz w:val="20"/>
                <w:szCs w:val="20"/>
              </w:rPr>
              <w:t xml:space="preserve">BOM &amp; CSIRO 2023; IPCC 2023 </w:t>
            </w:r>
          </w:p>
        </w:tc>
      </w:tr>
      <w:tr w:rsidR="00B52F94" w:rsidRPr="0057645F" w14:paraId="161573C0" w14:textId="77777777" w:rsidTr="00B91F4B">
        <w:tc>
          <w:tcPr>
            <w:tcW w:w="5000" w:type="pct"/>
            <w:gridSpan w:val="4"/>
            <w:shd w:val="clear" w:color="auto" w:fill="FFF2CC" w:themeFill="accent4" w:themeFillTint="33"/>
          </w:tcPr>
          <w:p w14:paraId="4D3F726C" w14:textId="77BD2635" w:rsidR="00B52F94" w:rsidRPr="0057645F" w:rsidRDefault="00DE4087" w:rsidP="006C43B5">
            <w:pPr>
              <w:keepLines/>
              <w:spacing w:before="80" w:after="80"/>
              <w:rPr>
                <w:rFonts w:cstheme="minorHAnsi"/>
                <w:b/>
                <w:bCs/>
                <w:sz w:val="28"/>
                <w:szCs w:val="28"/>
              </w:rPr>
            </w:pPr>
            <w:r w:rsidRPr="0057645F">
              <w:rPr>
                <w:rFonts w:cstheme="minorHAnsi"/>
                <w:b/>
                <w:bCs/>
                <w:sz w:val="28"/>
                <w:szCs w:val="28"/>
              </w:rPr>
              <w:t xml:space="preserve">Hydrology </w:t>
            </w:r>
            <w:r w:rsidR="00B52F94" w:rsidRPr="0057645F">
              <w:rPr>
                <w:rFonts w:cstheme="minorHAnsi"/>
                <w:b/>
                <w:bCs/>
                <w:sz w:val="28"/>
                <w:szCs w:val="28"/>
              </w:rPr>
              <w:t>related threats</w:t>
            </w:r>
          </w:p>
        </w:tc>
      </w:tr>
      <w:tr w:rsidR="00830CBF" w:rsidRPr="0057645F" w14:paraId="57412758" w14:textId="77777777" w:rsidTr="00B91F4B">
        <w:tc>
          <w:tcPr>
            <w:tcW w:w="755" w:type="pct"/>
          </w:tcPr>
          <w:p w14:paraId="50065069" w14:textId="77777777" w:rsidR="00B52F94" w:rsidRPr="0057645F" w:rsidRDefault="00B52F94" w:rsidP="006C43B5">
            <w:pPr>
              <w:spacing w:before="80" w:after="80"/>
              <w:rPr>
                <w:rFonts w:cstheme="minorHAnsi"/>
              </w:rPr>
            </w:pPr>
            <w:r w:rsidRPr="0057645F">
              <w:rPr>
                <w:rFonts w:cstheme="minorHAnsi"/>
                <w:b/>
                <w:bCs/>
              </w:rPr>
              <w:t>Flow</w:t>
            </w:r>
            <w:r w:rsidRPr="0057645F">
              <w:rPr>
                <w:rFonts w:cstheme="minorHAnsi"/>
              </w:rPr>
              <w:t xml:space="preserve"> – changes to hydrologic regimes</w:t>
            </w:r>
          </w:p>
          <w:p w14:paraId="1D47A6CF" w14:textId="155A4AED" w:rsidR="00B52F94" w:rsidRPr="0057645F" w:rsidRDefault="00B52F94" w:rsidP="006C43B5">
            <w:pPr>
              <w:spacing w:before="80" w:after="80"/>
              <w:rPr>
                <w:rFonts w:cstheme="minorHAnsi"/>
                <w:sz w:val="24"/>
                <w:szCs w:val="24"/>
              </w:rPr>
            </w:pPr>
          </w:p>
        </w:tc>
        <w:tc>
          <w:tcPr>
            <w:tcW w:w="518" w:type="pct"/>
          </w:tcPr>
          <w:p w14:paraId="60D724CB"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extreme</w:t>
            </w:r>
          </w:p>
          <w:p w14:paraId="38AB7888"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 xml:space="preserve"> ongoing</w:t>
            </w:r>
          </w:p>
          <w:p w14:paraId="253BCBC1" w14:textId="1775A754" w:rsidR="00B52F94" w:rsidRPr="0057645F" w:rsidRDefault="0005263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w:t>
            </w:r>
            <w:r w:rsidR="00B52F94" w:rsidRPr="0057645F">
              <w:rPr>
                <w:rFonts w:cstheme="minorHAnsi"/>
                <w:sz w:val="20"/>
                <w:szCs w:val="20"/>
              </w:rPr>
              <w:t>hole</w:t>
            </w:r>
          </w:p>
          <w:p w14:paraId="46F66651" w14:textId="6FD413CB" w:rsidR="00052634" w:rsidRPr="0057645F" w:rsidRDefault="00E72E5C"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p w14:paraId="0204767F" w14:textId="77777777" w:rsidR="00B52F94" w:rsidRPr="0057645F" w:rsidRDefault="00B52F94" w:rsidP="006C43B5">
            <w:pPr>
              <w:spacing w:before="80" w:after="80"/>
              <w:rPr>
                <w:rFonts w:cstheme="minorHAnsi"/>
                <w:sz w:val="20"/>
                <w:szCs w:val="20"/>
              </w:rPr>
            </w:pPr>
          </w:p>
        </w:tc>
        <w:tc>
          <w:tcPr>
            <w:tcW w:w="2736" w:type="pct"/>
          </w:tcPr>
          <w:p w14:paraId="00428F47" w14:textId="17A0FCDD"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w:t>
            </w:r>
            <w:r w:rsidRPr="0057645F">
              <w:rPr>
                <w:i/>
                <w:iCs/>
                <w:sz w:val="20"/>
                <w:szCs w:val="20"/>
              </w:rPr>
              <w:t>Variability of flows at temporal scales from hours to decades influence habitat availability and quality at spatial scales from micro-habitat to catchment and is fundamental in shaping ecological patterns and processes.”</w:t>
            </w:r>
            <w:r w:rsidRPr="0057645F">
              <w:rPr>
                <w:sz w:val="20"/>
                <w:szCs w:val="20"/>
              </w:rPr>
              <w:t xml:space="preserve"> Keith F Walker 2006 (TSSC member 2008 – 2013)</w:t>
            </w:r>
          </w:p>
          <w:p w14:paraId="147F3F8F"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reduced variability of flow reduces the number of ‘small floods’ and ‘small droughts’ while big droughts and big floods still occur</w:t>
            </w:r>
          </w:p>
          <w:p w14:paraId="70B6143A"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reduced flow variability reduces the number of the more ephemeral component swamps and increases the perennial nature of intermittent and seasonal component swamps; this in turn leads to a reduction in nutrient cycling which impacts biodiversity</w:t>
            </w:r>
          </w:p>
          <w:p w14:paraId="1432E95D"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under natural conditions, the median flow to the sea at the Murray Mouth was 11,880 GL per annum; flow declined to 21% (under natural conditions) by 1994</w:t>
            </w:r>
          </w:p>
          <w:p w14:paraId="002F44AB"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 xml:space="preserve">the Lower Murray now experiences drought-like flows in over 60% of years, compared with 5% under natural conditions </w:t>
            </w:r>
          </w:p>
          <w:p w14:paraId="306A0A38"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declines in water availability and riverine flow (from declining rainfall and increased evaporative loss) impact a range of biodiversity and ecological functioning</w:t>
            </w:r>
          </w:p>
          <w:p w14:paraId="6F16E5BA"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change in sequencing of rainfall events may be as important as magnitude of events for hydrological impact on ecology and biodiversity</w:t>
            </w:r>
          </w:p>
          <w:p w14:paraId="5C780190"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the integrity of riverine food webs, which relies on synchronised responses across trophic levels to a range of natural cues, mostly driven by flow, may be impacted</w:t>
            </w:r>
          </w:p>
          <w:p w14:paraId="02E0C7DC"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climate and catchment driven reductions in river flow combined with SLR and in-channel barriers may result in “estuarine squeeze” – loss of upper estuarine zones and potential loss of salinity stratification</w:t>
            </w:r>
          </w:p>
          <w:p w14:paraId="045FEE89"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low flows may facilitate algal blooms and lead to deoxygenation and/or fish death events</w:t>
            </w:r>
          </w:p>
          <w:p w14:paraId="6F4EA64E"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disruptions to life history strategies of aquatic species (i.e. these have evolved primarily in direct response to natural flow regimes)</w:t>
            </w:r>
          </w:p>
          <w:p w14:paraId="374EF96F"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lastRenderedPageBreak/>
              <w:t>changes may particularly impact fish through habitat loss and fragmentation, and loss of ecological cues from changed flow/hydrology impacting migration, breeding, and recruitment</w:t>
            </w:r>
          </w:p>
        </w:tc>
        <w:tc>
          <w:tcPr>
            <w:tcW w:w="990" w:type="pct"/>
          </w:tcPr>
          <w:p w14:paraId="6BC3F2A9" w14:textId="6A85F028" w:rsidR="00B52F94" w:rsidRPr="0057645F" w:rsidRDefault="00B52F94" w:rsidP="006C43B5">
            <w:pPr>
              <w:pStyle w:val="Tabletext"/>
              <w:rPr>
                <w:sz w:val="20"/>
                <w:szCs w:val="20"/>
              </w:rPr>
            </w:pPr>
            <w:r w:rsidRPr="0057645F">
              <w:rPr>
                <w:sz w:val="20"/>
                <w:szCs w:val="20"/>
              </w:rPr>
              <w:lastRenderedPageBreak/>
              <w:t xml:space="preserve">Puckridge et al 1998; Bunn &amp; Arthington 2002; Walker 2006; Leigh et al 2010; Morrongiello et al. 2011; Pratchett et al. 2011; Evans et al. 2016: </w:t>
            </w:r>
            <w:r w:rsidR="00F02D44" w:rsidRPr="0057645F">
              <w:rPr>
                <w:sz w:val="20"/>
                <w:szCs w:val="20"/>
              </w:rPr>
              <w:t xml:space="preserve">Kingston et al. 2016; </w:t>
            </w:r>
            <w:r w:rsidRPr="0057645F">
              <w:rPr>
                <w:sz w:val="20"/>
                <w:szCs w:val="20"/>
              </w:rPr>
              <w:t>Wedderburn et al. 2017; Furst et al. 2019; DEW 2020</w:t>
            </w:r>
            <w:r w:rsidR="00FB2AB6" w:rsidRPr="0057645F">
              <w:rPr>
                <w:sz w:val="20"/>
                <w:szCs w:val="20"/>
              </w:rPr>
              <w:t>b</w:t>
            </w:r>
            <w:r w:rsidRPr="0057645F">
              <w:rPr>
                <w:sz w:val="20"/>
                <w:szCs w:val="20"/>
              </w:rPr>
              <w:t>; Koehn et al 2020; Koster et al. 2020a, 2020b; Mallen-Cooper &amp; Zampatti 2020; Little et al. 2022</w:t>
            </w:r>
          </w:p>
        </w:tc>
      </w:tr>
      <w:tr w:rsidR="00830CBF" w:rsidRPr="0057645F" w14:paraId="4FF4430D" w14:textId="77777777" w:rsidTr="00B91F4B">
        <w:tc>
          <w:tcPr>
            <w:tcW w:w="755" w:type="pct"/>
          </w:tcPr>
          <w:p w14:paraId="798F2ECF" w14:textId="77777777" w:rsidR="00B52F94" w:rsidRPr="0057645F" w:rsidRDefault="00B52F94" w:rsidP="006C43B5">
            <w:pPr>
              <w:spacing w:before="80" w:after="80"/>
              <w:rPr>
                <w:rFonts w:cstheme="minorHAnsi"/>
                <w:b/>
                <w:bCs/>
              </w:rPr>
            </w:pPr>
            <w:r w:rsidRPr="0057645F">
              <w:rPr>
                <w:rFonts w:cstheme="minorHAnsi"/>
                <w:b/>
                <w:bCs/>
              </w:rPr>
              <w:t>Extraction of</w:t>
            </w:r>
            <w:r w:rsidRPr="0057645F">
              <w:rPr>
                <w:rFonts w:cstheme="minorHAnsi"/>
              </w:rPr>
              <w:t xml:space="preserve"> </w:t>
            </w:r>
            <w:r w:rsidRPr="0057645F">
              <w:rPr>
                <w:rFonts w:cstheme="minorHAnsi"/>
                <w:b/>
                <w:bCs/>
              </w:rPr>
              <w:t xml:space="preserve">surface water </w:t>
            </w:r>
          </w:p>
          <w:p w14:paraId="0503C539" w14:textId="7DA98B28" w:rsidR="00B52F94" w:rsidRPr="0057645F" w:rsidRDefault="00B52F94" w:rsidP="006C43B5">
            <w:pPr>
              <w:spacing w:before="80" w:after="80"/>
              <w:rPr>
                <w:rFonts w:cstheme="minorHAnsi"/>
                <w:i/>
                <w:iCs/>
                <w:sz w:val="20"/>
                <w:szCs w:val="20"/>
              </w:rPr>
            </w:pPr>
          </w:p>
        </w:tc>
        <w:tc>
          <w:tcPr>
            <w:tcW w:w="518" w:type="pct"/>
          </w:tcPr>
          <w:p w14:paraId="7CB1BF4B"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extreme</w:t>
            </w:r>
          </w:p>
          <w:p w14:paraId="4A04AB2A"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48C5FE2D"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majority</w:t>
            </w:r>
          </w:p>
          <w:p w14:paraId="30273B1B" w14:textId="3C9A11CC" w:rsidR="00632CFF" w:rsidRPr="0057645F" w:rsidRDefault="00632CF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6C135445" w14:textId="77777777" w:rsidR="00B52F94" w:rsidRPr="0057645F" w:rsidRDefault="00B52F94" w:rsidP="006C43B5">
            <w:pPr>
              <w:pStyle w:val="ListParagraph"/>
              <w:numPr>
                <w:ilvl w:val="0"/>
                <w:numId w:val="72"/>
              </w:numPr>
              <w:spacing w:before="80" w:after="80" w:line="240" w:lineRule="auto"/>
              <w:contextualSpacing w:val="0"/>
              <w:rPr>
                <w:rFonts w:cstheme="minorHAnsi"/>
                <w:sz w:val="20"/>
                <w:szCs w:val="20"/>
              </w:rPr>
            </w:pPr>
            <w:r w:rsidRPr="0057645F">
              <w:rPr>
                <w:rFonts w:cstheme="minorHAnsi"/>
                <w:sz w:val="20"/>
                <w:szCs w:val="20"/>
              </w:rPr>
              <w:t>long-term history and increasing trend due mainly to agriculture and horticulture, with lower proportions for drinking water—reduces amount of water in system for: creating habitat, flow and water quality related phenological and physiological cues, and ecological and hydrological function</w:t>
            </w:r>
          </w:p>
          <w:p w14:paraId="3C94D6A0" w14:textId="77777777" w:rsidR="00B52F94" w:rsidRPr="0057645F" w:rsidRDefault="00B52F94" w:rsidP="006C43B5">
            <w:pPr>
              <w:pStyle w:val="ListParagraph"/>
              <w:numPr>
                <w:ilvl w:val="0"/>
                <w:numId w:val="72"/>
              </w:numPr>
              <w:spacing w:before="80" w:after="80" w:line="240" w:lineRule="auto"/>
              <w:contextualSpacing w:val="0"/>
              <w:rPr>
                <w:rFonts w:cstheme="minorHAnsi"/>
                <w:sz w:val="20"/>
                <w:szCs w:val="20"/>
              </w:rPr>
            </w:pPr>
            <w:r w:rsidRPr="0057645F">
              <w:rPr>
                <w:rFonts w:cstheme="minorHAnsi"/>
                <w:sz w:val="20"/>
                <w:szCs w:val="20"/>
              </w:rPr>
              <w:t>loss of connectivity between channel and anabranches and floodplain</w:t>
            </w:r>
          </w:p>
          <w:p w14:paraId="34FA7FD5" w14:textId="77777777" w:rsidR="00B52F94" w:rsidRPr="0057645F" w:rsidRDefault="00B52F94" w:rsidP="006C43B5">
            <w:pPr>
              <w:pStyle w:val="ListParagraph"/>
              <w:numPr>
                <w:ilvl w:val="0"/>
                <w:numId w:val="72"/>
              </w:numPr>
              <w:spacing w:before="80" w:after="80" w:line="240" w:lineRule="auto"/>
              <w:contextualSpacing w:val="0"/>
              <w:rPr>
                <w:rFonts w:cstheme="minorHAnsi"/>
                <w:sz w:val="20"/>
                <w:szCs w:val="20"/>
              </w:rPr>
            </w:pPr>
            <w:r w:rsidRPr="0057645F">
              <w:rPr>
                <w:rFonts w:cstheme="minorHAnsi"/>
                <w:sz w:val="20"/>
                <w:szCs w:val="20"/>
              </w:rPr>
              <w:t xml:space="preserve">has reduced frequency and magnitude of flows to the Murray Mouth </w:t>
            </w:r>
          </w:p>
          <w:p w14:paraId="0906E1B4" w14:textId="77777777" w:rsidR="00B52F94" w:rsidRPr="0057645F" w:rsidRDefault="00B52F94" w:rsidP="006C43B5">
            <w:pPr>
              <w:pStyle w:val="ListParagraph"/>
              <w:numPr>
                <w:ilvl w:val="0"/>
                <w:numId w:val="72"/>
              </w:numPr>
              <w:spacing w:before="80" w:after="80" w:line="240" w:lineRule="auto"/>
              <w:contextualSpacing w:val="0"/>
              <w:rPr>
                <w:rFonts w:cstheme="minorHAnsi"/>
                <w:sz w:val="20"/>
                <w:szCs w:val="20"/>
              </w:rPr>
            </w:pPr>
            <w:r w:rsidRPr="0057645F">
              <w:rPr>
                <w:rFonts w:cstheme="minorHAnsi"/>
                <w:sz w:val="20"/>
                <w:szCs w:val="20"/>
              </w:rPr>
              <w:t>loss of aquatic and floodplain vegetation</w:t>
            </w:r>
          </w:p>
          <w:p w14:paraId="680D6944" w14:textId="77777777" w:rsidR="00B52F94" w:rsidRPr="0057645F" w:rsidRDefault="00B52F94" w:rsidP="006C43B5">
            <w:pPr>
              <w:pStyle w:val="ListParagraph"/>
              <w:numPr>
                <w:ilvl w:val="0"/>
                <w:numId w:val="72"/>
              </w:numPr>
              <w:spacing w:before="80" w:after="80" w:line="240" w:lineRule="auto"/>
              <w:contextualSpacing w:val="0"/>
              <w:rPr>
                <w:rFonts w:cstheme="minorHAnsi"/>
                <w:sz w:val="20"/>
                <w:szCs w:val="20"/>
              </w:rPr>
            </w:pPr>
            <w:r w:rsidRPr="0057645F">
              <w:rPr>
                <w:rFonts w:cstheme="minorHAnsi"/>
                <w:sz w:val="20"/>
                <w:szCs w:val="20"/>
              </w:rPr>
              <w:t>loss of refugia habitat</w:t>
            </w:r>
          </w:p>
        </w:tc>
        <w:tc>
          <w:tcPr>
            <w:tcW w:w="990" w:type="pct"/>
          </w:tcPr>
          <w:p w14:paraId="658C3C5A" w14:textId="7FE15E93" w:rsidR="00B52F94" w:rsidRPr="0057645F" w:rsidRDefault="00B52F94" w:rsidP="006C43B5">
            <w:pPr>
              <w:pStyle w:val="Tabletext"/>
              <w:rPr>
                <w:rFonts w:cstheme="minorHAnsi"/>
                <w:sz w:val="20"/>
                <w:szCs w:val="20"/>
              </w:rPr>
            </w:pPr>
            <w:r w:rsidRPr="0057645F">
              <w:rPr>
                <w:sz w:val="20"/>
                <w:szCs w:val="20"/>
              </w:rPr>
              <w:t>Close 1990a; Eastburn 1990; Jacobs 1990; MDBC 2003b; MDBC 2006a; CSIRO 2008; MDBA 2009; MDBA 2010b; Wilson et al. 2010; Blacke et al. 2012; Berube &amp; Rochefort 2018; Australian Academy of Science 2019; Koehn et al 2020; Rowland et al. 2023</w:t>
            </w:r>
          </w:p>
        </w:tc>
      </w:tr>
      <w:tr w:rsidR="00830CBF" w:rsidRPr="0057645F" w14:paraId="74B52BBD" w14:textId="77777777" w:rsidTr="00B91F4B">
        <w:tc>
          <w:tcPr>
            <w:tcW w:w="755" w:type="pct"/>
          </w:tcPr>
          <w:p w14:paraId="68BD3B50" w14:textId="77777777" w:rsidR="00B52F94" w:rsidRPr="0057645F" w:rsidRDefault="00B52F94" w:rsidP="006C43B5">
            <w:pPr>
              <w:spacing w:before="80" w:after="80"/>
              <w:rPr>
                <w:rFonts w:cstheme="minorHAnsi"/>
                <w:b/>
                <w:bCs/>
              </w:rPr>
            </w:pPr>
            <w:r w:rsidRPr="0057645F">
              <w:rPr>
                <w:rFonts w:cstheme="minorHAnsi"/>
                <w:b/>
                <w:bCs/>
              </w:rPr>
              <w:t>River regulation</w:t>
            </w:r>
            <w:r w:rsidRPr="0057645F">
              <w:rPr>
                <w:rFonts w:cstheme="minorHAnsi"/>
              </w:rPr>
              <w:t xml:space="preserve"> </w:t>
            </w:r>
            <w:r w:rsidRPr="0057645F">
              <w:rPr>
                <w:rFonts w:cstheme="minorHAnsi"/>
                <w:b/>
                <w:bCs/>
              </w:rPr>
              <w:t>and infrastructure</w:t>
            </w:r>
          </w:p>
          <w:p w14:paraId="3E9953FD" w14:textId="6C4C8BBE" w:rsidR="00B52F94" w:rsidRPr="0057645F" w:rsidRDefault="00B52F94" w:rsidP="006C43B5">
            <w:pPr>
              <w:spacing w:before="80" w:after="80"/>
              <w:rPr>
                <w:rFonts w:cstheme="minorHAnsi"/>
                <w:i/>
                <w:iCs/>
                <w:sz w:val="20"/>
                <w:szCs w:val="20"/>
              </w:rPr>
            </w:pPr>
          </w:p>
        </w:tc>
        <w:tc>
          <w:tcPr>
            <w:tcW w:w="518" w:type="pct"/>
          </w:tcPr>
          <w:p w14:paraId="1B37E847"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4AD6BDB0"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5F702ADA"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2B37F73C" w14:textId="682F6E36" w:rsidR="00632CFF" w:rsidRPr="0057645F" w:rsidRDefault="00632CF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1D147AA9" w14:textId="4F6BA342" w:rsidR="00B52F94" w:rsidRPr="0057645F" w:rsidRDefault="002E59E4" w:rsidP="006C43B5">
            <w:pPr>
              <w:spacing w:before="80" w:after="80" w:line="240" w:lineRule="auto"/>
              <w:rPr>
                <w:rFonts w:cstheme="minorHAnsi"/>
                <w:sz w:val="20"/>
                <w:szCs w:val="20"/>
              </w:rPr>
            </w:pPr>
            <w:r w:rsidRPr="0057645F">
              <w:rPr>
                <w:rFonts w:cstheme="minorHAnsi"/>
                <w:sz w:val="20"/>
                <w:szCs w:val="20"/>
              </w:rPr>
              <w:t xml:space="preserve">Note: </w:t>
            </w:r>
            <w:r w:rsidR="00B52F94" w:rsidRPr="0057645F">
              <w:rPr>
                <w:rFonts w:cstheme="minorHAnsi"/>
                <w:sz w:val="20"/>
                <w:szCs w:val="20"/>
              </w:rPr>
              <w:t>Locks 1 (Blanchetown) to Lock 10 (near Wentworth) built between 1922 and 1935—except for very high flow conditions, the locks stabilise water levels and flow in the main channel and impact connectivity with the adjacent floodplain wetlands and woodlands</w:t>
            </w:r>
          </w:p>
          <w:p w14:paraId="35B27246"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stabilisation of water levels impacts:</w:t>
            </w:r>
          </w:p>
          <w:p w14:paraId="19D6A8D8" w14:textId="751EDF64"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 xml:space="preserve">riparian vegetation, with increased invasion of non-native species </w:t>
            </w:r>
            <w:r w:rsidR="007D7E8F" w:rsidRPr="0057645F">
              <w:rPr>
                <w:rFonts w:cstheme="minorHAnsi"/>
                <w:sz w:val="20"/>
                <w:szCs w:val="20"/>
              </w:rPr>
              <w:t>i</w:t>
            </w:r>
            <w:r w:rsidRPr="0057645F">
              <w:rPr>
                <w:rFonts w:cstheme="minorHAnsi"/>
                <w:sz w:val="20"/>
                <w:szCs w:val="20"/>
              </w:rPr>
              <w:t>n river channel</w:t>
            </w:r>
          </w:p>
          <w:p w14:paraId="5B182FE6"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biofilm formation, thus impacting foodweb dynamics</w:t>
            </w:r>
          </w:p>
          <w:p w14:paraId="49F264B1"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river channel transformed into a stepped gradient of ‘weir pools’, with deposition of sediments above each weir and erosion downstream, infilling of deep pools and scour holes; combined with extensive removal of snags, this has led to simplification of habitat diversity in the river channel</w:t>
            </w:r>
          </w:p>
          <w:p w14:paraId="730DC7D8" w14:textId="353EF745"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increased risk of algal blooms from weir pools with constant water levels which often stratify (particularly in summer) and have greater water clarity due to settling of sediment</w:t>
            </w:r>
          </w:p>
          <w:p w14:paraId="72B898BC" w14:textId="4BA0E46A"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regulation and infrastructure disrupt the natural ‘drying and wetting cycle’:</w:t>
            </w:r>
          </w:p>
          <w:p w14:paraId="2EC85A76"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floodplains and wetlands subjected to drying for a prolonged intervals due to regulation may not produce a ‘pulse’ of high productivity when floods occur (i.e. thereby limiting exchange of nutrients and the dispersal or recruitment of biota between the floodplain, wetlands and river channel)</w:t>
            </w:r>
          </w:p>
          <w:p w14:paraId="57432593"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lastRenderedPageBreak/>
              <w:t>conversely, prolonged inundation of wetlands may limit their ‘pulse’ of plant and animal growth associated with variable flooding and drying</w:t>
            </w:r>
          </w:p>
          <w:p w14:paraId="460567E5"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the weirs have extended the area of permanently flooded wetlands (including backwaters, sidearms, anabranches, lakes and billabongs), with their ephemeral nature lost for about 70% of these due to stable water levels in the weirs</w:t>
            </w:r>
          </w:p>
          <w:p w14:paraId="586FA0D2"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change in the timing of flows (and water depth) can adversely affect aquatic plants (which tend to be summer growing)</w:t>
            </w:r>
          </w:p>
          <w:p w14:paraId="4D796FF4"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regulation can lead to river bank erosion and destabilisation, for example: </w:t>
            </w:r>
          </w:p>
          <w:p w14:paraId="46C8D169"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extended periods of flow at near channel capacity (i.e. without overbank flow) during the irrigation season have formed an ‘erosion notch’ in the river bank</w:t>
            </w:r>
          </w:p>
          <w:p w14:paraId="211686F5"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rapid drawdown from saturated banks can cause sections to slump into the river</w:t>
            </w:r>
          </w:p>
          <w:p w14:paraId="7844285D" w14:textId="77777777" w:rsidR="00B52F94" w:rsidRPr="0057645F" w:rsidRDefault="00B52F94" w:rsidP="006C43B5">
            <w:pPr>
              <w:pStyle w:val="ListParagraph"/>
              <w:numPr>
                <w:ilvl w:val="1"/>
                <w:numId w:val="71"/>
              </w:numPr>
              <w:spacing w:before="80" w:after="80" w:line="240" w:lineRule="auto"/>
              <w:contextualSpacing w:val="0"/>
              <w:rPr>
                <w:rFonts w:cstheme="minorHAnsi"/>
                <w:sz w:val="20"/>
                <w:szCs w:val="20"/>
              </w:rPr>
            </w:pPr>
            <w:r w:rsidRPr="0057645F">
              <w:rPr>
                <w:rFonts w:cstheme="minorHAnsi"/>
                <w:sz w:val="20"/>
                <w:szCs w:val="20"/>
              </w:rPr>
              <w:t>increased flows can increase sediment transport, leading to increased scouring of bed and banks.</w:t>
            </w:r>
          </w:p>
          <w:p w14:paraId="69CD5CF0"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five barrages at the Murray Mouth were built between 1935 and 1940, creating a 7.6 km barrier; these are operated to maintain river level between the Lower Lakes and Loch 1, maintain the Lake levels at 0.75 m ASL, and isolate estuarine reaches of the system from the Lower Lakes</w:t>
            </w:r>
          </w:p>
          <w:p w14:paraId="0673456C"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the barrages have significantly changed the ecology of the Coorong, Lower Lakes and Murray Mouth—particularly in times of drought</w:t>
            </w:r>
          </w:p>
          <w:p w14:paraId="0F3AF8BC"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barrages and lochs historically create barriers to fish migration and passage; they have historically hindered diadromous fish species from completing their life cycle (i.e. no fishways for over 60-70 years)</w:t>
            </w:r>
          </w:p>
          <w:p w14:paraId="6464F61F" w14:textId="77777777" w:rsidR="00B52F94" w:rsidRPr="0057645F" w:rsidRDefault="00B52F94" w:rsidP="00526DF4">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levees and off-stream regulators used extensively along the system impacting connectivity of river and floodplain and altering bathymetry</w:t>
            </w:r>
          </w:p>
        </w:tc>
        <w:tc>
          <w:tcPr>
            <w:tcW w:w="990" w:type="pct"/>
          </w:tcPr>
          <w:p w14:paraId="1042FB73" w14:textId="03F631CE" w:rsidR="00B52F94" w:rsidRPr="0057645F" w:rsidRDefault="00B52F94" w:rsidP="006C43B5">
            <w:pPr>
              <w:pStyle w:val="Tabletext"/>
              <w:rPr>
                <w:sz w:val="20"/>
                <w:szCs w:val="20"/>
              </w:rPr>
            </w:pPr>
            <w:r w:rsidRPr="0057645F">
              <w:rPr>
                <w:sz w:val="20"/>
                <w:szCs w:val="20"/>
              </w:rPr>
              <w:lastRenderedPageBreak/>
              <w:t>Walker 1985, 1989, 2001, 2006;  Pressey</w:t>
            </w:r>
            <w:r w:rsidR="003D3130" w:rsidRPr="0057645F">
              <w:rPr>
                <w:sz w:val="20"/>
                <w:szCs w:val="20"/>
              </w:rPr>
              <w:t xml:space="preserve"> </w:t>
            </w:r>
            <w:r w:rsidRPr="0057645F">
              <w:rPr>
                <w:sz w:val="20"/>
                <w:szCs w:val="20"/>
              </w:rPr>
              <w:t>1986, 1990; Thoms &amp; Walker 1992; Walker and Thoms 1993; Walker et al. 1994; Maheshwari et al. 1995; Burns &amp; Walker 2000; Bunn and Arthington 2003; MDBC 2006a; MDBA 2011c, 2024; Wedderburn et al 2017</w:t>
            </w:r>
          </w:p>
        </w:tc>
      </w:tr>
      <w:tr w:rsidR="00830CBF" w:rsidRPr="0057645F" w14:paraId="585D1766" w14:textId="77777777" w:rsidTr="00B91F4B">
        <w:trPr>
          <w:trHeight w:val="2561"/>
        </w:trPr>
        <w:tc>
          <w:tcPr>
            <w:tcW w:w="755" w:type="pct"/>
          </w:tcPr>
          <w:p w14:paraId="655BDE01" w14:textId="77777777" w:rsidR="00B52F94" w:rsidRPr="0057645F" w:rsidRDefault="00B52F94" w:rsidP="006C43B5">
            <w:pPr>
              <w:spacing w:before="80" w:after="80"/>
              <w:rPr>
                <w:rFonts w:cstheme="minorHAnsi"/>
              </w:rPr>
            </w:pPr>
            <w:r w:rsidRPr="0057645F">
              <w:rPr>
                <w:rFonts w:cstheme="minorHAnsi"/>
                <w:b/>
                <w:bCs/>
              </w:rPr>
              <w:lastRenderedPageBreak/>
              <w:t>Extraction of</w:t>
            </w:r>
            <w:r w:rsidRPr="0057645F">
              <w:rPr>
                <w:rFonts w:cstheme="minorHAnsi"/>
              </w:rPr>
              <w:t xml:space="preserve"> </w:t>
            </w:r>
            <w:r w:rsidRPr="0057645F">
              <w:rPr>
                <w:rFonts w:cstheme="minorHAnsi"/>
                <w:b/>
                <w:bCs/>
              </w:rPr>
              <w:t xml:space="preserve">groundwater </w:t>
            </w:r>
          </w:p>
          <w:p w14:paraId="1060BF62" w14:textId="50A62496" w:rsidR="00B52F94" w:rsidRPr="0057645F" w:rsidRDefault="00B52F94" w:rsidP="006C43B5">
            <w:pPr>
              <w:spacing w:before="80" w:after="80"/>
              <w:rPr>
                <w:rFonts w:cstheme="minorHAnsi"/>
                <w:i/>
                <w:iCs/>
                <w:sz w:val="20"/>
                <w:szCs w:val="20"/>
              </w:rPr>
            </w:pPr>
          </w:p>
        </w:tc>
        <w:tc>
          <w:tcPr>
            <w:tcW w:w="518" w:type="pct"/>
          </w:tcPr>
          <w:p w14:paraId="6A9ABF1B"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4DA26AF7"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0B4543E0" w14:textId="77777777" w:rsidR="00B52F94" w:rsidRPr="0057645F" w:rsidRDefault="00E41C1D" w:rsidP="006C43B5">
            <w:pPr>
              <w:pStyle w:val="ListParagraph"/>
              <w:numPr>
                <w:ilvl w:val="0"/>
                <w:numId w:val="73"/>
              </w:numPr>
              <w:spacing w:before="80" w:after="80" w:line="240" w:lineRule="auto"/>
              <w:contextualSpacing w:val="0"/>
              <w:rPr>
                <w:rFonts w:cstheme="minorHAnsi"/>
              </w:rPr>
            </w:pPr>
            <w:r w:rsidRPr="0057645F">
              <w:rPr>
                <w:rFonts w:cstheme="minorHAnsi"/>
                <w:sz w:val="20"/>
                <w:szCs w:val="20"/>
              </w:rPr>
              <w:t>unknown</w:t>
            </w:r>
          </w:p>
          <w:p w14:paraId="6AEE5EBE" w14:textId="36FB85C6" w:rsidR="00761315" w:rsidRPr="0057645F" w:rsidRDefault="00761315" w:rsidP="006C43B5">
            <w:pPr>
              <w:pStyle w:val="ListParagraph"/>
              <w:numPr>
                <w:ilvl w:val="0"/>
                <w:numId w:val="73"/>
              </w:numPr>
              <w:spacing w:before="80" w:after="80" w:line="240" w:lineRule="auto"/>
              <w:contextualSpacing w:val="0"/>
              <w:rPr>
                <w:rFonts w:cstheme="minorHAnsi"/>
              </w:rPr>
            </w:pPr>
            <w:r w:rsidRPr="0057645F">
              <w:rPr>
                <w:rFonts w:cstheme="minorHAnsi"/>
                <w:sz w:val="20"/>
                <w:szCs w:val="20"/>
              </w:rPr>
              <w:t>increasing</w:t>
            </w:r>
          </w:p>
        </w:tc>
        <w:tc>
          <w:tcPr>
            <w:tcW w:w="2736" w:type="pct"/>
          </w:tcPr>
          <w:p w14:paraId="55B59722" w14:textId="26B1D432" w:rsidR="00B52F94" w:rsidRPr="0057645F" w:rsidRDefault="006F52B3"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w:t>
            </w:r>
            <w:r w:rsidR="00B52F94" w:rsidRPr="0057645F">
              <w:rPr>
                <w:rFonts w:cstheme="minorHAnsi"/>
                <w:sz w:val="20"/>
                <w:szCs w:val="20"/>
              </w:rPr>
              <w:t>ncreasing trend due to mining and agriculture resulting in rising salinity and poor water quality</w:t>
            </w:r>
          </w:p>
          <w:p w14:paraId="3273D3C9"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loss of stygofauna</w:t>
            </w:r>
          </w:p>
          <w:p w14:paraId="20909718"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longer timeframes for recharge of groundwater which may also feed via springs into river channels and wetlands</w:t>
            </w:r>
          </w:p>
        </w:tc>
        <w:tc>
          <w:tcPr>
            <w:tcW w:w="990" w:type="pct"/>
          </w:tcPr>
          <w:p w14:paraId="290D8753" w14:textId="2ADE5A0E" w:rsidR="00B52F94" w:rsidRPr="0057645F" w:rsidRDefault="00B52F94" w:rsidP="006C43B5">
            <w:pPr>
              <w:pStyle w:val="Tabletext"/>
              <w:rPr>
                <w:sz w:val="20"/>
                <w:szCs w:val="20"/>
              </w:rPr>
            </w:pPr>
            <w:r w:rsidRPr="0057645F">
              <w:rPr>
                <w:sz w:val="20"/>
                <w:szCs w:val="20"/>
              </w:rPr>
              <w:t xml:space="preserve">Evans and Kellett 1989; SAMDBNRM Board 2010a; </w:t>
            </w:r>
            <w:r w:rsidR="000C0830" w:rsidRPr="0057645F">
              <w:rPr>
                <w:sz w:val="20"/>
                <w:szCs w:val="20"/>
              </w:rPr>
              <w:t xml:space="preserve">Berens et al. 2013; </w:t>
            </w:r>
            <w:r w:rsidR="00095EB7" w:rsidRPr="0057645F">
              <w:rPr>
                <w:sz w:val="20"/>
                <w:szCs w:val="20"/>
              </w:rPr>
              <w:t xml:space="preserve">Nelson 2013; </w:t>
            </w:r>
            <w:r w:rsidR="0050670D" w:rsidRPr="0057645F">
              <w:rPr>
                <w:sz w:val="20"/>
                <w:szCs w:val="20"/>
              </w:rPr>
              <w:t xml:space="preserve">Goonan et al. 2015; </w:t>
            </w:r>
            <w:r w:rsidR="005A028A" w:rsidRPr="0057645F">
              <w:rPr>
                <w:sz w:val="20"/>
                <w:szCs w:val="20"/>
              </w:rPr>
              <w:t>DEW 2020</w:t>
            </w:r>
            <w:r w:rsidR="002A799E" w:rsidRPr="0057645F">
              <w:rPr>
                <w:sz w:val="20"/>
                <w:szCs w:val="20"/>
              </w:rPr>
              <w:t>d;</w:t>
            </w:r>
            <w:r w:rsidR="005A028A" w:rsidRPr="0057645F">
              <w:rPr>
                <w:sz w:val="20"/>
                <w:szCs w:val="20"/>
              </w:rPr>
              <w:t xml:space="preserve"> </w:t>
            </w:r>
            <w:r w:rsidR="0050670D" w:rsidRPr="0057645F">
              <w:rPr>
                <w:sz w:val="20"/>
                <w:szCs w:val="20"/>
              </w:rPr>
              <w:t xml:space="preserve">Becher et al. 2022; </w:t>
            </w:r>
            <w:r w:rsidR="00E51811" w:rsidRPr="0057645F">
              <w:rPr>
                <w:sz w:val="20"/>
                <w:szCs w:val="20"/>
              </w:rPr>
              <w:t xml:space="preserve">Cook et al. 2022; </w:t>
            </w:r>
            <w:r w:rsidR="0050670D" w:rsidRPr="0057645F">
              <w:rPr>
                <w:sz w:val="20"/>
                <w:szCs w:val="20"/>
              </w:rPr>
              <w:t xml:space="preserve">Hose et al. 2022; </w:t>
            </w:r>
            <w:r w:rsidRPr="0057645F">
              <w:rPr>
                <w:sz w:val="20"/>
                <w:szCs w:val="20"/>
              </w:rPr>
              <w:t>Ross et al. 2022; Crosbie et al. 2023</w:t>
            </w:r>
            <w:r w:rsidR="005B2A38" w:rsidRPr="0057645F">
              <w:rPr>
                <w:sz w:val="20"/>
                <w:szCs w:val="20"/>
              </w:rPr>
              <w:t>; Dobel et al. 2024</w:t>
            </w:r>
            <w:r w:rsidR="00974DE4" w:rsidRPr="0057645F">
              <w:rPr>
                <w:sz w:val="20"/>
                <w:szCs w:val="20"/>
              </w:rPr>
              <w:t>; Ross &amp; Williams 2024</w:t>
            </w:r>
          </w:p>
          <w:p w14:paraId="66013BB9" w14:textId="540FF4EA" w:rsidR="00C00442" w:rsidRPr="0057645F" w:rsidRDefault="00C00442" w:rsidP="006C43B5">
            <w:pPr>
              <w:spacing w:before="80" w:after="80"/>
              <w:rPr>
                <w:rFonts w:cstheme="minorHAnsi"/>
                <w:sz w:val="20"/>
                <w:szCs w:val="20"/>
              </w:rPr>
            </w:pPr>
          </w:p>
        </w:tc>
      </w:tr>
      <w:tr w:rsidR="00830CBF" w:rsidRPr="0057645F" w14:paraId="32146697" w14:textId="77777777" w:rsidTr="00B91F4B">
        <w:tc>
          <w:tcPr>
            <w:tcW w:w="755" w:type="pct"/>
          </w:tcPr>
          <w:p w14:paraId="0657932D" w14:textId="54A79CCA" w:rsidR="00B52F94" w:rsidRPr="0057645F" w:rsidRDefault="00B52F94" w:rsidP="006C43B5">
            <w:pPr>
              <w:spacing w:before="80" w:after="80"/>
              <w:rPr>
                <w:rFonts w:cstheme="minorHAnsi"/>
              </w:rPr>
            </w:pPr>
            <w:r w:rsidRPr="0057645F">
              <w:rPr>
                <w:rFonts w:cstheme="minorHAnsi"/>
                <w:b/>
                <w:bCs/>
              </w:rPr>
              <w:t>Murray Mouth closure</w:t>
            </w:r>
            <w:r w:rsidRPr="0057645F">
              <w:rPr>
                <w:rFonts w:cstheme="minorHAnsi"/>
              </w:rPr>
              <w:t xml:space="preserve"> and lack of flow to MM</w:t>
            </w:r>
          </w:p>
          <w:p w14:paraId="68B5E722" w14:textId="0D2D3C1D" w:rsidR="00B52F94" w:rsidRPr="0057645F" w:rsidRDefault="00B52F94" w:rsidP="006C43B5">
            <w:pPr>
              <w:spacing w:before="80" w:after="80"/>
              <w:rPr>
                <w:rFonts w:cstheme="minorHAnsi"/>
                <w:i/>
                <w:iCs/>
                <w:sz w:val="20"/>
                <w:szCs w:val="20"/>
              </w:rPr>
            </w:pPr>
          </w:p>
        </w:tc>
        <w:tc>
          <w:tcPr>
            <w:tcW w:w="518" w:type="pct"/>
          </w:tcPr>
          <w:p w14:paraId="2570EFA0"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78A592A8"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2C1C8DE8" w14:textId="77777777" w:rsidR="00B52F94" w:rsidRPr="0057645F" w:rsidRDefault="00B52F94"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estuaries, lakes</w:t>
            </w:r>
          </w:p>
          <w:p w14:paraId="02F82674" w14:textId="29C511C6" w:rsidR="009B62C9" w:rsidRPr="0057645F" w:rsidRDefault="009B62C9"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stable (managed)</w:t>
            </w:r>
          </w:p>
        </w:tc>
        <w:tc>
          <w:tcPr>
            <w:tcW w:w="2736" w:type="pct"/>
          </w:tcPr>
          <w:p w14:paraId="04E7E784"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an open river mouth is vital to connectivity between the river and the sea – for input of nutrients and salinity and as a gateway for diadromous fish, and for export of salt, sediments and pollution</w:t>
            </w:r>
          </w:p>
          <w:p w14:paraId="4FA96F59"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reduced stream flow to Murray Mouth (annual average reduced by 61% CSIRO 2008) </w:t>
            </w:r>
          </w:p>
          <w:p w14:paraId="3221833D"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increased occurrence of Mouth closure, particularly during spring  (e.g. 5 of 7 years between 2002 and 2009 no flow to Murray Mouth and Coorong region of EC)</w:t>
            </w:r>
          </w:p>
          <w:p w14:paraId="4AB48484"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during low flows and high evaporation and demand, all barrage openings are fully closed, with no release from the lakes to the sea; this typically results in a rapid accumulation of sand inside the Murray Mouth (and the need for mechanical dredging)</w:t>
            </w:r>
          </w:p>
          <w:p w14:paraId="0A4C8F21"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build-up of salinity and other pollutants</w:t>
            </w:r>
          </w:p>
          <w:p w14:paraId="361B89EE" w14:textId="77777777"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changes to hydrological and ecological function of estuarine components (e.g. salt-wedge formation)</w:t>
            </w:r>
          </w:p>
          <w:p w14:paraId="598737FE" w14:textId="35E3C5CF" w:rsidR="00B52F94" w:rsidRPr="0057645F" w:rsidRDefault="00B52F94"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barrier to migration and recruitment of diadromous fish</w:t>
            </w:r>
          </w:p>
        </w:tc>
        <w:tc>
          <w:tcPr>
            <w:tcW w:w="990" w:type="pct"/>
          </w:tcPr>
          <w:p w14:paraId="337BDE85" w14:textId="77777777" w:rsidR="00B52F94" w:rsidRPr="0057645F" w:rsidRDefault="00B52F94" w:rsidP="006C43B5">
            <w:pPr>
              <w:pStyle w:val="Tabletext"/>
              <w:rPr>
                <w:sz w:val="20"/>
                <w:szCs w:val="20"/>
              </w:rPr>
            </w:pPr>
            <w:r w:rsidRPr="0057645F">
              <w:rPr>
                <w:sz w:val="20"/>
                <w:szCs w:val="20"/>
              </w:rPr>
              <w:t>Fluin et al. 2007; CSIRO 2008; Paton 2010; Mallen-Cooper and Zampatti (2018); Chiew et al. 2020</w:t>
            </w:r>
          </w:p>
        </w:tc>
      </w:tr>
      <w:tr w:rsidR="00830CBF" w:rsidRPr="0057645F" w14:paraId="4A43F29C" w14:textId="77777777" w:rsidTr="00B91F4B">
        <w:tc>
          <w:tcPr>
            <w:tcW w:w="755" w:type="pct"/>
          </w:tcPr>
          <w:p w14:paraId="6778B7CD" w14:textId="34E26E45" w:rsidR="009D51C6" w:rsidRPr="0057645F" w:rsidRDefault="009D51C6" w:rsidP="006C43B5">
            <w:pPr>
              <w:spacing w:before="80" w:after="80"/>
              <w:rPr>
                <w:rFonts w:cstheme="minorHAnsi"/>
                <w:b/>
                <w:bCs/>
              </w:rPr>
            </w:pPr>
            <w:r w:rsidRPr="0057645F">
              <w:rPr>
                <w:rFonts w:cstheme="minorHAnsi"/>
                <w:b/>
                <w:bCs/>
              </w:rPr>
              <w:t>Floodplain harvesting</w:t>
            </w:r>
            <w:r w:rsidR="00EC5B2E" w:rsidRPr="0057645F">
              <w:rPr>
                <w:rFonts w:cstheme="minorHAnsi"/>
                <w:b/>
                <w:bCs/>
              </w:rPr>
              <w:t xml:space="preserve"> &amp; Farm dams</w:t>
            </w:r>
          </w:p>
          <w:p w14:paraId="32670A76" w14:textId="37A29BE4" w:rsidR="009D51C6" w:rsidRPr="0057645F" w:rsidRDefault="009D51C6" w:rsidP="006C43B5">
            <w:pPr>
              <w:spacing w:before="80" w:after="80"/>
              <w:rPr>
                <w:rFonts w:cstheme="minorHAnsi"/>
                <w:b/>
                <w:bCs/>
              </w:rPr>
            </w:pPr>
          </w:p>
        </w:tc>
        <w:tc>
          <w:tcPr>
            <w:tcW w:w="518" w:type="pct"/>
          </w:tcPr>
          <w:p w14:paraId="58FF9646" w14:textId="06C4C42A" w:rsidR="009D51C6" w:rsidRPr="0057645F" w:rsidRDefault="009B62C9"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r w:rsidR="00CA6C32" w:rsidRPr="0057645F">
              <w:rPr>
                <w:rFonts w:cstheme="minorHAnsi"/>
                <w:sz w:val="20"/>
                <w:szCs w:val="20"/>
              </w:rPr>
              <w:t xml:space="preserve"> </w:t>
            </w:r>
          </w:p>
          <w:p w14:paraId="6034E7ED"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122C1C89"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36091C79" w14:textId="04331B15" w:rsidR="00CA6C32" w:rsidRPr="0057645F" w:rsidRDefault="00CA6C32"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1592F926" w14:textId="67849379" w:rsidR="0078709A" w:rsidRPr="0057645F" w:rsidRDefault="00CA6C32" w:rsidP="006C43B5">
            <w:pPr>
              <w:spacing w:before="80" w:after="80" w:line="240" w:lineRule="auto"/>
              <w:rPr>
                <w:rFonts w:cstheme="minorHAnsi"/>
                <w:sz w:val="20"/>
                <w:szCs w:val="20"/>
              </w:rPr>
            </w:pPr>
            <w:r w:rsidRPr="0057645F">
              <w:rPr>
                <w:sz w:val="20"/>
                <w:szCs w:val="20"/>
              </w:rPr>
              <w:t>A</w:t>
            </w:r>
            <w:r w:rsidR="0078709A" w:rsidRPr="0057645F">
              <w:rPr>
                <w:sz w:val="20"/>
                <w:szCs w:val="20"/>
              </w:rPr>
              <w:t xml:space="preserve"> 2022 study estimated that, in NSW alone, floodplain harvesting could represent more than twice the allocated annual environmental water for the entire MDB and is unsustainable</w:t>
            </w:r>
            <w:r w:rsidR="00B37586" w:rsidRPr="0057645F">
              <w:rPr>
                <w:sz w:val="20"/>
                <w:szCs w:val="20"/>
              </w:rPr>
              <w:t>.</w:t>
            </w:r>
          </w:p>
          <w:p w14:paraId="16960C00" w14:textId="6EBC8BEF"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floodplain harvesting is the unregulated (unlawful) diversion and storage of overland flows into on-farm dams leading to significant (largely unknown) losses of water for the environment downstream, impacting hydrological and ecological processes and biodiversity; it is mainly occurring in the northern Basin, although some is known to occur in the southern Basin</w:t>
            </w:r>
          </w:p>
        </w:tc>
        <w:tc>
          <w:tcPr>
            <w:tcW w:w="990" w:type="pct"/>
          </w:tcPr>
          <w:p w14:paraId="15571EC4" w14:textId="22D6A9E9" w:rsidR="009D51C6" w:rsidRPr="0057645F" w:rsidRDefault="009D51C6" w:rsidP="006C43B5">
            <w:pPr>
              <w:pStyle w:val="Tabletext"/>
              <w:rPr>
                <w:sz w:val="20"/>
                <w:szCs w:val="20"/>
              </w:rPr>
            </w:pPr>
            <w:r w:rsidRPr="0057645F">
              <w:rPr>
                <w:sz w:val="20"/>
                <w:szCs w:val="20"/>
              </w:rPr>
              <w:t xml:space="preserve">Nathan &amp; Lowe 2012; Brown et al. 2022 </w:t>
            </w:r>
          </w:p>
        </w:tc>
      </w:tr>
      <w:tr w:rsidR="00830CBF" w:rsidRPr="0057645F" w14:paraId="4C3E3E89" w14:textId="77777777" w:rsidTr="00B91F4B">
        <w:tc>
          <w:tcPr>
            <w:tcW w:w="755" w:type="pct"/>
          </w:tcPr>
          <w:p w14:paraId="6B7BF5A2" w14:textId="77777777" w:rsidR="009D51C6" w:rsidRPr="0057645F" w:rsidRDefault="009D51C6" w:rsidP="006C43B5">
            <w:pPr>
              <w:spacing w:before="80" w:after="80"/>
              <w:rPr>
                <w:rFonts w:cstheme="minorHAnsi"/>
              </w:rPr>
            </w:pPr>
            <w:r w:rsidRPr="0057645F">
              <w:rPr>
                <w:rFonts w:cstheme="minorHAnsi"/>
                <w:b/>
                <w:bCs/>
              </w:rPr>
              <w:lastRenderedPageBreak/>
              <w:t>Irrigation pumps</w:t>
            </w:r>
            <w:r w:rsidRPr="0057645F">
              <w:rPr>
                <w:rFonts w:cstheme="minorHAnsi"/>
              </w:rPr>
              <w:t xml:space="preserve"> </w:t>
            </w:r>
          </w:p>
          <w:p w14:paraId="5183BE8D" w14:textId="74435A8F" w:rsidR="009D51C6" w:rsidRPr="0057645F" w:rsidRDefault="009D51C6" w:rsidP="006C43B5">
            <w:pPr>
              <w:spacing w:before="80" w:after="80"/>
              <w:rPr>
                <w:rFonts w:cstheme="minorHAnsi"/>
                <w:b/>
                <w:bCs/>
              </w:rPr>
            </w:pPr>
          </w:p>
        </w:tc>
        <w:tc>
          <w:tcPr>
            <w:tcW w:w="518" w:type="pct"/>
          </w:tcPr>
          <w:p w14:paraId="3388F08F"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27817E02"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38598B3A"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463211EC" w14:textId="51618CD4" w:rsidR="00CA6C32" w:rsidRPr="0057645F" w:rsidRDefault="00CA6C32"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tc>
        <w:tc>
          <w:tcPr>
            <w:tcW w:w="2736" w:type="pct"/>
          </w:tcPr>
          <w:p w14:paraId="02761168"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entrainment of native fish and other biota through irrigation systems is an environmental impact of irrigation activities, with significant levels of mortality and/or physical injury</w:t>
            </w:r>
          </w:p>
          <w:p w14:paraId="06866361"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water for irrigation is diverted by gravity into canals or by pumping into pipeline or channels—pumps may cause physical damage and mortality to a range of biodiversity</w:t>
            </w:r>
          </w:p>
          <w:p w14:paraId="48A3E4F9" w14:textId="77777777" w:rsidR="009D51C6" w:rsidRPr="0057645F" w:rsidRDefault="009D51C6" w:rsidP="006C43B5">
            <w:pPr>
              <w:pStyle w:val="ListParagraph"/>
              <w:numPr>
                <w:ilvl w:val="0"/>
                <w:numId w:val="71"/>
              </w:numPr>
              <w:spacing w:before="80" w:after="80" w:line="240" w:lineRule="auto"/>
              <w:contextualSpacing w:val="0"/>
              <w:rPr>
                <w:sz w:val="20"/>
                <w:szCs w:val="20"/>
              </w:rPr>
            </w:pPr>
            <w:r w:rsidRPr="0057645F">
              <w:rPr>
                <w:rFonts w:cstheme="minorHAnsi"/>
                <w:sz w:val="20"/>
                <w:szCs w:val="20"/>
              </w:rPr>
              <w:t>survival of fish through the pumps has been shown to be size and species specific</w:t>
            </w:r>
          </w:p>
          <w:p w14:paraId="0B929AF6" w14:textId="77777777" w:rsidR="002C4731" w:rsidRPr="0057645F" w:rsidRDefault="004918EE" w:rsidP="006C43B5">
            <w:pPr>
              <w:pStyle w:val="ListParagraph"/>
              <w:numPr>
                <w:ilvl w:val="0"/>
                <w:numId w:val="71"/>
              </w:numPr>
              <w:spacing w:before="80" w:after="80" w:line="240" w:lineRule="auto"/>
              <w:contextualSpacing w:val="0"/>
              <w:rPr>
                <w:sz w:val="20"/>
                <w:szCs w:val="20"/>
              </w:rPr>
            </w:pPr>
            <w:r w:rsidRPr="0057645F">
              <w:rPr>
                <w:rFonts w:cstheme="minorHAnsi"/>
                <w:sz w:val="20"/>
                <w:szCs w:val="20"/>
              </w:rPr>
              <w:t xml:space="preserve">there are recent pump designs available that reduce impacts </w:t>
            </w:r>
            <w:r w:rsidR="00710653" w:rsidRPr="0057645F">
              <w:rPr>
                <w:rFonts w:cstheme="minorHAnsi"/>
                <w:sz w:val="20"/>
                <w:szCs w:val="20"/>
              </w:rPr>
              <w:t xml:space="preserve">to biodiversity </w:t>
            </w:r>
            <w:r w:rsidRPr="0057645F">
              <w:rPr>
                <w:rFonts w:cstheme="minorHAnsi"/>
                <w:sz w:val="20"/>
                <w:szCs w:val="20"/>
              </w:rPr>
              <w:t>(e.g. used overseas</w:t>
            </w:r>
            <w:r w:rsidR="00710653" w:rsidRPr="0057645F">
              <w:rPr>
                <w:rFonts w:cstheme="minorHAnsi"/>
                <w:sz w:val="20"/>
                <w:szCs w:val="20"/>
              </w:rPr>
              <w:t>)—but to date these are not widely used/supported in Australia</w:t>
            </w:r>
          </w:p>
          <w:p w14:paraId="09E65764" w14:textId="6794D015" w:rsidR="0059029C" w:rsidRPr="0057645F" w:rsidRDefault="0059029C" w:rsidP="006C43B5">
            <w:pPr>
              <w:pStyle w:val="ListParagraph"/>
              <w:spacing w:before="80" w:after="80" w:line="240" w:lineRule="auto"/>
              <w:ind w:left="227"/>
              <w:contextualSpacing w:val="0"/>
              <w:rPr>
                <w:sz w:val="20"/>
                <w:szCs w:val="20"/>
              </w:rPr>
            </w:pPr>
          </w:p>
        </w:tc>
        <w:tc>
          <w:tcPr>
            <w:tcW w:w="990" w:type="pct"/>
          </w:tcPr>
          <w:p w14:paraId="64B343D5" w14:textId="32A3FB3E" w:rsidR="009D51C6" w:rsidRPr="0057645F" w:rsidRDefault="009D51C6" w:rsidP="006C43B5">
            <w:pPr>
              <w:pStyle w:val="Tabletext"/>
              <w:rPr>
                <w:sz w:val="20"/>
                <w:szCs w:val="20"/>
              </w:rPr>
            </w:pPr>
            <w:r w:rsidRPr="0057645F">
              <w:rPr>
                <w:sz w:val="20"/>
                <w:szCs w:val="20"/>
              </w:rPr>
              <w:t>Close 1990a; Baumgartner et al. 2007, 2009; Boys et al. 2021; Hutchinson et al. 2022; Rayner &amp; Price 2023</w:t>
            </w:r>
          </w:p>
        </w:tc>
      </w:tr>
      <w:tr w:rsidR="009D51C6" w:rsidRPr="0057645F" w14:paraId="22152829" w14:textId="77777777" w:rsidTr="00B91F4B">
        <w:tc>
          <w:tcPr>
            <w:tcW w:w="5000" w:type="pct"/>
            <w:gridSpan w:val="4"/>
            <w:shd w:val="clear" w:color="auto" w:fill="FFF2CC" w:themeFill="accent4" w:themeFillTint="33"/>
          </w:tcPr>
          <w:p w14:paraId="70199FD2" w14:textId="7A521A3A" w:rsidR="009D51C6" w:rsidRPr="0057645F" w:rsidRDefault="009D51C6" w:rsidP="006C43B5">
            <w:pPr>
              <w:spacing w:before="80" w:after="80"/>
              <w:rPr>
                <w:rFonts w:cstheme="minorHAnsi"/>
                <w:b/>
                <w:bCs/>
                <w:sz w:val="28"/>
                <w:szCs w:val="28"/>
              </w:rPr>
            </w:pPr>
            <w:r w:rsidRPr="0057645F">
              <w:rPr>
                <w:rFonts w:cstheme="minorHAnsi"/>
                <w:b/>
                <w:bCs/>
                <w:sz w:val="28"/>
                <w:szCs w:val="28"/>
              </w:rPr>
              <w:t>Water Quality related threats</w:t>
            </w:r>
          </w:p>
        </w:tc>
      </w:tr>
      <w:tr w:rsidR="00830CBF" w:rsidRPr="0057645F" w14:paraId="61D45256" w14:textId="77777777" w:rsidTr="00B91F4B">
        <w:tc>
          <w:tcPr>
            <w:tcW w:w="755" w:type="pct"/>
          </w:tcPr>
          <w:p w14:paraId="53B07344" w14:textId="06261E6D" w:rsidR="009D51C6" w:rsidRPr="0057645F" w:rsidRDefault="00E94429" w:rsidP="006C43B5">
            <w:pPr>
              <w:spacing w:before="80" w:after="80"/>
              <w:rPr>
                <w:rFonts w:cstheme="minorHAnsi"/>
              </w:rPr>
            </w:pPr>
            <w:r w:rsidRPr="0057645F">
              <w:rPr>
                <w:rFonts w:cstheme="minorHAnsi"/>
                <w:b/>
                <w:bCs/>
              </w:rPr>
              <w:t xml:space="preserve">Salinity/ </w:t>
            </w:r>
            <w:r w:rsidR="009D51C6" w:rsidRPr="0057645F">
              <w:rPr>
                <w:rFonts w:cstheme="minorHAnsi"/>
                <w:b/>
                <w:bCs/>
              </w:rPr>
              <w:t>Salinisation</w:t>
            </w:r>
            <w:r w:rsidR="009D51C6" w:rsidRPr="0057645F">
              <w:rPr>
                <w:rFonts w:cstheme="minorHAnsi"/>
              </w:rPr>
              <w:t xml:space="preserve"> </w:t>
            </w:r>
          </w:p>
          <w:p w14:paraId="3342CB53" w14:textId="06313EA6" w:rsidR="009D51C6" w:rsidRPr="0057645F" w:rsidRDefault="009D51C6" w:rsidP="006C43B5">
            <w:pPr>
              <w:spacing w:before="80" w:after="80"/>
              <w:rPr>
                <w:rFonts w:cstheme="minorHAnsi"/>
              </w:rPr>
            </w:pPr>
          </w:p>
        </w:tc>
        <w:tc>
          <w:tcPr>
            <w:tcW w:w="518" w:type="pct"/>
          </w:tcPr>
          <w:p w14:paraId="247EFDE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36DF5D16"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3202EA7D"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water, floodplain</w:t>
            </w:r>
          </w:p>
          <w:p w14:paraId="34EA7A8D" w14:textId="3CB7969F" w:rsidR="009D51C6" w:rsidRPr="0057645F" w:rsidRDefault="0027439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 on floodplain</w:t>
            </w:r>
            <w:r w:rsidR="00A367AD" w:rsidRPr="0057645F">
              <w:rPr>
                <w:rFonts w:cstheme="minorHAnsi"/>
                <w:sz w:val="20"/>
                <w:szCs w:val="20"/>
              </w:rPr>
              <w:t xml:space="preserve"> but stable (managed) in surface water</w:t>
            </w:r>
          </w:p>
        </w:tc>
        <w:tc>
          <w:tcPr>
            <w:tcW w:w="2736" w:type="pct"/>
          </w:tcPr>
          <w:p w14:paraId="226C5575" w14:textId="06CFAD33"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 xml:space="preserve">salinity levels in the River Murray: predicted to </w:t>
            </w:r>
            <w:r w:rsidR="00522392" w:rsidRPr="0057645F">
              <w:rPr>
                <w:sz w:val="20"/>
                <w:szCs w:val="20"/>
              </w:rPr>
              <w:t>increase</w:t>
            </w:r>
            <w:r w:rsidRPr="0057645F">
              <w:rPr>
                <w:sz w:val="20"/>
                <w:szCs w:val="20"/>
              </w:rPr>
              <w:t xml:space="preserve"> significantly over the next 50 years without further remedial action. </w:t>
            </w:r>
          </w:p>
          <w:p w14:paraId="31172200" w14:textId="6B8F1F5B"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 xml:space="preserve">typical salinity in Lake Alexandrina fluctuates between 1,205 and 2,138 EC (units of electrical conductivity). In March 2010 at the height of the </w:t>
            </w:r>
            <w:r w:rsidR="00522392" w:rsidRPr="0057645F">
              <w:rPr>
                <w:sz w:val="20"/>
                <w:szCs w:val="20"/>
              </w:rPr>
              <w:t xml:space="preserve">Millennium </w:t>
            </w:r>
            <w:r w:rsidRPr="0057645F">
              <w:rPr>
                <w:sz w:val="20"/>
                <w:szCs w:val="20"/>
              </w:rPr>
              <w:t>drought</w:t>
            </w:r>
            <w:r w:rsidR="0004156D" w:rsidRPr="0057645F">
              <w:rPr>
                <w:sz w:val="20"/>
                <w:szCs w:val="20"/>
              </w:rPr>
              <w:t>,</w:t>
            </w:r>
            <w:r w:rsidRPr="0057645F">
              <w:rPr>
                <w:sz w:val="20"/>
                <w:szCs w:val="20"/>
              </w:rPr>
              <w:t xml:space="preserve"> when there had been no salt export from the Basin for years, it reached 6,200 EC. In Lake Albert it rose from a typical 415-1,300 EC to 19,000 EC</w:t>
            </w:r>
          </w:p>
          <w:p w14:paraId="5F803230" w14:textId="1FF88C95" w:rsidR="009D51C6" w:rsidRPr="0057645F" w:rsidRDefault="00E747F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w:t>
            </w:r>
            <w:r w:rsidR="009D51C6" w:rsidRPr="0057645F">
              <w:rPr>
                <w:rFonts w:cstheme="minorHAnsi"/>
                <w:sz w:val="20"/>
                <w:szCs w:val="20"/>
              </w:rPr>
              <w:t>mpacts emergence of zooplankton from dormant eggs and germination of seeds of aquatic</w:t>
            </w:r>
            <w:r w:rsidRPr="0057645F">
              <w:rPr>
                <w:rFonts w:cstheme="minorHAnsi"/>
                <w:sz w:val="20"/>
                <w:szCs w:val="20"/>
              </w:rPr>
              <w:t xml:space="preserve"> and floodplain</w:t>
            </w:r>
            <w:r w:rsidR="009D51C6" w:rsidRPr="0057645F">
              <w:rPr>
                <w:rFonts w:cstheme="minorHAnsi"/>
                <w:sz w:val="20"/>
                <w:szCs w:val="20"/>
              </w:rPr>
              <w:t xml:space="preserve"> plants, resulting in reduced species richness and loss of wetland biodiversity.</w:t>
            </w:r>
          </w:p>
          <w:p w14:paraId="5412539F" w14:textId="0DCCEA7E"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t>some groundwater in the Murray can be more than 62,000 EC because of salts leaching into the water table (note, seawater is 54,000 EC</w:t>
            </w:r>
            <w:r w:rsidR="001B4C39" w:rsidRPr="0057645F">
              <w:rPr>
                <w:sz w:val="20"/>
                <w:szCs w:val="20"/>
              </w:rPr>
              <w:t xml:space="preserve"> or </w:t>
            </w:r>
            <w:r w:rsidR="008124A8" w:rsidRPr="0057645F">
              <w:rPr>
                <w:sz w:val="20"/>
                <w:szCs w:val="20"/>
              </w:rPr>
              <w:t>~35 g/L</w:t>
            </w:r>
            <w:r w:rsidRPr="0057645F">
              <w:rPr>
                <w:sz w:val="20"/>
                <w:szCs w:val="20"/>
              </w:rPr>
              <w:t>)</w:t>
            </w:r>
          </w:p>
        </w:tc>
        <w:tc>
          <w:tcPr>
            <w:tcW w:w="990" w:type="pct"/>
          </w:tcPr>
          <w:p w14:paraId="5E1EE216" w14:textId="1F9B0F8F" w:rsidR="009D51C6" w:rsidRPr="0057645F" w:rsidRDefault="009D51C6" w:rsidP="006C43B5">
            <w:pPr>
              <w:pStyle w:val="Tabletext"/>
              <w:rPr>
                <w:sz w:val="20"/>
                <w:szCs w:val="20"/>
              </w:rPr>
            </w:pPr>
            <w:r w:rsidRPr="0057645F">
              <w:rPr>
                <w:sz w:val="20"/>
                <w:szCs w:val="20"/>
              </w:rPr>
              <w:t xml:space="preserve">EPA South Australia 2003; Nielsen et al. 2003; </w:t>
            </w:r>
            <w:r w:rsidR="00BA78A1" w:rsidRPr="0057645F">
              <w:rPr>
                <w:sz w:val="20"/>
                <w:szCs w:val="20"/>
              </w:rPr>
              <w:t xml:space="preserve">Stewart et al. 2010; </w:t>
            </w:r>
            <w:r w:rsidRPr="0057645F">
              <w:rPr>
                <w:sz w:val="20"/>
                <w:szCs w:val="20"/>
              </w:rPr>
              <w:t xml:space="preserve">MDBA 2011c; Mosley et al. 2012; </w:t>
            </w:r>
            <w:r w:rsidR="00C42FF7" w:rsidRPr="0057645F">
              <w:rPr>
                <w:sz w:val="20"/>
                <w:szCs w:val="20"/>
              </w:rPr>
              <w:t xml:space="preserve">Berens et al. 2013; </w:t>
            </w:r>
            <w:r w:rsidRPr="0057645F">
              <w:rPr>
                <w:sz w:val="20"/>
                <w:szCs w:val="20"/>
              </w:rPr>
              <w:t xml:space="preserve">Chiew et al. 2020; Hart et al. 2020; Tibby et al. 2021; </w:t>
            </w:r>
            <w:r w:rsidR="003A5CC8" w:rsidRPr="0057645F">
              <w:rPr>
                <w:sz w:val="20"/>
                <w:szCs w:val="20"/>
              </w:rPr>
              <w:t>SOE 2023</w:t>
            </w:r>
            <w:r w:rsidR="00E71BA3" w:rsidRPr="0057645F">
              <w:rPr>
                <w:sz w:val="20"/>
                <w:szCs w:val="20"/>
              </w:rPr>
              <w:t>; Verhoven et al. 2024</w:t>
            </w:r>
          </w:p>
        </w:tc>
      </w:tr>
      <w:tr w:rsidR="00830CBF" w:rsidRPr="0057645F" w14:paraId="740743D4" w14:textId="77777777" w:rsidTr="00B91F4B">
        <w:tc>
          <w:tcPr>
            <w:tcW w:w="755" w:type="pct"/>
          </w:tcPr>
          <w:p w14:paraId="42CA4C66" w14:textId="77777777" w:rsidR="00A81332" w:rsidRPr="0057645F" w:rsidRDefault="009D51C6" w:rsidP="006C43B5">
            <w:pPr>
              <w:spacing w:before="80" w:after="80"/>
              <w:rPr>
                <w:rFonts w:cstheme="minorHAnsi"/>
              </w:rPr>
            </w:pPr>
            <w:r w:rsidRPr="0057645F">
              <w:rPr>
                <w:rFonts w:cstheme="minorHAnsi"/>
                <w:b/>
                <w:bCs/>
              </w:rPr>
              <w:t xml:space="preserve">Eutrophication </w:t>
            </w:r>
          </w:p>
          <w:p w14:paraId="5C90B11D" w14:textId="2A3D2CE4" w:rsidR="009D51C6" w:rsidRPr="0057645F" w:rsidRDefault="009D51C6" w:rsidP="006C43B5">
            <w:pPr>
              <w:spacing w:before="80" w:after="80"/>
              <w:rPr>
                <w:rFonts w:cstheme="minorHAnsi"/>
                <w:b/>
                <w:bCs/>
              </w:rPr>
            </w:pPr>
          </w:p>
        </w:tc>
        <w:tc>
          <w:tcPr>
            <w:tcW w:w="518" w:type="pct"/>
          </w:tcPr>
          <w:p w14:paraId="1CAB29BC"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6D6CDA59" w14:textId="0AFFD961" w:rsidR="009D51C6" w:rsidRPr="0057645F" w:rsidRDefault="00A26227"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 (</w:t>
            </w:r>
            <w:r w:rsidR="009D51C6" w:rsidRPr="0057645F">
              <w:rPr>
                <w:rFonts w:cstheme="minorHAnsi"/>
                <w:sz w:val="20"/>
                <w:szCs w:val="20"/>
              </w:rPr>
              <w:t>periodic</w:t>
            </w:r>
            <w:r w:rsidRPr="0057645F">
              <w:rPr>
                <w:rFonts w:cstheme="minorHAnsi"/>
                <w:sz w:val="20"/>
                <w:szCs w:val="20"/>
              </w:rPr>
              <w:t>)</w:t>
            </w:r>
          </w:p>
          <w:p w14:paraId="1831ED07" w14:textId="4A426FEB"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Coorong</w:t>
            </w:r>
            <w:r w:rsidR="00A26227" w:rsidRPr="0057645F">
              <w:rPr>
                <w:rFonts w:cstheme="minorHAnsi"/>
                <w:sz w:val="20"/>
                <w:szCs w:val="20"/>
              </w:rPr>
              <w:t xml:space="preserve"> </w:t>
            </w:r>
          </w:p>
          <w:p w14:paraId="35E78392" w14:textId="57F35BA6" w:rsidR="00F9578A" w:rsidRPr="0057645F" w:rsidRDefault="00F9578A"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07F9C2A5" w14:textId="60753390" w:rsidR="009D51C6" w:rsidRPr="0057645F" w:rsidRDefault="009D51C6" w:rsidP="006C43B5">
            <w:pPr>
              <w:spacing w:before="80" w:after="80" w:line="240" w:lineRule="auto"/>
              <w:rPr>
                <w:rFonts w:cstheme="minorHAnsi"/>
                <w:sz w:val="20"/>
                <w:szCs w:val="20"/>
              </w:rPr>
            </w:pPr>
            <w:r w:rsidRPr="0057645F">
              <w:rPr>
                <w:rFonts w:cstheme="minorHAnsi"/>
                <w:sz w:val="20"/>
                <w:szCs w:val="20"/>
              </w:rPr>
              <w:t xml:space="preserve">A key driver of eutrophication </w:t>
            </w:r>
            <w:r w:rsidR="00A81332" w:rsidRPr="0057645F">
              <w:rPr>
                <w:rFonts w:cstheme="minorHAnsi"/>
                <w:sz w:val="20"/>
                <w:szCs w:val="20"/>
              </w:rPr>
              <w:t xml:space="preserve">(in both water column and sediments) </w:t>
            </w:r>
            <w:r w:rsidRPr="0057645F">
              <w:rPr>
                <w:rFonts w:cstheme="minorHAnsi"/>
                <w:sz w:val="20"/>
                <w:szCs w:val="20"/>
              </w:rPr>
              <w:t>is reduced flushing leading to increased retention and recycling of nutrients, organic matter, and salt.</w:t>
            </w:r>
          </w:p>
          <w:p w14:paraId="4A725AFF" w14:textId="777C5726"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Coorong – experienced long-term decline, including excess nutrients from accumulating organic matter </w:t>
            </w:r>
          </w:p>
          <w:p w14:paraId="2019BD9C"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Leads to loss of aquatic plants and benthic invertebrates</w:t>
            </w:r>
          </w:p>
          <w:p w14:paraId="0DAF504F" w14:textId="168BBC6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Can lead to toxic algal blooms and deoxygenation</w:t>
            </w:r>
          </w:p>
        </w:tc>
        <w:tc>
          <w:tcPr>
            <w:tcW w:w="990" w:type="pct"/>
          </w:tcPr>
          <w:p w14:paraId="19A89921" w14:textId="5127D135" w:rsidR="009D51C6" w:rsidRPr="0057645F" w:rsidRDefault="002949B8" w:rsidP="006C43B5">
            <w:pPr>
              <w:pStyle w:val="Tabletext"/>
              <w:rPr>
                <w:sz w:val="20"/>
                <w:szCs w:val="20"/>
              </w:rPr>
            </w:pPr>
            <w:r w:rsidRPr="0057645F">
              <w:rPr>
                <w:sz w:val="20"/>
                <w:szCs w:val="20"/>
              </w:rPr>
              <w:t xml:space="preserve">Aldridge et al. 2018; </w:t>
            </w:r>
            <w:r w:rsidR="009D51C6" w:rsidRPr="0057645F">
              <w:rPr>
                <w:sz w:val="20"/>
                <w:szCs w:val="20"/>
              </w:rPr>
              <w:t>Huang et al. 2022; Mosley et al. 2022</w:t>
            </w:r>
            <w:r w:rsidR="00CD071C" w:rsidRPr="0057645F">
              <w:rPr>
                <w:sz w:val="20"/>
                <w:szCs w:val="20"/>
              </w:rPr>
              <w:t>; Verhoven et al. 2024</w:t>
            </w:r>
          </w:p>
        </w:tc>
      </w:tr>
      <w:tr w:rsidR="00830CBF" w:rsidRPr="0057645F" w14:paraId="714B88B7" w14:textId="77777777" w:rsidTr="00B91F4B">
        <w:tc>
          <w:tcPr>
            <w:tcW w:w="755" w:type="pct"/>
          </w:tcPr>
          <w:p w14:paraId="627CF15C" w14:textId="77777777" w:rsidR="00A26227" w:rsidRPr="0057645F" w:rsidRDefault="009D51C6" w:rsidP="006C43B5">
            <w:pPr>
              <w:spacing w:before="80" w:after="80"/>
              <w:rPr>
                <w:rFonts w:cstheme="minorHAnsi"/>
                <w:b/>
                <w:bCs/>
              </w:rPr>
            </w:pPr>
            <w:r w:rsidRPr="0057645F">
              <w:rPr>
                <w:rFonts w:cstheme="minorHAnsi"/>
                <w:b/>
                <w:bCs/>
              </w:rPr>
              <w:lastRenderedPageBreak/>
              <w:t>Algal blooms</w:t>
            </w:r>
          </w:p>
          <w:p w14:paraId="2967A01C" w14:textId="6E443AE6" w:rsidR="009D51C6" w:rsidRPr="0057645F" w:rsidRDefault="009D51C6" w:rsidP="006C43B5">
            <w:pPr>
              <w:spacing w:before="80" w:after="80"/>
              <w:rPr>
                <w:rFonts w:cstheme="minorHAnsi"/>
              </w:rPr>
            </w:pPr>
            <w:r w:rsidRPr="0057645F">
              <w:rPr>
                <w:rFonts w:cstheme="minorHAnsi"/>
                <w:b/>
                <w:bCs/>
              </w:rPr>
              <w:t>(toxic &amp; other)</w:t>
            </w:r>
          </w:p>
          <w:p w14:paraId="0776171C" w14:textId="6D4A9EB9" w:rsidR="009D51C6" w:rsidRPr="0057645F" w:rsidRDefault="009D51C6" w:rsidP="006C43B5">
            <w:pPr>
              <w:spacing w:before="80" w:after="80"/>
              <w:rPr>
                <w:rFonts w:cstheme="minorHAnsi"/>
              </w:rPr>
            </w:pPr>
          </w:p>
        </w:tc>
        <w:tc>
          <w:tcPr>
            <w:tcW w:w="518" w:type="pct"/>
          </w:tcPr>
          <w:p w14:paraId="586144D8"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269AEABC"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periodic – unknown</w:t>
            </w:r>
          </w:p>
          <w:p w14:paraId="4BA2C0F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variable</w:t>
            </w:r>
          </w:p>
          <w:p w14:paraId="202C0717" w14:textId="5AF7BE41" w:rsidR="00A26227" w:rsidRPr="0057645F" w:rsidRDefault="00A26227"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increasing</w:t>
            </w:r>
          </w:p>
        </w:tc>
        <w:tc>
          <w:tcPr>
            <w:tcW w:w="2736" w:type="pct"/>
          </w:tcPr>
          <w:p w14:paraId="5418BA32"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toxic algal blooms of cyanobacteria (blue-green algae) are stimulated by excess nutrients, low flows</w:t>
            </w:r>
          </w:p>
          <w:p w14:paraId="53ABFCE2"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blooms create conditions that are toxic to fish and crustaceans</w:t>
            </w:r>
          </w:p>
          <w:p w14:paraId="791304F5"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decomposing blooms cause deoxygenation resulting in physiological stress or mortality to aquatic organisms (e.g. extensive fish kills)</w:t>
            </w:r>
          </w:p>
          <w:p w14:paraId="08115973" w14:textId="4F383CAF"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Coorong – experienced long-term decline, South Lagoon shift from aquatic plants to filamentous algae associated with eutrophication</w:t>
            </w:r>
          </w:p>
        </w:tc>
        <w:tc>
          <w:tcPr>
            <w:tcW w:w="990" w:type="pct"/>
          </w:tcPr>
          <w:p w14:paraId="1CA1411C" w14:textId="38C26889" w:rsidR="009D51C6" w:rsidRPr="0057645F" w:rsidRDefault="009D51C6" w:rsidP="006C43B5">
            <w:pPr>
              <w:pStyle w:val="Tabletext"/>
              <w:rPr>
                <w:sz w:val="20"/>
                <w:szCs w:val="20"/>
              </w:rPr>
            </w:pPr>
            <w:r w:rsidRPr="0057645F">
              <w:rPr>
                <w:sz w:val="20"/>
                <w:szCs w:val="20"/>
              </w:rPr>
              <w:t xml:space="preserve">Foree and McCarty 1970; Reynolds 1987; </w:t>
            </w:r>
            <w:r w:rsidR="00CB31D6" w:rsidRPr="0057645F">
              <w:rPr>
                <w:sz w:val="20"/>
                <w:szCs w:val="20"/>
              </w:rPr>
              <w:t xml:space="preserve">Crawford et al. 2017; </w:t>
            </w:r>
            <w:r w:rsidR="00EE3F88" w:rsidRPr="0057645F">
              <w:rPr>
                <w:sz w:val="20"/>
                <w:szCs w:val="20"/>
              </w:rPr>
              <w:t>Aldridge et</w:t>
            </w:r>
            <w:r w:rsidR="00897628" w:rsidRPr="0057645F">
              <w:rPr>
                <w:sz w:val="20"/>
                <w:szCs w:val="20"/>
              </w:rPr>
              <w:t xml:space="preserve"> al. 2018; </w:t>
            </w:r>
            <w:r w:rsidRPr="0057645F">
              <w:rPr>
                <w:sz w:val="20"/>
                <w:szCs w:val="20"/>
              </w:rPr>
              <w:t>Australian Academy of Science 2019; Vertessy et al. 2019; Mosley et al. 2022</w:t>
            </w:r>
            <w:r w:rsidR="00E71BA3" w:rsidRPr="0057645F">
              <w:rPr>
                <w:sz w:val="20"/>
                <w:szCs w:val="20"/>
              </w:rPr>
              <w:t xml:space="preserve">; </w:t>
            </w:r>
            <w:r w:rsidR="0016261B" w:rsidRPr="0057645F">
              <w:rPr>
                <w:sz w:val="20"/>
                <w:szCs w:val="20"/>
              </w:rPr>
              <w:t xml:space="preserve">Stocks et al. 2022; </w:t>
            </w:r>
            <w:r w:rsidR="00235E8D" w:rsidRPr="0057645F">
              <w:rPr>
                <w:sz w:val="20"/>
                <w:szCs w:val="20"/>
              </w:rPr>
              <w:t xml:space="preserve">Kingsford 2023; </w:t>
            </w:r>
            <w:r w:rsidR="00E71BA3" w:rsidRPr="0057645F">
              <w:rPr>
                <w:sz w:val="20"/>
                <w:szCs w:val="20"/>
              </w:rPr>
              <w:t>Verhoven et al. 2024</w:t>
            </w:r>
          </w:p>
        </w:tc>
      </w:tr>
      <w:tr w:rsidR="00830CBF" w:rsidRPr="0057645F" w14:paraId="54484356" w14:textId="77777777" w:rsidTr="00B91F4B">
        <w:tc>
          <w:tcPr>
            <w:tcW w:w="755" w:type="pct"/>
          </w:tcPr>
          <w:p w14:paraId="79C8C17F" w14:textId="77777777" w:rsidR="009D51C6" w:rsidRPr="0057645F" w:rsidRDefault="009D51C6" w:rsidP="006C43B5">
            <w:pPr>
              <w:spacing w:before="80" w:after="80"/>
              <w:rPr>
                <w:rFonts w:cstheme="minorHAnsi"/>
              </w:rPr>
            </w:pPr>
            <w:r w:rsidRPr="0057645F">
              <w:rPr>
                <w:rFonts w:cstheme="minorHAnsi"/>
                <w:b/>
                <w:bCs/>
              </w:rPr>
              <w:t xml:space="preserve">Blackwater events </w:t>
            </w:r>
          </w:p>
          <w:p w14:paraId="25B4306E" w14:textId="4A9479A6" w:rsidR="009D51C6" w:rsidRPr="0057645F" w:rsidRDefault="009D51C6" w:rsidP="006C43B5">
            <w:pPr>
              <w:spacing w:before="80" w:after="80"/>
              <w:rPr>
                <w:rFonts w:cstheme="minorHAnsi"/>
              </w:rPr>
            </w:pPr>
          </w:p>
        </w:tc>
        <w:tc>
          <w:tcPr>
            <w:tcW w:w="518" w:type="pct"/>
          </w:tcPr>
          <w:p w14:paraId="0CB2B93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3F7830DF"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unknown</w:t>
            </w:r>
          </w:p>
          <w:p w14:paraId="02C401B5"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variable</w:t>
            </w:r>
          </w:p>
          <w:p w14:paraId="00F7B634" w14:textId="2FC13E32" w:rsidR="00A26227" w:rsidRPr="0057645F" w:rsidRDefault="00A26227" w:rsidP="006C43B5">
            <w:pPr>
              <w:pStyle w:val="ListParagraph"/>
              <w:numPr>
                <w:ilvl w:val="0"/>
                <w:numId w:val="73"/>
              </w:numPr>
              <w:spacing w:before="80" w:after="80" w:line="240" w:lineRule="auto"/>
              <w:contextualSpacing w:val="0"/>
              <w:rPr>
                <w:rFonts w:cstheme="minorHAnsi"/>
                <w:sz w:val="20"/>
                <w:szCs w:val="20"/>
              </w:rPr>
            </w:pPr>
            <w:r w:rsidRPr="0057645F">
              <w:rPr>
                <w:sz w:val="20"/>
                <w:szCs w:val="20"/>
              </w:rPr>
              <w:t>increasing</w:t>
            </w:r>
          </w:p>
        </w:tc>
        <w:tc>
          <w:tcPr>
            <w:tcW w:w="2736" w:type="pct"/>
          </w:tcPr>
          <w:p w14:paraId="3A159E8A"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bacteria consuming high loads of organic matter (e.g. leaf litter) create hypoxic conditions leading to mass fish deaths by suffocation and death or emergence of large crustaceans</w:t>
            </w:r>
          </w:p>
          <w:p w14:paraId="6A6FF012" w14:textId="284FD63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chemicals from </w:t>
            </w:r>
            <w:r w:rsidR="00A26227" w:rsidRPr="0057645F">
              <w:rPr>
                <w:rFonts w:cstheme="minorHAnsi"/>
                <w:sz w:val="20"/>
                <w:szCs w:val="20"/>
              </w:rPr>
              <w:t xml:space="preserve">eucalyptus </w:t>
            </w:r>
            <w:r w:rsidRPr="0057645F">
              <w:rPr>
                <w:rFonts w:cstheme="minorHAnsi"/>
                <w:sz w:val="20"/>
                <w:szCs w:val="20"/>
              </w:rPr>
              <w:t>lea</w:t>
            </w:r>
            <w:r w:rsidR="00A26227" w:rsidRPr="0057645F">
              <w:rPr>
                <w:rFonts w:cstheme="minorHAnsi"/>
                <w:sz w:val="20"/>
                <w:szCs w:val="20"/>
              </w:rPr>
              <w:t>ves</w:t>
            </w:r>
            <w:r w:rsidRPr="0057645F">
              <w:rPr>
                <w:rFonts w:cstheme="minorHAnsi"/>
                <w:sz w:val="20"/>
                <w:szCs w:val="20"/>
              </w:rPr>
              <w:t xml:space="preserve"> break</w:t>
            </w:r>
            <w:r w:rsidR="00A26227" w:rsidRPr="0057645F">
              <w:rPr>
                <w:rFonts w:cstheme="minorHAnsi"/>
                <w:sz w:val="20"/>
                <w:szCs w:val="20"/>
              </w:rPr>
              <w:t>ing down</w:t>
            </w:r>
            <w:r w:rsidRPr="0057645F">
              <w:rPr>
                <w:rFonts w:cstheme="minorHAnsi"/>
                <w:sz w:val="20"/>
                <w:szCs w:val="20"/>
              </w:rPr>
              <w:t xml:space="preserve"> in high concentrations may also be toxic to fish (e.g. polyphenols)</w:t>
            </w:r>
          </w:p>
          <w:p w14:paraId="6359C2F8"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large and long-standing blackwater events may have long-term effects on river health and fish communities</w:t>
            </w:r>
          </w:p>
          <w:p w14:paraId="05999B89"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increased risk of severe blackwater after flooding directly following a long period of drought, and also after large-scale wildfire</w:t>
            </w:r>
          </w:p>
        </w:tc>
        <w:tc>
          <w:tcPr>
            <w:tcW w:w="990" w:type="pct"/>
          </w:tcPr>
          <w:p w14:paraId="70F07869" w14:textId="5F006679" w:rsidR="009D51C6" w:rsidRPr="0057645F" w:rsidRDefault="009D51C6" w:rsidP="006C43B5">
            <w:pPr>
              <w:pStyle w:val="Tabletext"/>
              <w:rPr>
                <w:sz w:val="20"/>
                <w:szCs w:val="20"/>
              </w:rPr>
            </w:pPr>
            <w:r w:rsidRPr="0057645F">
              <w:rPr>
                <w:sz w:val="20"/>
                <w:szCs w:val="20"/>
              </w:rPr>
              <w:t xml:space="preserve">Towns 1985; Meyer 1990; Qualls and Haines 1992; Gehrke et al. 1993; O’Connell et al. 2000; Howitt et al. 2007; McMaster and Bond 2008; Hladyz et al. 2011; Whitworth et al. 2011, 2012; King et al. 2012; Leigh &amp; Zampatti 2013; </w:t>
            </w:r>
            <w:r w:rsidR="00B34C7C" w:rsidRPr="0057645F">
              <w:rPr>
                <w:sz w:val="20"/>
                <w:szCs w:val="20"/>
              </w:rPr>
              <w:t xml:space="preserve">Baldwin &amp; Whitworth 2014; </w:t>
            </w:r>
            <w:r w:rsidRPr="0057645F">
              <w:rPr>
                <w:sz w:val="20"/>
                <w:szCs w:val="20"/>
              </w:rPr>
              <w:t xml:space="preserve">McCarthy et al 2014; </w:t>
            </w:r>
            <w:r w:rsidR="00A47455" w:rsidRPr="0057645F">
              <w:rPr>
                <w:sz w:val="20"/>
                <w:szCs w:val="20"/>
              </w:rPr>
              <w:t xml:space="preserve">Baldwin 2021; </w:t>
            </w:r>
            <w:r w:rsidR="00BC09BF" w:rsidRPr="0057645F">
              <w:rPr>
                <w:sz w:val="20"/>
                <w:szCs w:val="20"/>
              </w:rPr>
              <w:t xml:space="preserve">Gibbs et al. 2021; </w:t>
            </w:r>
            <w:r w:rsidR="00B34C7C" w:rsidRPr="0057645F">
              <w:rPr>
                <w:sz w:val="20"/>
                <w:szCs w:val="20"/>
              </w:rPr>
              <w:t xml:space="preserve">Koehn 2022; </w:t>
            </w:r>
            <w:r w:rsidRPr="0057645F">
              <w:rPr>
                <w:sz w:val="20"/>
                <w:szCs w:val="20"/>
              </w:rPr>
              <w:t>Tonkin et al. 2022</w:t>
            </w:r>
            <w:r w:rsidR="00E71BA3" w:rsidRPr="0057645F">
              <w:rPr>
                <w:sz w:val="20"/>
                <w:szCs w:val="20"/>
              </w:rPr>
              <w:t xml:space="preserve">; </w:t>
            </w:r>
            <w:r w:rsidR="00E67A18" w:rsidRPr="0057645F">
              <w:rPr>
                <w:sz w:val="20"/>
                <w:szCs w:val="20"/>
              </w:rPr>
              <w:t xml:space="preserve">Kingsford 2023: </w:t>
            </w:r>
            <w:r w:rsidR="00D34627" w:rsidRPr="0057645F">
              <w:rPr>
                <w:sz w:val="20"/>
                <w:szCs w:val="20"/>
              </w:rPr>
              <w:t>Waddington et al. 2023;</w:t>
            </w:r>
            <w:r w:rsidR="0051355B" w:rsidRPr="0057645F">
              <w:rPr>
                <w:sz w:val="20"/>
                <w:szCs w:val="20"/>
              </w:rPr>
              <w:t xml:space="preserve"> </w:t>
            </w:r>
            <w:r w:rsidR="00E71BA3" w:rsidRPr="0057645F">
              <w:rPr>
                <w:sz w:val="20"/>
                <w:szCs w:val="20"/>
              </w:rPr>
              <w:t>Verhoven et al. 2024</w:t>
            </w:r>
          </w:p>
        </w:tc>
      </w:tr>
      <w:tr w:rsidR="00830CBF" w:rsidRPr="0057645F" w14:paraId="45BDB15E" w14:textId="77777777" w:rsidTr="00B91F4B">
        <w:tc>
          <w:tcPr>
            <w:tcW w:w="755" w:type="pct"/>
          </w:tcPr>
          <w:p w14:paraId="11A9D65C" w14:textId="77777777" w:rsidR="00C345DF" w:rsidRPr="0057645F" w:rsidRDefault="002A1820" w:rsidP="006C43B5">
            <w:pPr>
              <w:spacing w:before="80" w:after="80"/>
              <w:rPr>
                <w:rFonts w:cstheme="minorHAnsi"/>
                <w:b/>
                <w:bCs/>
              </w:rPr>
            </w:pPr>
            <w:r w:rsidRPr="0057645F">
              <w:rPr>
                <w:rFonts w:cstheme="minorHAnsi"/>
                <w:b/>
                <w:bCs/>
              </w:rPr>
              <w:t xml:space="preserve">Pollution </w:t>
            </w:r>
          </w:p>
          <w:p w14:paraId="143EC6EC" w14:textId="369BCA3A" w:rsidR="002A1820" w:rsidRPr="0057645F" w:rsidRDefault="00C07406" w:rsidP="006C43B5">
            <w:pPr>
              <w:spacing w:before="80" w:after="80"/>
              <w:rPr>
                <w:rFonts w:cstheme="minorHAnsi"/>
                <w:b/>
                <w:bCs/>
              </w:rPr>
            </w:pPr>
            <w:r w:rsidRPr="0057645F">
              <w:rPr>
                <w:rFonts w:cstheme="minorHAnsi"/>
                <w:b/>
                <w:bCs/>
              </w:rPr>
              <w:t>(chemical &amp; litter)</w:t>
            </w:r>
          </w:p>
        </w:tc>
        <w:tc>
          <w:tcPr>
            <w:tcW w:w="518" w:type="pct"/>
          </w:tcPr>
          <w:p w14:paraId="64E6E276" w14:textId="77777777" w:rsidR="002A1820" w:rsidRPr="0057645F" w:rsidRDefault="00C0740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0963C8E1" w14:textId="2021BEAC" w:rsidR="00C07406" w:rsidRPr="0057645F" w:rsidRDefault="00C0740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4E3413BA" w14:textId="77777777" w:rsidR="00C07406" w:rsidRPr="0057645F" w:rsidRDefault="002E78C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4761FCE3" w14:textId="4717CF38" w:rsidR="00C345DF" w:rsidRPr="0057645F" w:rsidRDefault="00C345D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tc>
        <w:tc>
          <w:tcPr>
            <w:tcW w:w="2736" w:type="pct"/>
          </w:tcPr>
          <w:p w14:paraId="4F010960" w14:textId="24374653" w:rsidR="002A1820" w:rsidRPr="0057645F" w:rsidRDefault="002E78CF"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pesticides</w:t>
            </w:r>
            <w:r w:rsidR="008B7D46" w:rsidRPr="0057645F">
              <w:rPr>
                <w:rFonts w:cstheme="minorHAnsi"/>
                <w:sz w:val="20"/>
                <w:szCs w:val="20"/>
              </w:rPr>
              <w:t xml:space="preserve">, </w:t>
            </w:r>
            <w:r w:rsidRPr="0057645F">
              <w:rPr>
                <w:rFonts w:cstheme="minorHAnsi"/>
                <w:sz w:val="20"/>
                <w:szCs w:val="20"/>
              </w:rPr>
              <w:t xml:space="preserve">herbicides </w:t>
            </w:r>
            <w:r w:rsidR="008B7D46" w:rsidRPr="0057645F">
              <w:rPr>
                <w:rFonts w:cstheme="minorHAnsi"/>
                <w:sz w:val="20"/>
                <w:szCs w:val="20"/>
              </w:rPr>
              <w:t xml:space="preserve">and fertilisers </w:t>
            </w:r>
            <w:r w:rsidRPr="0057645F">
              <w:rPr>
                <w:rFonts w:cstheme="minorHAnsi"/>
                <w:sz w:val="20"/>
                <w:szCs w:val="20"/>
              </w:rPr>
              <w:t>from agricultural runoff</w:t>
            </w:r>
          </w:p>
          <w:p w14:paraId="7E92A88D" w14:textId="04788405" w:rsidR="0032154B" w:rsidRPr="0057645F" w:rsidRDefault="00A91F08"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litter – including </w:t>
            </w:r>
            <w:r w:rsidR="0032154B" w:rsidRPr="0057645F">
              <w:rPr>
                <w:rFonts w:cstheme="minorHAnsi"/>
                <w:sz w:val="20"/>
                <w:szCs w:val="20"/>
              </w:rPr>
              <w:t>micro-plastic</w:t>
            </w:r>
          </w:p>
          <w:p w14:paraId="152F704D" w14:textId="1C4B77EB" w:rsidR="0032154B" w:rsidRPr="0057645F" w:rsidRDefault="0032154B"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other chemicals</w:t>
            </w:r>
            <w:r w:rsidR="00A91F08" w:rsidRPr="0057645F">
              <w:rPr>
                <w:rFonts w:cstheme="minorHAnsi"/>
                <w:sz w:val="20"/>
                <w:szCs w:val="20"/>
              </w:rPr>
              <w:t xml:space="preserve"> (e.g. endocrine disruptors)</w:t>
            </w:r>
          </w:p>
        </w:tc>
        <w:tc>
          <w:tcPr>
            <w:tcW w:w="990" w:type="pct"/>
          </w:tcPr>
          <w:p w14:paraId="57F3F9A9" w14:textId="547FF2E0" w:rsidR="002A1820" w:rsidRPr="0057645F" w:rsidRDefault="00945F19" w:rsidP="006C43B5">
            <w:pPr>
              <w:pStyle w:val="Tabletext"/>
              <w:rPr>
                <w:sz w:val="20"/>
                <w:szCs w:val="20"/>
              </w:rPr>
            </w:pPr>
            <w:r w:rsidRPr="0057645F">
              <w:rPr>
                <w:sz w:val="20"/>
                <w:szCs w:val="20"/>
              </w:rPr>
              <w:t>Kingston et al. 2016</w:t>
            </w:r>
            <w:r w:rsidR="0054710C" w:rsidRPr="0057645F">
              <w:rPr>
                <w:sz w:val="20"/>
                <w:szCs w:val="20"/>
              </w:rPr>
              <w:t>; Ross &amp; Williams 2024</w:t>
            </w:r>
            <w:r w:rsidR="00102B24" w:rsidRPr="0057645F">
              <w:rPr>
                <w:sz w:val="20"/>
                <w:szCs w:val="20"/>
              </w:rPr>
              <w:t>; Verhoven et al. 2024</w:t>
            </w:r>
          </w:p>
        </w:tc>
      </w:tr>
      <w:tr w:rsidR="00830CBF" w:rsidRPr="0057645F" w14:paraId="7E821C1C" w14:textId="77777777" w:rsidTr="00B91F4B">
        <w:tc>
          <w:tcPr>
            <w:tcW w:w="755" w:type="pct"/>
          </w:tcPr>
          <w:p w14:paraId="734C295C" w14:textId="77777777" w:rsidR="009D51C6" w:rsidRPr="0057645F" w:rsidRDefault="009D51C6" w:rsidP="006C43B5">
            <w:pPr>
              <w:spacing w:before="80" w:after="80"/>
              <w:rPr>
                <w:rFonts w:cstheme="minorHAnsi"/>
                <w:b/>
                <w:bCs/>
              </w:rPr>
            </w:pPr>
            <w:r w:rsidRPr="0057645F">
              <w:rPr>
                <w:rFonts w:cstheme="minorHAnsi"/>
                <w:b/>
                <w:bCs/>
              </w:rPr>
              <w:t>Acid sulfate soils (ASS)</w:t>
            </w:r>
          </w:p>
          <w:p w14:paraId="4BDB9692" w14:textId="26AC835E" w:rsidR="009D51C6" w:rsidRPr="0057645F" w:rsidRDefault="009D51C6" w:rsidP="006C43B5">
            <w:pPr>
              <w:spacing w:before="80" w:after="80"/>
              <w:rPr>
                <w:rFonts w:cstheme="minorHAnsi"/>
                <w:b/>
                <w:bCs/>
              </w:rPr>
            </w:pPr>
          </w:p>
        </w:tc>
        <w:tc>
          <w:tcPr>
            <w:tcW w:w="518" w:type="pct"/>
          </w:tcPr>
          <w:p w14:paraId="422C4B76" w14:textId="18FB8052" w:rsidR="009D51C6" w:rsidRPr="0057645F" w:rsidRDefault="00B26FA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3857C15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74F25CE3" w14:textId="7EF5618E" w:rsidR="009D51C6" w:rsidRPr="0057645F" w:rsidRDefault="003F42E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lastRenderedPageBreak/>
              <w:t xml:space="preserve">CLLMM </w:t>
            </w:r>
            <w:r w:rsidR="009D51C6" w:rsidRPr="0057645F">
              <w:rPr>
                <w:rFonts w:cstheme="minorHAnsi"/>
                <w:sz w:val="20"/>
                <w:szCs w:val="20"/>
              </w:rPr>
              <w:t>wetlands</w:t>
            </w:r>
          </w:p>
          <w:p w14:paraId="69C9ECE5" w14:textId="2078B9CA" w:rsidR="00B26FA3" w:rsidRPr="0057645F" w:rsidRDefault="00102C0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w:t>
            </w:r>
            <w:r w:rsidR="00B26FA3" w:rsidRPr="0057645F">
              <w:rPr>
                <w:rFonts w:cstheme="minorHAnsi"/>
                <w:sz w:val="20"/>
                <w:szCs w:val="20"/>
              </w:rPr>
              <w:t>ncreasing</w:t>
            </w:r>
            <w:r w:rsidRPr="0057645F">
              <w:rPr>
                <w:rFonts w:cstheme="minorHAnsi"/>
                <w:sz w:val="20"/>
                <w:szCs w:val="20"/>
              </w:rPr>
              <w:t xml:space="preserve"> during drought</w:t>
            </w:r>
          </w:p>
          <w:p w14:paraId="4CDAD248" w14:textId="77777777" w:rsidR="00B26FA3" w:rsidRPr="0057645F" w:rsidRDefault="00B26FA3" w:rsidP="006C43B5">
            <w:pPr>
              <w:pStyle w:val="ListParagraph"/>
              <w:spacing w:before="80" w:after="80"/>
              <w:ind w:left="227"/>
              <w:contextualSpacing w:val="0"/>
              <w:rPr>
                <w:rFonts w:cstheme="minorHAnsi"/>
                <w:sz w:val="20"/>
                <w:szCs w:val="20"/>
              </w:rPr>
            </w:pPr>
          </w:p>
        </w:tc>
        <w:tc>
          <w:tcPr>
            <w:tcW w:w="2736" w:type="pct"/>
          </w:tcPr>
          <w:p w14:paraId="01C1E8E7"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lastRenderedPageBreak/>
              <w:t xml:space="preserve">the ecological community has the ‘raw materials’ to form acid sulphate soils; when sulfidic soils dry out (such as under drought conditions) they oxidise and form acid. When such soils are rewetted there is the risk that significant acid and heavy metals may be released into the water. This can lead to acidification, deoxygenation and toxicity to biota. </w:t>
            </w:r>
          </w:p>
          <w:p w14:paraId="0710AA1B" w14:textId="7BEEB0F6"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lastRenderedPageBreak/>
              <w:t>through disruption of flushing, the weirs have enabled significant build-up of ASS</w:t>
            </w:r>
          </w:p>
          <w:p w14:paraId="255A8C87" w14:textId="009F9DC1"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the Millennium Drought led to exposure of large sections of river</w:t>
            </w:r>
            <w:r w:rsidR="00573809" w:rsidRPr="0057645F">
              <w:rPr>
                <w:rFonts w:cstheme="minorHAnsi"/>
                <w:sz w:val="20"/>
                <w:szCs w:val="20"/>
              </w:rPr>
              <w:t>-</w:t>
            </w:r>
            <w:r w:rsidRPr="0057645F">
              <w:rPr>
                <w:rFonts w:cstheme="minorHAnsi"/>
                <w:sz w:val="20"/>
                <w:szCs w:val="20"/>
              </w:rPr>
              <w:t>bank, wetlands and lakes within the EC that contained high levels of unoxidized iron sulfides.</w:t>
            </w:r>
          </w:p>
        </w:tc>
        <w:tc>
          <w:tcPr>
            <w:tcW w:w="990" w:type="pct"/>
          </w:tcPr>
          <w:p w14:paraId="1DCDE2CA" w14:textId="70A58657" w:rsidR="009D51C6" w:rsidRPr="0057645F" w:rsidRDefault="009D51C6" w:rsidP="006C43B5">
            <w:pPr>
              <w:pStyle w:val="Tabletext"/>
              <w:rPr>
                <w:sz w:val="20"/>
                <w:szCs w:val="20"/>
              </w:rPr>
            </w:pPr>
            <w:r w:rsidRPr="0057645F">
              <w:rPr>
                <w:sz w:val="20"/>
                <w:szCs w:val="20"/>
              </w:rPr>
              <w:lastRenderedPageBreak/>
              <w:t>Taylor &amp; Poole 1</w:t>
            </w:r>
            <w:r w:rsidR="001C36E5" w:rsidRPr="0057645F">
              <w:rPr>
                <w:sz w:val="20"/>
                <w:szCs w:val="20"/>
              </w:rPr>
              <w:t>9</w:t>
            </w:r>
            <w:r w:rsidRPr="0057645F">
              <w:rPr>
                <w:sz w:val="20"/>
                <w:szCs w:val="20"/>
              </w:rPr>
              <w:t>31; Fitzpatrick &amp; Shand 2008; Fitzpatrick et al. 2009</w:t>
            </w:r>
            <w:r w:rsidR="00CD071C" w:rsidRPr="0057645F">
              <w:rPr>
                <w:sz w:val="20"/>
                <w:szCs w:val="20"/>
              </w:rPr>
              <w:t>; Verhoven et al. 2024</w:t>
            </w:r>
            <w:r w:rsidR="00556962" w:rsidRPr="0057645F">
              <w:rPr>
                <w:sz w:val="20"/>
                <w:szCs w:val="20"/>
              </w:rPr>
              <w:t xml:space="preserve">  </w:t>
            </w:r>
          </w:p>
        </w:tc>
      </w:tr>
      <w:tr w:rsidR="00830CBF" w:rsidRPr="0057645F" w14:paraId="11592547" w14:textId="77777777" w:rsidTr="00B91F4B">
        <w:tc>
          <w:tcPr>
            <w:tcW w:w="755" w:type="pct"/>
          </w:tcPr>
          <w:p w14:paraId="0DFFAF70" w14:textId="77777777" w:rsidR="003F42E3" w:rsidRPr="0057645F" w:rsidRDefault="00A83031" w:rsidP="006C43B5">
            <w:pPr>
              <w:spacing w:before="80" w:after="80"/>
              <w:rPr>
                <w:rFonts w:cstheme="minorHAnsi"/>
                <w:b/>
                <w:bCs/>
              </w:rPr>
            </w:pPr>
            <w:r w:rsidRPr="0057645F">
              <w:rPr>
                <w:rFonts w:cstheme="minorHAnsi"/>
                <w:b/>
                <w:bCs/>
              </w:rPr>
              <w:t xml:space="preserve">Sedimentation </w:t>
            </w:r>
          </w:p>
          <w:p w14:paraId="42FDDD25" w14:textId="3DCD749E" w:rsidR="009D51C6" w:rsidRPr="0057645F" w:rsidRDefault="00A83031" w:rsidP="006C43B5">
            <w:pPr>
              <w:spacing w:before="80" w:after="80"/>
              <w:rPr>
                <w:rFonts w:cstheme="minorHAnsi"/>
                <w:b/>
                <w:bCs/>
              </w:rPr>
            </w:pPr>
            <w:r w:rsidRPr="0057645F">
              <w:rPr>
                <w:rFonts w:cstheme="minorHAnsi"/>
                <w:b/>
                <w:bCs/>
              </w:rPr>
              <w:t>(&amp; infilling)</w:t>
            </w:r>
          </w:p>
        </w:tc>
        <w:tc>
          <w:tcPr>
            <w:tcW w:w="518" w:type="pct"/>
          </w:tcPr>
          <w:p w14:paraId="23F5199E" w14:textId="77777777" w:rsidR="009D51C6" w:rsidRPr="0057645F" w:rsidRDefault="003F42E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minor</w:t>
            </w:r>
          </w:p>
          <w:p w14:paraId="11F3017A" w14:textId="77777777" w:rsidR="00221D5F" w:rsidRPr="0057645F" w:rsidRDefault="00221D5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02CAD2E9" w14:textId="77777777" w:rsidR="00221D5F" w:rsidRPr="0057645F" w:rsidRDefault="00221D5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5E2469B9" w14:textId="34A98F5B" w:rsidR="00221D5F" w:rsidRPr="0057645F" w:rsidRDefault="00221D5F"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20D30BB2" w14:textId="67ED6ABA" w:rsidR="009D51C6" w:rsidRPr="0057645F" w:rsidRDefault="001B6A9F"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m</w:t>
            </w:r>
            <w:r w:rsidR="00034F7D" w:rsidRPr="0057645F">
              <w:rPr>
                <w:rFonts w:cstheme="minorHAnsi"/>
                <w:sz w:val="20"/>
                <w:szCs w:val="20"/>
              </w:rPr>
              <w:t>aking Lower Lakes and Coorong shallower</w:t>
            </w:r>
          </w:p>
          <w:p w14:paraId="22B0AAE9" w14:textId="29570348" w:rsidR="00174A24" w:rsidRPr="0057645F" w:rsidRDefault="001B6A9F"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w:t>
            </w:r>
            <w:r w:rsidR="00174A24" w:rsidRPr="0057645F">
              <w:rPr>
                <w:rFonts w:cstheme="minorHAnsi"/>
                <w:sz w:val="20"/>
                <w:szCs w:val="20"/>
              </w:rPr>
              <w:t>ncreased turbidity</w:t>
            </w:r>
            <w:r w:rsidRPr="0057645F">
              <w:rPr>
                <w:rFonts w:cstheme="minorHAnsi"/>
                <w:sz w:val="20"/>
                <w:szCs w:val="20"/>
              </w:rPr>
              <w:t xml:space="preserve"> (less light for photosynthesis)</w:t>
            </w:r>
          </w:p>
        </w:tc>
        <w:tc>
          <w:tcPr>
            <w:tcW w:w="990" w:type="pct"/>
          </w:tcPr>
          <w:p w14:paraId="6E997CE4" w14:textId="53633281" w:rsidR="009D51C6" w:rsidRPr="0057645F" w:rsidRDefault="001B6A9F" w:rsidP="006C43B5">
            <w:pPr>
              <w:pStyle w:val="Tabletext"/>
              <w:rPr>
                <w:sz w:val="20"/>
                <w:szCs w:val="20"/>
              </w:rPr>
            </w:pPr>
            <w:r w:rsidRPr="0057645F">
              <w:rPr>
                <w:sz w:val="20"/>
                <w:szCs w:val="20"/>
              </w:rPr>
              <w:t xml:space="preserve">Aldridge et al. 2018; </w:t>
            </w:r>
            <w:r w:rsidR="00A83031" w:rsidRPr="0057645F">
              <w:rPr>
                <w:sz w:val="20"/>
                <w:szCs w:val="20"/>
              </w:rPr>
              <w:t>Mosley et al. 2022</w:t>
            </w:r>
          </w:p>
        </w:tc>
      </w:tr>
      <w:tr w:rsidR="009D51C6" w:rsidRPr="0057645F" w14:paraId="0DBB8C3F" w14:textId="77777777" w:rsidTr="00B91F4B">
        <w:tc>
          <w:tcPr>
            <w:tcW w:w="5000" w:type="pct"/>
            <w:gridSpan w:val="4"/>
            <w:shd w:val="clear" w:color="auto" w:fill="FFF2CC" w:themeFill="accent4" w:themeFillTint="33"/>
          </w:tcPr>
          <w:p w14:paraId="20EBB640" w14:textId="77777777" w:rsidR="009D51C6" w:rsidRPr="0057645F" w:rsidRDefault="009D51C6" w:rsidP="006C43B5">
            <w:pPr>
              <w:spacing w:before="80" w:after="80"/>
              <w:rPr>
                <w:rFonts w:cstheme="minorHAnsi"/>
                <w:sz w:val="20"/>
                <w:szCs w:val="20"/>
              </w:rPr>
            </w:pPr>
            <w:r w:rsidRPr="0057645F">
              <w:rPr>
                <w:b/>
                <w:bCs/>
                <w:sz w:val="28"/>
                <w:szCs w:val="28"/>
              </w:rPr>
              <w:t>Land clearing related threats</w:t>
            </w:r>
          </w:p>
        </w:tc>
      </w:tr>
      <w:tr w:rsidR="00830CBF" w:rsidRPr="0057645F" w14:paraId="0341DC5B" w14:textId="77777777" w:rsidTr="00B91F4B">
        <w:tc>
          <w:tcPr>
            <w:tcW w:w="755" w:type="pct"/>
          </w:tcPr>
          <w:p w14:paraId="6EFFFBF0" w14:textId="77777777" w:rsidR="009D51C6" w:rsidRPr="0057645F" w:rsidRDefault="009D51C6" w:rsidP="006C43B5">
            <w:pPr>
              <w:keepLines/>
            </w:pPr>
            <w:r w:rsidRPr="0057645F">
              <w:rPr>
                <w:b/>
                <w:bCs/>
              </w:rPr>
              <w:t>Clearing</w:t>
            </w:r>
            <w:r w:rsidRPr="0057645F">
              <w:t xml:space="preserve"> of native vegetation</w:t>
            </w:r>
          </w:p>
          <w:p w14:paraId="6D712916" w14:textId="7C7DAC00" w:rsidR="009D51C6" w:rsidRPr="0057645F" w:rsidRDefault="009D51C6" w:rsidP="006C43B5">
            <w:pPr>
              <w:spacing w:before="80" w:after="80"/>
              <w:rPr>
                <w:rFonts w:cstheme="minorHAnsi"/>
                <w:b/>
                <w:bCs/>
              </w:rPr>
            </w:pPr>
          </w:p>
        </w:tc>
        <w:tc>
          <w:tcPr>
            <w:tcW w:w="518" w:type="pct"/>
          </w:tcPr>
          <w:p w14:paraId="2942176C"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67894966"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past – mainly</w:t>
            </w:r>
          </w:p>
          <w:p w14:paraId="1A59CBA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floodplain, some wetlands lost</w:t>
            </w:r>
          </w:p>
          <w:p w14:paraId="18D1AC9E" w14:textId="0A940E94" w:rsidR="00051210" w:rsidRPr="0057645F" w:rsidRDefault="00051210"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stable</w:t>
            </w:r>
          </w:p>
        </w:tc>
        <w:tc>
          <w:tcPr>
            <w:tcW w:w="2736" w:type="pct"/>
          </w:tcPr>
          <w:p w14:paraId="3ED7E5B7" w14:textId="77777777" w:rsidR="009D51C6" w:rsidRPr="0057645F" w:rsidRDefault="009D51C6" w:rsidP="006C43B5">
            <w:pPr>
              <w:pStyle w:val="ListParagraph"/>
              <w:numPr>
                <w:ilvl w:val="0"/>
                <w:numId w:val="71"/>
              </w:numPr>
              <w:spacing w:after="0" w:line="240" w:lineRule="auto"/>
              <w:rPr>
                <w:sz w:val="20"/>
                <w:szCs w:val="20"/>
              </w:rPr>
            </w:pPr>
            <w:r w:rsidRPr="0057645F">
              <w:rPr>
                <w:sz w:val="20"/>
                <w:szCs w:val="20"/>
              </w:rPr>
              <w:t>at least half of the MDB pre-European vegetation cover has been cleared, with much cleared from the 1950s</w:t>
            </w:r>
          </w:p>
          <w:p w14:paraId="7B947FC8" w14:textId="77777777" w:rsidR="009D51C6" w:rsidRPr="0057645F" w:rsidRDefault="009D51C6" w:rsidP="006C43B5">
            <w:pPr>
              <w:pStyle w:val="ListParagraph"/>
              <w:numPr>
                <w:ilvl w:val="0"/>
                <w:numId w:val="71"/>
              </w:numPr>
              <w:spacing w:after="0" w:line="240" w:lineRule="auto"/>
              <w:rPr>
                <w:sz w:val="20"/>
                <w:szCs w:val="20"/>
              </w:rPr>
            </w:pPr>
            <w:r w:rsidRPr="0057645F">
              <w:rPr>
                <w:sz w:val="20"/>
                <w:szCs w:val="20"/>
              </w:rPr>
              <w:t>large-scale clearing occurred along the lower reaches of the Murray below Mannum for agriculture (i.e. Swamplands Section), with most of the wetlands here drained since the 1880s</w:t>
            </w:r>
          </w:p>
          <w:p w14:paraId="0AF727DA" w14:textId="3D319CBB" w:rsidR="009D51C6" w:rsidRPr="0057645F" w:rsidRDefault="009D51C6" w:rsidP="006C43B5">
            <w:pPr>
              <w:pStyle w:val="ListParagraph"/>
              <w:numPr>
                <w:ilvl w:val="0"/>
                <w:numId w:val="71"/>
              </w:numPr>
              <w:spacing w:after="0" w:line="240" w:lineRule="auto"/>
              <w:rPr>
                <w:sz w:val="20"/>
                <w:szCs w:val="20"/>
              </w:rPr>
            </w:pPr>
            <w:r w:rsidRPr="0057645F">
              <w:rPr>
                <w:sz w:val="20"/>
                <w:szCs w:val="20"/>
              </w:rPr>
              <w:t>also, large areas of native vegetation were ‘thinned; rather than cleared, with river red gum now uncommon below Murray Bridge in SA</w:t>
            </w:r>
          </w:p>
          <w:p w14:paraId="46C083FA" w14:textId="77777777" w:rsidR="009D51C6" w:rsidRPr="0057645F" w:rsidRDefault="009D51C6" w:rsidP="006C43B5">
            <w:pPr>
              <w:pStyle w:val="ListParagraph"/>
              <w:numPr>
                <w:ilvl w:val="0"/>
                <w:numId w:val="71"/>
              </w:numPr>
              <w:spacing w:after="0" w:line="240" w:lineRule="auto"/>
              <w:rPr>
                <w:sz w:val="20"/>
                <w:szCs w:val="20"/>
              </w:rPr>
            </w:pPr>
            <w:r w:rsidRPr="0057645F">
              <w:rPr>
                <w:sz w:val="20"/>
                <w:szCs w:val="20"/>
              </w:rPr>
              <w:t>extensive areas of mallee and heath cleared on the eastern side of the Coorong post WWII</w:t>
            </w:r>
          </w:p>
          <w:p w14:paraId="6293E6FC" w14:textId="4C2081E6" w:rsidR="009D51C6" w:rsidRPr="0057645F" w:rsidRDefault="009D51C6" w:rsidP="006C43B5">
            <w:pPr>
              <w:pStyle w:val="ListParagraph"/>
              <w:numPr>
                <w:ilvl w:val="0"/>
                <w:numId w:val="71"/>
              </w:numPr>
              <w:spacing w:after="0" w:line="240" w:lineRule="auto"/>
              <w:rPr>
                <w:sz w:val="20"/>
                <w:szCs w:val="20"/>
              </w:rPr>
            </w:pPr>
            <w:r w:rsidRPr="0057645F">
              <w:rPr>
                <w:sz w:val="20"/>
                <w:szCs w:val="20"/>
              </w:rPr>
              <w:t>such extensive clearing has degraded the landscape leading to: loss of habitat for biodiversity, erosion of topsoil</w:t>
            </w:r>
            <w:r w:rsidR="005C3FAE" w:rsidRPr="0057645F">
              <w:rPr>
                <w:sz w:val="20"/>
                <w:szCs w:val="20"/>
              </w:rPr>
              <w:t xml:space="preserve"> and river banks</w:t>
            </w:r>
            <w:r w:rsidRPr="0057645F">
              <w:rPr>
                <w:sz w:val="20"/>
                <w:szCs w:val="20"/>
              </w:rPr>
              <w:t>, river siltation, deterioration of soil structure, increased acidification and salination of soils</w:t>
            </w:r>
          </w:p>
          <w:p w14:paraId="5F11313B" w14:textId="77777777" w:rsidR="009D51C6" w:rsidRPr="0057645F" w:rsidRDefault="009D51C6" w:rsidP="006C43B5">
            <w:pPr>
              <w:pStyle w:val="ListParagraph"/>
              <w:numPr>
                <w:ilvl w:val="0"/>
                <w:numId w:val="71"/>
              </w:numPr>
              <w:spacing w:after="0" w:line="240" w:lineRule="auto"/>
              <w:rPr>
                <w:sz w:val="20"/>
                <w:szCs w:val="20"/>
              </w:rPr>
            </w:pPr>
            <w:r w:rsidRPr="0057645F">
              <w:rPr>
                <w:sz w:val="20"/>
                <w:szCs w:val="20"/>
              </w:rPr>
              <w:t>increased rate of recharge to aquifers resulting in rising groundwater and increased soil salinity</w:t>
            </w:r>
          </w:p>
          <w:p w14:paraId="641A07E6" w14:textId="77777777" w:rsidR="0040455B" w:rsidRPr="0057645F" w:rsidRDefault="00F35B9F" w:rsidP="006C43B5">
            <w:pPr>
              <w:pStyle w:val="ListParagraph"/>
              <w:numPr>
                <w:ilvl w:val="0"/>
                <w:numId w:val="71"/>
              </w:numPr>
              <w:spacing w:after="0" w:line="240" w:lineRule="auto"/>
              <w:rPr>
                <w:sz w:val="20"/>
                <w:szCs w:val="20"/>
              </w:rPr>
            </w:pPr>
            <w:r w:rsidRPr="0057645F">
              <w:rPr>
                <w:sz w:val="20"/>
                <w:szCs w:val="20"/>
              </w:rPr>
              <w:t>clearing of terrestrial, riparian and aquatic vegetation is a major threat to Australian wetlands and the bat communities they support</w:t>
            </w:r>
          </w:p>
          <w:p w14:paraId="319A7C8D" w14:textId="36C8D40A" w:rsidR="009D51C6" w:rsidRPr="0057645F" w:rsidRDefault="0040455B" w:rsidP="006C43B5">
            <w:pPr>
              <w:pStyle w:val="ListParagraph"/>
              <w:numPr>
                <w:ilvl w:val="0"/>
                <w:numId w:val="71"/>
              </w:numPr>
              <w:spacing w:after="0" w:line="240" w:lineRule="auto"/>
              <w:rPr>
                <w:sz w:val="20"/>
                <w:szCs w:val="20"/>
              </w:rPr>
            </w:pPr>
            <w:r w:rsidRPr="0057645F">
              <w:rPr>
                <w:sz w:val="20"/>
                <w:szCs w:val="20"/>
              </w:rPr>
              <w:t>tree removal reduces availability</w:t>
            </w:r>
            <w:r w:rsidR="009D4933" w:rsidRPr="0057645F">
              <w:rPr>
                <w:sz w:val="20"/>
                <w:szCs w:val="20"/>
              </w:rPr>
              <w:t xml:space="preserve"> of hollows and suitable roost</w:t>
            </w:r>
            <w:r w:rsidR="00A3764B" w:rsidRPr="0057645F">
              <w:rPr>
                <w:sz w:val="20"/>
                <w:szCs w:val="20"/>
              </w:rPr>
              <w:t>ing/nesting habitat</w:t>
            </w:r>
            <w:r w:rsidR="009D4933" w:rsidRPr="0057645F">
              <w:rPr>
                <w:sz w:val="20"/>
                <w:szCs w:val="20"/>
              </w:rPr>
              <w:t xml:space="preserve"> for bats, birds, and possums</w:t>
            </w:r>
          </w:p>
        </w:tc>
        <w:tc>
          <w:tcPr>
            <w:tcW w:w="990" w:type="pct"/>
          </w:tcPr>
          <w:p w14:paraId="0EA8F814" w14:textId="5D3B7279" w:rsidR="009D51C6" w:rsidRPr="0057645F" w:rsidRDefault="009D51C6" w:rsidP="006C43B5">
            <w:pPr>
              <w:pStyle w:val="Tabletext"/>
              <w:rPr>
                <w:sz w:val="20"/>
                <w:szCs w:val="20"/>
              </w:rPr>
            </w:pPr>
            <w:r w:rsidRPr="0057645F">
              <w:rPr>
                <w:sz w:val="20"/>
                <w:szCs w:val="20"/>
              </w:rPr>
              <w:t xml:space="preserve">Alison et al. 1990; Close 1990a; Eastburn 1990; Smith &amp; Smith 1990; </w:t>
            </w:r>
            <w:r w:rsidR="0043225F" w:rsidRPr="0057645F">
              <w:rPr>
                <w:sz w:val="20"/>
                <w:szCs w:val="20"/>
              </w:rPr>
              <w:t xml:space="preserve">Campbell 2009; </w:t>
            </w:r>
            <w:r w:rsidRPr="0057645F">
              <w:rPr>
                <w:sz w:val="20"/>
                <w:szCs w:val="20"/>
              </w:rPr>
              <w:t xml:space="preserve">Paton 2010; Steinfeld &amp; Kingston 2011; </w:t>
            </w:r>
            <w:r w:rsidR="005C4BD0" w:rsidRPr="0057645F">
              <w:rPr>
                <w:sz w:val="20"/>
                <w:szCs w:val="20"/>
              </w:rPr>
              <w:t>Blakey et al. 2018</w:t>
            </w:r>
          </w:p>
        </w:tc>
      </w:tr>
      <w:tr w:rsidR="00830CBF" w:rsidRPr="0057645F" w14:paraId="66E62BAC" w14:textId="77777777" w:rsidTr="00B91F4B">
        <w:tc>
          <w:tcPr>
            <w:tcW w:w="755" w:type="pct"/>
          </w:tcPr>
          <w:p w14:paraId="10AF2E4F" w14:textId="77777777" w:rsidR="009D51C6" w:rsidRPr="0057645F" w:rsidRDefault="009D51C6" w:rsidP="006C43B5">
            <w:pPr>
              <w:rPr>
                <w:b/>
                <w:bCs/>
              </w:rPr>
            </w:pPr>
            <w:r w:rsidRPr="0057645F">
              <w:rPr>
                <w:b/>
                <w:bCs/>
              </w:rPr>
              <w:t>Mining</w:t>
            </w:r>
          </w:p>
          <w:p w14:paraId="2B90365D" w14:textId="6D000A45" w:rsidR="009D51C6" w:rsidRPr="0057645F" w:rsidRDefault="009D51C6" w:rsidP="006C43B5">
            <w:pPr>
              <w:spacing w:before="80" w:after="80"/>
              <w:rPr>
                <w:rFonts w:cstheme="minorHAnsi"/>
                <w:b/>
                <w:bCs/>
              </w:rPr>
            </w:pPr>
          </w:p>
        </w:tc>
        <w:tc>
          <w:tcPr>
            <w:tcW w:w="518" w:type="pct"/>
          </w:tcPr>
          <w:p w14:paraId="568257F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617571D3"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7B7582C7" w14:textId="6C3736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lastRenderedPageBreak/>
              <w:t>floodplain, streams, mouth</w:t>
            </w:r>
          </w:p>
          <w:p w14:paraId="719C9659" w14:textId="5E2B518C" w:rsidR="00051210" w:rsidRPr="0057645F" w:rsidRDefault="00051210"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3CF4D4A0" w14:textId="77777777" w:rsidR="009D51C6" w:rsidRPr="0057645F" w:rsidRDefault="009D51C6" w:rsidP="006C43B5">
            <w:pPr>
              <w:pStyle w:val="ListParagraph"/>
              <w:numPr>
                <w:ilvl w:val="0"/>
                <w:numId w:val="71"/>
              </w:numPr>
              <w:spacing w:before="80" w:after="80" w:line="240" w:lineRule="auto"/>
              <w:contextualSpacing w:val="0"/>
              <w:rPr>
                <w:sz w:val="20"/>
                <w:szCs w:val="20"/>
              </w:rPr>
            </w:pPr>
            <w:r w:rsidRPr="0057645F">
              <w:rPr>
                <w:sz w:val="20"/>
                <w:szCs w:val="20"/>
              </w:rPr>
              <w:lastRenderedPageBreak/>
              <w:t>habitat and biodiversity lost to roads, tracks, and infrastructure; also fragmenting habitat and creating barriers to movement for some biodiversity</w:t>
            </w:r>
          </w:p>
          <w:p w14:paraId="2B75A48E"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sz w:val="20"/>
                <w:szCs w:val="20"/>
              </w:rPr>
              <w:lastRenderedPageBreak/>
              <w:t>mining of sand at Murray Mouth</w:t>
            </w:r>
          </w:p>
          <w:p w14:paraId="133A281B"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water extraction and pollution impacts for groundwater and </w:t>
            </w:r>
            <w:r w:rsidRPr="0057645F">
              <w:rPr>
                <w:sz w:val="20"/>
                <w:szCs w:val="20"/>
              </w:rPr>
              <w:t xml:space="preserve">streams </w:t>
            </w:r>
            <w:r w:rsidRPr="0057645F">
              <w:rPr>
                <w:rFonts w:cstheme="minorHAnsi"/>
                <w:sz w:val="20"/>
                <w:szCs w:val="20"/>
              </w:rPr>
              <w:t xml:space="preserve">via runoff into to the river and Lower Lakes (e.g. </w:t>
            </w:r>
            <w:r w:rsidRPr="0057645F">
              <w:rPr>
                <w:sz w:val="20"/>
                <w:szCs w:val="20"/>
              </w:rPr>
              <w:t>tailings dam chemicals</w:t>
            </w:r>
            <w:r w:rsidRPr="0057645F">
              <w:rPr>
                <w:rFonts w:cstheme="minorHAnsi"/>
                <w:sz w:val="20"/>
                <w:szCs w:val="20"/>
              </w:rPr>
              <w:t xml:space="preserve"> from mining activity in Mt Lofty ranges)</w:t>
            </w:r>
          </w:p>
          <w:p w14:paraId="5B36B07A" w14:textId="53533BF8" w:rsidR="0007793F" w:rsidRPr="0057645F" w:rsidRDefault="00B5394F"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critical mineral mining may occur below water tables; disposal of excess water is an emerging</w:t>
            </w:r>
            <w:r w:rsidR="004911BD" w:rsidRPr="0057645F">
              <w:rPr>
                <w:rFonts w:cstheme="minorHAnsi"/>
                <w:sz w:val="20"/>
                <w:szCs w:val="20"/>
              </w:rPr>
              <w:t xml:space="preserve"> threat that</w:t>
            </w:r>
            <w:r w:rsidR="00530049" w:rsidRPr="0057645F">
              <w:rPr>
                <w:rFonts w:cstheme="minorHAnsi"/>
                <w:sz w:val="20"/>
                <w:szCs w:val="20"/>
              </w:rPr>
              <w:t xml:space="preserve"> may lead to changes in riparian vegetation and Groundwater Dependent Ecosystems</w:t>
            </w:r>
            <w:r w:rsidR="00695B73" w:rsidRPr="0057645F">
              <w:rPr>
                <w:rFonts w:cstheme="minorHAnsi"/>
                <w:sz w:val="20"/>
                <w:szCs w:val="20"/>
              </w:rPr>
              <w:t xml:space="preserve"> (GDEs)</w:t>
            </w:r>
            <w:r w:rsidR="00530049" w:rsidRPr="0057645F">
              <w:rPr>
                <w:rFonts w:cstheme="minorHAnsi"/>
                <w:sz w:val="20"/>
                <w:szCs w:val="20"/>
              </w:rPr>
              <w:t>.</w:t>
            </w:r>
          </w:p>
        </w:tc>
        <w:tc>
          <w:tcPr>
            <w:tcW w:w="990" w:type="pct"/>
          </w:tcPr>
          <w:p w14:paraId="5C1D30CE" w14:textId="795DE27E" w:rsidR="009D51C6" w:rsidRPr="0057645F" w:rsidRDefault="00C42FF7" w:rsidP="006C43B5">
            <w:pPr>
              <w:pStyle w:val="Tabletext"/>
              <w:rPr>
                <w:sz w:val="20"/>
                <w:szCs w:val="20"/>
              </w:rPr>
            </w:pPr>
            <w:r w:rsidRPr="0057645F">
              <w:rPr>
                <w:sz w:val="20"/>
                <w:szCs w:val="20"/>
              </w:rPr>
              <w:lastRenderedPageBreak/>
              <w:t xml:space="preserve">Prosser et al. 2011; </w:t>
            </w:r>
            <w:r w:rsidR="00F31C27" w:rsidRPr="0057645F">
              <w:rPr>
                <w:sz w:val="20"/>
                <w:szCs w:val="20"/>
              </w:rPr>
              <w:t xml:space="preserve">Doody et al. 2019; </w:t>
            </w:r>
            <w:r w:rsidR="00173F73" w:rsidRPr="0057645F">
              <w:rPr>
                <w:sz w:val="20"/>
                <w:szCs w:val="20"/>
              </w:rPr>
              <w:t xml:space="preserve">DEW 2020; </w:t>
            </w:r>
            <w:r w:rsidR="00CB60C8" w:rsidRPr="0057645F">
              <w:rPr>
                <w:sz w:val="20"/>
                <w:szCs w:val="20"/>
              </w:rPr>
              <w:t xml:space="preserve">DEM </w:t>
            </w:r>
            <w:r w:rsidR="00695B73" w:rsidRPr="0057645F">
              <w:rPr>
                <w:sz w:val="20"/>
                <w:szCs w:val="20"/>
              </w:rPr>
              <w:t>2023</w:t>
            </w:r>
          </w:p>
        </w:tc>
      </w:tr>
      <w:tr w:rsidR="00830CBF" w:rsidRPr="0057645F" w14:paraId="3BB87840" w14:textId="77777777" w:rsidTr="00B91F4B">
        <w:tc>
          <w:tcPr>
            <w:tcW w:w="755" w:type="pct"/>
          </w:tcPr>
          <w:p w14:paraId="27264159" w14:textId="77777777" w:rsidR="009D51C6" w:rsidRPr="0057645F" w:rsidRDefault="009D51C6" w:rsidP="006C43B5">
            <w:r w:rsidRPr="0057645F">
              <w:rPr>
                <w:b/>
                <w:bCs/>
              </w:rPr>
              <w:t>Grazing</w:t>
            </w:r>
            <w:r w:rsidRPr="0057645F">
              <w:t xml:space="preserve"> </w:t>
            </w:r>
          </w:p>
          <w:p w14:paraId="01A5C156" w14:textId="1D315EE8" w:rsidR="009D51C6" w:rsidRPr="0057645F" w:rsidRDefault="009D51C6" w:rsidP="006C43B5">
            <w:pPr>
              <w:spacing w:before="80" w:after="80"/>
              <w:rPr>
                <w:rFonts w:cstheme="minorHAnsi"/>
                <w:b/>
                <w:bCs/>
              </w:rPr>
            </w:pPr>
          </w:p>
        </w:tc>
        <w:tc>
          <w:tcPr>
            <w:tcW w:w="518" w:type="pct"/>
          </w:tcPr>
          <w:p w14:paraId="4EF6B717"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69DAC5B2"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74DF99E0"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floodplain</w:t>
            </w:r>
          </w:p>
          <w:p w14:paraId="08DF28E4" w14:textId="0E457CC1" w:rsidR="001D06A5" w:rsidRPr="0057645F" w:rsidRDefault="001D06A5"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stable</w:t>
            </w:r>
          </w:p>
        </w:tc>
        <w:tc>
          <w:tcPr>
            <w:tcW w:w="2736" w:type="pct"/>
          </w:tcPr>
          <w:p w14:paraId="74306387" w14:textId="77777777" w:rsidR="009D51C6" w:rsidRPr="0057645F" w:rsidRDefault="009D51C6" w:rsidP="006C43B5">
            <w:pPr>
              <w:pStyle w:val="ListParagraph"/>
              <w:numPr>
                <w:ilvl w:val="0"/>
                <w:numId w:val="71"/>
              </w:numPr>
              <w:spacing w:after="0" w:line="240" w:lineRule="auto"/>
              <w:rPr>
                <w:rFonts w:cstheme="minorHAnsi"/>
                <w:sz w:val="20"/>
                <w:szCs w:val="20"/>
              </w:rPr>
            </w:pPr>
            <w:r w:rsidRPr="0057645F">
              <w:rPr>
                <w:rFonts w:cstheme="minorHAnsi"/>
                <w:sz w:val="20"/>
                <w:szCs w:val="20"/>
              </w:rPr>
              <w:t>grazing by livestock (and rabbits) results in loss of riparian vegetation (species and community structure)</w:t>
            </w:r>
          </w:p>
          <w:p w14:paraId="7F6734CA" w14:textId="77777777" w:rsidR="009D51C6" w:rsidRPr="0057645F" w:rsidRDefault="009D51C6" w:rsidP="006C43B5">
            <w:pPr>
              <w:pStyle w:val="ListParagraph"/>
              <w:numPr>
                <w:ilvl w:val="0"/>
                <w:numId w:val="71"/>
              </w:numPr>
              <w:spacing w:after="0" w:line="240" w:lineRule="auto"/>
              <w:rPr>
                <w:rFonts w:cstheme="minorHAnsi"/>
                <w:sz w:val="20"/>
                <w:szCs w:val="20"/>
              </w:rPr>
            </w:pPr>
            <w:r w:rsidRPr="0057645F">
              <w:rPr>
                <w:rFonts w:cstheme="minorHAnsi"/>
                <w:sz w:val="20"/>
                <w:szCs w:val="20"/>
              </w:rPr>
              <w:t>increased erosion of waterway banks via trampling and loss of vegetation</w:t>
            </w:r>
          </w:p>
          <w:p w14:paraId="3561283D"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increased nutrient loads (via stock faeces)</w:t>
            </w:r>
          </w:p>
          <w:p w14:paraId="6B517391" w14:textId="61B1D56B"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annual-plant dominance</w:t>
            </w:r>
            <w:r w:rsidR="00ED0F5B" w:rsidRPr="0057645F">
              <w:rPr>
                <w:rFonts w:cstheme="minorHAnsi"/>
                <w:sz w:val="20"/>
                <w:szCs w:val="20"/>
              </w:rPr>
              <w:t xml:space="preserve"> (due to grazing)</w:t>
            </w:r>
          </w:p>
          <w:p w14:paraId="2ECB5F7D"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exotic plant invasion</w:t>
            </w:r>
          </w:p>
          <w:p w14:paraId="4B1B01C5" w14:textId="4759D820"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compromise the role of riparian vegetation such as, nutrient and sediment filtering, structural support for river</w:t>
            </w:r>
            <w:r w:rsidR="00F70E50" w:rsidRPr="0057645F">
              <w:rPr>
                <w:rFonts w:cstheme="minorHAnsi"/>
                <w:sz w:val="20"/>
                <w:szCs w:val="20"/>
              </w:rPr>
              <w:t>-</w:t>
            </w:r>
            <w:r w:rsidRPr="0057645F">
              <w:rPr>
                <w:rFonts w:cstheme="minorHAnsi"/>
                <w:sz w:val="20"/>
                <w:szCs w:val="20"/>
              </w:rPr>
              <w:t>banks, and habitat for native biodiversity</w:t>
            </w:r>
          </w:p>
          <w:p w14:paraId="661FC7B8"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increases in bare ground (with no vegetation or litter) can detrimentally impact waterways</w:t>
            </w:r>
          </w:p>
          <w:p w14:paraId="6C3DBFEC" w14:textId="15288212" w:rsidR="00194E8D"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decline in water quality</w:t>
            </w:r>
          </w:p>
        </w:tc>
        <w:tc>
          <w:tcPr>
            <w:tcW w:w="990" w:type="pct"/>
          </w:tcPr>
          <w:p w14:paraId="17F8B806" w14:textId="04A3DC78" w:rsidR="009D51C6" w:rsidRPr="0057645F" w:rsidRDefault="009D51C6" w:rsidP="006C43B5">
            <w:pPr>
              <w:pStyle w:val="Tabletext"/>
              <w:rPr>
                <w:sz w:val="20"/>
                <w:szCs w:val="20"/>
              </w:rPr>
            </w:pPr>
            <w:r w:rsidRPr="0057645F">
              <w:rPr>
                <w:sz w:val="20"/>
                <w:szCs w:val="20"/>
              </w:rPr>
              <w:t xml:space="preserve">Lint et al. 2019; </w:t>
            </w:r>
            <w:r w:rsidR="006E462D" w:rsidRPr="0057645F">
              <w:rPr>
                <w:sz w:val="20"/>
                <w:szCs w:val="20"/>
              </w:rPr>
              <w:t xml:space="preserve">Robertson &amp; Rowling; </w:t>
            </w:r>
            <w:r w:rsidR="002A3DDE" w:rsidRPr="0057645F">
              <w:rPr>
                <w:sz w:val="20"/>
                <w:szCs w:val="20"/>
              </w:rPr>
              <w:t xml:space="preserve">Amy &amp; Robertson 2001; </w:t>
            </w:r>
            <w:r w:rsidRPr="0057645F">
              <w:rPr>
                <w:sz w:val="20"/>
                <w:szCs w:val="20"/>
              </w:rPr>
              <w:t>Jones et al. 2022 and references therein</w:t>
            </w:r>
            <w:r w:rsidR="00DF0260" w:rsidRPr="0057645F">
              <w:rPr>
                <w:sz w:val="20"/>
                <w:szCs w:val="20"/>
              </w:rPr>
              <w:t>; Nicol et al</w:t>
            </w:r>
            <w:r w:rsidR="00545265" w:rsidRPr="0057645F">
              <w:rPr>
                <w:sz w:val="20"/>
                <w:szCs w:val="20"/>
              </w:rPr>
              <w:t>. 2022</w:t>
            </w:r>
            <w:r w:rsidRPr="0057645F">
              <w:rPr>
                <w:sz w:val="20"/>
                <w:szCs w:val="20"/>
              </w:rPr>
              <w:t xml:space="preserve"> </w:t>
            </w:r>
          </w:p>
        </w:tc>
      </w:tr>
      <w:tr w:rsidR="009D51C6" w:rsidRPr="0057645F" w14:paraId="621B3828" w14:textId="77777777" w:rsidTr="00B91F4B">
        <w:tc>
          <w:tcPr>
            <w:tcW w:w="5000" w:type="pct"/>
            <w:gridSpan w:val="4"/>
            <w:shd w:val="clear" w:color="auto" w:fill="FFF2CC" w:themeFill="accent4" w:themeFillTint="33"/>
          </w:tcPr>
          <w:p w14:paraId="2EEA0053" w14:textId="77777777" w:rsidR="009D51C6" w:rsidRPr="0057645F" w:rsidRDefault="009D51C6" w:rsidP="006C43B5">
            <w:pPr>
              <w:spacing w:before="80" w:after="80"/>
              <w:rPr>
                <w:rFonts w:cstheme="minorHAnsi"/>
                <w:b/>
                <w:bCs/>
                <w:sz w:val="28"/>
                <w:szCs w:val="28"/>
              </w:rPr>
            </w:pPr>
            <w:r w:rsidRPr="0057645F">
              <w:rPr>
                <w:rFonts w:cstheme="minorHAnsi"/>
                <w:b/>
                <w:bCs/>
                <w:sz w:val="28"/>
                <w:szCs w:val="28"/>
              </w:rPr>
              <w:t xml:space="preserve">Problem Species </w:t>
            </w:r>
          </w:p>
        </w:tc>
      </w:tr>
      <w:tr w:rsidR="00830CBF" w:rsidRPr="0057645F" w14:paraId="4600885A" w14:textId="77777777" w:rsidTr="00B91F4B">
        <w:tc>
          <w:tcPr>
            <w:tcW w:w="755" w:type="pct"/>
          </w:tcPr>
          <w:p w14:paraId="19EFB855" w14:textId="77777777" w:rsidR="005F23B6" w:rsidRPr="0057645F" w:rsidRDefault="005F23B6" w:rsidP="006C43B5">
            <w:pPr>
              <w:spacing w:before="80" w:after="80"/>
              <w:rPr>
                <w:rFonts w:cstheme="minorHAnsi"/>
                <w:b/>
                <w:bCs/>
              </w:rPr>
            </w:pPr>
            <w:r w:rsidRPr="0057645F">
              <w:rPr>
                <w:rFonts w:cstheme="minorHAnsi"/>
                <w:b/>
                <w:bCs/>
              </w:rPr>
              <w:t>Invasive Plants (weeds)</w:t>
            </w:r>
          </w:p>
          <w:p w14:paraId="3FFB3206" w14:textId="4E129CB8" w:rsidR="005F23B6" w:rsidRPr="0057645F" w:rsidRDefault="005F23B6" w:rsidP="006C43B5">
            <w:pPr>
              <w:spacing w:before="80" w:after="80"/>
              <w:rPr>
                <w:rFonts w:cstheme="minorHAnsi"/>
                <w:b/>
                <w:bCs/>
              </w:rPr>
            </w:pPr>
          </w:p>
        </w:tc>
        <w:tc>
          <w:tcPr>
            <w:tcW w:w="518" w:type="pct"/>
          </w:tcPr>
          <w:p w14:paraId="5BBC8912"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6AE36AB4"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6578F0D3"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22BAD93D" w14:textId="5A6492B7" w:rsidR="001D06A5" w:rsidRPr="0057645F" w:rsidRDefault="001D06A5"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4ABADE14" w14:textId="77777777"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at least 150 exotic weeds occur within the EC</w:t>
            </w:r>
          </w:p>
          <w:p w14:paraId="7DE67F07" w14:textId="77777777"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extreme floods can bring new weeds into the EC from upstream</w:t>
            </w:r>
          </w:p>
          <w:p w14:paraId="0EA4209D" w14:textId="77777777"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a small number are abundant and widespread, and can form monospecific patches in riparian, floodplain, or channel zones, e.g. willows (</w:t>
            </w:r>
            <w:r w:rsidRPr="0057645F">
              <w:rPr>
                <w:rFonts w:cstheme="minorHAnsi"/>
                <w:i/>
                <w:iCs/>
                <w:sz w:val="20"/>
                <w:szCs w:val="20"/>
              </w:rPr>
              <w:t>Salix</w:t>
            </w:r>
            <w:r w:rsidRPr="0057645F">
              <w:rPr>
                <w:rFonts w:cstheme="minorHAnsi"/>
                <w:sz w:val="20"/>
                <w:szCs w:val="20"/>
              </w:rPr>
              <w:t xml:space="preserve"> spp.), </w:t>
            </w:r>
            <w:r w:rsidRPr="0057645F">
              <w:rPr>
                <w:rFonts w:cstheme="minorHAnsi"/>
                <w:i/>
                <w:iCs/>
                <w:sz w:val="20"/>
                <w:szCs w:val="20"/>
              </w:rPr>
              <w:t>Xanthium</w:t>
            </w:r>
            <w:r w:rsidRPr="0057645F">
              <w:rPr>
                <w:rFonts w:cstheme="minorHAnsi"/>
                <w:sz w:val="20"/>
                <w:szCs w:val="20"/>
              </w:rPr>
              <w:t xml:space="preserve"> spp., lippia (</w:t>
            </w:r>
            <w:r w:rsidRPr="0057645F">
              <w:rPr>
                <w:rFonts w:cstheme="minorHAnsi"/>
                <w:i/>
                <w:iCs/>
                <w:sz w:val="20"/>
                <w:szCs w:val="20"/>
              </w:rPr>
              <w:t>Phyla canascens</w:t>
            </w:r>
            <w:r w:rsidRPr="0057645F">
              <w:rPr>
                <w:rFonts w:cstheme="minorHAnsi"/>
                <w:sz w:val="20"/>
                <w:szCs w:val="20"/>
              </w:rPr>
              <w:t>), Canadian pondweed (</w:t>
            </w:r>
            <w:r w:rsidRPr="0057645F">
              <w:rPr>
                <w:rFonts w:cstheme="minorHAnsi"/>
                <w:i/>
                <w:iCs/>
                <w:sz w:val="20"/>
                <w:szCs w:val="20"/>
              </w:rPr>
              <w:t>Elodea canadensis</w:t>
            </w:r>
            <w:r w:rsidRPr="0057645F">
              <w:rPr>
                <w:rFonts w:cstheme="minorHAnsi"/>
                <w:sz w:val="20"/>
                <w:szCs w:val="20"/>
              </w:rPr>
              <w:t>) and boneseed (</w:t>
            </w:r>
            <w:r w:rsidRPr="0057645F">
              <w:rPr>
                <w:rFonts w:cstheme="minorHAnsi"/>
                <w:i/>
                <w:iCs/>
                <w:sz w:val="20"/>
                <w:szCs w:val="20"/>
              </w:rPr>
              <w:t>Chrysanthemoides monilifera</w:t>
            </w:r>
            <w:r w:rsidRPr="0057645F">
              <w:rPr>
                <w:rFonts w:cstheme="minorHAnsi"/>
                <w:sz w:val="20"/>
                <w:szCs w:val="20"/>
              </w:rPr>
              <w:t>)</w:t>
            </w:r>
          </w:p>
          <w:p w14:paraId="4983DE42" w14:textId="77777777"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monospecific stands of non-native plants (weeds) can impact native herbivores, insects, and other invertebrates by causing net reduction in food sources and habitat normally provided by native plants</w:t>
            </w:r>
          </w:p>
          <w:p w14:paraId="62F25ECB" w14:textId="77777777"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can replace native ‘ecosystem engineers’</w:t>
            </w:r>
          </w:p>
          <w:p w14:paraId="752CB074" w14:textId="2C9B48B1"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compete with native plants and may impact species diversity and composition</w:t>
            </w:r>
          </w:p>
        </w:tc>
        <w:tc>
          <w:tcPr>
            <w:tcW w:w="990" w:type="pct"/>
          </w:tcPr>
          <w:p w14:paraId="4E7A544A" w14:textId="27E819B6" w:rsidR="005F23B6" w:rsidRPr="0057645F" w:rsidRDefault="005F23B6" w:rsidP="006C43B5">
            <w:pPr>
              <w:pStyle w:val="Tabletext"/>
              <w:rPr>
                <w:sz w:val="20"/>
                <w:szCs w:val="20"/>
              </w:rPr>
            </w:pPr>
            <w:r w:rsidRPr="0057645F">
              <w:rPr>
                <w:sz w:val="20"/>
                <w:szCs w:val="20"/>
              </w:rPr>
              <w:t xml:space="preserve">Cunningham et al. 1992; Shulze &amp; Walker 1997; Kennedy et al. 2003; Taylor &amp; Ganf 2005; Nicol 2007a, c &amp; refs therein; Gehrig 2009; Gehrig &amp; Nicol 2010; Paton 2010; Stewart et al. 2010; Bonifacio et al. 2011; </w:t>
            </w:r>
            <w:r w:rsidR="00CC4BFA" w:rsidRPr="0057645F">
              <w:rPr>
                <w:sz w:val="20"/>
                <w:szCs w:val="20"/>
              </w:rPr>
              <w:t xml:space="preserve">Weiss &amp; Dugdale 2017; </w:t>
            </w:r>
            <w:r w:rsidRPr="0057645F">
              <w:rPr>
                <w:sz w:val="20"/>
                <w:szCs w:val="20"/>
              </w:rPr>
              <w:t>Nicol et al. 2018, 2020, 2023</w:t>
            </w:r>
          </w:p>
        </w:tc>
      </w:tr>
      <w:tr w:rsidR="00830CBF" w:rsidRPr="0057645F" w14:paraId="66F8E632" w14:textId="77777777" w:rsidTr="00B91F4B">
        <w:tc>
          <w:tcPr>
            <w:tcW w:w="755" w:type="pct"/>
          </w:tcPr>
          <w:p w14:paraId="514AA6BA" w14:textId="14BBA8EE" w:rsidR="005F23B6" w:rsidRPr="0057645F" w:rsidRDefault="005F23B6" w:rsidP="006C43B5">
            <w:pPr>
              <w:spacing w:before="80" w:after="80"/>
              <w:rPr>
                <w:rFonts w:cstheme="minorHAnsi"/>
                <w:b/>
                <w:bCs/>
              </w:rPr>
            </w:pPr>
            <w:r w:rsidRPr="0057645F">
              <w:rPr>
                <w:rFonts w:cstheme="minorHAnsi"/>
                <w:b/>
                <w:bCs/>
              </w:rPr>
              <w:lastRenderedPageBreak/>
              <w:t>Invasive/Pest Invertebrates</w:t>
            </w:r>
          </w:p>
        </w:tc>
        <w:tc>
          <w:tcPr>
            <w:tcW w:w="518" w:type="pct"/>
          </w:tcPr>
          <w:p w14:paraId="7E4C6E40"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552E8B81"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32324492" w14:textId="77777777" w:rsidR="005F23B6" w:rsidRPr="0057645F" w:rsidRDefault="005F23B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37EB0097" w14:textId="2109350F" w:rsidR="00E2429D" w:rsidRPr="0057645F" w:rsidRDefault="00E2429D"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4D828496" w14:textId="240A2DC3" w:rsidR="005F23B6" w:rsidRPr="0057645F" w:rsidRDefault="005F23B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during the Millennium Drought, the marine tubeworm (</w:t>
            </w:r>
            <w:r w:rsidRPr="0057645F">
              <w:rPr>
                <w:rFonts w:cstheme="minorHAnsi"/>
                <w:i/>
                <w:iCs/>
                <w:sz w:val="20"/>
                <w:szCs w:val="20"/>
              </w:rPr>
              <w:t>Ficopomatus enigmaticus</w:t>
            </w:r>
            <w:r w:rsidRPr="0057645F">
              <w:rPr>
                <w:rFonts w:cstheme="minorHAnsi"/>
                <w:sz w:val="20"/>
                <w:szCs w:val="20"/>
              </w:rPr>
              <w:t xml:space="preserve">) invaded Lake Alexandrina, killing </w:t>
            </w:r>
            <w:r w:rsidR="00695883" w:rsidRPr="0057645F">
              <w:rPr>
                <w:rFonts w:cstheme="minorHAnsi"/>
                <w:sz w:val="20"/>
                <w:szCs w:val="20"/>
              </w:rPr>
              <w:t xml:space="preserve">and harming </w:t>
            </w:r>
            <w:r w:rsidRPr="0057645F">
              <w:rPr>
                <w:rFonts w:cstheme="minorHAnsi"/>
                <w:sz w:val="20"/>
                <w:szCs w:val="20"/>
              </w:rPr>
              <w:t>many native turtles through formation of huge calcareous masses on the turtle’s shells</w:t>
            </w:r>
          </w:p>
        </w:tc>
        <w:tc>
          <w:tcPr>
            <w:tcW w:w="990" w:type="pct"/>
          </w:tcPr>
          <w:p w14:paraId="23253F44" w14:textId="41CA7D8A" w:rsidR="005F23B6" w:rsidRPr="0057645F" w:rsidRDefault="005F23B6" w:rsidP="006C43B5">
            <w:pPr>
              <w:pStyle w:val="Tabletext"/>
              <w:rPr>
                <w:sz w:val="20"/>
                <w:szCs w:val="20"/>
              </w:rPr>
            </w:pPr>
            <w:r w:rsidRPr="0057645F">
              <w:rPr>
                <w:sz w:val="20"/>
                <w:szCs w:val="20"/>
              </w:rPr>
              <w:t>Dittmann et al. 2009; Rolston &amp; Dittman 2009</w:t>
            </w:r>
            <w:r w:rsidR="00695883" w:rsidRPr="0057645F">
              <w:rPr>
                <w:sz w:val="20"/>
                <w:szCs w:val="20"/>
              </w:rPr>
              <w:t xml:space="preserve">; </w:t>
            </w:r>
            <w:r w:rsidR="00890902" w:rsidRPr="0057645F">
              <w:rPr>
                <w:sz w:val="20"/>
                <w:szCs w:val="20"/>
              </w:rPr>
              <w:t xml:space="preserve">Bower et al. 2012; </w:t>
            </w:r>
            <w:r w:rsidR="00695883" w:rsidRPr="0057645F">
              <w:rPr>
                <w:sz w:val="20"/>
                <w:szCs w:val="20"/>
              </w:rPr>
              <w:t>Dittmann et al. 2018</w:t>
            </w:r>
          </w:p>
        </w:tc>
      </w:tr>
      <w:tr w:rsidR="00830CBF" w:rsidRPr="0057645F" w14:paraId="47E9B581" w14:textId="77777777" w:rsidTr="00B91F4B">
        <w:tc>
          <w:tcPr>
            <w:tcW w:w="755" w:type="pct"/>
          </w:tcPr>
          <w:p w14:paraId="494645B9" w14:textId="77777777" w:rsidR="009D51C6" w:rsidRPr="0057645F" w:rsidRDefault="009D51C6" w:rsidP="006C43B5">
            <w:pPr>
              <w:spacing w:before="80" w:after="80"/>
              <w:rPr>
                <w:rFonts w:cstheme="minorHAnsi"/>
                <w:b/>
                <w:bCs/>
              </w:rPr>
            </w:pPr>
            <w:r w:rsidRPr="0057645F">
              <w:rPr>
                <w:rFonts w:cstheme="minorHAnsi"/>
                <w:b/>
                <w:bCs/>
              </w:rPr>
              <w:t xml:space="preserve">Invasive Fish </w:t>
            </w:r>
          </w:p>
          <w:p w14:paraId="27EDB954" w14:textId="37F0D860" w:rsidR="009D51C6" w:rsidRPr="0057645F" w:rsidRDefault="009D51C6" w:rsidP="006C43B5">
            <w:pPr>
              <w:spacing w:before="80" w:after="80"/>
              <w:rPr>
                <w:rFonts w:cstheme="minorHAnsi"/>
              </w:rPr>
            </w:pPr>
          </w:p>
        </w:tc>
        <w:tc>
          <w:tcPr>
            <w:tcW w:w="518" w:type="pct"/>
          </w:tcPr>
          <w:p w14:paraId="65EB8D4D"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extreme</w:t>
            </w:r>
          </w:p>
          <w:p w14:paraId="1898AF3F"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6E4A4AE3"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3487C96C" w14:textId="4037CE44" w:rsidR="00695883" w:rsidRPr="0057645F" w:rsidRDefault="0069588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5846FD4A" w14:textId="5748CCBD"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8 introduced (alien) fish species have been recorded in the EC</w:t>
            </w:r>
            <w:r w:rsidR="008A2D89" w:rsidRPr="0057645F">
              <w:rPr>
                <w:rFonts w:cstheme="minorHAnsi"/>
                <w:sz w:val="20"/>
                <w:szCs w:val="20"/>
              </w:rPr>
              <w:t>,</w:t>
            </w:r>
            <w:r w:rsidRPr="0057645F">
              <w:rPr>
                <w:rFonts w:cstheme="minorHAnsi"/>
                <w:sz w:val="20"/>
                <w:szCs w:val="20"/>
              </w:rPr>
              <w:t xml:space="preserve"> to date; European carp, goldfish, oriental weatherloach, tench, eastern gambusia, redfin, brown trout and rainbow trout (see </w:t>
            </w:r>
            <w:r w:rsidRPr="0057645F">
              <w:rPr>
                <w:rFonts w:cstheme="minorHAnsi"/>
                <w:sz w:val="20"/>
                <w:szCs w:val="20"/>
                <w:u w:val="single"/>
              </w:rPr>
              <w:t xml:space="preserve">Appendix </w:t>
            </w:r>
            <w:r w:rsidR="005F1541" w:rsidRPr="0057645F">
              <w:rPr>
                <w:rFonts w:cstheme="minorHAnsi"/>
                <w:sz w:val="20"/>
                <w:szCs w:val="20"/>
                <w:u w:val="single"/>
              </w:rPr>
              <w:t>B, Table B2</w:t>
            </w:r>
            <w:r w:rsidRPr="0057645F">
              <w:rPr>
                <w:rFonts w:cstheme="minorHAnsi"/>
                <w:sz w:val="20"/>
                <w:szCs w:val="20"/>
              </w:rPr>
              <w:t>)</w:t>
            </w:r>
          </w:p>
          <w:p w14:paraId="366FDD8B" w14:textId="3A05EB68" w:rsidR="009D51C6" w:rsidRPr="0057645F" w:rsidRDefault="00097DDD"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Common (</w:t>
            </w:r>
            <w:r w:rsidR="009D51C6" w:rsidRPr="0057645F">
              <w:rPr>
                <w:rFonts w:cstheme="minorHAnsi"/>
                <w:sz w:val="20"/>
                <w:szCs w:val="20"/>
              </w:rPr>
              <w:t>European</w:t>
            </w:r>
            <w:r w:rsidRPr="0057645F">
              <w:rPr>
                <w:rFonts w:cstheme="minorHAnsi"/>
                <w:sz w:val="20"/>
                <w:szCs w:val="20"/>
              </w:rPr>
              <w:t>)</w:t>
            </w:r>
            <w:r w:rsidR="009D51C6" w:rsidRPr="0057645F">
              <w:rPr>
                <w:rFonts w:cstheme="minorHAnsi"/>
                <w:sz w:val="20"/>
                <w:szCs w:val="20"/>
              </w:rPr>
              <w:t xml:space="preserve"> carp (</w:t>
            </w:r>
            <w:r w:rsidR="009D51C6" w:rsidRPr="0057645F">
              <w:rPr>
                <w:rFonts w:cstheme="minorHAnsi"/>
                <w:i/>
                <w:iCs/>
                <w:sz w:val="20"/>
                <w:szCs w:val="20"/>
              </w:rPr>
              <w:t>Cyprnus carpo</w:t>
            </w:r>
            <w:r w:rsidR="009D51C6" w:rsidRPr="0057645F">
              <w:rPr>
                <w:rFonts w:cstheme="minorHAnsi"/>
                <w:sz w:val="20"/>
                <w:szCs w:val="20"/>
              </w:rPr>
              <w:t xml:space="preserve">) represents a major and </w:t>
            </w:r>
            <w:r w:rsidR="00D41ED7" w:rsidRPr="0057645F">
              <w:rPr>
                <w:rFonts w:cstheme="minorHAnsi"/>
                <w:sz w:val="20"/>
                <w:szCs w:val="20"/>
              </w:rPr>
              <w:t xml:space="preserve">seemingly </w:t>
            </w:r>
            <w:r w:rsidR="009D51C6" w:rsidRPr="0057645F">
              <w:rPr>
                <w:rFonts w:cstheme="minorHAnsi"/>
                <w:sz w:val="20"/>
                <w:szCs w:val="20"/>
              </w:rPr>
              <w:t xml:space="preserve">irreversible invasion since the 1970s; </w:t>
            </w:r>
            <w:r w:rsidRPr="0057645F">
              <w:rPr>
                <w:rFonts w:cstheme="minorHAnsi"/>
                <w:sz w:val="20"/>
                <w:szCs w:val="20"/>
              </w:rPr>
              <w:t>it has</w:t>
            </w:r>
            <w:r w:rsidR="009D51C6" w:rsidRPr="0057645F">
              <w:rPr>
                <w:rFonts w:cstheme="minorHAnsi"/>
                <w:sz w:val="20"/>
                <w:szCs w:val="20"/>
              </w:rPr>
              <w:t xml:space="preserve"> led to increased turbidity due to their bottom feeding behaviour, loss of macrophytes, and often outcompete native species, particularly during early life-history stages, and may prey on native juveniles.</w:t>
            </w:r>
          </w:p>
          <w:p w14:paraId="7C92F948"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carp may displace native fish and make aquatic habitat less suitable for native fish breeding and survival</w:t>
            </w:r>
          </w:p>
          <w:p w14:paraId="2D722C8E"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carp are the first fish into wetlands when waters rise and the last to leave</w:t>
            </w:r>
          </w:p>
          <w:p w14:paraId="764BA686"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carp can tolerate a wide range of water temperatures and salinity, making them more resilient to climate change impacts</w:t>
            </w:r>
          </w:p>
          <w:p w14:paraId="30BD4B00" w14:textId="03856D95" w:rsidR="00D41ED7" w:rsidRPr="0057645F" w:rsidRDefault="00A934C2"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since </w:t>
            </w:r>
            <w:r w:rsidR="00AD413F" w:rsidRPr="0057645F">
              <w:rPr>
                <w:rFonts w:cstheme="minorHAnsi"/>
                <w:sz w:val="20"/>
                <w:szCs w:val="20"/>
              </w:rPr>
              <w:t>2016,</w:t>
            </w:r>
            <w:r w:rsidR="007142BB" w:rsidRPr="0057645F">
              <w:rPr>
                <w:rFonts w:cstheme="minorHAnsi"/>
                <w:sz w:val="20"/>
                <w:szCs w:val="20"/>
              </w:rPr>
              <w:t xml:space="preserve"> bio-control using</w:t>
            </w:r>
            <w:r w:rsidR="00AD413F" w:rsidRPr="0057645F">
              <w:rPr>
                <w:rFonts w:cstheme="minorHAnsi"/>
                <w:sz w:val="20"/>
                <w:szCs w:val="20"/>
              </w:rPr>
              <w:t xml:space="preserve"> </w:t>
            </w:r>
            <w:r w:rsidR="00D41ED7" w:rsidRPr="0057645F">
              <w:rPr>
                <w:rFonts w:cstheme="minorHAnsi"/>
                <w:sz w:val="20"/>
                <w:szCs w:val="20"/>
              </w:rPr>
              <w:t xml:space="preserve">a virus </w:t>
            </w:r>
            <w:r w:rsidR="007142BB" w:rsidRPr="0057645F">
              <w:rPr>
                <w:rFonts w:cstheme="minorHAnsi"/>
                <w:sz w:val="20"/>
                <w:szCs w:val="20"/>
              </w:rPr>
              <w:t xml:space="preserve">against carp </w:t>
            </w:r>
            <w:r w:rsidRPr="0057645F">
              <w:rPr>
                <w:rFonts w:cstheme="minorHAnsi"/>
                <w:sz w:val="20"/>
                <w:szCs w:val="20"/>
              </w:rPr>
              <w:t xml:space="preserve">has been </w:t>
            </w:r>
            <w:r w:rsidR="00AD019F" w:rsidRPr="0057645F">
              <w:rPr>
                <w:rFonts w:cstheme="minorHAnsi"/>
                <w:sz w:val="20"/>
                <w:szCs w:val="20"/>
              </w:rPr>
              <w:t xml:space="preserve">researched and </w:t>
            </w:r>
            <w:r w:rsidR="00D41ED7" w:rsidRPr="0057645F">
              <w:rPr>
                <w:rFonts w:cstheme="minorHAnsi"/>
                <w:sz w:val="20"/>
                <w:szCs w:val="20"/>
              </w:rPr>
              <w:t>considered</w:t>
            </w:r>
            <w:r w:rsidRPr="0057645F">
              <w:rPr>
                <w:rFonts w:cstheme="minorHAnsi"/>
                <w:sz w:val="20"/>
                <w:szCs w:val="20"/>
              </w:rPr>
              <w:t xml:space="preserve">—the </w:t>
            </w:r>
            <w:r w:rsidR="00D41ED7" w:rsidRPr="0057645F">
              <w:rPr>
                <w:rFonts w:cstheme="minorHAnsi"/>
                <w:sz w:val="20"/>
                <w:szCs w:val="20"/>
              </w:rPr>
              <w:t xml:space="preserve">National Carp </w:t>
            </w:r>
            <w:r w:rsidR="00AD413F" w:rsidRPr="0057645F">
              <w:rPr>
                <w:rFonts w:cstheme="minorHAnsi"/>
                <w:sz w:val="20"/>
                <w:szCs w:val="20"/>
              </w:rPr>
              <w:t xml:space="preserve">Control </w:t>
            </w:r>
            <w:r w:rsidR="00D41ED7" w:rsidRPr="0057645F">
              <w:rPr>
                <w:rFonts w:cstheme="minorHAnsi"/>
                <w:sz w:val="20"/>
                <w:szCs w:val="20"/>
              </w:rPr>
              <w:t>Plan</w:t>
            </w:r>
            <w:r w:rsidRPr="0057645F">
              <w:rPr>
                <w:rFonts w:cstheme="minorHAnsi"/>
                <w:sz w:val="20"/>
                <w:szCs w:val="20"/>
              </w:rPr>
              <w:t xml:space="preserve"> (2022)</w:t>
            </w:r>
          </w:p>
          <w:p w14:paraId="1023FE8F" w14:textId="2FE29C5B" w:rsidR="0019726A" w:rsidRPr="0057645F" w:rsidRDefault="00501AFD"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eastern gambusia </w:t>
            </w:r>
            <w:r w:rsidR="000C00CE" w:rsidRPr="0057645F">
              <w:rPr>
                <w:rFonts w:cstheme="minorHAnsi"/>
                <w:sz w:val="20"/>
                <w:szCs w:val="20"/>
              </w:rPr>
              <w:t>compete with native species for food and resources</w:t>
            </w:r>
            <w:r w:rsidR="0067336B" w:rsidRPr="0057645F">
              <w:rPr>
                <w:rFonts w:cstheme="minorHAnsi"/>
                <w:sz w:val="20"/>
                <w:szCs w:val="20"/>
              </w:rPr>
              <w:t>; their aggressive behaviour (chasing, fin nipping) can lead to secondary bacterial or fungal infections</w:t>
            </w:r>
            <w:r w:rsidR="00F91190" w:rsidRPr="0057645F">
              <w:rPr>
                <w:rFonts w:cstheme="minorHAnsi"/>
                <w:sz w:val="20"/>
                <w:szCs w:val="20"/>
              </w:rPr>
              <w:t xml:space="preserve"> and potentially, mortality </w:t>
            </w:r>
          </w:p>
        </w:tc>
        <w:tc>
          <w:tcPr>
            <w:tcW w:w="990" w:type="pct"/>
          </w:tcPr>
          <w:p w14:paraId="4FE9658D" w14:textId="4B60EC9A" w:rsidR="009D51C6" w:rsidRPr="0057645F" w:rsidRDefault="009D51C6" w:rsidP="006C43B5">
            <w:pPr>
              <w:pStyle w:val="Tabletext"/>
              <w:rPr>
                <w:sz w:val="20"/>
                <w:szCs w:val="20"/>
              </w:rPr>
            </w:pPr>
            <w:r w:rsidRPr="0057645F">
              <w:rPr>
                <w:sz w:val="20"/>
                <w:szCs w:val="20"/>
              </w:rPr>
              <w:t xml:space="preserve">Roberts et al. 1995; </w:t>
            </w:r>
            <w:r w:rsidR="00AF20C2" w:rsidRPr="0057645F">
              <w:rPr>
                <w:sz w:val="20"/>
                <w:szCs w:val="20"/>
              </w:rPr>
              <w:t xml:space="preserve">Koehn et al. 2000; </w:t>
            </w:r>
            <w:r w:rsidRPr="0057645F">
              <w:rPr>
                <w:sz w:val="20"/>
                <w:szCs w:val="20"/>
              </w:rPr>
              <w:t xml:space="preserve">Hammer &amp; Walker 2004; </w:t>
            </w:r>
            <w:r w:rsidR="00530E1C" w:rsidRPr="0057645F">
              <w:rPr>
                <w:sz w:val="20"/>
                <w:szCs w:val="20"/>
              </w:rPr>
              <w:t xml:space="preserve">Koehn &amp; MacKenzie 2004; </w:t>
            </w:r>
            <w:r w:rsidR="00615E8D" w:rsidRPr="0057645F">
              <w:rPr>
                <w:sz w:val="20"/>
                <w:szCs w:val="20"/>
              </w:rPr>
              <w:t xml:space="preserve">Gilligan 2005; </w:t>
            </w:r>
            <w:r w:rsidR="007142BB" w:rsidRPr="0057645F">
              <w:rPr>
                <w:sz w:val="20"/>
                <w:szCs w:val="20"/>
              </w:rPr>
              <w:t>Tonkin et al. 2006</w:t>
            </w:r>
            <w:r w:rsidR="00FC5B08" w:rsidRPr="0057645F">
              <w:rPr>
                <w:sz w:val="20"/>
                <w:szCs w:val="20"/>
              </w:rPr>
              <w:t>, 2012, 2014;</w:t>
            </w:r>
            <w:r w:rsidR="007142BB" w:rsidRPr="0057645F">
              <w:rPr>
                <w:sz w:val="20"/>
                <w:szCs w:val="20"/>
              </w:rPr>
              <w:t xml:space="preserve"> </w:t>
            </w:r>
            <w:r w:rsidRPr="0057645F">
              <w:rPr>
                <w:sz w:val="20"/>
                <w:szCs w:val="20"/>
              </w:rPr>
              <w:t xml:space="preserve">McNiel &amp; Hammer 2007; </w:t>
            </w:r>
            <w:r w:rsidR="00923FD8" w:rsidRPr="0057645F">
              <w:rPr>
                <w:sz w:val="20"/>
                <w:szCs w:val="20"/>
              </w:rPr>
              <w:t xml:space="preserve">Macdonald &amp; Tonkin 2008; </w:t>
            </w:r>
            <w:r w:rsidR="00886BE3" w:rsidRPr="0057645F">
              <w:rPr>
                <w:sz w:val="20"/>
                <w:szCs w:val="20"/>
              </w:rPr>
              <w:t>Pyke</w:t>
            </w:r>
            <w:r w:rsidR="00803192" w:rsidRPr="0057645F">
              <w:rPr>
                <w:sz w:val="20"/>
                <w:szCs w:val="20"/>
              </w:rPr>
              <w:t xml:space="preserve"> 2008; </w:t>
            </w:r>
            <w:r w:rsidRPr="0057645F">
              <w:rPr>
                <w:sz w:val="20"/>
                <w:szCs w:val="20"/>
              </w:rPr>
              <w:t xml:space="preserve">Zampatti et al. 2008; Hammer et al. 2009; Ye &amp; Hammer 2009; McNiel et al. 2011; Conallin et al 2012; </w:t>
            </w:r>
            <w:r w:rsidR="009C6CF7" w:rsidRPr="0057645F">
              <w:rPr>
                <w:sz w:val="20"/>
                <w:szCs w:val="20"/>
              </w:rPr>
              <w:t xml:space="preserve">MacDonald </w:t>
            </w:r>
            <w:r w:rsidR="00626CF3" w:rsidRPr="0057645F">
              <w:rPr>
                <w:sz w:val="20"/>
                <w:szCs w:val="20"/>
              </w:rPr>
              <w:t xml:space="preserve">et al. 2012; </w:t>
            </w:r>
            <w:r w:rsidRPr="0057645F">
              <w:rPr>
                <w:sz w:val="20"/>
                <w:szCs w:val="20"/>
              </w:rPr>
              <w:t xml:space="preserve">Wedderburn &amp; Suitor 2012; </w:t>
            </w:r>
            <w:r w:rsidR="002625DB" w:rsidRPr="0057645F">
              <w:rPr>
                <w:sz w:val="20"/>
                <w:szCs w:val="20"/>
              </w:rPr>
              <w:t xml:space="preserve">Wegener &amp; Suitor 2013; </w:t>
            </w:r>
            <w:r w:rsidR="00BA75DC" w:rsidRPr="0057645F">
              <w:rPr>
                <w:sz w:val="20"/>
                <w:szCs w:val="20"/>
              </w:rPr>
              <w:t xml:space="preserve">Barrett et al. 2014; </w:t>
            </w:r>
            <w:r w:rsidR="002625DB" w:rsidRPr="0057645F">
              <w:rPr>
                <w:sz w:val="20"/>
                <w:szCs w:val="20"/>
              </w:rPr>
              <w:t xml:space="preserve">Fredburg et al. 2014 </w:t>
            </w:r>
            <w:r w:rsidR="00FC5B08" w:rsidRPr="0057645F">
              <w:rPr>
                <w:sz w:val="20"/>
                <w:szCs w:val="20"/>
              </w:rPr>
              <w:t xml:space="preserve">Vilizzi et al. 2014, 2015; </w:t>
            </w:r>
            <w:r w:rsidR="00945F19" w:rsidRPr="0057645F">
              <w:rPr>
                <w:sz w:val="20"/>
                <w:szCs w:val="20"/>
              </w:rPr>
              <w:t xml:space="preserve">Kingston et al. 2016; </w:t>
            </w:r>
            <w:r w:rsidR="00974BE2" w:rsidRPr="0057645F">
              <w:rPr>
                <w:sz w:val="20"/>
                <w:szCs w:val="20"/>
              </w:rPr>
              <w:t xml:space="preserve">Wedderburn et al. 2017; </w:t>
            </w:r>
            <w:r w:rsidRPr="0057645F">
              <w:rPr>
                <w:sz w:val="20"/>
                <w:szCs w:val="20"/>
              </w:rPr>
              <w:t xml:space="preserve">Koehn et al. </w:t>
            </w:r>
            <w:r w:rsidR="00190910" w:rsidRPr="0057645F">
              <w:rPr>
                <w:sz w:val="20"/>
                <w:szCs w:val="20"/>
              </w:rPr>
              <w:t xml:space="preserve">2000, </w:t>
            </w:r>
            <w:r w:rsidRPr="0057645F">
              <w:rPr>
                <w:sz w:val="20"/>
                <w:szCs w:val="20"/>
              </w:rPr>
              <w:t>2016</w:t>
            </w:r>
            <w:r w:rsidR="00190910" w:rsidRPr="0057645F">
              <w:rPr>
                <w:sz w:val="20"/>
                <w:szCs w:val="20"/>
              </w:rPr>
              <w:t xml:space="preserve">; </w:t>
            </w:r>
            <w:r w:rsidR="005F23B6" w:rsidRPr="0057645F">
              <w:rPr>
                <w:sz w:val="20"/>
                <w:szCs w:val="20"/>
              </w:rPr>
              <w:t xml:space="preserve">Stuart et al. 2021; </w:t>
            </w:r>
            <w:r w:rsidR="00190910" w:rsidRPr="0057645F">
              <w:rPr>
                <w:sz w:val="20"/>
                <w:szCs w:val="20"/>
              </w:rPr>
              <w:t>FRDC 2022</w:t>
            </w:r>
            <w:r w:rsidR="00AF20C2" w:rsidRPr="0057645F">
              <w:rPr>
                <w:sz w:val="20"/>
                <w:szCs w:val="20"/>
              </w:rPr>
              <w:t>; Schilling et al. 2024</w:t>
            </w:r>
          </w:p>
        </w:tc>
      </w:tr>
      <w:tr w:rsidR="00830CBF" w:rsidRPr="0057645F" w14:paraId="4919022E" w14:textId="77777777" w:rsidTr="00B91F4B">
        <w:tc>
          <w:tcPr>
            <w:tcW w:w="755" w:type="pct"/>
          </w:tcPr>
          <w:p w14:paraId="6BE4E330" w14:textId="440B6494" w:rsidR="009D51C6" w:rsidRPr="0057645F" w:rsidRDefault="00DC5EDB" w:rsidP="006C43B5">
            <w:pPr>
              <w:spacing w:before="80" w:after="80"/>
              <w:rPr>
                <w:rFonts w:cstheme="minorHAnsi"/>
                <w:b/>
                <w:bCs/>
              </w:rPr>
            </w:pPr>
            <w:r w:rsidRPr="0057645F">
              <w:rPr>
                <w:rFonts w:cstheme="minorHAnsi"/>
                <w:b/>
                <w:bCs/>
              </w:rPr>
              <w:t>Invasive</w:t>
            </w:r>
            <w:r w:rsidR="001E00C5" w:rsidRPr="0057645F">
              <w:rPr>
                <w:rFonts w:cstheme="minorHAnsi"/>
                <w:b/>
                <w:bCs/>
              </w:rPr>
              <w:t xml:space="preserve"> </w:t>
            </w:r>
            <w:r w:rsidR="009D51C6" w:rsidRPr="0057645F">
              <w:rPr>
                <w:rFonts w:cstheme="minorHAnsi"/>
                <w:b/>
                <w:bCs/>
              </w:rPr>
              <w:t xml:space="preserve">Birds </w:t>
            </w:r>
          </w:p>
        </w:tc>
        <w:tc>
          <w:tcPr>
            <w:tcW w:w="518" w:type="pct"/>
          </w:tcPr>
          <w:p w14:paraId="46EC93A9" w14:textId="6644B988"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7CE99188"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557347E2"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minority</w:t>
            </w:r>
          </w:p>
          <w:p w14:paraId="27811820" w14:textId="09712436" w:rsidR="00A323F3" w:rsidRPr="0057645F" w:rsidRDefault="00A323F3"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tc>
        <w:tc>
          <w:tcPr>
            <w:tcW w:w="2736" w:type="pct"/>
          </w:tcPr>
          <w:p w14:paraId="625FE1C6"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invasive birds (e.g. starling, blackbird, sparrow) compete with native bird species for habitat, resources, and nesting sites</w:t>
            </w:r>
          </w:p>
          <w:p w14:paraId="58FD42BB" w14:textId="5F86798C"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due to fragmentation and degradation of woodlands and shrublands, over-abundant native birds </w:t>
            </w:r>
            <w:r w:rsidR="009D6785" w:rsidRPr="0057645F">
              <w:rPr>
                <w:rFonts w:cstheme="minorHAnsi"/>
                <w:sz w:val="20"/>
                <w:szCs w:val="20"/>
              </w:rPr>
              <w:t xml:space="preserve">such as </w:t>
            </w:r>
            <w:r w:rsidRPr="0057645F">
              <w:rPr>
                <w:rFonts w:cstheme="minorHAnsi"/>
                <w:sz w:val="20"/>
                <w:szCs w:val="20"/>
              </w:rPr>
              <w:t>miners can aggressively exclude other native birds</w:t>
            </w:r>
          </w:p>
          <w:p w14:paraId="1E875812" w14:textId="7BDA9335" w:rsidR="009D51C6" w:rsidRPr="0057645F" w:rsidRDefault="009D51C6" w:rsidP="006C43B5">
            <w:pPr>
              <w:pStyle w:val="ListParagraph"/>
              <w:spacing w:before="80" w:after="80" w:line="240" w:lineRule="auto"/>
              <w:ind w:left="227"/>
              <w:contextualSpacing w:val="0"/>
              <w:rPr>
                <w:rFonts w:cstheme="minorHAnsi"/>
                <w:sz w:val="20"/>
                <w:szCs w:val="20"/>
              </w:rPr>
            </w:pPr>
          </w:p>
        </w:tc>
        <w:tc>
          <w:tcPr>
            <w:tcW w:w="990" w:type="pct"/>
          </w:tcPr>
          <w:p w14:paraId="494A7937" w14:textId="2826FE0E" w:rsidR="009D51C6" w:rsidRPr="0057645F" w:rsidRDefault="00A323F3" w:rsidP="006C43B5">
            <w:pPr>
              <w:pStyle w:val="Tabletext"/>
              <w:rPr>
                <w:sz w:val="20"/>
                <w:szCs w:val="20"/>
              </w:rPr>
            </w:pPr>
            <w:r w:rsidRPr="0057645F">
              <w:rPr>
                <w:sz w:val="20"/>
                <w:szCs w:val="20"/>
              </w:rPr>
              <w:t>McGuinnes et al. 2010; St</w:t>
            </w:r>
            <w:r w:rsidR="00080372" w:rsidRPr="0057645F">
              <w:rPr>
                <w:sz w:val="20"/>
                <w:szCs w:val="20"/>
              </w:rPr>
              <w:t>ewart et al. 2010</w:t>
            </w:r>
          </w:p>
        </w:tc>
      </w:tr>
      <w:tr w:rsidR="00830CBF" w:rsidRPr="0057645F" w14:paraId="4790DBC8" w14:textId="77777777" w:rsidTr="00B91F4B">
        <w:tc>
          <w:tcPr>
            <w:tcW w:w="755" w:type="pct"/>
          </w:tcPr>
          <w:p w14:paraId="5F757853" w14:textId="77777777" w:rsidR="009D51C6" w:rsidRPr="0057645F" w:rsidRDefault="009D51C6" w:rsidP="006C43B5">
            <w:pPr>
              <w:spacing w:before="80" w:after="80"/>
              <w:rPr>
                <w:rFonts w:cstheme="minorHAnsi"/>
                <w:b/>
                <w:bCs/>
              </w:rPr>
            </w:pPr>
            <w:r w:rsidRPr="0057645F">
              <w:rPr>
                <w:rFonts w:cstheme="minorHAnsi"/>
                <w:b/>
                <w:bCs/>
              </w:rPr>
              <w:lastRenderedPageBreak/>
              <w:t>Invasive Mammals</w:t>
            </w:r>
          </w:p>
        </w:tc>
        <w:tc>
          <w:tcPr>
            <w:tcW w:w="518" w:type="pct"/>
          </w:tcPr>
          <w:p w14:paraId="3895EB49"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major</w:t>
            </w:r>
          </w:p>
          <w:p w14:paraId="6A700EE8"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0B80E3D8"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whole</w:t>
            </w:r>
          </w:p>
          <w:p w14:paraId="67F8CDBE" w14:textId="02E74F2C" w:rsidR="0072148C" w:rsidRPr="0057645F" w:rsidRDefault="0072148C"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4EF9EEB4" w14:textId="169902DF" w:rsidR="009D51C6" w:rsidRPr="0057645F" w:rsidRDefault="006D0B3B"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at least </w:t>
            </w:r>
            <w:r w:rsidR="009D51C6" w:rsidRPr="0057645F">
              <w:rPr>
                <w:rFonts w:cstheme="minorHAnsi"/>
                <w:sz w:val="20"/>
                <w:szCs w:val="20"/>
              </w:rPr>
              <w:t>9 pest mammal species occur within the ecological community, all terrestria</w:t>
            </w:r>
            <w:r w:rsidR="009B4828" w:rsidRPr="0057645F">
              <w:rPr>
                <w:rFonts w:cstheme="minorHAnsi"/>
                <w:sz w:val="20"/>
                <w:szCs w:val="20"/>
              </w:rPr>
              <w:t>l</w:t>
            </w:r>
          </w:p>
          <w:p w14:paraId="654752D2"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 these compete with native species for habitat and food, and often lead to habitat disturbance</w:t>
            </w:r>
          </w:p>
          <w:p w14:paraId="48723472" w14:textId="38A907F4"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feral cat</w:t>
            </w:r>
            <w:r w:rsidR="001A2664" w:rsidRPr="0057645F">
              <w:rPr>
                <w:rFonts w:cstheme="minorHAnsi"/>
                <w:sz w:val="20"/>
                <w:szCs w:val="20"/>
              </w:rPr>
              <w:t>s</w:t>
            </w:r>
            <w:r w:rsidR="009B1E31" w:rsidRPr="0057645F">
              <w:rPr>
                <w:rFonts w:cstheme="minorHAnsi"/>
                <w:sz w:val="20"/>
                <w:szCs w:val="20"/>
              </w:rPr>
              <w:t xml:space="preserve">, </w:t>
            </w:r>
            <w:r w:rsidR="001A2664" w:rsidRPr="0057645F">
              <w:rPr>
                <w:rFonts w:cstheme="minorHAnsi"/>
                <w:sz w:val="20"/>
                <w:szCs w:val="20"/>
              </w:rPr>
              <w:t>foxes, black rats, feral pigs and dogs</w:t>
            </w:r>
            <w:r w:rsidR="00DA42DD" w:rsidRPr="0057645F">
              <w:rPr>
                <w:rFonts w:cstheme="minorHAnsi"/>
                <w:sz w:val="20"/>
                <w:szCs w:val="20"/>
              </w:rPr>
              <w:t xml:space="preserve"> </w:t>
            </w:r>
            <w:r w:rsidRPr="0057645F">
              <w:rPr>
                <w:rFonts w:cstheme="minorHAnsi"/>
                <w:sz w:val="20"/>
                <w:szCs w:val="20"/>
              </w:rPr>
              <w:t xml:space="preserve">are significant predators of native animals </w:t>
            </w:r>
          </w:p>
          <w:p w14:paraId="7C411D8C" w14:textId="6319C823" w:rsidR="009B4828" w:rsidRPr="0057645F" w:rsidRDefault="00970F48"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f</w:t>
            </w:r>
            <w:r w:rsidR="009B4828" w:rsidRPr="0057645F">
              <w:rPr>
                <w:rFonts w:cstheme="minorHAnsi"/>
                <w:sz w:val="20"/>
                <w:szCs w:val="20"/>
              </w:rPr>
              <w:t>eral pigs, goats and deer cause major damage to habitat</w:t>
            </w:r>
            <w:r w:rsidR="00DA42DD" w:rsidRPr="0057645F">
              <w:rPr>
                <w:rFonts w:cstheme="minorHAnsi"/>
                <w:sz w:val="20"/>
                <w:szCs w:val="20"/>
              </w:rPr>
              <w:t xml:space="preserve"> (wallowing, digging, herbivory, bank erosion, exacerbating invasion </w:t>
            </w:r>
            <w:r w:rsidR="00F81E73" w:rsidRPr="0057645F">
              <w:rPr>
                <w:rFonts w:cstheme="minorHAnsi"/>
                <w:sz w:val="20"/>
                <w:szCs w:val="20"/>
              </w:rPr>
              <w:t xml:space="preserve">&amp; spread of weeds) </w:t>
            </w:r>
            <w:r w:rsidRPr="0057645F">
              <w:rPr>
                <w:rFonts w:cstheme="minorHAnsi"/>
                <w:sz w:val="20"/>
                <w:szCs w:val="20"/>
              </w:rPr>
              <w:t>; deer are increasing rapidly</w:t>
            </w:r>
          </w:p>
        </w:tc>
        <w:tc>
          <w:tcPr>
            <w:tcW w:w="990" w:type="pct"/>
          </w:tcPr>
          <w:p w14:paraId="69178D33" w14:textId="6F1FCB7E" w:rsidR="009D51C6" w:rsidRPr="0057645F" w:rsidRDefault="009D51C6" w:rsidP="006C43B5">
            <w:pPr>
              <w:pStyle w:val="Tabletext"/>
              <w:rPr>
                <w:sz w:val="20"/>
                <w:szCs w:val="20"/>
              </w:rPr>
            </w:pPr>
            <w:r w:rsidRPr="0057645F">
              <w:rPr>
                <w:sz w:val="20"/>
                <w:szCs w:val="20"/>
              </w:rPr>
              <w:t>Paton 2010;</w:t>
            </w:r>
            <w:r w:rsidR="00945F19" w:rsidRPr="0057645F">
              <w:rPr>
                <w:sz w:val="20"/>
                <w:szCs w:val="20"/>
              </w:rPr>
              <w:t xml:space="preserve"> </w:t>
            </w:r>
            <w:r w:rsidR="00CF3040" w:rsidRPr="0057645F">
              <w:rPr>
                <w:sz w:val="20"/>
                <w:szCs w:val="20"/>
              </w:rPr>
              <w:t xml:space="preserve">Stewart et al. 2010; </w:t>
            </w:r>
            <w:r w:rsidR="00945F19" w:rsidRPr="0057645F">
              <w:rPr>
                <w:sz w:val="20"/>
                <w:szCs w:val="20"/>
              </w:rPr>
              <w:t>Kingston et al. 2016</w:t>
            </w:r>
            <w:r w:rsidR="0072148C" w:rsidRPr="0057645F">
              <w:rPr>
                <w:sz w:val="20"/>
                <w:szCs w:val="20"/>
              </w:rPr>
              <w:t>;</w:t>
            </w:r>
            <w:r w:rsidR="00CC4BFA" w:rsidRPr="0057645F">
              <w:rPr>
                <w:sz w:val="20"/>
                <w:szCs w:val="20"/>
              </w:rPr>
              <w:t xml:space="preserve"> </w:t>
            </w:r>
            <w:r w:rsidR="004D7DD4" w:rsidRPr="0057645F">
              <w:rPr>
                <w:sz w:val="20"/>
                <w:szCs w:val="20"/>
              </w:rPr>
              <w:t>BDO EconSearch 2022</w:t>
            </w:r>
            <w:r w:rsidR="006478D4" w:rsidRPr="0057645F">
              <w:rPr>
                <w:sz w:val="20"/>
                <w:szCs w:val="20"/>
              </w:rPr>
              <w:t xml:space="preserve"> </w:t>
            </w:r>
          </w:p>
        </w:tc>
      </w:tr>
      <w:tr w:rsidR="00830CBF" w:rsidRPr="0057645F" w14:paraId="0524F9DA" w14:textId="77777777" w:rsidTr="00B91F4B">
        <w:tc>
          <w:tcPr>
            <w:tcW w:w="755" w:type="pct"/>
          </w:tcPr>
          <w:p w14:paraId="41AFE72E" w14:textId="77777777" w:rsidR="009D51C6" w:rsidRPr="0057645F" w:rsidRDefault="009D51C6" w:rsidP="006C43B5">
            <w:pPr>
              <w:spacing w:before="80" w:after="80"/>
              <w:rPr>
                <w:rFonts w:cstheme="minorHAnsi"/>
                <w:b/>
                <w:bCs/>
              </w:rPr>
            </w:pPr>
            <w:r w:rsidRPr="0057645F">
              <w:rPr>
                <w:rFonts w:cstheme="minorHAnsi"/>
                <w:b/>
                <w:bCs/>
              </w:rPr>
              <w:t>Diseases and pathogens</w:t>
            </w:r>
          </w:p>
          <w:p w14:paraId="1444B937" w14:textId="64080ADC" w:rsidR="009D51C6" w:rsidRPr="0057645F" w:rsidRDefault="009D51C6" w:rsidP="006C43B5">
            <w:pPr>
              <w:spacing w:before="80" w:after="80"/>
              <w:rPr>
                <w:rFonts w:cstheme="minorHAnsi"/>
                <w:b/>
                <w:bCs/>
              </w:rPr>
            </w:pPr>
          </w:p>
        </w:tc>
        <w:tc>
          <w:tcPr>
            <w:tcW w:w="518" w:type="pct"/>
          </w:tcPr>
          <w:p w14:paraId="2B821CDE"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potentially major</w:t>
            </w:r>
          </w:p>
          <w:p w14:paraId="399A38BB"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periodic – ongoing</w:t>
            </w:r>
          </w:p>
          <w:p w14:paraId="0F9BE85B"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unknown</w:t>
            </w:r>
          </w:p>
          <w:p w14:paraId="6C7F2DBB" w14:textId="08D16478" w:rsidR="001C5E2C" w:rsidRPr="0057645F" w:rsidRDefault="001C5E2C"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660A49EE"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a number of alien pathogens and parasites are now established across southern Australia, causing manifestly harmful effects to native fish species and known or suspected epizootics in native fish populations</w:t>
            </w:r>
          </w:p>
          <w:p w14:paraId="33C317FD"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chytrid fungus in frogs</w:t>
            </w:r>
          </w:p>
          <w:p w14:paraId="2369017D" w14:textId="77777777" w:rsidR="005E7CC2"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while there are negligible impacts to date, myrtle rust and phytophthora are a potential threat to some native vegetation/habitat</w:t>
            </w:r>
          </w:p>
          <w:p w14:paraId="5E7C074C" w14:textId="0EF26621" w:rsidR="009D51C6" w:rsidRPr="0057645F" w:rsidRDefault="00F81E73"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highly pathogenic avian </w:t>
            </w:r>
            <w:r w:rsidR="005E7CC2" w:rsidRPr="0057645F">
              <w:rPr>
                <w:rFonts w:cstheme="minorHAnsi"/>
                <w:sz w:val="20"/>
                <w:szCs w:val="20"/>
              </w:rPr>
              <w:t>influenza to birds, including new strains, have been spreading worldwide and may come into the EC via internationally migrating birds</w:t>
            </w:r>
          </w:p>
        </w:tc>
        <w:tc>
          <w:tcPr>
            <w:tcW w:w="990" w:type="pct"/>
          </w:tcPr>
          <w:p w14:paraId="5730C5E6" w14:textId="0350BA14" w:rsidR="009D51C6" w:rsidRPr="0057645F" w:rsidRDefault="007142BB" w:rsidP="006C43B5">
            <w:pPr>
              <w:pStyle w:val="Tabletext"/>
              <w:rPr>
                <w:sz w:val="20"/>
                <w:szCs w:val="20"/>
              </w:rPr>
            </w:pPr>
            <w:r w:rsidRPr="0057645F">
              <w:rPr>
                <w:sz w:val="20"/>
                <w:szCs w:val="20"/>
              </w:rPr>
              <w:t xml:space="preserve">Boys et al. 2012; Becker et al. 2013; </w:t>
            </w:r>
            <w:r w:rsidR="00567026" w:rsidRPr="0057645F">
              <w:rPr>
                <w:sz w:val="20"/>
                <w:szCs w:val="20"/>
              </w:rPr>
              <w:t>Sarowar et al. 2013</w:t>
            </w:r>
            <w:r w:rsidR="002042A0" w:rsidRPr="0057645F">
              <w:rPr>
                <w:sz w:val="20"/>
                <w:szCs w:val="20"/>
              </w:rPr>
              <w:t xml:space="preserve">; </w:t>
            </w:r>
            <w:r w:rsidR="009D51C6" w:rsidRPr="0057645F">
              <w:rPr>
                <w:sz w:val="20"/>
                <w:szCs w:val="20"/>
              </w:rPr>
              <w:t>Kaminskas 202</w:t>
            </w:r>
            <w:r w:rsidRPr="0057645F">
              <w:rPr>
                <w:sz w:val="20"/>
                <w:szCs w:val="20"/>
              </w:rPr>
              <w:t>1</w:t>
            </w:r>
            <w:r w:rsidR="009D51C6" w:rsidRPr="0057645F">
              <w:rPr>
                <w:sz w:val="20"/>
                <w:szCs w:val="20"/>
              </w:rPr>
              <w:t xml:space="preserve"> and references therein; Robinson et al. 2021 </w:t>
            </w:r>
          </w:p>
        </w:tc>
      </w:tr>
      <w:tr w:rsidR="009D51C6" w:rsidRPr="0057645F" w14:paraId="516156F4" w14:textId="77777777" w:rsidTr="00B91F4B">
        <w:tc>
          <w:tcPr>
            <w:tcW w:w="5000" w:type="pct"/>
            <w:gridSpan w:val="4"/>
            <w:shd w:val="clear" w:color="auto" w:fill="FFF2CC" w:themeFill="accent4" w:themeFillTint="33"/>
          </w:tcPr>
          <w:p w14:paraId="7691C5E2" w14:textId="77777777" w:rsidR="009D51C6" w:rsidRPr="0057645F" w:rsidRDefault="009D51C6" w:rsidP="006C43B5">
            <w:pPr>
              <w:spacing w:before="80" w:after="80"/>
              <w:rPr>
                <w:rFonts w:cstheme="minorHAnsi"/>
                <w:b/>
                <w:bCs/>
                <w:sz w:val="28"/>
                <w:szCs w:val="28"/>
              </w:rPr>
            </w:pPr>
            <w:r w:rsidRPr="0057645F">
              <w:rPr>
                <w:rFonts w:cstheme="minorHAnsi"/>
                <w:b/>
                <w:bCs/>
                <w:sz w:val="28"/>
                <w:szCs w:val="28"/>
              </w:rPr>
              <w:t>Other</w:t>
            </w:r>
          </w:p>
        </w:tc>
      </w:tr>
      <w:tr w:rsidR="00830CBF" w:rsidRPr="0057645F" w14:paraId="105132DA" w14:textId="77777777" w:rsidTr="00B91F4B">
        <w:tc>
          <w:tcPr>
            <w:tcW w:w="755" w:type="pct"/>
          </w:tcPr>
          <w:p w14:paraId="1E519F31" w14:textId="77777777" w:rsidR="009D51C6" w:rsidRPr="0057645F" w:rsidRDefault="009D51C6" w:rsidP="006C43B5">
            <w:pPr>
              <w:spacing w:before="80" w:after="80"/>
              <w:rPr>
                <w:rFonts w:cstheme="minorHAnsi"/>
                <w:b/>
                <w:bCs/>
              </w:rPr>
            </w:pPr>
            <w:r w:rsidRPr="0057645F">
              <w:rPr>
                <w:rFonts w:cstheme="minorHAnsi"/>
                <w:b/>
                <w:bCs/>
              </w:rPr>
              <w:t>Fishing pressure</w:t>
            </w:r>
          </w:p>
        </w:tc>
        <w:tc>
          <w:tcPr>
            <w:tcW w:w="518" w:type="pct"/>
          </w:tcPr>
          <w:p w14:paraId="3C54D864"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minor</w:t>
            </w:r>
          </w:p>
          <w:p w14:paraId="1DFE5A02"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0CF4378E"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streams, CLLM</w:t>
            </w:r>
            <w:r w:rsidR="000923D9" w:rsidRPr="0057645F">
              <w:rPr>
                <w:rFonts w:cstheme="minorHAnsi"/>
                <w:sz w:val="20"/>
                <w:szCs w:val="20"/>
              </w:rPr>
              <w:t>M</w:t>
            </w:r>
          </w:p>
          <w:p w14:paraId="41CFC4DC" w14:textId="55EAF67C" w:rsidR="000923D9" w:rsidRPr="0057645F" w:rsidRDefault="000923D9"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stable (managed)</w:t>
            </w:r>
          </w:p>
        </w:tc>
        <w:tc>
          <w:tcPr>
            <w:tcW w:w="2736" w:type="pct"/>
          </w:tcPr>
          <w:p w14:paraId="5AC0065C"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declines from historical commercial fishing from 1800s, with significant declines observed between 1950s and 1970s</w:t>
            </w:r>
          </w:p>
          <w:p w14:paraId="13C0DA7B"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CLLMM has a small, managed commercial fishery</w:t>
            </w:r>
          </w:p>
          <w:p w14:paraId="688A591A"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 xml:space="preserve">recreational fishing occurs throughout, with particular pressure on Murray cod and golden perch </w:t>
            </w:r>
          </w:p>
        </w:tc>
        <w:tc>
          <w:tcPr>
            <w:tcW w:w="990" w:type="pct"/>
          </w:tcPr>
          <w:p w14:paraId="1E893209" w14:textId="77777777" w:rsidR="009D51C6" w:rsidRPr="0057645F" w:rsidRDefault="009D51C6" w:rsidP="006C43B5">
            <w:pPr>
              <w:pStyle w:val="Tabletext"/>
              <w:rPr>
                <w:sz w:val="20"/>
                <w:szCs w:val="20"/>
              </w:rPr>
            </w:pPr>
            <w:r w:rsidRPr="0057645F">
              <w:rPr>
                <w:sz w:val="20"/>
                <w:szCs w:val="20"/>
              </w:rPr>
              <w:t>Pillar 1980; Cadwallader and Lawrence 1990; Ye and Zampatti 2007; Ye and Hammer 2009</w:t>
            </w:r>
          </w:p>
        </w:tc>
      </w:tr>
      <w:tr w:rsidR="00830CBF" w:rsidRPr="0057645F" w14:paraId="4BD785AB" w14:textId="77777777" w:rsidTr="00B91F4B">
        <w:tc>
          <w:tcPr>
            <w:tcW w:w="755" w:type="pct"/>
          </w:tcPr>
          <w:p w14:paraId="161895C9" w14:textId="5D29CE08" w:rsidR="009D51C6" w:rsidRPr="0057645F" w:rsidRDefault="009D51C6" w:rsidP="006C43B5">
            <w:pPr>
              <w:spacing w:before="80" w:after="80"/>
              <w:rPr>
                <w:rFonts w:cstheme="minorHAnsi"/>
                <w:b/>
                <w:bCs/>
              </w:rPr>
            </w:pPr>
            <w:r w:rsidRPr="0057645F">
              <w:rPr>
                <w:rFonts w:cstheme="minorHAnsi"/>
                <w:b/>
                <w:bCs/>
              </w:rPr>
              <w:t>Recreational activities and impacts of urbanisation</w:t>
            </w:r>
          </w:p>
        </w:tc>
        <w:tc>
          <w:tcPr>
            <w:tcW w:w="518" w:type="pct"/>
          </w:tcPr>
          <w:p w14:paraId="48370986" w14:textId="2C0DC61A"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negligible - minor</w:t>
            </w:r>
          </w:p>
          <w:p w14:paraId="02753ACA"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ongoing</w:t>
            </w:r>
          </w:p>
          <w:p w14:paraId="46A2B796" w14:textId="77777777" w:rsidR="009D51C6" w:rsidRPr="0057645F" w:rsidRDefault="009D51C6"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streams, CLLMM</w:t>
            </w:r>
          </w:p>
          <w:p w14:paraId="665D1A71" w14:textId="1218F9CF" w:rsidR="00D0145B" w:rsidRPr="0057645F" w:rsidRDefault="00D0145B" w:rsidP="006C43B5">
            <w:pPr>
              <w:pStyle w:val="ListParagraph"/>
              <w:numPr>
                <w:ilvl w:val="0"/>
                <w:numId w:val="73"/>
              </w:numPr>
              <w:spacing w:before="80" w:after="80" w:line="240" w:lineRule="auto"/>
              <w:contextualSpacing w:val="0"/>
              <w:rPr>
                <w:rFonts w:cstheme="minorHAnsi"/>
                <w:sz w:val="20"/>
                <w:szCs w:val="20"/>
              </w:rPr>
            </w:pPr>
            <w:r w:rsidRPr="0057645F">
              <w:rPr>
                <w:rFonts w:cstheme="minorHAnsi"/>
                <w:sz w:val="20"/>
                <w:szCs w:val="20"/>
              </w:rPr>
              <w:t>increasing</w:t>
            </w:r>
          </w:p>
        </w:tc>
        <w:tc>
          <w:tcPr>
            <w:tcW w:w="2736" w:type="pct"/>
          </w:tcPr>
          <w:p w14:paraId="1BA6F98B" w14:textId="162AB9CD"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 general, increased human populations near natural areas increases the impacts and pressure on them</w:t>
            </w:r>
          </w:p>
          <w:p w14:paraId="1CCC50B3" w14:textId="1063A2C3"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recreational boating may cause erosion of banks via waves and physical disturbance</w:t>
            </w:r>
          </w:p>
          <w:p w14:paraId="65409FDE" w14:textId="1303DC3B"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potential for litter, and plastic and/or oil pollution and/or garden waste</w:t>
            </w:r>
          </w:p>
          <w:p w14:paraId="4041AE32" w14:textId="24C97BC4"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increased run-off from new roads and developments</w:t>
            </w:r>
          </w:p>
          <w:p w14:paraId="7B41F45E" w14:textId="27B40572"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potential for physical disturbance to habitat and introduction of disease or invasive species</w:t>
            </w:r>
          </w:p>
          <w:p w14:paraId="2C48A97E" w14:textId="77777777"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lastRenderedPageBreak/>
              <w:t>potential for illegal fishing or hunting</w:t>
            </w:r>
          </w:p>
          <w:p w14:paraId="7A9B1D9D" w14:textId="6F75BDEB" w:rsidR="009D51C6" w:rsidRPr="0057645F" w:rsidRDefault="009D51C6" w:rsidP="006C43B5">
            <w:pPr>
              <w:pStyle w:val="ListParagraph"/>
              <w:numPr>
                <w:ilvl w:val="0"/>
                <w:numId w:val="71"/>
              </w:numPr>
              <w:spacing w:before="80" w:after="80" w:line="240" w:lineRule="auto"/>
              <w:contextualSpacing w:val="0"/>
              <w:rPr>
                <w:rFonts w:cstheme="minorHAnsi"/>
                <w:sz w:val="20"/>
                <w:szCs w:val="20"/>
              </w:rPr>
            </w:pPr>
            <w:r w:rsidRPr="0057645F">
              <w:rPr>
                <w:rFonts w:cstheme="minorHAnsi"/>
                <w:sz w:val="20"/>
                <w:szCs w:val="20"/>
              </w:rPr>
              <w:t>damage to dune vegetation and nests and eggs of beach-nesting birds around Coorong and Younghusband Peninsula, from people, dogs, and vehicles</w:t>
            </w:r>
          </w:p>
        </w:tc>
        <w:tc>
          <w:tcPr>
            <w:tcW w:w="990" w:type="pct"/>
          </w:tcPr>
          <w:p w14:paraId="2BCBFDE2" w14:textId="77777777" w:rsidR="009D51C6" w:rsidRPr="0057645F" w:rsidRDefault="009D51C6" w:rsidP="006C43B5">
            <w:pPr>
              <w:spacing w:before="80" w:after="80"/>
              <w:rPr>
                <w:rFonts w:cstheme="minorHAnsi"/>
                <w:sz w:val="20"/>
                <w:szCs w:val="20"/>
              </w:rPr>
            </w:pPr>
          </w:p>
        </w:tc>
      </w:tr>
    </w:tbl>
    <w:p w14:paraId="695D4804" w14:textId="77777777" w:rsidR="0028373B" w:rsidRPr="0028373B" w:rsidRDefault="0028373B" w:rsidP="0028373B">
      <w:pPr>
        <w:spacing w:before="80" w:after="80" w:line="240" w:lineRule="auto"/>
        <w:ind w:left="-284"/>
        <w:rPr>
          <w:b/>
          <w:bCs/>
          <w:sz w:val="28"/>
          <w:szCs w:val="28"/>
        </w:rPr>
      </w:pPr>
    </w:p>
    <w:p w14:paraId="50E8D518" w14:textId="77777777" w:rsidR="00E66862" w:rsidRDefault="00E66862" w:rsidP="009E7E9F">
      <w:pPr>
        <w:sectPr w:rsidR="00E66862" w:rsidSect="00E80164">
          <w:pgSz w:w="16838" w:h="11906" w:orient="landscape"/>
          <w:pgMar w:top="1134" w:right="1361" w:bottom="1134" w:left="1361" w:header="454" w:footer="454" w:gutter="0"/>
          <w:cols w:space="708"/>
          <w:docGrid w:linePitch="360"/>
        </w:sectPr>
      </w:pPr>
    </w:p>
    <w:p w14:paraId="79FE1131" w14:textId="77A26E3C" w:rsidR="003C49AD" w:rsidRPr="00A80F2D" w:rsidRDefault="00E66247" w:rsidP="00550384">
      <w:pPr>
        <w:pStyle w:val="Heading3"/>
      </w:pPr>
      <w:bookmarkStart w:id="137" w:name="_Toc175317083"/>
      <w:r>
        <w:lastRenderedPageBreak/>
        <w:t xml:space="preserve">4.1.1 </w:t>
      </w:r>
      <w:r w:rsidR="003C49AD" w:rsidRPr="00A80F2D">
        <w:t>Key threatening processes</w:t>
      </w:r>
      <w:bookmarkEnd w:id="137"/>
    </w:p>
    <w:p w14:paraId="22E66F33" w14:textId="330C5492" w:rsidR="003C49AD" w:rsidRPr="003C49AD" w:rsidRDefault="00D0145B" w:rsidP="007C5F74">
      <w:pPr>
        <w:keepNext/>
        <w:keepLines/>
      </w:pPr>
      <w:r>
        <w:t xml:space="preserve">National environment law (currently the EPBC Act) </w:t>
      </w:r>
      <w:r w:rsidR="486925B4">
        <w:t>provides for the identification and listing of key threatening processes</w:t>
      </w:r>
      <w:r w:rsidR="00E2074E">
        <w:t xml:space="preserve"> (KTPs)</w:t>
      </w:r>
      <w:r w:rsidR="486925B4">
        <w:t xml:space="preserve">. A process is defined as a key threatening process if it threatens or may threaten the survival, abundance or evolutionary development of a native species or ecological community. </w:t>
      </w:r>
    </w:p>
    <w:p w14:paraId="40C143A5" w14:textId="75357CA5" w:rsidR="00CE4B4C" w:rsidRPr="00CE4B4C" w:rsidRDefault="005509B2" w:rsidP="00CB0B9A">
      <w:r w:rsidRPr="00205710">
        <w:rPr>
          <w:u w:val="single"/>
        </w:rPr>
        <w:t xml:space="preserve">Table </w:t>
      </w:r>
      <w:r w:rsidR="00205710" w:rsidRPr="00205710">
        <w:rPr>
          <w:u w:val="single"/>
        </w:rPr>
        <w:t>24</w:t>
      </w:r>
      <w:r>
        <w:t xml:space="preserve"> provides a list of </w:t>
      </w:r>
      <w:r w:rsidR="003C49AD" w:rsidRPr="003C49AD">
        <w:t>EPBC</w:t>
      </w:r>
      <w:r w:rsidR="00205710">
        <w:t xml:space="preserve"> Act</w:t>
      </w:r>
      <w:r w:rsidR="003C49AD" w:rsidRPr="003C49AD">
        <w:t>-listed</w:t>
      </w:r>
      <w:r w:rsidR="000932E5">
        <w:t xml:space="preserve"> KTPs</w:t>
      </w:r>
      <w:r w:rsidR="003C49AD" w:rsidRPr="003C49AD">
        <w:t xml:space="preserve"> current at the date of writing, that may be relevant to the ecological community or </w:t>
      </w:r>
      <w:r w:rsidR="00DA65EE">
        <w:t>specific</w:t>
      </w:r>
      <w:r w:rsidR="003C49AD" w:rsidRPr="003C49AD">
        <w:t xml:space="preserve"> plants and animals that comprise it</w:t>
      </w:r>
      <w:r w:rsidR="000932E5">
        <w:t>.</w:t>
      </w:r>
    </w:p>
    <w:p w14:paraId="32D8764B" w14:textId="4A921733" w:rsidR="00CB0B9A" w:rsidRPr="001624E2" w:rsidRDefault="00F35382" w:rsidP="00F35382">
      <w:pPr>
        <w:pStyle w:val="Caption"/>
        <w:rPr>
          <w:sz w:val="21"/>
          <w:szCs w:val="21"/>
        </w:rPr>
      </w:pPr>
      <w:r>
        <w:t xml:space="preserve">Table </w:t>
      </w:r>
      <w:r>
        <w:fldChar w:fldCharType="begin"/>
      </w:r>
      <w:r>
        <w:instrText xml:space="preserve"> SEQ Table \* ARABIC </w:instrText>
      </w:r>
      <w:r>
        <w:fldChar w:fldCharType="separate"/>
      </w:r>
      <w:r w:rsidR="006D35C5">
        <w:rPr>
          <w:noProof/>
        </w:rPr>
        <w:t>24</w:t>
      </w:r>
      <w:r>
        <w:fldChar w:fldCharType="end"/>
      </w:r>
      <w:r w:rsidR="00CB0B9A" w:rsidRPr="00386324">
        <w:rPr>
          <w:bCs/>
        </w:rPr>
        <w:t xml:space="preserve">: </w:t>
      </w:r>
      <w:r w:rsidR="00CB0B9A" w:rsidRPr="00386324">
        <w:t xml:space="preserve"> </w:t>
      </w:r>
      <w:r w:rsidR="00CB0B9A" w:rsidRPr="001624E2">
        <w:rPr>
          <w:sz w:val="21"/>
          <w:szCs w:val="21"/>
        </w:rPr>
        <w:t>Key Threatening Processes (KTPs) listed under the EPBC Act relevant to RMDS EC</w:t>
      </w:r>
      <w:r w:rsidR="004909A7" w:rsidRPr="001624E2">
        <w:rPr>
          <w:sz w:val="21"/>
          <w:szCs w:val="21"/>
        </w:rPr>
        <w:t>.</w:t>
      </w:r>
    </w:p>
    <w:tbl>
      <w:tblPr>
        <w:tblStyle w:val="TableGrid"/>
        <w:tblW w:w="5000" w:type="pct"/>
        <w:tblLook w:val="04A0" w:firstRow="1" w:lastRow="0" w:firstColumn="1" w:lastColumn="0" w:noHBand="0" w:noVBand="1"/>
      </w:tblPr>
      <w:tblGrid>
        <w:gridCol w:w="7118"/>
        <w:gridCol w:w="1942"/>
      </w:tblGrid>
      <w:tr w:rsidR="00CE4B4C" w:rsidRPr="00386324" w14:paraId="29A89ECB" w14:textId="77777777" w:rsidTr="00F35382">
        <w:trPr>
          <w:trHeight w:val="397"/>
        </w:trPr>
        <w:tc>
          <w:tcPr>
            <w:tcW w:w="3928" w:type="pct"/>
            <w:shd w:val="clear" w:color="auto" w:fill="FBE4D5" w:themeFill="accent2" w:themeFillTint="33"/>
          </w:tcPr>
          <w:p w14:paraId="60BBE792" w14:textId="77777777" w:rsidR="00CE4B4C" w:rsidRPr="00386324" w:rsidRDefault="00CE4B4C" w:rsidP="009C61D8">
            <w:pPr>
              <w:rPr>
                <w:b/>
                <w:bCs/>
              </w:rPr>
            </w:pPr>
            <w:r w:rsidRPr="00386324">
              <w:rPr>
                <w:b/>
                <w:bCs/>
              </w:rPr>
              <w:t>Title</w:t>
            </w:r>
          </w:p>
        </w:tc>
        <w:tc>
          <w:tcPr>
            <w:tcW w:w="1072" w:type="pct"/>
            <w:shd w:val="clear" w:color="auto" w:fill="FBE4D5" w:themeFill="accent2" w:themeFillTint="33"/>
          </w:tcPr>
          <w:p w14:paraId="23AFC86C" w14:textId="77777777" w:rsidR="00CE4B4C" w:rsidRPr="00386324" w:rsidRDefault="00CE4B4C" w:rsidP="009C61D8">
            <w:pPr>
              <w:rPr>
                <w:b/>
                <w:bCs/>
              </w:rPr>
            </w:pPr>
            <w:r w:rsidRPr="00386324">
              <w:rPr>
                <w:b/>
                <w:bCs/>
              </w:rPr>
              <w:t>Date Effective</w:t>
            </w:r>
          </w:p>
        </w:tc>
      </w:tr>
      <w:tr w:rsidR="00CE4B4C" w:rsidRPr="00386324" w14:paraId="22BC1780" w14:textId="77777777" w:rsidTr="00F35382">
        <w:trPr>
          <w:trHeight w:val="397"/>
        </w:trPr>
        <w:tc>
          <w:tcPr>
            <w:tcW w:w="3928" w:type="pct"/>
          </w:tcPr>
          <w:p w14:paraId="44E09721"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Competition and land degradation by rabbits</w:t>
            </w:r>
          </w:p>
        </w:tc>
        <w:tc>
          <w:tcPr>
            <w:tcW w:w="1072" w:type="pct"/>
          </w:tcPr>
          <w:p w14:paraId="7712AE78" w14:textId="77777777" w:rsidR="00CE4B4C" w:rsidRPr="00386324" w:rsidRDefault="00CE4B4C" w:rsidP="004909A7">
            <w:pPr>
              <w:jc w:val="center"/>
              <w:rPr>
                <w:color w:val="000000"/>
                <w:shd w:val="clear" w:color="auto" w:fill="FFFFFF"/>
              </w:rPr>
            </w:pPr>
            <w:r w:rsidRPr="00386324">
              <w:rPr>
                <w:color w:val="000000"/>
                <w:shd w:val="clear" w:color="auto" w:fill="FFFFFF"/>
              </w:rPr>
              <w:t>16-Jul-2000</w:t>
            </w:r>
          </w:p>
        </w:tc>
      </w:tr>
      <w:tr w:rsidR="00CE4B4C" w:rsidRPr="00386324" w14:paraId="20439D6A" w14:textId="77777777" w:rsidTr="00F35382">
        <w:trPr>
          <w:trHeight w:val="397"/>
        </w:trPr>
        <w:tc>
          <w:tcPr>
            <w:tcW w:w="3928" w:type="pct"/>
          </w:tcPr>
          <w:p w14:paraId="24DE3E2D"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Competition and land degradation by unmanaged goats</w:t>
            </w:r>
          </w:p>
        </w:tc>
        <w:tc>
          <w:tcPr>
            <w:tcW w:w="1072" w:type="pct"/>
          </w:tcPr>
          <w:p w14:paraId="7D04126B" w14:textId="77777777" w:rsidR="00CE4B4C" w:rsidRPr="00386324" w:rsidRDefault="00CE4B4C" w:rsidP="004909A7">
            <w:pPr>
              <w:jc w:val="center"/>
              <w:rPr>
                <w:color w:val="000000"/>
                <w:shd w:val="clear" w:color="auto" w:fill="FFFFFF"/>
              </w:rPr>
            </w:pPr>
            <w:r w:rsidRPr="00386324">
              <w:rPr>
                <w:color w:val="000000"/>
                <w:shd w:val="clear" w:color="auto" w:fill="FFFFFF"/>
              </w:rPr>
              <w:t>16-Jul-2000</w:t>
            </w:r>
          </w:p>
        </w:tc>
      </w:tr>
      <w:tr w:rsidR="00CE4B4C" w:rsidRPr="00386324" w14:paraId="147898D9" w14:textId="77777777" w:rsidTr="00F35382">
        <w:trPr>
          <w:trHeight w:val="397"/>
        </w:trPr>
        <w:tc>
          <w:tcPr>
            <w:tcW w:w="3928" w:type="pct"/>
          </w:tcPr>
          <w:p w14:paraId="5CFABFCD"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Dieback caused by the root-rot fungus (</w:t>
            </w:r>
            <w:r w:rsidRPr="00386324">
              <w:rPr>
                <w:rFonts w:cs="Arial"/>
                <w:i/>
                <w:iCs/>
                <w:color w:val="000000"/>
              </w:rPr>
              <w:t>Phytophthora cinnamomi</w:t>
            </w:r>
            <w:r w:rsidRPr="00386324">
              <w:rPr>
                <w:rFonts w:cs="Arial"/>
                <w:color w:val="000000"/>
                <w:shd w:val="clear" w:color="auto" w:fill="FFFFFF"/>
              </w:rPr>
              <w:t>)</w:t>
            </w:r>
          </w:p>
        </w:tc>
        <w:tc>
          <w:tcPr>
            <w:tcW w:w="1072" w:type="pct"/>
          </w:tcPr>
          <w:p w14:paraId="1A9D0294" w14:textId="77777777" w:rsidR="00CE4B4C" w:rsidRPr="00386324" w:rsidRDefault="00CE4B4C" w:rsidP="004909A7">
            <w:pPr>
              <w:jc w:val="center"/>
              <w:rPr>
                <w:color w:val="000000"/>
                <w:shd w:val="clear" w:color="auto" w:fill="FFFFFF"/>
              </w:rPr>
            </w:pPr>
            <w:r w:rsidRPr="00386324">
              <w:rPr>
                <w:color w:val="000000"/>
                <w:shd w:val="clear" w:color="auto" w:fill="FFFFFF"/>
              </w:rPr>
              <w:t>16-Jul-2000</w:t>
            </w:r>
          </w:p>
        </w:tc>
      </w:tr>
      <w:tr w:rsidR="00CE4B4C" w:rsidRPr="00386324" w14:paraId="6860AD65" w14:textId="77777777" w:rsidTr="00F35382">
        <w:trPr>
          <w:trHeight w:val="397"/>
        </w:trPr>
        <w:tc>
          <w:tcPr>
            <w:tcW w:w="3928" w:type="pct"/>
          </w:tcPr>
          <w:p w14:paraId="718C6F55"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Predation by European red fox</w:t>
            </w:r>
          </w:p>
        </w:tc>
        <w:tc>
          <w:tcPr>
            <w:tcW w:w="1072" w:type="pct"/>
          </w:tcPr>
          <w:p w14:paraId="3397FA0E" w14:textId="77777777" w:rsidR="00CE4B4C" w:rsidRPr="00386324" w:rsidRDefault="00CE4B4C" w:rsidP="004909A7">
            <w:pPr>
              <w:jc w:val="center"/>
              <w:rPr>
                <w:color w:val="000000"/>
                <w:shd w:val="clear" w:color="auto" w:fill="FFFFFF"/>
              </w:rPr>
            </w:pPr>
            <w:r w:rsidRPr="00386324">
              <w:rPr>
                <w:color w:val="000000"/>
                <w:shd w:val="clear" w:color="auto" w:fill="FFFFFF"/>
              </w:rPr>
              <w:t>16-Jul-2000</w:t>
            </w:r>
          </w:p>
        </w:tc>
      </w:tr>
      <w:tr w:rsidR="00CE4B4C" w:rsidRPr="00386324" w14:paraId="59A6DC8F" w14:textId="77777777" w:rsidTr="00F35382">
        <w:trPr>
          <w:trHeight w:val="397"/>
        </w:trPr>
        <w:tc>
          <w:tcPr>
            <w:tcW w:w="3928" w:type="pct"/>
          </w:tcPr>
          <w:p w14:paraId="5FE8F260"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Predation by feral cats</w:t>
            </w:r>
          </w:p>
        </w:tc>
        <w:tc>
          <w:tcPr>
            <w:tcW w:w="1072" w:type="pct"/>
          </w:tcPr>
          <w:p w14:paraId="06A7424B" w14:textId="77777777" w:rsidR="00CE4B4C" w:rsidRPr="00386324" w:rsidRDefault="00CE4B4C" w:rsidP="004909A7">
            <w:pPr>
              <w:jc w:val="center"/>
              <w:rPr>
                <w:color w:val="000000"/>
                <w:shd w:val="clear" w:color="auto" w:fill="FFFFFF"/>
              </w:rPr>
            </w:pPr>
            <w:r w:rsidRPr="00386324">
              <w:rPr>
                <w:color w:val="000000"/>
                <w:shd w:val="clear" w:color="auto" w:fill="FFFFFF"/>
              </w:rPr>
              <w:t>16-Jul-2000</w:t>
            </w:r>
          </w:p>
        </w:tc>
      </w:tr>
      <w:tr w:rsidR="00CE4B4C" w:rsidRPr="00386324" w14:paraId="30F422E4" w14:textId="77777777" w:rsidTr="00F35382">
        <w:trPr>
          <w:trHeight w:val="397"/>
        </w:trPr>
        <w:tc>
          <w:tcPr>
            <w:tcW w:w="3928" w:type="pct"/>
          </w:tcPr>
          <w:p w14:paraId="71684552"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Land clearance</w:t>
            </w:r>
          </w:p>
        </w:tc>
        <w:tc>
          <w:tcPr>
            <w:tcW w:w="1072" w:type="pct"/>
          </w:tcPr>
          <w:p w14:paraId="48383FCB" w14:textId="77777777" w:rsidR="00CE4B4C" w:rsidRPr="00386324" w:rsidRDefault="00CE4B4C" w:rsidP="004909A7">
            <w:pPr>
              <w:jc w:val="center"/>
              <w:rPr>
                <w:color w:val="000000"/>
                <w:shd w:val="clear" w:color="auto" w:fill="FFFFFF"/>
              </w:rPr>
            </w:pPr>
            <w:r w:rsidRPr="00386324">
              <w:rPr>
                <w:color w:val="000000"/>
                <w:shd w:val="clear" w:color="auto" w:fill="FFFFFF"/>
              </w:rPr>
              <w:t>04-Apr-2001</w:t>
            </w:r>
          </w:p>
        </w:tc>
      </w:tr>
      <w:tr w:rsidR="00CE4B4C" w:rsidRPr="00386324" w14:paraId="0BA16720" w14:textId="77777777" w:rsidTr="00F35382">
        <w:trPr>
          <w:trHeight w:val="397"/>
        </w:trPr>
        <w:tc>
          <w:tcPr>
            <w:tcW w:w="3928" w:type="pct"/>
          </w:tcPr>
          <w:p w14:paraId="20EB5DFF"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Loss of climatic habitat caused by anthropogenic emissions of greenhouse gases</w:t>
            </w:r>
          </w:p>
        </w:tc>
        <w:tc>
          <w:tcPr>
            <w:tcW w:w="1072" w:type="pct"/>
          </w:tcPr>
          <w:p w14:paraId="0081B8F6" w14:textId="77777777" w:rsidR="00CE4B4C" w:rsidRPr="00386324" w:rsidRDefault="00CE4B4C" w:rsidP="004909A7">
            <w:pPr>
              <w:jc w:val="center"/>
              <w:rPr>
                <w:color w:val="000000"/>
                <w:shd w:val="clear" w:color="auto" w:fill="FFFFFF"/>
              </w:rPr>
            </w:pPr>
            <w:r w:rsidRPr="00386324">
              <w:rPr>
                <w:color w:val="000000"/>
                <w:shd w:val="clear" w:color="auto" w:fill="FFFFFF"/>
              </w:rPr>
              <w:t>04-Apr-2001</w:t>
            </w:r>
          </w:p>
        </w:tc>
      </w:tr>
      <w:tr w:rsidR="00CE4B4C" w:rsidRPr="00386324" w14:paraId="6A230F44" w14:textId="77777777" w:rsidTr="00F35382">
        <w:trPr>
          <w:trHeight w:val="397"/>
        </w:trPr>
        <w:tc>
          <w:tcPr>
            <w:tcW w:w="3928" w:type="pct"/>
          </w:tcPr>
          <w:p w14:paraId="49FDDB1E"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Predation, Habitat Degradation, Competition and Disease Transmission by Feral Pigs</w:t>
            </w:r>
          </w:p>
        </w:tc>
        <w:tc>
          <w:tcPr>
            <w:tcW w:w="1072" w:type="pct"/>
          </w:tcPr>
          <w:p w14:paraId="2ACBDE7C" w14:textId="77777777" w:rsidR="00CE4B4C" w:rsidRPr="00386324" w:rsidRDefault="00CE4B4C" w:rsidP="004909A7">
            <w:pPr>
              <w:jc w:val="center"/>
              <w:rPr>
                <w:color w:val="000000"/>
                <w:shd w:val="clear" w:color="auto" w:fill="FFFFFF"/>
              </w:rPr>
            </w:pPr>
            <w:r w:rsidRPr="00386324">
              <w:rPr>
                <w:color w:val="000000"/>
                <w:shd w:val="clear" w:color="auto" w:fill="FFFFFF"/>
              </w:rPr>
              <w:t>06-Aug-2001</w:t>
            </w:r>
          </w:p>
        </w:tc>
      </w:tr>
      <w:tr w:rsidR="00CE4B4C" w:rsidRPr="00386324" w14:paraId="34EB7CD4" w14:textId="77777777" w:rsidTr="00F35382">
        <w:trPr>
          <w:trHeight w:val="397"/>
        </w:trPr>
        <w:tc>
          <w:tcPr>
            <w:tcW w:w="3928" w:type="pct"/>
          </w:tcPr>
          <w:p w14:paraId="5E0D83D6"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Infection of amphibians with chytrid fungus resulting in chytridiomycosis</w:t>
            </w:r>
          </w:p>
        </w:tc>
        <w:tc>
          <w:tcPr>
            <w:tcW w:w="1072" w:type="pct"/>
          </w:tcPr>
          <w:p w14:paraId="4787844E" w14:textId="77777777" w:rsidR="00CE4B4C" w:rsidRPr="00386324" w:rsidRDefault="00CE4B4C" w:rsidP="004909A7">
            <w:pPr>
              <w:jc w:val="center"/>
              <w:rPr>
                <w:color w:val="000000"/>
                <w:shd w:val="clear" w:color="auto" w:fill="FFFFFF"/>
              </w:rPr>
            </w:pPr>
            <w:r w:rsidRPr="00386324">
              <w:rPr>
                <w:color w:val="000000"/>
                <w:shd w:val="clear" w:color="auto" w:fill="FFFFFF"/>
              </w:rPr>
              <w:t>23-Jul-2002</w:t>
            </w:r>
          </w:p>
        </w:tc>
      </w:tr>
      <w:tr w:rsidR="00CE4B4C" w:rsidRPr="00386324" w14:paraId="391336D4" w14:textId="77777777" w:rsidTr="00F35382">
        <w:trPr>
          <w:trHeight w:val="397"/>
        </w:trPr>
        <w:tc>
          <w:tcPr>
            <w:tcW w:w="3928" w:type="pct"/>
          </w:tcPr>
          <w:p w14:paraId="49209859"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Loss and degradation of native plant and animal habitat by invasion of escaped garden plants, including aquatic plants</w:t>
            </w:r>
          </w:p>
        </w:tc>
        <w:tc>
          <w:tcPr>
            <w:tcW w:w="1072" w:type="pct"/>
          </w:tcPr>
          <w:p w14:paraId="0281652E" w14:textId="77777777" w:rsidR="00CE4B4C" w:rsidRPr="00386324" w:rsidRDefault="00CE4B4C" w:rsidP="004909A7">
            <w:pPr>
              <w:jc w:val="center"/>
              <w:rPr>
                <w:color w:val="000000"/>
                <w:shd w:val="clear" w:color="auto" w:fill="FFFFFF"/>
              </w:rPr>
            </w:pPr>
            <w:r w:rsidRPr="00386324">
              <w:rPr>
                <w:color w:val="000000"/>
                <w:shd w:val="clear" w:color="auto" w:fill="FFFFFF"/>
              </w:rPr>
              <w:t>08-Jan-2010</w:t>
            </w:r>
          </w:p>
        </w:tc>
      </w:tr>
      <w:tr w:rsidR="00CE4B4C" w:rsidRPr="00386324" w14:paraId="72B4E027" w14:textId="77777777" w:rsidTr="00F35382">
        <w:trPr>
          <w:trHeight w:val="397"/>
        </w:trPr>
        <w:tc>
          <w:tcPr>
            <w:tcW w:w="3928" w:type="pct"/>
          </w:tcPr>
          <w:p w14:paraId="312B47CC" w14:textId="77777777" w:rsidR="00CE4B4C" w:rsidRPr="00386324" w:rsidRDefault="00CE4B4C" w:rsidP="009C61D8">
            <w:pPr>
              <w:rPr>
                <w:rFonts w:cs="Arial"/>
                <w:color w:val="000000"/>
                <w:shd w:val="clear" w:color="auto" w:fill="FFFFFF"/>
              </w:rPr>
            </w:pPr>
            <w:r w:rsidRPr="00386324">
              <w:rPr>
                <w:rFonts w:cs="Arial"/>
                <w:color w:val="000000"/>
                <w:shd w:val="clear" w:color="auto" w:fill="FFFFFF"/>
              </w:rPr>
              <w:t>Novel biota and their impact on biodiversity</w:t>
            </w:r>
          </w:p>
        </w:tc>
        <w:tc>
          <w:tcPr>
            <w:tcW w:w="1072" w:type="pct"/>
          </w:tcPr>
          <w:p w14:paraId="646E335A" w14:textId="77777777" w:rsidR="00CE4B4C" w:rsidRPr="00386324" w:rsidRDefault="00CE4B4C" w:rsidP="004909A7">
            <w:pPr>
              <w:jc w:val="center"/>
              <w:rPr>
                <w:color w:val="000000"/>
                <w:shd w:val="clear" w:color="auto" w:fill="FFFFFF"/>
              </w:rPr>
            </w:pPr>
            <w:r w:rsidRPr="00386324">
              <w:rPr>
                <w:color w:val="000000"/>
                <w:shd w:val="clear" w:color="auto" w:fill="FFFFFF"/>
              </w:rPr>
              <w:t>26-Feb-2013</w:t>
            </w:r>
          </w:p>
        </w:tc>
      </w:tr>
      <w:tr w:rsidR="00CE4B4C" w:rsidRPr="00386324" w14:paraId="58256E3E" w14:textId="77777777" w:rsidTr="00F35382">
        <w:trPr>
          <w:trHeight w:val="397"/>
        </w:trPr>
        <w:tc>
          <w:tcPr>
            <w:tcW w:w="3928" w:type="pct"/>
          </w:tcPr>
          <w:p w14:paraId="20083DEB" w14:textId="77777777" w:rsidR="00CE4B4C" w:rsidRPr="00386324" w:rsidRDefault="00CE4B4C" w:rsidP="009C61D8">
            <w:r w:rsidRPr="00386324">
              <w:rPr>
                <w:rFonts w:cs="Arial"/>
                <w:color w:val="000000"/>
                <w:shd w:val="clear" w:color="auto" w:fill="FFFFFF"/>
              </w:rPr>
              <w:t>Aggressive exclusion of birds from potential woodland and forest habitat by over-abundant noisy miners (</w:t>
            </w:r>
            <w:r w:rsidRPr="00386324">
              <w:rPr>
                <w:rFonts w:cs="Arial"/>
                <w:i/>
                <w:iCs/>
                <w:color w:val="000000"/>
              </w:rPr>
              <w:t>Manorina melanocephala</w:t>
            </w:r>
            <w:r w:rsidRPr="00386324">
              <w:rPr>
                <w:rFonts w:cs="Arial"/>
                <w:color w:val="000000"/>
                <w:shd w:val="clear" w:color="auto" w:fill="FFFFFF"/>
              </w:rPr>
              <w:t>)</w:t>
            </w:r>
          </w:p>
        </w:tc>
        <w:tc>
          <w:tcPr>
            <w:tcW w:w="1072" w:type="pct"/>
          </w:tcPr>
          <w:p w14:paraId="773C1CAF" w14:textId="77777777" w:rsidR="00CE4B4C" w:rsidRPr="00386324" w:rsidRDefault="00CE4B4C" w:rsidP="004909A7">
            <w:pPr>
              <w:jc w:val="center"/>
            </w:pPr>
            <w:r w:rsidRPr="00386324">
              <w:rPr>
                <w:color w:val="000000"/>
                <w:shd w:val="clear" w:color="auto" w:fill="FFFFFF"/>
              </w:rPr>
              <w:t>09-May-2014</w:t>
            </w:r>
          </w:p>
        </w:tc>
      </w:tr>
      <w:tr w:rsidR="00CE4B4C" w:rsidRPr="00386324" w14:paraId="542E87DC" w14:textId="77777777" w:rsidTr="00F35382">
        <w:trPr>
          <w:trHeight w:val="397"/>
        </w:trPr>
        <w:tc>
          <w:tcPr>
            <w:tcW w:w="3928" w:type="pct"/>
          </w:tcPr>
          <w:p w14:paraId="2F03265A" w14:textId="77777777" w:rsidR="00CE4B4C" w:rsidRPr="00386324" w:rsidRDefault="00CE4B4C" w:rsidP="009C61D8">
            <w:r w:rsidRPr="00386324">
              <w:rPr>
                <w:rFonts w:cs="Arial"/>
                <w:color w:val="000000"/>
                <w:shd w:val="clear" w:color="auto" w:fill="FFFFFF"/>
              </w:rPr>
              <w:t>Fire regimes that cause declines in biodiversity</w:t>
            </w:r>
          </w:p>
        </w:tc>
        <w:tc>
          <w:tcPr>
            <w:tcW w:w="1072" w:type="pct"/>
          </w:tcPr>
          <w:p w14:paraId="72201766" w14:textId="2E36971E" w:rsidR="00CE4B4C" w:rsidRPr="00CE4B4C" w:rsidRDefault="00CE4B4C" w:rsidP="004909A7">
            <w:pPr>
              <w:jc w:val="center"/>
              <w:rPr>
                <w:rFonts w:cs="Arial"/>
                <w:color w:val="000000"/>
              </w:rPr>
            </w:pPr>
            <w:r w:rsidRPr="00386324">
              <w:rPr>
                <w:rFonts w:cs="Arial"/>
                <w:color w:val="000000"/>
              </w:rPr>
              <w:t>21-Apr-2022</w:t>
            </w:r>
          </w:p>
        </w:tc>
      </w:tr>
    </w:tbl>
    <w:p w14:paraId="0D45834E" w14:textId="77777777" w:rsidR="00E2074E" w:rsidRPr="00997DD2" w:rsidRDefault="00E2074E" w:rsidP="003C49AD"/>
    <w:p w14:paraId="1CC990B3" w14:textId="2FDC6597" w:rsidR="003C49AD" w:rsidRDefault="003C49AD" w:rsidP="003C49AD">
      <w:r w:rsidRPr="003C49AD">
        <w:t xml:space="preserve">Any approved </w:t>
      </w:r>
      <w:r w:rsidR="00263D16">
        <w:t>T</w:t>
      </w:r>
      <w:r w:rsidRPr="003C49AD">
        <w:t xml:space="preserve">hreat </w:t>
      </w:r>
      <w:r w:rsidR="00263D16">
        <w:t>A</w:t>
      </w:r>
      <w:r w:rsidRPr="003C49AD">
        <w:t xml:space="preserve">batement </w:t>
      </w:r>
      <w:r w:rsidR="00263D16">
        <w:t>P</w:t>
      </w:r>
      <w:r w:rsidRPr="003C49AD">
        <w:t xml:space="preserve">lans or advice associated with these items provides information to help landowners manage these threats and reduce their impacts to biodiversity. These can be found </w:t>
      </w:r>
      <w:r w:rsidRPr="004D6925">
        <w:t>at</w:t>
      </w:r>
      <w:r w:rsidR="00031448">
        <w:t xml:space="preserve"> </w:t>
      </w:r>
      <w:r w:rsidRPr="004D6925">
        <w:t xml:space="preserve"> </w:t>
      </w:r>
      <w:hyperlink r:id="rId28" w:history="1">
        <w:r w:rsidR="00A673B4" w:rsidRPr="008D5E70">
          <w:rPr>
            <w:rStyle w:val="Hyperlink"/>
            <w:sz w:val="22"/>
          </w:rPr>
          <w:t>http://www.environment.gov.au/cgi-bin/sprat/public/publicgetkeythreats.pl</w:t>
        </w:r>
      </w:hyperlink>
      <w:r w:rsidRPr="004D6925">
        <w:t>.</w:t>
      </w:r>
      <w:r w:rsidRPr="003C49AD">
        <w:t xml:space="preserve"> </w:t>
      </w:r>
      <w:r w:rsidR="00317987">
        <w:t xml:space="preserve"> </w:t>
      </w:r>
    </w:p>
    <w:p w14:paraId="5EEF4D7D" w14:textId="7E638068" w:rsidR="0097419A" w:rsidRPr="00DF09D1" w:rsidRDefault="00DF09D1" w:rsidP="0097419A">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threats</w:t>
      </w:r>
      <w:r w:rsidR="0097419A">
        <w:t xml:space="preserve"> </w:t>
      </w:r>
    </w:p>
    <w:p w14:paraId="07FFAF48" w14:textId="266E1B57" w:rsidR="00D23FA9" w:rsidRPr="001624E2" w:rsidRDefault="003D0FF8" w:rsidP="001624E2">
      <w:pPr>
        <w:pStyle w:val="Consultationquestions"/>
        <w:shd w:val="clear" w:color="auto" w:fill="FFF2CC" w:themeFill="accent4" w:themeFillTint="33"/>
        <w:ind w:left="425" w:hanging="425"/>
        <w:rPr>
          <w:color w:val="000000" w:themeColor="text1"/>
        </w:rPr>
      </w:pPr>
      <w:r w:rsidRPr="00AA5E4D">
        <w:rPr>
          <w:color w:val="000000" w:themeColor="text1"/>
        </w:rPr>
        <w:t xml:space="preserve">Please provide </w:t>
      </w:r>
      <w:r w:rsidR="00317987">
        <w:rPr>
          <w:color w:val="000000" w:themeColor="text1"/>
        </w:rPr>
        <w:t xml:space="preserve">any </w:t>
      </w:r>
      <w:r w:rsidRPr="00AA5E4D">
        <w:rPr>
          <w:color w:val="000000" w:themeColor="text1"/>
        </w:rPr>
        <w:t xml:space="preserve">feedback </w:t>
      </w:r>
      <w:r w:rsidR="00317987">
        <w:rPr>
          <w:color w:val="000000" w:themeColor="text1"/>
        </w:rPr>
        <w:t xml:space="preserve">you may have </w:t>
      </w:r>
      <w:r w:rsidRPr="00AA5E4D">
        <w:rPr>
          <w:color w:val="000000" w:themeColor="text1"/>
        </w:rPr>
        <w:t xml:space="preserve">on </w:t>
      </w:r>
      <w:r w:rsidR="00317987">
        <w:rPr>
          <w:color w:val="000000" w:themeColor="text1"/>
        </w:rPr>
        <w:t xml:space="preserve">the </w:t>
      </w:r>
      <w:r w:rsidR="0014548E" w:rsidRPr="00AA5E4D">
        <w:rPr>
          <w:color w:val="000000" w:themeColor="text1"/>
        </w:rPr>
        <w:t xml:space="preserve">threats provided in the Threats Table, including further </w:t>
      </w:r>
      <w:r w:rsidR="00AA5E4D">
        <w:rPr>
          <w:color w:val="000000" w:themeColor="text1"/>
        </w:rPr>
        <w:t xml:space="preserve">key </w:t>
      </w:r>
      <w:r w:rsidR="0014548E" w:rsidRPr="00AA5E4D">
        <w:rPr>
          <w:color w:val="000000" w:themeColor="text1"/>
        </w:rPr>
        <w:t>information sources</w:t>
      </w:r>
      <w:r w:rsidR="00317987">
        <w:rPr>
          <w:color w:val="000000" w:themeColor="text1"/>
        </w:rPr>
        <w:t>, as appropriate</w:t>
      </w:r>
      <w:r w:rsidR="00AA5E4D" w:rsidRPr="00AA5E4D">
        <w:rPr>
          <w:color w:val="000000" w:themeColor="text1"/>
        </w:rPr>
        <w:t>.</w:t>
      </w:r>
      <w:bookmarkStart w:id="138" w:name="_Ref39071525"/>
      <w:bookmarkStart w:id="139" w:name="_Toc158683487"/>
      <w:bookmarkStart w:id="140" w:name="_Toc175317084"/>
    </w:p>
    <w:p w14:paraId="75A5FBFE" w14:textId="10437C2E" w:rsidR="00752E30" w:rsidRPr="00317987" w:rsidRDefault="00752E30" w:rsidP="00D23FA9">
      <w:pPr>
        <w:pStyle w:val="Heading1"/>
      </w:pPr>
      <w:bookmarkStart w:id="141" w:name="_Toc175572785"/>
      <w:r w:rsidRPr="00317987">
        <w:lastRenderedPageBreak/>
        <w:t xml:space="preserve">Conservation </w:t>
      </w:r>
      <w:r w:rsidR="00C31C9D" w:rsidRPr="00317987">
        <w:t>of the ecological community</w:t>
      </w:r>
      <w:bookmarkEnd w:id="138"/>
      <w:bookmarkEnd w:id="139"/>
      <w:bookmarkEnd w:id="140"/>
      <w:bookmarkEnd w:id="141"/>
    </w:p>
    <w:p w14:paraId="3018CB52" w14:textId="7C528C3C" w:rsidR="005B0A9C" w:rsidRDefault="005B0A9C" w:rsidP="008E4F36">
      <w:pPr>
        <w:pStyle w:val="Heading2"/>
      </w:pPr>
      <w:bookmarkStart w:id="142" w:name="_Toc158683488"/>
      <w:bookmarkStart w:id="143" w:name="_Toc175317085"/>
      <w:bookmarkStart w:id="144" w:name="_Toc175572786"/>
      <w:r>
        <w:t>Primary conservation objective</w:t>
      </w:r>
      <w:bookmarkEnd w:id="142"/>
      <w:bookmarkEnd w:id="143"/>
      <w:bookmarkEnd w:id="144"/>
    </w:p>
    <w:p w14:paraId="60D97F01" w14:textId="007DA418" w:rsidR="00482735" w:rsidRDefault="00482735" w:rsidP="00482735">
      <w:pPr>
        <w:spacing w:after="80"/>
      </w:pPr>
      <w:r>
        <w:t xml:space="preserve">To halt the loss of the </w:t>
      </w:r>
      <w:r w:rsidRPr="00482735">
        <w:rPr>
          <w:i/>
          <w:iCs/>
          <w:color w:val="000000" w:themeColor="text1"/>
        </w:rPr>
        <w:t>River Murray—Darling to Sea</w:t>
      </w:r>
      <w:r w:rsidRPr="00D73FBD">
        <w:rPr>
          <w:color w:val="000000" w:themeColor="text1"/>
        </w:rPr>
        <w:t xml:space="preserve"> ecological community</w:t>
      </w:r>
      <w:r>
        <w:rPr>
          <w:color w:val="000000" w:themeColor="text1"/>
        </w:rPr>
        <w:t>,</w:t>
      </w:r>
      <w:r w:rsidRPr="008752A1">
        <w:rPr>
          <w:color w:val="FF0000"/>
        </w:rPr>
        <w:t xml:space="preserve"> </w:t>
      </w:r>
      <w:r w:rsidRPr="004F0F2E">
        <w:t xml:space="preserve">and hence prevent </w:t>
      </w:r>
      <w:r>
        <w:t xml:space="preserve">its probable extinction (and/or collapse of the associated ecosystems) </w:t>
      </w:r>
      <w:r w:rsidRPr="008752A1">
        <w:t xml:space="preserve">in the </w:t>
      </w:r>
      <w:r>
        <w:t>immediate</w:t>
      </w:r>
      <w:r w:rsidRPr="008752A1">
        <w:t xml:space="preserve"> future</w:t>
      </w:r>
      <w:r>
        <w:t>, and to recover the abundance, diversity, integrity, and resilience (or viability) of:</w:t>
      </w:r>
    </w:p>
    <w:p w14:paraId="12EA2BE6" w14:textId="77777777" w:rsidR="00482735" w:rsidRDefault="00482735" w:rsidP="004162AC">
      <w:pPr>
        <w:pStyle w:val="ListParagraph"/>
        <w:numPr>
          <w:ilvl w:val="0"/>
          <w:numId w:val="99"/>
        </w:numPr>
        <w:spacing w:before="120"/>
        <w:ind w:left="714" w:hanging="357"/>
        <w:contextualSpacing w:val="0"/>
      </w:pPr>
      <w:r>
        <w:t>its component species, particularly functionally significant species and,</w:t>
      </w:r>
    </w:p>
    <w:p w14:paraId="3CA2C490" w14:textId="77777777" w:rsidR="00482735" w:rsidRDefault="00482735" w:rsidP="004162AC">
      <w:pPr>
        <w:pStyle w:val="ListParagraph"/>
        <w:numPr>
          <w:ilvl w:val="0"/>
          <w:numId w:val="99"/>
        </w:numPr>
        <w:spacing w:before="120"/>
        <w:ind w:left="714" w:hanging="357"/>
        <w:contextualSpacing w:val="0"/>
      </w:pPr>
      <w:r>
        <w:t>natural processes that maintain its natural biodiversity and ecological function.</w:t>
      </w:r>
    </w:p>
    <w:p w14:paraId="4B5B9005" w14:textId="77777777" w:rsidR="00482735" w:rsidRDefault="00482735" w:rsidP="00482735">
      <w:pPr>
        <w:spacing w:before="120"/>
      </w:pPr>
      <w:r>
        <w:t>The objective will be achieved by:</w:t>
      </w:r>
    </w:p>
    <w:p w14:paraId="12B0E324" w14:textId="77777777" w:rsidR="00482735" w:rsidRDefault="00482735" w:rsidP="004162AC">
      <w:pPr>
        <w:pStyle w:val="ListParagraph"/>
        <w:numPr>
          <w:ilvl w:val="0"/>
          <w:numId w:val="98"/>
        </w:numPr>
        <w:spacing w:before="120"/>
        <w:ind w:left="709" w:hanging="425"/>
      </w:pPr>
      <w:r>
        <w:t>protecting the ecological community from unacceptable and significant impacts as a matter of national environmental significance under national environmental law (currently the EPBC Act).</w:t>
      </w:r>
    </w:p>
    <w:p w14:paraId="5F8E76E0" w14:textId="77777777" w:rsidR="00AD1129" w:rsidRPr="00AD1129" w:rsidRDefault="00AD1129" w:rsidP="00AD1129">
      <w:pPr>
        <w:pStyle w:val="ListParagraph"/>
        <w:spacing w:before="120"/>
        <w:ind w:left="709"/>
        <w:rPr>
          <w:sz w:val="16"/>
          <w:szCs w:val="16"/>
        </w:rPr>
      </w:pPr>
    </w:p>
    <w:p w14:paraId="3D8DBE78" w14:textId="30BEEF92" w:rsidR="00DC36DB" w:rsidRDefault="00482735" w:rsidP="004162AC">
      <w:pPr>
        <w:pStyle w:val="ListParagraph"/>
        <w:numPr>
          <w:ilvl w:val="0"/>
          <w:numId w:val="98"/>
        </w:numPr>
        <w:spacing w:before="120"/>
        <w:ind w:left="709" w:hanging="425"/>
      </w:pPr>
      <w:r>
        <w:t>implementing priority conservation management and recovery actions</w:t>
      </w:r>
      <w:r w:rsidRPr="00F456F1">
        <w:t xml:space="preserve">, consistent with the recommended actions </w:t>
      </w:r>
      <w:r>
        <w:t xml:space="preserve">and other guidance </w:t>
      </w:r>
      <w:r w:rsidRPr="00F456F1">
        <w:t xml:space="preserve">in this </w:t>
      </w:r>
      <w:r>
        <w:t>Conservation A</w:t>
      </w:r>
      <w:r w:rsidRPr="00F456F1">
        <w:t>dvice</w:t>
      </w:r>
      <w:r>
        <w:t>.</w:t>
      </w:r>
    </w:p>
    <w:p w14:paraId="607040D4" w14:textId="71286816" w:rsidR="00532258" w:rsidRDefault="00532258" w:rsidP="002B0500">
      <w:r>
        <w:t>An ‘</w:t>
      </w:r>
      <w:r w:rsidR="002B0500" w:rsidRPr="00433A81">
        <w:t>optimal</w:t>
      </w:r>
      <w:r>
        <w:t>’</w:t>
      </w:r>
      <w:r w:rsidR="002B0500" w:rsidRPr="00433A81">
        <w:t xml:space="preserve"> </w:t>
      </w:r>
      <w:r>
        <w:t xml:space="preserve">RMDS </w:t>
      </w:r>
      <w:r w:rsidR="002B0500" w:rsidRPr="00433A81">
        <w:t xml:space="preserve">ecological community </w:t>
      </w:r>
      <w:r w:rsidR="00ED0208">
        <w:t>meets the description (</w:t>
      </w:r>
      <w:r w:rsidR="00ED0208" w:rsidRPr="00ED0208">
        <w:rPr>
          <w:u w:val="single"/>
        </w:rPr>
        <w:t>Section 1</w:t>
      </w:r>
      <w:r w:rsidR="00ED0208">
        <w:t xml:space="preserve">), key diagnostic characteristics, at least the minimum Condition Thresholds, and </w:t>
      </w:r>
      <w:r w:rsidR="002B0500" w:rsidRPr="00433A81">
        <w:t>include</w:t>
      </w:r>
      <w:r w:rsidR="00ED0208">
        <w:t>s</w:t>
      </w:r>
      <w:r w:rsidR="002B0500" w:rsidRPr="00433A81">
        <w:t xml:space="preserve">: </w:t>
      </w:r>
    </w:p>
    <w:p w14:paraId="4CB83805" w14:textId="77777777" w:rsidR="00532258" w:rsidRDefault="002B0500" w:rsidP="0012104E">
      <w:pPr>
        <w:pStyle w:val="ListParagraph"/>
        <w:numPr>
          <w:ilvl w:val="0"/>
          <w:numId w:val="42"/>
        </w:numPr>
        <w:spacing w:before="80" w:after="80"/>
        <w:ind w:left="1077" w:hanging="357"/>
        <w:contextualSpacing w:val="0"/>
      </w:pPr>
      <w:r w:rsidRPr="00433A81">
        <w:t>a healthy terminal lake system</w:t>
      </w:r>
    </w:p>
    <w:p w14:paraId="2DE139C4" w14:textId="77777777" w:rsidR="00532258" w:rsidRDefault="002B0500" w:rsidP="0012104E">
      <w:pPr>
        <w:pStyle w:val="ListParagraph"/>
        <w:numPr>
          <w:ilvl w:val="0"/>
          <w:numId w:val="42"/>
        </w:numPr>
        <w:spacing w:before="80" w:after="80"/>
        <w:ind w:left="1077" w:hanging="357"/>
        <w:contextualSpacing w:val="0"/>
      </w:pPr>
      <w:r w:rsidRPr="00433A81">
        <w:t>an estuarine component connected to the sea</w:t>
      </w:r>
    </w:p>
    <w:p w14:paraId="680F878C" w14:textId="628EC689" w:rsidR="00532258" w:rsidRDefault="00C405D9" w:rsidP="0012104E">
      <w:pPr>
        <w:pStyle w:val="ListParagraph"/>
        <w:numPr>
          <w:ilvl w:val="0"/>
          <w:numId w:val="42"/>
        </w:numPr>
        <w:spacing w:before="80" w:after="80"/>
        <w:ind w:left="1077" w:hanging="357"/>
        <w:contextualSpacing w:val="0"/>
      </w:pPr>
      <w:r>
        <w:t xml:space="preserve">natural </w:t>
      </w:r>
      <w:r w:rsidR="002B0500" w:rsidRPr="00433A81">
        <w:t xml:space="preserve">flow </w:t>
      </w:r>
      <w:r w:rsidR="00532258">
        <w:t xml:space="preserve">and water level </w:t>
      </w:r>
      <w:r w:rsidR="002B0500" w:rsidRPr="00433A81">
        <w:t>variability</w:t>
      </w:r>
    </w:p>
    <w:p w14:paraId="08F59983" w14:textId="77777777" w:rsidR="00532258" w:rsidRDefault="002B0500" w:rsidP="0012104E">
      <w:pPr>
        <w:pStyle w:val="ListParagraph"/>
        <w:numPr>
          <w:ilvl w:val="0"/>
          <w:numId w:val="42"/>
        </w:numPr>
        <w:spacing w:before="80" w:after="80"/>
        <w:ind w:left="1077" w:hanging="357"/>
        <w:contextualSpacing w:val="0"/>
      </w:pPr>
      <w:r w:rsidRPr="00433A81">
        <w:t>trophic and habitat</w:t>
      </w:r>
      <w:r>
        <w:t xml:space="preserve"> complexity</w:t>
      </w:r>
    </w:p>
    <w:p w14:paraId="387AC042" w14:textId="77777777" w:rsidR="00863EEE" w:rsidRDefault="00C405D9" w:rsidP="0012104E">
      <w:pPr>
        <w:pStyle w:val="ListParagraph"/>
        <w:numPr>
          <w:ilvl w:val="0"/>
          <w:numId w:val="42"/>
        </w:numPr>
        <w:spacing w:before="80" w:after="80"/>
        <w:ind w:left="1077" w:hanging="357"/>
        <w:contextualSpacing w:val="0"/>
      </w:pPr>
      <w:r>
        <w:t xml:space="preserve">healthy and resilient populations of functionally </w:t>
      </w:r>
      <w:r w:rsidR="00863EEE">
        <w:t>important native species</w:t>
      </w:r>
    </w:p>
    <w:p w14:paraId="2A8EFD16" w14:textId="0970690D" w:rsidR="00532258" w:rsidRDefault="002B0500" w:rsidP="0012104E">
      <w:pPr>
        <w:pStyle w:val="ListParagraph"/>
        <w:numPr>
          <w:ilvl w:val="0"/>
          <w:numId w:val="42"/>
        </w:numPr>
        <w:spacing w:before="80" w:after="80"/>
        <w:ind w:left="1077" w:hanging="357"/>
        <w:contextualSpacing w:val="0"/>
      </w:pPr>
      <w:r w:rsidRPr="004F450D">
        <w:t>no loss of key native species</w:t>
      </w:r>
      <w:r w:rsidR="00532258">
        <w:t>,</w:t>
      </w:r>
      <w:r w:rsidRPr="004F450D">
        <w:t xml:space="preserve"> and </w:t>
      </w:r>
    </w:p>
    <w:p w14:paraId="5902BA4F" w14:textId="0DE0690C" w:rsidR="002B0500" w:rsidRDefault="002B0500" w:rsidP="0012104E">
      <w:pPr>
        <w:pStyle w:val="ListParagraph"/>
        <w:numPr>
          <w:ilvl w:val="0"/>
          <w:numId w:val="42"/>
        </w:numPr>
        <w:spacing w:before="80"/>
        <w:ind w:left="1077" w:hanging="357"/>
        <w:contextualSpacing w:val="0"/>
      </w:pPr>
      <w:r w:rsidRPr="004F450D">
        <w:t>comparatively few alien species.</w:t>
      </w:r>
    </w:p>
    <w:p w14:paraId="58B24084" w14:textId="29C05932" w:rsidR="002B0500" w:rsidRPr="00794A43" w:rsidRDefault="002B0500" w:rsidP="00174CAB">
      <w:pPr>
        <w:rPr>
          <w:i/>
          <w:iCs/>
        </w:rPr>
      </w:pPr>
      <w:r w:rsidRPr="00794A43">
        <w:rPr>
          <w:i/>
          <w:iCs/>
        </w:rPr>
        <w:t xml:space="preserve">Immediate </w:t>
      </w:r>
      <w:r w:rsidR="00863EEE" w:rsidRPr="00794A43">
        <w:rPr>
          <w:i/>
          <w:iCs/>
        </w:rPr>
        <w:t xml:space="preserve">and highest </w:t>
      </w:r>
      <w:r w:rsidRPr="00794A43">
        <w:rPr>
          <w:i/>
          <w:iCs/>
        </w:rPr>
        <w:t xml:space="preserve">priority conservation </w:t>
      </w:r>
      <w:r w:rsidR="00794A43" w:rsidRPr="00794A43">
        <w:rPr>
          <w:i/>
          <w:iCs/>
        </w:rPr>
        <w:t>goals include to</w:t>
      </w:r>
      <w:r w:rsidRPr="00794A43">
        <w:rPr>
          <w:i/>
          <w:iCs/>
        </w:rPr>
        <w:t>:</w:t>
      </w:r>
    </w:p>
    <w:p w14:paraId="4961DD4C" w14:textId="5E7C5CCD" w:rsidR="002B0500" w:rsidRDefault="002B0500" w:rsidP="0012104E">
      <w:pPr>
        <w:pStyle w:val="ListBullet"/>
        <w:numPr>
          <w:ilvl w:val="0"/>
          <w:numId w:val="41"/>
        </w:numPr>
        <w:spacing w:after="120"/>
      </w:pPr>
      <w:r>
        <w:t>Re-instate small to moderate within-channel and overbank flows, particularly at Chowilla</w:t>
      </w:r>
    </w:p>
    <w:p w14:paraId="4A73822D" w14:textId="753DD59A" w:rsidR="002B0500" w:rsidRDefault="002B0500" w:rsidP="0012104E">
      <w:pPr>
        <w:pStyle w:val="ListBullet"/>
        <w:numPr>
          <w:ilvl w:val="0"/>
          <w:numId w:val="41"/>
        </w:numPr>
        <w:spacing w:after="120"/>
      </w:pPr>
      <w:r>
        <w:t>Re-establish</w:t>
      </w:r>
      <w:r w:rsidR="00D61EEF">
        <w:t xml:space="preserve"> a healthy macrophyte assemblage</w:t>
      </w:r>
      <w:r w:rsidR="005E7873">
        <w:t xml:space="preserve"> </w:t>
      </w:r>
      <w:r>
        <w:t>in the Coorong Lagoons</w:t>
      </w:r>
      <w:r w:rsidR="005E7873">
        <w:t xml:space="preserve">, principally </w:t>
      </w:r>
      <w:r w:rsidR="00960C5A" w:rsidRPr="009709BA">
        <w:rPr>
          <w:i/>
        </w:rPr>
        <w:t>Ruppia megacarpa</w:t>
      </w:r>
      <w:r w:rsidR="00E85E64">
        <w:t xml:space="preserve">, </w:t>
      </w:r>
      <w:r w:rsidR="00960C5A" w:rsidRPr="009709BA">
        <w:rPr>
          <w:i/>
        </w:rPr>
        <w:t>R. tuberosa</w:t>
      </w:r>
      <w:r w:rsidR="00E85E64">
        <w:rPr>
          <w:i/>
        </w:rPr>
        <w:t xml:space="preserve">, </w:t>
      </w:r>
      <w:r w:rsidR="00E85E64" w:rsidRPr="00E85E64">
        <w:rPr>
          <w:iCs/>
        </w:rPr>
        <w:t>the ‘Ruppia Community’</w:t>
      </w:r>
      <w:r w:rsidR="00E85E64">
        <w:rPr>
          <w:i/>
        </w:rPr>
        <w:t xml:space="preserve">, </w:t>
      </w:r>
      <w:r w:rsidR="000B4AD2" w:rsidRPr="000B4AD2">
        <w:rPr>
          <w:iCs/>
        </w:rPr>
        <w:t xml:space="preserve">and </w:t>
      </w:r>
      <w:r w:rsidR="00E85E64">
        <w:rPr>
          <w:i/>
        </w:rPr>
        <w:t>Lam</w:t>
      </w:r>
      <w:r w:rsidR="00080438">
        <w:rPr>
          <w:i/>
        </w:rPr>
        <w:t xml:space="preserve">prothamnium </w:t>
      </w:r>
      <w:r w:rsidR="00080438" w:rsidRPr="00080438">
        <w:rPr>
          <w:iCs/>
        </w:rPr>
        <w:t>(</w:t>
      </w:r>
      <w:r w:rsidR="001E5BD2" w:rsidRPr="00080438">
        <w:rPr>
          <w:iCs/>
        </w:rPr>
        <w:t>stonew</w:t>
      </w:r>
      <w:r w:rsidR="00080438">
        <w:rPr>
          <w:iCs/>
        </w:rPr>
        <w:t>o</w:t>
      </w:r>
      <w:r w:rsidR="001E5BD2" w:rsidRPr="00080438">
        <w:rPr>
          <w:iCs/>
        </w:rPr>
        <w:t>rt</w:t>
      </w:r>
      <w:r w:rsidR="001F3317" w:rsidRPr="00080438">
        <w:rPr>
          <w:iCs/>
        </w:rPr>
        <w:t>)</w:t>
      </w:r>
    </w:p>
    <w:p w14:paraId="4C55E2D2" w14:textId="77777777" w:rsidR="002B0500" w:rsidRDefault="002B0500" w:rsidP="0012104E">
      <w:pPr>
        <w:pStyle w:val="ListBullet"/>
        <w:numPr>
          <w:ilvl w:val="0"/>
          <w:numId w:val="41"/>
        </w:numPr>
        <w:spacing w:after="120"/>
      </w:pPr>
      <w:r>
        <w:t>Increase understanding of and reduce floodplain salinisation</w:t>
      </w:r>
    </w:p>
    <w:p w14:paraId="15EB7067" w14:textId="34EAFB8E" w:rsidR="002B0500" w:rsidRDefault="002B0500" w:rsidP="0012104E">
      <w:pPr>
        <w:pStyle w:val="ListBullet"/>
        <w:numPr>
          <w:ilvl w:val="0"/>
          <w:numId w:val="41"/>
        </w:numPr>
        <w:spacing w:after="120"/>
      </w:pPr>
      <w:r>
        <w:t>Reduce, exclude</w:t>
      </w:r>
      <w:r w:rsidR="00960C5A">
        <w:t>,</w:t>
      </w:r>
      <w:r>
        <w:t xml:space="preserve"> or eliminate common carp, particularly at key sites such as Chowilla</w:t>
      </w:r>
      <w:r w:rsidR="00DE1819">
        <w:t xml:space="preserve"> (possibly as part of a broader </w:t>
      </w:r>
      <w:r w:rsidR="00DE1819" w:rsidRPr="00001F28">
        <w:rPr>
          <w:i/>
          <w:iCs/>
        </w:rPr>
        <w:t xml:space="preserve">Invasive Species </w:t>
      </w:r>
      <w:r w:rsidR="00C56348">
        <w:rPr>
          <w:i/>
          <w:iCs/>
        </w:rPr>
        <w:t xml:space="preserve">Action </w:t>
      </w:r>
      <w:r w:rsidR="00DE1819" w:rsidRPr="00001F28">
        <w:rPr>
          <w:i/>
          <w:iCs/>
        </w:rPr>
        <w:t>Plan</w:t>
      </w:r>
      <w:r w:rsidR="00DE1819">
        <w:t xml:space="preserve"> for the Lower River Murray)</w:t>
      </w:r>
    </w:p>
    <w:p w14:paraId="4A6E812D" w14:textId="5852C545" w:rsidR="00AE704C" w:rsidRDefault="00AE704C" w:rsidP="0012104E">
      <w:pPr>
        <w:pStyle w:val="ListBullet"/>
        <w:numPr>
          <w:ilvl w:val="0"/>
          <w:numId w:val="41"/>
        </w:numPr>
        <w:spacing w:after="120"/>
      </w:pPr>
      <w:r>
        <w:t xml:space="preserve">Improve existing fish passage </w:t>
      </w:r>
      <w:r w:rsidR="00001F28">
        <w:t>to accommodate</w:t>
      </w:r>
      <w:r>
        <w:t xml:space="preserve"> the range of </w:t>
      </w:r>
      <w:r w:rsidR="00C56348">
        <w:t xml:space="preserve">native </w:t>
      </w:r>
      <w:r>
        <w:t>species and sizes</w:t>
      </w:r>
      <w:r w:rsidR="00001F28">
        <w:t xml:space="preserve"> </w:t>
      </w:r>
      <w:r w:rsidR="006E1DF7">
        <w:t>throughout the RMDS</w:t>
      </w:r>
    </w:p>
    <w:p w14:paraId="132E754D" w14:textId="63FFAA67" w:rsidR="00894640" w:rsidRDefault="00536B23" w:rsidP="0012104E">
      <w:pPr>
        <w:pStyle w:val="ListBullet"/>
        <w:numPr>
          <w:ilvl w:val="0"/>
          <w:numId w:val="41"/>
        </w:numPr>
        <w:spacing w:after="120"/>
      </w:pPr>
      <w:r>
        <w:t>Support capability, capacity</w:t>
      </w:r>
      <w:r w:rsidR="00810369">
        <w:t>,</w:t>
      </w:r>
      <w:r>
        <w:t xml:space="preserve"> and research for captive breeding and</w:t>
      </w:r>
      <w:r w:rsidR="00D35E35">
        <w:t>/or</w:t>
      </w:r>
      <w:r>
        <w:t xml:space="preserve"> translocation of </w:t>
      </w:r>
      <w:r w:rsidR="00D35E35">
        <w:t xml:space="preserve">threatened </w:t>
      </w:r>
      <w:r>
        <w:t xml:space="preserve">small-bodied fish, </w:t>
      </w:r>
      <w:r w:rsidR="00D35E35">
        <w:t>freshwater turtles</w:t>
      </w:r>
      <w:r w:rsidR="00810369">
        <w:t>, and Murray crayfish</w:t>
      </w:r>
    </w:p>
    <w:p w14:paraId="0F28EBAA" w14:textId="3A22F851" w:rsidR="00340724" w:rsidRDefault="002B0500" w:rsidP="00FD3ED8">
      <w:pPr>
        <w:pStyle w:val="ListBullet"/>
        <w:numPr>
          <w:ilvl w:val="0"/>
          <w:numId w:val="41"/>
        </w:numPr>
        <w:spacing w:after="120"/>
      </w:pPr>
      <w:r>
        <w:t xml:space="preserve">Commence/continue long-term </w:t>
      </w:r>
      <w:r w:rsidR="00960C5A">
        <w:t xml:space="preserve">monitoring and </w:t>
      </w:r>
      <w:r>
        <w:t>data collection of key attributes/species</w:t>
      </w:r>
      <w:r w:rsidR="004D28F2">
        <w:t>, particularly threatened</w:t>
      </w:r>
      <w:r w:rsidR="00BB787B">
        <w:t xml:space="preserve"> species and woodland birds</w:t>
      </w:r>
      <w:r w:rsidR="00340724">
        <w:t>.</w:t>
      </w:r>
    </w:p>
    <w:p w14:paraId="6969B666" w14:textId="22BBCA0D" w:rsidR="00477B8D" w:rsidRDefault="00477B8D" w:rsidP="00105005">
      <w:bookmarkStart w:id="145" w:name="_Hlk174904860"/>
      <w:r w:rsidRPr="00477B8D">
        <w:rPr>
          <w:iCs/>
        </w:rPr>
        <w:lastRenderedPageBreak/>
        <w:t xml:space="preserve">Existing protection and key management plans are set out at </w:t>
      </w:r>
      <w:r>
        <w:rPr>
          <w:iCs/>
          <w:u w:val="single"/>
        </w:rPr>
        <w:t>S</w:t>
      </w:r>
      <w:r w:rsidRPr="00477B8D">
        <w:rPr>
          <w:iCs/>
          <w:u w:val="single"/>
        </w:rPr>
        <w:t>ection 5.</w:t>
      </w:r>
      <w:r w:rsidRPr="00105005">
        <w:rPr>
          <w:iCs/>
          <w:u w:val="single"/>
        </w:rPr>
        <w:t>2</w:t>
      </w:r>
      <w:r w:rsidR="00105005">
        <w:rPr>
          <w:iCs/>
        </w:rPr>
        <w:t xml:space="preserve"> and </w:t>
      </w:r>
      <w:r w:rsidR="00105005" w:rsidRPr="00105005">
        <w:rPr>
          <w:iCs/>
          <w:u w:val="single"/>
        </w:rPr>
        <w:t>Appendix</w:t>
      </w:r>
      <w:r w:rsidR="00105005">
        <w:rPr>
          <w:iCs/>
          <w:u w:val="single"/>
        </w:rPr>
        <w:t xml:space="preserve"> </w:t>
      </w:r>
      <w:r w:rsidR="00EE2D17">
        <w:rPr>
          <w:iCs/>
          <w:u w:val="single"/>
        </w:rPr>
        <w:t>D</w:t>
      </w:r>
      <w:r w:rsidRPr="00477B8D">
        <w:rPr>
          <w:iCs/>
        </w:rPr>
        <w:t xml:space="preserve">; principles and standards for conservation are set out at </w:t>
      </w:r>
      <w:r>
        <w:rPr>
          <w:iCs/>
          <w:u w:val="single"/>
        </w:rPr>
        <w:t>S</w:t>
      </w:r>
      <w:r w:rsidRPr="00477B8D">
        <w:rPr>
          <w:iCs/>
          <w:u w:val="single"/>
        </w:rPr>
        <w:t>ection 5.3</w:t>
      </w:r>
      <w:r w:rsidRPr="00477B8D">
        <w:rPr>
          <w:iCs/>
        </w:rPr>
        <w:t xml:space="preserve">; and, broader priority conservation and recovery actions are set out at </w:t>
      </w:r>
      <w:r>
        <w:rPr>
          <w:iCs/>
          <w:u w:val="single"/>
        </w:rPr>
        <w:t>S</w:t>
      </w:r>
      <w:r w:rsidRPr="00477B8D">
        <w:rPr>
          <w:iCs/>
          <w:u w:val="single"/>
        </w:rPr>
        <w:t>ection 5.4</w:t>
      </w:r>
      <w:r w:rsidRPr="00477B8D">
        <w:rPr>
          <w:iCs/>
        </w:rPr>
        <w:t>.</w:t>
      </w:r>
      <w:r w:rsidRPr="00DB6835">
        <w:t xml:space="preserve"> </w:t>
      </w:r>
      <w:r>
        <w:t xml:space="preserve">Not all actions that may benefit </w:t>
      </w:r>
      <w:r w:rsidRPr="00477B8D">
        <w:rPr>
          <w:iCs/>
        </w:rPr>
        <w:t xml:space="preserve">the protection and recovery of the </w:t>
      </w:r>
      <w:r w:rsidRPr="00477B8D">
        <w:rPr>
          <w:bCs/>
          <w:i/>
          <w:iCs/>
        </w:rPr>
        <w:t>River Murray—Darling to Sea</w:t>
      </w:r>
      <w:r w:rsidRPr="00477B8D">
        <w:rPr>
          <w:bCs/>
          <w:iCs/>
        </w:rPr>
        <w:t xml:space="preserve"> </w:t>
      </w:r>
      <w:r w:rsidRPr="00477B8D">
        <w:rPr>
          <w:iCs/>
        </w:rPr>
        <w:t xml:space="preserve">ecological community are encompassed. </w:t>
      </w:r>
      <w:r>
        <w:t xml:space="preserve">The aim is to provide overall </w:t>
      </w:r>
      <w:r w:rsidR="00105005">
        <w:t xml:space="preserve">and general </w:t>
      </w:r>
      <w:r>
        <w:t>guidance for threat prevention, management</w:t>
      </w:r>
      <w:r w:rsidR="00EE2D17">
        <w:t>,</w:t>
      </w:r>
      <w:r>
        <w:t xml:space="preserve"> and recovery, rather than being site-</w:t>
      </w:r>
      <w:r w:rsidR="008122BA">
        <w:t xml:space="preserve"> or species-</w:t>
      </w:r>
      <w:r>
        <w:t>specific.</w:t>
      </w:r>
    </w:p>
    <w:bookmarkEnd w:id="145"/>
    <w:p w14:paraId="31501CB2" w14:textId="77777777" w:rsidR="00477B8D" w:rsidRDefault="00477B8D" w:rsidP="00477B8D">
      <w:pPr>
        <w:pStyle w:val="ListBullet"/>
        <w:spacing w:after="120"/>
      </w:pPr>
    </w:p>
    <w:p w14:paraId="7C5C7CF5" w14:textId="5B658769" w:rsidR="004203B1" w:rsidRPr="00800345" w:rsidRDefault="004203B1" w:rsidP="008E4F36">
      <w:pPr>
        <w:pStyle w:val="Heading2"/>
      </w:pPr>
      <w:bookmarkStart w:id="146" w:name="_Ref24022981"/>
      <w:bookmarkStart w:id="147" w:name="_Toc158683489"/>
      <w:bookmarkStart w:id="148" w:name="_Toc175317086"/>
      <w:bookmarkStart w:id="149" w:name="_Toc175572787"/>
      <w:r w:rsidRPr="00800345">
        <w:t xml:space="preserve">Existing </w:t>
      </w:r>
      <w:r>
        <w:t xml:space="preserve">protection and </w:t>
      </w:r>
      <w:r w:rsidRPr="00800345">
        <w:t>management</w:t>
      </w:r>
      <w:bookmarkEnd w:id="146"/>
      <w:r>
        <w:t xml:space="preserve"> plans</w:t>
      </w:r>
      <w:bookmarkEnd w:id="147"/>
      <w:bookmarkEnd w:id="148"/>
      <w:bookmarkEnd w:id="149"/>
    </w:p>
    <w:p w14:paraId="0332C9CE" w14:textId="30E00BF6" w:rsidR="004203B1" w:rsidRPr="00317987" w:rsidRDefault="00560C50" w:rsidP="00550384">
      <w:pPr>
        <w:pStyle w:val="Heading3"/>
      </w:pPr>
      <w:bookmarkStart w:id="150" w:name="_Toc175317087"/>
      <w:r>
        <w:t xml:space="preserve">5.2.1 </w:t>
      </w:r>
      <w:r w:rsidR="004203B1" w:rsidRPr="00317987">
        <w:t>Existing protections</w:t>
      </w:r>
      <w:bookmarkEnd w:id="150"/>
    </w:p>
    <w:p w14:paraId="69AED001" w14:textId="77777777" w:rsidR="0005330C" w:rsidRPr="00317987" w:rsidRDefault="0005330C" w:rsidP="006E2204">
      <w:pPr>
        <w:pStyle w:val="Heading4"/>
      </w:pPr>
      <w:bookmarkStart w:id="151" w:name="_Toc232747042"/>
      <w:bookmarkStart w:id="152" w:name="_Toc363639659"/>
      <w:r w:rsidRPr="00317987">
        <w:t>Ramsar wetlands</w:t>
      </w:r>
      <w:bookmarkEnd w:id="151"/>
      <w:bookmarkEnd w:id="152"/>
    </w:p>
    <w:p w14:paraId="726EA481" w14:textId="406E4EEF" w:rsidR="0005330C" w:rsidRDefault="0005330C" w:rsidP="0005330C">
      <w:pPr>
        <w:rPr>
          <w:lang w:val="en-US"/>
        </w:rPr>
      </w:pPr>
      <w:r w:rsidRPr="00C53B11">
        <w:t>There</w:t>
      </w:r>
      <w:r w:rsidRPr="00DA44F7">
        <w:rPr>
          <w:lang w:val="en-US"/>
        </w:rPr>
        <w:t xml:space="preserve"> are three Ramsar wetlands located within the</w:t>
      </w:r>
      <w:r>
        <w:rPr>
          <w:lang w:val="en-US"/>
        </w:rPr>
        <w:t xml:space="preserve"> </w:t>
      </w:r>
      <w:r w:rsidRPr="00F54845">
        <w:rPr>
          <w:i/>
          <w:iCs/>
          <w:lang w:val="en-US"/>
        </w:rPr>
        <w:t>R</w:t>
      </w:r>
      <w:r w:rsidR="00F54845" w:rsidRPr="00F54845">
        <w:rPr>
          <w:i/>
          <w:iCs/>
          <w:lang w:val="en-US"/>
        </w:rPr>
        <w:t>iver Murray—Darling to Sea</w:t>
      </w:r>
      <w:r w:rsidRPr="00DA44F7">
        <w:rPr>
          <w:lang w:val="en-US"/>
        </w:rPr>
        <w:t xml:space="preserve"> ecological community</w:t>
      </w:r>
      <w:r>
        <w:rPr>
          <w:lang w:val="en-US"/>
        </w:rPr>
        <w:t>:</w:t>
      </w:r>
      <w:r w:rsidRPr="00DA44F7">
        <w:rPr>
          <w:lang w:val="en-US"/>
        </w:rPr>
        <w:t xml:space="preserve"> </w:t>
      </w:r>
    </w:p>
    <w:p w14:paraId="19A9E985" w14:textId="7A6D613A" w:rsidR="0005330C" w:rsidRPr="0017494F" w:rsidRDefault="0005330C" w:rsidP="004162AC">
      <w:pPr>
        <w:pStyle w:val="ListBullet"/>
        <w:numPr>
          <w:ilvl w:val="0"/>
          <w:numId w:val="67"/>
        </w:numPr>
        <w:spacing w:after="120"/>
        <w:rPr>
          <w:u w:val="single"/>
          <w:lang w:val="en-US"/>
        </w:rPr>
      </w:pPr>
      <w:r w:rsidRPr="00DA44F7">
        <w:rPr>
          <w:lang w:val="en-US"/>
        </w:rPr>
        <w:t>Coorong, and Lak</w:t>
      </w:r>
      <w:r>
        <w:rPr>
          <w:lang w:val="en-US"/>
        </w:rPr>
        <w:t>es Alexandrina and Albert</w:t>
      </w:r>
    </w:p>
    <w:p w14:paraId="26704226" w14:textId="32723C95" w:rsidR="0005330C" w:rsidRPr="0017494F" w:rsidRDefault="0005330C" w:rsidP="004162AC">
      <w:pPr>
        <w:pStyle w:val="ListBullet"/>
        <w:numPr>
          <w:ilvl w:val="0"/>
          <w:numId w:val="67"/>
        </w:numPr>
        <w:spacing w:after="120"/>
        <w:rPr>
          <w:u w:val="single"/>
          <w:lang w:val="en-US"/>
        </w:rPr>
      </w:pPr>
      <w:r w:rsidRPr="00DA44F7">
        <w:rPr>
          <w:lang w:val="en-US"/>
        </w:rPr>
        <w:t>Banrock Station Wetlan</w:t>
      </w:r>
      <w:r>
        <w:rPr>
          <w:lang w:val="en-US"/>
        </w:rPr>
        <w:t>d Complex, and</w:t>
      </w:r>
    </w:p>
    <w:p w14:paraId="3BA67370" w14:textId="59D3EE85" w:rsidR="0005330C" w:rsidRDefault="0005330C" w:rsidP="004162AC">
      <w:pPr>
        <w:pStyle w:val="ListBullet"/>
        <w:numPr>
          <w:ilvl w:val="0"/>
          <w:numId w:val="67"/>
        </w:numPr>
        <w:spacing w:after="120"/>
        <w:rPr>
          <w:lang w:val="en-US"/>
        </w:rPr>
      </w:pPr>
      <w:r>
        <w:rPr>
          <w:lang w:val="en-US"/>
        </w:rPr>
        <w:t>Riverland</w:t>
      </w:r>
      <w:r w:rsidR="00C7447A">
        <w:rPr>
          <w:lang w:val="en-US"/>
        </w:rPr>
        <w:t>.</w:t>
      </w:r>
    </w:p>
    <w:p w14:paraId="7BA75C09" w14:textId="62FA04BF" w:rsidR="0005330C" w:rsidRDefault="0005330C" w:rsidP="0005330C">
      <w:pPr>
        <w:pStyle w:val="twentypointnormal"/>
        <w:ind w:left="0"/>
      </w:pPr>
      <w:r w:rsidRPr="00340724">
        <w:rPr>
          <w:rFonts w:ascii="Cambria" w:hAnsi="Cambria"/>
          <w:sz w:val="22"/>
          <w:szCs w:val="22"/>
        </w:rPr>
        <w:t>The Riverland and the Coorong and Lakes Alexandrina and Albert are managed by the South Australian</w:t>
      </w:r>
      <w:r w:rsidR="00CC6345" w:rsidRPr="00340724">
        <w:rPr>
          <w:rFonts w:ascii="Cambria" w:hAnsi="Cambria"/>
          <w:sz w:val="22"/>
          <w:szCs w:val="22"/>
        </w:rPr>
        <w:t xml:space="preserve"> Government</w:t>
      </w:r>
      <w:r w:rsidRPr="00340724">
        <w:rPr>
          <w:rFonts w:ascii="Cambria" w:hAnsi="Cambria"/>
          <w:sz w:val="22"/>
          <w:szCs w:val="22"/>
        </w:rPr>
        <w:t xml:space="preserve">, whereas Banrock Station Wetland Complex is privately owned. </w:t>
      </w:r>
    </w:p>
    <w:p w14:paraId="11876D14" w14:textId="77777777" w:rsidR="00B928A0" w:rsidRPr="00317987" w:rsidRDefault="00B928A0" w:rsidP="006E2204">
      <w:pPr>
        <w:pStyle w:val="Heading4"/>
      </w:pPr>
      <w:bookmarkStart w:id="153" w:name="_Toc232747043"/>
      <w:bookmarkStart w:id="154" w:name="_Toc363639660"/>
      <w:r w:rsidRPr="00317987">
        <w:t>Living Murray Icon Sites</w:t>
      </w:r>
      <w:bookmarkEnd w:id="153"/>
      <w:bookmarkEnd w:id="154"/>
    </w:p>
    <w:p w14:paraId="13705CFA" w14:textId="4210F81C" w:rsidR="00B928A0" w:rsidRPr="008D7EE7" w:rsidRDefault="00B928A0" w:rsidP="00B928A0">
      <w:r w:rsidRPr="008D7EE7">
        <w:t xml:space="preserve">The River Murray is well recognised as a national asset and icon, and the ecological community also encompasses, and provides connectivity for, three of the six highly valued and nationally recognised </w:t>
      </w:r>
      <w:r>
        <w:t>‘</w:t>
      </w:r>
      <w:r w:rsidRPr="008D7EE7">
        <w:t>Living Murray Icon Sites</w:t>
      </w:r>
      <w:r>
        <w:t>’</w:t>
      </w:r>
      <w:r w:rsidRPr="008D7EE7">
        <w:t>:</w:t>
      </w:r>
    </w:p>
    <w:p w14:paraId="58ABABF3" w14:textId="77777777" w:rsidR="00B928A0" w:rsidRPr="008D7EE7" w:rsidRDefault="00B928A0" w:rsidP="004162AC">
      <w:pPr>
        <w:pStyle w:val="ListBullet"/>
        <w:numPr>
          <w:ilvl w:val="0"/>
          <w:numId w:val="68"/>
        </w:numPr>
        <w:spacing w:after="120"/>
      </w:pPr>
      <w:r>
        <w:t>River Murray Channel</w:t>
      </w:r>
    </w:p>
    <w:p w14:paraId="4CF06DE8" w14:textId="77777777" w:rsidR="00B928A0" w:rsidRPr="008D7EE7" w:rsidRDefault="00B928A0" w:rsidP="004162AC">
      <w:pPr>
        <w:pStyle w:val="ListBullet"/>
        <w:numPr>
          <w:ilvl w:val="0"/>
          <w:numId w:val="68"/>
        </w:numPr>
        <w:spacing w:after="120"/>
      </w:pPr>
      <w:r w:rsidRPr="008D7EE7">
        <w:t>Chowilla Floodplain including Lindsay-Wallpolla Islands</w:t>
      </w:r>
      <w:r>
        <w:t>,</w:t>
      </w:r>
      <w:r w:rsidRPr="008D7EE7">
        <w:t xml:space="preserve"> and </w:t>
      </w:r>
    </w:p>
    <w:p w14:paraId="3EB534F3" w14:textId="200B18C6" w:rsidR="00B928A0" w:rsidRDefault="00B928A0" w:rsidP="004162AC">
      <w:pPr>
        <w:pStyle w:val="ListBullet"/>
        <w:numPr>
          <w:ilvl w:val="0"/>
          <w:numId w:val="68"/>
        </w:numPr>
        <w:spacing w:after="120"/>
      </w:pPr>
      <w:r w:rsidRPr="008D7EE7">
        <w:t>Lower Lakes, Coorong</w:t>
      </w:r>
      <w:r>
        <w:t>,</w:t>
      </w:r>
      <w:r w:rsidRPr="008D7EE7">
        <w:t xml:space="preserve"> and Murray Mouth.</w:t>
      </w:r>
    </w:p>
    <w:p w14:paraId="66AEE0F4" w14:textId="5C1E5B1E" w:rsidR="00B928A0" w:rsidRPr="0016279D" w:rsidRDefault="00B928A0" w:rsidP="000D617D">
      <w:pPr>
        <w:pStyle w:val="twentypointnormal"/>
        <w:spacing w:after="200"/>
        <w:ind w:left="0"/>
        <w:rPr>
          <w:rFonts w:ascii="Cambria" w:hAnsi="Cambria"/>
          <w:sz w:val="22"/>
          <w:szCs w:val="22"/>
        </w:rPr>
      </w:pPr>
      <w:r w:rsidRPr="0016279D">
        <w:rPr>
          <w:rFonts w:ascii="Cambria" w:hAnsi="Cambria"/>
          <w:sz w:val="22"/>
          <w:szCs w:val="22"/>
        </w:rPr>
        <w:t xml:space="preserve">The other three Living Murray Icon sites all occur upstream of the RMDS ecological community. The Living Murray Initiative was established by the Murray-Darling Basin Commission (now Authority) in 2002 in response to concerns about the environment and economic health of the River Murray system. The initiative involved a number of collective actions to return the system to a healthy working river, including a focus on achieving significant environmental benefits for the six ecological assets (Icon sites). </w:t>
      </w:r>
    </w:p>
    <w:p w14:paraId="35A37C5F" w14:textId="3810CF35" w:rsidR="000D617D" w:rsidRDefault="00B928A0" w:rsidP="000D617D">
      <w:pPr>
        <w:pStyle w:val="twentypointnormal"/>
        <w:spacing w:after="200"/>
        <w:ind w:left="0"/>
        <w:rPr>
          <w:rFonts w:ascii="Cambria" w:hAnsi="Cambria"/>
          <w:sz w:val="22"/>
          <w:szCs w:val="22"/>
        </w:rPr>
      </w:pPr>
      <w:r w:rsidRPr="0016279D">
        <w:rPr>
          <w:rFonts w:ascii="Cambria" w:hAnsi="Cambria"/>
          <w:sz w:val="22"/>
          <w:szCs w:val="22"/>
        </w:rPr>
        <w:t xml:space="preserve">Environmental values of a Living Murray Icon Site are: </w:t>
      </w:r>
    </w:p>
    <w:p w14:paraId="1EED705E" w14:textId="77777777" w:rsidR="000D617D" w:rsidRDefault="00B928A0" w:rsidP="000D617D">
      <w:pPr>
        <w:pStyle w:val="twentypointnormal"/>
        <w:spacing w:after="200"/>
        <w:ind w:left="0"/>
        <w:rPr>
          <w:rFonts w:ascii="Cambria" w:hAnsi="Cambria"/>
          <w:sz w:val="22"/>
          <w:szCs w:val="22"/>
        </w:rPr>
      </w:pPr>
      <w:r w:rsidRPr="000D617D">
        <w:rPr>
          <w:rFonts w:ascii="Cambria" w:hAnsi="Cambria"/>
          <w:i/>
          <w:iCs/>
          <w:sz w:val="22"/>
          <w:szCs w:val="22"/>
        </w:rPr>
        <w:t>the River Murray supports aquatic, riparian, floodplain and estuarine habitats along its course, including Ramsar-listed wetlands and a diversity of species including vegetation, native fish, other vertebrates (e.g. birds, frogs), crustaceans (e.g. Murray crayfish, yabbies) and other invertebrates (MDBC 2006a).</w:t>
      </w:r>
      <w:r w:rsidR="00622327" w:rsidRPr="0016279D">
        <w:rPr>
          <w:rFonts w:ascii="Cambria" w:hAnsi="Cambria"/>
          <w:sz w:val="22"/>
          <w:szCs w:val="22"/>
        </w:rPr>
        <w:t xml:space="preserve"> </w:t>
      </w:r>
    </w:p>
    <w:p w14:paraId="48BD15AF" w14:textId="3A886DEA" w:rsidR="00B928A0" w:rsidRPr="0016279D" w:rsidRDefault="00622327" w:rsidP="000D617D">
      <w:pPr>
        <w:pStyle w:val="twentypointnormal"/>
        <w:spacing w:after="200"/>
        <w:ind w:left="0"/>
        <w:rPr>
          <w:rFonts w:ascii="Cambria" w:hAnsi="Cambria"/>
          <w:sz w:val="22"/>
          <w:szCs w:val="22"/>
        </w:rPr>
      </w:pPr>
      <w:r w:rsidRPr="0016279D">
        <w:rPr>
          <w:rFonts w:ascii="Cambria" w:hAnsi="Cambria"/>
          <w:sz w:val="22"/>
          <w:szCs w:val="22"/>
        </w:rPr>
        <w:t xml:space="preserve">The sites have been regularly monitored </w:t>
      </w:r>
      <w:r w:rsidR="00744FB9" w:rsidRPr="0016279D">
        <w:rPr>
          <w:rFonts w:ascii="Cambria" w:hAnsi="Cambria"/>
          <w:sz w:val="22"/>
          <w:szCs w:val="22"/>
        </w:rPr>
        <w:t xml:space="preserve">and reported on </w:t>
      </w:r>
      <w:r w:rsidRPr="0016279D">
        <w:rPr>
          <w:rFonts w:ascii="Cambria" w:hAnsi="Cambria"/>
          <w:sz w:val="22"/>
          <w:szCs w:val="22"/>
        </w:rPr>
        <w:t>since 2002</w:t>
      </w:r>
      <w:r w:rsidR="00744FB9" w:rsidRPr="0016279D">
        <w:rPr>
          <w:rFonts w:ascii="Cambria" w:hAnsi="Cambria"/>
          <w:sz w:val="22"/>
          <w:szCs w:val="22"/>
        </w:rPr>
        <w:t xml:space="preserve"> by the Murray-Darling Basin Authority</w:t>
      </w:r>
      <w:r w:rsidR="00AB315C" w:rsidRPr="0016279D">
        <w:rPr>
          <w:rFonts w:ascii="Cambria" w:hAnsi="Cambria"/>
          <w:sz w:val="22"/>
          <w:szCs w:val="22"/>
        </w:rPr>
        <w:t xml:space="preserve"> (and the Commission prior)</w:t>
      </w:r>
      <w:r w:rsidR="00744FB9" w:rsidRPr="0016279D">
        <w:rPr>
          <w:rFonts w:ascii="Cambria" w:hAnsi="Cambria"/>
          <w:sz w:val="22"/>
          <w:szCs w:val="22"/>
        </w:rPr>
        <w:t>.</w:t>
      </w:r>
    </w:p>
    <w:p w14:paraId="290C734B" w14:textId="3D1FFFFB" w:rsidR="00122BF7" w:rsidRPr="000D617D" w:rsidRDefault="00CF3C8C" w:rsidP="006E2204">
      <w:pPr>
        <w:pStyle w:val="Heading4"/>
      </w:pPr>
      <w:bookmarkStart w:id="155" w:name="_Toc232747044"/>
      <w:bookmarkStart w:id="156" w:name="_Toc363639661"/>
      <w:r>
        <w:lastRenderedPageBreak/>
        <w:t xml:space="preserve">adjacent and/or intergrading </w:t>
      </w:r>
      <w:r w:rsidR="00122BF7" w:rsidRPr="000D617D">
        <w:t>ecological communities</w:t>
      </w:r>
      <w:bookmarkEnd w:id="155"/>
      <w:bookmarkEnd w:id="156"/>
      <w:r>
        <w:t>, including national and state listed</w:t>
      </w:r>
    </w:p>
    <w:p w14:paraId="6C7CFBAA" w14:textId="52C344D5" w:rsidR="009B5D24" w:rsidRDefault="009B5D24" w:rsidP="00746C19">
      <w:r w:rsidRPr="001A447E">
        <w:rPr>
          <w:lang w:val="en-US"/>
        </w:rPr>
        <w:t xml:space="preserve">The </w:t>
      </w:r>
      <w:bookmarkStart w:id="157" w:name="_Hlk174636013"/>
      <w:r w:rsidRPr="00786CBD">
        <w:rPr>
          <w:i/>
          <w:lang w:val="en-US"/>
        </w:rPr>
        <w:t>River Murray – Darling to Sea</w:t>
      </w:r>
      <w:r w:rsidRPr="001A447E">
        <w:rPr>
          <w:lang w:val="en-US"/>
        </w:rPr>
        <w:t xml:space="preserve"> </w:t>
      </w:r>
      <w:bookmarkEnd w:id="157"/>
      <w:r w:rsidRPr="001A447E">
        <w:rPr>
          <w:lang w:val="en-US"/>
        </w:rPr>
        <w:t>ecological community is a highly complex system with an extensive</w:t>
      </w:r>
      <w:r w:rsidRPr="001A447E">
        <w:t xml:space="preserve"> range</w:t>
      </w:r>
      <w:r>
        <w:t>. It</w:t>
      </w:r>
      <w:r w:rsidRPr="001A447E">
        <w:t xml:space="preserve"> link</w:t>
      </w:r>
      <w:r>
        <w:t>s</w:t>
      </w:r>
      <w:r w:rsidRPr="001A447E">
        <w:t xml:space="preserve"> riverine environments along its course, including floodplain forests and woodlands, wetlands</w:t>
      </w:r>
      <w:r>
        <w:t>,</w:t>
      </w:r>
      <w:r w:rsidRPr="001A447E">
        <w:t xml:space="preserve"> and the estuary at the river’s mouth</w:t>
      </w:r>
      <w:r>
        <w:t xml:space="preserve">. </w:t>
      </w:r>
      <w:r w:rsidRPr="001A447E">
        <w:t xml:space="preserve">The </w:t>
      </w:r>
      <w:r>
        <w:t xml:space="preserve">RMDS </w:t>
      </w:r>
      <w:r w:rsidRPr="001A447E">
        <w:t xml:space="preserve">intergrades </w:t>
      </w:r>
      <w:r>
        <w:t xml:space="preserve">with </w:t>
      </w:r>
      <w:r w:rsidRPr="001A447E">
        <w:t>and/or occurs adjacent to a wide range of native terrestrial and aquatic communities</w:t>
      </w:r>
      <w:r>
        <w:t xml:space="preserve">, including some </w:t>
      </w:r>
      <w:r w:rsidRPr="001A447E">
        <w:t xml:space="preserve">ecological communities listed under </w:t>
      </w:r>
      <w:r>
        <w:t xml:space="preserve">national and state legislation. </w:t>
      </w:r>
    </w:p>
    <w:p w14:paraId="5706B69B" w14:textId="77777777" w:rsidR="00D07450" w:rsidRDefault="00D07450" w:rsidP="00D07450">
      <w:r>
        <w:t>Most notable of the ecological communities listed under national environment law are:</w:t>
      </w:r>
    </w:p>
    <w:p w14:paraId="37983A04" w14:textId="729C6A8A" w:rsidR="00D07450" w:rsidRDefault="00D07450" w:rsidP="004162AC">
      <w:pPr>
        <w:pStyle w:val="ListParagraph"/>
        <w:numPr>
          <w:ilvl w:val="0"/>
          <w:numId w:val="70"/>
        </w:numPr>
        <w:spacing w:after="120"/>
        <w:ind w:left="709" w:hanging="346"/>
        <w:contextualSpacing w:val="0"/>
      </w:pPr>
      <w:r>
        <w:t xml:space="preserve">the </w:t>
      </w:r>
      <w:r w:rsidRPr="00A33277">
        <w:rPr>
          <w:i/>
        </w:rPr>
        <w:t>Swamps of the Fleurieu Peninsula</w:t>
      </w:r>
      <w:r>
        <w:t xml:space="preserve"> (listed </w:t>
      </w:r>
      <w:r w:rsidR="00637A50">
        <w:t>2003</w:t>
      </w:r>
      <w:r>
        <w:t>), and</w:t>
      </w:r>
    </w:p>
    <w:p w14:paraId="40904D8D" w14:textId="7FFEBC54" w:rsidR="00C608C9" w:rsidRDefault="00D07450" w:rsidP="004162AC">
      <w:pPr>
        <w:pStyle w:val="ListParagraph"/>
        <w:numPr>
          <w:ilvl w:val="0"/>
          <w:numId w:val="70"/>
        </w:numPr>
        <w:ind w:left="709" w:hanging="346"/>
        <w:contextualSpacing w:val="0"/>
      </w:pPr>
      <w:r w:rsidRPr="00D07450">
        <w:rPr>
          <w:i/>
          <w:iCs/>
        </w:rPr>
        <w:t>Mallee bird community of the Murray Darling Depression Bioregion</w:t>
      </w:r>
      <w:r>
        <w:t xml:space="preserve"> (listed 2021)</w:t>
      </w:r>
      <w:r w:rsidR="00EB6962">
        <w:t>.</w:t>
      </w:r>
    </w:p>
    <w:p w14:paraId="681C6961" w14:textId="2ABBD3C0" w:rsidR="004D0F85" w:rsidRPr="002E33DB" w:rsidRDefault="004D0F85" w:rsidP="004D0F85">
      <w:r>
        <w:t xml:space="preserve">Further </w:t>
      </w:r>
      <w:r w:rsidR="00AB2AD0">
        <w:t xml:space="preserve">information </w:t>
      </w:r>
      <w:r w:rsidR="00C0571D">
        <w:t xml:space="preserve">on adjacent EPBC Act listed ecological communities </w:t>
      </w:r>
      <w:r w:rsidR="00BE21D6">
        <w:t xml:space="preserve">that may overlap or lie adjacent to </w:t>
      </w:r>
      <w:r w:rsidR="00A63AB5">
        <w:t xml:space="preserve">RMDS are listed in </w:t>
      </w:r>
      <w:r w:rsidR="00A63AB5" w:rsidRPr="00A63AB5">
        <w:rPr>
          <w:u w:val="single"/>
        </w:rPr>
        <w:t>Appendix D</w:t>
      </w:r>
      <w:r w:rsidR="00A63AB5">
        <w:t>.</w:t>
      </w:r>
    </w:p>
    <w:p w14:paraId="53D81A96" w14:textId="53F44202" w:rsidR="00122BF7" w:rsidRPr="00340724" w:rsidRDefault="00122BF7" w:rsidP="002E33DB">
      <w:pPr>
        <w:pStyle w:val="twentypointnormal"/>
        <w:spacing w:after="200"/>
        <w:ind w:left="0"/>
        <w:rPr>
          <w:rFonts w:ascii="Cambria" w:hAnsi="Cambria"/>
          <w:sz w:val="22"/>
          <w:szCs w:val="22"/>
          <w:lang w:val="en-US"/>
        </w:rPr>
      </w:pPr>
      <w:r w:rsidRPr="00340724">
        <w:rPr>
          <w:rFonts w:ascii="Cambria" w:hAnsi="Cambria"/>
          <w:sz w:val="22"/>
          <w:szCs w:val="22"/>
          <w:lang w:val="en-US"/>
        </w:rPr>
        <w:t>There are no comparable ecological communities protected under State legislation. However, there are some aquatic ecological communities that overlap with the NSW and Victorian sections of the ecological community:</w:t>
      </w:r>
    </w:p>
    <w:p w14:paraId="7C18FF75" w14:textId="77777777" w:rsidR="00122BF7" w:rsidRPr="00340724" w:rsidRDefault="00122BF7" w:rsidP="004162AC">
      <w:pPr>
        <w:pStyle w:val="twentypointnormal"/>
        <w:numPr>
          <w:ilvl w:val="0"/>
          <w:numId w:val="69"/>
        </w:numPr>
        <w:spacing w:after="120"/>
        <w:ind w:left="714" w:hanging="357"/>
        <w:rPr>
          <w:rFonts w:ascii="Cambria" w:hAnsi="Cambria"/>
          <w:sz w:val="22"/>
          <w:szCs w:val="22"/>
          <w:u w:val="single"/>
          <w:lang w:val="en-US"/>
        </w:rPr>
      </w:pPr>
      <w:r w:rsidRPr="00340724">
        <w:rPr>
          <w:rFonts w:ascii="Cambria" w:hAnsi="Cambria"/>
          <w:i/>
          <w:sz w:val="22"/>
          <w:szCs w:val="22"/>
          <w:lang w:val="en-US"/>
        </w:rPr>
        <w:t>the Lower Murray River Aquatic Ecological Community</w:t>
      </w:r>
      <w:r w:rsidRPr="00340724">
        <w:rPr>
          <w:rFonts w:ascii="Cambria" w:hAnsi="Cambria"/>
          <w:sz w:val="22"/>
          <w:szCs w:val="22"/>
          <w:lang w:val="en-US"/>
        </w:rPr>
        <w:t xml:space="preserve"> under the </w:t>
      </w:r>
      <w:r w:rsidRPr="00340724">
        <w:rPr>
          <w:rFonts w:ascii="Cambria" w:hAnsi="Cambria"/>
          <w:i/>
          <w:sz w:val="22"/>
          <w:szCs w:val="22"/>
          <w:lang w:val="en-US"/>
        </w:rPr>
        <w:t>New South Wales Fisheries Management Act 1994</w:t>
      </w:r>
      <w:r w:rsidRPr="00340724">
        <w:rPr>
          <w:rFonts w:ascii="Cambria" w:hAnsi="Cambria"/>
          <w:sz w:val="22"/>
          <w:szCs w:val="22"/>
          <w:lang w:val="en-US"/>
        </w:rPr>
        <w:t xml:space="preserve">, and </w:t>
      </w:r>
    </w:p>
    <w:p w14:paraId="1FC8EDBB" w14:textId="77777777" w:rsidR="00122BF7" w:rsidRPr="00340724" w:rsidRDefault="00122BF7" w:rsidP="004162AC">
      <w:pPr>
        <w:pStyle w:val="twentypointnormal"/>
        <w:numPr>
          <w:ilvl w:val="0"/>
          <w:numId w:val="69"/>
        </w:numPr>
        <w:spacing w:after="120"/>
        <w:ind w:left="714" w:hanging="357"/>
        <w:rPr>
          <w:rFonts w:ascii="Cambria" w:hAnsi="Cambria"/>
          <w:sz w:val="22"/>
          <w:szCs w:val="22"/>
          <w:u w:val="single"/>
          <w:lang w:val="en-US"/>
        </w:rPr>
      </w:pPr>
      <w:r w:rsidRPr="00340724">
        <w:rPr>
          <w:rFonts w:ascii="Cambria" w:hAnsi="Cambria"/>
          <w:sz w:val="22"/>
          <w:szCs w:val="22"/>
          <w:lang w:val="en-US"/>
        </w:rPr>
        <w:t xml:space="preserve">the </w:t>
      </w:r>
      <w:r w:rsidRPr="00340724">
        <w:rPr>
          <w:rFonts w:ascii="Cambria" w:hAnsi="Cambria"/>
          <w:i/>
          <w:sz w:val="22"/>
          <w:szCs w:val="22"/>
          <w:lang w:val="en-US"/>
        </w:rPr>
        <w:t>Lowland Riverine Fish Community of the Southern Murray-Darling Basin</w:t>
      </w:r>
      <w:r w:rsidRPr="00340724">
        <w:rPr>
          <w:rFonts w:ascii="Cambria" w:hAnsi="Cambria"/>
          <w:sz w:val="22"/>
          <w:szCs w:val="22"/>
          <w:lang w:val="en-US"/>
        </w:rPr>
        <w:t xml:space="preserve"> under the </w:t>
      </w:r>
      <w:r w:rsidRPr="00340724">
        <w:rPr>
          <w:rFonts w:ascii="Cambria" w:hAnsi="Cambria"/>
          <w:i/>
          <w:sz w:val="22"/>
          <w:szCs w:val="22"/>
          <w:lang w:val="en-US"/>
        </w:rPr>
        <w:t>Flora and Fauna Guarantee Act 1988</w:t>
      </w:r>
      <w:r w:rsidRPr="00340724">
        <w:rPr>
          <w:rFonts w:ascii="Cambria" w:hAnsi="Cambria"/>
          <w:sz w:val="22"/>
          <w:szCs w:val="22"/>
          <w:lang w:val="en-US"/>
        </w:rPr>
        <w:t xml:space="preserve"> in Victoria. </w:t>
      </w:r>
    </w:p>
    <w:p w14:paraId="5DAFBBFE" w14:textId="1D93D99B" w:rsidR="00122BF7" w:rsidRPr="00340724" w:rsidRDefault="00E03D0F" w:rsidP="00E03D0F">
      <w:pPr>
        <w:pStyle w:val="twentypointnormal"/>
        <w:spacing w:before="120" w:after="120"/>
        <w:ind w:left="0"/>
        <w:rPr>
          <w:rFonts w:ascii="Cambria" w:hAnsi="Cambria"/>
          <w:sz w:val="22"/>
          <w:szCs w:val="22"/>
          <w:lang w:val="en-US"/>
        </w:rPr>
      </w:pPr>
      <w:r w:rsidRPr="00340724">
        <w:rPr>
          <w:rFonts w:ascii="Cambria" w:hAnsi="Cambria"/>
          <w:sz w:val="22"/>
          <w:szCs w:val="22"/>
          <w:lang w:val="en-US"/>
        </w:rPr>
        <w:t xml:space="preserve">While there are currently no provisions </w:t>
      </w:r>
      <w:r w:rsidR="008136B0" w:rsidRPr="00340724">
        <w:rPr>
          <w:rFonts w:ascii="Cambria" w:hAnsi="Cambria"/>
          <w:sz w:val="22"/>
          <w:szCs w:val="22"/>
          <w:lang w:val="en-US"/>
        </w:rPr>
        <w:t xml:space="preserve">in the South </w:t>
      </w:r>
      <w:r w:rsidR="008136B0" w:rsidRPr="00830357">
        <w:rPr>
          <w:rFonts w:ascii="Cambria" w:hAnsi="Cambria"/>
          <w:i/>
          <w:iCs/>
          <w:sz w:val="22"/>
          <w:szCs w:val="22"/>
          <w:lang w:val="en-US"/>
        </w:rPr>
        <w:t>Australian National Parks and Wildlife Act 1972</w:t>
      </w:r>
      <w:r w:rsidR="008136B0" w:rsidRPr="00340724">
        <w:rPr>
          <w:rFonts w:ascii="Cambria" w:hAnsi="Cambria"/>
          <w:sz w:val="22"/>
          <w:szCs w:val="22"/>
          <w:lang w:val="en-US"/>
        </w:rPr>
        <w:t xml:space="preserve"> to list ecological communities as threatened entities</w:t>
      </w:r>
      <w:r w:rsidR="00094908" w:rsidRPr="00340724">
        <w:rPr>
          <w:rFonts w:ascii="Cambria" w:hAnsi="Cambria"/>
          <w:sz w:val="22"/>
          <w:szCs w:val="22"/>
          <w:lang w:val="en-US"/>
        </w:rPr>
        <w:t>, the SA government maintains a provisional list</w:t>
      </w:r>
      <w:r w:rsidR="00F83D5B" w:rsidRPr="00340724">
        <w:rPr>
          <w:rFonts w:ascii="Cambria" w:hAnsi="Cambria"/>
          <w:sz w:val="22"/>
          <w:szCs w:val="22"/>
          <w:lang w:val="en-US"/>
        </w:rPr>
        <w:t xml:space="preserve">. </w:t>
      </w:r>
      <w:r w:rsidR="00122BF7" w:rsidRPr="00340724">
        <w:rPr>
          <w:rFonts w:ascii="Cambria" w:hAnsi="Cambria"/>
          <w:sz w:val="22"/>
          <w:szCs w:val="22"/>
          <w:lang w:val="en-US"/>
        </w:rPr>
        <w:t xml:space="preserve">Three </w:t>
      </w:r>
      <w:r w:rsidR="00F83D5B" w:rsidRPr="00340724">
        <w:rPr>
          <w:rFonts w:ascii="Cambria" w:hAnsi="Cambria"/>
          <w:sz w:val="22"/>
          <w:szCs w:val="22"/>
          <w:lang w:val="en-US"/>
        </w:rPr>
        <w:t>‘</w:t>
      </w:r>
      <w:r w:rsidR="00122BF7" w:rsidRPr="00340724">
        <w:rPr>
          <w:rFonts w:ascii="Cambria" w:hAnsi="Cambria"/>
          <w:sz w:val="22"/>
          <w:szCs w:val="22"/>
          <w:lang w:val="en-US"/>
        </w:rPr>
        <w:t xml:space="preserve">potentially threatened ecological communities that overlap with </w:t>
      </w:r>
      <w:r w:rsidR="00A27E38">
        <w:rPr>
          <w:rFonts w:ascii="Cambria" w:hAnsi="Cambria"/>
          <w:sz w:val="22"/>
          <w:szCs w:val="22"/>
          <w:lang w:val="en-US"/>
        </w:rPr>
        <w:t xml:space="preserve">RMFS </w:t>
      </w:r>
      <w:r w:rsidR="00122BF7" w:rsidRPr="00340724">
        <w:rPr>
          <w:rFonts w:ascii="Cambria" w:hAnsi="Cambria"/>
          <w:sz w:val="22"/>
          <w:szCs w:val="22"/>
          <w:lang w:val="en-US"/>
        </w:rPr>
        <w:t>are</w:t>
      </w:r>
      <w:r w:rsidR="00F83D5B" w:rsidRPr="00340724">
        <w:rPr>
          <w:rFonts w:ascii="Cambria" w:hAnsi="Cambria"/>
          <w:sz w:val="22"/>
          <w:szCs w:val="22"/>
          <w:lang w:val="en-US"/>
        </w:rPr>
        <w:t xml:space="preserve"> on South Australia’s list (see </w:t>
      </w:r>
      <w:r w:rsidR="00122BF7" w:rsidRPr="00340724">
        <w:rPr>
          <w:rFonts w:ascii="Cambria" w:hAnsi="Cambria"/>
          <w:sz w:val="22"/>
          <w:szCs w:val="22"/>
          <w:u w:val="single"/>
          <w:lang w:val="en-US"/>
        </w:rPr>
        <w:t xml:space="preserve">Appendix </w:t>
      </w:r>
      <w:r w:rsidR="004D0F85">
        <w:rPr>
          <w:rFonts w:ascii="Cambria" w:hAnsi="Cambria"/>
          <w:sz w:val="22"/>
          <w:szCs w:val="22"/>
          <w:u w:val="single"/>
          <w:lang w:val="en-US"/>
        </w:rPr>
        <w:t>D</w:t>
      </w:r>
      <w:r w:rsidR="00EC3E02" w:rsidRPr="00340724">
        <w:rPr>
          <w:rFonts w:ascii="Cambria" w:hAnsi="Cambria"/>
          <w:sz w:val="22"/>
          <w:szCs w:val="22"/>
          <w:u w:val="single"/>
          <w:lang w:val="en-US"/>
        </w:rPr>
        <w:t>)</w:t>
      </w:r>
      <w:r w:rsidR="00122BF7" w:rsidRPr="00340724">
        <w:rPr>
          <w:rFonts w:ascii="Cambria" w:hAnsi="Cambria"/>
          <w:sz w:val="22"/>
          <w:szCs w:val="22"/>
          <w:lang w:val="en-US"/>
        </w:rPr>
        <w:t>.</w:t>
      </w:r>
    </w:p>
    <w:p w14:paraId="61839A6E" w14:textId="3618FB7D" w:rsidR="007237AB" w:rsidRPr="009B1BE5" w:rsidRDefault="007237AB" w:rsidP="006E2204">
      <w:pPr>
        <w:pStyle w:val="Heading4"/>
        <w:rPr>
          <w:rStyle w:val="Heading4Char"/>
          <w:b/>
          <w:bCs/>
        </w:rPr>
      </w:pPr>
      <w:bookmarkStart w:id="158" w:name="_Toc232747046"/>
      <w:bookmarkStart w:id="159" w:name="_Toc363639663"/>
      <w:r w:rsidRPr="009B1BE5">
        <w:t>Lev</w:t>
      </w:r>
      <w:r w:rsidR="00D0684A" w:rsidRPr="009B1BE5">
        <w:rPr>
          <w:rStyle w:val="Heading4Char"/>
          <w:b/>
          <w:bCs/>
          <w:i/>
          <w:iCs/>
          <w:sz w:val="18"/>
          <w:szCs w:val="18"/>
        </w:rPr>
        <w:t>EL</w:t>
      </w:r>
      <w:r w:rsidRPr="009B1BE5">
        <w:rPr>
          <w:rStyle w:val="Heading4Char"/>
          <w:b/>
          <w:bCs/>
          <w:i/>
          <w:iCs/>
        </w:rPr>
        <w:t xml:space="preserve"> </w:t>
      </w:r>
      <w:r w:rsidR="003C7EDA" w:rsidRPr="009B1BE5">
        <w:rPr>
          <w:rStyle w:val="Heading4Char"/>
          <w:b/>
          <w:bCs/>
          <w:i/>
          <w:iCs/>
          <w:sz w:val="18"/>
          <w:szCs w:val="18"/>
        </w:rPr>
        <w:t>OF PROTECTION IN RESERVES</w:t>
      </w:r>
      <w:bookmarkEnd w:id="158"/>
      <w:bookmarkEnd w:id="159"/>
    </w:p>
    <w:p w14:paraId="10C86733" w14:textId="503D6DDE" w:rsidR="007237AB" w:rsidRDefault="007237AB" w:rsidP="007237AB">
      <w:r w:rsidRPr="003522C9">
        <w:t xml:space="preserve">The </w:t>
      </w:r>
      <w:r>
        <w:t xml:space="preserve">RMDS </w:t>
      </w:r>
      <w:r w:rsidRPr="003522C9">
        <w:t>ecological</w:t>
      </w:r>
      <w:r>
        <w:t xml:space="preserve"> community is approximately 400 </w:t>
      </w:r>
      <w:r w:rsidRPr="003522C9">
        <w:t xml:space="preserve">045 ha in area </w:t>
      </w:r>
      <w:r>
        <w:t xml:space="preserve">(excluding the region of the Eastern Mount Lofty Ranges region streams and Darling Anabranch) </w:t>
      </w:r>
      <w:r w:rsidRPr="003522C9">
        <w:t>and is represented in numerous formal conservation reserves in South Australia and Victoria. However, these reserves are generally small in area and protect less than 1% of th</w:t>
      </w:r>
      <w:r w:rsidR="000F3167">
        <w:t>is</w:t>
      </w:r>
      <w:r w:rsidRPr="003522C9">
        <w:t xml:space="preserve"> national ecological community</w:t>
      </w:r>
      <w:r>
        <w:t xml:space="preserve"> (see </w:t>
      </w:r>
      <w:r w:rsidRPr="004A0873">
        <w:rPr>
          <w:u w:val="single"/>
        </w:rPr>
        <w:t>Appendix</w:t>
      </w:r>
      <w:r w:rsidR="003C7EDA" w:rsidRPr="004A0873">
        <w:rPr>
          <w:u w:val="single"/>
        </w:rPr>
        <w:t xml:space="preserve"> </w:t>
      </w:r>
      <w:r w:rsidR="00DD0F9C">
        <w:rPr>
          <w:u w:val="single"/>
        </w:rPr>
        <w:t>D</w:t>
      </w:r>
      <w:r>
        <w:t xml:space="preserve"> for additional State-based information)</w:t>
      </w:r>
      <w:r w:rsidRPr="003522C9">
        <w:t>.</w:t>
      </w:r>
    </w:p>
    <w:p w14:paraId="732BBEF4" w14:textId="77777777" w:rsidR="007237AB" w:rsidRPr="00317987" w:rsidRDefault="007237AB" w:rsidP="006E2204">
      <w:pPr>
        <w:pStyle w:val="Heading4"/>
      </w:pPr>
      <w:bookmarkStart w:id="160" w:name="_Toc232747047"/>
      <w:bookmarkStart w:id="161" w:name="_Toc363639664"/>
      <w:r w:rsidRPr="00317987">
        <w:t>Birds under international agreements</w:t>
      </w:r>
      <w:bookmarkEnd w:id="160"/>
      <w:bookmarkEnd w:id="161"/>
    </w:p>
    <w:p w14:paraId="70499604" w14:textId="123A0B18" w:rsidR="007237AB" w:rsidRDefault="007237AB" w:rsidP="007237AB">
      <w:r>
        <w:t xml:space="preserve">Within the ecological community are several wetland and coastal water birds that come under various international agreements (see </w:t>
      </w:r>
      <w:r w:rsidRPr="004A0873">
        <w:rPr>
          <w:u w:val="single"/>
        </w:rPr>
        <w:t xml:space="preserve">Appendix </w:t>
      </w:r>
      <w:r w:rsidR="00F9462D">
        <w:rPr>
          <w:u w:val="single"/>
        </w:rPr>
        <w:t>B</w:t>
      </w:r>
      <w:r w:rsidR="007100EA">
        <w:rPr>
          <w:u w:val="single"/>
        </w:rPr>
        <w:t xml:space="preserve">, Table </w:t>
      </w:r>
      <w:r w:rsidR="006F62AE">
        <w:rPr>
          <w:u w:val="single"/>
        </w:rPr>
        <w:t>B5</w:t>
      </w:r>
      <w:r>
        <w:t>).  The ecological community is considered to provide critical habitat for these species.</w:t>
      </w:r>
    </w:p>
    <w:p w14:paraId="5990C927" w14:textId="77777777" w:rsidR="003F3194" w:rsidRPr="00441FB7" w:rsidRDefault="003F3194" w:rsidP="006E2204">
      <w:pPr>
        <w:pStyle w:val="Heading4"/>
      </w:pPr>
      <w:bookmarkStart w:id="162" w:name="_Toc232747048"/>
      <w:bookmarkStart w:id="163" w:name="_Toc363639665"/>
      <w:r w:rsidRPr="00441FB7">
        <w:t>Relationship to threatened species</w:t>
      </w:r>
      <w:bookmarkEnd w:id="162"/>
      <w:bookmarkEnd w:id="163"/>
    </w:p>
    <w:p w14:paraId="2281BEBA" w14:textId="5FB5CDBE" w:rsidR="008E1234" w:rsidRDefault="003F3194" w:rsidP="003F3194">
      <w:r>
        <w:t xml:space="preserve">The ecological community contains, and provides habitat and resources for, a wide range of threatened species listed at Commonwealth level under </w:t>
      </w:r>
      <w:r w:rsidR="00EB2BCB">
        <w:t xml:space="preserve">national environment law (currently </w:t>
      </w:r>
      <w:r>
        <w:t>the Environment Protection and Biodiversity (EPBC) Act</w:t>
      </w:r>
      <w:r w:rsidR="00EB2BCB">
        <w:t>)</w:t>
      </w:r>
      <w:r>
        <w:t xml:space="preserve"> and/or at State level under respective legislation or scheduling. </w:t>
      </w:r>
      <w:r w:rsidRPr="001E6C95">
        <w:t>Co</w:t>
      </w:r>
      <w:r w:rsidRPr="00814FE2">
        <w:t xml:space="preserve">mprehensive lists </w:t>
      </w:r>
      <w:r w:rsidR="00C62B0F" w:rsidRPr="00814FE2">
        <w:t xml:space="preserve">of threatened species </w:t>
      </w:r>
      <w:r w:rsidRPr="00814FE2">
        <w:t xml:space="preserve">for specific taxonomic groups are provided at </w:t>
      </w:r>
      <w:r w:rsidRPr="00814FE2">
        <w:rPr>
          <w:u w:val="single"/>
        </w:rPr>
        <w:t xml:space="preserve">Appendix </w:t>
      </w:r>
      <w:r w:rsidR="000F1FED" w:rsidRPr="00814FE2">
        <w:rPr>
          <w:u w:val="single"/>
        </w:rPr>
        <w:t>D</w:t>
      </w:r>
      <w:r w:rsidR="00814FE2" w:rsidRPr="00814FE2">
        <w:t xml:space="preserve">; a summary is at </w:t>
      </w:r>
      <w:r w:rsidR="00814FE2">
        <w:rPr>
          <w:u w:val="single"/>
        </w:rPr>
        <w:t>Table 25</w:t>
      </w:r>
      <w:r w:rsidR="00F70308" w:rsidRPr="001E6C95">
        <w:rPr>
          <w:u w:val="single"/>
        </w:rPr>
        <w:t>.</w:t>
      </w:r>
      <w:r w:rsidR="00F70308" w:rsidRPr="001E6C95">
        <w:t xml:space="preserve"> </w:t>
      </w:r>
    </w:p>
    <w:p w14:paraId="30B2CF01" w14:textId="77777777" w:rsidR="001B6485" w:rsidRDefault="001B6485">
      <w:pPr>
        <w:spacing w:after="160" w:line="259" w:lineRule="auto"/>
        <w:rPr>
          <w:b/>
          <w:iCs/>
          <w:szCs w:val="18"/>
        </w:rPr>
      </w:pPr>
      <w:bookmarkStart w:id="164" w:name="_Toc232747181"/>
      <w:bookmarkStart w:id="165" w:name="_Toc232747257"/>
      <w:bookmarkStart w:id="166" w:name="_Toc232747500"/>
      <w:r>
        <w:br w:type="page"/>
      </w:r>
    </w:p>
    <w:p w14:paraId="430FA27F" w14:textId="169BF42C" w:rsidR="00F800F7" w:rsidRPr="00941814" w:rsidRDefault="005012B3" w:rsidP="005012B3">
      <w:pPr>
        <w:pStyle w:val="Caption"/>
        <w:rPr>
          <w:b w:val="0"/>
          <w:i/>
          <w:sz w:val="21"/>
          <w:szCs w:val="21"/>
        </w:rPr>
      </w:pPr>
      <w:r>
        <w:lastRenderedPageBreak/>
        <w:t xml:space="preserve">Table </w:t>
      </w:r>
      <w:r>
        <w:fldChar w:fldCharType="begin"/>
      </w:r>
      <w:r>
        <w:instrText xml:space="preserve"> SEQ Table \* ARABIC </w:instrText>
      </w:r>
      <w:r>
        <w:fldChar w:fldCharType="separate"/>
      </w:r>
      <w:r w:rsidR="006D35C5">
        <w:rPr>
          <w:noProof/>
        </w:rPr>
        <w:t>25</w:t>
      </w:r>
      <w:r>
        <w:fldChar w:fldCharType="end"/>
      </w:r>
      <w:r w:rsidR="00F800F7" w:rsidRPr="00EC681F">
        <w:rPr>
          <w:szCs w:val="22"/>
        </w:rPr>
        <w:t xml:space="preserve">: </w:t>
      </w:r>
      <w:r w:rsidR="00F800F7" w:rsidRPr="00941814">
        <w:rPr>
          <w:bCs/>
          <w:sz w:val="21"/>
          <w:szCs w:val="21"/>
        </w:rPr>
        <w:t xml:space="preserve">Summary of plant and animal species listed as </w:t>
      </w:r>
      <w:r w:rsidR="00F800F7" w:rsidRPr="00941814">
        <w:rPr>
          <w:bCs/>
          <w:sz w:val="21"/>
          <w:szCs w:val="21"/>
          <w:u w:val="single"/>
        </w:rPr>
        <w:t>threatened</w:t>
      </w:r>
      <w:r w:rsidR="00F800F7" w:rsidRPr="00941814">
        <w:rPr>
          <w:bCs/>
          <w:sz w:val="21"/>
          <w:szCs w:val="21"/>
        </w:rPr>
        <w:t xml:space="preserve"> under the EPBC Act or respective State legislation </w:t>
      </w:r>
      <w:r w:rsidR="00F56AA4" w:rsidRPr="00941814">
        <w:rPr>
          <w:bCs/>
          <w:sz w:val="21"/>
          <w:szCs w:val="21"/>
        </w:rPr>
        <w:t>(</w:t>
      </w:r>
      <w:r w:rsidR="00F800F7" w:rsidRPr="00941814">
        <w:rPr>
          <w:bCs/>
          <w:sz w:val="21"/>
          <w:szCs w:val="21"/>
        </w:rPr>
        <w:t xml:space="preserve">or </w:t>
      </w:r>
      <w:r w:rsidR="00F56AA4" w:rsidRPr="00941814">
        <w:rPr>
          <w:bCs/>
          <w:sz w:val="21"/>
          <w:szCs w:val="21"/>
        </w:rPr>
        <w:t xml:space="preserve">similar </w:t>
      </w:r>
      <w:r w:rsidR="00F800F7" w:rsidRPr="00941814">
        <w:rPr>
          <w:bCs/>
          <w:sz w:val="21"/>
          <w:szCs w:val="21"/>
        </w:rPr>
        <w:t>scheduling arrangements</w:t>
      </w:r>
      <w:r w:rsidR="00F56AA4" w:rsidRPr="00941814">
        <w:rPr>
          <w:bCs/>
          <w:sz w:val="21"/>
          <w:szCs w:val="21"/>
        </w:rPr>
        <w:t>)</w:t>
      </w:r>
      <w:r w:rsidR="00F800F7" w:rsidRPr="00941814">
        <w:rPr>
          <w:bCs/>
          <w:sz w:val="21"/>
          <w:szCs w:val="21"/>
        </w:rPr>
        <w:t xml:space="preserve"> that may occur in the region of the EC. [Data sourced from: Department of Climate Change, Energy, the Environment and Water (DCCEEW) species profile and threats database (SPRAT); South Australia’s  Department of Environment and Water)*, Victoria’s Department of Energy, Environment and Climate Action (DECCA)**; New South Wales Department of Climate Change, Energy, the Environment and Water (</w:t>
      </w:r>
      <w:bookmarkEnd w:id="164"/>
      <w:bookmarkEnd w:id="165"/>
      <w:bookmarkEnd w:id="166"/>
      <w:r w:rsidR="00F800F7" w:rsidRPr="00941814">
        <w:rPr>
          <w:bCs/>
          <w:sz w:val="21"/>
          <w:szCs w:val="21"/>
        </w:rPr>
        <w:t xml:space="preserve">DCCEEW)]. </w:t>
      </w:r>
      <w:r w:rsidR="007D506D" w:rsidRPr="00941814">
        <w:rPr>
          <w:bCs/>
          <w:sz w:val="21"/>
          <w:szCs w:val="21"/>
        </w:rPr>
        <w:t>[Note</w:t>
      </w:r>
      <w:r w:rsidR="00D1781B" w:rsidRPr="00941814">
        <w:rPr>
          <w:bCs/>
          <w:sz w:val="21"/>
          <w:szCs w:val="21"/>
        </w:rPr>
        <w:t>:</w:t>
      </w:r>
      <w:r w:rsidR="007D506D" w:rsidRPr="00941814">
        <w:rPr>
          <w:bCs/>
          <w:sz w:val="21"/>
          <w:szCs w:val="21"/>
        </w:rPr>
        <w:t xml:space="preserve"> table </w:t>
      </w:r>
      <w:r w:rsidR="005F601B" w:rsidRPr="00941814">
        <w:rPr>
          <w:bCs/>
          <w:sz w:val="21"/>
          <w:szCs w:val="21"/>
        </w:rPr>
        <w:t>will</w:t>
      </w:r>
      <w:r w:rsidR="007D506D" w:rsidRPr="00941814">
        <w:rPr>
          <w:bCs/>
          <w:sz w:val="21"/>
          <w:szCs w:val="21"/>
        </w:rPr>
        <w:t xml:space="preserve"> be updated in November 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34"/>
        <w:gridCol w:w="1634"/>
        <w:gridCol w:w="1591"/>
        <w:gridCol w:w="1591"/>
      </w:tblGrid>
      <w:tr w:rsidR="005529DC" w:rsidRPr="0099130F" w14:paraId="6FD4B63F" w14:textId="77777777" w:rsidTr="009860C5">
        <w:tc>
          <w:tcPr>
            <w:tcW w:w="1330" w:type="pct"/>
            <w:shd w:val="clear" w:color="auto" w:fill="DEEAF6" w:themeFill="accent1" w:themeFillTint="33"/>
          </w:tcPr>
          <w:p w14:paraId="6727EAEF" w14:textId="77777777" w:rsidR="005529DC" w:rsidRPr="0099130F" w:rsidRDefault="005529DC" w:rsidP="00CD5901">
            <w:pPr>
              <w:pStyle w:val="tableheadertext"/>
            </w:pPr>
            <w:r w:rsidRPr="0099130F">
              <w:t>TAXON</w:t>
            </w:r>
          </w:p>
        </w:tc>
        <w:tc>
          <w:tcPr>
            <w:tcW w:w="1012" w:type="pct"/>
            <w:shd w:val="clear" w:color="auto" w:fill="DEEAF6" w:themeFill="accent1" w:themeFillTint="33"/>
          </w:tcPr>
          <w:p w14:paraId="016CCB3D" w14:textId="77777777" w:rsidR="005529DC" w:rsidRPr="0099130F" w:rsidRDefault="005529DC" w:rsidP="00CD5901">
            <w:pPr>
              <w:pStyle w:val="tableheadertext"/>
            </w:pPr>
            <w:r w:rsidRPr="0099130F">
              <w:t>EPBC Act listing</w:t>
            </w:r>
          </w:p>
        </w:tc>
        <w:tc>
          <w:tcPr>
            <w:tcW w:w="902" w:type="pct"/>
            <w:shd w:val="clear" w:color="auto" w:fill="DEEAF6" w:themeFill="accent1" w:themeFillTint="33"/>
          </w:tcPr>
          <w:p w14:paraId="683001AE" w14:textId="77777777" w:rsidR="00044D00" w:rsidRPr="0099130F" w:rsidRDefault="005529DC" w:rsidP="00CD5901">
            <w:pPr>
              <w:pStyle w:val="tableheadertext"/>
              <w:rPr>
                <w:vertAlign w:val="superscript"/>
              </w:rPr>
            </w:pPr>
            <w:r w:rsidRPr="0099130F">
              <w:t xml:space="preserve">SA*  </w:t>
            </w:r>
            <w:r w:rsidRPr="0099130F">
              <w:rPr>
                <w:vertAlign w:val="superscript"/>
              </w:rPr>
              <w:t xml:space="preserve"> </w:t>
            </w:r>
          </w:p>
          <w:p w14:paraId="45BD92AA" w14:textId="76E5C7D4" w:rsidR="005529DC" w:rsidRPr="0099130F" w:rsidRDefault="005529DC" w:rsidP="00CD5901">
            <w:pPr>
              <w:pStyle w:val="tableheadertext"/>
            </w:pPr>
            <w:r w:rsidRPr="0099130F">
              <w:t>listing</w:t>
            </w:r>
          </w:p>
        </w:tc>
        <w:tc>
          <w:tcPr>
            <w:tcW w:w="878" w:type="pct"/>
            <w:shd w:val="clear" w:color="auto" w:fill="DEEAF6" w:themeFill="accent1" w:themeFillTint="33"/>
          </w:tcPr>
          <w:p w14:paraId="3FF941ED" w14:textId="77777777" w:rsidR="00044D00" w:rsidRPr="0099130F" w:rsidRDefault="005529DC" w:rsidP="00CD5901">
            <w:pPr>
              <w:pStyle w:val="tableheadertext"/>
            </w:pPr>
            <w:r w:rsidRPr="0099130F">
              <w:t>VIC*</w:t>
            </w:r>
            <w:r w:rsidR="00B705F4" w:rsidRPr="0099130F">
              <w:t xml:space="preserve">* </w:t>
            </w:r>
          </w:p>
          <w:p w14:paraId="14B063BF" w14:textId="14BD5F2F" w:rsidR="005529DC" w:rsidRPr="0099130F" w:rsidRDefault="00B705F4" w:rsidP="00CD5901">
            <w:pPr>
              <w:pStyle w:val="tableheadertext"/>
            </w:pPr>
            <w:r w:rsidRPr="0099130F">
              <w:t>listing</w:t>
            </w:r>
          </w:p>
        </w:tc>
        <w:tc>
          <w:tcPr>
            <w:tcW w:w="878" w:type="pct"/>
            <w:shd w:val="clear" w:color="auto" w:fill="DEEAF6" w:themeFill="accent1" w:themeFillTint="33"/>
          </w:tcPr>
          <w:p w14:paraId="04F63C5F" w14:textId="77777777" w:rsidR="00044D00" w:rsidRPr="0099130F" w:rsidRDefault="005529DC" w:rsidP="00CD5901">
            <w:pPr>
              <w:pStyle w:val="tableheadertext"/>
            </w:pPr>
            <w:r w:rsidRPr="0099130F">
              <w:t>NSW***</w:t>
            </w:r>
          </w:p>
          <w:p w14:paraId="4DEF491D" w14:textId="66812F08" w:rsidR="005529DC" w:rsidRPr="0099130F" w:rsidRDefault="005529DC" w:rsidP="00CD5901">
            <w:pPr>
              <w:pStyle w:val="tableheadertext"/>
            </w:pPr>
            <w:r w:rsidRPr="0099130F">
              <w:t>listing</w:t>
            </w:r>
          </w:p>
        </w:tc>
      </w:tr>
      <w:tr w:rsidR="005529DC" w:rsidRPr="0099130F" w14:paraId="01E085AD" w14:textId="77777777" w:rsidTr="004744A6">
        <w:tc>
          <w:tcPr>
            <w:tcW w:w="1330" w:type="pct"/>
            <w:vAlign w:val="center"/>
          </w:tcPr>
          <w:p w14:paraId="4E60917C" w14:textId="77777777" w:rsidR="005529DC" w:rsidRPr="0099130F" w:rsidRDefault="005529DC" w:rsidP="004744A6">
            <w:pPr>
              <w:pStyle w:val="tabletext1"/>
              <w:spacing w:after="120"/>
              <w:rPr>
                <w:rFonts w:ascii="Cambria" w:hAnsi="Cambria"/>
              </w:rPr>
            </w:pPr>
            <w:r w:rsidRPr="0099130F">
              <w:rPr>
                <w:rFonts w:ascii="Cambria" w:hAnsi="Cambria"/>
              </w:rPr>
              <w:t>Plants</w:t>
            </w:r>
          </w:p>
        </w:tc>
        <w:tc>
          <w:tcPr>
            <w:tcW w:w="1012" w:type="pct"/>
            <w:vAlign w:val="center"/>
          </w:tcPr>
          <w:p w14:paraId="69BA32F6" w14:textId="77777777" w:rsidR="005529DC" w:rsidRPr="0099130F" w:rsidRDefault="005529DC" w:rsidP="004744A6">
            <w:pPr>
              <w:pStyle w:val="tabletext1"/>
              <w:spacing w:after="120"/>
              <w:jc w:val="center"/>
              <w:rPr>
                <w:rFonts w:ascii="Cambria" w:hAnsi="Cambria"/>
              </w:rPr>
            </w:pPr>
            <w:r w:rsidRPr="0099130F">
              <w:rPr>
                <w:rFonts w:ascii="Cambria" w:hAnsi="Cambria"/>
              </w:rPr>
              <w:t>25</w:t>
            </w:r>
          </w:p>
        </w:tc>
        <w:tc>
          <w:tcPr>
            <w:tcW w:w="902" w:type="pct"/>
            <w:vAlign w:val="center"/>
          </w:tcPr>
          <w:p w14:paraId="2741FD4E" w14:textId="77777777" w:rsidR="005529DC" w:rsidRPr="0099130F" w:rsidRDefault="005529DC" w:rsidP="004744A6">
            <w:pPr>
              <w:pStyle w:val="tabletext1"/>
              <w:spacing w:after="120"/>
              <w:jc w:val="center"/>
              <w:rPr>
                <w:rFonts w:ascii="Cambria" w:hAnsi="Cambria"/>
              </w:rPr>
            </w:pPr>
            <w:r w:rsidRPr="0099130F">
              <w:rPr>
                <w:rFonts w:ascii="Cambria" w:hAnsi="Cambria"/>
              </w:rPr>
              <w:t>68</w:t>
            </w:r>
          </w:p>
        </w:tc>
        <w:tc>
          <w:tcPr>
            <w:tcW w:w="878" w:type="pct"/>
            <w:vAlign w:val="center"/>
          </w:tcPr>
          <w:p w14:paraId="299F6F6E" w14:textId="77777777" w:rsidR="005529DC" w:rsidRPr="0099130F" w:rsidRDefault="005529DC" w:rsidP="004744A6">
            <w:pPr>
              <w:pStyle w:val="tabletext1"/>
              <w:spacing w:after="120"/>
              <w:jc w:val="center"/>
              <w:rPr>
                <w:rFonts w:ascii="Cambria" w:hAnsi="Cambria"/>
              </w:rPr>
            </w:pPr>
            <w:r w:rsidRPr="0099130F">
              <w:rPr>
                <w:rFonts w:ascii="Cambria" w:hAnsi="Cambria"/>
              </w:rPr>
              <w:t>9</w:t>
            </w:r>
          </w:p>
        </w:tc>
        <w:tc>
          <w:tcPr>
            <w:tcW w:w="878" w:type="pct"/>
            <w:vAlign w:val="center"/>
          </w:tcPr>
          <w:p w14:paraId="64829D7C" w14:textId="77777777" w:rsidR="005529DC" w:rsidRPr="0099130F" w:rsidRDefault="005529DC" w:rsidP="004744A6">
            <w:pPr>
              <w:pStyle w:val="tabletext1"/>
              <w:spacing w:after="120"/>
              <w:jc w:val="center"/>
              <w:rPr>
                <w:rFonts w:ascii="Cambria" w:hAnsi="Cambria"/>
              </w:rPr>
            </w:pPr>
            <w:r w:rsidRPr="0099130F">
              <w:rPr>
                <w:rFonts w:ascii="Cambria" w:hAnsi="Cambria"/>
              </w:rPr>
              <w:t>3</w:t>
            </w:r>
          </w:p>
        </w:tc>
      </w:tr>
      <w:tr w:rsidR="005529DC" w:rsidRPr="0099130F" w14:paraId="54847828" w14:textId="77777777" w:rsidTr="004744A6">
        <w:tc>
          <w:tcPr>
            <w:tcW w:w="1330" w:type="pct"/>
            <w:vAlign w:val="center"/>
          </w:tcPr>
          <w:p w14:paraId="1D74F958" w14:textId="77777777" w:rsidR="005529DC" w:rsidRPr="0099130F" w:rsidRDefault="005529DC" w:rsidP="004744A6">
            <w:pPr>
              <w:pStyle w:val="tabletext1"/>
              <w:spacing w:after="120"/>
              <w:rPr>
                <w:rFonts w:ascii="Cambria" w:hAnsi="Cambria"/>
              </w:rPr>
            </w:pPr>
            <w:r w:rsidRPr="0099130F">
              <w:rPr>
                <w:rFonts w:ascii="Cambria" w:hAnsi="Cambria"/>
              </w:rPr>
              <w:t>Mammals</w:t>
            </w:r>
          </w:p>
        </w:tc>
        <w:tc>
          <w:tcPr>
            <w:tcW w:w="1012" w:type="pct"/>
            <w:vAlign w:val="center"/>
          </w:tcPr>
          <w:p w14:paraId="064C3DE6" w14:textId="5FA5087B" w:rsidR="00E16CDD" w:rsidRPr="0099130F" w:rsidRDefault="005529DC" w:rsidP="004744A6">
            <w:pPr>
              <w:pStyle w:val="tabletext1"/>
              <w:spacing w:after="120"/>
              <w:jc w:val="center"/>
              <w:rPr>
                <w:rFonts w:ascii="Cambria" w:hAnsi="Cambria"/>
              </w:rPr>
            </w:pPr>
            <w:r w:rsidRPr="0099130F">
              <w:rPr>
                <w:rFonts w:ascii="Cambria" w:hAnsi="Cambria"/>
              </w:rPr>
              <w:t>8</w:t>
            </w:r>
          </w:p>
          <w:p w14:paraId="2B8E60FD" w14:textId="1A81F2CC" w:rsidR="005529DC" w:rsidRPr="0099130F" w:rsidRDefault="005529DC" w:rsidP="004744A6">
            <w:pPr>
              <w:pStyle w:val="tabletext1"/>
              <w:spacing w:after="120"/>
              <w:jc w:val="center"/>
              <w:rPr>
                <w:rFonts w:ascii="Cambria" w:hAnsi="Cambria"/>
              </w:rPr>
            </w:pPr>
            <w:r w:rsidRPr="0099130F">
              <w:rPr>
                <w:rFonts w:ascii="Cambria" w:hAnsi="Cambria"/>
              </w:rPr>
              <w:t>(+ 4 extinct)</w:t>
            </w:r>
          </w:p>
        </w:tc>
        <w:tc>
          <w:tcPr>
            <w:tcW w:w="902" w:type="pct"/>
            <w:vAlign w:val="center"/>
          </w:tcPr>
          <w:p w14:paraId="102BA759" w14:textId="77777777" w:rsidR="005529DC" w:rsidRPr="0099130F" w:rsidRDefault="005529DC" w:rsidP="004744A6">
            <w:pPr>
              <w:pStyle w:val="tabletext1"/>
              <w:spacing w:after="120"/>
              <w:jc w:val="center"/>
              <w:rPr>
                <w:rFonts w:ascii="Cambria" w:hAnsi="Cambria"/>
              </w:rPr>
            </w:pPr>
            <w:r w:rsidRPr="0099130F">
              <w:rPr>
                <w:rFonts w:ascii="Cambria" w:hAnsi="Cambria"/>
              </w:rPr>
              <w:t>18</w:t>
            </w:r>
          </w:p>
        </w:tc>
        <w:tc>
          <w:tcPr>
            <w:tcW w:w="878" w:type="pct"/>
            <w:vAlign w:val="center"/>
          </w:tcPr>
          <w:p w14:paraId="75BFC836" w14:textId="77777777" w:rsidR="005529DC" w:rsidRPr="0099130F" w:rsidRDefault="005529DC" w:rsidP="004744A6">
            <w:pPr>
              <w:pStyle w:val="tabletext1"/>
              <w:spacing w:after="120"/>
              <w:jc w:val="center"/>
              <w:rPr>
                <w:rFonts w:ascii="Cambria" w:hAnsi="Cambria"/>
              </w:rPr>
            </w:pPr>
            <w:r w:rsidRPr="0099130F">
              <w:rPr>
                <w:rFonts w:ascii="Cambria" w:hAnsi="Cambria"/>
              </w:rPr>
              <w:t>12</w:t>
            </w:r>
          </w:p>
        </w:tc>
        <w:tc>
          <w:tcPr>
            <w:tcW w:w="878" w:type="pct"/>
            <w:vAlign w:val="center"/>
          </w:tcPr>
          <w:p w14:paraId="5970B960" w14:textId="77777777" w:rsidR="005529DC" w:rsidRPr="0099130F" w:rsidRDefault="005529DC" w:rsidP="004744A6">
            <w:pPr>
              <w:pStyle w:val="tabletext1"/>
              <w:spacing w:after="120"/>
              <w:jc w:val="center"/>
              <w:rPr>
                <w:rFonts w:ascii="Cambria" w:hAnsi="Cambria"/>
              </w:rPr>
            </w:pPr>
            <w:r w:rsidRPr="0099130F">
              <w:rPr>
                <w:rFonts w:ascii="Cambria" w:hAnsi="Cambria"/>
              </w:rPr>
              <w:t>8</w:t>
            </w:r>
          </w:p>
        </w:tc>
      </w:tr>
      <w:tr w:rsidR="005529DC" w:rsidRPr="0099130F" w14:paraId="3BC51A7E" w14:textId="77777777" w:rsidTr="004744A6">
        <w:tc>
          <w:tcPr>
            <w:tcW w:w="1330" w:type="pct"/>
            <w:vAlign w:val="center"/>
          </w:tcPr>
          <w:p w14:paraId="79028007" w14:textId="77777777" w:rsidR="005529DC" w:rsidRPr="0099130F" w:rsidRDefault="005529DC" w:rsidP="004744A6">
            <w:pPr>
              <w:pStyle w:val="tabletext1"/>
              <w:spacing w:after="120"/>
              <w:rPr>
                <w:rFonts w:ascii="Cambria" w:hAnsi="Cambria"/>
              </w:rPr>
            </w:pPr>
            <w:r w:rsidRPr="0099130F">
              <w:rPr>
                <w:rFonts w:ascii="Cambria" w:hAnsi="Cambria"/>
              </w:rPr>
              <w:t>Birds</w:t>
            </w:r>
          </w:p>
        </w:tc>
        <w:tc>
          <w:tcPr>
            <w:tcW w:w="1012" w:type="pct"/>
            <w:vAlign w:val="center"/>
          </w:tcPr>
          <w:p w14:paraId="6FF68327" w14:textId="77777777" w:rsidR="005529DC" w:rsidRPr="0099130F" w:rsidRDefault="005529DC" w:rsidP="004744A6">
            <w:pPr>
              <w:pStyle w:val="tabletext1"/>
              <w:spacing w:after="120"/>
              <w:jc w:val="center"/>
              <w:rPr>
                <w:rFonts w:ascii="Cambria" w:hAnsi="Cambria"/>
              </w:rPr>
            </w:pPr>
            <w:r w:rsidRPr="0099130F">
              <w:rPr>
                <w:rFonts w:ascii="Cambria" w:hAnsi="Cambria"/>
              </w:rPr>
              <w:t>34</w:t>
            </w:r>
          </w:p>
        </w:tc>
        <w:tc>
          <w:tcPr>
            <w:tcW w:w="902" w:type="pct"/>
            <w:vAlign w:val="center"/>
          </w:tcPr>
          <w:p w14:paraId="5F125DB0" w14:textId="77777777" w:rsidR="005529DC" w:rsidRPr="0099130F" w:rsidRDefault="005529DC" w:rsidP="004744A6">
            <w:pPr>
              <w:pStyle w:val="tabletext1"/>
              <w:spacing w:after="120"/>
              <w:jc w:val="center"/>
              <w:rPr>
                <w:rFonts w:ascii="Cambria" w:hAnsi="Cambria"/>
              </w:rPr>
            </w:pPr>
            <w:r w:rsidRPr="0099130F">
              <w:rPr>
                <w:rFonts w:ascii="Cambria" w:hAnsi="Cambria"/>
              </w:rPr>
              <w:t>88</w:t>
            </w:r>
          </w:p>
        </w:tc>
        <w:tc>
          <w:tcPr>
            <w:tcW w:w="878" w:type="pct"/>
            <w:vAlign w:val="center"/>
          </w:tcPr>
          <w:p w14:paraId="5EA0FFC7" w14:textId="77777777" w:rsidR="005529DC" w:rsidRPr="0099130F" w:rsidRDefault="005529DC" w:rsidP="004744A6">
            <w:pPr>
              <w:pStyle w:val="tabletext1"/>
              <w:spacing w:after="120"/>
              <w:jc w:val="center"/>
              <w:rPr>
                <w:rFonts w:ascii="Cambria" w:hAnsi="Cambria"/>
              </w:rPr>
            </w:pPr>
            <w:r w:rsidRPr="0099130F">
              <w:rPr>
                <w:rFonts w:ascii="Cambria" w:hAnsi="Cambria"/>
              </w:rPr>
              <w:t>66</w:t>
            </w:r>
          </w:p>
        </w:tc>
        <w:tc>
          <w:tcPr>
            <w:tcW w:w="878" w:type="pct"/>
            <w:vAlign w:val="center"/>
          </w:tcPr>
          <w:p w14:paraId="61816323" w14:textId="77777777" w:rsidR="005529DC" w:rsidRPr="0099130F" w:rsidRDefault="005529DC" w:rsidP="004744A6">
            <w:pPr>
              <w:pStyle w:val="tabletext1"/>
              <w:spacing w:after="120"/>
              <w:jc w:val="center"/>
              <w:rPr>
                <w:rFonts w:ascii="Cambria" w:hAnsi="Cambria"/>
              </w:rPr>
            </w:pPr>
            <w:r w:rsidRPr="0099130F">
              <w:rPr>
                <w:rFonts w:ascii="Cambria" w:hAnsi="Cambria"/>
              </w:rPr>
              <w:t>60</w:t>
            </w:r>
          </w:p>
        </w:tc>
      </w:tr>
      <w:tr w:rsidR="005529DC" w:rsidRPr="0099130F" w14:paraId="4FC460DA" w14:textId="77777777" w:rsidTr="004744A6">
        <w:tc>
          <w:tcPr>
            <w:tcW w:w="1330" w:type="pct"/>
            <w:vAlign w:val="center"/>
          </w:tcPr>
          <w:p w14:paraId="64D7E4D3" w14:textId="77777777" w:rsidR="005529DC" w:rsidRPr="0099130F" w:rsidRDefault="005529DC" w:rsidP="004744A6">
            <w:pPr>
              <w:pStyle w:val="tabletext1"/>
              <w:spacing w:after="120"/>
              <w:rPr>
                <w:rFonts w:ascii="Cambria" w:hAnsi="Cambria"/>
              </w:rPr>
            </w:pPr>
            <w:r w:rsidRPr="0099130F">
              <w:rPr>
                <w:rFonts w:ascii="Cambria" w:hAnsi="Cambria"/>
              </w:rPr>
              <w:t>Amphibians and Reptiles</w:t>
            </w:r>
          </w:p>
        </w:tc>
        <w:tc>
          <w:tcPr>
            <w:tcW w:w="1012" w:type="pct"/>
            <w:vAlign w:val="center"/>
          </w:tcPr>
          <w:p w14:paraId="49726B36" w14:textId="77777777" w:rsidR="005529DC" w:rsidRPr="0099130F" w:rsidRDefault="005529DC" w:rsidP="004744A6">
            <w:pPr>
              <w:pStyle w:val="tabletext1"/>
              <w:spacing w:after="120"/>
              <w:jc w:val="center"/>
              <w:rPr>
                <w:rFonts w:ascii="Cambria" w:hAnsi="Cambria"/>
              </w:rPr>
            </w:pPr>
            <w:r w:rsidRPr="0099130F">
              <w:rPr>
                <w:rFonts w:ascii="Cambria" w:hAnsi="Cambria"/>
              </w:rPr>
              <w:t>3</w:t>
            </w:r>
          </w:p>
        </w:tc>
        <w:tc>
          <w:tcPr>
            <w:tcW w:w="902" w:type="pct"/>
            <w:vAlign w:val="center"/>
          </w:tcPr>
          <w:p w14:paraId="4587DA6C" w14:textId="77777777" w:rsidR="005529DC" w:rsidRPr="0099130F" w:rsidRDefault="005529DC" w:rsidP="004744A6">
            <w:pPr>
              <w:pStyle w:val="tabletext1"/>
              <w:spacing w:after="120"/>
              <w:jc w:val="center"/>
              <w:rPr>
                <w:rFonts w:ascii="Cambria" w:hAnsi="Cambria"/>
              </w:rPr>
            </w:pPr>
            <w:r w:rsidRPr="0099130F">
              <w:rPr>
                <w:rFonts w:ascii="Cambria" w:hAnsi="Cambria"/>
              </w:rPr>
              <w:t>9</w:t>
            </w:r>
          </w:p>
        </w:tc>
        <w:tc>
          <w:tcPr>
            <w:tcW w:w="878" w:type="pct"/>
            <w:vAlign w:val="center"/>
          </w:tcPr>
          <w:p w14:paraId="07D338FB" w14:textId="77777777" w:rsidR="005529DC" w:rsidRPr="0099130F" w:rsidRDefault="005529DC" w:rsidP="004744A6">
            <w:pPr>
              <w:pStyle w:val="tabletext1"/>
              <w:spacing w:after="120"/>
              <w:jc w:val="center"/>
              <w:rPr>
                <w:rFonts w:ascii="Cambria" w:hAnsi="Cambria"/>
              </w:rPr>
            </w:pPr>
            <w:r w:rsidRPr="0099130F">
              <w:rPr>
                <w:rFonts w:ascii="Cambria" w:hAnsi="Cambria"/>
              </w:rPr>
              <w:t>9</w:t>
            </w:r>
          </w:p>
        </w:tc>
        <w:tc>
          <w:tcPr>
            <w:tcW w:w="878" w:type="pct"/>
            <w:vAlign w:val="center"/>
          </w:tcPr>
          <w:p w14:paraId="4D3D9D32" w14:textId="77777777" w:rsidR="005529DC" w:rsidRPr="0099130F" w:rsidRDefault="005529DC" w:rsidP="004744A6">
            <w:pPr>
              <w:pStyle w:val="tabletext1"/>
              <w:spacing w:after="120"/>
              <w:jc w:val="center"/>
              <w:rPr>
                <w:rFonts w:ascii="Cambria" w:hAnsi="Cambria"/>
              </w:rPr>
            </w:pPr>
            <w:r w:rsidRPr="0099130F">
              <w:rPr>
                <w:rFonts w:ascii="Cambria" w:hAnsi="Cambria"/>
              </w:rPr>
              <w:t>4</w:t>
            </w:r>
          </w:p>
        </w:tc>
      </w:tr>
      <w:tr w:rsidR="005529DC" w:rsidRPr="0099130F" w14:paraId="18FA77CB" w14:textId="77777777" w:rsidTr="004744A6">
        <w:tc>
          <w:tcPr>
            <w:tcW w:w="1330" w:type="pct"/>
            <w:vAlign w:val="center"/>
          </w:tcPr>
          <w:p w14:paraId="3BC4754B" w14:textId="77777777" w:rsidR="005529DC" w:rsidRPr="0099130F" w:rsidRDefault="005529DC" w:rsidP="004744A6">
            <w:pPr>
              <w:pStyle w:val="tabletext1"/>
              <w:spacing w:after="120"/>
              <w:rPr>
                <w:rFonts w:ascii="Cambria" w:hAnsi="Cambria"/>
              </w:rPr>
            </w:pPr>
            <w:r w:rsidRPr="0099130F">
              <w:rPr>
                <w:rFonts w:ascii="Cambria" w:hAnsi="Cambria"/>
              </w:rPr>
              <w:t>Fish</w:t>
            </w:r>
          </w:p>
          <w:p w14:paraId="7AD49FE0" w14:textId="77777777" w:rsidR="005529DC" w:rsidRPr="0099130F" w:rsidRDefault="005529DC" w:rsidP="004744A6">
            <w:pPr>
              <w:pStyle w:val="tabletext1"/>
              <w:spacing w:after="120"/>
              <w:rPr>
                <w:rFonts w:ascii="Cambria" w:hAnsi="Cambria"/>
              </w:rPr>
            </w:pPr>
          </w:p>
        </w:tc>
        <w:tc>
          <w:tcPr>
            <w:tcW w:w="1012" w:type="pct"/>
            <w:vAlign w:val="center"/>
          </w:tcPr>
          <w:p w14:paraId="5135DD91" w14:textId="59434D38" w:rsidR="00E16CDD" w:rsidRPr="0099130F" w:rsidRDefault="005529DC" w:rsidP="004744A6">
            <w:pPr>
              <w:pStyle w:val="tabletext1"/>
              <w:spacing w:after="120"/>
              <w:jc w:val="center"/>
              <w:rPr>
                <w:rFonts w:ascii="Cambria" w:hAnsi="Cambria"/>
              </w:rPr>
            </w:pPr>
            <w:r w:rsidRPr="0099130F">
              <w:rPr>
                <w:rFonts w:ascii="Cambria" w:hAnsi="Cambria"/>
              </w:rPr>
              <w:t>8</w:t>
            </w:r>
          </w:p>
          <w:p w14:paraId="4A064837" w14:textId="4D5501E0" w:rsidR="005529DC" w:rsidRPr="0099130F" w:rsidRDefault="005529DC" w:rsidP="004744A6">
            <w:pPr>
              <w:pStyle w:val="tabletext1"/>
              <w:spacing w:after="120"/>
              <w:jc w:val="center"/>
              <w:rPr>
                <w:rFonts w:ascii="Cambria" w:hAnsi="Cambria"/>
              </w:rPr>
            </w:pPr>
            <w:r w:rsidRPr="0099130F">
              <w:rPr>
                <w:rFonts w:ascii="Cambria" w:hAnsi="Cambria"/>
              </w:rPr>
              <w:t>(+1</w:t>
            </w:r>
            <w:r w:rsidR="00D1781B" w:rsidRPr="0099130F">
              <w:rPr>
                <w:rFonts w:ascii="Cambria" w:hAnsi="Cambria"/>
              </w:rPr>
              <w:t xml:space="preserve"> </w:t>
            </w:r>
            <w:r w:rsidRPr="0099130F">
              <w:rPr>
                <w:rFonts w:ascii="Cambria" w:hAnsi="Cambria"/>
              </w:rPr>
              <w:t>on FPAL)</w:t>
            </w:r>
          </w:p>
        </w:tc>
        <w:tc>
          <w:tcPr>
            <w:tcW w:w="902" w:type="pct"/>
            <w:vAlign w:val="center"/>
          </w:tcPr>
          <w:p w14:paraId="3C3AA8C4" w14:textId="05F644D3" w:rsidR="00E16CDD" w:rsidRPr="0099130F" w:rsidRDefault="005529DC" w:rsidP="004744A6">
            <w:pPr>
              <w:pStyle w:val="tabletext1"/>
              <w:spacing w:after="120"/>
              <w:jc w:val="center"/>
              <w:rPr>
                <w:rFonts w:ascii="Cambria" w:hAnsi="Cambria"/>
              </w:rPr>
            </w:pPr>
            <w:r w:rsidRPr="0099130F">
              <w:rPr>
                <w:rFonts w:ascii="Cambria" w:hAnsi="Cambria"/>
              </w:rPr>
              <w:t>10*</w:t>
            </w:r>
          </w:p>
          <w:p w14:paraId="6E0D38EC" w14:textId="35EF6677" w:rsidR="005529DC" w:rsidRPr="0099130F" w:rsidRDefault="005529DC" w:rsidP="004744A6">
            <w:pPr>
              <w:pStyle w:val="tabletext1"/>
              <w:spacing w:after="120"/>
              <w:jc w:val="center"/>
              <w:rPr>
                <w:rFonts w:ascii="Cambria" w:hAnsi="Cambria"/>
              </w:rPr>
            </w:pPr>
            <w:r w:rsidRPr="0099130F">
              <w:rPr>
                <w:rFonts w:ascii="Cambria" w:hAnsi="Cambria"/>
              </w:rPr>
              <w:t>(+4 extinct)</w:t>
            </w:r>
          </w:p>
        </w:tc>
        <w:tc>
          <w:tcPr>
            <w:tcW w:w="878" w:type="pct"/>
            <w:vAlign w:val="center"/>
          </w:tcPr>
          <w:p w14:paraId="2B6D31A3" w14:textId="53BB0035" w:rsidR="00E16CDD" w:rsidRPr="0099130F" w:rsidRDefault="005529DC" w:rsidP="004744A6">
            <w:pPr>
              <w:pStyle w:val="tabletext1"/>
              <w:spacing w:after="120"/>
              <w:jc w:val="center"/>
              <w:rPr>
                <w:rFonts w:ascii="Cambria" w:hAnsi="Cambria"/>
              </w:rPr>
            </w:pPr>
            <w:r w:rsidRPr="0099130F">
              <w:rPr>
                <w:rFonts w:ascii="Cambria" w:hAnsi="Cambria"/>
              </w:rPr>
              <w:t>10</w:t>
            </w:r>
          </w:p>
          <w:p w14:paraId="0C4DB8DD" w14:textId="31693042" w:rsidR="005529DC" w:rsidRPr="0099130F" w:rsidRDefault="005529DC" w:rsidP="004744A6">
            <w:pPr>
              <w:pStyle w:val="tabletext1"/>
              <w:spacing w:after="120"/>
              <w:jc w:val="center"/>
              <w:rPr>
                <w:rFonts w:ascii="Cambria" w:hAnsi="Cambria"/>
              </w:rPr>
            </w:pPr>
            <w:r w:rsidRPr="0099130F">
              <w:rPr>
                <w:rFonts w:ascii="Cambria" w:hAnsi="Cambria"/>
              </w:rPr>
              <w:t>(incl. 1 extinct)</w:t>
            </w:r>
          </w:p>
        </w:tc>
        <w:tc>
          <w:tcPr>
            <w:tcW w:w="878" w:type="pct"/>
            <w:vAlign w:val="center"/>
          </w:tcPr>
          <w:p w14:paraId="4556EB65" w14:textId="4803DBE0" w:rsidR="00E16CDD" w:rsidRPr="0099130F" w:rsidRDefault="005529DC" w:rsidP="004744A6">
            <w:pPr>
              <w:pStyle w:val="tabletext1"/>
              <w:spacing w:after="120"/>
              <w:jc w:val="center"/>
              <w:rPr>
                <w:rFonts w:ascii="Cambria" w:hAnsi="Cambria"/>
              </w:rPr>
            </w:pPr>
            <w:r w:rsidRPr="0099130F">
              <w:rPr>
                <w:rFonts w:ascii="Cambria" w:hAnsi="Cambria"/>
              </w:rPr>
              <w:t>10</w:t>
            </w:r>
          </w:p>
          <w:p w14:paraId="1CB9A4F8" w14:textId="17161601" w:rsidR="005529DC" w:rsidRPr="0099130F" w:rsidRDefault="005529DC" w:rsidP="004744A6">
            <w:pPr>
              <w:pStyle w:val="tabletext1"/>
              <w:spacing w:after="120"/>
              <w:jc w:val="center"/>
              <w:rPr>
                <w:rFonts w:ascii="Cambria" w:hAnsi="Cambria"/>
              </w:rPr>
            </w:pPr>
            <w:r w:rsidRPr="0099130F">
              <w:rPr>
                <w:rFonts w:ascii="Cambria" w:hAnsi="Cambria"/>
              </w:rPr>
              <w:t>(incl. 1 extinct)</w:t>
            </w:r>
          </w:p>
        </w:tc>
      </w:tr>
      <w:tr w:rsidR="005529DC" w:rsidRPr="0099130F" w14:paraId="592317D3" w14:textId="77777777" w:rsidTr="004744A6">
        <w:tc>
          <w:tcPr>
            <w:tcW w:w="1330" w:type="pct"/>
            <w:vAlign w:val="center"/>
          </w:tcPr>
          <w:p w14:paraId="5BD254FA" w14:textId="77777777" w:rsidR="005529DC" w:rsidRPr="0099130F" w:rsidRDefault="005529DC" w:rsidP="004744A6">
            <w:pPr>
              <w:pStyle w:val="tabletext1"/>
              <w:spacing w:after="120"/>
              <w:rPr>
                <w:rFonts w:ascii="Cambria" w:hAnsi="Cambria"/>
              </w:rPr>
            </w:pPr>
            <w:r w:rsidRPr="0099130F">
              <w:rPr>
                <w:rFonts w:ascii="Cambria" w:hAnsi="Cambria"/>
              </w:rPr>
              <w:t>Macroinvertebrates</w:t>
            </w:r>
          </w:p>
        </w:tc>
        <w:tc>
          <w:tcPr>
            <w:tcW w:w="1012" w:type="pct"/>
            <w:vAlign w:val="center"/>
          </w:tcPr>
          <w:p w14:paraId="2F12D76F" w14:textId="77777777" w:rsidR="005529DC" w:rsidRPr="0099130F" w:rsidRDefault="005529DC" w:rsidP="004744A6">
            <w:pPr>
              <w:pStyle w:val="tabletext1"/>
              <w:spacing w:after="120"/>
              <w:jc w:val="center"/>
              <w:rPr>
                <w:rFonts w:ascii="Cambria" w:hAnsi="Cambria"/>
              </w:rPr>
            </w:pPr>
            <w:r w:rsidRPr="0099130F">
              <w:rPr>
                <w:rFonts w:ascii="Cambria" w:hAnsi="Cambria"/>
              </w:rPr>
              <w:t>0</w:t>
            </w:r>
          </w:p>
        </w:tc>
        <w:tc>
          <w:tcPr>
            <w:tcW w:w="902" w:type="pct"/>
            <w:vAlign w:val="center"/>
          </w:tcPr>
          <w:p w14:paraId="00DF8449" w14:textId="77777777" w:rsidR="005529DC" w:rsidRPr="0099130F" w:rsidRDefault="005529DC" w:rsidP="004744A6">
            <w:pPr>
              <w:pStyle w:val="tabletext1"/>
              <w:spacing w:after="120"/>
              <w:jc w:val="center"/>
              <w:rPr>
                <w:rFonts w:ascii="Cambria" w:hAnsi="Cambria"/>
              </w:rPr>
            </w:pPr>
            <w:r w:rsidRPr="0099130F">
              <w:rPr>
                <w:rFonts w:ascii="Cambria" w:hAnsi="Cambria"/>
              </w:rPr>
              <w:t>0</w:t>
            </w:r>
          </w:p>
        </w:tc>
        <w:tc>
          <w:tcPr>
            <w:tcW w:w="878" w:type="pct"/>
            <w:vAlign w:val="center"/>
          </w:tcPr>
          <w:p w14:paraId="19E29886" w14:textId="77777777" w:rsidR="005529DC" w:rsidRPr="0099130F" w:rsidRDefault="005529DC" w:rsidP="004744A6">
            <w:pPr>
              <w:pStyle w:val="tabletext1"/>
              <w:spacing w:after="120"/>
              <w:jc w:val="center"/>
              <w:rPr>
                <w:rFonts w:ascii="Cambria" w:hAnsi="Cambria"/>
              </w:rPr>
            </w:pPr>
            <w:r w:rsidRPr="0099130F">
              <w:rPr>
                <w:rFonts w:ascii="Cambria" w:hAnsi="Cambria"/>
              </w:rPr>
              <w:t>2</w:t>
            </w:r>
          </w:p>
        </w:tc>
        <w:tc>
          <w:tcPr>
            <w:tcW w:w="878" w:type="pct"/>
            <w:vAlign w:val="center"/>
          </w:tcPr>
          <w:p w14:paraId="25020268" w14:textId="77777777" w:rsidR="005529DC" w:rsidRPr="0099130F" w:rsidRDefault="005529DC" w:rsidP="004744A6">
            <w:pPr>
              <w:pStyle w:val="tabletext1"/>
              <w:spacing w:after="120"/>
              <w:jc w:val="center"/>
              <w:rPr>
                <w:rFonts w:ascii="Cambria" w:hAnsi="Cambria"/>
              </w:rPr>
            </w:pPr>
            <w:r w:rsidRPr="0099130F">
              <w:rPr>
                <w:rFonts w:ascii="Cambria" w:hAnsi="Cambria"/>
              </w:rPr>
              <w:t>1</w:t>
            </w:r>
          </w:p>
        </w:tc>
      </w:tr>
      <w:tr w:rsidR="005529DC" w:rsidRPr="0099130F" w14:paraId="19442F85" w14:textId="77777777" w:rsidTr="004744A6">
        <w:tc>
          <w:tcPr>
            <w:tcW w:w="1330" w:type="pct"/>
            <w:shd w:val="clear" w:color="auto" w:fill="F2F2F2" w:themeFill="background1" w:themeFillShade="F2"/>
            <w:vAlign w:val="center"/>
          </w:tcPr>
          <w:p w14:paraId="3255D926" w14:textId="77777777" w:rsidR="005529DC" w:rsidRPr="0099130F" w:rsidRDefault="005529DC" w:rsidP="004744A6">
            <w:pPr>
              <w:pStyle w:val="tabletext1"/>
              <w:spacing w:after="120"/>
              <w:rPr>
                <w:rFonts w:ascii="Cambria" w:hAnsi="Cambria"/>
              </w:rPr>
            </w:pPr>
            <w:r w:rsidRPr="0099130F">
              <w:rPr>
                <w:rFonts w:ascii="Cambria" w:hAnsi="Cambria"/>
              </w:rPr>
              <w:t>TOTAL</w:t>
            </w:r>
          </w:p>
        </w:tc>
        <w:tc>
          <w:tcPr>
            <w:tcW w:w="1012" w:type="pct"/>
            <w:shd w:val="clear" w:color="auto" w:fill="F2F2F2" w:themeFill="background1" w:themeFillShade="F2"/>
            <w:vAlign w:val="center"/>
          </w:tcPr>
          <w:p w14:paraId="227860B9" w14:textId="182A3055" w:rsidR="005529DC" w:rsidRPr="0099130F" w:rsidRDefault="005529DC" w:rsidP="004744A6">
            <w:pPr>
              <w:pStyle w:val="tabletext1"/>
              <w:spacing w:after="120"/>
              <w:jc w:val="center"/>
              <w:rPr>
                <w:rFonts w:ascii="Cambria" w:hAnsi="Cambria"/>
              </w:rPr>
            </w:pPr>
            <w:r w:rsidRPr="0099130F">
              <w:rPr>
                <w:rFonts w:ascii="Cambria" w:hAnsi="Cambria"/>
                <w:b/>
              </w:rPr>
              <w:t>90</w:t>
            </w:r>
          </w:p>
        </w:tc>
        <w:tc>
          <w:tcPr>
            <w:tcW w:w="902" w:type="pct"/>
            <w:shd w:val="clear" w:color="auto" w:fill="F2F2F2" w:themeFill="background1" w:themeFillShade="F2"/>
            <w:vAlign w:val="center"/>
          </w:tcPr>
          <w:p w14:paraId="7F234B7B" w14:textId="77777777" w:rsidR="005529DC" w:rsidRPr="0099130F" w:rsidRDefault="005529DC" w:rsidP="004744A6">
            <w:pPr>
              <w:pStyle w:val="tabletext1"/>
              <w:spacing w:after="120"/>
              <w:jc w:val="center"/>
              <w:rPr>
                <w:rFonts w:ascii="Cambria" w:hAnsi="Cambria"/>
                <w:b/>
                <w:bCs/>
              </w:rPr>
            </w:pPr>
            <w:r w:rsidRPr="0099130F">
              <w:rPr>
                <w:rFonts w:ascii="Cambria" w:hAnsi="Cambria"/>
                <w:b/>
                <w:bCs/>
              </w:rPr>
              <w:t>197</w:t>
            </w:r>
          </w:p>
        </w:tc>
        <w:tc>
          <w:tcPr>
            <w:tcW w:w="878" w:type="pct"/>
            <w:shd w:val="clear" w:color="auto" w:fill="F2F2F2" w:themeFill="background1" w:themeFillShade="F2"/>
            <w:vAlign w:val="center"/>
          </w:tcPr>
          <w:p w14:paraId="0813A952" w14:textId="77777777" w:rsidR="005529DC" w:rsidRPr="0099130F" w:rsidRDefault="005529DC" w:rsidP="004744A6">
            <w:pPr>
              <w:pStyle w:val="tabletext1"/>
              <w:spacing w:after="120"/>
              <w:jc w:val="center"/>
              <w:rPr>
                <w:rFonts w:ascii="Cambria" w:hAnsi="Cambria"/>
                <w:b/>
                <w:bCs/>
              </w:rPr>
            </w:pPr>
            <w:r w:rsidRPr="0099130F">
              <w:rPr>
                <w:rFonts w:ascii="Cambria" w:hAnsi="Cambria"/>
                <w:b/>
                <w:bCs/>
              </w:rPr>
              <w:t>108</w:t>
            </w:r>
          </w:p>
        </w:tc>
        <w:tc>
          <w:tcPr>
            <w:tcW w:w="878" w:type="pct"/>
            <w:shd w:val="clear" w:color="auto" w:fill="F2F2F2" w:themeFill="background1" w:themeFillShade="F2"/>
            <w:vAlign w:val="center"/>
          </w:tcPr>
          <w:p w14:paraId="7553572C" w14:textId="77777777" w:rsidR="005529DC" w:rsidRPr="0099130F" w:rsidRDefault="005529DC" w:rsidP="004744A6">
            <w:pPr>
              <w:pStyle w:val="tabletext1"/>
              <w:spacing w:after="120"/>
              <w:jc w:val="center"/>
              <w:rPr>
                <w:rFonts w:ascii="Cambria" w:hAnsi="Cambria"/>
                <w:b/>
                <w:bCs/>
              </w:rPr>
            </w:pPr>
            <w:r w:rsidRPr="0099130F">
              <w:rPr>
                <w:rFonts w:ascii="Cambria" w:hAnsi="Cambria"/>
                <w:b/>
                <w:bCs/>
              </w:rPr>
              <w:t>86</w:t>
            </w:r>
          </w:p>
        </w:tc>
      </w:tr>
    </w:tbl>
    <w:p w14:paraId="642BF964" w14:textId="2B36FBED" w:rsidR="00814FE2" w:rsidRPr="00B705F4" w:rsidRDefault="00814FE2" w:rsidP="0020489A">
      <w:pPr>
        <w:pStyle w:val="Tablesource"/>
        <w:rPr>
          <w:rFonts w:ascii="Times New Roman" w:hAnsi="Times New Roman" w:cs="Times New Roman"/>
          <w:szCs w:val="18"/>
        </w:rPr>
      </w:pPr>
      <w:r w:rsidRPr="00B705F4">
        <w:rPr>
          <w:rFonts w:ascii="Times New Roman" w:hAnsi="Times New Roman" w:cs="Times New Roman"/>
          <w:b/>
          <w:bCs/>
        </w:rPr>
        <w:t>*</w:t>
      </w:r>
      <w:r w:rsidRPr="00B705F4">
        <w:rPr>
          <w:rFonts w:ascii="Times New Roman" w:hAnsi="Times New Roman" w:cs="Times New Roman"/>
          <w:iCs/>
        </w:rPr>
        <w:t xml:space="preserve">South Australia </w:t>
      </w:r>
      <w:r w:rsidRPr="00B705F4">
        <w:rPr>
          <w:rFonts w:ascii="Times New Roman" w:hAnsi="Times New Roman" w:cs="Times New Roman"/>
        </w:rPr>
        <w:t>National Parks and Wildlife Act</w:t>
      </w:r>
      <w:r w:rsidRPr="00B705F4">
        <w:rPr>
          <w:rFonts w:ascii="Times New Roman" w:hAnsi="Times New Roman" w:cs="Times New Roman"/>
          <w:iCs/>
        </w:rPr>
        <w:t xml:space="preserve"> </w:t>
      </w:r>
      <w:r w:rsidRPr="00B705F4">
        <w:rPr>
          <w:rFonts w:ascii="Times New Roman" w:hAnsi="Times New Roman" w:cs="Times New Roman"/>
        </w:rPr>
        <w:t>1972</w:t>
      </w:r>
      <w:r w:rsidRPr="00B705F4">
        <w:rPr>
          <w:rFonts w:ascii="Times New Roman" w:hAnsi="Times New Roman" w:cs="Times New Roman"/>
          <w:iCs/>
        </w:rPr>
        <w:t>;</w:t>
      </w:r>
      <w:r w:rsidR="00251B77" w:rsidRPr="00B705F4">
        <w:rPr>
          <w:rFonts w:ascii="Times New Roman" w:hAnsi="Times New Roman" w:cs="Times New Roman"/>
          <w:i/>
          <w:iCs/>
        </w:rPr>
        <w:br/>
      </w:r>
      <w:r w:rsidRPr="00B705F4">
        <w:rPr>
          <w:rFonts w:ascii="Times New Roman" w:hAnsi="Times New Roman" w:cs="Times New Roman"/>
          <w:iCs/>
        </w:rPr>
        <w:t># SA F</w:t>
      </w:r>
      <w:r w:rsidRPr="00B705F4">
        <w:rPr>
          <w:rFonts w:ascii="Times New Roman" w:hAnsi="Times New Roman" w:cs="Times New Roman"/>
          <w:szCs w:val="18"/>
        </w:rPr>
        <w:t>isheries Management (General) Regulations 2007 – Schedule 5</w:t>
      </w:r>
      <w:r w:rsidR="00251B77" w:rsidRPr="00B705F4">
        <w:rPr>
          <w:rFonts w:ascii="Times New Roman" w:hAnsi="Times New Roman" w:cs="Times New Roman"/>
          <w:szCs w:val="18"/>
        </w:rPr>
        <w:br/>
      </w:r>
      <w:r w:rsidRPr="00B705F4">
        <w:rPr>
          <w:rFonts w:ascii="Times New Roman" w:hAnsi="Times New Roman" w:cs="Times New Roman"/>
          <w:b/>
          <w:bCs/>
          <w:iCs/>
        </w:rPr>
        <w:t>**</w:t>
      </w:r>
      <w:r w:rsidRPr="00B705F4">
        <w:rPr>
          <w:rFonts w:ascii="Times New Roman" w:hAnsi="Times New Roman" w:cs="Times New Roman"/>
        </w:rPr>
        <w:t xml:space="preserve"> Victoria Flora and Fauna Guarantee Act 1988</w:t>
      </w:r>
      <w:r w:rsidR="00251B77" w:rsidRPr="00B705F4">
        <w:rPr>
          <w:rFonts w:ascii="Times New Roman" w:hAnsi="Times New Roman" w:cs="Times New Roman"/>
        </w:rPr>
        <w:br/>
      </w:r>
      <w:r w:rsidRPr="00B705F4">
        <w:rPr>
          <w:rFonts w:ascii="Times New Roman" w:hAnsi="Times New Roman" w:cs="Times New Roman"/>
        </w:rPr>
        <w:t>***New South Wales Threatened Species Conservation Act 1995</w:t>
      </w:r>
    </w:p>
    <w:p w14:paraId="2DA7B723" w14:textId="56BC2710" w:rsidR="008E1234" w:rsidRDefault="008E1234" w:rsidP="00814FE2">
      <w:pPr>
        <w:spacing w:after="160" w:line="259" w:lineRule="auto"/>
        <w:jc w:val="both"/>
      </w:pPr>
    </w:p>
    <w:p w14:paraId="689038BD" w14:textId="4AE0FD7C" w:rsidR="004203B1" w:rsidRPr="003915E9" w:rsidRDefault="0098145B" w:rsidP="00550384">
      <w:pPr>
        <w:pStyle w:val="Heading3"/>
      </w:pPr>
      <w:bookmarkStart w:id="167" w:name="_Toc175317088"/>
      <w:r>
        <w:t xml:space="preserve">5.2.2 </w:t>
      </w:r>
      <w:r w:rsidR="004203B1" w:rsidRPr="003915E9">
        <w:t>Existing management plans</w:t>
      </w:r>
      <w:bookmarkEnd w:id="167"/>
    </w:p>
    <w:p w14:paraId="7FDD865E" w14:textId="5F0AB59C" w:rsidR="004203B1" w:rsidRDefault="005F1D50" w:rsidP="004203B1">
      <w:r>
        <w:t xml:space="preserve">Suggested plans/management prescriptions current at the time of publishing (please refer to the relevant agency’s website for any updated versions) are provided at </w:t>
      </w:r>
      <w:r w:rsidRPr="001E6C95">
        <w:rPr>
          <w:u w:val="single"/>
        </w:rPr>
        <w:t xml:space="preserve">Appendix </w:t>
      </w:r>
      <w:r w:rsidR="003915E9" w:rsidRPr="001E6C95">
        <w:rPr>
          <w:u w:val="single"/>
        </w:rPr>
        <w:t>D</w:t>
      </w:r>
      <w:r w:rsidR="006A6090" w:rsidRPr="001E6C95">
        <w:t>.</w:t>
      </w:r>
      <w:r w:rsidR="006A6090" w:rsidRPr="001502EC">
        <w:t xml:space="preserve"> </w:t>
      </w:r>
      <w:r w:rsidR="006A6090">
        <w:t xml:space="preserve">This </w:t>
      </w:r>
      <w:r w:rsidR="585D85C4">
        <w:t xml:space="preserve">list </w:t>
      </w:r>
      <w:r w:rsidR="1381A166">
        <w:t xml:space="preserve">is </w:t>
      </w:r>
      <w:r w:rsidR="585D85C4">
        <w:t xml:space="preserve">not comprehensive. It is intended to help </w:t>
      </w:r>
      <w:r w:rsidR="116083DA">
        <w:t xml:space="preserve">identify </w:t>
      </w:r>
      <w:r w:rsidR="585D85C4">
        <w:t>where some other information relevant to the management of the ecological community and broader landscape may be found.</w:t>
      </w:r>
    </w:p>
    <w:p w14:paraId="7EEC60A8" w14:textId="6760428D" w:rsidR="006A6090" w:rsidRDefault="00912799" w:rsidP="004203B1">
      <w:r>
        <w:t xml:space="preserve">Since 2012, a particularly important national plan relevant to the </w:t>
      </w:r>
      <w:r w:rsidRPr="00786CBD">
        <w:rPr>
          <w:i/>
          <w:lang w:val="en-US"/>
        </w:rPr>
        <w:t>River Murray – Darling to Sea</w:t>
      </w:r>
      <w:r>
        <w:t xml:space="preserve"> ecological community is </w:t>
      </w:r>
      <w:r w:rsidRPr="001E6C95">
        <w:t xml:space="preserve">the Basin Plan. Under the national </w:t>
      </w:r>
      <w:r w:rsidRPr="001E6C95">
        <w:rPr>
          <w:i/>
          <w:iCs/>
        </w:rPr>
        <w:t>Water Act 2007</w:t>
      </w:r>
      <w:r w:rsidRPr="001E6C95">
        <w:t>, the Basin Plan</w:t>
      </w:r>
      <w:r w:rsidRPr="00741E7E">
        <w:t xml:space="preserve"> aims to </w:t>
      </w:r>
      <w:r>
        <w:t>return more environmental water to the Murray-Darling Basin. The Plan is being implemented by the Murray-Darling Basin Authority, in collaboration with the five partner jurisdictions, QLD, NSW, ACT, VIC and SA. The latest version of the Basin Plan (2023) is available at</w:t>
      </w:r>
      <w:r w:rsidRPr="0006725C">
        <w:t xml:space="preserve">: </w:t>
      </w:r>
      <w:bookmarkStart w:id="168" w:name="_Hlk174905228"/>
      <w:r>
        <w:fldChar w:fldCharType="begin"/>
      </w:r>
      <w:r>
        <w:instrText>HYPERLINK "https://www.legislation.gov.au/F2012L02240/latest/text"</w:instrText>
      </w:r>
      <w:r>
        <w:fldChar w:fldCharType="separate"/>
      </w:r>
      <w:r w:rsidRPr="0006725C">
        <w:rPr>
          <w:rStyle w:val="Hyperlink"/>
        </w:rPr>
        <w:t>Federal Register of Legislation - Basin Plan 2012</w:t>
      </w:r>
      <w:r>
        <w:rPr>
          <w:rStyle w:val="Hyperlink"/>
        </w:rPr>
        <w:fldChar w:fldCharType="end"/>
      </w:r>
      <w:r w:rsidRPr="0006725C">
        <w:rPr>
          <w:rStyle w:val="Hyperlink"/>
        </w:rPr>
        <w:t>.</w:t>
      </w:r>
      <w:bookmarkEnd w:id="168"/>
    </w:p>
    <w:p w14:paraId="6FBD3C5D" w14:textId="3241E390" w:rsidR="00B34672" w:rsidRDefault="0022177A" w:rsidP="004203B1">
      <w:r>
        <w:t xml:space="preserve">Under the </w:t>
      </w:r>
      <w:r w:rsidR="004A7938">
        <w:t xml:space="preserve">Basin </w:t>
      </w:r>
      <w:r>
        <w:t xml:space="preserve">Plan, there are legislative responsibilities for monitoring, evaluation, and reporting against </w:t>
      </w:r>
      <w:r w:rsidR="00D83E8A">
        <w:t>a range of objectives</w:t>
      </w:r>
      <w:r w:rsidR="00CA61EE">
        <w:t xml:space="preserve"> and outcomes</w:t>
      </w:r>
      <w:r w:rsidR="001E6C95">
        <w:t xml:space="preserve">. </w:t>
      </w:r>
      <w:r w:rsidR="003A1F6D">
        <w:t xml:space="preserve">The most pertinent of these to the RMDS EC are </w:t>
      </w:r>
      <w:r w:rsidR="00C25C22">
        <w:t>to be found in Chapter 5 of the Basin Plan and relate to the protection and restoration of water-dependent ecosystems</w:t>
      </w:r>
      <w:r w:rsidR="003A7AA8">
        <w:t xml:space="preserve">, </w:t>
      </w:r>
      <w:r w:rsidR="00C25C22">
        <w:t>their functioning</w:t>
      </w:r>
      <w:r w:rsidR="003A7AA8">
        <w:t xml:space="preserve"> and their resilience to climate change.</w:t>
      </w:r>
    </w:p>
    <w:p w14:paraId="05BA2EB4" w14:textId="77777777" w:rsidR="001E6C95" w:rsidRPr="00891DF6" w:rsidRDefault="001E6C95" w:rsidP="004203B1"/>
    <w:p w14:paraId="6766B6FF" w14:textId="7E018DAA" w:rsidR="00EC4AB3" w:rsidRPr="00DF09D1" w:rsidRDefault="00DF09D1" w:rsidP="00EC4AB3">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lastRenderedPageBreak/>
        <w:t>Consultation Questions</w:t>
      </w:r>
      <w:r>
        <w:t xml:space="preserve"> on existing protection and management plans</w:t>
      </w:r>
    </w:p>
    <w:p w14:paraId="1A2CCB3B" w14:textId="4087ABDD" w:rsidR="00DF09D1" w:rsidRDefault="00B143E1" w:rsidP="00EC4AB3">
      <w:pPr>
        <w:pStyle w:val="Consultationquestions"/>
        <w:shd w:val="clear" w:color="auto" w:fill="FFF2CC" w:themeFill="accent4" w:themeFillTint="33"/>
        <w:ind w:left="425" w:hanging="425"/>
        <w:rPr>
          <w:color w:val="auto"/>
        </w:rPr>
      </w:pPr>
      <w:r w:rsidRPr="00B143E1">
        <w:rPr>
          <w:color w:val="auto"/>
        </w:rPr>
        <w:t xml:space="preserve">Can you provide further information or updates about </w:t>
      </w:r>
      <w:r w:rsidR="001E6C95">
        <w:rPr>
          <w:color w:val="auto"/>
        </w:rPr>
        <w:t xml:space="preserve">the protections listed above and/or </w:t>
      </w:r>
      <w:r w:rsidRPr="00B143E1">
        <w:rPr>
          <w:color w:val="auto"/>
        </w:rPr>
        <w:t>management plans or protection strategies relevant to the RMDS EC?</w:t>
      </w:r>
      <w:r w:rsidR="004C0132">
        <w:rPr>
          <w:color w:val="auto"/>
        </w:rPr>
        <w:t xml:space="preserve"> </w:t>
      </w:r>
    </w:p>
    <w:p w14:paraId="351426E9" w14:textId="17DD3D3C" w:rsidR="004C0132" w:rsidRPr="00B143E1" w:rsidRDefault="004C0132" w:rsidP="00EC4AB3">
      <w:pPr>
        <w:pStyle w:val="Consultationquestions"/>
        <w:shd w:val="clear" w:color="auto" w:fill="FFF2CC" w:themeFill="accent4" w:themeFillTint="33"/>
        <w:ind w:left="425" w:hanging="425"/>
        <w:rPr>
          <w:color w:val="auto"/>
        </w:rPr>
      </w:pPr>
      <w:r>
        <w:rPr>
          <w:color w:val="auto"/>
        </w:rPr>
        <w:t>If so, could you please provide details (including website links).</w:t>
      </w:r>
    </w:p>
    <w:p w14:paraId="5FAE3E87" w14:textId="77777777" w:rsidR="000B07AD" w:rsidRDefault="000B07AD" w:rsidP="000B07AD">
      <w:bookmarkStart w:id="169" w:name="_Toc158683490"/>
      <w:bookmarkStart w:id="170" w:name="_Toc175317089"/>
    </w:p>
    <w:p w14:paraId="1B6DA4DF" w14:textId="1FFA4824" w:rsidR="003054B6" w:rsidRDefault="000970A0" w:rsidP="008E4F36">
      <w:pPr>
        <w:pStyle w:val="Heading2"/>
      </w:pPr>
      <w:bookmarkStart w:id="171" w:name="_Toc175572788"/>
      <w:r>
        <w:t>Principles and standards</w:t>
      </w:r>
      <w:r w:rsidR="000C1F71">
        <w:t xml:space="preserve"> for conservation</w:t>
      </w:r>
      <w:bookmarkEnd w:id="169"/>
      <w:bookmarkEnd w:id="170"/>
      <w:bookmarkEnd w:id="171"/>
    </w:p>
    <w:p w14:paraId="3DF97761" w14:textId="33BFA4D9" w:rsidR="000970A0" w:rsidRDefault="194217B2" w:rsidP="2FAD10A6">
      <w:r>
        <w:t xml:space="preserve">To undertake priority actions to meet the conservation objective, the overarching principle is to maintain existing </w:t>
      </w:r>
      <w:r w:rsidR="00784361">
        <w:t>occurrences</w:t>
      </w:r>
      <w:r>
        <w:t xml:space="preserve"> of the ecological community that are relatively intact and of high quality. </w:t>
      </w:r>
      <w:r w:rsidR="00784361">
        <w:t>Larger and more intact occurrences are likely to retain a fuller suite of native plant and animal species, and ecological functions. Certain species, particularly fauna, may not be easy to recover in practice, if lost from a site.</w:t>
      </w:r>
    </w:p>
    <w:p w14:paraId="37964045" w14:textId="77777777" w:rsidR="00143F11" w:rsidRPr="00143F11" w:rsidRDefault="00143F11" w:rsidP="00143F11">
      <w:pPr>
        <w:keepNext/>
      </w:pPr>
      <w:r w:rsidRPr="00143F11">
        <w:t xml:space="preserve">This principle is highlighted in the </w:t>
      </w:r>
      <w:r w:rsidRPr="00143F11">
        <w:rPr>
          <w:i/>
          <w:iCs/>
        </w:rPr>
        <w:t>National Standards for the Practice of Ecological Restoration in Australia</w:t>
      </w:r>
      <w:r w:rsidRPr="00143F11">
        <w:t xml:space="preserve"> (Standards Reference Group SERA, 2021):</w:t>
      </w:r>
    </w:p>
    <w:p w14:paraId="1A2C76AD" w14:textId="77777777" w:rsidR="00143F11" w:rsidRPr="00143F11" w:rsidRDefault="00143F11" w:rsidP="3CAA92D0">
      <w:pPr>
        <w:pStyle w:val="Quote"/>
        <w:keepNext/>
        <w:rPr>
          <w:b/>
          <w:bCs/>
        </w:rPr>
      </w:pPr>
      <w:r w:rsidRPr="3CAA92D0">
        <w:rPr>
          <w:b/>
          <w:bCs/>
        </w:rPr>
        <w:t>“Ecological restoration is not a substitute for sustainably managing and protecting ecosystems in the first instance.</w:t>
      </w:r>
    </w:p>
    <w:p w14:paraId="36D19BFF" w14:textId="77777777" w:rsidR="00143F11" w:rsidRPr="00143F11" w:rsidRDefault="00143F11" w:rsidP="00143F11">
      <w:pPr>
        <w:pStyle w:val="Quote"/>
      </w:pPr>
      <w:r w:rsidRPr="00143F11">
        <w:t>The promise of restoration cannot be invoked as a justification for destroying or damaging existing ecosystems because functional natural ecosystems are not transportable or easily rebuilt once damaged and the success of ecological restoration cannot be assured.”</w:t>
      </w:r>
    </w:p>
    <w:p w14:paraId="31C56660" w14:textId="225A549D" w:rsidR="00143F11" w:rsidRPr="00223085" w:rsidRDefault="00143F11" w:rsidP="00143F11">
      <w:pPr>
        <w:pStyle w:val="Quote"/>
      </w:pPr>
      <w:r w:rsidRPr="00143F11">
        <w:t>Standards Reference Group SERA (2021) – Appendix 2.</w:t>
      </w:r>
    </w:p>
    <w:p w14:paraId="436B49B4" w14:textId="6FA06058" w:rsidR="00784361" w:rsidRDefault="194217B2" w:rsidP="000B07AD">
      <w:pPr>
        <w:keepLines/>
      </w:pPr>
      <w:r>
        <w:t xml:space="preserve">The principle discourages ‘offsets’ where intact remnants are removed with an undertaking to set aside and/or restore other, </w:t>
      </w:r>
      <w:r w:rsidR="3BF874B3">
        <w:t xml:space="preserve">lower </w:t>
      </w:r>
      <w:r>
        <w:t xml:space="preserve">quality, sites. The destruction of intact sites represents a net loss of the functional ecological community because </w:t>
      </w:r>
      <w:r w:rsidR="00784361">
        <w:t>it is unlikely that</w:t>
      </w:r>
      <w:r>
        <w:t xml:space="preserve"> all the species and ecological functions of the intact site can be replicated elsewhere.</w:t>
      </w:r>
      <w:r w:rsidR="00784361" w:rsidRPr="00784361">
        <w:t xml:space="preserve"> </w:t>
      </w:r>
      <w:r w:rsidR="00784361">
        <w:t>It is therefore more cost-effective and less risky to retain an intact occurrence than to allow degradation or loss and then attempt to restore it or establish an occurrence in another area to replace it.</w:t>
      </w:r>
    </w:p>
    <w:p w14:paraId="4587B7C4" w14:textId="3FB9D22D" w:rsidR="000970A0" w:rsidRDefault="000970A0" w:rsidP="000970A0">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(20</w:t>
      </w:r>
      <w:r w:rsidR="00143F11">
        <w:t>21</w:t>
      </w:r>
      <w:r w:rsidRPr="00223085">
        <w:t>). They outline the principles that convey the main ecological, biological, technical, social and ethical underpinnings of ecological restoration practice.</w:t>
      </w:r>
    </w:p>
    <w:p w14:paraId="6220F05F" w14:textId="77777777" w:rsidR="005012B3" w:rsidRPr="00223085" w:rsidRDefault="005012B3" w:rsidP="000970A0"/>
    <w:p w14:paraId="39BEF7BB" w14:textId="77777777" w:rsidR="0099130F" w:rsidRDefault="0099130F">
      <w:pPr>
        <w:spacing w:after="160" w:line="259" w:lineRule="auto"/>
        <w:rPr>
          <w:rFonts w:asciiTheme="minorHAnsi" w:eastAsiaTheme="majorEastAsia" w:hAnsiTheme="minorHAnsi" w:cstheme="majorBidi"/>
          <w:b/>
          <w:sz w:val="28"/>
          <w:szCs w:val="26"/>
        </w:rPr>
      </w:pPr>
      <w:bookmarkStart w:id="172" w:name="_Toc158683491"/>
      <w:bookmarkStart w:id="173" w:name="_Toc167476736"/>
      <w:bookmarkStart w:id="174" w:name="_Toc175317090"/>
      <w:bookmarkStart w:id="175" w:name="_Toc175572789"/>
      <w:r>
        <w:br w:type="page"/>
      </w:r>
    </w:p>
    <w:p w14:paraId="6B80E168" w14:textId="013A6EF2" w:rsidR="004A7BA7" w:rsidRPr="008E13F6" w:rsidRDefault="004A7BA7" w:rsidP="008E4F36">
      <w:pPr>
        <w:pStyle w:val="Heading2"/>
      </w:pPr>
      <w:r>
        <w:lastRenderedPageBreak/>
        <w:t xml:space="preserve">Priority </w:t>
      </w:r>
      <w:r w:rsidRPr="00F91F3E">
        <w:t>conservation and research</w:t>
      </w:r>
      <w:r>
        <w:t xml:space="preserve"> actions</w:t>
      </w:r>
      <w:bookmarkEnd w:id="172"/>
      <w:bookmarkEnd w:id="173"/>
      <w:bookmarkEnd w:id="174"/>
      <w:bookmarkEnd w:id="175"/>
      <w:r>
        <w:t xml:space="preserve"> </w:t>
      </w:r>
    </w:p>
    <w:p w14:paraId="4A544C8A" w14:textId="77777777" w:rsidR="004A7BA7" w:rsidRPr="00E00917" w:rsidRDefault="004A7BA7" w:rsidP="004A7BA7">
      <w:pPr>
        <w:keepNext/>
        <w:keepLines/>
      </w:pPr>
      <w:r w:rsidRPr="00E00917">
        <w:t xml:space="preserve">Priority actions are recommended </w:t>
      </w:r>
      <w:r>
        <w:t>to</w:t>
      </w:r>
      <w:r w:rsidRPr="00E00917">
        <w:t xml:space="preserve"> abate threats and support recovery of the ecological community. </w:t>
      </w:r>
      <w:r>
        <w:t>They</w:t>
      </w:r>
      <w:r w:rsidRPr="00E00917">
        <w:t xml:space="preserve"> are designed to provide guidance for:</w:t>
      </w:r>
    </w:p>
    <w:p w14:paraId="1F092A6B" w14:textId="77777777" w:rsidR="004A7BA7" w:rsidRPr="00E00917" w:rsidRDefault="004A7BA7" w:rsidP="004A7BA7">
      <w:pPr>
        <w:numPr>
          <w:ilvl w:val="0"/>
          <w:numId w:val="4"/>
        </w:numPr>
      </w:pPr>
      <w:r w:rsidRPr="00E00917">
        <w:t xml:space="preserve">planning, management and restoration of the ecological community by landholders, </w:t>
      </w:r>
      <w:r w:rsidRPr="001E7576">
        <w:t>Natural Resource Management (</w:t>
      </w:r>
      <w:r w:rsidRPr="00E00917">
        <w:t>NRM</w:t>
      </w:r>
      <w:r>
        <w:t>)</w:t>
      </w:r>
      <w:r w:rsidRPr="00E00917">
        <w:t xml:space="preserve"> and community groups</w:t>
      </w:r>
      <w:r>
        <w:t>, Traditional Owners/Custodians</w:t>
      </w:r>
      <w:r w:rsidRPr="00E00917">
        <w:t xml:space="preserve"> and other land managers</w:t>
      </w:r>
      <w:r>
        <w:t xml:space="preserve"> </w:t>
      </w:r>
      <w:r w:rsidRPr="002418B9">
        <w:t>(including local and/or state governments)</w:t>
      </w:r>
      <w:r>
        <w:t>;</w:t>
      </w:r>
    </w:p>
    <w:p w14:paraId="3DAD0E02" w14:textId="77777777" w:rsidR="004A7BA7" w:rsidRPr="00E00917" w:rsidRDefault="004A7BA7" w:rsidP="004A7BA7">
      <w:pPr>
        <w:numPr>
          <w:ilvl w:val="0"/>
          <w:numId w:val="4"/>
        </w:numPr>
      </w:pPr>
      <w:r>
        <w:t>avoiding impacts and setting approval c</w:t>
      </w:r>
      <w:r w:rsidRPr="00E00917">
        <w:t xml:space="preserve">onditions for relevant controlled actions under </w:t>
      </w:r>
      <w:r>
        <w:t>national environment law (</w:t>
      </w:r>
      <w:r w:rsidRPr="00E00917">
        <w:t>the EPBC Act</w:t>
      </w:r>
      <w:r>
        <w:t>);</w:t>
      </w:r>
      <w:r w:rsidRPr="00E00917">
        <w:t xml:space="preserve"> and</w:t>
      </w:r>
    </w:p>
    <w:p w14:paraId="32FF32FA" w14:textId="77777777" w:rsidR="004A7BA7" w:rsidRPr="00E00917" w:rsidRDefault="004A7BA7" w:rsidP="004A7BA7">
      <w:pPr>
        <w:numPr>
          <w:ilvl w:val="0"/>
          <w:numId w:val="4"/>
        </w:numPr>
      </w:pPr>
      <w:r w:rsidRPr="00E00917">
        <w:t>prioritising activities in applications for Australian Government funding programs.</w:t>
      </w:r>
    </w:p>
    <w:p w14:paraId="035368E8" w14:textId="6034CF97" w:rsidR="004A7BA7" w:rsidRDefault="004A7BA7" w:rsidP="004A7BA7">
      <w:r>
        <w:t>More d</w:t>
      </w:r>
      <w:r w:rsidRPr="00E00917">
        <w:t>etailed advice on actions may be available in specific plans, such as management plans for weeds, fire</w:t>
      </w:r>
      <w:r>
        <w:t>,</w:t>
      </w:r>
      <w:r w:rsidRPr="00E00917">
        <w:t xml:space="preserve"> or certain parks or regions. The most relevant </w:t>
      </w:r>
      <w:r>
        <w:t xml:space="preserve">at the time this Conservation Advice was developed </w:t>
      </w:r>
      <w:r w:rsidRPr="00E00917">
        <w:t xml:space="preserve">are listed in </w:t>
      </w:r>
      <w:r>
        <w:rPr>
          <w:rStyle w:val="Crossreference"/>
        </w:rPr>
        <w:t>s</w:t>
      </w:r>
      <w:r w:rsidRPr="005408FD">
        <w:rPr>
          <w:rStyle w:val="Crossreference"/>
        </w:rPr>
        <w:t xml:space="preserve">ection </w:t>
      </w:r>
      <w:r w:rsidRPr="005408FD">
        <w:rPr>
          <w:rStyle w:val="Crossreference"/>
        </w:rPr>
        <w:fldChar w:fldCharType="begin"/>
      </w:r>
      <w:r w:rsidRPr="005408FD">
        <w:rPr>
          <w:rStyle w:val="Crossreference"/>
        </w:rPr>
        <w:instrText xml:space="preserve"> REF _Ref24022981 \r \h  \* MERGEFORMAT </w:instrText>
      </w:r>
      <w:r w:rsidRPr="005408FD">
        <w:rPr>
          <w:rStyle w:val="Crossreference"/>
        </w:rPr>
      </w:r>
      <w:r w:rsidRPr="005408FD">
        <w:rPr>
          <w:rStyle w:val="Crossreference"/>
        </w:rPr>
        <w:fldChar w:fldCharType="separate"/>
      </w:r>
      <w:r w:rsidR="006D35C5">
        <w:rPr>
          <w:rStyle w:val="Crossreference"/>
        </w:rPr>
        <w:t>5.2</w:t>
      </w:r>
      <w:r w:rsidRPr="005408FD">
        <w:rPr>
          <w:rStyle w:val="Crossreference"/>
        </w:rPr>
        <w:fldChar w:fldCharType="end"/>
      </w:r>
      <w:r>
        <w:rPr>
          <w:rStyle w:val="Crossreference"/>
        </w:rPr>
        <w:t>.2</w:t>
      </w:r>
      <w:r w:rsidRPr="00F53441">
        <w:t>.</w:t>
      </w:r>
    </w:p>
    <w:p w14:paraId="31EC35B8" w14:textId="77777777" w:rsidR="004A7BA7" w:rsidRDefault="004A7BA7" w:rsidP="004A7BA7">
      <w:r>
        <w:t>More specific guidance may be developed in the future; restoration ecology develops continually. So it is important to reflect on the experience of others involved in restoring the ecological community, or other aquatic or floodplain communities — and adapt restoration projects as site level experience accumulates.</w:t>
      </w:r>
    </w:p>
    <w:p w14:paraId="4DD5987B" w14:textId="77777777" w:rsidR="004A7BA7" w:rsidRDefault="004A7BA7" w:rsidP="004A7BA7">
      <w:r>
        <w:t>To achieve cost-effective investments in conservation management it is important that you consider the likely interactions between management actions at a site. They may be synergistic, or antagonistic. There are also likely to be interactions between sites and within broader catchments. Also, when you allocate management resources, it is important to consider what is the minimum investment required for success, and the follow-up required to secure long term recovery (e.g. how many years should weed management be repeated).</w:t>
      </w:r>
    </w:p>
    <w:p w14:paraId="16477FDA" w14:textId="77777777" w:rsidR="004A7BA7" w:rsidRDefault="004A7BA7" w:rsidP="004A7BA7">
      <w:r>
        <w:t xml:space="preserve">This Conservation Advice identifies priority conservation actions under the following key approaches. </w:t>
      </w:r>
    </w:p>
    <w:p w14:paraId="50008784" w14:textId="77777777" w:rsidR="004A7BA7" w:rsidRDefault="004A7BA7" w:rsidP="004162AC">
      <w:pPr>
        <w:pStyle w:val="ListParagraph"/>
        <w:numPr>
          <w:ilvl w:val="0"/>
          <w:numId w:val="102"/>
        </w:numPr>
        <w:contextualSpacing w:val="0"/>
      </w:pPr>
      <w:r>
        <w:t>PROTECT the ecological community to prevent further losses.</w:t>
      </w:r>
    </w:p>
    <w:p w14:paraId="3F5BAB12" w14:textId="77777777" w:rsidR="004A7BA7" w:rsidRDefault="004A7BA7" w:rsidP="004162AC">
      <w:pPr>
        <w:pStyle w:val="ListParagraph"/>
        <w:numPr>
          <w:ilvl w:val="0"/>
          <w:numId w:val="101"/>
        </w:numPr>
        <w:contextualSpacing w:val="0"/>
      </w:pPr>
      <w:r>
        <w:t>RESTORE the ecological community by active abatement of threats, appropriate management, restoration and other conservation initiatives.</w:t>
      </w:r>
    </w:p>
    <w:p w14:paraId="3ABE9C65" w14:textId="77777777" w:rsidR="004A7BA7" w:rsidRDefault="004A7BA7" w:rsidP="004162AC">
      <w:pPr>
        <w:pStyle w:val="ListParagraph"/>
        <w:numPr>
          <w:ilvl w:val="0"/>
          <w:numId w:val="100"/>
        </w:numPr>
        <w:contextualSpacing w:val="0"/>
      </w:pPr>
      <w:r>
        <w:t>COMMUNICATE, ENGAGE WITH AND SUPPORT people to increase understanding of the value and function of the ecological community and encourage their efforts in its protection and recovery.</w:t>
      </w:r>
    </w:p>
    <w:p w14:paraId="3D8293C7" w14:textId="77777777" w:rsidR="004A7BA7" w:rsidRDefault="004A7BA7" w:rsidP="004162AC">
      <w:pPr>
        <w:pStyle w:val="ListParagraph"/>
        <w:numPr>
          <w:ilvl w:val="0"/>
          <w:numId w:val="100"/>
        </w:numPr>
      </w:pPr>
      <w:r>
        <w:t>RESEARCH AND MONITORING to improve our understanding of the ecological community and the best methods to aid its management and recovery.</w:t>
      </w:r>
    </w:p>
    <w:p w14:paraId="556BFEE6" w14:textId="77777777" w:rsidR="004A7BA7" w:rsidRDefault="004A7BA7" w:rsidP="004A7BA7">
      <w:r>
        <w:t>These approaches overlap and are iterative— they include research, planning, action on the ground, monitoring, analysis and review.</w:t>
      </w:r>
    </w:p>
    <w:p w14:paraId="2590E4C4" w14:textId="77777777" w:rsidR="0099130F" w:rsidRDefault="0099130F">
      <w:pPr>
        <w:spacing w:after="160" w:line="259" w:lineRule="auto"/>
        <w:rPr>
          <w:rFonts w:asciiTheme="minorHAnsi" w:eastAsiaTheme="majorEastAsia" w:hAnsiTheme="minorHAnsi" w:cstheme="majorBidi"/>
          <w:b/>
          <w:i/>
          <w:szCs w:val="24"/>
        </w:rPr>
      </w:pPr>
      <w:bookmarkStart w:id="176" w:name="_Toc167476737"/>
      <w:bookmarkStart w:id="177" w:name="_Toc175317091"/>
      <w:r>
        <w:br w:type="page"/>
      </w:r>
    </w:p>
    <w:p w14:paraId="2B1EB3F1" w14:textId="6E329527" w:rsidR="004A7BA7" w:rsidRPr="005228D3" w:rsidRDefault="004A7BA7" w:rsidP="00550384">
      <w:pPr>
        <w:pStyle w:val="Heading3"/>
      </w:pPr>
      <w:r w:rsidRPr="005228D3">
        <w:lastRenderedPageBreak/>
        <w:t>5.4.1</w:t>
      </w:r>
      <w:r w:rsidRPr="005228D3">
        <w:tab/>
        <w:t>PROTECT the ecological community</w:t>
      </w:r>
      <w:bookmarkEnd w:id="176"/>
      <w:bookmarkEnd w:id="177"/>
    </w:p>
    <w:p w14:paraId="53E9FE17" w14:textId="77777777" w:rsidR="004A7BA7" w:rsidRDefault="004A7BA7" w:rsidP="004A7BA7">
      <w:r>
        <w:t xml:space="preserve">This key approach includes priorities intended to protect the ecological community by preventing further loss of area and condition (abundance, diversity, integrity and resilience). </w:t>
      </w:r>
    </w:p>
    <w:p w14:paraId="52C59484" w14:textId="77777777" w:rsidR="004A7BA7" w:rsidRPr="00251F8C" w:rsidRDefault="004A7BA7" w:rsidP="006E2204">
      <w:pPr>
        <w:pStyle w:val="Heading4"/>
      </w:pPr>
      <w:bookmarkStart w:id="178" w:name="_Toc167476738"/>
      <w:r w:rsidRPr="00251F8C">
        <w:t>Plan for protection</w:t>
      </w:r>
    </w:p>
    <w:p w14:paraId="00DF75D5" w14:textId="77777777" w:rsidR="004A7BA7" w:rsidRDefault="004A7BA7" w:rsidP="004162AC">
      <w:pPr>
        <w:pStyle w:val="ListBullet"/>
        <w:numPr>
          <w:ilvl w:val="0"/>
          <w:numId w:val="45"/>
        </w:numPr>
        <w:ind w:left="709" w:hanging="425"/>
      </w:pPr>
      <w:r>
        <w:t xml:space="preserve">Preventing direct and indirect impacts to the </w:t>
      </w:r>
      <w:r w:rsidRPr="00EF684F">
        <w:t>ecological community</w:t>
      </w:r>
      <w:r>
        <w:t xml:space="preserve"> from threats such as vegetation clearance or changed hydrology (e.g. reduced flows or connectivity)</w:t>
      </w:r>
      <w:r w:rsidRPr="00EF684F">
        <w:t xml:space="preserve"> </w:t>
      </w:r>
      <w:r>
        <w:t>needs to</w:t>
      </w:r>
      <w:r w:rsidRPr="00EF684F">
        <w:t xml:space="preserve"> be properly considered during the early stages of planning</w:t>
      </w:r>
      <w:r>
        <w:t xml:space="preserve"> within the boundary area for the ecological community and broader catchments</w:t>
      </w:r>
      <w:r w:rsidRPr="00EF684F">
        <w:t xml:space="preserve"> </w:t>
      </w:r>
      <w:r>
        <w:t xml:space="preserve">(before </w:t>
      </w:r>
      <w:r w:rsidRPr="00EF684F">
        <w:t>decisions</w:t>
      </w:r>
      <w:r>
        <w:t xml:space="preserve"> are made). </w:t>
      </w:r>
    </w:p>
    <w:p w14:paraId="17B812BF" w14:textId="77777777" w:rsidR="004A7BA7" w:rsidRDefault="004A7BA7" w:rsidP="004162AC">
      <w:pPr>
        <w:pStyle w:val="ListBullet"/>
        <w:numPr>
          <w:ilvl w:val="0"/>
          <w:numId w:val="45"/>
        </w:numPr>
        <w:ind w:left="709" w:hanging="425"/>
      </w:pPr>
      <w:r>
        <w:t>A</w:t>
      </w:r>
      <w:r w:rsidRPr="00EF684F">
        <w:t xml:space="preserve">ll relevant strategic planning documents at </w:t>
      </w:r>
      <w:r>
        <w:t xml:space="preserve">national, </w:t>
      </w:r>
      <w:r w:rsidRPr="00EF684F">
        <w:t xml:space="preserve">state, regional and local levels should include appropriate actions </w:t>
      </w:r>
      <w:r>
        <w:t>to</w:t>
      </w:r>
      <w:r w:rsidRPr="00EF684F">
        <w:t xml:space="preserve"> prevent the loss of extent or integrity</w:t>
      </w:r>
      <w:r>
        <w:t>/condition</w:t>
      </w:r>
      <w:r w:rsidRPr="00EF684F">
        <w:t xml:space="preserve"> of the ecological community and adjacent </w:t>
      </w:r>
      <w:r>
        <w:t xml:space="preserve">or nearby </w:t>
      </w:r>
      <w:r w:rsidRPr="00EF684F">
        <w:t xml:space="preserve">native </w:t>
      </w:r>
      <w:r>
        <w:t>habitats</w:t>
      </w:r>
      <w:r w:rsidRPr="00EF684F">
        <w:t xml:space="preserve">. </w:t>
      </w:r>
    </w:p>
    <w:p w14:paraId="0BB3DCDE" w14:textId="77777777" w:rsidR="004A7BA7" w:rsidRDefault="004A7BA7" w:rsidP="004162AC">
      <w:pPr>
        <w:pStyle w:val="ListBullet"/>
        <w:numPr>
          <w:ilvl w:val="0"/>
          <w:numId w:val="45"/>
        </w:numPr>
        <w:ind w:left="709" w:hanging="425"/>
      </w:pPr>
      <w:r w:rsidRPr="00EF684F">
        <w:t xml:space="preserve">Planning and zoning decisions should </w:t>
      </w:r>
      <w:r>
        <w:t>protect</w:t>
      </w:r>
      <w:r w:rsidRPr="00EF684F">
        <w:t xml:space="preserve"> the hydrology/hydrogeology and</w:t>
      </w:r>
      <w:r>
        <w:t xml:space="preserve"> other key ecological processes and areas in</w:t>
      </w:r>
      <w:r w:rsidRPr="00EF684F">
        <w:t xml:space="preserve"> </w:t>
      </w:r>
      <w:r>
        <w:t xml:space="preserve">broader </w:t>
      </w:r>
      <w:r w:rsidRPr="00EF684F">
        <w:t>catchment</w:t>
      </w:r>
      <w:r>
        <w:t>s</w:t>
      </w:r>
      <w:r w:rsidRPr="00EF684F">
        <w:t xml:space="preserve"> that influence </w:t>
      </w:r>
      <w:r>
        <w:t xml:space="preserve">integrity/condition of the ecological community, including areas that support </w:t>
      </w:r>
      <w:r w:rsidRPr="00EF684F">
        <w:t xml:space="preserve">the different successional stages of </w:t>
      </w:r>
      <w:r>
        <w:t>characteristic species (e.g. river red gum and black box regrowth, fish, frogs, waterbirds)</w:t>
      </w:r>
      <w:r w:rsidRPr="00EF684F">
        <w:t>.</w:t>
      </w:r>
    </w:p>
    <w:p w14:paraId="0E2CE776" w14:textId="77777777" w:rsidR="004A7BA7" w:rsidRDefault="004A7BA7" w:rsidP="004162AC">
      <w:pPr>
        <w:pStyle w:val="ListBullet"/>
        <w:numPr>
          <w:ilvl w:val="0"/>
          <w:numId w:val="45"/>
        </w:numPr>
        <w:ind w:left="709" w:hanging="425"/>
      </w:pPr>
      <w:r w:rsidRPr="00136129">
        <w:t>Liaise with local councils</w:t>
      </w:r>
      <w:r>
        <w:t>,</w:t>
      </w:r>
      <w:r w:rsidRPr="00136129">
        <w:t xml:space="preserve"> State authorities </w:t>
      </w:r>
      <w:r>
        <w:t xml:space="preserve">and Local Aboriginal Land Councils and/or Elders groups, </w:t>
      </w:r>
      <w:r w:rsidRPr="00136129">
        <w:t>to ensure that cumulative impacts to the ecological community</w:t>
      </w:r>
      <w:r>
        <w:t>, and associated ecosystem functions and cultural values,</w:t>
      </w:r>
      <w:r w:rsidRPr="00136129">
        <w:t xml:space="preserve"> are </w:t>
      </w:r>
      <w:r>
        <w:t>minimised</w:t>
      </w:r>
      <w:r w:rsidRPr="00136129">
        <w:t xml:space="preserve"> as part of broader strategic planning </w:t>
      </w:r>
      <w:r>
        <w:t>and planning f</w:t>
      </w:r>
      <w:r w:rsidRPr="00136129">
        <w:t xml:space="preserve">or large projects (e.g. road works, </w:t>
      </w:r>
      <w:r>
        <w:t xml:space="preserve">dams, levees, other </w:t>
      </w:r>
      <w:r w:rsidRPr="00136129">
        <w:t>developments, land and water management plans).</w:t>
      </w:r>
    </w:p>
    <w:p w14:paraId="6BB85B8A" w14:textId="77777777" w:rsidR="004A7BA7" w:rsidRPr="000D7E89" w:rsidRDefault="004A7BA7" w:rsidP="004162AC">
      <w:pPr>
        <w:numPr>
          <w:ilvl w:val="0"/>
          <w:numId w:val="104"/>
        </w:numPr>
        <w:ind w:hanging="294"/>
        <w:rPr>
          <w:rFonts w:cs="Times New Roman"/>
        </w:rPr>
      </w:pPr>
      <w:r w:rsidRPr="0036166F">
        <w:rPr>
          <w:rFonts w:cs="Times New Roman"/>
        </w:rPr>
        <w:t xml:space="preserve">Implement </w:t>
      </w:r>
      <w:r w:rsidRPr="000D7E89">
        <w:rPr>
          <w:rFonts w:cs="Times New Roman"/>
        </w:rPr>
        <w:t xml:space="preserve">strong border biosecurity and </w:t>
      </w:r>
      <w:r>
        <w:rPr>
          <w:rFonts w:cs="Times New Roman"/>
        </w:rPr>
        <w:t xml:space="preserve">plan to </w:t>
      </w:r>
      <w:r w:rsidRPr="000D7E89">
        <w:rPr>
          <w:rFonts w:cs="Times New Roman"/>
        </w:rPr>
        <w:t>avoid importing or accidentally introducing invasive species and pathogens that may se</w:t>
      </w:r>
      <w:r>
        <w:rPr>
          <w:rFonts w:cs="Times New Roman"/>
        </w:rPr>
        <w:t xml:space="preserve">verely </w:t>
      </w:r>
      <w:r w:rsidRPr="000D7E89">
        <w:rPr>
          <w:rFonts w:cs="Times New Roman"/>
        </w:rPr>
        <w:t xml:space="preserve">impact this ecological community. </w:t>
      </w:r>
    </w:p>
    <w:p w14:paraId="1A9CB223" w14:textId="77777777" w:rsidR="004A7BA7" w:rsidRDefault="004A7BA7" w:rsidP="004162AC">
      <w:pPr>
        <w:pStyle w:val="ListBullet"/>
        <w:numPr>
          <w:ilvl w:val="0"/>
          <w:numId w:val="45"/>
        </w:numPr>
        <w:ind w:left="709" w:hanging="425"/>
      </w:pPr>
      <w:r>
        <w:t>Plan</w:t>
      </w:r>
      <w:r w:rsidRPr="00874551">
        <w:t xml:space="preserve"> to mitigate future climate change and therefore reduce the impacts of climate stress on this ecological community. </w:t>
      </w:r>
    </w:p>
    <w:p w14:paraId="086AA14A" w14:textId="77777777" w:rsidR="004A7BA7" w:rsidRPr="00E634DC" w:rsidRDefault="004A7BA7" w:rsidP="004162AC">
      <w:pPr>
        <w:pStyle w:val="ListBullet"/>
        <w:numPr>
          <w:ilvl w:val="0"/>
          <w:numId w:val="45"/>
        </w:numPr>
        <w:ind w:left="709" w:hanging="425"/>
      </w:pPr>
      <w:r w:rsidRPr="00E634DC">
        <w:tab/>
        <w:t xml:space="preserve">Develop a Climate Extremes Emergency Plan for the ecological community — include appropriate management strategies and actions, </w:t>
      </w:r>
      <w:r>
        <w:t>including</w:t>
      </w:r>
      <w:r w:rsidRPr="00E634DC">
        <w:t xml:space="preserve"> rescue and recovery requirements for threatened and other key native species</w:t>
      </w:r>
      <w:r>
        <w:t xml:space="preserve"> that are highly susceptible</w:t>
      </w:r>
      <w:r w:rsidRPr="00E634DC">
        <w:t>.</w:t>
      </w:r>
    </w:p>
    <w:p w14:paraId="7DBA4CAD" w14:textId="1C5462FC" w:rsidR="004A7BA7" w:rsidRPr="00251F8C" w:rsidRDefault="00766E9E" w:rsidP="006E2204">
      <w:pPr>
        <w:pStyle w:val="Heading4"/>
      </w:pPr>
      <w:r>
        <w:t>Manage more</w:t>
      </w:r>
      <w:r w:rsidR="00A13CB8">
        <w:t xml:space="preserve"> high priority areas for conservation purposes</w:t>
      </w:r>
    </w:p>
    <w:p w14:paraId="6F1C7CE9" w14:textId="77777777" w:rsidR="004A7BA7" w:rsidRDefault="004A7BA7" w:rsidP="004A7BA7">
      <w:pPr>
        <w:numPr>
          <w:ilvl w:val="0"/>
          <w:numId w:val="4"/>
        </w:numPr>
      </w:pPr>
      <w:r>
        <w:t xml:space="preserve">In consultation with the agriculture sector and First Nations people, protect additional areas of the ecological community identified as the most important (e.g. wildlife refuges and other sites with high biodiversity, ecological and cultural significance) in formal conservation reserves. </w:t>
      </w:r>
    </w:p>
    <w:p w14:paraId="32F0DE6C" w14:textId="03B3151B" w:rsidR="004A7BA7" w:rsidRDefault="004A7BA7" w:rsidP="004A7BA7">
      <w:pPr>
        <w:numPr>
          <w:ilvl w:val="0"/>
          <w:numId w:val="4"/>
        </w:numPr>
      </w:pPr>
      <w:r>
        <w:t>Consider other areas for less formal conservation tenures, preferably ones affording long-term protection. This includes investigating formal conservation arrangements, management agreements and covenants to protect occurrences on private land in-perpetuity. This is particularly important for larger areas that link to other patches of native vegetation or wetlands, riparian areas and other areas that are part of wildlife corridors or migration routes</w:t>
      </w:r>
      <w:r w:rsidRPr="00D07F7C">
        <w:t xml:space="preserve"> </w:t>
      </w:r>
      <w:r>
        <w:t xml:space="preserve">or other habitat areas critical to the long-term survival of </w:t>
      </w:r>
      <w:r>
        <w:lastRenderedPageBreak/>
        <w:t xml:space="preserve">functionally significant species and key ecological processes </w:t>
      </w:r>
      <w:bookmarkStart w:id="179" w:name="_Hlk174911054"/>
      <w:r>
        <w:t xml:space="preserve">(some of which are summarised in section </w:t>
      </w:r>
      <w:r w:rsidR="000F365D" w:rsidRPr="000F365D">
        <w:rPr>
          <w:u w:val="single"/>
        </w:rPr>
        <w:t xml:space="preserve">Table </w:t>
      </w:r>
      <w:r w:rsidR="00FA51FE">
        <w:rPr>
          <w:u w:val="single"/>
        </w:rPr>
        <w:t>17</w:t>
      </w:r>
      <w:r>
        <w:t>).</w:t>
      </w:r>
      <w:bookmarkEnd w:id="179"/>
    </w:p>
    <w:p w14:paraId="5D919EBD" w14:textId="77777777" w:rsidR="004A7BA7" w:rsidRDefault="004A7BA7" w:rsidP="004A7BA7">
      <w:pPr>
        <w:numPr>
          <w:ilvl w:val="0"/>
          <w:numId w:val="4"/>
        </w:numPr>
      </w:pPr>
      <w:r>
        <w:t>Aim for</w:t>
      </w:r>
      <w:r w:rsidRPr="008215AE">
        <w:t xml:space="preserve"> connected networks of </w:t>
      </w:r>
      <w:r>
        <w:t xml:space="preserve">conservation areas with </w:t>
      </w:r>
      <w:r w:rsidRPr="008215AE">
        <w:t>functioning wetlands</w:t>
      </w:r>
      <w:r>
        <w:t>,</w:t>
      </w:r>
      <w:r w:rsidRPr="008215AE">
        <w:t xml:space="preserve"> floodplain </w:t>
      </w:r>
      <w:r>
        <w:t xml:space="preserve">and other </w:t>
      </w:r>
      <w:r w:rsidRPr="008215AE">
        <w:t xml:space="preserve">habitats </w:t>
      </w:r>
      <w:r>
        <w:t>serving</w:t>
      </w:r>
      <w:r w:rsidRPr="008215AE">
        <w:t xml:space="preserve"> as refugia or linkages for </w:t>
      </w:r>
      <w:r>
        <w:t xml:space="preserve">the </w:t>
      </w:r>
      <w:r w:rsidRPr="008215AE">
        <w:t xml:space="preserve">wildlife </w:t>
      </w:r>
      <w:r>
        <w:t xml:space="preserve">of the ecological community </w:t>
      </w:r>
      <w:r w:rsidRPr="008215AE">
        <w:t>across the broader landscape.</w:t>
      </w:r>
    </w:p>
    <w:p w14:paraId="368399C5" w14:textId="77777777" w:rsidR="004A7BA7" w:rsidRPr="000F6DAE" w:rsidRDefault="004A7BA7" w:rsidP="004A7BA7">
      <w:pPr>
        <w:numPr>
          <w:ilvl w:val="0"/>
          <w:numId w:val="4"/>
        </w:numPr>
      </w:pPr>
      <w:r w:rsidRPr="000F6DAE">
        <w:t xml:space="preserve">Consider additional measures to protect the ecological community through carbon offset and </w:t>
      </w:r>
      <w:r>
        <w:t>nature repair-</w:t>
      </w:r>
      <w:r w:rsidRPr="000F6DAE">
        <w:t xml:space="preserve">biodiversity market schemes or working with landholders </w:t>
      </w:r>
      <w:r>
        <w:t xml:space="preserve">and First Nations peoples </w:t>
      </w:r>
      <w:r w:rsidRPr="000F6DAE">
        <w:t>on other conservation programs.</w:t>
      </w:r>
    </w:p>
    <w:p w14:paraId="71AEDDA0" w14:textId="77777777" w:rsidR="004A7BA7" w:rsidRPr="00251F8C" w:rsidRDefault="004A7BA7" w:rsidP="006E2204">
      <w:pPr>
        <w:pStyle w:val="Heading4"/>
      </w:pPr>
      <w:bookmarkStart w:id="180" w:name="_Toc167476742"/>
      <w:bookmarkEnd w:id="178"/>
      <w:r w:rsidRPr="00251F8C">
        <w:t>Manage actions to minimise impacts, including cumulative impacts</w:t>
      </w:r>
      <w:bookmarkEnd w:id="180"/>
    </w:p>
    <w:p w14:paraId="5C7932C4" w14:textId="77777777" w:rsidR="004A7BA7" w:rsidRPr="009E7B79" w:rsidRDefault="004A7BA7" w:rsidP="004A7BA7">
      <w:pPr>
        <w:numPr>
          <w:ilvl w:val="0"/>
          <w:numId w:val="4"/>
        </w:numPr>
      </w:pPr>
      <w:r w:rsidRPr="009E7B79">
        <w:t>Apply the mitigation hierarchy to avoid, then mitigate potential impacts on the ecological community from development or other actions within the broader catchment. The priority is to avoid vegetation clearance, hydrological changes, and other impacts to integrity and resilience, including loss of biodiversity and abundance (particularly of functional species), loss of connectivity and changes to other key natural processes (particularly hydrology). Plan projects to avoid the need to offset, by avoiding unacceptable and significant impacts to the ecological community</w:t>
      </w:r>
      <w:r>
        <w:t xml:space="preserve"> and achieving nature positive outcomes</w:t>
      </w:r>
      <w:r w:rsidRPr="009E7B79">
        <w:t>.</w:t>
      </w:r>
    </w:p>
    <w:p w14:paraId="309D7BEB" w14:textId="77777777" w:rsidR="004A7BA7" w:rsidRPr="009E7B79" w:rsidRDefault="004A7BA7" w:rsidP="004A7BA7">
      <w:pPr>
        <w:numPr>
          <w:ilvl w:val="0"/>
          <w:numId w:val="4"/>
        </w:numPr>
      </w:pPr>
      <w:r w:rsidRPr="009E7B79">
        <w:t>Minimise the risk of indirect impacts to the ecological community from actions outside but near to or upstream of the ecological community, such as changes to hydrology or other ecological processes and damage to landscape function</w:t>
      </w:r>
      <w:r>
        <w:t>s</w:t>
      </w:r>
      <w:r w:rsidRPr="009E7B79">
        <w:t xml:space="preserve"> within the broader catchment</w:t>
      </w:r>
      <w:r w:rsidRPr="00A06AA5">
        <w:t>s</w:t>
      </w:r>
      <w:r w:rsidRPr="009E7B79">
        <w:t>.</w:t>
      </w:r>
    </w:p>
    <w:p w14:paraId="24A7C3BC" w14:textId="77777777" w:rsidR="004A7BA7" w:rsidRPr="002E5307" w:rsidRDefault="004A7BA7" w:rsidP="004162AC">
      <w:pPr>
        <w:pStyle w:val="ListBullet"/>
        <w:numPr>
          <w:ilvl w:val="0"/>
          <w:numId w:val="114"/>
        </w:numPr>
        <w:rPr>
          <w:bCs/>
          <w:iCs/>
        </w:rPr>
      </w:pPr>
      <w:r w:rsidRPr="009E7B79">
        <w:rPr>
          <w:rFonts w:eastAsiaTheme="minorHAnsi" w:cstheme="minorBidi"/>
        </w:rPr>
        <w:t xml:space="preserve">Avoid building infrastructure </w:t>
      </w:r>
      <w:r w:rsidRPr="00A06AA5">
        <w:rPr>
          <w:rFonts w:eastAsiaTheme="minorHAnsi" w:cstheme="minorBidi"/>
        </w:rPr>
        <w:t xml:space="preserve">within or </w:t>
      </w:r>
      <w:r w:rsidRPr="009E7B79">
        <w:rPr>
          <w:rFonts w:eastAsiaTheme="minorHAnsi" w:cstheme="minorBidi"/>
        </w:rPr>
        <w:t xml:space="preserve">near the ecological community that will interrupt or divert hydrological flows on the floodplain or cause </w:t>
      </w:r>
      <w:r w:rsidRPr="00A06AA5">
        <w:rPr>
          <w:rFonts w:eastAsiaTheme="minorHAnsi" w:cstheme="minorBidi"/>
        </w:rPr>
        <w:t xml:space="preserve">significant </w:t>
      </w:r>
      <w:r w:rsidRPr="009E7B79">
        <w:rPr>
          <w:rFonts w:eastAsiaTheme="minorHAnsi" w:cstheme="minorBidi"/>
        </w:rPr>
        <w:t>run-off of nutrients.</w:t>
      </w:r>
      <w:r w:rsidRPr="008E2F08">
        <w:rPr>
          <w:bCs/>
          <w:iCs/>
        </w:rPr>
        <w:t xml:space="preserve"> </w:t>
      </w:r>
      <w:bookmarkStart w:id="181" w:name="_Hlk174911378"/>
      <w:r>
        <w:rPr>
          <w:bCs/>
          <w:iCs/>
        </w:rPr>
        <w:t>If they proceed, c</w:t>
      </w:r>
      <w:r w:rsidRPr="002E5307">
        <w:rPr>
          <w:bCs/>
          <w:iCs/>
        </w:rPr>
        <w:t>ontrol runoff during nearby construction activities to prevent the spread of weeds</w:t>
      </w:r>
      <w:r>
        <w:rPr>
          <w:bCs/>
          <w:iCs/>
        </w:rPr>
        <w:t xml:space="preserve">, </w:t>
      </w:r>
      <w:r w:rsidRPr="002E5307">
        <w:rPr>
          <w:bCs/>
          <w:iCs/>
        </w:rPr>
        <w:t>pathogens</w:t>
      </w:r>
      <w:r>
        <w:rPr>
          <w:bCs/>
          <w:iCs/>
        </w:rPr>
        <w:t xml:space="preserve"> and nutrients</w:t>
      </w:r>
      <w:r w:rsidRPr="002E5307">
        <w:rPr>
          <w:bCs/>
          <w:iCs/>
        </w:rPr>
        <w:t xml:space="preserve"> into the ecological community.</w:t>
      </w:r>
      <w:bookmarkEnd w:id="181"/>
    </w:p>
    <w:p w14:paraId="530CC336" w14:textId="77777777" w:rsidR="004A7BA7" w:rsidRPr="009E7B79" w:rsidRDefault="004A7BA7" w:rsidP="004A7BA7">
      <w:pPr>
        <w:numPr>
          <w:ilvl w:val="0"/>
          <w:numId w:val="4"/>
        </w:numPr>
      </w:pPr>
      <w:r w:rsidRPr="009E7B79">
        <w:t>The ecological community is threatened due to the cumulative impacts from multiple land and water changes and degradation, sometimes large and sometimes small or gradual. Therefore:</w:t>
      </w:r>
    </w:p>
    <w:p w14:paraId="2BA9C623" w14:textId="77777777" w:rsidR="004A7BA7" w:rsidRPr="009E7B79" w:rsidRDefault="004A7BA7" w:rsidP="004A7BA7">
      <w:pPr>
        <w:pStyle w:val="ListParagraph"/>
        <w:numPr>
          <w:ilvl w:val="1"/>
          <w:numId w:val="43"/>
        </w:numPr>
        <w:rPr>
          <w:rFonts w:eastAsia="Times New Roman" w:cs="Cambria"/>
          <w:color w:val="000000"/>
        </w:rPr>
      </w:pPr>
      <w:r w:rsidRPr="009E7B79">
        <w:rPr>
          <w:rFonts w:eastAsia="Times New Roman" w:cs="Cambria"/>
          <w:color w:val="000000"/>
        </w:rPr>
        <w:t xml:space="preserve">Take into account that approval of even a relatively small loss and/or degradation of one area, characteristic or functional species, or key ecological process, can multiply the negative effects of other </w:t>
      </w:r>
      <w:r>
        <w:rPr>
          <w:rFonts w:eastAsia="Times New Roman" w:cs="Cambria"/>
          <w:color w:val="000000"/>
        </w:rPr>
        <w:t xml:space="preserve">past and future </w:t>
      </w:r>
      <w:r w:rsidRPr="009E7B79">
        <w:rPr>
          <w:rFonts w:eastAsia="Times New Roman" w:cs="Cambria"/>
          <w:color w:val="000000"/>
        </w:rPr>
        <w:t>actions and threats.</w:t>
      </w:r>
    </w:p>
    <w:p w14:paraId="2B22E630" w14:textId="77777777" w:rsidR="004A7BA7" w:rsidRPr="009E7B79" w:rsidRDefault="004A7BA7" w:rsidP="004A7BA7">
      <w:pPr>
        <w:pStyle w:val="ListParagraph"/>
        <w:numPr>
          <w:ilvl w:val="1"/>
          <w:numId w:val="43"/>
        </w:numPr>
        <w:rPr>
          <w:rFonts w:eastAsia="Times New Roman" w:cs="Cambria"/>
          <w:color w:val="000000"/>
        </w:rPr>
      </w:pPr>
      <w:r w:rsidRPr="009E7B79">
        <w:rPr>
          <w:rFonts w:eastAsia="Times New Roman" w:cs="Cambria"/>
          <w:color w:val="000000"/>
        </w:rPr>
        <w:t>When considering how to minimise significant impacts and achieve nature positive outcomes — gather evidence and consider other recent, current and likely near future losses and/or degradation if actions are approved.</w:t>
      </w:r>
    </w:p>
    <w:p w14:paraId="74E57F20" w14:textId="77777777" w:rsidR="004A7BA7" w:rsidRPr="00171DA3" w:rsidRDefault="004A7BA7" w:rsidP="004A7BA7">
      <w:pPr>
        <w:numPr>
          <w:ilvl w:val="0"/>
          <w:numId w:val="4"/>
        </w:numPr>
      </w:pPr>
      <w:r w:rsidRPr="00171DA3">
        <w:t xml:space="preserve">Maintain the extent, condition and existing landscape scale connections between and within the ecological community and its surrounding natural environment. </w:t>
      </w:r>
    </w:p>
    <w:p w14:paraId="234AD79A" w14:textId="77777777" w:rsidR="004A7BA7" w:rsidRPr="00171DA3" w:rsidRDefault="004A7BA7" w:rsidP="004A7BA7">
      <w:pPr>
        <w:numPr>
          <w:ilvl w:val="0"/>
          <w:numId w:val="4"/>
        </w:numPr>
      </w:pPr>
      <w:r w:rsidRPr="009E7B79">
        <w:t xml:space="preserve">Protect other native vegetation and wetlands near the ecological community, particularly where they are important for connectivity and diversity of habitat. </w:t>
      </w:r>
    </w:p>
    <w:p w14:paraId="093DF4DB" w14:textId="77777777" w:rsidR="004A7BA7" w:rsidRDefault="004A7BA7" w:rsidP="004A7BA7">
      <w:pPr>
        <w:numPr>
          <w:ilvl w:val="0"/>
          <w:numId w:val="4"/>
        </w:numPr>
      </w:pPr>
      <w:r w:rsidRPr="009E7B79">
        <w:t>Avoid hydrological changes that could disrupt natural patterns of inundation, overland flows and water table levels, or that could increase salinity, nutrient loads, algal blooms, sedimentation/turbidity, or pollution.</w:t>
      </w:r>
    </w:p>
    <w:p w14:paraId="28E73B18" w14:textId="77777777" w:rsidR="004A7BA7" w:rsidRPr="005E135C" w:rsidRDefault="004A7BA7" w:rsidP="004A7BA7">
      <w:pPr>
        <w:pStyle w:val="ListBullet"/>
        <w:numPr>
          <w:ilvl w:val="0"/>
          <w:numId w:val="4"/>
        </w:numPr>
        <w:rPr>
          <w:bCs/>
          <w:iCs/>
        </w:rPr>
      </w:pPr>
      <w:r w:rsidRPr="005E135C">
        <w:rPr>
          <w:bCs/>
          <w:iCs/>
        </w:rPr>
        <w:lastRenderedPageBreak/>
        <w:t>Minimise unnecessary soil disturbance that may facilitate weed establishment.</w:t>
      </w:r>
    </w:p>
    <w:p w14:paraId="49D2D0C6" w14:textId="77777777" w:rsidR="004A7BA7" w:rsidRDefault="004A7BA7" w:rsidP="004A7BA7">
      <w:pPr>
        <w:numPr>
          <w:ilvl w:val="0"/>
          <w:numId w:val="4"/>
        </w:numPr>
      </w:pPr>
      <w:r w:rsidRPr="00171DA3">
        <w:rPr>
          <w:rFonts w:eastAsia="Times New Roman" w:cs="Cambria"/>
          <w:color w:val="000000"/>
        </w:rPr>
        <w:t xml:space="preserve">Protect habitat features for fauna and flora, including for threatened, functional and culturally important species, noting particular vegetation structures or other species requirements. For example, mature red gums providing nests for woodland birds or a continuous canopy or sub canopy of </w:t>
      </w:r>
      <w:r w:rsidRPr="00171DA3">
        <w:rPr>
          <w:rFonts w:eastAsia="Times New Roman" w:cs="Cambria"/>
          <w:i/>
          <w:iCs/>
          <w:color w:val="000000"/>
        </w:rPr>
        <w:t>Duma florulenta</w:t>
      </w:r>
      <w:r w:rsidRPr="00171DA3">
        <w:rPr>
          <w:rFonts w:eastAsia="Times New Roman" w:cs="Cambria"/>
          <w:color w:val="000000"/>
        </w:rPr>
        <w:t xml:space="preserve"> (lignum) as a refuge.</w:t>
      </w:r>
    </w:p>
    <w:p w14:paraId="37A01997" w14:textId="77777777" w:rsidR="004A7BA7" w:rsidRDefault="004A7BA7" w:rsidP="004A7BA7">
      <w:pPr>
        <w:numPr>
          <w:ilvl w:val="0"/>
          <w:numId w:val="4"/>
        </w:numPr>
      </w:pPr>
      <w:r w:rsidRPr="00171DA3">
        <w:rPr>
          <w:rFonts w:eastAsia="Times New Roman" w:cs="Cambria"/>
          <w:color w:val="000000"/>
        </w:rPr>
        <w:t xml:space="preserve">Where this ecological community is regenerating, protect it to full maturity. For example, provide </w:t>
      </w:r>
      <w:r>
        <w:rPr>
          <w:rFonts w:eastAsia="Times New Roman" w:cs="Cambria"/>
          <w:color w:val="000000"/>
        </w:rPr>
        <w:t xml:space="preserve">temporary </w:t>
      </w:r>
      <w:r w:rsidRPr="00171DA3">
        <w:rPr>
          <w:rFonts w:eastAsia="Times New Roman" w:cs="Cambria"/>
          <w:color w:val="000000"/>
        </w:rPr>
        <w:t xml:space="preserve">fencing to minimise risk of damage to </w:t>
      </w:r>
      <w:r>
        <w:rPr>
          <w:rFonts w:eastAsia="Times New Roman" w:cs="Cambria"/>
          <w:color w:val="000000"/>
        </w:rPr>
        <w:t>native tree and other vegetation</w:t>
      </w:r>
      <w:r w:rsidRPr="00171DA3">
        <w:rPr>
          <w:rFonts w:eastAsia="Times New Roman" w:cs="Cambria"/>
          <w:color w:val="000000"/>
        </w:rPr>
        <w:t xml:space="preserve"> regrowth if appropriate, and ensure fire response and management plans are aligned with regeneration needs.</w:t>
      </w:r>
    </w:p>
    <w:p w14:paraId="140291A5" w14:textId="77777777" w:rsidR="004A7BA7" w:rsidRPr="00F84F55" w:rsidRDefault="004A7BA7" w:rsidP="004A7BA7">
      <w:pPr>
        <w:numPr>
          <w:ilvl w:val="0"/>
          <w:numId w:val="4"/>
        </w:numPr>
      </w:pPr>
      <w:r>
        <w:t xml:space="preserve">If approval has been provided to remove native trees or use heavy machinery </w:t>
      </w:r>
      <w:r w:rsidRPr="00171DA3">
        <w:rPr>
          <w:rFonts w:eastAsia="Times New Roman" w:cs="Cambria"/>
          <w:color w:val="000000"/>
        </w:rPr>
        <w:t xml:space="preserve">that may damage the ecological community, ensure comprehensive flora and fauna surveys have identified threatened or locally important species </w:t>
      </w:r>
      <w:r>
        <w:rPr>
          <w:rFonts w:eastAsia="Times New Roman" w:cs="Cambria"/>
          <w:color w:val="000000"/>
        </w:rPr>
        <w:t>at the</w:t>
      </w:r>
      <w:r w:rsidRPr="00171DA3">
        <w:rPr>
          <w:rFonts w:eastAsia="Times New Roman" w:cs="Cambria"/>
          <w:color w:val="000000"/>
        </w:rPr>
        <w:t xml:space="preserve"> site (and in the case of fauna, their potential shelter and nesting sites such as tree hollows, burrows, rocks and crevices, as well as visible nests). </w:t>
      </w:r>
    </w:p>
    <w:p w14:paraId="419A2DF9" w14:textId="77777777" w:rsidR="004A7BA7" w:rsidRPr="00171DA3" w:rsidRDefault="004A7BA7" w:rsidP="004A7BA7">
      <w:pPr>
        <w:numPr>
          <w:ilvl w:val="1"/>
          <w:numId w:val="4"/>
        </w:numPr>
        <w:ind w:left="1080"/>
      </w:pPr>
      <w:r w:rsidRPr="00171DA3">
        <w:rPr>
          <w:rFonts w:eastAsia="Times New Roman" w:cs="Cambria"/>
          <w:color w:val="000000"/>
        </w:rPr>
        <w:t>Avoid damage to these wherever possible</w:t>
      </w:r>
      <w:r>
        <w:rPr>
          <w:rFonts w:eastAsia="Times New Roman" w:cs="Cambria"/>
          <w:color w:val="000000"/>
        </w:rPr>
        <w:t xml:space="preserve"> and, if necessary,</w:t>
      </w:r>
      <w:r w:rsidRPr="00171DA3">
        <w:rPr>
          <w:rFonts w:eastAsia="Times New Roman" w:cs="Cambria"/>
          <w:color w:val="000000"/>
        </w:rPr>
        <w:t xml:space="preserve"> take care to appropriately relocate flora and fauna; and avoid undertaking the works during important times, such as breeding</w:t>
      </w:r>
      <w:r>
        <w:rPr>
          <w:rFonts w:eastAsia="Times New Roman" w:cs="Cambria"/>
          <w:color w:val="000000"/>
        </w:rPr>
        <w:t xml:space="preserve">-nesting and </w:t>
      </w:r>
      <w:r w:rsidRPr="00171DA3">
        <w:rPr>
          <w:rFonts w:eastAsia="Times New Roman" w:cs="Cambria"/>
          <w:color w:val="000000"/>
        </w:rPr>
        <w:t>flowering-seeding seasons.</w:t>
      </w:r>
    </w:p>
    <w:p w14:paraId="52E28ACA" w14:textId="572A2D83" w:rsidR="004A7BA7" w:rsidRDefault="00A13CB8" w:rsidP="006E2204">
      <w:pPr>
        <w:pStyle w:val="Heading4"/>
      </w:pPr>
      <w:bookmarkStart w:id="182" w:name="_Hlk174673124"/>
      <w:r>
        <w:t>Other threat prevention</w:t>
      </w:r>
    </w:p>
    <w:p w14:paraId="57F33F59" w14:textId="77777777" w:rsidR="004A7BA7" w:rsidRDefault="004A7BA7" w:rsidP="004162AC">
      <w:pPr>
        <w:pStyle w:val="ListBullet"/>
        <w:numPr>
          <w:ilvl w:val="0"/>
          <w:numId w:val="109"/>
        </w:numPr>
        <w:ind w:hanging="294"/>
      </w:pPr>
      <w:bookmarkStart w:id="183" w:name="_Hlk174917855"/>
      <w:r w:rsidRPr="005E51D3">
        <w:rPr>
          <w:bCs/>
          <w:iCs/>
        </w:rPr>
        <w:t>When conducting activities in or around this ecological community, practice good biosecurity hygiene to avoid spreading weeds or pathogens (see</w:t>
      </w:r>
      <w:r>
        <w:rPr>
          <w:bCs/>
          <w:iCs/>
        </w:rPr>
        <w:t xml:space="preserve"> DoE 2015</w:t>
      </w:r>
      <w:r w:rsidRPr="005E51D3">
        <w:rPr>
          <w:bCs/>
          <w:iCs/>
        </w:rPr>
        <w:t xml:space="preserve">). </w:t>
      </w:r>
      <w:r>
        <w:rPr>
          <w:bCs/>
          <w:iCs/>
        </w:rPr>
        <w:t>Also i</w:t>
      </w:r>
      <w:r>
        <w:t>mplement hygiene management plans and risk assessments to protect vegetation and fauna of the ecological community from disease outbreaks. This may include, but is not limited to, ensuring that:</w:t>
      </w:r>
    </w:p>
    <w:p w14:paraId="29D21C9D" w14:textId="77777777" w:rsidR="004A7BA7" w:rsidRDefault="004A7BA7" w:rsidP="004162AC">
      <w:pPr>
        <w:pStyle w:val="ListParagraph"/>
        <w:numPr>
          <w:ilvl w:val="0"/>
          <w:numId w:val="108"/>
        </w:numPr>
        <w:ind w:hanging="357"/>
        <w:contextualSpacing w:val="0"/>
      </w:pPr>
      <w:r>
        <w:t>contaminated soil is not introduced into an area as part of restoration, translocation, infrastructure development or revegetation activities, and</w:t>
      </w:r>
    </w:p>
    <w:p w14:paraId="7CA0805C" w14:textId="77777777" w:rsidR="004A7BA7" w:rsidRDefault="004A7BA7" w:rsidP="004162AC">
      <w:pPr>
        <w:pStyle w:val="ListParagraph"/>
        <w:numPr>
          <w:ilvl w:val="0"/>
          <w:numId w:val="108"/>
        </w:numPr>
        <w:ind w:left="1434" w:hanging="357"/>
        <w:contextualSpacing w:val="0"/>
      </w:pPr>
      <w:r>
        <w:t>in areas of disease outbreaks — disease free areas are sign posted, and hygiene stations constructed and maintained where feasible.</w:t>
      </w:r>
    </w:p>
    <w:bookmarkEnd w:id="183"/>
    <w:p w14:paraId="346934A5" w14:textId="77777777" w:rsidR="004A7BA7" w:rsidRPr="0068323A" w:rsidRDefault="004A7BA7" w:rsidP="004A7BA7">
      <w:pPr>
        <w:pStyle w:val="ListBullet"/>
        <w:numPr>
          <w:ilvl w:val="0"/>
          <w:numId w:val="4"/>
        </w:numPr>
      </w:pPr>
      <w:r w:rsidRPr="0068323A">
        <w:t>Support landholders/managers to prevent introduction of invasive species and pathogens to new areas.</w:t>
      </w:r>
    </w:p>
    <w:p w14:paraId="43157515" w14:textId="77777777" w:rsidR="004A7BA7" w:rsidRPr="0099058E" w:rsidRDefault="004A7BA7" w:rsidP="004162AC">
      <w:pPr>
        <w:numPr>
          <w:ilvl w:val="1"/>
          <w:numId w:val="115"/>
        </w:numPr>
        <w:rPr>
          <w:rFonts w:eastAsia="Calibri" w:cs="Times New Roman"/>
        </w:rPr>
      </w:pPr>
      <w:r w:rsidRPr="0099058E">
        <w:rPr>
          <w:rFonts w:eastAsia="Calibri" w:cs="Times New Roman"/>
        </w:rPr>
        <w:t>Encourage landholders/managers to engage in weed identification and intervention</w:t>
      </w:r>
      <w:r>
        <w:rPr>
          <w:rFonts w:eastAsia="Calibri" w:cs="Times New Roman"/>
        </w:rPr>
        <w:t xml:space="preserve"> early</w:t>
      </w:r>
      <w:r w:rsidRPr="0099058E">
        <w:rPr>
          <w:rFonts w:eastAsia="Calibri" w:cs="Times New Roman"/>
        </w:rPr>
        <w:t xml:space="preserve">, </w:t>
      </w:r>
      <w:r>
        <w:rPr>
          <w:rFonts w:eastAsia="Calibri" w:cs="Times New Roman"/>
        </w:rPr>
        <w:t>including</w:t>
      </w:r>
      <w:r w:rsidRPr="0099058E">
        <w:rPr>
          <w:rFonts w:eastAsia="Calibri" w:cs="Times New Roman"/>
        </w:rPr>
        <w:t xml:space="preserve"> monitoring invasion pathways and implement</w:t>
      </w:r>
      <w:r>
        <w:rPr>
          <w:rFonts w:eastAsia="Calibri" w:cs="Times New Roman"/>
        </w:rPr>
        <w:t>ing</w:t>
      </w:r>
      <w:r w:rsidRPr="0099058E">
        <w:rPr>
          <w:rFonts w:eastAsia="Calibri" w:cs="Times New Roman"/>
        </w:rPr>
        <w:t xml:space="preserve"> prevention measures using current best management practices. </w:t>
      </w:r>
    </w:p>
    <w:p w14:paraId="293989FC" w14:textId="77777777" w:rsidR="004A7BA7" w:rsidRPr="005E135C" w:rsidRDefault="004A7BA7" w:rsidP="004162AC">
      <w:pPr>
        <w:pStyle w:val="ListBullet"/>
        <w:numPr>
          <w:ilvl w:val="0"/>
          <w:numId w:val="47"/>
        </w:numPr>
        <w:ind w:left="709" w:hanging="283"/>
        <w:rPr>
          <w:bCs/>
          <w:iCs/>
        </w:rPr>
      </w:pPr>
      <w:r w:rsidRPr="005E135C">
        <w:rPr>
          <w:bCs/>
          <w:iCs/>
        </w:rPr>
        <w:t xml:space="preserve">Avoid selling known invasive species in </w:t>
      </w:r>
      <w:r>
        <w:rPr>
          <w:bCs/>
          <w:iCs/>
        </w:rPr>
        <w:t xml:space="preserve">Local Government </w:t>
      </w:r>
      <w:r w:rsidRPr="005E135C">
        <w:rPr>
          <w:bCs/>
          <w:iCs/>
        </w:rPr>
        <w:t xml:space="preserve">areas where the ecological community occurs. </w:t>
      </w:r>
    </w:p>
    <w:p w14:paraId="1F6F5CD8" w14:textId="77777777" w:rsidR="004A7BA7" w:rsidRDefault="004A7BA7" w:rsidP="004162AC">
      <w:pPr>
        <w:pStyle w:val="ListBullet"/>
        <w:numPr>
          <w:ilvl w:val="0"/>
          <w:numId w:val="47"/>
        </w:numPr>
        <w:ind w:left="709" w:hanging="283"/>
        <w:rPr>
          <w:bCs/>
          <w:iCs/>
        </w:rPr>
      </w:pPr>
      <w:r w:rsidRPr="005E135C">
        <w:rPr>
          <w:bCs/>
          <w:iCs/>
        </w:rPr>
        <w:t>Prevent planting known or potential invasive species in gardens, developments and landscaping near the ecological community; particularly known transformer weeds, or bird-dispersed species.</w:t>
      </w:r>
    </w:p>
    <w:p w14:paraId="0E498B36" w14:textId="77777777" w:rsidR="004A7BA7" w:rsidRPr="005E135C" w:rsidRDefault="004A7BA7" w:rsidP="004162AC">
      <w:pPr>
        <w:pStyle w:val="ListBullet"/>
        <w:numPr>
          <w:ilvl w:val="0"/>
          <w:numId w:val="47"/>
        </w:numPr>
        <w:ind w:left="709" w:hanging="283"/>
        <w:rPr>
          <w:bCs/>
          <w:iCs/>
        </w:rPr>
      </w:pPr>
      <w:r w:rsidRPr="000D7E89">
        <w:t xml:space="preserve">Encourage appropriate use of </w:t>
      </w:r>
      <w:r>
        <w:t xml:space="preserve">local </w:t>
      </w:r>
      <w:r w:rsidRPr="000D7E89">
        <w:t xml:space="preserve">native plant species </w:t>
      </w:r>
      <w:r>
        <w:t xml:space="preserve">from the ecological community </w:t>
      </w:r>
      <w:r w:rsidRPr="000D7E89">
        <w:t>in developments in the region</w:t>
      </w:r>
      <w:r>
        <w:t>,</w:t>
      </w:r>
      <w:r w:rsidRPr="000D7E89">
        <w:t xml:space="preserve"> through local government and industry initiatives and best </w:t>
      </w:r>
      <w:r w:rsidRPr="000D7E89">
        <w:lastRenderedPageBreak/>
        <w:t xml:space="preserve">practice strategies. </w:t>
      </w:r>
      <w:r w:rsidRPr="005E135C">
        <w:rPr>
          <w:bCs/>
          <w:iCs/>
        </w:rPr>
        <w:t xml:space="preserve">Review planting schedules </w:t>
      </w:r>
      <w:r>
        <w:rPr>
          <w:bCs/>
          <w:iCs/>
        </w:rPr>
        <w:t>when approving new</w:t>
      </w:r>
      <w:r w:rsidRPr="005E135C">
        <w:rPr>
          <w:bCs/>
          <w:iCs/>
        </w:rPr>
        <w:t xml:space="preserve"> developments and landscaping, to ensure that potential weeds</w:t>
      </w:r>
      <w:r>
        <w:rPr>
          <w:bCs/>
          <w:iCs/>
        </w:rPr>
        <w:t xml:space="preserve"> </w:t>
      </w:r>
      <w:r w:rsidRPr="005E135C">
        <w:rPr>
          <w:bCs/>
          <w:iCs/>
        </w:rPr>
        <w:t xml:space="preserve">are not included. </w:t>
      </w:r>
    </w:p>
    <w:p w14:paraId="366E47B2" w14:textId="77777777" w:rsidR="004A7BA7" w:rsidRPr="005E135C" w:rsidRDefault="004A7BA7" w:rsidP="004162AC">
      <w:pPr>
        <w:pStyle w:val="ListBullet"/>
        <w:numPr>
          <w:ilvl w:val="0"/>
          <w:numId w:val="47"/>
        </w:numPr>
        <w:ind w:left="709" w:hanging="283"/>
        <w:rPr>
          <w:bCs/>
          <w:iCs/>
        </w:rPr>
      </w:pPr>
      <w:bookmarkStart w:id="184" w:name="_Hlk174917905"/>
      <w:r w:rsidRPr="005E135C">
        <w:rPr>
          <w:bCs/>
          <w:iCs/>
        </w:rPr>
        <w:t>Prevent dumping waste</w:t>
      </w:r>
      <w:r>
        <w:rPr>
          <w:bCs/>
          <w:iCs/>
        </w:rPr>
        <w:t>, particularly garden and soil waste,</w:t>
      </w:r>
      <w:r w:rsidRPr="005E135C">
        <w:rPr>
          <w:bCs/>
          <w:iCs/>
        </w:rPr>
        <w:t xml:space="preserve"> in or near the ecological community.</w:t>
      </w:r>
    </w:p>
    <w:p w14:paraId="3FC15088" w14:textId="77777777" w:rsidR="004A7BA7" w:rsidRDefault="004A7BA7" w:rsidP="004162AC">
      <w:pPr>
        <w:pStyle w:val="ListParagraph"/>
        <w:numPr>
          <w:ilvl w:val="0"/>
          <w:numId w:val="110"/>
        </w:numPr>
        <w:ind w:hanging="295"/>
        <w:contextualSpacing w:val="0"/>
      </w:pPr>
      <w:bookmarkStart w:id="185" w:name="_Hlk174917971"/>
      <w:bookmarkEnd w:id="184"/>
      <w:r>
        <w:t xml:space="preserve">Vehicle tracks and walking trails can spread or amplify diseases. Existing tracks should be reviewed for removal and re-alignment to protect catchments and any proposed future tracks or trails should minimise risks (particularly from impeding natural hydrology and causing runoff and weed and pathogen introduction).. </w:t>
      </w:r>
    </w:p>
    <w:bookmarkEnd w:id="185"/>
    <w:p w14:paraId="763B3537" w14:textId="77777777" w:rsidR="004A7BA7" w:rsidRDefault="004A7BA7" w:rsidP="007C3950">
      <w:pPr>
        <w:pStyle w:val="ListBullet"/>
        <w:numPr>
          <w:ilvl w:val="0"/>
          <w:numId w:val="4"/>
        </w:numPr>
      </w:pPr>
      <w:r>
        <w:t>Prevent death and injury to native fish and other aquatic fauna through installation and maintenance of modern fish-protection water pump screens.  Align with relevant existing initiatives through local authorities</w:t>
      </w:r>
      <w:r w:rsidRPr="008E77FA">
        <w:t>.</w:t>
      </w:r>
    </w:p>
    <w:p w14:paraId="58756794" w14:textId="77777777" w:rsidR="004A7BA7" w:rsidRDefault="004A7BA7" w:rsidP="004162AC">
      <w:pPr>
        <w:pStyle w:val="ListParagraph"/>
        <w:numPr>
          <w:ilvl w:val="0"/>
          <w:numId w:val="105"/>
        </w:numPr>
        <w:contextualSpacing w:val="0"/>
        <w:rPr>
          <w:rFonts w:eastAsia="Calibri" w:cs="Times New Roman"/>
        </w:rPr>
      </w:pPr>
      <w:bookmarkStart w:id="186" w:name="_Hlk174918239"/>
      <w:r>
        <w:rPr>
          <w:rFonts w:eastAsia="Calibri" w:cs="Times New Roman"/>
        </w:rPr>
        <w:t>A</w:t>
      </w:r>
      <w:r w:rsidRPr="00B378DA">
        <w:rPr>
          <w:rFonts w:eastAsia="Calibri" w:cs="Times New Roman"/>
        </w:rPr>
        <w:t xml:space="preserve">void grazing </w:t>
      </w:r>
      <w:r>
        <w:rPr>
          <w:rFonts w:eastAsia="Calibri" w:cs="Times New Roman"/>
        </w:rPr>
        <w:t xml:space="preserve">in areas with threatened species or highly diverse native ground layers </w:t>
      </w:r>
      <w:r w:rsidRPr="00B378DA">
        <w:rPr>
          <w:rFonts w:eastAsia="Calibri" w:cs="Times New Roman"/>
        </w:rPr>
        <w:t>during peak native plant flowering and seeding times for many species (late spring and summer)</w:t>
      </w:r>
      <w:r>
        <w:rPr>
          <w:rFonts w:eastAsia="Calibri" w:cs="Times New Roman"/>
        </w:rPr>
        <w:t xml:space="preserve">, and when </w:t>
      </w:r>
      <w:r w:rsidRPr="009C4C39">
        <w:rPr>
          <w:rFonts w:eastAsia="Calibri" w:cs="Times New Roman"/>
        </w:rPr>
        <w:t>seedling</w:t>
      </w:r>
      <w:r>
        <w:rPr>
          <w:rFonts w:eastAsia="Calibri" w:cs="Times New Roman"/>
        </w:rPr>
        <w:t>s are</w:t>
      </w:r>
      <w:r w:rsidRPr="009C4C39">
        <w:rPr>
          <w:rFonts w:eastAsia="Calibri" w:cs="Times New Roman"/>
        </w:rPr>
        <w:t xml:space="preserve"> establish</w:t>
      </w:r>
      <w:r>
        <w:rPr>
          <w:rFonts w:eastAsia="Calibri" w:cs="Times New Roman"/>
        </w:rPr>
        <w:t>ing</w:t>
      </w:r>
      <w:r w:rsidRPr="00B378DA">
        <w:rPr>
          <w:rFonts w:eastAsia="Calibri" w:cs="Times New Roman"/>
        </w:rPr>
        <w:t>.</w:t>
      </w:r>
    </w:p>
    <w:p w14:paraId="2B13887C" w14:textId="77777777" w:rsidR="004A7BA7" w:rsidRDefault="004A7BA7" w:rsidP="004162AC">
      <w:pPr>
        <w:pStyle w:val="ListParagraph"/>
        <w:numPr>
          <w:ilvl w:val="1"/>
          <w:numId w:val="105"/>
        </w:numPr>
        <w:contextualSpacing w:val="0"/>
        <w:rPr>
          <w:rFonts w:eastAsia="Calibri" w:cs="Times New Roman"/>
        </w:rPr>
      </w:pPr>
      <w:r w:rsidRPr="00175B5E">
        <w:rPr>
          <w:rFonts w:eastAsia="Calibri" w:cs="Times New Roman"/>
        </w:rPr>
        <w:t>A</w:t>
      </w:r>
      <w:r>
        <w:rPr>
          <w:rFonts w:eastAsia="Calibri" w:cs="Times New Roman"/>
        </w:rPr>
        <w:t>lso minimise</w:t>
      </w:r>
      <w:r w:rsidRPr="00175B5E">
        <w:rPr>
          <w:rFonts w:eastAsia="Calibri" w:cs="Times New Roman"/>
        </w:rPr>
        <w:t xml:space="preserve"> grazing when the soil</w:t>
      </w:r>
      <w:r>
        <w:rPr>
          <w:rFonts w:eastAsia="Calibri" w:cs="Times New Roman"/>
        </w:rPr>
        <w:t xml:space="preserve"> is</w:t>
      </w:r>
      <w:r w:rsidRPr="00175B5E">
        <w:rPr>
          <w:rFonts w:eastAsia="Calibri" w:cs="Times New Roman"/>
        </w:rPr>
        <w:t xml:space="preserve"> too wet; or when plants are stressed by other pressures.</w:t>
      </w:r>
      <w:bookmarkStart w:id="187" w:name="_Hlk88828130"/>
      <w:r w:rsidRPr="00175B5E">
        <w:rPr>
          <w:rFonts w:eastAsia="Calibri" w:cs="Times New Roman"/>
        </w:rPr>
        <w:t xml:space="preserve"> </w:t>
      </w:r>
      <w:bookmarkEnd w:id="187"/>
    </w:p>
    <w:p w14:paraId="2767D038" w14:textId="77777777" w:rsidR="004A7BA7" w:rsidRPr="00E70578" w:rsidRDefault="004A7BA7" w:rsidP="004162AC">
      <w:pPr>
        <w:pStyle w:val="ListParagraph"/>
        <w:numPr>
          <w:ilvl w:val="1"/>
          <w:numId w:val="105"/>
        </w:numPr>
        <w:contextualSpacing w:val="0"/>
        <w:rPr>
          <w:rFonts w:eastAsia="Calibri" w:cs="Times New Roman"/>
        </w:rPr>
      </w:pPr>
      <w:r w:rsidRPr="00E70578">
        <w:rPr>
          <w:rFonts w:eastAsia="Calibri" w:cs="Times New Roman"/>
        </w:rPr>
        <w:t xml:space="preserve">Fence to exclude stock, feral and native herbivores, </w:t>
      </w:r>
      <w:bookmarkStart w:id="188" w:name="_Hlk88828078"/>
      <w:r w:rsidRPr="00E70578">
        <w:rPr>
          <w:rFonts w:eastAsia="Calibri" w:cs="Times New Roman"/>
        </w:rPr>
        <w:t>until seedlings are at least two metres high</w:t>
      </w:r>
      <w:bookmarkEnd w:id="188"/>
      <w:r w:rsidRPr="00E70578">
        <w:rPr>
          <w:rFonts w:eastAsia="Calibri" w:cs="Times New Roman"/>
        </w:rPr>
        <w:t xml:space="preserve">; individual seedlings may be protected by herbivore guards. </w:t>
      </w:r>
    </w:p>
    <w:p w14:paraId="54ABBFA5" w14:textId="77777777" w:rsidR="004A7BA7" w:rsidRPr="002536D8" w:rsidRDefault="004A7BA7" w:rsidP="004162AC">
      <w:pPr>
        <w:pStyle w:val="ListParagraph"/>
        <w:numPr>
          <w:ilvl w:val="0"/>
          <w:numId w:val="105"/>
        </w:numPr>
        <w:rPr>
          <w:rFonts w:eastAsia="Calibri" w:cs="Times New Roman"/>
        </w:rPr>
      </w:pPr>
      <w:r>
        <w:rPr>
          <w:rFonts w:eastAsia="Calibri" w:cs="Times New Roman"/>
        </w:rPr>
        <w:t>Promote</w:t>
      </w:r>
      <w:r w:rsidRPr="002536D8">
        <w:rPr>
          <w:rFonts w:eastAsia="Calibri" w:cs="Times New Roman"/>
        </w:rPr>
        <w:t xml:space="preserve"> guidelines</w:t>
      </w:r>
      <w:r>
        <w:rPr>
          <w:rFonts w:eastAsia="Calibri" w:cs="Times New Roman"/>
        </w:rPr>
        <w:t>/restrictions</w:t>
      </w:r>
      <w:r w:rsidRPr="002536D8">
        <w:rPr>
          <w:rFonts w:eastAsia="Calibri" w:cs="Times New Roman"/>
        </w:rPr>
        <w:t>, educational material (e.g. signage) and monitoring protocols for recreational activities that adversely impact on the ecological community, including: fishing; 4WD and other recreational vehicle use</w:t>
      </w:r>
      <w:r>
        <w:rPr>
          <w:rFonts w:eastAsia="Calibri" w:cs="Times New Roman"/>
        </w:rPr>
        <w:t xml:space="preserve"> (e.g. at the Coorong and nature reserves)</w:t>
      </w:r>
      <w:r w:rsidRPr="002536D8">
        <w:rPr>
          <w:rFonts w:eastAsia="Calibri" w:cs="Times New Roman"/>
        </w:rPr>
        <w:t xml:space="preserve">; regulated hunting activity; houseboats and other recreational </w:t>
      </w:r>
      <w:r>
        <w:rPr>
          <w:rFonts w:eastAsia="Calibri" w:cs="Times New Roman"/>
        </w:rPr>
        <w:t xml:space="preserve">boating </w:t>
      </w:r>
      <w:r w:rsidRPr="002536D8">
        <w:rPr>
          <w:rFonts w:eastAsia="Calibri" w:cs="Times New Roman"/>
        </w:rPr>
        <w:t>craft; camping (including lighting of fires).</w:t>
      </w:r>
    </w:p>
    <w:p w14:paraId="5BE40BD5" w14:textId="77777777" w:rsidR="004A7BA7" w:rsidRPr="00177C7E" w:rsidRDefault="004A7BA7" w:rsidP="004162AC">
      <w:pPr>
        <w:numPr>
          <w:ilvl w:val="0"/>
          <w:numId w:val="105"/>
        </w:numPr>
        <w:rPr>
          <w:rFonts w:eastAsia="Calibri" w:cs="Times New Roman"/>
        </w:rPr>
      </w:pPr>
      <w:r w:rsidRPr="00177C7E">
        <w:rPr>
          <w:rFonts w:eastAsia="Calibri" w:cs="Times New Roman"/>
        </w:rPr>
        <w:t xml:space="preserve">Cease/prohibit and monitor wood collection, such as for firewood or fencing, that leads to the loss and damage of </w:t>
      </w:r>
      <w:r>
        <w:rPr>
          <w:rFonts w:eastAsia="Calibri" w:cs="Times New Roman"/>
        </w:rPr>
        <w:t xml:space="preserve">riparian or floodplain </w:t>
      </w:r>
      <w:r w:rsidRPr="00177C7E">
        <w:rPr>
          <w:rFonts w:eastAsia="Calibri" w:cs="Times New Roman"/>
        </w:rPr>
        <w:t>trees, stags and logs, or disturbs the natural litter layer.</w:t>
      </w:r>
    </w:p>
    <w:p w14:paraId="56A6E3FD" w14:textId="77777777" w:rsidR="004A7BA7" w:rsidRPr="00177C7E" w:rsidRDefault="004A7BA7" w:rsidP="004162AC">
      <w:pPr>
        <w:numPr>
          <w:ilvl w:val="0"/>
          <w:numId w:val="105"/>
        </w:numPr>
        <w:rPr>
          <w:rFonts w:eastAsia="Calibri" w:cs="Times New Roman"/>
        </w:rPr>
      </w:pPr>
      <w:r w:rsidRPr="00177C7E">
        <w:rPr>
          <w:rFonts w:eastAsia="Calibri" w:cs="Times New Roman"/>
        </w:rPr>
        <w:t>Cease/prohibit and monitor destructive activities such as off-road trail bike or four</w:t>
      </w:r>
      <w:r w:rsidRPr="00177C7E">
        <w:rPr>
          <w:rFonts w:eastAsia="Calibri" w:cs="Times New Roman"/>
        </w:rPr>
        <w:noBreakHyphen/>
        <w:t>wheel-driving</w:t>
      </w:r>
      <w:r>
        <w:rPr>
          <w:rFonts w:eastAsia="Calibri" w:cs="Times New Roman"/>
        </w:rPr>
        <w:t>, such as on native dune vegetation at the Coorong</w:t>
      </w:r>
      <w:r w:rsidRPr="00177C7E">
        <w:rPr>
          <w:rFonts w:eastAsia="Calibri" w:cs="Times New Roman"/>
        </w:rPr>
        <w:t>.</w:t>
      </w:r>
    </w:p>
    <w:p w14:paraId="5B85332E" w14:textId="77777777" w:rsidR="004A7BA7" w:rsidRPr="00177C7E" w:rsidRDefault="004A7BA7" w:rsidP="004162AC">
      <w:pPr>
        <w:numPr>
          <w:ilvl w:val="0"/>
          <w:numId w:val="105"/>
        </w:numPr>
        <w:rPr>
          <w:rFonts w:eastAsia="Calibri" w:cs="Times New Roman"/>
        </w:rPr>
      </w:pPr>
      <w:r w:rsidRPr="00177C7E">
        <w:rPr>
          <w:rFonts w:eastAsia="Calibri" w:cs="Times New Roman"/>
        </w:rPr>
        <w:t>Cease/prohibit and monitor rubbish dumping.</w:t>
      </w:r>
    </w:p>
    <w:p w14:paraId="2009567C" w14:textId="77777777" w:rsidR="004A7BA7" w:rsidRPr="00177C7E" w:rsidRDefault="004A7BA7" w:rsidP="004162AC">
      <w:pPr>
        <w:numPr>
          <w:ilvl w:val="0"/>
          <w:numId w:val="105"/>
        </w:numPr>
        <w:rPr>
          <w:rFonts w:eastAsia="Calibri" w:cs="Times New Roman"/>
        </w:rPr>
      </w:pPr>
      <w:r w:rsidRPr="00177C7E">
        <w:rPr>
          <w:rFonts w:eastAsia="Calibri" w:cs="Times New Roman"/>
        </w:rPr>
        <w:t>Cease/prohibit access by domestic pets</w:t>
      </w:r>
      <w:r>
        <w:rPr>
          <w:rFonts w:eastAsia="Calibri" w:cs="Times New Roman"/>
        </w:rPr>
        <w:t xml:space="preserve"> to sensitive areas (e.g. waterbird and seabird nesting areas)</w:t>
      </w:r>
      <w:r w:rsidRPr="00177C7E">
        <w:rPr>
          <w:rFonts w:eastAsia="Calibri" w:cs="Times New Roman"/>
        </w:rPr>
        <w:t>, by containing them in nearby residential areas, or keeping them on leashes.</w:t>
      </w:r>
    </w:p>
    <w:bookmarkEnd w:id="186"/>
    <w:p w14:paraId="2147A6AB" w14:textId="308F8148" w:rsidR="004A7BA7" w:rsidRPr="00701748" w:rsidRDefault="00A13CB8" w:rsidP="006E2204">
      <w:pPr>
        <w:pStyle w:val="Heading4"/>
      </w:pPr>
      <w:r>
        <w:t>Apply buffer zones</w:t>
      </w:r>
    </w:p>
    <w:bookmarkEnd w:id="182"/>
    <w:p w14:paraId="54D1BCDF" w14:textId="77777777" w:rsidR="004A7BA7" w:rsidRPr="00DF2DE4" w:rsidRDefault="004A7BA7" w:rsidP="004A7BA7">
      <w:pPr>
        <w:numPr>
          <w:ilvl w:val="0"/>
          <w:numId w:val="4"/>
        </w:numPr>
      </w:pPr>
      <w:r w:rsidRPr="00DF2DE4">
        <w:t xml:space="preserve">Protect and apply appropriate buffer zones (particularly adjacent areas of other native vegetation) to minimise impacts arising 'off-site'. A buffer zone is a contiguous area adjacent to areas of the ecological community that is important to protect the integrity of this ecological community but is not a part of the ecological community itself. The risk of indirect damage is usually greater where threatening actions occur nearby. Buffer zones can minimise this risk, by absorbing and reducing impacts. They can also guide land managers to notice that the ecological community is nearby and to be extra careful. </w:t>
      </w:r>
    </w:p>
    <w:p w14:paraId="0D478D2F" w14:textId="77777777" w:rsidR="004A7BA7" w:rsidRDefault="004A7BA7" w:rsidP="004162AC">
      <w:pPr>
        <w:pStyle w:val="ListParagraph"/>
        <w:numPr>
          <w:ilvl w:val="1"/>
          <w:numId w:val="111"/>
        </w:numPr>
        <w:autoSpaceDE w:val="0"/>
        <w:autoSpaceDN w:val="0"/>
        <w:adjustRightInd w:val="0"/>
        <w:rPr>
          <w:rFonts w:cs="Cambria"/>
          <w:color w:val="000000" w:themeColor="text1"/>
        </w:rPr>
      </w:pPr>
      <w:r w:rsidRPr="0078214C">
        <w:rPr>
          <w:rFonts w:cs="Cambria"/>
          <w:color w:val="000000" w:themeColor="text1"/>
        </w:rPr>
        <w:lastRenderedPageBreak/>
        <w:t xml:space="preserve">For instance, buffer zones help protect outermost plants and other members of this ecological community from spray drift (fertiliser, pesticide or herbicide sprayed in adjacent land), weed invasion, polluted water runoff and other damage. </w:t>
      </w:r>
    </w:p>
    <w:p w14:paraId="0CFFF335" w14:textId="77777777" w:rsidR="004A7BA7" w:rsidRPr="0078214C" w:rsidRDefault="004A7BA7" w:rsidP="004162AC">
      <w:pPr>
        <w:pStyle w:val="ListParagraph"/>
        <w:numPr>
          <w:ilvl w:val="1"/>
          <w:numId w:val="111"/>
        </w:numPr>
        <w:autoSpaceDE w:val="0"/>
        <w:autoSpaceDN w:val="0"/>
        <w:adjustRightInd w:val="0"/>
        <w:rPr>
          <w:rFonts w:cs="Cambria"/>
          <w:color w:val="000000" w:themeColor="text1"/>
        </w:rPr>
      </w:pPr>
      <w:r w:rsidRPr="0078214C">
        <w:rPr>
          <w:rFonts w:cs="Cambria"/>
          <w:color w:val="000000" w:themeColor="text1"/>
        </w:rPr>
        <w:t xml:space="preserve">The best buffer zones are typically areas of native vegetation. Fire breaks and other built asset protection zones do not typically provide a suitable buffer and should be additional </w:t>
      </w:r>
      <w:r>
        <w:rPr>
          <w:rFonts w:cs="Cambria"/>
          <w:color w:val="000000" w:themeColor="text1"/>
        </w:rPr>
        <w:t>on the outside of a</w:t>
      </w:r>
      <w:r w:rsidRPr="0078214C">
        <w:rPr>
          <w:rFonts w:cs="Cambria"/>
          <w:color w:val="000000" w:themeColor="text1"/>
        </w:rPr>
        <w:t xml:space="preserve"> vegetated buffer.</w:t>
      </w:r>
    </w:p>
    <w:p w14:paraId="5221F565" w14:textId="77777777" w:rsidR="004A7BA7" w:rsidRPr="00DF2DE4" w:rsidRDefault="004A7BA7" w:rsidP="004A7BA7">
      <w:pPr>
        <w:numPr>
          <w:ilvl w:val="0"/>
          <w:numId w:val="4"/>
        </w:numPr>
      </w:pPr>
      <w:r w:rsidRPr="00DF2DE4">
        <w:t>The recommended minimum buffer zone for the ecological community is at least 200 m from the outer edge. The appropriate size depends on the nature of the threatening action and local context (e.g. groundwater or downstream impacts). Apply larger buffer zones to protect occurrences from broader landscape threats such as hydrological changes.</w:t>
      </w:r>
    </w:p>
    <w:p w14:paraId="76800D97" w14:textId="7E8846B9" w:rsidR="004A7BA7" w:rsidRPr="00463C13" w:rsidRDefault="004A7BA7" w:rsidP="004A7BA7">
      <w:pPr>
        <w:numPr>
          <w:ilvl w:val="0"/>
          <w:numId w:val="4"/>
        </w:numPr>
      </w:pPr>
      <w:r w:rsidRPr="00DF2DE4">
        <w:t>Determination of wetland buffer zones can be complex and should be determined on a case-by-case basis, taking site-specific features such as the localised catchment area of the wetland into account. Exercise good judgement, to determine an appropriate buffer distance, depending on circumstances. Guideline for the Determination of Wetland Buffer Requirements (EES 2005) explains a multi-step process and buffer types/size depending on wetland attributes, objectives and threat.</w:t>
      </w:r>
    </w:p>
    <w:p w14:paraId="29965890" w14:textId="77777777" w:rsidR="004A7BA7" w:rsidRPr="00463C13" w:rsidRDefault="004A7BA7" w:rsidP="004A7BA7">
      <w:pPr>
        <w:keepNext/>
        <w:pBdr>
          <w:top w:val="single" w:sz="4" w:space="1" w:color="auto"/>
          <w:left w:val="single" w:sz="4" w:space="4" w:color="auto"/>
          <w:bottom w:val="single" w:sz="4" w:space="1" w:color="auto"/>
          <w:right w:val="single" w:sz="4" w:space="4" w:color="auto"/>
        </w:pBdr>
        <w:shd w:val="clear" w:color="auto" w:fill="FFF2CC"/>
        <w:rPr>
          <w:rFonts w:eastAsia="Calibri" w:cs="Times New Roman"/>
          <w:color w:val="000000"/>
        </w:rPr>
      </w:pPr>
      <w:r w:rsidRPr="00463C13">
        <w:rPr>
          <w:rFonts w:eastAsia="Calibri" w:cs="Times New Roman"/>
          <w:color w:val="000000"/>
        </w:rPr>
        <w:t>Consultation Questions on the buffer zones</w:t>
      </w:r>
    </w:p>
    <w:p w14:paraId="07D045C9" w14:textId="77777777" w:rsidR="004A7BA7" w:rsidRPr="00463C13" w:rsidRDefault="004A7BA7" w:rsidP="004A7BA7">
      <w:pPr>
        <w:pBdr>
          <w:top w:val="single" w:sz="4" w:space="1" w:color="auto"/>
          <w:left w:val="single" w:sz="4" w:space="4" w:color="auto"/>
          <w:bottom w:val="single" w:sz="4" w:space="1" w:color="auto"/>
          <w:right w:val="single" w:sz="4" w:space="4" w:color="auto"/>
        </w:pBdr>
        <w:shd w:val="clear" w:color="auto" w:fill="FFF2CC"/>
        <w:contextualSpacing/>
        <w:rPr>
          <w:rFonts w:eastAsia="Calibri" w:cs="Cambria"/>
          <w:color w:val="000000"/>
        </w:rPr>
      </w:pPr>
      <w:r w:rsidRPr="00463C13">
        <w:rPr>
          <w:rFonts w:eastAsia="Calibri" w:cs="Times New Roman"/>
          <w:color w:val="000000"/>
        </w:rPr>
        <w:t>In your opinion, is the advice on buffer zones and recommended minimum buffer distance appropriate? If not, how should the buffer zone advice be amended to ensure appropriate application?</w:t>
      </w:r>
    </w:p>
    <w:p w14:paraId="50A3226A" w14:textId="77777777" w:rsidR="001B6485" w:rsidRDefault="001B6485" w:rsidP="001B6485">
      <w:bookmarkStart w:id="189" w:name="_Toc175317092"/>
      <w:bookmarkStart w:id="190" w:name="_Toc167476764"/>
    </w:p>
    <w:p w14:paraId="5C11EFB5" w14:textId="0B337884" w:rsidR="004A7BA7" w:rsidRPr="00F03B9E" w:rsidRDefault="00A13CB8" w:rsidP="00550384">
      <w:pPr>
        <w:pStyle w:val="Heading3"/>
        <w:rPr>
          <w:rFonts w:eastAsia="Times New Roman"/>
        </w:rPr>
      </w:pPr>
      <w:r>
        <w:rPr>
          <w:rFonts w:eastAsia="Times New Roman"/>
        </w:rPr>
        <w:t xml:space="preserve">5.4.2 </w:t>
      </w:r>
      <w:r w:rsidR="004A7BA7" w:rsidRPr="00F03B9E">
        <w:rPr>
          <w:rFonts w:eastAsia="Times New Roman"/>
        </w:rPr>
        <w:t>RESTORE (and MANAGE) the ecological community</w:t>
      </w:r>
      <w:bookmarkEnd w:id="189"/>
    </w:p>
    <w:p w14:paraId="3725DBBB" w14:textId="77777777" w:rsidR="004A7BA7" w:rsidRDefault="004A7BA7" w:rsidP="004A7BA7">
      <w:pPr>
        <w:rPr>
          <w:rFonts w:eastAsia="Calibri" w:cs="Times New Roman"/>
        </w:rPr>
      </w:pPr>
      <w:r w:rsidRPr="00F03B9E">
        <w:rPr>
          <w:rFonts w:eastAsia="Calibri" w:cs="Times New Roman"/>
        </w:rPr>
        <w:t xml:space="preserve">This key approach includes priorities to restore </w:t>
      </w:r>
      <w:r>
        <w:rPr>
          <w:rFonts w:eastAsia="Calibri" w:cs="Times New Roman"/>
        </w:rPr>
        <w:t>areas</w:t>
      </w:r>
      <w:r w:rsidRPr="00F03B9E">
        <w:rPr>
          <w:rFonts w:eastAsia="Calibri" w:cs="Times New Roman"/>
        </w:rPr>
        <w:t xml:space="preserve"> of the ecological community by active threat abatement, appropriate management, restoration and other conservation initiatives. Act to increase the extent, condition, and landscape scale connectivity of this ecological community (including connectivity with other surrounding </w:t>
      </w:r>
      <w:r>
        <w:rPr>
          <w:rFonts w:eastAsia="Calibri" w:cs="Times New Roman"/>
        </w:rPr>
        <w:t>native habitats</w:t>
      </w:r>
      <w:r w:rsidRPr="00F03B9E">
        <w:rPr>
          <w:rFonts w:eastAsia="Calibri" w:cs="Times New Roman"/>
        </w:rPr>
        <w:t xml:space="preserve">). The aim should be for recovery of as many key biodiversity and ecosystem attributes as practical for a particular site, so that the ecological community is on a trajectory to recovery and is self-sustaining. This should be based on following the </w:t>
      </w:r>
      <w:r w:rsidRPr="00F03B9E">
        <w:rPr>
          <w:rFonts w:eastAsia="Calibri" w:cs="Times New Roman"/>
          <w:i/>
          <w:iCs/>
        </w:rPr>
        <w:t>National Standards for the Practice of Ecological Restoration in Australia</w:t>
      </w:r>
      <w:r w:rsidRPr="00F03B9E">
        <w:rPr>
          <w:rFonts w:eastAsia="Calibri" w:cs="Times New Roman"/>
        </w:rPr>
        <w:t xml:space="preserve"> (Standards Reference Group SERA 2021).</w:t>
      </w:r>
    </w:p>
    <w:p w14:paraId="426B5AC4" w14:textId="3B7A9648" w:rsidR="004A7BA7" w:rsidRPr="00701748" w:rsidRDefault="00A13CB8" w:rsidP="006E2204">
      <w:pPr>
        <w:pStyle w:val="Heading4"/>
      </w:pPr>
      <w:bookmarkStart w:id="191" w:name="_Hlk174673151"/>
      <w:r>
        <w:t>General</w:t>
      </w:r>
    </w:p>
    <w:bookmarkEnd w:id="191"/>
    <w:p w14:paraId="2B85F622" w14:textId="77777777" w:rsidR="004A7BA7" w:rsidRDefault="004A7BA7" w:rsidP="004162AC">
      <w:pPr>
        <w:numPr>
          <w:ilvl w:val="0"/>
          <w:numId w:val="112"/>
        </w:numPr>
        <w:rPr>
          <w:rFonts w:eastAsia="Times New Roman" w:cs="Times New Roman"/>
        </w:rPr>
      </w:pPr>
      <w:r>
        <w:t>Implement actions identified in key existing management plans such as the Murray-Darling Basin Plan, and the management plans for the six MDB Icon Sites and the three Ramsar sites</w:t>
      </w:r>
      <w:r>
        <w:rPr>
          <w:rFonts w:eastAsia="Times New Roman" w:cs="Times New Roman"/>
        </w:rPr>
        <w:t>.</w:t>
      </w:r>
    </w:p>
    <w:p w14:paraId="4D404387" w14:textId="77777777" w:rsidR="004A7BA7" w:rsidRPr="009F228D" w:rsidRDefault="004A7BA7" w:rsidP="004162AC">
      <w:pPr>
        <w:pStyle w:val="ListParagraph"/>
        <w:numPr>
          <w:ilvl w:val="0"/>
          <w:numId w:val="112"/>
        </w:numPr>
        <w:contextualSpacing w:val="0"/>
      </w:pPr>
      <w:r>
        <w:t>Restore</w:t>
      </w:r>
      <w:r w:rsidRPr="009F228D">
        <w:t xml:space="preserve"> the extent</w:t>
      </w:r>
      <w:r>
        <w:t xml:space="preserve">, </w:t>
      </w:r>
      <w:r w:rsidRPr="009F228D">
        <w:t>condition and existing landscape</w:t>
      </w:r>
      <w:r>
        <w:t>-</w:t>
      </w:r>
      <w:r w:rsidRPr="009F228D">
        <w:t xml:space="preserve">scale connections between </w:t>
      </w:r>
      <w:r>
        <w:t>and within the ecological community and the surrounding natural environment</w:t>
      </w:r>
      <w:r w:rsidRPr="009F228D">
        <w:t xml:space="preserve">. </w:t>
      </w:r>
    </w:p>
    <w:p w14:paraId="356B6F54"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t>Ensure that hydrological restoration and revegetation activities are coordinated and occur in the right chronological order to enable complementary and well targeted outcomes to be achieved.</w:t>
      </w:r>
    </w:p>
    <w:p w14:paraId="759AC8D2"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lastRenderedPageBreak/>
        <w:t xml:space="preserve">Undertake strategic invasive species management in conjunction with </w:t>
      </w:r>
      <w:r>
        <w:rPr>
          <w:rFonts w:eastAsia="Times New Roman" w:cs="Times New Roman"/>
        </w:rPr>
        <w:t xml:space="preserve">other </w:t>
      </w:r>
      <w:r w:rsidRPr="00F03B9E">
        <w:rPr>
          <w:rFonts w:eastAsia="Times New Roman" w:cs="Times New Roman"/>
        </w:rPr>
        <w:t xml:space="preserve"> management</w:t>
      </w:r>
      <w:r>
        <w:rPr>
          <w:rFonts w:eastAsia="Times New Roman" w:cs="Times New Roman"/>
        </w:rPr>
        <w:t xml:space="preserve"> activities</w:t>
      </w:r>
      <w:r w:rsidRPr="00F03B9E">
        <w:rPr>
          <w:rFonts w:eastAsia="Times New Roman" w:cs="Times New Roman"/>
        </w:rPr>
        <w:t>, to facilitate and promote natural regeneration of native vegetation and increased biodiversity.</w:t>
      </w:r>
    </w:p>
    <w:p w14:paraId="4E17224A" w14:textId="77777777" w:rsidR="004A7BA7" w:rsidRPr="00F03B9E" w:rsidRDefault="004A7BA7" w:rsidP="004162AC">
      <w:pPr>
        <w:numPr>
          <w:ilvl w:val="0"/>
          <w:numId w:val="112"/>
        </w:numPr>
        <w:rPr>
          <w:rFonts w:eastAsia="Times New Roman" w:cs="Times New Roman"/>
          <w:b/>
        </w:rPr>
      </w:pPr>
      <w:r w:rsidRPr="00F03B9E">
        <w:rPr>
          <w:rFonts w:eastAsia="Times New Roman" w:cs="Times New Roman"/>
        </w:rPr>
        <w:t xml:space="preserve">Consider the landscape context and other relevant values when planning and undertaking restoration works. For example, ensure threatened species, migratory species, Ramsar site </w:t>
      </w:r>
      <w:r>
        <w:rPr>
          <w:rFonts w:eastAsia="Times New Roman" w:cs="Times New Roman"/>
        </w:rPr>
        <w:t>characters</w:t>
      </w:r>
      <w:r w:rsidRPr="00F03B9E">
        <w:rPr>
          <w:rFonts w:eastAsia="Times New Roman" w:cs="Times New Roman"/>
        </w:rPr>
        <w:t xml:space="preserve"> and First Nations cultural values are not adversely impacted by restoration activities.</w:t>
      </w:r>
    </w:p>
    <w:p w14:paraId="688B506A" w14:textId="77777777" w:rsidR="004A7BA7" w:rsidRDefault="004A7BA7" w:rsidP="004162AC">
      <w:pPr>
        <w:pStyle w:val="ListBullet"/>
        <w:numPr>
          <w:ilvl w:val="0"/>
          <w:numId w:val="103"/>
        </w:numPr>
        <w:rPr>
          <w:b/>
        </w:rPr>
      </w:pPr>
      <w:r w:rsidRPr="00F03B9E">
        <w:t>Provide</w:t>
      </w:r>
      <w:r>
        <w:t>,</w:t>
      </w:r>
      <w:r w:rsidRPr="00F03B9E">
        <w:t xml:space="preserve"> maintain</w:t>
      </w:r>
      <w:r>
        <w:t xml:space="preserve"> and monitor</w:t>
      </w:r>
      <w:r w:rsidRPr="00F03B9E">
        <w:t xml:space="preserve"> a network of fishways throughout the ecological community to facilitate native fish passage and breeding migrations</w:t>
      </w:r>
      <w:r w:rsidRPr="00482608">
        <w:t xml:space="preserve"> </w:t>
      </w:r>
      <w:r>
        <w:t>(particularly for threatened, functionally significant and diadromous species).</w:t>
      </w:r>
      <w:r w:rsidRPr="00F03B9E">
        <w:t xml:space="preserve"> </w:t>
      </w:r>
      <w:r>
        <w:t>Carefully r</w:t>
      </w:r>
      <w:r w:rsidRPr="00F03B9E">
        <w:t>emove barriers where feasible or mitigate when barrier removal is not possible.</w:t>
      </w:r>
    </w:p>
    <w:p w14:paraId="4398E30D"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t>Maintain or increase diversity of riparian and in-stream habitat (e.g. in-stream pools and low flow refuges, physical structures such as snags, logs and rocks, and leaf litter) for identified priority sites.</w:t>
      </w:r>
    </w:p>
    <w:p w14:paraId="5B4B3CD1" w14:textId="77777777" w:rsidR="004A7BA7" w:rsidRPr="00F03B9E" w:rsidRDefault="004A7BA7" w:rsidP="004162AC">
      <w:pPr>
        <w:numPr>
          <w:ilvl w:val="0"/>
          <w:numId w:val="112"/>
        </w:numPr>
        <w:rPr>
          <w:rFonts w:eastAsia="Times New Roman" w:cs="Times New Roman"/>
          <w:b/>
        </w:rPr>
      </w:pPr>
      <w:r w:rsidRPr="00F03B9E">
        <w:rPr>
          <w:rFonts w:eastAsia="Times New Roman" w:cs="Times New Roman"/>
        </w:rPr>
        <w:t>Ensure that connected networks of functioning wetlands and floodplain habitats exist to serve as refugia or linkages for wildlife across the landscape.</w:t>
      </w:r>
    </w:p>
    <w:p w14:paraId="7069089F" w14:textId="77777777" w:rsidR="004A7BA7" w:rsidRDefault="004A7BA7" w:rsidP="004162AC">
      <w:pPr>
        <w:pStyle w:val="ListBullet"/>
        <w:numPr>
          <w:ilvl w:val="0"/>
          <w:numId w:val="112"/>
        </w:numPr>
      </w:pPr>
      <w:r>
        <w:t>Identify, evaluate, and if practical and feasible, implement measures to address constraints that potentially affect environmental water delivery within the ecological community.</w:t>
      </w:r>
    </w:p>
    <w:p w14:paraId="087CAEC8"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t xml:space="preserve">Maintain and improve current management that maximises </w:t>
      </w:r>
      <w:r>
        <w:rPr>
          <w:rFonts w:eastAsia="Times New Roman" w:cs="Times New Roman"/>
        </w:rPr>
        <w:t xml:space="preserve">threat </w:t>
      </w:r>
      <w:r w:rsidRPr="00F03B9E">
        <w:rPr>
          <w:rFonts w:eastAsia="Times New Roman" w:cs="Times New Roman"/>
        </w:rPr>
        <w:t xml:space="preserve">mitigation measures, including the delivery of environmental flows, protection of core refugia and </w:t>
      </w:r>
      <w:r>
        <w:rPr>
          <w:rFonts w:eastAsia="Times New Roman" w:cs="Times New Roman"/>
        </w:rPr>
        <w:t>restoration</w:t>
      </w:r>
      <w:r w:rsidRPr="00F03B9E">
        <w:rPr>
          <w:rFonts w:eastAsia="Times New Roman" w:cs="Times New Roman"/>
        </w:rPr>
        <w:t xml:space="preserve"> of free-flowing </w:t>
      </w:r>
      <w:r>
        <w:rPr>
          <w:rFonts w:eastAsia="Times New Roman" w:cs="Times New Roman"/>
        </w:rPr>
        <w:t>streams</w:t>
      </w:r>
      <w:r w:rsidRPr="00F03B9E">
        <w:rPr>
          <w:rFonts w:eastAsia="Times New Roman" w:cs="Times New Roman"/>
        </w:rPr>
        <w:t>.</w:t>
      </w:r>
    </w:p>
    <w:p w14:paraId="3249DB3D"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t xml:space="preserve">Maintain </w:t>
      </w:r>
      <w:r>
        <w:rPr>
          <w:rFonts w:eastAsia="Times New Roman" w:cs="Times New Roman"/>
        </w:rPr>
        <w:t xml:space="preserve">or restore </w:t>
      </w:r>
      <w:r w:rsidRPr="00F03B9E">
        <w:rPr>
          <w:rFonts w:eastAsia="Times New Roman" w:cs="Times New Roman"/>
        </w:rPr>
        <w:t xml:space="preserve">the condition of understorey groundcover and shrub-layer vegetation </w:t>
      </w:r>
      <w:r>
        <w:rPr>
          <w:rFonts w:eastAsia="Times New Roman" w:cs="Times New Roman"/>
        </w:rPr>
        <w:t xml:space="preserve">(including lignum) </w:t>
      </w:r>
      <w:r w:rsidRPr="00F03B9E">
        <w:rPr>
          <w:rFonts w:eastAsia="Times New Roman" w:cs="Times New Roman"/>
        </w:rPr>
        <w:t xml:space="preserve">in river red gum </w:t>
      </w:r>
      <w:r>
        <w:rPr>
          <w:rFonts w:eastAsia="Times New Roman" w:cs="Times New Roman"/>
        </w:rPr>
        <w:t xml:space="preserve">and black box </w:t>
      </w:r>
      <w:r w:rsidRPr="00F03B9E">
        <w:rPr>
          <w:rFonts w:eastAsia="Times New Roman" w:cs="Times New Roman"/>
        </w:rPr>
        <w:t xml:space="preserve">woodland. </w:t>
      </w:r>
    </w:p>
    <w:p w14:paraId="566C8FEC" w14:textId="77777777" w:rsidR="004A7BA7" w:rsidRPr="00F03B9E" w:rsidRDefault="004A7BA7" w:rsidP="004162AC">
      <w:pPr>
        <w:numPr>
          <w:ilvl w:val="0"/>
          <w:numId w:val="112"/>
        </w:numPr>
        <w:rPr>
          <w:rFonts w:eastAsia="Times New Roman" w:cs="Times New Roman"/>
        </w:rPr>
      </w:pPr>
      <w:r w:rsidRPr="00F03B9E">
        <w:rPr>
          <w:rFonts w:eastAsia="Times New Roman" w:cs="Times New Roman"/>
        </w:rPr>
        <w:t xml:space="preserve">Maintain </w:t>
      </w:r>
      <w:r>
        <w:rPr>
          <w:rFonts w:eastAsia="Times New Roman" w:cs="Times New Roman"/>
        </w:rPr>
        <w:t xml:space="preserve">or restore </w:t>
      </w:r>
      <w:r w:rsidRPr="00F03B9E">
        <w:rPr>
          <w:rFonts w:eastAsia="Times New Roman" w:cs="Times New Roman"/>
        </w:rPr>
        <w:t xml:space="preserve">the condition of semi-permanent wetland vegetation, including reeds and mixed marsh </w:t>
      </w:r>
      <w:r>
        <w:rPr>
          <w:rFonts w:eastAsia="Times New Roman" w:cs="Times New Roman"/>
        </w:rPr>
        <w:t>sub-</w:t>
      </w:r>
      <w:r w:rsidRPr="00F03B9E">
        <w:rPr>
          <w:rFonts w:eastAsia="Times New Roman" w:cs="Times New Roman"/>
        </w:rPr>
        <w:t>communities.</w:t>
      </w:r>
    </w:p>
    <w:p w14:paraId="1DDA25A1" w14:textId="77777777" w:rsidR="004A7BA7" w:rsidRPr="00F03B9E" w:rsidRDefault="004A7BA7" w:rsidP="004162AC">
      <w:pPr>
        <w:numPr>
          <w:ilvl w:val="0"/>
          <w:numId w:val="112"/>
        </w:numPr>
        <w:rPr>
          <w:rFonts w:eastAsia="Times New Roman" w:cs="Times New Roman"/>
        </w:rPr>
      </w:pPr>
      <w:r>
        <w:rPr>
          <w:rFonts w:eastAsia="Times New Roman" w:cs="Times New Roman"/>
        </w:rPr>
        <w:t>Increase</w:t>
      </w:r>
      <w:r w:rsidRPr="00F03B9E">
        <w:rPr>
          <w:rFonts w:eastAsia="Times New Roman" w:cs="Times New Roman"/>
        </w:rPr>
        <w:t xml:space="preserve"> river productivity and improve the </w:t>
      </w:r>
      <w:r>
        <w:rPr>
          <w:rFonts w:eastAsia="Times New Roman" w:cs="Times New Roman"/>
        </w:rPr>
        <w:t>abundance and resilience</w:t>
      </w:r>
      <w:r w:rsidRPr="00F03B9E">
        <w:rPr>
          <w:rFonts w:eastAsia="Times New Roman" w:cs="Times New Roman"/>
        </w:rPr>
        <w:t xml:space="preserve"> of native fish in the </w:t>
      </w:r>
      <w:r>
        <w:rPr>
          <w:rFonts w:eastAsia="Times New Roman" w:cs="Times New Roman"/>
        </w:rPr>
        <w:t>ecological community</w:t>
      </w:r>
      <w:r w:rsidRPr="00F03B9E">
        <w:rPr>
          <w:rFonts w:eastAsia="Times New Roman" w:cs="Times New Roman"/>
        </w:rPr>
        <w:t>.</w:t>
      </w:r>
    </w:p>
    <w:p w14:paraId="54E2639C" w14:textId="77777777" w:rsidR="004A7BA7" w:rsidRDefault="004A7BA7" w:rsidP="004162AC">
      <w:pPr>
        <w:pStyle w:val="ListBullet"/>
        <w:numPr>
          <w:ilvl w:val="0"/>
          <w:numId w:val="112"/>
        </w:numPr>
      </w:pPr>
      <w:r>
        <w:t>Maintain and restore nesting vegetation structure at key sites for aggregating breeding waterbirds between breeding seasons, to improve their ‘readiness’ for future colonial breeding events.</w:t>
      </w:r>
    </w:p>
    <w:p w14:paraId="0C143483" w14:textId="77777777" w:rsidR="004A7BA7" w:rsidRDefault="004A7BA7" w:rsidP="004162AC">
      <w:pPr>
        <w:pStyle w:val="ListBullet"/>
        <w:numPr>
          <w:ilvl w:val="1"/>
          <w:numId w:val="112"/>
        </w:numPr>
      </w:pPr>
      <w:r>
        <w:t>Restore</w:t>
      </w:r>
      <w:r w:rsidRPr="00F03B9E">
        <w:t xml:space="preserve"> </w:t>
      </w:r>
      <w:r>
        <w:t xml:space="preserve">other </w:t>
      </w:r>
      <w:r w:rsidRPr="00F03B9E">
        <w:t xml:space="preserve">waterbird habitat, including foraging grounds for juvenile waterbirds, to increase their </w:t>
      </w:r>
      <w:r>
        <w:t>abundance and resilience.</w:t>
      </w:r>
      <w:r w:rsidRPr="00BD3A14">
        <w:t xml:space="preserve"> </w:t>
      </w:r>
      <w:r>
        <w:t xml:space="preserve"> </w:t>
      </w:r>
    </w:p>
    <w:p w14:paraId="7E2F3B16" w14:textId="77777777" w:rsidR="004A7BA7" w:rsidRDefault="004A7BA7" w:rsidP="004162AC">
      <w:pPr>
        <w:pStyle w:val="ListBullet"/>
        <w:numPr>
          <w:ilvl w:val="1"/>
          <w:numId w:val="112"/>
        </w:numPr>
      </w:pPr>
      <w:r>
        <w:t>Provide environmental water, as needed (e.g. duration extension, increased depth, water quality) during breeding events.</w:t>
      </w:r>
      <w:r w:rsidRPr="00E36E2B">
        <w:t xml:space="preserve"> </w:t>
      </w:r>
    </w:p>
    <w:p w14:paraId="74FAAF5A" w14:textId="77777777" w:rsidR="004A7BA7" w:rsidRPr="00F03B9E" w:rsidRDefault="004A7BA7" w:rsidP="004162AC">
      <w:pPr>
        <w:numPr>
          <w:ilvl w:val="0"/>
          <w:numId w:val="112"/>
        </w:numPr>
        <w:rPr>
          <w:rFonts w:eastAsia="Times New Roman" w:cs="Times New Roman"/>
        </w:rPr>
      </w:pPr>
      <w:r>
        <w:rPr>
          <w:rFonts w:eastAsia="Times New Roman" w:cs="Times New Roman"/>
        </w:rPr>
        <w:t>Restore</w:t>
      </w:r>
      <w:r w:rsidRPr="00F03B9E">
        <w:rPr>
          <w:rFonts w:eastAsia="Times New Roman" w:cs="Times New Roman"/>
        </w:rPr>
        <w:t xml:space="preserve"> </w:t>
      </w:r>
      <w:r>
        <w:rPr>
          <w:rFonts w:eastAsia="Times New Roman" w:cs="Times New Roman"/>
        </w:rPr>
        <w:t xml:space="preserve">abundance and </w:t>
      </w:r>
      <w:r w:rsidRPr="00F03B9E">
        <w:rPr>
          <w:rFonts w:eastAsia="Times New Roman" w:cs="Times New Roman"/>
        </w:rPr>
        <w:t xml:space="preserve">habitat </w:t>
      </w:r>
      <w:r>
        <w:rPr>
          <w:rFonts w:eastAsia="Times New Roman" w:cs="Times New Roman"/>
        </w:rPr>
        <w:t>for</w:t>
      </w:r>
      <w:r w:rsidRPr="00F03B9E">
        <w:rPr>
          <w:rFonts w:eastAsia="Times New Roman" w:cs="Times New Roman"/>
        </w:rPr>
        <w:t xml:space="preserve"> other </w:t>
      </w:r>
      <w:r>
        <w:rPr>
          <w:rFonts w:eastAsia="Times New Roman" w:cs="Times New Roman"/>
        </w:rPr>
        <w:t>aquatic</w:t>
      </w:r>
      <w:r w:rsidRPr="00F03B9E">
        <w:rPr>
          <w:rFonts w:eastAsia="Times New Roman" w:cs="Times New Roman"/>
        </w:rPr>
        <w:t xml:space="preserve"> </w:t>
      </w:r>
      <w:r>
        <w:rPr>
          <w:rFonts w:eastAsia="Times New Roman" w:cs="Times New Roman"/>
        </w:rPr>
        <w:t xml:space="preserve">or semi-aquatic </w:t>
      </w:r>
      <w:r w:rsidRPr="00F03B9E">
        <w:rPr>
          <w:rFonts w:eastAsia="Times New Roman" w:cs="Times New Roman"/>
        </w:rPr>
        <w:t>species</w:t>
      </w:r>
      <w:r>
        <w:rPr>
          <w:rFonts w:eastAsia="Times New Roman" w:cs="Times New Roman"/>
        </w:rPr>
        <w:t>, including culturally significant species</w:t>
      </w:r>
      <w:r w:rsidRPr="00F03B9E">
        <w:rPr>
          <w:rFonts w:eastAsia="Times New Roman" w:cs="Times New Roman"/>
        </w:rPr>
        <w:t xml:space="preserve"> (e.g. </w:t>
      </w:r>
      <w:r>
        <w:rPr>
          <w:rFonts w:eastAsia="Times New Roman" w:cs="Times New Roman"/>
        </w:rPr>
        <w:t xml:space="preserve">frogs, </w:t>
      </w:r>
      <w:r w:rsidRPr="00F03B9E">
        <w:rPr>
          <w:rFonts w:eastAsia="Times New Roman" w:cs="Times New Roman"/>
        </w:rPr>
        <w:t xml:space="preserve">turtles, rakali, </w:t>
      </w:r>
      <w:r>
        <w:rPr>
          <w:rFonts w:eastAsia="Times New Roman" w:cs="Times New Roman"/>
        </w:rPr>
        <w:t xml:space="preserve">crayfish, </w:t>
      </w:r>
      <w:r w:rsidRPr="00F03B9E">
        <w:rPr>
          <w:rFonts w:eastAsia="Times New Roman" w:cs="Times New Roman"/>
        </w:rPr>
        <w:t>mussels</w:t>
      </w:r>
      <w:r>
        <w:rPr>
          <w:rFonts w:eastAsia="Times New Roman" w:cs="Times New Roman"/>
        </w:rPr>
        <w:t>, gastropods</w:t>
      </w:r>
      <w:r w:rsidRPr="00F03B9E">
        <w:rPr>
          <w:rFonts w:eastAsia="Times New Roman" w:cs="Times New Roman"/>
        </w:rPr>
        <w:t>).</w:t>
      </w:r>
    </w:p>
    <w:p w14:paraId="50261358" w14:textId="77777777" w:rsidR="004A7BA7" w:rsidRDefault="004A7BA7" w:rsidP="004162AC">
      <w:pPr>
        <w:numPr>
          <w:ilvl w:val="0"/>
          <w:numId w:val="112"/>
        </w:numPr>
        <w:rPr>
          <w:rFonts w:eastAsia="Times New Roman" w:cs="Times New Roman"/>
        </w:rPr>
      </w:pPr>
      <w:r w:rsidRPr="00F03B9E">
        <w:rPr>
          <w:rFonts w:eastAsia="Times New Roman" w:cs="Times New Roman"/>
        </w:rPr>
        <w:t>Include this ecological community as a key target in Nature Repair Market schemes and other environment restoration strategies and programs</w:t>
      </w:r>
      <w:bookmarkEnd w:id="190"/>
      <w:r>
        <w:rPr>
          <w:rFonts w:eastAsia="Times New Roman" w:cs="Times New Roman"/>
        </w:rPr>
        <w:t>.</w:t>
      </w:r>
    </w:p>
    <w:p w14:paraId="5FC0F65A" w14:textId="77777777" w:rsidR="004A7BA7" w:rsidRPr="00824635" w:rsidRDefault="004A7BA7" w:rsidP="004162AC">
      <w:pPr>
        <w:numPr>
          <w:ilvl w:val="0"/>
          <w:numId w:val="112"/>
        </w:numPr>
        <w:rPr>
          <w:rFonts w:eastAsia="Times New Roman" w:cs="Times New Roman"/>
        </w:rPr>
      </w:pPr>
      <w:r w:rsidRPr="00824635">
        <w:rPr>
          <w:rFonts w:cs="Times New Roman"/>
        </w:rPr>
        <w:lastRenderedPageBreak/>
        <w:t>Directly involve, or seek guidance</w:t>
      </w:r>
      <w:r>
        <w:rPr>
          <w:rFonts w:cs="Times New Roman"/>
        </w:rPr>
        <w:t>,</w:t>
      </w:r>
      <w:r w:rsidRPr="00824635">
        <w:rPr>
          <w:rFonts w:cs="Times New Roman"/>
        </w:rPr>
        <w:t xml:space="preserve"> from</w:t>
      </w:r>
      <w:r>
        <w:rPr>
          <w:rFonts w:cs="Times New Roman"/>
        </w:rPr>
        <w:t xml:space="preserve"> experienced restoration experts </w:t>
      </w:r>
      <w:r w:rsidRPr="00824635">
        <w:rPr>
          <w:rFonts w:cs="Times New Roman"/>
        </w:rPr>
        <w:t xml:space="preserve">and </w:t>
      </w:r>
      <w:r>
        <w:rPr>
          <w:rFonts w:cs="Times New Roman"/>
        </w:rPr>
        <w:t>Traditional Ecological Knowledge from First Nations groups</w:t>
      </w:r>
      <w:r w:rsidRPr="00824635">
        <w:rPr>
          <w:rFonts w:cs="Times New Roman"/>
        </w:rPr>
        <w:t xml:space="preserve"> when planning and carrying out restoration works – from seed collection and propagation, planting, </w:t>
      </w:r>
      <w:r>
        <w:rPr>
          <w:rFonts w:cs="Times New Roman"/>
        </w:rPr>
        <w:t xml:space="preserve">environmental flows, </w:t>
      </w:r>
      <w:r w:rsidRPr="00824635">
        <w:rPr>
          <w:rFonts w:cs="Times New Roman"/>
        </w:rPr>
        <w:t>to invasive species management,</w:t>
      </w:r>
      <w:r>
        <w:rPr>
          <w:rFonts w:cs="Times New Roman"/>
        </w:rPr>
        <w:t xml:space="preserve"> fauna reintroductions </w:t>
      </w:r>
      <w:r w:rsidRPr="00824635">
        <w:rPr>
          <w:rFonts w:cs="Times New Roman"/>
        </w:rPr>
        <w:t>and other activities.</w:t>
      </w:r>
    </w:p>
    <w:p w14:paraId="08B7BD4E" w14:textId="777FF12B" w:rsidR="004A7BA7" w:rsidRPr="00701748" w:rsidRDefault="004A7BA7" w:rsidP="006E2204">
      <w:pPr>
        <w:pStyle w:val="Heading4"/>
      </w:pPr>
      <w:bookmarkStart w:id="192" w:name="_Hlk174673180"/>
      <w:bookmarkStart w:id="193" w:name="_Hlk174670023"/>
      <w:r>
        <w:t>R</w:t>
      </w:r>
      <w:r w:rsidR="00231C96">
        <w:t>espond</w:t>
      </w:r>
      <w:r>
        <w:t xml:space="preserve"> </w:t>
      </w:r>
      <w:r w:rsidR="00231C96">
        <w:t xml:space="preserve">to the </w:t>
      </w:r>
      <w:r w:rsidR="003E48DB">
        <w:t>Threat</w:t>
      </w:r>
      <w:r>
        <w:t xml:space="preserve"> </w:t>
      </w:r>
      <w:r w:rsidR="00231C96">
        <w:t>of</w:t>
      </w:r>
      <w:r>
        <w:t xml:space="preserve"> </w:t>
      </w:r>
      <w:r w:rsidR="00231C96">
        <w:t>Climate Change</w:t>
      </w:r>
    </w:p>
    <w:bookmarkEnd w:id="192"/>
    <w:p w14:paraId="0BE60E50" w14:textId="77777777" w:rsidR="004A7BA7" w:rsidRPr="006A5647" w:rsidRDefault="004A7BA7" w:rsidP="004162AC">
      <w:pPr>
        <w:numPr>
          <w:ilvl w:val="0"/>
          <w:numId w:val="112"/>
        </w:numPr>
        <w:rPr>
          <w:rFonts w:eastAsia="Times New Roman" w:cs="Times New Roman"/>
        </w:rPr>
      </w:pPr>
      <w:r w:rsidRPr="006A5647">
        <w:rPr>
          <w:rFonts w:cs="Cambria"/>
          <w:color w:val="000000"/>
        </w:rPr>
        <w:t>Develop and implement a Climate Change Adaptation Plan for the ecological community, including determining appropriate adaptation management strategies and actions, and identifying options to enhance habitat and biodiversity resilience (e.g. riparian shading, fish hotels, shaded nesting boxes).</w:t>
      </w:r>
    </w:p>
    <w:p w14:paraId="13BFD6A7" w14:textId="77777777" w:rsidR="004A7BA7" w:rsidRDefault="004A7BA7" w:rsidP="004162AC">
      <w:pPr>
        <w:numPr>
          <w:ilvl w:val="0"/>
          <w:numId w:val="112"/>
        </w:numPr>
        <w:rPr>
          <w:rFonts w:eastAsia="Times New Roman" w:cs="Times New Roman"/>
        </w:rPr>
      </w:pPr>
      <w:r w:rsidRPr="006A5647">
        <w:rPr>
          <w:rFonts w:eastAsia="Times New Roman" w:cs="Times New Roman"/>
        </w:rPr>
        <w:t>Undertake activities to mitigate climate change and reduce climate stress impacts, particularly hydrological impacts.</w:t>
      </w:r>
    </w:p>
    <w:p w14:paraId="419A7200" w14:textId="77777777" w:rsidR="004A7BA7" w:rsidRPr="006A5647" w:rsidRDefault="004A7BA7" w:rsidP="004162AC">
      <w:pPr>
        <w:numPr>
          <w:ilvl w:val="0"/>
          <w:numId w:val="112"/>
        </w:numPr>
        <w:rPr>
          <w:rFonts w:eastAsia="Times New Roman" w:cs="Times New Roman"/>
        </w:rPr>
      </w:pPr>
      <w:r w:rsidRPr="006A5647">
        <w:rPr>
          <w:rFonts w:cs="Cambria"/>
          <w:color w:val="000000"/>
        </w:rPr>
        <w:t>Enhance the resilience of the ecological community to the impacts of climate change by reducing other pressures.</w:t>
      </w:r>
    </w:p>
    <w:p w14:paraId="5D143FB7" w14:textId="77777777" w:rsidR="004A7BA7" w:rsidRPr="006A5647" w:rsidRDefault="004A7BA7" w:rsidP="004162AC">
      <w:pPr>
        <w:numPr>
          <w:ilvl w:val="0"/>
          <w:numId w:val="112"/>
        </w:numPr>
        <w:rPr>
          <w:rFonts w:eastAsia="Times New Roman" w:cs="Times New Roman"/>
        </w:rPr>
      </w:pPr>
      <w:r w:rsidRPr="006A5647">
        <w:rPr>
          <w:rFonts w:cs="Cambria"/>
          <w:color w:val="000000"/>
        </w:rPr>
        <w:t>I</w:t>
      </w:r>
      <w:r>
        <w:rPr>
          <w:rFonts w:cs="Cambria"/>
          <w:color w:val="000000"/>
        </w:rPr>
        <w:t>dentify</w:t>
      </w:r>
      <w:r w:rsidRPr="006A5647">
        <w:rPr>
          <w:rFonts w:cs="Cambria"/>
          <w:color w:val="000000"/>
        </w:rPr>
        <w:t xml:space="preserve"> </w:t>
      </w:r>
      <w:r>
        <w:rPr>
          <w:rFonts w:cs="Cambria"/>
          <w:color w:val="000000"/>
        </w:rPr>
        <w:t xml:space="preserve">important </w:t>
      </w:r>
      <w:r w:rsidRPr="006A5647">
        <w:rPr>
          <w:rFonts w:cs="Cambria"/>
          <w:color w:val="000000"/>
        </w:rPr>
        <w:t>climate refuge areas</w:t>
      </w:r>
      <w:r>
        <w:rPr>
          <w:rFonts w:cs="Cambria"/>
          <w:color w:val="000000"/>
        </w:rPr>
        <w:t xml:space="preserve"> for key species</w:t>
      </w:r>
      <w:r w:rsidRPr="006A5647">
        <w:rPr>
          <w:rFonts w:cs="Cambria"/>
          <w:color w:val="000000"/>
        </w:rPr>
        <w:t xml:space="preserve"> (including Chowilla).</w:t>
      </w:r>
    </w:p>
    <w:bookmarkEnd w:id="193"/>
    <w:p w14:paraId="6CDD47E3" w14:textId="39F7BBE8" w:rsidR="004A7BA7" w:rsidRPr="00701748" w:rsidRDefault="003E48DB" w:rsidP="006E2204">
      <w:pPr>
        <w:pStyle w:val="Heading4"/>
      </w:pPr>
      <w:r>
        <w:t>Restore Flow Regimes and Other Hydrology</w:t>
      </w:r>
    </w:p>
    <w:p w14:paraId="001BCBB3" w14:textId="77777777" w:rsidR="004A7BA7" w:rsidRDefault="004A7BA7" w:rsidP="004A7BA7">
      <w:pPr>
        <w:pStyle w:val="ListBullet"/>
        <w:numPr>
          <w:ilvl w:val="0"/>
          <w:numId w:val="43"/>
        </w:numPr>
        <w:ind w:left="709" w:hanging="284"/>
      </w:pPr>
      <w:r>
        <w:t>Consistent with the Murray-Darling Basin Plan's principles to be applied in environmental watering, and to the extent possible within operating constraints, support hydrological connectivity between river channels and floodplain environments.</w:t>
      </w:r>
    </w:p>
    <w:p w14:paraId="45624BCC" w14:textId="77777777" w:rsidR="004A7BA7" w:rsidRPr="009935C2" w:rsidRDefault="004A7BA7" w:rsidP="004A7BA7">
      <w:pPr>
        <w:pStyle w:val="ListBullet"/>
        <w:numPr>
          <w:ilvl w:val="0"/>
          <w:numId w:val="43"/>
        </w:numPr>
        <w:ind w:left="709" w:hanging="284"/>
      </w:pPr>
      <w:bookmarkStart w:id="194" w:name="_Hlk174919257"/>
      <w:r>
        <w:t>Implement appropriate wetting and drying cycles and inundation intervals that do not exceed the tolerance of the ecological community's resilience or known thresholds of irreversible change for functionally significant species (e.g. river red gum, lignum).</w:t>
      </w:r>
    </w:p>
    <w:bookmarkEnd w:id="194"/>
    <w:p w14:paraId="6702ACAC" w14:textId="77777777" w:rsidR="004A7BA7" w:rsidRPr="0049168A" w:rsidRDefault="004A7BA7" w:rsidP="004A7BA7">
      <w:pPr>
        <w:pStyle w:val="ListBullet"/>
        <w:numPr>
          <w:ilvl w:val="0"/>
          <w:numId w:val="43"/>
        </w:numPr>
        <w:ind w:left="709" w:hanging="284"/>
        <w:rPr>
          <w:b/>
        </w:rPr>
      </w:pPr>
      <w:r w:rsidRPr="0049168A">
        <w:t>In consultation with First Nations groups and landholders, restore natural hydrological regimes to high priority areas of the ecological community that have been adversely impacted. This may include:</w:t>
      </w:r>
    </w:p>
    <w:p w14:paraId="6CA7295C" w14:textId="77777777" w:rsidR="004A7BA7" w:rsidRDefault="004A7BA7" w:rsidP="004A7BA7">
      <w:pPr>
        <w:numPr>
          <w:ilvl w:val="1"/>
          <w:numId w:val="43"/>
        </w:numPr>
        <w:rPr>
          <w:rFonts w:eastAsia="Times New Roman" w:cs="Times New Roman"/>
        </w:rPr>
      </w:pPr>
      <w:r>
        <w:rPr>
          <w:rFonts w:eastAsia="Times New Roman" w:cs="Times New Roman"/>
        </w:rPr>
        <w:t>R</w:t>
      </w:r>
      <w:r w:rsidRPr="00F03B9E">
        <w:rPr>
          <w:rFonts w:eastAsia="Times New Roman" w:cs="Times New Roman"/>
        </w:rPr>
        <w:t>emoving or altering weirs, causeways, drains or other artificial structures, where feasible, or installation of levees and control structures that have positive environmental benefits.</w:t>
      </w:r>
    </w:p>
    <w:p w14:paraId="63EA9752" w14:textId="77777777" w:rsidR="004A7BA7" w:rsidRPr="00E40E2C" w:rsidRDefault="004A7BA7" w:rsidP="004A7BA7">
      <w:pPr>
        <w:numPr>
          <w:ilvl w:val="1"/>
          <w:numId w:val="43"/>
        </w:numPr>
      </w:pPr>
      <w:r>
        <w:rPr>
          <w:rFonts w:eastAsia="Times New Roman" w:cs="Times New Roman"/>
        </w:rPr>
        <w:t>T</w:t>
      </w:r>
      <w:r w:rsidRPr="00F03B9E">
        <w:rPr>
          <w:rFonts w:eastAsia="Times New Roman" w:cs="Times New Roman"/>
        </w:rPr>
        <w:t xml:space="preserve">argeted environmental (and cultural) watering and other activities that will mitigate and reduce detrimental hydrological impacts and restore flows and water quality. </w:t>
      </w:r>
      <w:r w:rsidRPr="00E40E2C">
        <w:t>Determine high priority areas in consultation with First Nations groups.</w:t>
      </w:r>
    </w:p>
    <w:p w14:paraId="39BC0A05" w14:textId="77777777" w:rsidR="004A7BA7" w:rsidRDefault="004A7BA7" w:rsidP="004A7BA7">
      <w:pPr>
        <w:numPr>
          <w:ilvl w:val="1"/>
          <w:numId w:val="43"/>
        </w:numPr>
        <w:rPr>
          <w:rFonts w:eastAsia="Times New Roman" w:cs="Times New Roman"/>
        </w:rPr>
      </w:pPr>
      <w:r>
        <w:t>Re-instate small to medium flows to facilitate within-channel and overbank flows required for the various types of wetland vegetation and aquatic species e.g. for fish and frog spawning and native vegetation recruitment.</w:t>
      </w:r>
    </w:p>
    <w:p w14:paraId="7DD92480" w14:textId="77777777" w:rsidR="004A7BA7" w:rsidRDefault="004A7BA7" w:rsidP="004A7BA7">
      <w:pPr>
        <w:pStyle w:val="ListBullet"/>
        <w:numPr>
          <w:ilvl w:val="1"/>
          <w:numId w:val="43"/>
        </w:numPr>
      </w:pPr>
      <w:r>
        <w:t xml:space="preserve">Ensure environmental watering considers whole of system influences such as: agricultural </w:t>
      </w:r>
      <w:r w:rsidRPr="0034748D">
        <w:t>run-off, climate change, pollution</w:t>
      </w:r>
      <w:r>
        <w:t>, and potential impacts on culturally important areas</w:t>
      </w:r>
      <w:r w:rsidRPr="0034748D">
        <w:t>.</w:t>
      </w:r>
    </w:p>
    <w:p w14:paraId="0E5A35AB" w14:textId="77777777" w:rsidR="004A7BA7" w:rsidRDefault="004A7BA7" w:rsidP="004A7BA7">
      <w:pPr>
        <w:pStyle w:val="ListBullet"/>
        <w:numPr>
          <w:ilvl w:val="0"/>
          <w:numId w:val="43"/>
        </w:numPr>
        <w:ind w:left="709" w:hanging="284"/>
      </w:pPr>
      <w:r>
        <w:t>In managing flows:</w:t>
      </w:r>
    </w:p>
    <w:p w14:paraId="35C99BA4" w14:textId="77777777" w:rsidR="004A7BA7" w:rsidRDefault="004A7BA7" w:rsidP="004A7BA7">
      <w:pPr>
        <w:pStyle w:val="ListBullet"/>
        <w:numPr>
          <w:ilvl w:val="1"/>
          <w:numId w:val="43"/>
        </w:numPr>
      </w:pPr>
      <w:r>
        <w:lastRenderedPageBreak/>
        <w:t>Take into consideration that variability of the natural flow regime, including implementing changes to mitigate or avoid seasonal inversions of flows. (Note: peak flows in summer tend to reduce growth of submergent water plants in the channel).</w:t>
      </w:r>
    </w:p>
    <w:p w14:paraId="1264B71A" w14:textId="77777777" w:rsidR="004A7BA7" w:rsidRPr="00221C04" w:rsidRDefault="004A7BA7" w:rsidP="004A7BA7">
      <w:pPr>
        <w:numPr>
          <w:ilvl w:val="1"/>
          <w:numId w:val="43"/>
        </w:numPr>
        <w:rPr>
          <w:rFonts w:eastAsia="Times New Roman" w:cs="Times New Roman"/>
        </w:rPr>
      </w:pPr>
      <w:r>
        <w:t>Determine and ensure the environmental water requirements for priority environmental assets and ecosystem functions, and to maintain connectivity (as defined by this Conservation Advice, the Murray-Darling Basin Plan and other plans for obtaining positive environmental outcomes).</w:t>
      </w:r>
    </w:p>
    <w:p w14:paraId="3CD10FBA" w14:textId="77777777" w:rsidR="004A7BA7" w:rsidRDefault="004A7BA7" w:rsidP="004A7BA7">
      <w:pPr>
        <w:pStyle w:val="ListBullet"/>
        <w:numPr>
          <w:ilvl w:val="1"/>
          <w:numId w:val="43"/>
        </w:numPr>
      </w:pPr>
      <w:r>
        <w:t>Restore variability in water levels in the weir pools (also minimises stratification).</w:t>
      </w:r>
    </w:p>
    <w:p w14:paraId="3B551DA6" w14:textId="77777777" w:rsidR="004A7BA7" w:rsidRPr="00221C04" w:rsidRDefault="004A7BA7" w:rsidP="004A7BA7">
      <w:pPr>
        <w:numPr>
          <w:ilvl w:val="1"/>
          <w:numId w:val="43"/>
        </w:numPr>
        <w:rPr>
          <w:rFonts w:eastAsia="Times New Roman" w:cs="Times New Roman"/>
        </w:rPr>
      </w:pPr>
      <w:r w:rsidRPr="00F03B9E">
        <w:rPr>
          <w:rFonts w:eastAsia="Calibri" w:cs="Times New Roman"/>
        </w:rPr>
        <w:t>Ensure environmental watering considers whole of system influences such as: agricultural run-off, climate change, pollution, potential impacts on culturally important areas, etc.</w:t>
      </w:r>
    </w:p>
    <w:p w14:paraId="4B5F434B" w14:textId="77777777" w:rsidR="004A7BA7" w:rsidRPr="00345B31" w:rsidRDefault="004A7BA7" w:rsidP="004A7BA7">
      <w:pPr>
        <w:pStyle w:val="ListBullet"/>
        <w:numPr>
          <w:ilvl w:val="0"/>
          <w:numId w:val="43"/>
        </w:numPr>
        <w:ind w:left="709" w:hanging="283"/>
        <w:rPr>
          <w:b/>
        </w:rPr>
      </w:pPr>
      <w:r>
        <w:t>While the preference is to maintain a permanently open mouth, ensure that the Murray Mouth remains open at frequencies, for durations, and with passing flows, sufficient to:</w:t>
      </w:r>
    </w:p>
    <w:p w14:paraId="20A573DB" w14:textId="77777777" w:rsidR="004A7BA7" w:rsidRPr="007D7478" w:rsidRDefault="004A7BA7" w:rsidP="004A7BA7">
      <w:pPr>
        <w:pStyle w:val="ListBullet"/>
        <w:numPr>
          <w:ilvl w:val="1"/>
          <w:numId w:val="43"/>
        </w:numPr>
      </w:pPr>
      <w:r>
        <w:t>enable the conveyance of sal</w:t>
      </w:r>
      <w:r w:rsidRPr="007D7478">
        <w:t>t, nutrients</w:t>
      </w:r>
      <w:r>
        <w:t>,</w:t>
      </w:r>
      <w:r w:rsidRPr="007D7478">
        <w:t xml:space="preserve"> and sediment from the Murray-Darling Basin to the </w:t>
      </w:r>
      <w:r>
        <w:t xml:space="preserve">adjacent </w:t>
      </w:r>
      <w:r w:rsidRPr="007D7478">
        <w:t>ocean, and</w:t>
      </w:r>
    </w:p>
    <w:p w14:paraId="065A69B6" w14:textId="77777777" w:rsidR="004A7BA7" w:rsidRPr="007D7478" w:rsidRDefault="004A7BA7" w:rsidP="004A7BA7">
      <w:pPr>
        <w:pStyle w:val="ListBullet"/>
        <w:numPr>
          <w:ilvl w:val="1"/>
          <w:numId w:val="43"/>
        </w:numPr>
      </w:pPr>
      <w:r>
        <w:t>e</w:t>
      </w:r>
      <w:r w:rsidRPr="007D7478">
        <w:t>nsure that the tidal exchange maintains the Coorong's water quality within the tolerance of the Coorong ecosystem's resilience.</w:t>
      </w:r>
    </w:p>
    <w:p w14:paraId="559613BA" w14:textId="77777777" w:rsidR="004A7BA7" w:rsidRDefault="004A7BA7" w:rsidP="004A7BA7">
      <w:pPr>
        <w:pStyle w:val="ListBullet"/>
        <w:numPr>
          <w:ilvl w:val="0"/>
          <w:numId w:val="43"/>
        </w:numPr>
        <w:ind w:left="709" w:hanging="283"/>
      </w:pPr>
      <w:r>
        <w:t xml:space="preserve">Mitigate the threat of algal blooms by reducing excess nutrient inputs into the ecological community. Develop a status report of the issue, including site specific trends along the </w:t>
      </w:r>
      <w:r w:rsidRPr="00A9477B">
        <w:t>ecological community</w:t>
      </w:r>
      <w:r>
        <w:t xml:space="preserve"> over the past 30 years.</w:t>
      </w:r>
    </w:p>
    <w:p w14:paraId="797FB1A4" w14:textId="77777777" w:rsidR="004A7BA7" w:rsidRDefault="004A7BA7" w:rsidP="004A7BA7">
      <w:pPr>
        <w:pStyle w:val="ListBullet"/>
        <w:numPr>
          <w:ilvl w:val="0"/>
          <w:numId w:val="43"/>
        </w:numPr>
        <w:ind w:left="709" w:hanging="283"/>
        <w:rPr>
          <w:b/>
        </w:rPr>
      </w:pPr>
      <w:r>
        <w:t>Promote conservation of the Chowilla Anabranch/floodplain system (including restoring variable flows), which has the most diverse range of aquatic habitats (lotic and lentic) and is a refuge and critical source of recruitment for small and large bodied fish in the ecological community.</w:t>
      </w:r>
    </w:p>
    <w:p w14:paraId="32CED013" w14:textId="6913910A" w:rsidR="004A7BA7" w:rsidRPr="007E0957" w:rsidRDefault="003E48DB" w:rsidP="006E2204">
      <w:pPr>
        <w:pStyle w:val="Heading4"/>
      </w:pPr>
      <w:bookmarkStart w:id="195" w:name="_Hlk174919684"/>
      <w:r>
        <w:t>Restore Native Vegetation</w:t>
      </w:r>
    </w:p>
    <w:p w14:paraId="4311272B" w14:textId="77777777" w:rsidR="004A7BA7" w:rsidRDefault="004A7BA7" w:rsidP="004A7BA7">
      <w:pPr>
        <w:pStyle w:val="ListBullet"/>
        <w:numPr>
          <w:ilvl w:val="0"/>
          <w:numId w:val="43"/>
        </w:numPr>
        <w:ind w:left="709" w:hanging="283"/>
        <w:rPr>
          <w:b/>
        </w:rPr>
      </w:pPr>
      <w:r w:rsidRPr="00221C04">
        <w:t xml:space="preserve">Undertake restoration (including facilitating regeneration and revegetation) of lower condition patches, to restore them to </w:t>
      </w:r>
      <w:r>
        <w:t>a higher condition</w:t>
      </w:r>
      <w:r w:rsidRPr="00221C04">
        <w:t xml:space="preserve">. </w:t>
      </w:r>
      <w:r w:rsidRPr="000D7E89">
        <w:t xml:space="preserve">Restoration should aspire to the 5 Star Standard of the SERA Standards. Land managers should aim for the highest and best recovery of </w:t>
      </w:r>
      <w:r>
        <w:t>native vegetation</w:t>
      </w:r>
      <w:r w:rsidRPr="000D7E89">
        <w:t>, to maximise biodiversity and ecological function based on appropriate metrics for each site</w:t>
      </w:r>
      <w:r>
        <w:t xml:space="preserve">. </w:t>
      </w:r>
      <w:r w:rsidRPr="000D7E89">
        <w:t xml:space="preserve">SERA (2021) </w:t>
      </w:r>
      <w:r>
        <w:t xml:space="preserve">gives </w:t>
      </w:r>
      <w:r w:rsidRPr="000D7E89">
        <w:t>guidance on implementing appropriate standards. Th</w:t>
      </w:r>
      <w:r>
        <w:t xml:space="preserve">ese aspirations are </w:t>
      </w:r>
      <w:r w:rsidRPr="000D7E89">
        <w:t xml:space="preserve">particularly </w:t>
      </w:r>
      <w:r>
        <w:t>important</w:t>
      </w:r>
      <w:r w:rsidRPr="000D7E89">
        <w:t xml:space="preserve"> for sites that are being restored or reconstructed from highly altered states</w:t>
      </w:r>
      <w:r>
        <w:t>.</w:t>
      </w:r>
    </w:p>
    <w:p w14:paraId="0418744B" w14:textId="77777777" w:rsidR="004A7BA7" w:rsidRDefault="004A7BA7" w:rsidP="004A7BA7">
      <w:pPr>
        <w:pStyle w:val="ListBullet"/>
        <w:numPr>
          <w:ilvl w:val="0"/>
          <w:numId w:val="43"/>
        </w:numPr>
        <w:ind w:left="709" w:hanging="283"/>
        <w:rPr>
          <w:b/>
        </w:rPr>
      </w:pPr>
      <w:r w:rsidRPr="000D7E89">
        <w:t>Identify which areas are best revegetated with either seedlings or seed (e.g. residual chemicals and nutrients in the soil of agricultural areas can suppress native species germination for up to five years).</w:t>
      </w:r>
    </w:p>
    <w:p w14:paraId="3932024A" w14:textId="77777777" w:rsidR="004A7BA7" w:rsidRDefault="004A7BA7" w:rsidP="004A7BA7">
      <w:pPr>
        <w:pStyle w:val="ListBullet"/>
        <w:numPr>
          <w:ilvl w:val="0"/>
          <w:numId w:val="43"/>
        </w:numPr>
        <w:ind w:left="709" w:hanging="283"/>
        <w:rPr>
          <w:b/>
        </w:rPr>
      </w:pPr>
      <w:r w:rsidRPr="00AC4B8D">
        <w:t>Aim to establish species from the full suite of life-history characteristic species; create resilient conditions to promote natural regeneration and recovery from disturbance.</w:t>
      </w:r>
    </w:p>
    <w:p w14:paraId="4E8EAEB1" w14:textId="77777777" w:rsidR="004A7BA7" w:rsidRDefault="004A7BA7" w:rsidP="004A7BA7">
      <w:pPr>
        <w:pStyle w:val="ListBullet"/>
        <w:numPr>
          <w:ilvl w:val="0"/>
          <w:numId w:val="43"/>
        </w:numPr>
        <w:ind w:left="709" w:hanging="283"/>
        <w:rPr>
          <w:b/>
        </w:rPr>
      </w:pPr>
      <w:r w:rsidRPr="000D7E89">
        <w:t xml:space="preserve">Support natural </w:t>
      </w:r>
      <w:r w:rsidRPr="0048378D">
        <w:t>regeneration where possible</w:t>
      </w:r>
      <w:r>
        <w:t xml:space="preserve"> (e.g. through floodplain flows)</w:t>
      </w:r>
      <w:r w:rsidRPr="0048378D">
        <w:t>.</w:t>
      </w:r>
    </w:p>
    <w:p w14:paraId="52D0A606" w14:textId="77777777" w:rsidR="004A7BA7" w:rsidRPr="00F25AE8" w:rsidRDefault="004A7BA7" w:rsidP="004A7BA7">
      <w:pPr>
        <w:pStyle w:val="ListBullet"/>
        <w:numPr>
          <w:ilvl w:val="0"/>
          <w:numId w:val="43"/>
        </w:numPr>
        <w:ind w:left="709" w:hanging="283"/>
        <w:rPr>
          <w:b/>
        </w:rPr>
      </w:pPr>
      <w:r w:rsidRPr="0048378D">
        <w:t xml:space="preserve">Replant native vegetation to riparian/littoral and floodplain areas </w:t>
      </w:r>
      <w:r>
        <w:t xml:space="preserve">that are not naturally regenerating </w:t>
      </w:r>
      <w:r w:rsidRPr="0048378D">
        <w:t>using species known to previously occur locally.</w:t>
      </w:r>
    </w:p>
    <w:p w14:paraId="297E1956" w14:textId="77777777" w:rsidR="004A7BA7" w:rsidRPr="00F25AE8" w:rsidRDefault="004A7BA7" w:rsidP="004A7BA7">
      <w:pPr>
        <w:pStyle w:val="ListBullet"/>
        <w:numPr>
          <w:ilvl w:val="0"/>
          <w:numId w:val="43"/>
        </w:numPr>
        <w:ind w:left="709" w:hanging="283"/>
        <w:rPr>
          <w:b/>
        </w:rPr>
      </w:pPr>
      <w:r w:rsidRPr="0048378D">
        <w:lastRenderedPageBreak/>
        <w:t xml:space="preserve">Re-establish </w:t>
      </w:r>
      <w:r w:rsidRPr="008A158F">
        <w:rPr>
          <w:i/>
          <w:iCs/>
        </w:rPr>
        <w:t>Ruppia</w:t>
      </w:r>
      <w:r w:rsidRPr="0048378D">
        <w:t xml:space="preserve"> and associated species in the Coorong</w:t>
      </w:r>
      <w:r>
        <w:t>.</w:t>
      </w:r>
    </w:p>
    <w:p w14:paraId="659EB3F5" w14:textId="77777777" w:rsidR="004A7BA7" w:rsidRPr="00F25AE8" w:rsidRDefault="004A7BA7" w:rsidP="004A7BA7">
      <w:pPr>
        <w:pStyle w:val="ListBullet"/>
        <w:numPr>
          <w:ilvl w:val="0"/>
          <w:numId w:val="43"/>
        </w:numPr>
        <w:ind w:left="709" w:hanging="283"/>
        <w:rPr>
          <w:b/>
        </w:rPr>
      </w:pPr>
      <w:r w:rsidRPr="005E3BF0">
        <w:t>Restore instream and riparian vegetation in the streams of the Eastern Mount Lofty Ranges components of the ecological community</w:t>
      </w:r>
      <w:r>
        <w:t>.</w:t>
      </w:r>
    </w:p>
    <w:p w14:paraId="146AB54B" w14:textId="77777777" w:rsidR="004A7BA7" w:rsidRPr="00F25AE8" w:rsidRDefault="004A7BA7" w:rsidP="004A7BA7">
      <w:pPr>
        <w:pStyle w:val="ListBullet"/>
        <w:numPr>
          <w:ilvl w:val="0"/>
          <w:numId w:val="43"/>
        </w:numPr>
        <w:ind w:left="709" w:hanging="283"/>
        <w:rPr>
          <w:b/>
        </w:rPr>
      </w:pPr>
      <w:r w:rsidRPr="005E3BF0">
        <w:t>Work with landholders/managers to restore and reconnect areas of the ecological community, and to increase adjacent or nearby native vegetation (including buffer areas)</w:t>
      </w:r>
      <w:r>
        <w:t>.</w:t>
      </w:r>
    </w:p>
    <w:p w14:paraId="5CB9B850" w14:textId="77777777" w:rsidR="004A7BA7" w:rsidRDefault="004A7BA7" w:rsidP="004A7BA7">
      <w:pPr>
        <w:pStyle w:val="ListBullet"/>
        <w:numPr>
          <w:ilvl w:val="0"/>
          <w:numId w:val="43"/>
        </w:numPr>
        <w:ind w:left="709" w:hanging="283"/>
        <w:rPr>
          <w:b/>
        </w:rPr>
      </w:pPr>
      <w:r w:rsidRPr="005E3BF0">
        <w:t xml:space="preserve">Maintain snags, stags, logs, large rocks and mature and old-growth trees with hollows, because they provide important habitat for fauna. If necessary, supplement (but do not replace) habitat as part of restoration projects – </w:t>
      </w:r>
      <w:r>
        <w:t>t</w:t>
      </w:r>
      <w:r w:rsidRPr="005E3BF0">
        <w:t>his may be particularly important after severe disturbance.</w:t>
      </w:r>
    </w:p>
    <w:p w14:paraId="5BE0CC7F" w14:textId="77777777" w:rsidR="004A7BA7" w:rsidRDefault="004A7BA7" w:rsidP="004A7BA7">
      <w:pPr>
        <w:pStyle w:val="ListBullet"/>
        <w:numPr>
          <w:ilvl w:val="0"/>
          <w:numId w:val="43"/>
        </w:numPr>
        <w:ind w:left="709" w:hanging="283"/>
        <w:rPr>
          <w:b/>
        </w:rPr>
      </w:pPr>
      <w:r w:rsidRPr="00DD690B">
        <w:t>Use local native species in restoration projects, and restore structure</w:t>
      </w:r>
      <w:r>
        <w:t>, abundance</w:t>
      </w:r>
      <w:r w:rsidRPr="00DD690B">
        <w:t xml:space="preserve"> and diversity to an appropriate and sustainable level for the site. </w:t>
      </w:r>
    </w:p>
    <w:p w14:paraId="5A121281" w14:textId="77777777" w:rsidR="004A7BA7" w:rsidRDefault="004A7BA7" w:rsidP="004A7BA7">
      <w:pPr>
        <w:pStyle w:val="ListBullet"/>
        <w:numPr>
          <w:ilvl w:val="1"/>
          <w:numId w:val="43"/>
        </w:numPr>
        <w:rPr>
          <w:b/>
        </w:rPr>
      </w:pPr>
      <w:r w:rsidRPr="00DD690B">
        <w:t>In general, use locally collected seeds, where available, to revegetate native plant species. However, choosing sources of seed closer to the margins of their range may increase resilience to climate change. Take account of key plant species’ growing seasons to successfully achieve seed set.</w:t>
      </w:r>
    </w:p>
    <w:p w14:paraId="025CCE10" w14:textId="77777777" w:rsidR="004A7BA7" w:rsidRDefault="004A7BA7" w:rsidP="004A7BA7">
      <w:pPr>
        <w:pStyle w:val="ListBullet"/>
        <w:numPr>
          <w:ilvl w:val="0"/>
          <w:numId w:val="43"/>
        </w:numPr>
        <w:ind w:left="709" w:hanging="283"/>
        <w:rPr>
          <w:b/>
        </w:rPr>
      </w:pPr>
      <w:r w:rsidRPr="00DD690B">
        <w:t>Ensure commitment to follow up after planting, such as the care of newly planted vegetation by watering, weeding and use/removal of tree guards</w:t>
      </w:r>
      <w:r>
        <w:t xml:space="preserve"> if needed</w:t>
      </w:r>
      <w:r w:rsidRPr="00DD690B">
        <w:t xml:space="preserve">. </w:t>
      </w:r>
    </w:p>
    <w:p w14:paraId="3D59DE35" w14:textId="77777777" w:rsidR="004A7BA7" w:rsidRDefault="004A7BA7" w:rsidP="004A7BA7">
      <w:pPr>
        <w:pStyle w:val="ListBullet"/>
        <w:numPr>
          <w:ilvl w:val="0"/>
          <w:numId w:val="43"/>
        </w:numPr>
        <w:ind w:left="709" w:hanging="283"/>
        <w:rPr>
          <w:b/>
        </w:rPr>
      </w:pPr>
      <w:r w:rsidRPr="00DD690B">
        <w:t>Consider the landscape context and other relevant species and communities when planning restoration works. For example, ensure that adjacent ecological communities and threatened and migratory species are not adversely impacted by restoration activities.</w:t>
      </w:r>
    </w:p>
    <w:p w14:paraId="3BAE590B" w14:textId="77777777" w:rsidR="004A7BA7" w:rsidRDefault="004A7BA7" w:rsidP="004A7BA7">
      <w:pPr>
        <w:pStyle w:val="ListBullet"/>
        <w:numPr>
          <w:ilvl w:val="0"/>
          <w:numId w:val="43"/>
        </w:numPr>
        <w:ind w:left="709" w:hanging="283"/>
        <w:rPr>
          <w:b/>
        </w:rPr>
      </w:pPr>
      <w:r w:rsidRPr="00DD690B">
        <w:t>Close and rehabilitate unnecessary roads and tracks and otherwise control access to restored areas; but take account of required access (e.g. by elder</w:t>
      </w:r>
      <w:r>
        <w:t>s of</w:t>
      </w:r>
      <w:r w:rsidRPr="00DD690B">
        <w:t xml:space="preserve"> Traditional Owners/Custodians to cultural sites).</w:t>
      </w:r>
    </w:p>
    <w:p w14:paraId="2A9AD7E9" w14:textId="77777777" w:rsidR="004A7BA7" w:rsidRPr="008A158F" w:rsidRDefault="004A7BA7" w:rsidP="004A7BA7">
      <w:pPr>
        <w:pStyle w:val="ListBullet"/>
        <w:numPr>
          <w:ilvl w:val="0"/>
          <w:numId w:val="43"/>
        </w:numPr>
        <w:ind w:left="709" w:hanging="283"/>
        <w:rPr>
          <w:b/>
        </w:rPr>
      </w:pPr>
      <w:r w:rsidRPr="000D7E89">
        <w:t>Where appropriate habitat is available, and predators and competitors can be sufficiently controlled, re-introduction of some fauna species, including those supporting important ecological functions, may be possible.</w:t>
      </w:r>
    </w:p>
    <w:p w14:paraId="1159C21D" w14:textId="77777777" w:rsidR="004A7BA7" w:rsidRPr="000D7E89" w:rsidRDefault="004A7BA7" w:rsidP="004162AC">
      <w:pPr>
        <w:numPr>
          <w:ilvl w:val="1"/>
          <w:numId w:val="103"/>
        </w:numPr>
      </w:pPr>
      <w:r w:rsidRPr="000D7E89">
        <w:t>Consider the size of the gene pool and interactions with naturally occurring populations when introducing fauna.</w:t>
      </w:r>
    </w:p>
    <w:p w14:paraId="3B789C6A" w14:textId="77777777" w:rsidR="004A7BA7" w:rsidRPr="000D7E89" w:rsidRDefault="004A7BA7" w:rsidP="004162AC">
      <w:pPr>
        <w:numPr>
          <w:ilvl w:val="1"/>
          <w:numId w:val="103"/>
        </w:numPr>
      </w:pPr>
      <w:r w:rsidRPr="000D7E89">
        <w:t>Where key ecological services, formerly provided by fauna, are limited or missing, consider any opportunities to replicate these.</w:t>
      </w:r>
    </w:p>
    <w:p w14:paraId="1D156C19" w14:textId="77777777" w:rsidR="004A7BA7" w:rsidRPr="000D7E89" w:rsidRDefault="004A7BA7" w:rsidP="004A7BA7">
      <w:pPr>
        <w:pStyle w:val="ListBullet"/>
        <w:numPr>
          <w:ilvl w:val="0"/>
          <w:numId w:val="43"/>
        </w:numPr>
        <w:ind w:left="709" w:hanging="283"/>
      </w:pPr>
      <w:r w:rsidRPr="000D7E89">
        <w:t xml:space="preserve">Explore the potential for carbon mitigation investment activities to restore </w:t>
      </w:r>
      <w:r>
        <w:t xml:space="preserve">wooded areas </w:t>
      </w:r>
      <w:r w:rsidRPr="000D7E89">
        <w:t xml:space="preserve">through reforestation. This should be in line with appropriate reforestation methodologies such as those developed under the </w:t>
      </w:r>
      <w:r w:rsidRPr="008A158F">
        <w:rPr>
          <w:i/>
          <w:iCs/>
        </w:rPr>
        <w:t>Carbon Credits (Carbon Farming Initiative) Act 2011</w:t>
      </w:r>
      <w:r w:rsidRPr="000D7E89">
        <w:t xml:space="preserve">. As part of any such initiatives, </w:t>
      </w:r>
      <w:r>
        <w:t>aim to also achieve</w:t>
      </w:r>
      <w:r w:rsidRPr="000D7E89">
        <w:t xml:space="preserve"> biodiversity credits.</w:t>
      </w:r>
    </w:p>
    <w:p w14:paraId="59E0A989" w14:textId="77777777" w:rsidR="004A7BA7" w:rsidRPr="007B1482" w:rsidRDefault="004A7BA7" w:rsidP="004A7BA7">
      <w:pPr>
        <w:pStyle w:val="ListBullet"/>
        <w:numPr>
          <w:ilvl w:val="0"/>
          <w:numId w:val="43"/>
        </w:numPr>
        <w:ind w:left="709" w:hanging="283"/>
      </w:pPr>
      <w:r w:rsidRPr="007B1482">
        <w:t xml:space="preserve">Implement effective adaptive management regimes using information from available research and management guidelines. For example, see the National Standards for the </w:t>
      </w:r>
      <w:r w:rsidRPr="007B1482">
        <w:lastRenderedPageBreak/>
        <w:t>Practice of Ecological Restoration in Australia (Standards Reference Group SERA, 2021), relevant research or advice from local authorities.</w:t>
      </w:r>
      <w:bookmarkStart w:id="196" w:name="_Toc167453897"/>
      <w:bookmarkStart w:id="197" w:name="_Toc167453969"/>
      <w:bookmarkEnd w:id="196"/>
      <w:bookmarkEnd w:id="197"/>
    </w:p>
    <w:p w14:paraId="1AD4DE4A" w14:textId="5EE92C30" w:rsidR="004A7BA7" w:rsidRPr="00587B54" w:rsidRDefault="003E48DB" w:rsidP="006E2204">
      <w:pPr>
        <w:pStyle w:val="Heading4"/>
      </w:pPr>
      <w:bookmarkStart w:id="198" w:name="_Toc167455234"/>
      <w:bookmarkStart w:id="199" w:name="_Toc167456311"/>
      <w:bookmarkStart w:id="200" w:name="_Toc167460008"/>
      <w:bookmarkStart w:id="201" w:name="_Toc167460220"/>
      <w:bookmarkStart w:id="202" w:name="_Toc167476439"/>
      <w:bookmarkStart w:id="203" w:name="_Toc167476535"/>
      <w:bookmarkStart w:id="204" w:name="_Toc167476765"/>
      <w:bookmarkEnd w:id="195"/>
      <w:bookmarkEnd w:id="198"/>
      <w:bookmarkEnd w:id="199"/>
      <w:bookmarkEnd w:id="200"/>
      <w:bookmarkEnd w:id="201"/>
      <w:bookmarkEnd w:id="202"/>
      <w:bookmarkEnd w:id="203"/>
      <w:bookmarkEnd w:id="204"/>
      <w:r>
        <w:t>Manage Salinity</w:t>
      </w:r>
    </w:p>
    <w:p w14:paraId="73607779" w14:textId="77777777" w:rsidR="004A7BA7" w:rsidRDefault="004A7BA7" w:rsidP="004162AC">
      <w:pPr>
        <w:pStyle w:val="ListBullet"/>
        <w:numPr>
          <w:ilvl w:val="0"/>
          <w:numId w:val="49"/>
        </w:numPr>
        <w:ind w:left="709" w:hanging="283"/>
      </w:pPr>
      <w:r>
        <w:t>Maintain a long-term database of salinities at each weir, in the Lower Lakes and Coorong and at the Murray Mouth.</w:t>
      </w:r>
    </w:p>
    <w:p w14:paraId="56D45ECF" w14:textId="77777777" w:rsidR="004A7BA7" w:rsidRDefault="004A7BA7" w:rsidP="004162AC">
      <w:pPr>
        <w:pStyle w:val="ListBullet"/>
        <w:numPr>
          <w:ilvl w:val="0"/>
          <w:numId w:val="49"/>
        </w:numPr>
        <w:ind w:left="709" w:hanging="283"/>
      </w:pPr>
      <w:r>
        <w:t>In recognition that the North and South Lagoon of the Coorong are different and distinct estuarine systems, ensure that the salinity loggers within the Coorong accurately reflect averages for each lagoon separately.</w:t>
      </w:r>
    </w:p>
    <w:p w14:paraId="2C45FCCC" w14:textId="77777777" w:rsidR="004A7BA7" w:rsidRDefault="004A7BA7" w:rsidP="004162AC">
      <w:pPr>
        <w:pStyle w:val="ListBullet"/>
        <w:numPr>
          <w:ilvl w:val="0"/>
          <w:numId w:val="49"/>
        </w:numPr>
        <w:ind w:left="709" w:hanging="283"/>
      </w:pPr>
      <w:r>
        <w:t>Maintain a long-term database of soil, surface water, and groundwater salinities at key locations on the floodplain.</w:t>
      </w:r>
    </w:p>
    <w:p w14:paraId="13FFF089" w14:textId="77777777" w:rsidR="004A7BA7" w:rsidRDefault="004A7BA7" w:rsidP="004162AC">
      <w:pPr>
        <w:pStyle w:val="ListBullet"/>
        <w:numPr>
          <w:ilvl w:val="0"/>
          <w:numId w:val="49"/>
        </w:numPr>
        <w:ind w:left="709" w:hanging="283"/>
      </w:pPr>
      <w:r>
        <w:t>For the Chowilla floodplain (the largest remaining riverine woodland in South Australia) aim to lower groundwater and increase flooding frequency to reduce soil salinisation and floodplain tree decline and loss.</w:t>
      </w:r>
    </w:p>
    <w:p w14:paraId="5CBB63C0" w14:textId="77777777" w:rsidR="004A7BA7" w:rsidRDefault="004A7BA7" w:rsidP="004162AC">
      <w:pPr>
        <w:pStyle w:val="ListBullet"/>
        <w:numPr>
          <w:ilvl w:val="0"/>
          <w:numId w:val="49"/>
        </w:numPr>
        <w:ind w:left="709" w:hanging="283"/>
      </w:pPr>
      <w:r>
        <w:t>Support appropriate ongoing programs related to desalinisation of water and soils associated with the ecological community (e.g. salt interception schemes and irrigation management improvements) while ensuring there are no adverse impacts.</w:t>
      </w:r>
    </w:p>
    <w:p w14:paraId="1BEEAE7E" w14:textId="6B2EEDD7" w:rsidR="004A7BA7" w:rsidRPr="005A1E1E" w:rsidRDefault="003E48DB" w:rsidP="006E2204">
      <w:pPr>
        <w:pStyle w:val="Heading4"/>
      </w:pPr>
      <w:r>
        <w:t>Manage Acid Sulfate Soils</w:t>
      </w:r>
    </w:p>
    <w:p w14:paraId="2EA8E746" w14:textId="77777777" w:rsidR="004A7BA7" w:rsidRDefault="004A7BA7" w:rsidP="004162AC">
      <w:pPr>
        <w:pStyle w:val="ListBullet"/>
        <w:numPr>
          <w:ilvl w:val="0"/>
          <w:numId w:val="48"/>
        </w:numPr>
        <w:ind w:left="709" w:hanging="283"/>
      </w:pPr>
      <w:r>
        <w:t>Evaluate the severe Acid Sulfate Soil event and response during the Millennium Drought and identify key lessons learnt and publish management guidance for future events.</w:t>
      </w:r>
    </w:p>
    <w:p w14:paraId="20BD378E" w14:textId="77777777" w:rsidR="004A7BA7" w:rsidRDefault="004A7BA7" w:rsidP="004162AC">
      <w:pPr>
        <w:pStyle w:val="ListBullet"/>
        <w:numPr>
          <w:ilvl w:val="0"/>
          <w:numId w:val="48"/>
        </w:numPr>
        <w:ind w:left="709" w:hanging="283"/>
      </w:pPr>
      <w:r>
        <w:t>Ensure mitigation planning, including remedial response planning for future Acid Sulfate Soil events during drought.</w:t>
      </w:r>
    </w:p>
    <w:p w14:paraId="1609153C" w14:textId="211C56B0" w:rsidR="004A7BA7" w:rsidRPr="005A1E1E" w:rsidRDefault="004A7BA7" w:rsidP="006E2204">
      <w:pPr>
        <w:pStyle w:val="Heading4"/>
      </w:pPr>
      <w:bookmarkStart w:id="205" w:name="_Toc167476754"/>
      <w:r>
        <w:t xml:space="preserve">Manage </w:t>
      </w:r>
      <w:r w:rsidR="003E48DB">
        <w:t>Weeds, Pests And Pathogens</w:t>
      </w:r>
      <w:bookmarkEnd w:id="205"/>
    </w:p>
    <w:p w14:paraId="75805FAF" w14:textId="77777777" w:rsidR="004A7BA7" w:rsidRDefault="004A7BA7" w:rsidP="004A7BA7">
      <w:pPr>
        <w:rPr>
          <w:rFonts w:cs="Times New Roman"/>
        </w:rPr>
      </w:pPr>
      <w:r w:rsidRPr="004B4A9D">
        <w:rPr>
          <w:rFonts w:cs="Times New Roman"/>
        </w:rPr>
        <w:t xml:space="preserve">Implement effective integrated control and management techniques for weeds, pests and </w:t>
      </w:r>
      <w:r>
        <w:rPr>
          <w:rFonts w:cs="Times New Roman"/>
        </w:rPr>
        <w:t>pathogens (</w:t>
      </w:r>
      <w:r w:rsidRPr="004B4A9D">
        <w:rPr>
          <w:rFonts w:cs="Times New Roman"/>
        </w:rPr>
        <w:t>disease</w:t>
      </w:r>
      <w:r>
        <w:rPr>
          <w:rFonts w:cs="Times New Roman"/>
        </w:rPr>
        <w:t xml:space="preserve"> causing organisms) </w:t>
      </w:r>
      <w:r w:rsidRPr="004B4A9D">
        <w:rPr>
          <w:rFonts w:cs="Times New Roman"/>
        </w:rPr>
        <w:t>affecting th</w:t>
      </w:r>
      <w:r>
        <w:rPr>
          <w:rFonts w:cs="Times New Roman"/>
        </w:rPr>
        <w:t>is</w:t>
      </w:r>
      <w:r w:rsidRPr="004B4A9D">
        <w:rPr>
          <w:rFonts w:cs="Times New Roman"/>
        </w:rPr>
        <w:t xml:space="preserve"> ecological community</w:t>
      </w:r>
      <w:r>
        <w:rPr>
          <w:rFonts w:cs="Times New Roman"/>
        </w:rPr>
        <w:t>;</w:t>
      </w:r>
      <w:r w:rsidRPr="004B4A9D">
        <w:rPr>
          <w:rFonts w:cs="Times New Roman"/>
        </w:rPr>
        <w:t xml:space="preserve"> and manage sites to prevent the introduction of new, or further spread of</w:t>
      </w:r>
      <w:r>
        <w:rPr>
          <w:rFonts w:cs="Times New Roman"/>
        </w:rPr>
        <w:t xml:space="preserve"> existing</w:t>
      </w:r>
      <w:r w:rsidRPr="004B4A9D">
        <w:rPr>
          <w:rFonts w:cs="Times New Roman"/>
        </w:rPr>
        <w:t>, invasive species.</w:t>
      </w:r>
    </w:p>
    <w:p w14:paraId="58E3A1F3" w14:textId="77777777" w:rsidR="004A7BA7" w:rsidRPr="00433A81" w:rsidRDefault="004A7BA7" w:rsidP="004162AC">
      <w:pPr>
        <w:pStyle w:val="ListBullet"/>
        <w:numPr>
          <w:ilvl w:val="0"/>
          <w:numId w:val="47"/>
        </w:numPr>
        <w:ind w:left="709" w:hanging="283"/>
      </w:pPr>
      <w:r w:rsidRPr="00433A81">
        <w:t>Enhance or develop management plans for the control of major weeds identified for the ecological community (including willow), or emerging weed threats as they develop.</w:t>
      </w:r>
    </w:p>
    <w:p w14:paraId="2FC8DE57" w14:textId="77777777" w:rsidR="004A7BA7" w:rsidRDefault="004A7BA7" w:rsidP="004162AC">
      <w:pPr>
        <w:pStyle w:val="ListBullet"/>
        <w:numPr>
          <w:ilvl w:val="0"/>
          <w:numId w:val="47"/>
        </w:numPr>
        <w:ind w:left="709" w:hanging="283"/>
        <w:rPr>
          <w:b/>
        </w:rPr>
      </w:pPr>
      <w:r>
        <w:t>Eradicate or manage weed infestations in the ecological community using appropriate methods, especially at wetlands where new weed incursions are establishing.</w:t>
      </w:r>
    </w:p>
    <w:p w14:paraId="48067B22" w14:textId="77777777" w:rsidR="004A7BA7" w:rsidRPr="0036166F" w:rsidRDefault="004A7BA7" w:rsidP="004162AC">
      <w:pPr>
        <w:pStyle w:val="ListBullet"/>
        <w:numPr>
          <w:ilvl w:val="0"/>
          <w:numId w:val="47"/>
        </w:numPr>
        <w:ind w:left="709" w:hanging="283"/>
        <w:rPr>
          <w:bCs/>
          <w:iCs/>
        </w:rPr>
      </w:pPr>
      <w:r>
        <w:t xml:space="preserve">Ensure that chemicals or other mechanisms used to eradicate weeds do not adversely impact components of </w:t>
      </w:r>
      <w:r>
        <w:rPr>
          <w:bCs/>
          <w:iCs/>
        </w:rPr>
        <w:t>this ecological community, particularly aquatic components.</w:t>
      </w:r>
    </w:p>
    <w:p w14:paraId="3BAEA4CA" w14:textId="77777777" w:rsidR="004A7BA7" w:rsidRPr="00412FA7" w:rsidRDefault="004A7BA7" w:rsidP="004162AC">
      <w:pPr>
        <w:pStyle w:val="ListParagraph"/>
        <w:numPr>
          <w:ilvl w:val="0"/>
          <w:numId w:val="47"/>
        </w:numPr>
        <w:ind w:left="709" w:hanging="284"/>
        <w:contextualSpacing w:val="0"/>
        <w:rPr>
          <w:bCs/>
          <w:iCs/>
        </w:rPr>
      </w:pPr>
      <w:r>
        <w:t>Treat disease with appropriate methods when infections are identified.</w:t>
      </w:r>
    </w:p>
    <w:p w14:paraId="35F4A044" w14:textId="77777777" w:rsidR="004A7BA7" w:rsidRPr="005E135C" w:rsidRDefault="004A7BA7" w:rsidP="004162AC">
      <w:pPr>
        <w:pStyle w:val="ListBullet"/>
        <w:numPr>
          <w:ilvl w:val="0"/>
          <w:numId w:val="47"/>
        </w:numPr>
        <w:ind w:left="709" w:hanging="283"/>
        <w:rPr>
          <w:bCs/>
          <w:iCs/>
        </w:rPr>
      </w:pPr>
      <w:r w:rsidRPr="005E135C">
        <w:rPr>
          <w:bCs/>
          <w:iCs/>
        </w:rPr>
        <w:t>If new invasive species</w:t>
      </w:r>
      <w:r>
        <w:rPr>
          <w:bCs/>
          <w:iCs/>
        </w:rPr>
        <w:t xml:space="preserve"> or pathogen</w:t>
      </w:r>
      <w:r w:rsidRPr="005E135C">
        <w:rPr>
          <w:bCs/>
          <w:iCs/>
        </w:rPr>
        <w:t xml:space="preserve"> incursions occur, detect and control them early, because small infestations are easier to eradicate.</w:t>
      </w:r>
    </w:p>
    <w:p w14:paraId="04B5241A" w14:textId="77777777" w:rsidR="004A7BA7" w:rsidRPr="005E135C" w:rsidRDefault="004A7BA7" w:rsidP="004162AC">
      <w:pPr>
        <w:pStyle w:val="ListBullet"/>
        <w:numPr>
          <w:ilvl w:val="0"/>
          <w:numId w:val="47"/>
        </w:numPr>
        <w:ind w:left="709" w:hanging="283"/>
        <w:rPr>
          <w:bCs/>
          <w:iCs/>
        </w:rPr>
      </w:pPr>
      <w:r w:rsidRPr="005E135C">
        <w:rPr>
          <w:bCs/>
          <w:iCs/>
        </w:rPr>
        <w:t>Limit or prevent grazing animals</w:t>
      </w:r>
      <w:r>
        <w:rPr>
          <w:bCs/>
          <w:iCs/>
        </w:rPr>
        <w:t>’ access</w:t>
      </w:r>
      <w:r w:rsidRPr="005E135C">
        <w:rPr>
          <w:bCs/>
          <w:iCs/>
        </w:rPr>
        <w:t xml:space="preserve"> to </w:t>
      </w:r>
      <w:r>
        <w:rPr>
          <w:bCs/>
          <w:iCs/>
        </w:rPr>
        <w:t>sensitive areas</w:t>
      </w:r>
      <w:r w:rsidRPr="005E135C">
        <w:rPr>
          <w:bCs/>
          <w:iCs/>
        </w:rPr>
        <w:t xml:space="preserve"> of the ecological community (e.g. construct fences) where practicable; exotic species seeds (e.g. from cattle fodder, or from other areas) can be spread in their manure and by adhering to their coats. Provide advice and support to landholders/managers to </w:t>
      </w:r>
      <w:r>
        <w:rPr>
          <w:bCs/>
          <w:iCs/>
        </w:rPr>
        <w:t>reduce and eliminate these risks</w:t>
      </w:r>
      <w:r w:rsidRPr="005E135C">
        <w:rPr>
          <w:bCs/>
          <w:iCs/>
        </w:rPr>
        <w:t>.</w:t>
      </w:r>
    </w:p>
    <w:p w14:paraId="3436B34A" w14:textId="77777777" w:rsidR="004A7BA7" w:rsidRDefault="004A7BA7" w:rsidP="004162AC">
      <w:pPr>
        <w:pStyle w:val="ListBullet"/>
        <w:numPr>
          <w:ilvl w:val="0"/>
          <w:numId w:val="46"/>
        </w:numPr>
        <w:ind w:left="709" w:hanging="283"/>
      </w:pPr>
      <w:r>
        <w:lastRenderedPageBreak/>
        <w:t>Develop methods to control and eliminate common carp (e.g. install exclosures, traps), particularly at key sites such as Chowilla; and implement control and eradication programs.</w:t>
      </w:r>
    </w:p>
    <w:p w14:paraId="3189006A" w14:textId="77777777" w:rsidR="004A7BA7" w:rsidRPr="006D4E53" w:rsidRDefault="004A7BA7" w:rsidP="004162AC">
      <w:pPr>
        <w:pStyle w:val="ListParagraph"/>
        <w:numPr>
          <w:ilvl w:val="0"/>
          <w:numId w:val="46"/>
        </w:numPr>
        <w:ind w:left="709" w:hanging="283"/>
      </w:pPr>
      <w:r>
        <w:t xml:space="preserve">Appropriately monitor and manage feral mammals and birds. </w:t>
      </w:r>
      <w:r w:rsidRPr="007B741E">
        <w:rPr>
          <w:rFonts w:eastAsia="Times New Roman" w:cs="Times New Roman"/>
        </w:rPr>
        <w:t>Prevent further incursions into the ecological community</w:t>
      </w:r>
      <w:r>
        <w:rPr>
          <w:rFonts w:eastAsia="Times New Roman" w:cs="Times New Roman"/>
        </w:rPr>
        <w:t>;</w:t>
      </w:r>
      <w:r w:rsidRPr="007B741E">
        <w:rPr>
          <w:rFonts w:eastAsia="Times New Roman" w:cs="Times New Roman"/>
        </w:rPr>
        <w:t xml:space="preserve"> and</w:t>
      </w:r>
      <w:r>
        <w:rPr>
          <w:rFonts w:eastAsia="Times New Roman" w:cs="Times New Roman"/>
        </w:rPr>
        <w:t xml:space="preserve"> </w:t>
      </w:r>
      <w:r w:rsidRPr="007B741E">
        <w:rPr>
          <w:rFonts w:eastAsia="Times New Roman" w:cs="Times New Roman"/>
        </w:rPr>
        <w:t>contain pets in nearby residential areas</w:t>
      </w:r>
      <w:r w:rsidRPr="005B6FE7">
        <w:rPr>
          <w:rFonts w:eastAsia="Times New Roman" w:cs="Times New Roman"/>
        </w:rPr>
        <w:t>, where possible</w:t>
      </w:r>
      <w:r w:rsidRPr="007B741E">
        <w:rPr>
          <w:rFonts w:eastAsia="Times New Roman" w:cs="Times New Roman"/>
        </w:rPr>
        <w:t>.</w:t>
      </w:r>
    </w:p>
    <w:p w14:paraId="6FE1B6E0" w14:textId="77777777" w:rsidR="004A7BA7" w:rsidRDefault="004A7BA7" w:rsidP="004162AC">
      <w:pPr>
        <w:pStyle w:val="ListBullet"/>
        <w:numPr>
          <w:ilvl w:val="0"/>
          <w:numId w:val="113"/>
        </w:numPr>
      </w:pPr>
      <w:r w:rsidRPr="006D4E53">
        <w:t>Involve Traditional Custodians in detection, eradication and control programs whenever possible.</w:t>
      </w:r>
    </w:p>
    <w:p w14:paraId="41319D72" w14:textId="30F21426" w:rsidR="004A7BA7" w:rsidRPr="005A1E1E" w:rsidRDefault="003E48DB" w:rsidP="006E2204">
      <w:pPr>
        <w:pStyle w:val="Heading4"/>
      </w:pPr>
      <w:bookmarkStart w:id="206" w:name="_Toc167476755"/>
      <w:r>
        <w:t xml:space="preserve">Manage </w:t>
      </w:r>
      <w:r w:rsidRPr="005A1E1E">
        <w:t>Fishing Pressure</w:t>
      </w:r>
      <w:bookmarkEnd w:id="206"/>
    </w:p>
    <w:p w14:paraId="2771F1D0" w14:textId="77777777" w:rsidR="004A7BA7" w:rsidRDefault="004A7BA7" w:rsidP="004162AC">
      <w:pPr>
        <w:pStyle w:val="ListBullet"/>
        <w:numPr>
          <w:ilvl w:val="0"/>
          <w:numId w:val="45"/>
        </w:numPr>
        <w:ind w:left="709" w:hanging="283"/>
      </w:pPr>
      <w:r>
        <w:t>Undertake surveys and analysis of recreational catches of native species that are part of the ecological community to track and report on trends.</w:t>
      </w:r>
    </w:p>
    <w:p w14:paraId="59567268" w14:textId="77777777" w:rsidR="004A7BA7" w:rsidRDefault="004A7BA7" w:rsidP="004162AC">
      <w:pPr>
        <w:pStyle w:val="ListBullet"/>
        <w:numPr>
          <w:ilvl w:val="0"/>
          <w:numId w:val="45"/>
        </w:numPr>
        <w:ind w:left="709" w:hanging="283"/>
      </w:pPr>
      <w:r>
        <w:t>Instigate an education and awareness program to promote ‘catch and release’ of native species, particularly Murray cod and other threatened or declining species.</w:t>
      </w:r>
    </w:p>
    <w:p w14:paraId="646FE24F" w14:textId="77777777" w:rsidR="004A7BA7" w:rsidRDefault="004A7BA7" w:rsidP="004162AC">
      <w:pPr>
        <w:pStyle w:val="ListBullet"/>
        <w:numPr>
          <w:ilvl w:val="0"/>
          <w:numId w:val="45"/>
        </w:numPr>
        <w:ind w:left="709" w:hanging="283"/>
      </w:pPr>
      <w:r>
        <w:t>Ensure adequate regard to environmental considerations and genetic implications of any proposed fish stocking scheme in the ecological community (see Gillanders &amp; Ye 2011 for Murray cod).</w:t>
      </w:r>
    </w:p>
    <w:p w14:paraId="3349EB6F" w14:textId="06B077F7" w:rsidR="004A7BA7" w:rsidRPr="00094B1C" w:rsidRDefault="004A7BA7" w:rsidP="006E2204">
      <w:pPr>
        <w:pStyle w:val="Heading4"/>
      </w:pPr>
      <w:bookmarkStart w:id="207" w:name="_Toc167476430"/>
      <w:bookmarkStart w:id="208" w:name="_Toc167476526"/>
      <w:bookmarkStart w:id="209" w:name="_Toc167476756"/>
      <w:bookmarkStart w:id="210" w:name="_Toc167476431"/>
      <w:bookmarkStart w:id="211" w:name="_Toc167476527"/>
      <w:bookmarkStart w:id="212" w:name="_Toc167476757"/>
      <w:bookmarkStart w:id="213" w:name="_Toc167476432"/>
      <w:bookmarkStart w:id="214" w:name="_Toc167476528"/>
      <w:bookmarkStart w:id="215" w:name="_Toc167476758"/>
      <w:bookmarkStart w:id="216" w:name="_Toc167476433"/>
      <w:bookmarkStart w:id="217" w:name="_Toc167476529"/>
      <w:bookmarkStart w:id="218" w:name="_Toc167476759"/>
      <w:bookmarkStart w:id="219" w:name="_Toc167476760"/>
      <w:bookmarkEnd w:id="207"/>
      <w:bookmarkEnd w:id="208"/>
      <w:bookmarkEnd w:id="209"/>
      <w:bookmarkEnd w:id="210"/>
      <w:bookmarkEnd w:id="211"/>
      <w:bookmarkEnd w:id="212"/>
      <w:bookmarkEnd w:id="213"/>
      <w:bookmarkEnd w:id="214"/>
      <w:bookmarkEnd w:id="215"/>
      <w:bookmarkEnd w:id="216"/>
      <w:bookmarkEnd w:id="217"/>
      <w:bookmarkEnd w:id="218"/>
      <w:r w:rsidRPr="00094B1C">
        <w:t xml:space="preserve">Manage </w:t>
      </w:r>
      <w:r w:rsidR="003E48DB" w:rsidRPr="00094B1C">
        <w:t>Trampling, Browsing And Grazing</w:t>
      </w:r>
      <w:bookmarkEnd w:id="219"/>
    </w:p>
    <w:p w14:paraId="35D9C908" w14:textId="77777777" w:rsidR="004A7BA7" w:rsidRPr="00094B1C" w:rsidRDefault="004A7BA7" w:rsidP="004162AC">
      <w:pPr>
        <w:pStyle w:val="ListParagraph"/>
        <w:numPr>
          <w:ilvl w:val="0"/>
          <w:numId w:val="105"/>
        </w:numPr>
        <w:ind w:left="714" w:hanging="357"/>
        <w:contextualSpacing w:val="0"/>
        <w:rPr>
          <w:rFonts w:eastAsia="Calibri" w:cs="Times New Roman"/>
        </w:rPr>
      </w:pPr>
      <w:r w:rsidRPr="00B378DA">
        <w:rPr>
          <w:rFonts w:eastAsia="Calibri" w:cs="Times New Roman"/>
        </w:rPr>
        <w:t>Ensure periodic recruitment and renewal of the understory and tree layer (e.g. by strategically timed reductions in grazing pressure).</w:t>
      </w:r>
      <w:r w:rsidRPr="00B378DA">
        <w:t xml:space="preserve"> </w:t>
      </w:r>
    </w:p>
    <w:p w14:paraId="7F020B39" w14:textId="77777777" w:rsidR="004A7BA7" w:rsidRPr="00834F00" w:rsidRDefault="004A7BA7" w:rsidP="004162AC">
      <w:pPr>
        <w:pStyle w:val="ListParagraph"/>
        <w:numPr>
          <w:ilvl w:val="0"/>
          <w:numId w:val="105"/>
        </w:numPr>
        <w:contextualSpacing w:val="0"/>
        <w:rPr>
          <w:rFonts w:eastAsia="Calibri" w:cs="Times New Roman"/>
        </w:rPr>
      </w:pPr>
      <w:r w:rsidRPr="00834F00">
        <w:rPr>
          <w:rFonts w:eastAsia="Calibri" w:cs="Times New Roman"/>
        </w:rPr>
        <w:t>In some cases, occasional grazing may reduce exotic grass cover and manage shrub regeneration – encouraging native grass and herb growth.</w:t>
      </w:r>
      <w:r>
        <w:rPr>
          <w:rFonts w:eastAsia="Calibri" w:cs="Times New Roman"/>
        </w:rPr>
        <w:t xml:space="preserve"> However, it should be managed carefully taking into account season, condition and other pressures.</w:t>
      </w:r>
    </w:p>
    <w:p w14:paraId="0C758950" w14:textId="77777777" w:rsidR="004A7BA7" w:rsidRPr="00177C7E" w:rsidRDefault="004A7BA7" w:rsidP="004162AC">
      <w:pPr>
        <w:numPr>
          <w:ilvl w:val="0"/>
          <w:numId w:val="105"/>
        </w:numPr>
        <w:ind w:left="714" w:hanging="357"/>
        <w:rPr>
          <w:rFonts w:eastAsia="Calibri" w:cs="Times New Roman"/>
        </w:rPr>
      </w:pPr>
      <w:r w:rsidRPr="00177C7E">
        <w:rPr>
          <w:rFonts w:eastAsia="Calibri" w:cs="Times New Roman"/>
        </w:rPr>
        <w:t xml:space="preserve">Promote native pastures </w:t>
      </w:r>
      <w:r>
        <w:rPr>
          <w:rFonts w:eastAsia="Calibri" w:cs="Times New Roman"/>
        </w:rPr>
        <w:t xml:space="preserve">rather than exotic grasses </w:t>
      </w:r>
      <w:r w:rsidRPr="00177C7E">
        <w:rPr>
          <w:rFonts w:eastAsia="Calibri" w:cs="Times New Roman"/>
        </w:rPr>
        <w:t>as grazing best management practice.</w:t>
      </w:r>
    </w:p>
    <w:p w14:paraId="1421826E" w14:textId="77777777" w:rsidR="004A7BA7" w:rsidRPr="00177C7E" w:rsidRDefault="004A7BA7" w:rsidP="004162AC">
      <w:pPr>
        <w:numPr>
          <w:ilvl w:val="0"/>
          <w:numId w:val="105"/>
        </w:numPr>
        <w:rPr>
          <w:rFonts w:eastAsia="Calibri" w:cs="Times New Roman"/>
        </w:rPr>
      </w:pPr>
      <w:r w:rsidRPr="00177C7E">
        <w:rPr>
          <w:rFonts w:eastAsia="Calibri" w:cs="Times New Roman"/>
        </w:rPr>
        <w:t xml:space="preserve">Remove (access to) non-essential </w:t>
      </w:r>
      <w:r>
        <w:rPr>
          <w:rFonts w:eastAsia="Calibri" w:cs="Times New Roman"/>
        </w:rPr>
        <w:t xml:space="preserve">water </w:t>
      </w:r>
      <w:r w:rsidRPr="00177C7E">
        <w:rPr>
          <w:rFonts w:eastAsia="Calibri" w:cs="Times New Roman"/>
        </w:rPr>
        <w:t xml:space="preserve">sources and manage remaining watering points to </w:t>
      </w:r>
      <w:r>
        <w:rPr>
          <w:rFonts w:eastAsia="Calibri" w:cs="Times New Roman"/>
        </w:rPr>
        <w:t xml:space="preserve">avoid damage to wetlands and watercourses, and to </w:t>
      </w:r>
      <w:r w:rsidRPr="00177C7E">
        <w:rPr>
          <w:rFonts w:eastAsia="Calibri" w:cs="Times New Roman"/>
        </w:rPr>
        <w:t>reduce total grazing pressure on the ecological community</w:t>
      </w:r>
      <w:r>
        <w:rPr>
          <w:rFonts w:eastAsia="Calibri" w:cs="Times New Roman"/>
        </w:rPr>
        <w:t>;</w:t>
      </w:r>
      <w:r w:rsidRPr="00177C7E">
        <w:rPr>
          <w:rFonts w:eastAsia="Calibri" w:cs="Times New Roman"/>
        </w:rPr>
        <w:t xml:space="preserve"> for example, with appropriate fencing.</w:t>
      </w:r>
    </w:p>
    <w:p w14:paraId="64956A8F" w14:textId="1655BF69" w:rsidR="004A7BA7" w:rsidRPr="00834F00" w:rsidRDefault="004A7BA7" w:rsidP="006E2204">
      <w:pPr>
        <w:pStyle w:val="Heading4"/>
      </w:pPr>
      <w:bookmarkStart w:id="220" w:name="_Toc167476762"/>
      <w:r w:rsidRPr="00834F00">
        <w:t xml:space="preserve">Manage </w:t>
      </w:r>
      <w:r w:rsidR="003E48DB" w:rsidRPr="00834F00">
        <w:t>Appropriate Fire Regimes</w:t>
      </w:r>
      <w:bookmarkEnd w:id="220"/>
    </w:p>
    <w:p w14:paraId="5325DD6B" w14:textId="77777777" w:rsidR="004A7BA7" w:rsidRDefault="004A7BA7" w:rsidP="004162AC">
      <w:pPr>
        <w:numPr>
          <w:ilvl w:val="0"/>
          <w:numId w:val="107"/>
        </w:numPr>
        <w:rPr>
          <w:rFonts w:eastAsia="Calibri" w:cs="Times New Roman"/>
        </w:rPr>
      </w:pPr>
      <w:bookmarkStart w:id="221" w:name="_Hlk96365266"/>
      <w:r>
        <w:rPr>
          <w:rFonts w:eastAsia="Calibri" w:cs="Times New Roman"/>
        </w:rPr>
        <w:t>F</w:t>
      </w:r>
      <w:r w:rsidRPr="00177C7E">
        <w:rPr>
          <w:rFonts w:eastAsia="Calibri" w:cs="Times New Roman"/>
        </w:rPr>
        <w:t xml:space="preserve">ires (including planned burns and associated activities) must be managed to: </w:t>
      </w:r>
    </w:p>
    <w:p w14:paraId="6EAC3A2B" w14:textId="77777777" w:rsidR="004A7BA7" w:rsidRPr="00717D61" w:rsidRDefault="004A7BA7" w:rsidP="004162AC">
      <w:pPr>
        <w:numPr>
          <w:ilvl w:val="1"/>
          <w:numId w:val="105"/>
        </w:numPr>
        <w:rPr>
          <w:rFonts w:eastAsia="Calibri" w:cs="Times New Roman"/>
        </w:rPr>
      </w:pPr>
      <w:r w:rsidRPr="00717D61">
        <w:rPr>
          <w:rFonts w:eastAsia="Calibri" w:cs="Times New Roman"/>
        </w:rPr>
        <w:t xml:space="preserve">maintain the integrity of the ecological community; avoid disruption of the life cycles of </w:t>
      </w:r>
      <w:r>
        <w:rPr>
          <w:rFonts w:eastAsia="Calibri" w:cs="Times New Roman"/>
        </w:rPr>
        <w:t>key</w:t>
      </w:r>
      <w:r w:rsidRPr="00717D61">
        <w:rPr>
          <w:rFonts w:eastAsia="Calibri" w:cs="Times New Roman"/>
        </w:rPr>
        <w:t xml:space="preserve"> species; </w:t>
      </w:r>
    </w:p>
    <w:p w14:paraId="60407DD4" w14:textId="77777777" w:rsidR="004A7BA7" w:rsidRPr="00717D61" w:rsidRDefault="004A7BA7" w:rsidP="004162AC">
      <w:pPr>
        <w:numPr>
          <w:ilvl w:val="1"/>
          <w:numId w:val="105"/>
        </w:numPr>
        <w:rPr>
          <w:rFonts w:eastAsia="Calibri" w:cs="Times New Roman"/>
        </w:rPr>
      </w:pPr>
      <w:r w:rsidRPr="00717D61">
        <w:rPr>
          <w:rFonts w:eastAsia="Calibri" w:cs="Times New Roman"/>
        </w:rPr>
        <w:t xml:space="preserve">support rather than degrade habitat; </w:t>
      </w:r>
    </w:p>
    <w:p w14:paraId="252811BF" w14:textId="77777777" w:rsidR="004A7BA7" w:rsidRPr="00717D61" w:rsidRDefault="004A7BA7" w:rsidP="004162AC">
      <w:pPr>
        <w:numPr>
          <w:ilvl w:val="1"/>
          <w:numId w:val="105"/>
        </w:numPr>
        <w:rPr>
          <w:rFonts w:eastAsia="Calibri" w:cs="Times New Roman"/>
        </w:rPr>
      </w:pPr>
      <w:r w:rsidRPr="00717D61">
        <w:rPr>
          <w:rFonts w:eastAsia="Calibri" w:cs="Times New Roman"/>
        </w:rPr>
        <w:t xml:space="preserve">avoid invasion and facilitate control of exotic species; </w:t>
      </w:r>
    </w:p>
    <w:p w14:paraId="0D3D9D2A" w14:textId="77777777" w:rsidR="004A7BA7" w:rsidRDefault="004A7BA7" w:rsidP="004162AC">
      <w:pPr>
        <w:numPr>
          <w:ilvl w:val="1"/>
          <w:numId w:val="105"/>
        </w:numPr>
        <w:rPr>
          <w:rFonts w:eastAsia="Calibri" w:cs="Times New Roman"/>
        </w:rPr>
      </w:pPr>
      <w:r w:rsidRPr="00717D61">
        <w:rPr>
          <w:rFonts w:eastAsia="Calibri" w:cs="Times New Roman"/>
        </w:rPr>
        <w:t xml:space="preserve">avoid impacts from </w:t>
      </w:r>
      <w:r>
        <w:rPr>
          <w:rFonts w:eastAsia="Calibri" w:cs="Times New Roman"/>
        </w:rPr>
        <w:t xml:space="preserve">fire </w:t>
      </w:r>
      <w:r w:rsidRPr="00717D61">
        <w:rPr>
          <w:rFonts w:eastAsia="Calibri" w:cs="Times New Roman"/>
        </w:rPr>
        <w:t xml:space="preserve">suppression and mop-up operations; and </w:t>
      </w:r>
    </w:p>
    <w:p w14:paraId="0FC30065" w14:textId="77777777" w:rsidR="004A7BA7" w:rsidRDefault="004A7BA7" w:rsidP="004162AC">
      <w:pPr>
        <w:numPr>
          <w:ilvl w:val="1"/>
          <w:numId w:val="105"/>
        </w:numPr>
        <w:rPr>
          <w:rFonts w:eastAsia="Calibri" w:cs="Times New Roman"/>
        </w:rPr>
      </w:pPr>
      <w:r w:rsidRPr="00717D61">
        <w:rPr>
          <w:rFonts w:eastAsia="Calibri" w:cs="Times New Roman"/>
        </w:rPr>
        <w:t xml:space="preserve">avoid increasing the impacts of other threats (such as drought, prolonged heavy grazing or predation by feral predators). </w:t>
      </w:r>
    </w:p>
    <w:bookmarkEnd w:id="221"/>
    <w:p w14:paraId="46F2D5A4" w14:textId="77777777" w:rsidR="004A7BA7" w:rsidRDefault="004A7BA7" w:rsidP="004162AC">
      <w:pPr>
        <w:numPr>
          <w:ilvl w:val="0"/>
          <w:numId w:val="107"/>
        </w:numPr>
        <w:rPr>
          <w:rFonts w:eastAsia="Calibri" w:cs="Times New Roman"/>
        </w:rPr>
      </w:pPr>
      <w:r w:rsidRPr="00177C7E">
        <w:rPr>
          <w:rFonts w:eastAsia="Calibri" w:cs="Times New Roman"/>
        </w:rPr>
        <w:lastRenderedPageBreak/>
        <w:t xml:space="preserve">Implement appropriate fire management regimes for the ecological community and for the surrounding landscapes. Use both </w:t>
      </w:r>
      <w:r>
        <w:rPr>
          <w:rFonts w:eastAsia="Calibri" w:cs="Times New Roman"/>
        </w:rPr>
        <w:t>First Nations Traditional ecological</w:t>
      </w:r>
      <w:r w:rsidRPr="00177C7E">
        <w:rPr>
          <w:rFonts w:eastAsia="Calibri" w:cs="Times New Roman"/>
        </w:rPr>
        <w:t xml:space="preserve"> knowledge and </w:t>
      </w:r>
      <w:r>
        <w:rPr>
          <w:rFonts w:eastAsia="Calibri" w:cs="Times New Roman"/>
        </w:rPr>
        <w:t xml:space="preserve">other ecological </w:t>
      </w:r>
      <w:r w:rsidRPr="00177C7E">
        <w:rPr>
          <w:rFonts w:eastAsia="Calibri" w:cs="Times New Roman"/>
        </w:rPr>
        <w:t>scientific research results</w:t>
      </w:r>
      <w:r>
        <w:rPr>
          <w:rFonts w:eastAsia="Calibri" w:cs="Times New Roman"/>
        </w:rPr>
        <w:t xml:space="preserve"> and advice</w:t>
      </w:r>
      <w:r w:rsidRPr="00177C7E">
        <w:rPr>
          <w:rFonts w:eastAsia="Calibri" w:cs="Times New Roman"/>
        </w:rPr>
        <w:t xml:space="preserve">. </w:t>
      </w:r>
    </w:p>
    <w:p w14:paraId="6CFAE232" w14:textId="77777777" w:rsidR="004A7BA7" w:rsidRPr="00177C7E" w:rsidRDefault="004A7BA7" w:rsidP="004162AC">
      <w:pPr>
        <w:numPr>
          <w:ilvl w:val="0"/>
          <w:numId w:val="107"/>
        </w:numPr>
        <w:rPr>
          <w:rFonts w:eastAsia="Calibri" w:cs="Times New Roman"/>
        </w:rPr>
      </w:pPr>
      <w:bookmarkStart w:id="222" w:name="_Hlk174922106"/>
      <w:r>
        <w:rPr>
          <w:rFonts w:eastAsia="Calibri" w:cs="Times New Roman"/>
        </w:rPr>
        <w:t>Take into account that i</w:t>
      </w:r>
      <w:r w:rsidRPr="00717D61">
        <w:rPr>
          <w:rFonts w:eastAsia="Calibri" w:cs="Times New Roman"/>
        </w:rPr>
        <w:t>solated fauna populations and threatened plants are particularly vulnerable to local extinction following intense fires, combined with other threats.</w:t>
      </w:r>
    </w:p>
    <w:bookmarkEnd w:id="222"/>
    <w:p w14:paraId="6FC48E66" w14:textId="77777777" w:rsidR="004A7BA7" w:rsidRPr="00177C7E" w:rsidRDefault="004A7BA7" w:rsidP="004162AC">
      <w:pPr>
        <w:numPr>
          <w:ilvl w:val="0"/>
          <w:numId w:val="107"/>
        </w:numPr>
        <w:rPr>
          <w:rFonts w:eastAsia="Calibri" w:cs="Times New Roman"/>
        </w:rPr>
      </w:pPr>
      <w:r w:rsidRPr="00177C7E">
        <w:rPr>
          <w:rFonts w:eastAsia="Calibri" w:cs="Times New Roman"/>
        </w:rPr>
        <w:t xml:space="preserve">Manage fire appropriately, including actions to protect individual hollow-bearing trees, in </w:t>
      </w:r>
      <w:r>
        <w:rPr>
          <w:rFonts w:eastAsia="Calibri" w:cs="Times New Roman"/>
        </w:rPr>
        <w:t>wooded areas</w:t>
      </w:r>
      <w:r w:rsidRPr="00177C7E">
        <w:rPr>
          <w:rFonts w:eastAsia="Calibri" w:cs="Times New Roman"/>
        </w:rPr>
        <w:t xml:space="preserve"> of the ecological community.</w:t>
      </w:r>
    </w:p>
    <w:p w14:paraId="6297D12B" w14:textId="77777777" w:rsidR="004A7BA7" w:rsidRPr="00177C7E" w:rsidRDefault="004A7BA7" w:rsidP="004162AC">
      <w:pPr>
        <w:numPr>
          <w:ilvl w:val="0"/>
          <w:numId w:val="105"/>
        </w:numPr>
        <w:rPr>
          <w:rFonts w:eastAsia="Calibri" w:cs="Times New Roman"/>
        </w:rPr>
      </w:pPr>
      <w:bookmarkStart w:id="223" w:name="_Hlk174922668"/>
      <w:r w:rsidRPr="00177C7E">
        <w:rPr>
          <w:rFonts w:eastAsia="Calibri" w:cs="Times New Roman"/>
        </w:rPr>
        <w:t xml:space="preserve">Where hazard reduction burns, or prescribed fires, are undertaken near the ecological community, ensure that the potential for the fire to escape is appropriately risk assessed and management responses are in place to protect the ecological community. </w:t>
      </w:r>
    </w:p>
    <w:bookmarkEnd w:id="223"/>
    <w:p w14:paraId="75405109" w14:textId="77777777" w:rsidR="004A7BA7" w:rsidRPr="00177C7E" w:rsidRDefault="004A7BA7" w:rsidP="004162AC">
      <w:pPr>
        <w:numPr>
          <w:ilvl w:val="0"/>
          <w:numId w:val="105"/>
        </w:numPr>
        <w:rPr>
          <w:rFonts w:eastAsia="Calibri" w:cs="Times New Roman"/>
        </w:rPr>
      </w:pPr>
      <w:r w:rsidRPr="00177C7E">
        <w:rPr>
          <w:rFonts w:eastAsia="Calibri" w:cs="Times New Roman"/>
        </w:rPr>
        <w:t>Use a landscape-scale approach, and available local knowledge on fire histories, to identify patches of the ecological community that would benefit from reinstating appropriate fire frequency to prevent further declines because of either too low, or too high, fire frequency.</w:t>
      </w:r>
    </w:p>
    <w:p w14:paraId="3F71AE1F" w14:textId="77777777" w:rsidR="004A7BA7" w:rsidRPr="00177C7E" w:rsidRDefault="004A7BA7" w:rsidP="004162AC">
      <w:pPr>
        <w:numPr>
          <w:ilvl w:val="1"/>
          <w:numId w:val="105"/>
        </w:numPr>
        <w:rPr>
          <w:rFonts w:eastAsia="Calibri" w:cs="Times New Roman"/>
        </w:rPr>
      </w:pPr>
      <w:bookmarkStart w:id="224" w:name="_Hlk174922523"/>
      <w:r w:rsidRPr="00177C7E">
        <w:rPr>
          <w:rFonts w:eastAsia="Calibri" w:cs="Times New Roman"/>
        </w:rPr>
        <w:t xml:space="preserve">For areas affected by too low fire frequency, identify opportunities for applying appropriate ecological burns, including with traditional knowledge and practices. </w:t>
      </w:r>
    </w:p>
    <w:p w14:paraId="0731ABD0" w14:textId="77777777" w:rsidR="004A7BA7" w:rsidRPr="00177C7E" w:rsidRDefault="004A7BA7" w:rsidP="004162AC">
      <w:pPr>
        <w:numPr>
          <w:ilvl w:val="1"/>
          <w:numId w:val="105"/>
        </w:numPr>
        <w:rPr>
          <w:rFonts w:eastAsia="Calibri" w:cs="Times New Roman"/>
        </w:rPr>
      </w:pPr>
      <w:r w:rsidRPr="00177C7E">
        <w:rPr>
          <w:rFonts w:eastAsia="Calibri" w:cs="Times New Roman"/>
        </w:rPr>
        <w:t xml:space="preserve">For areas affected by too high fire frequency, identify options for reducing the frequency of fires and protecting important features, such as large habitat trees. </w:t>
      </w:r>
    </w:p>
    <w:p w14:paraId="17990828" w14:textId="77777777" w:rsidR="004A7BA7" w:rsidRPr="00177C7E" w:rsidRDefault="004A7BA7" w:rsidP="004162AC">
      <w:pPr>
        <w:numPr>
          <w:ilvl w:val="1"/>
          <w:numId w:val="105"/>
        </w:numPr>
        <w:rPr>
          <w:rFonts w:eastAsia="Calibri" w:cs="Times New Roman"/>
        </w:rPr>
      </w:pPr>
      <w:bookmarkStart w:id="225" w:name="_Hlk174922558"/>
      <w:bookmarkEnd w:id="224"/>
      <w:r w:rsidRPr="00177C7E">
        <w:rPr>
          <w:rFonts w:eastAsia="Calibri" w:cs="Times New Roman"/>
        </w:rPr>
        <w:t xml:space="preserve">Fire management strategies at each location should take into account antecedent fire history, life histories of species within the community, forecasts of drought, post-fire management plans for herbivores and predators, patch size, habitat features (e.g. protect hollow-bearing trees and large logs), vegetation structure and the surrounding landscape (including property protection) to sustain biological diversity, maintain refuges for fauna (during and after fire) and increase habitat variability. </w:t>
      </w:r>
    </w:p>
    <w:bookmarkEnd w:id="225"/>
    <w:p w14:paraId="64DAA5D8" w14:textId="77777777" w:rsidR="004A7BA7" w:rsidRPr="00177C7E" w:rsidRDefault="004A7BA7" w:rsidP="004162AC">
      <w:pPr>
        <w:numPr>
          <w:ilvl w:val="1"/>
          <w:numId w:val="105"/>
        </w:numPr>
        <w:rPr>
          <w:rFonts w:eastAsia="Calibri" w:cs="Times New Roman"/>
        </w:rPr>
      </w:pPr>
      <w:r w:rsidRPr="00177C7E">
        <w:rPr>
          <w:rFonts w:eastAsia="Calibri" w:cs="Times New Roman"/>
        </w:rPr>
        <w:t xml:space="preserve">Ensure that an invasive species risk assessment and </w:t>
      </w:r>
      <w:r w:rsidRPr="00177C7E">
        <w:rPr>
          <w:rFonts w:eastAsia="Calibri" w:cs="Arial"/>
        </w:rPr>
        <w:t xml:space="preserve">evidence-based </w:t>
      </w:r>
      <w:r w:rsidRPr="00177C7E">
        <w:rPr>
          <w:rFonts w:eastAsia="Calibri" w:cs="Times New Roman"/>
        </w:rPr>
        <w:t>management program is planned and budgeted-for ahead of proposed burning</w:t>
      </w:r>
      <w:r w:rsidRPr="00177C7E">
        <w:rPr>
          <w:rFonts w:eastAsia="Calibri" w:cs="Arial"/>
        </w:rPr>
        <w:t xml:space="preserve"> </w:t>
      </w:r>
      <w:r w:rsidRPr="00177C7E">
        <w:rPr>
          <w:rFonts w:eastAsia="Calibri" w:cs="Times New Roman"/>
        </w:rPr>
        <w:t xml:space="preserve">to ensure adequate protection of post-fire regeneration from invasive species. </w:t>
      </w:r>
      <w:r w:rsidRPr="00A764D5">
        <w:rPr>
          <w:rFonts w:eastAsia="Calibri" w:cs="Times New Roman"/>
        </w:rPr>
        <w:t>However, care must be taken when</w:t>
      </w:r>
      <w:r>
        <w:rPr>
          <w:rFonts w:eastAsia="Calibri" w:cs="Times New Roman"/>
        </w:rPr>
        <w:t>ever</w:t>
      </w:r>
      <w:r w:rsidRPr="00A764D5">
        <w:rPr>
          <w:rFonts w:eastAsia="Calibri" w:cs="Times New Roman"/>
        </w:rPr>
        <w:t xml:space="preserve"> using herbicide to control weeds after a fire as it can be detrimental to wetland </w:t>
      </w:r>
      <w:r>
        <w:rPr>
          <w:rFonts w:eastAsia="Calibri" w:cs="Times New Roman"/>
        </w:rPr>
        <w:t>flora, invertebrates and other fauna.</w:t>
      </w:r>
    </w:p>
    <w:p w14:paraId="33193BF7" w14:textId="77777777" w:rsidR="004A7BA7" w:rsidRPr="00177C7E" w:rsidRDefault="004A7BA7" w:rsidP="004162AC">
      <w:pPr>
        <w:numPr>
          <w:ilvl w:val="1"/>
          <w:numId w:val="105"/>
        </w:numPr>
        <w:rPr>
          <w:rFonts w:eastAsia="Calibri" w:cs="Times New Roman"/>
        </w:rPr>
      </w:pPr>
      <w:bookmarkStart w:id="226" w:name="_Hlk174922866"/>
      <w:r w:rsidRPr="00177C7E">
        <w:rPr>
          <w:rFonts w:eastAsia="Calibri" w:cs="Times New Roman"/>
        </w:rPr>
        <w:t xml:space="preserve">Use available ecological information to avoid detrimental fire impacts on key and susceptible species in the ecological community. For instance, do not burn areas in or adjacent to the ecological community when key, threatened or functionally important flora and fauna (that may be adversely impacted) are flowering, nesting or otherwise reproducing. </w:t>
      </w:r>
    </w:p>
    <w:p w14:paraId="6A1E4D2B" w14:textId="77777777" w:rsidR="004A7BA7" w:rsidRPr="00177C7E" w:rsidRDefault="004A7BA7" w:rsidP="004162AC">
      <w:pPr>
        <w:numPr>
          <w:ilvl w:val="1"/>
          <w:numId w:val="105"/>
        </w:numPr>
        <w:rPr>
          <w:rFonts w:eastAsia="Calibri" w:cs="Times New Roman"/>
        </w:rPr>
      </w:pPr>
      <w:bookmarkStart w:id="227" w:name="_Hlk174922300"/>
      <w:bookmarkEnd w:id="226"/>
      <w:r w:rsidRPr="00177C7E">
        <w:rPr>
          <w:rFonts w:eastAsia="Calibri" w:cs="Times New Roman"/>
        </w:rPr>
        <w:t xml:space="preserve">Consider weather conditions. Do not burn in, or adjacent to, the ecological community when soil moisture is low, or dry conditions are predicted for the coming season. Otherwise, already stressed flora and fauna will struggle to recover and erosion may occur, or weeds may become established while vegetation cover is reduced. </w:t>
      </w:r>
    </w:p>
    <w:p w14:paraId="27834DAE" w14:textId="342263CF" w:rsidR="004A7BA7" w:rsidRDefault="004A7BA7" w:rsidP="004162AC">
      <w:pPr>
        <w:numPr>
          <w:ilvl w:val="0"/>
          <w:numId w:val="105"/>
        </w:numPr>
      </w:pPr>
      <w:bookmarkStart w:id="228" w:name="_Hlk174922461"/>
      <w:bookmarkEnd w:id="227"/>
      <w:r w:rsidRPr="00921C01">
        <w:rPr>
          <w:rFonts w:eastAsia="Calibri" w:cs="Times New Roman"/>
        </w:rPr>
        <w:lastRenderedPageBreak/>
        <w:t xml:space="preserve">Monitor </w:t>
      </w:r>
      <w:r>
        <w:rPr>
          <w:rFonts w:eastAsia="Calibri" w:cs="Times New Roman"/>
        </w:rPr>
        <w:t>fire</w:t>
      </w:r>
      <w:r w:rsidRPr="00921C01">
        <w:rPr>
          <w:rFonts w:eastAsia="Calibri" w:cs="Times New Roman"/>
        </w:rPr>
        <w:t xml:space="preserve"> outcomes and the consequences of other threats. Manage these threats in an appropriate timescale (e.g. immediately put in place erosion control measures; limit access by feral predators and grazers; and control weeds as they first appear, with follow up treatments as necessary, until native vegetation has regenerated). Ensure monitoring results are considered when planning and implementing future fire regimes. </w:t>
      </w:r>
      <w:bookmarkEnd w:id="228"/>
      <w:r w:rsidRPr="00921C01">
        <w:rPr>
          <w:rFonts w:eastAsia="Calibri" w:cs="Times New Roman"/>
        </w:rPr>
        <w:t xml:space="preserve">For further information on monitoring priorities see </w:t>
      </w:r>
      <w:r w:rsidRPr="00BD1644">
        <w:rPr>
          <w:rFonts w:eastAsia="Calibri" w:cs="Arial"/>
          <w:u w:val="single"/>
        </w:rPr>
        <w:t xml:space="preserve">section </w:t>
      </w:r>
      <w:r w:rsidRPr="00BD1644">
        <w:rPr>
          <w:rFonts w:eastAsia="Calibri" w:cs="Times New Roman"/>
          <w:u w:val="single"/>
        </w:rPr>
        <w:fldChar w:fldCharType="begin"/>
      </w:r>
      <w:r w:rsidRPr="00BD1644">
        <w:rPr>
          <w:rFonts w:eastAsia="Calibri" w:cs="Times New Roman"/>
          <w:u w:val="single"/>
        </w:rPr>
        <w:instrText xml:space="preserve"> REF _Ref167451780 \r \h  \* MERGEFORMAT </w:instrText>
      </w:r>
      <w:r w:rsidRPr="00BD1644">
        <w:rPr>
          <w:rFonts w:eastAsia="Calibri" w:cs="Times New Roman"/>
          <w:u w:val="single"/>
        </w:rPr>
      </w:r>
      <w:r w:rsidRPr="00BD1644">
        <w:rPr>
          <w:rFonts w:eastAsia="Calibri" w:cs="Times New Roman"/>
          <w:u w:val="single"/>
        </w:rPr>
        <w:fldChar w:fldCharType="separate"/>
      </w:r>
      <w:r w:rsidR="006D35C5">
        <w:rPr>
          <w:rFonts w:eastAsia="Calibri" w:cs="Times New Roman"/>
          <w:u w:val="single"/>
        </w:rPr>
        <w:t>0</w:t>
      </w:r>
      <w:r w:rsidRPr="00BD1644">
        <w:rPr>
          <w:rFonts w:eastAsia="Calibri" w:cs="Times New Roman"/>
          <w:u w:val="single"/>
        </w:rPr>
        <w:fldChar w:fldCharType="end"/>
      </w:r>
    </w:p>
    <w:p w14:paraId="7347C4A1" w14:textId="28E4A4BF" w:rsidR="004A7BA7" w:rsidRPr="00886158" w:rsidRDefault="003E48DB" w:rsidP="00550384">
      <w:pPr>
        <w:pStyle w:val="Heading3"/>
      </w:pPr>
      <w:bookmarkStart w:id="229" w:name="_Toc167476769"/>
      <w:bookmarkStart w:id="230" w:name="_Toc175317093"/>
      <w:r>
        <w:t xml:space="preserve">5.4.3 </w:t>
      </w:r>
      <w:r w:rsidR="004A7BA7" w:rsidRPr="00886158">
        <w:t>COMMUNICATE, ENGAGE WITH AND SUPPORT</w:t>
      </w:r>
      <w:bookmarkEnd w:id="229"/>
      <w:bookmarkEnd w:id="230"/>
    </w:p>
    <w:p w14:paraId="234F4C13" w14:textId="77777777" w:rsidR="004A7BA7" w:rsidRDefault="004A7BA7" w:rsidP="004A7BA7">
      <w:r>
        <w:t>P</w:t>
      </w:r>
      <w:r w:rsidRPr="00BD69C2">
        <w:t xml:space="preserve">romote </w:t>
      </w:r>
      <w:r>
        <w:t xml:space="preserve">public </w:t>
      </w:r>
      <w:r w:rsidRPr="00BD69C2">
        <w:t xml:space="preserve">awareness of the ecological community and encourage people and groups to contribute to its </w:t>
      </w:r>
      <w:r>
        <w:t xml:space="preserve">protection and </w:t>
      </w:r>
      <w:r w:rsidRPr="00BD69C2">
        <w:t xml:space="preserve">recovery. </w:t>
      </w:r>
      <w:bookmarkStart w:id="231" w:name="_Hlk174923033"/>
      <w:r>
        <w:t>Gain</w:t>
      </w:r>
      <w:r w:rsidRPr="00BD69C2">
        <w:t xml:space="preserve"> support </w:t>
      </w:r>
      <w:r>
        <w:t xml:space="preserve">from (and in turn, support and encourage) </w:t>
      </w:r>
      <w:r w:rsidRPr="00BD69C2">
        <w:t>key stakeholders</w:t>
      </w:r>
      <w:r>
        <w:t>. I</w:t>
      </w:r>
      <w:r w:rsidRPr="00BD69C2">
        <w:t xml:space="preserve">ncrease their understanding of </w:t>
      </w:r>
      <w:r>
        <w:t xml:space="preserve">its </w:t>
      </w:r>
      <w:r w:rsidRPr="00BD69C2">
        <w:t>value and function</w:t>
      </w:r>
      <w:r>
        <w:t xml:space="preserve">, as well as of its </w:t>
      </w:r>
      <w:r w:rsidRPr="00B14AFA">
        <w:t>key threats, the importance of its protection and restoration, and appropriate management actions</w:t>
      </w:r>
      <w:r w:rsidRPr="00BD69C2">
        <w:t xml:space="preserve">. Key groups include </w:t>
      </w:r>
      <w:r w:rsidRPr="0081441E">
        <w:t xml:space="preserve">local restoration </w:t>
      </w:r>
      <w:r>
        <w:t xml:space="preserve">and </w:t>
      </w:r>
      <w:r w:rsidRPr="00183ACB">
        <w:t>NRM groups</w:t>
      </w:r>
      <w:r>
        <w:t>,</w:t>
      </w:r>
      <w:r w:rsidRPr="00944759">
        <w:t xml:space="preserve"> government agencies</w:t>
      </w:r>
      <w:r>
        <w:t>,</w:t>
      </w:r>
      <w:r w:rsidRPr="00183ACB">
        <w:t xml:space="preserve"> </w:t>
      </w:r>
      <w:r w:rsidRPr="00BD69C2">
        <w:t xml:space="preserve">landholders, land managers, land use planners, researchers, </w:t>
      </w:r>
      <w:r w:rsidRPr="00626525">
        <w:t>schools, volunteers, First Nations</w:t>
      </w:r>
      <w:r>
        <w:t xml:space="preserve"> </w:t>
      </w:r>
      <w:r w:rsidRPr="00BD69C2">
        <w:t>communities</w:t>
      </w:r>
      <w:r w:rsidRPr="00814CE9">
        <w:t xml:space="preserve"> and other community members and groups</w:t>
      </w:r>
      <w:r w:rsidRPr="00BD69C2">
        <w:t>.</w:t>
      </w:r>
      <w:bookmarkEnd w:id="231"/>
    </w:p>
    <w:p w14:paraId="34264AD9" w14:textId="5AECEF46" w:rsidR="004A7BA7" w:rsidRDefault="004A7BA7" w:rsidP="006E2204">
      <w:pPr>
        <w:pStyle w:val="Heading4"/>
      </w:pPr>
      <w:bookmarkStart w:id="232" w:name="_Toc167476770"/>
      <w:r>
        <w:t xml:space="preserve">Raise </w:t>
      </w:r>
      <w:r w:rsidR="003E48DB">
        <w:t>Awareness</w:t>
      </w:r>
      <w:bookmarkEnd w:id="232"/>
      <w:r w:rsidR="003E48DB">
        <w:t xml:space="preserve"> and Encourage Partnerships to Protect </w:t>
      </w:r>
      <w:r w:rsidR="00121CC1">
        <w:t>and</w:t>
      </w:r>
      <w:r w:rsidR="003E48DB">
        <w:t xml:space="preserve"> Restore</w:t>
      </w:r>
    </w:p>
    <w:p w14:paraId="3C12276C" w14:textId="77777777" w:rsidR="004A7BA7" w:rsidRPr="00031BAC" w:rsidRDefault="004A7BA7" w:rsidP="00382D2C">
      <w:pPr>
        <w:pStyle w:val="ListBullet"/>
        <w:keepLines/>
        <w:numPr>
          <w:ilvl w:val="0"/>
          <w:numId w:val="44"/>
        </w:numPr>
        <w:ind w:left="709" w:hanging="284"/>
        <w:rPr>
          <w:b/>
          <w:iCs/>
        </w:rPr>
      </w:pPr>
      <w:bookmarkStart w:id="233" w:name="_Hlk174923274"/>
      <w:r>
        <w:t xml:space="preserve">Raise public awareness about the ecological community, its threats and recovery priorities using a range of media/methods. For example, fact sheets, information brochures, field days, </w:t>
      </w:r>
      <w:r w:rsidRPr="007B7B4D">
        <w:t xml:space="preserve">demonstration </w:t>
      </w:r>
      <w:r>
        <w:t xml:space="preserve">sites, </w:t>
      </w:r>
      <w:r w:rsidRPr="00E04E2E">
        <w:t>school programs</w:t>
      </w:r>
      <w:r>
        <w:t>,</w:t>
      </w:r>
      <w:r w:rsidRPr="00E04E2E">
        <w:t xml:space="preserve"> </w:t>
      </w:r>
      <w:r>
        <w:t>and</w:t>
      </w:r>
      <w:r w:rsidRPr="00CD589F">
        <w:t xml:space="preserve"> interpretive signs at strategic locations</w:t>
      </w:r>
      <w:r>
        <w:t xml:space="preserve"> — in conjunction with industry or community interest groups.</w:t>
      </w:r>
    </w:p>
    <w:p w14:paraId="1F7F23BE" w14:textId="77777777" w:rsidR="004A7BA7" w:rsidRDefault="004A7BA7" w:rsidP="004A7BA7">
      <w:pPr>
        <w:numPr>
          <w:ilvl w:val="0"/>
          <w:numId w:val="44"/>
        </w:numPr>
        <w:ind w:left="709" w:hanging="283"/>
        <w:rPr>
          <w:bCs/>
        </w:rPr>
      </w:pPr>
      <w:r>
        <w:rPr>
          <w:bCs/>
        </w:rPr>
        <w:t>P</w:t>
      </w:r>
      <w:r w:rsidRPr="007755DD">
        <w:rPr>
          <w:bCs/>
        </w:rPr>
        <w:t xml:space="preserve">romote </w:t>
      </w:r>
      <w:r>
        <w:rPr>
          <w:bCs/>
        </w:rPr>
        <w:t>latest science on threat mitigation and restoration techniques.</w:t>
      </w:r>
    </w:p>
    <w:p w14:paraId="6B8AEAC4" w14:textId="77777777" w:rsidR="004A7BA7" w:rsidRDefault="004A7BA7" w:rsidP="004A7BA7">
      <w:pPr>
        <w:numPr>
          <w:ilvl w:val="0"/>
          <w:numId w:val="44"/>
        </w:numPr>
        <w:ind w:left="709" w:hanging="283"/>
        <w:rPr>
          <w:bCs/>
        </w:rPr>
      </w:pPr>
      <w:r>
        <w:rPr>
          <w:bCs/>
        </w:rPr>
        <w:t xml:space="preserve">Promote </w:t>
      </w:r>
      <w:r w:rsidRPr="007755DD">
        <w:rPr>
          <w:bCs/>
        </w:rPr>
        <w:t xml:space="preserve">First Nations </w:t>
      </w:r>
      <w:r>
        <w:rPr>
          <w:bCs/>
        </w:rPr>
        <w:t xml:space="preserve">Traditional ecological </w:t>
      </w:r>
      <w:r w:rsidRPr="007755DD">
        <w:rPr>
          <w:bCs/>
        </w:rPr>
        <w:t xml:space="preserve">knowledge </w:t>
      </w:r>
      <w:r>
        <w:rPr>
          <w:bCs/>
        </w:rPr>
        <w:t>and involvement in</w:t>
      </w:r>
      <w:r w:rsidRPr="007755DD">
        <w:rPr>
          <w:bCs/>
        </w:rPr>
        <w:t xml:space="preserve"> conservation management </w:t>
      </w:r>
      <w:r>
        <w:rPr>
          <w:bCs/>
        </w:rPr>
        <w:t xml:space="preserve">and recovery </w:t>
      </w:r>
      <w:r w:rsidRPr="007755DD">
        <w:rPr>
          <w:bCs/>
        </w:rPr>
        <w:t>throughout the range of the ecological community</w:t>
      </w:r>
    </w:p>
    <w:p w14:paraId="4B5D4AA0" w14:textId="77777777" w:rsidR="004A7BA7" w:rsidRPr="00A22C3D" w:rsidRDefault="004A7BA7" w:rsidP="004A7BA7">
      <w:pPr>
        <w:pStyle w:val="ListParagraph"/>
        <w:numPr>
          <w:ilvl w:val="1"/>
          <w:numId w:val="44"/>
        </w:numPr>
        <w:rPr>
          <w:rFonts w:cs="Times New Roman"/>
        </w:rPr>
      </w:pPr>
      <w:r w:rsidRPr="00A22C3D">
        <w:rPr>
          <w:rFonts w:cs="Times New Roman"/>
        </w:rPr>
        <w:t>Identify and support culturally appropriate mechanisms to share this knowledge, to protect and restore the ecological community.</w:t>
      </w:r>
      <w:r w:rsidRPr="007E3E66">
        <w:t xml:space="preserve"> </w:t>
      </w:r>
      <w:r w:rsidRPr="00A22C3D">
        <w:rPr>
          <w:rFonts w:cs="Times New Roman"/>
        </w:rPr>
        <w:t>With permission, include culturally appropriate information and values in education and awareness programs, publications and signage.</w:t>
      </w:r>
    </w:p>
    <w:p w14:paraId="5504CBD8" w14:textId="77777777" w:rsidR="004A7BA7" w:rsidRDefault="004A7BA7" w:rsidP="004A7BA7">
      <w:pPr>
        <w:pStyle w:val="ListBullet"/>
        <w:numPr>
          <w:ilvl w:val="0"/>
          <w:numId w:val="44"/>
        </w:numPr>
        <w:ind w:left="709" w:hanging="283"/>
      </w:pPr>
      <w:bookmarkStart w:id="234" w:name="_Hlk174923579"/>
      <w:bookmarkEnd w:id="233"/>
      <w:r>
        <w:t xml:space="preserve">Promote </w:t>
      </w:r>
      <w:r w:rsidRPr="000D7E89">
        <w:t>responsibilities under state and local regulations, and under the EPBC Act</w:t>
      </w:r>
      <w:r>
        <w:t>.</w:t>
      </w:r>
    </w:p>
    <w:bookmarkEnd w:id="234"/>
    <w:p w14:paraId="340CF0A4" w14:textId="77777777" w:rsidR="004A7BA7" w:rsidRPr="004D3FA4" w:rsidRDefault="004A7BA7" w:rsidP="004A7BA7">
      <w:pPr>
        <w:numPr>
          <w:ilvl w:val="1"/>
          <w:numId w:val="44"/>
        </w:numPr>
        <w:rPr>
          <w:rFonts w:eastAsia="Calibri" w:cs="Times New Roman"/>
        </w:rPr>
      </w:pPr>
      <w:r w:rsidRPr="004D3FA4">
        <w:rPr>
          <w:rFonts w:eastAsia="Calibri" w:cs="Times New Roman"/>
        </w:rPr>
        <w:t xml:space="preserve">Install signage to discourage damaging activities such as removing dead timber, </w:t>
      </w:r>
      <w:r>
        <w:rPr>
          <w:rFonts w:eastAsia="Calibri" w:cs="Times New Roman"/>
        </w:rPr>
        <w:t xml:space="preserve">fishing regulations, </w:t>
      </w:r>
      <w:r w:rsidRPr="004D3FA4">
        <w:rPr>
          <w:rFonts w:eastAsia="Calibri" w:cs="Times New Roman"/>
        </w:rPr>
        <w:t>dumping garden waste and other rubbish, creating informal paths and tracks, and using off</w:t>
      </w:r>
      <w:r w:rsidRPr="004D3FA4">
        <w:rPr>
          <w:rFonts w:eastAsia="Calibri" w:cs="Times New Roman"/>
        </w:rPr>
        <w:noBreakHyphen/>
        <w:t xml:space="preserve">road vehicles, in </w:t>
      </w:r>
      <w:r>
        <w:rPr>
          <w:rFonts w:eastAsia="Calibri" w:cs="Times New Roman"/>
        </w:rPr>
        <w:t>parts</w:t>
      </w:r>
      <w:r w:rsidRPr="004D3FA4">
        <w:rPr>
          <w:rFonts w:eastAsia="Calibri" w:cs="Times New Roman"/>
        </w:rPr>
        <w:t xml:space="preserve"> of the ecological community.</w:t>
      </w:r>
    </w:p>
    <w:p w14:paraId="6F788EE1" w14:textId="77777777" w:rsidR="004A7BA7" w:rsidRPr="00061BCE" w:rsidRDefault="004A7BA7" w:rsidP="004A7BA7">
      <w:pPr>
        <w:pStyle w:val="ListBullet"/>
        <w:numPr>
          <w:ilvl w:val="0"/>
          <w:numId w:val="44"/>
        </w:numPr>
        <w:ind w:left="709" w:hanging="283"/>
      </w:pPr>
      <w:bookmarkStart w:id="235" w:name="_Hlk174923673"/>
      <w:r>
        <w:t xml:space="preserve">Highlight conservation management methods, initiatives and </w:t>
      </w:r>
      <w:r w:rsidRPr="00CE2FAE">
        <w:t>incentives</w:t>
      </w:r>
      <w:r>
        <w:t xml:space="preserve"> (</w:t>
      </w:r>
      <w:r w:rsidRPr="00CE2FAE">
        <w:t xml:space="preserve">such as conservation agreements, stewardship projects, </w:t>
      </w:r>
      <w:r>
        <w:t>nature repair market and other initiatives).</w:t>
      </w:r>
    </w:p>
    <w:bookmarkEnd w:id="235"/>
    <w:p w14:paraId="7F0E3CA1" w14:textId="77777777" w:rsidR="004A7BA7" w:rsidRPr="00850BBD" w:rsidRDefault="004A7BA7" w:rsidP="004A7BA7">
      <w:pPr>
        <w:numPr>
          <w:ilvl w:val="0"/>
          <w:numId w:val="44"/>
        </w:numPr>
        <w:ind w:left="709" w:hanging="283"/>
      </w:pPr>
      <w:r w:rsidRPr="00195256">
        <w:rPr>
          <w:rFonts w:eastAsia="Calibri" w:cs="Times New Roman"/>
        </w:rPr>
        <w:t>Encourage landholders/managers to talk with</w:t>
      </w:r>
      <w:r>
        <w:rPr>
          <w:rFonts w:eastAsia="Calibri" w:cs="Times New Roman"/>
        </w:rPr>
        <w:t xml:space="preserve"> their peers, local community groups, local authorities,</w:t>
      </w:r>
      <w:r w:rsidRPr="00195256">
        <w:rPr>
          <w:rFonts w:eastAsia="Calibri" w:cs="Times New Roman"/>
        </w:rPr>
        <w:t xml:space="preserve"> NRM organisations</w:t>
      </w:r>
      <w:r>
        <w:rPr>
          <w:rFonts w:eastAsia="Calibri" w:cs="Times New Roman"/>
        </w:rPr>
        <w:t>, First Nations</w:t>
      </w:r>
      <w:r w:rsidRPr="00195256">
        <w:rPr>
          <w:rFonts w:eastAsia="Calibri" w:cs="Times New Roman"/>
        </w:rPr>
        <w:t xml:space="preserve"> and other knowledgeable groups</w:t>
      </w:r>
      <w:r w:rsidRPr="00195256">
        <w:rPr>
          <w:rFonts w:eastAsia="Calibri" w:cs="Arial"/>
        </w:rPr>
        <w:t xml:space="preserve"> to </w:t>
      </w:r>
      <w:r w:rsidRPr="00195256">
        <w:rPr>
          <w:rFonts w:eastAsia="Calibri" w:cs="Times New Roman"/>
        </w:rPr>
        <w:t xml:space="preserve">promote cooperation to </w:t>
      </w:r>
      <w:r>
        <w:rPr>
          <w:rFonts w:eastAsia="Calibri" w:cs="Times New Roman"/>
        </w:rPr>
        <w:t xml:space="preserve">manage threats </w:t>
      </w:r>
      <w:r w:rsidRPr="00195256">
        <w:rPr>
          <w:rFonts w:eastAsia="Calibri" w:cs="Times New Roman"/>
        </w:rPr>
        <w:t xml:space="preserve">and restore </w:t>
      </w:r>
      <w:r>
        <w:rPr>
          <w:rFonts w:eastAsia="Calibri" w:cs="Times New Roman"/>
        </w:rPr>
        <w:t>areas</w:t>
      </w:r>
      <w:r w:rsidRPr="00195256">
        <w:rPr>
          <w:rFonts w:eastAsia="Calibri" w:cs="Times New Roman"/>
        </w:rPr>
        <w:t xml:space="preserve"> of the ecological community. </w:t>
      </w:r>
    </w:p>
    <w:p w14:paraId="6038E618" w14:textId="77777777" w:rsidR="004A7BA7" w:rsidRDefault="004A7BA7" w:rsidP="004A7BA7">
      <w:pPr>
        <w:numPr>
          <w:ilvl w:val="1"/>
          <w:numId w:val="44"/>
        </w:numPr>
      </w:pPr>
      <w:r>
        <w:t>South Australia’s Landscape Boards are well placed to foster relationships and stewardship with local First Nations Peoples and private landholders. The model demonstrated by the Lakes Hub in Milang during the Millennium Drought was also very successful.</w:t>
      </w:r>
    </w:p>
    <w:p w14:paraId="01E01F6F" w14:textId="77777777" w:rsidR="004A7BA7" w:rsidRDefault="004A7BA7" w:rsidP="004162AC">
      <w:pPr>
        <w:numPr>
          <w:ilvl w:val="0"/>
          <w:numId w:val="103"/>
        </w:numPr>
        <w:rPr>
          <w:rFonts w:cs="Times New Roman"/>
        </w:rPr>
      </w:pPr>
      <w:r w:rsidRPr="00B43FF8">
        <w:rPr>
          <w:rFonts w:cs="Times New Roman"/>
        </w:rPr>
        <w:lastRenderedPageBreak/>
        <w:t>Promote knowledge about local weeds and what garden plants to avoid planting. Recommend local native species for revegetation and landscaping, or safe alternative garden plants. Discourage nurseries and DIY stores from selling weed species.</w:t>
      </w:r>
    </w:p>
    <w:p w14:paraId="0E228A58" w14:textId="77777777" w:rsidR="004A7BA7" w:rsidRPr="00EC2E3C" w:rsidRDefault="004A7BA7" w:rsidP="004162AC">
      <w:pPr>
        <w:numPr>
          <w:ilvl w:val="0"/>
          <w:numId w:val="103"/>
        </w:numPr>
        <w:rPr>
          <w:rFonts w:cs="Times New Roman"/>
        </w:rPr>
      </w:pPr>
      <w:r w:rsidRPr="00EC2E3C">
        <w:rPr>
          <w:rFonts w:cs="Times New Roman"/>
        </w:rPr>
        <w:t xml:space="preserve">Encourage local participation in restoration and ‘landcare’ efforts (e.g. through local conservation groups, creating ‘friends of’ groups, field days and planting projects). </w:t>
      </w:r>
    </w:p>
    <w:p w14:paraId="5E21FB1B" w14:textId="77777777" w:rsidR="004A7BA7" w:rsidRPr="00EC2E3C" w:rsidRDefault="004A7BA7" w:rsidP="004162AC">
      <w:pPr>
        <w:numPr>
          <w:ilvl w:val="0"/>
          <w:numId w:val="103"/>
        </w:numPr>
        <w:rPr>
          <w:rFonts w:cs="Times New Roman"/>
        </w:rPr>
      </w:pPr>
      <w:r w:rsidRPr="00EC2E3C">
        <w:rPr>
          <w:rFonts w:cs="Times New Roman"/>
        </w:rPr>
        <w:t xml:space="preserve">Liaise with local fire management authorities and agencies; and engage their support in appropriate fire management. Ensure land managers are </w:t>
      </w:r>
      <w:r>
        <w:rPr>
          <w:rFonts w:cs="Times New Roman"/>
        </w:rPr>
        <w:t>supported in</w:t>
      </w:r>
      <w:r w:rsidRPr="00EC2E3C">
        <w:rPr>
          <w:rFonts w:cs="Times New Roman"/>
        </w:rPr>
        <w:t xml:space="preserve"> how to manage fire risks, to conserve </w:t>
      </w:r>
      <w:r>
        <w:rPr>
          <w:rFonts w:cs="Times New Roman"/>
        </w:rPr>
        <w:t>the</w:t>
      </w:r>
      <w:r w:rsidRPr="00EC2E3C">
        <w:rPr>
          <w:rFonts w:cs="Times New Roman"/>
        </w:rPr>
        <w:t xml:space="preserve"> </w:t>
      </w:r>
      <w:r>
        <w:rPr>
          <w:rFonts w:cs="Times New Roman"/>
        </w:rPr>
        <w:t>ecological community</w:t>
      </w:r>
      <w:r w:rsidRPr="00EC2E3C">
        <w:rPr>
          <w:rFonts w:cs="Times New Roman"/>
        </w:rPr>
        <w:t xml:space="preserve"> and </w:t>
      </w:r>
      <w:r>
        <w:rPr>
          <w:rFonts w:cs="Times New Roman"/>
        </w:rPr>
        <w:t>other local ecological and cultural values</w:t>
      </w:r>
      <w:r w:rsidRPr="00EC2E3C">
        <w:rPr>
          <w:rFonts w:cs="Times New Roman"/>
        </w:rPr>
        <w:t>.</w:t>
      </w:r>
    </w:p>
    <w:p w14:paraId="58AB20EF" w14:textId="4A8C5863" w:rsidR="004A7BA7" w:rsidRPr="007200C6" w:rsidRDefault="009B306C" w:rsidP="00550384">
      <w:pPr>
        <w:pStyle w:val="Heading3"/>
      </w:pPr>
      <w:bookmarkStart w:id="236" w:name="_Toc167476772"/>
      <w:bookmarkStart w:id="237" w:name="_Toc232747068"/>
      <w:bookmarkStart w:id="238" w:name="_Toc363639685"/>
      <w:bookmarkStart w:id="239" w:name="_Toc175317094"/>
      <w:r>
        <w:t xml:space="preserve">5.4.4 </w:t>
      </w:r>
      <w:r w:rsidR="004A7BA7">
        <w:t>R</w:t>
      </w:r>
      <w:r w:rsidR="004A7BA7" w:rsidRPr="007200C6">
        <w:t xml:space="preserve">ESEARCH </w:t>
      </w:r>
      <w:r w:rsidR="004A7BA7">
        <w:t>AND MONITORING</w:t>
      </w:r>
      <w:bookmarkEnd w:id="236"/>
      <w:bookmarkEnd w:id="237"/>
      <w:bookmarkEnd w:id="238"/>
      <w:bookmarkEnd w:id="239"/>
    </w:p>
    <w:p w14:paraId="381B60C5" w14:textId="77777777" w:rsidR="004A7BA7" w:rsidRDefault="004A7BA7" w:rsidP="004A7BA7">
      <w:r>
        <w:t>I</w:t>
      </w:r>
      <w:r w:rsidRPr="00521D60">
        <w:t xml:space="preserve">mprove understanding of the ecological community and the best methods to </w:t>
      </w:r>
      <w:r>
        <w:t>help</w:t>
      </w:r>
      <w:r w:rsidRPr="00521D60">
        <w:t xml:space="preserve"> its recovery </w:t>
      </w:r>
      <w:r>
        <w:t>by</w:t>
      </w:r>
      <w:r w:rsidRPr="00521D60">
        <w:t xml:space="preserve"> restoration, management and protection. Relevant and well-targeted research</w:t>
      </w:r>
      <w:r>
        <w:t>,</w:t>
      </w:r>
      <w:r w:rsidRPr="00521D60">
        <w:t xml:space="preserve"> and other information gathering </w:t>
      </w:r>
      <w:r>
        <w:t xml:space="preserve">and analysis </w:t>
      </w:r>
      <w:r w:rsidRPr="00521D60">
        <w:t>activities</w:t>
      </w:r>
      <w:r>
        <w:t>,</w:t>
      </w:r>
      <w:r w:rsidRPr="00521D60">
        <w:t xml:space="preserve"> are important to inform protecting and managing the ecological community.</w:t>
      </w:r>
    </w:p>
    <w:p w14:paraId="0D5C2748" w14:textId="2C4FAE41" w:rsidR="004A7BA7" w:rsidRPr="005A16C5" w:rsidRDefault="004A7BA7" w:rsidP="006E2204">
      <w:pPr>
        <w:pStyle w:val="Heading4"/>
      </w:pPr>
      <w:bookmarkStart w:id="240" w:name="_Toc167476773"/>
      <w:r>
        <w:t xml:space="preserve">Research </w:t>
      </w:r>
      <w:r w:rsidR="009B306C">
        <w:t>Priorities</w:t>
      </w:r>
      <w:bookmarkEnd w:id="240"/>
    </w:p>
    <w:p w14:paraId="235BB419" w14:textId="77777777" w:rsidR="004A7BA7" w:rsidRPr="009935C2" w:rsidRDefault="004A7BA7" w:rsidP="004A7BA7">
      <w:pPr>
        <w:pStyle w:val="ListBullet"/>
        <w:numPr>
          <w:ilvl w:val="0"/>
          <w:numId w:val="43"/>
        </w:numPr>
        <w:ind w:left="709" w:hanging="283"/>
      </w:pPr>
      <w:r>
        <w:t>Investigate wetting and drying cycle requirements to determine optimal water regimes for key floodplain wetland sites in the ecological community.</w:t>
      </w:r>
    </w:p>
    <w:p w14:paraId="1018ECBD" w14:textId="77777777" w:rsidR="004A7BA7" w:rsidRPr="009935C2" w:rsidRDefault="004A7BA7" w:rsidP="004A7BA7">
      <w:pPr>
        <w:pStyle w:val="ListBullet"/>
        <w:numPr>
          <w:ilvl w:val="0"/>
          <w:numId w:val="43"/>
        </w:numPr>
        <w:ind w:left="709" w:hanging="283"/>
      </w:pPr>
      <w:r>
        <w:t>Investigate and monitor the resilience and responses of the ecological community to disturbance, including identifying site-specific condition thresholds and limits of acceptable change for various species or ecological functions.</w:t>
      </w:r>
    </w:p>
    <w:p w14:paraId="273ED758" w14:textId="77777777" w:rsidR="004A7BA7" w:rsidRDefault="004A7BA7" w:rsidP="004A7BA7">
      <w:pPr>
        <w:pStyle w:val="ListBullet"/>
        <w:numPr>
          <w:ilvl w:val="0"/>
          <w:numId w:val="43"/>
        </w:numPr>
        <w:ind w:left="709" w:hanging="283"/>
      </w:pPr>
      <w:r>
        <w:t>Investigate ecological requirements for transplantation and restoration of aquatic macrophytes, particularly submergent species.</w:t>
      </w:r>
    </w:p>
    <w:p w14:paraId="32330792" w14:textId="27998F68" w:rsidR="00700A90" w:rsidRPr="009935C2" w:rsidRDefault="003A4AAE" w:rsidP="004A7BA7">
      <w:pPr>
        <w:pStyle w:val="ListBullet"/>
        <w:numPr>
          <w:ilvl w:val="0"/>
          <w:numId w:val="43"/>
        </w:numPr>
        <w:ind w:left="709" w:hanging="283"/>
      </w:pPr>
      <w:r>
        <w:t xml:space="preserve">Investigate impacts </w:t>
      </w:r>
      <w:r w:rsidR="00B2195B">
        <w:t xml:space="preserve">(e.g. competition, predation, habitat disturbance) </w:t>
      </w:r>
      <w:r>
        <w:t xml:space="preserve">of invasive species on native </w:t>
      </w:r>
      <w:r w:rsidR="00B2195B">
        <w:t xml:space="preserve">flora and </w:t>
      </w:r>
      <w:r>
        <w:t xml:space="preserve">fauna, including fish, </w:t>
      </w:r>
      <w:r w:rsidR="00B2195B">
        <w:t>reptiles, and marsupials.</w:t>
      </w:r>
    </w:p>
    <w:p w14:paraId="30D805CA" w14:textId="77777777" w:rsidR="004A7BA7" w:rsidRPr="009935C2" w:rsidRDefault="004A7BA7" w:rsidP="004A7BA7">
      <w:pPr>
        <w:pStyle w:val="ListBullet"/>
        <w:numPr>
          <w:ilvl w:val="0"/>
          <w:numId w:val="43"/>
        </w:numPr>
        <w:ind w:left="709" w:hanging="283"/>
      </w:pPr>
      <w:r>
        <w:t>Develop greater understanding of strategies to minimise the negative ecological impacts of ‘blackwater’ and other deoxygenation events.</w:t>
      </w:r>
    </w:p>
    <w:p w14:paraId="6A62E069" w14:textId="77777777" w:rsidR="004A7BA7" w:rsidRDefault="004A7BA7" w:rsidP="004A7BA7">
      <w:pPr>
        <w:pStyle w:val="ListBullet"/>
        <w:numPr>
          <w:ilvl w:val="0"/>
          <w:numId w:val="43"/>
        </w:numPr>
        <w:ind w:left="709" w:hanging="283"/>
      </w:pPr>
      <w:r>
        <w:t>Build on the fish-habitat/ tributaries database developed by SARDI — in particular collect data for significant anabranches associated with the main channel.</w:t>
      </w:r>
    </w:p>
    <w:p w14:paraId="6E4807AA" w14:textId="77777777" w:rsidR="004A7BA7" w:rsidRPr="009935C2" w:rsidRDefault="004A7BA7" w:rsidP="004A7BA7">
      <w:pPr>
        <w:pStyle w:val="ListBullet"/>
        <w:numPr>
          <w:ilvl w:val="0"/>
          <w:numId w:val="43"/>
        </w:numPr>
        <w:ind w:left="709" w:hanging="283"/>
      </w:pPr>
      <w:r>
        <w:t>Support research into the biology and ecology of aquatic invertebrates that comprise the ecological community.</w:t>
      </w:r>
    </w:p>
    <w:p w14:paraId="5C5AF7B2" w14:textId="77777777" w:rsidR="004A7BA7" w:rsidRPr="009935C2" w:rsidRDefault="004A7BA7" w:rsidP="004A7BA7">
      <w:pPr>
        <w:pStyle w:val="ListBullet"/>
        <w:numPr>
          <w:ilvl w:val="0"/>
          <w:numId w:val="43"/>
        </w:numPr>
        <w:ind w:left="709" w:hanging="283"/>
      </w:pPr>
      <w:r>
        <w:t>Support ongoing research on the biology, ecology (and genetics) and integrated management to assist eliminating alien animals and plants, including common carp, and willows.</w:t>
      </w:r>
    </w:p>
    <w:p w14:paraId="28DD5A15" w14:textId="77777777" w:rsidR="004A7BA7" w:rsidRDefault="004A7BA7" w:rsidP="004A7BA7">
      <w:pPr>
        <w:pStyle w:val="ListBullet"/>
        <w:numPr>
          <w:ilvl w:val="0"/>
          <w:numId w:val="43"/>
        </w:numPr>
        <w:ind w:left="709" w:hanging="283"/>
      </w:pPr>
      <w:r>
        <w:t>Investigate and monitor the resilience and responses of the ecological community to climatic variations, including prolonged drought.</w:t>
      </w:r>
    </w:p>
    <w:p w14:paraId="4ED5991E" w14:textId="77777777" w:rsidR="004A7BA7" w:rsidRDefault="004A7BA7" w:rsidP="004A7BA7">
      <w:pPr>
        <w:pStyle w:val="ListBullet"/>
        <w:numPr>
          <w:ilvl w:val="0"/>
          <w:numId w:val="43"/>
        </w:numPr>
        <w:ind w:left="709" w:hanging="283"/>
      </w:pPr>
      <w:r>
        <w:t>Investigate likely distribution shifts of key native species and alien species in the ecological community due to climate change.</w:t>
      </w:r>
    </w:p>
    <w:p w14:paraId="735FE44B" w14:textId="77777777" w:rsidR="004A7BA7" w:rsidRPr="000D7E89" w:rsidRDefault="004A7BA7" w:rsidP="004162AC">
      <w:pPr>
        <w:numPr>
          <w:ilvl w:val="0"/>
          <w:numId w:val="106"/>
        </w:numPr>
        <w:rPr>
          <w:rFonts w:cs="Times New Roman"/>
          <w:lang w:eastAsia="en-AU"/>
        </w:rPr>
      </w:pPr>
      <w:r w:rsidRPr="000D7E89">
        <w:rPr>
          <w:rFonts w:cs="Times New Roman"/>
          <w:lang w:eastAsia="en-AU"/>
        </w:rPr>
        <w:lastRenderedPageBreak/>
        <w:t xml:space="preserve">Investigate the </w:t>
      </w:r>
      <w:r>
        <w:rPr>
          <w:rFonts w:cs="Times New Roman"/>
          <w:lang w:eastAsia="en-AU"/>
        </w:rPr>
        <w:t xml:space="preserve">phenological </w:t>
      </w:r>
      <w:r w:rsidRPr="000D7E89">
        <w:rPr>
          <w:rFonts w:cs="Times New Roman"/>
          <w:lang w:eastAsia="en-AU"/>
        </w:rPr>
        <w:t>impact</w:t>
      </w:r>
      <w:r>
        <w:rPr>
          <w:rFonts w:cs="Times New Roman"/>
          <w:lang w:eastAsia="en-AU"/>
        </w:rPr>
        <w:t>s</w:t>
      </w:r>
      <w:r w:rsidRPr="000D7E89">
        <w:rPr>
          <w:rFonts w:cs="Times New Roman"/>
          <w:lang w:eastAsia="en-AU"/>
        </w:rPr>
        <w:t xml:space="preserve"> of climate change </w:t>
      </w:r>
      <w:r>
        <w:rPr>
          <w:rFonts w:cs="Times New Roman"/>
          <w:lang w:eastAsia="en-AU"/>
        </w:rPr>
        <w:t>(</w:t>
      </w:r>
      <w:r w:rsidRPr="00FA32E2">
        <w:rPr>
          <w:rFonts w:cs="Times New Roman"/>
          <w:lang w:eastAsia="en-AU"/>
        </w:rPr>
        <w:t xml:space="preserve">e.g. timing of migrations or </w:t>
      </w:r>
      <w:r w:rsidRPr="00181C72">
        <w:rPr>
          <w:rFonts w:cs="Times New Roman"/>
          <w:lang w:eastAsia="en-AU"/>
        </w:rPr>
        <w:t>flowering</w:t>
      </w:r>
      <w:r>
        <w:rPr>
          <w:rFonts w:cs="Times New Roman"/>
          <w:lang w:eastAsia="en-AU"/>
        </w:rPr>
        <w:t>/</w:t>
      </w:r>
      <w:r w:rsidRPr="00FA32E2">
        <w:rPr>
          <w:rFonts w:cs="Times New Roman"/>
          <w:lang w:eastAsia="en-AU"/>
        </w:rPr>
        <w:t xml:space="preserve">breeding and desynchronisation of interactions between species, </w:t>
      </w:r>
      <w:r>
        <w:rPr>
          <w:rFonts w:cs="Times New Roman"/>
          <w:lang w:eastAsia="en-AU"/>
        </w:rPr>
        <w:t xml:space="preserve">such as </w:t>
      </w:r>
      <w:r w:rsidRPr="00FA32E2">
        <w:rPr>
          <w:rFonts w:cs="Times New Roman"/>
          <w:lang w:eastAsia="en-AU"/>
        </w:rPr>
        <w:t>predator-prey mismatch</w:t>
      </w:r>
      <w:r>
        <w:rPr>
          <w:rFonts w:cs="Times New Roman"/>
          <w:lang w:eastAsia="en-AU"/>
        </w:rPr>
        <w:t xml:space="preserve">es and disrupted </w:t>
      </w:r>
      <w:r w:rsidRPr="000D7E89">
        <w:rPr>
          <w:rFonts w:cs="Times New Roman"/>
          <w:lang w:eastAsia="en-AU"/>
        </w:rPr>
        <w:t>pollination networks).</w:t>
      </w:r>
    </w:p>
    <w:p w14:paraId="40C60DA1" w14:textId="77777777" w:rsidR="004A7BA7" w:rsidRPr="009935C2" w:rsidRDefault="004A7BA7" w:rsidP="004A7BA7">
      <w:pPr>
        <w:pStyle w:val="ListBullet"/>
        <w:numPr>
          <w:ilvl w:val="0"/>
          <w:numId w:val="43"/>
        </w:numPr>
        <w:ind w:left="709" w:hanging="283"/>
      </w:pPr>
      <w:r>
        <w:t>Investigate potential climatic refugia throughout the ecological community. This includes improving translocation methodologies, emergency offsite storage of threatened species and developing emergency response plans for key taxa.</w:t>
      </w:r>
    </w:p>
    <w:p w14:paraId="0905A10C" w14:textId="77777777" w:rsidR="004A7BA7" w:rsidRPr="009935C2" w:rsidRDefault="004A7BA7" w:rsidP="004A7BA7">
      <w:pPr>
        <w:pStyle w:val="ListBullet"/>
        <w:numPr>
          <w:ilvl w:val="0"/>
          <w:numId w:val="43"/>
        </w:numPr>
        <w:ind w:left="709" w:hanging="283"/>
      </w:pPr>
      <w:r>
        <w:t>Investigate the impacts of groundwater extraction; and potential responses.</w:t>
      </w:r>
    </w:p>
    <w:p w14:paraId="38000EBE" w14:textId="77777777" w:rsidR="004A7BA7" w:rsidRDefault="004A7BA7" w:rsidP="004A7BA7">
      <w:pPr>
        <w:pStyle w:val="ListBullet"/>
        <w:numPr>
          <w:ilvl w:val="0"/>
          <w:numId w:val="43"/>
        </w:numPr>
        <w:ind w:left="709" w:hanging="283"/>
      </w:pPr>
      <w:r>
        <w:t>Develop an integrated system-wide database to support ongoing monitoring and analysis of the ecological community and its biota and processes.</w:t>
      </w:r>
    </w:p>
    <w:p w14:paraId="75427081" w14:textId="77777777" w:rsidR="004A7BA7" w:rsidRDefault="004A7BA7" w:rsidP="004A7BA7">
      <w:pPr>
        <w:pStyle w:val="ListBullet"/>
        <w:numPr>
          <w:ilvl w:val="0"/>
          <w:numId w:val="43"/>
        </w:numPr>
        <w:ind w:left="709" w:hanging="283"/>
      </w:pPr>
      <w:r>
        <w:t>Research and develop effective responses for this ecological community to s</w:t>
      </w:r>
      <w:r w:rsidRPr="000F6B66">
        <w:t xml:space="preserve">ea </w:t>
      </w:r>
      <w:r>
        <w:t>l</w:t>
      </w:r>
      <w:r w:rsidRPr="000F6B66">
        <w:t xml:space="preserve">evel </w:t>
      </w:r>
      <w:r>
        <w:t>r</w:t>
      </w:r>
      <w:r w:rsidRPr="000F6B66">
        <w:t xml:space="preserve">ise (SLR) </w:t>
      </w:r>
      <w:r>
        <w:t>and</w:t>
      </w:r>
      <w:r w:rsidRPr="000F6B66">
        <w:t xml:space="preserve"> </w:t>
      </w:r>
      <w:r>
        <w:t>e</w:t>
      </w:r>
      <w:r w:rsidRPr="000F6B66">
        <w:t xml:space="preserve">xtreme </w:t>
      </w:r>
      <w:r>
        <w:t>s</w:t>
      </w:r>
      <w:r w:rsidRPr="000F6B66">
        <w:t xml:space="preserve">ea </w:t>
      </w:r>
      <w:r>
        <w:t>l</w:t>
      </w:r>
      <w:r w:rsidRPr="000F6B66">
        <w:t>evel (ELR)</w:t>
      </w:r>
      <w:r>
        <w:t xml:space="preserve"> — e.g. storm surges, i</w:t>
      </w:r>
      <w:r w:rsidRPr="0065495F">
        <w:t xml:space="preserve">ncreased marine incursions and </w:t>
      </w:r>
      <w:r>
        <w:t>’</w:t>
      </w:r>
      <w:r w:rsidRPr="0065495F">
        <w:t>marinisation</w:t>
      </w:r>
      <w:r>
        <w:t>’ (and their associated pest species and pathogens).</w:t>
      </w:r>
    </w:p>
    <w:p w14:paraId="10E2EAC5" w14:textId="77777777" w:rsidR="004A7BA7" w:rsidRPr="009935C2" w:rsidRDefault="004A7BA7" w:rsidP="004A7BA7">
      <w:pPr>
        <w:pStyle w:val="ListBullet"/>
        <w:numPr>
          <w:ilvl w:val="0"/>
          <w:numId w:val="43"/>
        </w:numPr>
        <w:ind w:left="709" w:hanging="283"/>
      </w:pPr>
      <w:r>
        <w:t xml:space="preserve">Integrate Traditional Ecological Knowledge and other ecological scientific advice, using </w:t>
      </w:r>
      <w:r w:rsidRPr="00F3526A">
        <w:t>appropriate free prior and informed consent procedures and data use agreements</w:t>
      </w:r>
      <w:r>
        <w:t>.</w:t>
      </w:r>
    </w:p>
    <w:p w14:paraId="6C553C3D" w14:textId="4FEC77F4" w:rsidR="004A7BA7" w:rsidRPr="00587B54" w:rsidRDefault="009B306C" w:rsidP="006E2204">
      <w:pPr>
        <w:pStyle w:val="Heading4"/>
      </w:pPr>
      <w:bookmarkStart w:id="241" w:name="_Ref167451780"/>
      <w:bookmarkStart w:id="242" w:name="_Toc167476774"/>
      <w:bookmarkStart w:id="243" w:name="_Toc175317095"/>
      <w:r w:rsidRPr="000D1B2C">
        <w:t>Monitorin</w:t>
      </w:r>
      <w:bookmarkEnd w:id="241"/>
      <w:bookmarkEnd w:id="242"/>
      <w:r>
        <w:t>g</w:t>
      </w:r>
      <w:bookmarkEnd w:id="243"/>
    </w:p>
    <w:p w14:paraId="1CF4E49A" w14:textId="77777777" w:rsidR="004A7BA7" w:rsidRPr="00FA28A4" w:rsidRDefault="004A7BA7" w:rsidP="004162AC">
      <w:pPr>
        <w:pStyle w:val="ListParagraph"/>
        <w:numPr>
          <w:ilvl w:val="0"/>
          <w:numId w:val="50"/>
        </w:numPr>
        <w:ind w:hanging="357"/>
        <w:contextualSpacing w:val="0"/>
        <w:rPr>
          <w:rFonts w:eastAsia="Times New Roman" w:cs="Times New Roman"/>
        </w:rPr>
      </w:pPr>
      <w:r>
        <w:rPr>
          <w:rFonts w:eastAsia="Times New Roman" w:cs="Times New Roman"/>
        </w:rPr>
        <w:t xml:space="preserve">Plan </w:t>
      </w:r>
      <w:r w:rsidRPr="00FA28A4">
        <w:rPr>
          <w:rFonts w:eastAsia="Times New Roman" w:cs="Times New Roman"/>
        </w:rPr>
        <w:t xml:space="preserve">monitoring before management commences and considers what data are required to address research </w:t>
      </w:r>
      <w:r>
        <w:rPr>
          <w:rFonts w:eastAsia="Times New Roman" w:cs="Times New Roman"/>
        </w:rPr>
        <w:t>prioritie</w:t>
      </w:r>
      <w:r w:rsidRPr="00FA28A4">
        <w:rPr>
          <w:rFonts w:eastAsia="Times New Roman" w:cs="Times New Roman"/>
        </w:rPr>
        <w:t>s</w:t>
      </w:r>
      <w:r>
        <w:rPr>
          <w:rFonts w:eastAsia="Times New Roman" w:cs="Times New Roman"/>
        </w:rPr>
        <w:t xml:space="preserve"> and management questions</w:t>
      </w:r>
      <w:r w:rsidRPr="00FA28A4">
        <w:rPr>
          <w:rFonts w:eastAsia="Times New Roman" w:cs="Times New Roman"/>
        </w:rPr>
        <w:t xml:space="preserve">. </w:t>
      </w:r>
      <w:r>
        <w:rPr>
          <w:rFonts w:eastAsia="Times New Roman" w:cs="Times New Roman"/>
        </w:rPr>
        <w:t>Adequately fund and resource m</w:t>
      </w:r>
      <w:r w:rsidRPr="00FA28A4">
        <w:rPr>
          <w:rFonts w:eastAsia="Times New Roman" w:cs="Times New Roman"/>
        </w:rPr>
        <w:t xml:space="preserve">onitoring management activities, especially those using a novel approach, and </w:t>
      </w:r>
      <w:r>
        <w:rPr>
          <w:rFonts w:eastAsia="Times New Roman" w:cs="Times New Roman"/>
        </w:rPr>
        <w:t xml:space="preserve">for </w:t>
      </w:r>
      <w:r w:rsidRPr="00836037">
        <w:rPr>
          <w:rFonts w:eastAsia="Times New Roman" w:cs="Times New Roman"/>
        </w:rPr>
        <w:t xml:space="preserve">monitoring </w:t>
      </w:r>
      <w:r>
        <w:rPr>
          <w:rFonts w:eastAsia="Times New Roman" w:cs="Times New Roman"/>
        </w:rPr>
        <w:t>before,</w:t>
      </w:r>
      <w:r w:rsidRPr="00FA28A4">
        <w:rPr>
          <w:rFonts w:eastAsia="Times New Roman" w:cs="Times New Roman"/>
        </w:rPr>
        <w:t xml:space="preserve"> during and </w:t>
      </w:r>
      <w:r>
        <w:rPr>
          <w:rFonts w:eastAsia="Times New Roman" w:cs="Times New Roman"/>
        </w:rPr>
        <w:t>after</w:t>
      </w:r>
      <w:r w:rsidRPr="00FA28A4">
        <w:rPr>
          <w:rFonts w:eastAsia="Times New Roman" w:cs="Times New Roman"/>
        </w:rPr>
        <w:t xml:space="preserve"> management action.</w:t>
      </w:r>
    </w:p>
    <w:p w14:paraId="79F2A5E8" w14:textId="77777777" w:rsidR="004A7BA7" w:rsidRDefault="004A7BA7" w:rsidP="004162AC">
      <w:pPr>
        <w:pStyle w:val="ListBullet"/>
        <w:numPr>
          <w:ilvl w:val="1"/>
          <w:numId w:val="50"/>
        </w:numPr>
        <w:ind w:hanging="357"/>
      </w:pPr>
      <w:r>
        <w:t>Monitor for new weed, pest animal and pathogen incursions.</w:t>
      </w:r>
    </w:p>
    <w:p w14:paraId="6CD3BDCC" w14:textId="77777777" w:rsidR="004A7BA7" w:rsidRDefault="004A7BA7" w:rsidP="004162AC">
      <w:pPr>
        <w:pStyle w:val="ListBullet"/>
        <w:numPr>
          <w:ilvl w:val="1"/>
          <w:numId w:val="50"/>
        </w:numPr>
        <w:ind w:hanging="357"/>
      </w:pPr>
      <w:r>
        <w:t>Monitor for signs of decline.</w:t>
      </w:r>
    </w:p>
    <w:p w14:paraId="12253984" w14:textId="77777777" w:rsidR="004A7BA7" w:rsidRDefault="004A7BA7" w:rsidP="004162AC">
      <w:pPr>
        <w:pStyle w:val="ListBullet"/>
        <w:numPr>
          <w:ilvl w:val="1"/>
          <w:numId w:val="50"/>
        </w:numPr>
      </w:pPr>
      <w:r>
        <w:t>Monitor changes in the condition, composition, structure and function of the ecological community, including response to all types of management actions. Use this information to better understand the ecological community and inform future management recommendations.</w:t>
      </w:r>
    </w:p>
    <w:p w14:paraId="391C40EA" w14:textId="77777777" w:rsidR="004A7BA7" w:rsidRDefault="004A7BA7" w:rsidP="004162AC">
      <w:pPr>
        <w:pStyle w:val="ListBullet"/>
        <w:numPr>
          <w:ilvl w:val="0"/>
          <w:numId w:val="50"/>
        </w:numPr>
        <w:ind w:left="709" w:hanging="283"/>
      </w:pPr>
      <w:r>
        <w:t xml:space="preserve">Design and implement a monitoring program, or support and enhance existing programs, to gather information on the composition, distribution and dynamics of key animal and plant populations, and inform management. </w:t>
      </w:r>
    </w:p>
    <w:p w14:paraId="0BF3212F" w14:textId="77777777" w:rsidR="004A7BA7" w:rsidRDefault="004A7BA7" w:rsidP="004162AC">
      <w:pPr>
        <w:pStyle w:val="ListBullet"/>
        <w:numPr>
          <w:ilvl w:val="0"/>
          <w:numId w:val="50"/>
        </w:numPr>
        <w:ind w:left="709" w:hanging="283"/>
      </w:pPr>
      <w:r>
        <w:t>Include monitoring of river flows, water levels and water regimes, to determine how hydrology may change in concert with changing climate, and the effectiveness of environmental watering.</w:t>
      </w:r>
    </w:p>
    <w:p w14:paraId="094CC931" w14:textId="77777777" w:rsidR="004A7BA7" w:rsidRDefault="004A7BA7" w:rsidP="004162AC">
      <w:pPr>
        <w:pStyle w:val="ListBullet"/>
        <w:numPr>
          <w:ilvl w:val="0"/>
          <w:numId w:val="50"/>
        </w:numPr>
        <w:ind w:left="709" w:hanging="283"/>
      </w:pPr>
      <w:r>
        <w:t xml:space="preserve">Implement long-term monitoring of condition, consistent with previous programs such as the </w:t>
      </w:r>
      <w:r w:rsidRPr="005A1E1E">
        <w:rPr>
          <w:i/>
        </w:rPr>
        <w:t>Sustainable Rivers Audit</w:t>
      </w:r>
      <w:r>
        <w:rPr>
          <w:i/>
        </w:rPr>
        <w:t xml:space="preserve"> </w:t>
      </w:r>
      <w:r w:rsidRPr="004B2C7E">
        <w:rPr>
          <w:iCs/>
        </w:rPr>
        <w:t>and</w:t>
      </w:r>
      <w:r>
        <w:rPr>
          <w:i/>
        </w:rPr>
        <w:t xml:space="preserve"> Native Fish Recovery Strategy</w:t>
      </w:r>
      <w:r>
        <w:t>.</w:t>
      </w:r>
    </w:p>
    <w:p w14:paraId="61CF0A5B" w14:textId="77777777" w:rsidR="004A7BA7" w:rsidRDefault="004A7BA7" w:rsidP="004162AC">
      <w:pPr>
        <w:pStyle w:val="ListBullet"/>
        <w:numPr>
          <w:ilvl w:val="0"/>
          <w:numId w:val="50"/>
        </w:numPr>
        <w:ind w:left="709" w:hanging="283"/>
      </w:pPr>
      <w:r>
        <w:t xml:space="preserve">Implement a long-term monitoring of native and non-native fish abundance and distribution (adults and juveniles of key species) at key locations in the ecological community. Ensure consistency of data with similar strategies (e.g. the </w:t>
      </w:r>
      <w:r w:rsidRPr="00026297">
        <w:rPr>
          <w:i/>
        </w:rPr>
        <w:t>Native Fish Strategy</w:t>
      </w:r>
      <w:r>
        <w:t>).</w:t>
      </w:r>
    </w:p>
    <w:p w14:paraId="5ECD2FAE" w14:textId="77777777" w:rsidR="004A7BA7" w:rsidRDefault="004A7BA7" w:rsidP="004162AC">
      <w:pPr>
        <w:pStyle w:val="ListBullet"/>
        <w:numPr>
          <w:ilvl w:val="0"/>
          <w:numId w:val="50"/>
        </w:numPr>
      </w:pPr>
      <w:r>
        <w:lastRenderedPageBreak/>
        <w:t>Ensure long-term monitoring of invasive plant and animal species throughout the ecological community and develop associated risk management plans (e.g. for marine tubeworms, weeds, pest mammals, pathogens etc).</w:t>
      </w:r>
    </w:p>
    <w:p w14:paraId="00AB1243" w14:textId="77777777" w:rsidR="004A7BA7" w:rsidRDefault="004A7BA7" w:rsidP="004162AC">
      <w:pPr>
        <w:pStyle w:val="ListBullet"/>
        <w:numPr>
          <w:ilvl w:val="1"/>
          <w:numId w:val="50"/>
        </w:numPr>
      </w:pPr>
      <w:r>
        <w:t>Ensure long-term monitoring of common carp at all life-history stages throughout the ecological community.</w:t>
      </w:r>
    </w:p>
    <w:p w14:paraId="3DE844F8" w14:textId="77777777" w:rsidR="004A7BA7" w:rsidRPr="00E17C1F" w:rsidRDefault="004A7BA7" w:rsidP="004162AC">
      <w:pPr>
        <w:pStyle w:val="ListBullet"/>
        <w:numPr>
          <w:ilvl w:val="0"/>
          <w:numId w:val="50"/>
        </w:numPr>
        <w:ind w:left="709" w:hanging="283"/>
      </w:pPr>
      <w:r>
        <w:t>Monitor the progress of recovery of vegetation via improved mapping, estimates of extent and condition assessments of the ecological community, and effective adaptive management actions</w:t>
      </w:r>
      <w:r w:rsidRPr="00EB474E">
        <w:rPr>
          <w:i/>
          <w:iCs/>
        </w:rPr>
        <w:t>.</w:t>
      </w:r>
    </w:p>
    <w:p w14:paraId="12AAB384" w14:textId="77777777" w:rsidR="004A7BA7" w:rsidRPr="00EB474E" w:rsidRDefault="004A7BA7" w:rsidP="004162AC">
      <w:pPr>
        <w:pStyle w:val="ListBullet"/>
        <w:numPr>
          <w:ilvl w:val="0"/>
          <w:numId w:val="50"/>
        </w:numPr>
        <w:ind w:left="709" w:hanging="283"/>
      </w:pPr>
      <w:r>
        <w:t xml:space="preserve">Promote homogenisation of existing but disparate fish databases related to the ecological community (particularly in South Australia), with the aim of developing a single, consistent, and fit-for-purpose fish database for the </w:t>
      </w:r>
      <w:r w:rsidRPr="00A9477B">
        <w:t>ecological community</w:t>
      </w:r>
      <w:r>
        <w:t>.</w:t>
      </w:r>
    </w:p>
    <w:p w14:paraId="39B59097" w14:textId="77777777" w:rsidR="004A7BA7" w:rsidRDefault="004A7BA7" w:rsidP="004162AC">
      <w:pPr>
        <w:pStyle w:val="ListBullet"/>
        <w:numPr>
          <w:ilvl w:val="0"/>
          <w:numId w:val="50"/>
        </w:numPr>
        <w:ind w:left="709" w:hanging="283"/>
      </w:pPr>
      <w:r>
        <w:t>Monitor algal blooms and blackwater events in the ecological community and document their occurrence, conditions, impacts and longevity. Develop an associated analytical database.</w:t>
      </w:r>
    </w:p>
    <w:p w14:paraId="0578CF32" w14:textId="77777777" w:rsidR="004A7BA7" w:rsidRDefault="004A7BA7" w:rsidP="004162AC">
      <w:pPr>
        <w:pStyle w:val="ListBullet"/>
        <w:numPr>
          <w:ilvl w:val="0"/>
          <w:numId w:val="50"/>
        </w:numPr>
      </w:pPr>
      <w:r>
        <w:t>Monitor and manage impacts on biodiversity from irrigation pumping infrastructure and practices.</w:t>
      </w:r>
    </w:p>
    <w:p w14:paraId="50AF4E71" w14:textId="77777777" w:rsidR="00FA69F8" w:rsidRPr="00B33DD4" w:rsidRDefault="00FA69F8" w:rsidP="00FA69F8">
      <w:pPr>
        <w:pStyle w:val="ListBullet"/>
        <w:spacing w:after="120"/>
      </w:pPr>
    </w:p>
    <w:p w14:paraId="34B10B78" w14:textId="159A1214" w:rsidR="003B3E39" w:rsidRPr="00DF09D1" w:rsidRDefault="00DF09D1" w:rsidP="003B3E39">
      <w:pPr>
        <w:keepNext/>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priority actions</w:t>
      </w:r>
      <w:r w:rsidR="003B3E39">
        <w:t xml:space="preserve"> </w:t>
      </w:r>
    </w:p>
    <w:p w14:paraId="1C1DFAB5" w14:textId="6B04C09B" w:rsidR="00AA1714" w:rsidRPr="002636C7" w:rsidRDefault="003F1FA5" w:rsidP="003B3E39">
      <w:pPr>
        <w:pStyle w:val="Consultationquestions"/>
        <w:shd w:val="clear" w:color="auto" w:fill="FFF2CC" w:themeFill="accent4" w:themeFillTint="33"/>
        <w:ind w:left="425" w:hanging="425"/>
        <w:rPr>
          <w:color w:val="auto"/>
        </w:rPr>
      </w:pPr>
      <w:r w:rsidRPr="002636C7">
        <w:rPr>
          <w:color w:val="auto"/>
        </w:rPr>
        <w:t xml:space="preserve">Please provide feedback on this section. Further </w:t>
      </w:r>
      <w:r w:rsidR="002636C7">
        <w:rPr>
          <w:color w:val="auto"/>
        </w:rPr>
        <w:t xml:space="preserve">data or information </w:t>
      </w:r>
      <w:r w:rsidR="00820B25">
        <w:rPr>
          <w:color w:val="auto"/>
        </w:rPr>
        <w:t xml:space="preserve">to support identification and prioritisation of contemporary </w:t>
      </w:r>
      <w:r w:rsidRPr="002636C7">
        <w:rPr>
          <w:color w:val="auto"/>
        </w:rPr>
        <w:t xml:space="preserve">conservation, recovery and research </w:t>
      </w:r>
      <w:r w:rsidR="00AA1714" w:rsidRPr="002636C7">
        <w:rPr>
          <w:color w:val="auto"/>
        </w:rPr>
        <w:t xml:space="preserve">actions </w:t>
      </w:r>
      <w:r w:rsidR="00820B25">
        <w:rPr>
          <w:color w:val="auto"/>
        </w:rPr>
        <w:t xml:space="preserve">is </w:t>
      </w:r>
      <w:r w:rsidR="00AA1714" w:rsidRPr="002636C7">
        <w:rPr>
          <w:color w:val="auto"/>
        </w:rPr>
        <w:t xml:space="preserve">welcomed for consideration by the Committee. </w:t>
      </w:r>
    </w:p>
    <w:p w14:paraId="29B7866E" w14:textId="77777777" w:rsidR="00440A87" w:rsidRDefault="00440A87" w:rsidP="009D429F">
      <w:bookmarkStart w:id="244" w:name="_Ref39071413"/>
      <w:bookmarkStart w:id="245" w:name="_Ref68097549"/>
      <w:bookmarkStart w:id="246" w:name="_Toc158683492"/>
    </w:p>
    <w:p w14:paraId="7CF22509" w14:textId="77777777" w:rsidR="00121CC1" w:rsidRDefault="00121CC1">
      <w:pPr>
        <w:spacing w:after="160" w:line="259" w:lineRule="auto"/>
        <w:rPr>
          <w:rFonts w:asciiTheme="minorHAnsi" w:eastAsiaTheme="majorEastAsia" w:hAnsiTheme="minorHAnsi" w:cstheme="majorBidi"/>
          <w:bCs/>
          <w:sz w:val="36"/>
          <w:szCs w:val="32"/>
        </w:rPr>
      </w:pPr>
      <w:bookmarkStart w:id="247" w:name="_Toc175317096"/>
      <w:r>
        <w:br w:type="page"/>
      </w:r>
    </w:p>
    <w:p w14:paraId="704FD021" w14:textId="7D09D30A" w:rsidR="00F26D3D" w:rsidRDefault="00F96AA8" w:rsidP="00D23FA9">
      <w:pPr>
        <w:pStyle w:val="Heading1"/>
      </w:pPr>
      <w:bookmarkStart w:id="248" w:name="_Toc175572790"/>
      <w:r>
        <w:lastRenderedPageBreak/>
        <w:t>L</w:t>
      </w:r>
      <w:r w:rsidR="00BF3277">
        <w:t>isting assessment</w:t>
      </w:r>
      <w:bookmarkEnd w:id="244"/>
      <w:bookmarkEnd w:id="245"/>
      <w:bookmarkEnd w:id="246"/>
      <w:bookmarkEnd w:id="247"/>
      <w:bookmarkEnd w:id="248"/>
    </w:p>
    <w:p w14:paraId="6B78A11A" w14:textId="6765C5AB" w:rsidR="006B2542" w:rsidRDefault="00180E04" w:rsidP="00180E04">
      <w:bookmarkStart w:id="249" w:name="_Ref23846323"/>
      <w:r>
        <w:t xml:space="preserve">This assessment outlines the </w:t>
      </w:r>
      <w:r w:rsidRPr="00180E04">
        <w:rPr>
          <w:i/>
          <w:iCs/>
        </w:rPr>
        <w:t>grounds on which the community is eligible to be listed</w:t>
      </w:r>
      <w:r>
        <w:t xml:space="preserve"> as required by section 266B (2) (a) (i) of the EPBC Act.</w:t>
      </w:r>
    </w:p>
    <w:p w14:paraId="76DAF1E6" w14:textId="56FF4F34" w:rsidR="003B3E39" w:rsidRDefault="003B3E39" w:rsidP="003B3E39">
      <w:r>
        <w:t>The Threatened Species Scientific Committee has provided this draft for assessment for consultation.</w:t>
      </w:r>
    </w:p>
    <w:p w14:paraId="55089730" w14:textId="6B3AA277" w:rsidR="00D16849" w:rsidRDefault="00D16849" w:rsidP="008E4F36">
      <w:pPr>
        <w:pStyle w:val="Heading2"/>
      </w:pPr>
      <w:bookmarkStart w:id="250" w:name="_Toc158683493"/>
      <w:bookmarkStart w:id="251" w:name="_Toc175317097"/>
      <w:bookmarkStart w:id="252" w:name="_Toc175572791"/>
      <w:bookmarkStart w:id="253" w:name="_Ref73007611"/>
      <w:r>
        <w:t>Assessment process</w:t>
      </w:r>
      <w:bookmarkEnd w:id="250"/>
      <w:bookmarkEnd w:id="251"/>
      <w:bookmarkEnd w:id="252"/>
    </w:p>
    <w:p w14:paraId="7F332207" w14:textId="465564CB" w:rsidR="005B302E" w:rsidRDefault="005B302E" w:rsidP="00550384">
      <w:pPr>
        <w:pStyle w:val="Heading3"/>
      </w:pPr>
      <w:bookmarkStart w:id="254" w:name="_Toc175317098"/>
      <w:r>
        <w:t>Reason for assessment</w:t>
      </w:r>
      <w:bookmarkEnd w:id="253"/>
      <w:bookmarkEnd w:id="254"/>
    </w:p>
    <w:p w14:paraId="6C582C71" w14:textId="33AE5CEB" w:rsidR="00D82BD0" w:rsidRDefault="005B302E" w:rsidP="00CE65E5">
      <w:r w:rsidRPr="006C4039">
        <w:t xml:space="preserve">This </w:t>
      </w:r>
      <w:r w:rsidR="007E71E1">
        <w:t xml:space="preserve">draft listing </w:t>
      </w:r>
      <w:r w:rsidRPr="006C4039">
        <w:t>assessment follows prioritisation of a nomination from the public</w:t>
      </w:r>
      <w:r w:rsidR="0026420D" w:rsidRPr="006C4039">
        <w:t xml:space="preserve"> which </w:t>
      </w:r>
      <w:r w:rsidR="005E514F">
        <w:t xml:space="preserve">is </w:t>
      </w:r>
      <w:r w:rsidR="0026420D" w:rsidRPr="006C4039">
        <w:t>on the 2023 Final</w:t>
      </w:r>
      <w:r w:rsidR="00F10984">
        <w:t>ised</w:t>
      </w:r>
      <w:r w:rsidR="0026420D" w:rsidRPr="006C4039">
        <w:t xml:space="preserve"> Priority Assessment List (FPAL) under the EPBC Act.</w:t>
      </w:r>
      <w:r w:rsidRPr="006C4039">
        <w:t xml:space="preserve"> </w:t>
      </w:r>
    </w:p>
    <w:tbl>
      <w:tblPr>
        <w:tblStyle w:val="TableGrid"/>
        <w:tblW w:w="0" w:type="auto"/>
        <w:tblLook w:val="04A0" w:firstRow="1" w:lastRow="0" w:firstColumn="1" w:lastColumn="0" w:noHBand="0" w:noVBand="1"/>
      </w:tblPr>
      <w:tblGrid>
        <w:gridCol w:w="9060"/>
      </w:tblGrid>
      <w:tr w:rsidR="0044026D" w14:paraId="14B28216" w14:textId="77777777" w:rsidTr="00945AF4">
        <w:tc>
          <w:tcPr>
            <w:tcW w:w="9174" w:type="dxa"/>
            <w:shd w:val="clear" w:color="auto" w:fill="FFFF00"/>
          </w:tcPr>
          <w:p w14:paraId="697B1023" w14:textId="3B5652D3" w:rsidR="009E1314" w:rsidRDefault="009E1314" w:rsidP="009E1314">
            <w:pPr>
              <w:rPr>
                <w:rFonts w:ascii="Aptos" w:hAnsi="Aptos"/>
                <w:b/>
                <w:bCs/>
                <w:color w:val="000000"/>
              </w:rPr>
            </w:pPr>
            <w:r w:rsidRPr="004744A6">
              <w:rPr>
                <w:b/>
                <w:bCs/>
              </w:rPr>
              <w:t xml:space="preserve">Note: </w:t>
            </w:r>
            <w:r>
              <w:rPr>
                <w:b/>
                <w:bCs/>
                <w:color w:val="000000"/>
              </w:rPr>
              <w:t xml:space="preserve">Assessment for the 2024 </w:t>
            </w:r>
            <w:r>
              <w:rPr>
                <w:b/>
                <w:bCs/>
                <w:i/>
                <w:iCs/>
                <w:color w:val="000000"/>
              </w:rPr>
              <w:t>Conservation Advice</w:t>
            </w:r>
            <w:r>
              <w:rPr>
                <w:b/>
                <w:bCs/>
                <w:color w:val="000000"/>
              </w:rPr>
              <w:t xml:space="preserve"> is still in progress, and the Committee aims to meet the statutory deadline of </w:t>
            </w:r>
            <w:r w:rsidR="00622600">
              <w:rPr>
                <w:b/>
                <w:bCs/>
                <w:color w:val="000000"/>
              </w:rPr>
              <w:t xml:space="preserve">29 </w:t>
            </w:r>
            <w:r>
              <w:rPr>
                <w:b/>
                <w:bCs/>
                <w:color w:val="000000"/>
              </w:rPr>
              <w:t xml:space="preserve">November 2024. </w:t>
            </w:r>
          </w:p>
          <w:p w14:paraId="3F8300ED" w14:textId="7AD334EE" w:rsidR="009E1314" w:rsidRDefault="00622600" w:rsidP="009E1314">
            <w:pPr>
              <w:rPr>
                <w:color w:val="000000"/>
              </w:rPr>
            </w:pPr>
            <w:r>
              <w:rPr>
                <w:color w:val="000000"/>
              </w:rPr>
              <w:t>T</w:t>
            </w:r>
            <w:r w:rsidR="009E1314">
              <w:rPr>
                <w:color w:val="000000"/>
              </w:rPr>
              <w:t xml:space="preserve">his Draft of the </w:t>
            </w:r>
            <w:r w:rsidR="009E1314">
              <w:rPr>
                <w:i/>
                <w:iCs/>
                <w:color w:val="000000"/>
              </w:rPr>
              <w:t>Conservation Advice</w:t>
            </w:r>
            <w:r w:rsidR="009E1314">
              <w:rPr>
                <w:color w:val="000000"/>
              </w:rPr>
              <w:t xml:space="preserve">, currently released </w:t>
            </w:r>
            <w:r w:rsidR="00082BAD">
              <w:rPr>
                <w:color w:val="000000"/>
              </w:rPr>
              <w:t>for</w:t>
            </w:r>
            <w:r w:rsidR="009E1314">
              <w:rPr>
                <w:color w:val="000000"/>
              </w:rPr>
              <w:t xml:space="preserve"> the legislative require</w:t>
            </w:r>
            <w:r w:rsidR="00ED1FEC">
              <w:rPr>
                <w:color w:val="000000"/>
              </w:rPr>
              <w:t>ment for</w:t>
            </w:r>
            <w:r w:rsidR="009E1314">
              <w:rPr>
                <w:color w:val="000000"/>
              </w:rPr>
              <w:t xml:space="preserve"> </w:t>
            </w:r>
            <w:r w:rsidR="00ED1FEC">
              <w:rPr>
                <w:color w:val="000000"/>
              </w:rPr>
              <w:t>p</w:t>
            </w:r>
            <w:r w:rsidR="009E1314">
              <w:rPr>
                <w:color w:val="000000"/>
              </w:rPr>
              <w:t xml:space="preserve">ublic </w:t>
            </w:r>
            <w:r w:rsidR="00ED1FEC">
              <w:rPr>
                <w:color w:val="000000"/>
              </w:rPr>
              <w:t>c</w:t>
            </w:r>
            <w:r w:rsidR="009E1314">
              <w:rPr>
                <w:color w:val="000000"/>
              </w:rPr>
              <w:t>onsultation under the EPBC Act, should be considered as having an ‘indicative conservation status’</w:t>
            </w:r>
            <w:r w:rsidR="00ED1FEC">
              <w:rPr>
                <w:color w:val="000000"/>
              </w:rPr>
              <w:t xml:space="preserve"> for the ecological community</w:t>
            </w:r>
            <w:r w:rsidR="00A925EA">
              <w:rPr>
                <w:color w:val="000000"/>
              </w:rPr>
              <w:t>. It builds on an assessment of the same ecological community that was undertaken by the independent Threatened Species Scientific Committee (the Committee) from 2009 to 2013</w:t>
            </w:r>
            <w:r w:rsidR="009E1314">
              <w:rPr>
                <w:color w:val="000000"/>
              </w:rPr>
              <w:t xml:space="preserve">. </w:t>
            </w:r>
          </w:p>
          <w:p w14:paraId="419CC4BA" w14:textId="0695E815" w:rsidR="009E1314" w:rsidRDefault="009E1314" w:rsidP="009E1314">
            <w:r>
              <w:rPr>
                <w:color w:val="000000"/>
              </w:rPr>
              <w:t xml:space="preserve">In updating this comprehensive assessment, </w:t>
            </w:r>
            <w:r w:rsidR="00A925EA">
              <w:rPr>
                <w:color w:val="000000"/>
              </w:rPr>
              <w:t xml:space="preserve">contemporary data and analysis from the new nomination and various other sources has been incorporated but </w:t>
            </w:r>
            <w:r w:rsidR="00AD5FC4">
              <w:rPr>
                <w:color w:val="000000"/>
              </w:rPr>
              <w:t xml:space="preserve">it is </w:t>
            </w:r>
            <w:r>
              <w:rPr>
                <w:color w:val="000000"/>
              </w:rPr>
              <w:t>acknowledge</w:t>
            </w:r>
            <w:r w:rsidR="00AD5FC4">
              <w:rPr>
                <w:color w:val="000000"/>
              </w:rPr>
              <w:t>d</w:t>
            </w:r>
            <w:r>
              <w:rPr>
                <w:color w:val="000000"/>
              </w:rPr>
              <w:t xml:space="preserve"> that some additional data and analyses will become available in the next couple of months. This information was unavailable prior to this Public Consultation period due to Basin Plan processes being run by the Commonwealth and State governments</w:t>
            </w:r>
            <w:r w:rsidR="008619D3">
              <w:rPr>
                <w:color w:val="000000"/>
              </w:rPr>
              <w:t>,</w:t>
            </w:r>
            <w:r>
              <w:rPr>
                <w:color w:val="000000"/>
              </w:rPr>
              <w:t xml:space="preserve"> which have differing timelines (e.g. Schedule 12 Matter 7 &amp; 8 reporting, and </w:t>
            </w:r>
            <w:r w:rsidR="001817A9">
              <w:rPr>
                <w:color w:val="000000"/>
              </w:rPr>
              <w:t xml:space="preserve">upcoming </w:t>
            </w:r>
            <w:r>
              <w:rPr>
                <w:color w:val="000000"/>
              </w:rPr>
              <w:t>M</w:t>
            </w:r>
            <w:r w:rsidR="001817A9">
              <w:rPr>
                <w:color w:val="000000"/>
              </w:rPr>
              <w:t>urray-</w:t>
            </w:r>
            <w:r>
              <w:rPr>
                <w:color w:val="000000"/>
              </w:rPr>
              <w:t>D</w:t>
            </w:r>
            <w:r w:rsidR="004C37AF">
              <w:rPr>
                <w:color w:val="000000"/>
              </w:rPr>
              <w:t>arling</w:t>
            </w:r>
            <w:r>
              <w:rPr>
                <w:color w:val="000000"/>
              </w:rPr>
              <w:t xml:space="preserve"> W</w:t>
            </w:r>
            <w:r w:rsidR="004C37AF">
              <w:rPr>
                <w:color w:val="000000"/>
              </w:rPr>
              <w:t xml:space="preserve">ater </w:t>
            </w:r>
            <w:r w:rsidR="00756AFD">
              <w:rPr>
                <w:color w:val="000000"/>
              </w:rPr>
              <w:t xml:space="preserve">and </w:t>
            </w:r>
            <w:r>
              <w:rPr>
                <w:color w:val="000000"/>
              </w:rPr>
              <w:t>E</w:t>
            </w:r>
            <w:r w:rsidR="00756AFD">
              <w:rPr>
                <w:color w:val="000000"/>
              </w:rPr>
              <w:t xml:space="preserve">nvironment </w:t>
            </w:r>
            <w:r>
              <w:rPr>
                <w:color w:val="000000"/>
              </w:rPr>
              <w:t>R</w:t>
            </w:r>
            <w:r w:rsidR="00756AFD">
              <w:rPr>
                <w:color w:val="000000"/>
              </w:rPr>
              <w:t xml:space="preserve">esearch </w:t>
            </w:r>
            <w:r>
              <w:rPr>
                <w:color w:val="000000"/>
              </w:rPr>
              <w:t>P</w:t>
            </w:r>
            <w:r w:rsidR="00756AFD">
              <w:rPr>
                <w:color w:val="000000"/>
              </w:rPr>
              <w:t>rogram</w:t>
            </w:r>
            <w:r>
              <w:rPr>
                <w:color w:val="000000"/>
              </w:rPr>
              <w:t xml:space="preserve"> publications). </w:t>
            </w:r>
          </w:p>
          <w:p w14:paraId="61A86834" w14:textId="7C9A89D5" w:rsidR="00CD2597" w:rsidRPr="00A06B35" w:rsidRDefault="00A925EA" w:rsidP="00CE65E5">
            <w:r>
              <w:rPr>
                <w:color w:val="000000"/>
              </w:rPr>
              <w:t>When</w:t>
            </w:r>
            <w:r w:rsidR="009E1314">
              <w:rPr>
                <w:color w:val="000000"/>
              </w:rPr>
              <w:t xml:space="preserve"> these additional information resources become available, the</w:t>
            </w:r>
            <w:r w:rsidR="007E17AD">
              <w:rPr>
                <w:color w:val="000000"/>
              </w:rPr>
              <w:t xml:space="preserve">y </w:t>
            </w:r>
            <w:r w:rsidR="006563B3">
              <w:rPr>
                <w:color w:val="000000"/>
              </w:rPr>
              <w:t xml:space="preserve">are expected to be </w:t>
            </w:r>
            <w:r w:rsidR="009E1314">
              <w:rPr>
                <w:color w:val="000000"/>
              </w:rPr>
              <w:t>incorporate</w:t>
            </w:r>
            <w:r w:rsidR="007E17AD">
              <w:rPr>
                <w:color w:val="000000"/>
              </w:rPr>
              <w:t>d</w:t>
            </w:r>
            <w:r w:rsidR="009E1314">
              <w:rPr>
                <w:color w:val="000000"/>
              </w:rPr>
              <w:t xml:space="preserve"> into the Criterion assessments and the </w:t>
            </w:r>
            <w:r w:rsidR="009E1314">
              <w:rPr>
                <w:i/>
                <w:iCs/>
                <w:color w:val="000000"/>
              </w:rPr>
              <w:t>Conservation Advice.</w:t>
            </w:r>
            <w:r w:rsidR="009E1314">
              <w:rPr>
                <w:color w:val="000000"/>
              </w:rPr>
              <w:t xml:space="preserve"> At this juncture, it is considered unlikely that this extra information will alter the indicative conservation status</w:t>
            </w:r>
            <w:r w:rsidR="006563B3">
              <w:rPr>
                <w:color w:val="000000"/>
              </w:rPr>
              <w:t xml:space="preserve"> overall, but individual criteria analysis could change</w:t>
            </w:r>
            <w:r w:rsidR="009E1314">
              <w:rPr>
                <w:color w:val="000000"/>
              </w:rPr>
              <w:t>.</w:t>
            </w:r>
          </w:p>
        </w:tc>
      </w:tr>
    </w:tbl>
    <w:p w14:paraId="2A44623A" w14:textId="77777777" w:rsidR="004744A6" w:rsidRDefault="004744A6" w:rsidP="004744A6">
      <w:bookmarkStart w:id="255" w:name="_Toc158683494"/>
      <w:bookmarkStart w:id="256" w:name="_Toc175317099"/>
    </w:p>
    <w:p w14:paraId="40F077DA" w14:textId="57170C6C" w:rsidR="00F26D3D" w:rsidRDefault="00F26D3D" w:rsidP="008E4F36">
      <w:pPr>
        <w:pStyle w:val="Heading2"/>
      </w:pPr>
      <w:bookmarkStart w:id="257" w:name="_Toc175572792"/>
      <w:r>
        <w:t>Eligibility for listing</w:t>
      </w:r>
      <w:bookmarkEnd w:id="249"/>
      <w:bookmarkEnd w:id="255"/>
      <w:bookmarkEnd w:id="256"/>
      <w:bookmarkEnd w:id="257"/>
    </w:p>
    <w:p w14:paraId="2D1A0A02" w14:textId="23980A61" w:rsidR="006B2542" w:rsidRDefault="006B2542" w:rsidP="00B860C1">
      <w:pPr>
        <w:rPr>
          <w:rStyle w:val="Hyperlink"/>
          <w:color w:val="auto"/>
          <w:sz w:val="22"/>
          <w:u w:val="none"/>
        </w:rPr>
      </w:pPr>
      <w:r>
        <w:t xml:space="preserve">An ecological community is eligible for listing under section 182 of the EPBC Act if it meets the prescribed criteria outlined in the </w:t>
      </w:r>
      <w:hyperlink r:id="rId29" w:history="1">
        <w:r w:rsidRPr="00DA4086">
          <w:rPr>
            <w:rStyle w:val="Hyperlink"/>
            <w:sz w:val="22"/>
          </w:rPr>
          <w:t>EPBC Regulations</w:t>
        </w:r>
      </w:hyperlink>
      <w:r>
        <w:t xml:space="preserve">. </w:t>
      </w:r>
      <w:r w:rsidR="00A647EE" w:rsidRPr="00A647EE">
        <w:t>This assessment uses the criteria set out in</w:t>
      </w:r>
      <w:r>
        <w:t xml:space="preserve"> section 7.02</w:t>
      </w:r>
      <w:r w:rsidR="00A647EE" w:rsidRPr="00A647EE">
        <w:t xml:space="preserve"> the </w:t>
      </w:r>
      <w:hyperlink r:id="rId30" w:history="1">
        <w:r w:rsidR="00A647EE" w:rsidRPr="00DA4086">
          <w:rPr>
            <w:rStyle w:val="Hyperlink"/>
            <w:sz w:val="22"/>
          </w:rPr>
          <w:t>EPBC Regulations</w:t>
        </w:r>
      </w:hyperlink>
      <w:r w:rsidR="005B302E" w:rsidRPr="00DA4086">
        <w:t xml:space="preserve"> and </w:t>
      </w:r>
      <w:r w:rsidR="00142EF0">
        <w:t>the</w:t>
      </w:r>
      <w:r w:rsidR="005B302E" w:rsidRPr="00DA4086">
        <w:t xml:space="preserve"> </w:t>
      </w:r>
      <w:hyperlink r:id="rId31" w:history="1">
        <w:r w:rsidR="005B302E" w:rsidRPr="00DA4086">
          <w:rPr>
            <w:rStyle w:val="Hyperlink"/>
            <w:sz w:val="22"/>
          </w:rPr>
          <w:t xml:space="preserve">Guidelines for </w:t>
        </w:r>
        <w:r>
          <w:rPr>
            <w:rStyle w:val="Hyperlink"/>
            <w:sz w:val="22"/>
          </w:rPr>
          <w:t>n</w:t>
        </w:r>
        <w:r w:rsidR="005B302E" w:rsidRPr="00DA4086">
          <w:rPr>
            <w:rStyle w:val="Hyperlink"/>
            <w:sz w:val="22"/>
          </w:rPr>
          <w:t xml:space="preserve">ominating and </w:t>
        </w:r>
        <w:r>
          <w:rPr>
            <w:rStyle w:val="Hyperlink"/>
            <w:sz w:val="22"/>
          </w:rPr>
          <w:t>a</w:t>
        </w:r>
        <w:r w:rsidR="005B302E" w:rsidRPr="00DA4086">
          <w:rPr>
            <w:rStyle w:val="Hyperlink"/>
            <w:sz w:val="22"/>
          </w:rPr>
          <w:t xml:space="preserve">ssessing </w:t>
        </w:r>
        <w:r>
          <w:rPr>
            <w:rStyle w:val="Hyperlink"/>
            <w:sz w:val="22"/>
          </w:rPr>
          <w:t>the eligibility for listing of</w:t>
        </w:r>
        <w:r w:rsidR="005B302E" w:rsidRPr="00DA4086">
          <w:rPr>
            <w:rStyle w:val="Hyperlink"/>
            <w:sz w:val="22"/>
          </w:rPr>
          <w:t xml:space="preserve"> </w:t>
        </w:r>
        <w:r>
          <w:rPr>
            <w:rStyle w:val="Hyperlink"/>
            <w:sz w:val="22"/>
          </w:rPr>
          <w:t>e</w:t>
        </w:r>
        <w:r w:rsidR="005B302E" w:rsidRPr="00DA4086">
          <w:rPr>
            <w:rStyle w:val="Hyperlink"/>
            <w:sz w:val="22"/>
          </w:rPr>
          <w:t xml:space="preserve">cological </w:t>
        </w:r>
        <w:r>
          <w:rPr>
            <w:rStyle w:val="Hyperlink"/>
            <w:sz w:val="22"/>
          </w:rPr>
          <w:t>c</w:t>
        </w:r>
        <w:r w:rsidR="005B302E" w:rsidRPr="00DA4086">
          <w:rPr>
            <w:rStyle w:val="Hyperlink"/>
            <w:sz w:val="22"/>
          </w:rPr>
          <w:t>ommunities</w:t>
        </w:r>
      </w:hyperlink>
      <w:r w:rsidR="005C654F">
        <w:rPr>
          <w:rStyle w:val="Hyperlink"/>
          <w:sz w:val="22"/>
        </w:rPr>
        <w:t xml:space="preserve"> as threatened un</w:t>
      </w:r>
      <w:r w:rsidR="00E9568B">
        <w:rPr>
          <w:rStyle w:val="Hyperlink"/>
          <w:sz w:val="22"/>
        </w:rPr>
        <w:t>der national environment law</w:t>
      </w:r>
      <w:r w:rsidRPr="006B2542">
        <w:rPr>
          <w:rStyle w:val="Hyperlink"/>
          <w:color w:val="auto"/>
          <w:sz w:val="22"/>
          <w:u w:val="none"/>
        </w:rPr>
        <w:t xml:space="preserve"> (TSSC 20</w:t>
      </w:r>
      <w:r w:rsidR="009D6B85">
        <w:rPr>
          <w:rStyle w:val="Hyperlink"/>
          <w:color w:val="auto"/>
          <w:sz w:val="22"/>
          <w:u w:val="none"/>
        </w:rPr>
        <w:t>1</w:t>
      </w:r>
      <w:r w:rsidR="00F249C0">
        <w:rPr>
          <w:rStyle w:val="Hyperlink"/>
          <w:color w:val="auto"/>
          <w:sz w:val="22"/>
          <w:u w:val="none"/>
        </w:rPr>
        <w:t>7</w:t>
      </w:r>
      <w:r w:rsidRPr="006B2542">
        <w:rPr>
          <w:rStyle w:val="Hyperlink"/>
          <w:color w:val="auto"/>
          <w:sz w:val="22"/>
          <w:u w:val="none"/>
        </w:rPr>
        <w:t>)</w:t>
      </w:r>
      <w:r w:rsidR="005B302E">
        <w:t>, as in force at the time of the assessment</w:t>
      </w:r>
      <w:r w:rsidR="00A647EE" w:rsidRPr="00A647EE">
        <w:rPr>
          <w:rStyle w:val="Hyperlink"/>
          <w:color w:val="auto"/>
          <w:sz w:val="22"/>
          <w:u w:val="none"/>
        </w:rPr>
        <w:t>.</w:t>
      </w:r>
      <w:r w:rsidR="00034F1E">
        <w:rPr>
          <w:rStyle w:val="Hyperlink"/>
          <w:color w:val="auto"/>
          <w:sz w:val="22"/>
          <w:u w:val="none"/>
        </w:rPr>
        <w:t xml:space="preserve"> </w:t>
      </w:r>
    </w:p>
    <w:p w14:paraId="54F8E861" w14:textId="013382F8" w:rsidR="0066218D" w:rsidRDefault="0066218D" w:rsidP="00382D2C">
      <w:pPr>
        <w:keepLines/>
      </w:pPr>
      <w:r w:rsidRPr="00935A43">
        <w:lastRenderedPageBreak/>
        <w:t xml:space="preserve">Measuring the decline in extent </w:t>
      </w:r>
      <w:r>
        <w:t xml:space="preserve">or condition </w:t>
      </w:r>
      <w:r w:rsidRPr="00935A43">
        <w:t xml:space="preserve">of riverine </w:t>
      </w:r>
      <w:r>
        <w:t xml:space="preserve">and estuarine </w:t>
      </w:r>
      <w:r w:rsidRPr="00935A43">
        <w:t xml:space="preserve">systems </w:t>
      </w:r>
      <w:r w:rsidR="00612619">
        <w:t>can be</w:t>
      </w:r>
      <w:r w:rsidRPr="00935A43">
        <w:t xml:space="preserve"> difficult because the nature of decline often involves hydrological change</w:t>
      </w:r>
      <w:r>
        <w:t>s</w:t>
      </w:r>
      <w:r w:rsidR="00E167E4">
        <w:t xml:space="preserve"> and </w:t>
      </w:r>
      <w:r>
        <w:t>associated biodiversity and functional changes</w:t>
      </w:r>
      <w:r w:rsidR="00502562">
        <w:t>,</w:t>
      </w:r>
      <w:r>
        <w:t xml:space="preserve"> rather than </w:t>
      </w:r>
      <w:r w:rsidRPr="00935A43">
        <w:t xml:space="preserve">loss </w:t>
      </w:r>
      <w:r w:rsidR="009C22EE">
        <w:t xml:space="preserve">of a major proportion of the geographic distribution of </w:t>
      </w:r>
      <w:r w:rsidR="00CA03A6">
        <w:t xml:space="preserve">the aquatic system </w:t>
      </w:r>
      <w:r>
        <w:t xml:space="preserve">(although </w:t>
      </w:r>
      <w:r w:rsidR="00CA03A6">
        <w:t xml:space="preserve">areas or </w:t>
      </w:r>
      <w:r>
        <w:t>components of the system may be lost; e.g. fringing floodplain, individual wetlands, etc.)</w:t>
      </w:r>
      <w:r w:rsidRPr="00935A43">
        <w:t xml:space="preserve">. </w:t>
      </w:r>
      <w:r>
        <w:t>For the purposes of this assessment, decline or loss</w:t>
      </w:r>
      <w:r w:rsidR="00502562">
        <w:t xml:space="preserve"> </w:t>
      </w:r>
      <w:r>
        <w:t xml:space="preserve">in part or all of </w:t>
      </w:r>
      <w:r w:rsidRPr="00935A43">
        <w:t xml:space="preserve">the </w:t>
      </w:r>
      <w:r>
        <w:t>ecological community</w:t>
      </w:r>
      <w:r w:rsidR="00502562">
        <w:t>,</w:t>
      </w:r>
      <w:r>
        <w:t xml:space="preserve"> </w:t>
      </w:r>
      <w:r w:rsidRPr="00935A43">
        <w:t>may</w:t>
      </w:r>
      <w:r>
        <w:t xml:space="preserve"> be considered to have occurred</w:t>
      </w:r>
      <w:r w:rsidRPr="00935A43">
        <w:t xml:space="preserve"> when</w:t>
      </w:r>
      <w:r>
        <w:t xml:space="preserve"> (TSSC </w:t>
      </w:r>
      <w:r w:rsidR="00502562">
        <w:t>20</w:t>
      </w:r>
      <w:r w:rsidR="009307FF">
        <w:t>10</w:t>
      </w:r>
      <w:r w:rsidR="00502562">
        <w:t xml:space="preserve">, </w:t>
      </w:r>
      <w:r>
        <w:t>201</w:t>
      </w:r>
      <w:r w:rsidR="009307FF">
        <w:t>1</w:t>
      </w:r>
      <w:r w:rsidR="00855CD7">
        <w:t>, 2024</w:t>
      </w:r>
      <w:r>
        <w:t>):</w:t>
      </w:r>
    </w:p>
    <w:p w14:paraId="6BF7BC15" w14:textId="7436DE6C" w:rsidR="0066218D" w:rsidRPr="008104AE" w:rsidRDefault="0066218D" w:rsidP="004162AC">
      <w:pPr>
        <w:pStyle w:val="ListParagraph"/>
        <w:numPr>
          <w:ilvl w:val="0"/>
          <w:numId w:val="51"/>
        </w:numPr>
        <w:contextualSpacing w:val="0"/>
      </w:pPr>
      <w:r w:rsidRPr="008104AE">
        <w:t>key representatives (</w:t>
      </w:r>
      <w:r w:rsidR="009307FF">
        <w:t xml:space="preserve">i.e. keystone-type species, </w:t>
      </w:r>
      <w:r w:rsidRPr="008104AE">
        <w:t xml:space="preserve">e.g. species, suites of species, functional roles) of the </w:t>
      </w:r>
      <w:r w:rsidR="00030AE5">
        <w:t xml:space="preserve">ecological </w:t>
      </w:r>
      <w:r w:rsidRPr="008104AE">
        <w:t>community have undergone an irreversible</w:t>
      </w:r>
      <w:r>
        <w:t xml:space="preserve"> or long-term</w:t>
      </w:r>
      <w:r w:rsidRPr="008104AE">
        <w:t xml:space="preserve"> </w:t>
      </w:r>
      <w:r>
        <w:t xml:space="preserve">decline in abundance and/or </w:t>
      </w:r>
      <w:r w:rsidRPr="008104AE">
        <w:t xml:space="preserve">loss of integrity and function, </w:t>
      </w:r>
      <w:r>
        <w:t>and/or</w:t>
      </w:r>
    </w:p>
    <w:p w14:paraId="19F77295" w14:textId="7B2F0DAC" w:rsidR="0066218D" w:rsidRPr="008104AE" w:rsidRDefault="0066218D" w:rsidP="004162AC">
      <w:pPr>
        <w:pStyle w:val="ListParagraph"/>
        <w:numPr>
          <w:ilvl w:val="0"/>
          <w:numId w:val="51"/>
        </w:numPr>
        <w:contextualSpacing w:val="0"/>
      </w:pPr>
      <w:r>
        <w:t xml:space="preserve">physico-chemical </w:t>
      </w:r>
      <w:r w:rsidRPr="008104AE">
        <w:t>conditions</w:t>
      </w:r>
      <w:r>
        <w:t xml:space="preserve"> that underpin the local function</w:t>
      </w:r>
      <w:r w:rsidRPr="008104AE">
        <w:t xml:space="preserve"> of the ecological community </w:t>
      </w:r>
      <w:r w:rsidR="009F03DC">
        <w:t xml:space="preserve">and its constituent habitat components </w:t>
      </w:r>
      <w:r w:rsidRPr="008104AE">
        <w:t>are chan</w:t>
      </w:r>
      <w:r>
        <w:t>ged such that the system no</w:t>
      </w:r>
      <w:r w:rsidRPr="008104AE">
        <w:t xml:space="preserve"> longer functions,</w:t>
      </w:r>
      <w:r>
        <w:t xml:space="preserve"> and/or</w:t>
      </w:r>
    </w:p>
    <w:p w14:paraId="44F388D5" w14:textId="70127436" w:rsidR="0066218D" w:rsidRPr="008104AE" w:rsidRDefault="0066218D" w:rsidP="004162AC">
      <w:pPr>
        <w:pStyle w:val="ListParagraph"/>
        <w:numPr>
          <w:ilvl w:val="0"/>
          <w:numId w:val="51"/>
        </w:numPr>
        <w:contextualSpacing w:val="0"/>
      </w:pPr>
      <w:r w:rsidRPr="008104AE">
        <w:t>re-establishment of ecological processes, species composition</w:t>
      </w:r>
      <w:r w:rsidR="003223A3">
        <w:t>,</w:t>
      </w:r>
      <w:r w:rsidRPr="008104AE">
        <w:t xml:space="preserve"> and community structure, is unlikely within the foreseeable future</w:t>
      </w:r>
      <w:r>
        <w:t xml:space="preserve"> (e.g. 10–100 years)</w:t>
      </w:r>
      <w:r w:rsidRPr="008104AE">
        <w:t>, even with positive human intervention.</w:t>
      </w:r>
    </w:p>
    <w:p w14:paraId="2FD872C3" w14:textId="4C136572" w:rsidR="000458B2" w:rsidRDefault="0094292A" w:rsidP="0094292A">
      <w:r>
        <w:t xml:space="preserve">A </w:t>
      </w:r>
      <w:r w:rsidR="00121839">
        <w:t xml:space="preserve">reference (or </w:t>
      </w:r>
      <w:r>
        <w:t>benchmark</w:t>
      </w:r>
      <w:r w:rsidR="00121839">
        <w:t>)</w:t>
      </w:r>
      <w:r w:rsidRPr="00935A43">
        <w:t xml:space="preserve"> state (or series of states) may be used to assess when such </w:t>
      </w:r>
      <w:r>
        <w:t xml:space="preserve">a decline or loss </w:t>
      </w:r>
      <w:r w:rsidRPr="00935A43">
        <w:t xml:space="preserve">has occurred. </w:t>
      </w:r>
      <w:r>
        <w:t xml:space="preserve">This is a type of 'reference condition' against which future evaluations can be made, but it is not to be confused with a target for management. </w:t>
      </w:r>
    </w:p>
    <w:p w14:paraId="7F6ECD90" w14:textId="13A52AA2" w:rsidR="00A81FC5" w:rsidRDefault="00121839" w:rsidP="0094292A">
      <w:r>
        <w:t xml:space="preserve">It is </w:t>
      </w:r>
      <w:r w:rsidR="0094292A">
        <w:t>recognise</w:t>
      </w:r>
      <w:r w:rsidR="00E04255">
        <w:t>d</w:t>
      </w:r>
      <w:r w:rsidR="0094292A">
        <w:t xml:space="preserve"> that the </w:t>
      </w:r>
      <w:r w:rsidR="0094292A" w:rsidRPr="0094292A">
        <w:rPr>
          <w:i/>
        </w:rPr>
        <w:t>River Murray</w:t>
      </w:r>
      <w:r w:rsidR="000827E0">
        <w:rPr>
          <w:i/>
        </w:rPr>
        <w:t xml:space="preserve">—Darling </w:t>
      </w:r>
      <w:r w:rsidR="0094292A" w:rsidRPr="0094292A">
        <w:rPr>
          <w:i/>
        </w:rPr>
        <w:t>to Sea</w:t>
      </w:r>
      <w:r w:rsidR="0094292A">
        <w:t xml:space="preserve"> ecological community is an intensively regulated system and has been so since the locks and weirs were constructed some </w:t>
      </w:r>
      <w:r w:rsidR="000458B2">
        <w:t>10</w:t>
      </w:r>
      <w:r w:rsidR="0094292A">
        <w:t xml:space="preserve">0 </w:t>
      </w:r>
      <w:r w:rsidR="00C64DB4">
        <w:t xml:space="preserve">or so </w:t>
      </w:r>
      <w:r w:rsidR="0094292A">
        <w:t>years ago (Jacobs 1990). It now consists of a series of stepped weir</w:t>
      </w:r>
      <w:r w:rsidR="00B71F34">
        <w:t xml:space="preserve"> </w:t>
      </w:r>
      <w:r w:rsidR="0094292A">
        <w:t>pools superimposed on the natural bed slope (Walker 2006). While the pre-regulation condition is not a practical target for management (TSSC</w:t>
      </w:r>
      <w:r w:rsidR="00855CD7">
        <w:t xml:space="preserve"> </w:t>
      </w:r>
      <w:r w:rsidR="0094292A">
        <w:t xml:space="preserve">2010, 2011), it is a 'natural' </w:t>
      </w:r>
      <w:r w:rsidR="00E04255">
        <w:t xml:space="preserve">reference or </w:t>
      </w:r>
      <w:r w:rsidR="0094292A">
        <w:t xml:space="preserve">benchmark representing the flow regime to which the native flora and fauna are adapted. </w:t>
      </w:r>
      <w:r w:rsidR="00F37B1A">
        <w:t>However, there is limited ecological and hydrological knowledge from this period.</w:t>
      </w:r>
    </w:p>
    <w:p w14:paraId="6F451036" w14:textId="3CBDE662" w:rsidR="0094292A" w:rsidRDefault="0094292A" w:rsidP="0094292A">
      <w:r>
        <w:t xml:space="preserve">As a guide, a reasonable benchmark state for the aquatic component of the ecological community could be either the pre-regulation state and/or a strong flow period such as </w:t>
      </w:r>
      <w:r w:rsidR="00C91629">
        <w:t xml:space="preserve">that of </w:t>
      </w:r>
      <w:r>
        <w:t>the early</w:t>
      </w:r>
      <w:r w:rsidR="00C05ED9">
        <w:t>-</w:t>
      </w:r>
      <w:r>
        <w:t xml:space="preserve"> 1970s (i.e. </w:t>
      </w:r>
      <w:r w:rsidR="00A81FC5">
        <w:t xml:space="preserve">about </w:t>
      </w:r>
      <w:r>
        <w:t>50 years ago)</w:t>
      </w:r>
      <w:r w:rsidR="00DB5755">
        <w:t xml:space="preserve"> (TSSC 2010a)</w:t>
      </w:r>
      <w:r w:rsidR="00245CDB">
        <w:t xml:space="preserve">. This timeframe also </w:t>
      </w:r>
      <w:r w:rsidR="00C3348D">
        <w:t>represents the system</w:t>
      </w:r>
      <w:r>
        <w:t xml:space="preserve"> prior to the invasion of common carp (</w:t>
      </w:r>
      <w:r w:rsidRPr="0094292A">
        <w:rPr>
          <w:i/>
        </w:rPr>
        <w:t>Cyprinus carpio</w:t>
      </w:r>
      <w:r>
        <w:t>)</w:t>
      </w:r>
      <w:r w:rsidR="00D534A4">
        <w:t xml:space="preserve"> (</w:t>
      </w:r>
      <w:r w:rsidR="003547F4">
        <w:t xml:space="preserve">Koehn </w:t>
      </w:r>
      <w:r w:rsidR="00EA1DA7">
        <w:t>et al. 2000, 2016</w:t>
      </w:r>
      <w:r w:rsidR="00D534A4">
        <w:t>)</w:t>
      </w:r>
      <w:r w:rsidR="006D227B">
        <w:t>, prior to the transition of the Co</w:t>
      </w:r>
      <w:r w:rsidR="003B0CA2">
        <w:t>orong South Lagoon to turbid (</w:t>
      </w:r>
      <w:r w:rsidR="0023041A">
        <w:t>Aldridge</w:t>
      </w:r>
      <w:r w:rsidR="00205AEA">
        <w:t xml:space="preserve"> et al. 2018</w:t>
      </w:r>
      <w:r w:rsidR="00AD73E0">
        <w:t xml:space="preserve">; </w:t>
      </w:r>
      <w:r w:rsidR="003C3599">
        <w:t>Coleman in press</w:t>
      </w:r>
      <w:r w:rsidR="003B0CA2">
        <w:t>),</w:t>
      </w:r>
      <w:r w:rsidR="006D227B">
        <w:t xml:space="preserve"> and </w:t>
      </w:r>
      <w:r>
        <w:t>prior to the Millennium Drought of 1997–2010.</w:t>
      </w:r>
      <w:r w:rsidRPr="00935A43">
        <w:t xml:space="preserve"> </w:t>
      </w:r>
    </w:p>
    <w:p w14:paraId="6D8A3266" w14:textId="4D50B64A" w:rsidR="00E239E1" w:rsidRPr="003C3599" w:rsidRDefault="00233602" w:rsidP="00A45ECD">
      <w:pPr>
        <w:pStyle w:val="twentypointnormal"/>
        <w:ind w:left="0"/>
        <w:rPr>
          <w:rFonts w:ascii="Cambria" w:hAnsi="Cambria"/>
          <w:sz w:val="22"/>
          <w:szCs w:val="22"/>
        </w:rPr>
      </w:pPr>
      <w:r w:rsidRPr="003C3599">
        <w:rPr>
          <w:rFonts w:ascii="Cambria" w:hAnsi="Cambria"/>
          <w:sz w:val="22"/>
          <w:szCs w:val="22"/>
        </w:rPr>
        <w:t xml:space="preserve">For the terrestrial component of the ecological community, a measure of decline or condition may be when aspects no longer meet specified minimum condition thresholds, as per those indicated for riparian and floodplain vegetation in this </w:t>
      </w:r>
      <w:r w:rsidRPr="003C3599">
        <w:rPr>
          <w:rFonts w:ascii="Cambria" w:hAnsi="Cambria"/>
          <w:i/>
          <w:iCs/>
          <w:sz w:val="22"/>
          <w:szCs w:val="22"/>
        </w:rPr>
        <w:t>Conservation Advice</w:t>
      </w:r>
      <w:r w:rsidRPr="003C3599">
        <w:rPr>
          <w:rFonts w:ascii="Cambria" w:hAnsi="Cambria"/>
          <w:sz w:val="22"/>
          <w:szCs w:val="22"/>
        </w:rPr>
        <w:t xml:space="preserve"> (see </w:t>
      </w:r>
      <w:r w:rsidR="00731A1B" w:rsidRPr="003C3599">
        <w:rPr>
          <w:rFonts w:ascii="Cambria" w:hAnsi="Cambria"/>
          <w:sz w:val="22"/>
          <w:szCs w:val="22"/>
          <w:u w:val="single"/>
        </w:rPr>
        <w:t>section 2.2</w:t>
      </w:r>
      <w:r w:rsidRPr="003C3599">
        <w:rPr>
          <w:rFonts w:ascii="Cambria" w:hAnsi="Cambria"/>
          <w:sz w:val="22"/>
          <w:szCs w:val="22"/>
        </w:rPr>
        <w:t xml:space="preserve">). Note: there are no condition thresholds for the </w:t>
      </w:r>
      <w:r w:rsidR="00A23039">
        <w:rPr>
          <w:rFonts w:ascii="Cambria" w:hAnsi="Cambria"/>
          <w:sz w:val="22"/>
          <w:szCs w:val="22"/>
        </w:rPr>
        <w:t xml:space="preserve">more </w:t>
      </w:r>
      <w:r w:rsidRPr="003C3599">
        <w:rPr>
          <w:rFonts w:ascii="Cambria" w:hAnsi="Cambria"/>
          <w:sz w:val="22"/>
          <w:szCs w:val="22"/>
        </w:rPr>
        <w:t>aquatic components of the ecological community.</w:t>
      </w:r>
    </w:p>
    <w:p w14:paraId="154BBFFA" w14:textId="6820A650" w:rsidR="00A23039" w:rsidRDefault="009B35E4" w:rsidP="00A23039">
      <w:pPr>
        <w:pStyle w:val="twentypointnormal"/>
        <w:spacing w:after="200"/>
        <w:ind w:left="0"/>
        <w:contextualSpacing/>
        <w:rPr>
          <w:rFonts w:ascii="Cambria" w:hAnsi="Cambria"/>
          <w:sz w:val="22"/>
          <w:szCs w:val="22"/>
        </w:rPr>
      </w:pPr>
      <w:r w:rsidRPr="00DB5755">
        <w:rPr>
          <w:rFonts w:ascii="Cambria" w:hAnsi="Cambria"/>
          <w:sz w:val="22"/>
          <w:szCs w:val="22"/>
          <w:u w:val="single"/>
        </w:rPr>
        <w:t>Table 2</w:t>
      </w:r>
      <w:r w:rsidR="003B1B68" w:rsidRPr="00DB5755">
        <w:rPr>
          <w:rFonts w:ascii="Cambria" w:hAnsi="Cambria"/>
          <w:sz w:val="22"/>
          <w:szCs w:val="22"/>
          <w:u w:val="single"/>
        </w:rPr>
        <w:t>6</w:t>
      </w:r>
      <w:r w:rsidRPr="00DB5755">
        <w:rPr>
          <w:rFonts w:ascii="Cambria" w:hAnsi="Cambria"/>
          <w:sz w:val="22"/>
          <w:szCs w:val="22"/>
        </w:rPr>
        <w:t xml:space="preserve"> provides a summary of criteria assessment </w:t>
      </w:r>
      <w:r w:rsidR="00D534A4" w:rsidRPr="00DB5755">
        <w:rPr>
          <w:rFonts w:ascii="Cambria" w:hAnsi="Cambria"/>
          <w:sz w:val="22"/>
          <w:szCs w:val="22"/>
        </w:rPr>
        <w:t xml:space="preserve">results </w:t>
      </w:r>
      <w:r w:rsidRPr="00DB5755">
        <w:rPr>
          <w:rFonts w:ascii="Cambria" w:hAnsi="Cambria"/>
          <w:sz w:val="22"/>
          <w:szCs w:val="22"/>
        </w:rPr>
        <w:t>for the ecological community.</w:t>
      </w:r>
      <w:r w:rsidR="0028304B" w:rsidRPr="00DB5755">
        <w:rPr>
          <w:rFonts w:ascii="Cambria" w:hAnsi="Cambria"/>
          <w:sz w:val="22"/>
          <w:szCs w:val="22"/>
        </w:rPr>
        <w:t xml:space="preserve"> </w:t>
      </w:r>
      <w:r w:rsidR="00EF4684">
        <w:rPr>
          <w:rFonts w:ascii="Cambria" w:hAnsi="Cambria"/>
          <w:sz w:val="22"/>
          <w:szCs w:val="22"/>
        </w:rPr>
        <w:t xml:space="preserve">In the indicative assessment within this draft Conservation Advice, </w:t>
      </w:r>
      <w:r w:rsidR="0028304B" w:rsidRPr="00DB5755">
        <w:rPr>
          <w:rFonts w:ascii="Cambria" w:hAnsi="Cambria"/>
          <w:sz w:val="22"/>
          <w:szCs w:val="22"/>
        </w:rPr>
        <w:t xml:space="preserve">Criterion 1, 2 and 6 </w:t>
      </w:r>
      <w:r w:rsidR="0035021E">
        <w:rPr>
          <w:rFonts w:ascii="Cambria" w:hAnsi="Cambria"/>
          <w:sz w:val="22"/>
          <w:szCs w:val="22"/>
        </w:rPr>
        <w:t>a</w:t>
      </w:r>
      <w:r w:rsidR="0028304B" w:rsidRPr="00DB5755">
        <w:rPr>
          <w:rFonts w:ascii="Cambria" w:hAnsi="Cambria"/>
          <w:sz w:val="22"/>
          <w:szCs w:val="22"/>
        </w:rPr>
        <w:t xml:space="preserve">re </w:t>
      </w:r>
      <w:r w:rsidR="008759F5" w:rsidRPr="00DB5755">
        <w:rPr>
          <w:rFonts w:ascii="Cambria" w:hAnsi="Cambria"/>
          <w:sz w:val="22"/>
          <w:szCs w:val="22"/>
        </w:rPr>
        <w:t>found to be ‘</w:t>
      </w:r>
      <w:r w:rsidR="006862B0" w:rsidRPr="00DB5755">
        <w:rPr>
          <w:rFonts w:ascii="Cambria" w:hAnsi="Cambria"/>
          <w:sz w:val="22"/>
          <w:szCs w:val="22"/>
        </w:rPr>
        <w:t xml:space="preserve">not </w:t>
      </w:r>
      <w:r w:rsidR="0028304B" w:rsidRPr="00DB5755">
        <w:rPr>
          <w:rFonts w:ascii="Cambria" w:hAnsi="Cambria"/>
          <w:sz w:val="22"/>
          <w:szCs w:val="22"/>
        </w:rPr>
        <w:t>eligible</w:t>
      </w:r>
      <w:r w:rsidR="008759F5" w:rsidRPr="00DB5755">
        <w:rPr>
          <w:rFonts w:ascii="Cambria" w:hAnsi="Cambria"/>
          <w:sz w:val="22"/>
          <w:szCs w:val="22"/>
        </w:rPr>
        <w:t>’</w:t>
      </w:r>
      <w:r w:rsidR="0028304B" w:rsidRPr="00DB5755">
        <w:rPr>
          <w:rFonts w:ascii="Cambria" w:hAnsi="Cambria"/>
          <w:sz w:val="22"/>
          <w:szCs w:val="22"/>
        </w:rPr>
        <w:t xml:space="preserve">, </w:t>
      </w:r>
      <w:r w:rsidR="00A92C3F" w:rsidRPr="00DB5755">
        <w:rPr>
          <w:rFonts w:ascii="Cambria" w:hAnsi="Cambria"/>
          <w:sz w:val="22"/>
          <w:szCs w:val="22"/>
        </w:rPr>
        <w:t xml:space="preserve">while Criterion 3, 4 and 5 </w:t>
      </w:r>
      <w:r w:rsidR="0035021E">
        <w:rPr>
          <w:rFonts w:ascii="Cambria" w:hAnsi="Cambria"/>
          <w:sz w:val="22"/>
          <w:szCs w:val="22"/>
        </w:rPr>
        <w:t>a</w:t>
      </w:r>
      <w:r w:rsidR="00A92C3F" w:rsidRPr="00DB5755">
        <w:rPr>
          <w:rFonts w:ascii="Cambria" w:hAnsi="Cambria"/>
          <w:sz w:val="22"/>
          <w:szCs w:val="22"/>
        </w:rPr>
        <w:t xml:space="preserve">re </w:t>
      </w:r>
      <w:r w:rsidR="008759F5" w:rsidRPr="00DB5755">
        <w:rPr>
          <w:rFonts w:ascii="Cambria" w:hAnsi="Cambria"/>
          <w:sz w:val="22"/>
          <w:szCs w:val="22"/>
        </w:rPr>
        <w:t>found to be ‘</w:t>
      </w:r>
      <w:r w:rsidR="00A92C3F" w:rsidRPr="00DB5755">
        <w:rPr>
          <w:rFonts w:ascii="Cambria" w:hAnsi="Cambria"/>
          <w:sz w:val="22"/>
          <w:szCs w:val="22"/>
        </w:rPr>
        <w:t>eligible</w:t>
      </w:r>
      <w:r w:rsidR="008759F5" w:rsidRPr="00DB5755">
        <w:rPr>
          <w:rFonts w:ascii="Cambria" w:hAnsi="Cambria"/>
          <w:sz w:val="22"/>
          <w:szCs w:val="22"/>
        </w:rPr>
        <w:t>’</w:t>
      </w:r>
      <w:r w:rsidR="00A92C3F" w:rsidRPr="00DB5755">
        <w:rPr>
          <w:rFonts w:ascii="Cambria" w:hAnsi="Cambria"/>
          <w:sz w:val="22"/>
          <w:szCs w:val="22"/>
        </w:rPr>
        <w:t xml:space="preserve">. The highest conservation status was </w:t>
      </w:r>
      <w:r w:rsidR="008759F5" w:rsidRPr="00DB5755">
        <w:rPr>
          <w:rFonts w:ascii="Cambria" w:hAnsi="Cambria"/>
          <w:sz w:val="22"/>
          <w:szCs w:val="22"/>
        </w:rPr>
        <w:t>‘</w:t>
      </w:r>
      <w:r w:rsidR="00A92C3F" w:rsidRPr="00DB5755">
        <w:rPr>
          <w:rFonts w:ascii="Cambria" w:hAnsi="Cambria"/>
          <w:sz w:val="22"/>
          <w:szCs w:val="22"/>
        </w:rPr>
        <w:t>Critically Endangered</w:t>
      </w:r>
      <w:r w:rsidR="008759F5" w:rsidRPr="00DB5755">
        <w:rPr>
          <w:rFonts w:ascii="Cambria" w:hAnsi="Cambria"/>
          <w:sz w:val="22"/>
          <w:szCs w:val="22"/>
        </w:rPr>
        <w:t>’</w:t>
      </w:r>
      <w:r w:rsidR="00D534A4" w:rsidRPr="00DB5755">
        <w:rPr>
          <w:rFonts w:ascii="Cambria" w:hAnsi="Cambria"/>
          <w:sz w:val="22"/>
          <w:szCs w:val="22"/>
        </w:rPr>
        <w:t>,</w:t>
      </w:r>
      <w:r w:rsidR="00A92C3F" w:rsidRPr="00DB5755">
        <w:rPr>
          <w:rFonts w:ascii="Cambria" w:hAnsi="Cambria"/>
          <w:sz w:val="22"/>
          <w:szCs w:val="22"/>
        </w:rPr>
        <w:t xml:space="preserve"> which is </w:t>
      </w:r>
      <w:r w:rsidR="00D534A4" w:rsidRPr="00DB5755">
        <w:rPr>
          <w:rFonts w:ascii="Cambria" w:hAnsi="Cambria"/>
          <w:sz w:val="22"/>
          <w:szCs w:val="22"/>
        </w:rPr>
        <w:t>the conservation status</w:t>
      </w:r>
      <w:r w:rsidR="00A92C3F" w:rsidRPr="00DB5755">
        <w:rPr>
          <w:rFonts w:ascii="Cambria" w:hAnsi="Cambria"/>
          <w:sz w:val="22"/>
          <w:szCs w:val="22"/>
        </w:rPr>
        <w:t xml:space="preserve"> </w:t>
      </w:r>
      <w:r w:rsidR="006D7742" w:rsidRPr="00DB5755">
        <w:rPr>
          <w:rFonts w:ascii="Cambria" w:hAnsi="Cambria"/>
          <w:sz w:val="22"/>
          <w:szCs w:val="22"/>
        </w:rPr>
        <w:t xml:space="preserve">that </w:t>
      </w:r>
      <w:r w:rsidR="00A92C3F" w:rsidRPr="00DB5755">
        <w:rPr>
          <w:rFonts w:ascii="Cambria" w:hAnsi="Cambria"/>
          <w:sz w:val="22"/>
          <w:szCs w:val="22"/>
        </w:rPr>
        <w:t xml:space="preserve">the EC will be </w:t>
      </w:r>
      <w:r w:rsidR="003E0B62" w:rsidRPr="00DB5755">
        <w:rPr>
          <w:rFonts w:ascii="Cambria" w:hAnsi="Cambria"/>
          <w:sz w:val="22"/>
          <w:szCs w:val="22"/>
        </w:rPr>
        <w:t xml:space="preserve">proposed </w:t>
      </w:r>
      <w:r w:rsidR="006D7742" w:rsidRPr="00DB5755">
        <w:rPr>
          <w:rFonts w:ascii="Cambria" w:hAnsi="Cambria"/>
          <w:sz w:val="22"/>
          <w:szCs w:val="22"/>
        </w:rPr>
        <w:t xml:space="preserve">at </w:t>
      </w:r>
      <w:r w:rsidR="003E0B62" w:rsidRPr="00DB5755">
        <w:rPr>
          <w:rFonts w:ascii="Cambria" w:hAnsi="Cambria"/>
          <w:sz w:val="22"/>
          <w:szCs w:val="22"/>
        </w:rPr>
        <w:t>for listing as threatened.</w:t>
      </w:r>
      <w:r w:rsidR="00825F40" w:rsidRPr="00DB5755">
        <w:rPr>
          <w:rFonts w:ascii="Cambria" w:hAnsi="Cambria"/>
          <w:sz w:val="22"/>
          <w:szCs w:val="22"/>
        </w:rPr>
        <w:t xml:space="preserve"> </w:t>
      </w:r>
      <w:r w:rsidR="006862B0" w:rsidRPr="00DB5755">
        <w:rPr>
          <w:rFonts w:ascii="Cambria" w:hAnsi="Cambria"/>
          <w:sz w:val="22"/>
          <w:szCs w:val="22"/>
        </w:rPr>
        <w:t xml:space="preserve">Analyses for each of the six regulated </w:t>
      </w:r>
      <w:r w:rsidR="008759F5" w:rsidRPr="00DB5755">
        <w:rPr>
          <w:rFonts w:ascii="Cambria" w:hAnsi="Cambria"/>
          <w:sz w:val="22"/>
          <w:szCs w:val="22"/>
        </w:rPr>
        <w:t>c</w:t>
      </w:r>
      <w:r w:rsidR="006862B0" w:rsidRPr="00DB5755">
        <w:rPr>
          <w:rFonts w:ascii="Cambria" w:hAnsi="Cambria"/>
          <w:sz w:val="22"/>
          <w:szCs w:val="22"/>
        </w:rPr>
        <w:t>riteria follow.</w:t>
      </w:r>
    </w:p>
    <w:p w14:paraId="5E370964" w14:textId="77777777" w:rsidR="00A23039" w:rsidRDefault="00A23039" w:rsidP="00A23039">
      <w:pPr>
        <w:pStyle w:val="twentypointnormal"/>
        <w:spacing w:after="200"/>
        <w:ind w:left="0"/>
        <w:contextualSpacing/>
        <w:rPr>
          <w:rFonts w:ascii="Cambria" w:hAnsi="Cambria"/>
          <w:sz w:val="22"/>
          <w:szCs w:val="22"/>
        </w:rPr>
      </w:pPr>
    </w:p>
    <w:p w14:paraId="6EC998CF" w14:textId="2EF4F1AB" w:rsidR="00CE4BFD" w:rsidRDefault="003C0BDD" w:rsidP="00382D2C">
      <w:pPr>
        <w:pStyle w:val="Caption"/>
        <w:rPr>
          <w:sz w:val="21"/>
          <w:szCs w:val="21"/>
        </w:rPr>
      </w:pPr>
      <w:r>
        <w:br w:type="page"/>
      </w:r>
      <w:r>
        <w:lastRenderedPageBreak/>
        <w:t xml:space="preserve">Table </w:t>
      </w:r>
      <w:r>
        <w:fldChar w:fldCharType="begin"/>
      </w:r>
      <w:r>
        <w:instrText xml:space="preserve"> SEQ Table \* ARABIC </w:instrText>
      </w:r>
      <w:r>
        <w:fldChar w:fldCharType="separate"/>
      </w:r>
      <w:r w:rsidR="006D35C5">
        <w:rPr>
          <w:noProof/>
        </w:rPr>
        <w:t>26</w:t>
      </w:r>
      <w:r>
        <w:fldChar w:fldCharType="end"/>
      </w:r>
      <w:r w:rsidR="00CE4BFD" w:rsidRPr="006B4D5C">
        <w:t xml:space="preserve">: </w:t>
      </w:r>
      <w:r w:rsidR="00CE4BFD" w:rsidRPr="000549C9">
        <w:rPr>
          <w:sz w:val="21"/>
          <w:szCs w:val="21"/>
        </w:rPr>
        <w:t xml:space="preserve">Summary of </w:t>
      </w:r>
      <w:r w:rsidR="00304223" w:rsidRPr="000549C9">
        <w:rPr>
          <w:sz w:val="21"/>
          <w:szCs w:val="21"/>
        </w:rPr>
        <w:t xml:space="preserve">indicative </w:t>
      </w:r>
      <w:r w:rsidR="00CE4BFD" w:rsidRPr="000549C9">
        <w:rPr>
          <w:sz w:val="21"/>
          <w:szCs w:val="21"/>
        </w:rPr>
        <w:t xml:space="preserve">criteria assessment outcomes for the </w:t>
      </w:r>
      <w:r w:rsidR="00CE4BFD" w:rsidRPr="000549C9">
        <w:rPr>
          <w:i/>
          <w:sz w:val="21"/>
          <w:szCs w:val="21"/>
        </w:rPr>
        <w:t>River Murray—Darling to Sea</w:t>
      </w:r>
      <w:r w:rsidR="00CE4BFD" w:rsidRPr="000549C9">
        <w:rPr>
          <w:sz w:val="21"/>
          <w:szCs w:val="21"/>
        </w:rPr>
        <w:t xml:space="preserve"> </w:t>
      </w:r>
      <w:r w:rsidR="00DB5755" w:rsidRPr="000549C9">
        <w:rPr>
          <w:sz w:val="21"/>
          <w:szCs w:val="21"/>
        </w:rPr>
        <w:t>EC</w:t>
      </w:r>
      <w:r w:rsidR="00CE4BFD" w:rsidRPr="000549C9">
        <w:rPr>
          <w:sz w:val="21"/>
          <w:szCs w:val="21"/>
        </w:rPr>
        <w:t>. [Conservation Status: V = vulnerable; E = endangered; CE = critically endangered]</w:t>
      </w:r>
    </w:p>
    <w:p w14:paraId="2525031A" w14:textId="77777777" w:rsidR="000549C9" w:rsidRPr="000549C9" w:rsidRDefault="000549C9" w:rsidP="000549C9">
      <w:pPr>
        <w:rPr>
          <w:sz w:val="16"/>
          <w:szCs w:val="16"/>
        </w:rPr>
      </w:pPr>
    </w:p>
    <w:tbl>
      <w:tblPr>
        <w:tblStyle w:val="TableGrid"/>
        <w:tblW w:w="5000" w:type="pct"/>
        <w:tblLook w:val="04A0" w:firstRow="1" w:lastRow="0" w:firstColumn="1" w:lastColumn="0" w:noHBand="0" w:noVBand="1"/>
      </w:tblPr>
      <w:tblGrid>
        <w:gridCol w:w="1464"/>
        <w:gridCol w:w="5757"/>
        <w:gridCol w:w="1839"/>
      </w:tblGrid>
      <w:tr w:rsidR="003E0B62" w:rsidRPr="0099130F" w14:paraId="6D142C8C" w14:textId="77777777" w:rsidTr="003C0BDD">
        <w:tc>
          <w:tcPr>
            <w:tcW w:w="808" w:type="pct"/>
            <w:shd w:val="clear" w:color="auto" w:fill="D9D9D9" w:themeFill="background1" w:themeFillShade="D9"/>
          </w:tcPr>
          <w:p w14:paraId="46BE448C" w14:textId="77777777" w:rsidR="003E0B62" w:rsidRPr="0099130F" w:rsidRDefault="003E0B62" w:rsidP="00CD5901">
            <w:pPr>
              <w:pStyle w:val="tableheadertext"/>
            </w:pPr>
            <w:r w:rsidRPr="0099130F">
              <w:t>Listing Criteria</w:t>
            </w:r>
          </w:p>
        </w:tc>
        <w:tc>
          <w:tcPr>
            <w:tcW w:w="3177" w:type="pct"/>
            <w:shd w:val="clear" w:color="auto" w:fill="D9D9D9" w:themeFill="background1" w:themeFillShade="D9"/>
          </w:tcPr>
          <w:p w14:paraId="0C5876CB" w14:textId="77777777" w:rsidR="003E0B62" w:rsidRPr="0099130F" w:rsidRDefault="003E0B62" w:rsidP="00CD5901">
            <w:pPr>
              <w:pStyle w:val="tableheadertext"/>
            </w:pPr>
            <w:r w:rsidRPr="0099130F">
              <w:t>Key Assessment Outcomes</w:t>
            </w:r>
          </w:p>
        </w:tc>
        <w:tc>
          <w:tcPr>
            <w:tcW w:w="1015" w:type="pct"/>
            <w:shd w:val="clear" w:color="auto" w:fill="D9D9D9" w:themeFill="background1" w:themeFillShade="D9"/>
          </w:tcPr>
          <w:p w14:paraId="38D20B9C" w14:textId="77777777" w:rsidR="003E0B62" w:rsidRPr="0099130F" w:rsidRDefault="003E0B62" w:rsidP="00CD5901">
            <w:pPr>
              <w:pStyle w:val="tableheadertext"/>
            </w:pPr>
            <w:r w:rsidRPr="0099130F">
              <w:t>Overall Conservation Status</w:t>
            </w:r>
          </w:p>
        </w:tc>
      </w:tr>
      <w:tr w:rsidR="003E0B62" w:rsidRPr="0099130F" w14:paraId="238C80AC" w14:textId="77777777" w:rsidTr="003C0BDD">
        <w:tc>
          <w:tcPr>
            <w:tcW w:w="808" w:type="pct"/>
          </w:tcPr>
          <w:p w14:paraId="39FDDEA3"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C1</w:t>
            </w:r>
          </w:p>
        </w:tc>
        <w:tc>
          <w:tcPr>
            <w:tcW w:w="3177" w:type="pct"/>
          </w:tcPr>
          <w:p w14:paraId="5B52DCB8" w14:textId="77777777" w:rsidR="003E0B62" w:rsidRPr="0099130F" w:rsidRDefault="003E0B62" w:rsidP="007108A6">
            <w:pPr>
              <w:pStyle w:val="tabletext1"/>
              <w:ind w:left="0"/>
              <w:rPr>
                <w:rFonts w:ascii="Cambria" w:hAnsi="Cambria"/>
                <w:i/>
                <w:szCs w:val="22"/>
              </w:rPr>
            </w:pPr>
            <w:r w:rsidRPr="0099130F">
              <w:rPr>
                <w:rFonts w:ascii="Cambria" w:hAnsi="Cambria"/>
                <w:i/>
                <w:szCs w:val="22"/>
              </w:rPr>
              <w:t>Decline in geographic distribution</w:t>
            </w:r>
          </w:p>
          <w:p w14:paraId="14EA5FF4" w14:textId="77777777" w:rsidR="003E0B62" w:rsidRPr="0099130F" w:rsidRDefault="003E0B62" w:rsidP="007108A6">
            <w:pPr>
              <w:pStyle w:val="tabletext1"/>
              <w:ind w:left="0"/>
              <w:rPr>
                <w:rFonts w:ascii="Cambria" w:hAnsi="Cambria"/>
                <w:szCs w:val="22"/>
              </w:rPr>
            </w:pPr>
          </w:p>
        </w:tc>
        <w:tc>
          <w:tcPr>
            <w:tcW w:w="1015" w:type="pct"/>
          </w:tcPr>
          <w:p w14:paraId="7E6FD6B3" w14:textId="77777777" w:rsidR="003E0B62" w:rsidRPr="0099130F" w:rsidRDefault="003E0B62" w:rsidP="007108A6">
            <w:pPr>
              <w:jc w:val="center"/>
            </w:pPr>
            <w:r w:rsidRPr="0099130F">
              <w:t>Not eligible</w:t>
            </w:r>
          </w:p>
        </w:tc>
      </w:tr>
      <w:tr w:rsidR="003E0B62" w:rsidRPr="0099130F" w14:paraId="3F39A90A" w14:textId="77777777" w:rsidTr="003C0BDD">
        <w:tc>
          <w:tcPr>
            <w:tcW w:w="808" w:type="pct"/>
          </w:tcPr>
          <w:p w14:paraId="603112D6"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C2</w:t>
            </w:r>
          </w:p>
        </w:tc>
        <w:tc>
          <w:tcPr>
            <w:tcW w:w="3177" w:type="pct"/>
          </w:tcPr>
          <w:p w14:paraId="55AC791A" w14:textId="77777777" w:rsidR="003E0B62" w:rsidRPr="0099130F" w:rsidRDefault="003E0B62" w:rsidP="007108A6">
            <w:pPr>
              <w:pStyle w:val="tabletext1"/>
              <w:ind w:left="0"/>
              <w:rPr>
                <w:rFonts w:ascii="Cambria" w:hAnsi="Cambria"/>
                <w:i/>
                <w:szCs w:val="22"/>
              </w:rPr>
            </w:pPr>
            <w:r w:rsidRPr="0099130F">
              <w:rPr>
                <w:rFonts w:ascii="Cambria" w:hAnsi="Cambria"/>
                <w:i/>
                <w:szCs w:val="22"/>
              </w:rPr>
              <w:t>Small geographic distribution coupled with demonstrable</w:t>
            </w:r>
            <w:r w:rsidRPr="0099130F">
              <w:rPr>
                <w:rFonts w:ascii="Cambria" w:hAnsi="Cambria"/>
                <w:szCs w:val="22"/>
              </w:rPr>
              <w:t xml:space="preserve"> </w:t>
            </w:r>
            <w:r w:rsidRPr="0099130F">
              <w:rPr>
                <w:rFonts w:ascii="Cambria" w:hAnsi="Cambria"/>
                <w:i/>
                <w:szCs w:val="22"/>
              </w:rPr>
              <w:t>threat</w:t>
            </w:r>
          </w:p>
          <w:p w14:paraId="54AEC0B9" w14:textId="77777777" w:rsidR="003E0B62" w:rsidRPr="0099130F" w:rsidRDefault="003E0B62" w:rsidP="007108A6">
            <w:pPr>
              <w:pStyle w:val="tabletext1"/>
              <w:ind w:left="0"/>
              <w:rPr>
                <w:rFonts w:ascii="Cambria" w:hAnsi="Cambria"/>
                <w:szCs w:val="22"/>
              </w:rPr>
            </w:pPr>
          </w:p>
        </w:tc>
        <w:tc>
          <w:tcPr>
            <w:tcW w:w="1015" w:type="pct"/>
          </w:tcPr>
          <w:p w14:paraId="4F2450B9" w14:textId="77777777" w:rsidR="003E0B62" w:rsidRPr="0099130F" w:rsidRDefault="003E0B62" w:rsidP="007108A6">
            <w:pPr>
              <w:jc w:val="center"/>
            </w:pPr>
            <w:r w:rsidRPr="0099130F">
              <w:t>Not eligible</w:t>
            </w:r>
          </w:p>
        </w:tc>
      </w:tr>
      <w:tr w:rsidR="003E0B62" w:rsidRPr="0099130F" w14:paraId="7D341BCC" w14:textId="77777777" w:rsidTr="003C0BDD">
        <w:tc>
          <w:tcPr>
            <w:tcW w:w="808" w:type="pct"/>
          </w:tcPr>
          <w:p w14:paraId="2216CAB0"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C3</w:t>
            </w:r>
          </w:p>
        </w:tc>
        <w:tc>
          <w:tcPr>
            <w:tcW w:w="3177" w:type="pct"/>
          </w:tcPr>
          <w:p w14:paraId="5F6A848C" w14:textId="77777777" w:rsidR="003E0B62" w:rsidRPr="0099130F" w:rsidRDefault="003E0B62" w:rsidP="007108A6">
            <w:pPr>
              <w:pStyle w:val="tabletext1"/>
              <w:ind w:left="0"/>
              <w:rPr>
                <w:rFonts w:ascii="Cambria" w:hAnsi="Cambria"/>
                <w:b/>
                <w:bCs/>
                <w:i/>
                <w:szCs w:val="22"/>
              </w:rPr>
            </w:pPr>
            <w:r w:rsidRPr="0099130F">
              <w:rPr>
                <w:rFonts w:ascii="Cambria" w:hAnsi="Cambria"/>
                <w:b/>
                <w:bCs/>
                <w:i/>
                <w:szCs w:val="22"/>
              </w:rPr>
              <w:t>Loss or decline of functionally important species</w:t>
            </w:r>
          </w:p>
          <w:p w14:paraId="146BDB0F" w14:textId="6DB612F3"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 xml:space="preserve">Black box </w:t>
            </w:r>
            <w:r w:rsidR="002E1A2E" w:rsidRPr="0099130F">
              <w:rPr>
                <w:rFonts w:ascii="Cambria" w:hAnsi="Cambria"/>
                <w:szCs w:val="22"/>
              </w:rPr>
              <w:t xml:space="preserve">(E) </w:t>
            </w:r>
            <w:r w:rsidRPr="0099130F">
              <w:rPr>
                <w:rFonts w:ascii="Cambria" w:hAnsi="Cambria"/>
                <w:szCs w:val="22"/>
              </w:rPr>
              <w:t>and River red gum (E)</w:t>
            </w:r>
          </w:p>
          <w:p w14:paraId="08BF8D05" w14:textId="77777777"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Tangled lignum (V)</w:t>
            </w:r>
          </w:p>
          <w:p w14:paraId="37919FA1" w14:textId="246F5608"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Tassel grass and Large-fruit tassel grass (</w:t>
            </w:r>
            <w:r w:rsidR="00DD5CDF" w:rsidRPr="0099130F">
              <w:rPr>
                <w:rFonts w:ascii="Cambria" w:hAnsi="Cambria"/>
                <w:szCs w:val="22"/>
              </w:rPr>
              <w:t>CE</w:t>
            </w:r>
            <w:r w:rsidRPr="0099130F">
              <w:rPr>
                <w:rFonts w:ascii="Cambria" w:hAnsi="Cambria"/>
                <w:szCs w:val="22"/>
              </w:rPr>
              <w:t>)</w:t>
            </w:r>
          </w:p>
          <w:p w14:paraId="68A5C0C6" w14:textId="77777777"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Murray cod (CE)</w:t>
            </w:r>
          </w:p>
          <w:p w14:paraId="39E14B3D" w14:textId="03902341"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Freshwater catfish (E)</w:t>
            </w:r>
          </w:p>
          <w:p w14:paraId="13103ECD" w14:textId="77777777"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Congolli (V)</w:t>
            </w:r>
          </w:p>
          <w:p w14:paraId="7145F791" w14:textId="27632463"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Small-bodied fish – suite of four species (CE</w:t>
            </w:r>
            <w:r w:rsidR="00E73BCA" w:rsidRPr="0099130F">
              <w:rPr>
                <w:rFonts w:ascii="Cambria" w:hAnsi="Cambria"/>
                <w:szCs w:val="22"/>
              </w:rPr>
              <w:t>, incl. 1 Extinct</w:t>
            </w:r>
            <w:r w:rsidRPr="0099130F">
              <w:rPr>
                <w:rFonts w:ascii="Cambria" w:hAnsi="Cambria"/>
                <w:szCs w:val="22"/>
              </w:rPr>
              <w:t>)</w:t>
            </w:r>
          </w:p>
          <w:p w14:paraId="24375F40" w14:textId="13FF1ECA"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Murray crayfish (</w:t>
            </w:r>
            <w:r w:rsidR="00C81FCD" w:rsidRPr="0099130F">
              <w:rPr>
                <w:rFonts w:ascii="Cambria" w:hAnsi="Cambria"/>
                <w:szCs w:val="22"/>
              </w:rPr>
              <w:t>Extinct</w:t>
            </w:r>
            <w:r w:rsidRPr="0099130F">
              <w:rPr>
                <w:rFonts w:ascii="Cambria" w:hAnsi="Cambria"/>
                <w:szCs w:val="22"/>
              </w:rPr>
              <w:t>)</w:t>
            </w:r>
          </w:p>
          <w:p w14:paraId="7B4DF18A" w14:textId="6996BB73" w:rsidR="003E0B62" w:rsidRPr="0099130F" w:rsidRDefault="003E0B62" w:rsidP="004162AC">
            <w:pPr>
              <w:pStyle w:val="tabletext1"/>
              <w:numPr>
                <w:ilvl w:val="0"/>
                <w:numId w:val="53"/>
              </w:numPr>
              <w:rPr>
                <w:rFonts w:ascii="Cambria" w:hAnsi="Cambria"/>
                <w:szCs w:val="22"/>
              </w:rPr>
            </w:pPr>
            <w:r w:rsidRPr="0099130F">
              <w:rPr>
                <w:rFonts w:ascii="Cambria" w:hAnsi="Cambria"/>
                <w:szCs w:val="22"/>
              </w:rPr>
              <w:t xml:space="preserve">Freshwater snails – suite of </w:t>
            </w:r>
            <w:r w:rsidR="002B42CD" w:rsidRPr="0099130F">
              <w:rPr>
                <w:rFonts w:ascii="Cambria" w:hAnsi="Cambria"/>
                <w:szCs w:val="22"/>
              </w:rPr>
              <w:t>16</w:t>
            </w:r>
            <w:r w:rsidRPr="0099130F">
              <w:rPr>
                <w:rFonts w:ascii="Cambria" w:hAnsi="Cambria"/>
                <w:szCs w:val="22"/>
              </w:rPr>
              <w:t xml:space="preserve"> species (CE</w:t>
            </w:r>
            <w:r w:rsidR="00E73BCA" w:rsidRPr="0099130F">
              <w:rPr>
                <w:rFonts w:ascii="Cambria" w:hAnsi="Cambria"/>
                <w:szCs w:val="22"/>
              </w:rPr>
              <w:t xml:space="preserve">, </w:t>
            </w:r>
            <w:r w:rsidR="00115C79" w:rsidRPr="0099130F">
              <w:rPr>
                <w:rFonts w:ascii="Cambria" w:hAnsi="Cambria"/>
                <w:szCs w:val="22"/>
              </w:rPr>
              <w:t>3</w:t>
            </w:r>
            <w:r w:rsidR="00E73BCA" w:rsidRPr="0099130F">
              <w:rPr>
                <w:rFonts w:ascii="Cambria" w:hAnsi="Cambria"/>
                <w:szCs w:val="22"/>
              </w:rPr>
              <w:t xml:space="preserve"> Ext</w:t>
            </w:r>
            <w:r w:rsidR="00E545B5" w:rsidRPr="0099130F">
              <w:rPr>
                <w:rFonts w:ascii="Cambria" w:hAnsi="Cambria"/>
                <w:szCs w:val="22"/>
              </w:rPr>
              <w:t>irpated</w:t>
            </w:r>
            <w:r w:rsidRPr="0099130F">
              <w:rPr>
                <w:rFonts w:ascii="Cambria" w:hAnsi="Cambria"/>
                <w:szCs w:val="22"/>
              </w:rPr>
              <w:t>)</w:t>
            </w:r>
          </w:p>
        </w:tc>
        <w:tc>
          <w:tcPr>
            <w:tcW w:w="1015" w:type="pct"/>
          </w:tcPr>
          <w:p w14:paraId="78382C6C" w14:textId="77777777" w:rsidR="003E0B62" w:rsidRPr="0099130F" w:rsidRDefault="003E0B62" w:rsidP="007108A6">
            <w:pPr>
              <w:jc w:val="center"/>
            </w:pPr>
          </w:p>
          <w:p w14:paraId="1E0D1DA7" w14:textId="77777777" w:rsidR="003E0B62" w:rsidRPr="0099130F" w:rsidRDefault="003E0B62" w:rsidP="007108A6">
            <w:pPr>
              <w:jc w:val="center"/>
            </w:pPr>
          </w:p>
          <w:p w14:paraId="7837513A" w14:textId="77777777" w:rsidR="003E0B62" w:rsidRPr="0099130F" w:rsidRDefault="003E0B62" w:rsidP="007108A6">
            <w:pPr>
              <w:jc w:val="center"/>
              <w:rPr>
                <w:b/>
              </w:rPr>
            </w:pPr>
            <w:r w:rsidRPr="0099130F">
              <w:rPr>
                <w:b/>
              </w:rPr>
              <w:t>CE</w:t>
            </w:r>
          </w:p>
        </w:tc>
      </w:tr>
      <w:tr w:rsidR="003E0B62" w:rsidRPr="0099130F" w14:paraId="625300DF" w14:textId="77777777" w:rsidTr="003C0BDD">
        <w:tc>
          <w:tcPr>
            <w:tcW w:w="808" w:type="pct"/>
          </w:tcPr>
          <w:p w14:paraId="531B5985"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C4</w:t>
            </w:r>
          </w:p>
        </w:tc>
        <w:tc>
          <w:tcPr>
            <w:tcW w:w="3177" w:type="pct"/>
          </w:tcPr>
          <w:p w14:paraId="5B461942" w14:textId="77777777" w:rsidR="003E0B62" w:rsidRPr="0099130F" w:rsidRDefault="003E0B62" w:rsidP="007108A6">
            <w:pPr>
              <w:pStyle w:val="tabletext1"/>
              <w:ind w:left="0"/>
              <w:rPr>
                <w:rFonts w:ascii="Cambria" w:hAnsi="Cambria"/>
                <w:b/>
                <w:bCs/>
                <w:i/>
                <w:szCs w:val="22"/>
              </w:rPr>
            </w:pPr>
            <w:r w:rsidRPr="0099130F">
              <w:rPr>
                <w:rFonts w:ascii="Cambria" w:hAnsi="Cambria"/>
                <w:b/>
                <w:bCs/>
                <w:i/>
                <w:szCs w:val="22"/>
              </w:rPr>
              <w:t>Reduction in community integrity</w:t>
            </w:r>
          </w:p>
          <w:p w14:paraId="13B79966" w14:textId="77777777" w:rsidR="009B6AE3" w:rsidRPr="0099130F" w:rsidRDefault="009B6AE3" w:rsidP="004162AC">
            <w:pPr>
              <w:pStyle w:val="tabletext1"/>
              <w:numPr>
                <w:ilvl w:val="0"/>
                <w:numId w:val="54"/>
              </w:numPr>
              <w:rPr>
                <w:rFonts w:ascii="Cambria" w:hAnsi="Cambria"/>
                <w:szCs w:val="22"/>
              </w:rPr>
            </w:pPr>
            <w:r w:rsidRPr="0099130F">
              <w:rPr>
                <w:rFonts w:ascii="Cambria" w:hAnsi="Cambria"/>
                <w:szCs w:val="22"/>
              </w:rPr>
              <w:t>decline in integrity from biodiversity loss</w:t>
            </w:r>
          </w:p>
          <w:p w14:paraId="05205E19" w14:textId="77777777" w:rsidR="009B6AE3" w:rsidRPr="0099130F" w:rsidRDefault="009B6AE3" w:rsidP="004162AC">
            <w:pPr>
              <w:pStyle w:val="tabletext1"/>
              <w:numPr>
                <w:ilvl w:val="0"/>
                <w:numId w:val="54"/>
              </w:numPr>
              <w:rPr>
                <w:rFonts w:ascii="Cambria" w:hAnsi="Cambria"/>
                <w:szCs w:val="22"/>
              </w:rPr>
            </w:pPr>
            <w:r w:rsidRPr="0099130F">
              <w:rPr>
                <w:rFonts w:ascii="Cambria" w:hAnsi="Cambria"/>
                <w:szCs w:val="22"/>
              </w:rPr>
              <w:t xml:space="preserve">decline in integrity from non-native invasive or problem species  </w:t>
            </w:r>
          </w:p>
          <w:p w14:paraId="2B43DFEE" w14:textId="39301848" w:rsidR="003E0B62" w:rsidRPr="0099130F" w:rsidRDefault="003E0B62" w:rsidP="004162AC">
            <w:pPr>
              <w:pStyle w:val="tabletext1"/>
              <w:numPr>
                <w:ilvl w:val="0"/>
                <w:numId w:val="54"/>
              </w:numPr>
              <w:rPr>
                <w:rFonts w:ascii="Cambria" w:hAnsi="Cambria"/>
                <w:szCs w:val="22"/>
              </w:rPr>
            </w:pPr>
            <w:r w:rsidRPr="0099130F">
              <w:rPr>
                <w:rFonts w:ascii="Cambria" w:hAnsi="Cambria"/>
                <w:szCs w:val="22"/>
              </w:rPr>
              <w:t>decline in integrity from altered hydrological regime</w:t>
            </w:r>
          </w:p>
          <w:p w14:paraId="7AA1752A" w14:textId="4A10521E" w:rsidR="003E0B62" w:rsidRPr="0099130F" w:rsidRDefault="003E0B62" w:rsidP="004162AC">
            <w:pPr>
              <w:pStyle w:val="tabletext1"/>
              <w:numPr>
                <w:ilvl w:val="0"/>
                <w:numId w:val="54"/>
              </w:numPr>
              <w:rPr>
                <w:rFonts w:ascii="Cambria" w:hAnsi="Cambria"/>
                <w:szCs w:val="22"/>
              </w:rPr>
            </w:pPr>
            <w:r w:rsidRPr="0099130F">
              <w:rPr>
                <w:rFonts w:ascii="Cambria" w:hAnsi="Cambria"/>
                <w:szCs w:val="22"/>
              </w:rPr>
              <w:t>decline in integrity from loss of connectivity</w:t>
            </w:r>
          </w:p>
        </w:tc>
        <w:tc>
          <w:tcPr>
            <w:tcW w:w="1015" w:type="pct"/>
          </w:tcPr>
          <w:p w14:paraId="1F18BBE7" w14:textId="77777777" w:rsidR="003E0B62" w:rsidRPr="0099130F" w:rsidRDefault="003E0B62" w:rsidP="007108A6">
            <w:pPr>
              <w:jc w:val="center"/>
            </w:pPr>
          </w:p>
          <w:p w14:paraId="12ED5946" w14:textId="77777777" w:rsidR="003E0B62" w:rsidRPr="0099130F" w:rsidRDefault="003E0B62" w:rsidP="007108A6">
            <w:pPr>
              <w:jc w:val="center"/>
              <w:rPr>
                <w:b/>
              </w:rPr>
            </w:pPr>
            <w:r w:rsidRPr="0099130F">
              <w:rPr>
                <w:b/>
              </w:rPr>
              <w:t>CE</w:t>
            </w:r>
          </w:p>
          <w:p w14:paraId="3686896E" w14:textId="77777777" w:rsidR="003E0B62" w:rsidRPr="0099130F" w:rsidRDefault="003E0B62" w:rsidP="007108A6">
            <w:pPr>
              <w:jc w:val="center"/>
            </w:pPr>
          </w:p>
        </w:tc>
      </w:tr>
      <w:tr w:rsidR="003E0B62" w:rsidRPr="0099130F" w14:paraId="5619E33C" w14:textId="77777777" w:rsidTr="003C0BDD">
        <w:tc>
          <w:tcPr>
            <w:tcW w:w="808" w:type="pct"/>
          </w:tcPr>
          <w:p w14:paraId="255568E5"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C5</w:t>
            </w:r>
          </w:p>
        </w:tc>
        <w:tc>
          <w:tcPr>
            <w:tcW w:w="3177" w:type="pct"/>
          </w:tcPr>
          <w:p w14:paraId="58A5D2A9" w14:textId="77777777" w:rsidR="003E0B62" w:rsidRPr="0099130F" w:rsidRDefault="003E0B62" w:rsidP="007108A6">
            <w:pPr>
              <w:pStyle w:val="tabletext1"/>
              <w:ind w:left="0"/>
              <w:rPr>
                <w:rFonts w:ascii="Cambria" w:hAnsi="Cambria"/>
                <w:b/>
                <w:bCs/>
                <w:i/>
                <w:szCs w:val="22"/>
              </w:rPr>
            </w:pPr>
            <w:r w:rsidRPr="0099130F">
              <w:rPr>
                <w:rFonts w:ascii="Cambria" w:hAnsi="Cambria"/>
                <w:b/>
                <w:bCs/>
                <w:i/>
                <w:szCs w:val="22"/>
              </w:rPr>
              <w:t>Rate of continuing detrimental change</w:t>
            </w:r>
          </w:p>
          <w:p w14:paraId="6C8F8372" w14:textId="77777777" w:rsidR="003E0B62" w:rsidRPr="0099130F" w:rsidRDefault="003E0B62" w:rsidP="004162AC">
            <w:pPr>
              <w:pStyle w:val="tabletext1"/>
              <w:numPr>
                <w:ilvl w:val="0"/>
                <w:numId w:val="51"/>
              </w:numPr>
              <w:rPr>
                <w:rFonts w:ascii="Cambria" w:hAnsi="Cambria"/>
                <w:szCs w:val="22"/>
              </w:rPr>
            </w:pPr>
            <w:r w:rsidRPr="0099130F">
              <w:rPr>
                <w:rFonts w:ascii="Cambria" w:hAnsi="Cambria"/>
                <w:szCs w:val="22"/>
              </w:rPr>
              <w:t xml:space="preserve">salinisation of floodplain </w:t>
            </w:r>
          </w:p>
        </w:tc>
        <w:tc>
          <w:tcPr>
            <w:tcW w:w="1015" w:type="pct"/>
          </w:tcPr>
          <w:p w14:paraId="58B29563" w14:textId="77777777" w:rsidR="003E0B62" w:rsidRPr="0099130F" w:rsidRDefault="003E0B62" w:rsidP="007108A6">
            <w:pPr>
              <w:jc w:val="center"/>
              <w:rPr>
                <w:b/>
              </w:rPr>
            </w:pPr>
            <w:r w:rsidRPr="0099130F">
              <w:rPr>
                <w:b/>
              </w:rPr>
              <w:t>E</w:t>
            </w:r>
          </w:p>
        </w:tc>
      </w:tr>
      <w:tr w:rsidR="003E0B62" w:rsidRPr="0099130F" w14:paraId="54E1D6B3" w14:textId="77777777" w:rsidTr="003C0BDD">
        <w:tc>
          <w:tcPr>
            <w:tcW w:w="808" w:type="pct"/>
          </w:tcPr>
          <w:p w14:paraId="3A2F60B2" w14:textId="77777777" w:rsidR="003E0B62" w:rsidRPr="0099130F" w:rsidRDefault="003E0B62" w:rsidP="007108A6">
            <w:pPr>
              <w:pStyle w:val="tabletext1"/>
              <w:jc w:val="center"/>
              <w:rPr>
                <w:rFonts w:ascii="Cambria" w:hAnsi="Cambria"/>
                <w:b/>
                <w:szCs w:val="22"/>
              </w:rPr>
            </w:pPr>
            <w:r w:rsidRPr="0099130F">
              <w:rPr>
                <w:rFonts w:ascii="Cambria" w:hAnsi="Cambria"/>
                <w:b/>
                <w:szCs w:val="22"/>
              </w:rPr>
              <w:t>C6</w:t>
            </w:r>
          </w:p>
        </w:tc>
        <w:tc>
          <w:tcPr>
            <w:tcW w:w="3177" w:type="pct"/>
          </w:tcPr>
          <w:p w14:paraId="469D55B8" w14:textId="77777777" w:rsidR="003E0B62" w:rsidRPr="0099130F" w:rsidRDefault="003E0B62" w:rsidP="007108A6">
            <w:pPr>
              <w:pStyle w:val="tabletext1"/>
              <w:ind w:left="0"/>
              <w:rPr>
                <w:rFonts w:ascii="Cambria" w:hAnsi="Cambria"/>
                <w:i/>
                <w:szCs w:val="22"/>
              </w:rPr>
            </w:pPr>
            <w:r w:rsidRPr="0099130F">
              <w:rPr>
                <w:rFonts w:ascii="Cambria" w:hAnsi="Cambria"/>
                <w:i/>
                <w:szCs w:val="22"/>
              </w:rPr>
              <w:t>Quantitative analysis showing probability of extinction</w:t>
            </w:r>
          </w:p>
          <w:p w14:paraId="1CEE5182" w14:textId="77777777" w:rsidR="003E0B62" w:rsidRPr="0099130F" w:rsidRDefault="003E0B62" w:rsidP="007108A6">
            <w:pPr>
              <w:pStyle w:val="tabletext1"/>
              <w:ind w:left="432"/>
              <w:rPr>
                <w:rFonts w:ascii="Cambria" w:hAnsi="Cambria"/>
                <w:szCs w:val="22"/>
              </w:rPr>
            </w:pPr>
          </w:p>
        </w:tc>
        <w:tc>
          <w:tcPr>
            <w:tcW w:w="1015" w:type="pct"/>
          </w:tcPr>
          <w:p w14:paraId="7DB99DA6" w14:textId="77777777" w:rsidR="003E0B62" w:rsidRPr="0099130F" w:rsidRDefault="003E0B62" w:rsidP="007108A6">
            <w:pPr>
              <w:jc w:val="center"/>
            </w:pPr>
            <w:r w:rsidRPr="0099130F">
              <w:t>Not eligible</w:t>
            </w:r>
          </w:p>
        </w:tc>
      </w:tr>
    </w:tbl>
    <w:p w14:paraId="795DBDAB" w14:textId="77777777" w:rsidR="00A853E0" w:rsidRDefault="00A853E0" w:rsidP="00A45ECD">
      <w:pPr>
        <w:pStyle w:val="twentypointnormal"/>
        <w:ind w:left="0"/>
        <w:rPr>
          <w:rStyle w:val="Hyperlink"/>
          <w:rFonts w:ascii="Times New Roman" w:hAnsi="Times New Roman"/>
          <w:b/>
          <w:bCs/>
          <w:color w:val="auto"/>
          <w:sz w:val="24"/>
          <w:u w:val="none"/>
        </w:rPr>
      </w:pPr>
    </w:p>
    <w:p w14:paraId="388FAA50" w14:textId="77777777" w:rsidR="00440A87" w:rsidRPr="00A853E0" w:rsidRDefault="00440A87" w:rsidP="00A45ECD">
      <w:pPr>
        <w:pStyle w:val="twentypointnormal"/>
        <w:ind w:left="0"/>
        <w:rPr>
          <w:rStyle w:val="Hyperlink"/>
          <w:rFonts w:ascii="Times New Roman" w:hAnsi="Times New Roman"/>
          <w:b/>
          <w:bCs/>
          <w:color w:val="auto"/>
          <w:sz w:val="24"/>
          <w:u w:val="none"/>
        </w:rPr>
      </w:pPr>
    </w:p>
    <w:p w14:paraId="05F0B53E" w14:textId="77777777" w:rsidR="009050CA" w:rsidRDefault="009050CA">
      <w:pPr>
        <w:spacing w:after="160" w:line="259" w:lineRule="auto"/>
        <w:rPr>
          <w:rFonts w:asciiTheme="minorHAnsi" w:eastAsiaTheme="majorEastAsia" w:hAnsiTheme="minorHAnsi" w:cstheme="majorBidi"/>
          <w:b/>
          <w:i/>
          <w:szCs w:val="24"/>
        </w:rPr>
      </w:pPr>
      <w:bookmarkStart w:id="258" w:name="_Toc175317100"/>
      <w:r>
        <w:br w:type="page"/>
      </w:r>
    </w:p>
    <w:p w14:paraId="0865BD4F" w14:textId="1804A9BF" w:rsidR="00F26D3D" w:rsidRPr="009152CC" w:rsidRDefault="00232034" w:rsidP="00550384">
      <w:pPr>
        <w:pStyle w:val="Heading3"/>
      </w:pPr>
      <w:r>
        <w:lastRenderedPageBreak/>
        <w:t xml:space="preserve">6.2.1 </w:t>
      </w:r>
      <w:r w:rsidR="00F26D3D" w:rsidRPr="009152CC">
        <w:t>Criterion 1 – decline in geographic distribution</w:t>
      </w:r>
      <w:bookmarkEnd w:id="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29"/>
        <w:gridCol w:w="1643"/>
        <w:gridCol w:w="1645"/>
        <w:gridCol w:w="1643"/>
      </w:tblGrid>
      <w:tr w:rsidR="007A1203" w:rsidRPr="00051D51" w14:paraId="22E313C2" w14:textId="77777777" w:rsidTr="002C0339">
        <w:trPr>
          <w:cantSplit/>
          <w:jc w:val="center"/>
        </w:trPr>
        <w:tc>
          <w:tcPr>
            <w:tcW w:w="2278" w:type="pct"/>
            <w:vMerge w:val="restart"/>
            <w:shd w:val="clear" w:color="auto" w:fill="F2F2F2" w:themeFill="background1" w:themeFillShade="F2"/>
            <w:vAlign w:val="center"/>
          </w:tcPr>
          <w:p w14:paraId="3160091E" w14:textId="77777777" w:rsidR="007A1203" w:rsidRPr="00214F9A" w:rsidRDefault="007A1203" w:rsidP="002D18A9">
            <w:pPr>
              <w:pStyle w:val="Tabletext"/>
              <w:rPr>
                <w:b/>
                <w:bCs/>
                <w:sz w:val="20"/>
                <w:szCs w:val="20"/>
              </w:rPr>
            </w:pPr>
          </w:p>
        </w:tc>
        <w:tc>
          <w:tcPr>
            <w:tcW w:w="2722" w:type="pct"/>
            <w:gridSpan w:val="3"/>
            <w:tcBorders>
              <w:bottom w:val="single" w:sz="4" w:space="0" w:color="auto"/>
            </w:tcBorders>
            <w:shd w:val="clear" w:color="auto" w:fill="F2F2F2" w:themeFill="background1" w:themeFillShade="F2"/>
            <w:vAlign w:val="center"/>
          </w:tcPr>
          <w:p w14:paraId="1AEA203A" w14:textId="1FE694A0" w:rsidR="007A1203" w:rsidRPr="00AE19BB" w:rsidRDefault="007A1203" w:rsidP="00AE19BB">
            <w:pPr>
              <w:pStyle w:val="Tabletext"/>
              <w:jc w:val="center"/>
              <w:rPr>
                <w:b/>
                <w:bCs/>
                <w:szCs w:val="18"/>
              </w:rPr>
            </w:pPr>
            <w:r w:rsidRPr="00AE19BB">
              <w:rPr>
                <w:b/>
                <w:bCs/>
                <w:szCs w:val="18"/>
              </w:rPr>
              <w:t>Category</w:t>
            </w:r>
          </w:p>
        </w:tc>
      </w:tr>
      <w:tr w:rsidR="007A1203" w:rsidRPr="00051D51" w14:paraId="5B60D9FB" w14:textId="77777777" w:rsidTr="007A1203">
        <w:trPr>
          <w:cantSplit/>
          <w:jc w:val="center"/>
        </w:trPr>
        <w:tc>
          <w:tcPr>
            <w:tcW w:w="2278" w:type="pct"/>
            <w:vMerge/>
            <w:tcBorders>
              <w:bottom w:val="single" w:sz="4" w:space="0" w:color="auto"/>
            </w:tcBorders>
            <w:shd w:val="clear" w:color="auto" w:fill="F2F2F2" w:themeFill="background1" w:themeFillShade="F2"/>
            <w:vAlign w:val="center"/>
          </w:tcPr>
          <w:p w14:paraId="07353AD7" w14:textId="5B7E85F9" w:rsidR="007A1203" w:rsidRPr="00214F9A" w:rsidRDefault="007A1203" w:rsidP="002D18A9">
            <w:pPr>
              <w:pStyle w:val="Tabletext"/>
              <w:rPr>
                <w:b/>
                <w:bCs/>
                <w:sz w:val="20"/>
                <w:szCs w:val="20"/>
              </w:rPr>
            </w:pPr>
          </w:p>
        </w:tc>
        <w:tc>
          <w:tcPr>
            <w:tcW w:w="907" w:type="pct"/>
            <w:tcBorders>
              <w:bottom w:val="single" w:sz="4" w:space="0" w:color="auto"/>
            </w:tcBorders>
            <w:shd w:val="clear" w:color="auto" w:fill="F2F2F2" w:themeFill="background1" w:themeFillShade="F2"/>
            <w:vAlign w:val="center"/>
          </w:tcPr>
          <w:p w14:paraId="201F0A52" w14:textId="77777777" w:rsidR="007A1203" w:rsidRPr="00AE19BB" w:rsidRDefault="007A1203" w:rsidP="00AE19BB">
            <w:pPr>
              <w:pStyle w:val="Tabletext"/>
              <w:jc w:val="center"/>
              <w:rPr>
                <w:b/>
                <w:bCs/>
                <w:szCs w:val="18"/>
              </w:rPr>
            </w:pPr>
            <w:r w:rsidRPr="00AE19BB">
              <w:rPr>
                <w:b/>
                <w:bCs/>
                <w:szCs w:val="18"/>
              </w:rPr>
              <w:t>Critically Endangered</w:t>
            </w:r>
          </w:p>
        </w:tc>
        <w:tc>
          <w:tcPr>
            <w:tcW w:w="908" w:type="pct"/>
            <w:tcBorders>
              <w:bottom w:val="single" w:sz="4" w:space="0" w:color="auto"/>
            </w:tcBorders>
            <w:shd w:val="clear" w:color="auto" w:fill="F2F2F2" w:themeFill="background1" w:themeFillShade="F2"/>
            <w:vAlign w:val="center"/>
          </w:tcPr>
          <w:p w14:paraId="61DBB8D0" w14:textId="77777777" w:rsidR="007A1203" w:rsidRPr="00AE19BB" w:rsidRDefault="007A1203" w:rsidP="00AE19BB">
            <w:pPr>
              <w:pStyle w:val="Tabletext"/>
              <w:jc w:val="center"/>
              <w:rPr>
                <w:b/>
                <w:bCs/>
                <w:szCs w:val="18"/>
              </w:rPr>
            </w:pPr>
            <w:r w:rsidRPr="00AE19BB">
              <w:rPr>
                <w:b/>
                <w:bCs/>
                <w:szCs w:val="18"/>
              </w:rPr>
              <w:t>Endangered</w:t>
            </w:r>
          </w:p>
        </w:tc>
        <w:tc>
          <w:tcPr>
            <w:tcW w:w="907" w:type="pct"/>
            <w:tcBorders>
              <w:bottom w:val="single" w:sz="4" w:space="0" w:color="auto"/>
            </w:tcBorders>
            <w:shd w:val="clear" w:color="auto" w:fill="F2F2F2" w:themeFill="background1" w:themeFillShade="F2"/>
            <w:vAlign w:val="center"/>
          </w:tcPr>
          <w:p w14:paraId="454DF946" w14:textId="77777777" w:rsidR="007A1203" w:rsidRPr="00AE19BB" w:rsidRDefault="007A1203" w:rsidP="00AE19BB">
            <w:pPr>
              <w:pStyle w:val="Tabletext"/>
              <w:jc w:val="center"/>
              <w:rPr>
                <w:b/>
                <w:bCs/>
                <w:szCs w:val="18"/>
              </w:rPr>
            </w:pPr>
            <w:r w:rsidRPr="00AE19BB">
              <w:rPr>
                <w:b/>
                <w:bCs/>
                <w:szCs w:val="18"/>
              </w:rPr>
              <w:t>Vulnerable</w:t>
            </w:r>
          </w:p>
        </w:tc>
      </w:tr>
      <w:tr w:rsidR="00884506" w:rsidRPr="00051D51" w14:paraId="28FB90C4" w14:textId="77777777" w:rsidTr="00FD3810">
        <w:trPr>
          <w:cantSplit/>
          <w:trHeight w:hRule="exact" w:val="397"/>
          <w:jc w:val="center"/>
        </w:trPr>
        <w:tc>
          <w:tcPr>
            <w:tcW w:w="2278" w:type="pct"/>
            <w:shd w:val="clear" w:color="auto" w:fill="F2F2F2" w:themeFill="background1" w:themeFillShade="F2"/>
            <w:vAlign w:val="center"/>
          </w:tcPr>
          <w:p w14:paraId="2D974D13" w14:textId="77777777" w:rsidR="00884506" w:rsidRPr="00297679" w:rsidRDefault="00884506" w:rsidP="002D18A9">
            <w:pPr>
              <w:pStyle w:val="Tabletext"/>
            </w:pPr>
            <w:r w:rsidRPr="00297679">
              <w:t>Its decline in geographic distribution is:</w:t>
            </w:r>
          </w:p>
        </w:tc>
        <w:tc>
          <w:tcPr>
            <w:tcW w:w="907" w:type="pct"/>
            <w:shd w:val="clear" w:color="auto" w:fill="F2F2F2" w:themeFill="background1" w:themeFillShade="F2"/>
            <w:vAlign w:val="center"/>
          </w:tcPr>
          <w:p w14:paraId="2074920B" w14:textId="77777777" w:rsidR="00884506" w:rsidRPr="00297679" w:rsidRDefault="00884506" w:rsidP="002D18A9">
            <w:pPr>
              <w:pStyle w:val="Tabletext"/>
            </w:pPr>
            <w:r w:rsidRPr="00297679">
              <w:t>very severe</w:t>
            </w:r>
          </w:p>
        </w:tc>
        <w:tc>
          <w:tcPr>
            <w:tcW w:w="908" w:type="pct"/>
            <w:shd w:val="clear" w:color="auto" w:fill="F2F2F2" w:themeFill="background1" w:themeFillShade="F2"/>
            <w:vAlign w:val="center"/>
          </w:tcPr>
          <w:p w14:paraId="3313760E" w14:textId="77777777" w:rsidR="00884506" w:rsidRPr="00297679" w:rsidRDefault="00884506" w:rsidP="002D18A9">
            <w:pPr>
              <w:pStyle w:val="Tabletext"/>
            </w:pPr>
            <w:r w:rsidRPr="00297679">
              <w:t>severe</w:t>
            </w:r>
          </w:p>
        </w:tc>
        <w:tc>
          <w:tcPr>
            <w:tcW w:w="907" w:type="pct"/>
            <w:shd w:val="clear" w:color="auto" w:fill="F2F2F2" w:themeFill="background1" w:themeFillShade="F2"/>
            <w:vAlign w:val="center"/>
          </w:tcPr>
          <w:p w14:paraId="0CA4CA8F" w14:textId="77777777" w:rsidR="00884506" w:rsidRPr="00297679" w:rsidRDefault="00884506" w:rsidP="002D18A9">
            <w:pPr>
              <w:pStyle w:val="Tabletext"/>
            </w:pPr>
            <w:r w:rsidRPr="00297679">
              <w:t>substantial</w:t>
            </w:r>
          </w:p>
        </w:tc>
      </w:tr>
      <w:tr w:rsidR="00884506" w:rsidRPr="00051D51" w14:paraId="5AE93243" w14:textId="77777777" w:rsidTr="00D120E4">
        <w:trPr>
          <w:cantSplit/>
          <w:trHeight w:hRule="exact" w:val="397"/>
          <w:jc w:val="center"/>
        </w:trPr>
        <w:tc>
          <w:tcPr>
            <w:tcW w:w="2278" w:type="pct"/>
            <w:shd w:val="clear" w:color="auto" w:fill="auto"/>
            <w:vAlign w:val="center"/>
          </w:tcPr>
          <w:p w14:paraId="55ED6740" w14:textId="77777777" w:rsidR="00884506" w:rsidRPr="00D120E4" w:rsidRDefault="00884506" w:rsidP="00D120E4">
            <w:pPr>
              <w:pStyle w:val="Tabletext"/>
              <w:rPr>
                <w:i/>
                <w:iCs/>
              </w:rPr>
            </w:pPr>
            <w:r w:rsidRPr="00D120E4">
              <w:rPr>
                <w:i/>
                <w:iCs/>
              </w:rPr>
              <w:t>decline relative to the longer-term/1750 timeframe</w:t>
            </w:r>
          </w:p>
        </w:tc>
        <w:tc>
          <w:tcPr>
            <w:tcW w:w="907" w:type="pct"/>
            <w:shd w:val="clear" w:color="auto" w:fill="auto"/>
            <w:vAlign w:val="center"/>
          </w:tcPr>
          <w:p w14:paraId="0F9ED6FF" w14:textId="77777777" w:rsidR="00884506" w:rsidRPr="00297679" w:rsidRDefault="00884506" w:rsidP="00D120E4">
            <w:pPr>
              <w:pStyle w:val="Tabletext"/>
            </w:pPr>
            <w:r w:rsidRPr="00297679">
              <w:t>≥90%</w:t>
            </w:r>
          </w:p>
        </w:tc>
        <w:tc>
          <w:tcPr>
            <w:tcW w:w="908" w:type="pct"/>
            <w:shd w:val="clear" w:color="auto" w:fill="auto"/>
            <w:vAlign w:val="center"/>
          </w:tcPr>
          <w:p w14:paraId="5BAAB8D2" w14:textId="77777777" w:rsidR="00884506" w:rsidRPr="00297679" w:rsidRDefault="00884506" w:rsidP="00D120E4">
            <w:pPr>
              <w:pStyle w:val="Tabletext"/>
            </w:pPr>
            <w:r w:rsidRPr="00297679">
              <w:t>≥70%</w:t>
            </w:r>
          </w:p>
        </w:tc>
        <w:tc>
          <w:tcPr>
            <w:tcW w:w="907" w:type="pct"/>
            <w:shd w:val="clear" w:color="auto" w:fill="auto"/>
            <w:vAlign w:val="center"/>
          </w:tcPr>
          <w:p w14:paraId="3F81355E" w14:textId="77777777" w:rsidR="00884506" w:rsidRPr="00297679" w:rsidRDefault="00884506" w:rsidP="00D120E4">
            <w:pPr>
              <w:pStyle w:val="Tabletext"/>
            </w:pPr>
            <w:r w:rsidRPr="00297679">
              <w:t>≥50%</w:t>
            </w:r>
          </w:p>
        </w:tc>
      </w:tr>
      <w:tr w:rsidR="00884506" w:rsidRPr="00051D51" w14:paraId="1EF88CA4" w14:textId="77777777" w:rsidTr="00D120E4">
        <w:trPr>
          <w:cantSplit/>
          <w:trHeight w:hRule="exact" w:val="397"/>
          <w:jc w:val="center"/>
        </w:trPr>
        <w:tc>
          <w:tcPr>
            <w:tcW w:w="2278" w:type="pct"/>
            <w:shd w:val="clear" w:color="auto" w:fill="auto"/>
            <w:vAlign w:val="center"/>
          </w:tcPr>
          <w:p w14:paraId="3F3A0962" w14:textId="77777777" w:rsidR="00884506" w:rsidRPr="00D120E4" w:rsidRDefault="00884506" w:rsidP="00D120E4">
            <w:pPr>
              <w:pStyle w:val="Tabletext"/>
              <w:rPr>
                <w:i/>
                <w:iCs/>
              </w:rPr>
            </w:pPr>
            <w:r w:rsidRPr="00D120E4">
              <w:rPr>
                <w:i/>
                <w:iCs/>
              </w:rPr>
              <w:t>decline relative to the past 50 years</w:t>
            </w:r>
          </w:p>
        </w:tc>
        <w:tc>
          <w:tcPr>
            <w:tcW w:w="907" w:type="pct"/>
            <w:shd w:val="clear" w:color="auto" w:fill="auto"/>
            <w:vAlign w:val="center"/>
          </w:tcPr>
          <w:p w14:paraId="3086D4A9" w14:textId="77777777" w:rsidR="00884506" w:rsidRPr="00297679" w:rsidRDefault="00884506" w:rsidP="00D120E4">
            <w:pPr>
              <w:pStyle w:val="Tabletext"/>
            </w:pPr>
            <w:r w:rsidRPr="00297679">
              <w:t>≥80%</w:t>
            </w:r>
          </w:p>
        </w:tc>
        <w:tc>
          <w:tcPr>
            <w:tcW w:w="908" w:type="pct"/>
            <w:shd w:val="clear" w:color="auto" w:fill="auto"/>
            <w:vAlign w:val="center"/>
          </w:tcPr>
          <w:p w14:paraId="3F992BFD" w14:textId="77777777" w:rsidR="00884506" w:rsidRPr="00297679" w:rsidRDefault="00884506" w:rsidP="00D120E4">
            <w:pPr>
              <w:pStyle w:val="Tabletext"/>
            </w:pPr>
            <w:r w:rsidRPr="00297679">
              <w:t>≥50%</w:t>
            </w:r>
          </w:p>
        </w:tc>
        <w:tc>
          <w:tcPr>
            <w:tcW w:w="907" w:type="pct"/>
            <w:shd w:val="clear" w:color="auto" w:fill="auto"/>
            <w:vAlign w:val="center"/>
          </w:tcPr>
          <w:p w14:paraId="72396585" w14:textId="77777777" w:rsidR="00884506" w:rsidRPr="00297679" w:rsidRDefault="00884506" w:rsidP="00D120E4">
            <w:pPr>
              <w:pStyle w:val="Tabletext"/>
            </w:pPr>
            <w:r w:rsidRPr="00297679">
              <w:t>≥30%</w:t>
            </w:r>
          </w:p>
        </w:tc>
      </w:tr>
    </w:tbl>
    <w:p w14:paraId="4F7222AD" w14:textId="77777777" w:rsidR="006124FF" w:rsidRPr="006124FF" w:rsidRDefault="006124FF" w:rsidP="00095745">
      <w:pPr>
        <w:rPr>
          <w:sz w:val="8"/>
          <w:szCs w:val="8"/>
        </w:rPr>
      </w:pPr>
    </w:p>
    <w:p w14:paraId="19EED999" w14:textId="7AE572CD" w:rsidR="005B2DCC" w:rsidRDefault="005B2DCC" w:rsidP="00095745">
      <w:r>
        <w:t xml:space="preserve">For the </w:t>
      </w:r>
      <w:r w:rsidRPr="009B75C5">
        <w:rPr>
          <w:i/>
        </w:rPr>
        <w:t>River Murray - Darling to Sea</w:t>
      </w:r>
      <w:r>
        <w:t xml:space="preserve"> ecological community, the 'extent of occurrence' and the 'area of occupancy' are virtually the same. The 'extent of occurrence' for the </w:t>
      </w:r>
      <w:r w:rsidRPr="00E8583E">
        <w:rPr>
          <w:i/>
        </w:rPr>
        <w:t xml:space="preserve">River Murray - Darling to Sea </w:t>
      </w:r>
      <w:r>
        <w:t>ecological community is estimated to be at least 40</w:t>
      </w:r>
      <w:r w:rsidR="00DB08B8">
        <w:t>7</w:t>
      </w:r>
      <w:r>
        <w:t xml:space="preserve"> </w:t>
      </w:r>
      <w:r w:rsidR="00DB08B8">
        <w:t>977</w:t>
      </w:r>
      <w:r>
        <w:t xml:space="preserve"> hectares, excluding the Eastern Mount Lofty Ranges streams and the section of the Darling Anabranch and Lake Victoria that are within the stated boundary, and excluding also the groundwater component of the ecological community.</w:t>
      </w:r>
    </w:p>
    <w:p w14:paraId="669BEAA8" w14:textId="575A8889" w:rsidR="004623B4" w:rsidRDefault="004623B4" w:rsidP="006124FF">
      <w:pPr>
        <w:pStyle w:val="twentypointnormal"/>
        <w:spacing w:after="200"/>
        <w:ind w:left="0"/>
        <w:rPr>
          <w:rFonts w:ascii="Cambria" w:hAnsi="Cambria"/>
          <w:sz w:val="22"/>
          <w:szCs w:val="22"/>
        </w:rPr>
      </w:pPr>
      <w:r w:rsidRPr="004623B4">
        <w:rPr>
          <w:rFonts w:ascii="Cambria" w:hAnsi="Cambria"/>
          <w:sz w:val="22"/>
          <w:szCs w:val="22"/>
        </w:rPr>
        <w:t>Within the total extent of the ecological community, there have been losses of native vegetation and some small wetlands, with areas of floodplain that are no longer 'active'. However, the overall geographic distribution (i.e. area) of the entire ecological community, including the linear riverine corridor and associated tributary components, the various wetlands and the occupied area within the 1956 flood</w:t>
      </w:r>
      <w:r w:rsidR="00177B35">
        <w:rPr>
          <w:rFonts w:ascii="Cambria" w:hAnsi="Cambria"/>
          <w:sz w:val="22"/>
          <w:szCs w:val="22"/>
        </w:rPr>
        <w:t xml:space="preserve"> </w:t>
      </w:r>
      <w:r w:rsidRPr="004623B4">
        <w:rPr>
          <w:rFonts w:ascii="Cambria" w:hAnsi="Cambria"/>
          <w:sz w:val="22"/>
          <w:szCs w:val="22"/>
        </w:rPr>
        <w:t xml:space="preserve">line, is considered </w:t>
      </w:r>
      <w:r w:rsidRPr="004623B4">
        <w:rPr>
          <w:rFonts w:ascii="Cambria" w:hAnsi="Cambria"/>
          <w:sz w:val="22"/>
          <w:szCs w:val="22"/>
          <w:u w:val="single"/>
        </w:rPr>
        <w:t>not</w:t>
      </w:r>
      <w:r w:rsidRPr="004623B4">
        <w:rPr>
          <w:rFonts w:ascii="Cambria" w:hAnsi="Cambria"/>
          <w:sz w:val="22"/>
          <w:szCs w:val="22"/>
        </w:rPr>
        <w:t xml:space="preserve"> to have declined substantially. </w:t>
      </w:r>
    </w:p>
    <w:p w14:paraId="4F282247" w14:textId="02AF33FC" w:rsidR="008868F8" w:rsidRPr="00945841" w:rsidRDefault="004623B4" w:rsidP="00945841">
      <w:pPr>
        <w:pStyle w:val="twentypointnormal"/>
        <w:spacing w:after="200"/>
        <w:ind w:left="0"/>
        <w:rPr>
          <w:rFonts w:ascii="Cambria" w:hAnsi="Cambria"/>
          <w:sz w:val="22"/>
          <w:szCs w:val="22"/>
        </w:rPr>
      </w:pPr>
      <w:r w:rsidRPr="004623B4">
        <w:rPr>
          <w:rFonts w:ascii="Cambria" w:hAnsi="Cambria"/>
          <w:sz w:val="22"/>
          <w:szCs w:val="22"/>
        </w:rPr>
        <w:t xml:space="preserve">Therefore, the ecological community is </w:t>
      </w:r>
      <w:r w:rsidRPr="004623B4">
        <w:rPr>
          <w:rFonts w:ascii="Cambria" w:hAnsi="Cambria"/>
          <w:b/>
          <w:sz w:val="22"/>
          <w:szCs w:val="22"/>
        </w:rPr>
        <w:t>not eligible</w:t>
      </w:r>
      <w:r w:rsidRPr="004623B4">
        <w:rPr>
          <w:rFonts w:ascii="Cambria" w:hAnsi="Cambria"/>
          <w:sz w:val="22"/>
          <w:szCs w:val="22"/>
        </w:rPr>
        <w:t xml:space="preserve"> for listing under this criterion. </w:t>
      </w:r>
      <w:bookmarkStart w:id="259" w:name="_Toc175317101"/>
    </w:p>
    <w:p w14:paraId="2C6C149A" w14:textId="2D952E90" w:rsidR="00F26D3D" w:rsidRDefault="009F45AA" w:rsidP="00550384">
      <w:pPr>
        <w:pStyle w:val="Heading3"/>
      </w:pPr>
      <w:r>
        <w:t xml:space="preserve">6.2.2 </w:t>
      </w:r>
      <w:r w:rsidR="00F26D3D" w:rsidRPr="009152CC">
        <w:t>Criterion 2 – limited geographic distribution coupled with demonstrable threat</w:t>
      </w:r>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1419"/>
        <w:gridCol w:w="1415"/>
        <w:gridCol w:w="1553"/>
      </w:tblGrid>
      <w:tr w:rsidR="00E66FF7" w:rsidRPr="00832668" w14:paraId="02A0DEBF" w14:textId="77777777" w:rsidTr="004851D8">
        <w:tc>
          <w:tcPr>
            <w:tcW w:w="2579" w:type="pct"/>
            <w:gridSpan w:val="2"/>
          </w:tcPr>
          <w:p w14:paraId="320337DB" w14:textId="77777777" w:rsidR="00E66FF7" w:rsidRPr="00D47D11" w:rsidRDefault="00E66FF7" w:rsidP="00293454">
            <w:pPr>
              <w:pStyle w:val="TableText0"/>
              <w:keepNext/>
              <w:spacing w:before="0" w:after="0"/>
            </w:pPr>
            <w:r w:rsidRPr="00D47D11">
              <w:t>Its geographic distribution is:</w:t>
            </w:r>
          </w:p>
        </w:tc>
        <w:tc>
          <w:tcPr>
            <w:tcW w:w="783" w:type="pct"/>
          </w:tcPr>
          <w:p w14:paraId="4082A247" w14:textId="77777777" w:rsidR="00E66FF7" w:rsidRPr="00D47D11" w:rsidRDefault="00E66FF7" w:rsidP="00293454">
            <w:pPr>
              <w:pStyle w:val="TableText0"/>
              <w:keepNext/>
              <w:spacing w:before="0" w:after="0"/>
              <w:jc w:val="center"/>
            </w:pPr>
            <w:r>
              <w:t>v</w:t>
            </w:r>
            <w:r w:rsidRPr="00D47D11">
              <w:t>ery restricted</w:t>
            </w:r>
          </w:p>
        </w:tc>
        <w:tc>
          <w:tcPr>
            <w:tcW w:w="781" w:type="pct"/>
          </w:tcPr>
          <w:p w14:paraId="6E985B57" w14:textId="77777777" w:rsidR="00E66FF7" w:rsidRPr="00D47D11" w:rsidRDefault="00E66FF7" w:rsidP="00293454">
            <w:pPr>
              <w:pStyle w:val="TableText0"/>
              <w:keepNext/>
              <w:spacing w:before="0" w:after="0"/>
              <w:jc w:val="center"/>
            </w:pPr>
            <w:r>
              <w:t>r</w:t>
            </w:r>
            <w:r w:rsidRPr="00D47D11">
              <w:t>estricted</w:t>
            </w:r>
          </w:p>
        </w:tc>
        <w:tc>
          <w:tcPr>
            <w:tcW w:w="857" w:type="pct"/>
          </w:tcPr>
          <w:p w14:paraId="65F4FD28" w14:textId="77777777" w:rsidR="00E66FF7" w:rsidRPr="00D47D11" w:rsidRDefault="00E66FF7" w:rsidP="00293454">
            <w:pPr>
              <w:pStyle w:val="TableText0"/>
              <w:keepNext/>
              <w:spacing w:before="0" w:after="0"/>
              <w:jc w:val="center"/>
            </w:pPr>
            <w:r>
              <w:t>l</w:t>
            </w:r>
            <w:r w:rsidRPr="00D47D11">
              <w:t>imited</w:t>
            </w:r>
          </w:p>
        </w:tc>
      </w:tr>
      <w:tr w:rsidR="00E66FF7" w:rsidRPr="00832668" w14:paraId="1435BD34" w14:textId="77777777" w:rsidTr="004851D8">
        <w:tc>
          <w:tcPr>
            <w:tcW w:w="2579" w:type="pct"/>
            <w:gridSpan w:val="2"/>
          </w:tcPr>
          <w:p w14:paraId="708DF87C" w14:textId="77777777" w:rsidR="00E66FF7" w:rsidRPr="00EA6C1D" w:rsidRDefault="00E66FF7" w:rsidP="00293454">
            <w:pPr>
              <w:pStyle w:val="TableText0"/>
              <w:keepNext/>
              <w:spacing w:before="0" w:after="0"/>
              <w:rPr>
                <w:i/>
                <w:iCs/>
              </w:rPr>
            </w:pPr>
            <w:r w:rsidRPr="00EA6C1D">
              <w:rPr>
                <w:i/>
                <w:iCs/>
              </w:rPr>
              <w:t>Extent of occurrence (EOO)</w:t>
            </w:r>
          </w:p>
        </w:tc>
        <w:tc>
          <w:tcPr>
            <w:tcW w:w="783" w:type="pct"/>
          </w:tcPr>
          <w:p w14:paraId="1182A89C" w14:textId="77777777" w:rsidR="00E66FF7" w:rsidRPr="00EA6C1D" w:rsidRDefault="00E66FF7" w:rsidP="00293454">
            <w:pPr>
              <w:pStyle w:val="TableText0"/>
              <w:keepNext/>
              <w:spacing w:before="0" w:after="0"/>
              <w:jc w:val="center"/>
              <w:rPr>
                <w:i/>
                <w:iCs/>
              </w:rPr>
            </w:pPr>
            <w:r w:rsidRPr="00EA6C1D">
              <w:rPr>
                <w:i/>
                <w:iCs/>
              </w:rPr>
              <w:t>&lt; 100 km2</w:t>
            </w:r>
          </w:p>
          <w:p w14:paraId="5C8B20F1" w14:textId="77777777" w:rsidR="00E66FF7" w:rsidRPr="00EA6C1D" w:rsidRDefault="00E66FF7" w:rsidP="00293454">
            <w:pPr>
              <w:pStyle w:val="TableText0"/>
              <w:keepNext/>
              <w:spacing w:before="0" w:after="0"/>
              <w:jc w:val="center"/>
              <w:rPr>
                <w:i/>
                <w:iCs/>
              </w:rPr>
            </w:pPr>
            <w:r w:rsidRPr="00EA6C1D">
              <w:rPr>
                <w:i/>
                <w:iCs/>
              </w:rPr>
              <w:t>= &lt;10,000 ha</w:t>
            </w:r>
          </w:p>
        </w:tc>
        <w:tc>
          <w:tcPr>
            <w:tcW w:w="781" w:type="pct"/>
          </w:tcPr>
          <w:p w14:paraId="607BA733" w14:textId="77777777" w:rsidR="00E66FF7" w:rsidRPr="00EA6C1D" w:rsidRDefault="00E66FF7" w:rsidP="00293454">
            <w:pPr>
              <w:pStyle w:val="TableText0"/>
              <w:keepNext/>
              <w:spacing w:before="0" w:after="0"/>
              <w:jc w:val="center"/>
              <w:rPr>
                <w:i/>
                <w:iCs/>
              </w:rPr>
            </w:pPr>
            <w:r w:rsidRPr="00EA6C1D">
              <w:rPr>
                <w:i/>
                <w:iCs/>
              </w:rPr>
              <w:t>&lt;1,000 km2</w:t>
            </w:r>
          </w:p>
          <w:p w14:paraId="02CA2DB7" w14:textId="77777777" w:rsidR="00E66FF7" w:rsidRPr="00EA6C1D" w:rsidRDefault="00E66FF7" w:rsidP="00293454">
            <w:pPr>
              <w:pStyle w:val="TableText0"/>
              <w:keepNext/>
              <w:spacing w:before="0" w:after="0"/>
              <w:jc w:val="center"/>
              <w:rPr>
                <w:i/>
                <w:iCs/>
              </w:rPr>
            </w:pPr>
            <w:r w:rsidRPr="00EA6C1D">
              <w:rPr>
                <w:i/>
                <w:iCs/>
              </w:rPr>
              <w:t>= &lt;100,000 ha</w:t>
            </w:r>
          </w:p>
        </w:tc>
        <w:tc>
          <w:tcPr>
            <w:tcW w:w="857" w:type="pct"/>
          </w:tcPr>
          <w:p w14:paraId="21488552" w14:textId="77777777" w:rsidR="00E66FF7" w:rsidRPr="00EA6C1D" w:rsidRDefault="00E66FF7" w:rsidP="00293454">
            <w:pPr>
              <w:pStyle w:val="TableText0"/>
              <w:keepNext/>
              <w:spacing w:before="0" w:after="0"/>
              <w:jc w:val="center"/>
              <w:rPr>
                <w:i/>
                <w:iCs/>
              </w:rPr>
            </w:pPr>
            <w:r w:rsidRPr="00EA6C1D">
              <w:rPr>
                <w:i/>
                <w:iCs/>
              </w:rPr>
              <w:t>&lt;10,000 km2</w:t>
            </w:r>
          </w:p>
          <w:p w14:paraId="762F6B56" w14:textId="77777777" w:rsidR="00E66FF7" w:rsidRPr="00EA6C1D" w:rsidRDefault="00E66FF7" w:rsidP="00293454">
            <w:pPr>
              <w:pStyle w:val="TableText0"/>
              <w:keepNext/>
              <w:spacing w:before="0" w:after="0"/>
              <w:jc w:val="center"/>
              <w:rPr>
                <w:i/>
                <w:iCs/>
              </w:rPr>
            </w:pPr>
            <w:r w:rsidRPr="00EA6C1D">
              <w:rPr>
                <w:i/>
                <w:iCs/>
              </w:rPr>
              <w:t>= &lt;1,000,000 ha</w:t>
            </w:r>
          </w:p>
        </w:tc>
      </w:tr>
      <w:tr w:rsidR="00E66FF7" w:rsidRPr="00832668" w14:paraId="09351533" w14:textId="77777777" w:rsidTr="004851D8">
        <w:tc>
          <w:tcPr>
            <w:tcW w:w="2579" w:type="pct"/>
            <w:gridSpan w:val="2"/>
          </w:tcPr>
          <w:p w14:paraId="6CA82A36" w14:textId="77777777" w:rsidR="00E66FF7" w:rsidRPr="00EA6C1D" w:rsidRDefault="00E66FF7" w:rsidP="00293454">
            <w:pPr>
              <w:pStyle w:val="TableText0"/>
              <w:keepNext/>
              <w:spacing w:before="0" w:after="0"/>
              <w:rPr>
                <w:i/>
                <w:iCs/>
              </w:rPr>
            </w:pPr>
            <w:r w:rsidRPr="00EA6C1D">
              <w:rPr>
                <w:i/>
                <w:iCs/>
              </w:rPr>
              <w:t>Area of occupancy (AOO)</w:t>
            </w:r>
          </w:p>
        </w:tc>
        <w:tc>
          <w:tcPr>
            <w:tcW w:w="783" w:type="pct"/>
          </w:tcPr>
          <w:p w14:paraId="0A684DE9" w14:textId="77777777" w:rsidR="00E66FF7" w:rsidRPr="00EA6C1D" w:rsidRDefault="00E66FF7" w:rsidP="00293454">
            <w:pPr>
              <w:pStyle w:val="TableText0"/>
              <w:keepNext/>
              <w:spacing w:before="0" w:after="0"/>
              <w:jc w:val="center"/>
              <w:rPr>
                <w:i/>
                <w:iCs/>
              </w:rPr>
            </w:pPr>
            <w:r w:rsidRPr="00EA6C1D">
              <w:rPr>
                <w:i/>
                <w:iCs/>
              </w:rPr>
              <w:t>&lt; 10 km2</w:t>
            </w:r>
          </w:p>
          <w:p w14:paraId="5E819386" w14:textId="77777777" w:rsidR="00E66FF7" w:rsidRPr="00EA6C1D" w:rsidRDefault="00E66FF7" w:rsidP="00293454">
            <w:pPr>
              <w:pStyle w:val="TableText0"/>
              <w:keepNext/>
              <w:spacing w:before="0" w:after="0"/>
              <w:jc w:val="center"/>
              <w:rPr>
                <w:i/>
                <w:iCs/>
              </w:rPr>
            </w:pPr>
            <w:r w:rsidRPr="00EA6C1D">
              <w:rPr>
                <w:i/>
                <w:iCs/>
              </w:rPr>
              <w:t>= &lt;1,000 ha</w:t>
            </w:r>
          </w:p>
        </w:tc>
        <w:tc>
          <w:tcPr>
            <w:tcW w:w="781" w:type="pct"/>
          </w:tcPr>
          <w:p w14:paraId="2C055825" w14:textId="77777777" w:rsidR="00E66FF7" w:rsidRPr="00EA6C1D" w:rsidRDefault="00E66FF7" w:rsidP="00293454">
            <w:pPr>
              <w:pStyle w:val="TableText0"/>
              <w:keepNext/>
              <w:spacing w:before="0" w:after="0"/>
              <w:jc w:val="center"/>
              <w:rPr>
                <w:i/>
                <w:iCs/>
              </w:rPr>
            </w:pPr>
            <w:r w:rsidRPr="00EA6C1D">
              <w:rPr>
                <w:i/>
                <w:iCs/>
              </w:rPr>
              <w:t>&lt;100 km2</w:t>
            </w:r>
          </w:p>
          <w:p w14:paraId="64133C76" w14:textId="77777777" w:rsidR="00E66FF7" w:rsidRPr="00EA6C1D" w:rsidRDefault="00E66FF7" w:rsidP="00293454">
            <w:pPr>
              <w:pStyle w:val="TableText0"/>
              <w:keepNext/>
              <w:spacing w:before="0" w:after="0"/>
              <w:jc w:val="center"/>
              <w:rPr>
                <w:i/>
                <w:iCs/>
              </w:rPr>
            </w:pPr>
            <w:r w:rsidRPr="00EA6C1D">
              <w:rPr>
                <w:i/>
                <w:iCs/>
              </w:rPr>
              <w:t>= &lt;10,000 ha</w:t>
            </w:r>
          </w:p>
        </w:tc>
        <w:tc>
          <w:tcPr>
            <w:tcW w:w="857" w:type="pct"/>
          </w:tcPr>
          <w:p w14:paraId="51035D79" w14:textId="77777777" w:rsidR="00E66FF7" w:rsidRPr="00EA6C1D" w:rsidRDefault="00E66FF7" w:rsidP="00293454">
            <w:pPr>
              <w:pStyle w:val="TableText0"/>
              <w:keepNext/>
              <w:spacing w:before="0" w:after="0"/>
              <w:jc w:val="center"/>
              <w:rPr>
                <w:i/>
                <w:iCs/>
              </w:rPr>
            </w:pPr>
            <w:r w:rsidRPr="00EA6C1D">
              <w:rPr>
                <w:i/>
                <w:iCs/>
              </w:rPr>
              <w:t>&lt;1,000 km2</w:t>
            </w:r>
          </w:p>
          <w:p w14:paraId="0925C64C" w14:textId="77777777" w:rsidR="00E66FF7" w:rsidRPr="00EA6C1D" w:rsidRDefault="00E66FF7" w:rsidP="00293454">
            <w:pPr>
              <w:pStyle w:val="TableText0"/>
              <w:keepNext/>
              <w:spacing w:before="0" w:after="0"/>
              <w:jc w:val="center"/>
              <w:rPr>
                <w:i/>
                <w:iCs/>
              </w:rPr>
            </w:pPr>
            <w:r w:rsidRPr="00EA6C1D">
              <w:rPr>
                <w:i/>
                <w:iCs/>
              </w:rPr>
              <w:t>= &lt;100,000 ha</w:t>
            </w:r>
          </w:p>
        </w:tc>
      </w:tr>
      <w:tr w:rsidR="00E66FF7" w:rsidRPr="00832668" w14:paraId="6F927075" w14:textId="77777777" w:rsidTr="004851D8">
        <w:tc>
          <w:tcPr>
            <w:tcW w:w="2579" w:type="pct"/>
            <w:gridSpan w:val="2"/>
          </w:tcPr>
          <w:p w14:paraId="547AF2DC" w14:textId="77777777" w:rsidR="00E66FF7" w:rsidRPr="00EA6C1D" w:rsidRDefault="00E66FF7" w:rsidP="00293454">
            <w:pPr>
              <w:pStyle w:val="TableText0"/>
              <w:keepNext/>
              <w:spacing w:before="0" w:after="0"/>
              <w:rPr>
                <w:i/>
                <w:iCs/>
              </w:rPr>
            </w:pPr>
            <w:r w:rsidRPr="2FAD10A6">
              <w:rPr>
                <w:i/>
                <w:iCs/>
              </w:rPr>
              <w:t>Average patch size</w:t>
            </w:r>
          </w:p>
        </w:tc>
        <w:tc>
          <w:tcPr>
            <w:tcW w:w="783" w:type="pct"/>
          </w:tcPr>
          <w:p w14:paraId="0BC3B7A5" w14:textId="77777777" w:rsidR="00E66FF7" w:rsidRPr="00EA6C1D" w:rsidRDefault="00E66FF7" w:rsidP="00293454">
            <w:pPr>
              <w:pStyle w:val="TableText0"/>
              <w:keepNext/>
              <w:spacing w:before="0" w:after="0"/>
              <w:jc w:val="center"/>
              <w:rPr>
                <w:i/>
                <w:iCs/>
              </w:rPr>
            </w:pPr>
            <w:r w:rsidRPr="00EA6C1D">
              <w:rPr>
                <w:i/>
                <w:iCs/>
              </w:rPr>
              <w:t>&lt; 0.1 km2</w:t>
            </w:r>
          </w:p>
          <w:p w14:paraId="6E68E09F" w14:textId="77777777" w:rsidR="00E66FF7" w:rsidRPr="00EA6C1D" w:rsidRDefault="00E66FF7" w:rsidP="00293454">
            <w:pPr>
              <w:pStyle w:val="TableText0"/>
              <w:keepNext/>
              <w:spacing w:before="0" w:after="0"/>
              <w:jc w:val="center"/>
              <w:rPr>
                <w:i/>
                <w:iCs/>
              </w:rPr>
            </w:pPr>
            <w:r w:rsidRPr="00EA6C1D">
              <w:rPr>
                <w:i/>
                <w:iCs/>
              </w:rPr>
              <w:t>= &lt;10 ha</w:t>
            </w:r>
          </w:p>
        </w:tc>
        <w:tc>
          <w:tcPr>
            <w:tcW w:w="781" w:type="pct"/>
          </w:tcPr>
          <w:p w14:paraId="487E2FFE" w14:textId="77777777" w:rsidR="00E66FF7" w:rsidRPr="00EA6C1D" w:rsidRDefault="00E66FF7" w:rsidP="00293454">
            <w:pPr>
              <w:pStyle w:val="TableText0"/>
              <w:keepNext/>
              <w:spacing w:before="0" w:after="0"/>
              <w:jc w:val="center"/>
              <w:rPr>
                <w:i/>
                <w:iCs/>
              </w:rPr>
            </w:pPr>
            <w:r w:rsidRPr="00EA6C1D">
              <w:rPr>
                <w:i/>
                <w:iCs/>
              </w:rPr>
              <w:t>&lt; 1 km2</w:t>
            </w:r>
          </w:p>
          <w:p w14:paraId="2C040368" w14:textId="77777777" w:rsidR="00E66FF7" w:rsidRPr="00EA6C1D" w:rsidRDefault="00E66FF7" w:rsidP="00293454">
            <w:pPr>
              <w:pStyle w:val="TableText0"/>
              <w:keepNext/>
              <w:spacing w:before="0" w:after="0"/>
              <w:jc w:val="center"/>
              <w:rPr>
                <w:i/>
                <w:iCs/>
              </w:rPr>
            </w:pPr>
            <w:r w:rsidRPr="00EA6C1D">
              <w:rPr>
                <w:i/>
                <w:iCs/>
              </w:rPr>
              <w:t>= &lt;100 ha</w:t>
            </w:r>
          </w:p>
        </w:tc>
        <w:tc>
          <w:tcPr>
            <w:tcW w:w="857" w:type="pct"/>
          </w:tcPr>
          <w:p w14:paraId="31038858" w14:textId="77777777" w:rsidR="00E66FF7" w:rsidRPr="00EA6C1D" w:rsidRDefault="00E66FF7" w:rsidP="00293454">
            <w:pPr>
              <w:pStyle w:val="TableText0"/>
              <w:keepNext/>
              <w:spacing w:before="0" w:after="0"/>
              <w:jc w:val="center"/>
              <w:rPr>
                <w:i/>
                <w:iCs/>
              </w:rPr>
            </w:pPr>
            <w:r w:rsidRPr="00EA6C1D">
              <w:rPr>
                <w:i/>
                <w:iCs/>
              </w:rPr>
              <w:t>-</w:t>
            </w:r>
          </w:p>
        </w:tc>
      </w:tr>
      <w:tr w:rsidR="00E66FF7" w:rsidRPr="00832668" w14:paraId="4153495F" w14:textId="77777777" w:rsidTr="004851D8">
        <w:tc>
          <w:tcPr>
            <w:tcW w:w="5000" w:type="pct"/>
            <w:gridSpan w:val="5"/>
          </w:tcPr>
          <w:p w14:paraId="5FF12633" w14:textId="77777777" w:rsidR="00E66FF7" w:rsidRPr="00D47D11" w:rsidRDefault="00E66FF7" w:rsidP="00293454">
            <w:pPr>
              <w:pStyle w:val="TableText0"/>
              <w:keepNext/>
              <w:spacing w:before="0" w:after="0"/>
            </w:pPr>
            <w:r w:rsidRPr="00D47D11">
              <w:t>AND the nature of its distribution makes it likely that the action of a threatening process could cause it to be lost in:</w:t>
            </w:r>
          </w:p>
        </w:tc>
      </w:tr>
      <w:tr w:rsidR="00E66FF7" w:rsidRPr="00832668" w14:paraId="4896E748" w14:textId="77777777" w:rsidTr="004851D8">
        <w:tc>
          <w:tcPr>
            <w:tcW w:w="1093" w:type="pct"/>
          </w:tcPr>
          <w:p w14:paraId="333288FF" w14:textId="77777777" w:rsidR="00E66FF7" w:rsidRPr="00D47D11" w:rsidRDefault="00E66FF7" w:rsidP="00293454">
            <w:pPr>
              <w:pStyle w:val="TableText0"/>
              <w:keepNext/>
              <w:spacing w:before="0" w:after="0"/>
            </w:pPr>
            <w:r w:rsidRPr="00D47D11">
              <w:t xml:space="preserve">the </w:t>
            </w:r>
            <w:r>
              <w:t>i</w:t>
            </w:r>
            <w:r w:rsidRPr="00D47D11">
              <w:t xml:space="preserve">mmediate future </w:t>
            </w:r>
          </w:p>
        </w:tc>
        <w:tc>
          <w:tcPr>
            <w:tcW w:w="1486" w:type="pct"/>
          </w:tcPr>
          <w:p w14:paraId="34BE5D0E" w14:textId="77777777" w:rsidR="00E66FF7" w:rsidRDefault="00E66FF7" w:rsidP="00293454">
            <w:pPr>
              <w:pStyle w:val="TableText0"/>
              <w:keepNext/>
              <w:spacing w:before="0" w:after="0"/>
              <w:rPr>
                <w:i/>
                <w:iCs/>
              </w:rPr>
            </w:pPr>
            <w:r w:rsidRPr="2FAD10A6">
              <w:rPr>
                <w:i/>
                <w:iCs/>
              </w:rPr>
              <w:t xml:space="preserve">10 years or 3 generations </w:t>
            </w:r>
          </w:p>
          <w:p w14:paraId="0604A154" w14:textId="77777777" w:rsidR="00E66FF7" w:rsidRPr="00EA6C1D" w:rsidRDefault="00E66FF7" w:rsidP="00293454">
            <w:pPr>
              <w:pStyle w:val="TableText0"/>
              <w:keepNext/>
              <w:spacing w:before="0" w:after="0"/>
              <w:rPr>
                <w:i/>
                <w:iCs/>
              </w:rPr>
            </w:pPr>
            <w:r>
              <w:rPr>
                <w:i/>
              </w:rPr>
              <w:t>(up to a maximum of 60 years)</w:t>
            </w:r>
          </w:p>
        </w:tc>
        <w:tc>
          <w:tcPr>
            <w:tcW w:w="783" w:type="pct"/>
          </w:tcPr>
          <w:p w14:paraId="7AADD2AD" w14:textId="77777777" w:rsidR="00E66FF7" w:rsidRPr="00EA6C1D" w:rsidRDefault="00E66FF7" w:rsidP="00293454">
            <w:pPr>
              <w:pStyle w:val="TableText0"/>
              <w:keepNext/>
              <w:spacing w:before="0" w:after="0"/>
              <w:jc w:val="center"/>
              <w:rPr>
                <w:b/>
                <w:bCs/>
              </w:rPr>
            </w:pPr>
            <w:r w:rsidRPr="00EA6C1D">
              <w:rPr>
                <w:b/>
                <w:bCs/>
              </w:rPr>
              <w:t>Critically</w:t>
            </w:r>
          </w:p>
          <w:p w14:paraId="79783BC4" w14:textId="77777777" w:rsidR="00E66FF7" w:rsidRPr="00EA6C1D" w:rsidRDefault="00E66FF7" w:rsidP="00293454">
            <w:pPr>
              <w:pStyle w:val="TableText0"/>
              <w:keepNext/>
              <w:spacing w:before="0" w:after="0"/>
              <w:jc w:val="center"/>
              <w:rPr>
                <w:b/>
                <w:bCs/>
              </w:rPr>
            </w:pPr>
            <w:r w:rsidRPr="2FAD10A6">
              <w:rPr>
                <w:b/>
                <w:bCs/>
              </w:rPr>
              <w:t>endangered</w:t>
            </w:r>
          </w:p>
        </w:tc>
        <w:tc>
          <w:tcPr>
            <w:tcW w:w="781" w:type="pct"/>
          </w:tcPr>
          <w:p w14:paraId="1499D766" w14:textId="77777777" w:rsidR="00E66FF7" w:rsidRPr="00EA6C1D" w:rsidRDefault="00E66FF7" w:rsidP="00293454">
            <w:pPr>
              <w:pStyle w:val="TableText0"/>
              <w:keepNext/>
              <w:spacing w:before="0" w:after="0"/>
              <w:jc w:val="center"/>
              <w:rPr>
                <w:b/>
                <w:bCs/>
              </w:rPr>
            </w:pPr>
            <w:r w:rsidRPr="00EA6C1D">
              <w:rPr>
                <w:b/>
                <w:bCs/>
              </w:rPr>
              <w:t>Endangered</w:t>
            </w:r>
          </w:p>
        </w:tc>
        <w:tc>
          <w:tcPr>
            <w:tcW w:w="857" w:type="pct"/>
          </w:tcPr>
          <w:p w14:paraId="6CE92E02" w14:textId="77777777" w:rsidR="00E66FF7" w:rsidRPr="00EA6C1D" w:rsidRDefault="00E66FF7" w:rsidP="00293454">
            <w:pPr>
              <w:pStyle w:val="TableText0"/>
              <w:keepNext/>
              <w:spacing w:before="0" w:after="0"/>
              <w:jc w:val="center"/>
              <w:rPr>
                <w:b/>
                <w:bCs/>
              </w:rPr>
            </w:pPr>
            <w:r w:rsidRPr="00EA6C1D">
              <w:rPr>
                <w:b/>
                <w:bCs/>
              </w:rPr>
              <w:t>Vulnerable</w:t>
            </w:r>
          </w:p>
        </w:tc>
      </w:tr>
      <w:tr w:rsidR="00E66FF7" w:rsidRPr="00832668" w14:paraId="41CC1C9D" w14:textId="77777777" w:rsidTr="004851D8">
        <w:tc>
          <w:tcPr>
            <w:tcW w:w="1093" w:type="pct"/>
          </w:tcPr>
          <w:p w14:paraId="60338601" w14:textId="77777777" w:rsidR="00E66FF7" w:rsidRPr="00D47D11" w:rsidRDefault="00E66FF7" w:rsidP="00293454">
            <w:pPr>
              <w:pStyle w:val="TableText0"/>
              <w:keepNext/>
              <w:spacing w:before="0" w:after="0"/>
            </w:pPr>
            <w:r w:rsidRPr="00D47D11">
              <w:t xml:space="preserve">the </w:t>
            </w:r>
            <w:r>
              <w:t>n</w:t>
            </w:r>
            <w:r w:rsidRPr="00D47D11">
              <w:t xml:space="preserve">ear future </w:t>
            </w:r>
          </w:p>
        </w:tc>
        <w:tc>
          <w:tcPr>
            <w:tcW w:w="1486" w:type="pct"/>
          </w:tcPr>
          <w:p w14:paraId="33A8ADD4" w14:textId="77777777" w:rsidR="00E66FF7" w:rsidRDefault="00E66FF7" w:rsidP="00293454">
            <w:pPr>
              <w:pStyle w:val="TableText0"/>
              <w:keepNext/>
              <w:spacing w:before="0" w:after="0"/>
              <w:rPr>
                <w:i/>
              </w:rPr>
            </w:pPr>
            <w:r w:rsidRPr="00051D51">
              <w:rPr>
                <w:i/>
              </w:rPr>
              <w:t>20 years or</w:t>
            </w:r>
            <w:r>
              <w:rPr>
                <w:i/>
              </w:rPr>
              <w:t xml:space="preserve"> </w:t>
            </w:r>
            <w:r w:rsidRPr="00051D51">
              <w:rPr>
                <w:i/>
              </w:rPr>
              <w:t>5 generations</w:t>
            </w:r>
            <w:r>
              <w:rPr>
                <w:i/>
              </w:rPr>
              <w:t xml:space="preserve"> </w:t>
            </w:r>
          </w:p>
          <w:p w14:paraId="69217335" w14:textId="77777777" w:rsidR="00E66FF7" w:rsidRPr="00EA6C1D" w:rsidRDefault="00E66FF7" w:rsidP="00293454">
            <w:pPr>
              <w:pStyle w:val="TableText0"/>
              <w:keepNext/>
              <w:spacing w:before="0" w:after="0"/>
              <w:rPr>
                <w:i/>
                <w:iCs/>
              </w:rPr>
            </w:pPr>
            <w:r w:rsidRPr="2FAD10A6">
              <w:rPr>
                <w:i/>
                <w:iCs/>
              </w:rPr>
              <w:t>(up to a maximum of 100 years)</w:t>
            </w:r>
          </w:p>
        </w:tc>
        <w:tc>
          <w:tcPr>
            <w:tcW w:w="783" w:type="pct"/>
          </w:tcPr>
          <w:p w14:paraId="434DA640" w14:textId="77777777" w:rsidR="00E66FF7" w:rsidRPr="00EA6C1D" w:rsidRDefault="00E66FF7" w:rsidP="00293454">
            <w:pPr>
              <w:pStyle w:val="TableText0"/>
              <w:keepNext/>
              <w:spacing w:before="0" w:after="0"/>
              <w:jc w:val="center"/>
              <w:rPr>
                <w:b/>
                <w:bCs/>
              </w:rPr>
            </w:pPr>
            <w:r w:rsidRPr="00EA6C1D">
              <w:rPr>
                <w:b/>
                <w:bCs/>
              </w:rPr>
              <w:t>Endangered</w:t>
            </w:r>
          </w:p>
        </w:tc>
        <w:tc>
          <w:tcPr>
            <w:tcW w:w="781" w:type="pct"/>
          </w:tcPr>
          <w:p w14:paraId="14EFB19B" w14:textId="77777777" w:rsidR="00E66FF7" w:rsidRPr="00EA6C1D" w:rsidRDefault="00E66FF7" w:rsidP="00293454">
            <w:pPr>
              <w:pStyle w:val="TableText0"/>
              <w:keepNext/>
              <w:spacing w:before="0" w:after="0"/>
              <w:jc w:val="center"/>
              <w:rPr>
                <w:b/>
                <w:bCs/>
              </w:rPr>
            </w:pPr>
            <w:r w:rsidRPr="00EA6C1D">
              <w:rPr>
                <w:b/>
                <w:bCs/>
              </w:rPr>
              <w:t>Endangered</w:t>
            </w:r>
          </w:p>
        </w:tc>
        <w:tc>
          <w:tcPr>
            <w:tcW w:w="857" w:type="pct"/>
          </w:tcPr>
          <w:p w14:paraId="4A7D3E4E" w14:textId="77777777" w:rsidR="00E66FF7" w:rsidRPr="00EA6C1D" w:rsidRDefault="00E66FF7" w:rsidP="00293454">
            <w:pPr>
              <w:pStyle w:val="TableText0"/>
              <w:keepNext/>
              <w:spacing w:before="0" w:after="0"/>
              <w:jc w:val="center"/>
              <w:rPr>
                <w:b/>
                <w:bCs/>
              </w:rPr>
            </w:pPr>
            <w:r w:rsidRPr="00EA6C1D">
              <w:rPr>
                <w:b/>
                <w:bCs/>
              </w:rPr>
              <w:t>Vulnerable</w:t>
            </w:r>
          </w:p>
        </w:tc>
      </w:tr>
      <w:tr w:rsidR="00E66FF7" w:rsidRPr="00832668" w14:paraId="30558556" w14:textId="77777777" w:rsidTr="004851D8">
        <w:tc>
          <w:tcPr>
            <w:tcW w:w="1093" w:type="pct"/>
          </w:tcPr>
          <w:p w14:paraId="4E728A8D" w14:textId="77777777" w:rsidR="00E66FF7" w:rsidRPr="00D47D11" w:rsidRDefault="00E66FF7" w:rsidP="00293454">
            <w:pPr>
              <w:pStyle w:val="TableText0"/>
              <w:spacing w:before="0" w:after="0"/>
            </w:pPr>
            <w:r>
              <w:t>t</w:t>
            </w:r>
            <w:r w:rsidRPr="00D47D11">
              <w:t xml:space="preserve">he </w:t>
            </w:r>
            <w:r>
              <w:t>m</w:t>
            </w:r>
            <w:r w:rsidRPr="00D47D11">
              <w:t xml:space="preserve">edium term future </w:t>
            </w:r>
          </w:p>
        </w:tc>
        <w:tc>
          <w:tcPr>
            <w:tcW w:w="1486" w:type="pct"/>
          </w:tcPr>
          <w:p w14:paraId="1B3A230F" w14:textId="77777777" w:rsidR="00E66FF7" w:rsidRDefault="00E66FF7" w:rsidP="00293454">
            <w:pPr>
              <w:pStyle w:val="TableText0"/>
              <w:spacing w:before="0" w:after="0"/>
              <w:rPr>
                <w:i/>
              </w:rPr>
            </w:pPr>
            <w:r w:rsidRPr="00051D51">
              <w:rPr>
                <w:i/>
              </w:rPr>
              <w:t>50 years or</w:t>
            </w:r>
            <w:r>
              <w:rPr>
                <w:i/>
              </w:rPr>
              <w:t xml:space="preserve"> </w:t>
            </w:r>
            <w:r w:rsidRPr="00051D51">
              <w:rPr>
                <w:i/>
              </w:rPr>
              <w:t>10 generations</w:t>
            </w:r>
            <w:r>
              <w:rPr>
                <w:i/>
              </w:rPr>
              <w:t xml:space="preserve"> </w:t>
            </w:r>
          </w:p>
          <w:p w14:paraId="205FB624" w14:textId="77777777" w:rsidR="00E66FF7" w:rsidRPr="00EA6C1D" w:rsidRDefault="00E66FF7" w:rsidP="00293454">
            <w:pPr>
              <w:pStyle w:val="TableText0"/>
              <w:spacing w:before="0" w:after="0"/>
              <w:rPr>
                <w:i/>
                <w:iCs/>
              </w:rPr>
            </w:pPr>
            <w:r>
              <w:rPr>
                <w:i/>
              </w:rPr>
              <w:t>(up to a maximum of 100 years)</w:t>
            </w:r>
          </w:p>
        </w:tc>
        <w:tc>
          <w:tcPr>
            <w:tcW w:w="783" w:type="pct"/>
          </w:tcPr>
          <w:p w14:paraId="12DB45B1" w14:textId="77777777" w:rsidR="00E66FF7" w:rsidRPr="00EA6C1D" w:rsidRDefault="00E66FF7" w:rsidP="00293454">
            <w:pPr>
              <w:pStyle w:val="TableText0"/>
              <w:spacing w:before="0" w:after="0"/>
              <w:jc w:val="center"/>
              <w:rPr>
                <w:b/>
                <w:bCs/>
              </w:rPr>
            </w:pPr>
            <w:r w:rsidRPr="00EA6C1D">
              <w:rPr>
                <w:b/>
                <w:bCs/>
              </w:rPr>
              <w:t>Vulnerable</w:t>
            </w:r>
          </w:p>
        </w:tc>
        <w:tc>
          <w:tcPr>
            <w:tcW w:w="781" w:type="pct"/>
          </w:tcPr>
          <w:p w14:paraId="010D5D23" w14:textId="77777777" w:rsidR="00E66FF7" w:rsidRPr="00EA6C1D" w:rsidRDefault="00E66FF7" w:rsidP="00293454">
            <w:pPr>
              <w:pStyle w:val="TableText0"/>
              <w:spacing w:before="0" w:after="0"/>
              <w:jc w:val="center"/>
              <w:rPr>
                <w:b/>
                <w:bCs/>
              </w:rPr>
            </w:pPr>
            <w:r w:rsidRPr="00EA6C1D">
              <w:rPr>
                <w:b/>
                <w:bCs/>
              </w:rPr>
              <w:t>Vulnerable</w:t>
            </w:r>
          </w:p>
        </w:tc>
        <w:tc>
          <w:tcPr>
            <w:tcW w:w="857" w:type="pct"/>
          </w:tcPr>
          <w:p w14:paraId="78BAC647" w14:textId="77777777" w:rsidR="00E66FF7" w:rsidRPr="00EA6C1D" w:rsidRDefault="00E66FF7" w:rsidP="00293454">
            <w:pPr>
              <w:pStyle w:val="TableText0"/>
              <w:spacing w:before="0" w:after="0"/>
              <w:jc w:val="center"/>
              <w:rPr>
                <w:b/>
                <w:bCs/>
              </w:rPr>
            </w:pPr>
            <w:r w:rsidRPr="00EA6C1D">
              <w:rPr>
                <w:b/>
                <w:bCs/>
              </w:rPr>
              <w:t>Vulnerable</w:t>
            </w:r>
          </w:p>
        </w:tc>
      </w:tr>
    </w:tbl>
    <w:p w14:paraId="0435EC4A" w14:textId="77777777" w:rsidR="00E66FF7" w:rsidRDefault="00E66FF7" w:rsidP="00E66FF7"/>
    <w:p w14:paraId="4CFDE987" w14:textId="52563E12" w:rsidR="009152CC" w:rsidRDefault="003B2622" w:rsidP="003B2622">
      <w:r>
        <w:t>This criterion identifies</w:t>
      </w:r>
      <w:r w:rsidRPr="005B7AA3">
        <w:t xml:space="preserve"> ecological communities that are geograph</w:t>
      </w:r>
      <w:r>
        <w:t>ically restricted</w:t>
      </w:r>
      <w:r w:rsidR="00FC617D">
        <w:t xml:space="preserve"> or limited</w:t>
      </w:r>
      <w:r>
        <w:t>. Three relevant</w:t>
      </w:r>
      <w:r w:rsidRPr="005B7AA3">
        <w:t xml:space="preserve"> measures apply: 1) extent of occurrence (i.e. the total geographic range of the ecological community); 2) area of occupancy (i.e. the area actually occupied by the ecological community within its natural </w:t>
      </w:r>
      <w:r>
        <w:t xml:space="preserve">geographic </w:t>
      </w:r>
      <w:r w:rsidRPr="005B7AA3">
        <w:t xml:space="preserve">range); and 3) </w:t>
      </w:r>
      <w:r>
        <w:t>patch</w:t>
      </w:r>
      <w:r w:rsidR="00B308EA">
        <w:t xml:space="preserve"> occurrence and </w:t>
      </w:r>
      <w:r>
        <w:t xml:space="preserve"> size </w:t>
      </w:r>
      <w:r w:rsidRPr="005B7AA3">
        <w:t xml:space="preserve">distribution (an indicator of the degree of </w:t>
      </w:r>
      <w:r w:rsidR="00B308EA">
        <w:t xml:space="preserve">natural or disturbance-induced </w:t>
      </w:r>
      <w:r w:rsidRPr="005B7AA3">
        <w:t>fragmen</w:t>
      </w:r>
      <w:r>
        <w:t>tation</w:t>
      </w:r>
      <w:r w:rsidR="001A1D5C">
        <w:t xml:space="preserve"> and vulnerability of a limited size for each occurrence of an ecological community to particular threats such as a drying climate and edge effects</w:t>
      </w:r>
      <w:r>
        <w:t xml:space="preserve">). </w:t>
      </w:r>
    </w:p>
    <w:p w14:paraId="0F5F9D49" w14:textId="452C1DEE" w:rsidR="003B2622" w:rsidRPr="005B7AA3" w:rsidRDefault="003B2622" w:rsidP="003B2622">
      <w:r>
        <w:t>A</w:t>
      </w:r>
      <w:r w:rsidRPr="005B7AA3">
        <w:t xml:space="preserve">n ecological community with a </w:t>
      </w:r>
      <w:r>
        <w:t xml:space="preserve">geographic </w:t>
      </w:r>
      <w:r w:rsidRPr="005B7AA3">
        <w:t xml:space="preserve">distribution that is </w:t>
      </w:r>
      <w:r w:rsidR="001A1D5C">
        <w:t>limited</w:t>
      </w:r>
      <w:r w:rsidRPr="005B7AA3">
        <w:t>, eith</w:t>
      </w:r>
      <w:r>
        <w:t xml:space="preserve">er naturally or </w:t>
      </w:r>
      <w:r w:rsidRPr="005B7AA3">
        <w:t xml:space="preserve">through </w:t>
      </w:r>
      <w:r>
        <w:t xml:space="preserve">modification faces a </w:t>
      </w:r>
      <w:r w:rsidRPr="005B7AA3">
        <w:t>higher risk of extinction if it con</w:t>
      </w:r>
      <w:r>
        <w:t xml:space="preserve">tinues to be subject to </w:t>
      </w:r>
      <w:r w:rsidRPr="005B7AA3">
        <w:t xml:space="preserve">threats that may cause it to be </w:t>
      </w:r>
      <w:r>
        <w:t xml:space="preserve">further </w:t>
      </w:r>
      <w:r w:rsidR="002F6656">
        <w:t xml:space="preserve">degraded, </w:t>
      </w:r>
      <w:r>
        <w:t xml:space="preserve">fragmented and potentially </w:t>
      </w:r>
      <w:r w:rsidRPr="005B7AA3">
        <w:t xml:space="preserve">lost in the future. </w:t>
      </w:r>
    </w:p>
    <w:p w14:paraId="17A90BD0" w14:textId="5704DA62" w:rsidR="00424F80" w:rsidRDefault="00DB78E5" w:rsidP="00017766">
      <w:pPr>
        <w:pStyle w:val="twentypointnormal"/>
        <w:ind w:left="0"/>
        <w:rPr>
          <w:rFonts w:ascii="Cambria" w:hAnsi="Cambria"/>
          <w:sz w:val="22"/>
          <w:szCs w:val="22"/>
        </w:rPr>
      </w:pPr>
      <w:r w:rsidRPr="00017766">
        <w:rPr>
          <w:rFonts w:ascii="Cambria" w:hAnsi="Cambria"/>
          <w:sz w:val="22"/>
          <w:szCs w:val="22"/>
        </w:rPr>
        <w:lastRenderedPageBreak/>
        <w:t xml:space="preserve">Although there are demonstrable and ongoing threats to the </w:t>
      </w:r>
      <w:r w:rsidRPr="00017766">
        <w:rPr>
          <w:rFonts w:ascii="Cambria" w:hAnsi="Cambria"/>
          <w:i/>
          <w:sz w:val="22"/>
          <w:szCs w:val="22"/>
        </w:rPr>
        <w:t>River Murray—Darling to Sea</w:t>
      </w:r>
      <w:r w:rsidRPr="00017766">
        <w:rPr>
          <w:rFonts w:ascii="Cambria" w:hAnsi="Cambria"/>
          <w:sz w:val="22"/>
          <w:szCs w:val="22"/>
        </w:rPr>
        <w:t xml:space="preserve"> ecological community (see </w:t>
      </w:r>
      <w:r w:rsidR="00421795" w:rsidRPr="00CD2A24">
        <w:rPr>
          <w:rFonts w:ascii="Cambria" w:hAnsi="Cambria"/>
          <w:sz w:val="22"/>
          <w:szCs w:val="22"/>
          <w:u w:val="single"/>
        </w:rPr>
        <w:t xml:space="preserve">Table </w:t>
      </w:r>
      <w:r w:rsidR="00CD2A24" w:rsidRPr="00CD2A24">
        <w:rPr>
          <w:rFonts w:ascii="Cambria" w:hAnsi="Cambria"/>
          <w:sz w:val="22"/>
          <w:szCs w:val="22"/>
          <w:u w:val="single"/>
        </w:rPr>
        <w:t>23</w:t>
      </w:r>
      <w:r w:rsidRPr="00017766">
        <w:rPr>
          <w:rFonts w:ascii="Cambria" w:hAnsi="Cambria"/>
          <w:sz w:val="22"/>
          <w:szCs w:val="22"/>
        </w:rPr>
        <w:t>), the geographic extent</w:t>
      </w:r>
      <w:r w:rsidR="00261603">
        <w:rPr>
          <w:rFonts w:ascii="Cambria" w:hAnsi="Cambria"/>
          <w:sz w:val="22"/>
          <w:szCs w:val="22"/>
        </w:rPr>
        <w:t>, total area of occupancy and average area of occurrence</w:t>
      </w:r>
      <w:r w:rsidRPr="00017766">
        <w:rPr>
          <w:rFonts w:ascii="Cambria" w:hAnsi="Cambria"/>
          <w:sz w:val="22"/>
          <w:szCs w:val="22"/>
        </w:rPr>
        <w:t xml:space="preserve"> of the ecological community are considered not to be</w:t>
      </w:r>
      <w:r w:rsidR="00261603">
        <w:rPr>
          <w:rFonts w:ascii="Cambria" w:hAnsi="Cambria"/>
          <w:sz w:val="22"/>
          <w:szCs w:val="22"/>
        </w:rPr>
        <w:t xml:space="preserve"> sufficiently restricted or </w:t>
      </w:r>
      <w:r w:rsidR="00017766" w:rsidRPr="00017766">
        <w:rPr>
          <w:rFonts w:ascii="Cambria" w:hAnsi="Cambria"/>
          <w:sz w:val="22"/>
          <w:szCs w:val="22"/>
        </w:rPr>
        <w:t>limited</w:t>
      </w:r>
      <w:r w:rsidRPr="00017766">
        <w:rPr>
          <w:rFonts w:ascii="Cambria" w:hAnsi="Cambria"/>
          <w:sz w:val="22"/>
          <w:szCs w:val="22"/>
        </w:rPr>
        <w:t xml:space="preserve">. </w:t>
      </w:r>
      <w:r w:rsidR="008F0779">
        <w:rPr>
          <w:rFonts w:ascii="Cambria" w:hAnsi="Cambria"/>
          <w:sz w:val="22"/>
          <w:szCs w:val="22"/>
        </w:rPr>
        <w:t xml:space="preserve">Therefore, </w:t>
      </w:r>
      <w:r w:rsidR="007B2D5E">
        <w:rPr>
          <w:rFonts w:ascii="Cambria" w:hAnsi="Cambria"/>
          <w:sz w:val="22"/>
          <w:szCs w:val="22"/>
        </w:rPr>
        <w:t xml:space="preserve">it is considered that </w:t>
      </w:r>
      <w:r w:rsidRPr="00017766">
        <w:rPr>
          <w:rFonts w:ascii="Cambria" w:hAnsi="Cambria"/>
          <w:sz w:val="22"/>
          <w:szCs w:val="22"/>
        </w:rPr>
        <w:t xml:space="preserve">the ecological community is </w:t>
      </w:r>
      <w:r w:rsidRPr="00017766">
        <w:rPr>
          <w:rFonts w:ascii="Cambria" w:hAnsi="Cambria"/>
          <w:b/>
          <w:sz w:val="22"/>
          <w:szCs w:val="22"/>
        </w:rPr>
        <w:t>not eligible</w:t>
      </w:r>
      <w:r w:rsidRPr="00017766">
        <w:rPr>
          <w:rFonts w:ascii="Cambria" w:hAnsi="Cambria"/>
          <w:sz w:val="22"/>
          <w:szCs w:val="22"/>
        </w:rPr>
        <w:t xml:space="preserve"> for listing under this criterion.</w:t>
      </w:r>
    </w:p>
    <w:p w14:paraId="3D36DC31" w14:textId="03B6DCE0" w:rsidR="00A646E0" w:rsidRPr="00E82503" w:rsidRDefault="00A646E0" w:rsidP="00550384">
      <w:pPr>
        <w:pStyle w:val="Heading3"/>
      </w:pPr>
      <w:bookmarkStart w:id="260" w:name="_Toc175317102"/>
      <w:r w:rsidRPr="00E82503">
        <w:t>Prelude to Criteria 3 and 4</w:t>
      </w:r>
      <w:bookmarkEnd w:id="260"/>
    </w:p>
    <w:p w14:paraId="23F2FE02" w14:textId="6BAF93B3" w:rsidR="00885EC6" w:rsidRDefault="00A646E0" w:rsidP="00A646E0">
      <w:r w:rsidRPr="00DB56C7">
        <w:t xml:space="preserve">The </w:t>
      </w:r>
      <w:r w:rsidRPr="00DB56C7">
        <w:rPr>
          <w:i/>
        </w:rPr>
        <w:t>River Murray</w:t>
      </w:r>
      <w:r>
        <w:rPr>
          <w:i/>
        </w:rPr>
        <w:t xml:space="preserve">—Darling </w:t>
      </w:r>
      <w:r w:rsidRPr="00DB56C7">
        <w:rPr>
          <w:i/>
        </w:rPr>
        <w:t>to Sea</w:t>
      </w:r>
      <w:r w:rsidRPr="00DB56C7">
        <w:t xml:space="preserve"> ecological is </w:t>
      </w:r>
      <w:r w:rsidR="009A4636">
        <w:t xml:space="preserve">the assemblage of species associated with </w:t>
      </w:r>
      <w:r w:rsidRPr="00DB56C7">
        <w:t xml:space="preserve">a nationally unique, </w:t>
      </w:r>
      <w:r w:rsidR="00CD3F27">
        <w:t xml:space="preserve">landscape-scale </w:t>
      </w:r>
      <w:r>
        <w:t xml:space="preserve">floodplain-river ecosystem at the terminus of the Murray-Darling Basin. </w:t>
      </w:r>
      <w:r w:rsidR="00B87D51">
        <w:t>The</w:t>
      </w:r>
      <w:r>
        <w:t xml:space="preserve"> interconnected components</w:t>
      </w:r>
      <w:r w:rsidRPr="00DB56C7">
        <w:t xml:space="preserve"> </w:t>
      </w:r>
      <w:r w:rsidR="00B87D51">
        <w:t xml:space="preserve">of associated habitat </w:t>
      </w:r>
      <w:r w:rsidRPr="00DB56C7">
        <w:t xml:space="preserve">include: the river channel </w:t>
      </w:r>
      <w:r>
        <w:t>(and</w:t>
      </w:r>
      <w:r w:rsidRPr="00DB56C7">
        <w:t xml:space="preserve"> tributaries</w:t>
      </w:r>
      <w:r>
        <w:t xml:space="preserve">, including streams of the Eastern Mount Lofty Ranges), the associated floodplain (including </w:t>
      </w:r>
      <w:r w:rsidRPr="00DB56C7">
        <w:t>wetlands</w:t>
      </w:r>
      <w:r w:rsidR="00C57A3F">
        <w:t xml:space="preserve">, </w:t>
      </w:r>
      <w:r>
        <w:t>woodlands</w:t>
      </w:r>
      <w:r w:rsidR="00C57A3F">
        <w:t xml:space="preserve"> and forests</w:t>
      </w:r>
      <w:r>
        <w:t>), the Lower Lakes, the estuar</w:t>
      </w:r>
      <w:r w:rsidR="00885EC6">
        <w:t xml:space="preserve">ies—the </w:t>
      </w:r>
      <w:r>
        <w:t>Murray M</w:t>
      </w:r>
      <w:r w:rsidRPr="00DB56C7">
        <w:t>outh</w:t>
      </w:r>
      <w:r>
        <w:t xml:space="preserve"> and Coorong</w:t>
      </w:r>
      <w:r w:rsidR="00885EC6">
        <w:t xml:space="preserve"> lagoons</w:t>
      </w:r>
      <w:r>
        <w:t>, and regional groundwater throughout</w:t>
      </w:r>
      <w:r w:rsidR="008E5062">
        <w:t xml:space="preserve"> (see </w:t>
      </w:r>
      <w:r w:rsidR="008E5062" w:rsidRPr="00CD3F27">
        <w:rPr>
          <w:u w:val="single"/>
        </w:rPr>
        <w:t>Table</w:t>
      </w:r>
      <w:r w:rsidR="00C57A3F">
        <w:rPr>
          <w:u w:val="single"/>
        </w:rPr>
        <w:t>s</w:t>
      </w:r>
      <w:r w:rsidR="008E5062" w:rsidRPr="00CD3F27">
        <w:rPr>
          <w:u w:val="single"/>
        </w:rPr>
        <w:t xml:space="preserve"> </w:t>
      </w:r>
      <w:r w:rsidR="007000D4" w:rsidRPr="00CD3F27">
        <w:rPr>
          <w:u w:val="single"/>
        </w:rPr>
        <w:t>2</w:t>
      </w:r>
      <w:r w:rsidR="00C57A3F">
        <w:rPr>
          <w:u w:val="single"/>
        </w:rPr>
        <w:t xml:space="preserve"> &amp;</w:t>
      </w:r>
      <w:r w:rsidR="001E6C4C">
        <w:rPr>
          <w:u w:val="single"/>
        </w:rPr>
        <w:t xml:space="preserve"> 3</w:t>
      </w:r>
      <w:r w:rsidR="007000D4">
        <w:t>)</w:t>
      </w:r>
      <w:r w:rsidRPr="00DB56C7">
        <w:t>.</w:t>
      </w:r>
      <w:r>
        <w:t xml:space="preserve"> </w:t>
      </w:r>
    </w:p>
    <w:p w14:paraId="7CAA2128" w14:textId="4D3BDAF1" w:rsidR="00A646E0" w:rsidRDefault="00A646E0" w:rsidP="00A646E0">
      <w:r>
        <w:t>The diversity</w:t>
      </w:r>
      <w:r w:rsidR="007B3975">
        <w:t>,</w:t>
      </w:r>
      <w:r>
        <w:t xml:space="preserve"> integrity</w:t>
      </w:r>
      <w:r w:rsidR="007B3975">
        <w:t xml:space="preserve"> and resilience</w:t>
      </w:r>
      <w:r>
        <w:t xml:space="preserve"> (</w:t>
      </w:r>
      <w:r w:rsidR="00D90115">
        <w:t>c.f. ‘viability’ or</w:t>
      </w:r>
      <w:r>
        <w:t xml:space="preserve"> 'health') of the ecological community depend on:</w:t>
      </w:r>
    </w:p>
    <w:p w14:paraId="25C7082C" w14:textId="540C719C" w:rsidR="00A646E0" w:rsidRPr="0031549E" w:rsidRDefault="00A646E0" w:rsidP="004162AC">
      <w:pPr>
        <w:pStyle w:val="ListParagraph"/>
        <w:numPr>
          <w:ilvl w:val="0"/>
          <w:numId w:val="52"/>
        </w:numPr>
        <w:contextualSpacing w:val="0"/>
      </w:pPr>
      <w:r w:rsidRPr="0031549E">
        <w:t xml:space="preserve">connectivity between the components, in terms of hydrology, geomorphology, biology and ecology (i.e. irrespective of river regulation, and such that it </w:t>
      </w:r>
      <w:r w:rsidR="007000D4">
        <w:t xml:space="preserve">typically </w:t>
      </w:r>
      <w:r w:rsidRPr="0031549E">
        <w:t>operates as one ecological entity)</w:t>
      </w:r>
    </w:p>
    <w:p w14:paraId="5F915793" w14:textId="4DD3891B" w:rsidR="00A646E0" w:rsidRPr="0031549E" w:rsidRDefault="0079734E" w:rsidP="004162AC">
      <w:pPr>
        <w:pStyle w:val="ListParagraph"/>
        <w:numPr>
          <w:ilvl w:val="0"/>
          <w:numId w:val="52"/>
        </w:numPr>
        <w:contextualSpacing w:val="0"/>
      </w:pPr>
      <w:r>
        <w:t>t</w:t>
      </w:r>
      <w:r w:rsidR="00A646E0" w:rsidRPr="0031549E">
        <w:t>he inherent spatial and temporal variability of the natural flow regime, and</w:t>
      </w:r>
    </w:p>
    <w:p w14:paraId="65D98934" w14:textId="0042DF61" w:rsidR="00A646E0" w:rsidRPr="0031549E" w:rsidRDefault="00A646E0" w:rsidP="004162AC">
      <w:pPr>
        <w:pStyle w:val="ListParagraph"/>
        <w:numPr>
          <w:ilvl w:val="0"/>
          <w:numId w:val="52"/>
        </w:numPr>
        <w:contextualSpacing w:val="0"/>
      </w:pPr>
      <w:r w:rsidRPr="0031549E">
        <w:t xml:space="preserve">trophic and habitat complexity, through </w:t>
      </w:r>
      <w:r w:rsidR="009D685C">
        <w:t xml:space="preserve">conservation </w:t>
      </w:r>
      <w:r w:rsidRPr="0031549E">
        <w:t>of native fauna and flora, particularly keystone</w:t>
      </w:r>
      <w:r w:rsidR="002159A0">
        <w:t>-type</w:t>
      </w:r>
      <w:r w:rsidRPr="0031549E">
        <w:t xml:space="preserve"> </w:t>
      </w:r>
      <w:r w:rsidR="004A40EB">
        <w:t xml:space="preserve">(e.g. foundation, ecosystem </w:t>
      </w:r>
      <w:r w:rsidR="00501AD8">
        <w:t xml:space="preserve">engineer, etc.) </w:t>
      </w:r>
      <w:r w:rsidRPr="0031549E">
        <w:t xml:space="preserve">species (or suites of species), and suppression of alien </w:t>
      </w:r>
      <w:r w:rsidR="004A77E7">
        <w:t xml:space="preserve">(invasive) </w:t>
      </w:r>
      <w:r w:rsidRPr="0031549E">
        <w:t>species.</w:t>
      </w:r>
    </w:p>
    <w:p w14:paraId="657171D2" w14:textId="3EA5648A" w:rsidR="00A646E0" w:rsidRDefault="00D83555" w:rsidP="00C03759">
      <w:r>
        <w:t xml:space="preserve">Maintaining or improving these three factors </w:t>
      </w:r>
      <w:r w:rsidR="00A646E0">
        <w:t xml:space="preserve">are paramount for </w:t>
      </w:r>
      <w:r w:rsidR="00C272C9">
        <w:t xml:space="preserve">the </w:t>
      </w:r>
      <w:r w:rsidR="00A646E0">
        <w:t xml:space="preserve">conservation and sustainability of the ecological community. If connectivity, </w:t>
      </w:r>
      <w:r w:rsidR="002159A0">
        <w:t xml:space="preserve">habitat </w:t>
      </w:r>
      <w:r w:rsidR="00A646E0">
        <w:t>components</w:t>
      </w:r>
      <w:r w:rsidR="002159A0">
        <w:t>,</w:t>
      </w:r>
      <w:r w:rsidR="00A646E0">
        <w:t xml:space="preserve"> or keystone</w:t>
      </w:r>
      <w:r w:rsidR="00C272C9">
        <w:t>-type</w:t>
      </w:r>
      <w:r w:rsidR="00A646E0">
        <w:t xml:space="preserve"> species</w:t>
      </w:r>
      <w:r w:rsidR="004D54BE">
        <w:t>,</w:t>
      </w:r>
      <w:r w:rsidR="00A646E0">
        <w:t xml:space="preserve"> are compromised the entire ecological community (ecosystem) is put at risk of </w:t>
      </w:r>
      <w:r w:rsidR="0015681F">
        <w:t xml:space="preserve">extinction or </w:t>
      </w:r>
      <w:r w:rsidR="00A646E0">
        <w:t>collapse.</w:t>
      </w:r>
    </w:p>
    <w:p w14:paraId="2EF7D42F" w14:textId="522AA086" w:rsidR="008868F8" w:rsidRPr="00945841" w:rsidRDefault="000E6F45" w:rsidP="00945841">
      <w:pPr>
        <w:pStyle w:val="twentypointnormal"/>
        <w:spacing w:after="200"/>
        <w:ind w:left="0"/>
        <w:rPr>
          <w:rFonts w:ascii="Cambria" w:hAnsi="Cambria"/>
          <w:sz w:val="22"/>
          <w:szCs w:val="22"/>
        </w:rPr>
      </w:pPr>
      <w:r w:rsidRPr="00C03759">
        <w:rPr>
          <w:rFonts w:ascii="Cambria" w:hAnsi="Cambria"/>
          <w:b/>
          <w:bCs/>
          <w:sz w:val="22"/>
          <w:szCs w:val="22"/>
        </w:rPr>
        <w:t>Note:</w:t>
      </w:r>
      <w:r w:rsidRPr="00C03759">
        <w:rPr>
          <w:rFonts w:ascii="Cambria" w:hAnsi="Cambria"/>
          <w:sz w:val="22"/>
          <w:szCs w:val="22"/>
        </w:rPr>
        <w:t xml:space="preserve"> The </w:t>
      </w:r>
      <w:r w:rsidR="00A646E0" w:rsidRPr="00C03759">
        <w:rPr>
          <w:rFonts w:ascii="Cambria" w:hAnsi="Cambria"/>
          <w:sz w:val="22"/>
          <w:szCs w:val="22"/>
        </w:rPr>
        <w:t xml:space="preserve">indicative conservation status assigned to </w:t>
      </w:r>
      <w:r w:rsidR="003C3670" w:rsidRPr="00C03759">
        <w:rPr>
          <w:rFonts w:ascii="Cambria" w:hAnsi="Cambria"/>
          <w:sz w:val="22"/>
          <w:szCs w:val="22"/>
        </w:rPr>
        <w:t xml:space="preserve">individual </w:t>
      </w:r>
      <w:r w:rsidR="007B2D5E">
        <w:rPr>
          <w:rFonts w:ascii="Cambria" w:hAnsi="Cambria"/>
          <w:sz w:val="22"/>
          <w:szCs w:val="22"/>
        </w:rPr>
        <w:t xml:space="preserve">functionally important </w:t>
      </w:r>
      <w:r w:rsidR="00A646E0" w:rsidRPr="00C03759">
        <w:rPr>
          <w:rFonts w:ascii="Cambria" w:hAnsi="Cambria"/>
          <w:sz w:val="22"/>
          <w:szCs w:val="22"/>
        </w:rPr>
        <w:t xml:space="preserve">species for the Criterion 3 assessment applies only for the purposes of assessing </w:t>
      </w:r>
      <w:r w:rsidR="00C03759">
        <w:rPr>
          <w:rFonts w:ascii="Cambria" w:hAnsi="Cambria"/>
          <w:sz w:val="22"/>
          <w:szCs w:val="22"/>
        </w:rPr>
        <w:t xml:space="preserve">their </w:t>
      </w:r>
      <w:r w:rsidR="009B2A0C">
        <w:rPr>
          <w:rFonts w:ascii="Cambria" w:hAnsi="Cambria"/>
          <w:sz w:val="22"/>
          <w:szCs w:val="22"/>
        </w:rPr>
        <w:t xml:space="preserve">status </w:t>
      </w:r>
      <w:r w:rsidR="00912696" w:rsidRPr="00C03759">
        <w:rPr>
          <w:rFonts w:ascii="Cambria" w:hAnsi="Cambria"/>
          <w:sz w:val="22"/>
          <w:szCs w:val="22"/>
        </w:rPr>
        <w:t xml:space="preserve">with respect to </w:t>
      </w:r>
      <w:r w:rsidR="00A646E0" w:rsidRPr="00C03759">
        <w:rPr>
          <w:rFonts w:ascii="Cambria" w:hAnsi="Cambria"/>
          <w:sz w:val="22"/>
          <w:szCs w:val="22"/>
        </w:rPr>
        <w:t>the</w:t>
      </w:r>
      <w:r w:rsidR="00AC312C" w:rsidRPr="00C03759">
        <w:rPr>
          <w:rFonts w:ascii="Cambria" w:hAnsi="Cambria"/>
          <w:sz w:val="22"/>
          <w:szCs w:val="22"/>
        </w:rPr>
        <w:t xml:space="preserve">ir </w:t>
      </w:r>
      <w:r w:rsidR="003C3670" w:rsidRPr="00C03759">
        <w:rPr>
          <w:rFonts w:ascii="Cambria" w:hAnsi="Cambria"/>
          <w:sz w:val="22"/>
          <w:szCs w:val="22"/>
        </w:rPr>
        <w:t>occurrence within</w:t>
      </w:r>
      <w:r w:rsidR="00B7550C" w:rsidRPr="00C03759">
        <w:rPr>
          <w:rFonts w:ascii="Cambria" w:hAnsi="Cambria"/>
          <w:sz w:val="22"/>
          <w:szCs w:val="22"/>
        </w:rPr>
        <w:t>,</w:t>
      </w:r>
      <w:r w:rsidR="003C3670" w:rsidRPr="00C03759">
        <w:rPr>
          <w:rFonts w:ascii="Cambria" w:hAnsi="Cambria"/>
          <w:sz w:val="22"/>
          <w:szCs w:val="22"/>
        </w:rPr>
        <w:t xml:space="preserve"> and contribution to</w:t>
      </w:r>
      <w:r w:rsidR="00B7550C" w:rsidRPr="00C03759">
        <w:rPr>
          <w:rFonts w:ascii="Cambria" w:hAnsi="Cambria"/>
          <w:sz w:val="22"/>
          <w:szCs w:val="22"/>
        </w:rPr>
        <w:t>,</w:t>
      </w:r>
      <w:r w:rsidR="003C3670" w:rsidRPr="00C03759">
        <w:rPr>
          <w:rFonts w:ascii="Cambria" w:hAnsi="Cambria"/>
          <w:sz w:val="22"/>
          <w:szCs w:val="22"/>
        </w:rPr>
        <w:t xml:space="preserve"> the</w:t>
      </w:r>
      <w:r w:rsidR="00A646E0" w:rsidRPr="00C03759">
        <w:rPr>
          <w:rFonts w:ascii="Cambria" w:hAnsi="Cambria"/>
          <w:sz w:val="22"/>
          <w:szCs w:val="22"/>
        </w:rPr>
        <w:t xml:space="preserve"> </w:t>
      </w:r>
      <w:r w:rsidR="00A646E0" w:rsidRPr="00C03759">
        <w:rPr>
          <w:rFonts w:ascii="Cambria" w:hAnsi="Cambria"/>
          <w:i/>
          <w:sz w:val="22"/>
          <w:szCs w:val="22"/>
        </w:rPr>
        <w:t>River Murray</w:t>
      </w:r>
      <w:r w:rsidR="009E584E" w:rsidRPr="00C03759">
        <w:rPr>
          <w:rFonts w:ascii="Cambria" w:hAnsi="Cambria"/>
          <w:i/>
          <w:sz w:val="22"/>
          <w:szCs w:val="22"/>
        </w:rPr>
        <w:t xml:space="preserve">—Darling </w:t>
      </w:r>
      <w:r w:rsidR="00A646E0" w:rsidRPr="00C03759">
        <w:rPr>
          <w:rFonts w:ascii="Cambria" w:hAnsi="Cambria"/>
          <w:i/>
          <w:sz w:val="22"/>
          <w:szCs w:val="22"/>
        </w:rPr>
        <w:t>to Sea</w:t>
      </w:r>
      <w:r w:rsidR="00A646E0" w:rsidRPr="00C03759">
        <w:rPr>
          <w:rFonts w:ascii="Cambria" w:hAnsi="Cambria"/>
          <w:sz w:val="22"/>
          <w:szCs w:val="22"/>
        </w:rPr>
        <w:t xml:space="preserve"> ecological community (EC)</w:t>
      </w:r>
      <w:r w:rsidR="009B2A0C">
        <w:rPr>
          <w:rFonts w:ascii="Cambria" w:hAnsi="Cambria"/>
          <w:sz w:val="22"/>
          <w:szCs w:val="22"/>
        </w:rPr>
        <w:t>. Therefore, the outcome</w:t>
      </w:r>
      <w:r w:rsidR="00A646E0" w:rsidRPr="00C03759">
        <w:rPr>
          <w:rFonts w:ascii="Cambria" w:hAnsi="Cambria"/>
          <w:sz w:val="22"/>
          <w:szCs w:val="22"/>
        </w:rPr>
        <w:t xml:space="preserve"> may be different to </w:t>
      </w:r>
      <w:r w:rsidR="004D54BE">
        <w:rPr>
          <w:rFonts w:ascii="Cambria" w:hAnsi="Cambria"/>
          <w:sz w:val="22"/>
          <w:szCs w:val="22"/>
        </w:rPr>
        <w:t xml:space="preserve">that of </w:t>
      </w:r>
      <w:r w:rsidR="00A646E0" w:rsidRPr="00C03759">
        <w:rPr>
          <w:rFonts w:ascii="Cambria" w:hAnsi="Cambria"/>
          <w:sz w:val="22"/>
          <w:szCs w:val="22"/>
        </w:rPr>
        <w:t>national</w:t>
      </w:r>
      <w:r w:rsidR="00A646E0">
        <w:t xml:space="preserve"> </w:t>
      </w:r>
      <w:r w:rsidR="00A646E0" w:rsidRPr="00C03759">
        <w:rPr>
          <w:rFonts w:ascii="Cambria" w:hAnsi="Cambria"/>
          <w:sz w:val="22"/>
          <w:szCs w:val="22"/>
        </w:rPr>
        <w:t>or state</w:t>
      </w:r>
      <w:r w:rsidR="009A0AB9">
        <w:rPr>
          <w:rFonts w:ascii="Cambria" w:hAnsi="Cambria"/>
          <w:sz w:val="22"/>
          <w:szCs w:val="22"/>
        </w:rPr>
        <w:t>-level</w:t>
      </w:r>
      <w:r w:rsidR="00A646E0" w:rsidRPr="00C03759">
        <w:rPr>
          <w:rFonts w:ascii="Cambria" w:hAnsi="Cambria"/>
          <w:sz w:val="22"/>
          <w:szCs w:val="22"/>
        </w:rPr>
        <w:t xml:space="preserve"> conservation </w:t>
      </w:r>
      <w:r w:rsidR="009A0AB9">
        <w:rPr>
          <w:rFonts w:ascii="Cambria" w:hAnsi="Cambria"/>
          <w:sz w:val="22"/>
          <w:szCs w:val="22"/>
        </w:rPr>
        <w:t xml:space="preserve">statuses </w:t>
      </w:r>
      <w:r w:rsidR="0086471C" w:rsidRPr="00C03759">
        <w:rPr>
          <w:rFonts w:ascii="Cambria" w:hAnsi="Cambria"/>
          <w:sz w:val="22"/>
          <w:szCs w:val="22"/>
        </w:rPr>
        <w:t xml:space="preserve">for those </w:t>
      </w:r>
      <w:r w:rsidR="009B2A0C">
        <w:rPr>
          <w:rFonts w:ascii="Cambria" w:hAnsi="Cambria"/>
          <w:sz w:val="22"/>
          <w:szCs w:val="22"/>
        </w:rPr>
        <w:t xml:space="preserve">individual </w:t>
      </w:r>
      <w:r w:rsidR="0086471C" w:rsidRPr="00C03759">
        <w:rPr>
          <w:rFonts w:ascii="Cambria" w:hAnsi="Cambria"/>
          <w:sz w:val="22"/>
          <w:szCs w:val="22"/>
        </w:rPr>
        <w:t>species</w:t>
      </w:r>
      <w:r w:rsidR="00B7550C" w:rsidRPr="00C03759">
        <w:rPr>
          <w:rFonts w:ascii="Cambria" w:hAnsi="Cambria"/>
          <w:sz w:val="22"/>
          <w:szCs w:val="22"/>
        </w:rPr>
        <w:t xml:space="preserve"> (or suit</w:t>
      </w:r>
      <w:r w:rsidR="00577ACD">
        <w:rPr>
          <w:rFonts w:ascii="Cambria" w:hAnsi="Cambria"/>
          <w:sz w:val="22"/>
          <w:szCs w:val="22"/>
        </w:rPr>
        <w:t>e</w:t>
      </w:r>
      <w:r w:rsidR="00B7550C" w:rsidRPr="00C03759">
        <w:rPr>
          <w:rFonts w:ascii="Cambria" w:hAnsi="Cambria"/>
          <w:sz w:val="22"/>
          <w:szCs w:val="22"/>
        </w:rPr>
        <w:t>s of species)</w:t>
      </w:r>
      <w:r w:rsidR="00A646E0" w:rsidRPr="00C03759">
        <w:rPr>
          <w:rFonts w:ascii="Cambria" w:hAnsi="Cambria"/>
          <w:sz w:val="22"/>
          <w:szCs w:val="22"/>
        </w:rPr>
        <w:t>.</w:t>
      </w:r>
      <w:bookmarkStart w:id="261" w:name="_Toc175317103"/>
      <w:r w:rsidR="008868F8">
        <w:br w:type="page"/>
      </w:r>
    </w:p>
    <w:p w14:paraId="2036E6E8" w14:textId="69B3BA1D" w:rsidR="00F376DA" w:rsidRDefault="00955AD0" w:rsidP="00550384">
      <w:pPr>
        <w:pStyle w:val="Heading3"/>
      </w:pPr>
      <w:r>
        <w:lastRenderedPageBreak/>
        <w:t xml:space="preserve">6.2.3 </w:t>
      </w:r>
      <w:r w:rsidR="006959E1" w:rsidRPr="009152CC">
        <w:t xml:space="preserve">Criterion </w:t>
      </w:r>
      <w:r w:rsidR="006959E1">
        <w:t>3</w:t>
      </w:r>
      <w:r w:rsidR="006959E1" w:rsidRPr="009152CC">
        <w:t xml:space="preserve"> – </w:t>
      </w:r>
      <w:r w:rsidR="006959E1">
        <w:t>loss or decline of functionally important species</w:t>
      </w:r>
      <w:bookmarkEnd w:id="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672"/>
        <w:gridCol w:w="1462"/>
        <w:gridCol w:w="1462"/>
        <w:gridCol w:w="1464"/>
      </w:tblGrid>
      <w:tr w:rsidR="00B12F0D" w:rsidRPr="00051D51" w14:paraId="093509C6" w14:textId="77777777" w:rsidTr="00293454">
        <w:trPr>
          <w:cantSplit/>
          <w:tblHeader/>
          <w:jc w:val="center"/>
        </w:trPr>
        <w:tc>
          <w:tcPr>
            <w:tcW w:w="2578" w:type="pct"/>
            <w:vMerge w:val="restart"/>
            <w:vAlign w:val="center"/>
          </w:tcPr>
          <w:p w14:paraId="2CE2F8EF" w14:textId="77777777" w:rsidR="00B12F0D" w:rsidRPr="00051D51" w:rsidRDefault="00B12F0D" w:rsidP="00293454">
            <w:pPr>
              <w:pStyle w:val="Tabletext"/>
            </w:pPr>
            <w:bookmarkStart w:id="262" w:name="_Hlk40363722"/>
          </w:p>
        </w:tc>
        <w:tc>
          <w:tcPr>
            <w:tcW w:w="2422" w:type="pct"/>
            <w:gridSpan w:val="3"/>
            <w:vAlign w:val="center"/>
          </w:tcPr>
          <w:p w14:paraId="1A74AD9C" w14:textId="77777777" w:rsidR="00B12F0D" w:rsidRPr="00153204" w:rsidRDefault="00B12F0D" w:rsidP="00293454">
            <w:pPr>
              <w:pStyle w:val="Tabletext"/>
              <w:jc w:val="center"/>
              <w:rPr>
                <w:b/>
                <w:bCs/>
              </w:rPr>
            </w:pPr>
            <w:r w:rsidRPr="00153204">
              <w:rPr>
                <w:b/>
                <w:bCs/>
              </w:rPr>
              <w:t>Category</w:t>
            </w:r>
          </w:p>
        </w:tc>
      </w:tr>
      <w:tr w:rsidR="00B12F0D" w:rsidRPr="00051D51" w14:paraId="1FEF3F72" w14:textId="77777777" w:rsidTr="00293454">
        <w:trPr>
          <w:cantSplit/>
          <w:tblHeader/>
          <w:jc w:val="center"/>
        </w:trPr>
        <w:tc>
          <w:tcPr>
            <w:tcW w:w="2578" w:type="pct"/>
            <w:vMerge/>
            <w:vAlign w:val="center"/>
          </w:tcPr>
          <w:p w14:paraId="52C4AB13" w14:textId="77777777" w:rsidR="00B12F0D" w:rsidRPr="00051D51" w:rsidRDefault="00B12F0D" w:rsidP="00293454">
            <w:pPr>
              <w:pStyle w:val="Tabletext"/>
            </w:pPr>
          </w:p>
        </w:tc>
        <w:tc>
          <w:tcPr>
            <w:tcW w:w="807" w:type="pct"/>
            <w:vAlign w:val="center"/>
          </w:tcPr>
          <w:p w14:paraId="5DE3CFF1" w14:textId="77777777" w:rsidR="00B12F0D" w:rsidRPr="00153204" w:rsidRDefault="00B12F0D" w:rsidP="00293454">
            <w:pPr>
              <w:pStyle w:val="Tabletext"/>
              <w:jc w:val="center"/>
              <w:rPr>
                <w:b/>
                <w:bCs/>
              </w:rPr>
            </w:pPr>
            <w:r w:rsidRPr="00153204">
              <w:rPr>
                <w:b/>
                <w:bCs/>
              </w:rPr>
              <w:t>Critically Endangered</w:t>
            </w:r>
          </w:p>
        </w:tc>
        <w:tc>
          <w:tcPr>
            <w:tcW w:w="807" w:type="pct"/>
            <w:vAlign w:val="center"/>
          </w:tcPr>
          <w:p w14:paraId="07AD3ACE" w14:textId="77777777" w:rsidR="00B12F0D" w:rsidRPr="00153204" w:rsidRDefault="00B12F0D" w:rsidP="00293454">
            <w:pPr>
              <w:pStyle w:val="Tabletext"/>
              <w:jc w:val="center"/>
              <w:rPr>
                <w:b/>
                <w:bCs/>
              </w:rPr>
            </w:pPr>
            <w:r w:rsidRPr="00153204">
              <w:rPr>
                <w:b/>
                <w:bCs/>
              </w:rPr>
              <w:t>Endangered</w:t>
            </w:r>
          </w:p>
        </w:tc>
        <w:tc>
          <w:tcPr>
            <w:tcW w:w="807" w:type="pct"/>
            <w:vAlign w:val="center"/>
          </w:tcPr>
          <w:p w14:paraId="1BB593AE" w14:textId="77777777" w:rsidR="00B12F0D" w:rsidRPr="00153204" w:rsidRDefault="00B12F0D" w:rsidP="00293454">
            <w:pPr>
              <w:pStyle w:val="Tabletext"/>
              <w:jc w:val="center"/>
              <w:rPr>
                <w:b/>
                <w:bCs/>
              </w:rPr>
            </w:pPr>
            <w:r w:rsidRPr="00153204">
              <w:rPr>
                <w:b/>
                <w:bCs/>
              </w:rPr>
              <w:t>Vulnerable</w:t>
            </w:r>
          </w:p>
        </w:tc>
      </w:tr>
      <w:bookmarkEnd w:id="262"/>
      <w:tr w:rsidR="00B12F0D" w:rsidRPr="00051D51" w14:paraId="57A271C4" w14:textId="77777777" w:rsidTr="00293454">
        <w:trPr>
          <w:cantSplit/>
          <w:jc w:val="center"/>
        </w:trPr>
        <w:tc>
          <w:tcPr>
            <w:tcW w:w="2578" w:type="pct"/>
            <w:shd w:val="clear" w:color="auto" w:fill="F2F2F2" w:themeFill="background1" w:themeFillShade="F2"/>
            <w:vAlign w:val="center"/>
          </w:tcPr>
          <w:p w14:paraId="3861CBF6" w14:textId="77777777" w:rsidR="00B12F0D" w:rsidRPr="00051D51" w:rsidRDefault="00B12F0D" w:rsidP="00293454">
            <w:pPr>
              <w:pStyle w:val="Tabletext"/>
              <w:keepNext/>
            </w:pPr>
            <w:r w:rsidRPr="00051D51">
              <w:t>For a population of a native species that is likely to play a major role in the community, there is a:</w:t>
            </w:r>
          </w:p>
        </w:tc>
        <w:tc>
          <w:tcPr>
            <w:tcW w:w="807" w:type="pct"/>
            <w:shd w:val="clear" w:color="auto" w:fill="F2F2F2" w:themeFill="background1" w:themeFillShade="F2"/>
            <w:vAlign w:val="center"/>
          </w:tcPr>
          <w:p w14:paraId="1ADA6427" w14:textId="77777777" w:rsidR="00B12F0D" w:rsidRPr="00051D51" w:rsidRDefault="00B12F0D" w:rsidP="00293454">
            <w:pPr>
              <w:pStyle w:val="Tabletext"/>
              <w:keepNext/>
              <w:jc w:val="center"/>
            </w:pPr>
            <w:r w:rsidRPr="00051D51">
              <w:t>very severe decline</w:t>
            </w:r>
          </w:p>
        </w:tc>
        <w:tc>
          <w:tcPr>
            <w:tcW w:w="807" w:type="pct"/>
            <w:shd w:val="clear" w:color="auto" w:fill="F2F2F2" w:themeFill="background1" w:themeFillShade="F2"/>
            <w:vAlign w:val="center"/>
          </w:tcPr>
          <w:p w14:paraId="4740E018" w14:textId="77777777" w:rsidR="00B12F0D" w:rsidRPr="00051D51" w:rsidRDefault="00B12F0D" w:rsidP="00293454">
            <w:pPr>
              <w:pStyle w:val="Tabletext"/>
              <w:keepNext/>
              <w:jc w:val="center"/>
            </w:pPr>
            <w:r w:rsidRPr="00051D51">
              <w:t>severe decline</w:t>
            </w:r>
          </w:p>
        </w:tc>
        <w:tc>
          <w:tcPr>
            <w:tcW w:w="807" w:type="pct"/>
            <w:shd w:val="clear" w:color="auto" w:fill="F2F2F2" w:themeFill="background1" w:themeFillShade="F2"/>
            <w:vAlign w:val="center"/>
          </w:tcPr>
          <w:p w14:paraId="1EE1CDD7" w14:textId="77777777" w:rsidR="00B12F0D" w:rsidRPr="00051D51" w:rsidRDefault="00B12F0D" w:rsidP="00293454">
            <w:pPr>
              <w:pStyle w:val="Tabletext"/>
              <w:keepNext/>
              <w:jc w:val="center"/>
            </w:pPr>
            <w:r w:rsidRPr="00051D51">
              <w:t>substantial decline</w:t>
            </w:r>
          </w:p>
        </w:tc>
      </w:tr>
      <w:tr w:rsidR="00B12F0D" w:rsidRPr="00051D51" w14:paraId="39247E7B" w14:textId="77777777" w:rsidTr="00293454">
        <w:trPr>
          <w:cantSplit/>
          <w:jc w:val="center"/>
        </w:trPr>
        <w:tc>
          <w:tcPr>
            <w:tcW w:w="2578" w:type="pct"/>
            <w:vAlign w:val="center"/>
          </w:tcPr>
          <w:p w14:paraId="0DF3630B" w14:textId="77777777" w:rsidR="00B12F0D" w:rsidRPr="00051D51" w:rsidRDefault="00B12F0D" w:rsidP="00293454">
            <w:pPr>
              <w:pStyle w:val="Tabletext"/>
              <w:keepNext/>
              <w:rPr>
                <w:i/>
              </w:rPr>
            </w:pPr>
            <w:r w:rsidRPr="00051D51">
              <w:rPr>
                <w:i/>
              </w:rPr>
              <w:t>Estimated decline over the last 10 years or three generations</w:t>
            </w:r>
            <w:r>
              <w:rPr>
                <w:i/>
              </w:rPr>
              <w:t xml:space="preserve"> (up to a maximum of 60 years)</w:t>
            </w:r>
            <w:r w:rsidRPr="00051D51">
              <w:rPr>
                <w:i/>
              </w:rPr>
              <w:t>, whichever is longer</w:t>
            </w:r>
          </w:p>
        </w:tc>
        <w:tc>
          <w:tcPr>
            <w:tcW w:w="807" w:type="pct"/>
            <w:vAlign w:val="center"/>
          </w:tcPr>
          <w:p w14:paraId="4D2B539E" w14:textId="77777777" w:rsidR="00B12F0D" w:rsidRPr="00051D51" w:rsidRDefault="00B12F0D" w:rsidP="00293454">
            <w:pPr>
              <w:pStyle w:val="Tabletext"/>
              <w:keepNext/>
              <w:jc w:val="center"/>
              <w:rPr>
                <w:i/>
              </w:rPr>
            </w:pPr>
            <w:r w:rsidRPr="00051D51">
              <w:rPr>
                <w:i/>
              </w:rPr>
              <w:t>80%</w:t>
            </w:r>
          </w:p>
        </w:tc>
        <w:tc>
          <w:tcPr>
            <w:tcW w:w="807" w:type="pct"/>
            <w:vAlign w:val="center"/>
          </w:tcPr>
          <w:p w14:paraId="1233BE33" w14:textId="77777777" w:rsidR="00B12F0D" w:rsidRPr="00051D51" w:rsidRDefault="00B12F0D" w:rsidP="00293454">
            <w:pPr>
              <w:pStyle w:val="Tabletext"/>
              <w:keepNext/>
              <w:jc w:val="center"/>
              <w:rPr>
                <w:i/>
              </w:rPr>
            </w:pPr>
            <w:r w:rsidRPr="00051D51">
              <w:rPr>
                <w:i/>
              </w:rPr>
              <w:t>50%</w:t>
            </w:r>
          </w:p>
        </w:tc>
        <w:tc>
          <w:tcPr>
            <w:tcW w:w="807" w:type="pct"/>
            <w:vAlign w:val="center"/>
          </w:tcPr>
          <w:p w14:paraId="66147049" w14:textId="77777777" w:rsidR="00B12F0D" w:rsidRPr="00051D51" w:rsidRDefault="00B12F0D" w:rsidP="00293454">
            <w:pPr>
              <w:pStyle w:val="Tabletext"/>
              <w:keepNext/>
              <w:jc w:val="center"/>
              <w:rPr>
                <w:i/>
              </w:rPr>
            </w:pPr>
            <w:r w:rsidRPr="00051D51">
              <w:rPr>
                <w:i/>
              </w:rPr>
              <w:t>20%</w:t>
            </w:r>
          </w:p>
        </w:tc>
      </w:tr>
      <w:tr w:rsidR="00B12F0D" w:rsidRPr="00051D51" w14:paraId="227D2C08" w14:textId="77777777" w:rsidTr="00293454">
        <w:trPr>
          <w:cantSplit/>
          <w:jc w:val="center"/>
        </w:trPr>
        <w:tc>
          <w:tcPr>
            <w:tcW w:w="2578" w:type="pct"/>
            <w:tcBorders>
              <w:bottom w:val="single" w:sz="4" w:space="0" w:color="auto"/>
            </w:tcBorders>
            <w:shd w:val="clear" w:color="auto" w:fill="F2F2F2" w:themeFill="background1" w:themeFillShade="F2"/>
            <w:vAlign w:val="center"/>
          </w:tcPr>
          <w:p w14:paraId="481505FB" w14:textId="77777777" w:rsidR="00B12F0D" w:rsidRPr="00051D51" w:rsidRDefault="00B12F0D" w:rsidP="00293454">
            <w:pPr>
              <w:pStyle w:val="Tabletext"/>
              <w:keepNext/>
            </w:pPr>
            <w:r w:rsidRPr="00051D51">
              <w:t>to the extent that restoration of the community is not likely to be possible in:</w:t>
            </w:r>
          </w:p>
        </w:tc>
        <w:tc>
          <w:tcPr>
            <w:tcW w:w="807" w:type="pct"/>
            <w:tcBorders>
              <w:bottom w:val="single" w:sz="4" w:space="0" w:color="auto"/>
            </w:tcBorders>
            <w:shd w:val="clear" w:color="auto" w:fill="F2F2F2" w:themeFill="background1" w:themeFillShade="F2"/>
            <w:vAlign w:val="center"/>
          </w:tcPr>
          <w:p w14:paraId="69934B18" w14:textId="77777777" w:rsidR="00B12F0D" w:rsidRPr="00051D51" w:rsidRDefault="00B12F0D" w:rsidP="00293454">
            <w:pPr>
              <w:pStyle w:val="Tabletext"/>
              <w:keepNext/>
              <w:jc w:val="center"/>
            </w:pPr>
            <w:r w:rsidRPr="00051D51">
              <w:t>the immediate future</w:t>
            </w:r>
          </w:p>
        </w:tc>
        <w:tc>
          <w:tcPr>
            <w:tcW w:w="807" w:type="pct"/>
            <w:tcBorders>
              <w:bottom w:val="single" w:sz="4" w:space="0" w:color="auto"/>
            </w:tcBorders>
            <w:shd w:val="clear" w:color="auto" w:fill="F2F2F2" w:themeFill="background1" w:themeFillShade="F2"/>
            <w:vAlign w:val="center"/>
          </w:tcPr>
          <w:p w14:paraId="52B4BA8C" w14:textId="77777777" w:rsidR="00B12F0D" w:rsidRPr="00051D51" w:rsidRDefault="00B12F0D" w:rsidP="00293454">
            <w:pPr>
              <w:pStyle w:val="Tabletext"/>
              <w:keepNext/>
              <w:jc w:val="center"/>
            </w:pPr>
            <w:r w:rsidRPr="00051D51">
              <w:t>the near future</w:t>
            </w:r>
          </w:p>
        </w:tc>
        <w:tc>
          <w:tcPr>
            <w:tcW w:w="807" w:type="pct"/>
            <w:tcBorders>
              <w:bottom w:val="single" w:sz="4" w:space="0" w:color="auto"/>
            </w:tcBorders>
            <w:shd w:val="clear" w:color="auto" w:fill="F2F2F2" w:themeFill="background1" w:themeFillShade="F2"/>
            <w:vAlign w:val="center"/>
          </w:tcPr>
          <w:p w14:paraId="7A657D19" w14:textId="77777777" w:rsidR="00B12F0D" w:rsidRPr="00051D51" w:rsidRDefault="00B12F0D" w:rsidP="00293454">
            <w:pPr>
              <w:pStyle w:val="Tabletext"/>
              <w:keepNext/>
              <w:jc w:val="center"/>
            </w:pPr>
            <w:r w:rsidRPr="00051D51">
              <w:t>the medium-term future</w:t>
            </w:r>
          </w:p>
        </w:tc>
      </w:tr>
      <w:tr w:rsidR="00B12F0D" w:rsidRPr="00051D51" w14:paraId="4A07C56D" w14:textId="77777777" w:rsidTr="00293454">
        <w:trPr>
          <w:cantSplit/>
          <w:jc w:val="center"/>
        </w:trPr>
        <w:tc>
          <w:tcPr>
            <w:tcW w:w="2578" w:type="pct"/>
            <w:tcBorders>
              <w:bottom w:val="single" w:sz="4" w:space="0" w:color="auto"/>
            </w:tcBorders>
            <w:shd w:val="clear" w:color="auto" w:fill="auto"/>
          </w:tcPr>
          <w:p w14:paraId="370F03CD" w14:textId="77777777" w:rsidR="00B12F0D" w:rsidRPr="00051D51" w:rsidRDefault="00B12F0D" w:rsidP="00293454">
            <w:pPr>
              <w:pStyle w:val="Tabletext"/>
              <w:keepNext/>
              <w:rPr>
                <w:i/>
              </w:rPr>
            </w:pPr>
            <w:r w:rsidRPr="00051D51">
              <w:rPr>
                <w:i/>
              </w:rPr>
              <w:t>timeframe</w:t>
            </w:r>
          </w:p>
        </w:tc>
        <w:tc>
          <w:tcPr>
            <w:tcW w:w="807" w:type="pct"/>
            <w:tcBorders>
              <w:bottom w:val="single" w:sz="4" w:space="0" w:color="auto"/>
            </w:tcBorders>
            <w:shd w:val="clear" w:color="auto" w:fill="auto"/>
          </w:tcPr>
          <w:p w14:paraId="5611A198" w14:textId="77777777" w:rsidR="00B12F0D" w:rsidRPr="00051D51" w:rsidRDefault="00B12F0D" w:rsidP="00293454">
            <w:pPr>
              <w:pStyle w:val="Tabletext"/>
              <w:keepNext/>
              <w:jc w:val="center"/>
              <w:rPr>
                <w:i/>
              </w:rPr>
            </w:pPr>
            <w:r w:rsidRPr="00051D51">
              <w:rPr>
                <w:i/>
              </w:rPr>
              <w:t>10 years or</w:t>
            </w:r>
            <w:r>
              <w:rPr>
                <w:i/>
              </w:rPr>
              <w:t xml:space="preserve"> </w:t>
            </w:r>
            <w:r w:rsidRPr="00051D51">
              <w:rPr>
                <w:i/>
              </w:rPr>
              <w:t>3 generations</w:t>
            </w:r>
            <w:r>
              <w:rPr>
                <w:i/>
              </w:rPr>
              <w:t xml:space="preserve"> (up to a maximum of 60 years)</w:t>
            </w:r>
          </w:p>
        </w:tc>
        <w:tc>
          <w:tcPr>
            <w:tcW w:w="807" w:type="pct"/>
            <w:tcBorders>
              <w:bottom w:val="single" w:sz="4" w:space="0" w:color="auto"/>
            </w:tcBorders>
            <w:shd w:val="clear" w:color="auto" w:fill="auto"/>
          </w:tcPr>
          <w:p w14:paraId="7D71210D" w14:textId="77777777" w:rsidR="00B12F0D" w:rsidRPr="00051D51" w:rsidRDefault="00B12F0D" w:rsidP="00293454">
            <w:pPr>
              <w:pStyle w:val="Tabletext"/>
              <w:keepNext/>
              <w:jc w:val="center"/>
              <w:rPr>
                <w:i/>
              </w:rPr>
            </w:pPr>
            <w:r w:rsidRPr="00051D51">
              <w:rPr>
                <w:i/>
              </w:rPr>
              <w:t>20 years or</w:t>
            </w:r>
            <w:r>
              <w:rPr>
                <w:i/>
              </w:rPr>
              <w:t xml:space="preserve"> </w:t>
            </w:r>
            <w:r w:rsidRPr="00051D51">
              <w:rPr>
                <w:i/>
              </w:rPr>
              <w:t>5 generations</w:t>
            </w:r>
            <w:r>
              <w:rPr>
                <w:i/>
              </w:rPr>
              <w:t xml:space="preserve"> (up to a maximum of 100 years)</w:t>
            </w:r>
          </w:p>
        </w:tc>
        <w:tc>
          <w:tcPr>
            <w:tcW w:w="807" w:type="pct"/>
            <w:tcBorders>
              <w:bottom w:val="single" w:sz="4" w:space="0" w:color="auto"/>
            </w:tcBorders>
            <w:shd w:val="clear" w:color="auto" w:fill="auto"/>
          </w:tcPr>
          <w:p w14:paraId="780DF1F2" w14:textId="77777777" w:rsidR="00B12F0D" w:rsidRPr="00051D51" w:rsidRDefault="00B12F0D" w:rsidP="00293454">
            <w:pPr>
              <w:pStyle w:val="Tabletext"/>
              <w:keepNext/>
              <w:jc w:val="center"/>
              <w:rPr>
                <w:i/>
              </w:rPr>
            </w:pPr>
            <w:r w:rsidRPr="00051D51">
              <w:rPr>
                <w:i/>
              </w:rPr>
              <w:t>50 years or</w:t>
            </w:r>
            <w:r>
              <w:rPr>
                <w:i/>
              </w:rPr>
              <w:t xml:space="preserve"> </w:t>
            </w:r>
            <w:r w:rsidRPr="00051D51">
              <w:rPr>
                <w:i/>
              </w:rPr>
              <w:t>10 generations</w:t>
            </w:r>
            <w:r>
              <w:rPr>
                <w:i/>
              </w:rPr>
              <w:t xml:space="preserve"> (up to a maximum of 100 years)</w:t>
            </w:r>
          </w:p>
        </w:tc>
      </w:tr>
    </w:tbl>
    <w:p w14:paraId="36FE0660" w14:textId="475C0589" w:rsidR="00F376DA" w:rsidRPr="008E51C3" w:rsidRDefault="00F376DA" w:rsidP="00B12F0D"/>
    <w:p w14:paraId="52F0E0CA" w14:textId="62BAD27F" w:rsidR="00281C59" w:rsidRPr="00CF73A5" w:rsidRDefault="00281C59" w:rsidP="00281C59">
      <w:r w:rsidRPr="00CF73A5">
        <w:t xml:space="preserve">This criterion refers to </w:t>
      </w:r>
      <w:r>
        <w:t xml:space="preserve">those </w:t>
      </w:r>
      <w:r w:rsidRPr="00CF73A5">
        <w:t>native species</w:t>
      </w:r>
      <w:r>
        <w:t xml:space="preserve"> (or suites of species)</w:t>
      </w:r>
      <w:r w:rsidRPr="00CF73A5">
        <w:t xml:space="preserve"> that </w:t>
      </w:r>
      <w:r w:rsidR="00652D3F">
        <w:t xml:space="preserve">play </w:t>
      </w:r>
      <w:r w:rsidR="009B2A1F">
        <w:t xml:space="preserve">a </w:t>
      </w:r>
      <w:r w:rsidR="00BF6569">
        <w:t xml:space="preserve">major role and </w:t>
      </w:r>
      <w:r w:rsidRPr="00CF73A5">
        <w:t xml:space="preserve">are critically important in the processes that </w:t>
      </w:r>
      <w:r>
        <w:t xml:space="preserve">sustain </w:t>
      </w:r>
      <w:r w:rsidRPr="00CF73A5">
        <w:t xml:space="preserve">the </w:t>
      </w:r>
      <w:r w:rsidR="005C3E24">
        <w:t xml:space="preserve">integrity and resilience of the </w:t>
      </w:r>
      <w:r w:rsidRPr="00CF73A5">
        <w:t>ecological community</w:t>
      </w:r>
      <w:r w:rsidR="007D59FD">
        <w:t xml:space="preserve"> (EC)</w:t>
      </w:r>
      <w:r>
        <w:t xml:space="preserve">. Their loss, </w:t>
      </w:r>
      <w:r w:rsidRPr="00CF73A5">
        <w:t xml:space="preserve">removal </w:t>
      </w:r>
      <w:r>
        <w:t xml:space="preserve">or decline </w:t>
      </w:r>
      <w:r w:rsidR="005C3E24">
        <w:t xml:space="preserve">is likely </w:t>
      </w:r>
      <w:r w:rsidRPr="00CF73A5">
        <w:t xml:space="preserve">to precipitate change in </w:t>
      </w:r>
      <w:r w:rsidR="008B042C">
        <w:t xml:space="preserve">the ECs </w:t>
      </w:r>
      <w:r w:rsidR="00F84086">
        <w:t xml:space="preserve">diversity, </w:t>
      </w:r>
      <w:r w:rsidRPr="00CF73A5">
        <w:t xml:space="preserve">structure </w:t>
      </w:r>
      <w:r w:rsidR="00F84086">
        <w:t>and</w:t>
      </w:r>
      <w:r w:rsidRPr="00CF73A5">
        <w:t xml:space="preserve"> function. Where </w:t>
      </w:r>
      <w:r w:rsidR="00F84086">
        <w:t xml:space="preserve">a </w:t>
      </w:r>
      <w:r w:rsidRPr="00CF73A5">
        <w:t>spec</w:t>
      </w:r>
      <w:r>
        <w:t>ies’ role is integral, a</w:t>
      </w:r>
      <w:r w:rsidRPr="00CF73A5">
        <w:t xml:space="preserve"> decline could </w:t>
      </w:r>
      <w:r>
        <w:t xml:space="preserve">potentially </w:t>
      </w:r>
      <w:r w:rsidRPr="00CF73A5">
        <w:t xml:space="preserve">lead to </w:t>
      </w:r>
      <w:r w:rsidR="00F84086">
        <w:t xml:space="preserve">very </w:t>
      </w:r>
      <w:r w:rsidR="00A05FE0">
        <w:t>severe</w:t>
      </w:r>
      <w:r w:rsidR="008C2F99">
        <w:t>, severe</w:t>
      </w:r>
      <w:r w:rsidR="00A05FE0">
        <w:t xml:space="preserve"> </w:t>
      </w:r>
      <w:r w:rsidR="00F84086">
        <w:t xml:space="preserve">or substantial </w:t>
      </w:r>
      <w:r w:rsidR="00A05FE0">
        <w:t xml:space="preserve">degradation and/or </w:t>
      </w:r>
      <w:r w:rsidRPr="00CF73A5">
        <w:t xml:space="preserve">loss of the </w:t>
      </w:r>
      <w:r w:rsidR="007D59FD">
        <w:t>EC</w:t>
      </w:r>
      <w:r w:rsidR="00F84086">
        <w:t>, with restoration not likely over the immediate to medium term future.</w:t>
      </w:r>
    </w:p>
    <w:p w14:paraId="7DEC8F41" w14:textId="197ECDAE" w:rsidR="00281C59" w:rsidRDefault="00281C59" w:rsidP="00281C59">
      <w:r>
        <w:t>The</w:t>
      </w:r>
      <w:r w:rsidRPr="00CF73A5">
        <w:t xml:space="preserve"> </w:t>
      </w:r>
      <w:r w:rsidRPr="00BF2AFE">
        <w:rPr>
          <w:i/>
        </w:rPr>
        <w:t>Guidelines</w:t>
      </w:r>
      <w:r>
        <w:t xml:space="preserve"> (TSSC 20</w:t>
      </w:r>
      <w:r w:rsidR="00683AD6">
        <w:t>17</w:t>
      </w:r>
      <w:r>
        <w:t>) for this criterion provide</w:t>
      </w:r>
      <w:r w:rsidRPr="00CF73A5">
        <w:t xml:space="preserve"> </w:t>
      </w:r>
      <w:r>
        <w:t xml:space="preserve">'indicative' timeframes linked to </w:t>
      </w:r>
      <w:r w:rsidRPr="00CF73A5">
        <w:t xml:space="preserve">the severity of decline, in which the decline in the ecological community as a whole may be halted, or reversed, to ensure </w:t>
      </w:r>
      <w:r>
        <w:t xml:space="preserve">that </w:t>
      </w:r>
      <w:r w:rsidRPr="00CF73A5">
        <w:t xml:space="preserve">it does not become </w:t>
      </w:r>
      <w:r>
        <w:t xml:space="preserve">(functionally) </w:t>
      </w:r>
      <w:r w:rsidRPr="00CF73A5">
        <w:t>extinct</w:t>
      </w:r>
      <w:r>
        <w:t xml:space="preserve">. This could occur by natural processes, </w:t>
      </w:r>
      <w:r w:rsidRPr="00CF73A5">
        <w:t>fo</w:t>
      </w:r>
      <w:r>
        <w:t xml:space="preserve">r example, </w:t>
      </w:r>
      <w:r w:rsidRPr="00CF73A5">
        <w:t>such as replacement of one functionally important species by another</w:t>
      </w:r>
      <w:r>
        <w:t>, or by other processes including management intervention</w:t>
      </w:r>
      <w:r w:rsidR="00A7703F">
        <w:t xml:space="preserve"> and/or restoration activities</w:t>
      </w:r>
      <w:r w:rsidRPr="00CF73A5">
        <w:t>.</w:t>
      </w:r>
    </w:p>
    <w:p w14:paraId="4F21A07A" w14:textId="41D75541" w:rsidR="006374E2" w:rsidRDefault="00281C59" w:rsidP="00281C59">
      <w:r>
        <w:t xml:space="preserve">For the purposes of this assessment, the functionally most important species (or suites of species) </w:t>
      </w:r>
      <w:r w:rsidR="00652D3F">
        <w:t xml:space="preserve">that are likely to play a major role in the ecological community </w:t>
      </w:r>
      <w:r>
        <w:t>are 'keystone</w:t>
      </w:r>
      <w:r w:rsidR="006D2388">
        <w:t>-type’</w:t>
      </w:r>
      <w:r>
        <w:t xml:space="preserve"> species, including</w:t>
      </w:r>
      <w:r w:rsidR="00490499">
        <w:t xml:space="preserve"> </w:t>
      </w:r>
      <w:r w:rsidR="00020479">
        <w:t>‘</w:t>
      </w:r>
      <w:r w:rsidR="00537F5B">
        <w:t>trophic</w:t>
      </w:r>
      <w:r w:rsidR="00020479">
        <w:t>-related’</w:t>
      </w:r>
      <w:r w:rsidR="00537F5B">
        <w:t xml:space="preserve"> (</w:t>
      </w:r>
      <w:r w:rsidR="00FD210D">
        <w:t xml:space="preserve">as per </w:t>
      </w:r>
      <w:r w:rsidR="00537F5B">
        <w:t>Paine 19</w:t>
      </w:r>
      <w:r w:rsidR="00020479">
        <w:t xml:space="preserve">66) and </w:t>
      </w:r>
      <w:r w:rsidR="00490499">
        <w:t>‘</w:t>
      </w:r>
      <w:r>
        <w:t>ecosystem engineers'</w:t>
      </w:r>
      <w:r w:rsidR="00267ABC">
        <w:t xml:space="preserve"> (</w:t>
      </w:r>
      <w:r w:rsidR="00FD210D">
        <w:t xml:space="preserve">as per </w:t>
      </w:r>
      <w:r w:rsidR="0065504F">
        <w:t>Jones et al. 1994</w:t>
      </w:r>
      <w:r w:rsidR="00FD210D">
        <w:t xml:space="preserve"> </w:t>
      </w:r>
      <w:r w:rsidR="00111BE5">
        <w:t>or ‘foundation</w:t>
      </w:r>
      <w:r w:rsidR="001A50D7">
        <w:t>’ species</w:t>
      </w:r>
      <w:r w:rsidR="004D54BE">
        <w:t xml:space="preserve"> </w:t>
      </w:r>
      <w:r w:rsidR="00111BE5">
        <w:t>Ellison 2019</w:t>
      </w:r>
      <w:r w:rsidR="004D54BE">
        <w:t>);</w:t>
      </w:r>
      <w:r w:rsidR="00111BE5">
        <w:t xml:space="preserve"> </w:t>
      </w:r>
      <w:r w:rsidR="00FD210D">
        <w:t xml:space="preserve">and </w:t>
      </w:r>
      <w:r w:rsidR="00111BE5">
        <w:t xml:space="preserve">see </w:t>
      </w:r>
      <w:r w:rsidR="00111BE5" w:rsidRPr="000E43D3">
        <w:rPr>
          <w:u w:val="single"/>
        </w:rPr>
        <w:t>Section 1.2.</w:t>
      </w:r>
      <w:r w:rsidR="00111BE5" w:rsidRPr="00041C4C">
        <w:rPr>
          <w:u w:val="single"/>
        </w:rPr>
        <w:t>3</w:t>
      </w:r>
      <w:r w:rsidR="00FD210D" w:rsidRPr="009F31C0">
        <w:t xml:space="preserve"> for further explanation</w:t>
      </w:r>
      <w:r>
        <w:t xml:space="preserve">. Keystone species </w:t>
      </w:r>
      <w:r w:rsidR="00834171">
        <w:t>are defined as having disproportionate importance in their community (</w:t>
      </w:r>
      <w:r w:rsidR="007F405D">
        <w:t>Paine 1966</w:t>
      </w:r>
      <w:r w:rsidR="000371B6">
        <w:t>, 1969</w:t>
      </w:r>
      <w:r w:rsidR="007F405D">
        <w:t xml:space="preserve">; </w:t>
      </w:r>
      <w:r w:rsidR="00834171">
        <w:t>Mouquet et al.</w:t>
      </w:r>
      <w:r w:rsidR="00827433">
        <w:t xml:space="preserve"> 2012); they help to </w:t>
      </w:r>
      <w:r>
        <w:t>maintain organisation and diversity and contribute to the functionality of ecological communities (Mills et al. 1993; Stiling 1999</w:t>
      </w:r>
      <w:r w:rsidR="00327B7F">
        <w:t>; Yang et al. 2020</w:t>
      </w:r>
      <w:r>
        <w:t xml:space="preserve">). </w:t>
      </w:r>
    </w:p>
    <w:p w14:paraId="7740A3B3" w14:textId="3F23E1BE" w:rsidR="00281C59" w:rsidRDefault="00281C59" w:rsidP="00281C59">
      <w:r>
        <w:t xml:space="preserve">Ecosystem engineers are a type of keystone </w:t>
      </w:r>
      <w:r w:rsidR="00500A66">
        <w:t>(or ‘foundation’</w:t>
      </w:r>
      <w:r>
        <w:t>s</w:t>
      </w:r>
      <w:r w:rsidR="00500A66">
        <w:t xml:space="preserve"> </w:t>
      </w:r>
      <w:r w:rsidR="00500A66" w:rsidRPr="00500A66">
        <w:rPr>
          <w:i/>
          <w:iCs/>
        </w:rPr>
        <w:t>sensu</w:t>
      </w:r>
      <w:r w:rsidR="00500A66">
        <w:t xml:space="preserve"> Ellison 2019) s</w:t>
      </w:r>
      <w:r>
        <w:t xml:space="preserve">pecies that </w:t>
      </w:r>
      <w:r w:rsidR="001B2CC8">
        <w:t xml:space="preserve">provide structure and/or </w:t>
      </w:r>
      <w:r>
        <w:t>modify the physical environment and thus create, maintain</w:t>
      </w:r>
      <w:r w:rsidR="0084081B">
        <w:t>,</w:t>
      </w:r>
      <w:r>
        <w:t xml:space="preserve"> and change habitats and resources (Jones et al. 1994; Wright </w:t>
      </w:r>
      <w:r w:rsidR="004416EA">
        <w:t xml:space="preserve">&amp; </w:t>
      </w:r>
      <w:r>
        <w:t>Jones 2006)</w:t>
      </w:r>
      <w:r w:rsidR="00500A66">
        <w:t xml:space="preserve">. </w:t>
      </w:r>
      <w:r>
        <w:t xml:space="preserve">Changes in local populations of keystone species, including ecosystem engineers, are likely to have significant impacts on ecosystem processes, trophic relationships, </w:t>
      </w:r>
      <w:r w:rsidR="00BB23C9">
        <w:t xml:space="preserve">habitat, </w:t>
      </w:r>
      <w:r>
        <w:t xml:space="preserve">and the long-term </w:t>
      </w:r>
      <w:r w:rsidR="00672B84">
        <w:t xml:space="preserve">viability </w:t>
      </w:r>
      <w:r>
        <w:t>and resilience of the ecological community.</w:t>
      </w:r>
      <w:r w:rsidR="00FC34B4">
        <w:t xml:space="preserve"> </w:t>
      </w:r>
    </w:p>
    <w:p w14:paraId="1774CD0D" w14:textId="28B55102" w:rsidR="004007EB" w:rsidRPr="00683AD6" w:rsidRDefault="00281C59" w:rsidP="0079734E">
      <w:r>
        <w:t xml:space="preserve">Assessment of this criterion is based on a suite of </w:t>
      </w:r>
      <w:r w:rsidR="00324740">
        <w:t>nine</w:t>
      </w:r>
      <w:r w:rsidR="00B60E79">
        <w:t xml:space="preserve"> </w:t>
      </w:r>
      <w:r>
        <w:t>keystone</w:t>
      </w:r>
      <w:r w:rsidR="00324740">
        <w:t>-type</w:t>
      </w:r>
      <w:r>
        <w:t xml:space="preserve"> species</w:t>
      </w:r>
      <w:r w:rsidR="003635C3">
        <w:t>,</w:t>
      </w:r>
      <w:r w:rsidR="00F335D8">
        <w:t xml:space="preserve"> </w:t>
      </w:r>
      <w:r>
        <w:t>or suite</w:t>
      </w:r>
      <w:r w:rsidR="00FD210D">
        <w:t>s</w:t>
      </w:r>
      <w:r>
        <w:t xml:space="preserve"> of species</w:t>
      </w:r>
      <w:r w:rsidR="00F4069D">
        <w:t xml:space="preserve"> (i.e. as</w:t>
      </w:r>
      <w:r>
        <w:t xml:space="preserve"> in the case of </w:t>
      </w:r>
      <w:r w:rsidR="00F335D8">
        <w:t xml:space="preserve">small-bodied fish and </w:t>
      </w:r>
      <w:r>
        <w:t>freshwater snails</w:t>
      </w:r>
      <w:r w:rsidR="00F4069D">
        <w:t>)</w:t>
      </w:r>
      <w:r w:rsidR="00F335D8">
        <w:t>,</w:t>
      </w:r>
      <w:r>
        <w:t xml:space="preserve"> that are deemed to be </w:t>
      </w:r>
      <w:r w:rsidRPr="00B60E79">
        <w:rPr>
          <w:i/>
          <w:iCs/>
        </w:rPr>
        <w:t>among</w:t>
      </w:r>
      <w:r>
        <w:t xml:space="preserve"> the most functionally important to the ecological community, and for which </w:t>
      </w:r>
      <w:r w:rsidR="00672B84">
        <w:t xml:space="preserve">substantial </w:t>
      </w:r>
      <w:r>
        <w:t>information is available to make a</w:t>
      </w:r>
      <w:r w:rsidR="00FD210D">
        <w:t>n indicative</w:t>
      </w:r>
      <w:r>
        <w:t xml:space="preserve"> determination. They are also representative of the various 'components' of the ecological community, for example: terrestrial and aquatic, freshwater and estuarine, benthic and pel</w:t>
      </w:r>
      <w:r w:rsidR="003635C3">
        <w:t>a</w:t>
      </w:r>
      <w:r>
        <w:t xml:space="preserve">gic, vertebrate and invertebrate (see </w:t>
      </w:r>
      <w:r w:rsidRPr="00BB23C9">
        <w:rPr>
          <w:u w:val="single"/>
        </w:rPr>
        <w:t xml:space="preserve">Table </w:t>
      </w:r>
      <w:r w:rsidR="00E873CE">
        <w:rPr>
          <w:u w:val="single"/>
        </w:rPr>
        <w:t>2</w:t>
      </w:r>
      <w:r w:rsidR="007A6E3F">
        <w:rPr>
          <w:u w:val="single"/>
        </w:rPr>
        <w:t>6</w:t>
      </w:r>
      <w:r>
        <w:t>).</w:t>
      </w:r>
    </w:p>
    <w:p w14:paraId="5240E32D" w14:textId="4B84C794" w:rsidR="00742334" w:rsidRPr="006E2204" w:rsidRDefault="00742334" w:rsidP="006E2204">
      <w:pPr>
        <w:pStyle w:val="Heading4"/>
      </w:pPr>
      <w:r w:rsidRPr="006E2204">
        <w:lastRenderedPageBreak/>
        <w:t xml:space="preserve">Keystone riparian-floodplain </w:t>
      </w:r>
      <w:r w:rsidR="004007EB" w:rsidRPr="006E2204">
        <w:t xml:space="preserve">tree </w:t>
      </w:r>
      <w:r w:rsidRPr="006E2204">
        <w:t xml:space="preserve">species </w:t>
      </w:r>
      <w:r w:rsidR="005D5168" w:rsidRPr="006E2204">
        <w:t xml:space="preserve">– River red gum and Black box </w:t>
      </w:r>
    </w:p>
    <w:tbl>
      <w:tblPr>
        <w:tblStyle w:val="TableGrid"/>
        <w:tblW w:w="0" w:type="auto"/>
        <w:tblLook w:val="04A0" w:firstRow="1" w:lastRow="0" w:firstColumn="1" w:lastColumn="0" w:noHBand="0" w:noVBand="1"/>
      </w:tblPr>
      <w:tblGrid>
        <w:gridCol w:w="9060"/>
      </w:tblGrid>
      <w:tr w:rsidR="00B05493" w14:paraId="48BFCBCC" w14:textId="77777777" w:rsidTr="001D26BA">
        <w:tc>
          <w:tcPr>
            <w:tcW w:w="9174" w:type="dxa"/>
            <w:shd w:val="clear" w:color="auto" w:fill="E2EFD9" w:themeFill="accent6" w:themeFillTint="33"/>
          </w:tcPr>
          <w:p w14:paraId="1D22C9DB" w14:textId="72F0AE8D" w:rsidR="00F60F5B" w:rsidRDefault="00CC7E88" w:rsidP="00B05493">
            <w:pPr>
              <w:spacing w:after="120"/>
              <w:rPr>
                <w:b/>
                <w:iCs/>
              </w:rPr>
            </w:pPr>
            <w:r>
              <w:rPr>
                <w:b/>
                <w:iCs/>
              </w:rPr>
              <w:t xml:space="preserve">River red gum </w:t>
            </w:r>
            <w:r w:rsidRPr="00CC7E88">
              <w:rPr>
                <w:bCs/>
                <w:iCs/>
              </w:rPr>
              <w:t>(</w:t>
            </w:r>
            <w:r>
              <w:rPr>
                <w:i/>
              </w:rPr>
              <w:t xml:space="preserve">Eucalyptus </w:t>
            </w:r>
            <w:r w:rsidRPr="005B7AA3">
              <w:rPr>
                <w:i/>
              </w:rPr>
              <w:t>camaldulensis</w:t>
            </w:r>
            <w:r w:rsidRPr="00CC7E88">
              <w:rPr>
                <w:bCs/>
                <w:iCs/>
              </w:rPr>
              <w:t>)</w:t>
            </w:r>
            <w:r>
              <w:rPr>
                <w:b/>
                <w:iCs/>
              </w:rPr>
              <w:t xml:space="preserve"> </w:t>
            </w:r>
          </w:p>
          <w:p w14:paraId="3902AE3E" w14:textId="6EB170D8" w:rsidR="00CC7E88" w:rsidRPr="00F60F5B" w:rsidRDefault="00CC7E88" w:rsidP="00B05493">
            <w:pPr>
              <w:spacing w:after="120"/>
              <w:rPr>
                <w:b/>
                <w:iCs/>
              </w:rPr>
            </w:pPr>
            <w:r>
              <w:rPr>
                <w:b/>
                <w:iCs/>
              </w:rPr>
              <w:t xml:space="preserve">Black box </w:t>
            </w:r>
            <w:r w:rsidRPr="00F60F5B">
              <w:rPr>
                <w:bCs/>
                <w:iCs/>
              </w:rPr>
              <w:t>(</w:t>
            </w:r>
            <w:r w:rsidR="00F60F5B">
              <w:rPr>
                <w:i/>
              </w:rPr>
              <w:t>Eucalyptus</w:t>
            </w:r>
            <w:r w:rsidR="00F60F5B" w:rsidRPr="005B7AA3">
              <w:rPr>
                <w:i/>
              </w:rPr>
              <w:t xml:space="preserve"> largiflorens</w:t>
            </w:r>
            <w:r w:rsidR="00F60F5B">
              <w:rPr>
                <w:iCs/>
              </w:rPr>
              <w:t>)</w:t>
            </w:r>
          </w:p>
          <w:p w14:paraId="712D77CD" w14:textId="761E32F0" w:rsidR="00B05493" w:rsidRPr="00EE0FB2" w:rsidRDefault="00B05493" w:rsidP="00B05493">
            <w:pPr>
              <w:spacing w:after="120"/>
            </w:pPr>
            <w:r w:rsidRPr="00EE0FB2">
              <w:rPr>
                <w:b/>
                <w:i/>
              </w:rPr>
              <w:t>Key functional role:</w:t>
            </w:r>
            <w:r>
              <w:rPr>
                <w:b/>
                <w:i/>
              </w:rPr>
              <w:t xml:space="preserve"> </w:t>
            </w:r>
            <w:r>
              <w:t xml:space="preserve">ecosystem engineers; primary producers; </w:t>
            </w:r>
            <w:r w:rsidR="005D5168">
              <w:t xml:space="preserve">structural </w:t>
            </w:r>
            <w:r>
              <w:t xml:space="preserve">habitat and supply of </w:t>
            </w:r>
            <w:r w:rsidR="004007EB">
              <w:t xml:space="preserve">food source to pollinators and </w:t>
            </w:r>
            <w:r>
              <w:t xml:space="preserve">organic matter to </w:t>
            </w:r>
            <w:r w:rsidR="007C357B">
              <w:t xml:space="preserve">both </w:t>
            </w:r>
            <w:r>
              <w:t>terrestrial and aquatic environments</w:t>
            </w:r>
          </w:p>
          <w:p w14:paraId="7859F685" w14:textId="7DC28487" w:rsidR="00B05493" w:rsidRPr="00EE0FB2" w:rsidRDefault="00B05493" w:rsidP="00B05493">
            <w:pPr>
              <w:spacing w:after="120"/>
            </w:pPr>
            <w:r w:rsidRPr="00EE0FB2">
              <w:rPr>
                <w:b/>
                <w:i/>
              </w:rPr>
              <w:t>Key vulnerabilities:</w:t>
            </w:r>
            <w:r>
              <w:t xml:space="preserve"> dehydration; </w:t>
            </w:r>
            <w:r w:rsidR="00971F2B">
              <w:t xml:space="preserve">soil salinity; </w:t>
            </w:r>
            <w:r w:rsidR="00C978F9">
              <w:t xml:space="preserve">relatively short-lived seed banks; </w:t>
            </w:r>
            <w:r>
              <w:t xml:space="preserve">competition with weeds and alien species (e.g. willows, </w:t>
            </w:r>
            <w:r w:rsidRPr="009F64D6">
              <w:rPr>
                <w:i/>
              </w:rPr>
              <w:t>Salix</w:t>
            </w:r>
            <w:r>
              <w:t xml:space="preserve"> spp.)</w:t>
            </w:r>
            <w:r w:rsidR="001D2A1E">
              <w:t xml:space="preserve">; </w:t>
            </w:r>
            <w:r w:rsidR="004007EB">
              <w:t>regrowth</w:t>
            </w:r>
            <w:r w:rsidR="0024368A">
              <w:t xml:space="preserve"> dies before maturity; </w:t>
            </w:r>
            <w:r w:rsidR="00971F2B">
              <w:t>disease</w:t>
            </w:r>
            <w:r w:rsidR="00CA3FF0">
              <w:t>/pathogens; clearing;</w:t>
            </w:r>
            <w:r w:rsidR="0024368A">
              <w:t xml:space="preserve"> </w:t>
            </w:r>
            <w:r w:rsidR="001D2A1E">
              <w:t>(</w:t>
            </w:r>
            <w:r w:rsidR="001D2A1E" w:rsidRPr="0074098E">
              <w:t xml:space="preserve">see </w:t>
            </w:r>
            <w:r w:rsidR="001D2A1E" w:rsidRPr="005B0BF1">
              <w:rPr>
                <w:u w:val="single"/>
              </w:rPr>
              <w:t xml:space="preserve">Table </w:t>
            </w:r>
            <w:r w:rsidR="001E4D24">
              <w:rPr>
                <w:u w:val="single"/>
              </w:rPr>
              <w:t>17</w:t>
            </w:r>
            <w:r w:rsidR="001D2A1E" w:rsidRPr="0074098E">
              <w:t>)</w:t>
            </w:r>
          </w:p>
          <w:p w14:paraId="2E5340AE" w14:textId="0918B0FB" w:rsidR="00B05493" w:rsidRPr="003F44EC" w:rsidRDefault="00B05493" w:rsidP="00B05493">
            <w:pPr>
              <w:spacing w:after="120"/>
            </w:pPr>
            <w:r>
              <w:rPr>
                <w:b/>
                <w:i/>
              </w:rPr>
              <w:t>Key impacts</w:t>
            </w:r>
            <w:r w:rsidR="00BA451B">
              <w:rPr>
                <w:b/>
                <w:i/>
              </w:rPr>
              <w:t xml:space="preserve"> on the species</w:t>
            </w:r>
            <w:r>
              <w:rPr>
                <w:b/>
                <w:i/>
              </w:rPr>
              <w:t xml:space="preserve">: </w:t>
            </w:r>
            <w:r>
              <w:t>high levels of stress</w:t>
            </w:r>
            <w:r w:rsidR="00BA451B">
              <w:t>, dieback,</w:t>
            </w:r>
            <w:r>
              <w:t xml:space="preserve"> and death of old-growth </w:t>
            </w:r>
            <w:r w:rsidR="00BA451B">
              <w:t xml:space="preserve">(high habitat value) </w:t>
            </w:r>
            <w:r>
              <w:t xml:space="preserve">trees; </w:t>
            </w:r>
            <w:r w:rsidR="00CA3FF0">
              <w:t xml:space="preserve">spread of disease; </w:t>
            </w:r>
            <w:r>
              <w:t>decline in distribution; lack of recruitment</w:t>
            </w:r>
            <w:r w:rsidR="00FB1918">
              <w:t>; degrading seed bank</w:t>
            </w:r>
          </w:p>
          <w:p w14:paraId="4AE5307F" w14:textId="613A1C42" w:rsidR="00B05493" w:rsidRPr="00713446" w:rsidRDefault="00B05493" w:rsidP="00B05493">
            <w:pPr>
              <w:spacing w:after="120"/>
            </w:pPr>
            <w:r>
              <w:rPr>
                <w:b/>
                <w:i/>
              </w:rPr>
              <w:t xml:space="preserve">Likely causes: </w:t>
            </w:r>
            <w:r>
              <w:t xml:space="preserve">inappropriate flow regimes; rising saline groundwater; </w:t>
            </w:r>
            <w:r w:rsidR="00756F32">
              <w:t xml:space="preserve">clearing; </w:t>
            </w:r>
            <w:r w:rsidR="009B7739">
              <w:t xml:space="preserve">grazing of regrowth; </w:t>
            </w:r>
            <w:r>
              <w:t>climate change</w:t>
            </w:r>
          </w:p>
          <w:p w14:paraId="55825772" w14:textId="76A5F925" w:rsidR="00B05493" w:rsidRPr="006B356D" w:rsidRDefault="00B05493" w:rsidP="00B05493">
            <w:pPr>
              <w:spacing w:after="120"/>
            </w:pPr>
            <w:r w:rsidRPr="006B356D">
              <w:rPr>
                <w:b/>
                <w:i/>
              </w:rPr>
              <w:t>Key impacts on EC:</w:t>
            </w:r>
            <w:r>
              <w:t xml:space="preserve"> loss of complex </w:t>
            </w:r>
            <w:r w:rsidR="00756F32">
              <w:t xml:space="preserve">structural </w:t>
            </w:r>
            <w:r>
              <w:t>habitat; loss of biodiversity; loss of production; loss of nutrient cycling</w:t>
            </w:r>
            <w:r w:rsidR="009B7739">
              <w:t xml:space="preserve">; climate change impacts </w:t>
            </w:r>
            <w:r w:rsidR="007C6E45">
              <w:t>exacerbated (e.g. heat, drying, flood impacts)</w:t>
            </w:r>
          </w:p>
          <w:p w14:paraId="76DE49BD" w14:textId="36CC348D" w:rsidR="00B05493" w:rsidRPr="00B05493" w:rsidRDefault="00B05493" w:rsidP="00742334">
            <w:pPr>
              <w:rPr>
                <w:u w:val="single"/>
              </w:rPr>
            </w:pPr>
            <w:r w:rsidRPr="001F374C">
              <w:rPr>
                <w:b/>
                <w:i/>
              </w:rPr>
              <w:t>Indicative conservation status within th</w:t>
            </w:r>
            <w:r w:rsidR="000601A4">
              <w:rPr>
                <w:b/>
                <w:i/>
              </w:rPr>
              <w:t xml:space="preserve">e RMDS </w:t>
            </w:r>
            <w:r w:rsidRPr="001F374C">
              <w:rPr>
                <w:b/>
                <w:i/>
              </w:rPr>
              <w:t>EC:</w:t>
            </w:r>
            <w:r>
              <w:t xml:space="preserve"> Endangered</w:t>
            </w:r>
          </w:p>
        </w:tc>
      </w:tr>
    </w:tbl>
    <w:p w14:paraId="5AFC9FBF" w14:textId="77777777" w:rsidR="00B05493" w:rsidRPr="002335A2" w:rsidRDefault="00B05493" w:rsidP="00742334">
      <w:pPr>
        <w:rPr>
          <w:b/>
          <w:sz w:val="16"/>
          <w:szCs w:val="16"/>
        </w:rPr>
      </w:pPr>
    </w:p>
    <w:p w14:paraId="7461D8F7" w14:textId="36B89FA8" w:rsidR="006236E5" w:rsidRPr="006236E5" w:rsidRDefault="001B4E32" w:rsidP="00A2521C">
      <w:pPr>
        <w:pStyle w:val="Heading5"/>
      </w:pPr>
      <w:r>
        <w:t>W</w:t>
      </w:r>
      <w:r w:rsidR="006236E5" w:rsidRPr="006236E5">
        <w:t>oody species</w:t>
      </w:r>
      <w:r>
        <w:t xml:space="preserve"> dominance and composition</w:t>
      </w:r>
    </w:p>
    <w:p w14:paraId="44AB6450" w14:textId="394AEADB" w:rsidR="0088639A" w:rsidRDefault="00CE3846" w:rsidP="000E4636">
      <w:pPr>
        <w:contextualSpacing/>
      </w:pPr>
      <w:r w:rsidRPr="005B7AA3">
        <w:t xml:space="preserve">The dominant riparian-floodplain </w:t>
      </w:r>
      <w:r w:rsidR="005A7307">
        <w:t xml:space="preserve">large tree </w:t>
      </w:r>
      <w:r w:rsidRPr="005B7AA3">
        <w:t xml:space="preserve">species in the ecological community are </w:t>
      </w:r>
      <w:r>
        <w:rPr>
          <w:i/>
        </w:rPr>
        <w:t xml:space="preserve">Eucalyptus </w:t>
      </w:r>
      <w:r w:rsidRPr="005B7AA3">
        <w:rPr>
          <w:i/>
        </w:rPr>
        <w:t>camaldulensis</w:t>
      </w:r>
      <w:r w:rsidR="00C57444">
        <w:rPr>
          <w:i/>
        </w:rPr>
        <w:t xml:space="preserve"> </w:t>
      </w:r>
      <w:r w:rsidRPr="005B7AA3">
        <w:t xml:space="preserve">(river red gum) </w:t>
      </w:r>
      <w:r>
        <w:t xml:space="preserve">and </w:t>
      </w:r>
      <w:r>
        <w:rPr>
          <w:i/>
        </w:rPr>
        <w:t>E.</w:t>
      </w:r>
      <w:r w:rsidRPr="005B7AA3">
        <w:rPr>
          <w:i/>
        </w:rPr>
        <w:t xml:space="preserve"> largiflorens</w:t>
      </w:r>
      <w:r w:rsidRPr="005B7AA3">
        <w:t xml:space="preserve"> (black box)</w:t>
      </w:r>
      <w:r>
        <w:t xml:space="preserve">; </w:t>
      </w:r>
      <w:r w:rsidRPr="005B7AA3">
        <w:rPr>
          <w:i/>
        </w:rPr>
        <w:t>Acacia stenophylla</w:t>
      </w:r>
      <w:r w:rsidRPr="005B7AA3">
        <w:t xml:space="preserve"> (river cooba) </w:t>
      </w:r>
      <w:r>
        <w:t xml:space="preserve">is </w:t>
      </w:r>
      <w:r w:rsidRPr="005B7AA3">
        <w:t>also common</w:t>
      </w:r>
      <w:r w:rsidR="00AF667D">
        <w:t xml:space="preserve"> as a canopy tree</w:t>
      </w:r>
      <w:r w:rsidR="00041C4C">
        <w:t xml:space="preserve"> (or large shrub)</w:t>
      </w:r>
      <w:r w:rsidR="001601F2">
        <w:t>,</w:t>
      </w:r>
      <w:r w:rsidRPr="005B7AA3">
        <w:t xml:space="preserve"> in places. </w:t>
      </w:r>
      <w:r w:rsidR="004660FE">
        <w:t xml:space="preserve"> </w:t>
      </w:r>
      <w:r w:rsidR="00E07EC6">
        <w:t>Tree c</w:t>
      </w:r>
      <w:r w:rsidR="00233340">
        <w:t>overage of the vegetated area on the floodplain in 2002–2003 was estimated as</w:t>
      </w:r>
      <w:r w:rsidR="001B4E32">
        <w:t>:</w:t>
      </w:r>
      <w:r w:rsidR="00233340">
        <w:t xml:space="preserve"> 38% black box, 26% river red gum, and 10% river cooba</w:t>
      </w:r>
      <w:r w:rsidR="003E1EFE">
        <w:t>, which remains broadly accurate</w:t>
      </w:r>
      <w:r w:rsidR="00233340">
        <w:t xml:space="preserve"> (Smith </w:t>
      </w:r>
      <w:r w:rsidR="00E10AC5">
        <w:t>&amp;</w:t>
      </w:r>
      <w:r w:rsidR="00233340">
        <w:t xml:space="preserve"> Kenny 2005; Holland et al. 2009</w:t>
      </w:r>
      <w:r w:rsidR="00E10AC5">
        <w:t xml:space="preserve">; </w:t>
      </w:r>
      <w:r w:rsidR="00E07EC6" w:rsidRPr="002A0504">
        <w:t>DEW</w:t>
      </w:r>
      <w:r w:rsidR="0024415B" w:rsidRPr="002A0504">
        <w:t xml:space="preserve"> </w:t>
      </w:r>
      <w:r w:rsidR="00447FC6" w:rsidRPr="002A0504">
        <w:t>2020c,</w:t>
      </w:r>
      <w:r w:rsidR="0038161D" w:rsidRPr="002A0504">
        <w:t xml:space="preserve"> </w:t>
      </w:r>
      <w:r w:rsidR="0024415B" w:rsidRPr="002A0504">
        <w:t>2023c</w:t>
      </w:r>
      <w:r w:rsidR="00233340">
        <w:t xml:space="preserve">). </w:t>
      </w:r>
      <w:r w:rsidR="008C5D0A">
        <w:t xml:space="preserve">The two </w:t>
      </w:r>
      <w:r w:rsidR="00FD3A9A">
        <w:t xml:space="preserve">keystone </w:t>
      </w:r>
      <w:r w:rsidR="008C5D0A">
        <w:t>eucalypt</w:t>
      </w:r>
      <w:r w:rsidR="00E94CD2">
        <w:t xml:space="preserve"> species</w:t>
      </w:r>
      <w:r w:rsidR="008C5D0A">
        <w:t xml:space="preserve"> are </w:t>
      </w:r>
      <w:r w:rsidR="00B82653">
        <w:t xml:space="preserve">essential </w:t>
      </w:r>
      <w:r w:rsidR="00CC236E">
        <w:t>ecosystem engineers</w:t>
      </w:r>
      <w:r w:rsidR="001F0B5B">
        <w:t>, forming woodland and forest</w:t>
      </w:r>
      <w:r w:rsidR="00CC236E">
        <w:t xml:space="preserve"> within the ecological community</w:t>
      </w:r>
      <w:r w:rsidR="00FD3A9A">
        <w:t xml:space="preserve"> (</w:t>
      </w:r>
      <w:r w:rsidR="006E26D4">
        <w:t xml:space="preserve">e.g. </w:t>
      </w:r>
      <w:r w:rsidR="00FD3A9A">
        <w:t>Doody et al. 2021</w:t>
      </w:r>
      <w:r w:rsidR="006E26D4">
        <w:t>)</w:t>
      </w:r>
      <w:r w:rsidR="00CC236E">
        <w:t xml:space="preserve">. They are </w:t>
      </w:r>
      <w:r w:rsidR="008C5D0A">
        <w:t>long-</w:t>
      </w:r>
      <w:r w:rsidR="008C5D0A" w:rsidRPr="005B7AA3">
        <w:t>lived</w:t>
      </w:r>
      <w:r w:rsidR="00901C4B">
        <w:t xml:space="preserve">, </w:t>
      </w:r>
      <w:r w:rsidR="008C5D0A">
        <w:t xml:space="preserve">potentially hundreds of years, </w:t>
      </w:r>
      <w:r w:rsidR="00901C4B">
        <w:t>and take 20-30 year</w:t>
      </w:r>
      <w:r w:rsidR="006236E5">
        <w:t>s</w:t>
      </w:r>
      <w:r w:rsidR="00901C4B">
        <w:t xml:space="preserve"> to reach maturity (Overton et al. 2018). </w:t>
      </w:r>
      <w:r w:rsidR="00490198">
        <w:t xml:space="preserve">These trees </w:t>
      </w:r>
      <w:r w:rsidR="008C5D0A">
        <w:t>contribut</w:t>
      </w:r>
      <w:r w:rsidR="00CC236E">
        <w:t>e</w:t>
      </w:r>
      <w:r w:rsidR="008C5D0A" w:rsidRPr="005B7AA3">
        <w:t xml:space="preserve"> to habitat complex</w:t>
      </w:r>
      <w:r w:rsidR="008C5D0A">
        <w:t>ity</w:t>
      </w:r>
      <w:r w:rsidR="00CC236E">
        <w:t xml:space="preserve"> in many ways</w:t>
      </w:r>
      <w:r w:rsidR="008C5D0A">
        <w:t>, influenc</w:t>
      </w:r>
      <w:r w:rsidR="00CC236E">
        <w:t xml:space="preserve">e </w:t>
      </w:r>
      <w:r w:rsidR="008C5D0A">
        <w:t>local hydrology and micro-climates, and provid</w:t>
      </w:r>
      <w:r w:rsidR="00CC236E">
        <w:t>e</w:t>
      </w:r>
      <w:r w:rsidR="008C5D0A">
        <w:t xml:space="preserve"> food for many </w:t>
      </w:r>
      <w:r w:rsidR="008C5D0A" w:rsidRPr="005B7AA3">
        <w:t>organisms</w:t>
      </w:r>
      <w:r w:rsidR="008C5D0A">
        <w:t>, including important pollinators (R</w:t>
      </w:r>
      <w:r w:rsidR="008C5D0A" w:rsidRPr="005B7AA3">
        <w:t>obertson et al. 2001</w:t>
      </w:r>
      <w:r w:rsidR="008C5D0A">
        <w:t>; MDBC 2003a; Wallace 2009</w:t>
      </w:r>
      <w:r w:rsidR="008C5D0A" w:rsidRPr="005B7AA3">
        <w:t>).</w:t>
      </w:r>
      <w:r w:rsidR="00B82653">
        <w:t xml:space="preserve"> </w:t>
      </w:r>
    </w:p>
    <w:p w14:paraId="48FD9196" w14:textId="571568F7" w:rsidR="000E4636" w:rsidRPr="000E4636" w:rsidRDefault="000E4636" w:rsidP="00A2521C">
      <w:pPr>
        <w:pStyle w:val="Heading5"/>
      </w:pPr>
      <w:r w:rsidRPr="000E4636">
        <w:t>Red gum</w:t>
      </w:r>
    </w:p>
    <w:p w14:paraId="27FE11B5" w14:textId="77777777" w:rsidR="00FA2E0A" w:rsidRDefault="001F2AC6" w:rsidP="000E4636">
      <w:pPr>
        <w:contextualSpacing/>
      </w:pPr>
      <w:r>
        <w:t xml:space="preserve">Lower floodplain and riparian habitats are dominated by river red gum woodland and forest, where they grow in areas subject to flooding (George et al. 2005; Doody et al. 2014). </w:t>
      </w:r>
      <w:r w:rsidR="00BD2A86">
        <w:t xml:space="preserve">River red gums are long-lived, with estimates of 100-950 years (Ogden 1978 in Roberts &amp; Marston 2000). Their wood is particularly durable and resistant to decay, needing an estimated 375 y to lose 95% of initial mass (Mackensen et al. 2003 in Roberts &amp; Marston 2000). These trees contribute to important submerged habitat, with instream woody habitat (IWH) important for fish shelter, velocity refuge, and breeding—for both juveniles and adults (Crook &amp; Robertson 1999; Humphries et al 2019; Koster et al. 2019; Koehn et al. 2020). </w:t>
      </w:r>
    </w:p>
    <w:p w14:paraId="0FCFA515" w14:textId="77777777" w:rsidR="00FA2E0A" w:rsidRDefault="00FA2E0A" w:rsidP="000E4636">
      <w:pPr>
        <w:contextualSpacing/>
      </w:pPr>
    </w:p>
    <w:p w14:paraId="180FA62E" w14:textId="77777777" w:rsidR="00533385" w:rsidRDefault="004574AF" w:rsidP="000E4636">
      <w:pPr>
        <w:contextualSpacing/>
        <w:sectPr w:rsidR="00533385" w:rsidSect="00143D3C">
          <w:pgSz w:w="11906" w:h="16838"/>
          <w:pgMar w:top="1134" w:right="1418" w:bottom="1134" w:left="1418" w:header="454" w:footer="454" w:gutter="0"/>
          <w:cols w:space="708"/>
          <w:docGrid w:linePitch="360"/>
        </w:sectPr>
      </w:pPr>
      <w:r>
        <w:t xml:space="preserve">River red gum </w:t>
      </w:r>
      <w:r w:rsidR="00255AE7">
        <w:t xml:space="preserve">and their hollows </w:t>
      </w:r>
      <w:r w:rsidR="00F87A0C">
        <w:t>provid</w:t>
      </w:r>
      <w:r>
        <w:t>e</w:t>
      </w:r>
      <w:r w:rsidR="00F87A0C">
        <w:t xml:space="preserve"> habitat to a range of terrestrial, aquatic and amphibious fauna. </w:t>
      </w:r>
      <w:r>
        <w:t>In addition, t</w:t>
      </w:r>
      <w:r w:rsidR="00CC236E">
        <w:t xml:space="preserve">he </w:t>
      </w:r>
      <w:r w:rsidR="008C5D0A">
        <w:t xml:space="preserve">leaves </w:t>
      </w:r>
      <w:r w:rsidR="00BD2A86">
        <w:t xml:space="preserve">of river red gums </w:t>
      </w:r>
      <w:r w:rsidR="008C5D0A">
        <w:t xml:space="preserve">are shed continuously, slow to decompose, and support nutritious biofilms for grazing snails and other aquatic species (Schulze </w:t>
      </w:r>
      <w:r w:rsidR="005F5EC0">
        <w:t xml:space="preserve">&amp; </w:t>
      </w:r>
      <w:r w:rsidR="008C5D0A">
        <w:t xml:space="preserve">Walker 1997). </w:t>
      </w:r>
      <w:r w:rsidR="003D5DA2">
        <w:t>These trees can also moderate river temperatures by shading (Roberts &amp; Mars</w:t>
      </w:r>
      <w:r w:rsidR="00E31432">
        <w:t>ton 2011).</w:t>
      </w:r>
    </w:p>
    <w:p w14:paraId="1EDF022E" w14:textId="113C7061" w:rsidR="00094619" w:rsidRDefault="00B12F0D" w:rsidP="00B12F0D">
      <w:pPr>
        <w:pStyle w:val="Caption"/>
      </w:pPr>
      <w:bookmarkStart w:id="263" w:name="_Toc232747210"/>
      <w:bookmarkStart w:id="264" w:name="_Toc232747286"/>
      <w:bookmarkStart w:id="265" w:name="_Toc232747529"/>
      <w:r>
        <w:lastRenderedPageBreak/>
        <w:t xml:space="preserve">Table </w:t>
      </w:r>
      <w:r>
        <w:fldChar w:fldCharType="begin"/>
      </w:r>
      <w:r>
        <w:instrText xml:space="preserve"> SEQ Table \* ARABIC </w:instrText>
      </w:r>
      <w:r>
        <w:fldChar w:fldCharType="separate"/>
      </w:r>
      <w:r w:rsidR="006D35C5">
        <w:rPr>
          <w:noProof/>
        </w:rPr>
        <w:t>27</w:t>
      </w:r>
      <w:r>
        <w:fldChar w:fldCharType="end"/>
      </w:r>
      <w:r w:rsidR="00094619" w:rsidRPr="00A11C2F">
        <w:rPr>
          <w:bCs/>
        </w:rPr>
        <w:t xml:space="preserve">: Surveys of river red gum </w:t>
      </w:r>
      <w:r w:rsidR="006E255E">
        <w:rPr>
          <w:bCs/>
        </w:rPr>
        <w:t>(RRG) &amp;</w:t>
      </w:r>
      <w:r w:rsidR="00094619" w:rsidRPr="00A11C2F">
        <w:rPr>
          <w:bCs/>
        </w:rPr>
        <w:t xml:space="preserve"> black box </w:t>
      </w:r>
      <w:r w:rsidR="006E255E">
        <w:rPr>
          <w:bCs/>
        </w:rPr>
        <w:t>(BB)</w:t>
      </w:r>
      <w:r w:rsidR="002F42DB">
        <w:rPr>
          <w:bCs/>
        </w:rPr>
        <w:t xml:space="preserve"> </w:t>
      </w:r>
      <w:r w:rsidR="00094619" w:rsidRPr="00A11C2F">
        <w:rPr>
          <w:bCs/>
        </w:rPr>
        <w:t xml:space="preserve">on the </w:t>
      </w:r>
      <w:r w:rsidR="002F42DB">
        <w:rPr>
          <w:bCs/>
        </w:rPr>
        <w:t>Murray</w:t>
      </w:r>
      <w:r w:rsidR="006E255E">
        <w:rPr>
          <w:bCs/>
        </w:rPr>
        <w:t xml:space="preserve"> </w:t>
      </w:r>
      <w:r w:rsidR="00094619" w:rsidRPr="00A11C2F">
        <w:rPr>
          <w:bCs/>
        </w:rPr>
        <w:t>floodplain</w:t>
      </w:r>
      <w:bookmarkEnd w:id="263"/>
      <w:bookmarkEnd w:id="264"/>
      <w:bookmarkEnd w:id="265"/>
      <w:r w:rsidR="006E255E">
        <w:rPr>
          <w:bCs/>
        </w:rPr>
        <w:t>.</w:t>
      </w:r>
    </w:p>
    <w:tbl>
      <w:tblPr>
        <w:tblStyle w:val="TableGrid"/>
        <w:tblW w:w="5341" w:type="pct"/>
        <w:tblInd w:w="-147" w:type="dxa"/>
        <w:tblLook w:val="04A0" w:firstRow="1" w:lastRow="0" w:firstColumn="1" w:lastColumn="0" w:noHBand="0" w:noVBand="1"/>
      </w:tblPr>
      <w:tblGrid>
        <w:gridCol w:w="2269"/>
        <w:gridCol w:w="3685"/>
        <w:gridCol w:w="2552"/>
        <w:gridCol w:w="1415"/>
      </w:tblGrid>
      <w:tr w:rsidR="00F97E7E" w:rsidRPr="0017007A" w14:paraId="291A1769" w14:textId="77777777" w:rsidTr="003219AB">
        <w:trPr>
          <w:tblHeader/>
        </w:trPr>
        <w:tc>
          <w:tcPr>
            <w:tcW w:w="1144" w:type="pct"/>
            <w:shd w:val="clear" w:color="auto" w:fill="D9D9D9" w:themeFill="background1" w:themeFillShade="D9"/>
            <w:vAlign w:val="center"/>
          </w:tcPr>
          <w:p w14:paraId="2E452A56" w14:textId="77777777" w:rsidR="00DA2110" w:rsidRPr="0017007A" w:rsidRDefault="00DA2110" w:rsidP="00533385">
            <w:pPr>
              <w:pStyle w:val="tableheadertext"/>
              <w:keepNext w:val="0"/>
            </w:pPr>
            <w:r w:rsidRPr="0017007A">
              <w:t>Survey</w:t>
            </w:r>
          </w:p>
        </w:tc>
        <w:tc>
          <w:tcPr>
            <w:tcW w:w="1857" w:type="pct"/>
            <w:shd w:val="clear" w:color="auto" w:fill="D9D9D9" w:themeFill="background1" w:themeFillShade="D9"/>
            <w:vAlign w:val="center"/>
          </w:tcPr>
          <w:p w14:paraId="2E760381" w14:textId="77777777" w:rsidR="00DA2110" w:rsidRPr="0017007A" w:rsidRDefault="00DA2110" w:rsidP="00533385">
            <w:pPr>
              <w:pStyle w:val="tableheadertext"/>
              <w:keepNext w:val="0"/>
            </w:pPr>
            <w:r w:rsidRPr="0017007A">
              <w:t>Result</w:t>
            </w:r>
          </w:p>
        </w:tc>
        <w:tc>
          <w:tcPr>
            <w:tcW w:w="1286" w:type="pct"/>
            <w:shd w:val="clear" w:color="auto" w:fill="D9D9D9" w:themeFill="background1" w:themeFillShade="D9"/>
            <w:vAlign w:val="center"/>
          </w:tcPr>
          <w:p w14:paraId="007149AD" w14:textId="77777777" w:rsidR="00DA2110" w:rsidRPr="0017007A" w:rsidRDefault="00DA2110" w:rsidP="00533385">
            <w:pPr>
              <w:pStyle w:val="tableheadertext"/>
              <w:keepNext w:val="0"/>
            </w:pPr>
            <w:r w:rsidRPr="0017007A">
              <w:t>Comment</w:t>
            </w:r>
          </w:p>
        </w:tc>
        <w:tc>
          <w:tcPr>
            <w:tcW w:w="713" w:type="pct"/>
            <w:shd w:val="clear" w:color="auto" w:fill="D9D9D9" w:themeFill="background1" w:themeFillShade="D9"/>
            <w:vAlign w:val="center"/>
          </w:tcPr>
          <w:p w14:paraId="15243536" w14:textId="147AB08C" w:rsidR="00DA2110" w:rsidRPr="00CD5901" w:rsidRDefault="00DA2110" w:rsidP="00533385">
            <w:pPr>
              <w:pStyle w:val="tableheadertext"/>
              <w:keepNext w:val="0"/>
            </w:pPr>
            <w:r w:rsidRPr="00CD5901">
              <w:t>Reference</w:t>
            </w:r>
            <w:r w:rsidR="005F1560" w:rsidRPr="00CD5901">
              <w:t>s</w:t>
            </w:r>
          </w:p>
        </w:tc>
      </w:tr>
      <w:tr w:rsidR="001215B7" w:rsidRPr="0017007A" w14:paraId="524A2C4A" w14:textId="77777777" w:rsidTr="003219AB">
        <w:tc>
          <w:tcPr>
            <w:tcW w:w="1144" w:type="pct"/>
          </w:tcPr>
          <w:p w14:paraId="6900DE5D" w14:textId="77777777" w:rsidR="00DA2110" w:rsidRPr="0017007A" w:rsidRDefault="00DA2110" w:rsidP="00533385">
            <w:pPr>
              <w:spacing w:before="80" w:after="80" w:line="240" w:lineRule="auto"/>
              <w:rPr>
                <w:sz w:val="20"/>
                <w:szCs w:val="20"/>
              </w:rPr>
            </w:pPr>
            <w:r w:rsidRPr="0017007A">
              <w:rPr>
                <w:sz w:val="20"/>
                <w:szCs w:val="20"/>
              </w:rPr>
              <w:t>Entire River Murray floodplain</w:t>
            </w:r>
          </w:p>
        </w:tc>
        <w:tc>
          <w:tcPr>
            <w:tcW w:w="1857" w:type="pct"/>
          </w:tcPr>
          <w:p w14:paraId="615F755B" w14:textId="77777777" w:rsidR="00DA2110" w:rsidRPr="0017007A" w:rsidRDefault="00DA2110"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 xml:space="preserve">79% (by area) dieback of river red gum </w:t>
            </w:r>
          </w:p>
        </w:tc>
        <w:tc>
          <w:tcPr>
            <w:tcW w:w="1286" w:type="pct"/>
          </w:tcPr>
          <w:p w14:paraId="262604DE" w14:textId="1DB04F34" w:rsidR="00DA2110" w:rsidRPr="0017007A" w:rsidRDefault="00DA2110" w:rsidP="00533385">
            <w:pPr>
              <w:pStyle w:val="ListParagraph"/>
              <w:numPr>
                <w:ilvl w:val="0"/>
                <w:numId w:val="51"/>
              </w:numPr>
              <w:spacing w:before="80" w:after="80" w:line="240" w:lineRule="auto"/>
              <w:ind w:left="175" w:hanging="175"/>
              <w:contextualSpacing w:val="0"/>
              <w:rPr>
                <w:sz w:val="20"/>
                <w:szCs w:val="20"/>
              </w:rPr>
            </w:pPr>
            <w:r w:rsidRPr="0017007A">
              <w:rPr>
                <w:sz w:val="20"/>
                <w:szCs w:val="20"/>
              </w:rPr>
              <w:t>lack of large floods, soil salini</w:t>
            </w:r>
            <w:r w:rsidR="0047565D" w:rsidRPr="0017007A">
              <w:rPr>
                <w:sz w:val="20"/>
                <w:szCs w:val="20"/>
              </w:rPr>
              <w:t>ty</w:t>
            </w:r>
            <w:r w:rsidRPr="0017007A">
              <w:rPr>
                <w:sz w:val="20"/>
                <w:szCs w:val="20"/>
              </w:rPr>
              <w:t>, climate ch</w:t>
            </w:r>
            <w:r w:rsidR="0047565D" w:rsidRPr="0017007A">
              <w:rPr>
                <w:sz w:val="20"/>
                <w:szCs w:val="20"/>
              </w:rPr>
              <w:t>ange</w:t>
            </w:r>
          </w:p>
        </w:tc>
        <w:tc>
          <w:tcPr>
            <w:tcW w:w="713" w:type="pct"/>
          </w:tcPr>
          <w:p w14:paraId="1B958634" w14:textId="12FF4A0C" w:rsidR="00DA2110" w:rsidRPr="00EF54D6" w:rsidRDefault="00DA2110" w:rsidP="00533385">
            <w:pPr>
              <w:pStyle w:val="Tabletext"/>
              <w:rPr>
                <w:szCs w:val="18"/>
              </w:rPr>
            </w:pPr>
            <w:r w:rsidRPr="00EF54D6">
              <w:rPr>
                <w:szCs w:val="18"/>
              </w:rPr>
              <w:t>MacNally et al. 2011.</w:t>
            </w:r>
          </w:p>
        </w:tc>
      </w:tr>
      <w:tr w:rsidR="001215B7" w:rsidRPr="0017007A" w14:paraId="37032503" w14:textId="77777777" w:rsidTr="003219AB">
        <w:tc>
          <w:tcPr>
            <w:tcW w:w="1144" w:type="pct"/>
          </w:tcPr>
          <w:p w14:paraId="029203F4" w14:textId="77777777" w:rsidR="00DA2110" w:rsidRPr="0017007A" w:rsidRDefault="00DA2110" w:rsidP="00533385">
            <w:pPr>
              <w:spacing w:before="80" w:after="80" w:line="240" w:lineRule="auto"/>
              <w:rPr>
                <w:sz w:val="20"/>
                <w:szCs w:val="20"/>
              </w:rPr>
            </w:pPr>
            <w:r w:rsidRPr="0017007A">
              <w:rPr>
                <w:sz w:val="20"/>
                <w:szCs w:val="20"/>
              </w:rPr>
              <w:t>SA River Murray floodplain below Darling</w:t>
            </w:r>
          </w:p>
          <w:p w14:paraId="5638A358" w14:textId="77777777" w:rsidR="00AD437E" w:rsidRDefault="00DA2110" w:rsidP="00533385">
            <w:pPr>
              <w:spacing w:before="80" w:after="80" w:line="240" w:lineRule="auto"/>
              <w:rPr>
                <w:sz w:val="20"/>
                <w:szCs w:val="20"/>
              </w:rPr>
            </w:pPr>
            <w:r w:rsidRPr="0017007A">
              <w:rPr>
                <w:sz w:val="20"/>
                <w:szCs w:val="20"/>
              </w:rPr>
              <w:t xml:space="preserve">1987-1988               </w:t>
            </w:r>
          </w:p>
          <w:p w14:paraId="36AE5ECA" w14:textId="011D259D" w:rsidR="00DA2110" w:rsidRPr="0017007A" w:rsidRDefault="00DA2110" w:rsidP="00533385">
            <w:pPr>
              <w:spacing w:before="80" w:after="80" w:line="240" w:lineRule="auto"/>
              <w:rPr>
                <w:sz w:val="20"/>
                <w:szCs w:val="20"/>
              </w:rPr>
            </w:pPr>
            <w:r w:rsidRPr="0017007A">
              <w:rPr>
                <w:sz w:val="20"/>
                <w:szCs w:val="20"/>
              </w:rPr>
              <w:t>(355 sample plots)</w:t>
            </w:r>
          </w:p>
        </w:tc>
        <w:tc>
          <w:tcPr>
            <w:tcW w:w="1857" w:type="pct"/>
          </w:tcPr>
          <w:p w14:paraId="5A77393C" w14:textId="7777777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 xml:space="preserve">60% trees healthy </w:t>
            </w:r>
          </w:p>
          <w:p w14:paraId="458C456B" w14:textId="7186674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18% unhealthy (&gt;40% canopy dead)</w:t>
            </w:r>
            <w:r w:rsidR="00B747C3" w:rsidRPr="0017007A">
              <w:rPr>
                <w:sz w:val="20"/>
                <w:szCs w:val="20"/>
              </w:rPr>
              <w:t xml:space="preserve">; </w:t>
            </w:r>
            <w:r w:rsidRPr="0017007A">
              <w:rPr>
                <w:sz w:val="20"/>
                <w:szCs w:val="20"/>
              </w:rPr>
              <w:t xml:space="preserve">22% dead </w:t>
            </w:r>
          </w:p>
          <w:p w14:paraId="314FF9B5" w14:textId="7777777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unhealthy or dead (44% black box; 29% red gum)</w:t>
            </w:r>
          </w:p>
        </w:tc>
        <w:tc>
          <w:tcPr>
            <w:tcW w:w="1286" w:type="pct"/>
          </w:tcPr>
          <w:p w14:paraId="642B5471" w14:textId="7777777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regulation, lack of flooding, over extraction of water</w:t>
            </w:r>
          </w:p>
          <w:p w14:paraId="6D535C06" w14:textId="7777777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poor regeneration</w:t>
            </w:r>
          </w:p>
          <w:p w14:paraId="31FE3E61" w14:textId="77777777" w:rsidR="00DA2110" w:rsidRPr="0017007A" w:rsidRDefault="00DA2110" w:rsidP="00533385">
            <w:pPr>
              <w:pStyle w:val="ListParagraph"/>
              <w:numPr>
                <w:ilvl w:val="0"/>
                <w:numId w:val="51"/>
              </w:numPr>
              <w:spacing w:before="60" w:after="60" w:line="240" w:lineRule="auto"/>
              <w:ind w:left="176" w:hanging="176"/>
              <w:contextualSpacing w:val="0"/>
              <w:rPr>
                <w:sz w:val="20"/>
                <w:szCs w:val="20"/>
              </w:rPr>
            </w:pPr>
            <w:r w:rsidRPr="0017007A">
              <w:rPr>
                <w:sz w:val="20"/>
                <w:szCs w:val="20"/>
              </w:rPr>
              <w:t>weeds, soil salination</w:t>
            </w:r>
          </w:p>
        </w:tc>
        <w:tc>
          <w:tcPr>
            <w:tcW w:w="713" w:type="pct"/>
          </w:tcPr>
          <w:p w14:paraId="01ABCDCF" w14:textId="77777777" w:rsidR="00DA2110" w:rsidRPr="00EF54D6" w:rsidRDefault="00DA2110" w:rsidP="00533385">
            <w:pPr>
              <w:pStyle w:val="Tabletext"/>
              <w:rPr>
                <w:szCs w:val="18"/>
              </w:rPr>
            </w:pPr>
            <w:r w:rsidRPr="00EF54D6">
              <w:rPr>
                <w:szCs w:val="18"/>
              </w:rPr>
              <w:t>Smith &amp; Smith 2014</w:t>
            </w:r>
          </w:p>
        </w:tc>
      </w:tr>
      <w:tr w:rsidR="001215B7" w:rsidRPr="0017007A" w14:paraId="343EEF74" w14:textId="77777777" w:rsidTr="003219AB">
        <w:tc>
          <w:tcPr>
            <w:tcW w:w="1144" w:type="pct"/>
          </w:tcPr>
          <w:p w14:paraId="7A594026" w14:textId="77777777" w:rsidR="00DA2110" w:rsidRPr="0017007A" w:rsidRDefault="00DA2110" w:rsidP="00533385">
            <w:pPr>
              <w:spacing w:before="80" w:after="80" w:line="240" w:lineRule="auto"/>
              <w:rPr>
                <w:sz w:val="20"/>
                <w:szCs w:val="20"/>
              </w:rPr>
            </w:pPr>
            <w:r w:rsidRPr="0017007A">
              <w:rPr>
                <w:sz w:val="20"/>
                <w:szCs w:val="20"/>
              </w:rPr>
              <w:t>SA River Murray various surveys</w:t>
            </w:r>
          </w:p>
          <w:p w14:paraId="4CFEF514" w14:textId="77777777" w:rsidR="00DA2110" w:rsidRPr="0017007A" w:rsidRDefault="00DA2110" w:rsidP="00533385">
            <w:pPr>
              <w:spacing w:before="80" w:after="80" w:line="240" w:lineRule="auto"/>
              <w:rPr>
                <w:sz w:val="20"/>
                <w:szCs w:val="20"/>
              </w:rPr>
            </w:pPr>
            <w:r w:rsidRPr="0017007A">
              <w:rPr>
                <w:sz w:val="20"/>
                <w:szCs w:val="20"/>
              </w:rPr>
              <w:t>2002-2003</w:t>
            </w:r>
          </w:p>
          <w:p w14:paraId="6C0CE318" w14:textId="77777777" w:rsidR="00DA2110" w:rsidRPr="0017007A" w:rsidRDefault="00DA2110" w:rsidP="00533385">
            <w:pPr>
              <w:spacing w:before="80" w:after="80" w:line="240" w:lineRule="auto"/>
              <w:rPr>
                <w:sz w:val="20"/>
                <w:szCs w:val="20"/>
              </w:rPr>
            </w:pPr>
          </w:p>
        </w:tc>
        <w:tc>
          <w:tcPr>
            <w:tcW w:w="1857" w:type="pct"/>
          </w:tcPr>
          <w:p w14:paraId="4570FFF6" w14:textId="720E3E9E" w:rsidR="00DA2110" w:rsidRPr="0017007A" w:rsidRDefault="00DA2110"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49% river red gum, 62% black box, 50% river cooba unhealthy or dead</w:t>
            </w:r>
          </w:p>
          <w:p w14:paraId="36C6D727" w14:textId="496F458F" w:rsidR="00E97143" w:rsidRPr="0017007A" w:rsidRDefault="00F40CE1"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Wentworth to Renmark, half of all trees stressed or dead</w:t>
            </w:r>
          </w:p>
          <w:p w14:paraId="1B185E1B" w14:textId="77777777" w:rsidR="00DA2110" w:rsidRPr="0017007A" w:rsidRDefault="00DA2110"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40 - 100% of riparian overstorey stressed, dying or dead</w:t>
            </w:r>
          </w:p>
          <w:p w14:paraId="10DEEE34" w14:textId="77777777" w:rsidR="00DA2110" w:rsidRPr="0017007A" w:rsidRDefault="00DA2110"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11% of river red gum and 12% of black box dead across 337 sites</w:t>
            </w:r>
          </w:p>
          <w:p w14:paraId="536503CD" w14:textId="77777777" w:rsidR="00DA2110" w:rsidRPr="0017007A" w:rsidRDefault="00DA2110"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80% of trees stressed to some degree; 20-30% severely stressed</w:t>
            </w:r>
          </w:p>
        </w:tc>
        <w:tc>
          <w:tcPr>
            <w:tcW w:w="1286" w:type="pct"/>
          </w:tcPr>
          <w:p w14:paraId="654FB12D" w14:textId="77777777" w:rsidR="00DA2110" w:rsidRPr="0017007A" w:rsidRDefault="00DA2110" w:rsidP="00533385">
            <w:pPr>
              <w:pStyle w:val="ListParagraph"/>
              <w:numPr>
                <w:ilvl w:val="0"/>
                <w:numId w:val="51"/>
              </w:numPr>
              <w:spacing w:before="80" w:after="80" w:line="240" w:lineRule="auto"/>
              <w:ind w:left="175" w:hanging="175"/>
              <w:contextualSpacing w:val="0"/>
              <w:rPr>
                <w:sz w:val="20"/>
                <w:szCs w:val="20"/>
              </w:rPr>
            </w:pPr>
            <w:r w:rsidRPr="0017007A">
              <w:rPr>
                <w:sz w:val="20"/>
                <w:szCs w:val="20"/>
              </w:rPr>
              <w:t>lack of flooding, saline groundwater</w:t>
            </w:r>
          </w:p>
          <w:p w14:paraId="3D4D0628" w14:textId="77777777" w:rsidR="00DA2110" w:rsidRPr="0017007A" w:rsidRDefault="00DA2110" w:rsidP="00533385">
            <w:pPr>
              <w:pStyle w:val="ListParagraph"/>
              <w:numPr>
                <w:ilvl w:val="0"/>
                <w:numId w:val="51"/>
              </w:numPr>
              <w:spacing w:before="80" w:after="80" w:line="240" w:lineRule="auto"/>
              <w:ind w:left="175" w:hanging="175"/>
              <w:contextualSpacing w:val="0"/>
              <w:rPr>
                <w:sz w:val="20"/>
                <w:szCs w:val="20"/>
              </w:rPr>
            </w:pPr>
            <w:r w:rsidRPr="0017007A">
              <w:rPr>
                <w:sz w:val="20"/>
                <w:szCs w:val="20"/>
              </w:rPr>
              <w:t>stress indicated by changes in leaf/bark colour, or leaf loss and limb death</w:t>
            </w:r>
          </w:p>
        </w:tc>
        <w:tc>
          <w:tcPr>
            <w:tcW w:w="713" w:type="pct"/>
          </w:tcPr>
          <w:p w14:paraId="4EF1FB35" w14:textId="77777777" w:rsidR="00DA2110" w:rsidRPr="00EF54D6" w:rsidRDefault="00DA2110" w:rsidP="00533385">
            <w:pPr>
              <w:pStyle w:val="Tabletext"/>
              <w:rPr>
                <w:szCs w:val="18"/>
              </w:rPr>
            </w:pPr>
            <w:r w:rsidRPr="00EF54D6">
              <w:rPr>
                <w:szCs w:val="18"/>
              </w:rPr>
              <w:t>MDBC, 2003a; Smith &amp; Kenny, 2005; Holland et al., 2009.</w:t>
            </w:r>
          </w:p>
        </w:tc>
      </w:tr>
      <w:tr w:rsidR="001215B7" w:rsidRPr="0017007A" w14:paraId="30469C60" w14:textId="77777777" w:rsidTr="003219AB">
        <w:tc>
          <w:tcPr>
            <w:tcW w:w="1144" w:type="pct"/>
          </w:tcPr>
          <w:p w14:paraId="433E35C8" w14:textId="77777777" w:rsidR="00FA30F7" w:rsidRPr="0017007A" w:rsidRDefault="00FA30F7" w:rsidP="00533385">
            <w:pPr>
              <w:spacing w:before="80" w:after="80" w:line="240" w:lineRule="auto"/>
              <w:rPr>
                <w:sz w:val="20"/>
                <w:szCs w:val="20"/>
              </w:rPr>
            </w:pPr>
            <w:r w:rsidRPr="0017007A">
              <w:rPr>
                <w:sz w:val="20"/>
                <w:szCs w:val="20"/>
              </w:rPr>
              <w:t>Riverland Ramsar site</w:t>
            </w:r>
          </w:p>
          <w:p w14:paraId="12FB777F" w14:textId="44A20AA7" w:rsidR="00FA30F7" w:rsidRPr="0017007A" w:rsidRDefault="00FA30F7" w:rsidP="00533385">
            <w:pPr>
              <w:spacing w:before="80" w:after="80" w:line="240" w:lineRule="auto"/>
              <w:rPr>
                <w:sz w:val="20"/>
                <w:szCs w:val="20"/>
              </w:rPr>
            </w:pPr>
            <w:r w:rsidRPr="0017007A">
              <w:rPr>
                <w:sz w:val="20"/>
                <w:szCs w:val="20"/>
              </w:rPr>
              <w:t>2002</w:t>
            </w:r>
          </w:p>
        </w:tc>
        <w:tc>
          <w:tcPr>
            <w:tcW w:w="1857" w:type="pct"/>
          </w:tcPr>
          <w:p w14:paraId="177F9012" w14:textId="77777777" w:rsidR="00FA30F7" w:rsidRPr="0017007A" w:rsidRDefault="00FA30F7" w:rsidP="00533385">
            <w:pPr>
              <w:pStyle w:val="ListParagraph"/>
              <w:numPr>
                <w:ilvl w:val="0"/>
                <w:numId w:val="51"/>
              </w:numPr>
              <w:spacing w:before="80" w:after="80" w:line="240" w:lineRule="auto"/>
              <w:ind w:left="176" w:hanging="176"/>
              <w:contextualSpacing w:val="0"/>
              <w:rPr>
                <w:sz w:val="20"/>
                <w:szCs w:val="20"/>
              </w:rPr>
            </w:pPr>
            <w:r w:rsidRPr="0017007A">
              <w:rPr>
                <w:sz w:val="20"/>
                <w:szCs w:val="20"/>
              </w:rPr>
              <w:t>43% redgum area unhealthy or dead (1% redgum dead)</w:t>
            </w:r>
          </w:p>
          <w:p w14:paraId="5423F975" w14:textId="13C6CF7E" w:rsidR="00FA30F7" w:rsidRPr="0017007A" w:rsidRDefault="00FA30F7"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82% black box area unhealthy or dead (6% black box dead)</w:t>
            </w:r>
          </w:p>
        </w:tc>
        <w:tc>
          <w:tcPr>
            <w:tcW w:w="1286" w:type="pct"/>
          </w:tcPr>
          <w:p w14:paraId="0325F1CC" w14:textId="77777777" w:rsidR="00FA30F7" w:rsidRPr="0017007A" w:rsidRDefault="00FA30F7" w:rsidP="00533385">
            <w:pPr>
              <w:pStyle w:val="ListParagraph"/>
              <w:spacing w:before="80" w:after="80" w:line="240" w:lineRule="auto"/>
              <w:ind w:left="175"/>
              <w:contextualSpacing w:val="0"/>
              <w:rPr>
                <w:sz w:val="20"/>
                <w:szCs w:val="20"/>
              </w:rPr>
            </w:pPr>
          </w:p>
        </w:tc>
        <w:tc>
          <w:tcPr>
            <w:tcW w:w="713" w:type="pct"/>
          </w:tcPr>
          <w:p w14:paraId="61B9CEFD" w14:textId="4D12DD27" w:rsidR="00FA30F7" w:rsidRPr="00EF54D6" w:rsidRDefault="00FA30F7" w:rsidP="00533385">
            <w:pPr>
              <w:pStyle w:val="Tabletext"/>
              <w:rPr>
                <w:szCs w:val="18"/>
              </w:rPr>
            </w:pPr>
            <w:r w:rsidRPr="00EF54D6">
              <w:rPr>
                <w:szCs w:val="18"/>
              </w:rPr>
              <w:t>DEH 2003</w:t>
            </w:r>
          </w:p>
        </w:tc>
      </w:tr>
      <w:tr w:rsidR="001215B7" w:rsidRPr="0017007A" w14:paraId="09D9A991" w14:textId="77777777" w:rsidTr="003219AB">
        <w:tc>
          <w:tcPr>
            <w:tcW w:w="1144" w:type="pct"/>
          </w:tcPr>
          <w:p w14:paraId="6535A635" w14:textId="19F20B3F" w:rsidR="00C90B4C" w:rsidRPr="0017007A" w:rsidRDefault="00C90B4C" w:rsidP="00533385">
            <w:pPr>
              <w:spacing w:before="80" w:after="80" w:line="240" w:lineRule="auto"/>
              <w:rPr>
                <w:sz w:val="20"/>
                <w:szCs w:val="20"/>
              </w:rPr>
            </w:pPr>
            <w:r w:rsidRPr="0017007A">
              <w:rPr>
                <w:sz w:val="20"/>
                <w:szCs w:val="20"/>
              </w:rPr>
              <w:t>Murray floodplain</w:t>
            </w:r>
            <w:r w:rsidR="00EA3C08" w:rsidRPr="0017007A">
              <w:rPr>
                <w:sz w:val="20"/>
                <w:szCs w:val="20"/>
              </w:rPr>
              <w:t xml:space="preserve"> (Pericoota to</w:t>
            </w:r>
            <w:r w:rsidR="00F97E7E">
              <w:rPr>
                <w:sz w:val="20"/>
                <w:szCs w:val="20"/>
              </w:rPr>
              <w:t xml:space="preserve"> </w:t>
            </w:r>
            <w:r w:rsidR="00EA3C08" w:rsidRPr="0017007A">
              <w:rPr>
                <w:sz w:val="20"/>
                <w:szCs w:val="20"/>
              </w:rPr>
              <w:t>Mannum)</w:t>
            </w:r>
          </w:p>
          <w:p w14:paraId="773C6A4F" w14:textId="4BEECB6E" w:rsidR="009A6582" w:rsidRPr="0017007A" w:rsidRDefault="009A6582" w:rsidP="00533385">
            <w:pPr>
              <w:spacing w:before="80" w:after="80" w:line="240" w:lineRule="auto"/>
              <w:rPr>
                <w:sz w:val="20"/>
                <w:szCs w:val="20"/>
              </w:rPr>
            </w:pPr>
            <w:r w:rsidRPr="0017007A">
              <w:rPr>
                <w:sz w:val="20"/>
                <w:szCs w:val="20"/>
              </w:rPr>
              <w:t>2002-2004</w:t>
            </w:r>
          </w:p>
        </w:tc>
        <w:tc>
          <w:tcPr>
            <w:tcW w:w="1857" w:type="pct"/>
          </w:tcPr>
          <w:p w14:paraId="28BE2804" w14:textId="4697148E" w:rsidR="00C90B4C" w:rsidRPr="0017007A" w:rsidRDefault="000D11A8"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 xml:space="preserve">2002 – 51.5% </w:t>
            </w:r>
            <w:r w:rsidR="00DE4EA0" w:rsidRPr="0017007A">
              <w:rPr>
                <w:sz w:val="20"/>
                <w:szCs w:val="20"/>
              </w:rPr>
              <w:t xml:space="preserve">RRG </w:t>
            </w:r>
            <w:r w:rsidRPr="0017007A">
              <w:rPr>
                <w:sz w:val="20"/>
                <w:szCs w:val="20"/>
              </w:rPr>
              <w:t>stre</w:t>
            </w:r>
            <w:r w:rsidR="00442664" w:rsidRPr="0017007A">
              <w:rPr>
                <w:sz w:val="20"/>
                <w:szCs w:val="20"/>
              </w:rPr>
              <w:t>ssed</w:t>
            </w:r>
          </w:p>
          <w:p w14:paraId="63C75E98" w14:textId="21F55D24" w:rsidR="00442664" w:rsidRPr="0017007A" w:rsidRDefault="00442664"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 xml:space="preserve">2004 – 75.5% </w:t>
            </w:r>
            <w:r w:rsidR="00DE4EA0" w:rsidRPr="0017007A">
              <w:rPr>
                <w:sz w:val="20"/>
                <w:szCs w:val="20"/>
              </w:rPr>
              <w:t xml:space="preserve">RRG </w:t>
            </w:r>
            <w:r w:rsidRPr="0017007A">
              <w:rPr>
                <w:sz w:val="20"/>
                <w:szCs w:val="20"/>
              </w:rPr>
              <w:t>stressed</w:t>
            </w:r>
          </w:p>
        </w:tc>
        <w:tc>
          <w:tcPr>
            <w:tcW w:w="1286" w:type="pct"/>
          </w:tcPr>
          <w:p w14:paraId="7284DDD5" w14:textId="49253496" w:rsidR="00C90B4C" w:rsidRPr="0017007A" w:rsidRDefault="0042439A" w:rsidP="00533385">
            <w:pPr>
              <w:pStyle w:val="ListParagraph"/>
              <w:numPr>
                <w:ilvl w:val="0"/>
                <w:numId w:val="51"/>
              </w:numPr>
              <w:spacing w:before="80" w:after="80" w:line="240" w:lineRule="auto"/>
              <w:ind w:left="175" w:hanging="175"/>
              <w:contextualSpacing w:val="0"/>
              <w:rPr>
                <w:sz w:val="20"/>
                <w:szCs w:val="20"/>
              </w:rPr>
            </w:pPr>
            <w:r w:rsidRPr="0017007A">
              <w:rPr>
                <w:sz w:val="20"/>
                <w:szCs w:val="20"/>
              </w:rPr>
              <w:t>100 sites along 1450 km</w:t>
            </w:r>
          </w:p>
        </w:tc>
        <w:tc>
          <w:tcPr>
            <w:tcW w:w="713" w:type="pct"/>
          </w:tcPr>
          <w:p w14:paraId="6E3F34CE" w14:textId="178A17B1" w:rsidR="00C90B4C" w:rsidRPr="00EF54D6" w:rsidRDefault="009A6582" w:rsidP="00533385">
            <w:pPr>
              <w:pStyle w:val="Tabletext"/>
              <w:rPr>
                <w:szCs w:val="18"/>
              </w:rPr>
            </w:pPr>
            <w:r w:rsidRPr="00EF54D6">
              <w:rPr>
                <w:szCs w:val="18"/>
              </w:rPr>
              <w:t>DWLBC in MDBC 2006</w:t>
            </w:r>
          </w:p>
        </w:tc>
      </w:tr>
      <w:tr w:rsidR="001215B7" w:rsidRPr="0017007A" w14:paraId="41CC3F1C" w14:textId="77777777" w:rsidTr="003219AB">
        <w:tc>
          <w:tcPr>
            <w:tcW w:w="1144" w:type="pct"/>
          </w:tcPr>
          <w:p w14:paraId="0393262C" w14:textId="7BABC61A" w:rsidR="00FF6FD6" w:rsidRPr="0017007A" w:rsidRDefault="00FF6FD6" w:rsidP="00533385">
            <w:pPr>
              <w:spacing w:before="80" w:after="80" w:line="240" w:lineRule="auto"/>
              <w:rPr>
                <w:sz w:val="20"/>
                <w:szCs w:val="20"/>
              </w:rPr>
            </w:pPr>
            <w:r w:rsidRPr="0017007A">
              <w:rPr>
                <w:sz w:val="20"/>
                <w:szCs w:val="20"/>
              </w:rPr>
              <w:t>Chowilla floodplain</w:t>
            </w:r>
            <w:r w:rsidR="002C3F68" w:rsidRPr="0017007A">
              <w:rPr>
                <w:sz w:val="20"/>
                <w:szCs w:val="20"/>
              </w:rPr>
              <w:t xml:space="preserve"> 1993</w:t>
            </w:r>
          </w:p>
        </w:tc>
        <w:tc>
          <w:tcPr>
            <w:tcW w:w="1857" w:type="pct"/>
          </w:tcPr>
          <w:p w14:paraId="1106F27D" w14:textId="6B58537D" w:rsidR="00FF6FD6" w:rsidRPr="0017007A" w:rsidRDefault="002C3F68"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54% of trees (RRG, BB, Cooba)</w:t>
            </w:r>
            <w:r w:rsidR="008B4E75" w:rsidRPr="0017007A">
              <w:rPr>
                <w:sz w:val="20"/>
                <w:szCs w:val="20"/>
              </w:rPr>
              <w:t xml:space="preserve"> in good condition</w:t>
            </w:r>
            <w:r w:rsidR="0058011D" w:rsidRPr="0017007A">
              <w:rPr>
                <w:sz w:val="20"/>
                <w:szCs w:val="20"/>
              </w:rPr>
              <w:t xml:space="preserve"> in 1993</w:t>
            </w:r>
            <w:r w:rsidR="00924126" w:rsidRPr="0017007A">
              <w:rPr>
                <w:sz w:val="20"/>
                <w:szCs w:val="20"/>
              </w:rPr>
              <w:t xml:space="preserve"> but fell to:</w:t>
            </w:r>
          </w:p>
          <w:p w14:paraId="3F2C0947" w14:textId="2778605B" w:rsidR="0058011D" w:rsidRPr="0017007A" w:rsidRDefault="00924126"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35% in 2003; 24% in 2004</w:t>
            </w:r>
          </w:p>
        </w:tc>
        <w:tc>
          <w:tcPr>
            <w:tcW w:w="1286" w:type="pct"/>
          </w:tcPr>
          <w:p w14:paraId="176CB17A" w14:textId="4BA36C04" w:rsidR="00FF6FD6" w:rsidRPr="0017007A" w:rsidRDefault="00336223" w:rsidP="00533385">
            <w:pPr>
              <w:pStyle w:val="ListParagraph"/>
              <w:numPr>
                <w:ilvl w:val="0"/>
                <w:numId w:val="51"/>
              </w:numPr>
              <w:spacing w:before="80" w:after="80" w:line="240" w:lineRule="auto"/>
              <w:ind w:left="175" w:hanging="175"/>
              <w:contextualSpacing w:val="0"/>
              <w:rPr>
                <w:sz w:val="20"/>
                <w:szCs w:val="20"/>
              </w:rPr>
            </w:pPr>
            <w:r w:rsidRPr="0017007A">
              <w:rPr>
                <w:sz w:val="20"/>
                <w:szCs w:val="20"/>
              </w:rPr>
              <w:t xml:space="preserve">without </w:t>
            </w:r>
            <w:r w:rsidR="005E7C59" w:rsidRPr="0017007A">
              <w:rPr>
                <w:sz w:val="20"/>
                <w:szCs w:val="20"/>
              </w:rPr>
              <w:t>management intervention, predicted to fall to 19% by 2035</w:t>
            </w:r>
          </w:p>
        </w:tc>
        <w:tc>
          <w:tcPr>
            <w:tcW w:w="713" w:type="pct"/>
          </w:tcPr>
          <w:p w14:paraId="3FE15024" w14:textId="75F91E94" w:rsidR="00FF6FD6" w:rsidRPr="00EF54D6" w:rsidRDefault="00170FD2" w:rsidP="00533385">
            <w:pPr>
              <w:pStyle w:val="Tabletext"/>
              <w:rPr>
                <w:szCs w:val="18"/>
              </w:rPr>
            </w:pPr>
            <w:r w:rsidRPr="00EF54D6">
              <w:rPr>
                <w:szCs w:val="18"/>
              </w:rPr>
              <w:t>Overton et al. 2005</w:t>
            </w:r>
          </w:p>
        </w:tc>
      </w:tr>
      <w:tr w:rsidR="001215B7" w:rsidRPr="0017007A" w14:paraId="3D746E9A" w14:textId="77777777" w:rsidTr="003219AB">
        <w:tc>
          <w:tcPr>
            <w:tcW w:w="1144" w:type="pct"/>
          </w:tcPr>
          <w:p w14:paraId="41D4A027" w14:textId="77777777" w:rsidR="00AB0B27" w:rsidRPr="0017007A" w:rsidRDefault="00AB0B27" w:rsidP="00533385">
            <w:pPr>
              <w:spacing w:before="80" w:after="80" w:line="240" w:lineRule="auto"/>
              <w:rPr>
                <w:sz w:val="20"/>
                <w:szCs w:val="20"/>
              </w:rPr>
            </w:pPr>
            <w:r w:rsidRPr="0017007A">
              <w:rPr>
                <w:sz w:val="20"/>
                <w:szCs w:val="20"/>
              </w:rPr>
              <w:t>Chowilla floodplain</w:t>
            </w:r>
          </w:p>
          <w:p w14:paraId="3EC3E53E" w14:textId="5BE333A3" w:rsidR="00AB0B27" w:rsidRPr="0017007A" w:rsidRDefault="00AB0B27" w:rsidP="00533385">
            <w:pPr>
              <w:spacing w:before="80" w:after="80" w:line="240" w:lineRule="auto"/>
              <w:rPr>
                <w:sz w:val="20"/>
                <w:szCs w:val="20"/>
              </w:rPr>
            </w:pPr>
          </w:p>
        </w:tc>
        <w:tc>
          <w:tcPr>
            <w:tcW w:w="1857" w:type="pct"/>
          </w:tcPr>
          <w:p w14:paraId="7C3E6159" w14:textId="0F313CB4" w:rsidR="00AB0B27" w:rsidRPr="0017007A" w:rsidRDefault="00AB0B27"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65% area of floodplain trees affected by soil salinisation compared to 40% in 1993.</w:t>
            </w:r>
          </w:p>
        </w:tc>
        <w:tc>
          <w:tcPr>
            <w:tcW w:w="1286" w:type="pct"/>
          </w:tcPr>
          <w:p w14:paraId="00298DC5" w14:textId="3640CFA1" w:rsidR="00AB0B27" w:rsidRPr="0017007A" w:rsidRDefault="00AB0B27" w:rsidP="00533385">
            <w:pPr>
              <w:spacing w:before="80" w:after="80" w:line="240" w:lineRule="auto"/>
              <w:rPr>
                <w:sz w:val="20"/>
                <w:szCs w:val="20"/>
              </w:rPr>
            </w:pPr>
          </w:p>
        </w:tc>
        <w:tc>
          <w:tcPr>
            <w:tcW w:w="713" w:type="pct"/>
          </w:tcPr>
          <w:p w14:paraId="55306A8C" w14:textId="77777777" w:rsidR="00AB0B27" w:rsidRPr="00EF54D6" w:rsidRDefault="00AB0B27" w:rsidP="00533385">
            <w:pPr>
              <w:pStyle w:val="Tabletext"/>
              <w:rPr>
                <w:szCs w:val="18"/>
              </w:rPr>
            </w:pPr>
            <w:r w:rsidRPr="00EF54D6">
              <w:rPr>
                <w:szCs w:val="18"/>
              </w:rPr>
              <w:t>Overton et al. 2006</w:t>
            </w:r>
          </w:p>
        </w:tc>
      </w:tr>
      <w:tr w:rsidR="001215B7" w:rsidRPr="0017007A" w14:paraId="0D2D8F0A" w14:textId="77777777" w:rsidTr="003219AB">
        <w:tc>
          <w:tcPr>
            <w:tcW w:w="1144" w:type="pct"/>
          </w:tcPr>
          <w:p w14:paraId="36C3E7D5" w14:textId="26D633C7" w:rsidR="00DA2110" w:rsidRPr="0017007A" w:rsidRDefault="00DA2110" w:rsidP="00533385">
            <w:pPr>
              <w:spacing w:before="80" w:after="80" w:line="240" w:lineRule="auto"/>
              <w:rPr>
                <w:sz w:val="20"/>
                <w:szCs w:val="20"/>
              </w:rPr>
            </w:pPr>
            <w:r w:rsidRPr="0017007A">
              <w:rPr>
                <w:sz w:val="20"/>
                <w:szCs w:val="20"/>
              </w:rPr>
              <w:t>Bookpurnong</w:t>
            </w:r>
            <w:r w:rsidR="001215B7">
              <w:rPr>
                <w:sz w:val="20"/>
                <w:szCs w:val="20"/>
              </w:rPr>
              <w:t xml:space="preserve"> </w:t>
            </w:r>
            <w:r w:rsidRPr="0017007A">
              <w:rPr>
                <w:sz w:val="20"/>
                <w:szCs w:val="20"/>
              </w:rPr>
              <w:t xml:space="preserve">floodplain,       </w:t>
            </w:r>
          </w:p>
          <w:p w14:paraId="14A1A0B6" w14:textId="77777777" w:rsidR="00DA2110" w:rsidRPr="0017007A" w:rsidRDefault="00DA2110" w:rsidP="00533385">
            <w:pPr>
              <w:spacing w:before="80" w:after="80" w:line="240" w:lineRule="auto"/>
              <w:rPr>
                <w:sz w:val="20"/>
                <w:szCs w:val="20"/>
              </w:rPr>
            </w:pPr>
            <w:r w:rsidRPr="0017007A">
              <w:rPr>
                <w:sz w:val="20"/>
                <w:szCs w:val="20"/>
              </w:rPr>
              <w:t>2005 - 2008</w:t>
            </w:r>
          </w:p>
        </w:tc>
        <w:tc>
          <w:tcPr>
            <w:tcW w:w="1857" w:type="pct"/>
          </w:tcPr>
          <w:p w14:paraId="179F20CA" w14:textId="77777777" w:rsidR="00DA2110" w:rsidRPr="0017007A" w:rsidRDefault="00DA2110" w:rsidP="00533385">
            <w:pPr>
              <w:pStyle w:val="ListParagraph"/>
              <w:numPr>
                <w:ilvl w:val="0"/>
                <w:numId w:val="55"/>
              </w:numPr>
              <w:spacing w:before="80" w:after="80" w:line="240" w:lineRule="auto"/>
              <w:ind w:left="176" w:hanging="176"/>
              <w:contextualSpacing w:val="0"/>
              <w:rPr>
                <w:sz w:val="20"/>
                <w:szCs w:val="20"/>
              </w:rPr>
            </w:pPr>
            <w:r w:rsidRPr="0017007A">
              <w:rPr>
                <w:sz w:val="20"/>
                <w:szCs w:val="20"/>
              </w:rPr>
              <w:t>Riparian vegetation in severe health decline (Berri to Loxton)</w:t>
            </w:r>
          </w:p>
        </w:tc>
        <w:tc>
          <w:tcPr>
            <w:tcW w:w="1286" w:type="pct"/>
          </w:tcPr>
          <w:p w14:paraId="4EB9A17A" w14:textId="77777777" w:rsidR="00DA2110" w:rsidRPr="0017007A" w:rsidRDefault="00DA2110" w:rsidP="00533385">
            <w:pPr>
              <w:pStyle w:val="ListParagraph"/>
              <w:numPr>
                <w:ilvl w:val="0"/>
                <w:numId w:val="55"/>
              </w:numPr>
              <w:spacing w:before="80" w:after="80" w:line="240" w:lineRule="auto"/>
              <w:ind w:left="175" w:hanging="175"/>
              <w:contextualSpacing w:val="0"/>
              <w:rPr>
                <w:sz w:val="20"/>
                <w:szCs w:val="20"/>
              </w:rPr>
            </w:pPr>
            <w:r w:rsidRPr="0017007A">
              <w:rPr>
                <w:sz w:val="20"/>
                <w:szCs w:val="20"/>
              </w:rPr>
              <w:t xml:space="preserve">soil salinisation, lack of flooding </w:t>
            </w:r>
          </w:p>
        </w:tc>
        <w:tc>
          <w:tcPr>
            <w:tcW w:w="713" w:type="pct"/>
          </w:tcPr>
          <w:p w14:paraId="427492B9" w14:textId="77777777" w:rsidR="00DA2110" w:rsidRPr="00EF54D6" w:rsidRDefault="00DA2110" w:rsidP="00533385">
            <w:pPr>
              <w:pStyle w:val="Tabletext"/>
              <w:rPr>
                <w:szCs w:val="18"/>
              </w:rPr>
            </w:pPr>
            <w:r w:rsidRPr="00EF54D6">
              <w:rPr>
                <w:szCs w:val="18"/>
              </w:rPr>
              <w:t>Holland et al., 2009.</w:t>
            </w:r>
          </w:p>
        </w:tc>
      </w:tr>
      <w:tr w:rsidR="001215B7" w:rsidRPr="0017007A" w14:paraId="7760499B" w14:textId="77777777" w:rsidTr="003219AB">
        <w:tc>
          <w:tcPr>
            <w:tcW w:w="1144" w:type="pct"/>
          </w:tcPr>
          <w:p w14:paraId="27D51F38" w14:textId="77777777" w:rsidR="00DA2110" w:rsidRPr="0017007A" w:rsidRDefault="00DA2110" w:rsidP="00533385">
            <w:pPr>
              <w:spacing w:before="80" w:after="80" w:line="240" w:lineRule="auto"/>
              <w:rPr>
                <w:sz w:val="20"/>
                <w:szCs w:val="20"/>
              </w:rPr>
            </w:pPr>
            <w:r w:rsidRPr="0017007A">
              <w:rPr>
                <w:sz w:val="20"/>
                <w:szCs w:val="20"/>
              </w:rPr>
              <w:t>Pike River floodplain, 2009</w:t>
            </w:r>
          </w:p>
        </w:tc>
        <w:tc>
          <w:tcPr>
            <w:tcW w:w="1857" w:type="pct"/>
          </w:tcPr>
          <w:p w14:paraId="361B5DBE" w14:textId="77777777" w:rsidR="00DA2110" w:rsidRPr="0017007A" w:rsidRDefault="00DA2110"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57% of sites with trees in 'poor' to 'extremely poor' condition</w:t>
            </w:r>
          </w:p>
        </w:tc>
        <w:tc>
          <w:tcPr>
            <w:tcW w:w="1286" w:type="pct"/>
          </w:tcPr>
          <w:p w14:paraId="52E816EB" w14:textId="77777777" w:rsidR="00DA2110" w:rsidRPr="0017007A" w:rsidRDefault="00DA2110" w:rsidP="00533385">
            <w:pPr>
              <w:spacing w:before="80" w:after="80" w:line="240" w:lineRule="auto"/>
              <w:ind w:firstLine="33"/>
              <w:rPr>
                <w:sz w:val="20"/>
                <w:szCs w:val="20"/>
              </w:rPr>
            </w:pPr>
          </w:p>
        </w:tc>
        <w:tc>
          <w:tcPr>
            <w:tcW w:w="713" w:type="pct"/>
          </w:tcPr>
          <w:p w14:paraId="2CC4077E" w14:textId="77777777" w:rsidR="00DA2110" w:rsidRPr="00EF54D6" w:rsidRDefault="00DA2110" w:rsidP="00533385">
            <w:pPr>
              <w:pStyle w:val="Tabletext"/>
              <w:rPr>
                <w:szCs w:val="18"/>
              </w:rPr>
            </w:pPr>
            <w:r w:rsidRPr="00EF54D6">
              <w:rPr>
                <w:szCs w:val="18"/>
              </w:rPr>
              <w:t>Wallace, 2009.</w:t>
            </w:r>
          </w:p>
        </w:tc>
      </w:tr>
      <w:tr w:rsidR="001215B7" w:rsidRPr="0017007A" w14:paraId="47A1B517" w14:textId="77777777" w:rsidTr="003219AB">
        <w:tc>
          <w:tcPr>
            <w:tcW w:w="1144" w:type="pct"/>
          </w:tcPr>
          <w:p w14:paraId="43F4C189" w14:textId="77777777" w:rsidR="00DA2110" w:rsidRPr="0017007A" w:rsidRDefault="00DA2110" w:rsidP="00533385">
            <w:pPr>
              <w:spacing w:before="80" w:after="80" w:line="240" w:lineRule="auto"/>
              <w:rPr>
                <w:sz w:val="20"/>
                <w:szCs w:val="20"/>
              </w:rPr>
            </w:pPr>
            <w:r w:rsidRPr="0017007A">
              <w:rPr>
                <w:sz w:val="20"/>
                <w:szCs w:val="20"/>
              </w:rPr>
              <w:t>Victorian River Murray 2006–09</w:t>
            </w:r>
          </w:p>
        </w:tc>
        <w:tc>
          <w:tcPr>
            <w:tcW w:w="1857" w:type="pct"/>
          </w:tcPr>
          <w:p w14:paraId="1FB172EC" w14:textId="77777777" w:rsidR="00DA2110" w:rsidRPr="0017007A" w:rsidRDefault="00DA2110"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dieback increased from 45% to 70%</w:t>
            </w:r>
          </w:p>
        </w:tc>
        <w:tc>
          <w:tcPr>
            <w:tcW w:w="1286" w:type="pct"/>
          </w:tcPr>
          <w:p w14:paraId="75928C84" w14:textId="77777777" w:rsidR="00DA2110" w:rsidRPr="0017007A" w:rsidRDefault="00DA2110" w:rsidP="00533385">
            <w:pPr>
              <w:pStyle w:val="ListBullet"/>
              <w:spacing w:before="80" w:after="80" w:line="240" w:lineRule="auto"/>
              <w:ind w:left="33"/>
              <w:rPr>
                <w:sz w:val="20"/>
                <w:szCs w:val="20"/>
              </w:rPr>
            </w:pPr>
          </w:p>
        </w:tc>
        <w:tc>
          <w:tcPr>
            <w:tcW w:w="713" w:type="pct"/>
          </w:tcPr>
          <w:p w14:paraId="12259A6B" w14:textId="76DEE283" w:rsidR="00DA2110" w:rsidRPr="00EF54D6" w:rsidRDefault="00DA2110" w:rsidP="00533385">
            <w:pPr>
              <w:pStyle w:val="Tabletext"/>
              <w:rPr>
                <w:szCs w:val="18"/>
              </w:rPr>
            </w:pPr>
            <w:r w:rsidRPr="00EF54D6">
              <w:rPr>
                <w:szCs w:val="18"/>
              </w:rPr>
              <w:t>Cunningham et al. 2011.</w:t>
            </w:r>
          </w:p>
        </w:tc>
      </w:tr>
      <w:tr w:rsidR="001215B7" w:rsidRPr="0017007A" w14:paraId="48CD5F8C" w14:textId="77777777" w:rsidTr="003219AB">
        <w:tc>
          <w:tcPr>
            <w:tcW w:w="1144" w:type="pct"/>
          </w:tcPr>
          <w:p w14:paraId="167079DF" w14:textId="0E4C62A6" w:rsidR="00D07213" w:rsidRPr="0017007A" w:rsidRDefault="00792C8A" w:rsidP="00533385">
            <w:pPr>
              <w:spacing w:before="80" w:after="80" w:line="240" w:lineRule="auto"/>
              <w:rPr>
                <w:sz w:val="20"/>
                <w:szCs w:val="20"/>
              </w:rPr>
            </w:pPr>
            <w:r w:rsidRPr="0017007A">
              <w:rPr>
                <w:sz w:val="20"/>
                <w:szCs w:val="20"/>
              </w:rPr>
              <w:t xml:space="preserve">LM </w:t>
            </w:r>
            <w:r w:rsidR="00D07213" w:rsidRPr="0017007A">
              <w:rPr>
                <w:sz w:val="20"/>
                <w:szCs w:val="20"/>
              </w:rPr>
              <w:t>Icon site Chowilla</w:t>
            </w:r>
          </w:p>
        </w:tc>
        <w:tc>
          <w:tcPr>
            <w:tcW w:w="1857" w:type="pct"/>
          </w:tcPr>
          <w:p w14:paraId="74001D60" w14:textId="60C6131A" w:rsidR="00D07213" w:rsidRPr="0017007A" w:rsidRDefault="007B688A"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80</w:t>
            </w:r>
            <w:r w:rsidR="00792C8A" w:rsidRPr="0017007A">
              <w:rPr>
                <w:sz w:val="20"/>
                <w:szCs w:val="20"/>
              </w:rPr>
              <w:t>%</w:t>
            </w:r>
            <w:r w:rsidRPr="0017007A">
              <w:rPr>
                <w:sz w:val="20"/>
                <w:szCs w:val="20"/>
              </w:rPr>
              <w:t xml:space="preserve"> </w:t>
            </w:r>
            <w:r w:rsidR="00A06228" w:rsidRPr="0017007A">
              <w:rPr>
                <w:sz w:val="20"/>
                <w:szCs w:val="20"/>
              </w:rPr>
              <w:t xml:space="preserve">stands were </w:t>
            </w:r>
            <w:r w:rsidRPr="0017007A">
              <w:rPr>
                <w:sz w:val="20"/>
                <w:szCs w:val="20"/>
              </w:rPr>
              <w:t>poor to severely degraded</w:t>
            </w:r>
            <w:r w:rsidR="00F97145" w:rsidRPr="0017007A">
              <w:rPr>
                <w:sz w:val="20"/>
                <w:szCs w:val="20"/>
              </w:rPr>
              <w:t xml:space="preserve"> RRG + BB</w:t>
            </w:r>
          </w:p>
        </w:tc>
        <w:tc>
          <w:tcPr>
            <w:tcW w:w="1286" w:type="pct"/>
          </w:tcPr>
          <w:p w14:paraId="4373E303" w14:textId="4AFDF08D" w:rsidR="00D07213" w:rsidRPr="0017007A" w:rsidRDefault="00F97145" w:rsidP="00533385">
            <w:pPr>
              <w:pStyle w:val="ListParagraph"/>
              <w:numPr>
                <w:ilvl w:val="0"/>
                <w:numId w:val="56"/>
              </w:numPr>
              <w:spacing w:before="80" w:after="80" w:line="240" w:lineRule="auto"/>
              <w:ind w:left="175" w:hanging="175"/>
              <w:contextualSpacing w:val="0"/>
              <w:rPr>
                <w:sz w:val="20"/>
                <w:szCs w:val="20"/>
              </w:rPr>
            </w:pPr>
            <w:r w:rsidRPr="0017007A">
              <w:rPr>
                <w:sz w:val="20"/>
                <w:szCs w:val="20"/>
              </w:rPr>
              <w:t>stand condition decreased 2010</w:t>
            </w:r>
            <w:r w:rsidR="004F293C" w:rsidRPr="0017007A">
              <w:rPr>
                <w:sz w:val="20"/>
                <w:szCs w:val="20"/>
              </w:rPr>
              <w:t xml:space="preserve"> to 20</w:t>
            </w:r>
            <w:r w:rsidRPr="0017007A">
              <w:rPr>
                <w:sz w:val="20"/>
                <w:szCs w:val="20"/>
              </w:rPr>
              <w:t>12</w:t>
            </w:r>
          </w:p>
        </w:tc>
        <w:tc>
          <w:tcPr>
            <w:tcW w:w="713" w:type="pct"/>
          </w:tcPr>
          <w:p w14:paraId="4FD8BCBC" w14:textId="50DE2FDC" w:rsidR="00D07213" w:rsidRPr="00EF54D6" w:rsidRDefault="007B688A" w:rsidP="00533385">
            <w:pPr>
              <w:pStyle w:val="Tabletext"/>
              <w:rPr>
                <w:szCs w:val="18"/>
              </w:rPr>
            </w:pPr>
            <w:r w:rsidRPr="00EF54D6">
              <w:rPr>
                <w:szCs w:val="18"/>
              </w:rPr>
              <w:t>Cunningham et al. 2012</w:t>
            </w:r>
          </w:p>
        </w:tc>
      </w:tr>
      <w:tr w:rsidR="001215B7" w:rsidRPr="0017007A" w14:paraId="7003BCDC" w14:textId="77777777" w:rsidTr="003219AB">
        <w:tc>
          <w:tcPr>
            <w:tcW w:w="1144" w:type="pct"/>
          </w:tcPr>
          <w:p w14:paraId="21AD125E" w14:textId="1E6D0CDB" w:rsidR="00DA2110" w:rsidRPr="0017007A" w:rsidRDefault="00DA2110" w:rsidP="00533385">
            <w:pPr>
              <w:spacing w:before="80" w:after="80" w:line="240" w:lineRule="auto"/>
              <w:rPr>
                <w:sz w:val="20"/>
                <w:szCs w:val="20"/>
              </w:rPr>
            </w:pPr>
            <w:r w:rsidRPr="0017007A">
              <w:rPr>
                <w:sz w:val="20"/>
                <w:szCs w:val="20"/>
              </w:rPr>
              <w:t>Chowilla, Pike</w:t>
            </w:r>
            <w:r w:rsidR="00623CB1" w:rsidRPr="0017007A">
              <w:rPr>
                <w:sz w:val="20"/>
                <w:szCs w:val="20"/>
              </w:rPr>
              <w:t>,</w:t>
            </w:r>
            <w:r w:rsidRPr="0017007A">
              <w:rPr>
                <w:sz w:val="20"/>
                <w:szCs w:val="20"/>
              </w:rPr>
              <w:t xml:space="preserve"> &amp; Katarapko floodplains</w:t>
            </w:r>
          </w:p>
          <w:p w14:paraId="07A65FEB" w14:textId="77777777" w:rsidR="00DA2110" w:rsidRPr="00FE3782" w:rsidRDefault="00DA2110" w:rsidP="00533385">
            <w:pPr>
              <w:spacing w:before="80" w:after="80" w:line="240" w:lineRule="auto"/>
              <w:rPr>
                <w:sz w:val="18"/>
                <w:szCs w:val="18"/>
              </w:rPr>
            </w:pPr>
            <w:r w:rsidRPr="00FE3782">
              <w:rPr>
                <w:sz w:val="18"/>
                <w:szCs w:val="18"/>
              </w:rPr>
              <w:t>RRG: 2007/8 to 2018/19</w:t>
            </w:r>
          </w:p>
          <w:p w14:paraId="14BA5D97" w14:textId="77777777" w:rsidR="00DA2110" w:rsidRPr="0017007A" w:rsidRDefault="00DA2110" w:rsidP="00533385">
            <w:pPr>
              <w:spacing w:before="80" w:after="80" w:line="240" w:lineRule="auto"/>
              <w:rPr>
                <w:sz w:val="20"/>
                <w:szCs w:val="20"/>
              </w:rPr>
            </w:pPr>
            <w:r w:rsidRPr="00FE3782">
              <w:rPr>
                <w:sz w:val="18"/>
                <w:szCs w:val="18"/>
              </w:rPr>
              <w:t>BB: 2008/9 to 2018/19</w:t>
            </w:r>
          </w:p>
        </w:tc>
        <w:tc>
          <w:tcPr>
            <w:tcW w:w="1857" w:type="pct"/>
          </w:tcPr>
          <w:p w14:paraId="4CA52B91" w14:textId="2E996A5A" w:rsidR="00DA2110" w:rsidRPr="0017007A" w:rsidRDefault="00DA2110"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proportion of river red gum &amp; black box in good or excellent condition increased</w:t>
            </w:r>
          </w:p>
        </w:tc>
        <w:tc>
          <w:tcPr>
            <w:tcW w:w="1286" w:type="pct"/>
          </w:tcPr>
          <w:p w14:paraId="77853EFA" w14:textId="123F2456" w:rsidR="00DA2110" w:rsidRPr="0017007A" w:rsidRDefault="00DA2110" w:rsidP="00533385">
            <w:pPr>
              <w:pStyle w:val="ListParagraph"/>
              <w:numPr>
                <w:ilvl w:val="0"/>
                <w:numId w:val="56"/>
              </w:numPr>
              <w:spacing w:before="80" w:after="80" w:line="240" w:lineRule="auto"/>
              <w:ind w:left="175" w:hanging="175"/>
              <w:contextualSpacing w:val="0"/>
              <w:rPr>
                <w:sz w:val="20"/>
                <w:szCs w:val="20"/>
              </w:rPr>
            </w:pPr>
            <w:r w:rsidRPr="0017007A">
              <w:rPr>
                <w:sz w:val="20"/>
                <w:szCs w:val="20"/>
              </w:rPr>
              <w:t>supported by unregulated flood</w:t>
            </w:r>
            <w:r w:rsidR="00AA090F" w:rsidRPr="0017007A">
              <w:rPr>
                <w:sz w:val="20"/>
                <w:szCs w:val="20"/>
              </w:rPr>
              <w:t xml:space="preserve">s </w:t>
            </w:r>
            <w:r w:rsidRPr="0017007A">
              <w:rPr>
                <w:sz w:val="20"/>
                <w:szCs w:val="20"/>
              </w:rPr>
              <w:t>&amp; targeted e-water during inter-flood dry phases</w:t>
            </w:r>
          </w:p>
        </w:tc>
        <w:tc>
          <w:tcPr>
            <w:tcW w:w="713" w:type="pct"/>
          </w:tcPr>
          <w:p w14:paraId="4DCDECD6" w14:textId="4C705CA0" w:rsidR="00DA2110" w:rsidRPr="00CD5901" w:rsidRDefault="00DA2110" w:rsidP="00533385">
            <w:pPr>
              <w:pStyle w:val="Tabletext"/>
              <w:rPr>
                <w:szCs w:val="18"/>
              </w:rPr>
            </w:pPr>
            <w:r w:rsidRPr="00CD5901">
              <w:rPr>
                <w:szCs w:val="18"/>
              </w:rPr>
              <w:t>DEW 2020</w:t>
            </w:r>
            <w:r w:rsidR="005357B7" w:rsidRPr="00CD5901">
              <w:rPr>
                <w:szCs w:val="18"/>
              </w:rPr>
              <w:t>c</w:t>
            </w:r>
          </w:p>
        </w:tc>
      </w:tr>
      <w:tr w:rsidR="001215B7" w:rsidRPr="0017007A" w14:paraId="71262FF8" w14:textId="77777777" w:rsidTr="003219AB">
        <w:tc>
          <w:tcPr>
            <w:tcW w:w="1144" w:type="pct"/>
          </w:tcPr>
          <w:p w14:paraId="6BED78F4" w14:textId="77777777" w:rsidR="00AD437E" w:rsidRDefault="00083141" w:rsidP="00533385">
            <w:pPr>
              <w:spacing w:before="80" w:after="80" w:line="240" w:lineRule="auto"/>
              <w:rPr>
                <w:sz w:val="20"/>
                <w:szCs w:val="20"/>
              </w:rPr>
            </w:pPr>
            <w:r w:rsidRPr="0017007A">
              <w:rPr>
                <w:sz w:val="20"/>
                <w:szCs w:val="20"/>
              </w:rPr>
              <w:t>Pike Floo</w:t>
            </w:r>
            <w:r w:rsidR="00C247D7" w:rsidRPr="0017007A">
              <w:rPr>
                <w:sz w:val="20"/>
                <w:szCs w:val="20"/>
              </w:rPr>
              <w:t>d</w:t>
            </w:r>
            <w:r w:rsidRPr="0017007A">
              <w:rPr>
                <w:sz w:val="20"/>
                <w:szCs w:val="20"/>
              </w:rPr>
              <w:t>plain</w:t>
            </w:r>
            <w:r w:rsidR="00220C4A" w:rsidRPr="0017007A">
              <w:rPr>
                <w:sz w:val="20"/>
                <w:szCs w:val="20"/>
              </w:rPr>
              <w:t xml:space="preserve"> </w:t>
            </w:r>
          </w:p>
          <w:p w14:paraId="506EA8C8" w14:textId="01712036" w:rsidR="00083141" w:rsidRPr="0017007A" w:rsidRDefault="00220C4A" w:rsidP="00533385">
            <w:pPr>
              <w:spacing w:before="80" w:after="80" w:line="240" w:lineRule="auto"/>
              <w:rPr>
                <w:sz w:val="20"/>
                <w:szCs w:val="20"/>
              </w:rPr>
            </w:pPr>
            <w:r w:rsidRPr="0017007A">
              <w:rPr>
                <w:sz w:val="20"/>
                <w:szCs w:val="20"/>
              </w:rPr>
              <w:t>2021-22</w:t>
            </w:r>
          </w:p>
        </w:tc>
        <w:tc>
          <w:tcPr>
            <w:tcW w:w="1857" w:type="pct"/>
          </w:tcPr>
          <w:p w14:paraId="43E45BE6" w14:textId="79323924" w:rsidR="00083141" w:rsidRPr="0017007A" w:rsidRDefault="008E5433"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 xml:space="preserve">2/3 RRG &amp; </w:t>
            </w:r>
            <w:r w:rsidR="00DD748B" w:rsidRPr="0017007A">
              <w:rPr>
                <w:sz w:val="20"/>
                <w:szCs w:val="20"/>
              </w:rPr>
              <w:t xml:space="preserve">all </w:t>
            </w:r>
            <w:r w:rsidRPr="0017007A">
              <w:rPr>
                <w:sz w:val="20"/>
                <w:szCs w:val="20"/>
              </w:rPr>
              <w:t>Cooba</w:t>
            </w:r>
            <w:r w:rsidR="00DE4EA0" w:rsidRPr="0017007A">
              <w:rPr>
                <w:sz w:val="20"/>
                <w:szCs w:val="20"/>
              </w:rPr>
              <w:t xml:space="preserve"> good cond</w:t>
            </w:r>
            <w:r w:rsidR="00C5188F" w:rsidRPr="0017007A">
              <w:rPr>
                <w:sz w:val="20"/>
                <w:szCs w:val="20"/>
              </w:rPr>
              <w:t>itio</w:t>
            </w:r>
            <w:r w:rsidR="00BC5E82" w:rsidRPr="0017007A">
              <w:rPr>
                <w:sz w:val="20"/>
                <w:szCs w:val="20"/>
              </w:rPr>
              <w:t>n</w:t>
            </w:r>
          </w:p>
          <w:p w14:paraId="404DD780" w14:textId="6FCF0167" w:rsidR="00340902" w:rsidRPr="0017007A" w:rsidRDefault="00340902" w:rsidP="00533385">
            <w:pPr>
              <w:pStyle w:val="ListParagraph"/>
              <w:numPr>
                <w:ilvl w:val="0"/>
                <w:numId w:val="56"/>
              </w:numPr>
              <w:spacing w:before="80" w:after="80" w:line="240" w:lineRule="auto"/>
              <w:ind w:left="176" w:hanging="176"/>
              <w:contextualSpacing w:val="0"/>
              <w:rPr>
                <w:sz w:val="20"/>
                <w:szCs w:val="20"/>
              </w:rPr>
            </w:pPr>
            <w:r w:rsidRPr="0017007A">
              <w:rPr>
                <w:sz w:val="20"/>
                <w:szCs w:val="20"/>
              </w:rPr>
              <w:t>decline in BB condition</w:t>
            </w:r>
          </w:p>
        </w:tc>
        <w:tc>
          <w:tcPr>
            <w:tcW w:w="1286" w:type="pct"/>
          </w:tcPr>
          <w:p w14:paraId="055110FC" w14:textId="7815E81F" w:rsidR="00083141" w:rsidRPr="0017007A" w:rsidRDefault="000714B3" w:rsidP="00533385">
            <w:pPr>
              <w:pStyle w:val="ListParagraph"/>
              <w:numPr>
                <w:ilvl w:val="0"/>
                <w:numId w:val="56"/>
              </w:numPr>
              <w:spacing w:before="80" w:after="80" w:line="240" w:lineRule="auto"/>
              <w:ind w:left="175" w:hanging="175"/>
              <w:contextualSpacing w:val="0"/>
              <w:rPr>
                <w:sz w:val="20"/>
                <w:szCs w:val="20"/>
              </w:rPr>
            </w:pPr>
            <w:r w:rsidRPr="0017007A">
              <w:rPr>
                <w:sz w:val="20"/>
                <w:szCs w:val="20"/>
              </w:rPr>
              <w:t xml:space="preserve">BB </w:t>
            </w:r>
            <w:r w:rsidR="00B7698E" w:rsidRPr="0017007A">
              <w:rPr>
                <w:sz w:val="20"/>
                <w:szCs w:val="20"/>
              </w:rPr>
              <w:t xml:space="preserve">- </w:t>
            </w:r>
            <w:r w:rsidRPr="0017007A">
              <w:rPr>
                <w:sz w:val="20"/>
                <w:szCs w:val="20"/>
              </w:rPr>
              <w:t>on higher</w:t>
            </w:r>
            <w:r w:rsidR="00B7698E" w:rsidRPr="0017007A">
              <w:rPr>
                <w:sz w:val="20"/>
                <w:szCs w:val="20"/>
              </w:rPr>
              <w:t xml:space="preserve"> elevations</w:t>
            </w:r>
            <w:r w:rsidR="008F7B19" w:rsidRPr="0017007A">
              <w:rPr>
                <w:sz w:val="20"/>
                <w:szCs w:val="20"/>
              </w:rPr>
              <w:t xml:space="preserve"> and on</w:t>
            </w:r>
            <w:r w:rsidR="00B7698E" w:rsidRPr="0017007A">
              <w:rPr>
                <w:sz w:val="20"/>
                <w:szCs w:val="20"/>
              </w:rPr>
              <w:t xml:space="preserve"> unwatered sites</w:t>
            </w:r>
          </w:p>
        </w:tc>
        <w:tc>
          <w:tcPr>
            <w:tcW w:w="713" w:type="pct"/>
          </w:tcPr>
          <w:p w14:paraId="120551F7" w14:textId="6F5271DC" w:rsidR="00083141" w:rsidRPr="00CD5901" w:rsidRDefault="00220C4A" w:rsidP="00533385">
            <w:pPr>
              <w:pStyle w:val="Tabletext"/>
              <w:rPr>
                <w:szCs w:val="18"/>
              </w:rPr>
            </w:pPr>
            <w:r w:rsidRPr="00CD5901">
              <w:rPr>
                <w:szCs w:val="18"/>
              </w:rPr>
              <w:t>Wallace 2022</w:t>
            </w:r>
            <w:r w:rsidR="00933247" w:rsidRPr="00CD5901">
              <w:rPr>
                <w:szCs w:val="18"/>
              </w:rPr>
              <w:t>; DEW 2023</w:t>
            </w:r>
            <w:r w:rsidR="00FF0EDA" w:rsidRPr="00CD5901">
              <w:rPr>
                <w:szCs w:val="18"/>
              </w:rPr>
              <w:t>c</w:t>
            </w:r>
          </w:p>
        </w:tc>
      </w:tr>
    </w:tbl>
    <w:p w14:paraId="64375A83" w14:textId="77777777" w:rsidR="00FE3782" w:rsidRDefault="00FE3782" w:rsidP="00A2521C">
      <w:pPr>
        <w:pStyle w:val="Heading5"/>
        <w:sectPr w:rsidR="00FE3782" w:rsidSect="00533385">
          <w:pgSz w:w="11906" w:h="16838"/>
          <w:pgMar w:top="1134" w:right="1247" w:bottom="1134" w:left="1361" w:header="454" w:footer="454" w:gutter="0"/>
          <w:cols w:space="708"/>
          <w:docGrid w:linePitch="360"/>
        </w:sectPr>
      </w:pPr>
    </w:p>
    <w:p w14:paraId="04EE4545" w14:textId="1C6E5BAD" w:rsidR="00FA2E0A" w:rsidRPr="000E4636" w:rsidRDefault="00FA2E0A" w:rsidP="00A2521C">
      <w:pPr>
        <w:pStyle w:val="Heading5"/>
      </w:pPr>
      <w:r w:rsidRPr="000E4636">
        <w:lastRenderedPageBreak/>
        <w:t>Black box</w:t>
      </w:r>
    </w:p>
    <w:p w14:paraId="5804EB7C" w14:textId="77777777" w:rsidR="00AE565D" w:rsidRDefault="00FA2E0A" w:rsidP="00131ED9">
      <w:r>
        <w:t xml:space="preserve">Black box woodland is typically an ecotone (i.e. a region of transition between two communities) between the lignum and river red gum dominated sub-communities of the ecological community at lower (i.e. more frequently inundated) areas of the floodplain, and mallee woodlands on the highland (i.e. never inundated). As such, they support the highest </w:t>
      </w:r>
      <w:r w:rsidR="00DA001A">
        <w:t xml:space="preserve">species richness of terrestrial birds for a floodplain vegetation community (Rogers </w:t>
      </w:r>
      <w:r w:rsidR="00C57CF8">
        <w:t xml:space="preserve">&amp; </w:t>
      </w:r>
      <w:r w:rsidR="00DA001A">
        <w:t xml:space="preserve">Paton 2008). </w:t>
      </w:r>
    </w:p>
    <w:p w14:paraId="3B7CF502" w14:textId="6B0FCBA8" w:rsidR="00131ED9" w:rsidRPr="00131ED9" w:rsidRDefault="00DA001A" w:rsidP="00131ED9">
      <w:r>
        <w:t>Following a flood, black box woodlands are more productive than adjacent mallee habitats and therefore, may be important habitat at a broader landscape-scale for fauna (McGinness et al. 2018; DEW 2020</w:t>
      </w:r>
      <w:r w:rsidR="005357B7">
        <w:t>c</w:t>
      </w:r>
      <w:r>
        <w:t>). Importantly, black box woodlands</w:t>
      </w:r>
      <w:r w:rsidR="007860D7">
        <w:t xml:space="preserve"> </w:t>
      </w:r>
      <w:r w:rsidR="001139F8">
        <w:t>generate organic matter that, when inundated, results in the mobilisation of water soluble dissolved organic carbon and nutrients that can provide vital resources for the aquatic food web (Gibbs et al. 2020).</w:t>
      </w:r>
    </w:p>
    <w:p w14:paraId="2E454E49" w14:textId="669D4C17" w:rsidR="000C1F89" w:rsidRPr="000C1F89" w:rsidRDefault="000C1F89" w:rsidP="00A2521C">
      <w:pPr>
        <w:pStyle w:val="Heading5"/>
      </w:pPr>
      <w:r w:rsidRPr="000C1F89">
        <w:t>Floodplain corridor and refuge</w:t>
      </w:r>
    </w:p>
    <w:p w14:paraId="160372BA" w14:textId="761CA97A" w:rsidR="00CC722A" w:rsidRDefault="002B02A0" w:rsidP="00131ED9">
      <w:pPr>
        <w:contextualSpacing/>
      </w:pPr>
      <w:r>
        <w:t xml:space="preserve">The </w:t>
      </w:r>
      <w:r w:rsidR="001F1C49">
        <w:t xml:space="preserve">riparian and </w:t>
      </w:r>
      <w:r>
        <w:t xml:space="preserve">floodplain corridor is of critical importance </w:t>
      </w:r>
      <w:r w:rsidR="00F67FA8">
        <w:t>for dispersal</w:t>
      </w:r>
      <w:r w:rsidR="00C60E55">
        <w:t xml:space="preserve"> </w:t>
      </w:r>
      <w:r w:rsidR="005E4954">
        <w:t xml:space="preserve">of native fauna </w:t>
      </w:r>
      <w:r w:rsidR="00C60E55">
        <w:t>(Morris 2012;</w:t>
      </w:r>
      <w:r w:rsidR="00C60E55" w:rsidRPr="00C60E55">
        <w:t xml:space="preserve"> </w:t>
      </w:r>
      <w:r w:rsidR="00C60E55">
        <w:t xml:space="preserve">Stoltefaut et al. 2024) and </w:t>
      </w:r>
      <w:r>
        <w:t xml:space="preserve">as a refuge for birds and other native fauna, particularly in times of drought (MDBC 2003a). The value of </w:t>
      </w:r>
      <w:r w:rsidR="001F1C49">
        <w:t xml:space="preserve">eucalypt </w:t>
      </w:r>
      <w:r>
        <w:t xml:space="preserve">trees as a refuge </w:t>
      </w:r>
      <w:r w:rsidR="001F1C49">
        <w:t xml:space="preserve">within the ecological community </w:t>
      </w:r>
      <w:r>
        <w:t xml:space="preserve">has increased considerably over the years, due to the </w:t>
      </w:r>
      <w:r w:rsidR="008E7D12">
        <w:t xml:space="preserve">overall </w:t>
      </w:r>
      <w:r>
        <w:t xml:space="preserve">reduced ecological integrity of the floodplain and human impacts elsewhere in the </w:t>
      </w:r>
      <w:r w:rsidR="008E7D12">
        <w:t xml:space="preserve">broader </w:t>
      </w:r>
      <w:r>
        <w:t>landscape (MDBC 2003a</w:t>
      </w:r>
      <w:r w:rsidR="00D707C4">
        <w:t>; Overton et al. 2018; DEW 2023a</w:t>
      </w:r>
      <w:r>
        <w:t>).</w:t>
      </w:r>
    </w:p>
    <w:p w14:paraId="622AB150" w14:textId="7F52F9FC" w:rsidR="00D34840" w:rsidRDefault="00D34840" w:rsidP="00A2521C">
      <w:pPr>
        <w:pStyle w:val="Heading5"/>
      </w:pPr>
      <w:r>
        <w:t>Requirements</w:t>
      </w:r>
    </w:p>
    <w:p w14:paraId="14B77739" w14:textId="5EAB908C" w:rsidR="00D34840" w:rsidRPr="00D34840" w:rsidRDefault="00E538DC" w:rsidP="00E538DC">
      <w:r>
        <w:t xml:space="preserve">For health and germination, the maximum inter-flood period that can be tolerated is 2-3 years for river red gum </w:t>
      </w:r>
      <w:r w:rsidR="00B32F3C">
        <w:t>(max. 5</w:t>
      </w:r>
      <w:r w:rsidR="00B32F3C" w:rsidRPr="00015C82">
        <w:rPr>
          <w:sz w:val="20"/>
          <w:szCs w:val="20"/>
        </w:rPr>
        <w:t>–</w:t>
      </w:r>
      <w:r w:rsidR="00B32F3C">
        <w:t xml:space="preserve">7 y) </w:t>
      </w:r>
      <w:r>
        <w:t>and 7-10 years for black box (Rogers &amp; Ralph 2010; Gawne et al. 2011; Kilsby &amp; Steggles 2015). For vigorous growth, black box require</w:t>
      </w:r>
      <w:r w:rsidR="006A3C22">
        <w:t>s</w:t>
      </w:r>
      <w:r>
        <w:t xml:space="preserve"> flooding every 3-7 years for 3-6 months of inundation, and although mature trees </w:t>
      </w:r>
      <w:r w:rsidRPr="006F26C7">
        <w:t>can survive for up to 19 years without flooding</w:t>
      </w:r>
      <w:r w:rsidR="00D707C4">
        <w:t>, the woodland</w:t>
      </w:r>
      <w:r w:rsidRPr="006F26C7">
        <w:t xml:space="preserve"> will be in poor condition and have a limited capacity f</w:t>
      </w:r>
      <w:r w:rsidR="0087541F">
        <w:t>o</w:t>
      </w:r>
      <w:r w:rsidRPr="006F26C7">
        <w:t>r recovery</w:t>
      </w:r>
      <w:r>
        <w:t xml:space="preserve"> (Overton et al. 2018). </w:t>
      </w:r>
    </w:p>
    <w:p w14:paraId="640D9EA8" w14:textId="61B7C5C3" w:rsidR="005E4954" w:rsidRPr="00D90314" w:rsidRDefault="00F1555A" w:rsidP="00A2521C">
      <w:pPr>
        <w:pStyle w:val="Heading5"/>
      </w:pPr>
      <w:r>
        <w:t>C</w:t>
      </w:r>
      <w:r w:rsidR="00D90314" w:rsidRPr="00D90314">
        <w:t>ondition</w:t>
      </w:r>
      <w:r>
        <w:t xml:space="preserve"> and decline</w:t>
      </w:r>
    </w:p>
    <w:p w14:paraId="764E44D2" w14:textId="217B148F" w:rsidR="00D90314" w:rsidRDefault="00CE3846" w:rsidP="0017007A">
      <w:pPr>
        <w:keepLines/>
      </w:pPr>
      <w:r w:rsidRPr="005B7AA3">
        <w:t>Eucalypt woodlands</w:t>
      </w:r>
      <w:r>
        <w:t>, characterised by widely-</w:t>
      </w:r>
      <w:r w:rsidRPr="005B7AA3">
        <w:t>spaced trees</w:t>
      </w:r>
      <w:r>
        <w:t>,</w:t>
      </w:r>
      <w:r w:rsidRPr="005B7AA3">
        <w:t xml:space="preserve"> </w:t>
      </w:r>
      <w:r w:rsidR="00233340">
        <w:t xml:space="preserve">had </w:t>
      </w:r>
      <w:r w:rsidRPr="005B7AA3">
        <w:t>once cover</w:t>
      </w:r>
      <w:r>
        <w:t>ed most of the floodplains within</w:t>
      </w:r>
      <w:r w:rsidRPr="005B7AA3">
        <w:t xml:space="preserve"> the ecological community. Their extent has been greatly reduced by cle</w:t>
      </w:r>
      <w:r>
        <w:t>aring since European settlement, and clearing has led to widespread dryland and riverine salinity problems (Allison et al. 1990; see also Criterion 5).</w:t>
      </w:r>
      <w:r w:rsidR="00385789">
        <w:t xml:space="preserve"> </w:t>
      </w:r>
      <w:r>
        <w:t>Co</w:t>
      </w:r>
      <w:r w:rsidRPr="005B7AA3">
        <w:t xml:space="preserve">mparison of pre-European </w:t>
      </w:r>
      <w:r>
        <w:t xml:space="preserve">with </w:t>
      </w:r>
      <w:r w:rsidRPr="005B7AA3">
        <w:t>ea</w:t>
      </w:r>
      <w:r>
        <w:t>rly-1990s vegetation estima</w:t>
      </w:r>
      <w:r w:rsidRPr="005B7AA3">
        <w:t xml:space="preserve">tes determined that </w:t>
      </w:r>
      <w:r>
        <w:t>only about 40</w:t>
      </w:r>
      <w:r w:rsidRPr="005B7AA3">
        <w:t>%</w:t>
      </w:r>
      <w:r>
        <w:t xml:space="preserve"> </w:t>
      </w:r>
      <w:r w:rsidRPr="005B7AA3">
        <w:t xml:space="preserve">of </w:t>
      </w:r>
      <w:r>
        <w:t>origina</w:t>
      </w:r>
      <w:r w:rsidRPr="005B7AA3">
        <w:t>l tree numbers remain across the Murray-Darling Basin</w:t>
      </w:r>
      <w:r>
        <w:t xml:space="preserve"> </w:t>
      </w:r>
      <w:r w:rsidRPr="005B7AA3">
        <w:t xml:space="preserve">(Walker et al. 1993). </w:t>
      </w:r>
    </w:p>
    <w:p w14:paraId="5BD0B1C8" w14:textId="0B73139F" w:rsidR="00D90314" w:rsidRDefault="003E2301" w:rsidP="002F41AF">
      <w:pPr>
        <w:keepLines/>
      </w:pPr>
      <w:r>
        <w:t>Notwithstanding differences in methodologies, various s</w:t>
      </w:r>
      <w:r w:rsidR="00CE3846">
        <w:t>urvey</w:t>
      </w:r>
      <w:r w:rsidR="00894461">
        <w:t>s</w:t>
      </w:r>
      <w:r w:rsidR="00CE3846">
        <w:t xml:space="preserve"> have revealed serious declines in condition of river red gum and black box in the Murray-Darling Basin</w:t>
      </w:r>
      <w:r w:rsidR="006C4712">
        <w:t xml:space="preserve"> over many decades</w:t>
      </w:r>
      <w:r w:rsidR="00CE3846">
        <w:t xml:space="preserve">, </w:t>
      </w:r>
      <w:r w:rsidR="00A078DA">
        <w:t xml:space="preserve">particularly in </w:t>
      </w:r>
      <w:r w:rsidR="00CE3846">
        <w:t>the region of the ecological community</w:t>
      </w:r>
      <w:r w:rsidR="00CF738E">
        <w:t xml:space="preserve"> (e.g. </w:t>
      </w:r>
      <w:r w:rsidR="00BD30BF">
        <w:t xml:space="preserve">Smith &amp; Kenny 2005; </w:t>
      </w:r>
      <w:r w:rsidR="00F24987">
        <w:t>Val et al. 2007</w:t>
      </w:r>
      <w:r w:rsidR="0032615B">
        <w:t xml:space="preserve">, </w:t>
      </w:r>
      <w:r w:rsidR="0032615B" w:rsidRPr="0032615B">
        <w:rPr>
          <w:u w:val="single"/>
        </w:rPr>
        <w:t>Table 2</w:t>
      </w:r>
      <w:r w:rsidR="00A0428F">
        <w:rPr>
          <w:u w:val="single"/>
        </w:rPr>
        <w:t>7</w:t>
      </w:r>
      <w:r w:rsidR="00F24987">
        <w:t>)</w:t>
      </w:r>
      <w:r w:rsidR="005C6739">
        <w:t xml:space="preserve">. </w:t>
      </w:r>
      <w:r w:rsidR="00B50007">
        <w:t>This has been attributed mainly to reduced flooding frequency</w:t>
      </w:r>
      <w:r w:rsidR="00466428">
        <w:t>,</w:t>
      </w:r>
      <w:r w:rsidR="00B50007">
        <w:t xml:space="preserve"> </w:t>
      </w:r>
      <w:r w:rsidR="00873886">
        <w:t>irrigation water diversions</w:t>
      </w:r>
      <w:r w:rsidR="003C6B19">
        <w:t xml:space="preserve">, </w:t>
      </w:r>
      <w:r w:rsidR="00B50007">
        <w:t>rising saline groundwater</w:t>
      </w:r>
      <w:r w:rsidR="007D7582">
        <w:t>, and weed</w:t>
      </w:r>
      <w:r w:rsidR="0092415B">
        <w:t xml:space="preserve"> invasion</w:t>
      </w:r>
      <w:r w:rsidR="00B50007">
        <w:t xml:space="preserve"> (</w:t>
      </w:r>
      <w:r w:rsidR="0081218D">
        <w:t xml:space="preserve">Smith &amp; Smith 2014; </w:t>
      </w:r>
      <w:r w:rsidR="004F003C">
        <w:t>DEW 2020</w:t>
      </w:r>
      <w:r w:rsidR="005357B7">
        <w:t>c</w:t>
      </w:r>
      <w:r w:rsidR="004F003C">
        <w:t xml:space="preserve">; </w:t>
      </w:r>
      <w:r w:rsidR="003C6B19">
        <w:t>Doody et al. 2021</w:t>
      </w:r>
      <w:r w:rsidR="00B50007">
        <w:t xml:space="preserve">). </w:t>
      </w:r>
      <w:r w:rsidR="004C3A9D">
        <w:t xml:space="preserve">Symptoms of severe and prolonged water stress </w:t>
      </w:r>
      <w:r w:rsidR="00A8549B">
        <w:t xml:space="preserve">are </w:t>
      </w:r>
      <w:r w:rsidR="004C3A9D">
        <w:t xml:space="preserve">typified by thinning crowns, </w:t>
      </w:r>
      <w:r w:rsidR="00B50007">
        <w:t>changes in leaf colour, leaf shed and at the final stages of deterioration the cracking of bark (Lane 2003).</w:t>
      </w:r>
      <w:r w:rsidR="008709A2">
        <w:t xml:space="preserve"> </w:t>
      </w:r>
    </w:p>
    <w:p w14:paraId="1EF6F053" w14:textId="44B12B23" w:rsidR="00372939" w:rsidRDefault="00B228B1" w:rsidP="00D90314">
      <w:r>
        <w:t>Th</w:t>
      </w:r>
      <w:r w:rsidR="00CC722A">
        <w:t>is</w:t>
      </w:r>
      <w:r>
        <w:t xml:space="preserve"> situation was</w:t>
      </w:r>
      <w:r w:rsidR="00CE3846">
        <w:t xml:space="preserve"> exacerbated by the Millennium Drought (up to 80% </w:t>
      </w:r>
      <w:r w:rsidR="005C6739">
        <w:t xml:space="preserve">of </w:t>
      </w:r>
      <w:r w:rsidR="00CE3846">
        <w:t>trees</w:t>
      </w:r>
      <w:r w:rsidR="005C6739">
        <w:t xml:space="preserve"> </w:t>
      </w:r>
      <w:r w:rsidR="00722146">
        <w:t>we</w:t>
      </w:r>
      <w:r w:rsidR="005C6739">
        <w:t>re stressed</w:t>
      </w:r>
      <w:r w:rsidR="00CE3846">
        <w:t xml:space="preserve">; see </w:t>
      </w:r>
      <w:r w:rsidR="00CE3846" w:rsidRPr="00671582">
        <w:rPr>
          <w:u w:val="single"/>
        </w:rPr>
        <w:t xml:space="preserve">Table </w:t>
      </w:r>
      <w:r w:rsidR="007330B2" w:rsidRPr="00671582">
        <w:rPr>
          <w:u w:val="single"/>
        </w:rPr>
        <w:t>2</w:t>
      </w:r>
      <w:r w:rsidR="00A0428F">
        <w:rPr>
          <w:u w:val="single"/>
        </w:rPr>
        <w:t>7</w:t>
      </w:r>
      <w:r w:rsidR="004F003C">
        <w:t xml:space="preserve"> and </w:t>
      </w:r>
      <w:r w:rsidR="00CE3846" w:rsidRPr="004F003C">
        <w:rPr>
          <w:u w:val="single"/>
        </w:rPr>
        <w:t xml:space="preserve">Figure </w:t>
      </w:r>
      <w:r w:rsidR="00F74579" w:rsidRPr="004F003C">
        <w:rPr>
          <w:u w:val="single"/>
        </w:rPr>
        <w:t>4</w:t>
      </w:r>
      <w:r w:rsidR="00CE3846">
        <w:t xml:space="preserve">). </w:t>
      </w:r>
      <w:r w:rsidR="00DE78A5">
        <w:t xml:space="preserve">However, </w:t>
      </w:r>
      <w:r w:rsidR="00330F2F">
        <w:t xml:space="preserve">results from a </w:t>
      </w:r>
      <w:r w:rsidR="007B10B4">
        <w:t>s</w:t>
      </w:r>
      <w:r w:rsidR="00C67797">
        <w:t xml:space="preserve">eminal </w:t>
      </w:r>
      <w:r w:rsidR="00330F2F">
        <w:t xml:space="preserve">1987–88 survey </w:t>
      </w:r>
      <w:r w:rsidR="009A4317">
        <w:t xml:space="preserve">demonstrate </w:t>
      </w:r>
      <w:r w:rsidR="00330F2F">
        <w:t xml:space="preserve">that the deteriorating condition of the vegetation was already evident in the 1980s, </w:t>
      </w:r>
      <w:r w:rsidR="00C67797">
        <w:t xml:space="preserve">i.e. </w:t>
      </w:r>
      <w:r w:rsidR="00330F2F">
        <w:t xml:space="preserve">prior to the </w:t>
      </w:r>
      <w:r w:rsidR="00330F2F">
        <w:lastRenderedPageBreak/>
        <w:t xml:space="preserve">Millennium Drought (Smith &amp; Smith 2014, </w:t>
      </w:r>
      <w:r w:rsidR="00330F2F" w:rsidRPr="00671582">
        <w:rPr>
          <w:u w:val="single"/>
        </w:rPr>
        <w:t>Table</w:t>
      </w:r>
      <w:r w:rsidR="008E1234" w:rsidRPr="00671582">
        <w:rPr>
          <w:u w:val="single"/>
        </w:rPr>
        <w:t> </w:t>
      </w:r>
      <w:r w:rsidR="007330B2" w:rsidRPr="00671582">
        <w:rPr>
          <w:u w:val="single"/>
        </w:rPr>
        <w:t>2</w:t>
      </w:r>
      <w:r w:rsidR="00CC5532">
        <w:rPr>
          <w:u w:val="single"/>
        </w:rPr>
        <w:t>7</w:t>
      </w:r>
      <w:r w:rsidR="00330F2F">
        <w:t>).</w:t>
      </w:r>
      <w:r w:rsidR="00CA659B">
        <w:t xml:space="preserve"> </w:t>
      </w:r>
      <w:r w:rsidR="001F269E">
        <w:t>Smith &amp; Smith (2</w:t>
      </w:r>
      <w:r w:rsidR="00CC722A">
        <w:t>0</w:t>
      </w:r>
      <w:r w:rsidR="001F269E">
        <w:t xml:space="preserve">14) report of this survey, </w:t>
      </w:r>
    </w:p>
    <w:p w14:paraId="21CB7759" w14:textId="0353C7C3" w:rsidR="00355F54" w:rsidRDefault="00372939" w:rsidP="00CC5E94">
      <w:r>
        <w:t>“</w:t>
      </w:r>
      <w:r w:rsidRPr="00372939">
        <w:rPr>
          <w:i/>
          <w:iCs/>
        </w:rPr>
        <w:t>T</w:t>
      </w:r>
      <w:r w:rsidR="001F269E" w:rsidRPr="00372939">
        <w:rPr>
          <w:i/>
          <w:iCs/>
        </w:rPr>
        <w:t>he poor condition of the black box trees, coupled with their poor regeneration, suggests that the long-term future of this species along the Murray, particularly below the Darling</w:t>
      </w:r>
      <w:r w:rsidR="00355F54" w:rsidRPr="00372939">
        <w:rPr>
          <w:i/>
          <w:iCs/>
        </w:rPr>
        <w:t xml:space="preserve"> Junction, is tenuous, even thou</w:t>
      </w:r>
      <w:r>
        <w:rPr>
          <w:i/>
          <w:iCs/>
        </w:rPr>
        <w:t>g</w:t>
      </w:r>
      <w:r w:rsidR="00355F54" w:rsidRPr="00372939">
        <w:rPr>
          <w:i/>
          <w:iCs/>
        </w:rPr>
        <w:t>h it is a dominant component of the vegetation</w:t>
      </w:r>
      <w:r w:rsidR="00355F54">
        <w:t>.”</w:t>
      </w:r>
      <w:r w:rsidR="001F269E">
        <w:t xml:space="preserve"> </w:t>
      </w:r>
    </w:p>
    <w:p w14:paraId="23C0480B" w14:textId="0AA406D5" w:rsidR="00CC722A" w:rsidRDefault="00CC722A" w:rsidP="00CC722A">
      <w:r>
        <w:t>Overton et al. (2018) also report that the condition of black box on the floodplain has declined since the 1980s, due to river regulation, drought, water extraction, irrigation drainage, grazing and land clearance. These drivers of decline have decreased the depth to the water table, increased soil salinity, and reduced the frequency (i.e. increased return period) of flooding (Overton et al. 2006, 2018).</w:t>
      </w:r>
      <w:r w:rsidR="009B29DC">
        <w:t xml:space="preserve"> </w:t>
      </w:r>
    </w:p>
    <w:p w14:paraId="2AC693E8" w14:textId="0264A56F" w:rsidR="00131ED9" w:rsidRDefault="00F1555A" w:rsidP="00CC5E94">
      <w:r>
        <w:t xml:space="preserve">MacNally et al. (2011) warn that the drying climate is likely to exacerbate forest and woodland dieback and lead to landscape-scale changes in the population viability of trees, as well as forest structure and understorey plant composition. Doody at al. (2021) similarly warn </w:t>
      </w:r>
      <w:r w:rsidRPr="006B5D17">
        <w:t xml:space="preserve">that along South Australian reaches of the River Murray, floodplain areas requiring flows of more than </w:t>
      </w:r>
      <w:r w:rsidR="002948D4">
        <w:br/>
      </w:r>
      <w:r w:rsidRPr="006B5D17">
        <w:t>80 000 ML</w:t>
      </w:r>
      <w:r w:rsidR="002E2D3B">
        <w:t>/</w:t>
      </w:r>
      <w:r w:rsidRPr="006B5D17">
        <w:t xml:space="preserve"> day to flood, are well outside what is considered manageable under the current constraints and </w:t>
      </w:r>
      <w:r w:rsidR="002E2D3B" w:rsidRPr="006B5D17">
        <w:t>these floodplains are likely at greater risk of further decline</w:t>
      </w:r>
      <w:r w:rsidR="002E2D3B">
        <w:t>. Of longer-term concern is that flow regimes may be inadequate to support black box breeding and marginal for red gum breeding in many areas where populations currently exist.</w:t>
      </w:r>
      <w:r w:rsidR="00CD739E">
        <w:t xml:space="preserve"> In addition, even in good years</w:t>
      </w:r>
      <w:r w:rsidR="004F19E6">
        <w:t>, when recruitment of trees is possible, seedlings and saplings ar</w:t>
      </w:r>
      <w:r w:rsidR="004C7131">
        <w:t>e at risk from</w:t>
      </w:r>
      <w:r w:rsidR="004F19E6">
        <w:t xml:space="preserve"> grazing (e.g. from livestock, </w:t>
      </w:r>
      <w:r w:rsidR="00F213C5">
        <w:t>feral herbivores</w:t>
      </w:r>
      <w:r w:rsidR="004C7131">
        <w:t>, native herbivores</w:t>
      </w:r>
      <w:r w:rsidR="00F213C5">
        <w:t>).</w:t>
      </w:r>
    </w:p>
    <w:p w14:paraId="39AD1CCF" w14:textId="3F366068" w:rsidR="00CB6DE3" w:rsidRDefault="00F10116" w:rsidP="002F41AF">
      <w:pPr>
        <w:pStyle w:val="Caption"/>
        <w:rPr>
          <w:szCs w:val="22"/>
        </w:rPr>
      </w:pPr>
      <w:r w:rsidRPr="00ED5C8E">
        <w:rPr>
          <w:noProof/>
          <w:bdr w:val="single" w:sz="8" w:space="0" w:color="auto"/>
        </w:rPr>
        <w:drawing>
          <wp:inline distT="0" distB="0" distL="0" distR="0" wp14:anchorId="6BF47DC4" wp14:editId="609BD93D">
            <wp:extent cx="5593522" cy="3687924"/>
            <wp:effectExtent l="0" t="0" r="7620" b="8255"/>
            <wp:docPr id="1" name="Picture 2" descr="A map of the extent of decline in river red gum health downstream of Mildura in 2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map of the extent of decline in river red gum health downstream of Mildura in 2003.  "/>
                    <pic:cNvPicPr>
                      <a:picLocks noChangeAspect="1" noChangeArrowheads="1"/>
                    </pic:cNvPicPr>
                  </pic:nvPicPr>
                  <pic:blipFill>
                    <a:blip r:embed="rId32" cstate="print"/>
                    <a:srcRect/>
                    <a:stretch>
                      <a:fillRect/>
                    </a:stretch>
                  </pic:blipFill>
                  <pic:spPr bwMode="auto">
                    <a:xfrm>
                      <a:off x="0" y="0"/>
                      <a:ext cx="5601760" cy="3693356"/>
                    </a:xfrm>
                    <a:prstGeom prst="rect">
                      <a:avLst/>
                    </a:prstGeom>
                    <a:noFill/>
                    <a:ln w="9525">
                      <a:noFill/>
                      <a:miter lim="800000"/>
                      <a:headEnd/>
                      <a:tailEnd/>
                    </a:ln>
                  </pic:spPr>
                </pic:pic>
              </a:graphicData>
            </a:graphic>
          </wp:inline>
        </w:drawing>
      </w:r>
      <w:bookmarkStart w:id="266" w:name="_Toc232747962"/>
      <w:r w:rsidRPr="00F10116">
        <w:rPr>
          <w:szCs w:val="22"/>
        </w:rPr>
        <w:t xml:space="preserve"> </w:t>
      </w:r>
      <w:r w:rsidR="002F41AF">
        <w:t xml:space="preserve">Figure </w:t>
      </w:r>
      <w:r w:rsidR="002F41AF">
        <w:fldChar w:fldCharType="begin"/>
      </w:r>
      <w:r w:rsidR="002F41AF">
        <w:instrText xml:space="preserve"> SEQ Figure \* ARABIC </w:instrText>
      </w:r>
      <w:r w:rsidR="002F41AF">
        <w:fldChar w:fldCharType="separate"/>
      </w:r>
      <w:r w:rsidR="006D35C5">
        <w:rPr>
          <w:noProof/>
        </w:rPr>
        <w:t>5</w:t>
      </w:r>
      <w:r w:rsidR="002F41AF">
        <w:fldChar w:fldCharType="end"/>
      </w:r>
      <w:r w:rsidRPr="00722146">
        <w:rPr>
          <w:szCs w:val="22"/>
        </w:rPr>
        <w:t>: Extent of decline in river red gum health downstream of Mildura. Red dots indicate where more than half the trees were stressed; green dots show where less than 50% were stressed (MDBC 2003a).</w:t>
      </w:r>
      <w:bookmarkEnd w:id="266"/>
      <w:r w:rsidR="00047897">
        <w:rPr>
          <w:szCs w:val="22"/>
        </w:rPr>
        <w:t xml:space="preserve"> </w:t>
      </w:r>
    </w:p>
    <w:p w14:paraId="6E18F257" w14:textId="77777777" w:rsidR="002F41AF" w:rsidRPr="002F41AF" w:rsidRDefault="002F41AF" w:rsidP="002F41AF"/>
    <w:p w14:paraId="6C77AF6F" w14:textId="6CF3E491" w:rsidR="00CB6DE3" w:rsidRPr="007C68E7" w:rsidRDefault="008B7D39" w:rsidP="007C68E7">
      <w:r>
        <w:lastRenderedPageBreak/>
        <w:t xml:space="preserve">The most stressed trees often occur in the meander plain, following the shallow contour lines of creeks and lagoons (MDBC 2003a; DEH 2004). These are areas that would benefit from moderate flows which occurred in 79 of every 100 years, but </w:t>
      </w:r>
      <w:r w:rsidR="00410F5A">
        <w:t>by the 21</w:t>
      </w:r>
      <w:r w:rsidR="00410F5A" w:rsidRPr="00410F5A">
        <w:rPr>
          <w:vertAlign w:val="superscript"/>
        </w:rPr>
        <w:t>st</w:t>
      </w:r>
      <w:r w:rsidR="00410F5A">
        <w:t xml:space="preserve"> century </w:t>
      </w:r>
      <w:r>
        <w:t>occur in only 30 of every 100 years (MDBC 2003a</w:t>
      </w:r>
      <w:r w:rsidR="002879A0">
        <w:t xml:space="preserve">; </w:t>
      </w:r>
      <w:r w:rsidR="002879A0" w:rsidRPr="002879A0">
        <w:rPr>
          <w:i/>
          <w:iCs/>
        </w:rPr>
        <w:t>more recent data to be added</w:t>
      </w:r>
      <w:r>
        <w:t xml:space="preserve">). </w:t>
      </w:r>
      <w:r w:rsidR="00DD7765">
        <w:t xml:space="preserve">Importantly, </w:t>
      </w:r>
      <w:r>
        <w:t xml:space="preserve">within the region of the ecological community, </w:t>
      </w:r>
      <w:r w:rsidR="00DD7765">
        <w:t>moderate flows, which normally would have flooded the elevations where many trees are located, have been reduced from an average frequency of 1 year in 3, to 1 year in 8</w:t>
      </w:r>
      <w:r w:rsidR="008F0F94">
        <w:t>-11</w:t>
      </w:r>
      <w:r w:rsidR="00DD7765">
        <w:t xml:space="preserve"> (i.e. since regulation</w:t>
      </w:r>
      <w:r w:rsidR="008F0F94">
        <w:t xml:space="preserve"> and </w:t>
      </w:r>
      <w:r w:rsidR="006174B7">
        <w:t xml:space="preserve">under </w:t>
      </w:r>
      <w:r w:rsidR="008F0F94">
        <w:t>climate change</w:t>
      </w:r>
      <w:r w:rsidR="00DD7765">
        <w:t>, Holland et al. 2009</w:t>
      </w:r>
      <w:r w:rsidR="008F0F94">
        <w:t>; Gawne et al. 2011</w:t>
      </w:r>
      <w:r w:rsidR="00F70E50">
        <w:t>; Wallace et al.</w:t>
      </w:r>
      <w:r w:rsidR="00E203A6">
        <w:t xml:space="preserve"> 2014</w:t>
      </w:r>
      <w:r w:rsidR="00DD7765">
        <w:t xml:space="preserve">). </w:t>
      </w:r>
      <w:r w:rsidR="0023419F">
        <w:t>O</w:t>
      </w:r>
      <w:r w:rsidR="00DD7765">
        <w:t xml:space="preserve">n the Chowilla floodplain, the average interval between flooding has increased from </w:t>
      </w:r>
      <w:r w:rsidR="006174B7">
        <w:t>2</w:t>
      </w:r>
      <w:r w:rsidR="00DD7765">
        <w:t xml:space="preserve"> years (historical interval) to </w:t>
      </w:r>
      <w:r w:rsidR="006174B7">
        <w:t>9</w:t>
      </w:r>
      <w:r w:rsidR="00DD7765">
        <w:t xml:space="preserve"> years (regulated), and</w:t>
      </w:r>
      <w:r w:rsidR="00355CE4">
        <w:t>,</w:t>
      </w:r>
      <w:r w:rsidR="00DD7765">
        <w:t xml:space="preserve"> is projected to increase to 19 years by 2030 (CSIRO 2008</w:t>
      </w:r>
      <w:r w:rsidR="005B3086">
        <w:t xml:space="preserve">; </w:t>
      </w:r>
      <w:r w:rsidR="005B3086" w:rsidRPr="005B3086">
        <w:rPr>
          <w:i/>
          <w:iCs/>
        </w:rPr>
        <w:t>more recent data</w:t>
      </w:r>
      <w:r w:rsidR="005B3086">
        <w:rPr>
          <w:i/>
          <w:iCs/>
        </w:rPr>
        <w:t xml:space="preserve"> to be added if available</w:t>
      </w:r>
      <w:r w:rsidR="00DD7765">
        <w:t>). Chowilla is the largest area of undeveloped floodplain habitat within the ecological community and the largest area of riverine woodland in South Australia (Overton et al. 2006; Gehrig et al. 2012</w:t>
      </w:r>
      <w:r w:rsidR="00230AC2">
        <w:t>; DEW 2020</w:t>
      </w:r>
      <w:r w:rsidR="005357B7">
        <w:t>c</w:t>
      </w:r>
      <w:r w:rsidR="00DD7765">
        <w:t xml:space="preserve">). </w:t>
      </w:r>
    </w:p>
    <w:p w14:paraId="69DBE517" w14:textId="370C431E" w:rsidR="00A313A0" w:rsidRPr="00A313A0" w:rsidRDefault="00A313A0" w:rsidP="00A2521C">
      <w:pPr>
        <w:pStyle w:val="Heading5"/>
      </w:pPr>
      <w:r w:rsidRPr="00A313A0">
        <w:t>Salinity</w:t>
      </w:r>
    </w:p>
    <w:p w14:paraId="1A6CDEE3" w14:textId="77777777" w:rsidR="00562ABB" w:rsidRDefault="00181ABF" w:rsidP="00CB6DE3">
      <w:r>
        <w:t>In addition to the effects of reduced flooding on tree health, floods ha</w:t>
      </w:r>
      <w:r w:rsidR="000219AD">
        <w:t>ve</w:t>
      </w:r>
      <w:r>
        <w:t xml:space="preserve"> been insufficient to purge accumulated salt from the floodplain soil (MDBC 2003a</w:t>
      </w:r>
      <w:r w:rsidR="00A15083">
        <w:t>; Hart et al. 2020</w:t>
      </w:r>
      <w:r w:rsidR="00A51557">
        <w:t>; Verhoven et al. 2024</w:t>
      </w:r>
      <w:r>
        <w:t>). In these circumstances, the trees develop a higher dependence on groundwater, compounding soil-salinity problems in areas underlain by saline groundwater (Jolly 1996). Rises in saline groundwater have occurred due to river regulation since the 1920s (Overton et al. 2006</w:t>
      </w:r>
      <w:r w:rsidR="008657D2">
        <w:t>, 2018</w:t>
      </w:r>
      <w:r>
        <w:t xml:space="preserve">). Taylor et al. (1996) estimated that in 1993 about 40% of the floodplain of the ecological community was affected by soil salinisation and this increased to 65% in 2003 (DEH 2004; Smith </w:t>
      </w:r>
      <w:r w:rsidR="008657D2">
        <w:t xml:space="preserve">&amp; </w:t>
      </w:r>
      <w:r>
        <w:t xml:space="preserve">Kenny 2005). </w:t>
      </w:r>
    </w:p>
    <w:p w14:paraId="727569DA" w14:textId="4D49ED82" w:rsidR="00CB6DE3" w:rsidRDefault="00181ABF" w:rsidP="008868F8">
      <w:pPr>
        <w:keepLines/>
      </w:pPr>
      <w:r>
        <w:t>Specifically, the Chowilla floodplain is a 'sink' for naturally saline regional aquifers in the western Murray Basin (Gehrig et al. 2012). Modelling by Overton et al. (2006) suggested that 65% of trees at Chowilla were affected by soil salinisation, including trees along creeks where groundwater enters well away from the main channel (MDBC 2003a).</w:t>
      </w:r>
      <w:r w:rsidR="000868E8">
        <w:t xml:space="preserve"> </w:t>
      </w:r>
      <w:r w:rsidR="000868E8" w:rsidRPr="000868E8">
        <w:t>A field comparison of water use at two sites on the Chowilla floodplain found that trees using saline groundwater (25 to 33 EC) were in better condition (higher leaf area, taller trees) than trees using groundwater close to the salinity of seawater (60 EC)</w:t>
      </w:r>
      <w:r w:rsidR="0077187F">
        <w:t xml:space="preserve"> (Roberts &amp; Marston 2011).</w:t>
      </w:r>
    </w:p>
    <w:p w14:paraId="26081D4A" w14:textId="469237D9" w:rsidR="00404927" w:rsidRDefault="00404927" w:rsidP="00CB6DE3">
      <w:r>
        <w:t>In dry periods, river red gum rely on subsoil moisture and groundwater for growth and survival (White et al. 2000). Holland et al. (2009) demonstrated that riparian trees within the ecological community need a long-term, low salinity water source (flooding/fresh groundwater) to limit water stress, as well as bank recharge to maintain fresh groundwater.</w:t>
      </w:r>
      <w:r w:rsidRPr="005B7AA3">
        <w:t xml:space="preserve"> </w:t>
      </w:r>
      <w:r>
        <w:t>T</w:t>
      </w:r>
      <w:r w:rsidRPr="005B7AA3">
        <w:t>he limited extent and duration of en</w:t>
      </w:r>
      <w:r>
        <w:t xml:space="preserve">vironmental flows under present </w:t>
      </w:r>
      <w:r w:rsidRPr="005B7AA3">
        <w:t>conditions of river regulation, water extraction</w:t>
      </w:r>
      <w:r w:rsidR="006177E0">
        <w:t>,</w:t>
      </w:r>
      <w:r w:rsidRPr="005B7AA3">
        <w:t xml:space="preserve"> and climate </w:t>
      </w:r>
      <w:r>
        <w:t xml:space="preserve">change are not sufficient to meet their needs and to </w:t>
      </w:r>
      <w:r w:rsidRPr="005B7AA3">
        <w:t xml:space="preserve">remove accumulated </w:t>
      </w:r>
      <w:r>
        <w:t xml:space="preserve">soil </w:t>
      </w:r>
      <w:r w:rsidRPr="005B7AA3">
        <w:t xml:space="preserve">salts </w:t>
      </w:r>
      <w:r>
        <w:t>(MDBC 2003a; Holland et al.</w:t>
      </w:r>
      <w:r w:rsidR="006177E0">
        <w:t xml:space="preserve"> </w:t>
      </w:r>
      <w:r>
        <w:t>2009)</w:t>
      </w:r>
      <w:r w:rsidRPr="005B7AA3">
        <w:t xml:space="preserve">. </w:t>
      </w:r>
      <w:r>
        <w:t>See Criterion 5 for the rate of detrimental change due to salinisation.</w:t>
      </w:r>
    </w:p>
    <w:p w14:paraId="6F0B81E6" w14:textId="027A5B20" w:rsidR="00A313A0" w:rsidRPr="00A313A0" w:rsidRDefault="00A313A0" w:rsidP="00A2521C">
      <w:pPr>
        <w:pStyle w:val="Heading5"/>
      </w:pPr>
      <w:r w:rsidRPr="00A313A0">
        <w:t>Recruitment</w:t>
      </w:r>
      <w:r w:rsidR="00AB107B">
        <w:t xml:space="preserve"> and </w:t>
      </w:r>
      <w:r w:rsidR="0059285D">
        <w:t>s</w:t>
      </w:r>
      <w:r w:rsidR="00AB107B">
        <w:t xml:space="preserve">tand </w:t>
      </w:r>
      <w:r w:rsidR="0059285D">
        <w:t>s</w:t>
      </w:r>
      <w:r w:rsidR="00AB107B">
        <w:t>tructure</w:t>
      </w:r>
    </w:p>
    <w:p w14:paraId="730B9735" w14:textId="1E6504B7" w:rsidR="00532CF3" w:rsidRDefault="00532CF3" w:rsidP="00A313A0">
      <w:r>
        <w:t xml:space="preserve">Disturbances of various kinds may result </w:t>
      </w:r>
      <w:r w:rsidRPr="005B7AA3">
        <w:t>in dieback and decline in tree health, as well as changed patterns of survival a</w:t>
      </w:r>
      <w:r>
        <w:t>nd recruitment, that may be manif</w:t>
      </w:r>
      <w:r w:rsidRPr="005B7AA3">
        <w:t>est</w:t>
      </w:r>
      <w:r>
        <w:t>ed</w:t>
      </w:r>
      <w:r w:rsidRPr="005B7AA3">
        <w:t xml:space="preserve"> over years and decades (</w:t>
      </w:r>
      <w:r>
        <w:t xml:space="preserve">e.g. MDBC 2003a; </w:t>
      </w:r>
      <w:r w:rsidRPr="005B7AA3">
        <w:t>George et al</w:t>
      </w:r>
      <w:r>
        <w:t>.</w:t>
      </w:r>
      <w:r w:rsidRPr="005B7AA3">
        <w:t xml:space="preserve"> 2005 and references therein</w:t>
      </w:r>
      <w:r>
        <w:t>; Lamontagne et al. 2012; Overton 2018; DEW 2020c</w:t>
      </w:r>
      <w:r w:rsidRPr="005B7AA3">
        <w:t>).</w:t>
      </w:r>
      <w:r>
        <w:t xml:space="preserve"> </w:t>
      </w:r>
      <w:r w:rsidR="00404927">
        <w:t xml:space="preserve">For populations of these </w:t>
      </w:r>
      <w:r w:rsidR="0028244C">
        <w:t xml:space="preserve">eucalypt </w:t>
      </w:r>
      <w:r w:rsidR="006177E0">
        <w:t xml:space="preserve">tree </w:t>
      </w:r>
      <w:r w:rsidR="00404927">
        <w:t>species</w:t>
      </w:r>
      <w:r w:rsidR="00404927" w:rsidRPr="005B7AA3">
        <w:t xml:space="preserve"> to persist</w:t>
      </w:r>
      <w:r w:rsidR="00404927">
        <w:t xml:space="preserve"> in the ecological community</w:t>
      </w:r>
      <w:r w:rsidR="00404927" w:rsidRPr="005B7AA3">
        <w:t>, recruitment must keep pace with mortality (George et al</w:t>
      </w:r>
      <w:r w:rsidR="00404927">
        <w:t>.</w:t>
      </w:r>
      <w:r w:rsidR="00404927" w:rsidRPr="005B7AA3">
        <w:t xml:space="preserve"> 2005</w:t>
      </w:r>
      <w:r w:rsidR="00404927">
        <w:t>; Lamontagne et al. 2012)</w:t>
      </w:r>
      <w:r w:rsidR="00404927" w:rsidRPr="005B7AA3">
        <w:t xml:space="preserve">. </w:t>
      </w:r>
      <w:r w:rsidR="002C0B3D">
        <w:t>T</w:t>
      </w:r>
      <w:r w:rsidR="009C088C">
        <w:t xml:space="preserve">rees are needed to replace the ageing mature trees, but few recruits </w:t>
      </w:r>
      <w:r w:rsidR="002C0B3D">
        <w:t xml:space="preserve">had </w:t>
      </w:r>
      <w:r w:rsidR="009C088C">
        <w:t>survived since the substantial floods in 1973–75 (Jensen 2011a).</w:t>
      </w:r>
    </w:p>
    <w:p w14:paraId="5406F738" w14:textId="2065D312" w:rsidR="00A313A0" w:rsidRDefault="00404927" w:rsidP="00A313A0">
      <w:r>
        <w:lastRenderedPageBreak/>
        <w:t>W</w:t>
      </w:r>
      <w:r w:rsidRPr="005B7AA3">
        <w:t xml:space="preserve">oodlands </w:t>
      </w:r>
      <w:r w:rsidR="00642BB1">
        <w:t xml:space="preserve">and forests </w:t>
      </w:r>
      <w:r w:rsidRPr="005B7AA3">
        <w:t>in the ecological community have complex stand structures, with conspicuous</w:t>
      </w:r>
      <w:r>
        <w:t xml:space="preserve"> gaps in size classes showing that recruitment has been</w:t>
      </w:r>
      <w:r w:rsidRPr="005B7AA3">
        <w:t xml:space="preserve"> episodic rather than continuous (George et al. 2005). </w:t>
      </w:r>
      <w:r>
        <w:t>For both river red gum and black box, flooding is the primary source of moisture for germination and seedling establishment (George et al. 2005)</w:t>
      </w:r>
      <w:r w:rsidRPr="005B7AA3">
        <w:t xml:space="preserve">. </w:t>
      </w:r>
      <w:r w:rsidR="00EE4898">
        <w:t>Towards the end of the Millennium Drought, d</w:t>
      </w:r>
      <w:r>
        <w:t>ata from floodplains around Pike River, Banrock Station, and Locks 1–4 show</w:t>
      </w:r>
      <w:r w:rsidR="00EE4898">
        <w:t>ed</w:t>
      </w:r>
      <w:r>
        <w:t xml:space="preserve"> that the numbers of juvenile trees </w:t>
      </w:r>
      <w:r w:rsidR="00665B6C">
        <w:t xml:space="preserve">were </w:t>
      </w:r>
      <w:r>
        <w:t>insufficient to maintain stand structure and compensate for adult mortality, with strong indications of recruitment failure, particularly for black box (George et al. 2005; Wallace 2009; Aldridge et al. 2012b; Lamontagne et al. 2012).</w:t>
      </w:r>
      <w:r w:rsidR="00E90E09">
        <w:t xml:space="preserve"> </w:t>
      </w:r>
    </w:p>
    <w:p w14:paraId="58C291AA" w14:textId="77777777" w:rsidR="00B34F5E" w:rsidRDefault="00561DA9" w:rsidP="00A313A0">
      <w:r>
        <w:t xml:space="preserve">Lamontagne et al. </w:t>
      </w:r>
      <w:r w:rsidR="003749D6">
        <w:t>(</w:t>
      </w:r>
      <w:r>
        <w:t>2012</w:t>
      </w:r>
      <w:r w:rsidR="003749D6">
        <w:t>)</w:t>
      </w:r>
      <w:r>
        <w:t xml:space="preserve"> </w:t>
      </w:r>
      <w:r w:rsidR="00307441">
        <w:t>cautioned i</w:t>
      </w:r>
      <w:r w:rsidR="00126E69">
        <w:t xml:space="preserve">t </w:t>
      </w:r>
      <w:r w:rsidR="00307441">
        <w:t>was</w:t>
      </w:r>
      <w:r w:rsidR="00126E69">
        <w:t xml:space="preserve"> extremely unlikely that tree condition w</w:t>
      </w:r>
      <w:r w:rsidR="00307441">
        <w:t>ould</w:t>
      </w:r>
      <w:r w:rsidR="00126E69">
        <w:t xml:space="preserve"> improve</w:t>
      </w:r>
      <w:r w:rsidR="00201B78">
        <w:t xml:space="preserve"> after the drought,</w:t>
      </w:r>
      <w:r w:rsidR="00126E69">
        <w:t xml:space="preserve"> without a return to more frequent inundation, and there</w:t>
      </w:r>
      <w:r w:rsidR="00307441">
        <w:t xml:space="preserve"> was</w:t>
      </w:r>
      <w:r w:rsidR="00126E69">
        <w:t xml:space="preserve"> likely to be a continuing contraction in the extent of dominant riparian vegetation, reducing the ‘active’ floodplain to about one third of its former extent (a decline of about 66%)</w:t>
      </w:r>
      <w:r w:rsidR="00630EBA">
        <w:t>.</w:t>
      </w:r>
      <w:r w:rsidR="00532CF3">
        <w:t xml:space="preserve"> These authors </w:t>
      </w:r>
      <w:r w:rsidR="00630EBA">
        <w:t xml:space="preserve">also cautioned that, combined with the impacts of climate change, there </w:t>
      </w:r>
      <w:r w:rsidR="00A97F6E">
        <w:t xml:space="preserve">is </w:t>
      </w:r>
      <w:r w:rsidR="00630EBA">
        <w:t>also likely to be transitions in species distributions in response to increasing soil salinity and reduced flood frequency and duration (e.g.</w:t>
      </w:r>
      <w:r w:rsidR="00AB107B">
        <w:t xml:space="preserve"> river red gum replaced by black box and river cooba).</w:t>
      </w:r>
      <w:r w:rsidR="003749D6">
        <w:t xml:space="preserve"> </w:t>
      </w:r>
    </w:p>
    <w:p w14:paraId="08A6532D" w14:textId="00E7D427" w:rsidR="003446E4" w:rsidRDefault="003749D6" w:rsidP="008868F8">
      <w:pPr>
        <w:keepLines/>
      </w:pPr>
      <w:r>
        <w:t>In addition, although black box is less affected by the loss of small floods than river red gum, the long-term survival of stands is threatened by reduced duration and frequency of larger floods. Very large floods (</w:t>
      </w:r>
      <w:r w:rsidR="00A97F6E">
        <w:t>&gt;</w:t>
      </w:r>
      <w:r>
        <w:t xml:space="preserve"> 100 000 ML/day) are needed to alleviate stress in black box at higher elevations on the floodplain (Jensen 2011a). </w:t>
      </w:r>
      <w:r w:rsidR="004E3AFF">
        <w:t xml:space="preserve">Drought-breaking floods occurred in </w:t>
      </w:r>
      <w:r w:rsidR="00EC16D3">
        <w:t>2010-1</w:t>
      </w:r>
      <w:r w:rsidR="009F39FF">
        <w:t>1</w:t>
      </w:r>
      <w:r w:rsidR="00EC16D3">
        <w:t xml:space="preserve"> </w:t>
      </w:r>
      <w:r w:rsidR="00083535">
        <w:t xml:space="preserve">(peak 94 000 ML/day) </w:t>
      </w:r>
      <w:r w:rsidR="00EC16D3">
        <w:t>replenished soil moisture reserves and a new generation of seedlings germinated</w:t>
      </w:r>
      <w:r w:rsidR="002136C3">
        <w:t xml:space="preserve"> (Jensen &amp; Walker 2017)</w:t>
      </w:r>
      <w:r w:rsidR="00EC16D3">
        <w:t xml:space="preserve">. </w:t>
      </w:r>
      <w:r w:rsidR="002136C3">
        <w:t>In some locations these have been nurtured by environmental watering. Extreme</w:t>
      </w:r>
      <w:r w:rsidR="002D7BDE">
        <w:t xml:space="preserve"> flooding </w:t>
      </w:r>
      <w:r w:rsidR="00083535">
        <w:t xml:space="preserve">well </w:t>
      </w:r>
      <w:r w:rsidR="002136C3">
        <w:t xml:space="preserve">in excess of </w:t>
      </w:r>
      <w:r w:rsidR="008B1EFD">
        <w:t xml:space="preserve">100 000 ML/day </w:t>
      </w:r>
      <w:r w:rsidR="002D7BDE">
        <w:t>occurred in 2022/23</w:t>
      </w:r>
      <w:r w:rsidR="007C1C33">
        <w:t xml:space="preserve">—peak </w:t>
      </w:r>
      <w:r w:rsidR="0024470F">
        <w:t>186 000 ML/day</w:t>
      </w:r>
      <w:r w:rsidR="002D7BDE">
        <w:t xml:space="preserve"> </w:t>
      </w:r>
      <w:r w:rsidR="00072A35">
        <w:t xml:space="preserve">at SA/VIC border </w:t>
      </w:r>
      <w:r w:rsidR="002D7BDE">
        <w:t>(D</w:t>
      </w:r>
      <w:r w:rsidR="006B7CB5">
        <w:t>EW 2023b, c</w:t>
      </w:r>
      <w:r w:rsidR="00DA0B8B">
        <w:t>, 2024</w:t>
      </w:r>
      <w:r w:rsidR="006B7CB5">
        <w:t>).</w:t>
      </w:r>
    </w:p>
    <w:p w14:paraId="7AF26A47" w14:textId="39FF60EA" w:rsidR="0059285D" w:rsidRPr="0059285D" w:rsidRDefault="0059285D" w:rsidP="00A2521C">
      <w:pPr>
        <w:pStyle w:val="Heading5"/>
      </w:pPr>
      <w:r w:rsidRPr="00D7793A">
        <w:t>Trends and outlook</w:t>
      </w:r>
    </w:p>
    <w:p w14:paraId="78FEEDEC" w14:textId="4E1D7CD9" w:rsidR="00A437BC" w:rsidRDefault="000B5978" w:rsidP="00D7793A">
      <w:r>
        <w:t xml:space="preserve">Post Millennium Drought there </w:t>
      </w:r>
      <w:r w:rsidR="002136C3">
        <w:t xml:space="preserve">have been </w:t>
      </w:r>
      <w:r w:rsidR="00846652">
        <w:t xml:space="preserve">targeted environmental water deliveries at various locations within the ecological community. These brought some relief to stressed eucalypts on the floodplain </w:t>
      </w:r>
      <w:r w:rsidR="00292835">
        <w:t xml:space="preserve">in </w:t>
      </w:r>
      <w:r w:rsidR="00E77B81">
        <w:t>specific areas</w:t>
      </w:r>
      <w:r w:rsidR="00C86A25">
        <w:t>,</w:t>
      </w:r>
      <w:r w:rsidR="00E77B81">
        <w:t xml:space="preserve"> </w:t>
      </w:r>
      <w:r w:rsidR="00846652">
        <w:t>but it is increasingly clear that there needs to be longer term and more regular watering events to sustain and/or recover existing stands (</w:t>
      </w:r>
      <w:r w:rsidR="006E1AA5">
        <w:t xml:space="preserve">Deny et al. 2019; </w:t>
      </w:r>
      <w:r w:rsidR="00C86A25" w:rsidRPr="00C86A25">
        <w:t>Doody et al. 2021</w:t>
      </w:r>
      <w:r w:rsidR="00EE047E" w:rsidRPr="00C86A25">
        <w:t>;</w:t>
      </w:r>
      <w:r w:rsidR="00EE047E">
        <w:t xml:space="preserve"> </w:t>
      </w:r>
      <w:r w:rsidR="00E77B81">
        <w:t>DEW 202</w:t>
      </w:r>
      <w:r w:rsidR="00EE047E">
        <w:t>3</w:t>
      </w:r>
      <w:r w:rsidR="00FF0EDA">
        <w:t>c</w:t>
      </w:r>
      <w:r w:rsidR="00846652">
        <w:t>). However, artificial watering is not a direct substitute for regular natural floods</w:t>
      </w:r>
      <w:r w:rsidR="00AF3CF7">
        <w:t>, particularly</w:t>
      </w:r>
      <w:r w:rsidR="00846652">
        <w:t xml:space="preserve"> given the limited extent and degree of salt leaching, bank recharge</w:t>
      </w:r>
      <w:r w:rsidR="00E77B81">
        <w:t>,</w:t>
      </w:r>
      <w:r w:rsidR="00846652">
        <w:t xml:space="preserve"> and groundwater freshening in comparison to natural floods (Ye et al. 2014).</w:t>
      </w:r>
      <w:r w:rsidR="00B237C9">
        <w:t xml:space="preserve"> </w:t>
      </w:r>
      <w:r w:rsidR="00A437BC">
        <w:t>Also,</w:t>
      </w:r>
      <w:r w:rsidR="00B237C9">
        <w:t xml:space="preserve"> </w:t>
      </w:r>
      <w:r w:rsidR="0087541F">
        <w:t xml:space="preserve">anecdotal evidence suggests that, for black box, the health benefits from inundation are variable; although not systematically documented, some cases of environmental watering </w:t>
      </w:r>
      <w:r w:rsidR="00DA0B8B">
        <w:t xml:space="preserve">were observed to </w:t>
      </w:r>
      <w:r w:rsidR="0087541F">
        <w:t xml:space="preserve">produce little improvement (AWE 2015). </w:t>
      </w:r>
    </w:p>
    <w:p w14:paraId="1CD1D1A3" w14:textId="64F92527" w:rsidR="00B847D7" w:rsidRDefault="00846652" w:rsidP="00126E69">
      <w:r>
        <w:t>T</w:t>
      </w:r>
      <w:r w:rsidR="000B5978">
        <w:t xml:space="preserve">he massive flood of </w:t>
      </w:r>
      <w:r w:rsidR="005E0B4C">
        <w:t xml:space="preserve">November </w:t>
      </w:r>
      <w:r w:rsidR="000B5978">
        <w:t>202</w:t>
      </w:r>
      <w:r w:rsidR="005E0B4C">
        <w:t xml:space="preserve">2 to </w:t>
      </w:r>
      <w:r w:rsidR="006A5DFE">
        <w:t>February 20</w:t>
      </w:r>
      <w:r w:rsidR="000B5978">
        <w:t>23—the third largest on record in South Australia</w:t>
      </w:r>
      <w:r>
        <w:t xml:space="preserve">, </w:t>
      </w:r>
      <w:r w:rsidR="002E4307">
        <w:t>inundated almost the entire South Australian River Murray floodplain, reaching areas that had not received water in decades</w:t>
      </w:r>
      <w:r w:rsidR="007F0B65">
        <w:t xml:space="preserve"> (DEW 2024</w:t>
      </w:r>
      <w:r w:rsidR="00AC2E94">
        <w:t>a</w:t>
      </w:r>
      <w:r w:rsidR="007F0B65">
        <w:t xml:space="preserve">). This </w:t>
      </w:r>
      <w:r w:rsidR="0056501C">
        <w:t>resulted in the flushing and freshening of large areas of floodplain soils</w:t>
      </w:r>
      <w:r w:rsidR="009926A6">
        <w:t xml:space="preserve"> and </w:t>
      </w:r>
      <w:r w:rsidR="00EB3BBD">
        <w:t xml:space="preserve">a ‘boost’ for </w:t>
      </w:r>
      <w:r w:rsidR="009926A6">
        <w:t>native vegetation</w:t>
      </w:r>
      <w:r w:rsidR="003E211C">
        <w:t xml:space="preserve"> (DEW 2024</w:t>
      </w:r>
      <w:r w:rsidR="00DE52E5">
        <w:t>b, c</w:t>
      </w:r>
      <w:r w:rsidR="003E211C">
        <w:t>)</w:t>
      </w:r>
      <w:r w:rsidR="002E4307">
        <w:t xml:space="preserve">. </w:t>
      </w:r>
      <w:r w:rsidR="00265710">
        <w:t xml:space="preserve">However, such floods can also </w:t>
      </w:r>
      <w:r w:rsidR="00097898">
        <w:t xml:space="preserve">contribute to </w:t>
      </w:r>
      <w:r w:rsidR="007604FB">
        <w:t>erosion, siltation, and introduction of pollutants</w:t>
      </w:r>
      <w:r w:rsidR="00097898">
        <w:t xml:space="preserve"> and pests</w:t>
      </w:r>
      <w:r w:rsidR="007604FB">
        <w:t xml:space="preserve">. </w:t>
      </w:r>
      <w:r w:rsidR="006B1DAD">
        <w:t xml:space="preserve">While </w:t>
      </w:r>
      <w:r w:rsidR="00B065BF">
        <w:t xml:space="preserve">floods such as this represent </w:t>
      </w:r>
      <w:r w:rsidR="00097898">
        <w:t>an’ ecological reset’</w:t>
      </w:r>
      <w:r w:rsidR="00B06E20">
        <w:t xml:space="preserve"> for some species and functions</w:t>
      </w:r>
      <w:r w:rsidR="00B065BF">
        <w:t xml:space="preserve">, they cannot reverse the long-term decline </w:t>
      </w:r>
      <w:r w:rsidR="008C71E5">
        <w:t xml:space="preserve">experienced by </w:t>
      </w:r>
      <w:r w:rsidR="00B06E20">
        <w:t xml:space="preserve">eucalypt trees </w:t>
      </w:r>
      <w:r w:rsidR="008C71E5">
        <w:t>within the ecological community.</w:t>
      </w:r>
    </w:p>
    <w:p w14:paraId="5332950D" w14:textId="6D11C774" w:rsidR="00A437BC" w:rsidRDefault="00A437BC" w:rsidP="00126E69">
      <w:r>
        <w:t>The most recent monitoring of these eucalypts on the SA Murray floodplain</w:t>
      </w:r>
      <w:r w:rsidR="008F04A0">
        <w:t>, i.e. post 2022/23 flooding,</w:t>
      </w:r>
      <w:r>
        <w:t xml:space="preserve"> indicates that the condition of black box </w:t>
      </w:r>
      <w:r w:rsidR="007A2334">
        <w:t xml:space="preserve">has </w:t>
      </w:r>
      <w:r>
        <w:t>continue</w:t>
      </w:r>
      <w:r w:rsidR="007A2334">
        <w:t>d</w:t>
      </w:r>
      <w:r>
        <w:t xml:space="preserve"> to decline</w:t>
      </w:r>
      <w:r w:rsidR="00081764">
        <w:t xml:space="preserve">, </w:t>
      </w:r>
      <w:r>
        <w:t xml:space="preserve">while that of river </w:t>
      </w:r>
      <w:r>
        <w:lastRenderedPageBreak/>
        <w:t>red gum, while ‘poor’ is ‘getting better’ where water for the environment has been delivered (DEW</w:t>
      </w:r>
      <w:r w:rsidR="000173EA">
        <w:t xml:space="preserve"> 2023c,</w:t>
      </w:r>
      <w:r>
        <w:t xml:space="preserve"> 2024</w:t>
      </w:r>
      <w:r w:rsidR="00081764">
        <w:t xml:space="preserve">b, </w:t>
      </w:r>
      <w:r>
        <w:t>c).</w:t>
      </w:r>
      <w:r w:rsidR="00841647">
        <w:t xml:space="preserve"> It would take many years of more favourable conditions and more environmental watering </w:t>
      </w:r>
      <w:r w:rsidR="00C5188F">
        <w:t>for</w:t>
      </w:r>
      <w:r w:rsidR="00841647">
        <w:t xml:space="preserve"> the health of both eucalypt species to be restored. </w:t>
      </w:r>
    </w:p>
    <w:p w14:paraId="2319BBA7" w14:textId="54098234" w:rsidR="008868F8" w:rsidRPr="00A05301" w:rsidRDefault="00841647" w:rsidP="00A05301">
      <w:r>
        <w:t>Therefore, there have been severe declines in river red gum and black box and it is not likely to be possible to restore the loss of function that they provide in the ecological community in the immediate to near future.</w:t>
      </w:r>
    </w:p>
    <w:p w14:paraId="54E6562F" w14:textId="39D10781" w:rsidR="00791A6A" w:rsidRPr="00CB0769" w:rsidRDefault="00791A6A" w:rsidP="006E2204">
      <w:pPr>
        <w:pStyle w:val="Heading4"/>
      </w:pPr>
      <w:r w:rsidRPr="00CB0769">
        <w:t>Keystone riparian-floodplain understorey species - Tangled lignum</w:t>
      </w:r>
    </w:p>
    <w:tbl>
      <w:tblPr>
        <w:tblStyle w:val="TableGrid"/>
        <w:tblW w:w="0" w:type="auto"/>
        <w:tblLook w:val="04A0" w:firstRow="1" w:lastRow="0" w:firstColumn="1" w:lastColumn="0" w:noHBand="0" w:noVBand="1"/>
      </w:tblPr>
      <w:tblGrid>
        <w:gridCol w:w="9060"/>
      </w:tblGrid>
      <w:tr w:rsidR="00D31D64" w14:paraId="61FEEB02" w14:textId="77777777" w:rsidTr="001D26BA">
        <w:tc>
          <w:tcPr>
            <w:tcW w:w="9174" w:type="dxa"/>
            <w:shd w:val="clear" w:color="auto" w:fill="E2EFD9" w:themeFill="accent6" w:themeFillTint="33"/>
          </w:tcPr>
          <w:p w14:paraId="3D8DA39B" w14:textId="7496E611" w:rsidR="00FD2B4F" w:rsidRPr="00FD2B4F" w:rsidRDefault="00FD2B4F" w:rsidP="00161BC4">
            <w:pPr>
              <w:spacing w:after="120"/>
              <w:rPr>
                <w:b/>
                <w:iCs/>
              </w:rPr>
            </w:pPr>
            <w:r w:rsidRPr="00FD2B4F">
              <w:rPr>
                <w:b/>
                <w:iCs/>
              </w:rPr>
              <w:t xml:space="preserve">Tangled lignum </w:t>
            </w:r>
            <w:r w:rsidRPr="00FD2B4F">
              <w:rPr>
                <w:bCs/>
                <w:iCs/>
              </w:rPr>
              <w:t>(</w:t>
            </w:r>
            <w:r w:rsidRPr="00FD2B4F">
              <w:rPr>
                <w:bCs/>
                <w:i/>
              </w:rPr>
              <w:t>Duma florulenta</w:t>
            </w:r>
            <w:r>
              <w:rPr>
                <w:bCs/>
                <w:iCs/>
              </w:rPr>
              <w:t xml:space="preserve"> syn.</w:t>
            </w:r>
            <w:r w:rsidR="001D26BA">
              <w:rPr>
                <w:bCs/>
                <w:iCs/>
              </w:rPr>
              <w:t xml:space="preserve"> </w:t>
            </w:r>
            <w:r w:rsidR="001D26BA" w:rsidRPr="001D26BA">
              <w:rPr>
                <w:bCs/>
                <w:i/>
              </w:rPr>
              <w:t>Muehlenbeckia</w:t>
            </w:r>
            <w:r w:rsidR="001D26BA">
              <w:rPr>
                <w:bCs/>
                <w:iCs/>
              </w:rPr>
              <w:t xml:space="preserve">) </w:t>
            </w:r>
            <w:r w:rsidRPr="003F2867">
              <w:rPr>
                <w:bCs/>
                <w:iCs/>
              </w:rPr>
              <w:t xml:space="preserve"> </w:t>
            </w:r>
          </w:p>
          <w:p w14:paraId="35D56443" w14:textId="7A9F8AA5" w:rsidR="00161BC4" w:rsidRPr="00EE0FB2" w:rsidRDefault="00161BC4" w:rsidP="00161BC4">
            <w:pPr>
              <w:spacing w:after="120"/>
            </w:pPr>
            <w:r w:rsidRPr="00EE0FB2">
              <w:rPr>
                <w:b/>
                <w:i/>
              </w:rPr>
              <w:t>Key functional role:</w:t>
            </w:r>
            <w:r>
              <w:rPr>
                <w:b/>
                <w:i/>
              </w:rPr>
              <w:t xml:space="preserve">  </w:t>
            </w:r>
            <w:r>
              <w:t xml:space="preserve">primary producer; </w:t>
            </w:r>
            <w:r w:rsidR="00F60590">
              <w:t xml:space="preserve">structural </w:t>
            </w:r>
            <w:r>
              <w:t xml:space="preserve">habitat </w:t>
            </w:r>
            <w:r w:rsidR="0032595B">
              <w:t xml:space="preserve">and flower-fruit resource </w:t>
            </w:r>
            <w:r>
              <w:t xml:space="preserve">for many </w:t>
            </w:r>
            <w:r w:rsidR="00F60590">
              <w:t>fauna</w:t>
            </w:r>
            <w:r>
              <w:t>; contributes to soil-water and salt-water balance in floodplain soils</w:t>
            </w:r>
          </w:p>
          <w:p w14:paraId="56743E06" w14:textId="6C837D84" w:rsidR="00161BC4" w:rsidRPr="00EE0FB2" w:rsidRDefault="00161BC4" w:rsidP="00161BC4">
            <w:pPr>
              <w:spacing w:after="120"/>
            </w:pPr>
            <w:r w:rsidRPr="00EE0FB2">
              <w:rPr>
                <w:b/>
                <w:i/>
              </w:rPr>
              <w:t>Key vulnerabilities:</w:t>
            </w:r>
            <w:r>
              <w:t xml:space="preserve">  no soil seed bank; specific flooding requirements for reproduction and recruitment; </w:t>
            </w:r>
            <w:r w:rsidR="00D01CC0">
              <w:t xml:space="preserve">extended drought; </w:t>
            </w:r>
            <w:r>
              <w:t xml:space="preserve">seedlings </w:t>
            </w:r>
            <w:r w:rsidR="0032595B">
              <w:t xml:space="preserve">and saplings </w:t>
            </w:r>
            <w:r>
              <w:t xml:space="preserve">prone to grazing; soil and water salinisation; (see </w:t>
            </w:r>
            <w:r w:rsidRPr="00F60590">
              <w:rPr>
                <w:u w:val="single"/>
              </w:rPr>
              <w:t xml:space="preserve">Table </w:t>
            </w:r>
            <w:r w:rsidR="001D2A1E" w:rsidRPr="00F60590">
              <w:rPr>
                <w:u w:val="single"/>
              </w:rPr>
              <w:t>1</w:t>
            </w:r>
            <w:r w:rsidR="0032595B">
              <w:rPr>
                <w:u w:val="single"/>
              </w:rPr>
              <w:t>7</w:t>
            </w:r>
            <w:r>
              <w:t>)</w:t>
            </w:r>
          </w:p>
          <w:p w14:paraId="447C444C" w14:textId="218246E6" w:rsidR="00161BC4" w:rsidRPr="00085CCB" w:rsidRDefault="00161BC4" w:rsidP="00161BC4">
            <w:pPr>
              <w:spacing w:after="120"/>
            </w:pPr>
            <w:r>
              <w:rPr>
                <w:b/>
                <w:i/>
              </w:rPr>
              <w:t>Key impacts</w:t>
            </w:r>
            <w:r w:rsidR="0032595B">
              <w:rPr>
                <w:b/>
                <w:i/>
              </w:rPr>
              <w:t xml:space="preserve"> on the species</w:t>
            </w:r>
            <w:r>
              <w:rPr>
                <w:b/>
                <w:i/>
              </w:rPr>
              <w:t xml:space="preserve">:  </w:t>
            </w:r>
            <w:r w:rsidRPr="006B184D">
              <w:t>historical widespread</w:t>
            </w:r>
            <w:r>
              <w:rPr>
                <w:b/>
                <w:i/>
              </w:rPr>
              <w:t xml:space="preserve"> </w:t>
            </w:r>
            <w:r>
              <w:t xml:space="preserve">decline in abundance and distribution; </w:t>
            </w:r>
            <w:r w:rsidR="00D01CC0">
              <w:t xml:space="preserve">patchy </w:t>
            </w:r>
            <w:r>
              <w:t>recruitment failure</w:t>
            </w:r>
          </w:p>
          <w:p w14:paraId="6E54E276" w14:textId="7F15AA02" w:rsidR="00161BC4" w:rsidRPr="00085CCB" w:rsidRDefault="00161BC4" w:rsidP="00161BC4">
            <w:pPr>
              <w:spacing w:after="120"/>
            </w:pPr>
            <w:r>
              <w:rPr>
                <w:b/>
                <w:i/>
              </w:rPr>
              <w:t xml:space="preserve">Likely causes:  </w:t>
            </w:r>
            <w:r w:rsidR="009B17DA">
              <w:t>drying; l</w:t>
            </w:r>
            <w:r>
              <w:t>ack of appropriate flow</w:t>
            </w:r>
            <w:r w:rsidR="009B17DA">
              <w:t>&amp; inundation</w:t>
            </w:r>
            <w:r>
              <w:t xml:space="preserve"> regime; grazing; competition </w:t>
            </w:r>
            <w:r w:rsidR="00B52E0D">
              <w:t>with</w:t>
            </w:r>
            <w:r>
              <w:t xml:space="preserve"> weeds</w:t>
            </w:r>
          </w:p>
          <w:p w14:paraId="4980B450" w14:textId="30CB003B" w:rsidR="00161BC4" w:rsidRPr="006B356D" w:rsidRDefault="00161BC4" w:rsidP="00161BC4">
            <w:pPr>
              <w:spacing w:after="120"/>
            </w:pPr>
            <w:r w:rsidRPr="006B356D">
              <w:rPr>
                <w:b/>
                <w:i/>
              </w:rPr>
              <w:t>Key impacts on EC:</w:t>
            </w:r>
            <w:r>
              <w:t xml:space="preserve"> loss of productivity; loss of habitat (including nursery habitat); loss of biodiversity</w:t>
            </w:r>
            <w:r w:rsidR="0032595B">
              <w:t>; climate change impacts exacerbated (e.g. heat, drying, flood impacts)</w:t>
            </w:r>
          </w:p>
          <w:p w14:paraId="71082EF9" w14:textId="292E4B97" w:rsidR="00D31D64" w:rsidRDefault="00161BC4" w:rsidP="00161BC4">
            <w:r w:rsidRPr="001F374C">
              <w:rPr>
                <w:b/>
                <w:i/>
              </w:rPr>
              <w:t>Indicative conservation status within the EC:</w:t>
            </w:r>
            <w:r>
              <w:t xml:space="preserve">  Vulnerable</w:t>
            </w:r>
          </w:p>
        </w:tc>
      </w:tr>
    </w:tbl>
    <w:p w14:paraId="259B6109" w14:textId="77777777" w:rsidR="00791A6A" w:rsidRDefault="00791A6A" w:rsidP="00126E69"/>
    <w:p w14:paraId="55D471AB" w14:textId="05B1694C" w:rsidR="00B523EC" w:rsidRDefault="00193125" w:rsidP="00C4790B">
      <w:r>
        <w:t>Tangled lignum (</w:t>
      </w:r>
      <w:r w:rsidRPr="00CA6708">
        <w:rPr>
          <w:i/>
        </w:rPr>
        <w:t>Duma florulenta</w:t>
      </w:r>
      <w:r>
        <w:t>)</w:t>
      </w:r>
      <w:r w:rsidR="00F374C5">
        <w:t>, a multi-stemmed shrub</w:t>
      </w:r>
      <w:r w:rsidR="00F1191B">
        <w:t xml:space="preserve">, </w:t>
      </w:r>
      <w:r>
        <w:t xml:space="preserve">is </w:t>
      </w:r>
      <w:r w:rsidR="005B7DEF">
        <w:t>the</w:t>
      </w:r>
      <w:r>
        <w:t xml:space="preserve"> dominant </w:t>
      </w:r>
      <w:r w:rsidR="007459E6">
        <w:t xml:space="preserve">floodplain </w:t>
      </w:r>
      <w:r>
        <w:t xml:space="preserve">shrub </w:t>
      </w:r>
      <w:r w:rsidR="00F33DDE">
        <w:t xml:space="preserve">in many areas </w:t>
      </w:r>
      <w:r w:rsidR="007B1361">
        <w:t>of the ecological community</w:t>
      </w:r>
      <w:r>
        <w:t xml:space="preserve">, in both wet and dry phases. </w:t>
      </w:r>
      <w:r w:rsidR="00D819D8">
        <w:t xml:space="preserve">In addition to forming extensive shrublands, lignum occurs in the understorey of many floodplain </w:t>
      </w:r>
      <w:r w:rsidR="00C10907">
        <w:t xml:space="preserve">woodlands (Roberts &amp; Marston 2011). </w:t>
      </w:r>
      <w:r>
        <w:t xml:space="preserve">It is </w:t>
      </w:r>
      <w:r w:rsidR="00233F43">
        <w:t xml:space="preserve">a </w:t>
      </w:r>
      <w:r w:rsidR="00E72EC9">
        <w:t>long</w:t>
      </w:r>
      <w:r w:rsidR="00845B43">
        <w:t>-</w:t>
      </w:r>
      <w:r w:rsidR="00EC45C1">
        <w:t xml:space="preserve">lived </w:t>
      </w:r>
      <w:r>
        <w:t>a</w:t>
      </w:r>
      <w:r w:rsidR="003826BA">
        <w:t>nd</w:t>
      </w:r>
      <w:r>
        <w:t xml:space="preserve"> critical player in the soil and water (evaporative) balance of the floodplain ecosystem (Jensen 2011b</w:t>
      </w:r>
      <w:r w:rsidR="00CA4104">
        <w:t>; Jensen &amp; Walker 2017</w:t>
      </w:r>
      <w:r>
        <w:t>). There are</w:t>
      </w:r>
      <w:r w:rsidR="001D521D">
        <w:t xml:space="preserve"> also </w:t>
      </w:r>
      <w:r>
        <w:t xml:space="preserve">indications that it may also help to keep saline groundwater levels down (A. Jensen, pers. comm.). </w:t>
      </w:r>
      <w:r w:rsidR="007034B0">
        <w:t>Lignum is dioecious, with separate male and female plants</w:t>
      </w:r>
      <w:r w:rsidR="00FF6A39">
        <w:t xml:space="preserve"> (Chong &amp; Walker 2005)</w:t>
      </w:r>
      <w:r w:rsidR="003C5B54">
        <w:t>; these vary in their response to environmental conditions</w:t>
      </w:r>
      <w:r w:rsidR="00F11832">
        <w:t xml:space="preserve"> leading to differences in the distribution of each sex (Jensen et al. 2006).</w:t>
      </w:r>
    </w:p>
    <w:p w14:paraId="38B12CAC" w14:textId="22BACAD9" w:rsidR="00EB3CD1" w:rsidRPr="00EB3CD1" w:rsidRDefault="00EB3CD1" w:rsidP="00A2521C">
      <w:pPr>
        <w:pStyle w:val="Heading5"/>
      </w:pPr>
      <w:r w:rsidRPr="00EB3CD1">
        <w:t>Important habitat provider</w:t>
      </w:r>
    </w:p>
    <w:p w14:paraId="1C367B84" w14:textId="77777777" w:rsidR="00925457" w:rsidRDefault="00AB069A" w:rsidP="00C4790B">
      <w:r>
        <w:t xml:space="preserve">Lignum is a keystone (ecosystem engineer) species </w:t>
      </w:r>
      <w:r w:rsidR="00081E95">
        <w:t xml:space="preserve">in the ecological community </w:t>
      </w:r>
      <w:r>
        <w:t>and f</w:t>
      </w:r>
      <w:r w:rsidR="00757507">
        <w:t xml:space="preserve">looding is the </w:t>
      </w:r>
      <w:r>
        <w:t xml:space="preserve">main </w:t>
      </w:r>
      <w:r w:rsidR="00757507">
        <w:t xml:space="preserve">driver of </w:t>
      </w:r>
      <w:r w:rsidR="00081E95">
        <w:t xml:space="preserve">its </w:t>
      </w:r>
      <w:r w:rsidR="00757507">
        <w:t>growth</w:t>
      </w:r>
      <w:r>
        <w:t xml:space="preserve">. </w:t>
      </w:r>
      <w:r w:rsidR="00C54AF7">
        <w:t>Leaves only develop in response to flooding or heavy rainfall</w:t>
      </w:r>
      <w:r w:rsidR="00845B43">
        <w:t xml:space="preserve"> and are short-lived, being shed in response to drying (Capon et al. 2009). </w:t>
      </w:r>
      <w:r>
        <w:t xml:space="preserve">Individual </w:t>
      </w:r>
      <w:r w:rsidR="00757507">
        <w:t xml:space="preserve">plants </w:t>
      </w:r>
      <w:r w:rsidR="00A86058">
        <w:t xml:space="preserve">can grow to </w:t>
      </w:r>
      <w:r w:rsidR="002A570B">
        <w:t>3 m in diameter and height</w:t>
      </w:r>
      <w:r w:rsidR="008377B3">
        <w:t xml:space="preserve"> </w:t>
      </w:r>
      <w:r w:rsidR="002A570B">
        <w:t>and may form dense thickets (Sainty &amp; Jacobs 1981).</w:t>
      </w:r>
      <w:r w:rsidR="000F56DE">
        <w:t xml:space="preserve"> </w:t>
      </w:r>
      <w:r w:rsidR="00F02822">
        <w:t>Branches grow upwards</w:t>
      </w:r>
      <w:r w:rsidR="008377B3">
        <w:t>,</w:t>
      </w:r>
      <w:r w:rsidR="00F02822">
        <w:t xml:space="preserve"> then arch over and intertwine</w:t>
      </w:r>
      <w:r w:rsidR="008377B3">
        <w:t xml:space="preserve">—resulting </w:t>
      </w:r>
      <w:r w:rsidR="00F02822">
        <w:t xml:space="preserve">in </w:t>
      </w:r>
      <w:r w:rsidR="008377B3">
        <w:t>a</w:t>
      </w:r>
      <w:r w:rsidR="00F02822">
        <w:t xml:space="preserve"> dense tangle</w:t>
      </w:r>
      <w:r w:rsidR="00621262">
        <w:t xml:space="preserve"> (Roberts &amp; Marston 2011). </w:t>
      </w:r>
    </w:p>
    <w:p w14:paraId="7248E7CD" w14:textId="18D37F85" w:rsidR="006D3CEF" w:rsidRPr="006D3CEF" w:rsidRDefault="00EB3CD1" w:rsidP="00C4790B">
      <w:r>
        <w:t>Due to its structure and size</w:t>
      </w:r>
      <w:r w:rsidR="00870BCC">
        <w:t>, l</w:t>
      </w:r>
      <w:r w:rsidR="00193125">
        <w:t>ignum provides habitat for invertebrates, birds (including nesting habitat), mammals and reptiles in dry times, and for waterbirds</w:t>
      </w:r>
      <w:r w:rsidR="00B34F5E">
        <w:t xml:space="preserve"> (including colonial nesting waterbirds)</w:t>
      </w:r>
      <w:r w:rsidR="00193125">
        <w:t>, fish (including young stages), amphibians and invertebrates during floods. Dense stands of lignum can also protect eucalypt seedlings from grazing animals (</w:t>
      </w:r>
      <w:r w:rsidR="007F5482">
        <w:t xml:space="preserve">Jensen et al. 2008; </w:t>
      </w:r>
      <w:r w:rsidR="00193125">
        <w:t>Jensen 2011b</w:t>
      </w:r>
      <w:r w:rsidR="00C17842">
        <w:t>; Jensen &amp; Walker 2017</w:t>
      </w:r>
      <w:r w:rsidR="00193125">
        <w:t xml:space="preserve">). </w:t>
      </w:r>
      <w:r w:rsidR="000314F7">
        <w:t xml:space="preserve">During dry periods, the structure of lignum has been </w:t>
      </w:r>
      <w:r w:rsidR="000314F7">
        <w:lastRenderedPageBreak/>
        <w:t>found to facilitate the growth of floodplain understorey herbs (</w:t>
      </w:r>
      <w:r w:rsidR="005222F0">
        <w:t xml:space="preserve">i.e. ‘nurse plant’ effect, </w:t>
      </w:r>
      <w:r w:rsidR="00FC043C">
        <w:t>James et al. 2015).</w:t>
      </w:r>
    </w:p>
    <w:p w14:paraId="1591B87E" w14:textId="712D44BA" w:rsidR="00EB3CD1" w:rsidRPr="0045431F" w:rsidRDefault="00EB3CD1" w:rsidP="00A2521C">
      <w:pPr>
        <w:pStyle w:val="Heading5"/>
      </w:pPr>
      <w:r w:rsidRPr="0045431F">
        <w:t>Resilience and reproduction</w:t>
      </w:r>
    </w:p>
    <w:p w14:paraId="039DB195" w14:textId="78509C1E" w:rsidR="00E72585" w:rsidRDefault="00193125" w:rsidP="008868F8">
      <w:pPr>
        <w:keepLines/>
        <w:rPr>
          <w:lang w:val="en-GB"/>
        </w:rPr>
      </w:pPr>
      <w:r w:rsidRPr="00DA49F7">
        <w:rPr>
          <w:lang w:val="en-GB"/>
        </w:rPr>
        <w:t>The persistence of lignum in environments prone to erratic droughts and floods appears to depend mainly on its capacity to tolerate drought, maintain vegetative growth and respond quickly to watering</w:t>
      </w:r>
      <w:r>
        <w:rPr>
          <w:lang w:val="en-GB"/>
        </w:rPr>
        <w:t xml:space="preserve"> (Chong </w:t>
      </w:r>
      <w:r w:rsidR="00A45E50">
        <w:rPr>
          <w:lang w:val="en-GB"/>
        </w:rPr>
        <w:t xml:space="preserve">&amp; </w:t>
      </w:r>
      <w:r>
        <w:rPr>
          <w:lang w:val="en-GB"/>
        </w:rPr>
        <w:t>Walker 2005)</w:t>
      </w:r>
      <w:r w:rsidRPr="00DA49F7">
        <w:rPr>
          <w:lang w:val="en-GB"/>
        </w:rPr>
        <w:t>.</w:t>
      </w:r>
      <w:r>
        <w:rPr>
          <w:lang w:val="en-GB"/>
        </w:rPr>
        <w:t xml:space="preserve"> </w:t>
      </w:r>
      <w:r w:rsidR="00A6778B">
        <w:rPr>
          <w:lang w:val="en-GB"/>
        </w:rPr>
        <w:t xml:space="preserve">Lignum grows by developing new branches from its underground rootstock, by extending existing branches or be developing new shoots from viable branches (Roberts &amp; Marston 2011). </w:t>
      </w:r>
      <w:r w:rsidR="00E72A45">
        <w:rPr>
          <w:lang w:val="en-GB"/>
        </w:rPr>
        <w:t xml:space="preserve">The rootstock is </w:t>
      </w:r>
      <w:r w:rsidR="00CB58FD">
        <w:rPr>
          <w:lang w:val="en-GB"/>
        </w:rPr>
        <w:t>at least 2-3 m deep (Craig et al. 1991) and</w:t>
      </w:r>
      <w:r w:rsidR="00857F60">
        <w:rPr>
          <w:lang w:val="en-GB"/>
        </w:rPr>
        <w:t xml:space="preserve"> </w:t>
      </w:r>
      <w:r w:rsidR="00233F43">
        <w:rPr>
          <w:lang w:val="en-GB"/>
        </w:rPr>
        <w:t>this contributes to the plant’s resilience (Robers &amp; Marston 2011)</w:t>
      </w:r>
      <w:r w:rsidR="00D06912">
        <w:rPr>
          <w:lang w:val="en-GB"/>
        </w:rPr>
        <w:t xml:space="preserve">. </w:t>
      </w:r>
      <w:r w:rsidR="00FE4B73">
        <w:rPr>
          <w:lang w:val="en-GB"/>
        </w:rPr>
        <w:t xml:space="preserve">A study by Freestone et al. (2017) confirmed that lignum </w:t>
      </w:r>
      <w:r w:rsidR="00A40D88">
        <w:rPr>
          <w:lang w:val="en-GB"/>
        </w:rPr>
        <w:t xml:space="preserve">regenerates from dormancy, however </w:t>
      </w:r>
      <w:r w:rsidR="00410BDC">
        <w:rPr>
          <w:lang w:val="en-GB"/>
        </w:rPr>
        <w:t xml:space="preserve">this is </w:t>
      </w:r>
      <w:r w:rsidR="0001581C">
        <w:rPr>
          <w:lang w:val="en-GB"/>
        </w:rPr>
        <w:t xml:space="preserve">variable, </w:t>
      </w:r>
      <w:r w:rsidR="00410BDC">
        <w:rPr>
          <w:lang w:val="en-GB"/>
        </w:rPr>
        <w:t>influenced by the length of dormancy</w:t>
      </w:r>
      <w:r w:rsidR="0001581C">
        <w:rPr>
          <w:lang w:val="en-GB"/>
        </w:rPr>
        <w:t xml:space="preserve">, </w:t>
      </w:r>
      <w:r w:rsidR="00410BDC">
        <w:rPr>
          <w:lang w:val="en-GB"/>
        </w:rPr>
        <w:t>and may not always be successful.</w:t>
      </w:r>
    </w:p>
    <w:p w14:paraId="1DF76FB6" w14:textId="68B330CB" w:rsidR="00E871F7" w:rsidRDefault="00E871F7" w:rsidP="00E871F7">
      <w:pPr>
        <w:rPr>
          <w:lang w:val="en-GB"/>
        </w:rPr>
      </w:pPr>
      <w:r>
        <w:rPr>
          <w:lang w:val="en-GB"/>
        </w:rPr>
        <w:t>Lignum has three means of vegetative spread: laterally by growth of rhizomes and stolons which root at nodes and disconnect from parent plant; layering</w:t>
      </w:r>
      <w:r w:rsidR="008B4EB8">
        <w:rPr>
          <w:lang w:val="en-GB"/>
        </w:rPr>
        <w:t xml:space="preserve"> (less common)</w:t>
      </w:r>
      <w:r>
        <w:rPr>
          <w:lang w:val="en-GB"/>
        </w:rPr>
        <w:t>—the capacity to grow roots from a leaning branch that makes contact with wet ground</w:t>
      </w:r>
      <w:r w:rsidR="008B4EB8">
        <w:rPr>
          <w:lang w:val="en-GB"/>
        </w:rPr>
        <w:t xml:space="preserve">; </w:t>
      </w:r>
      <w:r>
        <w:rPr>
          <w:lang w:val="en-GB"/>
        </w:rPr>
        <w:t>and</w:t>
      </w:r>
      <w:r w:rsidR="00407E72">
        <w:rPr>
          <w:lang w:val="en-GB"/>
        </w:rPr>
        <w:t xml:space="preserve"> by dispersal of stem fragments</w:t>
      </w:r>
      <w:r w:rsidR="003A2D1D">
        <w:rPr>
          <w:lang w:val="en-GB"/>
        </w:rPr>
        <w:t xml:space="preserve"> (Roberts &amp; Marston 2017 and references therein).</w:t>
      </w:r>
    </w:p>
    <w:p w14:paraId="49C8504E" w14:textId="1D7ED03A" w:rsidR="00193125" w:rsidRDefault="003A2D1D" w:rsidP="00C4790B">
      <w:pPr>
        <w:rPr>
          <w:lang w:val="en-GB"/>
        </w:rPr>
      </w:pPr>
      <w:r>
        <w:rPr>
          <w:lang w:val="en-GB"/>
        </w:rPr>
        <w:t xml:space="preserve">Regarding </w:t>
      </w:r>
      <w:r w:rsidR="00303822">
        <w:rPr>
          <w:lang w:val="en-GB"/>
        </w:rPr>
        <w:t>sexual reproduction</w:t>
      </w:r>
      <w:r>
        <w:rPr>
          <w:lang w:val="en-GB"/>
        </w:rPr>
        <w:t xml:space="preserve">, </w:t>
      </w:r>
      <w:r w:rsidR="00216559">
        <w:rPr>
          <w:lang w:val="en-GB"/>
        </w:rPr>
        <w:t xml:space="preserve">flowering </w:t>
      </w:r>
      <w:r w:rsidR="00A55B7B">
        <w:rPr>
          <w:lang w:val="en-GB"/>
        </w:rPr>
        <w:t xml:space="preserve">may be seasonal but </w:t>
      </w:r>
      <w:r w:rsidR="00216559">
        <w:rPr>
          <w:lang w:val="en-GB"/>
        </w:rPr>
        <w:t xml:space="preserve">is generally a </w:t>
      </w:r>
      <w:r w:rsidR="002C1C29">
        <w:rPr>
          <w:lang w:val="en-GB"/>
        </w:rPr>
        <w:t>r</w:t>
      </w:r>
      <w:r w:rsidR="00216559">
        <w:rPr>
          <w:lang w:val="en-GB"/>
        </w:rPr>
        <w:t>es</w:t>
      </w:r>
      <w:r w:rsidR="00157B7F">
        <w:rPr>
          <w:lang w:val="en-GB"/>
        </w:rPr>
        <w:t>p</w:t>
      </w:r>
      <w:r w:rsidR="00216559">
        <w:rPr>
          <w:lang w:val="en-GB"/>
        </w:rPr>
        <w:t>onse to rainfall</w:t>
      </w:r>
      <w:r w:rsidR="002C1C29">
        <w:rPr>
          <w:lang w:val="en-GB"/>
        </w:rPr>
        <w:t>, with fru</w:t>
      </w:r>
      <w:r w:rsidR="00157B7F">
        <w:rPr>
          <w:lang w:val="en-GB"/>
        </w:rPr>
        <w:t>it</w:t>
      </w:r>
      <w:r w:rsidR="002C1C29">
        <w:rPr>
          <w:lang w:val="en-GB"/>
        </w:rPr>
        <w:t>s mat</w:t>
      </w:r>
      <w:r w:rsidR="00157B7F">
        <w:rPr>
          <w:lang w:val="en-GB"/>
        </w:rPr>
        <w:t>u</w:t>
      </w:r>
      <w:r w:rsidR="002C1C29">
        <w:rPr>
          <w:lang w:val="en-GB"/>
        </w:rPr>
        <w:t>ring in autumn (</w:t>
      </w:r>
      <w:r w:rsidR="00A55B7B">
        <w:rPr>
          <w:lang w:val="en-GB"/>
        </w:rPr>
        <w:t>C</w:t>
      </w:r>
      <w:r w:rsidR="002C1C29">
        <w:rPr>
          <w:lang w:val="en-GB"/>
        </w:rPr>
        <w:t>hon</w:t>
      </w:r>
      <w:r w:rsidR="00157B7F">
        <w:rPr>
          <w:lang w:val="en-GB"/>
        </w:rPr>
        <w:t>g</w:t>
      </w:r>
      <w:r w:rsidR="002C1C29">
        <w:rPr>
          <w:lang w:val="en-GB"/>
        </w:rPr>
        <w:t xml:space="preserve"> &amp; Walker 200</w:t>
      </w:r>
      <w:r w:rsidR="00157B7F">
        <w:rPr>
          <w:lang w:val="en-GB"/>
        </w:rPr>
        <w:t>5). I</w:t>
      </w:r>
      <w:r w:rsidR="00193125">
        <w:rPr>
          <w:lang w:val="en-GB"/>
        </w:rPr>
        <w:t>t is likely that lignum requires the right mix of season (spring for seed source), flood (to float the seeds), and moist soil at the water’s edge (for the germinated seed to take root) (</w:t>
      </w:r>
      <w:r w:rsidR="00826A14">
        <w:rPr>
          <w:lang w:val="en-GB"/>
        </w:rPr>
        <w:t>Jensen</w:t>
      </w:r>
      <w:r w:rsidR="00B5739E">
        <w:rPr>
          <w:lang w:val="en-GB"/>
        </w:rPr>
        <w:t xml:space="preserve"> &amp; Walker 2017</w:t>
      </w:r>
      <w:r w:rsidR="00193125">
        <w:rPr>
          <w:lang w:val="en-GB"/>
        </w:rPr>
        <w:t xml:space="preserve">). However, it </w:t>
      </w:r>
      <w:r w:rsidR="00193125" w:rsidRPr="00DA49F7">
        <w:rPr>
          <w:lang w:val="en-GB"/>
        </w:rPr>
        <w:t>appears that the seeds do not persist for long on the mother plant or in the soil</w:t>
      </w:r>
      <w:r w:rsidR="00193125">
        <w:rPr>
          <w:lang w:val="en-GB"/>
        </w:rPr>
        <w:t xml:space="preserve">, and importantly, there is no evidence that lignum maintains a soil seed bank (Chong </w:t>
      </w:r>
      <w:r w:rsidR="0045431F">
        <w:rPr>
          <w:lang w:val="en-GB"/>
        </w:rPr>
        <w:t>&amp;</w:t>
      </w:r>
      <w:r w:rsidR="00193125">
        <w:rPr>
          <w:lang w:val="en-GB"/>
        </w:rPr>
        <w:t xml:space="preserve"> Walker, 2005)</w:t>
      </w:r>
      <w:r w:rsidR="00193125" w:rsidRPr="00DA49F7">
        <w:rPr>
          <w:lang w:val="en-GB"/>
        </w:rPr>
        <w:t xml:space="preserve">. </w:t>
      </w:r>
      <w:r w:rsidR="00193125">
        <w:rPr>
          <w:lang w:val="en-GB"/>
        </w:rPr>
        <w:t xml:space="preserve">Rather, lignum has an aerial seed bank, with seeds falling from the plant and needing to germinate rapidly before they are harvested by ants and other insects. Seedlings are also prone to grazing (Jensen 2011b). </w:t>
      </w:r>
    </w:p>
    <w:p w14:paraId="48E30D7A" w14:textId="4C4B2A96" w:rsidR="00782553" w:rsidRPr="0069442C" w:rsidRDefault="0069442C" w:rsidP="00A2521C">
      <w:pPr>
        <w:pStyle w:val="Heading5"/>
      </w:pPr>
      <w:r w:rsidRPr="0069442C">
        <w:t>Sever</w:t>
      </w:r>
      <w:r w:rsidR="00B515BB">
        <w:t>e</w:t>
      </w:r>
      <w:r w:rsidRPr="0069442C">
        <w:t xml:space="preserve"> declines during Millennium Drought</w:t>
      </w:r>
    </w:p>
    <w:p w14:paraId="4CC2E7CC" w14:textId="100D9E7D" w:rsidR="0069442C" w:rsidRPr="0069442C" w:rsidRDefault="00193125" w:rsidP="00F46CF0">
      <w:pPr>
        <w:rPr>
          <w:lang w:val="en-GB"/>
        </w:rPr>
      </w:pPr>
      <w:r>
        <w:t xml:space="preserve">Historical survey maps show 'polygonum (lignum) flats' as occurring along the length of the Lower Murray (Jensen 2011b), but a 2002–03 survey indicated an estimated coverage of 14% in the region of the ecological community (Smith </w:t>
      </w:r>
      <w:r w:rsidR="00565AB3">
        <w:t xml:space="preserve">&amp; </w:t>
      </w:r>
      <w:r>
        <w:t>Kenny 2005; Holland et al. 2009; Jensen et al.</w:t>
      </w:r>
      <w:r w:rsidR="00693DD0">
        <w:t xml:space="preserve"> </w:t>
      </w:r>
      <w:r>
        <w:t xml:space="preserve">2006). </w:t>
      </w:r>
      <w:r>
        <w:rPr>
          <w:lang w:val="en-GB"/>
        </w:rPr>
        <w:t xml:space="preserve">During the Millennium Drought, particularly </w:t>
      </w:r>
      <w:r w:rsidR="00C53935">
        <w:rPr>
          <w:lang w:val="en-GB"/>
        </w:rPr>
        <w:t xml:space="preserve">the six years </w:t>
      </w:r>
      <w:r w:rsidR="00C144E4">
        <w:rPr>
          <w:lang w:val="en-GB"/>
        </w:rPr>
        <w:t>between</w:t>
      </w:r>
      <w:r>
        <w:rPr>
          <w:lang w:val="en-GB"/>
        </w:rPr>
        <w:t xml:space="preserve"> 2004–10, there was almost no evidence of recruitment (vegetative or sexual) at sites in the Riverland region of the </w:t>
      </w:r>
      <w:r w:rsidR="00941741">
        <w:rPr>
          <w:lang w:val="en-GB"/>
        </w:rPr>
        <w:t>EC</w:t>
      </w:r>
      <w:r>
        <w:rPr>
          <w:lang w:val="en-GB"/>
        </w:rPr>
        <w:t xml:space="preserve">, from Morgan to Chowilla (Jensen et al. 2006; </w:t>
      </w:r>
      <w:r w:rsidR="00B311F7">
        <w:rPr>
          <w:lang w:val="en-GB"/>
        </w:rPr>
        <w:t xml:space="preserve">Jensen &amp; Walker 2017). </w:t>
      </w:r>
      <w:r>
        <w:rPr>
          <w:lang w:val="en-GB"/>
        </w:rPr>
        <w:t>This region represents one of the most biodiverse and complex habitat mosaics within the ecological community and could be considered as a 'sentinel</w:t>
      </w:r>
      <w:r w:rsidR="006D3CEF">
        <w:rPr>
          <w:lang w:val="en-GB"/>
        </w:rPr>
        <w:t>’</w:t>
      </w:r>
      <w:r>
        <w:rPr>
          <w:lang w:val="en-GB"/>
        </w:rPr>
        <w:t xml:space="preserve"> for environmental change. </w:t>
      </w:r>
    </w:p>
    <w:p w14:paraId="5B6601CF" w14:textId="7E598EA9" w:rsidR="006D3CEF" w:rsidRPr="006D3CEF" w:rsidRDefault="006D3CEF" w:rsidP="00A2521C">
      <w:pPr>
        <w:pStyle w:val="Heading5"/>
      </w:pPr>
      <w:r w:rsidRPr="006D3CEF">
        <w:t>Post Millennium Drought and future trends</w:t>
      </w:r>
    </w:p>
    <w:p w14:paraId="73E67B06" w14:textId="4AE70287" w:rsidR="005D01B3" w:rsidRDefault="0096197A" w:rsidP="00F46CF0">
      <w:pPr>
        <w:rPr>
          <w:lang w:val="en-GB"/>
        </w:rPr>
      </w:pPr>
      <w:r>
        <w:t>L</w:t>
      </w:r>
      <w:r w:rsidRPr="0096197A">
        <w:t>ignum becomes stressed if flood frequency falls and the dry inter</w:t>
      </w:r>
      <w:r>
        <w:t>-</w:t>
      </w:r>
      <w:r w:rsidRPr="0096197A">
        <w:t>flood period is extended, as in drought</w:t>
      </w:r>
      <w:r>
        <w:t xml:space="preserve"> (Roberts &amp; Marston 2011). </w:t>
      </w:r>
      <w:r w:rsidR="002C5A68">
        <w:rPr>
          <w:lang w:val="en-GB"/>
        </w:rPr>
        <w:t>Sustained growth of lignum into the future depend</w:t>
      </w:r>
      <w:r w:rsidR="006D3CEF">
        <w:rPr>
          <w:lang w:val="en-GB"/>
        </w:rPr>
        <w:t>s</w:t>
      </w:r>
      <w:r w:rsidR="002C5A68">
        <w:rPr>
          <w:lang w:val="en-GB"/>
        </w:rPr>
        <w:t xml:space="preserve"> on moisture availability, particularly under climate change. </w:t>
      </w:r>
      <w:r w:rsidR="00D25739">
        <w:rPr>
          <w:lang w:val="en-GB"/>
        </w:rPr>
        <w:t>F</w:t>
      </w:r>
      <w:r w:rsidR="00193125">
        <w:rPr>
          <w:lang w:val="en-GB"/>
        </w:rPr>
        <w:t>ollowing the break of the Millennium Drought</w:t>
      </w:r>
      <w:r w:rsidR="00AA54AB">
        <w:rPr>
          <w:lang w:val="en-GB"/>
        </w:rPr>
        <w:t xml:space="preserve"> </w:t>
      </w:r>
      <w:r w:rsidR="00193125">
        <w:rPr>
          <w:lang w:val="en-GB"/>
        </w:rPr>
        <w:t>and the occurrence of multiple, minor flood peaks from late 2010 to early 2012</w:t>
      </w:r>
      <w:r w:rsidR="00AA54AB">
        <w:rPr>
          <w:lang w:val="en-GB"/>
        </w:rPr>
        <w:t>,</w:t>
      </w:r>
      <w:r w:rsidR="00193125">
        <w:rPr>
          <w:lang w:val="en-GB"/>
        </w:rPr>
        <w:t xml:space="preserve"> some regeneration </w:t>
      </w:r>
      <w:r w:rsidR="00797796">
        <w:rPr>
          <w:lang w:val="en-GB"/>
        </w:rPr>
        <w:t xml:space="preserve">of </w:t>
      </w:r>
      <w:r w:rsidR="00AA54AB">
        <w:rPr>
          <w:lang w:val="en-GB"/>
        </w:rPr>
        <w:t>l</w:t>
      </w:r>
      <w:r w:rsidR="00797796">
        <w:rPr>
          <w:lang w:val="en-GB"/>
        </w:rPr>
        <w:t xml:space="preserve">ignum </w:t>
      </w:r>
      <w:r w:rsidR="00193125">
        <w:rPr>
          <w:lang w:val="en-GB"/>
        </w:rPr>
        <w:t>occurr</w:t>
      </w:r>
      <w:r w:rsidR="0063577B">
        <w:rPr>
          <w:lang w:val="en-GB"/>
        </w:rPr>
        <w:t>ed</w:t>
      </w:r>
      <w:r w:rsidR="00193125">
        <w:rPr>
          <w:lang w:val="en-GB"/>
        </w:rPr>
        <w:t>, with evidence of vegetative and sexual reproduction (</w:t>
      </w:r>
      <w:r w:rsidR="006D3CEF">
        <w:rPr>
          <w:lang w:val="en-GB"/>
        </w:rPr>
        <w:t xml:space="preserve">Jensen &amp; Walker 2017; </w:t>
      </w:r>
      <w:r w:rsidR="00193125">
        <w:rPr>
          <w:lang w:val="en-GB"/>
        </w:rPr>
        <w:t xml:space="preserve">A. Jensen pers. comm.). However, recovery </w:t>
      </w:r>
      <w:r w:rsidR="00797796">
        <w:rPr>
          <w:lang w:val="en-GB"/>
        </w:rPr>
        <w:t xml:space="preserve">remained </w:t>
      </w:r>
      <w:r w:rsidR="00193125">
        <w:rPr>
          <w:lang w:val="en-GB"/>
        </w:rPr>
        <w:t>patchy</w:t>
      </w:r>
      <w:r w:rsidR="00797796">
        <w:rPr>
          <w:lang w:val="en-GB"/>
        </w:rPr>
        <w:t>, often</w:t>
      </w:r>
      <w:r w:rsidR="00193125">
        <w:rPr>
          <w:lang w:val="en-GB"/>
        </w:rPr>
        <w:t xml:space="preserve"> confined to low-lying hollows</w:t>
      </w:r>
      <w:r w:rsidR="00752D86">
        <w:rPr>
          <w:lang w:val="en-GB"/>
        </w:rPr>
        <w:t>, and without the drought breaking floods, lignum would have been threatened as a regional scale</w:t>
      </w:r>
      <w:r w:rsidR="00193125">
        <w:rPr>
          <w:lang w:val="en-GB"/>
        </w:rPr>
        <w:t xml:space="preserve"> (</w:t>
      </w:r>
      <w:r w:rsidR="006D3CEF">
        <w:rPr>
          <w:lang w:val="en-GB"/>
        </w:rPr>
        <w:t>A</w:t>
      </w:r>
      <w:r w:rsidR="0045009D">
        <w:rPr>
          <w:lang w:val="en-GB"/>
        </w:rPr>
        <w:t xml:space="preserve">. </w:t>
      </w:r>
      <w:r w:rsidR="00193125">
        <w:rPr>
          <w:lang w:val="en-GB"/>
        </w:rPr>
        <w:t>Jensen pers. com.)</w:t>
      </w:r>
      <w:r w:rsidR="00797796">
        <w:rPr>
          <w:lang w:val="en-GB"/>
        </w:rPr>
        <w:t xml:space="preserve">. </w:t>
      </w:r>
    </w:p>
    <w:p w14:paraId="69C25502" w14:textId="667B9CD6" w:rsidR="000242CF" w:rsidRDefault="00752D86" w:rsidP="00F46CF0">
      <w:pPr>
        <w:rPr>
          <w:lang w:val="en-GB"/>
        </w:rPr>
      </w:pPr>
      <w:r>
        <w:rPr>
          <w:lang w:val="en-GB"/>
        </w:rPr>
        <w:t xml:space="preserve">In the </w:t>
      </w:r>
      <w:r w:rsidR="00925457">
        <w:rPr>
          <w:lang w:val="en-GB"/>
        </w:rPr>
        <w:t xml:space="preserve">years </w:t>
      </w:r>
      <w:r>
        <w:rPr>
          <w:lang w:val="en-GB"/>
        </w:rPr>
        <w:t>since</w:t>
      </w:r>
      <w:r w:rsidR="00350143">
        <w:rPr>
          <w:lang w:val="en-GB"/>
        </w:rPr>
        <w:t xml:space="preserve"> the Millennium Drought</w:t>
      </w:r>
      <w:r>
        <w:rPr>
          <w:lang w:val="en-GB"/>
        </w:rPr>
        <w:t xml:space="preserve">, </w:t>
      </w:r>
      <w:r w:rsidR="00252427">
        <w:rPr>
          <w:lang w:val="en-GB"/>
        </w:rPr>
        <w:t>condition of lignum on the floodplain of the ecological community has b</w:t>
      </w:r>
      <w:r w:rsidR="00A012DA">
        <w:rPr>
          <w:lang w:val="en-GB"/>
        </w:rPr>
        <w:t xml:space="preserve">een influenced </w:t>
      </w:r>
      <w:r w:rsidR="00350143">
        <w:rPr>
          <w:lang w:val="en-GB"/>
        </w:rPr>
        <w:t xml:space="preserve">mainly </w:t>
      </w:r>
      <w:r w:rsidR="00A012DA">
        <w:rPr>
          <w:lang w:val="en-GB"/>
        </w:rPr>
        <w:t xml:space="preserve">by </w:t>
      </w:r>
      <w:r w:rsidR="00350143">
        <w:rPr>
          <w:lang w:val="en-GB"/>
        </w:rPr>
        <w:t xml:space="preserve">targeted environmental water delivery (e.g. DEW 2023a, 2004b) until the </w:t>
      </w:r>
      <w:r w:rsidR="00A012DA">
        <w:rPr>
          <w:lang w:val="en-GB"/>
        </w:rPr>
        <w:t xml:space="preserve">unregulated flows </w:t>
      </w:r>
      <w:r w:rsidR="008F7296">
        <w:rPr>
          <w:lang w:val="en-GB"/>
        </w:rPr>
        <w:t xml:space="preserve">of </w:t>
      </w:r>
      <w:r w:rsidR="00350143">
        <w:rPr>
          <w:lang w:val="en-GB"/>
        </w:rPr>
        <w:t>the</w:t>
      </w:r>
      <w:r w:rsidR="00A012DA">
        <w:rPr>
          <w:lang w:val="en-GB"/>
        </w:rPr>
        <w:t xml:space="preserve"> </w:t>
      </w:r>
      <w:r w:rsidR="0045009D">
        <w:rPr>
          <w:lang w:val="en-GB"/>
        </w:rPr>
        <w:t>ext</w:t>
      </w:r>
      <w:r w:rsidR="00D8645E">
        <w:rPr>
          <w:lang w:val="en-GB"/>
        </w:rPr>
        <w:t xml:space="preserve">reme </w:t>
      </w:r>
      <w:r w:rsidR="001D1EA9">
        <w:rPr>
          <w:lang w:val="en-GB"/>
        </w:rPr>
        <w:t>flood in 2022/23</w:t>
      </w:r>
      <w:r w:rsidR="00350143">
        <w:rPr>
          <w:lang w:val="en-GB"/>
        </w:rPr>
        <w:t>.</w:t>
      </w:r>
      <w:r w:rsidR="001D1EA9">
        <w:rPr>
          <w:lang w:val="en-GB"/>
        </w:rPr>
        <w:t xml:space="preserve"> </w:t>
      </w:r>
      <w:r w:rsidR="00D11336">
        <w:rPr>
          <w:lang w:val="en-GB"/>
        </w:rPr>
        <w:t xml:space="preserve">For example, </w:t>
      </w:r>
      <w:r w:rsidR="00933011">
        <w:rPr>
          <w:lang w:val="en-GB"/>
        </w:rPr>
        <w:t>dry lignum basins</w:t>
      </w:r>
      <w:r w:rsidR="009F1D2F" w:rsidRPr="009F1D2F">
        <w:rPr>
          <w:lang w:val="en-GB"/>
        </w:rPr>
        <w:t xml:space="preserve"> </w:t>
      </w:r>
      <w:r w:rsidR="009F1D2F">
        <w:rPr>
          <w:lang w:val="en-GB"/>
        </w:rPr>
        <w:t xml:space="preserve">at the Beldora and Spectacle Lakes Wetland Complex </w:t>
      </w:r>
      <w:r w:rsidR="00933011">
        <w:rPr>
          <w:lang w:val="en-GB"/>
        </w:rPr>
        <w:t xml:space="preserve">had not been </w:t>
      </w:r>
      <w:r w:rsidR="00933011">
        <w:rPr>
          <w:lang w:val="en-GB"/>
        </w:rPr>
        <w:lastRenderedPageBreak/>
        <w:t>inundated since 2016</w:t>
      </w:r>
      <w:r w:rsidR="008F7296">
        <w:rPr>
          <w:lang w:val="en-GB"/>
        </w:rPr>
        <w:t>,</w:t>
      </w:r>
      <w:r w:rsidR="00933011">
        <w:rPr>
          <w:lang w:val="en-GB"/>
        </w:rPr>
        <w:t xml:space="preserve"> </w:t>
      </w:r>
      <w:r w:rsidR="009F1D2F">
        <w:rPr>
          <w:lang w:val="en-GB"/>
        </w:rPr>
        <w:t xml:space="preserve">until </w:t>
      </w:r>
      <w:r w:rsidR="00933011">
        <w:rPr>
          <w:lang w:val="en-GB"/>
        </w:rPr>
        <w:t>receiv</w:t>
      </w:r>
      <w:r w:rsidR="00AB3F63">
        <w:rPr>
          <w:lang w:val="en-GB"/>
        </w:rPr>
        <w:t>ing e-</w:t>
      </w:r>
      <w:r w:rsidR="00933011">
        <w:rPr>
          <w:lang w:val="en-GB"/>
        </w:rPr>
        <w:t>water</w:t>
      </w:r>
      <w:r w:rsidR="00AB3F63">
        <w:rPr>
          <w:lang w:val="en-GB"/>
        </w:rPr>
        <w:t xml:space="preserve"> in 2021</w:t>
      </w:r>
      <w:r w:rsidR="00AA54AB">
        <w:rPr>
          <w:lang w:val="en-GB"/>
        </w:rPr>
        <w:t xml:space="preserve"> (DEW 2023</w:t>
      </w:r>
      <w:r w:rsidR="00EF4169">
        <w:rPr>
          <w:lang w:val="en-GB"/>
        </w:rPr>
        <w:t>a</w:t>
      </w:r>
      <w:r w:rsidR="00AA54AB">
        <w:rPr>
          <w:lang w:val="en-GB"/>
        </w:rPr>
        <w:t>).</w:t>
      </w:r>
      <w:r w:rsidR="008959D1">
        <w:rPr>
          <w:lang w:val="en-GB"/>
        </w:rPr>
        <w:t xml:space="preserve"> </w:t>
      </w:r>
      <w:r w:rsidR="00F066AD">
        <w:rPr>
          <w:lang w:val="en-GB"/>
        </w:rPr>
        <w:t xml:space="preserve">This </w:t>
      </w:r>
      <w:r w:rsidR="008F7296">
        <w:rPr>
          <w:lang w:val="en-GB"/>
        </w:rPr>
        <w:t xml:space="preserve">has </w:t>
      </w:r>
      <w:r w:rsidR="00161973">
        <w:rPr>
          <w:lang w:val="en-GB"/>
        </w:rPr>
        <w:t xml:space="preserve">led to recovery of lignum in some areas, although more recovery </w:t>
      </w:r>
      <w:r w:rsidR="008F7296">
        <w:rPr>
          <w:lang w:val="en-GB"/>
        </w:rPr>
        <w:t xml:space="preserve">is </w:t>
      </w:r>
      <w:r w:rsidR="00161973">
        <w:rPr>
          <w:lang w:val="en-GB"/>
        </w:rPr>
        <w:t xml:space="preserve">needed across the </w:t>
      </w:r>
      <w:r w:rsidR="0085004B">
        <w:rPr>
          <w:lang w:val="en-GB"/>
        </w:rPr>
        <w:t xml:space="preserve">extent of the </w:t>
      </w:r>
      <w:r w:rsidR="0085004B" w:rsidRPr="00F066AD">
        <w:rPr>
          <w:i/>
          <w:iCs/>
          <w:lang w:val="en-GB"/>
        </w:rPr>
        <w:t>River Murray—Darling to Sea</w:t>
      </w:r>
      <w:r w:rsidR="0085004B">
        <w:rPr>
          <w:lang w:val="en-GB"/>
        </w:rPr>
        <w:t xml:space="preserve"> EC to reverse historic and ongoing de</w:t>
      </w:r>
      <w:r w:rsidR="00DC72B7">
        <w:rPr>
          <w:lang w:val="en-GB"/>
        </w:rPr>
        <w:t>cl</w:t>
      </w:r>
      <w:r w:rsidR="0085004B">
        <w:rPr>
          <w:lang w:val="en-GB"/>
        </w:rPr>
        <w:t xml:space="preserve">ines in lignum, </w:t>
      </w:r>
      <w:r w:rsidR="00DC72B7">
        <w:rPr>
          <w:lang w:val="en-GB"/>
        </w:rPr>
        <w:t>and hence the integrity of the EC</w:t>
      </w:r>
      <w:r w:rsidR="00925457">
        <w:rPr>
          <w:lang w:val="en-GB"/>
        </w:rPr>
        <w:t>,</w:t>
      </w:r>
      <w:r w:rsidR="00DC72B7">
        <w:rPr>
          <w:lang w:val="en-GB"/>
        </w:rPr>
        <w:t xml:space="preserve"> as a whole.</w:t>
      </w:r>
      <w:r w:rsidR="00705D2D">
        <w:rPr>
          <w:lang w:val="en-GB"/>
        </w:rPr>
        <w:t xml:space="preserve"> Overall, there have been severe declines in lignum and it is not likely to be possible to restore to normal the major functional role it plays in the ecological community in the immediate future.</w:t>
      </w:r>
    </w:p>
    <w:p w14:paraId="73C2C623" w14:textId="77777777" w:rsidR="00B515BB" w:rsidRPr="00CA4104" w:rsidRDefault="00B515BB" w:rsidP="00F46CF0">
      <w:pPr>
        <w:rPr>
          <w:lang w:val="en-GB"/>
        </w:rPr>
      </w:pPr>
    </w:p>
    <w:tbl>
      <w:tblPr>
        <w:tblStyle w:val="TableGrid"/>
        <w:tblW w:w="0" w:type="auto"/>
        <w:tblLook w:val="04A0" w:firstRow="1" w:lastRow="0" w:firstColumn="1" w:lastColumn="0" w:noHBand="0" w:noVBand="1"/>
      </w:tblPr>
      <w:tblGrid>
        <w:gridCol w:w="9060"/>
      </w:tblGrid>
      <w:tr w:rsidR="00196C22" w14:paraId="30D87A85" w14:textId="77777777" w:rsidTr="0094083F">
        <w:tc>
          <w:tcPr>
            <w:tcW w:w="9174" w:type="dxa"/>
            <w:shd w:val="clear" w:color="auto" w:fill="FFF2CC" w:themeFill="accent4" w:themeFillTint="33"/>
          </w:tcPr>
          <w:p w14:paraId="583D22F7" w14:textId="022BEF50" w:rsidR="0094083F" w:rsidRDefault="0094083F" w:rsidP="00F46CF0">
            <w:pPr>
              <w:rPr>
                <w:i/>
                <w:iCs/>
              </w:rPr>
            </w:pPr>
            <w:r>
              <w:rPr>
                <w:i/>
                <w:iCs/>
              </w:rPr>
              <w:t>Question</w:t>
            </w:r>
          </w:p>
          <w:p w14:paraId="5C7FE09B" w14:textId="72801294" w:rsidR="00196C22" w:rsidRDefault="0094083F" w:rsidP="00F46CF0">
            <w:pPr>
              <w:rPr>
                <w:b/>
              </w:rPr>
            </w:pPr>
            <w:r>
              <w:rPr>
                <w:i/>
                <w:iCs/>
              </w:rPr>
              <w:t xml:space="preserve">More recent data and analysis on trends will be available </w:t>
            </w:r>
            <w:r w:rsidR="00134A59">
              <w:rPr>
                <w:i/>
                <w:iCs/>
              </w:rPr>
              <w:t xml:space="preserve">soon </w:t>
            </w:r>
            <w:r>
              <w:rPr>
                <w:i/>
                <w:iCs/>
              </w:rPr>
              <w:t>and will be incorporated when</w:t>
            </w:r>
            <w:r w:rsidRPr="00D1497B">
              <w:t xml:space="preserve"> </w:t>
            </w:r>
            <w:r w:rsidRPr="00D21E44">
              <w:rPr>
                <w:i/>
                <w:iCs/>
              </w:rPr>
              <w:t xml:space="preserve">Murray-Darling Basin </w:t>
            </w:r>
            <w:r>
              <w:rPr>
                <w:i/>
                <w:iCs/>
              </w:rPr>
              <w:t xml:space="preserve">Plan </w:t>
            </w:r>
            <w:r w:rsidRPr="00D21E44">
              <w:rPr>
                <w:i/>
                <w:iCs/>
              </w:rPr>
              <w:t xml:space="preserve">reports </w:t>
            </w:r>
            <w:r>
              <w:rPr>
                <w:i/>
                <w:iCs/>
              </w:rPr>
              <w:t>are release</w:t>
            </w:r>
            <w:r w:rsidR="00134A59">
              <w:rPr>
                <w:i/>
                <w:iCs/>
              </w:rPr>
              <w:t>d</w:t>
            </w:r>
            <w:r w:rsidR="0058341A">
              <w:rPr>
                <w:i/>
                <w:iCs/>
              </w:rPr>
              <w:t>, soon</w:t>
            </w:r>
            <w:r>
              <w:rPr>
                <w:i/>
                <w:iCs/>
              </w:rPr>
              <w:t xml:space="preserve">. In addition to that, can you please provide feedback on the preliminary </w:t>
            </w:r>
            <w:r w:rsidR="00705D2D">
              <w:rPr>
                <w:i/>
                <w:iCs/>
              </w:rPr>
              <w:t xml:space="preserve">river red gum, black box and </w:t>
            </w:r>
            <w:r>
              <w:rPr>
                <w:i/>
                <w:iCs/>
              </w:rPr>
              <w:t>lignum section</w:t>
            </w:r>
            <w:r w:rsidR="00705D2D">
              <w:rPr>
                <w:i/>
                <w:iCs/>
              </w:rPr>
              <w:t>s</w:t>
            </w:r>
            <w:r>
              <w:rPr>
                <w:i/>
                <w:iCs/>
              </w:rPr>
              <w:t>, particularly in relation to any more recent survey data, long-term trends for lignum and broader impacts, and on any results of recent environmental watering</w:t>
            </w:r>
            <w:r w:rsidR="00134A59">
              <w:rPr>
                <w:i/>
                <w:iCs/>
              </w:rPr>
              <w:t xml:space="preserve"> that have </w:t>
            </w:r>
            <w:r w:rsidR="00A46C03">
              <w:rPr>
                <w:i/>
                <w:iCs/>
              </w:rPr>
              <w:t>influenced lignum condition</w:t>
            </w:r>
            <w:r>
              <w:rPr>
                <w:i/>
                <w:iCs/>
              </w:rPr>
              <w:t>?</w:t>
            </w:r>
          </w:p>
        </w:tc>
      </w:tr>
    </w:tbl>
    <w:p w14:paraId="1F967FBB" w14:textId="77777777" w:rsidR="008F7296" w:rsidRDefault="008F7296" w:rsidP="00F46CF0">
      <w:pPr>
        <w:rPr>
          <w:b/>
        </w:rPr>
      </w:pPr>
    </w:p>
    <w:p w14:paraId="5C94943E" w14:textId="415627CA" w:rsidR="00F46CF0" w:rsidRPr="001F374C" w:rsidRDefault="00F46CF0" w:rsidP="006E2204">
      <w:pPr>
        <w:pStyle w:val="Heading4"/>
      </w:pPr>
      <w:r w:rsidRPr="001F374C">
        <w:t>Keystone water plants of the Coorong – Ruppia megacarpa a</w:t>
      </w:r>
      <w:r w:rsidR="00A82B93">
        <w:t xml:space="preserve">nd </w:t>
      </w:r>
      <w:r w:rsidR="00C94136" w:rsidRPr="00C94136">
        <w:t>Ruppia tuberosa</w:t>
      </w:r>
      <w:r w:rsidR="007261D0">
        <w:t xml:space="preserve"> </w:t>
      </w:r>
      <w:r w:rsidR="00A82B93">
        <w:t>(</w:t>
      </w:r>
      <w:r w:rsidR="009A40DB">
        <w:t>and ‘</w:t>
      </w:r>
      <w:r w:rsidR="009A40DB" w:rsidRPr="009A40DB">
        <w:t>Ruppia Community’</w:t>
      </w:r>
      <w:r w:rsidR="009A40DB">
        <w:t>)</w:t>
      </w:r>
    </w:p>
    <w:tbl>
      <w:tblPr>
        <w:tblStyle w:val="TableGrid"/>
        <w:tblW w:w="0" w:type="auto"/>
        <w:tblLook w:val="04A0" w:firstRow="1" w:lastRow="0" w:firstColumn="1" w:lastColumn="0" w:noHBand="0" w:noVBand="1"/>
      </w:tblPr>
      <w:tblGrid>
        <w:gridCol w:w="9060"/>
      </w:tblGrid>
      <w:tr w:rsidR="006171F0" w14:paraId="55AF0D83" w14:textId="77777777" w:rsidTr="00FD2B4F">
        <w:tc>
          <w:tcPr>
            <w:tcW w:w="9174" w:type="dxa"/>
            <w:shd w:val="clear" w:color="auto" w:fill="E2EFD9" w:themeFill="accent6" w:themeFillTint="33"/>
          </w:tcPr>
          <w:p w14:paraId="2A94934C" w14:textId="4D66BB58" w:rsidR="008D235F" w:rsidRPr="001A4F75" w:rsidRDefault="001A4F75" w:rsidP="00274C2F">
            <w:pPr>
              <w:spacing w:after="120"/>
              <w:rPr>
                <w:b/>
                <w:iCs/>
              </w:rPr>
            </w:pPr>
            <w:r>
              <w:rPr>
                <w:b/>
                <w:iCs/>
              </w:rPr>
              <w:t xml:space="preserve">Large fruit </w:t>
            </w:r>
            <w:r w:rsidR="00605CF5">
              <w:rPr>
                <w:b/>
                <w:iCs/>
              </w:rPr>
              <w:t>sea</w:t>
            </w:r>
            <w:r>
              <w:rPr>
                <w:b/>
                <w:iCs/>
              </w:rPr>
              <w:t>tassel</w:t>
            </w:r>
            <w:r w:rsidR="00ED49DE">
              <w:rPr>
                <w:b/>
                <w:iCs/>
              </w:rPr>
              <w:t xml:space="preserve"> </w:t>
            </w:r>
            <w:r w:rsidRPr="00FD0AE6">
              <w:rPr>
                <w:bCs/>
                <w:iCs/>
              </w:rPr>
              <w:t>(</w:t>
            </w:r>
            <w:r w:rsidRPr="00FD0AE6">
              <w:rPr>
                <w:bCs/>
                <w:i/>
              </w:rPr>
              <w:t>Ruppia megacarpa</w:t>
            </w:r>
            <w:r w:rsidRPr="00FD0AE6">
              <w:rPr>
                <w:bCs/>
                <w:iCs/>
              </w:rPr>
              <w:t xml:space="preserve">) </w:t>
            </w:r>
            <w:r w:rsidR="00FD0AE6">
              <w:rPr>
                <w:bCs/>
                <w:iCs/>
              </w:rPr>
              <w:t xml:space="preserve">and </w:t>
            </w:r>
            <w:r w:rsidR="00644EC7">
              <w:rPr>
                <w:b/>
                <w:iCs/>
              </w:rPr>
              <w:t xml:space="preserve">Tuberous </w:t>
            </w:r>
            <w:r w:rsidR="00605CF5">
              <w:rPr>
                <w:b/>
                <w:iCs/>
              </w:rPr>
              <w:t xml:space="preserve">sea </w:t>
            </w:r>
            <w:r w:rsidR="00644EC7">
              <w:rPr>
                <w:b/>
                <w:iCs/>
              </w:rPr>
              <w:t xml:space="preserve">tassel </w:t>
            </w:r>
            <w:r w:rsidR="00644EC7" w:rsidRPr="00FD0AE6">
              <w:rPr>
                <w:bCs/>
                <w:iCs/>
              </w:rPr>
              <w:t>(</w:t>
            </w:r>
            <w:r w:rsidR="00644EC7" w:rsidRPr="00FD0AE6">
              <w:rPr>
                <w:bCs/>
                <w:i/>
              </w:rPr>
              <w:t>R. tuberosa</w:t>
            </w:r>
            <w:r w:rsidR="007C425A">
              <w:rPr>
                <w:bCs/>
                <w:iCs/>
              </w:rPr>
              <w:t>; surrogate for ‘</w:t>
            </w:r>
            <w:r w:rsidR="007C425A" w:rsidRPr="00E23E17">
              <w:rPr>
                <w:bCs/>
                <w:i/>
              </w:rPr>
              <w:t>Ruppia</w:t>
            </w:r>
            <w:r w:rsidR="00E23E17" w:rsidRPr="00E23E17">
              <w:rPr>
                <w:bCs/>
                <w:i/>
              </w:rPr>
              <w:t>/Alth</w:t>
            </w:r>
            <w:r w:rsidR="00E23E17">
              <w:rPr>
                <w:bCs/>
                <w:i/>
              </w:rPr>
              <w:t>e</w:t>
            </w:r>
            <w:r w:rsidR="00E23E17" w:rsidRPr="00E23E17">
              <w:rPr>
                <w:bCs/>
                <w:i/>
              </w:rPr>
              <w:t>nia</w:t>
            </w:r>
            <w:r w:rsidR="00E23E17">
              <w:rPr>
                <w:bCs/>
                <w:iCs/>
              </w:rPr>
              <w:t xml:space="preserve"> complex’ or ‘Ruppia</w:t>
            </w:r>
            <w:r w:rsidR="007C425A">
              <w:rPr>
                <w:bCs/>
                <w:iCs/>
              </w:rPr>
              <w:t xml:space="preserve"> Community’</w:t>
            </w:r>
            <w:r w:rsidR="00644EC7" w:rsidRPr="00FD0AE6">
              <w:rPr>
                <w:bCs/>
                <w:iCs/>
              </w:rPr>
              <w:t>)</w:t>
            </w:r>
          </w:p>
          <w:p w14:paraId="18FDD985" w14:textId="1EFB09B2" w:rsidR="00274C2F" w:rsidRPr="00EE0FB2" w:rsidRDefault="00274C2F" w:rsidP="00274C2F">
            <w:pPr>
              <w:spacing w:after="120"/>
            </w:pPr>
            <w:r w:rsidRPr="00EE0FB2">
              <w:rPr>
                <w:b/>
                <w:i/>
              </w:rPr>
              <w:t>Key functional role:</w:t>
            </w:r>
            <w:r>
              <w:rPr>
                <w:b/>
                <w:i/>
              </w:rPr>
              <w:t xml:space="preserve"> </w:t>
            </w:r>
            <w:r>
              <w:t xml:space="preserve">primary producers; provide habitat (including nursery) </w:t>
            </w:r>
            <w:r w:rsidR="00F5256B">
              <w:t xml:space="preserve">and food </w:t>
            </w:r>
            <w:r>
              <w:t>to a range of other biota</w:t>
            </w:r>
            <w:r w:rsidR="00F5256B">
              <w:t>, particularly invertebrates</w:t>
            </w:r>
            <w:r w:rsidR="00D734CF">
              <w:t>, fish</w:t>
            </w:r>
            <w:r w:rsidR="00732E68">
              <w:t>,</w:t>
            </w:r>
            <w:r w:rsidR="00F5256B">
              <w:t xml:space="preserve"> and waterbirds</w:t>
            </w:r>
            <w:r w:rsidR="00AD1880">
              <w:t xml:space="preserve">; remove excess nutrients and clarify water column; stabilise </w:t>
            </w:r>
            <w:r w:rsidR="000870A5">
              <w:t>and reduce nutrient release from sediments</w:t>
            </w:r>
            <w:r w:rsidR="00E91861">
              <w:t>; limit</w:t>
            </w:r>
            <w:r w:rsidR="00605CF5">
              <w:t>/prevent</w:t>
            </w:r>
            <w:r w:rsidR="00E91861">
              <w:t xml:space="preserve"> cyanobacterial and phytoplankton blooms</w:t>
            </w:r>
          </w:p>
          <w:p w14:paraId="5D8E9536" w14:textId="0E42573E" w:rsidR="00274C2F" w:rsidRPr="00EE0FB2" w:rsidRDefault="00274C2F" w:rsidP="00274C2F">
            <w:pPr>
              <w:spacing w:after="120"/>
            </w:pPr>
            <w:r w:rsidRPr="00EE0FB2">
              <w:rPr>
                <w:b/>
                <w:i/>
              </w:rPr>
              <w:t>Key vulnerabilities:</w:t>
            </w:r>
            <w:r>
              <w:t xml:space="preserve"> </w:t>
            </w:r>
            <w:r w:rsidR="00D5033F">
              <w:t xml:space="preserve">require </w:t>
            </w:r>
            <w:r>
              <w:t>specific salinity regime</w:t>
            </w:r>
            <w:r w:rsidR="00D5033F">
              <w:t xml:space="preserve"> and water level; turbidity; desiccation; </w:t>
            </w:r>
            <w:r w:rsidR="008F3FE4">
              <w:t>shading/smothering</w:t>
            </w:r>
            <w:r w:rsidR="00760A52">
              <w:t xml:space="preserve">; </w:t>
            </w:r>
            <w:r w:rsidR="005E5E9B">
              <w:t>specific reproduction requirements</w:t>
            </w:r>
            <w:r w:rsidR="00F25C8E">
              <w:t xml:space="preserve"> (i.e. temperature, water level, salinity)</w:t>
            </w:r>
            <w:r w:rsidR="005E5E9B">
              <w:t>;</w:t>
            </w:r>
            <w:r>
              <w:t xml:space="preserve"> short-lived propagules</w:t>
            </w:r>
            <w:r w:rsidR="000E3868">
              <w:t xml:space="preserve"> (and seed banks)</w:t>
            </w:r>
            <w:r>
              <w:t xml:space="preserve">; competition with </w:t>
            </w:r>
            <w:r w:rsidR="00760A52">
              <w:t xml:space="preserve">planktonic and epiphytic </w:t>
            </w:r>
            <w:r>
              <w:t xml:space="preserve">algae; (see </w:t>
            </w:r>
            <w:r w:rsidRPr="00F25C8E">
              <w:rPr>
                <w:u w:val="single"/>
              </w:rPr>
              <w:t xml:space="preserve">Table </w:t>
            </w:r>
            <w:r w:rsidR="00807B4B" w:rsidRPr="00F25C8E">
              <w:rPr>
                <w:u w:val="single"/>
              </w:rPr>
              <w:t>1</w:t>
            </w:r>
            <w:r w:rsidR="00736EFC">
              <w:rPr>
                <w:u w:val="single"/>
              </w:rPr>
              <w:t>7</w:t>
            </w:r>
            <w:r>
              <w:t>)</w:t>
            </w:r>
          </w:p>
          <w:p w14:paraId="41FF26E9" w14:textId="60BC90F6" w:rsidR="00274C2F" w:rsidRDefault="00274C2F" w:rsidP="00274C2F">
            <w:pPr>
              <w:spacing w:after="120"/>
            </w:pPr>
            <w:r>
              <w:rPr>
                <w:b/>
                <w:i/>
              </w:rPr>
              <w:t>Key impacts</w:t>
            </w:r>
            <w:r w:rsidR="006744C5">
              <w:rPr>
                <w:b/>
                <w:i/>
              </w:rPr>
              <w:t xml:space="preserve"> on the species</w:t>
            </w:r>
            <w:r>
              <w:rPr>
                <w:b/>
                <w:i/>
              </w:rPr>
              <w:t xml:space="preserve">: </w:t>
            </w:r>
            <w:r>
              <w:t xml:space="preserve">extirpation of </w:t>
            </w:r>
            <w:r w:rsidRPr="007E28A6">
              <w:rPr>
                <w:i/>
              </w:rPr>
              <w:t>R. megacarpa</w:t>
            </w:r>
            <w:r w:rsidR="007117A8">
              <w:rPr>
                <w:i/>
              </w:rPr>
              <w:t xml:space="preserve"> </w:t>
            </w:r>
            <w:r w:rsidR="007117A8" w:rsidRPr="007117A8">
              <w:rPr>
                <w:iCs/>
              </w:rPr>
              <w:t>prior to Millennium Drought</w:t>
            </w:r>
            <w:r>
              <w:t xml:space="preserve">; virtual disappearance of </w:t>
            </w:r>
            <w:r w:rsidR="00EC58A7" w:rsidRPr="00EC58A7">
              <w:rPr>
                <w:i/>
                <w:iCs/>
              </w:rPr>
              <w:t>Ruppia tuberosa</w:t>
            </w:r>
            <w:r w:rsidR="00EC58A7">
              <w:t xml:space="preserve"> (i.e. ‘</w:t>
            </w:r>
            <w:r w:rsidRPr="007117A8">
              <w:rPr>
                <w:iCs/>
              </w:rPr>
              <w:t>R</w:t>
            </w:r>
            <w:r w:rsidR="00F25C8E" w:rsidRPr="007117A8">
              <w:rPr>
                <w:iCs/>
              </w:rPr>
              <w:t>uppia Community</w:t>
            </w:r>
            <w:r w:rsidR="00EC58A7">
              <w:rPr>
                <w:iCs/>
              </w:rPr>
              <w:t>’)</w:t>
            </w:r>
            <w:r w:rsidR="009E39EF">
              <w:rPr>
                <w:i/>
              </w:rPr>
              <w:t xml:space="preserve"> </w:t>
            </w:r>
            <w:r w:rsidR="009E39EF" w:rsidRPr="009E39EF">
              <w:rPr>
                <w:iCs/>
              </w:rPr>
              <w:t>during Millennium Drought</w:t>
            </w:r>
            <w:r>
              <w:rPr>
                <w:i/>
              </w:rPr>
              <w:t xml:space="preserve">; </w:t>
            </w:r>
            <w:r>
              <w:t>loss of seed bank</w:t>
            </w:r>
            <w:r w:rsidR="009E39EF">
              <w:t>;</w:t>
            </w:r>
            <w:r w:rsidR="003911AD">
              <w:t xml:space="preserve"> increased turbidity</w:t>
            </w:r>
            <w:r w:rsidR="00382489">
              <w:t>; increased microbial and algal blooms; changes in water biochemistry</w:t>
            </w:r>
          </w:p>
          <w:p w14:paraId="7484A0DE" w14:textId="4E9427BE" w:rsidR="00274C2F" w:rsidRPr="007E28A6" w:rsidRDefault="00274C2F" w:rsidP="00274C2F">
            <w:pPr>
              <w:spacing w:after="120"/>
            </w:pPr>
            <w:r>
              <w:rPr>
                <w:b/>
                <w:i/>
              </w:rPr>
              <w:t xml:space="preserve">Likely causes: </w:t>
            </w:r>
            <w:r>
              <w:t xml:space="preserve">decreased freshwater inflow; extended high salinity; </w:t>
            </w:r>
            <w:r w:rsidR="00B20AE9">
              <w:t xml:space="preserve">more variable and </w:t>
            </w:r>
            <w:r w:rsidR="002949A0">
              <w:t xml:space="preserve">unnaturally fast or out-of-season changes in salinity and water level; </w:t>
            </w:r>
            <w:r>
              <w:t>increasing sedimentation; drought</w:t>
            </w:r>
            <w:r w:rsidR="00881FE3">
              <w:t xml:space="preserve">; eutrophication; competition with </w:t>
            </w:r>
            <w:r w:rsidR="00DF73B9">
              <w:t xml:space="preserve">phytoplankton and </w:t>
            </w:r>
            <w:r w:rsidR="00881FE3">
              <w:t>filamentous algae</w:t>
            </w:r>
          </w:p>
          <w:p w14:paraId="1F1C57E4" w14:textId="06DA1B6E" w:rsidR="00274C2F" w:rsidRPr="006B356D" w:rsidRDefault="00274C2F" w:rsidP="00274C2F">
            <w:pPr>
              <w:spacing w:after="120"/>
            </w:pPr>
            <w:r w:rsidRPr="006B356D">
              <w:rPr>
                <w:b/>
                <w:i/>
              </w:rPr>
              <w:t>Key impacts on EC:</w:t>
            </w:r>
            <w:r>
              <w:t xml:space="preserve"> loss of habitat; loss of food supply; loss of nutrient recycling; loss of water quality</w:t>
            </w:r>
            <w:r w:rsidR="008D0D95">
              <w:t xml:space="preserve"> and clarity</w:t>
            </w:r>
            <w:r>
              <w:t>; loss of biodiversity</w:t>
            </w:r>
            <w:r w:rsidR="00B07B53">
              <w:t>; climate change impacts exacerbated (e.g. heat, drying, flood impacts)</w:t>
            </w:r>
          </w:p>
          <w:p w14:paraId="42306568" w14:textId="7F660B5F" w:rsidR="006171F0" w:rsidRDefault="00274C2F" w:rsidP="00274C2F">
            <w:r w:rsidRPr="001F374C">
              <w:rPr>
                <w:b/>
                <w:i/>
              </w:rPr>
              <w:t>Indicative conservation status within the EC:</w:t>
            </w:r>
            <w:r>
              <w:t xml:space="preserve"> Critically endangered</w:t>
            </w:r>
          </w:p>
        </w:tc>
      </w:tr>
    </w:tbl>
    <w:p w14:paraId="2DCAEEF6" w14:textId="77777777" w:rsidR="00520A8D" w:rsidRDefault="00520A8D" w:rsidP="004B4089">
      <w:pPr>
        <w:spacing w:before="240"/>
        <w:contextualSpacing/>
        <w:rPr>
          <w:b/>
          <w:bCs/>
          <w:i/>
        </w:rPr>
      </w:pPr>
    </w:p>
    <w:p w14:paraId="25BE49AA" w14:textId="77777777" w:rsidR="00270EFA" w:rsidRDefault="00270EFA" w:rsidP="004B4089">
      <w:pPr>
        <w:spacing w:before="240"/>
        <w:contextualSpacing/>
        <w:rPr>
          <w:b/>
          <w:bCs/>
          <w:i/>
        </w:rPr>
      </w:pPr>
    </w:p>
    <w:p w14:paraId="39C5E443" w14:textId="77777777" w:rsidR="00270EFA" w:rsidRDefault="00270EFA" w:rsidP="004B4089">
      <w:pPr>
        <w:spacing w:before="240"/>
        <w:contextualSpacing/>
        <w:rPr>
          <w:b/>
          <w:bCs/>
          <w:i/>
        </w:rPr>
      </w:pPr>
    </w:p>
    <w:p w14:paraId="7762A4E8" w14:textId="0AA3178B" w:rsidR="006A4910" w:rsidRPr="006A4910" w:rsidRDefault="006A4910" w:rsidP="00A2521C">
      <w:pPr>
        <w:pStyle w:val="Heading5"/>
      </w:pPr>
      <w:r w:rsidRPr="006A4910">
        <w:lastRenderedPageBreak/>
        <w:t>Background</w:t>
      </w:r>
    </w:p>
    <w:p w14:paraId="778C645E" w14:textId="685703A8" w:rsidR="004B4089" w:rsidRPr="004B4089" w:rsidRDefault="00451291" w:rsidP="00B129BE">
      <w:pPr>
        <w:rPr>
          <w:iCs/>
        </w:rPr>
      </w:pPr>
      <w:r w:rsidRPr="00BB6AE8">
        <w:t xml:space="preserve">The mixed mesosaline to hypersaline macrophytes of the Coorong </w:t>
      </w:r>
      <w:r w:rsidR="00A75479" w:rsidRPr="00BB6AE8">
        <w:t>were and remain</w:t>
      </w:r>
      <w:r w:rsidRPr="00BB6AE8">
        <w:t xml:space="preserve"> critical to</w:t>
      </w:r>
      <w:r>
        <w:rPr>
          <w:iCs/>
        </w:rPr>
        <w:t xml:space="preserve"> maintaining this area </w:t>
      </w:r>
      <w:r w:rsidR="00605CF5">
        <w:rPr>
          <w:iCs/>
        </w:rPr>
        <w:t xml:space="preserve">as a productive estuary </w:t>
      </w:r>
      <w:r>
        <w:rPr>
          <w:iCs/>
        </w:rPr>
        <w:t>within the ecological community.</w:t>
      </w:r>
      <w:r w:rsidR="008D0D5E">
        <w:rPr>
          <w:iCs/>
        </w:rPr>
        <w:t xml:space="preserve"> </w:t>
      </w:r>
      <w:r w:rsidR="00A75479" w:rsidRPr="009B58D8">
        <w:t>These ‘green carpets’ stabilise the soft sediments, feed fish and vast numbers of waterfowl, provide habitat &amp; shelter (e.g. for small fish &amp; invertebrates) as well as a substrate for algal growth and fish egg deposition</w:t>
      </w:r>
      <w:r w:rsidR="00A75479">
        <w:t>.</w:t>
      </w:r>
      <w:r w:rsidR="00A75479">
        <w:rPr>
          <w:iCs/>
        </w:rPr>
        <w:t xml:space="preserve"> </w:t>
      </w:r>
      <w:r w:rsidR="008D0D5E">
        <w:rPr>
          <w:iCs/>
        </w:rPr>
        <w:t xml:space="preserve">More than 13 species of macroalgae and aquatic grasses have been documented </w:t>
      </w:r>
      <w:r w:rsidR="00471161">
        <w:rPr>
          <w:iCs/>
        </w:rPr>
        <w:t>within th</w:t>
      </w:r>
      <w:r w:rsidR="000165DF">
        <w:rPr>
          <w:iCs/>
        </w:rPr>
        <w:t>is</w:t>
      </w:r>
      <w:r w:rsidR="00DE2F5D">
        <w:rPr>
          <w:iCs/>
        </w:rPr>
        <w:t xml:space="preserve"> macr</w:t>
      </w:r>
      <w:r w:rsidR="006C3BB6">
        <w:rPr>
          <w:iCs/>
        </w:rPr>
        <w:t>o</w:t>
      </w:r>
      <w:r w:rsidR="00DE2F5D">
        <w:rPr>
          <w:iCs/>
        </w:rPr>
        <w:t>phyte assembla</w:t>
      </w:r>
      <w:r w:rsidR="006C3BB6">
        <w:rPr>
          <w:iCs/>
        </w:rPr>
        <w:t>g</w:t>
      </w:r>
      <w:r w:rsidR="00DE2F5D">
        <w:rPr>
          <w:iCs/>
        </w:rPr>
        <w:t>e</w:t>
      </w:r>
      <w:r w:rsidR="00471161">
        <w:rPr>
          <w:iCs/>
        </w:rPr>
        <w:t xml:space="preserve"> (past and present)</w:t>
      </w:r>
      <w:r w:rsidR="00DE2F5D">
        <w:rPr>
          <w:iCs/>
        </w:rPr>
        <w:t xml:space="preserve">, which forms an interdependent gradient across </w:t>
      </w:r>
      <w:r w:rsidR="006C3BB6">
        <w:rPr>
          <w:iCs/>
        </w:rPr>
        <w:t>the wetland</w:t>
      </w:r>
      <w:r w:rsidR="006F58C4">
        <w:rPr>
          <w:iCs/>
        </w:rPr>
        <w:t xml:space="preserve"> (</w:t>
      </w:r>
      <w:r w:rsidR="00E440D8">
        <w:rPr>
          <w:iCs/>
        </w:rPr>
        <w:t xml:space="preserve">Nicol 2005; </w:t>
      </w:r>
      <w:r w:rsidR="0096583F">
        <w:rPr>
          <w:iCs/>
        </w:rPr>
        <w:t xml:space="preserve">Nicol et al. 2018; </w:t>
      </w:r>
      <w:r w:rsidR="00EE0BB2">
        <w:rPr>
          <w:iCs/>
        </w:rPr>
        <w:t>Coleman</w:t>
      </w:r>
      <w:r w:rsidR="00911DE5">
        <w:rPr>
          <w:iCs/>
        </w:rPr>
        <w:t xml:space="preserve"> in press; </w:t>
      </w:r>
      <w:r w:rsidR="006F58C4" w:rsidRPr="006F58C4">
        <w:rPr>
          <w:iCs/>
          <w:u w:val="single"/>
        </w:rPr>
        <w:t xml:space="preserve">Appendix </w:t>
      </w:r>
      <w:r w:rsidR="00A93560">
        <w:rPr>
          <w:iCs/>
          <w:u w:val="single"/>
        </w:rPr>
        <w:t>B</w:t>
      </w:r>
      <w:r w:rsidR="006F58C4" w:rsidRPr="006F58C4">
        <w:rPr>
          <w:iCs/>
          <w:u w:val="single"/>
        </w:rPr>
        <w:t xml:space="preserve">, Table </w:t>
      </w:r>
      <w:r w:rsidR="00101F2B">
        <w:rPr>
          <w:iCs/>
          <w:u w:val="single"/>
        </w:rPr>
        <w:t>B1</w:t>
      </w:r>
      <w:r w:rsidR="006F58C4">
        <w:rPr>
          <w:iCs/>
        </w:rPr>
        <w:t>)</w:t>
      </w:r>
      <w:r w:rsidR="006C3BB6">
        <w:rPr>
          <w:iCs/>
        </w:rPr>
        <w:t xml:space="preserve">. It was described in the original listing for the Lakes and Coorong Ramsar site as the </w:t>
      </w:r>
      <w:r w:rsidR="00B00D1C">
        <w:rPr>
          <w:iCs/>
        </w:rPr>
        <w:t>‘</w:t>
      </w:r>
      <w:r w:rsidR="006C3BB6">
        <w:rPr>
          <w:iCs/>
        </w:rPr>
        <w:t>Hypersaline Lagoon Community</w:t>
      </w:r>
      <w:r w:rsidR="00B00D1C">
        <w:rPr>
          <w:iCs/>
        </w:rPr>
        <w:t>’ (DEW 1987).</w:t>
      </w:r>
      <w:r w:rsidR="009045F3">
        <w:rPr>
          <w:iCs/>
        </w:rPr>
        <w:t xml:space="preserve"> </w:t>
      </w:r>
    </w:p>
    <w:p w14:paraId="166EEDB2" w14:textId="0D01B686" w:rsidR="00E64129" w:rsidRDefault="00F86B40" w:rsidP="00A2521C">
      <w:pPr>
        <w:pStyle w:val="Heading5"/>
      </w:pPr>
      <w:r>
        <w:t>Taxonomic uncertainty</w:t>
      </w:r>
      <w:r w:rsidR="00E64129">
        <w:t xml:space="preserve"> revealed</w:t>
      </w:r>
    </w:p>
    <w:p w14:paraId="75068796" w14:textId="2B3153CF" w:rsidR="00AE6B88" w:rsidRDefault="000D0682" w:rsidP="00B129BE">
      <w:r>
        <w:rPr>
          <w:iCs/>
        </w:rPr>
        <w:t xml:space="preserve">In </w:t>
      </w:r>
      <w:r w:rsidR="009A357C">
        <w:rPr>
          <w:iCs/>
        </w:rPr>
        <w:t>post-regulation</w:t>
      </w:r>
      <w:r>
        <w:rPr>
          <w:iCs/>
        </w:rPr>
        <w:t xml:space="preserve"> history</w:t>
      </w:r>
      <w:r w:rsidR="009A357C">
        <w:rPr>
          <w:iCs/>
        </w:rPr>
        <w:t xml:space="preserve">, </w:t>
      </w:r>
      <w:r w:rsidR="00EC5FCA">
        <w:rPr>
          <w:iCs/>
        </w:rPr>
        <w:t xml:space="preserve">the two dominant </w:t>
      </w:r>
      <w:r w:rsidR="00227FC6">
        <w:rPr>
          <w:iCs/>
        </w:rPr>
        <w:t xml:space="preserve">aquatic </w:t>
      </w:r>
      <w:r w:rsidR="00EC5FCA">
        <w:rPr>
          <w:iCs/>
        </w:rPr>
        <w:t xml:space="preserve">macrophytes in the Coorong were </w:t>
      </w:r>
      <w:r w:rsidR="00C94136">
        <w:rPr>
          <w:iCs/>
        </w:rPr>
        <w:t xml:space="preserve">considered as </w:t>
      </w:r>
      <w:r w:rsidR="00FC40F7" w:rsidRPr="00490EAF">
        <w:rPr>
          <w:i/>
        </w:rPr>
        <w:t>Ruppia</w:t>
      </w:r>
      <w:r w:rsidR="00FC40F7">
        <w:t xml:space="preserve"> </w:t>
      </w:r>
      <w:r w:rsidR="00FC40F7" w:rsidRPr="00336905">
        <w:rPr>
          <w:i/>
        </w:rPr>
        <w:t>megacarpa</w:t>
      </w:r>
      <w:r w:rsidR="00FC40F7">
        <w:t xml:space="preserve"> </w:t>
      </w:r>
      <w:r w:rsidR="003B63DC">
        <w:t xml:space="preserve">(large-fruit </w:t>
      </w:r>
      <w:r w:rsidR="00AE6B88">
        <w:t xml:space="preserve">sea </w:t>
      </w:r>
      <w:r w:rsidR="003B63DC">
        <w:t xml:space="preserve">tassel) </w:t>
      </w:r>
      <w:r w:rsidR="00FC40F7">
        <w:t xml:space="preserve">and </w:t>
      </w:r>
      <w:r w:rsidR="00FC40F7" w:rsidRPr="00336905">
        <w:rPr>
          <w:i/>
        </w:rPr>
        <w:t>R. tuberosa</w:t>
      </w:r>
      <w:r w:rsidR="00FC40F7">
        <w:t xml:space="preserve"> </w:t>
      </w:r>
      <w:r w:rsidR="003B63DC">
        <w:t>(</w:t>
      </w:r>
      <w:r w:rsidR="009906AD">
        <w:t xml:space="preserve">tuberous </w:t>
      </w:r>
      <w:r w:rsidR="00AE6B88">
        <w:t xml:space="preserve">sea </w:t>
      </w:r>
      <w:r w:rsidR="00DD5CDF">
        <w:t xml:space="preserve">tassel </w:t>
      </w:r>
      <w:r w:rsidR="00AE6B88">
        <w:t xml:space="preserve">or widgeon </w:t>
      </w:r>
      <w:r w:rsidR="00DD5CDF">
        <w:t>grass</w:t>
      </w:r>
      <w:r w:rsidR="009906AD">
        <w:t>)</w:t>
      </w:r>
      <w:r w:rsidR="00E440D8">
        <w:t xml:space="preserve"> (Nicol 2005)</w:t>
      </w:r>
      <w:r w:rsidR="00FF0A2C">
        <w:t xml:space="preserve">. </w:t>
      </w:r>
      <w:r w:rsidR="006A2636">
        <w:t xml:space="preserve">Geddes (1987) reports that </w:t>
      </w:r>
      <w:r w:rsidR="008B5E5F">
        <w:t>in 1983</w:t>
      </w:r>
      <w:r w:rsidR="00927481">
        <w:t>,</w:t>
      </w:r>
      <w:r w:rsidR="008B5E5F">
        <w:t xml:space="preserve"> </w:t>
      </w:r>
      <w:r w:rsidR="00EC6566" w:rsidRPr="00141E46">
        <w:rPr>
          <w:i/>
          <w:iCs/>
        </w:rPr>
        <w:t>R. megacarpa</w:t>
      </w:r>
      <w:r w:rsidR="00EC6566">
        <w:t xml:space="preserve"> </w:t>
      </w:r>
      <w:r w:rsidR="006A2636">
        <w:t xml:space="preserve">and </w:t>
      </w:r>
      <w:r w:rsidR="00141E46" w:rsidRPr="00141E46">
        <w:rPr>
          <w:i/>
          <w:iCs/>
        </w:rPr>
        <w:t>Althenia cylindrica</w:t>
      </w:r>
      <w:r w:rsidR="00141E46">
        <w:t xml:space="preserve"> (syn. </w:t>
      </w:r>
      <w:r w:rsidR="00141E46" w:rsidRPr="00C94136">
        <w:rPr>
          <w:i/>
          <w:iCs/>
        </w:rPr>
        <w:t>Lepilaena</w:t>
      </w:r>
      <w:r w:rsidR="00141E46">
        <w:t xml:space="preserve">) </w:t>
      </w:r>
      <w:r w:rsidR="008B5E5F">
        <w:t xml:space="preserve">beds were vigorous and extensive, </w:t>
      </w:r>
      <w:r w:rsidR="00EC6566">
        <w:t>occurr</w:t>
      </w:r>
      <w:r w:rsidR="008B5E5F">
        <w:t>ing along the length of the North Lagoon</w:t>
      </w:r>
      <w:r w:rsidR="00EB4ACE">
        <w:t xml:space="preserve">, in addition to </w:t>
      </w:r>
      <w:r w:rsidR="00EB4ACE" w:rsidRPr="00705F41">
        <w:rPr>
          <w:i/>
          <w:iCs/>
        </w:rPr>
        <w:t>Zo</w:t>
      </w:r>
      <w:r w:rsidR="00705F41" w:rsidRPr="00705F41">
        <w:rPr>
          <w:i/>
          <w:iCs/>
        </w:rPr>
        <w:t>stera muelleri</w:t>
      </w:r>
      <w:r w:rsidR="00705F41">
        <w:t xml:space="preserve"> (seagrass) beds</w:t>
      </w:r>
      <w:r w:rsidR="00882C68">
        <w:t xml:space="preserve"> towards the ocean</w:t>
      </w:r>
      <w:r w:rsidR="00705F41">
        <w:t>.</w:t>
      </w:r>
      <w:r w:rsidR="00FE542B">
        <w:t xml:space="preserve"> Geddes (1887) also reported</w:t>
      </w:r>
      <w:r w:rsidR="00732E68">
        <w:t xml:space="preserve"> that</w:t>
      </w:r>
      <w:r w:rsidR="00650C52">
        <w:t xml:space="preserve"> </w:t>
      </w:r>
      <w:r w:rsidR="00650C52" w:rsidRPr="002A3B53">
        <w:rPr>
          <w:i/>
          <w:iCs/>
        </w:rPr>
        <w:t>R. tuberosa</w:t>
      </w:r>
      <w:r w:rsidR="00650C52">
        <w:t xml:space="preserve"> </w:t>
      </w:r>
      <w:r w:rsidR="004F30EA">
        <w:t xml:space="preserve">was </w:t>
      </w:r>
      <w:r w:rsidR="000D590B">
        <w:t xml:space="preserve">dominant </w:t>
      </w:r>
      <w:r w:rsidR="00FE542B">
        <w:t xml:space="preserve">and extensive </w:t>
      </w:r>
      <w:r w:rsidR="000D590B">
        <w:t>in the South Lagoon</w:t>
      </w:r>
      <w:r w:rsidR="00FE542B">
        <w:t xml:space="preserve"> in 1984</w:t>
      </w:r>
      <w:r w:rsidR="000D590B">
        <w:t xml:space="preserve">, with </w:t>
      </w:r>
      <w:r w:rsidR="002A3B53" w:rsidRPr="002A3B53">
        <w:rPr>
          <w:i/>
          <w:iCs/>
        </w:rPr>
        <w:t xml:space="preserve">Lamprothamnium </w:t>
      </w:r>
      <w:r w:rsidR="002A3B53">
        <w:t>(</w:t>
      </w:r>
      <w:r w:rsidR="00CC31A8">
        <w:t xml:space="preserve">likely </w:t>
      </w:r>
      <w:r w:rsidR="00CC31A8" w:rsidRPr="00CC31A8">
        <w:rPr>
          <w:i/>
          <w:iCs/>
        </w:rPr>
        <w:t>L. papulosum</w:t>
      </w:r>
      <w:r w:rsidR="00CC31A8">
        <w:t xml:space="preserve">, </w:t>
      </w:r>
      <w:r w:rsidR="002A3B53">
        <w:t>foxtail stonewort</w:t>
      </w:r>
      <w:r w:rsidR="000674C8">
        <w:t xml:space="preserve"> or muskgrass</w:t>
      </w:r>
      <w:r w:rsidR="00DA7299">
        <w:t xml:space="preserve">, </w:t>
      </w:r>
      <w:r w:rsidR="00F86B40">
        <w:t xml:space="preserve">DEW 1987; </w:t>
      </w:r>
      <w:r w:rsidR="008860BC">
        <w:t>Paton et al</w:t>
      </w:r>
      <w:r w:rsidR="00DA7299">
        <w:t>. 2015</w:t>
      </w:r>
      <w:r w:rsidR="002A3B53">
        <w:t xml:space="preserve">) </w:t>
      </w:r>
      <w:r w:rsidR="000D590B">
        <w:t>sometimes common.</w:t>
      </w:r>
      <w:r w:rsidR="00181176">
        <w:t xml:space="preserve"> </w:t>
      </w:r>
    </w:p>
    <w:p w14:paraId="477426AB" w14:textId="54B937F2" w:rsidR="004305B8" w:rsidRDefault="004305B8" w:rsidP="004B4089">
      <w:pPr>
        <w:spacing w:before="240"/>
      </w:pPr>
      <w:r w:rsidRPr="00806174">
        <w:rPr>
          <w:i/>
          <w:iCs/>
        </w:rPr>
        <w:t>R. tuberosa</w:t>
      </w:r>
      <w:r>
        <w:t xml:space="preserve"> is essentially an annual plant that exploits the ephemeral mudflats around the shores of the</w:t>
      </w:r>
      <w:r w:rsidR="00806174">
        <w:t xml:space="preserve"> southern Coorong</w:t>
      </w:r>
      <w:r w:rsidR="00AE6B88">
        <w:t xml:space="preserve"> (South Lagoon and southern North Lagoon)</w:t>
      </w:r>
      <w:r>
        <w:t xml:space="preserve">. These ephemeral areas are </w:t>
      </w:r>
      <w:r w:rsidR="00806174">
        <w:t xml:space="preserve">typically </w:t>
      </w:r>
      <w:r>
        <w:t>covered with water from late autumn through spring and into summer but are often dry from late summer through autumn</w:t>
      </w:r>
      <w:r w:rsidR="00806174">
        <w:t>;</w:t>
      </w:r>
      <w:r>
        <w:t xml:space="preserve"> </w:t>
      </w:r>
      <w:r w:rsidR="00806174">
        <w:t>a</w:t>
      </w:r>
      <w:r>
        <w:t>nnual water level changes are typically around 1 m</w:t>
      </w:r>
      <w:r w:rsidR="00806174">
        <w:t xml:space="preserve"> (Paton et al. 2015).</w:t>
      </w:r>
      <w:r w:rsidR="00BD757E">
        <w:t xml:space="preserve"> During the dry period of lowest water levels, </w:t>
      </w:r>
      <w:r w:rsidR="00F3087C" w:rsidRPr="00F3087C">
        <w:rPr>
          <w:i/>
          <w:iCs/>
        </w:rPr>
        <w:t>R. tuberosa</w:t>
      </w:r>
      <w:r w:rsidR="00F3087C">
        <w:t xml:space="preserve"> </w:t>
      </w:r>
      <w:r w:rsidR="00BD757E">
        <w:t>remains on or in the mud surface as seeds and turions.</w:t>
      </w:r>
    </w:p>
    <w:p w14:paraId="07409B8B" w14:textId="6D88C879" w:rsidR="004B4089" w:rsidRPr="004B4089" w:rsidRDefault="002A2540" w:rsidP="004B4089">
      <w:pPr>
        <w:spacing w:before="240"/>
      </w:pPr>
      <w:r>
        <w:t>However, i</w:t>
      </w:r>
      <w:r w:rsidR="00181176">
        <w:t xml:space="preserve">t </w:t>
      </w:r>
      <w:r w:rsidR="00AA7DA4">
        <w:t>was</w:t>
      </w:r>
      <w:r w:rsidR="00181176">
        <w:t xml:space="preserve"> </w:t>
      </w:r>
      <w:r w:rsidR="00597311">
        <w:t xml:space="preserve">recognised </w:t>
      </w:r>
      <w:r w:rsidR="00806174">
        <w:t xml:space="preserve">relatively recently </w:t>
      </w:r>
      <w:r w:rsidR="00597311">
        <w:t xml:space="preserve">that </w:t>
      </w:r>
      <w:r w:rsidR="00597311" w:rsidRPr="0094576E">
        <w:rPr>
          <w:i/>
          <w:iCs/>
        </w:rPr>
        <w:t>R. tuberosa</w:t>
      </w:r>
      <w:r w:rsidR="00597311">
        <w:t xml:space="preserve"> and </w:t>
      </w:r>
      <w:r w:rsidR="00597311" w:rsidRPr="0094576E">
        <w:rPr>
          <w:i/>
          <w:iCs/>
        </w:rPr>
        <w:t>A</w:t>
      </w:r>
      <w:r w:rsidR="0024478A" w:rsidRPr="0094576E">
        <w:rPr>
          <w:i/>
          <w:iCs/>
        </w:rPr>
        <w:t>lthenia</w:t>
      </w:r>
      <w:r w:rsidR="0024478A">
        <w:t xml:space="preserve"> are indistinguishable unless flow</w:t>
      </w:r>
      <w:r w:rsidR="00FE106F">
        <w:t>er</w:t>
      </w:r>
      <w:r w:rsidR="0024478A">
        <w:t>ing</w:t>
      </w:r>
      <w:r w:rsidR="00E43756">
        <w:t xml:space="preserve"> (</w:t>
      </w:r>
      <w:r w:rsidR="00E43756" w:rsidRPr="008A1A0E">
        <w:t xml:space="preserve">Asanopoulos </w:t>
      </w:r>
      <w:r w:rsidR="00E43756">
        <w:t xml:space="preserve">&amp; </w:t>
      </w:r>
      <w:r w:rsidR="00E43756" w:rsidRPr="008A1A0E">
        <w:t>Waycott 2020</w:t>
      </w:r>
      <w:r w:rsidR="00033672">
        <w:t>)</w:t>
      </w:r>
      <w:r w:rsidR="00326251">
        <w:t xml:space="preserve">, </w:t>
      </w:r>
      <w:r w:rsidR="00C94136">
        <w:t xml:space="preserve">and </w:t>
      </w:r>
      <w:r w:rsidR="00326251">
        <w:t>addition</w:t>
      </w:r>
      <w:r w:rsidR="00AA7DA4">
        <w:t>ally</w:t>
      </w:r>
      <w:r w:rsidR="00C94136">
        <w:t>,</w:t>
      </w:r>
      <w:r w:rsidR="00326251">
        <w:t xml:space="preserve"> </w:t>
      </w:r>
      <w:r w:rsidR="00C94136">
        <w:t xml:space="preserve">an unresolved </w:t>
      </w:r>
      <w:r w:rsidR="00C94136" w:rsidRPr="0094576E">
        <w:rPr>
          <w:i/>
          <w:iCs/>
        </w:rPr>
        <w:t>Ruppia</w:t>
      </w:r>
      <w:r w:rsidR="00C94136">
        <w:t xml:space="preserve"> sp. </w:t>
      </w:r>
      <w:r w:rsidR="00B33D62">
        <w:t>i</w:t>
      </w:r>
      <w:r w:rsidR="00957AA9">
        <w:t xml:space="preserve">n the South Lagoon has </w:t>
      </w:r>
      <w:r w:rsidR="00C94136">
        <w:t>been</w:t>
      </w:r>
      <w:r w:rsidR="00E43756">
        <w:t xml:space="preserve"> </w:t>
      </w:r>
      <w:r w:rsidR="0094576E">
        <w:t>identification by eDNA</w:t>
      </w:r>
      <w:r w:rsidR="00E43756">
        <w:t xml:space="preserve"> (</w:t>
      </w:r>
      <w:r w:rsidR="0032126F">
        <w:t>Lewis et al. 2022).</w:t>
      </w:r>
      <w:r w:rsidR="0094576E">
        <w:t xml:space="preserve"> </w:t>
      </w:r>
      <w:r w:rsidR="00E64129">
        <w:t xml:space="preserve">Indeed, </w:t>
      </w:r>
      <w:r w:rsidR="004C0D0E">
        <w:rPr>
          <w:iCs/>
        </w:rPr>
        <w:t xml:space="preserve">the three main </w:t>
      </w:r>
      <w:r w:rsidR="00957AA9">
        <w:rPr>
          <w:iCs/>
        </w:rPr>
        <w:t xml:space="preserve">submerged macrophyte </w:t>
      </w:r>
      <w:r w:rsidR="004C0D0E">
        <w:rPr>
          <w:iCs/>
        </w:rPr>
        <w:t xml:space="preserve">genera, </w:t>
      </w:r>
      <w:r w:rsidR="004C0D0E" w:rsidRPr="004C0D0E">
        <w:rPr>
          <w:i/>
        </w:rPr>
        <w:t>Ruppia</w:t>
      </w:r>
      <w:r w:rsidR="004C0D0E">
        <w:rPr>
          <w:iCs/>
        </w:rPr>
        <w:t xml:space="preserve">, </w:t>
      </w:r>
      <w:r w:rsidR="004C0D0E" w:rsidRPr="004C0D0E">
        <w:rPr>
          <w:i/>
        </w:rPr>
        <w:t>Althenia</w:t>
      </w:r>
      <w:r w:rsidR="004C0D0E">
        <w:rPr>
          <w:iCs/>
        </w:rPr>
        <w:t xml:space="preserve"> and </w:t>
      </w:r>
      <w:r w:rsidR="004C0D0E" w:rsidRPr="004C0D0E">
        <w:rPr>
          <w:i/>
        </w:rPr>
        <w:t>Lamprothamnium</w:t>
      </w:r>
      <w:r w:rsidR="004C0D0E">
        <w:rPr>
          <w:iCs/>
        </w:rPr>
        <w:t>, are currently under taxonomic review</w:t>
      </w:r>
      <w:r w:rsidR="00806174">
        <w:rPr>
          <w:iCs/>
        </w:rPr>
        <w:t>, with likely 2–4 species present for each</w:t>
      </w:r>
      <w:r w:rsidR="004C0D0E">
        <w:rPr>
          <w:iCs/>
        </w:rPr>
        <w:t xml:space="preserve"> (F. Coleman pers</w:t>
      </w:r>
      <w:r w:rsidR="00880A93">
        <w:rPr>
          <w:iCs/>
        </w:rPr>
        <w:t>. comm.</w:t>
      </w:r>
      <w:r w:rsidR="004C0D0E">
        <w:rPr>
          <w:iCs/>
        </w:rPr>
        <w:t>).</w:t>
      </w:r>
      <w:r w:rsidR="00880A93">
        <w:rPr>
          <w:iCs/>
        </w:rPr>
        <w:t xml:space="preserve"> </w:t>
      </w:r>
      <w:r w:rsidR="0094576E">
        <w:t xml:space="preserve">Lewis et al. </w:t>
      </w:r>
      <w:r w:rsidR="00E5653F">
        <w:t xml:space="preserve">(2022) </w:t>
      </w:r>
      <w:r w:rsidR="0094576E">
        <w:t>proposed that</w:t>
      </w:r>
      <w:r w:rsidR="00DA7299">
        <w:t>, going forward,</w:t>
      </w:r>
      <w:r w:rsidR="0094576E">
        <w:t xml:space="preserve"> </w:t>
      </w:r>
      <w:r w:rsidR="00E5653F">
        <w:t>the assemblage</w:t>
      </w:r>
      <w:r w:rsidR="00E43756">
        <w:t xml:space="preserve"> of aquatic macrophytes</w:t>
      </w:r>
      <w:r w:rsidR="00E5653F">
        <w:t xml:space="preserve"> in the South Lagoon be referred to as the ‘Ruppia Community’</w:t>
      </w:r>
      <w:r w:rsidR="00957AA9">
        <w:t xml:space="preserve">, as </w:t>
      </w:r>
      <w:r w:rsidR="00957AA9" w:rsidRPr="00957AA9">
        <w:rPr>
          <w:i/>
          <w:iCs/>
        </w:rPr>
        <w:t>R. tuberosa</w:t>
      </w:r>
      <w:r w:rsidR="00957AA9">
        <w:t xml:space="preserve"> is dominant.</w:t>
      </w:r>
      <w:r w:rsidR="00EA3596">
        <w:t xml:space="preserve"> </w:t>
      </w:r>
      <w:r w:rsidR="00217A74">
        <w:t>Providing certainty on the taxon</w:t>
      </w:r>
      <w:r w:rsidR="0002318A">
        <w:t>o</w:t>
      </w:r>
      <w:r w:rsidR="00217A74">
        <w:t>m</w:t>
      </w:r>
      <w:r w:rsidR="0002318A">
        <w:t xml:space="preserve">ic </w:t>
      </w:r>
      <w:r w:rsidR="00217A74">
        <w:t xml:space="preserve">identity of macrophytes in the Coroong will allow for </w:t>
      </w:r>
      <w:r w:rsidR="00E37ACF">
        <w:t xml:space="preserve">a </w:t>
      </w:r>
      <w:r w:rsidR="00217A74">
        <w:t xml:space="preserve">baseline </w:t>
      </w:r>
      <w:r w:rsidR="0002318A">
        <w:t xml:space="preserve">distribution </w:t>
      </w:r>
      <w:r w:rsidR="00304A4C">
        <w:t xml:space="preserve">to augment long-term monitoring going forward (e.g. </w:t>
      </w:r>
      <w:r w:rsidR="00304A4C" w:rsidRPr="008A1A0E">
        <w:t xml:space="preserve">Asanopoulos </w:t>
      </w:r>
      <w:r w:rsidR="00304A4C">
        <w:t xml:space="preserve">&amp; </w:t>
      </w:r>
      <w:r w:rsidR="00304A4C" w:rsidRPr="008A1A0E">
        <w:t>Waycott</w:t>
      </w:r>
      <w:r w:rsidR="00304A4C">
        <w:t xml:space="preserve"> 2022).</w:t>
      </w:r>
    </w:p>
    <w:p w14:paraId="2A791DC3" w14:textId="16E6B791" w:rsidR="006A6433" w:rsidRDefault="006A6433" w:rsidP="00A2521C">
      <w:pPr>
        <w:pStyle w:val="Heading5"/>
      </w:pPr>
      <w:r>
        <w:t>Keystone surrogates</w:t>
      </w:r>
    </w:p>
    <w:p w14:paraId="6EBFC779" w14:textId="2232A87D" w:rsidR="00FC40F7" w:rsidRPr="00BF06D7" w:rsidRDefault="00880A93" w:rsidP="00FC40F7">
      <w:pPr>
        <w:contextualSpacing/>
      </w:pPr>
      <w:r w:rsidRPr="009B682A">
        <w:t xml:space="preserve">Notwithstanding the </w:t>
      </w:r>
      <w:r w:rsidR="009B682A" w:rsidRPr="009B682A">
        <w:t>more recent taxonomic uncertainties, it remains clear that</w:t>
      </w:r>
      <w:r w:rsidR="009B682A">
        <w:rPr>
          <w:i/>
          <w:iCs/>
        </w:rPr>
        <w:t xml:space="preserve"> </w:t>
      </w:r>
      <w:r w:rsidR="00B301A0" w:rsidRPr="00B301A0">
        <w:rPr>
          <w:i/>
          <w:iCs/>
        </w:rPr>
        <w:t>Ruppia</w:t>
      </w:r>
      <w:r w:rsidR="00B301A0">
        <w:t xml:space="preserve"> species are </w:t>
      </w:r>
      <w:r w:rsidR="00FC40F7">
        <w:t>key</w:t>
      </w:r>
      <w:r w:rsidR="00635DD4">
        <w:t xml:space="preserve"> functional</w:t>
      </w:r>
      <w:r w:rsidR="00FC40F7">
        <w:t xml:space="preserve"> species in the Coorong</w:t>
      </w:r>
      <w:r w:rsidR="00DB111E">
        <w:t xml:space="preserve">. </w:t>
      </w:r>
      <w:r w:rsidR="00902DBD">
        <w:t xml:space="preserve">As such, they provide useful surrogates for </w:t>
      </w:r>
      <w:r w:rsidR="008F3B0B">
        <w:t xml:space="preserve">this </w:t>
      </w:r>
      <w:r w:rsidR="00635DD4">
        <w:t>c</w:t>
      </w:r>
      <w:r w:rsidR="007D6519">
        <w:t xml:space="preserve">riterion </w:t>
      </w:r>
      <w:r w:rsidR="008F3B0B">
        <w:t>assessment</w:t>
      </w:r>
      <w:r w:rsidR="00BC13EB">
        <w:t>,</w:t>
      </w:r>
      <w:r w:rsidR="00751B7D">
        <w:t xml:space="preserve"> and </w:t>
      </w:r>
      <w:r w:rsidR="00BC13EB">
        <w:t>in particular</w:t>
      </w:r>
      <w:r w:rsidR="00751B7D">
        <w:t>,</w:t>
      </w:r>
      <w:r w:rsidR="00BC13EB">
        <w:t xml:space="preserve"> </w:t>
      </w:r>
      <w:r w:rsidR="00BC13EB" w:rsidRPr="007D6519">
        <w:rPr>
          <w:i/>
          <w:iCs/>
        </w:rPr>
        <w:t>R</w:t>
      </w:r>
      <w:r w:rsidR="007D6519" w:rsidRPr="007D6519">
        <w:rPr>
          <w:i/>
          <w:iCs/>
        </w:rPr>
        <w:t>.</w:t>
      </w:r>
      <w:r w:rsidR="00BC13EB" w:rsidRPr="007D6519">
        <w:rPr>
          <w:i/>
          <w:iCs/>
        </w:rPr>
        <w:t xml:space="preserve"> tuberosa </w:t>
      </w:r>
      <w:r w:rsidR="00BC13EB">
        <w:t>as a surrogate for the newly termed ‘Ruppia Community</w:t>
      </w:r>
      <w:r w:rsidR="007D6519">
        <w:t>’.</w:t>
      </w:r>
      <w:r w:rsidR="008F3B0B">
        <w:t xml:space="preserve"> I</w:t>
      </w:r>
      <w:r w:rsidR="00FC40F7">
        <w:t xml:space="preserve">n addition to </w:t>
      </w:r>
      <w:r w:rsidR="0048690D">
        <w:t xml:space="preserve">trapping and </w:t>
      </w:r>
      <w:r w:rsidR="00FC40F7">
        <w:t>stabilising the soft sediments</w:t>
      </w:r>
      <w:r w:rsidR="0048690D">
        <w:t xml:space="preserve"> and helping to maintain water quality</w:t>
      </w:r>
      <w:r w:rsidR="00635DD4">
        <w:t xml:space="preserve"> and clarity,</w:t>
      </w:r>
      <w:r w:rsidR="0048690D">
        <w:t xml:space="preserve"> </w:t>
      </w:r>
      <w:r w:rsidR="00FC40F7">
        <w:t>th</w:t>
      </w:r>
      <w:r w:rsidR="00864F36">
        <w:t>ese species</w:t>
      </w:r>
      <w:r w:rsidR="00FC40F7">
        <w:t xml:space="preserve"> historically fulfilled two key ecological roles (</w:t>
      </w:r>
      <w:r w:rsidR="007942B0">
        <w:t xml:space="preserve">Geddes &amp; Butler 1984; </w:t>
      </w:r>
      <w:r w:rsidR="00D9790C">
        <w:t xml:space="preserve">Nicol 2005; </w:t>
      </w:r>
      <w:r w:rsidR="00FC40F7">
        <w:t xml:space="preserve">Phillips </w:t>
      </w:r>
      <w:r w:rsidR="001267F7">
        <w:t xml:space="preserve">&amp; </w:t>
      </w:r>
      <w:r w:rsidR="00FC40F7">
        <w:t>Muller 2006; Rogers and Paton</w:t>
      </w:r>
      <w:r w:rsidR="00693DD0">
        <w:t xml:space="preserve"> </w:t>
      </w:r>
      <w:r w:rsidR="00FC40F7">
        <w:t>2009a; Paton 2010; Whipp 2010</w:t>
      </w:r>
      <w:r w:rsidR="00036FC5">
        <w:t xml:space="preserve">; </w:t>
      </w:r>
      <w:r w:rsidR="009405D3" w:rsidRPr="008A1A0E">
        <w:t xml:space="preserve">Asanopoulos </w:t>
      </w:r>
      <w:r w:rsidR="009405D3">
        <w:t xml:space="preserve">&amp; </w:t>
      </w:r>
      <w:r w:rsidR="009405D3" w:rsidRPr="008A1A0E">
        <w:t>Waycott 2020</w:t>
      </w:r>
      <w:r w:rsidR="009405D3">
        <w:t xml:space="preserve">; </w:t>
      </w:r>
      <w:r w:rsidR="00036FC5">
        <w:t xml:space="preserve">Lewis &amp; Lewis </w:t>
      </w:r>
      <w:r w:rsidR="005C3DA7">
        <w:t>2022</w:t>
      </w:r>
      <w:r w:rsidR="00FC40F7">
        <w:t>):</w:t>
      </w:r>
    </w:p>
    <w:p w14:paraId="612C52B4" w14:textId="02269CDE" w:rsidR="0092710D" w:rsidRDefault="00FC40F7" w:rsidP="004162AC">
      <w:pPr>
        <w:pStyle w:val="ListParagraph"/>
        <w:numPr>
          <w:ilvl w:val="0"/>
          <w:numId w:val="57"/>
        </w:numPr>
      </w:pPr>
      <w:r w:rsidRPr="00235743">
        <w:rPr>
          <w:i/>
        </w:rPr>
        <w:t>Primary producers</w:t>
      </w:r>
      <w:r>
        <w:t xml:space="preserve"> - </w:t>
      </w:r>
      <w:r w:rsidRPr="002D4347">
        <w:t>as the main primary prod</w:t>
      </w:r>
      <w:r>
        <w:t xml:space="preserve">ucers in the saline/hypersaline </w:t>
      </w:r>
      <w:r w:rsidRPr="002D4347">
        <w:t>environm</w:t>
      </w:r>
      <w:r>
        <w:t xml:space="preserve">ent of the Coorong they </w:t>
      </w:r>
      <w:r w:rsidR="00864F36">
        <w:t>serve</w:t>
      </w:r>
      <w:r w:rsidRPr="002D4347">
        <w:t xml:space="preserve"> a critical role </w:t>
      </w:r>
      <w:r>
        <w:t xml:space="preserve">in the food chain </w:t>
      </w:r>
      <w:r w:rsidRPr="002D4347">
        <w:t>for invertebrates, fish, an</w:t>
      </w:r>
      <w:r>
        <w:t xml:space="preserve">d local and </w:t>
      </w:r>
      <w:r>
        <w:lastRenderedPageBreak/>
        <w:t xml:space="preserve">migratory water birds and waders </w:t>
      </w:r>
      <w:r w:rsidRPr="002D4347">
        <w:t>(</w:t>
      </w:r>
      <w:r>
        <w:t xml:space="preserve">Nicol, 2005; </w:t>
      </w:r>
      <w:r w:rsidRPr="002D4347">
        <w:t xml:space="preserve">Rogers </w:t>
      </w:r>
      <w:r w:rsidR="002E04EA">
        <w:t xml:space="preserve">&amp; </w:t>
      </w:r>
      <w:r w:rsidRPr="002D4347">
        <w:t>Paton, 2009</w:t>
      </w:r>
      <w:r>
        <w:t>a,b</w:t>
      </w:r>
      <w:r w:rsidR="009C363B">
        <w:t>; Paton et al. 2018</w:t>
      </w:r>
      <w:r w:rsidRPr="002D4347">
        <w:t>). Leaves, seeds</w:t>
      </w:r>
      <w:r>
        <w:t>, shoots</w:t>
      </w:r>
      <w:r w:rsidR="00B301A0">
        <w:t>,</w:t>
      </w:r>
      <w:r w:rsidRPr="002D4347">
        <w:t xml:space="preserve"> and the starchy tubers (turions) are eaten</w:t>
      </w:r>
      <w:r>
        <w:t xml:space="preserve"> by waterfowl (Congdon and McComb, 1981; Nicol, 2005)</w:t>
      </w:r>
      <w:r w:rsidRPr="002D4347">
        <w:t xml:space="preserve">. </w:t>
      </w:r>
      <w:r w:rsidRPr="00235743">
        <w:rPr>
          <w:i/>
        </w:rPr>
        <w:t>Ruppia</w:t>
      </w:r>
      <w:r w:rsidRPr="002D4347">
        <w:t xml:space="preserve"> speci</w:t>
      </w:r>
      <w:r>
        <w:t xml:space="preserve">es were </w:t>
      </w:r>
      <w:r w:rsidRPr="002D4347">
        <w:t xml:space="preserve">also </w:t>
      </w:r>
      <w:r w:rsidR="008C6494">
        <w:t xml:space="preserve">a </w:t>
      </w:r>
      <w:r w:rsidRPr="002D4347">
        <w:t>m</w:t>
      </w:r>
      <w:r w:rsidR="008C6494">
        <w:t>ajor</w:t>
      </w:r>
      <w:r w:rsidRPr="002D4347">
        <w:t xml:space="preserve"> source of </w:t>
      </w:r>
      <w:r w:rsidR="0092710D" w:rsidRPr="002D4347">
        <w:t xml:space="preserve">detritus </w:t>
      </w:r>
      <w:r w:rsidR="0092710D">
        <w:t xml:space="preserve">for the detrital-based food chain </w:t>
      </w:r>
      <w:r w:rsidR="0092710D" w:rsidRPr="002D4347">
        <w:t>in the Coor</w:t>
      </w:r>
      <w:r w:rsidR="0092710D">
        <w:t xml:space="preserve">ong and contribute to carbon and nutrient cycling (Phillips </w:t>
      </w:r>
      <w:r w:rsidR="002E04EA">
        <w:t xml:space="preserve">&amp; </w:t>
      </w:r>
      <w:r w:rsidR="0092710D">
        <w:t>Muller, 2006; Waycott &amp; Lewis 2022; Coleman in press); and</w:t>
      </w:r>
    </w:p>
    <w:p w14:paraId="4FA8F4FA" w14:textId="77777777" w:rsidR="0092710D" w:rsidRPr="00CC7E88" w:rsidRDefault="0092710D" w:rsidP="0092710D">
      <w:pPr>
        <w:pStyle w:val="ListParagraph"/>
        <w:ind w:left="360"/>
        <w:rPr>
          <w:b/>
        </w:rPr>
      </w:pPr>
    </w:p>
    <w:p w14:paraId="313CBEE9" w14:textId="75260C60" w:rsidR="0092710D" w:rsidRPr="003A6CF5" w:rsidRDefault="0092710D" w:rsidP="004162AC">
      <w:pPr>
        <w:pStyle w:val="ListParagraph"/>
        <w:numPr>
          <w:ilvl w:val="0"/>
          <w:numId w:val="57"/>
        </w:numPr>
        <w:rPr>
          <w:b/>
        </w:rPr>
      </w:pPr>
      <w:r w:rsidRPr="003A6CF5">
        <w:rPr>
          <w:i/>
        </w:rPr>
        <w:t>Habitat engineers - Ruppia</w:t>
      </w:r>
      <w:r>
        <w:t xml:space="preserve"> species (along with other macrophytes and algae) provide</w:t>
      </w:r>
      <w:r w:rsidRPr="003414D5">
        <w:t xml:space="preserve"> h</w:t>
      </w:r>
      <w:r>
        <w:t>abitat, including shelter (</w:t>
      </w:r>
      <w:r w:rsidRPr="003414D5">
        <w:t xml:space="preserve">from predation, wind, currents, </w:t>
      </w:r>
      <w:r>
        <w:t>etc.) and a nursery</w:t>
      </w:r>
      <w:r w:rsidRPr="003414D5">
        <w:t xml:space="preserve"> (e.g. for egg laying), for a range of </w:t>
      </w:r>
      <w:r>
        <w:t>small fish and invertebrates</w:t>
      </w:r>
      <w:r w:rsidRPr="003414D5">
        <w:t xml:space="preserve">. For example, small fish such as </w:t>
      </w:r>
      <w:r w:rsidRPr="003A6CF5">
        <w:rPr>
          <w:i/>
        </w:rPr>
        <w:t>Atherinosoma microstoma</w:t>
      </w:r>
      <w:r w:rsidRPr="003414D5">
        <w:t xml:space="preserve"> (small mouth hardyhead) may be dependent on </w:t>
      </w:r>
      <w:r w:rsidRPr="003A6CF5">
        <w:rPr>
          <w:i/>
        </w:rPr>
        <w:t>R. tuberosa</w:t>
      </w:r>
      <w:r w:rsidRPr="003414D5">
        <w:t xml:space="preserve"> </w:t>
      </w:r>
      <w:r>
        <w:t xml:space="preserve">(i.e. Ruppia Community) as a substratum for their eggs </w:t>
      </w:r>
      <w:r w:rsidRPr="003414D5">
        <w:t xml:space="preserve">in an otherwise high-energy, soft-sediment </w:t>
      </w:r>
      <w:r>
        <w:t xml:space="preserve">environment. In addition, </w:t>
      </w:r>
      <w:r w:rsidR="00864F36">
        <w:t xml:space="preserve">these </w:t>
      </w:r>
      <w:r w:rsidR="00864F36" w:rsidRPr="00864F36">
        <w:rPr>
          <w:i/>
          <w:iCs/>
        </w:rPr>
        <w:t>Ruppia</w:t>
      </w:r>
      <w:r>
        <w:t xml:space="preserve"> </w:t>
      </w:r>
      <w:r w:rsidR="00864F36">
        <w:t xml:space="preserve">species </w:t>
      </w:r>
      <w:r>
        <w:t>clarify and cool the water column, shade and bind the dark sediments, and reduce inorganic and planktonic turbidity (Coleman in press).</w:t>
      </w:r>
      <w:r w:rsidR="007F2C87">
        <w:t xml:space="preserve"> </w:t>
      </w:r>
      <w:r w:rsidR="004515B4">
        <w:t>Importantly, they serve to limit or prevent cyanobacterial and phytoplankton blooms (</w:t>
      </w:r>
      <w:r w:rsidR="00663BA7">
        <w:t>Coleman in press</w:t>
      </w:r>
      <w:r w:rsidR="004515B4">
        <w:t>).</w:t>
      </w:r>
    </w:p>
    <w:p w14:paraId="3B34B240" w14:textId="32267CBF" w:rsidR="0092710D" w:rsidRPr="00C14F56" w:rsidRDefault="004C2A08" w:rsidP="00A2521C">
      <w:pPr>
        <w:pStyle w:val="Heading5"/>
      </w:pPr>
      <w:r>
        <w:t>Functional e</w:t>
      </w:r>
      <w:r w:rsidR="0092710D" w:rsidRPr="00C14F56">
        <w:t xml:space="preserve">xtirpation and </w:t>
      </w:r>
      <w:r w:rsidR="0092710D">
        <w:t>d</w:t>
      </w:r>
      <w:r w:rsidR="0092710D" w:rsidRPr="00C14F56">
        <w:t>ecline</w:t>
      </w:r>
    </w:p>
    <w:p w14:paraId="4EAAF8E0" w14:textId="77777777" w:rsidR="00B118E2" w:rsidRDefault="0092710D" w:rsidP="008868F8">
      <w:pPr>
        <w:pStyle w:val="twentypointnormal"/>
        <w:keepLines/>
        <w:spacing w:after="200"/>
        <w:ind w:left="0"/>
        <w:rPr>
          <w:rFonts w:ascii="Cambria" w:hAnsi="Cambria"/>
          <w:sz w:val="22"/>
          <w:szCs w:val="22"/>
        </w:rPr>
      </w:pPr>
      <w:r w:rsidRPr="00C4790B">
        <w:rPr>
          <w:rFonts w:ascii="Cambria" w:hAnsi="Cambria"/>
          <w:sz w:val="22"/>
          <w:szCs w:val="22"/>
          <w:u w:val="single"/>
        </w:rPr>
        <w:t>Table 2</w:t>
      </w:r>
      <w:r>
        <w:rPr>
          <w:rFonts w:ascii="Cambria" w:hAnsi="Cambria"/>
          <w:sz w:val="22"/>
          <w:szCs w:val="22"/>
          <w:u w:val="single"/>
        </w:rPr>
        <w:t>8</w:t>
      </w:r>
      <w:r w:rsidRPr="00C4790B">
        <w:rPr>
          <w:rFonts w:ascii="Cambria" w:hAnsi="Cambria"/>
          <w:sz w:val="22"/>
          <w:szCs w:val="22"/>
        </w:rPr>
        <w:t xml:space="preserve"> provides a summary of the comparative ecology and </w:t>
      </w:r>
      <w:r>
        <w:rPr>
          <w:rFonts w:ascii="Cambria" w:hAnsi="Cambria"/>
          <w:sz w:val="22"/>
          <w:szCs w:val="22"/>
        </w:rPr>
        <w:t xml:space="preserve">contemporary </w:t>
      </w:r>
      <w:r w:rsidRPr="00C4790B">
        <w:rPr>
          <w:rFonts w:ascii="Cambria" w:hAnsi="Cambria"/>
          <w:sz w:val="22"/>
          <w:szCs w:val="22"/>
        </w:rPr>
        <w:t xml:space="preserve">historical decline of the two </w:t>
      </w:r>
      <w:r w:rsidR="006C3073">
        <w:rPr>
          <w:rFonts w:ascii="Cambria" w:hAnsi="Cambria"/>
          <w:sz w:val="22"/>
          <w:szCs w:val="22"/>
        </w:rPr>
        <w:t>main</w:t>
      </w:r>
      <w:r w:rsidRPr="00C4790B">
        <w:rPr>
          <w:rFonts w:ascii="Cambria" w:hAnsi="Cambria"/>
          <w:sz w:val="22"/>
          <w:szCs w:val="22"/>
        </w:rPr>
        <w:t xml:space="preserve"> </w:t>
      </w:r>
      <w:r w:rsidRPr="00C4790B">
        <w:rPr>
          <w:rFonts w:ascii="Cambria" w:hAnsi="Cambria"/>
          <w:i/>
          <w:sz w:val="22"/>
          <w:szCs w:val="22"/>
        </w:rPr>
        <w:t>Ruppia</w:t>
      </w:r>
      <w:r w:rsidRPr="00C4790B">
        <w:rPr>
          <w:rFonts w:ascii="Cambria" w:hAnsi="Cambria"/>
          <w:sz w:val="22"/>
          <w:szCs w:val="22"/>
        </w:rPr>
        <w:t xml:space="preserve"> species</w:t>
      </w:r>
      <w:r>
        <w:rPr>
          <w:rFonts w:ascii="Cambria" w:hAnsi="Cambria"/>
          <w:sz w:val="22"/>
          <w:szCs w:val="22"/>
        </w:rPr>
        <w:t xml:space="preserve">. </w:t>
      </w:r>
      <w:r w:rsidRPr="00C4790B">
        <w:rPr>
          <w:rFonts w:ascii="Cambria" w:hAnsi="Cambria"/>
          <w:i/>
          <w:sz w:val="22"/>
          <w:szCs w:val="22"/>
        </w:rPr>
        <w:t>R. megacarpa</w:t>
      </w:r>
      <w:r w:rsidRPr="00C4790B">
        <w:rPr>
          <w:rFonts w:ascii="Cambria" w:hAnsi="Cambria"/>
          <w:sz w:val="22"/>
          <w:szCs w:val="22"/>
        </w:rPr>
        <w:t xml:space="preserve"> beds disappeared completely sometime between 1995 and 2003 or earlier (Geddes 2005b; Nicol 2005; Rogers and Paton 2009a; Paton 2010; Whipp 2010;</w:t>
      </w:r>
      <w:r>
        <w:rPr>
          <w:rFonts w:ascii="Cambria" w:hAnsi="Cambria"/>
          <w:sz w:val="22"/>
          <w:szCs w:val="22"/>
        </w:rPr>
        <w:t xml:space="preserve"> Lewis et al. 2022</w:t>
      </w:r>
      <w:r w:rsidRPr="00C4790B">
        <w:rPr>
          <w:rFonts w:ascii="Cambria" w:hAnsi="Cambria"/>
          <w:sz w:val="22"/>
          <w:szCs w:val="22"/>
        </w:rPr>
        <w:t>)</w:t>
      </w:r>
      <w:r>
        <w:rPr>
          <w:rFonts w:ascii="Cambria" w:hAnsi="Cambria"/>
          <w:sz w:val="22"/>
          <w:szCs w:val="22"/>
        </w:rPr>
        <w:t xml:space="preserve"> and</w:t>
      </w:r>
      <w:r w:rsidRPr="00C4790B">
        <w:rPr>
          <w:rFonts w:ascii="Cambria" w:hAnsi="Cambria"/>
          <w:sz w:val="22"/>
          <w:szCs w:val="22"/>
        </w:rPr>
        <w:t xml:space="preserve"> </w:t>
      </w:r>
      <w:r w:rsidRPr="00C4790B">
        <w:rPr>
          <w:rFonts w:ascii="Cambria" w:hAnsi="Cambria"/>
          <w:i/>
          <w:sz w:val="22"/>
          <w:szCs w:val="22"/>
        </w:rPr>
        <w:t>R. tuberosa</w:t>
      </w:r>
      <w:r w:rsidRPr="00C4790B">
        <w:rPr>
          <w:rFonts w:ascii="Cambria" w:hAnsi="Cambria"/>
          <w:sz w:val="22"/>
          <w:szCs w:val="22"/>
        </w:rPr>
        <w:t xml:space="preserve"> </w:t>
      </w:r>
      <w:r>
        <w:rPr>
          <w:rFonts w:ascii="Cambria" w:hAnsi="Cambria"/>
          <w:sz w:val="22"/>
          <w:szCs w:val="22"/>
        </w:rPr>
        <w:t xml:space="preserve">(i.e. ‘Ruppia Community’) </w:t>
      </w:r>
      <w:r w:rsidRPr="00C4790B">
        <w:rPr>
          <w:rFonts w:ascii="Cambria" w:hAnsi="Cambria"/>
          <w:sz w:val="22"/>
          <w:szCs w:val="22"/>
        </w:rPr>
        <w:t xml:space="preserve">declined through the 1990s and virtually disappeared from the South Lagoon of the Coorong between 1999 and 2009, primarily due to the Millennium Drought (Paton 2010). </w:t>
      </w:r>
    </w:p>
    <w:p w14:paraId="4A454ABD" w14:textId="2E8607C5" w:rsidR="00B118E2" w:rsidRDefault="0092710D" w:rsidP="00B118E2">
      <w:pPr>
        <w:pStyle w:val="twentypointnormal"/>
        <w:spacing w:after="200"/>
        <w:ind w:left="0"/>
        <w:rPr>
          <w:rFonts w:ascii="Cambria" w:hAnsi="Cambria"/>
          <w:sz w:val="22"/>
          <w:szCs w:val="22"/>
        </w:rPr>
      </w:pPr>
      <w:r>
        <w:rPr>
          <w:rFonts w:ascii="Cambria" w:hAnsi="Cambria"/>
          <w:sz w:val="22"/>
          <w:szCs w:val="22"/>
        </w:rPr>
        <w:t>Extreme summer salinities of &gt;150 g/L occurred in the South Lagoon from 2007 until the drought broke in 2010 (Waycott &amp; Lewis 2022).</w:t>
      </w:r>
      <w:r w:rsidR="006753AE">
        <w:rPr>
          <w:rFonts w:ascii="Cambria" w:hAnsi="Cambria"/>
          <w:sz w:val="22"/>
          <w:szCs w:val="22"/>
        </w:rPr>
        <w:t xml:space="preserve"> </w:t>
      </w:r>
      <w:r w:rsidR="00C34433">
        <w:rPr>
          <w:rFonts w:ascii="Cambria" w:hAnsi="Cambria"/>
          <w:sz w:val="22"/>
          <w:szCs w:val="22"/>
        </w:rPr>
        <w:t xml:space="preserve"> </w:t>
      </w:r>
      <w:r w:rsidR="000F04DB">
        <w:rPr>
          <w:rFonts w:ascii="Cambria" w:hAnsi="Cambria"/>
          <w:sz w:val="22"/>
          <w:szCs w:val="22"/>
        </w:rPr>
        <w:t xml:space="preserve">In studying the effects of salinity on germination, </w:t>
      </w:r>
      <w:r w:rsidR="00C34433">
        <w:rPr>
          <w:rFonts w:ascii="Cambria" w:hAnsi="Cambria"/>
          <w:sz w:val="22"/>
          <w:szCs w:val="22"/>
        </w:rPr>
        <w:t>Kim et al</w:t>
      </w:r>
      <w:r w:rsidR="000F04DB">
        <w:rPr>
          <w:rFonts w:ascii="Cambria" w:hAnsi="Cambria"/>
          <w:sz w:val="22"/>
          <w:szCs w:val="22"/>
        </w:rPr>
        <w:t>.</w:t>
      </w:r>
      <w:r w:rsidR="00C34433">
        <w:rPr>
          <w:rFonts w:ascii="Cambria" w:hAnsi="Cambria"/>
          <w:sz w:val="22"/>
          <w:szCs w:val="22"/>
        </w:rPr>
        <w:t xml:space="preserve"> (2013) f</w:t>
      </w:r>
      <w:r w:rsidR="000F04DB">
        <w:rPr>
          <w:rFonts w:ascii="Cambria" w:hAnsi="Cambria"/>
          <w:sz w:val="22"/>
          <w:szCs w:val="22"/>
        </w:rPr>
        <w:t xml:space="preserve">ound that </w:t>
      </w:r>
      <w:r w:rsidR="004E5E0C">
        <w:rPr>
          <w:rFonts w:ascii="Cambria" w:hAnsi="Cambria"/>
          <w:sz w:val="22"/>
          <w:szCs w:val="22"/>
        </w:rPr>
        <w:t>i</w:t>
      </w:r>
      <w:r w:rsidR="00C34433" w:rsidRPr="00C34433">
        <w:rPr>
          <w:rFonts w:ascii="Cambria" w:hAnsi="Cambria"/>
          <w:sz w:val="22"/>
          <w:szCs w:val="22"/>
        </w:rPr>
        <w:t xml:space="preserve">ncreased </w:t>
      </w:r>
      <w:r w:rsidR="00B118E2" w:rsidRPr="00C34433">
        <w:rPr>
          <w:rFonts w:ascii="Cambria" w:hAnsi="Cambria"/>
          <w:sz w:val="22"/>
          <w:szCs w:val="22"/>
        </w:rPr>
        <w:t xml:space="preserve">salinity led to a decrease in germination rates for </w:t>
      </w:r>
      <w:r w:rsidR="00B118E2" w:rsidRPr="000F04DB">
        <w:rPr>
          <w:rFonts w:ascii="Cambria" w:hAnsi="Cambria"/>
          <w:i/>
          <w:iCs/>
          <w:sz w:val="22"/>
          <w:szCs w:val="22"/>
        </w:rPr>
        <w:t>R. tuberosa</w:t>
      </w:r>
      <w:r w:rsidR="00B118E2" w:rsidRPr="00C34433">
        <w:rPr>
          <w:rFonts w:ascii="Cambria" w:hAnsi="Cambria"/>
          <w:sz w:val="22"/>
          <w:szCs w:val="22"/>
        </w:rPr>
        <w:t xml:space="preserve"> and </w:t>
      </w:r>
      <w:r w:rsidR="00B118E2" w:rsidRPr="004C7B57">
        <w:rPr>
          <w:rFonts w:ascii="Cambria" w:hAnsi="Cambria"/>
          <w:i/>
          <w:iCs/>
          <w:sz w:val="22"/>
          <w:szCs w:val="22"/>
        </w:rPr>
        <w:t>R.</w:t>
      </w:r>
      <w:r w:rsidR="00B118E2" w:rsidRPr="00C34433">
        <w:rPr>
          <w:rFonts w:ascii="Cambria" w:hAnsi="Cambria"/>
          <w:sz w:val="22"/>
          <w:szCs w:val="22"/>
        </w:rPr>
        <w:t xml:space="preserve"> </w:t>
      </w:r>
      <w:r w:rsidR="00B118E2" w:rsidRPr="000F04DB">
        <w:rPr>
          <w:rFonts w:ascii="Cambria" w:hAnsi="Cambria"/>
          <w:i/>
          <w:iCs/>
          <w:sz w:val="22"/>
          <w:szCs w:val="22"/>
        </w:rPr>
        <w:t>megacarpa</w:t>
      </w:r>
      <w:r w:rsidR="00B118E2">
        <w:rPr>
          <w:rFonts w:ascii="Cambria" w:hAnsi="Cambria"/>
          <w:sz w:val="22"/>
          <w:szCs w:val="22"/>
        </w:rPr>
        <w:t>; t</w:t>
      </w:r>
      <w:r w:rsidR="00B118E2" w:rsidRPr="00C34433">
        <w:rPr>
          <w:rFonts w:ascii="Cambria" w:hAnsi="Cambria"/>
          <w:sz w:val="22"/>
          <w:szCs w:val="22"/>
        </w:rPr>
        <w:t xml:space="preserve">he salinity thresholds for germination were 85–90 g/L for </w:t>
      </w:r>
      <w:r w:rsidR="00B118E2" w:rsidRPr="000F04DB">
        <w:rPr>
          <w:rFonts w:ascii="Cambria" w:hAnsi="Cambria"/>
          <w:i/>
          <w:iCs/>
          <w:sz w:val="22"/>
          <w:szCs w:val="22"/>
        </w:rPr>
        <w:t>R. tuberosa</w:t>
      </w:r>
      <w:r w:rsidR="00B118E2" w:rsidRPr="00C34433">
        <w:rPr>
          <w:rFonts w:ascii="Cambria" w:hAnsi="Cambria"/>
          <w:sz w:val="22"/>
          <w:szCs w:val="22"/>
        </w:rPr>
        <w:t xml:space="preserve"> seeds, 120 g/L for </w:t>
      </w:r>
      <w:r w:rsidR="00B118E2" w:rsidRPr="000F04DB">
        <w:rPr>
          <w:rFonts w:ascii="Cambria" w:hAnsi="Cambria"/>
          <w:i/>
          <w:iCs/>
          <w:sz w:val="22"/>
          <w:szCs w:val="22"/>
        </w:rPr>
        <w:t>R. tuberosa</w:t>
      </w:r>
      <w:r w:rsidR="00B118E2" w:rsidRPr="00C34433">
        <w:rPr>
          <w:rFonts w:ascii="Cambria" w:hAnsi="Cambria"/>
          <w:sz w:val="22"/>
          <w:szCs w:val="22"/>
        </w:rPr>
        <w:t xml:space="preserve"> turions and 30 g/L for </w:t>
      </w:r>
      <w:r w:rsidR="00B118E2" w:rsidRPr="000F04DB">
        <w:rPr>
          <w:rFonts w:ascii="Cambria" w:hAnsi="Cambria"/>
          <w:i/>
          <w:iCs/>
          <w:sz w:val="22"/>
          <w:szCs w:val="22"/>
        </w:rPr>
        <w:t>R. megacarpa</w:t>
      </w:r>
      <w:r w:rsidR="00B118E2" w:rsidRPr="00C34433">
        <w:rPr>
          <w:rFonts w:ascii="Cambria" w:hAnsi="Cambria"/>
          <w:sz w:val="22"/>
          <w:szCs w:val="22"/>
        </w:rPr>
        <w:t xml:space="preserve"> seeds.</w:t>
      </w:r>
      <w:r w:rsidR="00B118E2">
        <w:rPr>
          <w:rFonts w:ascii="Cambria" w:hAnsi="Cambria"/>
          <w:sz w:val="22"/>
          <w:szCs w:val="22"/>
        </w:rPr>
        <w:t xml:space="preserve"> The</w:t>
      </w:r>
      <w:r w:rsidR="00FD6D0F">
        <w:rPr>
          <w:rFonts w:ascii="Cambria" w:hAnsi="Cambria"/>
          <w:sz w:val="22"/>
          <w:szCs w:val="22"/>
        </w:rPr>
        <w:t>se authors</w:t>
      </w:r>
      <w:r w:rsidR="00B118E2">
        <w:rPr>
          <w:rFonts w:ascii="Cambria" w:hAnsi="Cambria"/>
          <w:sz w:val="22"/>
          <w:szCs w:val="22"/>
        </w:rPr>
        <w:t xml:space="preserve"> also found that higher salinity increased mean time of seed germination 10 (Rm)–15 (Rt) days.</w:t>
      </w:r>
    </w:p>
    <w:p w14:paraId="5F510BCD" w14:textId="77777777" w:rsidR="00B118E2" w:rsidRPr="00584D16" w:rsidRDefault="00B118E2" w:rsidP="00B118E2">
      <w:pPr>
        <w:pStyle w:val="twentypointnormal"/>
        <w:spacing w:after="200"/>
        <w:ind w:left="0"/>
        <w:rPr>
          <w:rFonts w:ascii="Cambria" w:hAnsi="Cambria"/>
          <w:sz w:val="22"/>
          <w:szCs w:val="22"/>
        </w:rPr>
      </w:pPr>
      <w:r w:rsidRPr="00C4790B">
        <w:rPr>
          <w:rFonts w:ascii="Cambria" w:hAnsi="Cambria"/>
          <w:sz w:val="22"/>
          <w:szCs w:val="22"/>
        </w:rPr>
        <w:t>Surveys</w:t>
      </w:r>
      <w:r>
        <w:rPr>
          <w:rFonts w:ascii="Cambria" w:hAnsi="Cambria"/>
          <w:sz w:val="22"/>
          <w:szCs w:val="22"/>
        </w:rPr>
        <w:t xml:space="preserve"> soon after </w:t>
      </w:r>
      <w:r w:rsidRPr="00C4790B">
        <w:rPr>
          <w:rFonts w:ascii="Cambria" w:hAnsi="Cambria"/>
          <w:sz w:val="22"/>
          <w:szCs w:val="22"/>
        </w:rPr>
        <w:t xml:space="preserve">the Millennium Drought, confirmed that, despite a tenuous return of some </w:t>
      </w:r>
      <w:r>
        <w:rPr>
          <w:rFonts w:ascii="Cambria" w:hAnsi="Cambria"/>
          <w:sz w:val="22"/>
          <w:szCs w:val="22"/>
        </w:rPr>
        <w:br/>
      </w:r>
      <w:r w:rsidRPr="00C4790B">
        <w:rPr>
          <w:rFonts w:ascii="Cambria" w:hAnsi="Cambria"/>
          <w:i/>
          <w:sz w:val="22"/>
          <w:szCs w:val="22"/>
        </w:rPr>
        <w:t>R. tuberosa</w:t>
      </w:r>
      <w:r w:rsidRPr="00C4790B">
        <w:rPr>
          <w:rFonts w:ascii="Cambria" w:hAnsi="Cambria"/>
          <w:sz w:val="22"/>
          <w:szCs w:val="22"/>
        </w:rPr>
        <w:t xml:space="preserve"> </w:t>
      </w:r>
      <w:r>
        <w:rPr>
          <w:rFonts w:ascii="Cambria" w:hAnsi="Cambria"/>
          <w:sz w:val="22"/>
          <w:szCs w:val="22"/>
        </w:rPr>
        <w:t xml:space="preserve">(‘Ruppia Community’) </w:t>
      </w:r>
      <w:r w:rsidRPr="00C4790B">
        <w:rPr>
          <w:rFonts w:ascii="Cambria" w:hAnsi="Cambria"/>
          <w:sz w:val="22"/>
          <w:szCs w:val="22"/>
        </w:rPr>
        <w:t xml:space="preserve">in the southern North Lagoon, there was no viable propagule bank (seeds/turions) for either species </w:t>
      </w:r>
      <w:r>
        <w:rPr>
          <w:rFonts w:ascii="Cambria" w:hAnsi="Cambria"/>
          <w:sz w:val="22"/>
          <w:szCs w:val="22"/>
        </w:rPr>
        <w:t xml:space="preserve">found </w:t>
      </w:r>
      <w:r w:rsidRPr="00C4790B">
        <w:rPr>
          <w:rFonts w:ascii="Cambria" w:hAnsi="Cambria"/>
          <w:sz w:val="22"/>
          <w:szCs w:val="22"/>
        </w:rPr>
        <w:t>in the North or South Lagoons (Paton and Bailey 2012a).</w:t>
      </w:r>
      <w:r>
        <w:rPr>
          <w:rFonts w:ascii="Cambria" w:hAnsi="Cambria"/>
          <w:sz w:val="22"/>
          <w:szCs w:val="22"/>
        </w:rPr>
        <w:t xml:space="preserve"> </w:t>
      </w:r>
      <w:r w:rsidRPr="0095569E">
        <w:rPr>
          <w:rFonts w:ascii="Cambria" w:hAnsi="Cambria"/>
          <w:i/>
          <w:iCs/>
          <w:sz w:val="22"/>
          <w:szCs w:val="22"/>
        </w:rPr>
        <w:t>R. megacarpa</w:t>
      </w:r>
      <w:r>
        <w:rPr>
          <w:rFonts w:ascii="Cambria" w:hAnsi="Cambria"/>
          <w:sz w:val="22"/>
          <w:szCs w:val="22"/>
        </w:rPr>
        <w:t xml:space="preserve"> was effectively ‘extirpated’ from the North Lagoon, and </w:t>
      </w:r>
      <w:r w:rsidRPr="00D5661F">
        <w:rPr>
          <w:rFonts w:ascii="Cambria" w:hAnsi="Cambria"/>
          <w:i/>
          <w:iCs/>
          <w:sz w:val="22"/>
          <w:szCs w:val="22"/>
        </w:rPr>
        <w:t>Ruppia</w:t>
      </w:r>
      <w:r>
        <w:rPr>
          <w:rFonts w:ascii="Cambria" w:hAnsi="Cambria"/>
          <w:sz w:val="22"/>
          <w:szCs w:val="22"/>
        </w:rPr>
        <w:t xml:space="preserve"> (i.e. ‘Ruppia Community’) </w:t>
      </w:r>
      <w:r w:rsidRPr="00C4790B">
        <w:rPr>
          <w:rFonts w:ascii="Cambria" w:hAnsi="Cambria"/>
          <w:sz w:val="22"/>
          <w:szCs w:val="22"/>
        </w:rPr>
        <w:t xml:space="preserve">had ostensibly dwindled to highly isolated remnants and the seed bank was largely exhausted (Lewis et al. 2022). </w:t>
      </w:r>
    </w:p>
    <w:p w14:paraId="75C18A68" w14:textId="77777777" w:rsidR="00FD6D0F" w:rsidRDefault="00FD6D0F" w:rsidP="00A2521C">
      <w:pPr>
        <w:pStyle w:val="Heading5"/>
      </w:pPr>
      <w:r w:rsidRPr="00F92ED1">
        <w:t xml:space="preserve">Ruppia </w:t>
      </w:r>
      <w:r>
        <w:t>post-Millennium Drought</w:t>
      </w:r>
    </w:p>
    <w:p w14:paraId="01121FDC" w14:textId="77777777" w:rsidR="00473485" w:rsidRDefault="00FD6D0F" w:rsidP="00C34433">
      <w:pPr>
        <w:pStyle w:val="twentypointnormal"/>
        <w:spacing w:after="200"/>
        <w:ind w:left="0"/>
        <w:contextualSpacing/>
        <w:rPr>
          <w:rFonts w:ascii="Cambria" w:hAnsi="Cambria" w:cstheme="minorHAnsi"/>
          <w:sz w:val="22"/>
          <w:szCs w:val="22"/>
        </w:rPr>
        <w:sectPr w:rsidR="00473485" w:rsidSect="00FE3782">
          <w:pgSz w:w="11906" w:h="16838"/>
          <w:pgMar w:top="1134" w:right="1418" w:bottom="1134" w:left="1418" w:header="454" w:footer="454" w:gutter="0"/>
          <w:cols w:space="708"/>
          <w:docGrid w:linePitch="360"/>
        </w:sectPr>
      </w:pPr>
      <w:r w:rsidRPr="003B7404">
        <w:rPr>
          <w:rFonts w:ascii="Cambria" w:hAnsi="Cambria" w:cstheme="minorHAnsi"/>
          <w:i/>
          <w:iCs/>
          <w:sz w:val="22"/>
          <w:szCs w:val="22"/>
        </w:rPr>
        <w:t>Ruppia tuberosa</w:t>
      </w:r>
      <w:r>
        <w:rPr>
          <w:rFonts w:ascii="Cambria" w:hAnsi="Cambria" w:cstheme="minorHAnsi"/>
          <w:sz w:val="22"/>
          <w:szCs w:val="22"/>
        </w:rPr>
        <w:t xml:space="preserve"> </w:t>
      </w:r>
      <w:r w:rsidRPr="00C4790B">
        <w:rPr>
          <w:rFonts w:ascii="Cambria" w:hAnsi="Cambria" w:cstheme="minorHAnsi"/>
          <w:sz w:val="22"/>
          <w:szCs w:val="22"/>
        </w:rPr>
        <w:t>(i.e.</w:t>
      </w:r>
      <w:r>
        <w:rPr>
          <w:rFonts w:ascii="Cambria" w:hAnsi="Cambria" w:cstheme="minorHAnsi"/>
          <w:sz w:val="22"/>
          <w:szCs w:val="22"/>
        </w:rPr>
        <w:t xml:space="preserve"> ‘</w:t>
      </w:r>
      <w:r w:rsidRPr="003B7404">
        <w:rPr>
          <w:rFonts w:ascii="Cambria" w:hAnsi="Cambria" w:cstheme="minorHAnsi"/>
          <w:sz w:val="22"/>
          <w:szCs w:val="22"/>
        </w:rPr>
        <w:t>Ruppia Community</w:t>
      </w:r>
      <w:r>
        <w:rPr>
          <w:rFonts w:ascii="Cambria" w:hAnsi="Cambria" w:cstheme="minorHAnsi"/>
          <w:sz w:val="22"/>
          <w:szCs w:val="22"/>
        </w:rPr>
        <w:t>’</w:t>
      </w:r>
      <w:r w:rsidRPr="00C4790B">
        <w:rPr>
          <w:rFonts w:ascii="Cambria" w:hAnsi="Cambria" w:cstheme="minorHAnsi"/>
          <w:sz w:val="22"/>
          <w:szCs w:val="22"/>
        </w:rPr>
        <w:t xml:space="preserve">) </w:t>
      </w:r>
      <w:r>
        <w:rPr>
          <w:rFonts w:ascii="Cambria" w:hAnsi="Cambria" w:cstheme="minorHAnsi"/>
          <w:sz w:val="22"/>
          <w:szCs w:val="22"/>
        </w:rPr>
        <w:t xml:space="preserve">has increased </w:t>
      </w:r>
      <w:r w:rsidRPr="00C4790B">
        <w:rPr>
          <w:rFonts w:ascii="Cambria" w:hAnsi="Cambria" w:cstheme="minorHAnsi"/>
          <w:sz w:val="22"/>
          <w:szCs w:val="22"/>
        </w:rPr>
        <w:t>in the South Lagoon</w:t>
      </w:r>
      <w:r>
        <w:rPr>
          <w:rFonts w:ascii="Cambria" w:hAnsi="Cambria" w:cstheme="minorHAnsi"/>
          <w:sz w:val="22"/>
          <w:szCs w:val="22"/>
        </w:rPr>
        <w:t xml:space="preserve"> over the past decade or so, but recovery has been slow and patchy, despite several ‘wet’ years </w:t>
      </w:r>
      <w:r w:rsidRPr="00C4790B">
        <w:rPr>
          <w:rFonts w:ascii="Cambria" w:hAnsi="Cambria" w:cstheme="minorHAnsi"/>
          <w:sz w:val="22"/>
          <w:szCs w:val="22"/>
        </w:rPr>
        <w:t xml:space="preserve">(e.g. </w:t>
      </w:r>
      <w:r>
        <w:rPr>
          <w:rFonts w:ascii="Cambria" w:hAnsi="Cambria" w:cstheme="minorHAnsi"/>
          <w:sz w:val="22"/>
          <w:szCs w:val="22"/>
        </w:rPr>
        <w:t xml:space="preserve">Frahn et al. 2012; </w:t>
      </w:r>
      <w:r w:rsidRPr="00C4790B">
        <w:rPr>
          <w:rFonts w:ascii="Cambria" w:hAnsi="Cambria" w:cstheme="minorHAnsi"/>
          <w:sz w:val="22"/>
          <w:szCs w:val="22"/>
        </w:rPr>
        <w:t>Waycott et al. 2022)</w:t>
      </w:r>
      <w:r>
        <w:rPr>
          <w:rFonts w:ascii="Cambria" w:hAnsi="Cambria" w:cstheme="minorHAnsi"/>
          <w:sz w:val="22"/>
          <w:szCs w:val="22"/>
        </w:rPr>
        <w:t xml:space="preserve">. There has been no recovery of </w:t>
      </w:r>
      <w:r w:rsidRPr="00C4790B">
        <w:rPr>
          <w:rFonts w:ascii="Cambria" w:hAnsi="Cambria" w:cstheme="minorHAnsi"/>
          <w:i/>
          <w:iCs/>
          <w:sz w:val="22"/>
          <w:szCs w:val="22"/>
        </w:rPr>
        <w:t>R. megacarpa</w:t>
      </w:r>
      <w:r w:rsidRPr="00C4790B">
        <w:rPr>
          <w:rFonts w:ascii="Cambria" w:hAnsi="Cambria" w:cstheme="minorHAnsi"/>
          <w:sz w:val="22"/>
          <w:szCs w:val="22"/>
        </w:rPr>
        <w:t xml:space="preserve"> in the Coorong</w:t>
      </w:r>
      <w:r>
        <w:rPr>
          <w:rFonts w:ascii="Cambria" w:hAnsi="Cambria" w:cstheme="minorHAnsi"/>
          <w:sz w:val="22"/>
          <w:szCs w:val="22"/>
        </w:rPr>
        <w:t>, although it has been observed to be growing outside of the Coorong (e.g. adjacent channel to Salt Creek fishway) (Nicol et al. 2018; Lewis et al. 2022). Of concern, is that c</w:t>
      </w:r>
      <w:r w:rsidRPr="00C4790B">
        <w:rPr>
          <w:rFonts w:ascii="Cambria" w:hAnsi="Cambria" w:cstheme="minorHAnsi"/>
          <w:sz w:val="22"/>
          <w:szCs w:val="22"/>
        </w:rPr>
        <w:t xml:space="preserve">onditions in the Coorong have continued to deteriorate </w:t>
      </w:r>
      <w:r>
        <w:rPr>
          <w:rFonts w:ascii="Cambria" w:hAnsi="Cambria" w:cstheme="minorHAnsi"/>
          <w:sz w:val="22"/>
          <w:szCs w:val="22"/>
        </w:rPr>
        <w:t xml:space="preserve">since the drought </w:t>
      </w:r>
      <w:r w:rsidRPr="00C4790B">
        <w:rPr>
          <w:rFonts w:ascii="Cambria" w:hAnsi="Cambria" w:cstheme="minorHAnsi"/>
          <w:sz w:val="22"/>
          <w:szCs w:val="22"/>
        </w:rPr>
        <w:t>(</w:t>
      </w:r>
      <w:r>
        <w:rPr>
          <w:rFonts w:ascii="Cambria" w:hAnsi="Cambria" w:cstheme="minorHAnsi"/>
          <w:sz w:val="22"/>
          <w:szCs w:val="22"/>
        </w:rPr>
        <w:t xml:space="preserve">Aldridge et al. 2018; Brooks et al. </w:t>
      </w:r>
      <w:r w:rsidRPr="00AB6369">
        <w:rPr>
          <w:rFonts w:ascii="Cambria" w:hAnsi="Cambria" w:cstheme="minorHAnsi"/>
          <w:sz w:val="22"/>
          <w:szCs w:val="22"/>
        </w:rPr>
        <w:t>2018; Waycott &amp; Lewis 2022). There are currently signs of severe ecological stress, as i</w:t>
      </w:r>
      <w:r w:rsidRPr="00AB6369">
        <w:rPr>
          <w:rFonts w:ascii="Cambria" w:hAnsi="Cambria"/>
          <w:sz w:val="22"/>
          <w:szCs w:val="22"/>
        </w:rPr>
        <w:t xml:space="preserve">ndicated by changes in biological communities, including reduced numbers or absence of fish, </w:t>
      </w:r>
      <w:r w:rsidRPr="00AB6369">
        <w:rPr>
          <w:rFonts w:ascii="Cambria" w:hAnsi="Cambria" w:cstheme="minorHAnsi"/>
          <w:sz w:val="22"/>
          <w:szCs w:val="22"/>
        </w:rPr>
        <w:t xml:space="preserve">invertebrates and birds, through hyper-salinity, in addition to high turbidity and eutrophication (Asanopoulos &amp; Waycott 2020 and references therein). </w:t>
      </w:r>
    </w:p>
    <w:p w14:paraId="37CC2B0D" w14:textId="224830EC" w:rsidR="005C1237" w:rsidRPr="00473485" w:rsidRDefault="008B6910" w:rsidP="00473485">
      <w:pPr>
        <w:spacing w:after="160" w:line="259" w:lineRule="auto"/>
        <w:rPr>
          <w:rFonts w:eastAsia="Times New Roman" w:cs="Times New Roman"/>
          <w:b/>
          <w:bCs/>
          <w:sz w:val="20"/>
          <w:szCs w:val="20"/>
          <w:lang w:val="en-US" w:eastAsia="en-AU"/>
        </w:rPr>
      </w:pPr>
      <w:r w:rsidRPr="00473485">
        <w:rPr>
          <w:b/>
          <w:bCs/>
        </w:rPr>
        <w:lastRenderedPageBreak/>
        <w:t xml:space="preserve">Table </w:t>
      </w:r>
      <w:r w:rsidRPr="00473485">
        <w:rPr>
          <w:b/>
          <w:bCs/>
        </w:rPr>
        <w:fldChar w:fldCharType="begin"/>
      </w:r>
      <w:r w:rsidRPr="00473485">
        <w:rPr>
          <w:b/>
          <w:bCs/>
        </w:rPr>
        <w:instrText xml:space="preserve"> SEQ Table \* ARABIC </w:instrText>
      </w:r>
      <w:r w:rsidRPr="00473485">
        <w:rPr>
          <w:b/>
          <w:bCs/>
        </w:rPr>
        <w:fldChar w:fldCharType="separate"/>
      </w:r>
      <w:r w:rsidR="006D35C5">
        <w:rPr>
          <w:b/>
          <w:bCs/>
          <w:noProof/>
        </w:rPr>
        <w:t>28</w:t>
      </w:r>
      <w:r w:rsidRPr="00473485">
        <w:rPr>
          <w:b/>
          <w:bCs/>
        </w:rPr>
        <w:fldChar w:fldCharType="end"/>
      </w:r>
      <w:r w:rsidR="005C1237" w:rsidRPr="00473485">
        <w:rPr>
          <w:b/>
          <w:bCs/>
        </w:rPr>
        <w:t xml:space="preserve">: Comparative ecology and distribution of </w:t>
      </w:r>
      <w:r w:rsidR="005C1237" w:rsidRPr="00473485">
        <w:rPr>
          <w:b/>
          <w:bCs/>
          <w:i/>
        </w:rPr>
        <w:t>Ruppia megacarpa</w:t>
      </w:r>
      <w:r w:rsidR="005C1237" w:rsidRPr="00473485">
        <w:rPr>
          <w:b/>
          <w:bCs/>
        </w:rPr>
        <w:t xml:space="preserve"> and </w:t>
      </w:r>
      <w:r w:rsidR="005C1237" w:rsidRPr="00473485">
        <w:rPr>
          <w:b/>
          <w:bCs/>
          <w:i/>
        </w:rPr>
        <w:t>Ruppia tuberosa</w:t>
      </w:r>
      <w:r w:rsidR="005C1237" w:rsidRPr="00473485">
        <w:rPr>
          <w:b/>
          <w:bCs/>
        </w:rPr>
        <w:t xml:space="preserve"> (i.e. as a surrogate for </w:t>
      </w:r>
      <w:r w:rsidR="002F3DD5" w:rsidRPr="00473485">
        <w:rPr>
          <w:b/>
          <w:bCs/>
        </w:rPr>
        <w:t>the ‘</w:t>
      </w:r>
      <w:r w:rsidR="005C1237" w:rsidRPr="00473485">
        <w:rPr>
          <w:b/>
          <w:bCs/>
        </w:rPr>
        <w:t>Ruppia Community</w:t>
      </w:r>
      <w:r w:rsidR="002F3DD5" w:rsidRPr="00473485">
        <w:rPr>
          <w:b/>
          <w:bCs/>
        </w:rPr>
        <w:t>’</w:t>
      </w:r>
      <w:r w:rsidR="005C1237" w:rsidRPr="00473485">
        <w:rPr>
          <w:b/>
          <w:bCs/>
        </w:rPr>
        <w:t xml:space="preserve">) in the Coorong component of the </w:t>
      </w:r>
      <w:r w:rsidR="005C1237" w:rsidRPr="00473485">
        <w:rPr>
          <w:b/>
          <w:bCs/>
          <w:i/>
        </w:rPr>
        <w:t>River Murray - Darling to Sea</w:t>
      </w:r>
      <w:r w:rsidR="005C1237" w:rsidRPr="00473485">
        <w:rPr>
          <w:b/>
          <w:bCs/>
        </w:rPr>
        <w:t xml:space="preserve"> </w:t>
      </w:r>
      <w:r w:rsidR="00D763CF" w:rsidRPr="00473485">
        <w:rPr>
          <w:b/>
          <w:bCs/>
        </w:rPr>
        <w:t xml:space="preserve">EC </w:t>
      </w:r>
      <w:r w:rsidR="005C1237" w:rsidRPr="00473485">
        <w:rPr>
          <w:b/>
          <w:bCs/>
          <w:sz w:val="20"/>
          <w:szCs w:val="20"/>
        </w:rPr>
        <w:t>(Sources: Geddes &amp; Brock 1977 in Nicol 2005; Congdon &amp; McComb 1981; Geddes 1987, 2003</w:t>
      </w:r>
      <w:r w:rsidR="00B947F9" w:rsidRPr="00473485">
        <w:rPr>
          <w:b/>
          <w:bCs/>
          <w:sz w:val="20"/>
          <w:szCs w:val="20"/>
        </w:rPr>
        <w:t>, 2005a,b</w:t>
      </w:r>
      <w:r w:rsidR="005C1237" w:rsidRPr="00473485">
        <w:rPr>
          <w:b/>
          <w:bCs/>
          <w:sz w:val="20"/>
          <w:szCs w:val="20"/>
        </w:rPr>
        <w:t xml:space="preserve">; Geddes &amp; Butler 1984; Geddes &amp; Hall 1990; </w:t>
      </w:r>
      <w:r w:rsidR="002F3DD5" w:rsidRPr="00473485">
        <w:rPr>
          <w:b/>
          <w:bCs/>
          <w:sz w:val="20"/>
          <w:szCs w:val="20"/>
        </w:rPr>
        <w:t xml:space="preserve">Paton 2002 in Nicol et al. 2018; </w:t>
      </w:r>
      <w:r w:rsidR="005C1237" w:rsidRPr="00473485">
        <w:rPr>
          <w:b/>
          <w:bCs/>
          <w:sz w:val="20"/>
          <w:szCs w:val="20"/>
        </w:rPr>
        <w:t xml:space="preserve">Gehrig </w:t>
      </w:r>
      <w:r w:rsidR="00E9643A" w:rsidRPr="00473485">
        <w:rPr>
          <w:b/>
          <w:bCs/>
          <w:sz w:val="20"/>
          <w:szCs w:val="20"/>
        </w:rPr>
        <w:t>&amp;</w:t>
      </w:r>
      <w:r w:rsidR="005C1237" w:rsidRPr="00473485">
        <w:rPr>
          <w:b/>
          <w:bCs/>
          <w:sz w:val="20"/>
          <w:szCs w:val="20"/>
        </w:rPr>
        <w:t xml:space="preserve"> Nicol 2010; Jacobs &amp; Brock 1982 in Nicol 2005; Nicol 2005</w:t>
      </w:r>
      <w:r w:rsidR="00F53A01" w:rsidRPr="00473485">
        <w:rPr>
          <w:b/>
          <w:bCs/>
          <w:sz w:val="20"/>
          <w:szCs w:val="20"/>
        </w:rPr>
        <w:t>, 2007a, b</w:t>
      </w:r>
      <w:r w:rsidR="005C1237" w:rsidRPr="00473485">
        <w:rPr>
          <w:b/>
          <w:bCs/>
          <w:sz w:val="20"/>
          <w:szCs w:val="20"/>
        </w:rPr>
        <w:t xml:space="preserve">; Phillips &amp; Muller 2006; Rogers </w:t>
      </w:r>
      <w:r w:rsidR="00F53A01" w:rsidRPr="00473485">
        <w:rPr>
          <w:b/>
          <w:bCs/>
          <w:sz w:val="20"/>
          <w:szCs w:val="20"/>
        </w:rPr>
        <w:t>&amp;</w:t>
      </w:r>
      <w:r w:rsidR="005C1237" w:rsidRPr="00473485">
        <w:rPr>
          <w:b/>
          <w:bCs/>
          <w:sz w:val="20"/>
          <w:szCs w:val="20"/>
        </w:rPr>
        <w:t xml:space="preserve"> Paton 2009a; Paton 2010; Whipp 2010; Frahn et al. 2012; Paton &amp; Bailey 2012a;</w:t>
      </w:r>
      <w:r w:rsidR="00D763CF" w:rsidRPr="00473485">
        <w:rPr>
          <w:b/>
          <w:bCs/>
          <w:sz w:val="20"/>
          <w:szCs w:val="20"/>
        </w:rPr>
        <w:t xml:space="preserve"> Nicol et al. 2018; </w:t>
      </w:r>
      <w:r w:rsidR="005C1237" w:rsidRPr="00473485">
        <w:rPr>
          <w:b/>
          <w:bCs/>
          <w:sz w:val="20"/>
          <w:szCs w:val="20"/>
        </w:rPr>
        <w:t xml:space="preserve"> Asanopoulos &amp; Waycott 2020; Lewis et al. 2022; Waycott et al. 2022).</w:t>
      </w:r>
    </w:p>
    <w:tbl>
      <w:tblPr>
        <w:tblStyle w:val="TableGrid"/>
        <w:tblW w:w="5110" w:type="pct"/>
        <w:tblLook w:val="04A0" w:firstRow="1" w:lastRow="0" w:firstColumn="1" w:lastColumn="0" w:noHBand="0" w:noVBand="1"/>
      </w:tblPr>
      <w:tblGrid>
        <w:gridCol w:w="1449"/>
        <w:gridCol w:w="3903"/>
        <w:gridCol w:w="4140"/>
      </w:tblGrid>
      <w:tr w:rsidR="005C1237" w:rsidRPr="00CD0E0D" w14:paraId="1B381B9A" w14:textId="77777777" w:rsidTr="00473485">
        <w:trPr>
          <w:tblHeader/>
        </w:trPr>
        <w:tc>
          <w:tcPr>
            <w:tcW w:w="763" w:type="pct"/>
            <w:shd w:val="clear" w:color="auto" w:fill="D9D9D9" w:themeFill="background1" w:themeFillShade="D9"/>
          </w:tcPr>
          <w:p w14:paraId="4B39A2B5" w14:textId="77777777" w:rsidR="005C1237" w:rsidRPr="00CD0E0D" w:rsidRDefault="005C1237" w:rsidP="00CD5901">
            <w:pPr>
              <w:pStyle w:val="tableheadertext"/>
            </w:pPr>
            <w:r w:rsidRPr="00CD0E0D">
              <w:t>Aspect</w:t>
            </w:r>
          </w:p>
        </w:tc>
        <w:tc>
          <w:tcPr>
            <w:tcW w:w="2056" w:type="pct"/>
            <w:shd w:val="clear" w:color="auto" w:fill="D9D9D9" w:themeFill="background1" w:themeFillShade="D9"/>
          </w:tcPr>
          <w:p w14:paraId="7D23E533" w14:textId="77777777" w:rsidR="005C1237" w:rsidRPr="00CD0E0D" w:rsidRDefault="005C1237" w:rsidP="00CD5901">
            <w:pPr>
              <w:pStyle w:val="tableheadertext"/>
            </w:pPr>
            <w:r w:rsidRPr="00CD0E0D">
              <w:t>Ruppia megacarpa</w:t>
            </w:r>
          </w:p>
        </w:tc>
        <w:tc>
          <w:tcPr>
            <w:tcW w:w="2181" w:type="pct"/>
            <w:shd w:val="clear" w:color="auto" w:fill="D9D9D9" w:themeFill="background1" w:themeFillShade="D9"/>
          </w:tcPr>
          <w:p w14:paraId="651CC17F" w14:textId="13DA1EC7" w:rsidR="005C1237" w:rsidRPr="00CD0E0D" w:rsidRDefault="005C1237" w:rsidP="00CD5901">
            <w:pPr>
              <w:pStyle w:val="tableheadertext"/>
            </w:pPr>
            <w:r w:rsidRPr="00CD0E0D">
              <w:rPr>
                <w:i/>
              </w:rPr>
              <w:t>Ruppia tuberosa</w:t>
            </w:r>
            <w:r w:rsidRPr="00CD0E0D">
              <w:t xml:space="preserve">                            </w:t>
            </w:r>
            <w:r w:rsidR="002915A3" w:rsidRPr="00CD0E0D">
              <w:t xml:space="preserve"> (</w:t>
            </w:r>
            <w:r w:rsidRPr="00CD0E0D">
              <w:t>surrogate for ‘Ruppia Community’)</w:t>
            </w:r>
          </w:p>
        </w:tc>
      </w:tr>
      <w:tr w:rsidR="005C1237" w:rsidRPr="00CD0E0D" w14:paraId="10E36DC2" w14:textId="77777777" w:rsidTr="00473485">
        <w:tc>
          <w:tcPr>
            <w:tcW w:w="763" w:type="pct"/>
          </w:tcPr>
          <w:p w14:paraId="52879D17" w14:textId="64CEBE9D" w:rsidR="005C1237" w:rsidRPr="00CD0E0D" w:rsidRDefault="004B4089" w:rsidP="006E103D">
            <w:pPr>
              <w:pStyle w:val="tabletext1"/>
              <w:spacing w:after="60"/>
              <w:ind w:left="0"/>
              <w:jc w:val="both"/>
              <w:rPr>
                <w:rFonts w:ascii="Cambria" w:hAnsi="Cambria"/>
                <w:sz w:val="21"/>
                <w:szCs w:val="21"/>
              </w:rPr>
            </w:pPr>
            <w:r w:rsidRPr="00CD0E0D">
              <w:rPr>
                <w:rFonts w:ascii="Cambria" w:hAnsi="Cambria"/>
                <w:sz w:val="21"/>
                <w:szCs w:val="21"/>
              </w:rPr>
              <w:t>P</w:t>
            </w:r>
            <w:r w:rsidR="005C1237" w:rsidRPr="00CD0E0D">
              <w:rPr>
                <w:rFonts w:ascii="Cambria" w:hAnsi="Cambria"/>
                <w:sz w:val="21"/>
                <w:szCs w:val="21"/>
              </w:rPr>
              <w:t>lant type</w:t>
            </w:r>
          </w:p>
        </w:tc>
        <w:tc>
          <w:tcPr>
            <w:tcW w:w="2056" w:type="pct"/>
          </w:tcPr>
          <w:p w14:paraId="37A25366"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rhizomatous submergent aquatic macrophyte of brackish to hypersaline, permanently submerged habitats.</w:t>
            </w:r>
          </w:p>
        </w:tc>
        <w:tc>
          <w:tcPr>
            <w:tcW w:w="2181" w:type="pct"/>
          </w:tcPr>
          <w:p w14:paraId="696633F0" w14:textId="4213995A"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rhizomatous submergent aquatic macrophyte in hypersaline wetlands</w:t>
            </w:r>
            <w:r w:rsidR="006E552B" w:rsidRPr="00CD0E0D">
              <w:rPr>
                <w:rFonts w:ascii="Cambria" w:hAnsi="Cambria"/>
                <w:sz w:val="21"/>
                <w:szCs w:val="21"/>
              </w:rPr>
              <w:t xml:space="preserve"> at </w:t>
            </w:r>
            <w:r w:rsidR="002E016C" w:rsidRPr="00CD0E0D">
              <w:rPr>
                <w:rFonts w:ascii="Cambria" w:hAnsi="Cambria"/>
                <w:sz w:val="21"/>
                <w:szCs w:val="21"/>
              </w:rPr>
              <w:t xml:space="preserve">      </w:t>
            </w:r>
            <w:r w:rsidR="00567285" w:rsidRPr="00CD0E0D">
              <w:rPr>
                <w:rFonts w:ascii="Cambria" w:hAnsi="Cambria"/>
                <w:sz w:val="21"/>
                <w:szCs w:val="21"/>
              </w:rPr>
              <w:t xml:space="preserve">0.3-0.9 </w:t>
            </w:r>
            <w:r w:rsidR="006E552B" w:rsidRPr="00CD0E0D">
              <w:rPr>
                <w:rFonts w:ascii="Cambria" w:hAnsi="Cambria"/>
                <w:sz w:val="21"/>
                <w:szCs w:val="21"/>
              </w:rPr>
              <w:t>m depth</w:t>
            </w:r>
          </w:p>
        </w:tc>
      </w:tr>
      <w:tr w:rsidR="005C1237" w:rsidRPr="00CD0E0D" w14:paraId="10F0D64C" w14:textId="77777777" w:rsidTr="00473485">
        <w:tc>
          <w:tcPr>
            <w:tcW w:w="763" w:type="pct"/>
          </w:tcPr>
          <w:p w14:paraId="7FF670B5"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Historical distribution</w:t>
            </w:r>
          </w:p>
        </w:tc>
        <w:tc>
          <w:tcPr>
            <w:tcW w:w="2056" w:type="pct"/>
          </w:tcPr>
          <w:p w14:paraId="2C4EC9AA"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 xml:space="preserve">historically (post 1920 regulation) dominant in </w:t>
            </w:r>
            <w:r w:rsidRPr="00CD0E0D">
              <w:rPr>
                <w:rFonts w:ascii="Cambria" w:hAnsi="Cambria"/>
                <w:b/>
                <w:sz w:val="21"/>
                <w:szCs w:val="21"/>
              </w:rPr>
              <w:t>North Lagoon</w:t>
            </w:r>
            <w:r w:rsidRPr="00CD0E0D">
              <w:rPr>
                <w:rFonts w:ascii="Cambria" w:hAnsi="Cambria"/>
                <w:sz w:val="21"/>
                <w:szCs w:val="21"/>
              </w:rPr>
              <w:t xml:space="preserve"> </w:t>
            </w:r>
          </w:p>
        </w:tc>
        <w:tc>
          <w:tcPr>
            <w:tcW w:w="2181" w:type="pct"/>
          </w:tcPr>
          <w:p w14:paraId="659B469D"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 xml:space="preserve">historically (post regulation) dominant along length of </w:t>
            </w:r>
            <w:r w:rsidRPr="00CD0E0D">
              <w:rPr>
                <w:rFonts w:ascii="Cambria" w:hAnsi="Cambria"/>
                <w:b/>
                <w:sz w:val="21"/>
                <w:szCs w:val="21"/>
              </w:rPr>
              <w:t>South Lagoon</w:t>
            </w:r>
            <w:r w:rsidRPr="00CD0E0D">
              <w:rPr>
                <w:rFonts w:ascii="Cambria" w:hAnsi="Cambria"/>
                <w:sz w:val="21"/>
                <w:szCs w:val="21"/>
              </w:rPr>
              <w:t xml:space="preserve"> (with some, tenuous expansion into the higher salinity end of North Lagoon)</w:t>
            </w:r>
          </w:p>
        </w:tc>
      </w:tr>
      <w:tr w:rsidR="005C1237" w:rsidRPr="00CD0E0D" w14:paraId="345CB41B" w14:textId="77777777" w:rsidTr="00473485">
        <w:tc>
          <w:tcPr>
            <w:tcW w:w="763" w:type="pct"/>
          </w:tcPr>
          <w:p w14:paraId="0259CC3F"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Life-cycle</w:t>
            </w:r>
          </w:p>
        </w:tc>
        <w:tc>
          <w:tcPr>
            <w:tcW w:w="2056" w:type="pct"/>
          </w:tcPr>
          <w:p w14:paraId="49FD4DED"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long-lived perennial</w:t>
            </w:r>
          </w:p>
        </w:tc>
        <w:tc>
          <w:tcPr>
            <w:tcW w:w="2181" w:type="pct"/>
          </w:tcPr>
          <w:p w14:paraId="15A34A0E" w14:textId="256C0CC3"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 xml:space="preserve">short-lived annual (dies </w:t>
            </w:r>
            <w:r w:rsidR="003A6CF5" w:rsidRPr="00CD0E0D">
              <w:rPr>
                <w:rFonts w:ascii="Cambria" w:hAnsi="Cambria"/>
                <w:sz w:val="21"/>
                <w:szCs w:val="21"/>
              </w:rPr>
              <w:t>after exposure</w:t>
            </w:r>
            <w:r w:rsidRPr="00CD0E0D">
              <w:rPr>
                <w:rFonts w:ascii="Cambria" w:hAnsi="Cambria"/>
                <w:sz w:val="21"/>
                <w:szCs w:val="21"/>
              </w:rPr>
              <w:t>)</w:t>
            </w:r>
          </w:p>
        </w:tc>
      </w:tr>
      <w:tr w:rsidR="005C1237" w:rsidRPr="00CD0E0D" w14:paraId="3A887A07" w14:textId="77777777" w:rsidTr="00473485">
        <w:tc>
          <w:tcPr>
            <w:tcW w:w="763" w:type="pct"/>
          </w:tcPr>
          <w:p w14:paraId="6376526A"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Reproduction</w:t>
            </w:r>
          </w:p>
        </w:tc>
        <w:tc>
          <w:tcPr>
            <w:tcW w:w="2056" w:type="pct"/>
          </w:tcPr>
          <w:p w14:paraId="4D4487D8"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seed bearing (no turions)</w:t>
            </w:r>
          </w:p>
          <w:p w14:paraId="591C536B"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freshwater pulses (from floods) may trigger flowering and germination</w:t>
            </w:r>
          </w:p>
          <w:p w14:paraId="2EB90391"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seeds may be dispersed by birds</w:t>
            </w:r>
          </w:p>
        </w:tc>
        <w:tc>
          <w:tcPr>
            <w:tcW w:w="2181" w:type="pct"/>
          </w:tcPr>
          <w:p w14:paraId="0ACAA766"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asexual annual</w:t>
            </w:r>
          </w:p>
          <w:p w14:paraId="1B849FBE"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reproduces by seeds or turions when conditions are favourable (seeds may germinate over 2 y)</w:t>
            </w:r>
          </w:p>
          <w:p w14:paraId="49F0EB87" w14:textId="77777777" w:rsidR="005C1237" w:rsidRPr="00CD0E0D" w:rsidRDefault="005C1237" w:rsidP="004162AC">
            <w:pPr>
              <w:pStyle w:val="tabletext1"/>
              <w:numPr>
                <w:ilvl w:val="0"/>
                <w:numId w:val="58"/>
              </w:numPr>
              <w:spacing w:after="60"/>
              <w:rPr>
                <w:rFonts w:ascii="Cambria" w:hAnsi="Cambria"/>
                <w:sz w:val="21"/>
                <w:szCs w:val="21"/>
              </w:rPr>
            </w:pPr>
            <w:r w:rsidRPr="00CD0E0D">
              <w:rPr>
                <w:rFonts w:ascii="Cambria" w:hAnsi="Cambria"/>
                <w:sz w:val="21"/>
                <w:szCs w:val="21"/>
              </w:rPr>
              <w:t xml:space="preserve">seeds (may be dispersed by birds) last </w:t>
            </w:r>
            <w:r w:rsidRPr="00CD0E0D">
              <w:rPr>
                <w:rFonts w:ascii="Cambria" w:hAnsi="Cambria" w:cs="Arial"/>
                <w:sz w:val="21"/>
                <w:szCs w:val="21"/>
              </w:rPr>
              <w:t>≤</w:t>
            </w:r>
            <w:r w:rsidRPr="00CD0E0D">
              <w:rPr>
                <w:rFonts w:ascii="Cambria" w:hAnsi="Cambria"/>
                <w:sz w:val="21"/>
                <w:szCs w:val="21"/>
              </w:rPr>
              <w:t xml:space="preserve"> 3 y; turions last </w:t>
            </w:r>
            <w:r w:rsidRPr="00CD0E0D">
              <w:rPr>
                <w:rFonts w:ascii="Cambria" w:hAnsi="Cambria" w:cs="Arial"/>
                <w:sz w:val="21"/>
                <w:szCs w:val="21"/>
              </w:rPr>
              <w:t>≤ 3 - 6 months</w:t>
            </w:r>
          </w:p>
        </w:tc>
      </w:tr>
      <w:tr w:rsidR="005C1237" w:rsidRPr="00CD0E0D" w14:paraId="54F5F121" w14:textId="77777777" w:rsidTr="00473485">
        <w:tc>
          <w:tcPr>
            <w:tcW w:w="763" w:type="pct"/>
          </w:tcPr>
          <w:p w14:paraId="20BE2C2C"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Regeneration</w:t>
            </w:r>
          </w:p>
        </w:tc>
        <w:tc>
          <w:tcPr>
            <w:tcW w:w="2056" w:type="pct"/>
          </w:tcPr>
          <w:p w14:paraId="3AB14E5B" w14:textId="4E04B132"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 xml:space="preserve">does not flower, set seed or germinate at salinity levels close to maximum tolerance </w:t>
            </w:r>
            <w:r w:rsidR="008E42A6" w:rsidRPr="00CD0E0D">
              <w:rPr>
                <w:rFonts w:ascii="Cambria" w:hAnsi="Cambria"/>
                <w:sz w:val="21"/>
                <w:szCs w:val="21"/>
              </w:rPr>
              <w:t xml:space="preserve">(max. </w:t>
            </w:r>
          </w:p>
          <w:p w14:paraId="3F17BFA4" w14:textId="4BD37CCA"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 xml:space="preserve">germination </w:t>
            </w:r>
            <w:r w:rsidR="00947BB8" w:rsidRPr="00CD0E0D">
              <w:rPr>
                <w:rFonts w:ascii="Cambria" w:hAnsi="Cambria"/>
                <w:sz w:val="21"/>
                <w:szCs w:val="21"/>
              </w:rPr>
              <w:t xml:space="preserve">typically </w:t>
            </w:r>
            <w:r w:rsidRPr="00CD0E0D">
              <w:rPr>
                <w:rFonts w:ascii="Cambria" w:hAnsi="Cambria"/>
                <w:sz w:val="21"/>
                <w:szCs w:val="21"/>
              </w:rPr>
              <w:t>occurs below seawater salinity (i.e. 35 g</w:t>
            </w:r>
            <w:r w:rsidR="008E42A6" w:rsidRPr="00CD0E0D">
              <w:rPr>
                <w:rFonts w:ascii="Cambria" w:hAnsi="Cambria"/>
                <w:sz w:val="21"/>
                <w:szCs w:val="21"/>
              </w:rPr>
              <w:t>/</w:t>
            </w:r>
            <w:r w:rsidRPr="00CD0E0D">
              <w:rPr>
                <w:rFonts w:ascii="Cambria" w:hAnsi="Cambria"/>
                <w:sz w:val="21"/>
                <w:szCs w:val="21"/>
              </w:rPr>
              <w:t xml:space="preserve"> L)</w:t>
            </w:r>
          </w:p>
          <w:p w14:paraId="0D1FD477" w14:textId="77777777"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if adults killed by long-term high salinity, seeds may not be produced or germinate if salinity remains high</w:t>
            </w:r>
          </w:p>
        </w:tc>
        <w:tc>
          <w:tcPr>
            <w:tcW w:w="2181" w:type="pct"/>
          </w:tcPr>
          <w:p w14:paraId="1926A390" w14:textId="77777777"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needs to reproduce every few years or dispersal of seed/turion (e.g. via birds)</w:t>
            </w:r>
          </w:p>
          <w:p w14:paraId="7A5D85FA" w14:textId="7AA9589E"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salinity &gt; 80</w:t>
            </w:r>
            <w:r w:rsidR="004E0C4F" w:rsidRPr="00CD0E0D">
              <w:rPr>
                <w:rFonts w:ascii="Cambria" w:hAnsi="Cambria"/>
                <w:sz w:val="21"/>
                <w:szCs w:val="21"/>
              </w:rPr>
              <w:t>–</w:t>
            </w:r>
            <w:r w:rsidRPr="00CD0E0D">
              <w:rPr>
                <w:rFonts w:ascii="Cambria" w:hAnsi="Cambria"/>
                <w:sz w:val="21"/>
                <w:szCs w:val="21"/>
              </w:rPr>
              <w:t xml:space="preserve">100 </w:t>
            </w:r>
            <w:r w:rsidR="00525E64" w:rsidRPr="00CD0E0D">
              <w:rPr>
                <w:rFonts w:ascii="Cambria" w:hAnsi="Cambria"/>
                <w:sz w:val="21"/>
                <w:szCs w:val="21"/>
              </w:rPr>
              <w:t>g/L</w:t>
            </w:r>
            <w:r w:rsidRPr="00CD0E0D">
              <w:rPr>
                <w:rFonts w:ascii="Cambria" w:hAnsi="Cambria"/>
                <w:sz w:val="21"/>
                <w:szCs w:val="21"/>
              </w:rPr>
              <w:t xml:space="preserve"> may restrict germination &amp; regeneration</w:t>
            </w:r>
          </w:p>
          <w:p w14:paraId="70E9D0A3" w14:textId="77777777" w:rsidR="005C1237" w:rsidRPr="00CD0E0D" w:rsidRDefault="005C1237" w:rsidP="004162AC">
            <w:pPr>
              <w:pStyle w:val="tabletext1"/>
              <w:numPr>
                <w:ilvl w:val="0"/>
                <w:numId w:val="59"/>
              </w:numPr>
              <w:spacing w:after="60"/>
              <w:rPr>
                <w:rFonts w:ascii="Cambria" w:hAnsi="Cambria"/>
                <w:sz w:val="21"/>
                <w:szCs w:val="21"/>
              </w:rPr>
            </w:pPr>
            <w:r w:rsidRPr="00CD0E0D">
              <w:rPr>
                <w:rFonts w:ascii="Cambria" w:hAnsi="Cambria"/>
                <w:sz w:val="21"/>
                <w:szCs w:val="21"/>
              </w:rPr>
              <w:t>foraging waterbirds may play role in turning over sediment and leaving propagules at favourable depths for germination</w:t>
            </w:r>
          </w:p>
        </w:tc>
      </w:tr>
      <w:tr w:rsidR="005C1237" w:rsidRPr="00CD0E0D" w14:paraId="15430210" w14:textId="77777777" w:rsidTr="00473485">
        <w:tc>
          <w:tcPr>
            <w:tcW w:w="763" w:type="pct"/>
          </w:tcPr>
          <w:p w14:paraId="7A3058D3"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Decline</w:t>
            </w:r>
          </w:p>
        </w:tc>
        <w:tc>
          <w:tcPr>
            <w:tcW w:w="2056" w:type="pct"/>
          </w:tcPr>
          <w:p w14:paraId="2BCC8EB0" w14:textId="212D70FE"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abundant in North Lagoon prior to mid-1980s (with profuse flowering noted in 1983 but not 1984)</w:t>
            </w:r>
          </w:p>
          <w:p w14:paraId="618ACF7A" w14:textId="79E52DAD"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between 1995 (</w:t>
            </w:r>
            <w:r w:rsidR="00E66BEA" w:rsidRPr="00CD0E0D">
              <w:rPr>
                <w:rFonts w:ascii="Cambria" w:hAnsi="Cambria"/>
                <w:sz w:val="21"/>
                <w:szCs w:val="21"/>
              </w:rPr>
              <w:t xml:space="preserve">when </w:t>
            </w:r>
            <w:r w:rsidRPr="00CD0E0D">
              <w:rPr>
                <w:rFonts w:ascii="Cambria" w:hAnsi="Cambria"/>
                <w:sz w:val="21"/>
                <w:szCs w:val="21"/>
              </w:rPr>
              <w:t>presence noted) &amp; 200</w:t>
            </w:r>
            <w:r w:rsidR="007D7E24" w:rsidRPr="00CD0E0D">
              <w:rPr>
                <w:rFonts w:ascii="Cambria" w:hAnsi="Cambria"/>
                <w:sz w:val="21"/>
                <w:szCs w:val="21"/>
              </w:rPr>
              <w:t>2</w:t>
            </w:r>
            <w:r w:rsidR="00E66BEA" w:rsidRPr="00CD0E0D">
              <w:rPr>
                <w:rFonts w:ascii="Cambria" w:hAnsi="Cambria"/>
                <w:sz w:val="21"/>
                <w:szCs w:val="21"/>
              </w:rPr>
              <w:t>,</w:t>
            </w:r>
            <w:r w:rsidRPr="00CD0E0D">
              <w:rPr>
                <w:rFonts w:ascii="Cambria" w:hAnsi="Cambria"/>
                <w:sz w:val="21"/>
                <w:szCs w:val="21"/>
              </w:rPr>
              <w:t xml:space="preserve"> </w:t>
            </w:r>
            <w:r w:rsidR="001B4C61" w:rsidRPr="00CD0E0D">
              <w:rPr>
                <w:rFonts w:ascii="Cambria" w:hAnsi="Cambria"/>
                <w:sz w:val="21"/>
                <w:szCs w:val="21"/>
              </w:rPr>
              <w:t xml:space="preserve">the </w:t>
            </w:r>
            <w:r w:rsidRPr="00CD0E0D">
              <w:rPr>
                <w:rFonts w:ascii="Cambria" w:hAnsi="Cambria"/>
                <w:sz w:val="21"/>
                <w:szCs w:val="21"/>
              </w:rPr>
              <w:t xml:space="preserve">extensive beds in </w:t>
            </w:r>
            <w:r w:rsidR="00E55D2C" w:rsidRPr="00CD0E0D">
              <w:rPr>
                <w:rFonts w:ascii="Cambria" w:hAnsi="Cambria"/>
                <w:sz w:val="21"/>
                <w:szCs w:val="21"/>
              </w:rPr>
              <w:t xml:space="preserve">the </w:t>
            </w:r>
            <w:r w:rsidRPr="00CD0E0D">
              <w:rPr>
                <w:rFonts w:ascii="Cambria" w:hAnsi="Cambria"/>
                <w:sz w:val="21"/>
                <w:szCs w:val="21"/>
              </w:rPr>
              <w:t xml:space="preserve">North Lagoon disappeared (survey in </w:t>
            </w:r>
            <w:r w:rsidR="003C4573" w:rsidRPr="00CD0E0D">
              <w:rPr>
                <w:rFonts w:ascii="Cambria" w:hAnsi="Cambria"/>
                <w:sz w:val="21"/>
                <w:szCs w:val="21"/>
              </w:rPr>
              <w:t>2002/</w:t>
            </w:r>
            <w:r w:rsidRPr="00CD0E0D">
              <w:rPr>
                <w:rFonts w:ascii="Cambria" w:hAnsi="Cambria"/>
                <w:sz w:val="21"/>
                <w:szCs w:val="21"/>
              </w:rPr>
              <w:t>2003 found none in Murray Mouth or North Lagoon)</w:t>
            </w:r>
          </w:p>
          <w:p w14:paraId="2546577C"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2006–2007 disappearance confirmed, and no seed bank found in 2007</w:t>
            </w:r>
          </w:p>
        </w:tc>
        <w:tc>
          <w:tcPr>
            <w:tcW w:w="2181" w:type="pct"/>
          </w:tcPr>
          <w:p w14:paraId="1696F38F"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abundant in 1984 and 1997 surveys</w:t>
            </w:r>
          </w:p>
          <w:p w14:paraId="380A81AD"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1999–2009 disappeared over most of range (a few found in southern quarter of North Lagoon)</w:t>
            </w:r>
          </w:p>
          <w:p w14:paraId="061DA3B1"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 xml:space="preserve">concomitant increase in salinity since </w:t>
            </w:r>
            <w:r w:rsidRPr="00CD0E0D">
              <w:rPr>
                <w:rFonts w:ascii="Cambria" w:hAnsi="Cambria" w:cs="Arial"/>
                <w:sz w:val="21"/>
                <w:szCs w:val="21"/>
              </w:rPr>
              <w:t>≤</w:t>
            </w:r>
            <w:r w:rsidRPr="00CD0E0D">
              <w:rPr>
                <w:rFonts w:ascii="Cambria" w:hAnsi="Cambria"/>
                <w:sz w:val="21"/>
                <w:szCs w:val="21"/>
              </w:rPr>
              <w:t>2007 but decline in water levels in spring (i.e. to late 2010) is likely the more critical factor in loss</w:t>
            </w:r>
          </w:p>
          <w:p w14:paraId="3A1D689C"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2012 survey found lack of viable propagule bank</w:t>
            </w:r>
          </w:p>
        </w:tc>
      </w:tr>
      <w:tr w:rsidR="005C1237" w:rsidRPr="00CD0E0D" w14:paraId="2427046F" w14:textId="77777777" w:rsidTr="00473485">
        <w:tc>
          <w:tcPr>
            <w:tcW w:w="763" w:type="pct"/>
          </w:tcPr>
          <w:p w14:paraId="46B2EE0A" w14:textId="77777777" w:rsidR="005C1237" w:rsidRPr="00CD0E0D" w:rsidRDefault="005C1237" w:rsidP="006E103D">
            <w:pPr>
              <w:pStyle w:val="tabletext1"/>
              <w:spacing w:after="60"/>
              <w:ind w:left="0"/>
              <w:jc w:val="both"/>
              <w:rPr>
                <w:rFonts w:ascii="Cambria" w:hAnsi="Cambria"/>
                <w:sz w:val="21"/>
                <w:szCs w:val="21"/>
              </w:rPr>
            </w:pPr>
            <w:r w:rsidRPr="00CD0E0D">
              <w:rPr>
                <w:rFonts w:ascii="Cambria" w:hAnsi="Cambria"/>
                <w:sz w:val="21"/>
                <w:szCs w:val="21"/>
              </w:rPr>
              <w:t>Current Status</w:t>
            </w:r>
          </w:p>
        </w:tc>
        <w:tc>
          <w:tcPr>
            <w:tcW w:w="2056" w:type="pct"/>
          </w:tcPr>
          <w:p w14:paraId="5962C162" w14:textId="5773C3FA" w:rsidR="005C1237" w:rsidRPr="00CD0E0D" w:rsidRDefault="005F648E" w:rsidP="004162AC">
            <w:pPr>
              <w:pStyle w:val="tabletext1"/>
              <w:numPr>
                <w:ilvl w:val="0"/>
                <w:numId w:val="60"/>
              </w:numPr>
              <w:spacing w:after="60"/>
              <w:rPr>
                <w:rFonts w:ascii="Cambria" w:hAnsi="Cambria"/>
                <w:sz w:val="21"/>
                <w:szCs w:val="21"/>
              </w:rPr>
            </w:pPr>
            <w:r w:rsidRPr="00CD0E0D">
              <w:rPr>
                <w:rFonts w:ascii="Cambria" w:hAnsi="Cambria"/>
                <w:sz w:val="21"/>
                <w:szCs w:val="21"/>
              </w:rPr>
              <w:t xml:space="preserve">effectively </w:t>
            </w:r>
            <w:r w:rsidR="004C2283" w:rsidRPr="00CD0E0D">
              <w:rPr>
                <w:rFonts w:ascii="Cambria" w:hAnsi="Cambria"/>
                <w:sz w:val="21"/>
                <w:szCs w:val="21"/>
              </w:rPr>
              <w:t>e</w:t>
            </w:r>
            <w:r w:rsidR="005C1237" w:rsidRPr="00CD0E0D">
              <w:rPr>
                <w:rFonts w:ascii="Cambria" w:hAnsi="Cambria"/>
                <w:sz w:val="21"/>
                <w:szCs w:val="21"/>
              </w:rPr>
              <w:t>xtirpated</w:t>
            </w:r>
            <w:r w:rsidR="00D20788" w:rsidRPr="00CD0E0D">
              <w:rPr>
                <w:rFonts w:ascii="Cambria" w:hAnsi="Cambria"/>
                <w:sz w:val="21"/>
                <w:szCs w:val="21"/>
              </w:rPr>
              <w:t xml:space="preserve"> in </w:t>
            </w:r>
            <w:r w:rsidRPr="00CD0E0D">
              <w:rPr>
                <w:rFonts w:ascii="Cambria" w:hAnsi="Cambria"/>
                <w:sz w:val="21"/>
                <w:szCs w:val="21"/>
              </w:rPr>
              <w:t>North Lagoon</w:t>
            </w:r>
          </w:p>
        </w:tc>
        <w:tc>
          <w:tcPr>
            <w:tcW w:w="2181" w:type="pct"/>
          </w:tcPr>
          <w:p w14:paraId="3CA1BEF1" w14:textId="77777777" w:rsidR="005C1237" w:rsidRPr="00CD0E0D" w:rsidRDefault="005C1237" w:rsidP="004162AC">
            <w:pPr>
              <w:pStyle w:val="tabletext1"/>
              <w:numPr>
                <w:ilvl w:val="0"/>
                <w:numId w:val="60"/>
              </w:numPr>
              <w:spacing w:after="60"/>
              <w:rPr>
                <w:rFonts w:ascii="Cambria" w:hAnsi="Cambria"/>
                <w:sz w:val="21"/>
                <w:szCs w:val="21"/>
              </w:rPr>
            </w:pPr>
            <w:r w:rsidRPr="00CD0E0D">
              <w:rPr>
                <w:rFonts w:ascii="Cambria" w:hAnsi="Cambria"/>
                <w:sz w:val="21"/>
                <w:szCs w:val="21"/>
              </w:rPr>
              <w:t>seed bank &lt;30% historical levels=low resilience</w:t>
            </w:r>
          </w:p>
        </w:tc>
      </w:tr>
    </w:tbl>
    <w:p w14:paraId="5EED6A2A" w14:textId="77777777" w:rsidR="00584D16" w:rsidRDefault="00584D16" w:rsidP="00556434">
      <w:pPr>
        <w:pStyle w:val="twentypointnormal"/>
        <w:spacing w:after="200"/>
        <w:ind w:left="0"/>
        <w:contextualSpacing/>
        <w:rPr>
          <w:rFonts w:ascii="Cambria" w:hAnsi="Cambria"/>
          <w:b/>
          <w:bCs/>
          <w:i/>
          <w:iCs/>
          <w:sz w:val="22"/>
          <w:szCs w:val="22"/>
        </w:rPr>
      </w:pPr>
    </w:p>
    <w:p w14:paraId="2C0AE92A" w14:textId="77777777" w:rsidR="00E65E48" w:rsidRDefault="00E65E48" w:rsidP="00556434">
      <w:pPr>
        <w:pStyle w:val="twentypointnormal"/>
        <w:spacing w:after="200"/>
        <w:ind w:left="0"/>
        <w:contextualSpacing/>
        <w:rPr>
          <w:rFonts w:ascii="Cambria" w:hAnsi="Cambria"/>
          <w:b/>
          <w:bCs/>
          <w:i/>
          <w:iCs/>
          <w:sz w:val="22"/>
          <w:szCs w:val="22"/>
        </w:rPr>
        <w:sectPr w:rsidR="00E65E48" w:rsidSect="00473485">
          <w:pgSz w:w="11906" w:h="16838"/>
          <w:pgMar w:top="1134" w:right="1247" w:bottom="1134" w:left="1361" w:header="454" w:footer="454" w:gutter="0"/>
          <w:cols w:space="708"/>
          <w:docGrid w:linePitch="360"/>
        </w:sectPr>
      </w:pPr>
    </w:p>
    <w:p w14:paraId="776E65B9" w14:textId="77777777" w:rsidR="00473485" w:rsidRPr="00C261E0" w:rsidRDefault="00473485" w:rsidP="00473485">
      <w:pPr>
        <w:pStyle w:val="twentypointnormal"/>
        <w:spacing w:after="200"/>
        <w:ind w:left="0"/>
        <w:contextualSpacing/>
        <w:rPr>
          <w:rFonts w:ascii="Cambria" w:hAnsi="Cambria"/>
          <w:b/>
          <w:bCs/>
          <w:i/>
          <w:iCs/>
          <w:sz w:val="22"/>
          <w:szCs w:val="22"/>
        </w:rPr>
      </w:pPr>
      <w:r w:rsidRPr="00C4790B">
        <w:rPr>
          <w:rFonts w:ascii="Cambria" w:hAnsi="Cambria" w:cstheme="minorHAnsi"/>
          <w:sz w:val="22"/>
          <w:szCs w:val="22"/>
        </w:rPr>
        <w:lastRenderedPageBreak/>
        <w:t xml:space="preserve">The South Lagoon and the southern end of the North Lagoon </w:t>
      </w:r>
      <w:r>
        <w:rPr>
          <w:rFonts w:ascii="Cambria" w:hAnsi="Cambria" w:cstheme="minorHAnsi"/>
          <w:sz w:val="22"/>
          <w:szCs w:val="22"/>
        </w:rPr>
        <w:t xml:space="preserve">of the Coorong </w:t>
      </w:r>
      <w:r w:rsidRPr="00C4790B">
        <w:rPr>
          <w:rFonts w:ascii="Cambria" w:hAnsi="Cambria" w:cstheme="minorHAnsi"/>
          <w:sz w:val="22"/>
          <w:szCs w:val="22"/>
        </w:rPr>
        <w:t xml:space="preserve">have become increasingly </w:t>
      </w:r>
      <w:r>
        <w:rPr>
          <w:rFonts w:ascii="Cambria" w:hAnsi="Cambria" w:cstheme="minorHAnsi"/>
          <w:sz w:val="22"/>
          <w:szCs w:val="22"/>
        </w:rPr>
        <w:t xml:space="preserve">hypereutrophic and have </w:t>
      </w:r>
      <w:r w:rsidRPr="00C4790B">
        <w:rPr>
          <w:rFonts w:ascii="Cambria" w:hAnsi="Cambria" w:cstheme="minorHAnsi"/>
          <w:sz w:val="22"/>
          <w:szCs w:val="22"/>
        </w:rPr>
        <w:t>poor sediment quality (i.e. monosulfidic ooze) (</w:t>
      </w:r>
      <w:r>
        <w:rPr>
          <w:rFonts w:ascii="Cambria" w:hAnsi="Cambria" w:cstheme="minorHAnsi"/>
          <w:sz w:val="22"/>
          <w:szCs w:val="22"/>
        </w:rPr>
        <w:t xml:space="preserve">Fitzpatrick et al. 2018; </w:t>
      </w:r>
      <w:r w:rsidRPr="00C4790B">
        <w:rPr>
          <w:rFonts w:ascii="Cambria" w:hAnsi="Cambria" w:cstheme="minorHAnsi"/>
          <w:sz w:val="22"/>
          <w:szCs w:val="22"/>
        </w:rPr>
        <w:t>Asanopoulos &amp; Waycott 2020</w:t>
      </w:r>
      <w:r>
        <w:rPr>
          <w:rFonts w:ascii="Cambria" w:hAnsi="Cambria" w:cstheme="minorHAnsi"/>
          <w:sz w:val="22"/>
          <w:szCs w:val="22"/>
        </w:rPr>
        <w:t xml:space="preserve">; Waycott &amp; Lewis 2022; </w:t>
      </w:r>
      <w:r w:rsidRPr="003A1AE5">
        <w:rPr>
          <w:rFonts w:ascii="Cambria" w:hAnsi="Cambria" w:cstheme="minorHAnsi"/>
          <w:sz w:val="22"/>
          <w:szCs w:val="22"/>
          <w:u w:val="single"/>
        </w:rPr>
        <w:t>Figure 6</w:t>
      </w:r>
      <w:r w:rsidRPr="00C4790B">
        <w:rPr>
          <w:rFonts w:ascii="Cambria" w:hAnsi="Cambria" w:cstheme="minorHAnsi"/>
          <w:sz w:val="22"/>
          <w:szCs w:val="22"/>
        </w:rPr>
        <w:t xml:space="preserve">). </w:t>
      </w:r>
      <w:r>
        <w:rPr>
          <w:rFonts w:ascii="Cambria" w:hAnsi="Cambria" w:cstheme="minorHAnsi"/>
          <w:sz w:val="22"/>
          <w:szCs w:val="22"/>
        </w:rPr>
        <w:t>Fitzpatrick et al. (2018) warn there remains an extensive and considerable acid sulfate soil hazard in the entire CLLMM region. Significantly, t</w:t>
      </w:r>
      <w:r w:rsidRPr="00C4790B">
        <w:rPr>
          <w:rFonts w:ascii="Cambria" w:hAnsi="Cambria" w:cstheme="minorHAnsi"/>
          <w:sz w:val="22"/>
          <w:szCs w:val="22"/>
        </w:rPr>
        <w:t xml:space="preserve">he </w:t>
      </w:r>
      <w:r>
        <w:rPr>
          <w:rFonts w:ascii="Cambria" w:hAnsi="Cambria" w:cstheme="minorHAnsi"/>
          <w:sz w:val="22"/>
          <w:szCs w:val="22"/>
        </w:rPr>
        <w:t xml:space="preserve">Coorong’s South Lagoon </w:t>
      </w:r>
      <w:r w:rsidRPr="00C4790B">
        <w:rPr>
          <w:rFonts w:ascii="Cambria" w:hAnsi="Cambria" w:cstheme="minorHAnsi"/>
          <w:sz w:val="22"/>
          <w:szCs w:val="22"/>
        </w:rPr>
        <w:t xml:space="preserve">has </w:t>
      </w:r>
      <w:r>
        <w:rPr>
          <w:rFonts w:ascii="Cambria" w:hAnsi="Cambria" w:cstheme="minorHAnsi"/>
          <w:sz w:val="22"/>
          <w:szCs w:val="22"/>
        </w:rPr>
        <w:t xml:space="preserve">essentially </w:t>
      </w:r>
      <w:r w:rsidRPr="00C4790B">
        <w:rPr>
          <w:rFonts w:ascii="Cambria" w:hAnsi="Cambria" w:cstheme="minorHAnsi"/>
          <w:sz w:val="22"/>
          <w:szCs w:val="22"/>
        </w:rPr>
        <w:t xml:space="preserve">switched to </w:t>
      </w:r>
      <w:r>
        <w:rPr>
          <w:rFonts w:ascii="Cambria" w:hAnsi="Cambria" w:cstheme="minorHAnsi"/>
          <w:sz w:val="22"/>
          <w:szCs w:val="22"/>
        </w:rPr>
        <w:t>a system</w:t>
      </w:r>
      <w:r w:rsidRPr="00C4790B">
        <w:rPr>
          <w:rFonts w:ascii="Cambria" w:hAnsi="Cambria" w:cstheme="minorHAnsi"/>
          <w:sz w:val="22"/>
          <w:szCs w:val="22"/>
        </w:rPr>
        <w:t xml:space="preserve"> dominated by phytoplankton and filamentous algae</w:t>
      </w:r>
      <w:r>
        <w:rPr>
          <w:rFonts w:ascii="Cambria" w:hAnsi="Cambria" w:cstheme="minorHAnsi"/>
          <w:sz w:val="22"/>
          <w:szCs w:val="22"/>
        </w:rPr>
        <w:t>,</w:t>
      </w:r>
      <w:r w:rsidRPr="00C4790B">
        <w:rPr>
          <w:rFonts w:ascii="Cambria" w:hAnsi="Cambria" w:cstheme="minorHAnsi"/>
          <w:sz w:val="22"/>
          <w:szCs w:val="22"/>
        </w:rPr>
        <w:t xml:space="preserve"> </w:t>
      </w:r>
      <w:r>
        <w:rPr>
          <w:rFonts w:ascii="Cambria" w:hAnsi="Cambria" w:cstheme="minorHAnsi"/>
          <w:sz w:val="22"/>
          <w:szCs w:val="22"/>
        </w:rPr>
        <w:t xml:space="preserve">rather than by macrophytes, as was previously the case </w:t>
      </w:r>
      <w:r w:rsidRPr="00C4790B">
        <w:rPr>
          <w:rFonts w:ascii="Cambria" w:hAnsi="Cambria" w:cstheme="minorHAnsi"/>
          <w:sz w:val="22"/>
          <w:szCs w:val="22"/>
        </w:rPr>
        <w:t>(Mosley &amp; Hipsey 2019; Paton et al. 2021; Lewis et al. 2022</w:t>
      </w:r>
      <w:r>
        <w:rPr>
          <w:rFonts w:ascii="Cambria" w:hAnsi="Cambria" w:cstheme="minorHAnsi"/>
          <w:sz w:val="22"/>
          <w:szCs w:val="22"/>
        </w:rPr>
        <w:t xml:space="preserve">; </w:t>
      </w:r>
      <w:r w:rsidRPr="00F14B30">
        <w:rPr>
          <w:rFonts w:ascii="Cambria" w:hAnsi="Cambria" w:cstheme="minorHAnsi"/>
          <w:sz w:val="22"/>
          <w:szCs w:val="22"/>
          <w:u w:val="single"/>
        </w:rPr>
        <w:t>Figure 6</w:t>
      </w:r>
      <w:r w:rsidRPr="00C4790B">
        <w:rPr>
          <w:rFonts w:ascii="Cambria" w:hAnsi="Cambria" w:cstheme="minorHAnsi"/>
          <w:sz w:val="22"/>
          <w:szCs w:val="22"/>
        </w:rPr>
        <w:t xml:space="preserve">). </w:t>
      </w:r>
      <w:r w:rsidRPr="00184E94">
        <w:rPr>
          <w:rFonts w:ascii="Cambria" w:hAnsi="Cambria"/>
          <w:sz w:val="22"/>
          <w:szCs w:val="22"/>
        </w:rPr>
        <w:t>When water levels recede, the algae form a dense mat that excludes foraging shorebirds, and creates low-oxygen conditions in sediments, killing invertebrates and raising the risk of the build-up of sulfidic material</w:t>
      </w:r>
      <w:r>
        <w:rPr>
          <w:rFonts w:ascii="Cambria" w:hAnsi="Cambria"/>
          <w:sz w:val="22"/>
          <w:szCs w:val="22"/>
        </w:rPr>
        <w:t xml:space="preserve"> (B</w:t>
      </w:r>
      <w:r w:rsidRPr="00605FD0">
        <w:rPr>
          <w:rFonts w:ascii="Cambria" w:hAnsi="Cambria"/>
          <w:sz w:val="22"/>
          <w:szCs w:val="22"/>
        </w:rPr>
        <w:t>rookes et al. 2018).</w:t>
      </w:r>
      <w:r>
        <w:rPr>
          <w:rFonts w:ascii="Cambria" w:hAnsi="Cambria"/>
          <w:sz w:val="22"/>
          <w:szCs w:val="22"/>
        </w:rPr>
        <w:t xml:space="preserve"> </w:t>
      </w:r>
      <w:r>
        <w:rPr>
          <w:rFonts w:ascii="Cambria" w:hAnsi="Cambria" w:cstheme="minorHAnsi"/>
          <w:sz w:val="22"/>
          <w:szCs w:val="22"/>
        </w:rPr>
        <w:t>This ‘switch’ has flow-on effects for the estuarine component of the ecological community.</w:t>
      </w:r>
    </w:p>
    <w:p w14:paraId="22216D64" w14:textId="77777777" w:rsidR="00473485" w:rsidRDefault="00473485" w:rsidP="00556434">
      <w:pPr>
        <w:pStyle w:val="twentypointnormal"/>
        <w:spacing w:after="200"/>
        <w:ind w:left="0"/>
        <w:contextualSpacing/>
        <w:rPr>
          <w:rFonts w:ascii="Cambria" w:hAnsi="Cambria"/>
          <w:b/>
          <w:bCs/>
          <w:i/>
          <w:iCs/>
          <w:sz w:val="22"/>
          <w:szCs w:val="22"/>
        </w:rPr>
      </w:pPr>
    </w:p>
    <w:p w14:paraId="6D6F3B54" w14:textId="77777777" w:rsidR="00102688" w:rsidRDefault="00102688" w:rsidP="00556434">
      <w:pPr>
        <w:pStyle w:val="twentypointnormal"/>
        <w:spacing w:after="200"/>
        <w:ind w:left="0"/>
        <w:contextualSpacing/>
        <w:rPr>
          <w:rFonts w:ascii="Cambria" w:hAnsi="Cambria" w:cstheme="minorHAnsi"/>
          <w:sz w:val="22"/>
          <w:szCs w:val="22"/>
        </w:rPr>
      </w:pPr>
    </w:p>
    <w:p w14:paraId="576ABAE5" w14:textId="3490D84E" w:rsidR="00102688" w:rsidRDefault="00102688" w:rsidP="007816B7">
      <w:pPr>
        <w:pStyle w:val="twentypointnormal"/>
        <w:spacing w:after="200"/>
        <w:ind w:left="-426" w:firstLine="142"/>
        <w:contextualSpacing/>
        <w:jc w:val="center"/>
        <w:rPr>
          <w:rFonts w:ascii="Cambria" w:hAnsi="Cambria" w:cstheme="minorHAnsi"/>
          <w:sz w:val="22"/>
          <w:szCs w:val="22"/>
        </w:rPr>
      </w:pPr>
      <w:r w:rsidRPr="00733D64">
        <w:rPr>
          <w:b/>
          <w:bCs/>
          <w:noProof/>
        </w:rPr>
        <w:drawing>
          <wp:inline distT="0" distB="0" distL="0" distR="0" wp14:anchorId="33C6FE81" wp14:editId="3D5D6007">
            <wp:extent cx="5752800" cy="1837606"/>
            <wp:effectExtent l="0" t="0" r="635" b="0"/>
            <wp:docPr id="1484422977" name="Picture 1" descr="A diagram of the Ruppia community in the southern Coo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2977" name="Picture 1" descr="A diagram of the Ruppia community in the southern Coorong"/>
                    <pic:cNvPicPr/>
                  </pic:nvPicPr>
                  <pic:blipFill>
                    <a:blip r:embed="rId33"/>
                    <a:stretch>
                      <a:fillRect/>
                    </a:stretch>
                  </pic:blipFill>
                  <pic:spPr>
                    <a:xfrm>
                      <a:off x="0" y="0"/>
                      <a:ext cx="5752800" cy="1837606"/>
                    </a:xfrm>
                    <a:prstGeom prst="rect">
                      <a:avLst/>
                    </a:prstGeom>
                  </pic:spPr>
                </pic:pic>
              </a:graphicData>
            </a:graphic>
          </wp:inline>
        </w:drawing>
      </w:r>
    </w:p>
    <w:p w14:paraId="6AC2065F" w14:textId="5D136B47" w:rsidR="00102688" w:rsidRPr="00E068D3" w:rsidRDefault="00BF240C" w:rsidP="00BF240C">
      <w:pPr>
        <w:pStyle w:val="Caption"/>
        <w:rPr>
          <w:rFonts w:cstheme="minorHAnsi"/>
          <w:b w:val="0"/>
          <w:bCs/>
          <w:szCs w:val="22"/>
        </w:rPr>
      </w:pPr>
      <w:r>
        <w:t xml:space="preserve">Figure </w:t>
      </w:r>
      <w:r>
        <w:fldChar w:fldCharType="begin"/>
      </w:r>
      <w:r>
        <w:instrText xml:space="preserve"> SEQ Figure \* ARABIC </w:instrText>
      </w:r>
      <w:r>
        <w:fldChar w:fldCharType="separate"/>
      </w:r>
      <w:r w:rsidR="006D35C5">
        <w:rPr>
          <w:noProof/>
        </w:rPr>
        <w:t>6</w:t>
      </w:r>
      <w:r>
        <w:fldChar w:fldCharType="end"/>
      </w:r>
      <w:r w:rsidR="00102688" w:rsidRPr="00E068D3">
        <w:rPr>
          <w:rFonts w:cstheme="minorHAnsi"/>
          <w:bCs/>
          <w:szCs w:val="22"/>
        </w:rPr>
        <w:t xml:space="preserve">: </w:t>
      </w:r>
      <w:r w:rsidR="00E068D3" w:rsidRPr="00E068D3">
        <w:rPr>
          <w:bCs/>
          <w:szCs w:val="22"/>
        </w:rPr>
        <w:t>The biota of the southern Coorong has become dominated by fast growing primary producers, including phytoplankton and filamentous algae</w:t>
      </w:r>
      <w:r w:rsidR="00660374">
        <w:rPr>
          <w:bCs/>
          <w:szCs w:val="22"/>
        </w:rPr>
        <w:t>,</w:t>
      </w:r>
      <w:r w:rsidR="00E068D3" w:rsidRPr="00E068D3">
        <w:rPr>
          <w:bCs/>
          <w:szCs w:val="22"/>
        </w:rPr>
        <w:t xml:space="preserve"> that are able to rapidly utilise the</w:t>
      </w:r>
      <w:r w:rsidR="00E068D3" w:rsidRPr="00E068D3">
        <w:rPr>
          <w:szCs w:val="22"/>
        </w:rPr>
        <w:t xml:space="preserve"> </w:t>
      </w:r>
      <w:r w:rsidR="00E068D3" w:rsidRPr="00E068D3">
        <w:rPr>
          <w:bCs/>
          <w:szCs w:val="22"/>
        </w:rPr>
        <w:t>hypereutrophic conditions more efficiently than the ‘Ruppia Community’ (Waycott &amp; Lewis 2022).</w:t>
      </w:r>
    </w:p>
    <w:p w14:paraId="57A13A5C" w14:textId="77777777" w:rsidR="004E71B5" w:rsidRPr="00605FD0" w:rsidRDefault="004E71B5" w:rsidP="008E7107"/>
    <w:p w14:paraId="194106FE" w14:textId="23C47108" w:rsidR="00506B81" w:rsidRDefault="00506B81" w:rsidP="00A2521C">
      <w:pPr>
        <w:pStyle w:val="Heading5"/>
      </w:pPr>
      <w:r w:rsidRPr="00506B81">
        <w:t>Gro</w:t>
      </w:r>
      <w:r w:rsidR="00164B23">
        <w:t>wth</w:t>
      </w:r>
      <w:r w:rsidR="00D12A08">
        <w:t xml:space="preserve"> limitations</w:t>
      </w:r>
      <w:r w:rsidRPr="00506B81">
        <w:t xml:space="preserve"> </w:t>
      </w:r>
    </w:p>
    <w:p w14:paraId="699E7713" w14:textId="76B9BC81" w:rsidR="00280CC4" w:rsidRPr="002E40AE" w:rsidRDefault="00280CC4" w:rsidP="004D2317">
      <w:pPr>
        <w:pStyle w:val="twentypointnormal"/>
        <w:spacing w:after="200"/>
        <w:ind w:left="0"/>
        <w:contextualSpacing/>
        <w:rPr>
          <w:rFonts w:ascii="Cambria" w:hAnsi="Cambria"/>
          <w:sz w:val="22"/>
          <w:szCs w:val="22"/>
        </w:rPr>
      </w:pPr>
      <w:r w:rsidRPr="00FA1468">
        <w:rPr>
          <w:rFonts w:ascii="Cambria" w:hAnsi="Cambria"/>
          <w:sz w:val="22"/>
          <w:szCs w:val="22"/>
        </w:rPr>
        <w:t>The gr</w:t>
      </w:r>
      <w:r w:rsidR="00D12A08">
        <w:rPr>
          <w:rFonts w:ascii="Cambria" w:hAnsi="Cambria"/>
          <w:sz w:val="22"/>
          <w:szCs w:val="22"/>
        </w:rPr>
        <w:t>ow</w:t>
      </w:r>
      <w:r w:rsidRPr="00FA1468">
        <w:rPr>
          <w:rFonts w:ascii="Cambria" w:hAnsi="Cambria"/>
          <w:sz w:val="22"/>
          <w:szCs w:val="22"/>
        </w:rPr>
        <w:t xml:space="preserve">th of </w:t>
      </w:r>
      <w:r w:rsidRPr="00FA1468">
        <w:rPr>
          <w:rFonts w:ascii="Cambria" w:hAnsi="Cambria"/>
          <w:i/>
          <w:iCs/>
          <w:sz w:val="22"/>
          <w:szCs w:val="22"/>
        </w:rPr>
        <w:t>R. tuberosa/Althenia</w:t>
      </w:r>
      <w:r w:rsidRPr="00FA1468">
        <w:rPr>
          <w:rFonts w:ascii="Cambria" w:hAnsi="Cambria"/>
          <w:sz w:val="22"/>
          <w:szCs w:val="22"/>
        </w:rPr>
        <w:t xml:space="preserve"> in the South Lagoon </w:t>
      </w:r>
      <w:r w:rsidR="0008067E">
        <w:rPr>
          <w:rFonts w:ascii="Cambria" w:hAnsi="Cambria"/>
          <w:sz w:val="22"/>
          <w:szCs w:val="22"/>
        </w:rPr>
        <w:t xml:space="preserve">(southern Coorong) </w:t>
      </w:r>
      <w:r w:rsidRPr="00FA1468">
        <w:rPr>
          <w:rFonts w:ascii="Cambria" w:hAnsi="Cambria"/>
          <w:sz w:val="22"/>
          <w:szCs w:val="22"/>
        </w:rPr>
        <w:t>is limited by the combined and interacting effects of temperature, water level, salinity, nutrients loads (water and sediment) and their flow on effects to the system, in addition to external modifiers such as filamentous algae formation and grazing (</w:t>
      </w:r>
      <w:r w:rsidR="00895159">
        <w:rPr>
          <w:rFonts w:ascii="Cambria" w:hAnsi="Cambria"/>
          <w:sz w:val="22"/>
          <w:szCs w:val="22"/>
        </w:rPr>
        <w:t xml:space="preserve">Nicol 2005; Waycott et al. 2022; </w:t>
      </w:r>
      <w:r w:rsidRPr="00094A0E">
        <w:rPr>
          <w:rFonts w:ascii="Cambria" w:hAnsi="Cambria"/>
          <w:sz w:val="22"/>
          <w:szCs w:val="22"/>
          <w:u w:val="single"/>
        </w:rPr>
        <w:t xml:space="preserve">Figure </w:t>
      </w:r>
      <w:r w:rsidR="004E71B5">
        <w:rPr>
          <w:rFonts w:ascii="Cambria" w:hAnsi="Cambria"/>
          <w:sz w:val="22"/>
          <w:szCs w:val="22"/>
          <w:u w:val="single"/>
        </w:rPr>
        <w:t>7</w:t>
      </w:r>
      <w:r w:rsidRPr="00FA1468">
        <w:rPr>
          <w:rFonts w:ascii="Cambria" w:hAnsi="Cambria"/>
          <w:sz w:val="22"/>
          <w:szCs w:val="22"/>
        </w:rPr>
        <w:t xml:space="preserve">). </w:t>
      </w:r>
      <w:r w:rsidRPr="00FA1468">
        <w:rPr>
          <w:rFonts w:ascii="Cambria" w:hAnsi="Cambria" w:cstheme="minorHAnsi"/>
          <w:sz w:val="22"/>
          <w:szCs w:val="22"/>
        </w:rPr>
        <w:t>Excessive filamentous algal growth in the Coorong, starting in late spring and continuing over summer</w:t>
      </w:r>
      <w:r w:rsidR="00094A0E">
        <w:rPr>
          <w:rFonts w:ascii="Cambria" w:hAnsi="Cambria" w:cstheme="minorHAnsi"/>
          <w:sz w:val="22"/>
          <w:szCs w:val="22"/>
        </w:rPr>
        <w:t>,</w:t>
      </w:r>
      <w:r w:rsidR="000B5B76">
        <w:rPr>
          <w:rFonts w:ascii="Cambria" w:hAnsi="Cambria" w:cstheme="minorHAnsi"/>
          <w:sz w:val="22"/>
          <w:szCs w:val="22"/>
        </w:rPr>
        <w:t xml:space="preserve"> </w:t>
      </w:r>
      <w:r w:rsidRPr="00FA1468">
        <w:rPr>
          <w:rFonts w:ascii="Cambria" w:hAnsi="Cambria" w:cstheme="minorHAnsi"/>
          <w:sz w:val="22"/>
          <w:szCs w:val="22"/>
        </w:rPr>
        <w:t xml:space="preserve">overlaps with the reproductive cycle of </w:t>
      </w:r>
      <w:r w:rsidRPr="00FA1468">
        <w:rPr>
          <w:rFonts w:ascii="Cambria" w:hAnsi="Cambria" w:cstheme="minorHAnsi"/>
          <w:i/>
          <w:iCs/>
          <w:sz w:val="22"/>
          <w:szCs w:val="22"/>
        </w:rPr>
        <w:t>Ruppia/Althenia</w:t>
      </w:r>
      <w:r w:rsidR="000B5B76">
        <w:rPr>
          <w:rFonts w:ascii="Cambria" w:hAnsi="Cambria" w:cstheme="minorHAnsi"/>
          <w:sz w:val="22"/>
          <w:szCs w:val="22"/>
        </w:rPr>
        <w:t xml:space="preserve"> and </w:t>
      </w:r>
      <w:r w:rsidRPr="00FA1468">
        <w:rPr>
          <w:rFonts w:ascii="Cambria" w:hAnsi="Cambria" w:cstheme="minorHAnsi"/>
          <w:sz w:val="22"/>
          <w:szCs w:val="22"/>
        </w:rPr>
        <w:t xml:space="preserve">negatively impacts growth and seed production (Asanopoulos &amp; Waycott 2020; Waycott &amp; Lewis 2022). </w:t>
      </w:r>
      <w:r w:rsidRPr="00FA1468">
        <w:rPr>
          <w:rFonts w:ascii="Cambria" w:hAnsi="Cambria"/>
          <w:sz w:val="22"/>
          <w:szCs w:val="22"/>
        </w:rPr>
        <w:t xml:space="preserve">This has a significant effect on the annual recovery cycle, and more importantly, the formation of a resilient </w:t>
      </w:r>
      <w:r w:rsidRPr="00FA1468">
        <w:rPr>
          <w:rFonts w:ascii="Cambria" w:hAnsi="Cambria"/>
          <w:i/>
          <w:iCs/>
          <w:sz w:val="22"/>
          <w:szCs w:val="22"/>
        </w:rPr>
        <w:t>R. tuberosa</w:t>
      </w:r>
      <w:r w:rsidRPr="00FA1468">
        <w:rPr>
          <w:rFonts w:ascii="Cambria" w:hAnsi="Cambria"/>
          <w:sz w:val="22"/>
          <w:szCs w:val="22"/>
        </w:rPr>
        <w:t>/ ‘Ruppia Community’ in the long</w:t>
      </w:r>
      <w:r w:rsidR="002E40AE">
        <w:rPr>
          <w:rFonts w:ascii="Cambria" w:hAnsi="Cambria"/>
          <w:sz w:val="22"/>
          <w:szCs w:val="22"/>
        </w:rPr>
        <w:t xml:space="preserve"> </w:t>
      </w:r>
      <w:r w:rsidRPr="00FA1468">
        <w:rPr>
          <w:rFonts w:ascii="Cambria" w:hAnsi="Cambria"/>
          <w:sz w:val="22"/>
          <w:szCs w:val="22"/>
        </w:rPr>
        <w:t>term</w:t>
      </w:r>
      <w:r w:rsidR="00B96F1B">
        <w:rPr>
          <w:rFonts w:ascii="Cambria" w:hAnsi="Cambria"/>
          <w:sz w:val="22"/>
          <w:szCs w:val="22"/>
        </w:rPr>
        <w:t xml:space="preserve">. </w:t>
      </w:r>
    </w:p>
    <w:p w14:paraId="268DA9AF" w14:textId="77777777" w:rsidR="00654680" w:rsidRPr="00D12A08" w:rsidRDefault="00654680" w:rsidP="00A2521C">
      <w:pPr>
        <w:pStyle w:val="Heading5"/>
      </w:pPr>
      <w:r>
        <w:t>R</w:t>
      </w:r>
      <w:r w:rsidRPr="00D12A08">
        <w:t>ecovery</w:t>
      </w:r>
      <w:r>
        <w:t xml:space="preserve"> and status</w:t>
      </w:r>
    </w:p>
    <w:p w14:paraId="23B37784" w14:textId="77777777" w:rsidR="00654680" w:rsidRPr="009A1563" w:rsidRDefault="00654680" w:rsidP="00654680">
      <w:pPr>
        <w:pStyle w:val="twentypointnormal"/>
        <w:spacing w:after="200"/>
        <w:ind w:left="0"/>
        <w:contextualSpacing/>
        <w:rPr>
          <w:rFonts w:ascii="Cambria" w:hAnsi="Cambria"/>
          <w:sz w:val="22"/>
          <w:szCs w:val="22"/>
        </w:rPr>
      </w:pPr>
      <w:r>
        <w:rPr>
          <w:rFonts w:ascii="Cambria" w:hAnsi="Cambria"/>
          <w:sz w:val="22"/>
          <w:szCs w:val="22"/>
        </w:rPr>
        <w:t xml:space="preserve">To kick start recovery of the ‘Ruppia Community’ after the Millennium Drought, from 2012-2014 seed-based translocations were undertaken at five sites (across different depths) in the South Lagoon; the donor site was Lake Cantara (i.e. within the EC) (Waycott &amp; Lewis 2022). An area of 59 ha was treated with more than 700 tonnes of sediment, containing an estimated 400 million seeds (Waycott &amp; Lewis 2022). </w:t>
      </w:r>
      <w:r w:rsidRPr="009A1563">
        <w:rPr>
          <w:rFonts w:ascii="Cambria" w:hAnsi="Cambria"/>
          <w:sz w:val="22"/>
          <w:szCs w:val="22"/>
        </w:rPr>
        <w:t>Eight years later</w:t>
      </w:r>
      <w:r>
        <w:rPr>
          <w:rFonts w:ascii="Cambria" w:hAnsi="Cambria"/>
          <w:sz w:val="22"/>
          <w:szCs w:val="22"/>
        </w:rPr>
        <w:t xml:space="preserve"> (2021)</w:t>
      </w:r>
      <w:r w:rsidRPr="009A1563">
        <w:rPr>
          <w:rFonts w:ascii="Cambria" w:hAnsi="Cambria"/>
          <w:sz w:val="22"/>
          <w:szCs w:val="22"/>
        </w:rPr>
        <w:t>, there was a significant improvement in biomass, seed bank and the number of turions produced at translocation sites</w:t>
      </w:r>
      <w:r>
        <w:rPr>
          <w:rFonts w:ascii="Cambria" w:hAnsi="Cambria"/>
          <w:sz w:val="22"/>
          <w:szCs w:val="22"/>
        </w:rPr>
        <w:t xml:space="preserve">, however the donor sites exhibited incomplete recovery with respect to the seed bank (Waycott &amp; Lewis </w:t>
      </w:r>
      <w:r>
        <w:rPr>
          <w:rFonts w:ascii="Cambria" w:hAnsi="Cambria"/>
          <w:sz w:val="22"/>
          <w:szCs w:val="22"/>
        </w:rPr>
        <w:lastRenderedPageBreak/>
        <w:t>2022). While there were positive benefits at the South Lagoon sites from these translocations, it remains uncertain if these actions had an impact more widely (</w:t>
      </w:r>
      <w:r w:rsidRPr="00C06117">
        <w:rPr>
          <w:rFonts w:ascii="Cambria" w:hAnsi="Cambria"/>
          <w:sz w:val="22"/>
          <w:szCs w:val="22"/>
        </w:rPr>
        <w:t>Waycott &amp; Lewis 2022</w:t>
      </w:r>
      <w:r>
        <w:rPr>
          <w:rFonts w:ascii="Cambria" w:hAnsi="Cambria"/>
          <w:sz w:val="22"/>
          <w:szCs w:val="22"/>
        </w:rPr>
        <w:t>).</w:t>
      </w:r>
    </w:p>
    <w:p w14:paraId="771CCA66" w14:textId="77777777" w:rsidR="00654680" w:rsidRDefault="00654680" w:rsidP="004D2317">
      <w:pPr>
        <w:pStyle w:val="twentypointnormal"/>
        <w:spacing w:after="200"/>
        <w:ind w:left="0"/>
        <w:contextualSpacing/>
      </w:pPr>
    </w:p>
    <w:p w14:paraId="313AA21B" w14:textId="62D0720C" w:rsidR="00A74390" w:rsidRDefault="00A74390" w:rsidP="00B66D0D">
      <w:pPr>
        <w:pStyle w:val="twentypointnormal"/>
        <w:spacing w:after="200"/>
        <w:ind w:left="0"/>
        <w:jc w:val="center"/>
        <w:rPr>
          <w:rFonts w:ascii="Cambria" w:hAnsi="Cambria" w:cstheme="minorHAnsi"/>
          <w:sz w:val="22"/>
          <w:szCs w:val="22"/>
        </w:rPr>
      </w:pPr>
      <w:r w:rsidRPr="005E7D58">
        <w:rPr>
          <w:noProof/>
        </w:rPr>
        <w:drawing>
          <wp:inline distT="0" distB="0" distL="0" distR="0" wp14:anchorId="71B40F99" wp14:editId="47882AB9">
            <wp:extent cx="4647565" cy="4361543"/>
            <wp:effectExtent l="0" t="0" r="635" b="1270"/>
            <wp:docPr id="1790632948" name="Picture 1" descr="A diagram showing the combined and interacting effects of factors on the growth of a Ruppia community in the Coorong South Lagoon. Factors include temperature, water level, salinity and sediment and water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32948" name="Picture 1" descr="A diagram showing the combined and interacting effects of factors on the growth of a Ruppia community in the Coorong South Lagoon. Factors include temperature, water level, salinity and sediment and water quality."/>
                    <pic:cNvPicPr/>
                  </pic:nvPicPr>
                  <pic:blipFill>
                    <a:blip r:embed="rId34"/>
                    <a:stretch>
                      <a:fillRect/>
                    </a:stretch>
                  </pic:blipFill>
                  <pic:spPr>
                    <a:xfrm>
                      <a:off x="0" y="0"/>
                      <a:ext cx="4652088" cy="4365787"/>
                    </a:xfrm>
                    <a:prstGeom prst="rect">
                      <a:avLst/>
                    </a:prstGeom>
                  </pic:spPr>
                </pic:pic>
              </a:graphicData>
            </a:graphic>
          </wp:inline>
        </w:drawing>
      </w:r>
    </w:p>
    <w:p w14:paraId="56ACBABA" w14:textId="6C2800D8" w:rsidR="00A74390" w:rsidRPr="00763C73" w:rsidRDefault="008E7107" w:rsidP="008E7107">
      <w:pPr>
        <w:pStyle w:val="Caption"/>
        <w:rPr>
          <w:b w:val="0"/>
          <w:bCs/>
        </w:rPr>
      </w:pPr>
      <w:r>
        <w:t xml:space="preserve">Figure </w:t>
      </w:r>
      <w:r>
        <w:fldChar w:fldCharType="begin"/>
      </w:r>
      <w:r>
        <w:instrText xml:space="preserve"> SEQ Figure \* ARABIC </w:instrText>
      </w:r>
      <w:r>
        <w:fldChar w:fldCharType="separate"/>
      </w:r>
      <w:r w:rsidR="006D35C5">
        <w:rPr>
          <w:noProof/>
        </w:rPr>
        <w:t>7</w:t>
      </w:r>
      <w:r>
        <w:fldChar w:fldCharType="end"/>
      </w:r>
      <w:r w:rsidR="00A74390" w:rsidRPr="00763C73">
        <w:rPr>
          <w:bCs/>
        </w:rPr>
        <w:t xml:space="preserve">: Growth of </w:t>
      </w:r>
      <w:r w:rsidR="00A74390" w:rsidRPr="00763C73">
        <w:rPr>
          <w:bCs/>
          <w:i/>
        </w:rPr>
        <w:t>Ruppia tuberosa/Althenia</w:t>
      </w:r>
      <w:r w:rsidR="00A74390" w:rsidRPr="00763C73">
        <w:rPr>
          <w:bCs/>
        </w:rPr>
        <w:t xml:space="preserve"> complex </w:t>
      </w:r>
      <w:r w:rsidR="00A74390">
        <w:rPr>
          <w:bCs/>
        </w:rPr>
        <w:t xml:space="preserve">(i.e. Ruppia Community) </w:t>
      </w:r>
      <w:r w:rsidR="00A74390" w:rsidRPr="00763C73">
        <w:rPr>
          <w:bCs/>
        </w:rPr>
        <w:t xml:space="preserve">in the </w:t>
      </w:r>
      <w:r w:rsidR="00ED2F9D">
        <w:rPr>
          <w:bCs/>
        </w:rPr>
        <w:t xml:space="preserve">Coorong </w:t>
      </w:r>
      <w:r w:rsidR="00A74390" w:rsidRPr="00763C73">
        <w:rPr>
          <w:bCs/>
        </w:rPr>
        <w:t>South Lagoon is limited by the combined and interacting effects of a number of variables (</w:t>
      </w:r>
      <w:r w:rsidR="00A74390" w:rsidRPr="00763C73">
        <w:rPr>
          <w:rFonts w:cstheme="minorHAnsi"/>
          <w:bCs/>
        </w:rPr>
        <w:t>Asanopoulos</w:t>
      </w:r>
      <w:r w:rsidR="00A74390" w:rsidRPr="00763C73">
        <w:rPr>
          <w:bCs/>
        </w:rPr>
        <w:t xml:space="preserve"> </w:t>
      </w:r>
      <w:r w:rsidR="006F0560">
        <w:rPr>
          <w:bCs/>
        </w:rPr>
        <w:t xml:space="preserve">&amp; </w:t>
      </w:r>
      <w:r w:rsidR="00A74390" w:rsidRPr="00763C73">
        <w:rPr>
          <w:bCs/>
        </w:rPr>
        <w:t>Waycott 2022).</w:t>
      </w:r>
    </w:p>
    <w:p w14:paraId="39EA9E79" w14:textId="77777777" w:rsidR="004D1ECA" w:rsidRDefault="004D1ECA" w:rsidP="00AE1480">
      <w:pPr>
        <w:pStyle w:val="twentypointnormal"/>
        <w:spacing w:after="200"/>
        <w:ind w:left="0"/>
        <w:contextualSpacing/>
        <w:rPr>
          <w:rFonts w:ascii="Cambria" w:hAnsi="Cambria"/>
          <w:sz w:val="22"/>
          <w:szCs w:val="22"/>
        </w:rPr>
      </w:pPr>
    </w:p>
    <w:p w14:paraId="7DC1EA06" w14:textId="77777777" w:rsidR="003C7F6A" w:rsidRDefault="00DA1B0E" w:rsidP="00DA1B0E">
      <w:pPr>
        <w:pStyle w:val="twentypointnormal"/>
        <w:spacing w:after="200"/>
        <w:ind w:left="0"/>
        <w:rPr>
          <w:rFonts w:ascii="Cambria" w:hAnsi="Cambria"/>
          <w:sz w:val="22"/>
          <w:szCs w:val="22"/>
        </w:rPr>
      </w:pPr>
      <w:r w:rsidRPr="00C06117">
        <w:rPr>
          <w:rFonts w:ascii="Cambria" w:hAnsi="Cambria"/>
          <w:sz w:val="22"/>
          <w:szCs w:val="22"/>
        </w:rPr>
        <w:t xml:space="preserve">The previously robust mixed submerged angiosperm community (e.g., </w:t>
      </w:r>
      <w:r w:rsidRPr="00C06117">
        <w:rPr>
          <w:rFonts w:ascii="Cambria" w:hAnsi="Cambria"/>
          <w:i/>
          <w:iCs/>
          <w:sz w:val="22"/>
          <w:szCs w:val="22"/>
        </w:rPr>
        <w:t>R. tuberosa</w:t>
      </w:r>
      <w:r w:rsidRPr="00C06117">
        <w:rPr>
          <w:rFonts w:ascii="Cambria" w:hAnsi="Cambria"/>
          <w:sz w:val="22"/>
          <w:szCs w:val="22"/>
        </w:rPr>
        <w:t>/</w:t>
      </w:r>
      <w:r w:rsidRPr="00C06117">
        <w:rPr>
          <w:rFonts w:ascii="Cambria" w:hAnsi="Cambria"/>
          <w:i/>
          <w:iCs/>
          <w:sz w:val="22"/>
          <w:szCs w:val="22"/>
        </w:rPr>
        <w:t>Altheni</w:t>
      </w:r>
      <w:r w:rsidRPr="00C06117">
        <w:rPr>
          <w:rFonts w:ascii="Cambria" w:hAnsi="Cambria"/>
          <w:sz w:val="22"/>
          <w:szCs w:val="22"/>
        </w:rPr>
        <w:t xml:space="preserve">a complex, or ‘Ruppia Community’) in the Coorong </w:t>
      </w:r>
      <w:r>
        <w:rPr>
          <w:rFonts w:ascii="Cambria" w:hAnsi="Cambria"/>
          <w:sz w:val="22"/>
          <w:szCs w:val="22"/>
        </w:rPr>
        <w:t xml:space="preserve">was </w:t>
      </w:r>
      <w:r w:rsidRPr="00C06117">
        <w:rPr>
          <w:rFonts w:ascii="Cambria" w:hAnsi="Cambria"/>
          <w:sz w:val="22"/>
          <w:szCs w:val="22"/>
        </w:rPr>
        <w:t>assessed as being in a highly vulnerable state by an expert panel review (</w:t>
      </w:r>
      <w:r w:rsidRPr="00C06117">
        <w:rPr>
          <w:rFonts w:ascii="Cambria" w:hAnsi="Cambria" w:cstheme="minorHAnsi"/>
          <w:sz w:val="22"/>
          <w:szCs w:val="22"/>
        </w:rPr>
        <w:t>Asanopoulos</w:t>
      </w:r>
      <w:r w:rsidRPr="00C06117">
        <w:rPr>
          <w:rFonts w:ascii="Cambria" w:hAnsi="Cambria"/>
          <w:sz w:val="22"/>
          <w:szCs w:val="22"/>
        </w:rPr>
        <w:t xml:space="preserve"> &amp; Waycott 2020). </w:t>
      </w:r>
      <w:r>
        <w:rPr>
          <w:rFonts w:ascii="Cambria" w:hAnsi="Cambria"/>
          <w:sz w:val="22"/>
          <w:szCs w:val="22"/>
        </w:rPr>
        <w:t xml:space="preserve">While the ‘Ruppia Community’ has expanded in extent (if not density) along the South Lagoon, comparison of the seed bank with historical monitoring data, reveals the seed bank is at ~30% of pre-drought levels (Lewis et al. 2022). Lewis et al. (2022) report ongoing concern that </w:t>
      </w:r>
      <w:r w:rsidRPr="006C6DC4">
        <w:rPr>
          <w:rFonts w:ascii="Cambria" w:hAnsi="Cambria"/>
          <w:i/>
          <w:iCs/>
          <w:sz w:val="22"/>
          <w:szCs w:val="22"/>
        </w:rPr>
        <w:t>Ruppia</w:t>
      </w:r>
      <w:r>
        <w:rPr>
          <w:rFonts w:ascii="Cambria" w:hAnsi="Cambria"/>
          <w:sz w:val="22"/>
          <w:szCs w:val="22"/>
        </w:rPr>
        <w:t xml:space="preserve"> plants have poor vigour, low seed production and therefore limited resilience. </w:t>
      </w:r>
      <w:r w:rsidRPr="00C06117">
        <w:rPr>
          <w:rFonts w:ascii="Cambria" w:hAnsi="Cambria"/>
          <w:sz w:val="22"/>
          <w:szCs w:val="22"/>
        </w:rPr>
        <w:t xml:space="preserve">Waycott &amp; Lewis (2022) </w:t>
      </w:r>
      <w:r>
        <w:rPr>
          <w:rFonts w:ascii="Cambria" w:hAnsi="Cambria"/>
          <w:sz w:val="22"/>
          <w:szCs w:val="22"/>
        </w:rPr>
        <w:t xml:space="preserve">also </w:t>
      </w:r>
      <w:r w:rsidRPr="00C06117">
        <w:rPr>
          <w:rFonts w:ascii="Cambria" w:hAnsi="Cambria"/>
          <w:sz w:val="22"/>
          <w:szCs w:val="22"/>
        </w:rPr>
        <w:t>report that the resilience of the ‘Ruppia Community’ in the Coorong remains low</w:t>
      </w:r>
      <w:r>
        <w:rPr>
          <w:rFonts w:ascii="Cambria" w:hAnsi="Cambria"/>
          <w:sz w:val="22"/>
          <w:szCs w:val="22"/>
        </w:rPr>
        <w:t xml:space="preserve"> and developed a</w:t>
      </w:r>
      <w:r w:rsidRPr="00C06117">
        <w:rPr>
          <w:rFonts w:ascii="Cambria" w:hAnsi="Cambria"/>
          <w:sz w:val="22"/>
          <w:szCs w:val="22"/>
        </w:rPr>
        <w:t xml:space="preserve"> </w:t>
      </w:r>
      <w:r>
        <w:rPr>
          <w:rFonts w:ascii="Cambria" w:hAnsi="Cambria"/>
          <w:sz w:val="22"/>
          <w:szCs w:val="22"/>
        </w:rPr>
        <w:t>‘Recovery Strategy’ (decision framework).</w:t>
      </w:r>
      <w:r w:rsidRPr="00C06117">
        <w:rPr>
          <w:rFonts w:ascii="Cambria" w:hAnsi="Cambria"/>
          <w:sz w:val="22"/>
          <w:szCs w:val="22"/>
        </w:rPr>
        <w:t xml:space="preserve"> </w:t>
      </w:r>
    </w:p>
    <w:p w14:paraId="12C21888" w14:textId="529D75ED" w:rsidR="00AE1480" w:rsidRPr="00214024" w:rsidRDefault="00D37C85" w:rsidP="00DA1B0E">
      <w:pPr>
        <w:pStyle w:val="twentypointnormal"/>
        <w:spacing w:after="200"/>
        <w:ind w:left="0"/>
        <w:rPr>
          <w:rFonts w:ascii="Cambria" w:hAnsi="Cambria"/>
          <w:sz w:val="22"/>
          <w:szCs w:val="22"/>
        </w:rPr>
      </w:pPr>
      <w:r w:rsidRPr="00214024">
        <w:rPr>
          <w:rFonts w:ascii="Cambria" w:hAnsi="Cambria" w:cstheme="minorHAnsi"/>
          <w:sz w:val="22"/>
          <w:szCs w:val="22"/>
        </w:rPr>
        <w:t>Asanopoulos</w:t>
      </w:r>
      <w:r w:rsidRPr="00214024">
        <w:rPr>
          <w:rFonts w:ascii="Cambria" w:hAnsi="Cambria"/>
          <w:sz w:val="22"/>
          <w:szCs w:val="22"/>
        </w:rPr>
        <w:t xml:space="preserve"> &amp; Waycott (2022) warn that with any attempt to recover the Coorong system</w:t>
      </w:r>
      <w:r w:rsidR="00F30E8C" w:rsidRPr="00214024">
        <w:rPr>
          <w:rFonts w:ascii="Cambria" w:hAnsi="Cambria"/>
          <w:sz w:val="22"/>
          <w:szCs w:val="22"/>
        </w:rPr>
        <w:t xml:space="preserve"> (i.e. the main estuarine component of the ecological community)</w:t>
      </w:r>
      <w:r w:rsidRPr="00214024">
        <w:rPr>
          <w:rFonts w:ascii="Cambria" w:hAnsi="Cambria"/>
          <w:sz w:val="22"/>
          <w:szCs w:val="22"/>
        </w:rPr>
        <w:t xml:space="preserve">, must involve management solutions that support the critical life cycle stages of </w:t>
      </w:r>
      <w:r w:rsidRPr="00214024">
        <w:rPr>
          <w:rFonts w:ascii="Cambria" w:hAnsi="Cambria"/>
          <w:i/>
          <w:iCs/>
          <w:sz w:val="22"/>
          <w:szCs w:val="22"/>
        </w:rPr>
        <w:t>R. tuberosa.</w:t>
      </w:r>
      <w:r w:rsidR="005911B5" w:rsidRPr="00214024">
        <w:rPr>
          <w:rFonts w:ascii="Cambria" w:hAnsi="Cambria"/>
          <w:i/>
          <w:iCs/>
          <w:sz w:val="22"/>
          <w:szCs w:val="22"/>
        </w:rPr>
        <w:t xml:space="preserve"> </w:t>
      </w:r>
      <w:r w:rsidR="005911B5" w:rsidRPr="00214024">
        <w:rPr>
          <w:rFonts w:ascii="Cambria" w:hAnsi="Cambria"/>
          <w:sz w:val="22"/>
          <w:szCs w:val="22"/>
        </w:rPr>
        <w:t>This is likely to include management of salinity and water levels, and options for reducing nutrients and filamentous alga</w:t>
      </w:r>
      <w:r w:rsidR="0001108A" w:rsidRPr="00214024">
        <w:rPr>
          <w:rFonts w:ascii="Cambria" w:hAnsi="Cambria"/>
          <w:sz w:val="22"/>
          <w:szCs w:val="22"/>
        </w:rPr>
        <w:t>e</w:t>
      </w:r>
      <w:r w:rsidR="005911B5" w:rsidRPr="00214024">
        <w:rPr>
          <w:rFonts w:ascii="Cambria" w:hAnsi="Cambria"/>
          <w:sz w:val="22"/>
          <w:szCs w:val="22"/>
        </w:rPr>
        <w:t xml:space="preserve"> loads.</w:t>
      </w:r>
      <w:r w:rsidR="00AE1480" w:rsidRPr="00214024">
        <w:rPr>
          <w:rFonts w:ascii="Cambria" w:hAnsi="Cambria"/>
          <w:sz w:val="22"/>
          <w:szCs w:val="22"/>
        </w:rPr>
        <w:t xml:space="preserve"> </w:t>
      </w:r>
      <w:r w:rsidR="00C944AA" w:rsidRPr="00214024">
        <w:rPr>
          <w:rFonts w:ascii="Cambria" w:hAnsi="Cambria"/>
          <w:sz w:val="22"/>
          <w:szCs w:val="22"/>
        </w:rPr>
        <w:t>Waycott &amp; Lewis</w:t>
      </w:r>
      <w:r w:rsidR="004E71B5">
        <w:rPr>
          <w:rFonts w:ascii="Cambria" w:hAnsi="Cambria"/>
          <w:sz w:val="22"/>
          <w:szCs w:val="22"/>
        </w:rPr>
        <w:t xml:space="preserve"> </w:t>
      </w:r>
      <w:r w:rsidR="00BC23C6" w:rsidRPr="00214024">
        <w:rPr>
          <w:rFonts w:ascii="Cambria" w:hAnsi="Cambria"/>
          <w:sz w:val="22"/>
          <w:szCs w:val="22"/>
        </w:rPr>
        <w:t>(2022)</w:t>
      </w:r>
      <w:r w:rsidR="00C944AA" w:rsidRPr="00214024">
        <w:rPr>
          <w:rFonts w:ascii="Cambria" w:hAnsi="Cambria"/>
          <w:sz w:val="22"/>
          <w:szCs w:val="22"/>
        </w:rPr>
        <w:t xml:space="preserve"> </w:t>
      </w:r>
      <w:r w:rsidR="00BC23C6" w:rsidRPr="00214024">
        <w:rPr>
          <w:rFonts w:ascii="Cambria" w:hAnsi="Cambria"/>
          <w:sz w:val="22"/>
          <w:szCs w:val="22"/>
        </w:rPr>
        <w:t xml:space="preserve">state </w:t>
      </w:r>
      <w:r w:rsidR="00C944AA" w:rsidRPr="00214024">
        <w:rPr>
          <w:rFonts w:ascii="Cambria" w:hAnsi="Cambria"/>
          <w:sz w:val="22"/>
          <w:szCs w:val="22"/>
        </w:rPr>
        <w:t>the need to rem</w:t>
      </w:r>
      <w:r w:rsidR="00BC23C6" w:rsidRPr="00214024">
        <w:rPr>
          <w:rFonts w:ascii="Cambria" w:hAnsi="Cambria"/>
          <w:sz w:val="22"/>
          <w:szCs w:val="22"/>
        </w:rPr>
        <w:t>ediate salt and nutrient loads is critical to considering further direct action in restoring biota, including improving the resilience of the ‘Ruppia Community</w:t>
      </w:r>
      <w:r w:rsidR="00CA71B4" w:rsidRPr="00214024">
        <w:rPr>
          <w:rFonts w:ascii="Cambria" w:hAnsi="Cambria"/>
          <w:sz w:val="22"/>
          <w:szCs w:val="22"/>
        </w:rPr>
        <w:t>’</w:t>
      </w:r>
      <w:r w:rsidR="00BC23C6" w:rsidRPr="00214024">
        <w:rPr>
          <w:rFonts w:ascii="Cambria" w:hAnsi="Cambria"/>
          <w:sz w:val="22"/>
          <w:szCs w:val="22"/>
        </w:rPr>
        <w:t xml:space="preserve"> in the southern Coorong</w:t>
      </w:r>
      <w:r w:rsidR="00CA71B4" w:rsidRPr="00214024">
        <w:rPr>
          <w:rFonts w:ascii="Cambria" w:hAnsi="Cambria"/>
          <w:sz w:val="22"/>
          <w:szCs w:val="22"/>
        </w:rPr>
        <w:t xml:space="preserve">. Additionally, </w:t>
      </w:r>
      <w:r w:rsidR="00316E08" w:rsidRPr="00214024">
        <w:rPr>
          <w:rFonts w:ascii="Cambria" w:hAnsi="Cambria"/>
          <w:sz w:val="22"/>
          <w:szCs w:val="22"/>
        </w:rPr>
        <w:t xml:space="preserve">several important knowledge gaps remain </w:t>
      </w:r>
      <w:r w:rsidR="001D129A" w:rsidRPr="00214024">
        <w:rPr>
          <w:rFonts w:ascii="Cambria" w:hAnsi="Cambria"/>
          <w:sz w:val="22"/>
          <w:szCs w:val="22"/>
        </w:rPr>
        <w:t xml:space="preserve">that </w:t>
      </w:r>
      <w:r w:rsidR="00CA71B4" w:rsidRPr="00214024">
        <w:rPr>
          <w:rFonts w:ascii="Cambria" w:hAnsi="Cambria"/>
          <w:sz w:val="22"/>
          <w:szCs w:val="22"/>
        </w:rPr>
        <w:t>w</w:t>
      </w:r>
      <w:r w:rsidR="001D129A" w:rsidRPr="00214024">
        <w:rPr>
          <w:rFonts w:ascii="Cambria" w:hAnsi="Cambria"/>
          <w:sz w:val="22"/>
          <w:szCs w:val="22"/>
        </w:rPr>
        <w:t>ould support conservation management (</w:t>
      </w:r>
      <w:r w:rsidR="001D129A" w:rsidRPr="00214024">
        <w:rPr>
          <w:rFonts w:ascii="Cambria" w:hAnsi="Cambria" w:cstheme="minorHAnsi"/>
          <w:sz w:val="22"/>
          <w:szCs w:val="22"/>
        </w:rPr>
        <w:t>Asanopoulos</w:t>
      </w:r>
      <w:r w:rsidR="001D129A" w:rsidRPr="00214024">
        <w:rPr>
          <w:rFonts w:ascii="Cambria" w:hAnsi="Cambria"/>
          <w:sz w:val="22"/>
          <w:szCs w:val="22"/>
        </w:rPr>
        <w:t xml:space="preserve"> &amp; Waycott 2022</w:t>
      </w:r>
      <w:r w:rsidR="00A447F2">
        <w:rPr>
          <w:rFonts w:ascii="Cambria" w:hAnsi="Cambria"/>
          <w:sz w:val="22"/>
          <w:szCs w:val="22"/>
        </w:rPr>
        <w:t xml:space="preserve">; </w:t>
      </w:r>
      <w:r w:rsidR="00A447F2">
        <w:rPr>
          <w:rFonts w:ascii="Cambria" w:hAnsi="Cambria"/>
          <w:sz w:val="22"/>
          <w:szCs w:val="22"/>
        </w:rPr>
        <w:lastRenderedPageBreak/>
        <w:t>Waycott et al. 2022</w:t>
      </w:r>
      <w:r w:rsidR="001D129A" w:rsidRPr="00214024">
        <w:rPr>
          <w:rFonts w:ascii="Cambria" w:hAnsi="Cambria"/>
          <w:sz w:val="22"/>
          <w:szCs w:val="22"/>
        </w:rPr>
        <w:t>). For example, t</w:t>
      </w:r>
      <w:r w:rsidR="00AE1480" w:rsidRPr="00214024">
        <w:rPr>
          <w:rFonts w:ascii="Cambria" w:hAnsi="Cambria"/>
          <w:sz w:val="22"/>
          <w:szCs w:val="22"/>
        </w:rPr>
        <w:t>he expected optimum annual mean water surface elevation for the growing season (April–December) is currently estimated at 0.3 m AHD</w:t>
      </w:r>
      <w:r w:rsidR="0001108A" w:rsidRPr="00214024">
        <w:rPr>
          <w:rFonts w:ascii="Cambria" w:hAnsi="Cambria"/>
          <w:sz w:val="22"/>
          <w:szCs w:val="22"/>
        </w:rPr>
        <w:t>, however</w:t>
      </w:r>
      <w:r w:rsidR="00AE1480" w:rsidRPr="00214024">
        <w:rPr>
          <w:rFonts w:ascii="Cambria" w:hAnsi="Cambria"/>
          <w:sz w:val="22"/>
          <w:szCs w:val="22"/>
        </w:rPr>
        <w:t xml:space="preserve"> this requires updating based on the current physical structure of the system</w:t>
      </w:r>
      <w:r w:rsidR="001D129A" w:rsidRPr="00214024">
        <w:rPr>
          <w:rFonts w:ascii="Cambria" w:hAnsi="Cambria"/>
          <w:sz w:val="22"/>
          <w:szCs w:val="22"/>
        </w:rPr>
        <w:t>.</w:t>
      </w:r>
    </w:p>
    <w:p w14:paraId="2FD319EA" w14:textId="4EF93293" w:rsidR="005B0D4E" w:rsidRDefault="002D13CB" w:rsidP="00A2521C">
      <w:pPr>
        <w:pStyle w:val="Heading5"/>
      </w:pPr>
      <w:r w:rsidRPr="002D13CB">
        <w:t xml:space="preserve">2022-23 Flood </w:t>
      </w:r>
      <w:r w:rsidR="00AA260F">
        <w:t xml:space="preserve">event </w:t>
      </w:r>
      <w:r w:rsidRPr="002D13CB">
        <w:t>and status</w:t>
      </w:r>
    </w:p>
    <w:p w14:paraId="16402E0C" w14:textId="42EF64B2" w:rsidR="00CB29E4" w:rsidRDefault="00AC4DB9" w:rsidP="00CB29E4">
      <w:pPr>
        <w:pStyle w:val="twentypointnormal"/>
        <w:spacing w:after="200"/>
        <w:ind w:left="0"/>
        <w:rPr>
          <w:rFonts w:ascii="Cambria" w:hAnsi="Cambria" w:cstheme="minorHAnsi"/>
          <w:sz w:val="22"/>
          <w:szCs w:val="22"/>
        </w:rPr>
      </w:pPr>
      <w:r>
        <w:rPr>
          <w:rFonts w:ascii="Cambria" w:hAnsi="Cambria" w:cstheme="minorHAnsi"/>
          <w:sz w:val="22"/>
          <w:szCs w:val="22"/>
        </w:rPr>
        <w:t xml:space="preserve">The </w:t>
      </w:r>
      <w:r w:rsidR="00A760BB">
        <w:rPr>
          <w:rFonts w:ascii="Cambria" w:hAnsi="Cambria" w:cstheme="minorHAnsi"/>
          <w:sz w:val="22"/>
          <w:szCs w:val="22"/>
        </w:rPr>
        <w:t>major f</w:t>
      </w:r>
      <w:r>
        <w:rPr>
          <w:rFonts w:ascii="Cambria" w:hAnsi="Cambria" w:cstheme="minorHAnsi"/>
          <w:sz w:val="22"/>
          <w:szCs w:val="22"/>
        </w:rPr>
        <w:t xml:space="preserve">lood event from </w:t>
      </w:r>
      <w:r w:rsidR="00ED73C6">
        <w:rPr>
          <w:rFonts w:ascii="Cambria" w:hAnsi="Cambria" w:cstheme="minorHAnsi"/>
          <w:sz w:val="22"/>
          <w:szCs w:val="22"/>
        </w:rPr>
        <w:t>mid-</w:t>
      </w:r>
      <w:r>
        <w:rPr>
          <w:rFonts w:ascii="Cambria" w:hAnsi="Cambria" w:cstheme="minorHAnsi"/>
          <w:sz w:val="22"/>
          <w:szCs w:val="22"/>
        </w:rPr>
        <w:t xml:space="preserve">October 2022 to </w:t>
      </w:r>
      <w:r w:rsidR="00ED73C6">
        <w:rPr>
          <w:rFonts w:ascii="Cambria" w:hAnsi="Cambria" w:cstheme="minorHAnsi"/>
          <w:sz w:val="22"/>
          <w:szCs w:val="22"/>
        </w:rPr>
        <w:t>early-</w:t>
      </w:r>
      <w:r w:rsidR="00CD1A94">
        <w:rPr>
          <w:rFonts w:ascii="Cambria" w:hAnsi="Cambria" w:cstheme="minorHAnsi"/>
          <w:sz w:val="22"/>
          <w:szCs w:val="22"/>
        </w:rPr>
        <w:t>February 2023 was the third highest on record</w:t>
      </w:r>
      <w:r w:rsidR="00E358EC">
        <w:rPr>
          <w:rFonts w:ascii="Cambria" w:hAnsi="Cambria" w:cstheme="minorHAnsi"/>
          <w:sz w:val="22"/>
          <w:szCs w:val="22"/>
        </w:rPr>
        <w:t xml:space="preserve"> </w:t>
      </w:r>
      <w:r w:rsidR="00EB3AA4">
        <w:rPr>
          <w:rFonts w:ascii="Cambria" w:hAnsi="Cambria" w:cstheme="minorHAnsi"/>
          <w:sz w:val="22"/>
          <w:szCs w:val="22"/>
        </w:rPr>
        <w:t>for the River Murray in South Australia</w:t>
      </w:r>
      <w:r w:rsidR="00CD1A94">
        <w:rPr>
          <w:rFonts w:ascii="Cambria" w:hAnsi="Cambria" w:cstheme="minorHAnsi"/>
          <w:sz w:val="22"/>
          <w:szCs w:val="22"/>
        </w:rPr>
        <w:t>, with peak flow</w:t>
      </w:r>
      <w:r w:rsidR="00BA5073">
        <w:rPr>
          <w:rFonts w:ascii="Cambria" w:hAnsi="Cambria" w:cstheme="minorHAnsi"/>
          <w:sz w:val="22"/>
          <w:szCs w:val="22"/>
        </w:rPr>
        <w:t xml:space="preserve"> of 1</w:t>
      </w:r>
      <w:r w:rsidR="00322417">
        <w:rPr>
          <w:rFonts w:ascii="Cambria" w:hAnsi="Cambria" w:cstheme="minorHAnsi"/>
          <w:sz w:val="22"/>
          <w:szCs w:val="22"/>
        </w:rPr>
        <w:t>86</w:t>
      </w:r>
      <w:r w:rsidR="00BA5073">
        <w:rPr>
          <w:rFonts w:ascii="Cambria" w:hAnsi="Cambria" w:cstheme="minorHAnsi"/>
          <w:sz w:val="22"/>
          <w:szCs w:val="22"/>
        </w:rPr>
        <w:t xml:space="preserve">,000 ML/d recorded on </w:t>
      </w:r>
      <w:r w:rsidR="00AA260F">
        <w:rPr>
          <w:rFonts w:ascii="Cambria" w:hAnsi="Cambria" w:cstheme="minorHAnsi"/>
          <w:sz w:val="22"/>
          <w:szCs w:val="22"/>
        </w:rPr>
        <w:br/>
      </w:r>
      <w:r w:rsidR="00BA5073">
        <w:rPr>
          <w:rFonts w:ascii="Cambria" w:hAnsi="Cambria" w:cstheme="minorHAnsi"/>
          <w:sz w:val="22"/>
          <w:szCs w:val="22"/>
        </w:rPr>
        <w:t xml:space="preserve">23 December </w:t>
      </w:r>
      <w:r w:rsidR="00AA260F">
        <w:rPr>
          <w:rFonts w:ascii="Cambria" w:hAnsi="Cambria" w:cstheme="minorHAnsi"/>
          <w:sz w:val="22"/>
          <w:szCs w:val="22"/>
        </w:rPr>
        <w:t xml:space="preserve">2022 </w:t>
      </w:r>
      <w:r w:rsidR="00BA5073">
        <w:rPr>
          <w:rFonts w:ascii="Cambria" w:hAnsi="Cambria" w:cstheme="minorHAnsi"/>
          <w:sz w:val="22"/>
          <w:szCs w:val="22"/>
        </w:rPr>
        <w:t xml:space="preserve">at the </w:t>
      </w:r>
      <w:r w:rsidR="00EB3AA4">
        <w:rPr>
          <w:rFonts w:ascii="Cambria" w:hAnsi="Cambria" w:cstheme="minorHAnsi"/>
          <w:sz w:val="22"/>
          <w:szCs w:val="22"/>
        </w:rPr>
        <w:t xml:space="preserve">SA </w:t>
      </w:r>
      <w:r w:rsidR="00BA5073">
        <w:rPr>
          <w:rFonts w:ascii="Cambria" w:hAnsi="Cambria" w:cstheme="minorHAnsi"/>
          <w:sz w:val="22"/>
          <w:szCs w:val="22"/>
        </w:rPr>
        <w:t xml:space="preserve">border; this translated to </w:t>
      </w:r>
      <w:r w:rsidR="00085BBE">
        <w:rPr>
          <w:rFonts w:ascii="Cambria" w:hAnsi="Cambria" w:cstheme="minorHAnsi"/>
          <w:sz w:val="22"/>
          <w:szCs w:val="22"/>
        </w:rPr>
        <w:t xml:space="preserve">a peak flow </w:t>
      </w:r>
      <w:r w:rsidR="000B4978">
        <w:rPr>
          <w:rFonts w:ascii="Cambria" w:hAnsi="Cambria" w:cstheme="minorHAnsi"/>
          <w:sz w:val="22"/>
          <w:szCs w:val="22"/>
        </w:rPr>
        <w:t xml:space="preserve">at the barrages </w:t>
      </w:r>
      <w:r w:rsidR="00E817C9">
        <w:rPr>
          <w:rFonts w:ascii="Cambria" w:hAnsi="Cambria" w:cstheme="minorHAnsi"/>
          <w:sz w:val="22"/>
          <w:szCs w:val="22"/>
        </w:rPr>
        <w:t>wh</w:t>
      </w:r>
      <w:r w:rsidR="00070736">
        <w:rPr>
          <w:rFonts w:ascii="Cambria" w:hAnsi="Cambria" w:cstheme="minorHAnsi"/>
          <w:sz w:val="22"/>
          <w:szCs w:val="22"/>
        </w:rPr>
        <w:t xml:space="preserve">ere all gates were open </w:t>
      </w:r>
      <w:r w:rsidR="000B4978">
        <w:rPr>
          <w:rFonts w:ascii="Cambria" w:hAnsi="Cambria" w:cstheme="minorHAnsi"/>
          <w:sz w:val="22"/>
          <w:szCs w:val="22"/>
        </w:rPr>
        <w:t>(DEW 2023</w:t>
      </w:r>
      <w:r w:rsidR="006D47B7">
        <w:rPr>
          <w:rFonts w:ascii="Cambria" w:hAnsi="Cambria" w:cstheme="minorHAnsi"/>
          <w:sz w:val="22"/>
          <w:szCs w:val="22"/>
        </w:rPr>
        <w:t xml:space="preserve">a, </w:t>
      </w:r>
      <w:r w:rsidR="00247819">
        <w:rPr>
          <w:rFonts w:ascii="Cambria" w:hAnsi="Cambria" w:cstheme="minorHAnsi"/>
          <w:sz w:val="22"/>
          <w:szCs w:val="22"/>
        </w:rPr>
        <w:t>b</w:t>
      </w:r>
      <w:r w:rsidR="000B4978">
        <w:rPr>
          <w:rFonts w:ascii="Cambria" w:hAnsi="Cambria" w:cstheme="minorHAnsi"/>
          <w:sz w:val="22"/>
          <w:szCs w:val="22"/>
        </w:rPr>
        <w:t xml:space="preserve">). </w:t>
      </w:r>
      <w:r w:rsidR="00DC13B1">
        <w:rPr>
          <w:rFonts w:ascii="Cambria" w:hAnsi="Cambria" w:cstheme="minorHAnsi"/>
          <w:sz w:val="22"/>
          <w:szCs w:val="22"/>
        </w:rPr>
        <w:t>As a result of higher water levels and lowered salinity, the ‘Ruppia Community’</w:t>
      </w:r>
      <w:r w:rsidR="00D36410">
        <w:rPr>
          <w:rFonts w:ascii="Cambria" w:hAnsi="Cambria" w:cstheme="minorHAnsi"/>
          <w:sz w:val="22"/>
          <w:szCs w:val="22"/>
        </w:rPr>
        <w:t xml:space="preserve"> increased in biomas</w:t>
      </w:r>
      <w:r w:rsidR="00EB3AA4">
        <w:rPr>
          <w:rFonts w:ascii="Cambria" w:hAnsi="Cambria" w:cstheme="minorHAnsi"/>
          <w:sz w:val="22"/>
          <w:szCs w:val="22"/>
        </w:rPr>
        <w:t>s</w:t>
      </w:r>
      <w:r w:rsidR="00D36410">
        <w:rPr>
          <w:rFonts w:ascii="Cambria" w:hAnsi="Cambria" w:cstheme="minorHAnsi"/>
          <w:sz w:val="22"/>
          <w:szCs w:val="22"/>
        </w:rPr>
        <w:t xml:space="preserve"> in the central and southern Coorong</w:t>
      </w:r>
      <w:r w:rsidR="000A0C52">
        <w:rPr>
          <w:rFonts w:ascii="Cambria" w:hAnsi="Cambria" w:cstheme="minorHAnsi"/>
          <w:sz w:val="22"/>
          <w:szCs w:val="22"/>
        </w:rPr>
        <w:t xml:space="preserve"> (Waycott et al. 2023</w:t>
      </w:r>
      <w:r w:rsidR="000A576E">
        <w:rPr>
          <w:rFonts w:ascii="Cambria" w:hAnsi="Cambria" w:cstheme="minorHAnsi"/>
          <w:sz w:val="22"/>
          <w:szCs w:val="22"/>
        </w:rPr>
        <w:t>)</w:t>
      </w:r>
      <w:r w:rsidR="00D36410">
        <w:rPr>
          <w:rFonts w:ascii="Cambria" w:hAnsi="Cambria" w:cstheme="minorHAnsi"/>
          <w:sz w:val="22"/>
          <w:szCs w:val="22"/>
        </w:rPr>
        <w:t>.</w:t>
      </w:r>
      <w:r w:rsidR="000A576E">
        <w:rPr>
          <w:rFonts w:ascii="Cambria" w:hAnsi="Cambria" w:cstheme="minorHAnsi"/>
          <w:sz w:val="22"/>
          <w:szCs w:val="22"/>
        </w:rPr>
        <w:t xml:space="preserve"> </w:t>
      </w:r>
    </w:p>
    <w:p w14:paraId="1045B314" w14:textId="790A2BD3" w:rsidR="00E66A2C" w:rsidRDefault="008557B8" w:rsidP="00CB29E4">
      <w:pPr>
        <w:pStyle w:val="twentypointnormal"/>
        <w:spacing w:after="200"/>
        <w:ind w:left="0"/>
        <w:rPr>
          <w:rFonts w:ascii="Cambria" w:hAnsi="Cambria"/>
          <w:sz w:val="22"/>
          <w:szCs w:val="22"/>
        </w:rPr>
      </w:pPr>
      <w:r>
        <w:rPr>
          <w:rFonts w:ascii="Cambria" w:hAnsi="Cambria" w:cstheme="minorHAnsi"/>
          <w:sz w:val="22"/>
          <w:szCs w:val="22"/>
        </w:rPr>
        <w:t xml:space="preserve">Despite </w:t>
      </w:r>
      <w:r w:rsidRPr="00CE17C0">
        <w:rPr>
          <w:rFonts w:ascii="Cambria" w:hAnsi="Cambria" w:cstheme="minorHAnsi"/>
          <w:i/>
          <w:iCs/>
          <w:sz w:val="22"/>
          <w:szCs w:val="22"/>
        </w:rPr>
        <w:t>R. tuberosa</w:t>
      </w:r>
      <w:r>
        <w:rPr>
          <w:rFonts w:ascii="Cambria" w:hAnsi="Cambria" w:cstheme="minorHAnsi"/>
          <w:sz w:val="22"/>
          <w:szCs w:val="22"/>
        </w:rPr>
        <w:t xml:space="preserve"> producing large numbers of </w:t>
      </w:r>
      <w:r w:rsidR="00D820F5">
        <w:rPr>
          <w:rFonts w:ascii="Cambria" w:hAnsi="Cambria" w:cstheme="minorHAnsi"/>
          <w:sz w:val="22"/>
          <w:szCs w:val="22"/>
        </w:rPr>
        <w:t xml:space="preserve">turions (asexual reproduction), sexual reproduction </w:t>
      </w:r>
      <w:r w:rsidR="001B68BE">
        <w:rPr>
          <w:rFonts w:ascii="Cambria" w:hAnsi="Cambria" w:cstheme="minorHAnsi"/>
          <w:sz w:val="22"/>
          <w:szCs w:val="22"/>
        </w:rPr>
        <w:t xml:space="preserve">seemingly </w:t>
      </w:r>
      <w:r w:rsidR="00D820F5">
        <w:rPr>
          <w:rFonts w:ascii="Cambria" w:hAnsi="Cambria" w:cstheme="minorHAnsi"/>
          <w:sz w:val="22"/>
          <w:szCs w:val="22"/>
        </w:rPr>
        <w:t>failed</w:t>
      </w:r>
      <w:r w:rsidR="00CE17C0">
        <w:rPr>
          <w:rFonts w:ascii="Cambria" w:hAnsi="Cambria" w:cstheme="minorHAnsi"/>
          <w:sz w:val="22"/>
          <w:szCs w:val="22"/>
        </w:rPr>
        <w:t xml:space="preserve">, </w:t>
      </w:r>
      <w:r w:rsidR="00D76C97">
        <w:rPr>
          <w:rFonts w:ascii="Cambria" w:hAnsi="Cambria" w:cstheme="minorHAnsi"/>
          <w:sz w:val="22"/>
          <w:szCs w:val="22"/>
        </w:rPr>
        <w:t xml:space="preserve">with </w:t>
      </w:r>
      <w:r w:rsidR="00B82AAA">
        <w:rPr>
          <w:rFonts w:ascii="Cambria" w:hAnsi="Cambria" w:cstheme="minorHAnsi"/>
          <w:sz w:val="22"/>
          <w:szCs w:val="22"/>
        </w:rPr>
        <w:t>a lack of viable seeds</w:t>
      </w:r>
      <w:r w:rsidR="000A0C52">
        <w:rPr>
          <w:rFonts w:ascii="Cambria" w:hAnsi="Cambria" w:cstheme="minorHAnsi"/>
          <w:sz w:val="22"/>
          <w:szCs w:val="22"/>
        </w:rPr>
        <w:t xml:space="preserve"> </w:t>
      </w:r>
      <w:r w:rsidR="00D76C97">
        <w:rPr>
          <w:rFonts w:ascii="Cambria" w:hAnsi="Cambria" w:cstheme="minorHAnsi"/>
          <w:sz w:val="22"/>
          <w:szCs w:val="22"/>
        </w:rPr>
        <w:t>production for</w:t>
      </w:r>
      <w:r w:rsidR="000A0C52">
        <w:rPr>
          <w:rFonts w:ascii="Cambria" w:hAnsi="Cambria" w:cstheme="minorHAnsi"/>
          <w:sz w:val="22"/>
          <w:szCs w:val="22"/>
        </w:rPr>
        <w:t xml:space="preserve"> </w:t>
      </w:r>
      <w:r w:rsidR="000A0C52" w:rsidRPr="000A0C52">
        <w:rPr>
          <w:rFonts w:ascii="Cambria" w:hAnsi="Cambria" w:cstheme="minorHAnsi"/>
          <w:i/>
          <w:iCs/>
          <w:sz w:val="22"/>
          <w:szCs w:val="22"/>
        </w:rPr>
        <w:t>Ruppia</w:t>
      </w:r>
      <w:r w:rsidR="000A0C52">
        <w:rPr>
          <w:rFonts w:ascii="Cambria" w:hAnsi="Cambria" w:cstheme="minorHAnsi"/>
          <w:sz w:val="22"/>
          <w:szCs w:val="22"/>
        </w:rPr>
        <w:t xml:space="preserve"> spp</w:t>
      </w:r>
      <w:r w:rsidR="00CE17C0">
        <w:rPr>
          <w:rFonts w:ascii="Cambria" w:hAnsi="Cambria" w:cstheme="minorHAnsi"/>
          <w:sz w:val="22"/>
          <w:szCs w:val="22"/>
        </w:rPr>
        <w:t xml:space="preserve">. </w:t>
      </w:r>
      <w:r w:rsidR="00EB3AA4">
        <w:rPr>
          <w:rFonts w:ascii="Cambria" w:hAnsi="Cambria" w:cstheme="minorHAnsi"/>
          <w:sz w:val="22"/>
          <w:szCs w:val="22"/>
        </w:rPr>
        <w:t>This</w:t>
      </w:r>
      <w:r w:rsidR="00D76C97">
        <w:rPr>
          <w:rFonts w:ascii="Cambria" w:hAnsi="Cambria" w:cstheme="minorHAnsi"/>
          <w:sz w:val="22"/>
          <w:szCs w:val="22"/>
        </w:rPr>
        <w:t xml:space="preserve"> </w:t>
      </w:r>
      <w:r w:rsidR="000C1435">
        <w:rPr>
          <w:rFonts w:ascii="Cambria" w:hAnsi="Cambria" w:cstheme="minorHAnsi"/>
          <w:sz w:val="22"/>
          <w:szCs w:val="22"/>
        </w:rPr>
        <w:t xml:space="preserve">meant the seed bank </w:t>
      </w:r>
      <w:r w:rsidR="001B68BE">
        <w:rPr>
          <w:rFonts w:ascii="Cambria" w:hAnsi="Cambria" w:cstheme="minorHAnsi"/>
          <w:sz w:val="22"/>
          <w:szCs w:val="22"/>
        </w:rPr>
        <w:t xml:space="preserve">continued to </w:t>
      </w:r>
      <w:r w:rsidR="000C1435">
        <w:rPr>
          <w:rFonts w:ascii="Cambria" w:hAnsi="Cambria" w:cstheme="minorHAnsi"/>
          <w:sz w:val="22"/>
          <w:szCs w:val="22"/>
        </w:rPr>
        <w:t>remain depauperate</w:t>
      </w:r>
      <w:r w:rsidR="000B6F54">
        <w:rPr>
          <w:rFonts w:ascii="Cambria" w:hAnsi="Cambria" w:cstheme="minorHAnsi"/>
          <w:sz w:val="22"/>
          <w:szCs w:val="22"/>
        </w:rPr>
        <w:t>, which is a concern as the seed bank is an important mechanism for population persistence through unfavourable conditions</w:t>
      </w:r>
      <w:r w:rsidR="000C1435">
        <w:rPr>
          <w:rFonts w:ascii="Cambria" w:hAnsi="Cambria" w:cstheme="minorHAnsi"/>
          <w:sz w:val="22"/>
          <w:szCs w:val="22"/>
        </w:rPr>
        <w:t xml:space="preserve"> </w:t>
      </w:r>
      <w:r w:rsidR="00D76C97">
        <w:rPr>
          <w:rFonts w:ascii="Cambria" w:hAnsi="Cambria" w:cstheme="minorHAnsi"/>
          <w:sz w:val="22"/>
          <w:szCs w:val="22"/>
        </w:rPr>
        <w:t>(Waycott et al. 2023).</w:t>
      </w:r>
      <w:r w:rsidR="00DF21F2">
        <w:rPr>
          <w:rFonts w:ascii="Cambria" w:hAnsi="Cambria" w:cstheme="minorHAnsi"/>
          <w:sz w:val="22"/>
          <w:szCs w:val="22"/>
        </w:rPr>
        <w:t xml:space="preserve"> </w:t>
      </w:r>
      <w:r w:rsidR="00E66A2C" w:rsidRPr="00E66A2C">
        <w:rPr>
          <w:rFonts w:ascii="Cambria" w:hAnsi="Cambria" w:cstheme="minorHAnsi"/>
          <w:sz w:val="22"/>
          <w:szCs w:val="22"/>
        </w:rPr>
        <w:t xml:space="preserve">Waycott et al (2023) further caution that </w:t>
      </w:r>
      <w:r w:rsidR="00E66A2C" w:rsidRPr="00E66A2C">
        <w:rPr>
          <w:rFonts w:ascii="Cambria" w:hAnsi="Cambria"/>
          <w:sz w:val="22"/>
          <w:szCs w:val="22"/>
        </w:rPr>
        <w:t xml:space="preserve">the inability of the ‘Ruppia Community’ to capitalise on what appears to have been the best growing season (possibly for decades), with extended inundation providing ample time for completion of flowering and seed set </w:t>
      </w:r>
      <w:r w:rsidR="00CE17C0">
        <w:rPr>
          <w:rFonts w:ascii="Cambria" w:hAnsi="Cambria"/>
          <w:sz w:val="22"/>
          <w:szCs w:val="22"/>
        </w:rPr>
        <w:t>under</w:t>
      </w:r>
      <w:r w:rsidR="00E66A2C" w:rsidRPr="00E66A2C">
        <w:rPr>
          <w:rFonts w:ascii="Cambria" w:hAnsi="Cambria"/>
          <w:sz w:val="22"/>
          <w:szCs w:val="22"/>
        </w:rPr>
        <w:t xml:space="preserve"> low salinity stress, raises further concerns about the ability for future recovery after adverse conditions.</w:t>
      </w:r>
    </w:p>
    <w:p w14:paraId="11C42D57" w14:textId="5158515B" w:rsidR="00F535D6" w:rsidRPr="00CE17C0" w:rsidRDefault="00F535D6" w:rsidP="00CB29E4">
      <w:pPr>
        <w:pStyle w:val="twentypointnormal"/>
        <w:spacing w:after="200"/>
        <w:ind w:left="0"/>
        <w:rPr>
          <w:rFonts w:ascii="Cambria" w:hAnsi="Cambria"/>
          <w:sz w:val="22"/>
          <w:szCs w:val="22"/>
        </w:rPr>
      </w:pPr>
      <w:r>
        <w:rPr>
          <w:rFonts w:ascii="Cambria" w:hAnsi="Cambria"/>
          <w:sz w:val="22"/>
          <w:szCs w:val="22"/>
        </w:rPr>
        <w:t xml:space="preserve">Therefore, there have been severe declines in </w:t>
      </w:r>
      <w:r w:rsidRPr="00F535D6">
        <w:rPr>
          <w:rFonts w:ascii="Cambria" w:hAnsi="Cambria"/>
          <w:i/>
          <w:iCs/>
          <w:sz w:val="22"/>
          <w:szCs w:val="22"/>
        </w:rPr>
        <w:t>Ruppia</w:t>
      </w:r>
      <w:r w:rsidRPr="00F535D6">
        <w:rPr>
          <w:rFonts w:ascii="Cambria" w:hAnsi="Cambria"/>
          <w:sz w:val="22"/>
          <w:szCs w:val="22"/>
        </w:rPr>
        <w:t xml:space="preserve"> </w:t>
      </w:r>
      <w:r>
        <w:rPr>
          <w:rFonts w:ascii="Cambria" w:hAnsi="Cambria"/>
          <w:sz w:val="22"/>
          <w:szCs w:val="22"/>
        </w:rPr>
        <w:t xml:space="preserve"> (and the ‘Ruppia Community’) and it is not likely to be possible to restore the loss of the major role that it plays in the ecological community in the immediate future.</w:t>
      </w:r>
    </w:p>
    <w:tbl>
      <w:tblPr>
        <w:tblStyle w:val="TableGrid"/>
        <w:tblW w:w="0" w:type="auto"/>
        <w:tblLook w:val="04A0" w:firstRow="1" w:lastRow="0" w:firstColumn="1" w:lastColumn="0" w:noHBand="0" w:noVBand="1"/>
      </w:tblPr>
      <w:tblGrid>
        <w:gridCol w:w="9060"/>
      </w:tblGrid>
      <w:tr w:rsidR="001A4219" w14:paraId="53620E97" w14:textId="77777777" w:rsidTr="008B01DD">
        <w:tc>
          <w:tcPr>
            <w:tcW w:w="9174" w:type="dxa"/>
            <w:shd w:val="clear" w:color="auto" w:fill="FBE4D5" w:themeFill="accent2" w:themeFillTint="33"/>
          </w:tcPr>
          <w:p w14:paraId="41970836" w14:textId="6E9E5B47" w:rsidR="001A4219" w:rsidRPr="003B51A7" w:rsidRDefault="008B01DD" w:rsidP="008B01DD">
            <w:pPr>
              <w:pStyle w:val="tabletitle"/>
              <w:spacing w:before="0" w:after="0"/>
              <w:ind w:left="0"/>
              <w:rPr>
                <w:i/>
                <w:iCs/>
              </w:rPr>
            </w:pPr>
            <w:r w:rsidRPr="003B51A7">
              <w:rPr>
                <w:i/>
                <w:iCs/>
              </w:rPr>
              <w:t>Question</w:t>
            </w:r>
            <w:r w:rsidR="00F850BE" w:rsidRPr="003B51A7">
              <w:rPr>
                <w:i/>
                <w:iCs/>
              </w:rPr>
              <w:t>/Request</w:t>
            </w:r>
          </w:p>
          <w:p w14:paraId="34B632E9" w14:textId="77777777" w:rsidR="00AE17B6" w:rsidRDefault="00AE17B6" w:rsidP="008B01DD">
            <w:pPr>
              <w:pStyle w:val="tabletitle"/>
              <w:spacing w:before="0" w:after="0"/>
              <w:ind w:left="0"/>
              <w:rPr>
                <w:b w:val="0"/>
                <w:bCs/>
                <w:i/>
                <w:iCs/>
              </w:rPr>
            </w:pPr>
          </w:p>
          <w:p w14:paraId="43024554" w14:textId="54D2B977" w:rsidR="008B01DD" w:rsidRDefault="008B01DD" w:rsidP="008B01DD">
            <w:pPr>
              <w:pStyle w:val="tabletitle"/>
              <w:spacing w:before="0" w:after="0"/>
              <w:ind w:left="0"/>
              <w:rPr>
                <w:b w:val="0"/>
                <w:bCs/>
                <w:i/>
                <w:iCs/>
              </w:rPr>
            </w:pPr>
            <w:r>
              <w:rPr>
                <w:b w:val="0"/>
                <w:bCs/>
                <w:i/>
                <w:iCs/>
              </w:rPr>
              <w:t>Can you provide further information</w:t>
            </w:r>
            <w:r w:rsidR="007D270C">
              <w:rPr>
                <w:b w:val="0"/>
                <w:bCs/>
                <w:i/>
                <w:iCs/>
              </w:rPr>
              <w:t xml:space="preserve"> on Ruppia </w:t>
            </w:r>
            <w:r w:rsidR="00F535D6">
              <w:rPr>
                <w:b w:val="0"/>
                <w:bCs/>
                <w:i/>
                <w:iCs/>
              </w:rPr>
              <w:t xml:space="preserve">and macrophytes </w:t>
            </w:r>
            <w:r w:rsidR="007D270C">
              <w:rPr>
                <w:b w:val="0"/>
                <w:bCs/>
                <w:i/>
                <w:iCs/>
              </w:rPr>
              <w:t xml:space="preserve">in the Coorong, particularly relating to </w:t>
            </w:r>
            <w:r w:rsidR="003B51A7">
              <w:rPr>
                <w:b w:val="0"/>
                <w:bCs/>
                <w:i/>
                <w:iCs/>
              </w:rPr>
              <w:t xml:space="preserve">any </w:t>
            </w:r>
            <w:r w:rsidR="00AE17B6">
              <w:rPr>
                <w:b w:val="0"/>
                <w:bCs/>
                <w:i/>
                <w:iCs/>
              </w:rPr>
              <w:t>most</w:t>
            </w:r>
            <w:r w:rsidR="003B51A7">
              <w:rPr>
                <w:b w:val="0"/>
                <w:bCs/>
                <w:i/>
                <w:iCs/>
              </w:rPr>
              <w:t>-</w:t>
            </w:r>
            <w:r w:rsidR="00AE17B6">
              <w:rPr>
                <w:b w:val="0"/>
                <w:bCs/>
                <w:i/>
                <w:iCs/>
              </w:rPr>
              <w:t>recent monitoring data and taxonomic clarifications</w:t>
            </w:r>
            <w:r w:rsidR="00214024">
              <w:rPr>
                <w:b w:val="0"/>
                <w:bCs/>
                <w:i/>
                <w:iCs/>
              </w:rPr>
              <w:t>, or alleviation of threats</w:t>
            </w:r>
            <w:r w:rsidR="00F850BE">
              <w:rPr>
                <w:b w:val="0"/>
                <w:bCs/>
                <w:i/>
                <w:iCs/>
              </w:rPr>
              <w:t>?</w:t>
            </w:r>
          </w:p>
          <w:p w14:paraId="40212A56" w14:textId="13CCE9D2" w:rsidR="00AE17B6" w:rsidRPr="0074098E" w:rsidRDefault="00AE17B6" w:rsidP="008B01DD">
            <w:pPr>
              <w:pStyle w:val="tabletitle"/>
              <w:spacing w:before="0" w:after="0"/>
              <w:ind w:left="0"/>
              <w:rPr>
                <w:b w:val="0"/>
                <w:bCs/>
                <w:i/>
                <w:iCs/>
              </w:rPr>
            </w:pPr>
          </w:p>
        </w:tc>
      </w:tr>
    </w:tbl>
    <w:p w14:paraId="5273F97E" w14:textId="1407D3AB" w:rsidR="00894E50" w:rsidRPr="005C1237" w:rsidRDefault="00894E50" w:rsidP="005C1237">
      <w:pPr>
        <w:spacing w:after="160" w:line="259" w:lineRule="auto"/>
        <w:rPr>
          <w:rFonts w:ascii="Times New Roman" w:eastAsia="Times New Roman" w:hAnsi="Times New Roman" w:cs="Times New Roman"/>
          <w:b/>
          <w:sz w:val="24"/>
          <w:szCs w:val="24"/>
          <w:lang w:val="en-US" w:eastAsia="en-AU"/>
        </w:rPr>
      </w:pPr>
    </w:p>
    <w:p w14:paraId="20AD5643" w14:textId="77777777" w:rsidR="002915A3" w:rsidRDefault="002915A3">
      <w:pPr>
        <w:spacing w:after="160" w:line="259" w:lineRule="auto"/>
        <w:rPr>
          <w:rFonts w:asciiTheme="minorHAnsi" w:eastAsiaTheme="majorEastAsia" w:hAnsiTheme="minorHAnsi" w:cs="Arial"/>
          <w:b/>
          <w:i/>
          <w:iCs/>
          <w:smallCaps/>
          <w:szCs w:val="24"/>
          <w:lang w:val="en-US"/>
        </w:rPr>
      </w:pPr>
      <w:r>
        <w:br w:type="page"/>
      </w:r>
    </w:p>
    <w:p w14:paraId="2066ACA0" w14:textId="60B87D57" w:rsidR="0027232B" w:rsidRPr="001F374C" w:rsidRDefault="0027232B" w:rsidP="006E2204">
      <w:pPr>
        <w:pStyle w:val="Heading4"/>
      </w:pPr>
      <w:r w:rsidRPr="001F374C">
        <w:lastRenderedPageBreak/>
        <w:t>Keystone apex predator of the river channel - Murray cod</w:t>
      </w:r>
    </w:p>
    <w:tbl>
      <w:tblPr>
        <w:tblStyle w:val="TableGrid"/>
        <w:tblW w:w="0" w:type="auto"/>
        <w:tblLook w:val="04A0" w:firstRow="1" w:lastRow="0" w:firstColumn="1" w:lastColumn="0" w:noHBand="0" w:noVBand="1"/>
      </w:tblPr>
      <w:tblGrid>
        <w:gridCol w:w="9060"/>
      </w:tblGrid>
      <w:tr w:rsidR="0027232B" w14:paraId="1548A825" w14:textId="77777777" w:rsidTr="006B5694">
        <w:tc>
          <w:tcPr>
            <w:tcW w:w="9174" w:type="dxa"/>
            <w:shd w:val="clear" w:color="auto" w:fill="DEEAF6" w:themeFill="accent1" w:themeFillTint="33"/>
          </w:tcPr>
          <w:p w14:paraId="3F5BC6A3" w14:textId="5E9CDA4E" w:rsidR="00763ADA" w:rsidRPr="00763ADA" w:rsidRDefault="00763ADA" w:rsidP="00332CDE">
            <w:pPr>
              <w:spacing w:after="120"/>
              <w:rPr>
                <w:b/>
                <w:iCs/>
              </w:rPr>
            </w:pPr>
            <w:r>
              <w:rPr>
                <w:b/>
                <w:i/>
              </w:rPr>
              <w:t xml:space="preserve">Murray cod </w:t>
            </w:r>
            <w:r w:rsidRPr="00763ADA">
              <w:rPr>
                <w:bCs/>
                <w:i/>
              </w:rPr>
              <w:t>(</w:t>
            </w:r>
            <w:r w:rsidRPr="009369B4">
              <w:rPr>
                <w:i/>
              </w:rPr>
              <w:t>Maccullochella peelii</w:t>
            </w:r>
            <w:r>
              <w:rPr>
                <w:i/>
              </w:rPr>
              <w:t xml:space="preserve">) </w:t>
            </w:r>
            <w:r w:rsidR="00F861DD">
              <w:rPr>
                <w:iCs/>
              </w:rPr>
              <w:t xml:space="preserve">(Nock et al. 2010, syn. </w:t>
            </w:r>
            <w:r w:rsidR="00F861DD" w:rsidRPr="004050B0">
              <w:rPr>
                <w:i/>
              </w:rPr>
              <w:t>M. peelii peelii</w:t>
            </w:r>
            <w:r w:rsidR="00F861DD">
              <w:rPr>
                <w:iCs/>
              </w:rPr>
              <w:t>)</w:t>
            </w:r>
          </w:p>
          <w:p w14:paraId="2A625984" w14:textId="090C7E73" w:rsidR="00332CDE" w:rsidRPr="00EE0FB2" w:rsidRDefault="00332CDE" w:rsidP="00332CDE">
            <w:pPr>
              <w:spacing w:after="120"/>
            </w:pPr>
            <w:r w:rsidRPr="00EE0FB2">
              <w:rPr>
                <w:b/>
                <w:i/>
              </w:rPr>
              <w:t>Key functional role:</w:t>
            </w:r>
            <w:r>
              <w:rPr>
                <w:b/>
                <w:i/>
              </w:rPr>
              <w:t xml:space="preserve">  </w:t>
            </w:r>
            <w:r>
              <w:t>apex predator; foodweb dynamics</w:t>
            </w:r>
          </w:p>
          <w:p w14:paraId="1A10D54D" w14:textId="29E1AF4E" w:rsidR="00332CDE" w:rsidRPr="00EE0FB2" w:rsidRDefault="00332CDE" w:rsidP="00332CDE">
            <w:pPr>
              <w:spacing w:after="120"/>
            </w:pPr>
            <w:r w:rsidRPr="00EE0FB2">
              <w:rPr>
                <w:b/>
                <w:i/>
              </w:rPr>
              <w:t>Key vulnerabilities:</w:t>
            </w:r>
            <w:r>
              <w:t xml:space="preserve">  large</w:t>
            </w:r>
            <w:r w:rsidR="00795E72">
              <w:t xml:space="preserve"> and</w:t>
            </w:r>
            <w:r>
              <w:t xml:space="preserve"> long lived; low fecundity; migrates to spawn; spawning is temperature triggered; larvae </w:t>
            </w:r>
            <w:r w:rsidR="00795E72">
              <w:t xml:space="preserve">have </w:t>
            </w:r>
            <w:r>
              <w:t xml:space="preserve">low salinity tolerance; increased flow aids recruitment; occupies a home range; (see </w:t>
            </w:r>
            <w:r w:rsidRPr="00795E72">
              <w:rPr>
                <w:u w:val="single"/>
              </w:rPr>
              <w:t xml:space="preserve">Table </w:t>
            </w:r>
            <w:r w:rsidR="00250552">
              <w:rPr>
                <w:u w:val="single"/>
              </w:rPr>
              <w:t>17</w:t>
            </w:r>
            <w:r>
              <w:t>).</w:t>
            </w:r>
          </w:p>
          <w:p w14:paraId="12D3B53B" w14:textId="7AF06257" w:rsidR="00332CDE" w:rsidRPr="007E28A6" w:rsidRDefault="00332CDE" w:rsidP="00332CDE">
            <w:pPr>
              <w:spacing w:after="120"/>
            </w:pPr>
            <w:r>
              <w:rPr>
                <w:b/>
                <w:i/>
              </w:rPr>
              <w:t>Key impacts</w:t>
            </w:r>
            <w:r w:rsidR="009D238B">
              <w:rPr>
                <w:b/>
                <w:i/>
              </w:rPr>
              <w:t xml:space="preserve"> on species</w:t>
            </w:r>
            <w:r>
              <w:rPr>
                <w:b/>
                <w:i/>
              </w:rPr>
              <w:t xml:space="preserve">:  </w:t>
            </w:r>
            <w:r>
              <w:t>long-term recruitment failure; fragmented population structure; decline in abundance and range</w:t>
            </w:r>
          </w:p>
          <w:p w14:paraId="5EDC4C22" w14:textId="3D9285C1" w:rsidR="00332CDE" w:rsidRDefault="00332CDE" w:rsidP="00332CDE">
            <w:pPr>
              <w:spacing w:after="120"/>
            </w:pPr>
            <w:r>
              <w:rPr>
                <w:b/>
                <w:i/>
              </w:rPr>
              <w:t xml:space="preserve">Likely causes:  </w:t>
            </w:r>
            <w:r>
              <w:t>decreased flow volume and frequency of moderate flows; loss of lotic habitats; instream barriers; increasing sedimentation;</w:t>
            </w:r>
            <w:r w:rsidR="00F36A91">
              <w:t xml:space="preserve"> dietary competition from alien carp larvae</w:t>
            </w:r>
            <w:r w:rsidR="00D872CE">
              <w:t>;</w:t>
            </w:r>
            <w:r w:rsidR="00106ACC">
              <w:t xml:space="preserve"> </w:t>
            </w:r>
            <w:r w:rsidR="00F36A91">
              <w:t xml:space="preserve">predation on larvae by alien carp; </w:t>
            </w:r>
            <w:r w:rsidR="00106ACC">
              <w:t xml:space="preserve">potential loss of egg mats to </w:t>
            </w:r>
            <w:r w:rsidR="00CC46B7">
              <w:t>pathogen</w:t>
            </w:r>
          </w:p>
          <w:p w14:paraId="00D1213D" w14:textId="77777777" w:rsidR="009D238B" w:rsidRPr="006B356D" w:rsidRDefault="00332CDE" w:rsidP="009D238B">
            <w:pPr>
              <w:spacing w:after="120"/>
            </w:pPr>
            <w:r w:rsidRPr="00C76967">
              <w:rPr>
                <w:b/>
                <w:i/>
              </w:rPr>
              <w:t>Key impacts on EC:</w:t>
            </w:r>
            <w:r>
              <w:t xml:space="preserve"> trophic cascades in food web; opening up recourses to non-native species</w:t>
            </w:r>
            <w:r w:rsidR="00070736">
              <w:t xml:space="preserve">; </w:t>
            </w:r>
            <w:r w:rsidR="009D238B">
              <w:t>climate change impacts exacerbated (e.g. heat, drying, flood impacts)</w:t>
            </w:r>
          </w:p>
          <w:p w14:paraId="44619AEE" w14:textId="71F4E0EC" w:rsidR="00332CDE" w:rsidRPr="007E28A6" w:rsidRDefault="00332CDE" w:rsidP="00332CDE">
            <w:pPr>
              <w:spacing w:after="120"/>
            </w:pPr>
          </w:p>
          <w:p w14:paraId="524AA92B" w14:textId="2FE56CA1" w:rsidR="0027232B" w:rsidRDefault="00332CDE" w:rsidP="00332CDE">
            <w:r w:rsidRPr="001F374C">
              <w:rPr>
                <w:b/>
                <w:i/>
              </w:rPr>
              <w:t>Indicative conservation status within the EC:</w:t>
            </w:r>
            <w:r>
              <w:t xml:space="preserve">  </w:t>
            </w:r>
            <w:r w:rsidRPr="006B5694">
              <w:t>Critically endangered</w:t>
            </w:r>
          </w:p>
        </w:tc>
      </w:tr>
    </w:tbl>
    <w:p w14:paraId="01AF0AF3" w14:textId="77777777" w:rsidR="0055008F" w:rsidRDefault="0055008F" w:rsidP="00960364"/>
    <w:p w14:paraId="088577F5" w14:textId="3459BBEB" w:rsidR="006D4153" w:rsidRPr="006D4153" w:rsidRDefault="006D4153" w:rsidP="00A2521C">
      <w:pPr>
        <w:pStyle w:val="Heading5"/>
      </w:pPr>
      <w:r w:rsidRPr="006D4153">
        <w:t>Apex predator</w:t>
      </w:r>
    </w:p>
    <w:p w14:paraId="441E2A24" w14:textId="60AA27B6" w:rsidR="00D959BB" w:rsidRDefault="00960364" w:rsidP="00DF6349">
      <w:pPr>
        <w:rPr>
          <w:u w:val="single"/>
        </w:rPr>
      </w:pPr>
      <w:r>
        <w:t xml:space="preserve">Murray cod, </w:t>
      </w:r>
      <w:r w:rsidRPr="009369B4">
        <w:rPr>
          <w:i/>
        </w:rPr>
        <w:t>Maccullochella peelii</w:t>
      </w:r>
      <w:r w:rsidR="00FC47C8">
        <w:t xml:space="preserve"> </w:t>
      </w:r>
      <w:r>
        <w:t xml:space="preserve">is the apex </w:t>
      </w:r>
      <w:r w:rsidR="00CD7C77">
        <w:t>(top</w:t>
      </w:r>
      <w:r w:rsidR="003576FD">
        <w:t xml:space="preserve"> trophic level</w:t>
      </w:r>
      <w:r w:rsidR="00795E72">
        <w:t xml:space="preserve">) </w:t>
      </w:r>
      <w:r>
        <w:t>aquatic predator</w:t>
      </w:r>
      <w:r w:rsidR="003576FD">
        <w:t xml:space="preserve"> </w:t>
      </w:r>
      <w:r>
        <w:t xml:space="preserve">of the ecological community, and in the entire Murray-Darling Basin (Kearney </w:t>
      </w:r>
      <w:r w:rsidR="00795E72">
        <w:t xml:space="preserve">&amp; </w:t>
      </w:r>
      <w:r>
        <w:t>Kildea 2001</w:t>
      </w:r>
      <w:r w:rsidR="00895D39">
        <w:t>; Ebner 2006</w:t>
      </w:r>
      <w:r>
        <w:t>). It is a keystone species, significant for its effects on food-web structure and prey populations, as predators initiate 'top-down' forces and trophic cascades (</w:t>
      </w:r>
      <w:r w:rsidR="00C91C4A">
        <w:t xml:space="preserve">Rowland 1989, 2005; </w:t>
      </w:r>
      <w:r>
        <w:t>Estes et al. 2001</w:t>
      </w:r>
      <w:r w:rsidR="00895D39">
        <w:t>; Ebner 2006</w:t>
      </w:r>
      <w:r>
        <w:t xml:space="preserve">). </w:t>
      </w:r>
      <w:r w:rsidR="00795E72">
        <w:t xml:space="preserve">A trophic cascade occurs when a predator suppresses the abundance of its prey, releasing the next lower trophic level from predation. </w:t>
      </w:r>
      <w:r>
        <w:t xml:space="preserve">The loss of apex predators in aquatic </w:t>
      </w:r>
    </w:p>
    <w:p w14:paraId="63AA09CF" w14:textId="73C7C695" w:rsidR="00C61323" w:rsidRDefault="00DF6349" w:rsidP="00C61323">
      <w:r>
        <w:t xml:space="preserve">systems can result in the proliferation of smaller predators/omnivores that may reduce or eliminate other smaller species and lead to a dysfunctional ecosystem (Estes et al. 2001). Apex predators are more vulnerable to local extinctions than are lower trophic-level species, thus conservation strategies should be implemented to preserve the apex predator (Estes et al. 2001). </w:t>
      </w:r>
      <w:r w:rsidR="00C61323">
        <w:t xml:space="preserve">Kearney &amp; Kildea (2001) </w:t>
      </w:r>
      <w:r w:rsidR="009D2B41">
        <w:t>suggest the</w:t>
      </w:r>
      <w:r w:rsidR="00C61323">
        <w:t xml:space="preserve"> Murray cod could be the single best aquatic indicator species of ecosystem integrity for the Murray-Darling Basin. Its complex life history and the different requirements of eggs, larvae, juveniles, and adults, necessitate integration of heterogenous habitat availability and condition, and water quantity and quality.</w:t>
      </w:r>
    </w:p>
    <w:p w14:paraId="0D473726" w14:textId="77777777" w:rsidR="00C61323" w:rsidRPr="00D266AB" w:rsidRDefault="00C61323" w:rsidP="00A2521C">
      <w:pPr>
        <w:pStyle w:val="Heading5"/>
      </w:pPr>
      <w:r w:rsidRPr="00D266AB">
        <w:t>Histor</w:t>
      </w:r>
      <w:r>
        <w:t xml:space="preserve">ical </w:t>
      </w:r>
      <w:r w:rsidRPr="00D266AB">
        <w:t>decline</w:t>
      </w:r>
      <w:r>
        <w:t xml:space="preserve"> and fishing</w:t>
      </w:r>
    </w:p>
    <w:p w14:paraId="109D689F" w14:textId="39C8571C" w:rsidR="00856010" w:rsidRDefault="00C61323" w:rsidP="00C61323">
      <w:pPr>
        <w:sectPr w:rsidR="00856010" w:rsidSect="00E65E48">
          <w:pgSz w:w="11906" w:h="16838"/>
          <w:pgMar w:top="1134" w:right="1418" w:bottom="1134" w:left="1418" w:header="454" w:footer="454" w:gutter="0"/>
          <w:cols w:space="708"/>
          <w:docGrid w:linePitch="360"/>
        </w:sectPr>
      </w:pPr>
      <w:r>
        <w:t xml:space="preserve">Throughout the Murray-Darling Basin, and the ecological community in particular, the distribution and abundance of Murray cod has declined since European settlement. This is attributed to flow regulation, habitat loss (including instream woody debris) and degradation (including sedimentation), barriers to fish passage, cold-water releases, lowered water quality, alien species (including stocked), and commercial and recreational fishing (Allen et al. 2005; MDBC 2005; NMCRT 2010; Rowland, 2005; Zampatti et al. 2011a).  Within the ecological community, fragmentation of the river by sequential weirs, alteration to hydraulics and loss of lotic habitats are considered primary threats to the persistence of Murray cod populations (Zampatti et al. 2014; Mallen-Cooper &amp; Zampatti 2018, 2020). In 2003, Murray cod was listed as a vulnerable under the </w:t>
      </w:r>
      <w:r w:rsidRPr="006C3D78">
        <w:t>EPBC Act</w:t>
      </w:r>
      <w:r>
        <w:t>; a recovery plan was released in 2010 (NMCRT 2010)</w:t>
      </w:r>
    </w:p>
    <w:p w14:paraId="51E11639" w14:textId="74D612AE" w:rsidR="009D2B41" w:rsidRPr="00415276" w:rsidRDefault="00C41473" w:rsidP="00415276">
      <w:pPr>
        <w:spacing w:after="160" w:line="259" w:lineRule="auto"/>
        <w:contextualSpacing/>
        <w:rPr>
          <w:b/>
          <w:bCs/>
          <w:sz w:val="21"/>
          <w:szCs w:val="21"/>
        </w:rPr>
      </w:pPr>
      <w:bookmarkStart w:id="267" w:name="_Toc232747212"/>
      <w:bookmarkStart w:id="268" w:name="_Toc232747288"/>
      <w:bookmarkStart w:id="269" w:name="_Toc232747531"/>
      <w:r w:rsidRPr="00415276">
        <w:rPr>
          <w:b/>
          <w:bCs/>
          <w:sz w:val="21"/>
          <w:szCs w:val="21"/>
        </w:rPr>
        <w:lastRenderedPageBreak/>
        <w:t xml:space="preserve">Table </w:t>
      </w:r>
      <w:r w:rsidRPr="00415276">
        <w:rPr>
          <w:b/>
          <w:bCs/>
          <w:sz w:val="21"/>
          <w:szCs w:val="21"/>
        </w:rPr>
        <w:fldChar w:fldCharType="begin"/>
      </w:r>
      <w:r w:rsidRPr="00415276">
        <w:rPr>
          <w:b/>
          <w:bCs/>
          <w:sz w:val="21"/>
          <w:szCs w:val="21"/>
        </w:rPr>
        <w:instrText xml:space="preserve"> SEQ Table \* ARABIC </w:instrText>
      </w:r>
      <w:r w:rsidRPr="00415276">
        <w:rPr>
          <w:b/>
          <w:bCs/>
          <w:sz w:val="21"/>
          <w:szCs w:val="21"/>
        </w:rPr>
        <w:fldChar w:fldCharType="separate"/>
      </w:r>
      <w:r w:rsidR="006D35C5">
        <w:rPr>
          <w:b/>
          <w:bCs/>
          <w:noProof/>
          <w:sz w:val="21"/>
          <w:szCs w:val="21"/>
        </w:rPr>
        <w:t>29</w:t>
      </w:r>
      <w:r w:rsidRPr="00415276">
        <w:rPr>
          <w:b/>
          <w:bCs/>
          <w:sz w:val="21"/>
          <w:szCs w:val="21"/>
        </w:rPr>
        <w:fldChar w:fldCharType="end"/>
      </w:r>
      <w:r w:rsidR="009D2B41" w:rsidRPr="00415276">
        <w:rPr>
          <w:b/>
          <w:bCs/>
          <w:sz w:val="21"/>
          <w:szCs w:val="21"/>
        </w:rPr>
        <w:t>:</w:t>
      </w:r>
      <w:r w:rsidR="009D2B41" w:rsidRPr="00415276">
        <w:rPr>
          <w:rFonts w:cs="Arial"/>
          <w:b/>
          <w:bCs/>
          <w:sz w:val="21"/>
          <w:szCs w:val="21"/>
        </w:rPr>
        <w:t xml:space="preserve"> </w:t>
      </w:r>
      <w:r w:rsidR="009D2B41" w:rsidRPr="00415276">
        <w:rPr>
          <w:b/>
          <w:bCs/>
          <w:sz w:val="21"/>
          <w:szCs w:val="21"/>
        </w:rPr>
        <w:t>History of Murray Cod in the Lower River Murray which equates to most of the region of the RMDS EC and the entire reach of the South Australian component of the MDB.</w:t>
      </w:r>
      <w:bookmarkEnd w:id="267"/>
      <w:bookmarkEnd w:id="268"/>
      <w:bookmarkEnd w:id="269"/>
    </w:p>
    <w:tbl>
      <w:tblPr>
        <w:tblW w:w="564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523"/>
        <w:gridCol w:w="2549"/>
      </w:tblGrid>
      <w:tr w:rsidR="006921FB" w:rsidRPr="00EF65AA" w14:paraId="6A30445A" w14:textId="77777777" w:rsidTr="000E3F24">
        <w:tc>
          <w:tcPr>
            <w:tcW w:w="676" w:type="pct"/>
            <w:shd w:val="clear" w:color="auto" w:fill="D9D9D9" w:themeFill="background1" w:themeFillShade="D9"/>
          </w:tcPr>
          <w:p w14:paraId="431E610C" w14:textId="77777777" w:rsidR="009D2B41" w:rsidRPr="00EF65AA" w:rsidRDefault="009D2B41" w:rsidP="00CD5901">
            <w:pPr>
              <w:pStyle w:val="tableheadertext"/>
            </w:pPr>
            <w:r w:rsidRPr="00EF65AA">
              <w:t>Date</w:t>
            </w:r>
          </w:p>
        </w:tc>
        <w:tc>
          <w:tcPr>
            <w:tcW w:w="3109" w:type="pct"/>
            <w:shd w:val="clear" w:color="auto" w:fill="D9D9D9" w:themeFill="background1" w:themeFillShade="D9"/>
          </w:tcPr>
          <w:p w14:paraId="7F7DE91D" w14:textId="77777777" w:rsidR="009D2B41" w:rsidRPr="00EF65AA" w:rsidRDefault="009D2B41" w:rsidP="00CD5901">
            <w:pPr>
              <w:pStyle w:val="tableheadertext"/>
            </w:pPr>
            <w:r w:rsidRPr="00EF65AA">
              <w:t xml:space="preserve">History of Murray Cod in Lower River Murray (mainly) </w:t>
            </w:r>
          </w:p>
        </w:tc>
        <w:tc>
          <w:tcPr>
            <w:tcW w:w="1215" w:type="pct"/>
            <w:shd w:val="clear" w:color="auto" w:fill="D9D9D9" w:themeFill="background1" w:themeFillShade="D9"/>
          </w:tcPr>
          <w:p w14:paraId="1C6502FC" w14:textId="77777777" w:rsidR="009D2B41" w:rsidRPr="00EF65AA" w:rsidRDefault="009D2B41" w:rsidP="00CD5901">
            <w:pPr>
              <w:pStyle w:val="tableheadertext"/>
            </w:pPr>
            <w:r w:rsidRPr="00EF65AA">
              <w:t>References</w:t>
            </w:r>
          </w:p>
        </w:tc>
      </w:tr>
      <w:tr w:rsidR="006921FB" w:rsidRPr="00EF65AA" w14:paraId="7D6459AE" w14:textId="77777777" w:rsidTr="000E3F24">
        <w:tc>
          <w:tcPr>
            <w:tcW w:w="676" w:type="pct"/>
          </w:tcPr>
          <w:p w14:paraId="58BB237C" w14:textId="77777777" w:rsidR="009D2B41" w:rsidRPr="00CF55ED" w:rsidRDefault="009D2B41" w:rsidP="00293454">
            <w:pPr>
              <w:spacing w:after="0"/>
              <w:ind w:firstLine="34"/>
              <w:rPr>
                <w:sz w:val="20"/>
                <w:szCs w:val="20"/>
              </w:rPr>
            </w:pPr>
            <w:r w:rsidRPr="00CF55ED">
              <w:rPr>
                <w:sz w:val="20"/>
                <w:szCs w:val="20"/>
              </w:rPr>
              <w:t>1829-1830</w:t>
            </w:r>
          </w:p>
        </w:tc>
        <w:tc>
          <w:tcPr>
            <w:tcW w:w="3109" w:type="pct"/>
          </w:tcPr>
          <w:p w14:paraId="1E4D3061" w14:textId="77777777" w:rsidR="009D2B41" w:rsidRPr="00EF65AA" w:rsidRDefault="009D2B41" w:rsidP="00293454">
            <w:pPr>
              <w:pStyle w:val="ListParagraph"/>
              <w:numPr>
                <w:ilvl w:val="0"/>
                <w:numId w:val="61"/>
              </w:numPr>
              <w:tabs>
                <w:tab w:val="clear" w:pos="360"/>
                <w:tab w:val="num" w:pos="34"/>
              </w:tabs>
              <w:spacing w:after="0" w:line="240" w:lineRule="auto"/>
              <w:ind w:left="318" w:hanging="318"/>
              <w:contextualSpacing w:val="0"/>
              <w:rPr>
                <w:sz w:val="20"/>
                <w:szCs w:val="20"/>
              </w:rPr>
            </w:pPr>
            <w:r w:rsidRPr="00EF65AA">
              <w:rPr>
                <w:sz w:val="20"/>
                <w:szCs w:val="20"/>
              </w:rPr>
              <w:t>abundant native fish recorded, with Murray cod, silver perch and catfish the most common large-bodied fish</w:t>
            </w:r>
          </w:p>
          <w:p w14:paraId="1245B509" w14:textId="77777777" w:rsidR="009D2B41" w:rsidRPr="00EF65AA" w:rsidRDefault="009D2B41" w:rsidP="00293454">
            <w:pPr>
              <w:pStyle w:val="ListParagraph"/>
              <w:numPr>
                <w:ilvl w:val="0"/>
                <w:numId w:val="61"/>
              </w:numPr>
              <w:tabs>
                <w:tab w:val="clear" w:pos="360"/>
                <w:tab w:val="num" w:pos="34"/>
              </w:tabs>
              <w:spacing w:after="0" w:line="240" w:lineRule="auto"/>
              <w:ind w:left="318" w:hanging="318"/>
              <w:contextualSpacing w:val="0"/>
              <w:rPr>
                <w:sz w:val="20"/>
                <w:szCs w:val="20"/>
              </w:rPr>
            </w:pPr>
            <w:r w:rsidRPr="00EF65AA">
              <w:rPr>
                <w:sz w:val="20"/>
                <w:szCs w:val="20"/>
              </w:rPr>
              <w:t>Murray cod originally very abundant throughout their range, including Lower Murray and Lake Alexandrina in 1800s</w:t>
            </w:r>
          </w:p>
        </w:tc>
        <w:tc>
          <w:tcPr>
            <w:tcW w:w="1215" w:type="pct"/>
          </w:tcPr>
          <w:p w14:paraId="173ECBCD" w14:textId="77777777" w:rsidR="009D2B41" w:rsidRPr="00EF65AA" w:rsidRDefault="009D2B41" w:rsidP="00293454">
            <w:pPr>
              <w:pStyle w:val="Tabletext"/>
              <w:rPr>
                <w:sz w:val="20"/>
                <w:szCs w:val="20"/>
              </w:rPr>
            </w:pPr>
            <w:r w:rsidRPr="00EF65AA">
              <w:rPr>
                <w:sz w:val="20"/>
                <w:szCs w:val="20"/>
              </w:rPr>
              <w:t>Sturt 1833; Rowland 1989, 2005; Sim &amp; Muller 2004;</w:t>
            </w:r>
          </w:p>
          <w:p w14:paraId="5F1D2D6B" w14:textId="77777777" w:rsidR="009D2B41" w:rsidRPr="00EF65AA" w:rsidRDefault="009D2B41" w:rsidP="00293454">
            <w:pPr>
              <w:pStyle w:val="Tabletext"/>
              <w:rPr>
                <w:sz w:val="20"/>
                <w:szCs w:val="20"/>
              </w:rPr>
            </w:pPr>
            <w:r w:rsidRPr="00EF65AA">
              <w:rPr>
                <w:sz w:val="20"/>
                <w:szCs w:val="20"/>
              </w:rPr>
              <w:t>Blandowski 1856 in Humphries 2009</w:t>
            </w:r>
          </w:p>
        </w:tc>
      </w:tr>
      <w:tr w:rsidR="006921FB" w:rsidRPr="00EF65AA" w14:paraId="6CCC9FA9" w14:textId="77777777" w:rsidTr="000E3F24">
        <w:tc>
          <w:tcPr>
            <w:tcW w:w="676" w:type="pct"/>
          </w:tcPr>
          <w:p w14:paraId="0DD15310" w14:textId="77777777" w:rsidR="009D2B41" w:rsidRPr="00CF55ED" w:rsidRDefault="009D2B41" w:rsidP="00293454">
            <w:pPr>
              <w:spacing w:after="0"/>
              <w:ind w:firstLine="34"/>
              <w:rPr>
                <w:sz w:val="20"/>
                <w:szCs w:val="20"/>
              </w:rPr>
            </w:pPr>
            <w:r w:rsidRPr="00CF55ED">
              <w:rPr>
                <w:sz w:val="20"/>
                <w:szCs w:val="20"/>
              </w:rPr>
              <w:t>1841-1844</w:t>
            </w:r>
          </w:p>
        </w:tc>
        <w:tc>
          <w:tcPr>
            <w:tcW w:w="3109" w:type="pct"/>
          </w:tcPr>
          <w:p w14:paraId="326C4130" w14:textId="78FF6668"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abundant large Murray cod and abundant large Murray crayfish; very high</w:t>
            </w:r>
            <w:r w:rsidR="005637E5">
              <w:rPr>
                <w:sz w:val="20"/>
                <w:szCs w:val="20"/>
              </w:rPr>
              <w:t>-</w:t>
            </w:r>
            <w:r w:rsidRPr="00EF65AA">
              <w:rPr>
                <w:sz w:val="20"/>
                <w:szCs w:val="20"/>
              </w:rPr>
              <w:t>water clarity and abundant submergent macrophytes; Indigenous spear fishing reported (including at night by fire light)</w:t>
            </w:r>
          </w:p>
        </w:tc>
        <w:tc>
          <w:tcPr>
            <w:tcW w:w="1215" w:type="pct"/>
          </w:tcPr>
          <w:p w14:paraId="7E0DA700" w14:textId="77777777" w:rsidR="009D2B41" w:rsidRPr="00EF65AA" w:rsidRDefault="009D2B41" w:rsidP="00293454">
            <w:pPr>
              <w:pStyle w:val="Tabletext"/>
              <w:rPr>
                <w:sz w:val="20"/>
                <w:szCs w:val="20"/>
              </w:rPr>
            </w:pPr>
            <w:r w:rsidRPr="00EF65AA">
              <w:rPr>
                <w:sz w:val="20"/>
                <w:szCs w:val="20"/>
              </w:rPr>
              <w:t>Edward Eyre 1845</w:t>
            </w:r>
          </w:p>
        </w:tc>
      </w:tr>
      <w:tr w:rsidR="006921FB" w:rsidRPr="00EF65AA" w14:paraId="219F36E3" w14:textId="77777777" w:rsidTr="000E3F24">
        <w:tc>
          <w:tcPr>
            <w:tcW w:w="676" w:type="pct"/>
          </w:tcPr>
          <w:p w14:paraId="01160F8F" w14:textId="77777777" w:rsidR="009D2B41" w:rsidRPr="00CF55ED" w:rsidRDefault="009D2B41" w:rsidP="00293454">
            <w:pPr>
              <w:spacing w:after="0"/>
              <w:ind w:firstLine="34"/>
              <w:rPr>
                <w:sz w:val="20"/>
                <w:szCs w:val="20"/>
              </w:rPr>
            </w:pPr>
            <w:r w:rsidRPr="00CF55ED">
              <w:rPr>
                <w:sz w:val="20"/>
                <w:szCs w:val="20"/>
              </w:rPr>
              <w:t>1856-1857</w:t>
            </w:r>
          </w:p>
        </w:tc>
        <w:tc>
          <w:tcPr>
            <w:tcW w:w="3109" w:type="pct"/>
          </w:tcPr>
          <w:p w14:paraId="465F897C"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Wilhelm Blandowski expedition provided best early records of native fish in Lower Murray-Darling, Murray cod present (Table F7)</w:t>
            </w:r>
          </w:p>
        </w:tc>
        <w:tc>
          <w:tcPr>
            <w:tcW w:w="1215" w:type="pct"/>
          </w:tcPr>
          <w:p w14:paraId="5A2A3E27" w14:textId="77777777" w:rsidR="009D2B41" w:rsidRPr="00EF65AA" w:rsidRDefault="009D2B41" w:rsidP="00293454">
            <w:pPr>
              <w:pStyle w:val="Tabletext"/>
              <w:rPr>
                <w:sz w:val="20"/>
                <w:szCs w:val="20"/>
              </w:rPr>
            </w:pPr>
            <w:r w:rsidRPr="00EF65AA">
              <w:rPr>
                <w:sz w:val="20"/>
                <w:szCs w:val="20"/>
              </w:rPr>
              <w:t>Humphries 2009</w:t>
            </w:r>
          </w:p>
        </w:tc>
      </w:tr>
      <w:tr w:rsidR="006921FB" w:rsidRPr="00EF65AA" w14:paraId="70B2F789" w14:textId="77777777" w:rsidTr="000E3F24">
        <w:tc>
          <w:tcPr>
            <w:tcW w:w="676" w:type="pct"/>
          </w:tcPr>
          <w:p w14:paraId="74095856" w14:textId="77777777" w:rsidR="009D2B41" w:rsidRPr="00CF55ED" w:rsidRDefault="009D2B41" w:rsidP="00293454">
            <w:pPr>
              <w:spacing w:after="0"/>
              <w:ind w:firstLine="34"/>
              <w:rPr>
                <w:sz w:val="20"/>
                <w:szCs w:val="20"/>
              </w:rPr>
            </w:pPr>
            <w:r w:rsidRPr="00CF55ED">
              <w:rPr>
                <w:sz w:val="20"/>
                <w:szCs w:val="20"/>
              </w:rPr>
              <w:t>1902</w:t>
            </w:r>
          </w:p>
        </w:tc>
        <w:tc>
          <w:tcPr>
            <w:tcW w:w="3109" w:type="pct"/>
          </w:tcPr>
          <w:p w14:paraId="258ECC16"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heaviest fish recorded, 113.6 kg (from Barwon River, upstream of ecological community; estimated at 76–114 years old)</w:t>
            </w:r>
          </w:p>
        </w:tc>
        <w:tc>
          <w:tcPr>
            <w:tcW w:w="1215" w:type="pct"/>
          </w:tcPr>
          <w:p w14:paraId="723830BF" w14:textId="77777777" w:rsidR="009D2B41" w:rsidRPr="00EF65AA" w:rsidRDefault="009D2B41" w:rsidP="00293454">
            <w:pPr>
              <w:pStyle w:val="Tabletext"/>
              <w:rPr>
                <w:sz w:val="20"/>
                <w:szCs w:val="20"/>
              </w:rPr>
            </w:pPr>
            <w:r w:rsidRPr="00EF65AA">
              <w:rPr>
                <w:sz w:val="20"/>
                <w:szCs w:val="20"/>
              </w:rPr>
              <w:t>Rowland 1989, 2004</w:t>
            </w:r>
          </w:p>
        </w:tc>
      </w:tr>
      <w:tr w:rsidR="006921FB" w:rsidRPr="00EF65AA" w14:paraId="395AC6D3" w14:textId="77777777" w:rsidTr="000E3F24">
        <w:tc>
          <w:tcPr>
            <w:tcW w:w="676" w:type="pct"/>
          </w:tcPr>
          <w:p w14:paraId="1CCF2F31" w14:textId="77777777" w:rsidR="009D2B41" w:rsidRPr="00CF55ED" w:rsidRDefault="009D2B41" w:rsidP="00293454">
            <w:pPr>
              <w:spacing w:after="0"/>
              <w:ind w:firstLine="34"/>
              <w:rPr>
                <w:sz w:val="20"/>
                <w:szCs w:val="20"/>
              </w:rPr>
            </w:pPr>
            <w:r w:rsidRPr="00CF55ED">
              <w:rPr>
                <w:sz w:val="20"/>
                <w:szCs w:val="20"/>
              </w:rPr>
              <w:t>1903</w:t>
            </w:r>
          </w:p>
        </w:tc>
        <w:tc>
          <w:tcPr>
            <w:tcW w:w="3109" w:type="pct"/>
          </w:tcPr>
          <w:p w14:paraId="53523E58" w14:textId="78797438"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Samuel McIntosh, Chief Assistant, Director of SA Fisheries, reported (since 1891) profound depletion by 1900 of fish (Murray cod, golden perch, silver perch) in SA Murray - none caught above Overland Cnr</w:t>
            </w:r>
            <w:r w:rsidR="00CF55ED">
              <w:rPr>
                <w:sz w:val="20"/>
                <w:szCs w:val="20"/>
              </w:rPr>
              <w:t>.</w:t>
            </w:r>
          </w:p>
        </w:tc>
        <w:tc>
          <w:tcPr>
            <w:tcW w:w="1215" w:type="pct"/>
          </w:tcPr>
          <w:p w14:paraId="152EA41E" w14:textId="77777777" w:rsidR="009D2B41" w:rsidRPr="00EF65AA" w:rsidRDefault="009D2B41" w:rsidP="00293454">
            <w:pPr>
              <w:pStyle w:val="Tabletext"/>
              <w:rPr>
                <w:sz w:val="20"/>
                <w:szCs w:val="20"/>
              </w:rPr>
            </w:pPr>
            <w:r w:rsidRPr="00EF65AA">
              <w:rPr>
                <w:sz w:val="20"/>
                <w:szCs w:val="20"/>
              </w:rPr>
              <w:t>NSW Fisheries Department 1903</w:t>
            </w:r>
          </w:p>
        </w:tc>
      </w:tr>
      <w:tr w:rsidR="006921FB" w:rsidRPr="00EF65AA" w14:paraId="07B9AD66" w14:textId="77777777" w:rsidTr="000E3F24">
        <w:tc>
          <w:tcPr>
            <w:tcW w:w="676" w:type="pct"/>
            <w:shd w:val="clear" w:color="auto" w:fill="D9D9D9"/>
          </w:tcPr>
          <w:p w14:paraId="6A8A61C5" w14:textId="77777777" w:rsidR="009D2B41" w:rsidRPr="00CF55ED" w:rsidRDefault="009D2B41" w:rsidP="00293454">
            <w:pPr>
              <w:spacing w:after="0"/>
              <w:ind w:firstLine="34"/>
              <w:rPr>
                <w:sz w:val="20"/>
                <w:szCs w:val="20"/>
              </w:rPr>
            </w:pPr>
            <w:r w:rsidRPr="00CF55ED">
              <w:rPr>
                <w:sz w:val="20"/>
                <w:szCs w:val="20"/>
              </w:rPr>
              <w:t>1922 -1935</w:t>
            </w:r>
          </w:p>
        </w:tc>
        <w:tc>
          <w:tcPr>
            <w:tcW w:w="3109" w:type="pct"/>
            <w:shd w:val="clear" w:color="auto" w:fill="D9D9D9"/>
          </w:tcPr>
          <w:p w14:paraId="59D5A997"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regulation: Lock 1 to Lock 10 built (but not in sequence)</w:t>
            </w:r>
          </w:p>
          <w:p w14:paraId="74D7FCB0"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102 kg fish taken from EC (</w:t>
            </w:r>
            <w:r w:rsidRPr="00EF65AA">
              <w:rPr>
                <w:i/>
                <w:sz w:val="20"/>
                <w:szCs w:val="20"/>
              </w:rPr>
              <w:t>Adelaide Advertiser</w:t>
            </w:r>
            <w:r w:rsidRPr="00EF65AA">
              <w:rPr>
                <w:sz w:val="20"/>
                <w:szCs w:val="20"/>
              </w:rPr>
              <w:t xml:space="preserve">, 13/12/1935, p. 30) </w:t>
            </w:r>
          </w:p>
        </w:tc>
        <w:tc>
          <w:tcPr>
            <w:tcW w:w="1215" w:type="pct"/>
            <w:shd w:val="clear" w:color="auto" w:fill="D9D9D9"/>
          </w:tcPr>
          <w:p w14:paraId="1D05EF4A" w14:textId="77777777" w:rsidR="009D2B41" w:rsidRPr="00EF65AA" w:rsidRDefault="009D2B41" w:rsidP="00293454">
            <w:pPr>
              <w:pStyle w:val="Tabletext"/>
              <w:rPr>
                <w:sz w:val="20"/>
                <w:szCs w:val="20"/>
              </w:rPr>
            </w:pPr>
            <w:r w:rsidRPr="00EF65AA">
              <w:rPr>
                <w:sz w:val="20"/>
                <w:szCs w:val="20"/>
              </w:rPr>
              <w:t>Sim and Muller 2004</w:t>
            </w:r>
          </w:p>
        </w:tc>
      </w:tr>
      <w:tr w:rsidR="006921FB" w:rsidRPr="00EF65AA" w14:paraId="2124B3A5" w14:textId="77777777" w:rsidTr="000E3F24">
        <w:tc>
          <w:tcPr>
            <w:tcW w:w="676" w:type="pct"/>
            <w:shd w:val="clear" w:color="auto" w:fill="D9D9D9"/>
          </w:tcPr>
          <w:p w14:paraId="793DC86A" w14:textId="77777777" w:rsidR="009D2B41" w:rsidRPr="00CF55ED" w:rsidRDefault="009D2B41" w:rsidP="00293454">
            <w:pPr>
              <w:spacing w:after="0"/>
              <w:ind w:firstLine="34"/>
              <w:rPr>
                <w:sz w:val="20"/>
                <w:szCs w:val="20"/>
              </w:rPr>
            </w:pPr>
            <w:r w:rsidRPr="00CF55ED">
              <w:rPr>
                <w:sz w:val="20"/>
                <w:szCs w:val="20"/>
              </w:rPr>
              <w:t>1934 -1940</w:t>
            </w:r>
          </w:p>
        </w:tc>
        <w:tc>
          <w:tcPr>
            <w:tcW w:w="3109" w:type="pct"/>
            <w:shd w:val="clear" w:color="auto" w:fill="D9D9D9"/>
          </w:tcPr>
          <w:p w14:paraId="523E8AB6"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regulation: Five barrages at Murray Mouth built</w:t>
            </w:r>
          </w:p>
        </w:tc>
        <w:tc>
          <w:tcPr>
            <w:tcW w:w="1215" w:type="pct"/>
            <w:shd w:val="clear" w:color="auto" w:fill="D9D9D9"/>
          </w:tcPr>
          <w:p w14:paraId="445C39DD" w14:textId="77777777" w:rsidR="009D2B41" w:rsidRPr="00EF65AA" w:rsidRDefault="009D2B41" w:rsidP="00293454">
            <w:pPr>
              <w:pStyle w:val="Tabletext"/>
              <w:rPr>
                <w:sz w:val="20"/>
                <w:szCs w:val="20"/>
              </w:rPr>
            </w:pPr>
            <w:r w:rsidRPr="00EF65AA">
              <w:rPr>
                <w:sz w:val="20"/>
                <w:szCs w:val="20"/>
              </w:rPr>
              <w:t>Sim and Muller 2004</w:t>
            </w:r>
          </w:p>
        </w:tc>
      </w:tr>
      <w:tr w:rsidR="006921FB" w:rsidRPr="00EF65AA" w14:paraId="6596B6EC" w14:textId="77777777" w:rsidTr="000E3F24">
        <w:tc>
          <w:tcPr>
            <w:tcW w:w="676" w:type="pct"/>
          </w:tcPr>
          <w:p w14:paraId="180C8B0C" w14:textId="77777777" w:rsidR="009D2B41" w:rsidRPr="00CF55ED" w:rsidRDefault="009D2B41" w:rsidP="00293454">
            <w:pPr>
              <w:spacing w:after="0"/>
              <w:ind w:firstLine="34"/>
              <w:rPr>
                <w:sz w:val="20"/>
                <w:szCs w:val="20"/>
              </w:rPr>
            </w:pPr>
            <w:r w:rsidRPr="00CF55ED">
              <w:rPr>
                <w:sz w:val="20"/>
                <w:szCs w:val="20"/>
              </w:rPr>
              <w:t>1938</w:t>
            </w:r>
          </w:p>
        </w:tc>
        <w:tc>
          <w:tcPr>
            <w:tcW w:w="3109" w:type="pct"/>
          </w:tcPr>
          <w:p w14:paraId="343F177D"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call for protection of Murray cod using stricter fishing regulations and proper enforcement of those regulations</w:t>
            </w:r>
          </w:p>
        </w:tc>
        <w:tc>
          <w:tcPr>
            <w:tcW w:w="1215" w:type="pct"/>
          </w:tcPr>
          <w:p w14:paraId="7374DEDD" w14:textId="77777777" w:rsidR="009D2B41" w:rsidRPr="00EF65AA" w:rsidRDefault="009D2B41" w:rsidP="00293454">
            <w:pPr>
              <w:pStyle w:val="Tabletext"/>
              <w:rPr>
                <w:sz w:val="20"/>
                <w:szCs w:val="20"/>
              </w:rPr>
            </w:pPr>
            <w:r w:rsidRPr="00EF65AA">
              <w:rPr>
                <w:sz w:val="20"/>
                <w:szCs w:val="20"/>
              </w:rPr>
              <w:t>Dakin &amp; Kesteven 1938</w:t>
            </w:r>
          </w:p>
        </w:tc>
      </w:tr>
      <w:tr w:rsidR="006921FB" w:rsidRPr="00EF65AA" w14:paraId="6078D70C" w14:textId="77777777" w:rsidTr="000E3F24">
        <w:tc>
          <w:tcPr>
            <w:tcW w:w="676" w:type="pct"/>
          </w:tcPr>
          <w:p w14:paraId="61F478A3" w14:textId="77777777" w:rsidR="009D2B41" w:rsidRPr="00CF55ED" w:rsidRDefault="009D2B41" w:rsidP="00293454">
            <w:pPr>
              <w:spacing w:after="0"/>
              <w:ind w:firstLine="34"/>
              <w:rPr>
                <w:sz w:val="20"/>
                <w:szCs w:val="20"/>
              </w:rPr>
            </w:pPr>
            <w:r w:rsidRPr="00CF55ED">
              <w:rPr>
                <w:sz w:val="20"/>
                <w:szCs w:val="20"/>
              </w:rPr>
              <w:t>1949-1950</w:t>
            </w:r>
          </w:p>
        </w:tc>
        <w:tc>
          <w:tcPr>
            <w:tcW w:w="3109" w:type="pct"/>
          </w:tcPr>
          <w:p w14:paraId="7AC4FD8C"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first serious ecological study (but mainly Victorian/NSW reaches)</w:t>
            </w:r>
          </w:p>
          <w:p w14:paraId="723FD91F"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Murray cod appear not to breed in weir pools</w:t>
            </w:r>
          </w:p>
          <w:p w14:paraId="16795E72"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invasions of exotic fish noted upstream of EC, including tench, gambusia, common carp (not Boolarra strain) and redfin perch</w:t>
            </w:r>
          </w:p>
          <w:p w14:paraId="4928E958"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Lindsay/Mullaroo Ck anabranch only place Murray cod abundant</w:t>
            </w:r>
          </w:p>
          <w:p w14:paraId="418CBC12"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notes Murray crayfish abundant and silver perch common</w:t>
            </w:r>
          </w:p>
        </w:tc>
        <w:tc>
          <w:tcPr>
            <w:tcW w:w="1215" w:type="pct"/>
          </w:tcPr>
          <w:p w14:paraId="4F17D5FB" w14:textId="77777777" w:rsidR="009D2B41" w:rsidRPr="00EF65AA" w:rsidRDefault="009D2B41" w:rsidP="00293454">
            <w:pPr>
              <w:pStyle w:val="Tabletext"/>
              <w:rPr>
                <w:sz w:val="20"/>
                <w:szCs w:val="20"/>
              </w:rPr>
            </w:pPr>
            <w:r w:rsidRPr="00EF65AA">
              <w:rPr>
                <w:sz w:val="20"/>
                <w:szCs w:val="20"/>
              </w:rPr>
              <w:t>J O Langtry 1949-1950 in Cadwallader 1977</w:t>
            </w:r>
          </w:p>
        </w:tc>
      </w:tr>
      <w:tr w:rsidR="006921FB" w:rsidRPr="00EF65AA" w14:paraId="3F7C25E0" w14:textId="77777777" w:rsidTr="000E3F24">
        <w:tc>
          <w:tcPr>
            <w:tcW w:w="676" w:type="pct"/>
          </w:tcPr>
          <w:p w14:paraId="16DED189" w14:textId="77777777" w:rsidR="009D2B41" w:rsidRPr="00CF55ED" w:rsidRDefault="009D2B41" w:rsidP="00293454">
            <w:pPr>
              <w:spacing w:after="0"/>
              <w:ind w:firstLine="34"/>
              <w:rPr>
                <w:sz w:val="20"/>
                <w:szCs w:val="20"/>
              </w:rPr>
            </w:pPr>
            <w:r w:rsidRPr="00CF55ED">
              <w:rPr>
                <w:sz w:val="20"/>
                <w:szCs w:val="20"/>
              </w:rPr>
              <w:t>1958-1959</w:t>
            </w:r>
          </w:p>
        </w:tc>
        <w:tc>
          <w:tcPr>
            <w:tcW w:w="3109" w:type="pct"/>
          </w:tcPr>
          <w:p w14:paraId="7D193701"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SA commercial fishery catch about 140 tonnes</w:t>
            </w:r>
          </w:p>
        </w:tc>
        <w:tc>
          <w:tcPr>
            <w:tcW w:w="1215" w:type="pct"/>
          </w:tcPr>
          <w:p w14:paraId="4B601115" w14:textId="77777777" w:rsidR="009D2B41" w:rsidRPr="00EF65AA" w:rsidRDefault="009D2B41" w:rsidP="00293454">
            <w:pPr>
              <w:pStyle w:val="Tabletext"/>
              <w:rPr>
                <w:sz w:val="20"/>
                <w:szCs w:val="20"/>
              </w:rPr>
            </w:pPr>
            <w:r w:rsidRPr="00EF65AA">
              <w:rPr>
                <w:sz w:val="20"/>
                <w:szCs w:val="20"/>
              </w:rPr>
              <w:t>Gillanders &amp; Ye 2011</w:t>
            </w:r>
          </w:p>
        </w:tc>
      </w:tr>
      <w:tr w:rsidR="006921FB" w:rsidRPr="00EF65AA" w14:paraId="2E4EDC32" w14:textId="77777777" w:rsidTr="000E3F24">
        <w:tc>
          <w:tcPr>
            <w:tcW w:w="676" w:type="pct"/>
            <w:shd w:val="clear" w:color="auto" w:fill="D9D9D9"/>
          </w:tcPr>
          <w:p w14:paraId="18C5D4A6" w14:textId="77777777" w:rsidR="009D2B41" w:rsidRPr="00CF55ED" w:rsidRDefault="009D2B41" w:rsidP="00293454">
            <w:pPr>
              <w:spacing w:after="0"/>
              <w:ind w:firstLine="34"/>
              <w:rPr>
                <w:sz w:val="20"/>
                <w:szCs w:val="20"/>
              </w:rPr>
            </w:pPr>
            <w:r w:rsidRPr="00CF55ED">
              <w:rPr>
                <w:sz w:val="20"/>
                <w:szCs w:val="20"/>
              </w:rPr>
              <w:t>1974</w:t>
            </w:r>
          </w:p>
        </w:tc>
        <w:tc>
          <w:tcPr>
            <w:tcW w:w="3109" w:type="pct"/>
            <w:shd w:val="clear" w:color="auto" w:fill="D9D9D9"/>
          </w:tcPr>
          <w:p w14:paraId="787BA8B6"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major flood event and dramatic invasion of common carp (</w:t>
            </w:r>
            <w:r w:rsidRPr="00EF65AA">
              <w:rPr>
                <w:i/>
                <w:sz w:val="20"/>
                <w:szCs w:val="20"/>
              </w:rPr>
              <w:t>Cyprinus carpio</w:t>
            </w:r>
            <w:r w:rsidRPr="00EF65AA">
              <w:rPr>
                <w:sz w:val="20"/>
                <w:szCs w:val="20"/>
              </w:rPr>
              <w:t>) Boolarra strain</w:t>
            </w:r>
          </w:p>
        </w:tc>
        <w:tc>
          <w:tcPr>
            <w:tcW w:w="1215" w:type="pct"/>
            <w:shd w:val="clear" w:color="auto" w:fill="D9D9D9"/>
          </w:tcPr>
          <w:p w14:paraId="3B04481A" w14:textId="77777777" w:rsidR="009D2B41" w:rsidRPr="00EF65AA" w:rsidRDefault="009D2B41" w:rsidP="00293454">
            <w:pPr>
              <w:pStyle w:val="Tabletext"/>
              <w:rPr>
                <w:sz w:val="20"/>
                <w:szCs w:val="20"/>
              </w:rPr>
            </w:pPr>
            <w:r w:rsidRPr="00EF65AA">
              <w:rPr>
                <w:sz w:val="20"/>
                <w:szCs w:val="20"/>
              </w:rPr>
              <w:t>Koehn et al. 2000</w:t>
            </w:r>
          </w:p>
        </w:tc>
      </w:tr>
      <w:tr w:rsidR="006921FB" w:rsidRPr="00EF65AA" w14:paraId="3E70FDAF" w14:textId="77777777" w:rsidTr="000E3F24">
        <w:tc>
          <w:tcPr>
            <w:tcW w:w="676" w:type="pct"/>
          </w:tcPr>
          <w:p w14:paraId="22624055" w14:textId="77777777" w:rsidR="009D2B41" w:rsidRPr="00CF55ED" w:rsidRDefault="009D2B41" w:rsidP="00293454">
            <w:pPr>
              <w:spacing w:after="0"/>
              <w:ind w:firstLine="34"/>
              <w:rPr>
                <w:sz w:val="20"/>
                <w:szCs w:val="20"/>
              </w:rPr>
            </w:pPr>
            <w:r w:rsidRPr="00CF55ED">
              <w:rPr>
                <w:sz w:val="20"/>
                <w:szCs w:val="20"/>
              </w:rPr>
              <w:t>1975-1976</w:t>
            </w:r>
          </w:p>
        </w:tc>
        <w:tc>
          <w:tcPr>
            <w:tcW w:w="3109" w:type="pct"/>
          </w:tcPr>
          <w:p w14:paraId="2E4AD260"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strong decline in SA commercial catch to 2 tonnes</w:t>
            </w:r>
          </w:p>
        </w:tc>
        <w:tc>
          <w:tcPr>
            <w:tcW w:w="1215" w:type="pct"/>
          </w:tcPr>
          <w:p w14:paraId="07756A05" w14:textId="77777777" w:rsidR="009D2B41" w:rsidRPr="00EF65AA" w:rsidRDefault="009D2B41" w:rsidP="00293454">
            <w:pPr>
              <w:pStyle w:val="Tabletext"/>
              <w:rPr>
                <w:sz w:val="20"/>
                <w:szCs w:val="20"/>
              </w:rPr>
            </w:pPr>
            <w:r w:rsidRPr="00EF65AA">
              <w:rPr>
                <w:sz w:val="20"/>
                <w:szCs w:val="20"/>
              </w:rPr>
              <w:t>Gillanders &amp; Ye 2011</w:t>
            </w:r>
          </w:p>
        </w:tc>
      </w:tr>
      <w:tr w:rsidR="006921FB" w:rsidRPr="00EF65AA" w14:paraId="4A7BF741" w14:textId="77777777" w:rsidTr="000E3F24">
        <w:tc>
          <w:tcPr>
            <w:tcW w:w="676" w:type="pct"/>
          </w:tcPr>
          <w:p w14:paraId="0FC10170" w14:textId="77777777" w:rsidR="009D2B41" w:rsidRPr="00CF55ED" w:rsidRDefault="009D2B41" w:rsidP="00293454">
            <w:pPr>
              <w:spacing w:after="0"/>
              <w:ind w:firstLine="34"/>
              <w:rPr>
                <w:sz w:val="20"/>
                <w:szCs w:val="20"/>
              </w:rPr>
            </w:pPr>
            <w:r w:rsidRPr="00CF55ED">
              <w:rPr>
                <w:sz w:val="20"/>
                <w:szCs w:val="20"/>
              </w:rPr>
              <w:t>mid to late 1970s</w:t>
            </w:r>
          </w:p>
        </w:tc>
        <w:tc>
          <w:tcPr>
            <w:tcW w:w="3109" w:type="pct"/>
          </w:tcPr>
          <w:p w14:paraId="7A60D783"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decline of small-bodied and large-bodied native fish (e.g. Murray cod, freshwater catfish, silver perch)</w:t>
            </w:r>
          </w:p>
        </w:tc>
        <w:tc>
          <w:tcPr>
            <w:tcW w:w="1215" w:type="pct"/>
          </w:tcPr>
          <w:p w14:paraId="7038B4C6" w14:textId="77777777" w:rsidR="009D2B41" w:rsidRPr="00EF65AA" w:rsidRDefault="009D2B41" w:rsidP="00293454">
            <w:pPr>
              <w:pStyle w:val="Tabletext"/>
              <w:rPr>
                <w:sz w:val="20"/>
                <w:szCs w:val="20"/>
                <w:lang w:val="fr-RE"/>
              </w:rPr>
            </w:pPr>
            <w:r w:rsidRPr="00EF65AA">
              <w:rPr>
                <w:sz w:val="20"/>
                <w:szCs w:val="20"/>
                <w:lang w:val="fr-RE"/>
              </w:rPr>
              <w:t>Hammer et al. 2009; Bice et al. 2011</w:t>
            </w:r>
          </w:p>
        </w:tc>
      </w:tr>
      <w:tr w:rsidR="006921FB" w:rsidRPr="00EF65AA" w14:paraId="0A102A28" w14:textId="77777777" w:rsidTr="000E3F24">
        <w:tc>
          <w:tcPr>
            <w:tcW w:w="676" w:type="pct"/>
          </w:tcPr>
          <w:p w14:paraId="10C9650A" w14:textId="77777777" w:rsidR="009D2B41" w:rsidRPr="00CF55ED" w:rsidRDefault="009D2B41" w:rsidP="00293454">
            <w:pPr>
              <w:spacing w:after="0"/>
              <w:ind w:firstLine="34"/>
              <w:rPr>
                <w:sz w:val="20"/>
                <w:szCs w:val="20"/>
              </w:rPr>
            </w:pPr>
            <w:r w:rsidRPr="00CF55ED">
              <w:rPr>
                <w:sz w:val="20"/>
                <w:szCs w:val="20"/>
              </w:rPr>
              <w:t>1980s</w:t>
            </w:r>
          </w:p>
        </w:tc>
        <w:tc>
          <w:tcPr>
            <w:tcW w:w="3109" w:type="pct"/>
          </w:tcPr>
          <w:p w14:paraId="1935DDBE"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commercial catches mostly below 10 tonnes</w:t>
            </w:r>
          </w:p>
        </w:tc>
        <w:tc>
          <w:tcPr>
            <w:tcW w:w="1215" w:type="pct"/>
          </w:tcPr>
          <w:p w14:paraId="428882D6" w14:textId="77777777" w:rsidR="009D2B41" w:rsidRPr="00EF65AA" w:rsidRDefault="009D2B41" w:rsidP="00293454">
            <w:pPr>
              <w:pStyle w:val="Tabletext"/>
              <w:rPr>
                <w:sz w:val="20"/>
                <w:szCs w:val="20"/>
              </w:rPr>
            </w:pPr>
            <w:r w:rsidRPr="00EF65AA">
              <w:rPr>
                <w:sz w:val="20"/>
                <w:szCs w:val="20"/>
              </w:rPr>
              <w:t>Gillanders &amp; Ye 2011</w:t>
            </w:r>
          </w:p>
        </w:tc>
      </w:tr>
      <w:tr w:rsidR="006921FB" w:rsidRPr="00EF65AA" w14:paraId="601541D9" w14:textId="77777777" w:rsidTr="000E3F24">
        <w:tc>
          <w:tcPr>
            <w:tcW w:w="676" w:type="pct"/>
          </w:tcPr>
          <w:p w14:paraId="292DEEEA" w14:textId="77777777" w:rsidR="009D2B41" w:rsidRPr="00CF55ED" w:rsidRDefault="009D2B41" w:rsidP="00293454">
            <w:pPr>
              <w:spacing w:after="0"/>
              <w:ind w:firstLine="34"/>
              <w:rPr>
                <w:sz w:val="20"/>
                <w:szCs w:val="20"/>
              </w:rPr>
            </w:pPr>
            <w:r w:rsidRPr="00CF55ED">
              <w:rPr>
                <w:sz w:val="20"/>
                <w:szCs w:val="20"/>
              </w:rPr>
              <w:t>late 1980s- early 1990s</w:t>
            </w:r>
          </w:p>
        </w:tc>
        <w:tc>
          <w:tcPr>
            <w:tcW w:w="3109" w:type="pct"/>
          </w:tcPr>
          <w:p w14:paraId="62334B31"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strong relationship between flow and recruitment evident; last known major recruitment of Murray cod (since then only low-level recruitment recorded, with most in Chowilla Creek and Lindsay River/Mullaroo Creek anabranches) </w:t>
            </w:r>
          </w:p>
        </w:tc>
        <w:tc>
          <w:tcPr>
            <w:tcW w:w="1215" w:type="pct"/>
          </w:tcPr>
          <w:p w14:paraId="64D87BE1" w14:textId="77777777" w:rsidR="009D2B41" w:rsidRPr="00EF65AA" w:rsidRDefault="009D2B41" w:rsidP="00293454">
            <w:pPr>
              <w:pStyle w:val="Tabletext"/>
              <w:rPr>
                <w:sz w:val="20"/>
                <w:szCs w:val="20"/>
                <w:lang w:val="it-IT"/>
              </w:rPr>
            </w:pPr>
            <w:r w:rsidRPr="00EF65AA">
              <w:rPr>
                <w:sz w:val="20"/>
                <w:szCs w:val="20"/>
                <w:lang w:val="it-IT"/>
              </w:rPr>
              <w:t>Meredith et al. 2002; Zampatti et al. 2006a; Ye &amp; Zampatti 2007</w:t>
            </w:r>
          </w:p>
        </w:tc>
      </w:tr>
      <w:tr w:rsidR="006921FB" w:rsidRPr="00EF65AA" w14:paraId="4BD7E0CC" w14:textId="77777777" w:rsidTr="000E3F24">
        <w:tc>
          <w:tcPr>
            <w:tcW w:w="676" w:type="pct"/>
            <w:shd w:val="clear" w:color="auto" w:fill="D9D9D9" w:themeFill="background1" w:themeFillShade="D9"/>
          </w:tcPr>
          <w:p w14:paraId="2A8C1D3E" w14:textId="77777777" w:rsidR="009D2B41" w:rsidRPr="00CF55ED" w:rsidRDefault="009D2B41" w:rsidP="00293454">
            <w:pPr>
              <w:spacing w:after="0"/>
              <w:ind w:firstLine="34"/>
              <w:rPr>
                <w:sz w:val="20"/>
                <w:szCs w:val="20"/>
              </w:rPr>
            </w:pPr>
            <w:r w:rsidRPr="00CF55ED">
              <w:rPr>
                <w:sz w:val="20"/>
                <w:szCs w:val="20"/>
              </w:rPr>
              <w:t>1990-1993</w:t>
            </w:r>
          </w:p>
        </w:tc>
        <w:tc>
          <w:tcPr>
            <w:tcW w:w="3109" w:type="pct"/>
            <w:shd w:val="clear" w:color="auto" w:fill="D9D9D9" w:themeFill="background1" w:themeFillShade="D9"/>
          </w:tcPr>
          <w:p w14:paraId="5C4A8D38"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fishing moratorium for Murray cod in SA</w:t>
            </w:r>
          </w:p>
        </w:tc>
        <w:tc>
          <w:tcPr>
            <w:tcW w:w="1215" w:type="pct"/>
            <w:shd w:val="clear" w:color="auto" w:fill="D9D9D9" w:themeFill="background1" w:themeFillShade="D9"/>
          </w:tcPr>
          <w:p w14:paraId="331871F0" w14:textId="77777777" w:rsidR="009D2B41" w:rsidRPr="00EF65AA" w:rsidRDefault="009D2B41" w:rsidP="00293454">
            <w:pPr>
              <w:pStyle w:val="Tabletext"/>
              <w:rPr>
                <w:sz w:val="20"/>
                <w:szCs w:val="20"/>
              </w:rPr>
            </w:pPr>
            <w:r w:rsidRPr="00EF65AA">
              <w:rPr>
                <w:sz w:val="20"/>
                <w:szCs w:val="20"/>
              </w:rPr>
              <w:t>Gillanders and Ye 2011</w:t>
            </w:r>
          </w:p>
        </w:tc>
      </w:tr>
      <w:tr w:rsidR="006921FB" w:rsidRPr="00EF65AA" w14:paraId="47848424" w14:textId="77777777" w:rsidTr="000E3F24">
        <w:tc>
          <w:tcPr>
            <w:tcW w:w="676" w:type="pct"/>
          </w:tcPr>
          <w:p w14:paraId="33D7DF6E" w14:textId="77777777" w:rsidR="009D2B41" w:rsidRPr="00CF55ED" w:rsidRDefault="009D2B41" w:rsidP="00293454">
            <w:pPr>
              <w:spacing w:after="0"/>
              <w:ind w:firstLine="34"/>
              <w:rPr>
                <w:sz w:val="20"/>
                <w:szCs w:val="20"/>
              </w:rPr>
            </w:pPr>
            <w:r w:rsidRPr="00CF55ED">
              <w:rPr>
                <w:sz w:val="20"/>
                <w:szCs w:val="20"/>
              </w:rPr>
              <w:t>1994</w:t>
            </w:r>
          </w:p>
        </w:tc>
        <w:tc>
          <w:tcPr>
            <w:tcW w:w="3109" w:type="pct"/>
          </w:tcPr>
          <w:p w14:paraId="7BA35952"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January - commercial fishery re-opened in SA</w:t>
            </w:r>
          </w:p>
        </w:tc>
        <w:tc>
          <w:tcPr>
            <w:tcW w:w="1215" w:type="pct"/>
          </w:tcPr>
          <w:p w14:paraId="44A6A13D" w14:textId="77777777" w:rsidR="009D2B41" w:rsidRPr="00EF65AA" w:rsidRDefault="009D2B41" w:rsidP="00293454">
            <w:pPr>
              <w:pStyle w:val="Tabletext"/>
              <w:rPr>
                <w:sz w:val="20"/>
                <w:szCs w:val="20"/>
              </w:rPr>
            </w:pPr>
            <w:r w:rsidRPr="00EF65AA">
              <w:rPr>
                <w:sz w:val="20"/>
                <w:szCs w:val="20"/>
              </w:rPr>
              <w:t>Gillanders and Ye 2011</w:t>
            </w:r>
          </w:p>
        </w:tc>
      </w:tr>
      <w:tr w:rsidR="006921FB" w:rsidRPr="00EF65AA" w14:paraId="59A05CB7" w14:textId="77777777" w:rsidTr="000E3F24">
        <w:tc>
          <w:tcPr>
            <w:tcW w:w="676" w:type="pct"/>
          </w:tcPr>
          <w:p w14:paraId="41CE30E5" w14:textId="77777777" w:rsidR="009D2B41" w:rsidRPr="00CF55ED" w:rsidRDefault="009D2B41" w:rsidP="00293454">
            <w:pPr>
              <w:spacing w:after="0"/>
              <w:ind w:firstLine="34"/>
              <w:rPr>
                <w:sz w:val="20"/>
                <w:szCs w:val="20"/>
              </w:rPr>
            </w:pPr>
            <w:r w:rsidRPr="00CF55ED">
              <w:rPr>
                <w:sz w:val="20"/>
                <w:szCs w:val="20"/>
              </w:rPr>
              <w:t>2000</w:t>
            </w:r>
          </w:p>
        </w:tc>
        <w:tc>
          <w:tcPr>
            <w:tcW w:w="3109" w:type="pct"/>
          </w:tcPr>
          <w:p w14:paraId="1E36968A"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first fishery assessment report in SA (+ reviewed biol. &amp; ecology)</w:t>
            </w:r>
          </w:p>
        </w:tc>
        <w:tc>
          <w:tcPr>
            <w:tcW w:w="1215" w:type="pct"/>
          </w:tcPr>
          <w:p w14:paraId="2F39DB57" w14:textId="77777777" w:rsidR="009D2B41" w:rsidRPr="00EF65AA" w:rsidRDefault="009D2B41" w:rsidP="00293454">
            <w:pPr>
              <w:pStyle w:val="Tabletext"/>
              <w:rPr>
                <w:sz w:val="20"/>
                <w:szCs w:val="20"/>
              </w:rPr>
            </w:pPr>
            <w:r w:rsidRPr="00EF65AA">
              <w:rPr>
                <w:sz w:val="20"/>
                <w:szCs w:val="20"/>
              </w:rPr>
              <w:t>Ye et al. 2000.</w:t>
            </w:r>
          </w:p>
        </w:tc>
      </w:tr>
      <w:tr w:rsidR="006921FB" w:rsidRPr="00EF65AA" w14:paraId="0F6C82A2" w14:textId="77777777" w:rsidTr="000E3F24">
        <w:tc>
          <w:tcPr>
            <w:tcW w:w="676" w:type="pct"/>
          </w:tcPr>
          <w:p w14:paraId="7811B696" w14:textId="77777777" w:rsidR="009D2B41" w:rsidRPr="00CF55ED" w:rsidRDefault="009D2B41" w:rsidP="00293454">
            <w:pPr>
              <w:spacing w:after="0"/>
              <w:ind w:firstLine="34"/>
              <w:rPr>
                <w:sz w:val="20"/>
                <w:szCs w:val="20"/>
              </w:rPr>
            </w:pPr>
            <w:r w:rsidRPr="00CF55ED">
              <w:rPr>
                <w:sz w:val="20"/>
                <w:szCs w:val="20"/>
              </w:rPr>
              <w:t>2001-2002</w:t>
            </w:r>
          </w:p>
        </w:tc>
        <w:tc>
          <w:tcPr>
            <w:tcW w:w="3109" w:type="pct"/>
          </w:tcPr>
          <w:p w14:paraId="5A969E17"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commercial catch peaks at 28.5 tonnes after re-opening</w:t>
            </w:r>
          </w:p>
        </w:tc>
        <w:tc>
          <w:tcPr>
            <w:tcW w:w="1215" w:type="pct"/>
          </w:tcPr>
          <w:p w14:paraId="5F3BAD19" w14:textId="77777777" w:rsidR="009D2B41" w:rsidRPr="00EF65AA" w:rsidRDefault="009D2B41" w:rsidP="00293454">
            <w:pPr>
              <w:pStyle w:val="Tabletext"/>
              <w:rPr>
                <w:sz w:val="20"/>
                <w:szCs w:val="20"/>
              </w:rPr>
            </w:pPr>
            <w:r w:rsidRPr="00EF65AA">
              <w:rPr>
                <w:sz w:val="20"/>
                <w:szCs w:val="20"/>
              </w:rPr>
              <w:t>Ye &amp; Zampatti 2007</w:t>
            </w:r>
          </w:p>
        </w:tc>
      </w:tr>
      <w:tr w:rsidR="006921FB" w:rsidRPr="00EF65AA" w14:paraId="734EDFA7" w14:textId="77777777" w:rsidTr="000E3F24">
        <w:tc>
          <w:tcPr>
            <w:tcW w:w="676" w:type="pct"/>
          </w:tcPr>
          <w:p w14:paraId="50DC3F91" w14:textId="77777777" w:rsidR="009D2B41" w:rsidRPr="00CF55ED" w:rsidRDefault="009D2B41" w:rsidP="00293454">
            <w:pPr>
              <w:spacing w:after="0"/>
              <w:ind w:firstLine="34"/>
              <w:rPr>
                <w:sz w:val="20"/>
                <w:szCs w:val="20"/>
              </w:rPr>
            </w:pPr>
            <w:r w:rsidRPr="00CF55ED">
              <w:rPr>
                <w:sz w:val="20"/>
                <w:szCs w:val="20"/>
              </w:rPr>
              <w:t>2002-2003</w:t>
            </w:r>
          </w:p>
        </w:tc>
        <w:tc>
          <w:tcPr>
            <w:tcW w:w="3109" w:type="pct"/>
          </w:tcPr>
          <w:p w14:paraId="2C7F78CA"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commercial catch drops to 7 tonnes</w:t>
            </w:r>
          </w:p>
        </w:tc>
        <w:tc>
          <w:tcPr>
            <w:tcW w:w="1215" w:type="pct"/>
          </w:tcPr>
          <w:p w14:paraId="3149B26D" w14:textId="77777777" w:rsidR="009D2B41" w:rsidRPr="00EF65AA" w:rsidRDefault="009D2B41" w:rsidP="00293454">
            <w:pPr>
              <w:pStyle w:val="Tabletext"/>
              <w:rPr>
                <w:sz w:val="20"/>
                <w:szCs w:val="20"/>
              </w:rPr>
            </w:pPr>
            <w:r w:rsidRPr="00EF65AA">
              <w:rPr>
                <w:sz w:val="20"/>
                <w:szCs w:val="20"/>
              </w:rPr>
              <w:t>Ye &amp; Zampatti 2007</w:t>
            </w:r>
          </w:p>
        </w:tc>
      </w:tr>
      <w:tr w:rsidR="006921FB" w:rsidRPr="00EF65AA" w14:paraId="779C20A6" w14:textId="77777777" w:rsidTr="000E3F24">
        <w:tc>
          <w:tcPr>
            <w:tcW w:w="676" w:type="pct"/>
            <w:shd w:val="clear" w:color="auto" w:fill="D9D9D9"/>
          </w:tcPr>
          <w:p w14:paraId="33E704A0" w14:textId="77777777" w:rsidR="009D2B41" w:rsidRPr="00CF55ED" w:rsidRDefault="009D2B41" w:rsidP="00293454">
            <w:pPr>
              <w:spacing w:after="0"/>
              <w:ind w:firstLine="34"/>
              <w:rPr>
                <w:sz w:val="20"/>
                <w:szCs w:val="20"/>
              </w:rPr>
            </w:pPr>
            <w:r w:rsidRPr="00CF55ED">
              <w:rPr>
                <w:sz w:val="20"/>
                <w:szCs w:val="20"/>
              </w:rPr>
              <w:t>July 2003</w:t>
            </w:r>
          </w:p>
        </w:tc>
        <w:tc>
          <w:tcPr>
            <w:tcW w:w="3109" w:type="pct"/>
            <w:shd w:val="clear" w:color="auto" w:fill="D9D9D9"/>
          </w:tcPr>
          <w:p w14:paraId="40A94AD0"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commercial fishing for Murray cod ceased in SA</w:t>
            </w:r>
          </w:p>
        </w:tc>
        <w:tc>
          <w:tcPr>
            <w:tcW w:w="1215" w:type="pct"/>
            <w:shd w:val="clear" w:color="auto" w:fill="D9D9D9"/>
          </w:tcPr>
          <w:p w14:paraId="39A7DB7D" w14:textId="77777777" w:rsidR="009D2B41" w:rsidRPr="00EF65AA" w:rsidRDefault="009D2B41" w:rsidP="00293454">
            <w:pPr>
              <w:pStyle w:val="Tabletext"/>
              <w:rPr>
                <w:sz w:val="20"/>
                <w:szCs w:val="20"/>
              </w:rPr>
            </w:pPr>
            <w:r w:rsidRPr="00EF65AA">
              <w:rPr>
                <w:sz w:val="20"/>
                <w:szCs w:val="20"/>
              </w:rPr>
              <w:t>Ye &amp; Zampatti 2007</w:t>
            </w:r>
          </w:p>
        </w:tc>
      </w:tr>
      <w:tr w:rsidR="006921FB" w:rsidRPr="00EF65AA" w14:paraId="5FC81904" w14:textId="77777777" w:rsidTr="000E3F24">
        <w:tc>
          <w:tcPr>
            <w:tcW w:w="676" w:type="pct"/>
          </w:tcPr>
          <w:p w14:paraId="3B9D8321" w14:textId="77777777" w:rsidR="009D2B41" w:rsidRPr="00CF55ED" w:rsidRDefault="009D2B41" w:rsidP="00293454">
            <w:pPr>
              <w:spacing w:after="0"/>
              <w:ind w:firstLine="34"/>
              <w:rPr>
                <w:sz w:val="20"/>
                <w:szCs w:val="20"/>
              </w:rPr>
            </w:pPr>
            <w:r w:rsidRPr="00CF55ED">
              <w:rPr>
                <w:sz w:val="20"/>
                <w:szCs w:val="20"/>
              </w:rPr>
              <w:t>2003</w:t>
            </w:r>
          </w:p>
        </w:tc>
        <w:tc>
          <w:tcPr>
            <w:tcW w:w="3109" w:type="pct"/>
          </w:tcPr>
          <w:p w14:paraId="24BC6886"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small fishery independent Native Fish Monitoring Program started </w:t>
            </w:r>
          </w:p>
        </w:tc>
        <w:tc>
          <w:tcPr>
            <w:tcW w:w="1215" w:type="pct"/>
          </w:tcPr>
          <w:p w14:paraId="6B02A6DB" w14:textId="77777777" w:rsidR="009D2B41" w:rsidRPr="00EF65AA" w:rsidRDefault="009D2B41" w:rsidP="00293454">
            <w:pPr>
              <w:pStyle w:val="Tabletext"/>
              <w:rPr>
                <w:sz w:val="20"/>
                <w:szCs w:val="20"/>
              </w:rPr>
            </w:pPr>
            <w:r w:rsidRPr="00EF65AA">
              <w:rPr>
                <w:sz w:val="20"/>
                <w:szCs w:val="20"/>
              </w:rPr>
              <w:t>Ye &amp; Zampatti 2007</w:t>
            </w:r>
          </w:p>
        </w:tc>
      </w:tr>
      <w:tr w:rsidR="006921FB" w:rsidRPr="00EF65AA" w14:paraId="281E4AE4" w14:textId="77777777" w:rsidTr="000E3F24">
        <w:tc>
          <w:tcPr>
            <w:tcW w:w="676" w:type="pct"/>
          </w:tcPr>
          <w:p w14:paraId="1A74993B" w14:textId="77777777" w:rsidR="009D2B41" w:rsidRPr="00CF55ED" w:rsidRDefault="009D2B41" w:rsidP="00293454">
            <w:pPr>
              <w:spacing w:after="0"/>
              <w:ind w:firstLine="34"/>
              <w:rPr>
                <w:sz w:val="20"/>
                <w:szCs w:val="20"/>
              </w:rPr>
            </w:pPr>
            <w:r w:rsidRPr="00CF55ED">
              <w:rPr>
                <w:sz w:val="20"/>
                <w:szCs w:val="20"/>
              </w:rPr>
              <w:t>2005-2006</w:t>
            </w:r>
          </w:p>
        </w:tc>
        <w:tc>
          <w:tcPr>
            <w:tcW w:w="3109" w:type="pct"/>
          </w:tcPr>
          <w:p w14:paraId="062719B2"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NFMP shows population mainly large adult fish </w:t>
            </w:r>
          </w:p>
        </w:tc>
        <w:tc>
          <w:tcPr>
            <w:tcW w:w="1215" w:type="pct"/>
          </w:tcPr>
          <w:p w14:paraId="25116A0D" w14:textId="77777777" w:rsidR="009D2B41" w:rsidRPr="00EF65AA" w:rsidRDefault="009D2B41" w:rsidP="00293454">
            <w:pPr>
              <w:pStyle w:val="Tabletext"/>
              <w:rPr>
                <w:sz w:val="20"/>
                <w:szCs w:val="20"/>
              </w:rPr>
            </w:pPr>
            <w:r w:rsidRPr="00EF65AA">
              <w:rPr>
                <w:sz w:val="20"/>
                <w:szCs w:val="20"/>
              </w:rPr>
              <w:t>Ye &amp; Zampatti 2007</w:t>
            </w:r>
          </w:p>
        </w:tc>
      </w:tr>
      <w:tr w:rsidR="006921FB" w:rsidRPr="00EF65AA" w14:paraId="67E5292D" w14:textId="77777777" w:rsidTr="000E3F24">
        <w:tc>
          <w:tcPr>
            <w:tcW w:w="676" w:type="pct"/>
            <w:shd w:val="clear" w:color="auto" w:fill="D9D9D9" w:themeFill="background1" w:themeFillShade="D9"/>
          </w:tcPr>
          <w:p w14:paraId="2D2BE253" w14:textId="77777777" w:rsidR="009D2B41" w:rsidRPr="00CF55ED" w:rsidRDefault="009D2B41" w:rsidP="00293454">
            <w:pPr>
              <w:spacing w:after="0"/>
              <w:ind w:firstLine="34"/>
              <w:rPr>
                <w:sz w:val="20"/>
                <w:szCs w:val="20"/>
              </w:rPr>
            </w:pPr>
            <w:r w:rsidRPr="00CF55ED">
              <w:rPr>
                <w:sz w:val="20"/>
                <w:szCs w:val="20"/>
              </w:rPr>
              <w:t>2009-2010</w:t>
            </w:r>
          </w:p>
        </w:tc>
        <w:tc>
          <w:tcPr>
            <w:tcW w:w="3109" w:type="pct"/>
            <w:shd w:val="clear" w:color="auto" w:fill="D9D9D9" w:themeFill="background1" w:themeFillShade="D9"/>
          </w:tcPr>
          <w:p w14:paraId="0796474C"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Moratorium on recreational fishing for Murray cod in SA </w:t>
            </w:r>
          </w:p>
        </w:tc>
        <w:tc>
          <w:tcPr>
            <w:tcW w:w="1215" w:type="pct"/>
            <w:shd w:val="clear" w:color="auto" w:fill="D9D9D9" w:themeFill="background1" w:themeFillShade="D9"/>
          </w:tcPr>
          <w:p w14:paraId="2B39EA7B" w14:textId="77777777" w:rsidR="009D2B41" w:rsidRPr="00EF65AA" w:rsidRDefault="009D2B41" w:rsidP="00293454">
            <w:pPr>
              <w:pStyle w:val="Tabletext"/>
              <w:rPr>
                <w:sz w:val="20"/>
                <w:szCs w:val="20"/>
              </w:rPr>
            </w:pPr>
            <w:r w:rsidRPr="00EF65AA">
              <w:rPr>
                <w:sz w:val="20"/>
                <w:szCs w:val="20"/>
              </w:rPr>
              <w:t>Gillanders &amp; Ye 2011</w:t>
            </w:r>
          </w:p>
        </w:tc>
      </w:tr>
      <w:tr w:rsidR="006921FB" w:rsidRPr="00EF65AA" w14:paraId="42AE0DD8" w14:textId="77777777" w:rsidTr="000E3F24">
        <w:tc>
          <w:tcPr>
            <w:tcW w:w="676" w:type="pct"/>
          </w:tcPr>
          <w:p w14:paraId="5D69A1E6" w14:textId="77777777" w:rsidR="009D2B41" w:rsidRPr="00CF55ED" w:rsidRDefault="009D2B41" w:rsidP="00293454">
            <w:pPr>
              <w:spacing w:after="0"/>
              <w:ind w:firstLine="34"/>
              <w:rPr>
                <w:sz w:val="20"/>
                <w:szCs w:val="20"/>
              </w:rPr>
            </w:pPr>
            <w:r w:rsidRPr="00CF55ED">
              <w:rPr>
                <w:sz w:val="20"/>
                <w:szCs w:val="20"/>
              </w:rPr>
              <w:t>2010-2011</w:t>
            </w:r>
          </w:p>
        </w:tc>
        <w:tc>
          <w:tcPr>
            <w:tcW w:w="3109" w:type="pct"/>
          </w:tcPr>
          <w:p w14:paraId="3874ECBE"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minor overbank floods provided connectivity along River Murray and returned hydraulic complexity to the weir pools but little recruitment </w:t>
            </w:r>
          </w:p>
        </w:tc>
        <w:tc>
          <w:tcPr>
            <w:tcW w:w="1215" w:type="pct"/>
          </w:tcPr>
          <w:p w14:paraId="78AAF5FC" w14:textId="77777777" w:rsidR="009D2B41" w:rsidRPr="00EF65AA" w:rsidRDefault="009D2B41" w:rsidP="00293454">
            <w:pPr>
              <w:pStyle w:val="Tabletext"/>
              <w:rPr>
                <w:sz w:val="20"/>
                <w:szCs w:val="20"/>
              </w:rPr>
            </w:pPr>
            <w:r w:rsidRPr="00EF65AA">
              <w:rPr>
                <w:sz w:val="20"/>
                <w:szCs w:val="20"/>
              </w:rPr>
              <w:t>Gillanders &amp; Ye 2011;</w:t>
            </w:r>
          </w:p>
          <w:p w14:paraId="51ABB0E4" w14:textId="77777777" w:rsidR="009D2B41" w:rsidRPr="00EF65AA" w:rsidRDefault="009D2B41" w:rsidP="00293454">
            <w:pPr>
              <w:pStyle w:val="Tabletext"/>
              <w:rPr>
                <w:sz w:val="20"/>
                <w:szCs w:val="20"/>
              </w:rPr>
            </w:pPr>
            <w:r w:rsidRPr="00EF65AA">
              <w:rPr>
                <w:sz w:val="20"/>
                <w:szCs w:val="20"/>
              </w:rPr>
              <w:t>C. Bice 2012 pers. comm.</w:t>
            </w:r>
          </w:p>
        </w:tc>
      </w:tr>
      <w:tr w:rsidR="006921FB" w:rsidRPr="00EF65AA" w14:paraId="1586DBE1" w14:textId="77777777" w:rsidTr="000E3F24">
        <w:tc>
          <w:tcPr>
            <w:tcW w:w="676" w:type="pct"/>
          </w:tcPr>
          <w:p w14:paraId="2A55EA57" w14:textId="77777777" w:rsidR="009D2B41" w:rsidRPr="00CF55ED" w:rsidRDefault="009D2B41" w:rsidP="00293454">
            <w:pPr>
              <w:spacing w:after="0"/>
              <w:ind w:firstLine="34"/>
              <w:rPr>
                <w:sz w:val="20"/>
                <w:szCs w:val="20"/>
              </w:rPr>
            </w:pPr>
            <w:r w:rsidRPr="00CF55ED">
              <w:rPr>
                <w:sz w:val="20"/>
                <w:szCs w:val="20"/>
              </w:rPr>
              <w:t>2011-</w:t>
            </w:r>
          </w:p>
        </w:tc>
        <w:tc>
          <w:tcPr>
            <w:tcW w:w="3109" w:type="pct"/>
          </w:tcPr>
          <w:p w14:paraId="3D0BE166"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recreational ‘catch and release’ allowed, except Chowilla closed area</w:t>
            </w:r>
          </w:p>
          <w:p w14:paraId="0BD2DF13"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significant mortality due to blackwater event</w:t>
            </w:r>
          </w:p>
        </w:tc>
        <w:tc>
          <w:tcPr>
            <w:tcW w:w="1215" w:type="pct"/>
          </w:tcPr>
          <w:p w14:paraId="33C48749" w14:textId="77777777" w:rsidR="009D2B41" w:rsidRPr="00EF65AA" w:rsidRDefault="009D2B41" w:rsidP="00293454">
            <w:pPr>
              <w:pStyle w:val="Tabletext"/>
              <w:rPr>
                <w:sz w:val="20"/>
                <w:szCs w:val="20"/>
              </w:rPr>
            </w:pPr>
            <w:r w:rsidRPr="00EF65AA">
              <w:rPr>
                <w:sz w:val="20"/>
                <w:szCs w:val="20"/>
              </w:rPr>
              <w:t>Ye et al. 2019 (Stock Rep)</w:t>
            </w:r>
          </w:p>
        </w:tc>
      </w:tr>
      <w:tr w:rsidR="006921FB" w:rsidRPr="00EF65AA" w14:paraId="2D69B3E9" w14:textId="77777777" w:rsidTr="000E3F24">
        <w:tc>
          <w:tcPr>
            <w:tcW w:w="676" w:type="pct"/>
          </w:tcPr>
          <w:p w14:paraId="71AE10D7" w14:textId="77777777" w:rsidR="009D2B41" w:rsidRPr="00CF55ED" w:rsidRDefault="009D2B41" w:rsidP="00293454">
            <w:pPr>
              <w:spacing w:after="0"/>
              <w:ind w:firstLine="34"/>
              <w:rPr>
                <w:sz w:val="20"/>
                <w:szCs w:val="20"/>
              </w:rPr>
            </w:pPr>
            <w:r w:rsidRPr="00CF55ED">
              <w:rPr>
                <w:sz w:val="20"/>
                <w:szCs w:val="20"/>
              </w:rPr>
              <w:t>2016-2018</w:t>
            </w:r>
          </w:p>
        </w:tc>
        <w:tc>
          <w:tcPr>
            <w:tcW w:w="3109" w:type="pct"/>
          </w:tcPr>
          <w:p w14:paraId="3DC8FA99"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300,000 MC fingerlings stocked in SA Murray, for first time</w:t>
            </w:r>
          </w:p>
        </w:tc>
        <w:tc>
          <w:tcPr>
            <w:tcW w:w="1215" w:type="pct"/>
          </w:tcPr>
          <w:p w14:paraId="62428809" w14:textId="77777777" w:rsidR="009D2B41" w:rsidRPr="00EF65AA" w:rsidRDefault="009D2B41" w:rsidP="00293454">
            <w:pPr>
              <w:pStyle w:val="Tabletext"/>
              <w:rPr>
                <w:sz w:val="20"/>
                <w:szCs w:val="20"/>
              </w:rPr>
            </w:pPr>
            <w:r w:rsidRPr="00EF65AA">
              <w:rPr>
                <w:sz w:val="20"/>
                <w:szCs w:val="20"/>
              </w:rPr>
              <w:t>Ye et al. 2021 (Stock Rep)</w:t>
            </w:r>
          </w:p>
        </w:tc>
      </w:tr>
      <w:tr w:rsidR="006921FB" w:rsidRPr="00EF65AA" w14:paraId="546AABB2" w14:textId="77777777" w:rsidTr="000E3F24">
        <w:tc>
          <w:tcPr>
            <w:tcW w:w="676" w:type="pct"/>
          </w:tcPr>
          <w:p w14:paraId="4B27C809" w14:textId="77777777" w:rsidR="009D2B41" w:rsidRPr="00CF55ED" w:rsidRDefault="009D2B41" w:rsidP="00293454">
            <w:pPr>
              <w:spacing w:after="0"/>
              <w:ind w:firstLine="34"/>
              <w:rPr>
                <w:sz w:val="20"/>
                <w:szCs w:val="20"/>
              </w:rPr>
            </w:pPr>
            <w:r w:rsidRPr="00CF55ED">
              <w:rPr>
                <w:sz w:val="20"/>
                <w:szCs w:val="20"/>
              </w:rPr>
              <w:t>2020</w:t>
            </w:r>
          </w:p>
        </w:tc>
        <w:tc>
          <w:tcPr>
            <w:tcW w:w="3109" w:type="pct"/>
          </w:tcPr>
          <w:p w14:paraId="5031EBAB" w14:textId="77777777" w:rsidR="009D2B41" w:rsidRPr="00EF65AA" w:rsidRDefault="009D2B41" w:rsidP="00293454">
            <w:pPr>
              <w:pStyle w:val="ListParagraph"/>
              <w:numPr>
                <w:ilvl w:val="0"/>
                <w:numId w:val="61"/>
              </w:numPr>
              <w:tabs>
                <w:tab w:val="clear" w:pos="360"/>
                <w:tab w:val="num" w:pos="34"/>
              </w:tabs>
              <w:spacing w:after="0" w:line="240" w:lineRule="auto"/>
              <w:ind w:left="317" w:hanging="317"/>
              <w:contextualSpacing w:val="0"/>
              <w:rPr>
                <w:sz w:val="20"/>
                <w:szCs w:val="20"/>
              </w:rPr>
            </w:pPr>
            <w:r w:rsidRPr="00EF65AA">
              <w:rPr>
                <w:sz w:val="20"/>
                <w:szCs w:val="20"/>
              </w:rPr>
              <w:t xml:space="preserve"> ‘depleted’ under the national stock status framework</w:t>
            </w:r>
          </w:p>
        </w:tc>
        <w:tc>
          <w:tcPr>
            <w:tcW w:w="1215" w:type="pct"/>
          </w:tcPr>
          <w:p w14:paraId="262AD644" w14:textId="77777777" w:rsidR="009D2B41" w:rsidRPr="00EF65AA" w:rsidRDefault="009D2B41" w:rsidP="00293454">
            <w:pPr>
              <w:pStyle w:val="Tabletext"/>
              <w:rPr>
                <w:sz w:val="20"/>
                <w:szCs w:val="20"/>
              </w:rPr>
            </w:pPr>
            <w:r w:rsidRPr="00EF65AA">
              <w:rPr>
                <w:sz w:val="20"/>
                <w:szCs w:val="20"/>
              </w:rPr>
              <w:t>Ye et al. 2021 (Stock Rep)</w:t>
            </w:r>
          </w:p>
        </w:tc>
      </w:tr>
    </w:tbl>
    <w:p w14:paraId="36DB8FC7" w14:textId="77777777" w:rsidR="00CF55ED" w:rsidRDefault="00CF55ED" w:rsidP="00FD4D14">
      <w:pPr>
        <w:rPr>
          <w:color w:val="000000" w:themeColor="text1"/>
        </w:rPr>
        <w:sectPr w:rsidR="00CF55ED" w:rsidSect="00856010">
          <w:pgSz w:w="11906" w:h="16838"/>
          <w:pgMar w:top="1134" w:right="1247" w:bottom="1134" w:left="1361" w:header="454" w:footer="454" w:gutter="0"/>
          <w:cols w:space="708"/>
          <w:docGrid w:linePitch="360"/>
        </w:sectPr>
      </w:pPr>
    </w:p>
    <w:p w14:paraId="4DFBFD04" w14:textId="77777777" w:rsidR="00856010" w:rsidRPr="00EF2BD5" w:rsidRDefault="00856010" w:rsidP="00856010">
      <w:pPr>
        <w:rPr>
          <w:u w:val="single"/>
        </w:rPr>
      </w:pPr>
      <w:r w:rsidRPr="0002668E">
        <w:rPr>
          <w:u w:val="single"/>
        </w:rPr>
        <w:lastRenderedPageBreak/>
        <w:t>Table 2</w:t>
      </w:r>
      <w:r>
        <w:rPr>
          <w:u w:val="single"/>
        </w:rPr>
        <w:t>9</w:t>
      </w:r>
      <w:r>
        <w:t xml:space="preserve"> provides a summary of the history and status of Murray cod within the region of the ecological community. In the early 1800s, the fish were extremely abundant, including in Lake</w:t>
      </w:r>
      <w:r>
        <w:rPr>
          <w:u w:val="single"/>
        </w:rPr>
        <w:t xml:space="preserve"> </w:t>
      </w:r>
      <w:r>
        <w:t>Alexandrina (</w:t>
      </w:r>
      <w:r w:rsidRPr="0002668E">
        <w:rPr>
          <w:u w:val="single"/>
        </w:rPr>
        <w:t>Table 2</w:t>
      </w:r>
      <w:r>
        <w:rPr>
          <w:u w:val="single"/>
        </w:rPr>
        <w:t>9</w:t>
      </w:r>
      <w:r w:rsidRPr="0074098E">
        <w:t>).</w:t>
      </w:r>
      <w:r>
        <w:t xml:space="preserve"> Fishing pressure, commercial and recreational, from the late 1800s and throughout the last century led to severe reductions in range and </w:t>
      </w:r>
      <w:r w:rsidRPr="0074098E">
        <w:t>abundance (</w:t>
      </w:r>
      <w:r w:rsidRPr="0002668E">
        <w:rPr>
          <w:u w:val="single"/>
        </w:rPr>
        <w:t>Table 2</w:t>
      </w:r>
      <w:r>
        <w:rPr>
          <w:u w:val="single"/>
        </w:rPr>
        <w:t>9</w:t>
      </w:r>
      <w:r w:rsidRPr="0074098E">
        <w:t>).</w:t>
      </w:r>
      <w:r>
        <w:t xml:space="preserve"> There was a significant decline in annual commercial landings from 140 t in the late-1950s, to less than 10 t in the 1970s–80s (Ye et al. 2000; Ye &amp; Zampatti 2007). Long-lived species with long generation periods, low natural mortality rates and slow growth, such as the Murray cod, are very susceptible to over-fishing (Reynolds et al. 2002; Allen et al. 2005; Rowland 2005). </w:t>
      </w:r>
    </w:p>
    <w:p w14:paraId="572655D9" w14:textId="77777777" w:rsidR="00856010" w:rsidRDefault="00856010" w:rsidP="00856010">
      <w:r>
        <w:t xml:space="preserve">Commercial fishing for Murray cod in South Australia ceased in July 2003 (Ye &amp; Zampatti 2007; </w:t>
      </w:r>
      <w:r w:rsidRPr="00476621">
        <w:rPr>
          <w:u w:val="single"/>
        </w:rPr>
        <w:t>Table 29</w:t>
      </w:r>
      <w:r>
        <w:t xml:space="preserve">). However, Murray cod remains a popular recreational fish species and since 2011, ‘catch-and- release’ fishing is permitted (except for the closed area in Chowilla). Recreational fishing surveys in South Australia reported ~2.1 t (507 fish) of Murray cod was harvested from the lower River Murray in 2007-08 (Jones 2009), with none captured in 2013-14 (Giri &amp; Hall 2015). </w:t>
      </w:r>
    </w:p>
    <w:p w14:paraId="5A8C2889" w14:textId="1DE203B0" w:rsidR="00856010" w:rsidRPr="00F25C45" w:rsidRDefault="00856010" w:rsidP="00FD4D14">
      <w:pPr>
        <w:rPr>
          <w:color w:val="000000" w:themeColor="text1"/>
        </w:rPr>
      </w:pPr>
      <w:r w:rsidRPr="00311B85">
        <w:rPr>
          <w:color w:val="000000" w:themeColor="text1"/>
        </w:rPr>
        <w:t xml:space="preserve">The loss of </w:t>
      </w:r>
      <w:r>
        <w:rPr>
          <w:color w:val="000000" w:themeColor="text1"/>
        </w:rPr>
        <w:t xml:space="preserve">many </w:t>
      </w:r>
      <w:r w:rsidRPr="00311B85">
        <w:rPr>
          <w:color w:val="000000" w:themeColor="text1"/>
        </w:rPr>
        <w:t xml:space="preserve">of the billabongs and swamps </w:t>
      </w:r>
      <w:r>
        <w:rPr>
          <w:color w:val="000000" w:themeColor="text1"/>
        </w:rPr>
        <w:t xml:space="preserve">that </w:t>
      </w:r>
      <w:r w:rsidRPr="00311B85">
        <w:rPr>
          <w:color w:val="000000" w:themeColor="text1"/>
        </w:rPr>
        <w:t xml:space="preserve">once bordered the </w:t>
      </w:r>
      <w:r>
        <w:rPr>
          <w:color w:val="000000" w:themeColor="text1"/>
        </w:rPr>
        <w:t>lower Murray</w:t>
      </w:r>
      <w:r w:rsidRPr="00311B85">
        <w:rPr>
          <w:color w:val="000000" w:themeColor="text1"/>
        </w:rPr>
        <w:t>, through both reclamation and river regulation</w:t>
      </w:r>
      <w:r>
        <w:rPr>
          <w:color w:val="000000" w:themeColor="text1"/>
        </w:rPr>
        <w:t>,</w:t>
      </w:r>
      <w:r w:rsidRPr="00311B85">
        <w:rPr>
          <w:color w:val="000000" w:themeColor="text1"/>
        </w:rPr>
        <w:t xml:space="preserve"> impact</w:t>
      </w:r>
      <w:r>
        <w:rPr>
          <w:color w:val="000000" w:themeColor="text1"/>
        </w:rPr>
        <w:t>ed</w:t>
      </w:r>
      <w:r w:rsidRPr="00311B85">
        <w:rPr>
          <w:color w:val="000000" w:themeColor="text1"/>
        </w:rPr>
        <w:t xml:space="preserve"> Murray cod from the 1930s onward. While research indicates Murray cod are channel spawners, these billabong and swamp habitats were valuable nursery areas for juvenile Murray cod (and other native fish) and also added significantly to the general productivity of the river system. The impacts of the disconnection and loss of </w:t>
      </w:r>
      <w:r>
        <w:rPr>
          <w:color w:val="000000" w:themeColor="text1"/>
        </w:rPr>
        <w:t xml:space="preserve">these </w:t>
      </w:r>
      <w:r w:rsidRPr="00311B85">
        <w:rPr>
          <w:color w:val="000000" w:themeColor="text1"/>
        </w:rPr>
        <w:t xml:space="preserve">billabongs and swamps was recognised historically by local observers (e.g. Mt Barker Courier 1949). </w:t>
      </w:r>
      <w:r>
        <w:rPr>
          <w:color w:val="000000" w:themeColor="text1"/>
        </w:rPr>
        <w:t>I</w:t>
      </w:r>
      <w:r w:rsidRPr="00311B85">
        <w:rPr>
          <w:color w:val="000000" w:themeColor="text1"/>
        </w:rPr>
        <w:t xml:space="preserve">mpacts </w:t>
      </w:r>
      <w:r>
        <w:rPr>
          <w:color w:val="000000" w:themeColor="text1"/>
        </w:rPr>
        <w:t>from</w:t>
      </w:r>
      <w:r w:rsidRPr="00311B85">
        <w:rPr>
          <w:color w:val="000000" w:themeColor="text1"/>
        </w:rPr>
        <w:t xml:space="preserve"> </w:t>
      </w:r>
      <w:r>
        <w:rPr>
          <w:color w:val="000000" w:themeColor="text1"/>
        </w:rPr>
        <w:t xml:space="preserve">building the </w:t>
      </w:r>
      <w:r w:rsidRPr="00311B85">
        <w:rPr>
          <w:color w:val="000000" w:themeColor="text1"/>
        </w:rPr>
        <w:t>sequential weir</w:t>
      </w:r>
      <w:r>
        <w:rPr>
          <w:color w:val="000000" w:themeColor="text1"/>
        </w:rPr>
        <w:t>s along</w:t>
      </w:r>
      <w:r w:rsidRPr="00311B85">
        <w:rPr>
          <w:color w:val="000000" w:themeColor="text1"/>
        </w:rPr>
        <w:t xml:space="preserve"> the river</w:t>
      </w:r>
      <w:r>
        <w:rPr>
          <w:color w:val="000000" w:themeColor="text1"/>
        </w:rPr>
        <w:t xml:space="preserve"> </w:t>
      </w:r>
      <w:r w:rsidRPr="00311B85">
        <w:rPr>
          <w:color w:val="000000" w:themeColor="text1"/>
        </w:rPr>
        <w:t>was also observed to have serious negative impacts on Murray cod (e.g. Daily News 1932).</w:t>
      </w:r>
    </w:p>
    <w:p w14:paraId="1AB071DE" w14:textId="2654D470" w:rsidR="00986FF5" w:rsidRPr="008636C4" w:rsidRDefault="00986FF5" w:rsidP="00A2521C">
      <w:pPr>
        <w:pStyle w:val="Heading5"/>
        <w:rPr>
          <w:lang w:val="en-US"/>
        </w:rPr>
      </w:pPr>
      <w:r w:rsidRPr="008636C4">
        <w:rPr>
          <w:lang w:val="en-US"/>
        </w:rPr>
        <w:t>Invasions</w:t>
      </w:r>
      <w:r>
        <w:rPr>
          <w:lang w:val="en-US"/>
        </w:rPr>
        <w:t xml:space="preserve"> by carp and pathogens</w:t>
      </w:r>
      <w:r w:rsidR="00FE152A">
        <w:rPr>
          <w:lang w:val="en-US"/>
        </w:rPr>
        <w:t xml:space="preserve">—known and </w:t>
      </w:r>
      <w:r w:rsidR="00AE60A3">
        <w:rPr>
          <w:lang w:val="en-US"/>
        </w:rPr>
        <w:t>potential impacts</w:t>
      </w:r>
    </w:p>
    <w:p w14:paraId="61EB95B1" w14:textId="77777777" w:rsidR="00EF65AA" w:rsidRDefault="008D4ABE" w:rsidP="00EF65AA">
      <w:r>
        <w:t>These drivers of decline continued to reduce Murray cod populations, with commercial catch dropping to only two tonnes by the mid-1970s (Ye et al. 2000</w:t>
      </w:r>
      <w:r w:rsidR="00B12949">
        <w:t xml:space="preserve">; </w:t>
      </w:r>
      <w:r w:rsidR="00B12949" w:rsidRPr="00B12949">
        <w:rPr>
          <w:u w:val="single"/>
        </w:rPr>
        <w:t>Table 29</w:t>
      </w:r>
      <w:r>
        <w:t>). This was followed by the dramatic invasion of alien carp (Boolarra strain) (</w:t>
      </w:r>
      <w:r w:rsidRPr="005403BB">
        <w:rPr>
          <w:i/>
        </w:rPr>
        <w:t>Cyprinus carpio</w:t>
      </w:r>
      <w:r>
        <w:t xml:space="preserve">) </w:t>
      </w:r>
      <w:r w:rsidR="00FA02FA">
        <w:t xml:space="preserve">into the Lower Murray, </w:t>
      </w:r>
      <w:r w:rsidR="002639A2">
        <w:t>facilitated by</w:t>
      </w:r>
      <w:r>
        <w:t xml:space="preserve"> large floods in 1974–75 (Koehn et al. 2000; Roland 2005). Alien carp added to existing drivers of decline and continue</w:t>
      </w:r>
      <w:r w:rsidR="00530D01">
        <w:t>d</w:t>
      </w:r>
      <w:r>
        <w:t xml:space="preserve"> to impede Murray cod recruitment and recovery. Direct impacts include carp larvae competing with Murray cod larvae for zooplankton food (Tonkin et al. 2006; Kaminskas </w:t>
      </w:r>
      <w:r w:rsidR="006F5E9A">
        <w:t>&amp;</w:t>
      </w:r>
      <w:r>
        <w:t xml:space="preserve"> Humphries 2009) and some degree of predation by larger carp on Murray cod larvae and juveniles. Indirect impacts include</w:t>
      </w:r>
      <w:r w:rsidR="00F85896">
        <w:t>:</w:t>
      </w:r>
      <w:r>
        <w:t xml:space="preserve"> </w:t>
      </w:r>
      <w:r w:rsidR="00F85896">
        <w:t xml:space="preserve">diverting </w:t>
      </w:r>
      <w:r>
        <w:t>riverine, billabong</w:t>
      </w:r>
      <w:r w:rsidR="00013C90">
        <w:t>,</w:t>
      </w:r>
      <w:r>
        <w:t xml:space="preserve"> and wetland productivity into carp biomass</w:t>
      </w:r>
      <w:r w:rsidR="00F85896">
        <w:t>;</w:t>
      </w:r>
      <w:r>
        <w:t xml:space="preserve"> damaging and destroying aquatic habitats, particularly submergent macrophytes</w:t>
      </w:r>
      <w:r w:rsidR="00F85896">
        <w:t>;</w:t>
      </w:r>
      <w:r>
        <w:t xml:space="preserve"> and causing permanent deterioration in water quality, including dramatically </w:t>
      </w:r>
      <w:r w:rsidR="001570C7">
        <w:t>increas</w:t>
      </w:r>
      <w:r w:rsidR="004B0E91">
        <w:t>in</w:t>
      </w:r>
      <w:r w:rsidR="00A51091">
        <w:t>g</w:t>
      </w:r>
      <w:r>
        <w:t xml:space="preserve"> turbidity (</w:t>
      </w:r>
      <w:r w:rsidRPr="007F7705">
        <w:t>Koehn 2004</w:t>
      </w:r>
      <w:r>
        <w:t>;</w:t>
      </w:r>
      <w:r w:rsidRPr="007F7705">
        <w:t xml:space="preserve"> Vilizzi et al. 2014, Kopf et al. 2019, Stuart et al. 2021, Fanson et al</w:t>
      </w:r>
      <w:r w:rsidR="00A51091">
        <w:t>.</w:t>
      </w:r>
      <w:r w:rsidRPr="007F7705">
        <w:t xml:space="preserve"> 2024, Schilling et al. 2024).</w:t>
      </w:r>
    </w:p>
    <w:p w14:paraId="12112301" w14:textId="478C06BF" w:rsidR="001D7AF7" w:rsidRPr="002639A2" w:rsidRDefault="005E2A67" w:rsidP="00EF65AA">
      <w:pPr>
        <w:rPr>
          <w:rFonts w:cs="GoudyOlSt BT"/>
          <w:color w:val="211D1E"/>
        </w:rPr>
      </w:pPr>
      <w:r>
        <w:t>C</w:t>
      </w:r>
      <w:r w:rsidRPr="00B56493">
        <w:t>arp</w:t>
      </w:r>
      <w:r>
        <w:t>,</w:t>
      </w:r>
      <w:r w:rsidRPr="00B56493">
        <w:t xml:space="preserve"> </w:t>
      </w:r>
      <w:r>
        <w:t xml:space="preserve">and </w:t>
      </w:r>
      <w:r w:rsidRPr="00B56493">
        <w:t>other alien fish species</w:t>
      </w:r>
      <w:r>
        <w:t>,</w:t>
      </w:r>
      <w:r w:rsidRPr="00B56493">
        <w:t xml:space="preserve"> </w:t>
      </w:r>
      <w:r>
        <w:t xml:space="preserve">can </w:t>
      </w:r>
      <w:r w:rsidR="00A51091">
        <w:t xml:space="preserve">also </w:t>
      </w:r>
      <w:r>
        <w:t>introduce and/or spread</w:t>
      </w:r>
      <w:r w:rsidRPr="00B56493">
        <w:t xml:space="preserve"> alien fish pathogens and parasites to </w:t>
      </w:r>
      <w:r>
        <w:t xml:space="preserve">native fish, including </w:t>
      </w:r>
      <w:r w:rsidRPr="00B56493">
        <w:t xml:space="preserve">Murray cod. </w:t>
      </w:r>
      <w:r w:rsidR="00A51091">
        <w:t>T</w:t>
      </w:r>
      <w:r w:rsidRPr="00B56493">
        <w:t xml:space="preserve">he alien fish </w:t>
      </w:r>
      <w:r>
        <w:t xml:space="preserve">oomycete pathogen </w:t>
      </w:r>
      <w:r w:rsidRPr="00B56493">
        <w:rPr>
          <w:i/>
          <w:iCs/>
        </w:rPr>
        <w:t>Saprolegnia parasitica</w:t>
      </w:r>
      <w:r w:rsidRPr="00B56493">
        <w:t xml:space="preserve">, a co-invader spread </w:t>
      </w:r>
      <w:r>
        <w:t xml:space="preserve">historically </w:t>
      </w:r>
      <w:r w:rsidRPr="00B56493">
        <w:t xml:space="preserve">with alien trout stockings, invaded the </w:t>
      </w:r>
      <w:r w:rsidR="00565FE9">
        <w:t xml:space="preserve">River </w:t>
      </w:r>
      <w:r w:rsidRPr="00B56493">
        <w:t xml:space="preserve">Murray somewhere </w:t>
      </w:r>
      <w:r>
        <w:t>between</w:t>
      </w:r>
      <w:r w:rsidRPr="00B56493">
        <w:t xml:space="preserve"> the 1930s </w:t>
      </w:r>
      <w:r>
        <w:t>and</w:t>
      </w:r>
      <w:r w:rsidRPr="00B56493">
        <w:t xml:space="preserve"> 1940s, </w:t>
      </w:r>
      <w:r>
        <w:t xml:space="preserve">which </w:t>
      </w:r>
      <w:r w:rsidRPr="00B56493">
        <w:t xml:space="preserve">has </w:t>
      </w:r>
      <w:r>
        <w:t xml:space="preserve">led to </w:t>
      </w:r>
      <w:r w:rsidRPr="00B56493">
        <w:t xml:space="preserve">regular fish kills of bony herring </w:t>
      </w:r>
      <w:r>
        <w:t>(</w:t>
      </w:r>
      <w:r w:rsidRPr="005262B4">
        <w:t>Puckridge et al. 1988; Kaminskas 2021).</w:t>
      </w:r>
      <w:r w:rsidRPr="00B56493">
        <w:t xml:space="preserve"> </w:t>
      </w:r>
      <w:r>
        <w:t xml:space="preserve">This pathogen is </w:t>
      </w:r>
      <w:r w:rsidRPr="00B56493">
        <w:t xml:space="preserve">also </w:t>
      </w:r>
      <w:r>
        <w:t xml:space="preserve">known to </w:t>
      </w:r>
      <w:r w:rsidRPr="00B56493">
        <w:t xml:space="preserve">infect Murray cod </w:t>
      </w:r>
      <w:r w:rsidRPr="00B56493">
        <w:rPr>
          <w:rFonts w:cs="GoudyOlSt BT"/>
          <w:color w:val="211D1E"/>
        </w:rPr>
        <w:t>that have experienced rough angler handling or environmental stress, and frequently infects egg mats of Murray cod</w:t>
      </w:r>
      <w:r>
        <w:rPr>
          <w:rFonts w:cs="GoudyOlSt BT"/>
          <w:color w:val="211D1E"/>
        </w:rPr>
        <w:t xml:space="preserve"> </w:t>
      </w:r>
      <w:r w:rsidRPr="00665292">
        <w:rPr>
          <w:rFonts w:cs="GoudyOlSt BT"/>
          <w:color w:val="211D1E"/>
        </w:rPr>
        <w:t>(</w:t>
      </w:r>
      <w:r w:rsidRPr="005262B4">
        <w:rPr>
          <w:rFonts w:cs="GoudyOlSt BT"/>
          <w:color w:val="211D1E"/>
        </w:rPr>
        <w:t>Rowland &amp; Ingram 1991; Kaminskas 2021)</w:t>
      </w:r>
      <w:r w:rsidRPr="00B56493">
        <w:rPr>
          <w:rFonts w:cs="GoudyOlSt BT"/>
          <w:color w:val="211D1E"/>
        </w:rPr>
        <w:t xml:space="preserve">. The number of Murray cod individuals and Murray cod egg mats lost to </w:t>
      </w:r>
      <w:r w:rsidRPr="00D86A20">
        <w:rPr>
          <w:rFonts w:cs="GoudyOlSt BT"/>
          <w:i/>
          <w:iCs/>
          <w:color w:val="211D1E"/>
        </w:rPr>
        <w:t>Saprolegnia</w:t>
      </w:r>
      <w:r w:rsidRPr="00B56493">
        <w:rPr>
          <w:rFonts w:cs="GoudyOlSt BT"/>
          <w:color w:val="211D1E"/>
        </w:rPr>
        <w:t xml:space="preserve"> infection in the wild, including</w:t>
      </w:r>
      <w:r>
        <w:rPr>
          <w:rFonts w:cs="GoudyOlSt BT"/>
          <w:color w:val="211D1E"/>
        </w:rPr>
        <w:t xml:space="preserve"> within the ecological community</w:t>
      </w:r>
      <w:r w:rsidRPr="00B56493">
        <w:rPr>
          <w:rFonts w:cs="GoudyOlSt BT"/>
          <w:color w:val="211D1E"/>
        </w:rPr>
        <w:t>, is unknown but may be significant.</w:t>
      </w:r>
    </w:p>
    <w:p w14:paraId="6A32BE24" w14:textId="73ADFB9C" w:rsidR="00963D33" w:rsidRPr="00B56493" w:rsidRDefault="00963D33" w:rsidP="00963D33">
      <w:pPr>
        <w:rPr>
          <w:rFonts w:cs="GoudyOlSt BT"/>
          <w:color w:val="211D1E"/>
        </w:rPr>
      </w:pPr>
      <w:r w:rsidRPr="00B56493">
        <w:rPr>
          <w:rFonts w:cs="GoudyOlSt BT"/>
          <w:color w:val="211D1E"/>
        </w:rPr>
        <w:lastRenderedPageBreak/>
        <w:t xml:space="preserve">Similarly, the alien </w:t>
      </w:r>
      <w:r>
        <w:rPr>
          <w:rFonts w:cs="GoudyOlSt BT"/>
          <w:color w:val="211D1E"/>
        </w:rPr>
        <w:t xml:space="preserve">‘anchor worm’ </w:t>
      </w:r>
      <w:r w:rsidRPr="00B56493">
        <w:rPr>
          <w:rFonts w:cs="GoudyOlSt BT"/>
          <w:color w:val="211D1E"/>
        </w:rPr>
        <w:t>ectoparasite</w:t>
      </w:r>
      <w:r>
        <w:rPr>
          <w:rFonts w:cs="GoudyOlSt BT"/>
          <w:color w:val="211D1E"/>
        </w:rPr>
        <w:t>,</w:t>
      </w:r>
      <w:r w:rsidRPr="00B56493">
        <w:rPr>
          <w:rFonts w:cs="GoudyOlSt BT"/>
          <w:color w:val="211D1E"/>
        </w:rPr>
        <w:t xml:space="preserve"> </w:t>
      </w:r>
      <w:r w:rsidRPr="00B56493">
        <w:rPr>
          <w:rFonts w:cs="GoudyOlSt BT"/>
          <w:i/>
          <w:iCs/>
          <w:color w:val="211D1E"/>
        </w:rPr>
        <w:t>Lernaea cyprinacea</w:t>
      </w:r>
      <w:r>
        <w:rPr>
          <w:rFonts w:cs="GoudyOlSt BT"/>
          <w:i/>
          <w:iCs/>
          <w:color w:val="211D1E"/>
        </w:rPr>
        <w:t xml:space="preserve">, </w:t>
      </w:r>
      <w:r>
        <w:rPr>
          <w:rFonts w:cs="GoudyOlSt BT"/>
          <w:color w:val="211D1E"/>
        </w:rPr>
        <w:t xml:space="preserve">is actively vectored by carp and </w:t>
      </w:r>
      <w:r w:rsidRPr="00665292">
        <w:rPr>
          <w:rFonts w:cs="GoudyOlSt BT"/>
          <w:color w:val="211D1E"/>
        </w:rPr>
        <w:t>parasit</w:t>
      </w:r>
      <w:r>
        <w:rPr>
          <w:rFonts w:cs="GoudyOlSt BT"/>
          <w:color w:val="211D1E"/>
        </w:rPr>
        <w:t>is</w:t>
      </w:r>
      <w:r w:rsidRPr="00665292">
        <w:rPr>
          <w:rFonts w:cs="GoudyOlSt BT"/>
          <w:color w:val="211D1E"/>
        </w:rPr>
        <w:t>es diverse native fish species</w:t>
      </w:r>
      <w:r>
        <w:rPr>
          <w:rFonts w:cs="GoudyOlSt BT"/>
          <w:color w:val="211D1E"/>
        </w:rPr>
        <w:t>;</w:t>
      </w:r>
      <w:r w:rsidRPr="00665292">
        <w:rPr>
          <w:rFonts w:cs="GoudyOlSt BT"/>
          <w:color w:val="211D1E"/>
        </w:rPr>
        <w:t xml:space="preserve"> </w:t>
      </w:r>
      <w:r>
        <w:rPr>
          <w:rFonts w:cs="GoudyOlSt BT"/>
          <w:color w:val="211D1E"/>
        </w:rPr>
        <w:t xml:space="preserve">it </w:t>
      </w:r>
      <w:r w:rsidRPr="00665292">
        <w:rPr>
          <w:rFonts w:cs="GoudyOlSt BT"/>
          <w:color w:val="211D1E"/>
        </w:rPr>
        <w:t xml:space="preserve">infests Murray cod particularly heavily </w:t>
      </w:r>
      <w:r w:rsidRPr="007274F0">
        <w:rPr>
          <w:rFonts w:cs="GoudyOlSt BT"/>
          <w:color w:val="211D1E"/>
        </w:rPr>
        <w:t>(Rowland &amp; Ingram 1991; Harris &amp; Gehrke 199</w:t>
      </w:r>
      <w:r w:rsidR="001A60E8">
        <w:rPr>
          <w:rFonts w:cs="GoudyOlSt BT"/>
          <w:color w:val="211D1E"/>
        </w:rPr>
        <w:t>9</w:t>
      </w:r>
      <w:r w:rsidRPr="007274F0">
        <w:rPr>
          <w:rFonts w:cs="GoudyOlSt BT"/>
          <w:color w:val="211D1E"/>
        </w:rPr>
        <w:t>; Kaminskas 2021).</w:t>
      </w:r>
      <w:r w:rsidRPr="00665292">
        <w:rPr>
          <w:rFonts w:cs="GoudyOlSt BT"/>
          <w:color w:val="211D1E"/>
        </w:rPr>
        <w:t xml:space="preserve"> Heavy infestations cause severe physiological</w:t>
      </w:r>
      <w:r w:rsidRPr="00B56493">
        <w:rPr>
          <w:rFonts w:cs="GoudyOlSt BT"/>
          <w:color w:val="211D1E"/>
        </w:rPr>
        <w:t xml:space="preserve"> distress</w:t>
      </w:r>
      <w:r>
        <w:rPr>
          <w:rFonts w:cs="GoudyOlSt BT"/>
          <w:color w:val="211D1E"/>
        </w:rPr>
        <w:t>, emaciation and spawning failure in Murray cod. The number of</w:t>
      </w:r>
      <w:r w:rsidRPr="00B56493">
        <w:rPr>
          <w:rFonts w:cs="GoudyOlSt BT"/>
          <w:color w:val="211D1E"/>
        </w:rPr>
        <w:t xml:space="preserve"> juvenile and adult</w:t>
      </w:r>
      <w:r w:rsidRPr="00AF6B44">
        <w:rPr>
          <w:rFonts w:cs="GoudyOlSt BT"/>
          <w:color w:val="211D1E"/>
        </w:rPr>
        <w:t xml:space="preserve"> Murray cod k</w:t>
      </w:r>
      <w:r>
        <w:rPr>
          <w:rFonts w:cs="GoudyOlSt BT"/>
          <w:color w:val="211D1E"/>
        </w:rPr>
        <w:t xml:space="preserve">illed by </w:t>
      </w:r>
      <w:r w:rsidRPr="007274F0">
        <w:rPr>
          <w:rFonts w:cs="GoudyOlSt BT"/>
          <w:i/>
          <w:iCs/>
          <w:color w:val="211D1E"/>
        </w:rPr>
        <w:t>Lernaea</w:t>
      </w:r>
      <w:r>
        <w:rPr>
          <w:rFonts w:cs="GoudyOlSt BT"/>
          <w:color w:val="211D1E"/>
        </w:rPr>
        <w:t xml:space="preserve"> infestation i</w:t>
      </w:r>
      <w:r w:rsidRPr="00B56493">
        <w:rPr>
          <w:rFonts w:cs="GoudyOlSt BT"/>
          <w:color w:val="211D1E"/>
        </w:rPr>
        <w:t>n the wild</w:t>
      </w:r>
      <w:r>
        <w:rPr>
          <w:rFonts w:cs="GoudyOlSt BT"/>
          <w:color w:val="211D1E"/>
        </w:rPr>
        <w:t xml:space="preserve"> is unknown but may be significant</w:t>
      </w:r>
      <w:r w:rsidRPr="00B56493">
        <w:rPr>
          <w:rFonts w:cs="GoudyOlSt BT"/>
          <w:color w:val="211D1E"/>
        </w:rPr>
        <w:t>. Equally concerning</w:t>
      </w:r>
      <w:r>
        <w:rPr>
          <w:rFonts w:cs="GoudyOlSt BT"/>
          <w:color w:val="211D1E"/>
        </w:rPr>
        <w:t>,</w:t>
      </w:r>
      <w:r w:rsidRPr="00B56493">
        <w:rPr>
          <w:rFonts w:cs="GoudyOlSt BT"/>
          <w:color w:val="211D1E"/>
        </w:rPr>
        <w:t xml:space="preserve"> is that the early life stages of </w:t>
      </w:r>
      <w:r w:rsidRPr="00A3174F">
        <w:rPr>
          <w:rFonts w:cs="GoudyOlSt BT"/>
          <w:i/>
          <w:iCs/>
          <w:color w:val="211D1E"/>
        </w:rPr>
        <w:t>Lernaea</w:t>
      </w:r>
      <w:r w:rsidRPr="00B56493">
        <w:rPr>
          <w:rFonts w:cs="GoudyOlSt BT"/>
          <w:color w:val="211D1E"/>
        </w:rPr>
        <w:t xml:space="preserve"> parasitise the gills of fish </w:t>
      </w:r>
      <w:r>
        <w:rPr>
          <w:rFonts w:cs="GoudyOlSt BT"/>
          <w:color w:val="211D1E"/>
        </w:rPr>
        <w:t xml:space="preserve">damaging </w:t>
      </w:r>
      <w:r w:rsidRPr="00B56493">
        <w:rPr>
          <w:rFonts w:cs="GoudyOlSt BT"/>
          <w:color w:val="211D1E"/>
        </w:rPr>
        <w:t xml:space="preserve">the gill lamellae </w:t>
      </w:r>
      <w:r>
        <w:rPr>
          <w:rFonts w:cs="GoudyOlSt BT"/>
          <w:color w:val="211D1E"/>
        </w:rPr>
        <w:t>(delicate oxygen-extracting capillaries)</w:t>
      </w:r>
      <w:r w:rsidRPr="00B56493">
        <w:rPr>
          <w:rFonts w:cs="GoudyOlSt BT"/>
          <w:color w:val="211D1E"/>
        </w:rPr>
        <w:t xml:space="preserve"> and impair</w:t>
      </w:r>
      <w:r>
        <w:rPr>
          <w:rFonts w:cs="GoudyOlSt BT"/>
          <w:color w:val="211D1E"/>
        </w:rPr>
        <w:t>ing</w:t>
      </w:r>
      <w:r w:rsidRPr="00B56493">
        <w:rPr>
          <w:rFonts w:cs="GoudyOlSt BT"/>
          <w:color w:val="211D1E"/>
        </w:rPr>
        <w:t xml:space="preserve"> respiration, </w:t>
      </w:r>
      <w:r>
        <w:rPr>
          <w:rFonts w:cs="GoudyOlSt BT"/>
          <w:color w:val="211D1E"/>
        </w:rPr>
        <w:t xml:space="preserve">which can </w:t>
      </w:r>
      <w:r w:rsidRPr="00B56493">
        <w:rPr>
          <w:rFonts w:cs="GoudyOlSt BT"/>
          <w:color w:val="211D1E"/>
        </w:rPr>
        <w:t xml:space="preserve">sometimes </w:t>
      </w:r>
      <w:r>
        <w:rPr>
          <w:rFonts w:cs="GoudyOlSt BT"/>
          <w:color w:val="211D1E"/>
        </w:rPr>
        <w:t xml:space="preserve">be fatal </w:t>
      </w:r>
      <w:r w:rsidRPr="007274F0">
        <w:rPr>
          <w:rFonts w:cs="GoudyOlSt BT"/>
          <w:color w:val="211D1E"/>
        </w:rPr>
        <w:t xml:space="preserve">(Grabda 1963, Khalifa </w:t>
      </w:r>
      <w:r>
        <w:rPr>
          <w:rFonts w:cs="GoudyOlSt BT"/>
          <w:color w:val="211D1E"/>
        </w:rPr>
        <w:t>&amp;</w:t>
      </w:r>
      <w:r w:rsidRPr="007274F0">
        <w:rPr>
          <w:rFonts w:cs="GoudyOlSt BT"/>
          <w:color w:val="211D1E"/>
        </w:rPr>
        <w:t xml:space="preserve"> Post 1976; Goodwin 1999).</w:t>
      </w:r>
      <w:r w:rsidRPr="00B56493">
        <w:rPr>
          <w:rFonts w:cs="GoudyOlSt BT"/>
          <w:color w:val="211D1E"/>
        </w:rPr>
        <w:t xml:space="preserve"> </w:t>
      </w:r>
      <w:r w:rsidRPr="00AF6B44">
        <w:rPr>
          <w:rFonts w:cs="GoudyOlSt BT"/>
          <w:color w:val="211D1E"/>
        </w:rPr>
        <w:t xml:space="preserve">Murray cod </w:t>
      </w:r>
      <w:r>
        <w:rPr>
          <w:rFonts w:cs="GoudyOlSt BT"/>
          <w:color w:val="211D1E"/>
        </w:rPr>
        <w:t>are recorded</w:t>
      </w:r>
      <w:r w:rsidRPr="00B56493">
        <w:rPr>
          <w:rFonts w:cs="GoudyOlSt BT"/>
          <w:color w:val="211D1E"/>
        </w:rPr>
        <w:t xml:space="preserve"> as having the least tolerance to hypoxia out of all the large native fish species of Murray-Darling Basin </w:t>
      </w:r>
      <w:r w:rsidRPr="007274F0">
        <w:rPr>
          <w:rFonts w:cs="GoudyOlSt BT"/>
          <w:color w:val="211D1E"/>
        </w:rPr>
        <w:t>(Small et al.</w:t>
      </w:r>
      <w:r w:rsidRPr="007274F0">
        <w:rPr>
          <w:rFonts w:cs="GoudyOlSt BT"/>
          <w:i/>
          <w:iCs/>
          <w:color w:val="211D1E"/>
        </w:rPr>
        <w:t xml:space="preserve"> </w:t>
      </w:r>
      <w:r w:rsidRPr="007274F0">
        <w:rPr>
          <w:rFonts w:cs="GoudyOlSt BT"/>
          <w:color w:val="211D1E"/>
        </w:rPr>
        <w:t>2014).</w:t>
      </w:r>
      <w:r w:rsidRPr="00B56493">
        <w:rPr>
          <w:rFonts w:cs="GoudyOlSt BT"/>
          <w:color w:val="211D1E"/>
        </w:rPr>
        <w:t xml:space="preserve"> </w:t>
      </w:r>
      <w:r>
        <w:rPr>
          <w:rFonts w:cs="GoudyOlSt BT"/>
          <w:color w:val="211D1E"/>
        </w:rPr>
        <w:t>Therefore, a</w:t>
      </w:r>
      <w:r w:rsidRPr="00B56493">
        <w:rPr>
          <w:rFonts w:cs="GoudyOlSt BT"/>
          <w:color w:val="211D1E"/>
        </w:rPr>
        <w:t xml:space="preserve"> heavy load of </w:t>
      </w:r>
      <w:r w:rsidRPr="00B56493">
        <w:rPr>
          <w:rFonts w:cs="GoudyOlSt BT"/>
          <w:i/>
          <w:iCs/>
          <w:color w:val="211D1E"/>
        </w:rPr>
        <w:t>L</w:t>
      </w:r>
      <w:r>
        <w:rPr>
          <w:rFonts w:cs="GoudyOlSt BT"/>
          <w:i/>
          <w:iCs/>
          <w:color w:val="211D1E"/>
        </w:rPr>
        <w:t>ernaea</w:t>
      </w:r>
      <w:r w:rsidRPr="00044994">
        <w:rPr>
          <w:rFonts w:cs="GoudyOlSt BT"/>
          <w:color w:val="211D1E"/>
        </w:rPr>
        <w:t xml:space="preserve"> </w:t>
      </w:r>
      <w:r w:rsidRPr="00AF6B44">
        <w:rPr>
          <w:rFonts w:cs="GoudyOlSt BT"/>
          <w:color w:val="211D1E"/>
        </w:rPr>
        <w:t xml:space="preserve">in the gills may </w:t>
      </w:r>
      <w:r>
        <w:rPr>
          <w:rFonts w:cs="GoudyOlSt BT"/>
          <w:color w:val="211D1E"/>
        </w:rPr>
        <w:t xml:space="preserve">be a determining factor in </w:t>
      </w:r>
      <w:r w:rsidRPr="00AF6B44">
        <w:rPr>
          <w:rFonts w:cs="GoudyOlSt BT"/>
          <w:color w:val="211D1E"/>
        </w:rPr>
        <w:t xml:space="preserve">Murray cod </w:t>
      </w:r>
      <w:r>
        <w:rPr>
          <w:rFonts w:cs="GoudyOlSt BT"/>
          <w:color w:val="211D1E"/>
        </w:rPr>
        <w:t xml:space="preserve">(juveniles and adults) </w:t>
      </w:r>
      <w:r w:rsidRPr="00AF6B44">
        <w:rPr>
          <w:rFonts w:cs="GoudyOlSt BT"/>
          <w:color w:val="211D1E"/>
        </w:rPr>
        <w:t>surviving</w:t>
      </w:r>
      <w:r w:rsidRPr="00B56493">
        <w:rPr>
          <w:rFonts w:cs="GoudyOlSt BT"/>
          <w:color w:val="211D1E"/>
        </w:rPr>
        <w:t xml:space="preserve"> warm</w:t>
      </w:r>
      <w:r w:rsidR="00073D73">
        <w:rPr>
          <w:rFonts w:cs="GoudyOlSt BT"/>
          <w:color w:val="211D1E"/>
        </w:rPr>
        <w:t>,</w:t>
      </w:r>
      <w:r w:rsidRPr="00B56493">
        <w:rPr>
          <w:rFonts w:cs="GoudyOlSt BT"/>
          <w:color w:val="211D1E"/>
        </w:rPr>
        <w:t xml:space="preserve"> oxygen-depleted conditions</w:t>
      </w:r>
      <w:r>
        <w:rPr>
          <w:rFonts w:cs="GoudyOlSt BT"/>
          <w:color w:val="211D1E"/>
        </w:rPr>
        <w:t xml:space="preserve">. Such </w:t>
      </w:r>
      <w:r w:rsidRPr="00B56493">
        <w:rPr>
          <w:rFonts w:cs="GoudyOlSt BT"/>
          <w:color w:val="211D1E"/>
        </w:rPr>
        <w:t xml:space="preserve">conditions </w:t>
      </w:r>
      <w:r>
        <w:rPr>
          <w:rFonts w:cs="GoudyOlSt BT"/>
          <w:color w:val="211D1E"/>
        </w:rPr>
        <w:t xml:space="preserve">are only increasing under climate change </w:t>
      </w:r>
      <w:r w:rsidRPr="007274F0">
        <w:rPr>
          <w:rFonts w:cs="GoudyOlSt BT"/>
          <w:color w:val="211D1E"/>
        </w:rPr>
        <w:t xml:space="preserve">(Steffen </w:t>
      </w:r>
      <w:r w:rsidRPr="007274F0">
        <w:rPr>
          <w:rFonts w:cs="GoudyOlSt BT"/>
          <w:i/>
          <w:iCs/>
          <w:color w:val="211D1E"/>
        </w:rPr>
        <w:t xml:space="preserve">et al. </w:t>
      </w:r>
      <w:r w:rsidRPr="007274F0">
        <w:rPr>
          <w:rFonts w:cs="GoudyOlSt BT"/>
          <w:color w:val="211D1E"/>
        </w:rPr>
        <w:t>2018; BoM &amp; CSIRO 2022).</w:t>
      </w:r>
    </w:p>
    <w:p w14:paraId="15004FC4" w14:textId="68101CD8" w:rsidR="007826A0" w:rsidRDefault="00116A68" w:rsidP="00A2521C">
      <w:pPr>
        <w:pStyle w:val="Heading5"/>
      </w:pPr>
      <w:r>
        <w:t>Spawning and c</w:t>
      </w:r>
      <w:r w:rsidR="007826A0">
        <w:t xml:space="preserve">ritical habitat </w:t>
      </w:r>
    </w:p>
    <w:p w14:paraId="639B6824" w14:textId="12B15CB6" w:rsidR="00456036" w:rsidRDefault="00E6436C" w:rsidP="009B7D98">
      <w:r>
        <w:t>Spawning of Murray cod occurs in spring-early summer, irrespective of flow (Roland 1998)</w:t>
      </w:r>
      <w:r w:rsidR="004C70F6">
        <w:t>, however recruitment, particularly in the main channel of the ecological community, is more successful with increase</w:t>
      </w:r>
      <w:r w:rsidR="004E3365">
        <w:t>d</w:t>
      </w:r>
      <w:r w:rsidR="004C70F6">
        <w:t xml:space="preserve"> flow and flowing water habitat</w:t>
      </w:r>
      <w:r w:rsidR="002F73CA">
        <w:t xml:space="preserve"> (</w:t>
      </w:r>
      <w:r w:rsidR="00D524F6">
        <w:t>e.g. &gt; 20</w:t>
      </w:r>
      <w:r w:rsidR="00FD12E5">
        <w:t xml:space="preserve">,000 ML/d, </w:t>
      </w:r>
      <w:r w:rsidR="00F3217B">
        <w:t>Bice et al. 2017</w:t>
      </w:r>
      <w:r w:rsidR="002F73CA">
        <w:t>).</w:t>
      </w:r>
      <w:r w:rsidR="00FD4D14">
        <w:t xml:space="preserve"> </w:t>
      </w:r>
      <w:r w:rsidR="002F73CA">
        <w:t xml:space="preserve">A </w:t>
      </w:r>
      <w:r w:rsidR="00FD4D14">
        <w:t xml:space="preserve">2005–2009 </w:t>
      </w:r>
      <w:r w:rsidR="002F73CA">
        <w:t xml:space="preserve">survey </w:t>
      </w:r>
      <w:r w:rsidR="00FD4D14">
        <w:t>found that the fast-flowing aquatic mesohabitats of the Chowilla anabranch system have significantly higher relative abundances of Murray cod than other available habitats within the ecological community and may increase survival and recruitment to the adult population (Zampatti et al. 2008</w:t>
      </w:r>
      <w:r w:rsidR="00195564">
        <w:t xml:space="preserve">, </w:t>
      </w:r>
      <w:r w:rsidR="00FD4D14">
        <w:t>2011a, b;</w:t>
      </w:r>
      <w:r w:rsidR="00FD4D14" w:rsidRPr="006740F8">
        <w:t xml:space="preserve"> </w:t>
      </w:r>
      <w:r w:rsidR="00FD4D14">
        <w:t xml:space="preserve">Leigh and Zampatti </w:t>
      </w:r>
      <w:r w:rsidR="00426C75">
        <w:t xml:space="preserve">2011, </w:t>
      </w:r>
      <w:r w:rsidR="00FD4D14">
        <w:t>2012). The Chowilla region is the most structurally com</w:t>
      </w:r>
      <w:r w:rsidR="00FD4D14" w:rsidRPr="006740F8">
        <w:t>pl</w:t>
      </w:r>
      <w:r w:rsidR="00FD4D14">
        <w:t xml:space="preserve">ex within the ecological community, characterised by abundant </w:t>
      </w:r>
      <w:r w:rsidR="00280273">
        <w:t>instream woody habitat (IWH)</w:t>
      </w:r>
      <w:r w:rsidR="00FD4D14">
        <w:t xml:space="preserve"> and aquatic macrophytes in a range of slow- and fast-flowing anabranches and wetlands. </w:t>
      </w:r>
    </w:p>
    <w:p w14:paraId="3EAC1633" w14:textId="1FCF93D8" w:rsidR="00017066" w:rsidRDefault="00017066" w:rsidP="009B7D98">
      <w:r w:rsidRPr="007826A0">
        <w:t xml:space="preserve">Spatial and temporal scales of elevated flows may influence recruitment of Murray cod </w:t>
      </w:r>
      <w:r w:rsidR="00CF464B">
        <w:t xml:space="preserve">within the ecological community. </w:t>
      </w:r>
      <w:r w:rsidRPr="007826A0">
        <w:t xml:space="preserve">River Murray. Murray cod are capable of recruiting over mesohabitat scales (1–10 km) (Leigh and Zampatti 2011), and therefore, even small improvements in the extent of lotic and hydraulically diverse habitat may be beneficial. Strong recruitment events, however, are positively associated with elevated flows and widespread (10s–100s km) improvement in lotic and hydraulically diverse habitat (Ye </w:t>
      </w:r>
      <w:r w:rsidR="00F60C24">
        <w:t>&amp;</w:t>
      </w:r>
      <w:r w:rsidRPr="007826A0">
        <w:t xml:space="preserve"> Zampatti 2007). Timing may also be an important factor in the recruitment of Murray cod. Elevated flows in early spring that coincide with the spawning season may be associated with strong recruitment, whereas elevated flows after the spawning season may result in negligible recruitment (Ye et al. 2022).</w:t>
      </w:r>
      <w:r>
        <w:t xml:space="preserve"> </w:t>
      </w:r>
    </w:p>
    <w:p w14:paraId="56BD5D37" w14:textId="1C5077C6" w:rsidR="00533B72" w:rsidRDefault="00FF1D31" w:rsidP="002915A3">
      <w:pPr>
        <w:keepLines/>
      </w:pPr>
      <w:r>
        <w:t>In addition to supporting spawning and recruitment, such</w:t>
      </w:r>
      <w:r w:rsidR="00FD4D14">
        <w:t xml:space="preserve"> areas </w:t>
      </w:r>
      <w:r>
        <w:t xml:space="preserve">also </w:t>
      </w:r>
      <w:r w:rsidR="00FD4D14">
        <w:t xml:space="preserve">enhance foraging opportunities and provide refuge. Chowilla provides a drought refuge, conferring resilience on the regional Murray cod population by maintaining population structure and providing a source of colonists after disturbance (Pierce 1990 in Zampatti et al. 2011a; Zampatti et al. 2011a; Leigh </w:t>
      </w:r>
      <w:r w:rsidR="00733C0E">
        <w:t xml:space="preserve">&amp; </w:t>
      </w:r>
      <w:r w:rsidR="00FD4D14">
        <w:t>Zampatti 201</w:t>
      </w:r>
      <w:r w:rsidR="00682459">
        <w:t>2</w:t>
      </w:r>
      <w:r w:rsidR="00FD4D14">
        <w:t>).</w:t>
      </w:r>
      <w:r w:rsidR="00FD4D14" w:rsidRPr="006740F8">
        <w:t xml:space="preserve"> </w:t>
      </w:r>
      <w:r w:rsidR="005C6B19">
        <w:t>As such</w:t>
      </w:r>
      <w:r w:rsidR="00314448">
        <w:t>,</w:t>
      </w:r>
      <w:r w:rsidR="005C6B19">
        <w:t xml:space="preserve"> it is considered ‘critical habitat’</w:t>
      </w:r>
      <w:r w:rsidR="00F363DB">
        <w:t xml:space="preserve"> within the ecological community, as it would likely confer these attributes on other fauna.</w:t>
      </w:r>
      <w:r w:rsidR="00C16934">
        <w:t xml:space="preserve"> </w:t>
      </w:r>
    </w:p>
    <w:p w14:paraId="07DA60FC" w14:textId="77777777" w:rsidR="00A811AA" w:rsidRPr="008636C4" w:rsidRDefault="00A811AA" w:rsidP="00A2521C">
      <w:pPr>
        <w:pStyle w:val="Heading5"/>
      </w:pPr>
      <w:r w:rsidRPr="008636C4">
        <w:t>Escalating blackwater events</w:t>
      </w:r>
    </w:p>
    <w:p w14:paraId="4332BECB" w14:textId="77777777" w:rsidR="005A1D83" w:rsidRDefault="00A811AA" w:rsidP="0007778E">
      <w:pPr>
        <w:contextualSpacing/>
      </w:pPr>
      <w:r>
        <w:t>Following the drought-breaking floods of 2010–2011, the ecological community was impacted by a hypoxic ‘blackwater’ event</w:t>
      </w:r>
      <w:r w:rsidR="00F9470F">
        <w:t xml:space="preserve"> (e.g. ABC 2011)</w:t>
      </w:r>
      <w:r>
        <w:t xml:space="preserve">. A study tracking movements of Murray cod at that time recorded significant mortality of larger individuals, suggesting a substantial impact on Murray cod populations in the region (Leigh </w:t>
      </w:r>
      <w:r w:rsidR="006D40C3">
        <w:t>&amp;</w:t>
      </w:r>
      <w:r>
        <w:t xml:space="preserve"> Zampatti 201</w:t>
      </w:r>
      <w:r w:rsidR="00426C75">
        <w:t>3</w:t>
      </w:r>
      <w:r>
        <w:t xml:space="preserve">). Blackwater events are emerging as a recurrent and serious threat to Murray cod populations in the River Murray and other lowland rivers. Catastrophic blackwater fish-kills of Murray cod and other native species </w:t>
      </w:r>
      <w:r>
        <w:lastRenderedPageBreak/>
        <w:t xml:space="preserve">occurred in large sections of the River Murray in 2010–2012 (e.g. King et al. 2012), in 2016-17 (Ye et al. 2018), and again in 2020–22 (e.g. ABC 2022).  These large-scale, often catastrophic, blackwater events result from heavy organic loads from floodplains that are flushed infrequently. </w:t>
      </w:r>
    </w:p>
    <w:p w14:paraId="61FFC21C" w14:textId="77777777" w:rsidR="005A1D83" w:rsidRDefault="005A1D83" w:rsidP="00EF65AA">
      <w:pPr>
        <w:keepLines/>
        <w:contextualSpacing/>
      </w:pPr>
    </w:p>
    <w:p w14:paraId="5F378D03" w14:textId="0CCE50D5" w:rsidR="003F5E76" w:rsidRDefault="00A811AA" w:rsidP="00EF65AA">
      <w:pPr>
        <w:keepLines/>
        <w:contextualSpacing/>
      </w:pPr>
      <w:r>
        <w:t>Historically, prior to the contemporary combined impacts of river regulation, water extraction, and reduced rainfall and run-off, floodplains were flushed regularly (often annually) resulting in smaller organic loads to</w:t>
      </w:r>
      <w:r w:rsidR="00F30DFF">
        <w:t xml:space="preserve"> </w:t>
      </w:r>
      <w:r>
        <w:t xml:space="preserve">waterways when high flows occurred (Maheshwari et al. 1995, Steffen et al. 2018, CSIRO and BoM 2022). </w:t>
      </w:r>
    </w:p>
    <w:p w14:paraId="6F5639B3" w14:textId="7BE84B39" w:rsidR="003A2E02" w:rsidRPr="00DE1D78" w:rsidRDefault="00E51A51" w:rsidP="00A2521C">
      <w:pPr>
        <w:pStyle w:val="Heading5"/>
      </w:pPr>
      <w:r w:rsidRPr="00DE1D78">
        <w:t>Trends</w:t>
      </w:r>
    </w:p>
    <w:p w14:paraId="2AA3F4BE" w14:textId="764701DB" w:rsidR="00B05C91" w:rsidRDefault="00B05C91" w:rsidP="00B05C91">
      <w:r>
        <w:t>Since the late 1980s, there appears to have been low levels of recruitment or recruitment failure for Murray cod within the ecological community (Pierce 1990 in Zampatti et al. 2011a). Ye et al. (2000) also found that the fishery from 1994–2003 was mainly dependent on a few strong year classes, with a relatively low number of recruits. Ye and Zampatti (2007) found that larger individuals dominated the population and warned of a high risk of stock collapse unless further age classes could be added. A survey undertaken from 2002–10 (i.e. during the Millennium Drought</w:t>
      </w:r>
      <w:r w:rsidR="00336F9A">
        <w:t xml:space="preserve"> when flows were &lt;</w:t>
      </w:r>
      <w:r w:rsidR="000A3781">
        <w:t xml:space="preserve"> 10,000 ML/d</w:t>
      </w:r>
      <w:r>
        <w:t>) in the region from Lock 9 to Lock 6 found substantial declines in abundance, with little evidence of YOY (i.e. fish less than one year old) recruitment to the population, as well as age class fragmentation (Wallace 2010</w:t>
      </w:r>
      <w:r w:rsidR="00463FBE">
        <w:t>; Zampatti et al. 2014</w:t>
      </w:r>
      <w:r>
        <w:t xml:space="preserve">). This latter survey also found that the size-class distribution of common carp throughout the period indicated a strong and robust presence in this region. </w:t>
      </w:r>
    </w:p>
    <w:p w14:paraId="75E4388D" w14:textId="1E2A9ACC" w:rsidR="00C82697" w:rsidRDefault="00BA720B" w:rsidP="009132BE">
      <w:pPr>
        <w:rPr>
          <w:rFonts w:cs="Tahoma"/>
          <w:color w:val="000000" w:themeColor="text1"/>
          <w14:ligatures w14:val="standardContextual"/>
        </w:rPr>
      </w:pPr>
      <w:r>
        <w:rPr>
          <w:rFonts w:cs="Tahoma"/>
          <w:color w:val="000000" w:themeColor="text1"/>
          <w14:ligatures w14:val="standardContextual"/>
        </w:rPr>
        <w:t>Long-term monitorin</w:t>
      </w:r>
      <w:r w:rsidR="005653B4">
        <w:rPr>
          <w:rFonts w:cs="Tahoma"/>
          <w:color w:val="000000" w:themeColor="text1"/>
          <w14:ligatures w14:val="standardContextual"/>
        </w:rPr>
        <w:t>g</w:t>
      </w:r>
      <w:r>
        <w:rPr>
          <w:rFonts w:cs="Tahoma"/>
          <w:color w:val="000000" w:themeColor="text1"/>
          <w14:ligatures w14:val="standardContextual"/>
        </w:rPr>
        <w:t xml:space="preserve"> </w:t>
      </w:r>
      <w:r w:rsidR="00B67838">
        <w:rPr>
          <w:rFonts w:cs="Tahoma"/>
          <w:color w:val="000000" w:themeColor="text1"/>
          <w14:ligatures w14:val="standardContextual"/>
        </w:rPr>
        <w:t xml:space="preserve">of the South Australian River Murray </w:t>
      </w:r>
      <w:r w:rsidR="00A300CD">
        <w:rPr>
          <w:rFonts w:cs="Tahoma"/>
          <w:color w:val="000000" w:themeColor="text1"/>
          <w14:ligatures w14:val="standardContextual"/>
        </w:rPr>
        <w:t>(</w:t>
      </w:r>
      <w:r w:rsidR="00886840">
        <w:rPr>
          <w:rFonts w:cs="Tahoma"/>
          <w:color w:val="000000" w:themeColor="text1"/>
          <w14:ligatures w14:val="standardContextual"/>
        </w:rPr>
        <w:t xml:space="preserve">based on </w:t>
      </w:r>
      <w:r w:rsidR="004932C0">
        <w:rPr>
          <w:rFonts w:cs="Tahoma"/>
          <w:color w:val="000000" w:themeColor="text1"/>
          <w14:ligatures w14:val="standardContextual"/>
        </w:rPr>
        <w:t>electrofishing catch-per-unit-effort</w:t>
      </w:r>
      <w:r w:rsidR="00BA3AD4">
        <w:rPr>
          <w:rFonts w:cs="Tahoma"/>
          <w:color w:val="000000" w:themeColor="text1"/>
          <w14:ligatures w14:val="standardContextual"/>
        </w:rPr>
        <w:t xml:space="preserve"> </w:t>
      </w:r>
      <w:r w:rsidR="00DC31AC">
        <w:rPr>
          <w:rFonts w:cs="Tahoma"/>
          <w:color w:val="000000" w:themeColor="text1"/>
          <w14:ligatures w14:val="standardContextual"/>
        </w:rPr>
        <w:t xml:space="preserve">(CPUE) </w:t>
      </w:r>
      <w:r w:rsidR="00BA3AD4">
        <w:rPr>
          <w:rFonts w:cs="Tahoma"/>
          <w:color w:val="000000" w:themeColor="text1"/>
          <w14:ligatures w14:val="standardContextual"/>
        </w:rPr>
        <w:t>and drum netting</w:t>
      </w:r>
      <w:r w:rsidR="004932C0">
        <w:rPr>
          <w:rFonts w:cs="Tahoma"/>
          <w:color w:val="000000" w:themeColor="text1"/>
          <w14:ligatures w14:val="standardContextual"/>
        </w:rPr>
        <w:t xml:space="preserve">) </w:t>
      </w:r>
      <w:r w:rsidR="00B67838">
        <w:rPr>
          <w:rFonts w:cs="Tahoma"/>
          <w:color w:val="000000" w:themeColor="text1"/>
          <w14:ligatures w14:val="standardContextual"/>
        </w:rPr>
        <w:t xml:space="preserve">during </w:t>
      </w:r>
      <w:r w:rsidR="00BA3AD4">
        <w:rPr>
          <w:rFonts w:cs="Tahoma"/>
          <w:color w:val="000000" w:themeColor="text1"/>
          <w14:ligatures w14:val="standardContextual"/>
        </w:rPr>
        <w:t>2002</w:t>
      </w:r>
      <w:r w:rsidR="00DC31AC">
        <w:rPr>
          <w:rFonts w:cs="Tahoma"/>
          <w:color w:val="000000" w:themeColor="text1"/>
          <w14:ligatures w14:val="standardContextual"/>
        </w:rPr>
        <w:t>–</w:t>
      </w:r>
      <w:r w:rsidR="00BA3AD4">
        <w:rPr>
          <w:rFonts w:cs="Tahoma"/>
          <w:color w:val="000000" w:themeColor="text1"/>
          <w14:ligatures w14:val="standardContextual"/>
        </w:rPr>
        <w:t>2013 found</w:t>
      </w:r>
      <w:r w:rsidR="00216A5C">
        <w:rPr>
          <w:rFonts w:cs="Tahoma"/>
          <w:color w:val="000000" w:themeColor="text1"/>
          <w14:ligatures w14:val="standardContextual"/>
        </w:rPr>
        <w:t xml:space="preserve"> that relative abundance of Murray cod was low</w:t>
      </w:r>
      <w:r w:rsidR="0057495F">
        <w:rPr>
          <w:rFonts w:cs="Tahoma"/>
          <w:color w:val="000000" w:themeColor="text1"/>
          <w14:ligatures w14:val="standardContextual"/>
        </w:rPr>
        <w:t>, fish in main channel habitats were predominantly large (&gt;</w:t>
      </w:r>
      <w:r w:rsidR="005C13FA">
        <w:rPr>
          <w:rFonts w:cs="Tahoma"/>
          <w:color w:val="000000" w:themeColor="text1"/>
          <w14:ligatures w14:val="standardContextual"/>
        </w:rPr>
        <w:t xml:space="preserve"> 800 mm total length</w:t>
      </w:r>
      <w:r w:rsidR="00D5711C">
        <w:rPr>
          <w:rFonts w:cs="Tahoma"/>
          <w:color w:val="000000" w:themeColor="text1"/>
          <w14:ligatures w14:val="standardContextual"/>
        </w:rPr>
        <w:t xml:space="preserve"> (TL)</w:t>
      </w:r>
      <w:r w:rsidR="005C13FA">
        <w:rPr>
          <w:rFonts w:cs="Tahoma"/>
          <w:color w:val="000000" w:themeColor="text1"/>
          <w14:ligatures w14:val="standardContextual"/>
        </w:rPr>
        <w:t>)</w:t>
      </w:r>
      <w:r w:rsidR="00D27CCB">
        <w:rPr>
          <w:rFonts w:cs="Tahoma"/>
          <w:color w:val="000000" w:themeColor="text1"/>
          <w14:ligatures w14:val="standardContextual"/>
        </w:rPr>
        <w:t xml:space="preserve">, </w:t>
      </w:r>
      <w:r w:rsidR="008603E3">
        <w:rPr>
          <w:rFonts w:cs="Tahoma"/>
          <w:color w:val="000000" w:themeColor="text1"/>
          <w14:ligatures w14:val="standardContextual"/>
        </w:rPr>
        <w:t xml:space="preserve">and </w:t>
      </w:r>
      <w:r w:rsidR="008A02A4">
        <w:rPr>
          <w:rFonts w:cs="Tahoma"/>
          <w:color w:val="000000" w:themeColor="text1"/>
          <w14:ligatures w14:val="standardContextual"/>
        </w:rPr>
        <w:t>a broad range of age classes (8</w:t>
      </w:r>
      <w:r w:rsidR="00DC31AC">
        <w:rPr>
          <w:rFonts w:cs="Tahoma"/>
          <w:color w:val="000000" w:themeColor="text1"/>
          <w14:ligatures w14:val="standardContextual"/>
        </w:rPr>
        <w:t>–</w:t>
      </w:r>
      <w:r w:rsidR="008A02A4">
        <w:rPr>
          <w:rFonts w:cs="Tahoma"/>
          <w:color w:val="000000" w:themeColor="text1"/>
          <w14:ligatures w14:val="standardContextual"/>
        </w:rPr>
        <w:t>46 years)</w:t>
      </w:r>
      <w:r w:rsidR="00423768">
        <w:rPr>
          <w:rFonts w:cs="Tahoma"/>
          <w:color w:val="000000" w:themeColor="text1"/>
          <w14:ligatures w14:val="standardContextual"/>
        </w:rPr>
        <w:t xml:space="preserve"> </w:t>
      </w:r>
      <w:r w:rsidR="00AB79E5">
        <w:rPr>
          <w:rFonts w:cs="Tahoma"/>
          <w:color w:val="000000" w:themeColor="text1"/>
          <w14:ligatures w14:val="standardContextual"/>
        </w:rPr>
        <w:t xml:space="preserve">were present </w:t>
      </w:r>
      <w:r w:rsidR="00423768">
        <w:rPr>
          <w:rFonts w:cs="Tahoma"/>
          <w:color w:val="000000" w:themeColor="text1"/>
          <w14:ligatures w14:val="standardContextual"/>
        </w:rPr>
        <w:t>(Zampatti et al.</w:t>
      </w:r>
      <w:r w:rsidR="00DC31AC">
        <w:rPr>
          <w:rFonts w:cs="Tahoma"/>
          <w:color w:val="000000" w:themeColor="text1"/>
          <w14:ligatures w14:val="standardContextual"/>
        </w:rPr>
        <w:t xml:space="preserve"> </w:t>
      </w:r>
      <w:r w:rsidR="00E5002C">
        <w:rPr>
          <w:rFonts w:cs="Tahoma"/>
          <w:color w:val="000000" w:themeColor="text1"/>
          <w14:ligatures w14:val="standardContextual"/>
        </w:rPr>
        <w:t>2014).</w:t>
      </w:r>
      <w:r w:rsidR="00015FED">
        <w:rPr>
          <w:rFonts w:cs="Tahoma"/>
          <w:color w:val="000000" w:themeColor="text1"/>
          <w14:ligatures w14:val="standardContextual"/>
        </w:rPr>
        <w:t xml:space="preserve"> </w:t>
      </w:r>
      <w:r w:rsidR="008603E3">
        <w:rPr>
          <w:rFonts w:cs="Tahoma"/>
          <w:color w:val="000000" w:themeColor="text1"/>
          <w14:ligatures w14:val="standardContextual"/>
        </w:rPr>
        <w:t xml:space="preserve">Recruitment was minimal in the still waters of the main channel </w:t>
      </w:r>
      <w:r w:rsidR="00A07E83">
        <w:rPr>
          <w:rFonts w:cs="Tahoma"/>
          <w:color w:val="000000" w:themeColor="text1"/>
          <w14:ligatures w14:val="standardContextual"/>
        </w:rPr>
        <w:t>during this period which overlapped with</w:t>
      </w:r>
      <w:r w:rsidR="008603E3">
        <w:rPr>
          <w:rFonts w:cs="Tahoma"/>
          <w:color w:val="000000" w:themeColor="text1"/>
          <w14:ligatures w14:val="standardContextual"/>
        </w:rPr>
        <w:t xml:space="preserve"> the Millennium Drought</w:t>
      </w:r>
      <w:r w:rsidR="00702168">
        <w:rPr>
          <w:rFonts w:cs="Tahoma"/>
          <w:color w:val="000000" w:themeColor="text1"/>
          <w14:ligatures w14:val="standardContextual"/>
        </w:rPr>
        <w:t xml:space="preserve">, </w:t>
      </w:r>
      <w:r w:rsidR="00A8751C">
        <w:rPr>
          <w:rFonts w:cs="Tahoma"/>
          <w:color w:val="000000" w:themeColor="text1"/>
          <w14:ligatures w14:val="standardContextual"/>
        </w:rPr>
        <w:t>with</w:t>
      </w:r>
      <w:r w:rsidR="00702168">
        <w:rPr>
          <w:rFonts w:cs="Tahoma"/>
          <w:color w:val="000000" w:themeColor="text1"/>
          <w14:ligatures w14:val="standardContextual"/>
        </w:rPr>
        <w:t xml:space="preserve"> some occurring in the flowing water habitats of the Chowilla anabranch system (Zampatti et el. 2014).</w:t>
      </w:r>
      <w:r w:rsidR="00015FED">
        <w:rPr>
          <w:rFonts w:cs="Tahoma"/>
          <w:color w:val="000000" w:themeColor="text1"/>
          <w14:ligatures w14:val="standardContextual"/>
        </w:rPr>
        <w:t xml:space="preserve"> </w:t>
      </w:r>
      <w:r w:rsidR="00A8751C">
        <w:rPr>
          <w:rFonts w:cs="Tahoma"/>
          <w:color w:val="000000" w:themeColor="text1"/>
          <w14:ligatures w14:val="standardContextual"/>
        </w:rPr>
        <w:t xml:space="preserve">Despite this, </w:t>
      </w:r>
      <w:r w:rsidR="00B8568D">
        <w:rPr>
          <w:rFonts w:cs="Tahoma"/>
          <w:color w:val="000000" w:themeColor="text1"/>
          <w14:ligatures w14:val="standardContextual"/>
        </w:rPr>
        <w:t>some juvenile fish (&lt;</w:t>
      </w:r>
      <w:r w:rsidR="00CE56BC">
        <w:rPr>
          <w:rFonts w:cs="Tahoma"/>
          <w:color w:val="000000" w:themeColor="text1"/>
          <w14:ligatures w14:val="standardContextual"/>
        </w:rPr>
        <w:t xml:space="preserve"> </w:t>
      </w:r>
      <w:r w:rsidR="00B8568D">
        <w:rPr>
          <w:rFonts w:cs="Tahoma"/>
          <w:color w:val="000000" w:themeColor="text1"/>
          <w14:ligatures w14:val="standardContextual"/>
        </w:rPr>
        <w:t>500 mm TL) were collected in the</w:t>
      </w:r>
      <w:r w:rsidR="00CE56BC">
        <w:rPr>
          <w:rFonts w:cs="Tahoma"/>
          <w:color w:val="000000" w:themeColor="text1"/>
          <w14:ligatures w14:val="standardContextual"/>
        </w:rPr>
        <w:t xml:space="preserve"> main channel habitats in years following increases in river flow (e.g. 201</w:t>
      </w:r>
      <w:r w:rsidR="00FA6A21">
        <w:rPr>
          <w:rFonts w:cs="Tahoma"/>
          <w:color w:val="000000" w:themeColor="text1"/>
          <w14:ligatures w14:val="standardContextual"/>
        </w:rPr>
        <w:t>0–</w:t>
      </w:r>
      <w:r w:rsidR="00CE56BC">
        <w:rPr>
          <w:rFonts w:cs="Tahoma"/>
          <w:color w:val="000000" w:themeColor="text1"/>
          <w14:ligatures w14:val="standardContextual"/>
        </w:rPr>
        <w:t>12)</w:t>
      </w:r>
      <w:r w:rsidR="009D2019">
        <w:rPr>
          <w:rFonts w:cs="Tahoma"/>
          <w:color w:val="000000" w:themeColor="text1"/>
          <w14:ligatures w14:val="standardContextual"/>
        </w:rPr>
        <w:t xml:space="preserve"> (Zampatti et al. 2014)</w:t>
      </w:r>
      <w:r w:rsidR="00CE56BC">
        <w:rPr>
          <w:rFonts w:cs="Tahoma"/>
          <w:color w:val="000000" w:themeColor="text1"/>
          <w14:ligatures w14:val="standardContextual"/>
        </w:rPr>
        <w:t>.</w:t>
      </w:r>
      <w:r w:rsidR="00C744DC">
        <w:rPr>
          <w:rFonts w:cs="Tahoma"/>
          <w:color w:val="000000" w:themeColor="text1"/>
          <w14:ligatures w14:val="standardContextual"/>
        </w:rPr>
        <w:t xml:space="preserve"> </w:t>
      </w:r>
    </w:p>
    <w:p w14:paraId="0E6088D5" w14:textId="77777777" w:rsidR="008E530B" w:rsidRDefault="00647B0D" w:rsidP="002915A3">
      <w:pPr>
        <w:keepLines/>
        <w:rPr>
          <w:rFonts w:cs="Tahoma"/>
          <w:color w:val="000000" w:themeColor="text1"/>
          <w14:ligatures w14:val="standardContextual"/>
        </w:rPr>
      </w:pPr>
      <w:r>
        <w:rPr>
          <w:rFonts w:cs="Tahoma"/>
          <w:color w:val="000000" w:themeColor="text1"/>
          <w14:ligatures w14:val="standardContextual"/>
        </w:rPr>
        <w:t xml:space="preserve">Long-term monitoring </w:t>
      </w:r>
      <w:r w:rsidR="00DC31AC">
        <w:rPr>
          <w:rFonts w:cs="Tahoma"/>
          <w:color w:val="000000" w:themeColor="text1"/>
          <w14:ligatures w14:val="standardContextual"/>
        </w:rPr>
        <w:t xml:space="preserve">(electrofishing and CPUE) </w:t>
      </w:r>
      <w:r w:rsidR="00F90E38">
        <w:rPr>
          <w:rFonts w:cs="Tahoma"/>
          <w:color w:val="000000" w:themeColor="text1"/>
          <w14:ligatures w14:val="standardContextual"/>
        </w:rPr>
        <w:t xml:space="preserve">during </w:t>
      </w:r>
      <w:r w:rsidR="00DC31AC">
        <w:rPr>
          <w:rFonts w:cs="Tahoma"/>
          <w:color w:val="000000" w:themeColor="text1"/>
          <w14:ligatures w14:val="standardContextual"/>
        </w:rPr>
        <w:t>2014–20</w:t>
      </w:r>
      <w:r w:rsidR="003E5844">
        <w:rPr>
          <w:rFonts w:cs="Tahoma"/>
          <w:color w:val="000000" w:themeColor="text1"/>
          <w14:ligatures w14:val="standardContextual"/>
        </w:rPr>
        <w:t xml:space="preserve"> detected some </w:t>
      </w:r>
      <w:r w:rsidR="000B55B5">
        <w:rPr>
          <w:rFonts w:cs="Tahoma"/>
          <w:color w:val="000000" w:themeColor="text1"/>
          <w14:ligatures w14:val="standardContextual"/>
        </w:rPr>
        <w:t>annual recruitment in the main channel</w:t>
      </w:r>
      <w:r w:rsidR="00026494">
        <w:rPr>
          <w:rFonts w:cs="Tahoma"/>
          <w:color w:val="000000" w:themeColor="text1"/>
          <w14:ligatures w14:val="standardContextual"/>
        </w:rPr>
        <w:t xml:space="preserve"> in most years</w:t>
      </w:r>
      <w:r w:rsidR="000B55B5">
        <w:rPr>
          <w:rFonts w:cs="Tahoma"/>
          <w:color w:val="000000" w:themeColor="text1"/>
          <w14:ligatures w14:val="standardContextual"/>
        </w:rPr>
        <w:t>, with cohorts persisting in subsequent years</w:t>
      </w:r>
      <w:r w:rsidR="00F96799">
        <w:rPr>
          <w:rFonts w:cs="Tahoma"/>
          <w:color w:val="000000" w:themeColor="text1"/>
          <w14:ligatures w14:val="standardContextual"/>
        </w:rPr>
        <w:t xml:space="preserve">, and overall, </w:t>
      </w:r>
      <w:r w:rsidR="007E3731">
        <w:rPr>
          <w:rFonts w:cs="Tahoma"/>
          <w:color w:val="000000" w:themeColor="text1"/>
          <w14:ligatures w14:val="standardContextual"/>
        </w:rPr>
        <w:t xml:space="preserve">there was </w:t>
      </w:r>
      <w:r w:rsidR="00F96799">
        <w:rPr>
          <w:rFonts w:cs="Tahoma"/>
          <w:color w:val="000000" w:themeColor="text1"/>
          <w14:ligatures w14:val="standardContextual"/>
        </w:rPr>
        <w:t>a slight increase in abundance</w:t>
      </w:r>
      <w:r w:rsidR="000B55B5">
        <w:rPr>
          <w:rFonts w:cs="Tahoma"/>
          <w:color w:val="000000" w:themeColor="text1"/>
          <w14:ligatures w14:val="standardContextual"/>
        </w:rPr>
        <w:t xml:space="preserve"> (Ye et al. 2021</w:t>
      </w:r>
      <w:r w:rsidR="001F1825">
        <w:rPr>
          <w:rFonts w:cs="Tahoma"/>
          <w:color w:val="000000" w:themeColor="text1"/>
          <w14:ligatures w14:val="standardContextual"/>
        </w:rPr>
        <w:t>, 2022</w:t>
      </w:r>
      <w:r w:rsidR="000B55B5">
        <w:rPr>
          <w:rFonts w:cs="Tahoma"/>
          <w:color w:val="000000" w:themeColor="text1"/>
          <w14:ligatures w14:val="standardContextual"/>
        </w:rPr>
        <w:t>)</w:t>
      </w:r>
      <w:r w:rsidR="00E44C48">
        <w:rPr>
          <w:rFonts w:cs="Tahoma"/>
          <w:color w:val="000000" w:themeColor="text1"/>
          <w14:ligatures w14:val="standardContextual"/>
        </w:rPr>
        <w:t>.</w:t>
      </w:r>
      <w:r w:rsidR="00D005B8">
        <w:rPr>
          <w:rFonts w:cs="Tahoma"/>
          <w:color w:val="000000" w:themeColor="text1"/>
          <w14:ligatures w14:val="standardContextual"/>
        </w:rPr>
        <w:t xml:space="preserve"> </w:t>
      </w:r>
      <w:r w:rsidR="00AA3E37">
        <w:t xml:space="preserve">Long-term monitoring in the Chowilla Anabranch found recruitment to have continually improved </w:t>
      </w:r>
      <w:r w:rsidR="00355B3D">
        <w:t>over</w:t>
      </w:r>
      <w:r w:rsidR="00AA3E37" w:rsidRPr="00AA3E37">
        <w:t>2014</w:t>
      </w:r>
      <w:r w:rsidR="00AA3E37">
        <w:rPr>
          <w:rFonts w:cs="Tahoma"/>
          <w:color w:val="000000" w:themeColor="text1"/>
          <w14:ligatures w14:val="standardContextual"/>
        </w:rPr>
        <w:t>–</w:t>
      </w:r>
      <w:r w:rsidR="00AA3E37" w:rsidRPr="00AA3E37">
        <w:t>2020 (Fredberg et al. 2022)</w:t>
      </w:r>
      <w:r w:rsidR="001A6A0D">
        <w:t>; this further supports its value as a critical habitat within the ecological community</w:t>
      </w:r>
      <w:r w:rsidR="00AA3E37" w:rsidRPr="00AA3E37">
        <w:t>.</w:t>
      </w:r>
      <w:r w:rsidR="007F0D4A">
        <w:rPr>
          <w:rFonts w:cs="Tahoma"/>
          <w:color w:val="000000" w:themeColor="text1"/>
          <w14:ligatures w14:val="standardContextual"/>
        </w:rPr>
        <w:t xml:space="preserve"> </w:t>
      </w:r>
    </w:p>
    <w:p w14:paraId="4CF6E160" w14:textId="0B7243FC" w:rsidR="009132BE" w:rsidRDefault="00C2363C" w:rsidP="00EF65AA">
      <w:pPr>
        <w:keepLines/>
        <w:rPr>
          <w:rFonts w:cs="Tahoma"/>
          <w:color w:val="000000" w:themeColor="text1"/>
          <w14:ligatures w14:val="standardContextual"/>
        </w:rPr>
      </w:pPr>
      <w:r>
        <w:rPr>
          <w:rFonts w:cs="Tahoma"/>
          <w:color w:val="000000" w:themeColor="text1"/>
          <w14:ligatures w14:val="standardContextual"/>
        </w:rPr>
        <w:t xml:space="preserve">Results of </w:t>
      </w:r>
      <w:r w:rsidR="00D676D5">
        <w:rPr>
          <w:rFonts w:cs="Tahoma"/>
          <w:color w:val="000000" w:themeColor="text1"/>
          <w14:ligatures w14:val="standardContextual"/>
        </w:rPr>
        <w:t xml:space="preserve">monitoring in </w:t>
      </w:r>
      <w:r w:rsidR="0028014F">
        <w:rPr>
          <w:rFonts w:cs="Tahoma"/>
          <w:color w:val="000000" w:themeColor="text1"/>
          <w14:ligatures w14:val="standardContextual"/>
        </w:rPr>
        <w:t>2020-21 revealed a diverse length-frequency of Murray cod, which Ye et al</w:t>
      </w:r>
      <w:r w:rsidR="007C30B9">
        <w:rPr>
          <w:rFonts w:cs="Tahoma"/>
          <w:color w:val="000000" w:themeColor="text1"/>
          <w14:ligatures w14:val="standardContextual"/>
        </w:rPr>
        <w:t>.</w:t>
      </w:r>
      <w:r w:rsidR="0028014F">
        <w:rPr>
          <w:rFonts w:cs="Tahoma"/>
          <w:color w:val="000000" w:themeColor="text1"/>
          <w14:ligatures w14:val="standardContextual"/>
        </w:rPr>
        <w:t xml:space="preserve"> (2022) suggest reflect</w:t>
      </w:r>
      <w:r w:rsidR="006724D0">
        <w:rPr>
          <w:rFonts w:cs="Tahoma"/>
          <w:color w:val="000000" w:themeColor="text1"/>
          <w14:ligatures w14:val="standardContextual"/>
        </w:rPr>
        <w:t>ed</w:t>
      </w:r>
      <w:r w:rsidR="0028014F">
        <w:rPr>
          <w:rFonts w:cs="Tahoma"/>
          <w:color w:val="000000" w:themeColor="text1"/>
          <w14:ligatures w14:val="standardContextual"/>
        </w:rPr>
        <w:t xml:space="preserve"> a healthier and more resilient population age structure.</w:t>
      </w:r>
      <w:r w:rsidR="008D6C7C">
        <w:rPr>
          <w:rFonts w:cs="Tahoma"/>
          <w:color w:val="000000" w:themeColor="text1"/>
          <w14:ligatures w14:val="standardContextual"/>
        </w:rPr>
        <w:t xml:space="preserve"> </w:t>
      </w:r>
      <w:r w:rsidR="00E6053C" w:rsidRPr="004D31BC">
        <w:t xml:space="preserve">Improvement in population age structure of Murray cod in the SA River Murray </w:t>
      </w:r>
      <w:r w:rsidR="008D6C7C">
        <w:t xml:space="preserve">is </w:t>
      </w:r>
      <w:r w:rsidR="00E6053C" w:rsidRPr="004D31BC">
        <w:t xml:space="preserve">hypothesised to be in response to elevated spring–summer flows, either in-channel or overbank, that has increased the extent of lotic habitat (Ye et al. 2022). </w:t>
      </w:r>
      <w:r w:rsidR="007E3731">
        <w:rPr>
          <w:rFonts w:cs="Tahoma"/>
          <w:color w:val="000000" w:themeColor="text1"/>
          <w14:ligatures w14:val="standardContextual"/>
        </w:rPr>
        <w:t xml:space="preserve">However, </w:t>
      </w:r>
      <w:r w:rsidR="00574F87">
        <w:rPr>
          <w:rFonts w:cs="Tahoma"/>
          <w:color w:val="000000" w:themeColor="text1"/>
          <w14:ligatures w14:val="standardContextual"/>
        </w:rPr>
        <w:t xml:space="preserve">monitoring undertaken </w:t>
      </w:r>
      <w:r w:rsidR="007E3731">
        <w:rPr>
          <w:rFonts w:cs="Tahoma"/>
          <w:color w:val="000000" w:themeColor="text1"/>
          <w14:ligatures w14:val="standardContextual"/>
        </w:rPr>
        <w:t xml:space="preserve">in </w:t>
      </w:r>
      <w:r w:rsidR="00B40B17">
        <w:rPr>
          <w:rFonts w:cs="Tahoma"/>
          <w:color w:val="000000" w:themeColor="text1"/>
          <w14:ligatures w14:val="standardContextual"/>
        </w:rPr>
        <w:t>20</w:t>
      </w:r>
      <w:r w:rsidR="00EE272F">
        <w:rPr>
          <w:rFonts w:cs="Tahoma"/>
          <w:color w:val="000000" w:themeColor="text1"/>
          <w14:ligatures w14:val="standardContextual"/>
        </w:rPr>
        <w:t>21</w:t>
      </w:r>
      <w:r w:rsidR="00971BE2">
        <w:rPr>
          <w:rFonts w:cs="Tahoma"/>
          <w:color w:val="000000" w:themeColor="text1"/>
          <w14:ligatures w14:val="standardContextual"/>
        </w:rPr>
        <w:t>–</w:t>
      </w:r>
      <w:r w:rsidR="00EE272F">
        <w:rPr>
          <w:rFonts w:cs="Tahoma"/>
          <w:color w:val="000000" w:themeColor="text1"/>
          <w14:ligatures w14:val="standardContextual"/>
        </w:rPr>
        <w:t xml:space="preserve">22 </w:t>
      </w:r>
      <w:r w:rsidR="006D43DF">
        <w:rPr>
          <w:rFonts w:cs="Tahoma"/>
          <w:color w:val="000000" w:themeColor="text1"/>
          <w14:ligatures w14:val="standardContextual"/>
        </w:rPr>
        <w:t xml:space="preserve">also </w:t>
      </w:r>
      <w:r w:rsidR="00574F87">
        <w:rPr>
          <w:rFonts w:cs="Tahoma"/>
          <w:color w:val="000000" w:themeColor="text1"/>
          <w14:ligatures w14:val="standardContextual"/>
        </w:rPr>
        <w:t xml:space="preserve">found </w:t>
      </w:r>
      <w:r w:rsidR="006D43DF">
        <w:rPr>
          <w:rFonts w:cs="Tahoma"/>
          <w:color w:val="000000" w:themeColor="text1"/>
          <w14:ligatures w14:val="standardContextual"/>
        </w:rPr>
        <w:t xml:space="preserve">that </w:t>
      </w:r>
      <w:r w:rsidR="00EE272F">
        <w:rPr>
          <w:rFonts w:cs="Tahoma"/>
          <w:color w:val="000000" w:themeColor="text1"/>
          <w14:ligatures w14:val="standardContextual"/>
        </w:rPr>
        <w:t xml:space="preserve">Murray cod recruitment </w:t>
      </w:r>
      <w:r w:rsidR="007F0D4A">
        <w:rPr>
          <w:rFonts w:cs="Tahoma"/>
          <w:color w:val="000000" w:themeColor="text1"/>
          <w14:ligatures w14:val="standardContextual"/>
        </w:rPr>
        <w:t xml:space="preserve">in the </w:t>
      </w:r>
      <w:r w:rsidR="00EE272F">
        <w:rPr>
          <w:rFonts w:cs="Tahoma"/>
          <w:color w:val="000000" w:themeColor="text1"/>
          <w14:ligatures w14:val="standardContextual"/>
        </w:rPr>
        <w:t>was relatively low</w:t>
      </w:r>
      <w:r w:rsidR="000F5092">
        <w:rPr>
          <w:rFonts w:cs="Tahoma"/>
          <w:color w:val="000000" w:themeColor="text1"/>
          <w14:ligatures w14:val="standardContextual"/>
        </w:rPr>
        <w:t>, despite good flows</w:t>
      </w:r>
      <w:r w:rsidR="00C82697">
        <w:rPr>
          <w:rFonts w:cs="Tahoma"/>
          <w:color w:val="000000" w:themeColor="text1"/>
          <w14:ligatures w14:val="standardContextual"/>
        </w:rPr>
        <w:t xml:space="preserve"> </w:t>
      </w:r>
      <w:r w:rsidR="000A667D">
        <w:rPr>
          <w:rFonts w:cs="Tahoma"/>
          <w:color w:val="000000" w:themeColor="text1"/>
          <w14:ligatures w14:val="standardContextual"/>
        </w:rPr>
        <w:t xml:space="preserve">of </w:t>
      </w:r>
      <w:r w:rsidR="00C53BC5">
        <w:rPr>
          <w:rFonts w:cs="Tahoma"/>
          <w:color w:val="000000" w:themeColor="text1"/>
          <w14:ligatures w14:val="standardContextual"/>
        </w:rPr>
        <w:t>20,000</w:t>
      </w:r>
      <w:r w:rsidR="007D0EA2">
        <w:rPr>
          <w:rFonts w:cs="Tahoma"/>
          <w:color w:val="000000" w:themeColor="text1"/>
          <w14:ligatures w14:val="standardContextual"/>
        </w:rPr>
        <w:t>–</w:t>
      </w:r>
      <w:r w:rsidR="00C53BC5">
        <w:rPr>
          <w:rFonts w:cs="Tahoma"/>
          <w:color w:val="000000" w:themeColor="text1"/>
          <w14:ligatures w14:val="standardContextual"/>
        </w:rPr>
        <w:t>45</w:t>
      </w:r>
      <w:r w:rsidR="007D0EA2">
        <w:rPr>
          <w:rFonts w:cs="Tahoma"/>
          <w:color w:val="000000" w:themeColor="text1"/>
          <w14:ligatures w14:val="standardContextual"/>
        </w:rPr>
        <w:t>,000</w:t>
      </w:r>
      <w:r w:rsidR="000A667D">
        <w:rPr>
          <w:rFonts w:cs="Tahoma"/>
          <w:color w:val="000000" w:themeColor="text1"/>
          <w14:ligatures w14:val="standardContextual"/>
        </w:rPr>
        <w:t xml:space="preserve"> </w:t>
      </w:r>
      <w:r w:rsidR="007D0EA2">
        <w:rPr>
          <w:rFonts w:cs="Tahoma"/>
          <w:color w:val="000000" w:themeColor="text1"/>
          <w14:ligatures w14:val="standardContextual"/>
        </w:rPr>
        <w:t>ML/d</w:t>
      </w:r>
      <w:r w:rsidR="000A667D">
        <w:rPr>
          <w:rFonts w:cs="Tahoma"/>
          <w:color w:val="000000" w:themeColor="text1"/>
          <w14:ligatures w14:val="standardContextual"/>
        </w:rPr>
        <w:t xml:space="preserve"> (</w:t>
      </w:r>
      <w:r w:rsidR="00443775">
        <w:rPr>
          <w:rFonts w:cs="Tahoma"/>
          <w:color w:val="000000" w:themeColor="text1"/>
          <w14:ligatures w14:val="standardContextual"/>
        </w:rPr>
        <w:t xml:space="preserve">Ye et al. </w:t>
      </w:r>
      <w:r w:rsidR="000B70B0">
        <w:rPr>
          <w:rFonts w:cs="Tahoma"/>
          <w:color w:val="000000" w:themeColor="text1"/>
          <w14:ligatures w14:val="standardContextual"/>
        </w:rPr>
        <w:t>2023). Of note</w:t>
      </w:r>
      <w:r w:rsidR="000A667D">
        <w:rPr>
          <w:rFonts w:cs="Tahoma"/>
          <w:color w:val="000000" w:themeColor="text1"/>
          <w14:ligatures w14:val="standardContextual"/>
        </w:rPr>
        <w:t>,</w:t>
      </w:r>
      <w:r w:rsidR="000870C0">
        <w:rPr>
          <w:rFonts w:cs="Tahoma"/>
          <w:color w:val="000000" w:themeColor="text1"/>
          <w14:ligatures w14:val="standardContextual"/>
        </w:rPr>
        <w:t xml:space="preserve"> however</w:t>
      </w:r>
      <w:r w:rsidR="000B70B0">
        <w:rPr>
          <w:rFonts w:cs="Tahoma"/>
          <w:color w:val="000000" w:themeColor="text1"/>
          <w14:ligatures w14:val="standardContextual"/>
        </w:rPr>
        <w:t xml:space="preserve">, was </w:t>
      </w:r>
      <w:r w:rsidR="00F50339">
        <w:rPr>
          <w:rFonts w:cs="Tahoma"/>
          <w:color w:val="000000" w:themeColor="text1"/>
          <w14:ligatures w14:val="standardContextual"/>
        </w:rPr>
        <w:t>the persistence of 2+ year olds</w:t>
      </w:r>
      <w:r w:rsidR="00971BE2">
        <w:rPr>
          <w:rFonts w:cs="Tahoma"/>
          <w:color w:val="000000" w:themeColor="text1"/>
          <w14:ligatures w14:val="standardContextual"/>
        </w:rPr>
        <w:t xml:space="preserve"> (48% of the sampled population in 2022) born in 2019–20 during environmental water delivery</w:t>
      </w:r>
      <w:r w:rsidR="00FD6222">
        <w:rPr>
          <w:rFonts w:cs="Tahoma"/>
          <w:color w:val="000000" w:themeColor="text1"/>
          <w14:ligatures w14:val="standardContextual"/>
        </w:rPr>
        <w:t xml:space="preserve"> which</w:t>
      </w:r>
      <w:r w:rsidR="00D80481">
        <w:rPr>
          <w:rFonts w:cs="Tahoma"/>
          <w:color w:val="000000" w:themeColor="text1"/>
          <w14:ligatures w14:val="standardContextual"/>
        </w:rPr>
        <w:t xml:space="preserve"> </w:t>
      </w:r>
      <w:r w:rsidR="008607CE">
        <w:rPr>
          <w:rFonts w:cs="Tahoma"/>
          <w:color w:val="000000" w:themeColor="text1"/>
          <w14:ligatures w14:val="standardContextual"/>
        </w:rPr>
        <w:t>is expected to</w:t>
      </w:r>
      <w:r w:rsidR="00D80481">
        <w:rPr>
          <w:rFonts w:cs="Tahoma"/>
          <w:color w:val="000000" w:themeColor="text1"/>
          <w14:ligatures w14:val="standardContextual"/>
        </w:rPr>
        <w:t xml:space="preserve"> contribute to population resilience (</w:t>
      </w:r>
      <w:r w:rsidR="005475D5">
        <w:rPr>
          <w:rFonts w:cs="Tahoma"/>
          <w:color w:val="000000" w:themeColor="text1"/>
          <w14:ligatures w14:val="standardContextual"/>
        </w:rPr>
        <w:t xml:space="preserve">Ye et al. </w:t>
      </w:r>
      <w:r w:rsidR="00264F5E">
        <w:rPr>
          <w:rFonts w:cs="Tahoma"/>
          <w:color w:val="000000" w:themeColor="text1"/>
          <w14:ligatures w14:val="standardContextual"/>
        </w:rPr>
        <w:t xml:space="preserve">2022, </w:t>
      </w:r>
      <w:r w:rsidR="00D80481">
        <w:rPr>
          <w:rFonts w:cs="Tahoma"/>
          <w:color w:val="000000" w:themeColor="text1"/>
          <w14:ligatures w14:val="standardContextual"/>
        </w:rPr>
        <w:t>2023).</w:t>
      </w:r>
      <w:r w:rsidR="003A54E9">
        <w:rPr>
          <w:rFonts w:cs="Tahoma"/>
          <w:color w:val="000000" w:themeColor="text1"/>
          <w14:ligatures w14:val="standardContextual"/>
        </w:rPr>
        <w:t xml:space="preserve"> </w:t>
      </w:r>
    </w:p>
    <w:p w14:paraId="519946D0" w14:textId="39CDCC21" w:rsidR="00297A28" w:rsidRPr="00297A28" w:rsidRDefault="00297A28" w:rsidP="00A2521C">
      <w:pPr>
        <w:pStyle w:val="Heading5"/>
      </w:pPr>
      <w:r w:rsidRPr="00297A28">
        <w:lastRenderedPageBreak/>
        <w:t>Status</w:t>
      </w:r>
    </w:p>
    <w:p w14:paraId="45FBBE3F" w14:textId="5F836F0D" w:rsidR="00297A28" w:rsidRDefault="002D1BC2" w:rsidP="00297A28">
      <w:pPr>
        <w:rPr>
          <w:rFonts w:cs="Tahoma"/>
          <w:color w:val="000000" w:themeColor="text1"/>
          <w14:ligatures w14:val="standardContextual"/>
        </w:rPr>
      </w:pPr>
      <w:r>
        <w:rPr>
          <w:rFonts w:cs="Tahoma"/>
          <w:color w:val="000000" w:themeColor="text1"/>
          <w14:ligatures w14:val="standardContextual"/>
        </w:rPr>
        <w:t xml:space="preserve">The above evidence suggests that while </w:t>
      </w:r>
      <w:r w:rsidR="00D005B8">
        <w:rPr>
          <w:rFonts w:cs="Tahoma"/>
          <w:color w:val="000000" w:themeColor="text1"/>
          <w14:ligatures w14:val="standardContextual"/>
        </w:rPr>
        <w:t xml:space="preserve">there may be a fairly stable adult population </w:t>
      </w:r>
      <w:r w:rsidR="00847648">
        <w:rPr>
          <w:rFonts w:cs="Tahoma"/>
          <w:color w:val="000000" w:themeColor="text1"/>
          <w14:ligatures w14:val="standardContextual"/>
        </w:rPr>
        <w:t xml:space="preserve">of Murray cod in the </w:t>
      </w:r>
      <w:r w:rsidR="00362886">
        <w:rPr>
          <w:rFonts w:cs="Tahoma"/>
          <w:color w:val="000000" w:themeColor="text1"/>
          <w14:ligatures w14:val="standardContextual"/>
        </w:rPr>
        <w:t xml:space="preserve">South Australian </w:t>
      </w:r>
      <w:r w:rsidR="00847648">
        <w:rPr>
          <w:rFonts w:cs="Tahoma"/>
          <w:color w:val="000000" w:themeColor="text1"/>
          <w14:ligatures w14:val="standardContextual"/>
        </w:rPr>
        <w:t xml:space="preserve">River Murray </w:t>
      </w:r>
      <w:r w:rsidR="00D005B8">
        <w:rPr>
          <w:rFonts w:cs="Tahoma"/>
          <w:color w:val="000000" w:themeColor="text1"/>
          <w14:ligatures w14:val="standardContextual"/>
        </w:rPr>
        <w:t>at present</w:t>
      </w:r>
      <w:r w:rsidR="00362886">
        <w:rPr>
          <w:rFonts w:cs="Tahoma"/>
          <w:color w:val="000000" w:themeColor="text1"/>
          <w14:ligatures w14:val="standardContextual"/>
        </w:rPr>
        <w:t xml:space="preserve">, possibly including </w:t>
      </w:r>
      <w:r w:rsidR="004D0BE7" w:rsidRPr="00362886">
        <w:rPr>
          <w:rFonts w:cs="Tahoma"/>
          <w:color w:val="000000" w:themeColor="text1"/>
          <w14:ligatures w14:val="standardContextual"/>
        </w:rPr>
        <w:t>a more robust age structure</w:t>
      </w:r>
      <w:r w:rsidR="00D005B8">
        <w:rPr>
          <w:rFonts w:cs="Tahoma"/>
          <w:color w:val="000000" w:themeColor="text1"/>
          <w14:ligatures w14:val="standardContextual"/>
        </w:rPr>
        <w:t xml:space="preserve">, </w:t>
      </w:r>
      <w:r w:rsidR="00AD0664">
        <w:rPr>
          <w:rFonts w:cs="Tahoma"/>
          <w:color w:val="000000" w:themeColor="text1"/>
          <w14:ligatures w14:val="standardContextual"/>
        </w:rPr>
        <w:t>overall abundance remains low</w:t>
      </w:r>
      <w:r w:rsidR="00847648">
        <w:rPr>
          <w:rFonts w:cs="Tahoma"/>
          <w:color w:val="000000" w:themeColor="text1"/>
          <w14:ligatures w14:val="standardContextual"/>
        </w:rPr>
        <w:t xml:space="preserve"> and</w:t>
      </w:r>
      <w:r w:rsidR="00AD0664">
        <w:rPr>
          <w:rFonts w:cs="Tahoma"/>
          <w:color w:val="000000" w:themeColor="text1"/>
          <w14:ligatures w14:val="standardContextual"/>
        </w:rPr>
        <w:t xml:space="preserve"> </w:t>
      </w:r>
      <w:r w:rsidR="00447CD6">
        <w:rPr>
          <w:rFonts w:cs="Tahoma"/>
          <w:color w:val="000000" w:themeColor="text1"/>
          <w14:ligatures w14:val="standardContextual"/>
        </w:rPr>
        <w:t xml:space="preserve">recruitment is only </w:t>
      </w:r>
      <w:r w:rsidR="00D005B8">
        <w:rPr>
          <w:rFonts w:cs="Tahoma"/>
          <w:color w:val="000000" w:themeColor="text1"/>
          <w14:ligatures w14:val="standardContextual"/>
        </w:rPr>
        <w:t>periodic</w:t>
      </w:r>
      <w:r w:rsidR="00447CD6">
        <w:rPr>
          <w:rFonts w:cs="Tahoma"/>
          <w:color w:val="000000" w:themeColor="text1"/>
          <w14:ligatures w14:val="standardContextual"/>
        </w:rPr>
        <w:t>ally</w:t>
      </w:r>
      <w:r w:rsidR="00D005B8">
        <w:rPr>
          <w:rFonts w:cs="Tahoma"/>
          <w:color w:val="000000" w:themeColor="text1"/>
          <w14:ligatures w14:val="standardContextual"/>
        </w:rPr>
        <w:t xml:space="preserve"> successful</w:t>
      </w:r>
      <w:r w:rsidR="00506A8E">
        <w:rPr>
          <w:rFonts w:cs="Tahoma"/>
          <w:color w:val="000000" w:themeColor="text1"/>
          <w14:ligatures w14:val="standardContextual"/>
        </w:rPr>
        <w:t xml:space="preserve"> (</w:t>
      </w:r>
      <w:r w:rsidR="00E94744">
        <w:rPr>
          <w:rFonts w:cs="Tahoma"/>
          <w:color w:val="000000" w:themeColor="text1"/>
          <w14:ligatures w14:val="standardContextual"/>
        </w:rPr>
        <w:t>Ye et al. 2021</w:t>
      </w:r>
      <w:r w:rsidR="00EA20A0">
        <w:rPr>
          <w:rFonts w:cs="Tahoma"/>
          <w:color w:val="000000" w:themeColor="text1"/>
          <w14:ligatures w14:val="standardContextual"/>
        </w:rPr>
        <w:t>, 2022</w:t>
      </w:r>
      <w:r w:rsidR="00362886">
        <w:rPr>
          <w:rFonts w:cs="Tahoma"/>
          <w:color w:val="000000" w:themeColor="text1"/>
          <w14:ligatures w14:val="standardContextual"/>
        </w:rPr>
        <w:t>, 2023</w:t>
      </w:r>
      <w:r w:rsidR="00E94744">
        <w:rPr>
          <w:rFonts w:cs="Tahoma"/>
          <w:color w:val="000000" w:themeColor="text1"/>
          <w14:ligatures w14:val="standardContextual"/>
        </w:rPr>
        <w:t xml:space="preserve">; </w:t>
      </w:r>
      <w:r w:rsidR="00506A8E">
        <w:rPr>
          <w:rFonts w:cs="Tahoma"/>
          <w:color w:val="000000" w:themeColor="text1"/>
          <w14:ligatures w14:val="standardContextual"/>
        </w:rPr>
        <w:t>DEW 2023</w:t>
      </w:r>
      <w:r w:rsidR="00954110">
        <w:rPr>
          <w:rFonts w:cs="Tahoma"/>
          <w:color w:val="000000" w:themeColor="text1"/>
          <w14:ligatures w14:val="standardContextual"/>
        </w:rPr>
        <w:t>a</w:t>
      </w:r>
      <w:r w:rsidR="00506A8E">
        <w:rPr>
          <w:rFonts w:cs="Tahoma"/>
          <w:color w:val="000000" w:themeColor="text1"/>
          <w14:ligatures w14:val="standardContextual"/>
        </w:rPr>
        <w:t>)</w:t>
      </w:r>
      <w:r w:rsidR="002000D3">
        <w:rPr>
          <w:rFonts w:cs="Tahoma"/>
          <w:color w:val="000000" w:themeColor="text1"/>
          <w14:ligatures w14:val="standardContextual"/>
        </w:rPr>
        <w:t xml:space="preserve">. </w:t>
      </w:r>
      <w:r w:rsidR="00847648">
        <w:rPr>
          <w:rFonts w:cs="Tahoma"/>
          <w:color w:val="000000" w:themeColor="text1"/>
          <w14:ligatures w14:val="standardContextual"/>
        </w:rPr>
        <w:t>Importantly, t</w:t>
      </w:r>
      <w:r w:rsidR="003F79EB">
        <w:rPr>
          <w:rFonts w:cs="Tahoma"/>
          <w:color w:val="000000" w:themeColor="text1"/>
          <w14:ligatures w14:val="standardContextual"/>
        </w:rPr>
        <w:t xml:space="preserve">he mechanisms that influence recruitment success are </w:t>
      </w:r>
      <w:r w:rsidR="00F75206">
        <w:rPr>
          <w:rFonts w:cs="Tahoma"/>
          <w:color w:val="000000" w:themeColor="text1"/>
          <w14:ligatures w14:val="standardContextual"/>
        </w:rPr>
        <w:t xml:space="preserve">still </w:t>
      </w:r>
      <w:r w:rsidR="005625CD">
        <w:rPr>
          <w:rFonts w:cs="Tahoma"/>
          <w:color w:val="000000" w:themeColor="text1"/>
          <w14:ligatures w14:val="standardContextual"/>
        </w:rPr>
        <w:t>not fully understood and require further investigation (</w:t>
      </w:r>
      <w:r w:rsidR="007E78A2">
        <w:rPr>
          <w:rFonts w:cs="Tahoma"/>
          <w:color w:val="000000" w:themeColor="text1"/>
          <w14:ligatures w14:val="standardContextual"/>
        </w:rPr>
        <w:t xml:space="preserve">Ye et al. </w:t>
      </w:r>
      <w:r w:rsidR="00F75206">
        <w:rPr>
          <w:rFonts w:cs="Tahoma"/>
          <w:color w:val="000000" w:themeColor="text1"/>
          <w14:ligatures w14:val="standardContextual"/>
        </w:rPr>
        <w:t xml:space="preserve">2023). </w:t>
      </w:r>
      <w:r w:rsidR="00DA5AB7">
        <w:rPr>
          <w:rFonts w:cs="Tahoma"/>
          <w:color w:val="000000" w:themeColor="text1"/>
          <w14:ligatures w14:val="standardContextual"/>
        </w:rPr>
        <w:t xml:space="preserve">Significantly, </w:t>
      </w:r>
      <w:r w:rsidR="00C910B9">
        <w:rPr>
          <w:rFonts w:cs="Tahoma"/>
          <w:color w:val="000000" w:themeColor="text1"/>
          <w14:ligatures w14:val="standardContextual"/>
        </w:rPr>
        <w:t>t</w:t>
      </w:r>
      <w:r w:rsidR="002000D3">
        <w:rPr>
          <w:rFonts w:cs="Tahoma"/>
          <w:color w:val="000000" w:themeColor="text1"/>
          <w14:ligatures w14:val="standardContextual"/>
        </w:rPr>
        <w:t xml:space="preserve">here </w:t>
      </w:r>
      <w:r w:rsidR="00506DE1">
        <w:rPr>
          <w:rFonts w:cs="Tahoma"/>
          <w:color w:val="000000" w:themeColor="text1"/>
          <w14:ligatures w14:val="standardContextual"/>
        </w:rPr>
        <w:t>remains</w:t>
      </w:r>
      <w:r w:rsidR="002000D3">
        <w:rPr>
          <w:rFonts w:cs="Tahoma"/>
          <w:color w:val="000000" w:themeColor="text1"/>
          <w14:ligatures w14:val="standardContextual"/>
        </w:rPr>
        <w:t xml:space="preserve"> no evidence of any substantial increase in abundance </w:t>
      </w:r>
      <w:r w:rsidR="00847648">
        <w:rPr>
          <w:rFonts w:cs="Tahoma"/>
          <w:color w:val="000000" w:themeColor="text1"/>
          <w14:ligatures w14:val="standardContextual"/>
        </w:rPr>
        <w:t xml:space="preserve">of this species </w:t>
      </w:r>
      <w:r w:rsidR="002000D3">
        <w:rPr>
          <w:rFonts w:cs="Tahoma"/>
          <w:color w:val="000000" w:themeColor="text1"/>
          <w14:ligatures w14:val="standardContextual"/>
        </w:rPr>
        <w:t>towards historical levels</w:t>
      </w:r>
      <w:r w:rsidR="00E11617">
        <w:rPr>
          <w:rFonts w:cs="Tahoma"/>
          <w:color w:val="000000" w:themeColor="text1"/>
          <w14:ligatures w14:val="standardContextual"/>
        </w:rPr>
        <w:t>,</w:t>
      </w:r>
      <w:r w:rsidR="00AD3758">
        <w:rPr>
          <w:rFonts w:cs="Tahoma"/>
          <w:color w:val="000000" w:themeColor="text1"/>
          <w14:ligatures w14:val="standardContextual"/>
        </w:rPr>
        <w:t xml:space="preserve"> </w:t>
      </w:r>
      <w:r w:rsidR="00F6053D">
        <w:rPr>
          <w:rFonts w:cs="Tahoma"/>
          <w:color w:val="000000" w:themeColor="text1"/>
          <w14:ligatures w14:val="standardContextual"/>
        </w:rPr>
        <w:t xml:space="preserve">which supports that the biomass of the </w:t>
      </w:r>
      <w:r w:rsidR="00913DD9">
        <w:rPr>
          <w:rFonts w:cs="Tahoma"/>
          <w:color w:val="000000" w:themeColor="text1"/>
          <w14:ligatures w14:val="standardContextual"/>
        </w:rPr>
        <w:t>stock (i.e. SA population</w:t>
      </w:r>
      <w:r w:rsidR="00E11617">
        <w:rPr>
          <w:rFonts w:cs="Tahoma"/>
          <w:color w:val="000000" w:themeColor="text1"/>
          <w14:ligatures w14:val="standardContextual"/>
        </w:rPr>
        <w:t>) remains</w:t>
      </w:r>
      <w:r w:rsidR="00F6053D">
        <w:rPr>
          <w:rFonts w:cs="Tahoma"/>
          <w:color w:val="000000" w:themeColor="text1"/>
          <w14:ligatures w14:val="standardContextual"/>
        </w:rPr>
        <w:t xml:space="preserve"> </w:t>
      </w:r>
      <w:r w:rsidR="003F55DE">
        <w:rPr>
          <w:rFonts w:cs="Tahoma"/>
          <w:color w:val="000000" w:themeColor="text1"/>
          <w14:ligatures w14:val="standardContextual"/>
        </w:rPr>
        <w:t>‘</w:t>
      </w:r>
      <w:r w:rsidR="00F6053D">
        <w:rPr>
          <w:rFonts w:cs="Tahoma"/>
          <w:color w:val="000000" w:themeColor="text1"/>
          <w14:ligatures w14:val="standardContextual"/>
        </w:rPr>
        <w:t>depleted</w:t>
      </w:r>
      <w:r w:rsidR="003F55DE">
        <w:rPr>
          <w:rFonts w:cs="Tahoma"/>
          <w:color w:val="000000" w:themeColor="text1"/>
          <w14:ligatures w14:val="standardContextual"/>
        </w:rPr>
        <w:t>’</w:t>
      </w:r>
      <w:r w:rsidR="00F6053D">
        <w:rPr>
          <w:rFonts w:cs="Tahoma"/>
          <w:color w:val="000000" w:themeColor="text1"/>
          <w14:ligatures w14:val="standardContextual"/>
        </w:rPr>
        <w:t xml:space="preserve"> (Ye et al. </w:t>
      </w:r>
      <w:r w:rsidR="00506A8E">
        <w:rPr>
          <w:rFonts w:cs="Tahoma"/>
          <w:color w:val="000000" w:themeColor="text1"/>
          <w14:ligatures w14:val="standardContextual"/>
        </w:rPr>
        <w:t>2021</w:t>
      </w:r>
      <w:r w:rsidR="00363D3C">
        <w:rPr>
          <w:rFonts w:cs="Tahoma"/>
          <w:color w:val="000000" w:themeColor="text1"/>
          <w14:ligatures w14:val="standardContextual"/>
        </w:rPr>
        <w:t>).</w:t>
      </w:r>
      <w:r w:rsidR="00BD7148">
        <w:rPr>
          <w:rFonts w:cs="Tahoma"/>
          <w:color w:val="000000" w:themeColor="text1"/>
          <w14:ligatures w14:val="standardContextual"/>
        </w:rPr>
        <w:t xml:space="preserve"> </w:t>
      </w:r>
    </w:p>
    <w:p w14:paraId="66E1DCCB" w14:textId="5AED985E" w:rsidR="00623529" w:rsidRPr="00D744FF" w:rsidRDefault="00BD7148" w:rsidP="00371F14">
      <w:pPr>
        <w:rPr>
          <w:color w:val="000000" w:themeColor="text1"/>
        </w:rPr>
      </w:pPr>
      <w:r>
        <w:rPr>
          <w:rFonts w:cs="Tahoma"/>
          <w:color w:val="000000" w:themeColor="text1"/>
          <w14:ligatures w14:val="standardContextual"/>
        </w:rPr>
        <w:t xml:space="preserve">While </w:t>
      </w:r>
      <w:r w:rsidR="001C216F">
        <w:rPr>
          <w:rFonts w:cs="Tahoma"/>
          <w:color w:val="000000" w:themeColor="text1"/>
          <w14:ligatures w14:val="standardContextual"/>
        </w:rPr>
        <w:t>the threat of fishing mortality has been reduced via fishery regulations</w:t>
      </w:r>
      <w:r w:rsidR="00E8582E">
        <w:rPr>
          <w:rFonts w:cs="Tahoma"/>
          <w:color w:val="000000" w:themeColor="text1"/>
          <w14:ligatures w14:val="standardContextual"/>
        </w:rPr>
        <w:t xml:space="preserve">, </w:t>
      </w:r>
      <w:r w:rsidR="00C00C86">
        <w:rPr>
          <w:rFonts w:cs="Tahoma"/>
          <w:color w:val="000000" w:themeColor="text1"/>
          <w14:ligatures w14:val="standardContextual"/>
        </w:rPr>
        <w:t xml:space="preserve">recovery of </w:t>
      </w:r>
      <w:r w:rsidR="00847648">
        <w:rPr>
          <w:rFonts w:cs="Tahoma"/>
          <w:color w:val="000000" w:themeColor="text1"/>
          <w14:ligatures w14:val="standardContextual"/>
        </w:rPr>
        <w:t xml:space="preserve">the </w:t>
      </w:r>
      <w:r w:rsidR="00E8582E">
        <w:rPr>
          <w:rFonts w:cs="Tahoma"/>
          <w:color w:val="000000" w:themeColor="text1"/>
          <w14:ligatures w14:val="standardContextual"/>
        </w:rPr>
        <w:t xml:space="preserve">Murray cod </w:t>
      </w:r>
      <w:r w:rsidR="00C00C86">
        <w:rPr>
          <w:rFonts w:cs="Tahoma"/>
          <w:color w:val="000000" w:themeColor="text1"/>
          <w14:ligatures w14:val="standardContextual"/>
        </w:rPr>
        <w:t>population within the ecological community requires</w:t>
      </w:r>
      <w:r w:rsidR="008B3F95">
        <w:rPr>
          <w:rFonts w:cs="Tahoma"/>
          <w:color w:val="000000" w:themeColor="text1"/>
          <w14:ligatures w14:val="standardContextual"/>
        </w:rPr>
        <w:t xml:space="preserve"> intervention in terms of river flow management and environmental water delivery</w:t>
      </w:r>
      <w:r w:rsidR="00847648">
        <w:rPr>
          <w:rFonts w:cs="Tahoma"/>
          <w:color w:val="000000" w:themeColor="text1"/>
          <w14:ligatures w14:val="standardContextual"/>
        </w:rPr>
        <w:t>,</w:t>
      </w:r>
      <w:r w:rsidR="00232688">
        <w:rPr>
          <w:rFonts w:cs="Tahoma"/>
          <w:color w:val="000000" w:themeColor="text1"/>
          <w14:ligatures w14:val="standardContextual"/>
        </w:rPr>
        <w:t xml:space="preserve"> combined with habitat rehabilitation/</w:t>
      </w:r>
      <w:r w:rsidR="00EA20A0">
        <w:rPr>
          <w:rFonts w:cs="Tahoma"/>
          <w:color w:val="000000" w:themeColor="text1"/>
          <w14:ligatures w14:val="standardContextual"/>
        </w:rPr>
        <w:t xml:space="preserve"> </w:t>
      </w:r>
      <w:r w:rsidR="00232688">
        <w:rPr>
          <w:rFonts w:cs="Tahoma"/>
          <w:color w:val="000000" w:themeColor="text1"/>
          <w14:ligatures w14:val="standardContextual"/>
        </w:rPr>
        <w:t>enhancement and, if possible, removal of alien competitors.</w:t>
      </w:r>
      <w:r w:rsidR="00E93BEF">
        <w:rPr>
          <w:rFonts w:cs="Tahoma"/>
          <w:color w:val="000000" w:themeColor="text1"/>
          <w14:ligatures w14:val="standardContextual"/>
        </w:rPr>
        <w:t xml:space="preserve"> </w:t>
      </w:r>
      <w:r w:rsidR="00977FA8">
        <w:rPr>
          <w:color w:val="000000" w:themeColor="text1"/>
        </w:rPr>
        <w:t>The transformation of much of the lower Murray into a series of relatively stable weir-pools (i.e. Lick 1</w:t>
      </w:r>
      <w:r w:rsidR="00D744FF">
        <w:rPr>
          <w:color w:val="000000" w:themeColor="text1"/>
        </w:rPr>
        <w:t xml:space="preserve">–10) </w:t>
      </w:r>
      <w:r w:rsidR="00977FA8">
        <w:rPr>
          <w:color w:val="000000" w:themeColor="text1"/>
        </w:rPr>
        <w:t>remains problematic, acutely effecting native fish including Murray cod (Walker 1985, 2001</w:t>
      </w:r>
      <w:r w:rsidR="00D744FF">
        <w:rPr>
          <w:color w:val="000000" w:themeColor="text1"/>
        </w:rPr>
        <w:t>;</w:t>
      </w:r>
      <w:r w:rsidR="00977FA8">
        <w:rPr>
          <w:color w:val="000000" w:themeColor="text1"/>
        </w:rPr>
        <w:t xml:space="preserve"> Walker </w:t>
      </w:r>
      <w:r w:rsidR="00D744FF">
        <w:rPr>
          <w:color w:val="000000" w:themeColor="text1"/>
        </w:rPr>
        <w:t>&amp;</w:t>
      </w:r>
      <w:r w:rsidR="00977FA8">
        <w:rPr>
          <w:color w:val="000000" w:themeColor="text1"/>
        </w:rPr>
        <w:t xml:space="preserve"> Thoms 1993</w:t>
      </w:r>
      <w:r w:rsidR="00D744FF">
        <w:rPr>
          <w:color w:val="000000" w:themeColor="text1"/>
        </w:rPr>
        <w:t>;</w:t>
      </w:r>
      <w:r w:rsidR="00977FA8">
        <w:rPr>
          <w:color w:val="000000" w:themeColor="text1"/>
        </w:rPr>
        <w:t xml:space="preserve"> Mallen-Cooper </w:t>
      </w:r>
      <w:r w:rsidR="00D744FF">
        <w:rPr>
          <w:color w:val="000000" w:themeColor="text1"/>
        </w:rPr>
        <w:t xml:space="preserve">&amp; </w:t>
      </w:r>
      <w:r w:rsidR="00977FA8">
        <w:rPr>
          <w:color w:val="000000" w:themeColor="text1"/>
        </w:rPr>
        <w:t>Stuart 2018)</w:t>
      </w:r>
      <w:r w:rsidR="00977FA8" w:rsidRPr="00311B85">
        <w:rPr>
          <w:color w:val="000000" w:themeColor="text1"/>
        </w:rPr>
        <w:t>.</w:t>
      </w:r>
      <w:r w:rsidR="00D744FF">
        <w:rPr>
          <w:color w:val="000000" w:themeColor="text1"/>
        </w:rPr>
        <w:t xml:space="preserve"> </w:t>
      </w:r>
      <w:r w:rsidR="008F5207">
        <w:rPr>
          <w:rFonts w:cs="Tahoma"/>
          <w:color w:val="000000" w:themeColor="text1"/>
          <w14:ligatures w14:val="standardContextual"/>
        </w:rPr>
        <w:t xml:space="preserve">Ensuring hydrological conditions that </w:t>
      </w:r>
      <w:r w:rsidR="00C639FC">
        <w:rPr>
          <w:rFonts w:cs="Tahoma"/>
          <w:color w:val="000000" w:themeColor="text1"/>
          <w14:ligatures w14:val="standardContextual"/>
        </w:rPr>
        <w:t xml:space="preserve">support and </w:t>
      </w:r>
      <w:r w:rsidR="008F5207">
        <w:rPr>
          <w:rFonts w:cs="Tahoma"/>
          <w:color w:val="000000" w:themeColor="text1"/>
          <w14:ligatures w14:val="standardContextual"/>
        </w:rPr>
        <w:t>improve population condition</w:t>
      </w:r>
      <w:r w:rsidR="000D204A">
        <w:rPr>
          <w:rFonts w:cs="Tahoma"/>
          <w:color w:val="000000" w:themeColor="text1"/>
          <w14:ligatures w14:val="standardContextual"/>
        </w:rPr>
        <w:t>, increase available spawning habitat</w:t>
      </w:r>
      <w:r w:rsidR="00960A78">
        <w:rPr>
          <w:rFonts w:cs="Tahoma"/>
          <w:color w:val="000000" w:themeColor="text1"/>
          <w14:ligatures w14:val="standardContextual"/>
        </w:rPr>
        <w:t>,</w:t>
      </w:r>
      <w:r w:rsidR="000D204A">
        <w:rPr>
          <w:rFonts w:cs="Tahoma"/>
          <w:color w:val="000000" w:themeColor="text1"/>
          <w14:ligatures w14:val="standardContextual"/>
        </w:rPr>
        <w:t xml:space="preserve"> </w:t>
      </w:r>
      <w:r w:rsidR="00A807C8">
        <w:rPr>
          <w:rFonts w:cs="Tahoma"/>
          <w:color w:val="000000" w:themeColor="text1"/>
          <w14:ligatures w14:val="standardContextual"/>
        </w:rPr>
        <w:t>and enhance recruitment</w:t>
      </w:r>
      <w:r w:rsidR="009E4D86">
        <w:rPr>
          <w:rFonts w:cs="Tahoma"/>
          <w:color w:val="000000" w:themeColor="text1"/>
          <w14:ligatures w14:val="standardContextual"/>
        </w:rPr>
        <w:t>,</w:t>
      </w:r>
      <w:r w:rsidR="00A807C8">
        <w:rPr>
          <w:rFonts w:cs="Tahoma"/>
          <w:color w:val="000000" w:themeColor="text1"/>
          <w14:ligatures w14:val="standardContextual"/>
        </w:rPr>
        <w:t xml:space="preserve"> </w:t>
      </w:r>
      <w:r w:rsidR="00960A78">
        <w:rPr>
          <w:rFonts w:cs="Tahoma"/>
          <w:color w:val="000000" w:themeColor="text1"/>
          <w14:ligatures w14:val="standardContextual"/>
        </w:rPr>
        <w:t xml:space="preserve">remains </w:t>
      </w:r>
      <w:r w:rsidR="00A807C8">
        <w:rPr>
          <w:rFonts w:cs="Tahoma"/>
          <w:color w:val="000000" w:themeColor="text1"/>
          <w14:ligatures w14:val="standardContextual"/>
        </w:rPr>
        <w:t>vital (e.g. Ye et al. 2022; DEW 2023</w:t>
      </w:r>
      <w:r w:rsidR="000A139C">
        <w:rPr>
          <w:rFonts w:cs="Tahoma"/>
          <w:color w:val="000000" w:themeColor="text1"/>
          <w14:ligatures w14:val="standardContextual"/>
        </w:rPr>
        <w:t>a</w:t>
      </w:r>
      <w:r w:rsidR="00A807C8">
        <w:rPr>
          <w:rFonts w:cs="Tahoma"/>
          <w:color w:val="000000" w:themeColor="text1"/>
          <w14:ligatures w14:val="standardContextual"/>
        </w:rPr>
        <w:t xml:space="preserve">). </w:t>
      </w:r>
    </w:p>
    <w:p w14:paraId="133DF866" w14:textId="77777777" w:rsidR="00D744FF" w:rsidRDefault="00245BC5" w:rsidP="00371F14">
      <w:pPr>
        <w:rPr>
          <w:rFonts w:cs="Tahoma"/>
          <w:color w:val="000000" w:themeColor="text1"/>
          <w14:ligatures w14:val="standardContextual"/>
        </w:rPr>
      </w:pPr>
      <w:r>
        <w:rPr>
          <w:rFonts w:cs="Tahoma"/>
          <w:color w:val="000000" w:themeColor="text1"/>
          <w14:ligatures w14:val="standardContextual"/>
        </w:rPr>
        <w:t xml:space="preserve">In addition to </w:t>
      </w:r>
      <w:r w:rsidR="00D61EA8">
        <w:rPr>
          <w:rFonts w:cs="Tahoma"/>
          <w:color w:val="000000" w:themeColor="text1"/>
          <w14:ligatures w14:val="standardContextual"/>
        </w:rPr>
        <w:t>increasing flows above 20,000 ML/d (Zampatti et al. 2014), s</w:t>
      </w:r>
      <w:r w:rsidR="008D2086">
        <w:rPr>
          <w:rFonts w:cs="Tahoma"/>
          <w:color w:val="000000" w:themeColor="text1"/>
          <w14:ligatures w14:val="standardContextual"/>
        </w:rPr>
        <w:t>u</w:t>
      </w:r>
      <w:r w:rsidR="00095334">
        <w:rPr>
          <w:rFonts w:cs="Tahoma"/>
          <w:color w:val="000000" w:themeColor="text1"/>
          <w14:ligatures w14:val="standardContextual"/>
        </w:rPr>
        <w:t>pportive</w:t>
      </w:r>
      <w:r w:rsidR="008D2086">
        <w:rPr>
          <w:rFonts w:cs="Tahoma"/>
          <w:color w:val="000000" w:themeColor="text1"/>
          <w14:ligatures w14:val="standardContextual"/>
        </w:rPr>
        <w:t xml:space="preserve"> hydrological conditions </w:t>
      </w:r>
      <w:r>
        <w:rPr>
          <w:rFonts w:cs="Tahoma"/>
          <w:color w:val="000000" w:themeColor="text1"/>
          <w14:ligatures w14:val="standardContextual"/>
        </w:rPr>
        <w:t xml:space="preserve">were identified by </w:t>
      </w:r>
      <w:r w:rsidR="008D2086">
        <w:rPr>
          <w:rFonts w:cs="Tahoma"/>
          <w:color w:val="000000" w:themeColor="text1"/>
          <w14:ligatures w14:val="standardContextual"/>
        </w:rPr>
        <w:t>Stuart et al. (2019)</w:t>
      </w:r>
      <w:r>
        <w:rPr>
          <w:rFonts w:cs="Tahoma"/>
          <w:color w:val="000000" w:themeColor="text1"/>
          <w14:ligatures w14:val="standardContextual"/>
        </w:rPr>
        <w:t xml:space="preserve"> as: </w:t>
      </w:r>
    </w:p>
    <w:p w14:paraId="108FB32E" w14:textId="77777777" w:rsidR="00EE5AB3" w:rsidRDefault="00245BC5" w:rsidP="00B25677">
      <w:pPr>
        <w:spacing w:after="120"/>
      </w:pPr>
      <w:r w:rsidRPr="004D31BC">
        <w:t>1) annual spring spawning and recruitment flows that do not have rapid water level recession</w:t>
      </w:r>
    </w:p>
    <w:p w14:paraId="017466D1" w14:textId="77777777" w:rsidR="00EE5AB3" w:rsidRDefault="00245BC5" w:rsidP="00B25677">
      <w:pPr>
        <w:spacing w:after="120"/>
      </w:pPr>
      <w:r w:rsidRPr="004D31BC">
        <w:t>2) hydraulic complexity</w:t>
      </w:r>
      <w:r w:rsidR="00D61EA8">
        <w:t>,</w:t>
      </w:r>
      <w:r w:rsidRPr="004D31BC">
        <w:t xml:space="preserve"> and </w:t>
      </w:r>
    </w:p>
    <w:p w14:paraId="307EA89C" w14:textId="77777777" w:rsidR="00EE5AB3" w:rsidRDefault="00245BC5" w:rsidP="00B25677">
      <w:pPr>
        <w:spacing w:after="120"/>
      </w:pPr>
      <w:r w:rsidRPr="004D31BC">
        <w:t>3) annual base winter connection flows.</w:t>
      </w:r>
      <w:r w:rsidR="00706A73">
        <w:t xml:space="preserve"> </w:t>
      </w:r>
    </w:p>
    <w:p w14:paraId="7C2B71EE" w14:textId="2B18C50C" w:rsidR="00095334" w:rsidRDefault="0016661B" w:rsidP="00371F14">
      <w:r w:rsidRPr="00D358A6">
        <w:rPr>
          <w:rFonts w:cs="Tahoma"/>
          <w:color w:val="000000" w:themeColor="text1"/>
          <w14:ligatures w14:val="standardContextual"/>
        </w:rPr>
        <w:t xml:space="preserve">Without adequate flows, </w:t>
      </w:r>
      <w:r w:rsidR="005B1864" w:rsidRPr="00D358A6">
        <w:rPr>
          <w:rFonts w:cs="Tahoma"/>
          <w:color w:val="000000" w:themeColor="text1"/>
          <w14:ligatures w14:val="standardContextual"/>
        </w:rPr>
        <w:t>and the opportunity to rebuild</w:t>
      </w:r>
      <w:r w:rsidR="00B25677" w:rsidRPr="00D358A6">
        <w:rPr>
          <w:rFonts w:cs="Tahoma"/>
          <w:color w:val="000000" w:themeColor="text1"/>
          <w14:ligatures w14:val="standardContextual"/>
        </w:rPr>
        <w:t xml:space="preserve"> the population in the EC</w:t>
      </w:r>
      <w:r w:rsidR="005B1864" w:rsidRPr="00D358A6">
        <w:rPr>
          <w:rFonts w:cs="Tahoma"/>
          <w:color w:val="000000" w:themeColor="text1"/>
          <w14:ligatures w14:val="standardContextual"/>
        </w:rPr>
        <w:t xml:space="preserve">, there remains </w:t>
      </w:r>
      <w:r w:rsidR="00E93BEF">
        <w:rPr>
          <w:rFonts w:cs="Tahoma"/>
          <w:color w:val="000000" w:themeColor="text1"/>
          <w14:ligatures w14:val="standardContextual"/>
        </w:rPr>
        <w:t xml:space="preserve">tenuous insurance </w:t>
      </w:r>
      <w:r w:rsidR="006B5694">
        <w:rPr>
          <w:rFonts w:cs="Tahoma"/>
          <w:color w:val="000000" w:themeColor="text1"/>
          <w14:ligatures w14:val="standardContextual"/>
        </w:rPr>
        <w:t xml:space="preserve">for Murray cod within the EC </w:t>
      </w:r>
      <w:r w:rsidR="00E93BEF">
        <w:rPr>
          <w:rFonts w:cs="Tahoma"/>
          <w:color w:val="000000" w:themeColor="text1"/>
          <w14:ligatures w14:val="standardContextual"/>
        </w:rPr>
        <w:t>against the next prolonged drought</w:t>
      </w:r>
      <w:r w:rsidR="00C06404">
        <w:rPr>
          <w:rFonts w:cs="Tahoma"/>
          <w:color w:val="000000" w:themeColor="text1"/>
          <w14:ligatures w14:val="standardContextual"/>
        </w:rPr>
        <w:t xml:space="preserve"> or </w:t>
      </w:r>
      <w:r w:rsidR="008D6B0A">
        <w:rPr>
          <w:rFonts w:cs="Tahoma"/>
          <w:color w:val="000000" w:themeColor="text1"/>
          <w14:ligatures w14:val="standardContextual"/>
        </w:rPr>
        <w:t>severe blackwater event</w:t>
      </w:r>
      <w:r w:rsidR="00E93BEF">
        <w:rPr>
          <w:rFonts w:cs="Tahoma"/>
          <w:color w:val="000000" w:themeColor="text1"/>
          <w14:ligatures w14:val="standardContextual"/>
        </w:rPr>
        <w:t>.</w:t>
      </w:r>
      <w:r w:rsidR="00CF5AA2">
        <w:rPr>
          <w:rFonts w:cs="Tahoma"/>
          <w:color w:val="000000" w:themeColor="text1"/>
          <w14:ligatures w14:val="standardContextual"/>
        </w:rPr>
        <w:t xml:space="preserve"> Therefore, there have been very severe declines in Murray cod and it is not </w:t>
      </w:r>
      <w:r w:rsidR="00D12D22">
        <w:t>likely to be possible to restore the loss of the major role that this functionally important species plays in the ecological community in the immediate future.</w:t>
      </w:r>
    </w:p>
    <w:p w14:paraId="273E1400" w14:textId="77777777" w:rsidR="005202C2" w:rsidRPr="00D358A6" w:rsidRDefault="005202C2" w:rsidP="00371F14">
      <w:pPr>
        <w:rPr>
          <w:rFonts w:cs="Tahoma"/>
          <w:color w:val="000000" w:themeColor="text1"/>
          <w14:ligatures w14:val="standardContextual"/>
        </w:rPr>
      </w:pPr>
    </w:p>
    <w:p w14:paraId="4146DF7F" w14:textId="77777777" w:rsidR="00EF65AA" w:rsidRDefault="00EF65AA">
      <w:pPr>
        <w:spacing w:after="160" w:line="259" w:lineRule="auto"/>
        <w:rPr>
          <w:rFonts w:asciiTheme="minorHAnsi" w:eastAsiaTheme="majorEastAsia" w:hAnsiTheme="minorHAnsi" w:cs="Arial"/>
          <w:b/>
          <w:i/>
          <w:iCs/>
          <w:smallCaps/>
          <w:szCs w:val="24"/>
          <w:lang w:val="en-US"/>
        </w:rPr>
      </w:pPr>
      <w:r>
        <w:br w:type="page"/>
      </w:r>
    </w:p>
    <w:p w14:paraId="4EDD06E1" w14:textId="41966253" w:rsidR="00371F14" w:rsidRPr="001D6073" w:rsidRDefault="00371F14" w:rsidP="006E2204">
      <w:pPr>
        <w:pStyle w:val="Heading4"/>
      </w:pPr>
      <w:r w:rsidRPr="001D6073">
        <w:lastRenderedPageBreak/>
        <w:t xml:space="preserve">Keystone </w:t>
      </w:r>
      <w:r w:rsidR="000042F1">
        <w:t xml:space="preserve">demersal </w:t>
      </w:r>
      <w:r w:rsidRPr="001D6073">
        <w:t>predator - Freshwater catfish</w:t>
      </w:r>
    </w:p>
    <w:tbl>
      <w:tblPr>
        <w:tblStyle w:val="TableGrid"/>
        <w:tblW w:w="0" w:type="auto"/>
        <w:tblLook w:val="04A0" w:firstRow="1" w:lastRow="0" w:firstColumn="1" w:lastColumn="0" w:noHBand="0" w:noVBand="1"/>
      </w:tblPr>
      <w:tblGrid>
        <w:gridCol w:w="9060"/>
      </w:tblGrid>
      <w:tr w:rsidR="00371F14" w14:paraId="2C4D5234" w14:textId="77777777" w:rsidTr="006B5694">
        <w:tc>
          <w:tcPr>
            <w:tcW w:w="9174" w:type="dxa"/>
            <w:shd w:val="clear" w:color="auto" w:fill="DEEAF6" w:themeFill="accent1" w:themeFillTint="33"/>
          </w:tcPr>
          <w:p w14:paraId="5AD75DC3" w14:textId="7B8CD0FB" w:rsidR="0034318F" w:rsidRPr="0034318F" w:rsidRDefault="0034318F" w:rsidP="00620F20">
            <w:pPr>
              <w:spacing w:after="120"/>
              <w:rPr>
                <w:b/>
                <w:iCs/>
              </w:rPr>
            </w:pPr>
            <w:r w:rsidRPr="0034318F">
              <w:rPr>
                <w:b/>
                <w:iCs/>
              </w:rPr>
              <w:t>Freshwater catfish</w:t>
            </w:r>
            <w:r w:rsidRPr="0034318F">
              <w:rPr>
                <w:bCs/>
                <w:iCs/>
              </w:rPr>
              <w:t xml:space="preserve"> </w:t>
            </w:r>
            <w:r>
              <w:t>(</w:t>
            </w:r>
            <w:r w:rsidRPr="00D736DA">
              <w:rPr>
                <w:i/>
              </w:rPr>
              <w:t>Tandanus tandanus</w:t>
            </w:r>
            <w:r>
              <w:t>)</w:t>
            </w:r>
          </w:p>
          <w:p w14:paraId="763F20F1" w14:textId="6A8DBEA3" w:rsidR="00620F20" w:rsidRPr="00EE0FB2" w:rsidRDefault="00620F20" w:rsidP="00620F20">
            <w:pPr>
              <w:spacing w:after="120"/>
            </w:pPr>
            <w:r w:rsidRPr="00EE0FB2">
              <w:rPr>
                <w:b/>
                <w:i/>
              </w:rPr>
              <w:t>Key functional role:</w:t>
            </w:r>
            <w:r>
              <w:rPr>
                <w:b/>
                <w:i/>
              </w:rPr>
              <w:t xml:space="preserve">  </w:t>
            </w:r>
            <w:r>
              <w:t>benthic predator (potentially displaced by carp); foodweb dynamics/trophic cascades</w:t>
            </w:r>
          </w:p>
          <w:p w14:paraId="6EDFB343" w14:textId="1A0CD912" w:rsidR="00620F20" w:rsidRPr="00EE0FB2" w:rsidRDefault="00620F20" w:rsidP="00620F20">
            <w:pPr>
              <w:spacing w:after="120"/>
            </w:pPr>
            <w:r w:rsidRPr="00EE0FB2">
              <w:rPr>
                <w:b/>
                <w:i/>
              </w:rPr>
              <w:t>Key vulnerabilities:</w:t>
            </w:r>
            <w:r>
              <w:t xml:space="preserve">  large and relatively long lived; </w:t>
            </w:r>
            <w:r w:rsidR="00AB3C0C">
              <w:t xml:space="preserve">breeding behaviour and </w:t>
            </w:r>
            <w:r>
              <w:t xml:space="preserve">spawning </w:t>
            </w:r>
            <w:r w:rsidR="005A59DB">
              <w:t xml:space="preserve">in </w:t>
            </w:r>
            <w:r>
              <w:t>shallow water</w:t>
            </w:r>
            <w:r w:rsidR="005A59DB">
              <w:t xml:space="preserve"> nests</w:t>
            </w:r>
            <w:r>
              <w:t xml:space="preserve">; </w:t>
            </w:r>
            <w:r w:rsidR="00B05777">
              <w:t>strong association with submerged vegetation</w:t>
            </w:r>
            <w:r w:rsidR="00562E08">
              <w:t>/nests</w:t>
            </w:r>
            <w:r w:rsidR="00B05777">
              <w:t xml:space="preserve">; </w:t>
            </w:r>
            <w:r w:rsidR="004D32EF">
              <w:t>limited</w:t>
            </w:r>
            <w:r w:rsidR="00562E08">
              <w:t xml:space="preserve"> range</w:t>
            </w:r>
            <w:r w:rsidR="004D32EF">
              <w:t>;</w:t>
            </w:r>
            <w:r w:rsidR="00562E08">
              <w:t xml:space="preserve"> </w:t>
            </w:r>
            <w:r w:rsidR="00FB6B1F">
              <w:t xml:space="preserve">competition with carp </w:t>
            </w:r>
            <w:r>
              <w:t xml:space="preserve">(see </w:t>
            </w:r>
            <w:r w:rsidRPr="00B42ED3">
              <w:rPr>
                <w:u w:val="single"/>
              </w:rPr>
              <w:t xml:space="preserve">Table </w:t>
            </w:r>
            <w:r w:rsidR="00815C0D" w:rsidRPr="00B42ED3">
              <w:rPr>
                <w:u w:val="single"/>
              </w:rPr>
              <w:t>1</w:t>
            </w:r>
            <w:r w:rsidR="00B42ED3" w:rsidRPr="00B42ED3">
              <w:rPr>
                <w:u w:val="single"/>
              </w:rPr>
              <w:t>7</w:t>
            </w:r>
            <w:r>
              <w:t>)</w:t>
            </w:r>
          </w:p>
          <w:p w14:paraId="16ECF8F8" w14:textId="7EC24A09" w:rsidR="00620F20" w:rsidRPr="007E28A6" w:rsidRDefault="00620F20" w:rsidP="00620F20">
            <w:pPr>
              <w:spacing w:after="120"/>
            </w:pPr>
            <w:r>
              <w:rPr>
                <w:b/>
                <w:i/>
              </w:rPr>
              <w:t>Key impact</w:t>
            </w:r>
            <w:r w:rsidR="00F7203F">
              <w:rPr>
                <w:b/>
                <w:i/>
              </w:rPr>
              <w:t xml:space="preserve"> on </w:t>
            </w:r>
            <w:r w:rsidR="00B371DA">
              <w:rPr>
                <w:b/>
                <w:i/>
              </w:rPr>
              <w:t>species</w:t>
            </w:r>
            <w:r>
              <w:rPr>
                <w:b/>
                <w:i/>
              </w:rPr>
              <w:t xml:space="preserve">: </w:t>
            </w:r>
            <w:r>
              <w:t xml:space="preserve">decline in abundance and range; </w:t>
            </w:r>
            <w:r w:rsidR="00FB6B1F">
              <w:t xml:space="preserve">long-term recruitment failure; </w:t>
            </w:r>
            <w:r>
              <w:t xml:space="preserve">loss of </w:t>
            </w:r>
            <w:r w:rsidR="00C86792">
              <w:t>macrophyes</w:t>
            </w:r>
            <w:r w:rsidR="00B504E8">
              <w:t xml:space="preserve"> and woody debris</w:t>
            </w:r>
          </w:p>
          <w:p w14:paraId="1C17FDAA" w14:textId="39730BB9" w:rsidR="00620F20" w:rsidRDefault="00620F20" w:rsidP="00620F20">
            <w:pPr>
              <w:spacing w:after="120"/>
            </w:pPr>
            <w:r>
              <w:rPr>
                <w:b/>
                <w:i/>
              </w:rPr>
              <w:t xml:space="preserve">Likely causes:  </w:t>
            </w:r>
            <w:r w:rsidR="0040686A" w:rsidRPr="00A07EBD">
              <w:rPr>
                <w:bCs/>
                <w:iCs/>
              </w:rPr>
              <w:t>over</w:t>
            </w:r>
            <w:r w:rsidRPr="00C34AA3">
              <w:t>fishing;</w:t>
            </w:r>
            <w:r>
              <w:t xml:space="preserve"> potential competitive exclusion by common carp; decreased flow volume and frequency of moderate flows; </w:t>
            </w:r>
            <w:r w:rsidR="00891F02">
              <w:t>barriers to movement</w:t>
            </w:r>
            <w:r w:rsidR="00480439">
              <w:t xml:space="preserve"> (loss of floodplain-river connectivity)</w:t>
            </w:r>
            <w:r w:rsidR="00891F02">
              <w:t xml:space="preserve">; </w:t>
            </w:r>
            <w:r>
              <w:t>increasing sedimentation and turbidity</w:t>
            </w:r>
            <w:r w:rsidR="0040686A">
              <w:t>; loss of habitat</w:t>
            </w:r>
            <w:r w:rsidR="00862A66">
              <w:t xml:space="preserve"> (including wetland draining)</w:t>
            </w:r>
          </w:p>
          <w:p w14:paraId="5F6B25BE" w14:textId="2E875950" w:rsidR="00620F20" w:rsidRPr="007E28A6" w:rsidRDefault="00620F20" w:rsidP="00620F20">
            <w:pPr>
              <w:spacing w:after="120"/>
            </w:pPr>
            <w:r w:rsidRPr="00C25902">
              <w:rPr>
                <w:b/>
                <w:i/>
              </w:rPr>
              <w:t>Key impacts on EC:</w:t>
            </w:r>
            <w:r>
              <w:t xml:space="preserve"> loss of positive benthic habitat modifier; foodweb impacts/trophic cascades; opening niche for non-native alien species that degrade the natural habitat; loss of vegetation; loss of biodiversity</w:t>
            </w:r>
            <w:r w:rsidR="009D238B">
              <w:t>; climate change impacts exacerbated (e.g. heat, drying, flood impacts)</w:t>
            </w:r>
          </w:p>
          <w:p w14:paraId="34A80179" w14:textId="7E41BF10" w:rsidR="00371F14" w:rsidRDefault="00620F20" w:rsidP="00620F20">
            <w:r w:rsidRPr="001D6073">
              <w:rPr>
                <w:b/>
                <w:i/>
              </w:rPr>
              <w:t>Indicative conservation status within the EC:</w:t>
            </w:r>
            <w:r>
              <w:t xml:space="preserve">  Endangered</w:t>
            </w:r>
          </w:p>
        </w:tc>
      </w:tr>
    </w:tbl>
    <w:p w14:paraId="2AEAB5E5" w14:textId="77777777" w:rsidR="00332CDE" w:rsidRDefault="00332CDE" w:rsidP="00CE3846"/>
    <w:p w14:paraId="67B6427D" w14:textId="51247AC5" w:rsidR="00624A28" w:rsidRPr="00B11506" w:rsidRDefault="005605FA" w:rsidP="00A2521C">
      <w:pPr>
        <w:pStyle w:val="Heading5"/>
      </w:pPr>
      <w:bookmarkStart w:id="270" w:name="_Hlk135731488"/>
      <w:r>
        <w:t>B</w:t>
      </w:r>
      <w:r w:rsidR="00B11506" w:rsidRPr="00B11506">
        <w:t xml:space="preserve">ottom-dwelling </w:t>
      </w:r>
      <w:r w:rsidR="003862F3">
        <w:t>habitat specialist</w:t>
      </w:r>
    </w:p>
    <w:p w14:paraId="3B76B994" w14:textId="211D874E" w:rsidR="008A5A33" w:rsidRDefault="009E57BE" w:rsidP="009E57BE">
      <w:r>
        <w:t xml:space="preserve">Freshwater </w:t>
      </w:r>
      <w:r w:rsidR="00336DDB">
        <w:t xml:space="preserve">(eel-tailed) </w:t>
      </w:r>
      <w:r>
        <w:t>catfish (</w:t>
      </w:r>
      <w:r w:rsidRPr="00D736DA">
        <w:rPr>
          <w:i/>
        </w:rPr>
        <w:t>Tandanus tandanus</w:t>
      </w:r>
      <w:r>
        <w:t>) is a functionally important demersal (bottom dwelling) predatory</w:t>
      </w:r>
      <w:r w:rsidR="00A3597A">
        <w:t>,</w:t>
      </w:r>
      <w:r>
        <w:t xml:space="preserve"> </w:t>
      </w:r>
      <w:r w:rsidR="0071621E">
        <w:t>medium</w:t>
      </w:r>
      <w:r w:rsidR="00BC1CB5">
        <w:t xml:space="preserve">-bodied </w:t>
      </w:r>
      <w:r>
        <w:t xml:space="preserve">fish within </w:t>
      </w:r>
      <w:r w:rsidR="006A1E6B">
        <w:t xml:space="preserve">the </w:t>
      </w:r>
      <w:r>
        <w:t xml:space="preserve">ecological community (i.e. as opposed to Murray cod which is more of a pelagic (water-column) species). </w:t>
      </w:r>
      <w:r w:rsidR="004429B0">
        <w:t>This species</w:t>
      </w:r>
      <w:r>
        <w:t xml:space="preserve"> has a key functional role in the aquatic foodweb </w:t>
      </w:r>
      <w:r w:rsidR="004429B0">
        <w:t>and i</w:t>
      </w:r>
      <w:r>
        <w:t xml:space="preserve">n associated transfers of energy and nutrients, and </w:t>
      </w:r>
      <w:r w:rsidR="004429B0">
        <w:t xml:space="preserve">in </w:t>
      </w:r>
      <w:r>
        <w:t>the control of benthic prey populations (i.e. macroinvertebrates</w:t>
      </w:r>
      <w:r w:rsidR="009940A3">
        <w:t>)</w:t>
      </w:r>
      <w:r w:rsidR="00AA3BA2">
        <w:t xml:space="preserve"> (</w:t>
      </w:r>
      <w:r>
        <w:t xml:space="preserve">Clunie </w:t>
      </w:r>
      <w:r w:rsidR="00716C7B">
        <w:t>&amp;</w:t>
      </w:r>
      <w:r>
        <w:t xml:space="preserve"> Koehn 2001</w:t>
      </w:r>
      <w:r w:rsidR="00AA3BA2">
        <w:t>; Ye et al. 2015)</w:t>
      </w:r>
      <w:r w:rsidR="00716C7B">
        <w:t xml:space="preserve">. </w:t>
      </w:r>
    </w:p>
    <w:p w14:paraId="389D1453" w14:textId="338F2DD1" w:rsidR="003D5937" w:rsidRDefault="00F74D6B" w:rsidP="009E57BE">
      <w:r>
        <w:t xml:space="preserve">Freshwater catfish </w:t>
      </w:r>
      <w:r w:rsidR="00A30F08">
        <w:t xml:space="preserve">prefer </w:t>
      </w:r>
      <w:r w:rsidR="0049366E">
        <w:t xml:space="preserve">slow flowing habitat </w:t>
      </w:r>
      <w:r w:rsidR="00A30F08">
        <w:t xml:space="preserve">with complex physical structure. </w:t>
      </w:r>
      <w:r w:rsidR="0037685E">
        <w:t xml:space="preserve">Radiotracking </w:t>
      </w:r>
      <w:r w:rsidR="005659F6">
        <w:t>found</w:t>
      </w:r>
      <w:r w:rsidR="00F67EDF">
        <w:t xml:space="preserve"> that mesohabitats containing w</w:t>
      </w:r>
      <w:r w:rsidR="0024620B">
        <w:t>ood</w:t>
      </w:r>
      <w:r w:rsidR="002B2E1E">
        <w:t>y debris</w:t>
      </w:r>
      <w:r w:rsidR="0024620B">
        <w:t xml:space="preserve"> and </w:t>
      </w:r>
      <w:r w:rsidR="00F67EDF">
        <w:t>macr</w:t>
      </w:r>
      <w:r w:rsidR="00B43EBA">
        <w:t>o</w:t>
      </w:r>
      <w:r w:rsidR="00F67EDF">
        <w:t>phyte</w:t>
      </w:r>
      <w:r w:rsidR="0024620B">
        <w:t>s</w:t>
      </w:r>
      <w:r w:rsidR="00B43EBA">
        <w:t xml:space="preserve"> were most strongly selected</w:t>
      </w:r>
      <w:r w:rsidR="005659F6">
        <w:t xml:space="preserve"> by freshwater catfish</w:t>
      </w:r>
      <w:r w:rsidR="00B43EBA">
        <w:t xml:space="preserve">, while open </w:t>
      </w:r>
      <w:r w:rsidR="0024620B">
        <w:t>w</w:t>
      </w:r>
      <w:r w:rsidR="00B43EBA">
        <w:t>ater was avoided</w:t>
      </w:r>
      <w:r w:rsidR="007060ED">
        <w:t xml:space="preserve"> (Kostner et al. 2015)</w:t>
      </w:r>
      <w:r w:rsidR="00353E26">
        <w:t xml:space="preserve">—suggesting that habitat complexity is vital for </w:t>
      </w:r>
      <w:r w:rsidR="00303526">
        <w:t>protection</w:t>
      </w:r>
      <w:r w:rsidR="007060ED">
        <w:t>. This study</w:t>
      </w:r>
      <w:r w:rsidR="00DB2394">
        <w:t xml:space="preserve"> </w:t>
      </w:r>
      <w:r w:rsidR="00D25985">
        <w:t xml:space="preserve">also </w:t>
      </w:r>
      <w:r w:rsidR="004353F8">
        <w:t xml:space="preserve">confirmed a </w:t>
      </w:r>
      <w:r w:rsidR="00D25985">
        <w:t xml:space="preserve">preference for </w:t>
      </w:r>
      <w:r w:rsidR="004F069D">
        <w:t xml:space="preserve">shallow water </w:t>
      </w:r>
      <w:r w:rsidR="004353F8">
        <w:t xml:space="preserve">(&lt; 1 m) </w:t>
      </w:r>
      <w:r w:rsidR="004F069D">
        <w:t>near margins</w:t>
      </w:r>
      <w:r w:rsidR="005659F6">
        <w:t>,</w:t>
      </w:r>
      <w:r w:rsidR="004F069D">
        <w:t xml:space="preserve"> </w:t>
      </w:r>
      <w:r w:rsidR="007060ED">
        <w:t xml:space="preserve">and </w:t>
      </w:r>
      <w:r w:rsidR="00D40FE9">
        <w:t xml:space="preserve">a </w:t>
      </w:r>
      <w:r w:rsidR="007060ED">
        <w:t xml:space="preserve">limited range </w:t>
      </w:r>
      <w:r w:rsidR="00D34E60">
        <w:t xml:space="preserve">for this species </w:t>
      </w:r>
      <w:r w:rsidR="00DB21AA">
        <w:t xml:space="preserve">(i.e. </w:t>
      </w:r>
      <w:r w:rsidR="003D5937">
        <w:t xml:space="preserve">mostly </w:t>
      </w:r>
      <w:r w:rsidR="00DB21AA">
        <w:t>sedentary behaviour)</w:t>
      </w:r>
      <w:r w:rsidR="00D40FE9">
        <w:t xml:space="preserve"> with </w:t>
      </w:r>
      <w:r w:rsidR="00D862F7">
        <w:t>greatest movement at night</w:t>
      </w:r>
      <w:r w:rsidR="004353F8">
        <w:t xml:space="preserve"> (mainly by females) (Kostner et al. 2015)</w:t>
      </w:r>
      <w:r w:rsidR="00DB21AA">
        <w:t>.</w:t>
      </w:r>
      <w:r w:rsidR="00FC1D90">
        <w:t xml:space="preserve"> </w:t>
      </w:r>
      <w:r w:rsidR="00132F98">
        <w:t>Although rarer, there was also some evidence of longer movement</w:t>
      </w:r>
      <w:r w:rsidR="00A30F08">
        <w:t>s</w:t>
      </w:r>
      <w:r w:rsidR="00132F98">
        <w:t>, including between floodplain and riverine habitats (Kostner et al. 2015).</w:t>
      </w:r>
    </w:p>
    <w:p w14:paraId="420E23F6" w14:textId="0BE181C8" w:rsidR="00562DCD" w:rsidRDefault="0045635B" w:rsidP="009E57BE">
      <w:r>
        <w:t>Historically, freshwater catfish in the ecological community</w:t>
      </w:r>
      <w:r w:rsidR="00990A27">
        <w:t xml:space="preserve"> occurred in the main channel, billabongs, wetlands, Lower Lakes, and the lower reaches of tributary streams in the Eastern Mount Lofty Ranges (Reynolds 1976 in Clunie &amp; Koehn 2001; Hammer et al. 2009). More recent records suggest a patchy distribution of freshwater catfish, limited to a handful of locations in </w:t>
      </w:r>
      <w:r w:rsidR="0073578E">
        <w:t>main channel and anabranch habitats and in wetlands (</w:t>
      </w:r>
      <w:r w:rsidR="00E6091A">
        <w:t xml:space="preserve">Hammer et al. 2009; </w:t>
      </w:r>
      <w:r w:rsidR="0073578E">
        <w:t>Wedderburn &amp; Suitor 2012; Ye et al. 2015).</w:t>
      </w:r>
      <w:r w:rsidR="00E6091A">
        <w:t xml:space="preserve"> </w:t>
      </w:r>
      <w:r w:rsidR="00BE56B7">
        <w:t xml:space="preserve">For example, </w:t>
      </w:r>
      <w:r w:rsidR="00B27CD3">
        <w:t xml:space="preserve">in the Chowilla anabranch system, </w:t>
      </w:r>
      <w:r w:rsidR="005F36EF">
        <w:t xml:space="preserve">during the drought (2005-2010) </w:t>
      </w:r>
      <w:r w:rsidR="00A65937">
        <w:t xml:space="preserve">they </w:t>
      </w:r>
      <w:r w:rsidR="00562DCD">
        <w:t>were found in fast flowing or main channel mesohabitats</w:t>
      </w:r>
      <w:r w:rsidR="00993141">
        <w:t xml:space="preserve">, however </w:t>
      </w:r>
      <w:r w:rsidR="005F36EF">
        <w:t>after the floods (</w:t>
      </w:r>
      <w:r w:rsidR="00457583">
        <w:t xml:space="preserve">2011-2013) </w:t>
      </w:r>
      <w:r w:rsidR="003B6D3B">
        <w:t>they were also found in backwater and slow-flowing mesohabitats (Wilson et al. 2014).</w:t>
      </w:r>
      <w:r w:rsidR="00ED3BB5">
        <w:t xml:space="preserve"> </w:t>
      </w:r>
      <w:r w:rsidR="00541862">
        <w:t>This result may also reflect loss of littoral vegetated habitat during the drought.</w:t>
      </w:r>
    </w:p>
    <w:p w14:paraId="2AD94692" w14:textId="635D2B0D" w:rsidR="003862F3" w:rsidRPr="003862F3" w:rsidRDefault="003862F3" w:rsidP="00A2521C">
      <w:pPr>
        <w:pStyle w:val="Heading5"/>
      </w:pPr>
      <w:r w:rsidRPr="003862F3">
        <w:lastRenderedPageBreak/>
        <w:t xml:space="preserve">Breeding </w:t>
      </w:r>
      <w:r w:rsidR="008A5A33">
        <w:t>specialist</w:t>
      </w:r>
    </w:p>
    <w:p w14:paraId="09F26ABA" w14:textId="746D240C" w:rsidR="003D5937" w:rsidRDefault="003862F3" w:rsidP="009E57BE">
      <w:pPr>
        <w:contextualSpacing/>
      </w:pPr>
      <w:r>
        <w:t xml:space="preserve">Freshwater catfish is a non-migratory species that </w:t>
      </w:r>
      <w:r w:rsidR="00B7350C">
        <w:t xml:space="preserve">builds nests and </w:t>
      </w:r>
      <w:r>
        <w:t>lays</w:t>
      </w:r>
      <w:r w:rsidR="00B7350C">
        <w:t xml:space="preserve"> </w:t>
      </w:r>
      <w:r>
        <w:t xml:space="preserve">demersal </w:t>
      </w:r>
      <w:r w:rsidR="00B7350C">
        <w:t>eg</w:t>
      </w:r>
      <w:r w:rsidR="008A5A33">
        <w:t>gs</w:t>
      </w:r>
      <w:r w:rsidR="00B7350C">
        <w:t xml:space="preserve"> </w:t>
      </w:r>
      <w:r>
        <w:t>(Reynolds 1983; Merrick &amp; Midgley 1981; Kostner et al. 2015). In one study, nest depth was found to range from 0.2-1.35 m (Burndred et al. 2017). Spawning occurs in spring–summer, with an elaborate courtship display; males guard the nest once eggs are laid until the larvae leave (Merrick &amp; Midgley 1981). Larvae are likely to actively disperse from their nest at around 16 days of age, as they approach juvenile metamorphosis (Burndred et al. 2017).</w:t>
      </w:r>
      <w:r w:rsidR="006C2ADA">
        <w:t xml:space="preserve"> </w:t>
      </w:r>
    </w:p>
    <w:p w14:paraId="15A066EA" w14:textId="4B8084B7" w:rsidR="005605FA" w:rsidRDefault="005605FA" w:rsidP="00A2521C">
      <w:pPr>
        <w:pStyle w:val="Heading5"/>
      </w:pPr>
      <w:r>
        <w:t>Historical decline</w:t>
      </w:r>
      <w:r w:rsidR="000A3268">
        <w:t xml:space="preserve"> and fishing</w:t>
      </w:r>
    </w:p>
    <w:p w14:paraId="2D340FA2" w14:textId="74AE4349" w:rsidR="00C9580C" w:rsidRDefault="009E57BE" w:rsidP="009E57BE">
      <w:r>
        <w:t>A popular recreational, edible fish, freshwater catfish was once recorded as widespread throughout the Murray-Darling Basin</w:t>
      </w:r>
      <w:r w:rsidR="00970582">
        <w:t xml:space="preserve"> and </w:t>
      </w:r>
      <w:r w:rsidR="002A1EF6">
        <w:t xml:space="preserve">was </w:t>
      </w:r>
      <w:r w:rsidR="000E48A2">
        <w:t>a</w:t>
      </w:r>
      <w:r w:rsidR="00970582">
        <w:t xml:space="preserve"> target</w:t>
      </w:r>
      <w:r w:rsidR="000E48A2">
        <w:t xml:space="preserve"> of </w:t>
      </w:r>
      <w:r w:rsidR="00970582">
        <w:t>both commercial and recreational fish</w:t>
      </w:r>
      <w:r w:rsidR="000E48A2">
        <w:t>ing</w:t>
      </w:r>
      <w:r>
        <w:t xml:space="preserve"> (Rourke </w:t>
      </w:r>
      <w:r w:rsidR="00B05777">
        <w:t xml:space="preserve">&amp; </w:t>
      </w:r>
      <w:r>
        <w:t>Gilligan</w:t>
      </w:r>
      <w:r w:rsidR="00833148">
        <w:t xml:space="preserve"> </w:t>
      </w:r>
      <w:r>
        <w:t>2010</w:t>
      </w:r>
      <w:r w:rsidR="008D32ED">
        <w:t>; Ye et al. 2015</w:t>
      </w:r>
      <w:r>
        <w:t xml:space="preserve">). </w:t>
      </w:r>
      <w:r w:rsidR="00F20C91">
        <w:t xml:space="preserve">Data on historical abundance is limited, however it is clear that freshwater catfish </w:t>
      </w:r>
      <w:r w:rsidR="002A1EF6">
        <w:t xml:space="preserve">has </w:t>
      </w:r>
      <w:r w:rsidR="00F20C91">
        <w:t>significantly declined in abundance and distribution (Clunie &amp; Koehn 2001</w:t>
      </w:r>
      <w:r w:rsidR="00BC1B85">
        <w:t>; Koster et al. 2015</w:t>
      </w:r>
      <w:r w:rsidR="00F20C91">
        <w:t>). This species is now considered as one of the rarest species of native fish in some waterways within their natural range, and it has virtually disappeared from southern catchments of the Murray-Darling Basin (Rourke &amp; Gilligan 2010).</w:t>
      </w:r>
    </w:p>
    <w:p w14:paraId="76FD783D" w14:textId="1F62E6DF" w:rsidR="00866341" w:rsidRPr="00E344F3" w:rsidRDefault="009E57BE" w:rsidP="009E57BE">
      <w:r>
        <w:t>General reports also indicate that freshwater catfish w</w:t>
      </w:r>
      <w:r w:rsidR="00F20C91">
        <w:t>as</w:t>
      </w:r>
      <w:r>
        <w:t xml:space="preserve"> common throughout the South Australian section of the River Murray</w:t>
      </w:r>
      <w:r w:rsidR="00F20C91">
        <w:t xml:space="preserve">, </w:t>
      </w:r>
      <w:r>
        <w:t>and therefore w</w:t>
      </w:r>
      <w:r w:rsidR="00F20C91">
        <w:t>as</w:t>
      </w:r>
      <w:r>
        <w:t xml:space="preserve"> widespread in the ecological community</w:t>
      </w:r>
      <w:r w:rsidR="00F20C91">
        <w:t>,</w:t>
      </w:r>
      <w:r>
        <w:t xml:space="preserve"> until around the mid</w:t>
      </w:r>
      <w:r w:rsidR="00B656BB">
        <w:t>-</w:t>
      </w:r>
      <w:r>
        <w:t>1960s</w:t>
      </w:r>
      <w:r w:rsidR="00F20C91">
        <w:t xml:space="preserve">. </w:t>
      </w:r>
      <w:r w:rsidR="00AB548A">
        <w:t xml:space="preserve">However, trends in commercial fishing catch data illustrate the decline of catfish from the early-1970s (&lt; 20,000 kg), with catches progressively falling to low levels by the mid-1970s (6,000 kg) and very low levels throughout the 1980s and 1990s (Ye et al. 2015; </w:t>
      </w:r>
      <w:r w:rsidR="00AB548A" w:rsidRPr="00736498">
        <w:rPr>
          <w:u w:val="single"/>
        </w:rPr>
        <w:t xml:space="preserve">Figure </w:t>
      </w:r>
      <w:r w:rsidR="00160FC4">
        <w:rPr>
          <w:u w:val="single"/>
        </w:rPr>
        <w:t>8</w:t>
      </w:r>
      <w:r w:rsidR="00AB548A">
        <w:t>). Fishery catch data, along with limited research records, sugges</w:t>
      </w:r>
      <w:r w:rsidR="00E87028">
        <w:t>t</w:t>
      </w:r>
      <w:r w:rsidR="00AB548A">
        <w:t xml:space="preserve"> a conservative estimate of decline over the last 30–40 years of at least 50% (Hammer et al. 2009). Fishing for this species was banned in South Australia in 1997. Fishing is also banned and Victoria, and restrictive regulations are in place in New South Wales (Rourke &amp; Gilligan 2010; Ye et al. 2015). </w:t>
      </w:r>
    </w:p>
    <w:bookmarkEnd w:id="270"/>
    <w:p w14:paraId="70C25CF9" w14:textId="32DC812D" w:rsidR="00907233" w:rsidRPr="00630F84" w:rsidRDefault="00B434B7" w:rsidP="005202C2">
      <w:pPr>
        <w:pStyle w:val="Caption"/>
        <w:rPr>
          <w:rFonts w:cstheme="minorHAnsi"/>
          <w:b w:val="0"/>
          <w:bCs/>
          <w:sz w:val="21"/>
          <w:szCs w:val="21"/>
        </w:rPr>
      </w:pPr>
      <w:r w:rsidRPr="005D1473">
        <w:rPr>
          <w:noProof/>
          <w:bdr w:val="single" w:sz="8" w:space="0" w:color="auto"/>
        </w:rPr>
        <w:drawing>
          <wp:inline distT="0" distB="0" distL="0" distR="0" wp14:anchorId="29A34F8B" wp14:editId="37199CF3">
            <wp:extent cx="5752800" cy="3206328"/>
            <wp:effectExtent l="0" t="0" r="635" b="0"/>
            <wp:docPr id="5" name="Picture 2" descr="A graph of catch data for freshwater catfish compared to carp from the South Australia River Murray Commercial Fishery between 1968 and 19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graph of catch data for freshwater catfish compared to carp from the South Australia River Murray Commercial Fishery between 1968 and 1986. "/>
                    <pic:cNvPicPr>
                      <a:picLocks noChangeAspect="1" noChangeArrowheads="1"/>
                    </pic:cNvPicPr>
                  </pic:nvPicPr>
                  <pic:blipFill>
                    <a:blip r:embed="rId35" cstate="print"/>
                    <a:srcRect/>
                    <a:stretch>
                      <a:fillRect/>
                    </a:stretch>
                  </pic:blipFill>
                  <pic:spPr bwMode="auto">
                    <a:xfrm>
                      <a:off x="0" y="0"/>
                      <a:ext cx="5752800" cy="3206328"/>
                    </a:xfrm>
                    <a:prstGeom prst="rect">
                      <a:avLst/>
                    </a:prstGeom>
                    <a:noFill/>
                    <a:ln w="9525">
                      <a:noFill/>
                      <a:miter lim="800000"/>
                      <a:headEnd/>
                      <a:tailEnd/>
                    </a:ln>
                  </pic:spPr>
                </pic:pic>
              </a:graphicData>
            </a:graphic>
          </wp:inline>
        </w:drawing>
      </w:r>
      <w:bookmarkStart w:id="271" w:name="_Toc232747963"/>
      <w:bookmarkStart w:id="272" w:name="_Hlk135731552"/>
      <w:r w:rsidR="005202C2">
        <w:t xml:space="preserve">Figure </w:t>
      </w:r>
      <w:r w:rsidR="005202C2">
        <w:fldChar w:fldCharType="begin"/>
      </w:r>
      <w:r w:rsidR="005202C2">
        <w:instrText xml:space="preserve"> SEQ Figure \* ARABIC </w:instrText>
      </w:r>
      <w:r w:rsidR="005202C2">
        <w:fldChar w:fldCharType="separate"/>
      </w:r>
      <w:r w:rsidR="006D35C5">
        <w:rPr>
          <w:noProof/>
        </w:rPr>
        <w:t>8</w:t>
      </w:r>
      <w:r w:rsidR="005202C2">
        <w:fldChar w:fldCharType="end"/>
      </w:r>
      <w:r w:rsidR="008852FE" w:rsidRPr="00466B4F">
        <w:rPr>
          <w:rFonts w:cstheme="minorHAnsi"/>
          <w:bCs/>
          <w:i/>
        </w:rPr>
        <w:t xml:space="preserve">: </w:t>
      </w:r>
      <w:r w:rsidR="008852FE" w:rsidRPr="00630F84">
        <w:rPr>
          <w:rFonts w:cstheme="minorHAnsi"/>
          <w:bCs/>
          <w:sz w:val="21"/>
          <w:szCs w:val="21"/>
        </w:rPr>
        <w:t>Catch data for freshwater catfish (compared to carp) from the SA River Murray Commercial Fishery between 1968 and 1986 based on SA Fisheries Statistics (Source: Hammer et al. 2009 p. 69).</w:t>
      </w:r>
      <w:bookmarkEnd w:id="271"/>
    </w:p>
    <w:p w14:paraId="43E089A4" w14:textId="77777777" w:rsidR="00F46BA4" w:rsidRDefault="00F46BA4" w:rsidP="008A1C3B">
      <w:pPr>
        <w:rPr>
          <w:rFonts w:cstheme="minorHAnsi"/>
          <w:b/>
          <w:bCs/>
          <w:sz w:val="16"/>
          <w:szCs w:val="16"/>
        </w:rPr>
      </w:pPr>
    </w:p>
    <w:p w14:paraId="4FD6FC13" w14:textId="77777777" w:rsidR="004449E2" w:rsidRPr="008F684E" w:rsidRDefault="004449E2" w:rsidP="00A2521C">
      <w:pPr>
        <w:pStyle w:val="Heading5"/>
      </w:pPr>
      <w:r w:rsidRPr="008F684E">
        <w:lastRenderedPageBreak/>
        <w:t xml:space="preserve">Carp </w:t>
      </w:r>
      <w:r>
        <w:t>competitor</w:t>
      </w:r>
    </w:p>
    <w:p w14:paraId="1D467E3C" w14:textId="2559B318" w:rsidR="004449E2" w:rsidRDefault="004449E2" w:rsidP="005A1F26">
      <w:r>
        <w:t>Anecdotally, freshwater catfish numbers declined substantially throughout the Murray-Darling Basin, and River Murray in particular, following the invasion of common carp (</w:t>
      </w:r>
      <w:r w:rsidRPr="009974EA">
        <w:rPr>
          <w:i/>
        </w:rPr>
        <w:t>Cyprinus carpio</w:t>
      </w:r>
      <w:r>
        <w:rPr>
          <w:i/>
        </w:rPr>
        <w:t xml:space="preserve">, </w:t>
      </w:r>
      <w:r>
        <w:t xml:space="preserve">Boolara strain) during the 1970s (Hammer et al. 2009; Rourke &amp; Gilligan, 2010). Carp gained a stronghold following the record-braking floods in 1974–75 </w:t>
      </w:r>
      <w:r w:rsidRPr="00003F8E">
        <w:t>(</w:t>
      </w:r>
      <w:r w:rsidR="00003F8E">
        <w:t>Koehn 2004</w:t>
      </w:r>
      <w:r>
        <w:t>). While carp may not have initiated the decline in freshwater catfish, they would have exacerbated it and limited potential recovery. As both species are benthic feeders (i.e. strong dietary overlap), common carp may have played a major role in the decline of freshwater catfish (Clunie &amp; Koehn 2001; Kostner et al. 2015)</w:t>
      </w:r>
      <w:bookmarkStart w:id="273" w:name="_Hlk135731608"/>
      <w:r>
        <w:t xml:space="preserve">. </w:t>
      </w:r>
      <w:bookmarkStart w:id="274" w:name="_Hlk135731664"/>
      <w:bookmarkEnd w:id="272"/>
      <w:bookmarkEnd w:id="273"/>
    </w:p>
    <w:p w14:paraId="1448E340" w14:textId="7F7DEEFE" w:rsidR="005A1F26" w:rsidRDefault="005A1F26" w:rsidP="005A1F26">
      <w:r>
        <w:t xml:space="preserve">The behaviour of carp typically </w:t>
      </w:r>
      <w:r w:rsidR="00D37FD5">
        <w:t xml:space="preserve">disturbs catfish habitat </w:t>
      </w:r>
      <w:r w:rsidR="008E084C">
        <w:t xml:space="preserve">through </w:t>
      </w:r>
      <w:r>
        <w:t>siltation</w:t>
      </w:r>
      <w:r w:rsidR="008E084C">
        <w:t xml:space="preserve">, </w:t>
      </w:r>
      <w:r>
        <w:t>bank erosion</w:t>
      </w:r>
      <w:r w:rsidR="008E084C">
        <w:t xml:space="preserve"> and increased turbidity</w:t>
      </w:r>
      <w:r w:rsidR="005E5F42">
        <w:t>,</w:t>
      </w:r>
      <w:r w:rsidR="009B451C">
        <w:t xml:space="preserve"> which in turn leads to decreased</w:t>
      </w:r>
      <w:r w:rsidR="00FA0C33">
        <w:t xml:space="preserve"> </w:t>
      </w:r>
      <w:r w:rsidR="005F5748">
        <w:t xml:space="preserve">submerged and riparian </w:t>
      </w:r>
      <w:r w:rsidR="008E084C">
        <w:t xml:space="preserve">macrophyte biomass and diversity (Koehn et al. 2000). </w:t>
      </w:r>
      <w:r w:rsidR="00A66573">
        <w:t xml:space="preserve">Disturbance of </w:t>
      </w:r>
      <w:r>
        <w:t xml:space="preserve">freshwater catfish nesting sites </w:t>
      </w:r>
      <w:r w:rsidR="00A66573">
        <w:t xml:space="preserve">by carp is also likely </w:t>
      </w:r>
      <w:r>
        <w:t>(</w:t>
      </w:r>
      <w:r w:rsidR="005F5748">
        <w:t xml:space="preserve">Hammer et al. 2009; </w:t>
      </w:r>
      <w:r>
        <w:t>Koehn et al.</w:t>
      </w:r>
      <w:r w:rsidR="008E084C">
        <w:t xml:space="preserve"> </w:t>
      </w:r>
      <w:r>
        <w:t xml:space="preserve">2000; Hammer et al. 2009). These impacts could directly affect freshwater catfish in terms of reproductive success, feeding behaviour and food availability, as well as survival (Clunie </w:t>
      </w:r>
      <w:r w:rsidR="008E084C">
        <w:t>&amp;</w:t>
      </w:r>
      <w:r>
        <w:t xml:space="preserve"> Koehn 2010).</w:t>
      </w:r>
    </w:p>
    <w:p w14:paraId="10E65D75" w14:textId="06E086B8" w:rsidR="00B51BF3" w:rsidRPr="009F26D1" w:rsidRDefault="009F26D1" w:rsidP="00A2521C">
      <w:pPr>
        <w:pStyle w:val="Heading5"/>
      </w:pPr>
      <w:r>
        <w:t>Conservation status</w:t>
      </w:r>
    </w:p>
    <w:p w14:paraId="46772851" w14:textId="71043083" w:rsidR="008E18D5" w:rsidRDefault="008E18D5" w:rsidP="005A1F26">
      <w:r>
        <w:t xml:space="preserve">Within the Murray-Darling Basin, </w:t>
      </w:r>
      <w:r w:rsidRPr="00B56312">
        <w:rPr>
          <w:i/>
          <w:iCs/>
        </w:rPr>
        <w:t>Tandanus tandanus</w:t>
      </w:r>
      <w:r>
        <w:t xml:space="preserve"> is locally extinct over a large part of its historical range (Rourke &amp; Gilligan 2015). Previous studies have indicated a complicated phylogenetic structure for freshwater catfish, including several cryptic species and low genetic diversity (e.g. Musyl &amp; Keenan 1996), which has implications for use of translocations to recover populations in areas where they are extirpated (Rourke &amp; Gilligan 2015). In S</w:t>
      </w:r>
      <w:r w:rsidR="005D6EFE">
        <w:t xml:space="preserve">outh </w:t>
      </w:r>
      <w:r>
        <w:t>A</w:t>
      </w:r>
      <w:r w:rsidR="005D6EFE">
        <w:t>ustralia</w:t>
      </w:r>
      <w:r>
        <w:t>, freshwater catfish have previously been stocked and populations established in water-bodies outside of the River Murray, including farm dams and several streams of the Western Mount Lofty Ranges (Ye et al. 2015).</w:t>
      </w:r>
      <w:r w:rsidR="005D6EFE">
        <w:t xml:space="preserve"> </w:t>
      </w:r>
    </w:p>
    <w:p w14:paraId="18E3B5C4" w14:textId="4AF70C95" w:rsidR="009F26D1" w:rsidRDefault="00C11B4B" w:rsidP="005A1F26">
      <w:r>
        <w:t>Since 1997, f</w:t>
      </w:r>
      <w:r w:rsidR="00B51BF3">
        <w:t xml:space="preserve">reshwater catfish are </w:t>
      </w:r>
      <w:r>
        <w:t xml:space="preserve">a </w:t>
      </w:r>
      <w:r w:rsidR="00B51BF3">
        <w:t xml:space="preserve">fully protected species </w:t>
      </w:r>
      <w:r>
        <w:t xml:space="preserve">in South Australia </w:t>
      </w:r>
      <w:r w:rsidR="00B51BF3">
        <w:t xml:space="preserve">(under the </w:t>
      </w:r>
      <w:r w:rsidR="00B51BF3" w:rsidRPr="00724BB7">
        <w:rPr>
          <w:i/>
          <w:iCs/>
        </w:rPr>
        <w:t>Fisheries Management Act 2007</w:t>
      </w:r>
      <w:r w:rsidR="00B51BF3">
        <w:t xml:space="preserve">, formerly </w:t>
      </w:r>
      <w:r w:rsidR="00B51BF3" w:rsidRPr="00724BB7">
        <w:rPr>
          <w:i/>
          <w:iCs/>
        </w:rPr>
        <w:t>Fisheries Management Act 1982</w:t>
      </w:r>
      <w:r w:rsidR="00B51BF3">
        <w:t xml:space="preserve">) and must be returned to the water immediately if accidentally caught. </w:t>
      </w:r>
      <w:r w:rsidR="00B51BF3" w:rsidRPr="00BC43C4">
        <w:rPr>
          <w:iCs/>
        </w:rPr>
        <w:t>In Victoria, the</w:t>
      </w:r>
      <w:r w:rsidR="00B51BF3">
        <w:rPr>
          <w:iCs/>
        </w:rPr>
        <w:t xml:space="preserve"> species</w:t>
      </w:r>
      <w:r w:rsidR="00B51BF3" w:rsidRPr="00BC43C4">
        <w:t xml:space="preserve"> </w:t>
      </w:r>
      <w:r w:rsidR="00B51BF3">
        <w:t xml:space="preserve">is listed as threatened under the </w:t>
      </w:r>
      <w:r w:rsidR="00B51BF3" w:rsidRPr="009974EA">
        <w:rPr>
          <w:i/>
        </w:rPr>
        <w:t>Flora and Fauna Guarantee Act 1988</w:t>
      </w:r>
      <w:r w:rsidR="00B51BF3">
        <w:t xml:space="preserve">, and in NSW it is listed as an endangered population in the New South Wales Murray-Darling Basin (NSW Government Gazette 103). The </w:t>
      </w:r>
      <w:r w:rsidR="00B51BF3" w:rsidRPr="002C2262">
        <w:rPr>
          <w:i/>
        </w:rPr>
        <w:t>Action Plan for South Australian Freshwater Fishes</w:t>
      </w:r>
      <w:r w:rsidR="00B51BF3">
        <w:t xml:space="preserve"> (Hammer et al. 2009) assigned a conservation status of ‘endangered’, as at the time, the freshwater catfish was considered to be facing a very high risk of extinction in the wild in South Australia. </w:t>
      </w:r>
    </w:p>
    <w:p w14:paraId="53904F2F" w14:textId="3F96D7DB" w:rsidR="008E084C" w:rsidRPr="009F26D1" w:rsidRDefault="00D91BF9" w:rsidP="00A2521C">
      <w:pPr>
        <w:pStyle w:val="Heading5"/>
      </w:pPr>
      <w:r>
        <w:t>Post Millennium Drought</w:t>
      </w:r>
      <w:r w:rsidR="0085133F">
        <w:t xml:space="preserve"> </w:t>
      </w:r>
      <w:r w:rsidR="00B51BF3">
        <w:t>status</w:t>
      </w:r>
    </w:p>
    <w:p w14:paraId="00937F71" w14:textId="010A74F3" w:rsidR="000E4679" w:rsidRDefault="00956120" w:rsidP="005A1F26">
      <w:r>
        <w:t xml:space="preserve">During the Millennium Drought, 1997-2010, relative abundance of catfish remained low in the main channel and the anabranch habitats of the SA River Murray (Ye et al. 2015). </w:t>
      </w:r>
      <w:r w:rsidR="0085133F">
        <w:t xml:space="preserve">Similarly, </w:t>
      </w:r>
      <w:r w:rsidR="0085133F" w:rsidRPr="003701F2">
        <w:t xml:space="preserve">common carp also declined </w:t>
      </w:r>
      <w:r w:rsidR="0085133F">
        <w:t xml:space="preserve">during the drought </w:t>
      </w:r>
      <w:r w:rsidR="0085133F" w:rsidRPr="003701F2">
        <w:t>and thus competitive pressure from this alien species on freshwater catfish may have been alleviated to some degree</w:t>
      </w:r>
      <w:r w:rsidR="0085133F">
        <w:t>.</w:t>
      </w:r>
      <w:r w:rsidR="00133FB3">
        <w:t xml:space="preserve"> </w:t>
      </w:r>
    </w:p>
    <w:p w14:paraId="66966E6B" w14:textId="77777777" w:rsidR="004D1238" w:rsidRDefault="00956120" w:rsidP="005A1F26">
      <w:r>
        <w:t>However</w:t>
      </w:r>
      <w:r w:rsidR="00280DD2">
        <w:t>, f</w:t>
      </w:r>
      <w:r w:rsidR="00D91BF9" w:rsidRPr="003701F2">
        <w:t>ollowing the 2010–11 floods that broke the</w:t>
      </w:r>
      <w:r w:rsidR="00280DD2">
        <w:t xml:space="preserve"> drought</w:t>
      </w:r>
      <w:r w:rsidR="00D91BF9" w:rsidRPr="003701F2">
        <w:t xml:space="preserve">, there were anecdotal reports by anglers of freshwater catfish increasing in abundance, with both juveniles and adults observed </w:t>
      </w:r>
      <w:r w:rsidR="00035031">
        <w:t xml:space="preserve">(Zampatti pers. </w:t>
      </w:r>
      <w:r w:rsidR="00E84CFB">
        <w:t>c</w:t>
      </w:r>
      <w:r w:rsidR="00035031">
        <w:t>omm.)</w:t>
      </w:r>
      <w:r w:rsidR="00E84CFB">
        <w:t xml:space="preserve">. </w:t>
      </w:r>
      <w:r w:rsidR="000605E3">
        <w:t xml:space="preserve">While </w:t>
      </w:r>
      <w:r w:rsidR="00E84CFB">
        <w:t xml:space="preserve">evidence of </w:t>
      </w:r>
      <w:r w:rsidR="000605E3">
        <w:t xml:space="preserve">an increase in abundance and recruitment was </w:t>
      </w:r>
      <w:r w:rsidR="00DB3C01">
        <w:t xml:space="preserve">subsequently </w:t>
      </w:r>
      <w:r w:rsidR="000605E3">
        <w:t xml:space="preserve">recorded, </w:t>
      </w:r>
      <w:r w:rsidR="009E114A">
        <w:t>it proved to be an order of magnitude lower than 1997 (pre-drought) levels</w:t>
      </w:r>
      <w:r w:rsidR="00035031">
        <w:t xml:space="preserve"> </w:t>
      </w:r>
      <w:r w:rsidR="00035031" w:rsidRPr="003701F2">
        <w:t>(</w:t>
      </w:r>
      <w:r w:rsidR="00035031">
        <w:t>Ye et al. 2015</w:t>
      </w:r>
      <w:r w:rsidR="00035031" w:rsidRPr="003701F2">
        <w:t>).</w:t>
      </w:r>
      <w:r w:rsidR="00175998">
        <w:t xml:space="preserve"> It also proved to be </w:t>
      </w:r>
      <w:r w:rsidR="0081289C">
        <w:t xml:space="preserve">temporary, with </w:t>
      </w:r>
      <w:r w:rsidR="00C14FDB">
        <w:t xml:space="preserve">further </w:t>
      </w:r>
      <w:r w:rsidR="004044DD">
        <w:t xml:space="preserve">declines </w:t>
      </w:r>
      <w:r w:rsidR="00175998">
        <w:t xml:space="preserve">in abundance </w:t>
      </w:r>
      <w:r w:rsidR="004044DD">
        <w:t>evident in 2012-13 (Ye et al. 2015).</w:t>
      </w:r>
      <w:r w:rsidR="00D91BF9" w:rsidRPr="003701F2">
        <w:t xml:space="preserve"> </w:t>
      </w:r>
    </w:p>
    <w:p w14:paraId="42393B02" w14:textId="50589349" w:rsidR="00133FB3" w:rsidRPr="00133FB3" w:rsidRDefault="00677850" w:rsidP="002915A3">
      <w:pPr>
        <w:keepLines/>
      </w:pPr>
      <w:r>
        <w:lastRenderedPageBreak/>
        <w:t>C</w:t>
      </w:r>
      <w:r w:rsidR="00374CE2">
        <w:t xml:space="preserve">ondition monitoring of the fish assemblage </w:t>
      </w:r>
      <w:r w:rsidR="00B76BF1">
        <w:t>within the Chowilla anabranch system</w:t>
      </w:r>
      <w:r w:rsidR="00990702">
        <w:t xml:space="preserve"> </w:t>
      </w:r>
      <w:r w:rsidR="00374CE2">
        <w:t>(i.e</w:t>
      </w:r>
      <w:r w:rsidR="00CC142B">
        <w:t>.</w:t>
      </w:r>
      <w:r w:rsidR="00374CE2">
        <w:t xml:space="preserve"> </w:t>
      </w:r>
      <w:r w:rsidR="004D1238">
        <w:t xml:space="preserve">Living Murray </w:t>
      </w:r>
      <w:r w:rsidR="00374CE2">
        <w:t xml:space="preserve">Icon site) </w:t>
      </w:r>
      <w:r w:rsidR="00990702">
        <w:t xml:space="preserve">from 2007-2013 </w:t>
      </w:r>
      <w:r w:rsidR="00374CE2">
        <w:t xml:space="preserve">at </w:t>
      </w:r>
      <w:r w:rsidR="00990702">
        <w:t>16</w:t>
      </w:r>
      <w:r w:rsidR="00F21DBC">
        <w:t>-</w:t>
      </w:r>
      <w:r w:rsidR="00990702">
        <w:t>22 sites</w:t>
      </w:r>
      <w:r w:rsidR="00F21DBC">
        <w:t xml:space="preserve">, </w:t>
      </w:r>
      <w:r w:rsidR="002034DE">
        <w:t xml:space="preserve">recorded </w:t>
      </w:r>
      <w:r w:rsidR="00837DC0">
        <w:t>only 1-3 freshwater catfish from 2007-</w:t>
      </w:r>
      <w:r w:rsidR="001C6C82">
        <w:t xml:space="preserve">2010, with post-flood captures numbering </w:t>
      </w:r>
      <w:r w:rsidR="00C2545D">
        <w:t>8, 20, and 15 for 2011,2012 and 2013, respectively</w:t>
      </w:r>
      <w:r w:rsidR="00374CE2">
        <w:t xml:space="preserve"> (Wilson et al. 2014)</w:t>
      </w:r>
      <w:r w:rsidR="00C2545D">
        <w:t>.</w:t>
      </w:r>
      <w:r w:rsidR="00CC142B">
        <w:t xml:space="preserve"> </w:t>
      </w:r>
      <w:r w:rsidR="00F90E20">
        <w:t>Of note</w:t>
      </w:r>
      <w:r w:rsidR="002034DE">
        <w:t>,</w:t>
      </w:r>
      <w:r w:rsidR="00F90E20">
        <w:t xml:space="preserve"> is that </w:t>
      </w:r>
      <w:r w:rsidR="00F90E20" w:rsidRPr="003701F2">
        <w:t>common carp (along with other alien fish species) proliferated following the 2010–11 floods</w:t>
      </w:r>
      <w:r w:rsidR="00F90E20">
        <w:t>, reinstating competitive pressure on catfish (Ye et al. 2015).</w:t>
      </w:r>
    </w:p>
    <w:p w14:paraId="4FECAA93" w14:textId="209225F0" w:rsidR="008E084C" w:rsidRPr="008E084C" w:rsidRDefault="00255139" w:rsidP="00A2521C">
      <w:pPr>
        <w:pStyle w:val="Heading5"/>
      </w:pPr>
      <w:r>
        <w:t>Protection and research</w:t>
      </w:r>
      <w:r w:rsidR="008E084C" w:rsidRPr="008E084C">
        <w:t xml:space="preserve"> </w:t>
      </w:r>
      <w:r w:rsidR="00994A61">
        <w:t>gaps</w:t>
      </w:r>
    </w:p>
    <w:p w14:paraId="16F8BD8A" w14:textId="6488E0A8" w:rsidR="005A47BE" w:rsidRDefault="009236BA" w:rsidP="009236BA">
      <w:bookmarkStart w:id="275" w:name="_Hlk135731698"/>
      <w:bookmarkEnd w:id="274"/>
      <w:r>
        <w:t xml:space="preserve">The freshwater catfish population </w:t>
      </w:r>
      <w:r w:rsidR="00994A61">
        <w:t xml:space="preserve">within the ecological community </w:t>
      </w:r>
      <w:r>
        <w:t xml:space="preserve">remains in very low abundance </w:t>
      </w:r>
      <w:r w:rsidR="00DD67A3">
        <w:t xml:space="preserve">(i.e. rare) </w:t>
      </w:r>
      <w:r w:rsidR="00C14FDB">
        <w:t>relative to historical</w:t>
      </w:r>
      <w:r w:rsidR="00F21926">
        <w:t xml:space="preserve"> population </w:t>
      </w:r>
      <w:r w:rsidR="000E4192">
        <w:t>levels</w:t>
      </w:r>
      <w:r w:rsidR="003A560F">
        <w:t xml:space="preserve">, has </w:t>
      </w:r>
      <w:r w:rsidR="00DD67A3">
        <w:t>a patchy distribution,</w:t>
      </w:r>
      <w:r w:rsidR="005A47BE">
        <w:t xml:space="preserve"> </w:t>
      </w:r>
      <w:r w:rsidR="00F21926">
        <w:t>and warrants continued protection</w:t>
      </w:r>
      <w:r w:rsidR="00240778">
        <w:t xml:space="preserve"> (Ye et al. 2015). T</w:t>
      </w:r>
      <w:r w:rsidR="00255139">
        <w:t>he stock status of this species in South Australia</w:t>
      </w:r>
      <w:r w:rsidR="00240778">
        <w:t xml:space="preserve">, </w:t>
      </w:r>
      <w:r w:rsidR="003A560F">
        <w:t xml:space="preserve">based on the national stock status framework, </w:t>
      </w:r>
      <w:r w:rsidR="00255139">
        <w:t xml:space="preserve">remains ‘undefined’ </w:t>
      </w:r>
      <w:r>
        <w:t xml:space="preserve">(Ye et al. 2015). </w:t>
      </w:r>
    </w:p>
    <w:p w14:paraId="48F103FA" w14:textId="0C2A0379" w:rsidR="000E087D" w:rsidRPr="00063AA4" w:rsidRDefault="000E087D" w:rsidP="005A1F26">
      <w:pPr>
        <w:rPr>
          <w:b/>
          <w:bCs/>
          <w:i/>
          <w:iCs/>
        </w:rPr>
      </w:pPr>
      <w:r>
        <w:t xml:space="preserve">The association </w:t>
      </w:r>
      <w:r w:rsidR="00255139">
        <w:t>of</w:t>
      </w:r>
      <w:r>
        <w:t xml:space="preserve"> freshwater catfish with shallow littoral habitats has potentially important implications for the conservation and management of the species. For example, water levels are often drawn down in wetland systems in the Murray–Darling Basin for consumptive purposes, which may limit access to cover available near the margins and force fish to relocate to suboptimal habitats (Bain et al. 1988 in Kostner et al. 2015).</w:t>
      </w:r>
      <w:r w:rsidR="00AC565B">
        <w:t xml:space="preserve"> Additionally, </w:t>
      </w:r>
      <w:r w:rsidR="00425533">
        <w:t xml:space="preserve">restricting </w:t>
      </w:r>
      <w:r w:rsidR="00AB24D9">
        <w:t xml:space="preserve">potential </w:t>
      </w:r>
      <w:r w:rsidR="00AC565B">
        <w:t>grazing by stock</w:t>
      </w:r>
      <w:r w:rsidR="00425533">
        <w:t xml:space="preserve"> which ero</w:t>
      </w:r>
      <w:r w:rsidR="00B31C8E">
        <w:t xml:space="preserve">de and degrade these habitats would be </w:t>
      </w:r>
      <w:r w:rsidR="00AB24D9">
        <w:t>beneficial</w:t>
      </w:r>
      <w:r w:rsidR="00D600E0">
        <w:t xml:space="preserve"> (e.g. </w:t>
      </w:r>
      <w:r w:rsidR="006E462D">
        <w:t>Robertson</w:t>
      </w:r>
      <w:r w:rsidR="0084714B">
        <w:t xml:space="preserve"> </w:t>
      </w:r>
      <w:r w:rsidR="006E462D">
        <w:t>&amp; Rowling</w:t>
      </w:r>
      <w:r w:rsidR="00200721">
        <w:t xml:space="preserve"> </w:t>
      </w:r>
      <w:r w:rsidR="001E446C">
        <w:t>2000</w:t>
      </w:r>
      <w:r w:rsidR="006E462D">
        <w:t xml:space="preserve">; </w:t>
      </w:r>
      <w:r w:rsidR="00D600E0">
        <w:t>Amy &amp; Robertson 2001)</w:t>
      </w:r>
      <w:r w:rsidR="00B31C8E">
        <w:t>.</w:t>
      </w:r>
    </w:p>
    <w:p w14:paraId="71D0CF1B" w14:textId="23E272E7" w:rsidR="00B434B7" w:rsidRDefault="0091366E" w:rsidP="00742334">
      <w:r>
        <w:t>Significant knowledge gaps remain</w:t>
      </w:r>
      <w:r w:rsidR="007D5D54">
        <w:t xml:space="preserve"> on the biology and ecology of freshwater catfish,</w:t>
      </w:r>
      <w:r w:rsidR="00CE5FDC">
        <w:t xml:space="preserve"> </w:t>
      </w:r>
      <w:r w:rsidR="00BD2C0C">
        <w:t xml:space="preserve">particularly regarding </w:t>
      </w:r>
      <w:r w:rsidR="002006BA">
        <w:t xml:space="preserve">early </w:t>
      </w:r>
      <w:r w:rsidR="00BD2C0C">
        <w:t>life-history</w:t>
      </w:r>
      <w:r w:rsidR="00C84137">
        <w:t xml:space="preserve">, </w:t>
      </w:r>
      <w:r w:rsidR="00CE5FDC">
        <w:t>population dynamics</w:t>
      </w:r>
      <w:r w:rsidR="0080407C">
        <w:t xml:space="preserve">, </w:t>
      </w:r>
      <w:r w:rsidR="00C0516A">
        <w:t>and the influence of hydrology and habitat on reproduction and movement</w:t>
      </w:r>
      <w:r w:rsidR="00AB24D9">
        <w:t>; such knowledge is</w:t>
      </w:r>
      <w:r w:rsidR="002605BA">
        <w:t xml:space="preserve"> needed for effective conservation and management (e.g. Ye et al. 2017; </w:t>
      </w:r>
      <w:r w:rsidR="002006BA">
        <w:t xml:space="preserve">Wilson et al. 2014; </w:t>
      </w:r>
      <w:r w:rsidR="00C84137">
        <w:t>Burndred et al. 201</w:t>
      </w:r>
      <w:r w:rsidR="00BD2C0C">
        <w:t>7).</w:t>
      </w:r>
      <w:r w:rsidR="006F6614">
        <w:t xml:space="preserve"> Additionally, </w:t>
      </w:r>
      <w:bookmarkEnd w:id="275"/>
      <w:r w:rsidR="006F6614">
        <w:t>l</w:t>
      </w:r>
      <w:r w:rsidR="00F5728E">
        <w:t>ong-term monitoring is essential to provide time series data on population dynamic</w:t>
      </w:r>
      <w:r w:rsidR="001E717C">
        <w:t xml:space="preserve"> and assess ongoing status and potential recovery</w:t>
      </w:r>
      <w:r w:rsidR="00105AEC">
        <w:t xml:space="preserve"> within the ecological community</w:t>
      </w:r>
      <w:r w:rsidR="001E717C">
        <w:t xml:space="preserve"> (</w:t>
      </w:r>
      <w:r w:rsidR="00105AEC">
        <w:t xml:space="preserve">e.g. </w:t>
      </w:r>
      <w:r w:rsidR="001E717C">
        <w:t>Ye et al. 2015).</w:t>
      </w:r>
    </w:p>
    <w:p w14:paraId="7BDE9F05" w14:textId="7CFB778B" w:rsidR="003019BC" w:rsidRPr="00630F84" w:rsidRDefault="00945E64" w:rsidP="00630F84">
      <w:r>
        <w:t>Overall, there have been severe declines in freshwater catfish and it is not likely to be possible to restore to normal the major functional role it plays in the ecological community in the immediate future.</w:t>
      </w:r>
      <w:bookmarkStart w:id="276" w:name="_Hlk135731768"/>
      <w:r w:rsidR="003019BC">
        <w:br w:type="page"/>
      </w:r>
    </w:p>
    <w:p w14:paraId="283108DB" w14:textId="7CFB778B" w:rsidR="00F0379C" w:rsidRPr="00CB4D87" w:rsidRDefault="00F0379C" w:rsidP="00443A03">
      <w:pPr>
        <w:pStyle w:val="Heading4"/>
      </w:pPr>
      <w:r w:rsidRPr="00CB4D87">
        <w:lastRenderedPageBreak/>
        <w:t>Keystone diadromous fish - Congolli</w:t>
      </w:r>
    </w:p>
    <w:tbl>
      <w:tblPr>
        <w:tblStyle w:val="TableGrid"/>
        <w:tblW w:w="0" w:type="auto"/>
        <w:tblLook w:val="04A0" w:firstRow="1" w:lastRow="0" w:firstColumn="1" w:lastColumn="0" w:noHBand="0" w:noVBand="1"/>
      </w:tblPr>
      <w:tblGrid>
        <w:gridCol w:w="9060"/>
      </w:tblGrid>
      <w:tr w:rsidR="00F0379C" w14:paraId="34C1A9D0" w14:textId="77777777" w:rsidTr="001D26BA">
        <w:tc>
          <w:tcPr>
            <w:tcW w:w="9174" w:type="dxa"/>
            <w:shd w:val="clear" w:color="auto" w:fill="DEEAF6" w:themeFill="accent1" w:themeFillTint="33"/>
          </w:tcPr>
          <w:p w14:paraId="0B64676D" w14:textId="77777777" w:rsidR="0023513F" w:rsidRPr="00713C6B" w:rsidRDefault="0023513F" w:rsidP="0023513F">
            <w:pPr>
              <w:spacing w:after="120"/>
              <w:rPr>
                <w:b/>
                <w:iCs/>
              </w:rPr>
            </w:pPr>
            <w:bookmarkStart w:id="277" w:name="_Hlk135731788"/>
            <w:bookmarkEnd w:id="276"/>
            <w:r>
              <w:rPr>
                <w:b/>
                <w:iCs/>
              </w:rPr>
              <w:t xml:space="preserve">Congolli </w:t>
            </w:r>
            <w:r w:rsidRPr="00EA702A">
              <w:rPr>
                <w:bCs/>
                <w:iCs/>
              </w:rPr>
              <w:t>(</w:t>
            </w:r>
            <w:r w:rsidRPr="00EA702A">
              <w:rPr>
                <w:bCs/>
                <w:i/>
              </w:rPr>
              <w:t>Pseudaphritis urvillii</w:t>
            </w:r>
            <w:r w:rsidRPr="00EA702A">
              <w:rPr>
                <w:bCs/>
                <w:iCs/>
              </w:rPr>
              <w:t>)</w:t>
            </w:r>
          </w:p>
          <w:p w14:paraId="25E06F6E" w14:textId="7EC03821" w:rsidR="0023513F" w:rsidRPr="00EE0FB2" w:rsidRDefault="0023513F" w:rsidP="0023513F">
            <w:pPr>
              <w:spacing w:after="120"/>
            </w:pPr>
            <w:r w:rsidRPr="00EE0FB2">
              <w:rPr>
                <w:b/>
                <w:i/>
              </w:rPr>
              <w:t>Key functional role:</w:t>
            </w:r>
            <w:r>
              <w:rPr>
                <w:b/>
                <w:i/>
              </w:rPr>
              <w:t xml:space="preserve"> </w:t>
            </w:r>
            <w:r>
              <w:t xml:space="preserve">diadromous (catadromous) native fish; opportunistic carnivore and benthic ambush predator of macroinvertebrates; key food for larger fish (e.g. </w:t>
            </w:r>
            <w:r w:rsidR="0052744F">
              <w:t>m</w:t>
            </w:r>
            <w:r>
              <w:t xml:space="preserve">ulloway, </w:t>
            </w:r>
            <w:r w:rsidR="0052744F">
              <w:t>b</w:t>
            </w:r>
            <w:r>
              <w:t xml:space="preserve">lack </w:t>
            </w:r>
            <w:r w:rsidR="0052744F">
              <w:t>b</w:t>
            </w:r>
            <w:r>
              <w:t>ream</w:t>
            </w:r>
            <w:r w:rsidR="0052744F">
              <w:t>, golden perch</w:t>
            </w:r>
            <w:r>
              <w:t>); potential food for waterbirds/seabirds</w:t>
            </w:r>
            <w:r w:rsidR="0052744F">
              <w:t xml:space="preserve"> (e</w:t>
            </w:r>
            <w:r w:rsidR="00C27276">
              <w:t>.g. pelicans, cormorants)</w:t>
            </w:r>
            <w:r>
              <w:t xml:space="preserve">. </w:t>
            </w:r>
          </w:p>
          <w:p w14:paraId="2E1F9698" w14:textId="6347BC5A" w:rsidR="0023513F" w:rsidRPr="00EE0FB2" w:rsidRDefault="0023513F" w:rsidP="0023513F">
            <w:pPr>
              <w:spacing w:after="120"/>
            </w:pPr>
            <w:r w:rsidRPr="00EE0FB2">
              <w:rPr>
                <w:b/>
                <w:i/>
              </w:rPr>
              <w:t>Key vulnerabilities:</w:t>
            </w:r>
            <w:r>
              <w:t xml:space="preserve">  females obligate downstream migrants to spawn; defined spawning period; </w:t>
            </w:r>
            <w:r w:rsidR="00411EA0">
              <w:t xml:space="preserve">possible </w:t>
            </w:r>
            <w:r w:rsidR="003B7812">
              <w:t>semelparity</w:t>
            </w:r>
            <w:r w:rsidR="00411EA0">
              <w:t xml:space="preserve"> (death after spawning)</w:t>
            </w:r>
            <w:r w:rsidR="003B7812">
              <w:t xml:space="preserve">; </w:t>
            </w:r>
            <w:r>
              <w:t xml:space="preserve">need different habitats (freshwater and saltwater); fragmented population (see </w:t>
            </w:r>
            <w:r w:rsidRPr="00B13C44">
              <w:rPr>
                <w:u w:val="single"/>
              </w:rPr>
              <w:t>Table 1</w:t>
            </w:r>
            <w:r>
              <w:rPr>
                <w:u w:val="single"/>
              </w:rPr>
              <w:t>7</w:t>
            </w:r>
            <w:r>
              <w:t xml:space="preserve">) </w:t>
            </w:r>
          </w:p>
          <w:p w14:paraId="0CE11193" w14:textId="4460651B" w:rsidR="0023513F" w:rsidRPr="007E28A6" w:rsidRDefault="0023513F" w:rsidP="0023513F">
            <w:pPr>
              <w:spacing w:after="120"/>
            </w:pPr>
            <w:r>
              <w:rPr>
                <w:b/>
                <w:i/>
              </w:rPr>
              <w:t>Key impacts</w:t>
            </w:r>
            <w:r w:rsidR="00F7203F">
              <w:rPr>
                <w:b/>
                <w:i/>
              </w:rPr>
              <w:t xml:space="preserve"> on species</w:t>
            </w:r>
            <w:r>
              <w:rPr>
                <w:b/>
                <w:i/>
              </w:rPr>
              <w:t xml:space="preserve">:  </w:t>
            </w:r>
            <w:r w:rsidRPr="0066091F">
              <w:t>disruption of migration;</w:t>
            </w:r>
            <w:r>
              <w:rPr>
                <w:b/>
                <w:i/>
              </w:rPr>
              <w:t xml:space="preserve"> </w:t>
            </w:r>
            <w:r>
              <w:t>long-term recruitment failure; decline in abundance and distribution range</w:t>
            </w:r>
          </w:p>
          <w:p w14:paraId="316BEB67" w14:textId="77777777" w:rsidR="0023513F" w:rsidRDefault="0023513F" w:rsidP="0023513F">
            <w:pPr>
              <w:spacing w:after="120"/>
            </w:pPr>
            <w:r>
              <w:rPr>
                <w:b/>
                <w:i/>
              </w:rPr>
              <w:t xml:space="preserve">Likely causes: </w:t>
            </w:r>
            <w:r w:rsidRPr="00DE6A18">
              <w:rPr>
                <w:bCs/>
                <w:iCs/>
              </w:rPr>
              <w:t>lo</w:t>
            </w:r>
            <w:r>
              <w:t>ss of connectivity between habitats from in-stream barriers and decreased river flow; historical commercial fishing; poor water quality.</w:t>
            </w:r>
          </w:p>
          <w:p w14:paraId="14328E56" w14:textId="2A66196E" w:rsidR="0023513F" w:rsidRPr="007E28A6" w:rsidRDefault="0023513F" w:rsidP="0023513F">
            <w:pPr>
              <w:spacing w:after="120"/>
            </w:pPr>
            <w:r w:rsidRPr="00C25902">
              <w:rPr>
                <w:b/>
                <w:i/>
              </w:rPr>
              <w:t>Key impacts on EC:</w:t>
            </w:r>
            <w:r>
              <w:t xml:space="preserve"> loss of key functional group</w:t>
            </w:r>
            <w:r w:rsidR="00A36906">
              <w:t>/ role (diadromous fish)</w:t>
            </w:r>
            <w:r>
              <w:t>; lost productivity; loss of biodiversity</w:t>
            </w:r>
            <w:r w:rsidR="00F7203F">
              <w:t>; climate change impacts exacerbated (e.g. heat, drying, flood impacts)</w:t>
            </w:r>
          </w:p>
          <w:p w14:paraId="1A511C91" w14:textId="728B2A64" w:rsidR="00F0379C" w:rsidRDefault="0023513F" w:rsidP="0023513F">
            <w:r w:rsidRPr="00482B14">
              <w:rPr>
                <w:b/>
                <w:i/>
              </w:rPr>
              <w:t>Indicative conservation status within the EC:</w:t>
            </w:r>
            <w:r>
              <w:t xml:space="preserve">  Vulnerable</w:t>
            </w:r>
            <w:bookmarkEnd w:id="277"/>
          </w:p>
        </w:tc>
      </w:tr>
    </w:tbl>
    <w:p w14:paraId="6C22D768" w14:textId="77777777" w:rsidR="00797483" w:rsidRDefault="00797483" w:rsidP="00281C59"/>
    <w:p w14:paraId="3317373C" w14:textId="77777777" w:rsidR="009B7A9A" w:rsidRPr="008F545E" w:rsidRDefault="009B7A9A" w:rsidP="00A2521C">
      <w:pPr>
        <w:pStyle w:val="Heading5"/>
      </w:pPr>
      <w:r w:rsidRPr="008F545E">
        <w:t>A diadromy surrogate</w:t>
      </w:r>
    </w:p>
    <w:p w14:paraId="1CAEC9A6" w14:textId="1973C9EC" w:rsidR="009B7A9A" w:rsidRDefault="009B7A9A" w:rsidP="002E2EC3">
      <w:pPr>
        <w:contextualSpacing/>
      </w:pPr>
      <w:r>
        <w:t>Congolli (</w:t>
      </w:r>
      <w:r w:rsidRPr="00E76994">
        <w:rPr>
          <w:i/>
        </w:rPr>
        <w:t>Ps</w:t>
      </w:r>
      <w:r>
        <w:rPr>
          <w:i/>
        </w:rPr>
        <w:t>e</w:t>
      </w:r>
      <w:r w:rsidRPr="00E76994">
        <w:rPr>
          <w:i/>
        </w:rPr>
        <w:t>udaphritis urvillii</w:t>
      </w:r>
      <w:r>
        <w:t xml:space="preserve">) is a native diadromous fish that inhabits freshwater (females) and estuarine (males) waters within the ecological community (EC). Congolli is also a culturally significant fish to the Ngarrindjeri Peoples. As a catadromous fish, congolli females must undertake downstream migrations from freshwater habitats to breed in marine waters </w:t>
      </w:r>
      <w:r w:rsidRPr="00FB1476">
        <w:rPr>
          <w:u w:val="single"/>
        </w:rPr>
        <w:t>see Fig</w:t>
      </w:r>
      <w:r w:rsidR="00FB1476" w:rsidRPr="00FB1476">
        <w:rPr>
          <w:u w:val="single"/>
        </w:rPr>
        <w:t>ure</w:t>
      </w:r>
      <w:r w:rsidRPr="00FB1476">
        <w:rPr>
          <w:u w:val="single"/>
        </w:rPr>
        <w:t xml:space="preserve"> </w:t>
      </w:r>
      <w:r w:rsidR="00FB1476" w:rsidRPr="00FB1476">
        <w:rPr>
          <w:u w:val="single"/>
        </w:rPr>
        <w:t>9</w:t>
      </w:r>
      <w:r>
        <w:t xml:space="preserve">). For example, females migrate from Lake Alexandrina to the Coorong and then to the adjacent ocean to breed, and in late-spring/summer the juveniles migrate back into estuarine and freshwater habitats. </w:t>
      </w:r>
    </w:p>
    <w:p w14:paraId="10D84A8B" w14:textId="77777777" w:rsidR="00A91E60" w:rsidRDefault="00A91E60" w:rsidP="002E2EC3">
      <w:pPr>
        <w:contextualSpacing/>
      </w:pPr>
    </w:p>
    <w:p w14:paraId="0A1B473C" w14:textId="198697CF" w:rsidR="00FC67BD" w:rsidRPr="005202C2" w:rsidRDefault="009B7A9A" w:rsidP="00FC67BD">
      <w:r>
        <w:t xml:space="preserve">Congolli is a strong ‘surrogate’ for the functional role of ‘diadromy’ within the EC. Other diadromous native fish species associated with the EC include: spotted galaxias, common galaxias, estuary perch, and short-finned eel—all catadromous (migrate downstream from freshwater to saltwater to spawn), and two lamprey species—both ‘anadromous’, (i.e. migrate from seawater upstream into freshwater to spawn) (see </w:t>
      </w:r>
      <w:r w:rsidRPr="0074098E">
        <w:rPr>
          <w:u w:val="single"/>
        </w:rPr>
        <w:t xml:space="preserve">Appendix </w:t>
      </w:r>
      <w:r w:rsidR="00FB1476">
        <w:rPr>
          <w:u w:val="single"/>
        </w:rPr>
        <w:t>B</w:t>
      </w:r>
      <w:r>
        <w:rPr>
          <w:u w:val="single"/>
        </w:rPr>
        <w:t xml:space="preserve">, Table </w:t>
      </w:r>
      <w:r w:rsidR="00FB1476">
        <w:rPr>
          <w:u w:val="single"/>
        </w:rPr>
        <w:t>B</w:t>
      </w:r>
      <w:r>
        <w:rPr>
          <w:u w:val="single"/>
        </w:rPr>
        <w:t>2</w:t>
      </w:r>
      <w:r>
        <w:t>). The unique and variable life-cycle needs of diadromous fish make them extremely vulnerable to environmental stresses such as decreased river flow and loss of connectivity (e.g. in-stream barriers). As such, they represent important indicators for the ecological health and function of the ecological community, especially the estuarine components (Bortone 2005 in Jennings et al. 2008).</w:t>
      </w:r>
      <w:r w:rsidR="003439E9">
        <w:t xml:space="preserve"> </w:t>
      </w:r>
    </w:p>
    <w:p w14:paraId="53888124" w14:textId="77777777" w:rsidR="00FC67BD" w:rsidRPr="00341D04" w:rsidRDefault="00FC67BD" w:rsidP="00A2521C">
      <w:pPr>
        <w:pStyle w:val="Heading5"/>
      </w:pPr>
      <w:r>
        <w:t>Recruitment v</w:t>
      </w:r>
      <w:r w:rsidRPr="00341D04">
        <w:t>ulnerability</w:t>
      </w:r>
    </w:p>
    <w:p w14:paraId="34A3C723" w14:textId="33011942" w:rsidR="00FC67BD" w:rsidRPr="003439E9" w:rsidRDefault="00FC67BD" w:rsidP="002E2EC3">
      <w:r>
        <w:t xml:space="preserve">The life-cycle of Congolli inhabiting the CLLMM is shown by </w:t>
      </w:r>
      <w:r w:rsidRPr="00287AAD">
        <w:rPr>
          <w:u w:val="single"/>
        </w:rPr>
        <w:t xml:space="preserve">Figure </w:t>
      </w:r>
      <w:r>
        <w:rPr>
          <w:u w:val="single"/>
        </w:rPr>
        <w:t>9</w:t>
      </w:r>
      <w:r>
        <w:t xml:space="preserve">, including the directional requirements of navigating the barrage gates and fishways. Congolli has a limited (i.e. rather than protracted) spawning period, which is a strategy that is less resilient to temporal variations in early survival conditions (Zampatti et al. 2011b). Also, in congolli populations, smaller males and individuals of indeterminate sex predominate in coastal and estuarine zones and larger females mostly inhabit freshwater habitats in rivers (Hortle, 1978 in Zampatti, et al. 2011b). This implies an obligate catadromous life history that is highly susceptible to fragmentation (Zampatti et al. 2011b). By comparison, common galaxias may show facultative catadromy, wherein migration is flexible depending on conditions (Zampatti et al. 2011b).  </w:t>
      </w:r>
    </w:p>
    <w:p w14:paraId="1E63F588" w14:textId="372BD630" w:rsidR="00E6439A" w:rsidRPr="002F4D17" w:rsidRDefault="002F4D17" w:rsidP="002F4D17">
      <w:pPr>
        <w:contextualSpacing/>
        <w:jc w:val="center"/>
      </w:pPr>
      <w:r w:rsidRPr="00897F1A">
        <w:rPr>
          <w:noProof/>
        </w:rPr>
        <w:lastRenderedPageBreak/>
        <w:drawing>
          <wp:inline distT="0" distB="0" distL="0" distR="0" wp14:anchorId="27C4D1BF" wp14:editId="120DA827">
            <wp:extent cx="5930807" cy="4238256"/>
            <wp:effectExtent l="0" t="0" r="0" b="0"/>
            <wp:docPr id="321289833" name="Picture 1" descr="A diagram of fish life cycle of cong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89833" name="Picture 1" descr="A diagram of fish life cycle of congolli"/>
                    <pic:cNvPicPr/>
                  </pic:nvPicPr>
                  <pic:blipFill>
                    <a:blip r:embed="rId36"/>
                    <a:stretch>
                      <a:fillRect/>
                    </a:stretch>
                  </pic:blipFill>
                  <pic:spPr>
                    <a:xfrm>
                      <a:off x="0" y="0"/>
                      <a:ext cx="5997090" cy="4285623"/>
                    </a:xfrm>
                    <a:prstGeom prst="rect">
                      <a:avLst/>
                    </a:prstGeom>
                  </pic:spPr>
                </pic:pic>
              </a:graphicData>
            </a:graphic>
          </wp:inline>
        </w:drawing>
      </w:r>
    </w:p>
    <w:p w14:paraId="738EB841" w14:textId="7A1B3B3C" w:rsidR="00E6439A" w:rsidRDefault="005202C2" w:rsidP="005202C2">
      <w:pPr>
        <w:pStyle w:val="Caption"/>
        <w:rPr>
          <w:bCs/>
        </w:rPr>
      </w:pPr>
      <w:r>
        <w:t xml:space="preserve">Figure </w:t>
      </w:r>
      <w:r>
        <w:fldChar w:fldCharType="begin"/>
      </w:r>
      <w:r>
        <w:instrText xml:space="preserve"> SEQ Figure \* ARABIC </w:instrText>
      </w:r>
      <w:r>
        <w:fldChar w:fldCharType="separate"/>
      </w:r>
      <w:r w:rsidR="006D35C5">
        <w:rPr>
          <w:noProof/>
        </w:rPr>
        <w:t>9</w:t>
      </w:r>
      <w:r>
        <w:fldChar w:fldCharType="end"/>
      </w:r>
      <w:r>
        <w:t>:</w:t>
      </w:r>
      <w:r w:rsidR="002F4D17" w:rsidRPr="00525518">
        <w:rPr>
          <w:bCs/>
        </w:rPr>
        <w:t xml:space="preserve"> Life history of congolli in the Coorong, Lower Lakes and Murray Mouth region (DEW 2023</w:t>
      </w:r>
      <w:r w:rsidR="004A149D">
        <w:rPr>
          <w:bCs/>
        </w:rPr>
        <w:t>d</w:t>
      </w:r>
      <w:r w:rsidR="002F4D17" w:rsidRPr="00525518">
        <w:rPr>
          <w:bCs/>
        </w:rPr>
        <w:t>).</w:t>
      </w:r>
    </w:p>
    <w:p w14:paraId="1ABE13AD" w14:textId="77777777" w:rsidR="00FC67BD" w:rsidRDefault="00FC67BD" w:rsidP="00A05B36"/>
    <w:p w14:paraId="6F40571E" w14:textId="1ACF38AD" w:rsidR="00A05B36" w:rsidRDefault="009B7A9A" w:rsidP="00A05B36">
      <w:r>
        <w:t>In addition, Bice et al. (2018b) suggest that female congolli from the lower Murray River represent the bulk of fish migrating to spawning grounds in the region, and contribute the majority of progeny along this coastline on an annual basis</w:t>
      </w:r>
      <w:r w:rsidR="00D04CDF">
        <w:t>.</w:t>
      </w:r>
      <w:r>
        <w:t xml:space="preserve"> </w:t>
      </w:r>
      <w:r w:rsidR="00D04CDF">
        <w:t xml:space="preserve">This </w:t>
      </w:r>
      <w:r>
        <w:t>indicat</w:t>
      </w:r>
      <w:r w:rsidR="00D04CDF">
        <w:t>es</w:t>
      </w:r>
      <w:r>
        <w:t xml:space="preserve"> their regional importance beyond the ecological community in contributing to genetic diversity and health of this species.</w:t>
      </w:r>
    </w:p>
    <w:p w14:paraId="4FF4E335" w14:textId="6C22A51C" w:rsidR="001A79A5" w:rsidRPr="001477F9" w:rsidRDefault="001A79A5" w:rsidP="00A2521C">
      <w:pPr>
        <w:pStyle w:val="Heading5"/>
      </w:pPr>
      <w:r w:rsidRPr="001477F9">
        <w:t>Pre-barrage abundance</w:t>
      </w:r>
      <w:r>
        <w:t xml:space="preserve"> and </w:t>
      </w:r>
      <w:r w:rsidR="00634BC1">
        <w:t>p</w:t>
      </w:r>
      <w:r>
        <w:t>ost-barrage decline</w:t>
      </w:r>
    </w:p>
    <w:p w14:paraId="057E8365" w14:textId="323AA76F" w:rsidR="00FF336B" w:rsidRDefault="001A79A5" w:rsidP="003019BC">
      <w:pPr>
        <w:keepLines/>
      </w:pPr>
      <w:r>
        <w:t>Prior to the construction of the Murray Mouth barrages (</w:t>
      </w:r>
      <w:r w:rsidR="00957395">
        <w:t>1935-</w:t>
      </w:r>
      <w:r>
        <w:t>1940</w:t>
      </w:r>
      <w:r w:rsidR="00957395">
        <w:t>; Sim &amp; Muller 2004</w:t>
      </w:r>
      <w:r w:rsidRPr="00557D52">
        <w:rPr>
          <w:u w:val="single"/>
        </w:rPr>
        <w:t>),</w:t>
      </w:r>
      <w:r>
        <w:t xml:space="preserve"> large downstream migrations of reproductively mature female congolli were commonly observed during winter. These migrations supported a seasonal component of the region's commercial fishery, with netting of spawning aggregations in the Lower Lakes (Evans 1991; Hammer et al. 2009); however, these no longer occur (Zampatti et al. 2010; Zampatti et al. 2011b). </w:t>
      </w:r>
    </w:p>
    <w:p w14:paraId="7A608493" w14:textId="1872C1B9" w:rsidR="001A79A5" w:rsidRDefault="001A79A5" w:rsidP="001A79A5">
      <w:r>
        <w:t>The less frequent occurrence of several diadromous fish species within the ecological community likely reflects the impact of the barrages on fish migration (Bice et al. 2020). Hammer et al. (2009) noted reasons for the decline of congolli as hydrological change (e.g. 2/3 loss of average flow), instream barriers, decreased aquatic vegetation, and historical targeting by fishers of spawning aggregations.</w:t>
      </w:r>
    </w:p>
    <w:p w14:paraId="63CAEAD2" w14:textId="77777777" w:rsidR="001A79A5" w:rsidRPr="000F6591" w:rsidRDefault="001A79A5" w:rsidP="00A2521C">
      <w:pPr>
        <w:pStyle w:val="Heading5"/>
      </w:pPr>
      <w:r w:rsidRPr="000F6591">
        <w:t>Estuary dynamics</w:t>
      </w:r>
    </w:p>
    <w:p w14:paraId="74386B65" w14:textId="458C1F5E" w:rsidR="00B67201" w:rsidRPr="005C2127" w:rsidRDefault="001A79A5" w:rsidP="0090266D">
      <w:r>
        <w:t xml:space="preserve">Construction of the barrages at the Murray Mouth greatly influenced the dynamics and conditions of the estuarine component of the ecological community, and therefore the use of the estuary by diadromous fish. There has been an increased frequency of zero freshwater inflow, </w:t>
      </w:r>
      <w:r>
        <w:lastRenderedPageBreak/>
        <w:t>along with reduced tidal incursion and freshwater flushing, which have contributed to reduced depths, hyper-marine salinities, and lower than average dissolved oxygen levels (Geddes 1987; Walker 2002; Jennings et al. 2008). Such features are further exacerbated by drought and can lead to formation of sandbars at the Mouth and disconnection from the Southern Ocean, as happened in 2002 prior to the instigation of a dredging program (Jennings et al. 2008).</w:t>
      </w:r>
    </w:p>
    <w:p w14:paraId="34C7371A" w14:textId="528FDDAF" w:rsidR="0090266D" w:rsidRPr="005C2127" w:rsidRDefault="0090266D" w:rsidP="00A2521C">
      <w:pPr>
        <w:pStyle w:val="Heading5"/>
      </w:pPr>
      <w:r w:rsidRPr="005C2127">
        <w:t>Decline compounded by Millennium Drought</w:t>
      </w:r>
    </w:p>
    <w:p w14:paraId="5EB8CBF4" w14:textId="6B2D0B8F" w:rsidR="00B67201" w:rsidRDefault="0090266D" w:rsidP="00053AF8">
      <w:pPr>
        <w:contextualSpacing/>
      </w:pPr>
      <w:r>
        <w:t>Since the mid-1990s, annual freshwater flow to the Coorong had been below the post-regulation mean annual flow of about 4723 GL (Zampatti et al. 2011</w:t>
      </w:r>
      <w:r w:rsidR="00B253F3">
        <w:t xml:space="preserve">a, </w:t>
      </w:r>
      <w:r>
        <w:t>b). In 2006–07, significant numbers of juvenile congolli, common galaxias and adult short-headed lamprey were sampled at the barrage fishways (e.g. Tauwitcherie) migrating upstream into the Lower Lakes (Bice et al. 2007, 2012). Congolli were the third most abundant species (7% of total catch) and 90% of these fish were juveniles (Bice et al. 2007; Zampatti et al. 2011</w:t>
      </w:r>
      <w:r w:rsidR="00B253F3">
        <w:t xml:space="preserve">a, </w:t>
      </w:r>
      <w:r>
        <w:t>b). However, a significant decline in the abundance of migrating YOY common galaxias and congolli was observed between 2006/7 and 2007/8 (Jennings et al. 2008).</w:t>
      </w:r>
    </w:p>
    <w:p w14:paraId="73E0D418" w14:textId="77777777" w:rsidR="00053AF8" w:rsidRDefault="00053AF8" w:rsidP="00053AF8">
      <w:pPr>
        <w:contextualSpacing/>
      </w:pPr>
    </w:p>
    <w:p w14:paraId="7A022EE3" w14:textId="48E1F512" w:rsidR="0090266D" w:rsidRPr="00B62645" w:rsidRDefault="0090266D" w:rsidP="00053AF8">
      <w:pPr>
        <w:contextualSpacing/>
      </w:pPr>
      <w:r>
        <w:t>During the Millennium Drought, recruitment of all diadromous fish species was further impacted by a reduction in connectivity between freshwater and estuarine/marine habitats. No freshwater was released across the barrages to the Coorong for much of 2007 until early 2010. Closure of the barrages impeded obligate migratory movements of congolli (and other catadromous species), thus impacting spawning and recrui</w:t>
      </w:r>
      <w:r w:rsidR="009A6E03">
        <w:t>t</w:t>
      </w:r>
      <w:r>
        <w:t>ment. In subsequent annual fish surveys to 2009/10, following cessation of inflows into the Coorong and loss of connectivity, the abundance of congolli and common galaxias was reduced by &gt; 95%, and no lampreys, eels or estuary perch were recorded (Jennings et al. 2008; Zampatti et al. 2011</w:t>
      </w:r>
      <w:r w:rsidR="00B253F3">
        <w:t xml:space="preserve">a, </w:t>
      </w:r>
      <w:r>
        <w:t xml:space="preserve">b; Bice et al. 2012). </w:t>
      </w:r>
    </w:p>
    <w:p w14:paraId="40CDAAB5" w14:textId="3143C34B" w:rsidR="0090266D" w:rsidRPr="0084593F" w:rsidRDefault="0090266D" w:rsidP="00A2521C">
      <w:pPr>
        <w:pStyle w:val="Heading5"/>
      </w:pPr>
      <w:r>
        <w:t>At risk of extirpation?</w:t>
      </w:r>
    </w:p>
    <w:p w14:paraId="06C3E25C" w14:textId="08C14653" w:rsidR="00B67201" w:rsidRDefault="0090266D" w:rsidP="00053AF8">
      <w:r>
        <w:t xml:space="preserve">In 2003, congolli was recommended for listing as ‘Rare’ in South Australia, due to significant declines in historical abundance in the Lower Lakes, Lower River Murray, and East Mount Lofty Ranges streams (Wilson &amp; Bignall 2009). Similarly, congolli was deemed to be ‘vulnerable’ under the </w:t>
      </w:r>
      <w:r w:rsidRPr="00E6383E">
        <w:rPr>
          <w:i/>
        </w:rPr>
        <w:t>Action Plan for South Australian Freshwater Fishes</w:t>
      </w:r>
      <w:r>
        <w:t xml:space="preserve"> (i.e. considered to be facing a high risk of extinction in the wild)—with both lamprey species also classed, as ‘endangered’ (Hammer et al. 2009). At the peak of the Millennium Drought, closure of the barrages and the catastrophic drop in congolli numbers meant the species was at risk of extirpation (local extinction) within the ecological community. </w:t>
      </w:r>
    </w:p>
    <w:p w14:paraId="7631012A" w14:textId="71906ACC" w:rsidR="0090266D" w:rsidRDefault="0090266D" w:rsidP="00053AF8">
      <w:r>
        <w:t>In addition, despite the increased presence of fishways across the barrages, contemporary hydrology which includes managed environmental flows and barrage operation still exert a substantial influence on connectivity and population dynamics of diadromous fish. This has been demonstrated by long-term (2006-2017) monitoring of fish migration at fishways on Tauwitchere and Goolwa Barrages (Bice et al. 2017</w:t>
      </w:r>
      <w:r w:rsidR="00F33428">
        <w:t>a, b</w:t>
      </w:r>
      <w:r>
        <w:t xml:space="preserve">; Bice 2023). </w:t>
      </w:r>
    </w:p>
    <w:p w14:paraId="13CA22D6" w14:textId="77777777" w:rsidR="005C3911" w:rsidRPr="00153BE5" w:rsidRDefault="005C3911" w:rsidP="00A2521C">
      <w:pPr>
        <w:pStyle w:val="Heading5"/>
      </w:pPr>
      <w:r w:rsidRPr="00153BE5">
        <w:t>Fish</w:t>
      </w:r>
      <w:r>
        <w:t xml:space="preserve"> passage </w:t>
      </w:r>
    </w:p>
    <w:p w14:paraId="25BFE44E" w14:textId="608218D7" w:rsidR="00053AF8" w:rsidRDefault="005C3911" w:rsidP="00B67201">
      <w:r>
        <w:t>Many fish species (&gt;30) move or attempt to move between the Coorong and Lower Lakes, comprising a variety of life stages (Bice et al</w:t>
      </w:r>
      <w:r w:rsidR="006B1E6A">
        <w:t>.</w:t>
      </w:r>
      <w:r>
        <w:t xml:space="preserve"> 2018</w:t>
      </w:r>
      <w:r w:rsidR="00820561">
        <w:t>a</w:t>
      </w:r>
      <w:r>
        <w:t xml:space="preserve">). The </w:t>
      </w:r>
      <w:r w:rsidR="00F35F96">
        <w:t xml:space="preserve">previous </w:t>
      </w:r>
      <w:r>
        <w:t xml:space="preserve">lack of connectivity between the Lower Lakes, Coorong, and adjacent ocean, caused by the five Murray Barrages drastically impacted diadromous fish populations and precipitated much of their decline. </w:t>
      </w:r>
    </w:p>
    <w:p w14:paraId="41E13EF7" w14:textId="61F32C2E" w:rsidR="005C3911" w:rsidRDefault="005C3911" w:rsidP="005C3911">
      <w:r>
        <w:t xml:space="preserve">Fishways (or fish ladders) are commonly used to facilitate fish movement past instream barriers and restore connectivity within fragmented river systems (Clay 1995 in Bice et al. 2017a). Paired or multiple vertical-slot fishways are recommended for diverse (i.e. by species and size) </w:t>
      </w:r>
      <w:r>
        <w:lastRenderedPageBreak/>
        <w:t xml:space="preserve">native fish assemblages on low-level estuarine barriers such as those of the Murray Mouth barrages (Barrett &amp; Mallen-Cooper 2006; Bice et al. 2017a). </w:t>
      </w:r>
    </w:p>
    <w:p w14:paraId="2F02C250" w14:textId="2EFAC222" w:rsidR="002C5B41" w:rsidRDefault="002C5B41" w:rsidP="00A4160C">
      <w:r>
        <w:t>Between 2004 and 2008 (i.e. during the Millennium Drought), three purpose-built fishways were installed on two of the barrages (</w:t>
      </w:r>
      <w:r w:rsidRPr="0011274E">
        <w:rPr>
          <w:u w:val="single"/>
        </w:rPr>
        <w:t xml:space="preserve">Table </w:t>
      </w:r>
      <w:r>
        <w:rPr>
          <w:u w:val="single"/>
        </w:rPr>
        <w:t>30</w:t>
      </w:r>
      <w:r>
        <w:t>). However, in the later stages of the drought, the barrages</w:t>
      </w:r>
      <w:r w:rsidR="00415493">
        <w:t xml:space="preserve">, </w:t>
      </w:r>
      <w:r>
        <w:t>and by default the fishways</w:t>
      </w:r>
      <w:r w:rsidR="00415493">
        <w:t>,</w:t>
      </w:r>
      <w:r>
        <w:t xml:space="preserve"> were closed for several years (</w:t>
      </w:r>
      <w:r w:rsidRPr="00EC6636">
        <w:t>2007-2010</w:t>
      </w:r>
      <w:r>
        <w:t>) to prevent saltwater entering the Lower Lakes (Jennings et al. 2008; Bice 2023).  A further six fishways were installed between 2015 and 2018 (i.e. post-Millennium Drought) on the remaining three barrages (</w:t>
      </w:r>
      <w:r w:rsidRPr="00EF7B30">
        <w:rPr>
          <w:u w:val="single"/>
        </w:rPr>
        <w:t xml:space="preserve">Table </w:t>
      </w:r>
      <w:r>
        <w:rPr>
          <w:u w:val="single"/>
        </w:rPr>
        <w:t>30</w:t>
      </w:r>
      <w:r>
        <w:t>)</w:t>
      </w:r>
      <w:r w:rsidR="008D1D6A">
        <w:t>,</w:t>
      </w:r>
      <w:r>
        <w:t xml:space="preserve"> in order to cater for a wide variety of fish species and life stages over varying hydrological conditions (</w:t>
      </w:r>
      <w:r w:rsidR="006B1DD1" w:rsidRPr="000A330D">
        <w:rPr>
          <w:u w:val="single"/>
        </w:rPr>
        <w:t xml:space="preserve">Appendix </w:t>
      </w:r>
      <w:r w:rsidR="00342772" w:rsidRPr="000A330D">
        <w:rPr>
          <w:u w:val="single"/>
        </w:rPr>
        <w:t>B</w:t>
      </w:r>
      <w:r w:rsidR="006B1DD1" w:rsidRPr="000A330D">
        <w:rPr>
          <w:u w:val="single"/>
        </w:rPr>
        <w:t xml:space="preserve">, </w:t>
      </w:r>
      <w:r w:rsidRPr="000A330D">
        <w:rPr>
          <w:u w:val="single"/>
        </w:rPr>
        <w:t>Table</w:t>
      </w:r>
      <w:r w:rsidR="006B1DD1" w:rsidRPr="000A330D">
        <w:rPr>
          <w:u w:val="single"/>
        </w:rPr>
        <w:t xml:space="preserve"> </w:t>
      </w:r>
      <w:r w:rsidR="00F35F96" w:rsidRPr="000A330D">
        <w:rPr>
          <w:u w:val="single"/>
        </w:rPr>
        <w:t>B4</w:t>
      </w:r>
      <w:r>
        <w:t>) (Jennings et al. 2008; Bice et al. 2017</w:t>
      </w:r>
      <w:r w:rsidR="00F33428">
        <w:t>a, b</w:t>
      </w:r>
      <w:r w:rsidR="00AB2365">
        <w:t>, 2018</w:t>
      </w:r>
      <w:r w:rsidR="008E4687">
        <w:t>a</w:t>
      </w:r>
      <w:r>
        <w:t>; Bice 2023).</w:t>
      </w:r>
    </w:p>
    <w:p w14:paraId="1E768D0B" w14:textId="77777777" w:rsidR="008E4687" w:rsidRPr="00E36AB9" w:rsidRDefault="008E4687" w:rsidP="00A2521C">
      <w:pPr>
        <w:pStyle w:val="Heading5"/>
      </w:pPr>
      <w:r>
        <w:t>Post- Millennium Drought trends</w:t>
      </w:r>
    </w:p>
    <w:p w14:paraId="450DB0AB" w14:textId="77777777" w:rsidR="008E4687" w:rsidRDefault="008E4687" w:rsidP="008E4687">
      <w:r>
        <w:t>Extensive rainfall in the MDB in winter/spring 2010 broke the Millennium Drought and led to the resumption of freshwater flow to the Coorong and a decrease in salinities downstream of the barrages (Zampatti et al. 2012). These conditions led to a rise in abundance of congolli and common galaxias, demonstrating early restoration of these populations.</w:t>
      </w:r>
    </w:p>
    <w:p w14:paraId="393F6983" w14:textId="6AE4CF5D" w:rsidR="008E4687" w:rsidRDefault="008E4687" w:rsidP="008E4687">
      <w:r>
        <w:t>The introduction of more fishways at the barrages</w:t>
      </w:r>
      <w:r w:rsidR="004938BC">
        <w:t xml:space="preserve"> (</w:t>
      </w:r>
      <w:r w:rsidR="004938BC" w:rsidRPr="004938BC">
        <w:rPr>
          <w:u w:val="single"/>
        </w:rPr>
        <w:t>Table 30</w:t>
      </w:r>
      <w:r w:rsidR="004938BC">
        <w:t>)</w:t>
      </w:r>
      <w:r>
        <w:t xml:space="preserve">, combined with targeted delivery of environmental water and a period of wetter years with higher connectivity, </w:t>
      </w:r>
      <w:r w:rsidR="00487F9C">
        <w:t xml:space="preserve">has </w:t>
      </w:r>
      <w:r>
        <w:t>resulted in a rise in abundance of congolli and other diadromous fish, such as pouched lamprey (</w:t>
      </w:r>
      <w:r w:rsidRPr="00A64FBF">
        <w:rPr>
          <w:i/>
          <w:iCs/>
        </w:rPr>
        <w:t>Geotria australis</w:t>
      </w:r>
      <w:r>
        <w:t xml:space="preserve">) and common galaxias (Bice &amp; Zampatti 2015; Bice et al. 2017b). More recently, the delivery of environmental water has helped to ensure a continuous flow of water through the barrage fishways. However, experts caution that population recovery is likely to be </w:t>
      </w:r>
      <w:r w:rsidR="00E21272">
        <w:t>‘</w:t>
      </w:r>
      <w:r>
        <w:t>long and slow</w:t>
      </w:r>
      <w:r w:rsidR="00E21272">
        <w:t>’</w:t>
      </w:r>
      <w:r>
        <w:t xml:space="preserve"> for these diadromous fish species (e.g. Ye et al. 2012).</w:t>
      </w:r>
    </w:p>
    <w:p w14:paraId="027DE111" w14:textId="77777777" w:rsidR="00720B9F" w:rsidRDefault="00720B9F" w:rsidP="00720B9F">
      <w:pPr>
        <w:keepLines/>
      </w:pPr>
      <w:r>
        <w:t xml:space="preserve">Diadromous fish species require open barrage gates in winter for the downstream migration of reproductively mature fish to spawn, and open fishways for the upstream migration of juveniles to the Lower Lakes and tributaries of the eastern Mount Lofty Ranges (Bice et al. 2018a), where they mature (Bice et al. 2021; see </w:t>
      </w:r>
      <w:r w:rsidRPr="00324E00">
        <w:rPr>
          <w:u w:val="single"/>
        </w:rPr>
        <w:t>Fig</w:t>
      </w:r>
      <w:r>
        <w:rPr>
          <w:u w:val="single"/>
        </w:rPr>
        <w:t>ure</w:t>
      </w:r>
      <w:r w:rsidRPr="00324E00">
        <w:rPr>
          <w:u w:val="single"/>
        </w:rPr>
        <w:t xml:space="preserve"> </w:t>
      </w:r>
      <w:r>
        <w:rPr>
          <w:u w:val="single"/>
        </w:rPr>
        <w:t>9</w:t>
      </w:r>
      <w:r>
        <w:t xml:space="preserve">). </w:t>
      </w:r>
    </w:p>
    <w:p w14:paraId="202F5A7B" w14:textId="67F6C319" w:rsidR="00615CCF" w:rsidRDefault="00720B9F" w:rsidP="00615CCF">
      <w:r>
        <w:t xml:space="preserve">In spring-summer 2020/21, the abundances of congolli and common galaxias were high relative to 2006-2011, and moderate relative to the period 2011-2020 (i.e. the latter being the wetter period), although &gt;80% were newly recruited YOY (Bice et al. 2021). The delivery of water to maintain open barrage gates in winter and operable fishways in summer improved diadromous fish recruitment, however, the abundance of juveniles was likely limited by the low population of reproductively mature adults until 2014–15 (Bice et al. 2021). Additionally, in winter-spring 2020, the highest abundance (102) of pouched lamprey was observed since monitoring began in 2006 (Bice et al. 2021). Overall, diadromous fish recruitment in the CLLMM was determined to be ‘getting better’ over the duration of the assessment period (2006/07 to 2021/22), with the condition of diadromous fish populations classed as ‘fair’ and ‘getting better’ in 2021/22 (DEW 2023d). </w:t>
      </w:r>
    </w:p>
    <w:p w14:paraId="53AEE4DE" w14:textId="77777777" w:rsidR="00615CCF" w:rsidRDefault="00615CCF" w:rsidP="00A2521C">
      <w:pPr>
        <w:pStyle w:val="Heading5"/>
      </w:pPr>
      <w:r>
        <w:t>Intervention needed for future protection</w:t>
      </w:r>
    </w:p>
    <w:p w14:paraId="20333016" w14:textId="2863B68D" w:rsidR="00D832C6" w:rsidRDefault="00D832C6" w:rsidP="00D832C6">
      <w:r>
        <w:t xml:space="preserve">Understanding the influence of river hydrology, connectivity, and other cues on the migration and recruitment of diadromous fish is fundamental for species management and conservation (Bice et al. 2018b; Bice 2023). Despite a long-held view that increased flow was critical to stimulate downstream migrations of catadromous fish (e.g. Harris 1986), Reinfelds et al. (2013) documented likely temperature-related and flow-independent downstream migration of over a third of tagged fish in their study of diadromous fish. In the case of Australian bass, congolli, and potentially other catadromous fish species, downstream spawning migrations may primarily be </w:t>
      </w:r>
    </w:p>
    <w:p w14:paraId="2A6352EE" w14:textId="0CF9A997" w:rsidR="006835AD" w:rsidRPr="00720B9F" w:rsidRDefault="00C41473" w:rsidP="00C41473">
      <w:pPr>
        <w:pStyle w:val="Caption"/>
        <w:rPr>
          <w:b w:val="0"/>
          <w:bCs/>
          <w:sz w:val="21"/>
          <w:szCs w:val="21"/>
        </w:rPr>
      </w:pPr>
      <w:r>
        <w:lastRenderedPageBreak/>
        <w:t xml:space="preserve">Table </w:t>
      </w:r>
      <w:r>
        <w:fldChar w:fldCharType="begin"/>
      </w:r>
      <w:r>
        <w:instrText xml:space="preserve"> SEQ Table \* ARABIC </w:instrText>
      </w:r>
      <w:r>
        <w:fldChar w:fldCharType="separate"/>
      </w:r>
      <w:r w:rsidR="006D35C5">
        <w:rPr>
          <w:noProof/>
        </w:rPr>
        <w:t>30</w:t>
      </w:r>
      <w:r>
        <w:fldChar w:fldCharType="end"/>
      </w:r>
      <w:r w:rsidR="004B545D" w:rsidRPr="007C0217">
        <w:rPr>
          <w:bCs/>
        </w:rPr>
        <w:t xml:space="preserve">:  </w:t>
      </w:r>
      <w:r w:rsidR="004B545D" w:rsidRPr="00720B9F">
        <w:rPr>
          <w:bCs/>
          <w:sz w:val="21"/>
          <w:szCs w:val="21"/>
        </w:rPr>
        <w:t>Fishway inst</w:t>
      </w:r>
      <w:r w:rsidR="002C29E6" w:rsidRPr="00720B9F">
        <w:rPr>
          <w:bCs/>
          <w:sz w:val="21"/>
          <w:szCs w:val="21"/>
        </w:rPr>
        <w:t>a</w:t>
      </w:r>
      <w:r w:rsidR="004B545D" w:rsidRPr="00720B9F">
        <w:rPr>
          <w:bCs/>
          <w:sz w:val="21"/>
          <w:szCs w:val="21"/>
        </w:rPr>
        <w:t>llation and design within the RMDS Ecological Community. There are fishways on the tidal barrages across the five channels leading from Lake Alexandrina to the Murray Mouth, in</w:t>
      </w:r>
      <w:r w:rsidR="006835AD" w:rsidRPr="00720B9F">
        <w:rPr>
          <w:bCs/>
          <w:sz w:val="21"/>
          <w:szCs w:val="21"/>
        </w:rPr>
        <w:t xml:space="preserve"> addition to fishways on the ten Locks within the EC (Source: Jennings et al. 2008; DENR 2013; MDBA 2024).</w:t>
      </w:r>
    </w:p>
    <w:tbl>
      <w:tblPr>
        <w:tblStyle w:val="TableGrid"/>
        <w:tblW w:w="5000" w:type="pct"/>
        <w:tblLook w:val="04A0" w:firstRow="1" w:lastRow="0" w:firstColumn="1" w:lastColumn="0" w:noHBand="0" w:noVBand="1"/>
      </w:tblPr>
      <w:tblGrid>
        <w:gridCol w:w="809"/>
        <w:gridCol w:w="2299"/>
        <w:gridCol w:w="2839"/>
        <w:gridCol w:w="3113"/>
      </w:tblGrid>
      <w:tr w:rsidR="00E80CAE" w14:paraId="0FA001C4" w14:textId="77777777" w:rsidTr="00C41473">
        <w:trPr>
          <w:trHeight w:hRule="exact" w:val="397"/>
        </w:trPr>
        <w:tc>
          <w:tcPr>
            <w:tcW w:w="446" w:type="pct"/>
            <w:shd w:val="clear" w:color="auto" w:fill="D9E2F3" w:themeFill="accent5" w:themeFillTint="33"/>
          </w:tcPr>
          <w:p w14:paraId="1545449C" w14:textId="77777777" w:rsidR="00E80CAE" w:rsidRPr="00F66BD3" w:rsidRDefault="00E80CAE" w:rsidP="00A86650">
            <w:pPr>
              <w:spacing w:after="120"/>
              <w:rPr>
                <w:b/>
                <w:bCs/>
                <w:sz w:val="24"/>
                <w:szCs w:val="24"/>
              </w:rPr>
            </w:pPr>
            <w:r w:rsidRPr="00F66BD3">
              <w:rPr>
                <w:b/>
                <w:bCs/>
                <w:sz w:val="24"/>
                <w:szCs w:val="24"/>
              </w:rPr>
              <w:t>Year</w:t>
            </w:r>
          </w:p>
        </w:tc>
        <w:tc>
          <w:tcPr>
            <w:tcW w:w="1269" w:type="pct"/>
            <w:shd w:val="clear" w:color="auto" w:fill="D9E2F3" w:themeFill="accent5" w:themeFillTint="33"/>
          </w:tcPr>
          <w:p w14:paraId="1D65D8EF" w14:textId="77777777" w:rsidR="00E80CAE" w:rsidRPr="00F66BD3" w:rsidRDefault="00E80CAE" w:rsidP="00A86650">
            <w:pPr>
              <w:spacing w:after="120"/>
              <w:rPr>
                <w:b/>
                <w:bCs/>
                <w:sz w:val="24"/>
                <w:szCs w:val="24"/>
              </w:rPr>
            </w:pPr>
            <w:r>
              <w:rPr>
                <w:b/>
                <w:bCs/>
                <w:sz w:val="24"/>
                <w:szCs w:val="24"/>
              </w:rPr>
              <w:t>Name/</w:t>
            </w:r>
            <w:r w:rsidRPr="00F66BD3">
              <w:rPr>
                <w:b/>
                <w:bCs/>
                <w:sz w:val="24"/>
                <w:szCs w:val="24"/>
              </w:rPr>
              <w:t>Where</w:t>
            </w:r>
          </w:p>
        </w:tc>
        <w:tc>
          <w:tcPr>
            <w:tcW w:w="1567" w:type="pct"/>
            <w:shd w:val="clear" w:color="auto" w:fill="D9E2F3" w:themeFill="accent5" w:themeFillTint="33"/>
          </w:tcPr>
          <w:p w14:paraId="67400E81" w14:textId="77777777" w:rsidR="00E80CAE" w:rsidRPr="00F66BD3" w:rsidRDefault="00E80CAE" w:rsidP="00A86650">
            <w:pPr>
              <w:spacing w:after="120"/>
              <w:rPr>
                <w:b/>
                <w:bCs/>
                <w:sz w:val="24"/>
                <w:szCs w:val="24"/>
              </w:rPr>
            </w:pPr>
            <w:r w:rsidRPr="00F66BD3">
              <w:rPr>
                <w:b/>
                <w:bCs/>
                <w:sz w:val="24"/>
                <w:szCs w:val="24"/>
              </w:rPr>
              <w:t>Design</w:t>
            </w:r>
          </w:p>
        </w:tc>
        <w:tc>
          <w:tcPr>
            <w:tcW w:w="1718" w:type="pct"/>
            <w:shd w:val="clear" w:color="auto" w:fill="D9E2F3" w:themeFill="accent5" w:themeFillTint="33"/>
          </w:tcPr>
          <w:p w14:paraId="1F796838" w14:textId="77777777" w:rsidR="00E80CAE" w:rsidRPr="00F66BD3" w:rsidRDefault="00E80CAE" w:rsidP="00A86650">
            <w:pPr>
              <w:spacing w:after="120"/>
              <w:rPr>
                <w:b/>
                <w:bCs/>
                <w:sz w:val="24"/>
                <w:szCs w:val="24"/>
              </w:rPr>
            </w:pPr>
            <w:r w:rsidRPr="00F66BD3">
              <w:rPr>
                <w:b/>
                <w:bCs/>
                <w:sz w:val="24"/>
                <w:szCs w:val="24"/>
              </w:rPr>
              <w:t>Comment</w:t>
            </w:r>
          </w:p>
        </w:tc>
      </w:tr>
      <w:tr w:rsidR="00E80CAE" w14:paraId="5CE0B33A" w14:textId="77777777" w:rsidTr="00C41473">
        <w:trPr>
          <w:trHeight w:hRule="exact" w:val="397"/>
        </w:trPr>
        <w:tc>
          <w:tcPr>
            <w:tcW w:w="5000" w:type="pct"/>
            <w:gridSpan w:val="4"/>
            <w:shd w:val="clear" w:color="auto" w:fill="FFF2CC" w:themeFill="accent4" w:themeFillTint="33"/>
          </w:tcPr>
          <w:p w14:paraId="08707261" w14:textId="77777777" w:rsidR="00E80CAE" w:rsidRPr="003019BC" w:rsidRDefault="00E80CAE" w:rsidP="00A86650">
            <w:pPr>
              <w:spacing w:after="120"/>
              <w:rPr>
                <w:b/>
                <w:bCs/>
                <w:i/>
                <w:iCs/>
              </w:rPr>
            </w:pPr>
            <w:r w:rsidRPr="003019BC">
              <w:rPr>
                <w:b/>
                <w:bCs/>
                <w:i/>
                <w:iCs/>
              </w:rPr>
              <w:t xml:space="preserve">Barrages </w:t>
            </w:r>
            <w:r w:rsidRPr="003019BC">
              <w:rPr>
                <w:i/>
                <w:iCs/>
              </w:rPr>
              <w:t>(built 1935–1940) &amp; Fishways (installed 2004–2005 &amp; 2015–2018)</w:t>
            </w:r>
          </w:p>
        </w:tc>
      </w:tr>
      <w:tr w:rsidR="00E80CAE" w14:paraId="55DC6CCD" w14:textId="77777777" w:rsidTr="00C41473">
        <w:trPr>
          <w:trHeight w:hRule="exact" w:val="397"/>
        </w:trPr>
        <w:tc>
          <w:tcPr>
            <w:tcW w:w="446" w:type="pct"/>
          </w:tcPr>
          <w:p w14:paraId="3348968E" w14:textId="77777777" w:rsidR="00E80CAE" w:rsidRPr="003019BC" w:rsidRDefault="00E80CAE" w:rsidP="002C666C">
            <w:r w:rsidRPr="003019BC">
              <w:t>2003</w:t>
            </w:r>
          </w:p>
        </w:tc>
        <w:tc>
          <w:tcPr>
            <w:tcW w:w="1269" w:type="pct"/>
          </w:tcPr>
          <w:p w14:paraId="02C4A14D" w14:textId="77777777" w:rsidR="00E80CAE" w:rsidRPr="003019BC" w:rsidRDefault="00E80CAE" w:rsidP="002C666C">
            <w:r w:rsidRPr="003019BC">
              <w:t>Goolwa barrage</w:t>
            </w:r>
          </w:p>
        </w:tc>
        <w:tc>
          <w:tcPr>
            <w:tcW w:w="1567" w:type="pct"/>
          </w:tcPr>
          <w:p w14:paraId="4C6CC709"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partial-depth vertical slot</w:t>
            </w:r>
          </w:p>
        </w:tc>
        <w:tc>
          <w:tcPr>
            <w:tcW w:w="1718" w:type="pct"/>
          </w:tcPr>
          <w:p w14:paraId="041C89BB" w14:textId="77777777" w:rsidR="00E80CAE" w:rsidRPr="005A1ED6" w:rsidRDefault="00E80CAE" w:rsidP="002C666C">
            <w:pPr>
              <w:rPr>
                <w:sz w:val="20"/>
                <w:szCs w:val="20"/>
              </w:rPr>
            </w:pPr>
            <w:r w:rsidRPr="005A1ED6">
              <w:rPr>
                <w:sz w:val="20"/>
                <w:szCs w:val="20"/>
              </w:rPr>
              <w:t>large-bodied fish &gt;150 mm TL</w:t>
            </w:r>
          </w:p>
        </w:tc>
      </w:tr>
      <w:tr w:rsidR="00E80CAE" w14:paraId="65D0AD32" w14:textId="77777777" w:rsidTr="003019BC">
        <w:trPr>
          <w:trHeight w:hRule="exact" w:val="637"/>
        </w:trPr>
        <w:tc>
          <w:tcPr>
            <w:tcW w:w="446" w:type="pct"/>
          </w:tcPr>
          <w:p w14:paraId="0446D236" w14:textId="77777777" w:rsidR="00E80CAE" w:rsidRPr="003019BC" w:rsidRDefault="00E80CAE" w:rsidP="002C666C">
            <w:r w:rsidRPr="003019BC">
              <w:t>2015</w:t>
            </w:r>
          </w:p>
        </w:tc>
        <w:tc>
          <w:tcPr>
            <w:tcW w:w="1269" w:type="pct"/>
          </w:tcPr>
          <w:p w14:paraId="2BFB1E03" w14:textId="77777777" w:rsidR="00E80CAE" w:rsidRPr="003019BC" w:rsidRDefault="00E80CAE" w:rsidP="002C666C">
            <w:r w:rsidRPr="003019BC">
              <w:t>Goolwa barrage</w:t>
            </w:r>
          </w:p>
        </w:tc>
        <w:tc>
          <w:tcPr>
            <w:tcW w:w="1567" w:type="pct"/>
          </w:tcPr>
          <w:p w14:paraId="5BBB1C00" w14:textId="786F8651" w:rsidR="00E80CAE" w:rsidRPr="005A1ED6" w:rsidRDefault="00E80CAE" w:rsidP="004162AC">
            <w:pPr>
              <w:pStyle w:val="ListParagraph"/>
              <w:numPr>
                <w:ilvl w:val="0"/>
                <w:numId w:val="78"/>
              </w:numPr>
              <w:spacing w:after="0" w:line="240" w:lineRule="auto"/>
              <w:rPr>
                <w:sz w:val="20"/>
                <w:szCs w:val="20"/>
              </w:rPr>
            </w:pPr>
            <w:r w:rsidRPr="005A1ED6">
              <w:rPr>
                <w:sz w:val="20"/>
                <w:szCs w:val="20"/>
              </w:rPr>
              <w:t>full-depth</w:t>
            </w:r>
            <w:r w:rsidR="00594485" w:rsidRPr="005A1ED6">
              <w:rPr>
                <w:sz w:val="20"/>
                <w:szCs w:val="20"/>
              </w:rPr>
              <w:t xml:space="preserve">, </w:t>
            </w:r>
            <w:r w:rsidRPr="005A1ED6">
              <w:rPr>
                <w:sz w:val="20"/>
                <w:szCs w:val="20"/>
              </w:rPr>
              <w:t>large vertical slot</w:t>
            </w:r>
          </w:p>
        </w:tc>
        <w:tc>
          <w:tcPr>
            <w:tcW w:w="1718" w:type="pct"/>
          </w:tcPr>
          <w:p w14:paraId="342E0DB5" w14:textId="280CF820" w:rsidR="00E80CAE" w:rsidRPr="005A1ED6" w:rsidRDefault="00E13590" w:rsidP="002C666C">
            <w:pPr>
              <w:rPr>
                <w:sz w:val="20"/>
                <w:szCs w:val="20"/>
              </w:rPr>
            </w:pPr>
            <w:r w:rsidRPr="005A1ED6">
              <w:rPr>
                <w:sz w:val="20"/>
                <w:szCs w:val="20"/>
              </w:rPr>
              <w:t>u</w:t>
            </w:r>
            <w:r w:rsidR="00E80CAE" w:rsidRPr="005A1ED6">
              <w:rPr>
                <w:sz w:val="20"/>
                <w:szCs w:val="20"/>
              </w:rPr>
              <w:t>pgrade</w:t>
            </w:r>
            <w:r w:rsidRPr="005A1ED6">
              <w:rPr>
                <w:sz w:val="20"/>
                <w:szCs w:val="20"/>
              </w:rPr>
              <w:t>?</w:t>
            </w:r>
            <w:r w:rsidR="00E80CAE" w:rsidRPr="005A1ED6">
              <w:rPr>
                <w:sz w:val="20"/>
                <w:szCs w:val="20"/>
              </w:rPr>
              <w:t xml:space="preserve">  Boat lock??</w:t>
            </w:r>
          </w:p>
        </w:tc>
      </w:tr>
      <w:tr w:rsidR="00E80CAE" w14:paraId="01461A77" w14:textId="77777777" w:rsidTr="003019BC">
        <w:trPr>
          <w:trHeight w:hRule="exact" w:val="575"/>
        </w:trPr>
        <w:tc>
          <w:tcPr>
            <w:tcW w:w="446" w:type="pct"/>
          </w:tcPr>
          <w:p w14:paraId="11914C35" w14:textId="77777777" w:rsidR="00E80CAE" w:rsidRPr="003019BC" w:rsidRDefault="00E80CAE" w:rsidP="002C666C">
            <w:r w:rsidRPr="003019BC">
              <w:t>2017</w:t>
            </w:r>
          </w:p>
        </w:tc>
        <w:tc>
          <w:tcPr>
            <w:tcW w:w="1269" w:type="pct"/>
          </w:tcPr>
          <w:p w14:paraId="0E253618" w14:textId="77777777" w:rsidR="00E80CAE" w:rsidRPr="003019BC" w:rsidRDefault="00E80CAE" w:rsidP="002C666C">
            <w:r w:rsidRPr="003019BC">
              <w:t>Goolwa barrage</w:t>
            </w:r>
          </w:p>
        </w:tc>
        <w:tc>
          <w:tcPr>
            <w:tcW w:w="1567" w:type="pct"/>
          </w:tcPr>
          <w:p w14:paraId="4498E9F8"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small vertical slot + fish lock</w:t>
            </w:r>
          </w:p>
        </w:tc>
        <w:tc>
          <w:tcPr>
            <w:tcW w:w="1718" w:type="pct"/>
          </w:tcPr>
          <w:p w14:paraId="3954B23A" w14:textId="77777777" w:rsidR="00E80CAE" w:rsidRPr="005A1ED6" w:rsidRDefault="00E80CAE" w:rsidP="002C666C">
            <w:pPr>
              <w:rPr>
                <w:sz w:val="20"/>
                <w:szCs w:val="20"/>
              </w:rPr>
            </w:pPr>
            <w:r w:rsidRPr="005A1ED6">
              <w:rPr>
                <w:sz w:val="20"/>
                <w:szCs w:val="20"/>
              </w:rPr>
              <w:t xml:space="preserve">upgrade?  </w:t>
            </w:r>
          </w:p>
        </w:tc>
      </w:tr>
      <w:tr w:rsidR="00E80CAE" w14:paraId="3AED7DE7" w14:textId="77777777" w:rsidTr="003019BC">
        <w:trPr>
          <w:trHeight w:hRule="exact" w:val="555"/>
        </w:trPr>
        <w:tc>
          <w:tcPr>
            <w:tcW w:w="446" w:type="pct"/>
          </w:tcPr>
          <w:p w14:paraId="7971EDF7" w14:textId="77777777" w:rsidR="00E80CAE" w:rsidRPr="003019BC" w:rsidRDefault="00E80CAE" w:rsidP="002C666C">
            <w:r w:rsidRPr="003019BC">
              <w:t>2004</w:t>
            </w:r>
          </w:p>
        </w:tc>
        <w:tc>
          <w:tcPr>
            <w:tcW w:w="1269" w:type="pct"/>
          </w:tcPr>
          <w:p w14:paraId="22C3196A" w14:textId="77777777" w:rsidR="00E80CAE" w:rsidRPr="003019BC" w:rsidRDefault="00E80CAE" w:rsidP="002C666C">
            <w:r w:rsidRPr="003019BC">
              <w:t>Tauwitchere barrage</w:t>
            </w:r>
          </w:p>
        </w:tc>
        <w:tc>
          <w:tcPr>
            <w:tcW w:w="1567" w:type="pct"/>
          </w:tcPr>
          <w:p w14:paraId="31B2C01D"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large vertical slot</w:t>
            </w:r>
          </w:p>
        </w:tc>
        <w:tc>
          <w:tcPr>
            <w:tcW w:w="1718" w:type="pct"/>
          </w:tcPr>
          <w:p w14:paraId="3180F2C0" w14:textId="77777777" w:rsidR="00E80CAE" w:rsidRPr="005A1ED6" w:rsidRDefault="00E80CAE" w:rsidP="002C666C">
            <w:pPr>
              <w:rPr>
                <w:sz w:val="20"/>
                <w:szCs w:val="20"/>
              </w:rPr>
            </w:pPr>
            <w:r w:rsidRPr="005A1ED6">
              <w:rPr>
                <w:sz w:val="20"/>
                <w:szCs w:val="20"/>
              </w:rPr>
              <w:t>for large-bodied fish &gt;150 mm TL</w:t>
            </w:r>
          </w:p>
        </w:tc>
      </w:tr>
      <w:tr w:rsidR="00E80CAE" w14:paraId="19A07465" w14:textId="77777777" w:rsidTr="003019BC">
        <w:trPr>
          <w:trHeight w:hRule="exact" w:val="563"/>
        </w:trPr>
        <w:tc>
          <w:tcPr>
            <w:tcW w:w="446" w:type="pct"/>
          </w:tcPr>
          <w:p w14:paraId="4403CBB4" w14:textId="77777777" w:rsidR="00E80CAE" w:rsidRPr="003019BC" w:rsidRDefault="00E80CAE" w:rsidP="002C666C">
            <w:r w:rsidRPr="003019BC">
              <w:t>2004</w:t>
            </w:r>
          </w:p>
        </w:tc>
        <w:tc>
          <w:tcPr>
            <w:tcW w:w="1269" w:type="pct"/>
          </w:tcPr>
          <w:p w14:paraId="60AA887D" w14:textId="77777777" w:rsidR="00E80CAE" w:rsidRPr="003019BC" w:rsidRDefault="00E80CAE" w:rsidP="002C666C">
            <w:r w:rsidRPr="003019BC">
              <w:t>Tauwitchere barrage</w:t>
            </w:r>
          </w:p>
        </w:tc>
        <w:tc>
          <w:tcPr>
            <w:tcW w:w="1567" w:type="pct"/>
          </w:tcPr>
          <w:p w14:paraId="094303EC"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rock ramp</w:t>
            </w:r>
          </w:p>
        </w:tc>
        <w:tc>
          <w:tcPr>
            <w:tcW w:w="1718" w:type="pct"/>
          </w:tcPr>
          <w:p w14:paraId="6AFA2669" w14:textId="77777777" w:rsidR="00E80CAE" w:rsidRPr="005A1ED6" w:rsidRDefault="00E80CAE" w:rsidP="002C666C">
            <w:pPr>
              <w:rPr>
                <w:sz w:val="20"/>
                <w:szCs w:val="20"/>
              </w:rPr>
            </w:pPr>
            <w:r w:rsidRPr="005A1ED6">
              <w:rPr>
                <w:sz w:val="20"/>
                <w:szCs w:val="20"/>
              </w:rPr>
              <w:t>for small-bodied fish &lt; 150 mm TL</w:t>
            </w:r>
          </w:p>
        </w:tc>
      </w:tr>
      <w:tr w:rsidR="00E80CAE" w14:paraId="4E4A808D" w14:textId="77777777" w:rsidTr="00C41473">
        <w:trPr>
          <w:trHeight w:hRule="exact" w:val="397"/>
        </w:trPr>
        <w:tc>
          <w:tcPr>
            <w:tcW w:w="446" w:type="pct"/>
          </w:tcPr>
          <w:p w14:paraId="3B9E100C" w14:textId="77777777" w:rsidR="00E80CAE" w:rsidRPr="003019BC" w:rsidRDefault="00E80CAE" w:rsidP="002C666C">
            <w:r w:rsidRPr="003019BC">
              <w:t>2008</w:t>
            </w:r>
          </w:p>
        </w:tc>
        <w:tc>
          <w:tcPr>
            <w:tcW w:w="1269" w:type="pct"/>
          </w:tcPr>
          <w:p w14:paraId="39DA6F88" w14:textId="77777777" w:rsidR="00E80CAE" w:rsidRPr="003019BC" w:rsidRDefault="00E80CAE" w:rsidP="002C666C">
            <w:r w:rsidRPr="003019BC">
              <w:t>Tauwitchere barrage</w:t>
            </w:r>
          </w:p>
        </w:tc>
        <w:tc>
          <w:tcPr>
            <w:tcW w:w="1567" w:type="pct"/>
          </w:tcPr>
          <w:p w14:paraId="0BF57FB6"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643131A5" w14:textId="77777777" w:rsidR="00E80CAE" w:rsidRPr="005A1ED6" w:rsidRDefault="00E80CAE" w:rsidP="002C666C">
            <w:pPr>
              <w:rPr>
                <w:sz w:val="20"/>
                <w:szCs w:val="20"/>
              </w:rPr>
            </w:pPr>
            <w:r w:rsidRPr="005A1ED6">
              <w:rPr>
                <w:sz w:val="20"/>
                <w:szCs w:val="20"/>
              </w:rPr>
              <w:t>additional</w:t>
            </w:r>
          </w:p>
        </w:tc>
      </w:tr>
      <w:tr w:rsidR="00E80CAE" w14:paraId="70993E7D" w14:textId="77777777" w:rsidTr="00C41473">
        <w:trPr>
          <w:trHeight w:hRule="exact" w:val="397"/>
        </w:trPr>
        <w:tc>
          <w:tcPr>
            <w:tcW w:w="446" w:type="pct"/>
          </w:tcPr>
          <w:p w14:paraId="1B32737F" w14:textId="77777777" w:rsidR="00E80CAE" w:rsidRPr="003019BC" w:rsidRDefault="00E80CAE" w:rsidP="002C666C">
            <w:r w:rsidRPr="003019BC">
              <w:t>2018</w:t>
            </w:r>
          </w:p>
        </w:tc>
        <w:tc>
          <w:tcPr>
            <w:tcW w:w="1269" w:type="pct"/>
          </w:tcPr>
          <w:p w14:paraId="7985938B" w14:textId="77777777" w:rsidR="00E80CAE" w:rsidRPr="003019BC" w:rsidRDefault="00E80CAE" w:rsidP="002C666C">
            <w:r w:rsidRPr="003019BC">
              <w:t>Tauwitchere barrage</w:t>
            </w:r>
          </w:p>
        </w:tc>
        <w:tc>
          <w:tcPr>
            <w:tcW w:w="1567" w:type="pct"/>
          </w:tcPr>
          <w:p w14:paraId="147A357B"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trapezoidal</w:t>
            </w:r>
          </w:p>
        </w:tc>
        <w:tc>
          <w:tcPr>
            <w:tcW w:w="1718" w:type="pct"/>
          </w:tcPr>
          <w:p w14:paraId="2F627E6F" w14:textId="77777777" w:rsidR="00E80CAE" w:rsidRPr="005A1ED6" w:rsidRDefault="00E80CAE" w:rsidP="002C666C">
            <w:pPr>
              <w:rPr>
                <w:sz w:val="20"/>
                <w:szCs w:val="20"/>
              </w:rPr>
            </w:pPr>
            <w:r w:rsidRPr="005A1ED6">
              <w:rPr>
                <w:sz w:val="20"/>
                <w:szCs w:val="20"/>
              </w:rPr>
              <w:t>additional</w:t>
            </w:r>
          </w:p>
        </w:tc>
      </w:tr>
      <w:tr w:rsidR="00E80CAE" w14:paraId="721A8FAC" w14:textId="77777777" w:rsidTr="00C41473">
        <w:trPr>
          <w:trHeight w:hRule="exact" w:val="397"/>
        </w:trPr>
        <w:tc>
          <w:tcPr>
            <w:tcW w:w="446" w:type="pct"/>
          </w:tcPr>
          <w:p w14:paraId="41FF3D44" w14:textId="77777777" w:rsidR="00E80CAE" w:rsidRPr="003019BC" w:rsidRDefault="00E80CAE" w:rsidP="002C666C">
            <w:r w:rsidRPr="003019BC">
              <w:t>2015</w:t>
            </w:r>
          </w:p>
        </w:tc>
        <w:tc>
          <w:tcPr>
            <w:tcW w:w="1269" w:type="pct"/>
          </w:tcPr>
          <w:p w14:paraId="77DE3D48" w14:textId="77777777" w:rsidR="00E80CAE" w:rsidRPr="003019BC" w:rsidRDefault="00E80CAE" w:rsidP="002C666C">
            <w:r w:rsidRPr="003019BC">
              <w:t>Boundary Creek barrage</w:t>
            </w:r>
          </w:p>
        </w:tc>
        <w:tc>
          <w:tcPr>
            <w:tcW w:w="1567" w:type="pct"/>
          </w:tcPr>
          <w:p w14:paraId="23E1DC5C"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small vertical slot</w:t>
            </w:r>
          </w:p>
        </w:tc>
        <w:tc>
          <w:tcPr>
            <w:tcW w:w="1718" w:type="pct"/>
          </w:tcPr>
          <w:p w14:paraId="2ACF69CC" w14:textId="77777777" w:rsidR="00E80CAE" w:rsidRPr="005A1ED6" w:rsidRDefault="00E80CAE" w:rsidP="002C666C">
            <w:pPr>
              <w:rPr>
                <w:sz w:val="20"/>
                <w:szCs w:val="20"/>
              </w:rPr>
            </w:pPr>
          </w:p>
        </w:tc>
      </w:tr>
      <w:tr w:rsidR="00E80CAE" w14:paraId="711DA14C" w14:textId="77777777" w:rsidTr="00C41473">
        <w:trPr>
          <w:trHeight w:hRule="exact" w:val="397"/>
        </w:trPr>
        <w:tc>
          <w:tcPr>
            <w:tcW w:w="446" w:type="pct"/>
          </w:tcPr>
          <w:p w14:paraId="0006AE27" w14:textId="77777777" w:rsidR="00E80CAE" w:rsidRPr="003019BC" w:rsidRDefault="00E80CAE" w:rsidP="002C666C">
            <w:r w:rsidRPr="003019BC">
              <w:t>2016</w:t>
            </w:r>
          </w:p>
        </w:tc>
        <w:tc>
          <w:tcPr>
            <w:tcW w:w="1269" w:type="pct"/>
          </w:tcPr>
          <w:p w14:paraId="1B53BA9A" w14:textId="77777777" w:rsidR="00E80CAE" w:rsidRPr="003019BC" w:rsidRDefault="00E80CAE" w:rsidP="002C666C">
            <w:r w:rsidRPr="003019BC">
              <w:t>Ewe Island barrage</w:t>
            </w:r>
          </w:p>
        </w:tc>
        <w:tc>
          <w:tcPr>
            <w:tcW w:w="1567" w:type="pct"/>
          </w:tcPr>
          <w:p w14:paraId="762A74C5"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dual vertical slot</w:t>
            </w:r>
          </w:p>
        </w:tc>
        <w:tc>
          <w:tcPr>
            <w:tcW w:w="1718" w:type="pct"/>
          </w:tcPr>
          <w:p w14:paraId="55CE9457" w14:textId="77777777" w:rsidR="00E80CAE" w:rsidRPr="005A1ED6" w:rsidRDefault="00E80CAE" w:rsidP="002C666C">
            <w:pPr>
              <w:rPr>
                <w:sz w:val="20"/>
                <w:szCs w:val="20"/>
              </w:rPr>
            </w:pPr>
          </w:p>
        </w:tc>
      </w:tr>
      <w:tr w:rsidR="00E80CAE" w14:paraId="6D824337" w14:textId="77777777" w:rsidTr="00C41473">
        <w:trPr>
          <w:trHeight w:hRule="exact" w:val="397"/>
        </w:trPr>
        <w:tc>
          <w:tcPr>
            <w:tcW w:w="446" w:type="pct"/>
          </w:tcPr>
          <w:p w14:paraId="18C1DCB1" w14:textId="77777777" w:rsidR="00E80CAE" w:rsidRPr="003019BC" w:rsidRDefault="00E80CAE" w:rsidP="002C666C">
            <w:r w:rsidRPr="003019BC">
              <w:t>2016</w:t>
            </w:r>
          </w:p>
        </w:tc>
        <w:tc>
          <w:tcPr>
            <w:tcW w:w="1269" w:type="pct"/>
          </w:tcPr>
          <w:p w14:paraId="603C4458" w14:textId="77777777" w:rsidR="00E80CAE" w:rsidRPr="003019BC" w:rsidRDefault="00E80CAE" w:rsidP="002C666C">
            <w:r w:rsidRPr="003019BC">
              <w:t>Mundoo barrage</w:t>
            </w:r>
          </w:p>
        </w:tc>
        <w:tc>
          <w:tcPr>
            <w:tcW w:w="1567" w:type="pct"/>
          </w:tcPr>
          <w:p w14:paraId="0316E034"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dual vertical slot</w:t>
            </w:r>
          </w:p>
        </w:tc>
        <w:tc>
          <w:tcPr>
            <w:tcW w:w="1718" w:type="pct"/>
          </w:tcPr>
          <w:p w14:paraId="1FA3E483" w14:textId="77777777" w:rsidR="00E80CAE" w:rsidRPr="005A1ED6" w:rsidRDefault="00E80CAE" w:rsidP="002C666C">
            <w:pPr>
              <w:rPr>
                <w:sz w:val="20"/>
                <w:szCs w:val="20"/>
              </w:rPr>
            </w:pPr>
          </w:p>
        </w:tc>
      </w:tr>
      <w:tr w:rsidR="00E80CAE" w14:paraId="3C7692C7" w14:textId="77777777" w:rsidTr="00C41473">
        <w:trPr>
          <w:trHeight w:hRule="exact" w:val="397"/>
        </w:trPr>
        <w:tc>
          <w:tcPr>
            <w:tcW w:w="446" w:type="pct"/>
            <w:shd w:val="clear" w:color="auto" w:fill="F2F2F2" w:themeFill="background1" w:themeFillShade="F2"/>
          </w:tcPr>
          <w:p w14:paraId="39598CB7" w14:textId="77777777" w:rsidR="00E80CAE" w:rsidRPr="003019BC" w:rsidRDefault="00E80CAE" w:rsidP="002C666C">
            <w:r w:rsidRPr="003019BC">
              <w:t>2009</w:t>
            </w:r>
          </w:p>
        </w:tc>
        <w:tc>
          <w:tcPr>
            <w:tcW w:w="1269" w:type="pct"/>
            <w:shd w:val="clear" w:color="auto" w:fill="F2F2F2" w:themeFill="background1" w:themeFillShade="F2"/>
          </w:tcPr>
          <w:p w14:paraId="3B782C83" w14:textId="77777777" w:rsidR="00E80CAE" w:rsidRPr="003019BC" w:rsidRDefault="00E80CAE" w:rsidP="002C666C">
            <w:r w:rsidRPr="003019BC">
              <w:t>Hunters Creek causeway</w:t>
            </w:r>
          </w:p>
        </w:tc>
        <w:tc>
          <w:tcPr>
            <w:tcW w:w="1567" w:type="pct"/>
            <w:shd w:val="clear" w:color="auto" w:fill="F2F2F2" w:themeFill="background1" w:themeFillShade="F2"/>
          </w:tcPr>
          <w:p w14:paraId="0C5063E0"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small vertical slot</w:t>
            </w:r>
          </w:p>
        </w:tc>
        <w:tc>
          <w:tcPr>
            <w:tcW w:w="1718" w:type="pct"/>
            <w:shd w:val="clear" w:color="auto" w:fill="F2F2F2" w:themeFill="background1" w:themeFillShade="F2"/>
          </w:tcPr>
          <w:p w14:paraId="03144A64" w14:textId="77777777" w:rsidR="00E80CAE" w:rsidRPr="005A1ED6" w:rsidRDefault="00E80CAE" w:rsidP="002C666C">
            <w:pPr>
              <w:rPr>
                <w:sz w:val="20"/>
                <w:szCs w:val="20"/>
              </w:rPr>
            </w:pPr>
          </w:p>
        </w:tc>
      </w:tr>
      <w:tr w:rsidR="00E80CAE" w14:paraId="40D79533" w14:textId="77777777" w:rsidTr="00C41473">
        <w:trPr>
          <w:trHeight w:hRule="exact" w:val="397"/>
        </w:trPr>
        <w:tc>
          <w:tcPr>
            <w:tcW w:w="5000" w:type="pct"/>
            <w:gridSpan w:val="4"/>
            <w:shd w:val="clear" w:color="auto" w:fill="FFF2CC" w:themeFill="accent4" w:themeFillTint="33"/>
          </w:tcPr>
          <w:p w14:paraId="2BE9BBD5" w14:textId="77777777" w:rsidR="00E80CAE" w:rsidRPr="003019BC" w:rsidRDefault="00E80CAE" w:rsidP="002C666C">
            <w:pPr>
              <w:rPr>
                <w:b/>
                <w:bCs/>
                <w:i/>
                <w:iCs/>
              </w:rPr>
            </w:pPr>
            <w:r w:rsidRPr="003019BC">
              <w:rPr>
                <w:b/>
                <w:bCs/>
                <w:i/>
                <w:iCs/>
              </w:rPr>
              <w:t xml:space="preserve">Locks </w:t>
            </w:r>
            <w:r w:rsidRPr="003019BC">
              <w:rPr>
                <w:i/>
                <w:iCs/>
              </w:rPr>
              <w:t xml:space="preserve">(built 1922–1935) &amp; Fishways (installed mainly 2003–2013) </w:t>
            </w:r>
          </w:p>
        </w:tc>
      </w:tr>
      <w:tr w:rsidR="00E80CAE" w14:paraId="6E16B9A8" w14:textId="77777777" w:rsidTr="00C41473">
        <w:trPr>
          <w:trHeight w:val="559"/>
        </w:trPr>
        <w:tc>
          <w:tcPr>
            <w:tcW w:w="446" w:type="pct"/>
            <w:shd w:val="clear" w:color="auto" w:fill="F2F2F2" w:themeFill="background1" w:themeFillShade="F2"/>
          </w:tcPr>
          <w:p w14:paraId="29838F8F" w14:textId="77777777" w:rsidR="00E80CAE" w:rsidRPr="003019BC" w:rsidRDefault="00E80CAE" w:rsidP="002C666C">
            <w:r w:rsidRPr="003019BC">
              <w:t>1930?</w:t>
            </w:r>
          </w:p>
        </w:tc>
        <w:tc>
          <w:tcPr>
            <w:tcW w:w="1269" w:type="pct"/>
            <w:shd w:val="clear" w:color="auto" w:fill="F2F2F2" w:themeFill="background1" w:themeFillShade="F2"/>
          </w:tcPr>
          <w:p w14:paraId="3727261C" w14:textId="77777777" w:rsidR="00E80CAE" w:rsidRPr="003019BC" w:rsidRDefault="00E80CAE" w:rsidP="002C666C">
            <w:r w:rsidRPr="003019BC">
              <w:t>6 – Murtho SA</w:t>
            </w:r>
          </w:p>
        </w:tc>
        <w:tc>
          <w:tcPr>
            <w:tcW w:w="1567" w:type="pct"/>
            <w:shd w:val="clear" w:color="auto" w:fill="F2F2F2" w:themeFill="background1" w:themeFillShade="F2"/>
          </w:tcPr>
          <w:p w14:paraId="73EDCCBF"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based on North. Hem. Salmonid design</w:t>
            </w:r>
          </w:p>
        </w:tc>
        <w:tc>
          <w:tcPr>
            <w:tcW w:w="1718" w:type="pct"/>
            <w:shd w:val="clear" w:color="auto" w:fill="F2F2F2" w:themeFill="background1" w:themeFillShade="F2"/>
          </w:tcPr>
          <w:p w14:paraId="04D4ADA8" w14:textId="77777777" w:rsidR="00E80CAE" w:rsidRPr="005A1ED6" w:rsidRDefault="00E80CAE" w:rsidP="002C666C">
            <w:pPr>
              <w:rPr>
                <w:sz w:val="20"/>
                <w:szCs w:val="20"/>
              </w:rPr>
            </w:pPr>
            <w:r w:rsidRPr="005A1ED6">
              <w:rPr>
                <w:sz w:val="20"/>
                <w:szCs w:val="20"/>
              </w:rPr>
              <w:t>ineffective for many native fish species</w:t>
            </w:r>
          </w:p>
        </w:tc>
      </w:tr>
      <w:tr w:rsidR="00E80CAE" w14:paraId="54C49674" w14:textId="77777777" w:rsidTr="00C41473">
        <w:trPr>
          <w:trHeight w:val="397"/>
        </w:trPr>
        <w:tc>
          <w:tcPr>
            <w:tcW w:w="446" w:type="pct"/>
          </w:tcPr>
          <w:p w14:paraId="78DD41A3" w14:textId="77777777" w:rsidR="00E80CAE" w:rsidRPr="003019BC" w:rsidRDefault="00E80CAE" w:rsidP="002C666C">
            <w:r w:rsidRPr="003019BC">
              <w:t>2010</w:t>
            </w:r>
          </w:p>
        </w:tc>
        <w:tc>
          <w:tcPr>
            <w:tcW w:w="1269" w:type="pct"/>
          </w:tcPr>
          <w:p w14:paraId="5B2C01B9" w14:textId="77777777" w:rsidR="00E80CAE" w:rsidRPr="003019BC" w:rsidRDefault="00E80CAE" w:rsidP="002C666C">
            <w:r w:rsidRPr="003019BC">
              <w:t>6 – Murtho SA</w:t>
            </w:r>
          </w:p>
        </w:tc>
        <w:tc>
          <w:tcPr>
            <w:tcW w:w="1567" w:type="pct"/>
          </w:tcPr>
          <w:p w14:paraId="424B0B9F"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p w14:paraId="54099E70"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small fish lock</w:t>
            </w:r>
          </w:p>
        </w:tc>
        <w:tc>
          <w:tcPr>
            <w:tcW w:w="1718" w:type="pct"/>
          </w:tcPr>
          <w:p w14:paraId="10101A10" w14:textId="77777777" w:rsidR="00E80CAE" w:rsidRPr="005A1ED6" w:rsidRDefault="00E80CAE" w:rsidP="002C666C">
            <w:pPr>
              <w:rPr>
                <w:sz w:val="20"/>
                <w:szCs w:val="20"/>
              </w:rPr>
            </w:pPr>
            <w:r w:rsidRPr="005A1ED6">
              <w:rPr>
                <w:sz w:val="20"/>
                <w:szCs w:val="20"/>
              </w:rPr>
              <w:t>upgrade of original</w:t>
            </w:r>
          </w:p>
        </w:tc>
      </w:tr>
      <w:tr w:rsidR="00E80CAE" w14:paraId="476C3192" w14:textId="77777777" w:rsidTr="00C41473">
        <w:trPr>
          <w:trHeight w:val="397"/>
        </w:trPr>
        <w:tc>
          <w:tcPr>
            <w:tcW w:w="446" w:type="pct"/>
          </w:tcPr>
          <w:p w14:paraId="14CCB44A" w14:textId="77777777" w:rsidR="00E80CAE" w:rsidRPr="003019BC" w:rsidRDefault="00E80CAE" w:rsidP="002C666C">
            <w:r w:rsidRPr="003019BC">
              <w:t>2003</w:t>
            </w:r>
          </w:p>
        </w:tc>
        <w:tc>
          <w:tcPr>
            <w:tcW w:w="1269" w:type="pct"/>
          </w:tcPr>
          <w:p w14:paraId="0C2D2DB0" w14:textId="77777777" w:rsidR="00E80CAE" w:rsidRPr="003019BC" w:rsidRDefault="00E80CAE" w:rsidP="002C666C">
            <w:r w:rsidRPr="003019BC">
              <w:t>8 – Wangumma SA</w:t>
            </w:r>
          </w:p>
        </w:tc>
        <w:tc>
          <w:tcPr>
            <w:tcW w:w="1567" w:type="pct"/>
          </w:tcPr>
          <w:p w14:paraId="3C3E7242"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42B22618" w14:textId="77777777" w:rsidR="00E80CAE" w:rsidRPr="005A1ED6" w:rsidRDefault="00E80CAE" w:rsidP="002C666C">
            <w:pPr>
              <w:rPr>
                <w:sz w:val="20"/>
                <w:szCs w:val="20"/>
              </w:rPr>
            </w:pPr>
            <w:r w:rsidRPr="005A1ED6">
              <w:rPr>
                <w:sz w:val="20"/>
                <w:szCs w:val="20"/>
              </w:rPr>
              <w:t>2005 assessed performance re slope</w:t>
            </w:r>
          </w:p>
        </w:tc>
      </w:tr>
      <w:tr w:rsidR="00E80CAE" w14:paraId="1C4A781B" w14:textId="77777777" w:rsidTr="00C41473">
        <w:trPr>
          <w:trHeight w:hRule="exact" w:val="397"/>
        </w:trPr>
        <w:tc>
          <w:tcPr>
            <w:tcW w:w="446" w:type="pct"/>
          </w:tcPr>
          <w:p w14:paraId="1CB6997D" w14:textId="77777777" w:rsidR="00E80CAE" w:rsidRPr="003019BC" w:rsidRDefault="00E80CAE" w:rsidP="002C666C">
            <w:r w:rsidRPr="003019BC">
              <w:t>2004</w:t>
            </w:r>
          </w:p>
        </w:tc>
        <w:tc>
          <w:tcPr>
            <w:tcW w:w="1269" w:type="pct"/>
          </w:tcPr>
          <w:p w14:paraId="242B1605" w14:textId="77777777" w:rsidR="00E80CAE" w:rsidRPr="003019BC" w:rsidRDefault="00E80CAE" w:rsidP="002C666C">
            <w:r w:rsidRPr="003019BC">
              <w:t>7 – Rufus River SA</w:t>
            </w:r>
          </w:p>
        </w:tc>
        <w:tc>
          <w:tcPr>
            <w:tcW w:w="1567" w:type="pct"/>
          </w:tcPr>
          <w:p w14:paraId="23F88DD8"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11664AA6" w14:textId="77777777" w:rsidR="00E80CAE" w:rsidRPr="005A1ED6" w:rsidRDefault="00E80CAE" w:rsidP="002C666C">
            <w:pPr>
              <w:rPr>
                <w:sz w:val="20"/>
                <w:szCs w:val="20"/>
              </w:rPr>
            </w:pPr>
          </w:p>
        </w:tc>
      </w:tr>
      <w:tr w:rsidR="00E80CAE" w14:paraId="571BF942" w14:textId="77777777" w:rsidTr="00C41473">
        <w:trPr>
          <w:trHeight w:hRule="exact" w:val="397"/>
        </w:trPr>
        <w:tc>
          <w:tcPr>
            <w:tcW w:w="446" w:type="pct"/>
          </w:tcPr>
          <w:p w14:paraId="6FEE6751" w14:textId="77777777" w:rsidR="00E80CAE" w:rsidRPr="003019BC" w:rsidRDefault="00E80CAE" w:rsidP="002C666C">
            <w:r w:rsidRPr="003019BC">
              <w:t>2005</w:t>
            </w:r>
          </w:p>
        </w:tc>
        <w:tc>
          <w:tcPr>
            <w:tcW w:w="1269" w:type="pct"/>
          </w:tcPr>
          <w:p w14:paraId="27FE8184" w14:textId="77777777" w:rsidR="00E80CAE" w:rsidRPr="003019BC" w:rsidRDefault="00E80CAE" w:rsidP="002C666C">
            <w:r w:rsidRPr="003019BC">
              <w:t>9 – Kulnine SA</w:t>
            </w:r>
          </w:p>
        </w:tc>
        <w:tc>
          <w:tcPr>
            <w:tcW w:w="1567" w:type="pct"/>
          </w:tcPr>
          <w:p w14:paraId="69BB7ECA"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58FC036B" w14:textId="77777777" w:rsidR="00E80CAE" w:rsidRPr="005A1ED6" w:rsidRDefault="00E80CAE" w:rsidP="002C666C">
            <w:pPr>
              <w:rPr>
                <w:sz w:val="20"/>
                <w:szCs w:val="20"/>
              </w:rPr>
            </w:pPr>
          </w:p>
        </w:tc>
      </w:tr>
      <w:tr w:rsidR="00E80CAE" w14:paraId="4AF2390F" w14:textId="77777777" w:rsidTr="00C41473">
        <w:trPr>
          <w:trHeight w:hRule="exact" w:val="397"/>
        </w:trPr>
        <w:tc>
          <w:tcPr>
            <w:tcW w:w="446" w:type="pct"/>
          </w:tcPr>
          <w:p w14:paraId="67364D90" w14:textId="77777777" w:rsidR="00E80CAE" w:rsidRPr="003019BC" w:rsidRDefault="00E80CAE" w:rsidP="002C666C">
            <w:r w:rsidRPr="003019BC">
              <w:t>2006</w:t>
            </w:r>
          </w:p>
        </w:tc>
        <w:tc>
          <w:tcPr>
            <w:tcW w:w="1269" w:type="pct"/>
          </w:tcPr>
          <w:p w14:paraId="294A7F6E" w14:textId="77777777" w:rsidR="00E80CAE" w:rsidRPr="003019BC" w:rsidRDefault="00E80CAE" w:rsidP="002C666C">
            <w:r w:rsidRPr="003019BC">
              <w:t>10 – Wentworth NSW</w:t>
            </w:r>
          </w:p>
        </w:tc>
        <w:tc>
          <w:tcPr>
            <w:tcW w:w="1567" w:type="pct"/>
          </w:tcPr>
          <w:p w14:paraId="2A076AF1"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799E5A11" w14:textId="77777777" w:rsidR="00E80CAE" w:rsidRPr="005A1ED6" w:rsidRDefault="00E80CAE" w:rsidP="002C666C">
            <w:pPr>
              <w:rPr>
                <w:sz w:val="20"/>
                <w:szCs w:val="20"/>
              </w:rPr>
            </w:pPr>
          </w:p>
        </w:tc>
      </w:tr>
      <w:tr w:rsidR="00E80CAE" w14:paraId="18006273" w14:textId="77777777" w:rsidTr="00C41473">
        <w:trPr>
          <w:trHeight w:hRule="exact" w:val="397"/>
        </w:trPr>
        <w:tc>
          <w:tcPr>
            <w:tcW w:w="446" w:type="pct"/>
          </w:tcPr>
          <w:p w14:paraId="4983CA18" w14:textId="77777777" w:rsidR="00E80CAE" w:rsidRPr="003019BC" w:rsidRDefault="00E80CAE" w:rsidP="002C666C">
            <w:r w:rsidRPr="003019BC">
              <w:t>2009</w:t>
            </w:r>
          </w:p>
        </w:tc>
        <w:tc>
          <w:tcPr>
            <w:tcW w:w="1269" w:type="pct"/>
          </w:tcPr>
          <w:p w14:paraId="5FECC5CC" w14:textId="77777777" w:rsidR="00E80CAE" w:rsidRPr="003019BC" w:rsidRDefault="00E80CAE" w:rsidP="002C666C">
            <w:r w:rsidRPr="003019BC">
              <w:t>1 – Blanchtown SA</w:t>
            </w:r>
          </w:p>
        </w:tc>
        <w:tc>
          <w:tcPr>
            <w:tcW w:w="1567" w:type="pct"/>
          </w:tcPr>
          <w:p w14:paraId="196CFD1A"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053687B2" w14:textId="77777777" w:rsidR="00E80CAE" w:rsidRPr="005A1ED6" w:rsidRDefault="00E80CAE" w:rsidP="002C666C">
            <w:pPr>
              <w:rPr>
                <w:sz w:val="20"/>
                <w:szCs w:val="20"/>
              </w:rPr>
            </w:pPr>
          </w:p>
        </w:tc>
      </w:tr>
      <w:tr w:rsidR="00E80CAE" w14:paraId="0C8F4430" w14:textId="77777777" w:rsidTr="00C41473">
        <w:trPr>
          <w:trHeight w:hRule="exact" w:val="397"/>
        </w:trPr>
        <w:tc>
          <w:tcPr>
            <w:tcW w:w="446" w:type="pct"/>
          </w:tcPr>
          <w:p w14:paraId="61CDA4C0" w14:textId="77777777" w:rsidR="00E80CAE" w:rsidRPr="003019BC" w:rsidRDefault="00E80CAE" w:rsidP="002C666C">
            <w:r w:rsidRPr="003019BC">
              <w:t>2011</w:t>
            </w:r>
          </w:p>
        </w:tc>
        <w:tc>
          <w:tcPr>
            <w:tcW w:w="1269" w:type="pct"/>
          </w:tcPr>
          <w:p w14:paraId="293644D3" w14:textId="77777777" w:rsidR="00E80CAE" w:rsidRPr="003019BC" w:rsidRDefault="00E80CAE" w:rsidP="002C666C">
            <w:r w:rsidRPr="003019BC">
              <w:t>3 – Overland Corner SA</w:t>
            </w:r>
          </w:p>
        </w:tc>
        <w:tc>
          <w:tcPr>
            <w:tcW w:w="1567" w:type="pct"/>
          </w:tcPr>
          <w:p w14:paraId="21FB1BC9"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3965AC49" w14:textId="77777777" w:rsidR="00E80CAE" w:rsidRPr="005A1ED6" w:rsidRDefault="00E80CAE" w:rsidP="002C666C">
            <w:pPr>
              <w:rPr>
                <w:sz w:val="20"/>
                <w:szCs w:val="20"/>
              </w:rPr>
            </w:pPr>
          </w:p>
        </w:tc>
      </w:tr>
      <w:tr w:rsidR="00E80CAE" w14:paraId="309E140A" w14:textId="77777777" w:rsidTr="00C41473">
        <w:trPr>
          <w:trHeight w:hRule="exact" w:val="397"/>
        </w:trPr>
        <w:tc>
          <w:tcPr>
            <w:tcW w:w="446" w:type="pct"/>
          </w:tcPr>
          <w:p w14:paraId="6F37ACD7" w14:textId="77777777" w:rsidR="00E80CAE" w:rsidRPr="003019BC" w:rsidRDefault="00E80CAE" w:rsidP="002C666C">
            <w:r w:rsidRPr="003019BC">
              <w:t>2012</w:t>
            </w:r>
          </w:p>
        </w:tc>
        <w:tc>
          <w:tcPr>
            <w:tcW w:w="1269" w:type="pct"/>
          </w:tcPr>
          <w:p w14:paraId="45EEB847" w14:textId="77777777" w:rsidR="00E80CAE" w:rsidRPr="003019BC" w:rsidRDefault="00E80CAE" w:rsidP="002C666C">
            <w:r w:rsidRPr="003019BC">
              <w:t>5 – Renmark SA</w:t>
            </w:r>
          </w:p>
        </w:tc>
        <w:tc>
          <w:tcPr>
            <w:tcW w:w="1567" w:type="pct"/>
          </w:tcPr>
          <w:p w14:paraId="72206584"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5FE35E1B" w14:textId="77777777" w:rsidR="00E80CAE" w:rsidRPr="005A1ED6" w:rsidRDefault="00E80CAE" w:rsidP="002C666C">
            <w:pPr>
              <w:rPr>
                <w:sz w:val="20"/>
                <w:szCs w:val="20"/>
              </w:rPr>
            </w:pPr>
          </w:p>
        </w:tc>
      </w:tr>
      <w:tr w:rsidR="00E80CAE" w14:paraId="2DCBEB35" w14:textId="77777777" w:rsidTr="00C41473">
        <w:trPr>
          <w:trHeight w:hRule="exact" w:val="397"/>
        </w:trPr>
        <w:tc>
          <w:tcPr>
            <w:tcW w:w="446" w:type="pct"/>
          </w:tcPr>
          <w:p w14:paraId="3B73A27E" w14:textId="77777777" w:rsidR="00E80CAE" w:rsidRPr="003019BC" w:rsidRDefault="00E80CAE" w:rsidP="002C666C">
            <w:r w:rsidRPr="003019BC">
              <w:t>2013</w:t>
            </w:r>
          </w:p>
        </w:tc>
        <w:tc>
          <w:tcPr>
            <w:tcW w:w="1269" w:type="pct"/>
          </w:tcPr>
          <w:p w14:paraId="5E2D93F6" w14:textId="77777777" w:rsidR="00E80CAE" w:rsidRPr="003019BC" w:rsidRDefault="00E80CAE" w:rsidP="002C666C">
            <w:r w:rsidRPr="003019BC">
              <w:t>2 – Waikerie SA</w:t>
            </w:r>
          </w:p>
        </w:tc>
        <w:tc>
          <w:tcPr>
            <w:tcW w:w="1567" w:type="pct"/>
          </w:tcPr>
          <w:p w14:paraId="15923C8E"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2629D48D" w14:textId="77777777" w:rsidR="00E80CAE" w:rsidRPr="005A1ED6" w:rsidRDefault="00E80CAE" w:rsidP="002C666C">
            <w:pPr>
              <w:rPr>
                <w:sz w:val="20"/>
                <w:szCs w:val="20"/>
              </w:rPr>
            </w:pPr>
          </w:p>
        </w:tc>
      </w:tr>
      <w:tr w:rsidR="00E80CAE" w14:paraId="10FE0CE9" w14:textId="77777777" w:rsidTr="00C41473">
        <w:trPr>
          <w:trHeight w:hRule="exact" w:val="397"/>
        </w:trPr>
        <w:tc>
          <w:tcPr>
            <w:tcW w:w="446" w:type="pct"/>
          </w:tcPr>
          <w:p w14:paraId="030B1CC2" w14:textId="77777777" w:rsidR="00E80CAE" w:rsidRPr="003019BC" w:rsidRDefault="00E80CAE" w:rsidP="002C666C">
            <w:r w:rsidRPr="003019BC">
              <w:t>2013</w:t>
            </w:r>
          </w:p>
        </w:tc>
        <w:tc>
          <w:tcPr>
            <w:tcW w:w="1269" w:type="pct"/>
          </w:tcPr>
          <w:p w14:paraId="5C5B0369" w14:textId="77777777" w:rsidR="00E80CAE" w:rsidRPr="003019BC" w:rsidRDefault="00E80CAE" w:rsidP="002C666C">
            <w:r w:rsidRPr="003019BC">
              <w:t>4 – Bookpurnong SA</w:t>
            </w:r>
          </w:p>
        </w:tc>
        <w:tc>
          <w:tcPr>
            <w:tcW w:w="1567" w:type="pct"/>
          </w:tcPr>
          <w:p w14:paraId="2A9EB12F"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vertical slot</w:t>
            </w:r>
          </w:p>
        </w:tc>
        <w:tc>
          <w:tcPr>
            <w:tcW w:w="1718" w:type="pct"/>
          </w:tcPr>
          <w:p w14:paraId="250020FB" w14:textId="77777777" w:rsidR="00E80CAE" w:rsidRPr="005A1ED6" w:rsidRDefault="00E80CAE" w:rsidP="002C666C">
            <w:pPr>
              <w:rPr>
                <w:sz w:val="20"/>
                <w:szCs w:val="20"/>
              </w:rPr>
            </w:pPr>
          </w:p>
        </w:tc>
      </w:tr>
      <w:tr w:rsidR="00E80CAE" w14:paraId="0C3338FA" w14:textId="77777777" w:rsidTr="00C41473">
        <w:trPr>
          <w:trHeight w:hRule="exact" w:val="397"/>
        </w:trPr>
        <w:tc>
          <w:tcPr>
            <w:tcW w:w="446" w:type="pct"/>
            <w:shd w:val="clear" w:color="auto" w:fill="F2F2F2" w:themeFill="background1" w:themeFillShade="F2"/>
          </w:tcPr>
          <w:p w14:paraId="7D42044F" w14:textId="77777777" w:rsidR="00E80CAE" w:rsidRPr="003019BC" w:rsidRDefault="00E80CAE" w:rsidP="002C666C">
            <w:r w:rsidRPr="003019BC">
              <w:t>2013</w:t>
            </w:r>
          </w:p>
        </w:tc>
        <w:tc>
          <w:tcPr>
            <w:tcW w:w="1269" w:type="pct"/>
            <w:shd w:val="clear" w:color="auto" w:fill="F2F2F2" w:themeFill="background1" w:themeFillShade="F2"/>
          </w:tcPr>
          <w:p w14:paraId="68AC3758" w14:textId="77777777" w:rsidR="00E80CAE" w:rsidRPr="003019BC" w:rsidRDefault="00E80CAE" w:rsidP="002C666C">
            <w:r w:rsidRPr="003019BC">
              <w:t>11* – Mildura VIC</w:t>
            </w:r>
          </w:p>
        </w:tc>
        <w:tc>
          <w:tcPr>
            <w:tcW w:w="1567" w:type="pct"/>
            <w:shd w:val="clear" w:color="auto" w:fill="F2F2F2" w:themeFill="background1" w:themeFillShade="F2"/>
          </w:tcPr>
          <w:p w14:paraId="31D4137F"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Denil with baffles</w:t>
            </w:r>
          </w:p>
        </w:tc>
        <w:tc>
          <w:tcPr>
            <w:tcW w:w="1718" w:type="pct"/>
            <w:shd w:val="clear" w:color="auto" w:fill="F2F2F2" w:themeFill="background1" w:themeFillShade="F2"/>
          </w:tcPr>
          <w:p w14:paraId="2FFCB186" w14:textId="77777777" w:rsidR="00E80CAE" w:rsidRPr="005A1ED6" w:rsidRDefault="00E80CAE" w:rsidP="002C666C">
            <w:pPr>
              <w:rPr>
                <w:sz w:val="20"/>
                <w:szCs w:val="20"/>
              </w:rPr>
            </w:pPr>
            <w:r w:rsidRPr="005A1ED6">
              <w:rPr>
                <w:sz w:val="20"/>
                <w:szCs w:val="20"/>
              </w:rPr>
              <w:t>next lock upstream of EC</w:t>
            </w:r>
          </w:p>
        </w:tc>
      </w:tr>
      <w:tr w:rsidR="00E80CAE" w14:paraId="6450D863" w14:textId="77777777" w:rsidTr="00C41473">
        <w:trPr>
          <w:trHeight w:hRule="exact" w:val="397"/>
        </w:trPr>
        <w:tc>
          <w:tcPr>
            <w:tcW w:w="446" w:type="pct"/>
            <w:shd w:val="clear" w:color="auto" w:fill="F2F2F2" w:themeFill="background1" w:themeFillShade="F2"/>
          </w:tcPr>
          <w:p w14:paraId="241D7363" w14:textId="77777777" w:rsidR="00E80CAE" w:rsidRPr="003019BC" w:rsidRDefault="00E80CAE" w:rsidP="002C666C">
            <w:r w:rsidRPr="003019BC">
              <w:t>2023</w:t>
            </w:r>
          </w:p>
        </w:tc>
        <w:tc>
          <w:tcPr>
            <w:tcW w:w="1269" w:type="pct"/>
            <w:shd w:val="clear" w:color="auto" w:fill="F2F2F2" w:themeFill="background1" w:themeFillShade="F2"/>
          </w:tcPr>
          <w:p w14:paraId="18E06905" w14:textId="77777777" w:rsidR="00E80CAE" w:rsidRPr="003019BC" w:rsidRDefault="00E80CAE" w:rsidP="002C666C">
            <w:r w:rsidRPr="003019BC">
              <w:t>11* – Mildura VIC</w:t>
            </w:r>
          </w:p>
        </w:tc>
        <w:tc>
          <w:tcPr>
            <w:tcW w:w="1567" w:type="pct"/>
            <w:shd w:val="clear" w:color="auto" w:fill="F2F2F2" w:themeFill="background1" w:themeFillShade="F2"/>
          </w:tcPr>
          <w:p w14:paraId="7429A64D" w14:textId="77777777" w:rsidR="00E80CAE" w:rsidRPr="005A1ED6" w:rsidRDefault="00E80CAE" w:rsidP="004162AC">
            <w:pPr>
              <w:pStyle w:val="ListParagraph"/>
              <w:numPr>
                <w:ilvl w:val="0"/>
                <w:numId w:val="78"/>
              </w:numPr>
              <w:spacing w:after="0" w:line="240" w:lineRule="auto"/>
              <w:rPr>
                <w:sz w:val="20"/>
                <w:szCs w:val="20"/>
              </w:rPr>
            </w:pPr>
            <w:r w:rsidRPr="005A1ED6">
              <w:rPr>
                <w:sz w:val="20"/>
                <w:szCs w:val="20"/>
              </w:rPr>
              <w:t>Denil with baffles</w:t>
            </w:r>
          </w:p>
        </w:tc>
        <w:tc>
          <w:tcPr>
            <w:tcW w:w="1718" w:type="pct"/>
            <w:shd w:val="clear" w:color="auto" w:fill="F2F2F2" w:themeFill="background1" w:themeFillShade="F2"/>
          </w:tcPr>
          <w:p w14:paraId="7CDDCEBB" w14:textId="77777777" w:rsidR="00E80CAE" w:rsidRPr="005A1ED6" w:rsidRDefault="00E80CAE" w:rsidP="002C666C">
            <w:pPr>
              <w:rPr>
                <w:sz w:val="20"/>
                <w:szCs w:val="20"/>
              </w:rPr>
            </w:pPr>
            <w:r w:rsidRPr="005A1ED6">
              <w:rPr>
                <w:sz w:val="20"/>
                <w:szCs w:val="20"/>
              </w:rPr>
              <w:t>improvements to baffles</w:t>
            </w:r>
          </w:p>
        </w:tc>
      </w:tr>
    </w:tbl>
    <w:p w14:paraId="35B948EC" w14:textId="77777777" w:rsidR="00615CCF" w:rsidRDefault="00615CCF" w:rsidP="0005289D"/>
    <w:p w14:paraId="39F2FE84" w14:textId="77777777" w:rsidR="00D832C6" w:rsidRDefault="00D832C6" w:rsidP="00D832C6">
      <w:r>
        <w:t>driven by decreasing or minimum photoperiod and temperature, rather than increases in flow (i.e. an adaptation to variable inter-annual hydrology) (Reinfelds et al. 2013; Bice et al. 2018b).</w:t>
      </w:r>
      <w:r w:rsidRPr="001A1B9B">
        <w:t xml:space="preserve"> </w:t>
      </w:r>
    </w:p>
    <w:p w14:paraId="2C4F4D12" w14:textId="3366E2EA" w:rsidR="00595E9D" w:rsidRDefault="00500212" w:rsidP="00F07C8A">
      <w:r>
        <w:lastRenderedPageBreak/>
        <w:t xml:space="preserve">Of note, is that under the increased temperature regime of climate change, such temperature-related cues may be impacted in the future. Studies using acoustic telemetry on female congolli also indicated the importance of a full moon phase and photoperiod as cues for downstream migrations, and results were suggestive of semelparity (i.e. mortality after spawning) (Bice et al. 2018b). It seems that rather than triggering spawning migrations, flow is most critical for providing </w:t>
      </w:r>
      <w:r w:rsidR="00031E15">
        <w:t xml:space="preserve">the </w:t>
      </w:r>
      <w:r>
        <w:t>hydrological connectivity that enables fish to reach the ocean.</w:t>
      </w:r>
    </w:p>
    <w:p w14:paraId="774FEE51" w14:textId="246831B6" w:rsidR="00500212" w:rsidRDefault="00500212" w:rsidP="00F07C8A">
      <w:r>
        <w:t xml:space="preserve">A key driving factor behind the recent improved recruitment of congolli and common galaxias was attributed to greater </w:t>
      </w:r>
      <w:r w:rsidR="00081E3D">
        <w:t xml:space="preserve">flow-related </w:t>
      </w:r>
      <w:r>
        <w:t xml:space="preserve">connectivity between freshwater, estuarine and marine environments (Bice et al. 2021; Bice 2023). </w:t>
      </w:r>
      <w:r>
        <w:rPr>
          <w:rFonts w:eastAsia="Times New Roman" w:cs="Segoe UI"/>
          <w:shd w:val="clear" w:color="auto" w:fill="FFFFFF"/>
          <w:lang w:eastAsia="en-AU"/>
        </w:rPr>
        <w:t xml:space="preserve">Based on fishway monitoring from 2006-2022 and allied projects, Bice et al. (2023) </w:t>
      </w:r>
      <w:r>
        <w:t>recommend freshwater discharge and fishway operation should be facilitated at the barrages annually from at least June</w:t>
      </w:r>
      <w:r w:rsidR="007F776B">
        <w:t>–</w:t>
      </w:r>
      <w:r>
        <w:t>January, to allow for both downstream and upstream migrations of diadromous fish and the completion of their life-cycles (i.e. open barrage gates in winter and operable fishways with attractant flow in spring and summer). Specifically, June-January encompasses three key periods (Bice et al. 2021, 2023):</w:t>
      </w:r>
    </w:p>
    <w:p w14:paraId="50769847" w14:textId="77777777" w:rsidR="00500212" w:rsidRPr="00CF72A0" w:rsidRDefault="00500212" w:rsidP="004162AC">
      <w:pPr>
        <w:pStyle w:val="ListParagraph"/>
        <w:numPr>
          <w:ilvl w:val="0"/>
          <w:numId w:val="79"/>
        </w:numPr>
        <w:spacing w:after="120" w:line="259" w:lineRule="auto"/>
        <w:ind w:left="357" w:hanging="357"/>
        <w:contextualSpacing w:val="0"/>
      </w:pPr>
      <w:r w:rsidRPr="00CF72A0">
        <w:rPr>
          <w:rFonts w:eastAsia="Times New Roman" w:cs="Segoe UI"/>
          <w:shd w:val="clear" w:color="auto" w:fill="FFFFFF"/>
          <w:lang w:eastAsia="en-AU"/>
        </w:rPr>
        <w:t>June</w:t>
      </w:r>
      <w:r>
        <w:rPr>
          <w:rFonts w:eastAsia="Times New Roman" w:cs="Segoe UI"/>
          <w:shd w:val="clear" w:color="auto" w:fill="FFFFFF"/>
          <w:lang w:eastAsia="en-AU"/>
        </w:rPr>
        <w:t>–</w:t>
      </w:r>
      <w:r w:rsidRPr="00CF72A0">
        <w:rPr>
          <w:rFonts w:eastAsia="Times New Roman" w:cs="Segoe UI"/>
          <w:shd w:val="clear" w:color="auto" w:fill="FFFFFF"/>
          <w:lang w:eastAsia="en-AU"/>
        </w:rPr>
        <w:t>August to allow for downstream spawning migrations of congolli and common galaxias and upstream migrations of pouched lamprey</w:t>
      </w:r>
    </w:p>
    <w:p w14:paraId="70BCC98F" w14:textId="77777777" w:rsidR="00500212" w:rsidRPr="00CF72A0" w:rsidRDefault="00500212" w:rsidP="004162AC">
      <w:pPr>
        <w:pStyle w:val="ListParagraph"/>
        <w:numPr>
          <w:ilvl w:val="0"/>
          <w:numId w:val="79"/>
        </w:numPr>
        <w:spacing w:after="120" w:line="259" w:lineRule="auto"/>
        <w:ind w:left="357" w:hanging="357"/>
        <w:contextualSpacing w:val="0"/>
      </w:pPr>
      <w:r w:rsidRPr="00CF72A0">
        <w:rPr>
          <w:rFonts w:eastAsia="Times New Roman" w:cs="Segoe UI"/>
          <w:shd w:val="clear" w:color="auto" w:fill="FFFFFF"/>
          <w:lang w:eastAsia="en-AU"/>
        </w:rPr>
        <w:t>August</w:t>
      </w:r>
      <w:r>
        <w:rPr>
          <w:rFonts w:eastAsia="Times New Roman" w:cs="Segoe UI"/>
          <w:shd w:val="clear" w:color="auto" w:fill="FFFFFF"/>
          <w:lang w:eastAsia="en-AU"/>
        </w:rPr>
        <w:t>–</w:t>
      </w:r>
      <w:r w:rsidRPr="00CF72A0">
        <w:rPr>
          <w:rFonts w:eastAsia="Times New Roman" w:cs="Segoe UI"/>
          <w:shd w:val="clear" w:color="auto" w:fill="FFFFFF"/>
          <w:lang w:eastAsia="en-AU"/>
        </w:rPr>
        <w:t>November to allow for upstream migrations of short-headed lamprey, and</w:t>
      </w:r>
    </w:p>
    <w:p w14:paraId="1FFF7F16" w14:textId="5D6C7999" w:rsidR="00F07C8A" w:rsidRPr="00F65CA8" w:rsidRDefault="00500212" w:rsidP="004162AC">
      <w:pPr>
        <w:pStyle w:val="ListParagraph"/>
        <w:numPr>
          <w:ilvl w:val="0"/>
          <w:numId w:val="79"/>
        </w:numPr>
        <w:spacing w:line="259" w:lineRule="auto"/>
        <w:ind w:left="357" w:hanging="357"/>
        <w:contextualSpacing w:val="0"/>
      </w:pPr>
      <w:r w:rsidRPr="00CF72A0">
        <w:rPr>
          <w:rFonts w:eastAsia="Times New Roman" w:cs="Segoe UI"/>
          <w:shd w:val="clear" w:color="auto" w:fill="FFFFFF"/>
          <w:lang w:eastAsia="en-AU"/>
        </w:rPr>
        <w:t>October</w:t>
      </w:r>
      <w:r>
        <w:rPr>
          <w:rFonts w:eastAsia="Times New Roman" w:cs="Segoe UI"/>
          <w:shd w:val="clear" w:color="auto" w:fill="FFFFFF"/>
          <w:lang w:eastAsia="en-AU"/>
        </w:rPr>
        <w:t>–</w:t>
      </w:r>
      <w:r w:rsidRPr="00CF72A0">
        <w:rPr>
          <w:rFonts w:eastAsia="Times New Roman" w:cs="Segoe UI"/>
          <w:shd w:val="clear" w:color="auto" w:fill="FFFFFF"/>
          <w:lang w:eastAsia="en-AU"/>
        </w:rPr>
        <w:t xml:space="preserve">January to allow for the upstream migrations of juvenile congolli and common galaxias. </w:t>
      </w:r>
    </w:p>
    <w:p w14:paraId="6CD7D4F9" w14:textId="3FAAADE0" w:rsidR="001D26BA" w:rsidRDefault="00F07C8A" w:rsidP="00FB69E5">
      <w:r>
        <w:t>Given the above</w:t>
      </w:r>
      <w:r w:rsidR="00500212">
        <w:t>, it is apparent that human-intervention is required for the future viability and protection of diadromous fish</w:t>
      </w:r>
      <w:r w:rsidR="00693F81">
        <w:t xml:space="preserve"> such as the congolli</w:t>
      </w:r>
      <w:r w:rsidR="00500212">
        <w:t xml:space="preserve"> </w:t>
      </w:r>
      <w:r w:rsidR="005E6585">
        <w:t>with</w:t>
      </w:r>
      <w:r w:rsidR="00500212">
        <w:t xml:space="preserve">in the ecological community, which remain highly vulnerable into the future. This </w:t>
      </w:r>
      <w:r w:rsidR="005E6585">
        <w:t xml:space="preserve">is </w:t>
      </w:r>
      <w:r w:rsidR="00500212">
        <w:t>particularly the case</w:t>
      </w:r>
      <w:r w:rsidR="005E6585">
        <w:t xml:space="preserve"> given the likelihood of</w:t>
      </w:r>
      <w:r w:rsidR="00500212">
        <w:t xml:space="preserve"> </w:t>
      </w:r>
      <w:r w:rsidR="005E6585">
        <w:t xml:space="preserve">future </w:t>
      </w:r>
      <w:r w:rsidR="00500212">
        <w:t>extreme drought conditions, where the barrages and fishways may not be optimal or operable</w:t>
      </w:r>
      <w:r w:rsidR="00E9044E">
        <w:t xml:space="preserve"> for long periods</w:t>
      </w:r>
      <w:r w:rsidR="00500212">
        <w:t xml:space="preserve">, combined with increasing temperatures under climate change which may impact cues for spawning migrations. </w:t>
      </w:r>
    </w:p>
    <w:p w14:paraId="5EE71404" w14:textId="77777777" w:rsidR="00C0254D" w:rsidRDefault="00C0254D" w:rsidP="00C0254D">
      <w:r>
        <w:t>Overall</w:t>
      </w:r>
      <w:r w:rsidRPr="00E13E7B">
        <w:t>, there have been s</w:t>
      </w:r>
      <w:r>
        <w:t>ubstantial</w:t>
      </w:r>
      <w:r w:rsidRPr="00E13E7B">
        <w:t xml:space="preserve"> declines in </w:t>
      </w:r>
      <w:r>
        <w:t>congolli</w:t>
      </w:r>
      <w:r w:rsidRPr="00E13E7B">
        <w:t xml:space="preserve"> and it is not </w:t>
      </w:r>
      <w:r>
        <w:t xml:space="preserve">likely to be </w:t>
      </w:r>
      <w:r w:rsidRPr="00E13E7B">
        <w:t xml:space="preserve">possible to restore </w:t>
      </w:r>
      <w:r>
        <w:t>to normal the major functional role it plays in the ecological community in the immediate future.</w:t>
      </w:r>
    </w:p>
    <w:p w14:paraId="1D6FA3AE" w14:textId="77777777" w:rsidR="00C0254D" w:rsidRDefault="00C0254D" w:rsidP="00FB69E5"/>
    <w:tbl>
      <w:tblPr>
        <w:tblStyle w:val="TableGrid"/>
        <w:tblW w:w="0" w:type="auto"/>
        <w:tblLook w:val="04A0" w:firstRow="1" w:lastRow="0" w:firstColumn="1" w:lastColumn="0" w:noHBand="0" w:noVBand="1"/>
      </w:tblPr>
      <w:tblGrid>
        <w:gridCol w:w="9060"/>
      </w:tblGrid>
      <w:tr w:rsidR="00DF679E" w14:paraId="6070E2A2" w14:textId="77777777" w:rsidTr="00DF679E">
        <w:tc>
          <w:tcPr>
            <w:tcW w:w="9174" w:type="dxa"/>
            <w:shd w:val="clear" w:color="auto" w:fill="FFF2CC" w:themeFill="accent4" w:themeFillTint="33"/>
          </w:tcPr>
          <w:p w14:paraId="005D2E16" w14:textId="77777777" w:rsidR="00DF679E" w:rsidRPr="00DF679E" w:rsidRDefault="00DF679E" w:rsidP="00FB69E5">
            <w:pPr>
              <w:rPr>
                <w:i/>
                <w:iCs/>
              </w:rPr>
            </w:pPr>
            <w:r w:rsidRPr="00DF679E">
              <w:rPr>
                <w:i/>
                <w:iCs/>
              </w:rPr>
              <w:t>Question</w:t>
            </w:r>
          </w:p>
          <w:p w14:paraId="4A0C99B0" w14:textId="2465663A" w:rsidR="00DF679E" w:rsidRDefault="0027572F" w:rsidP="00FB69E5">
            <w:r>
              <w:rPr>
                <w:i/>
                <w:iCs/>
              </w:rPr>
              <w:t>Can you provide feedback on the congolli section, particularly in relation to any more recent survey data and long-term trends on the species and broader impacts, and on any results of recent recovery efforts?</w:t>
            </w:r>
          </w:p>
        </w:tc>
      </w:tr>
    </w:tbl>
    <w:p w14:paraId="3348E7B8" w14:textId="77777777" w:rsidR="00DF679E" w:rsidRDefault="00DF679E" w:rsidP="00FB69E5"/>
    <w:p w14:paraId="546A2495" w14:textId="77777777" w:rsidR="003019BC" w:rsidRDefault="003019BC">
      <w:pPr>
        <w:spacing w:after="160" w:line="259" w:lineRule="auto"/>
        <w:rPr>
          <w:rFonts w:asciiTheme="minorHAnsi" w:eastAsiaTheme="majorEastAsia" w:hAnsiTheme="minorHAnsi" w:cs="Arial"/>
          <w:b/>
          <w:i/>
          <w:iCs/>
          <w:smallCaps/>
          <w:szCs w:val="24"/>
          <w:lang w:val="en-US"/>
        </w:rPr>
      </w:pPr>
      <w:r>
        <w:br w:type="page"/>
      </w:r>
    </w:p>
    <w:p w14:paraId="0BFEFE44" w14:textId="14D542A3" w:rsidR="00FB69E5" w:rsidRPr="009A45CA" w:rsidRDefault="00893E9F" w:rsidP="006E2204">
      <w:pPr>
        <w:pStyle w:val="Heading4"/>
        <w:rPr>
          <w:color w:val="FF0000"/>
        </w:rPr>
      </w:pPr>
      <w:r w:rsidRPr="009A45CA">
        <w:lastRenderedPageBreak/>
        <w:t xml:space="preserve">Keystone Floodplain Wetland Ecological Specialists – Suite of Small-bodied Fish </w:t>
      </w:r>
    </w:p>
    <w:tbl>
      <w:tblPr>
        <w:tblStyle w:val="TableGrid"/>
        <w:tblW w:w="0" w:type="auto"/>
        <w:tblLook w:val="04A0" w:firstRow="1" w:lastRow="0" w:firstColumn="1" w:lastColumn="0" w:noHBand="0" w:noVBand="1"/>
      </w:tblPr>
      <w:tblGrid>
        <w:gridCol w:w="9060"/>
      </w:tblGrid>
      <w:tr w:rsidR="00CF563C" w14:paraId="47E67616" w14:textId="77777777" w:rsidTr="001D26BA">
        <w:tc>
          <w:tcPr>
            <w:tcW w:w="9174" w:type="dxa"/>
            <w:shd w:val="clear" w:color="auto" w:fill="DEEAF6" w:themeFill="accent1" w:themeFillTint="33"/>
          </w:tcPr>
          <w:p w14:paraId="1E022050" w14:textId="684DF884" w:rsidR="009A45CA" w:rsidRPr="00AF1FC4" w:rsidRDefault="009A45CA" w:rsidP="009A45CA">
            <w:pPr>
              <w:rPr>
                <w:b/>
                <w:iCs/>
              </w:rPr>
            </w:pPr>
            <w:r w:rsidRPr="00AF1FC4">
              <w:rPr>
                <w:b/>
                <w:iCs/>
              </w:rPr>
              <w:t>Suite of Small-bodied Fish</w:t>
            </w:r>
            <w:r>
              <w:rPr>
                <w:b/>
                <w:iCs/>
              </w:rPr>
              <w:t xml:space="preserve"> </w:t>
            </w:r>
          </w:p>
          <w:p w14:paraId="529E4FF0" w14:textId="77777777" w:rsidR="009A45CA" w:rsidRPr="00AF1FC4" w:rsidRDefault="009A45CA" w:rsidP="004162AC">
            <w:pPr>
              <w:pStyle w:val="ListParagraph"/>
              <w:numPr>
                <w:ilvl w:val="0"/>
                <w:numId w:val="80"/>
              </w:numPr>
              <w:spacing w:after="80"/>
              <w:ind w:left="357" w:hanging="357"/>
              <w:contextualSpacing w:val="0"/>
              <w:rPr>
                <w:b/>
                <w:iCs/>
              </w:rPr>
            </w:pPr>
            <w:r w:rsidRPr="00AF1FC4">
              <w:rPr>
                <w:b/>
                <w:iCs/>
              </w:rPr>
              <w:t xml:space="preserve">Olive perchlet </w:t>
            </w:r>
            <w:r w:rsidRPr="00AF1FC4">
              <w:rPr>
                <w:bCs/>
                <w:iCs/>
              </w:rPr>
              <w:t>(</w:t>
            </w:r>
            <w:r w:rsidRPr="00AF1FC4">
              <w:rPr>
                <w:bCs/>
                <w:i/>
              </w:rPr>
              <w:t>Ambassis agassizii</w:t>
            </w:r>
            <w:r w:rsidRPr="00AF1FC4">
              <w:rPr>
                <w:bCs/>
                <w:iCs/>
              </w:rPr>
              <w:t xml:space="preserve">) </w:t>
            </w:r>
            <w:r>
              <w:rPr>
                <w:bCs/>
                <w:iCs/>
              </w:rPr>
              <w:t>–</w:t>
            </w:r>
            <w:r w:rsidRPr="00AF1FC4">
              <w:rPr>
                <w:bCs/>
                <w:iCs/>
              </w:rPr>
              <w:t xml:space="preserve"> </w:t>
            </w:r>
            <w:r>
              <w:rPr>
                <w:bCs/>
                <w:iCs/>
              </w:rPr>
              <w:t xml:space="preserve">Extirpated </w:t>
            </w:r>
          </w:p>
          <w:p w14:paraId="1E6D90D7" w14:textId="77777777" w:rsidR="009A45CA" w:rsidRPr="00AF1FC4" w:rsidRDefault="009A45CA" w:rsidP="004162AC">
            <w:pPr>
              <w:pStyle w:val="ListParagraph"/>
              <w:numPr>
                <w:ilvl w:val="0"/>
                <w:numId w:val="80"/>
              </w:numPr>
              <w:spacing w:after="80"/>
              <w:ind w:left="357" w:hanging="357"/>
              <w:contextualSpacing w:val="0"/>
              <w:rPr>
                <w:b/>
                <w:iCs/>
              </w:rPr>
            </w:pPr>
            <w:r w:rsidRPr="00AF1FC4">
              <w:rPr>
                <w:b/>
                <w:iCs/>
              </w:rPr>
              <w:t xml:space="preserve">Flat-headed galaxias </w:t>
            </w:r>
            <w:r w:rsidRPr="00AF1FC4">
              <w:rPr>
                <w:bCs/>
                <w:iCs/>
              </w:rPr>
              <w:t>(</w:t>
            </w:r>
            <w:r w:rsidRPr="00AF1FC4">
              <w:rPr>
                <w:bCs/>
                <w:i/>
              </w:rPr>
              <w:t>Galaxias rostratus</w:t>
            </w:r>
            <w:r w:rsidRPr="00AF1FC4">
              <w:rPr>
                <w:bCs/>
                <w:iCs/>
              </w:rPr>
              <w:t>) - Extirpated</w:t>
            </w:r>
          </w:p>
          <w:p w14:paraId="6C5A5C19" w14:textId="5A6A8C0A" w:rsidR="009A45CA" w:rsidRPr="00AF1FC4" w:rsidRDefault="009A45CA" w:rsidP="004162AC">
            <w:pPr>
              <w:pStyle w:val="ListParagraph"/>
              <w:numPr>
                <w:ilvl w:val="0"/>
                <w:numId w:val="80"/>
              </w:numPr>
              <w:spacing w:after="80"/>
              <w:ind w:left="357" w:hanging="357"/>
              <w:contextualSpacing w:val="0"/>
              <w:rPr>
                <w:b/>
                <w:iCs/>
              </w:rPr>
            </w:pPr>
            <w:r w:rsidRPr="00AF1FC4">
              <w:rPr>
                <w:b/>
                <w:iCs/>
              </w:rPr>
              <w:t xml:space="preserve">Yarra pygmy perch </w:t>
            </w:r>
            <w:r w:rsidRPr="00AF1FC4">
              <w:rPr>
                <w:bCs/>
                <w:iCs/>
              </w:rPr>
              <w:t>(</w:t>
            </w:r>
            <w:r w:rsidRPr="00AF1FC4">
              <w:rPr>
                <w:bCs/>
                <w:i/>
              </w:rPr>
              <w:t>Nannoperca obscura</w:t>
            </w:r>
            <w:r w:rsidRPr="00AF1FC4">
              <w:rPr>
                <w:bCs/>
                <w:iCs/>
              </w:rPr>
              <w:t>)</w:t>
            </w:r>
            <w:r>
              <w:rPr>
                <w:bCs/>
                <w:iCs/>
              </w:rPr>
              <w:t xml:space="preserve"> –</w:t>
            </w:r>
            <w:r w:rsidRPr="00AF1FC4">
              <w:rPr>
                <w:bCs/>
                <w:iCs/>
              </w:rPr>
              <w:t xml:space="preserve"> Exti</w:t>
            </w:r>
            <w:r>
              <w:rPr>
                <w:bCs/>
                <w:iCs/>
              </w:rPr>
              <w:t xml:space="preserve">nct (unique </w:t>
            </w:r>
            <w:r w:rsidR="00DA6766">
              <w:rPr>
                <w:bCs/>
                <w:iCs/>
              </w:rPr>
              <w:t xml:space="preserve">genetic lineage </w:t>
            </w:r>
            <w:r>
              <w:rPr>
                <w:bCs/>
                <w:iCs/>
              </w:rPr>
              <w:t>in MDB)</w:t>
            </w:r>
          </w:p>
          <w:p w14:paraId="618C1CAC" w14:textId="61BE6880" w:rsidR="009A45CA" w:rsidRPr="00AF1FC4" w:rsidRDefault="009A45CA" w:rsidP="004162AC">
            <w:pPr>
              <w:pStyle w:val="ListParagraph"/>
              <w:numPr>
                <w:ilvl w:val="0"/>
                <w:numId w:val="80"/>
              </w:numPr>
              <w:spacing w:after="80"/>
              <w:ind w:left="357" w:hanging="357"/>
              <w:contextualSpacing w:val="0"/>
              <w:rPr>
                <w:b/>
                <w:iCs/>
              </w:rPr>
            </w:pPr>
            <w:r w:rsidRPr="00AF1FC4">
              <w:rPr>
                <w:b/>
                <w:iCs/>
              </w:rPr>
              <w:t xml:space="preserve">Southern pygmy perch </w:t>
            </w:r>
            <w:r w:rsidRPr="00AF1FC4">
              <w:rPr>
                <w:bCs/>
                <w:iCs/>
              </w:rPr>
              <w:t>(</w:t>
            </w:r>
            <w:r w:rsidRPr="00AF1FC4">
              <w:rPr>
                <w:bCs/>
                <w:i/>
              </w:rPr>
              <w:t>Nannoperca australis</w:t>
            </w:r>
            <w:r w:rsidRPr="00AF1FC4">
              <w:rPr>
                <w:bCs/>
                <w:iCs/>
              </w:rPr>
              <w:t>)</w:t>
            </w:r>
            <w:r w:rsidRPr="00AF1FC4">
              <w:rPr>
                <w:b/>
                <w:iCs/>
              </w:rPr>
              <w:t xml:space="preserve"> –</w:t>
            </w:r>
            <w:r w:rsidRPr="007548F1">
              <w:rPr>
                <w:bCs/>
                <w:iCs/>
              </w:rPr>
              <w:t xml:space="preserve"> </w:t>
            </w:r>
            <w:r w:rsidR="007548F1" w:rsidRPr="007548F1">
              <w:rPr>
                <w:bCs/>
                <w:iCs/>
              </w:rPr>
              <w:t>unique</w:t>
            </w:r>
            <w:r w:rsidR="007548F1">
              <w:rPr>
                <w:b/>
                <w:iCs/>
              </w:rPr>
              <w:t xml:space="preserve"> </w:t>
            </w:r>
            <w:r w:rsidRPr="00AF1FC4">
              <w:rPr>
                <w:bCs/>
                <w:iCs/>
              </w:rPr>
              <w:t>genetic</w:t>
            </w:r>
            <w:r w:rsidR="007548F1">
              <w:rPr>
                <w:bCs/>
                <w:iCs/>
              </w:rPr>
              <w:t xml:space="preserve"> lineage </w:t>
            </w:r>
            <w:r w:rsidRPr="00AF1FC4">
              <w:rPr>
                <w:bCs/>
                <w:iCs/>
              </w:rPr>
              <w:t>in MDB</w:t>
            </w:r>
          </w:p>
          <w:p w14:paraId="5734DA69" w14:textId="77777777" w:rsidR="009A45CA" w:rsidRPr="00AF1FC4" w:rsidRDefault="009A45CA" w:rsidP="004162AC">
            <w:pPr>
              <w:pStyle w:val="ListParagraph"/>
              <w:numPr>
                <w:ilvl w:val="0"/>
                <w:numId w:val="80"/>
              </w:numPr>
              <w:spacing w:after="80"/>
              <w:ind w:left="357" w:hanging="357"/>
              <w:contextualSpacing w:val="0"/>
              <w:rPr>
                <w:b/>
                <w:iCs/>
              </w:rPr>
            </w:pPr>
            <w:r w:rsidRPr="00AF1FC4">
              <w:rPr>
                <w:b/>
                <w:iCs/>
              </w:rPr>
              <w:t xml:space="preserve">Murray hardyhead </w:t>
            </w:r>
            <w:r w:rsidRPr="00AF1FC4">
              <w:rPr>
                <w:bCs/>
                <w:iCs/>
              </w:rPr>
              <w:t>(</w:t>
            </w:r>
            <w:r w:rsidRPr="00AF1FC4">
              <w:rPr>
                <w:bCs/>
                <w:i/>
              </w:rPr>
              <w:t>Craterocephalus fluviatilis</w:t>
            </w:r>
            <w:r w:rsidRPr="00AF1FC4">
              <w:rPr>
                <w:bCs/>
                <w:iCs/>
              </w:rPr>
              <w:t xml:space="preserve">) </w:t>
            </w:r>
          </w:p>
          <w:p w14:paraId="21ABC583" w14:textId="42D26739" w:rsidR="009A45CA" w:rsidRPr="00AF1FC4" w:rsidRDefault="009A45CA" w:rsidP="004162AC">
            <w:pPr>
              <w:pStyle w:val="ListParagraph"/>
              <w:numPr>
                <w:ilvl w:val="0"/>
                <w:numId w:val="80"/>
              </w:numPr>
              <w:spacing w:after="120"/>
              <w:ind w:left="357" w:hanging="357"/>
              <w:contextualSpacing w:val="0"/>
              <w:rPr>
                <w:b/>
                <w:iCs/>
              </w:rPr>
            </w:pPr>
            <w:r w:rsidRPr="00AF1FC4">
              <w:rPr>
                <w:b/>
                <w:iCs/>
              </w:rPr>
              <w:t xml:space="preserve">Southern </w:t>
            </w:r>
            <w:r w:rsidR="00667270">
              <w:rPr>
                <w:b/>
                <w:iCs/>
              </w:rPr>
              <w:t>p</w:t>
            </w:r>
            <w:r w:rsidRPr="00AF1FC4">
              <w:rPr>
                <w:b/>
                <w:iCs/>
              </w:rPr>
              <w:t xml:space="preserve">urple-spotted gudgeon </w:t>
            </w:r>
            <w:r w:rsidRPr="00AF1FC4">
              <w:rPr>
                <w:bCs/>
                <w:iCs/>
              </w:rPr>
              <w:t>(</w:t>
            </w:r>
            <w:r w:rsidRPr="00AF1FC4">
              <w:rPr>
                <w:bCs/>
                <w:i/>
              </w:rPr>
              <w:t>Mogurnda adspersa</w:t>
            </w:r>
            <w:r w:rsidRPr="00AF1FC4">
              <w:rPr>
                <w:bCs/>
                <w:iCs/>
              </w:rPr>
              <w:t>)</w:t>
            </w:r>
          </w:p>
          <w:p w14:paraId="55C5047C" w14:textId="77777777" w:rsidR="009A45CA" w:rsidRPr="00AF1FC4" w:rsidRDefault="009A45CA" w:rsidP="006D76F2">
            <w:pPr>
              <w:spacing w:after="120"/>
            </w:pPr>
            <w:r w:rsidRPr="00AF1FC4">
              <w:rPr>
                <w:b/>
                <w:i/>
              </w:rPr>
              <w:t xml:space="preserve">Key functional role:  </w:t>
            </w:r>
            <w:r w:rsidRPr="00AF1FC4">
              <w:rPr>
                <w:bCs/>
                <w:iCs/>
              </w:rPr>
              <w:t>convert resources at base of food chain (e.g. plant detritus, epiphytes, zooplankton); nutrient recycling; prey for higher-order native predators</w:t>
            </w:r>
            <w:r>
              <w:rPr>
                <w:bCs/>
                <w:iCs/>
              </w:rPr>
              <w:t>, e.g. fish, birds</w:t>
            </w:r>
            <w:r w:rsidRPr="00AF1FC4">
              <w:rPr>
                <w:bCs/>
                <w:iCs/>
              </w:rPr>
              <w:t xml:space="preserve"> </w:t>
            </w:r>
          </w:p>
          <w:p w14:paraId="0249F758" w14:textId="77777777" w:rsidR="009A45CA" w:rsidRPr="00AF1FC4" w:rsidRDefault="009A45CA" w:rsidP="009A45CA">
            <w:pPr>
              <w:spacing w:after="120"/>
            </w:pPr>
            <w:r w:rsidRPr="00AF1FC4">
              <w:rPr>
                <w:b/>
                <w:i/>
              </w:rPr>
              <w:t>Key vulnerabilities:</w:t>
            </w:r>
            <w:r w:rsidRPr="00AF1FC4">
              <w:t xml:space="preserve"> limited dispersal ability; short </w:t>
            </w:r>
            <w:r>
              <w:t>life-span</w:t>
            </w:r>
            <w:r w:rsidRPr="00AF1FC4">
              <w:t xml:space="preserve">; small </w:t>
            </w:r>
            <w:r>
              <w:t xml:space="preserve">distribution </w:t>
            </w:r>
            <w:r w:rsidRPr="00AF1FC4">
              <w:t xml:space="preserve">ranges; </w:t>
            </w:r>
            <w:r w:rsidRPr="00AF1FC4">
              <w:rPr>
                <w:bCs/>
                <w:iCs/>
              </w:rPr>
              <w:t xml:space="preserve">dependent on specific habitats (e.g. feathery macrophytes) and hydrology (slow flow, water level variability); </w:t>
            </w:r>
            <w:r>
              <w:rPr>
                <w:bCs/>
                <w:iCs/>
              </w:rPr>
              <w:t xml:space="preserve">increased </w:t>
            </w:r>
            <w:r w:rsidRPr="00AF1FC4">
              <w:rPr>
                <w:bCs/>
                <w:iCs/>
              </w:rPr>
              <w:t xml:space="preserve">salinity for some species </w:t>
            </w:r>
            <w:r w:rsidRPr="00AF1FC4">
              <w:t xml:space="preserve">(&amp; see </w:t>
            </w:r>
            <w:r w:rsidRPr="00922975">
              <w:rPr>
                <w:u w:val="single"/>
              </w:rPr>
              <w:t>Table 1</w:t>
            </w:r>
            <w:r>
              <w:rPr>
                <w:u w:val="single"/>
              </w:rPr>
              <w:t>7</w:t>
            </w:r>
            <w:r w:rsidRPr="00AF1FC4">
              <w:t xml:space="preserve">) </w:t>
            </w:r>
          </w:p>
          <w:p w14:paraId="6AA2ACD4" w14:textId="54D17717" w:rsidR="009A45CA" w:rsidRPr="00AF1FC4" w:rsidRDefault="009A45CA" w:rsidP="009A45CA">
            <w:pPr>
              <w:spacing w:after="120"/>
            </w:pPr>
            <w:r w:rsidRPr="00AF1FC4">
              <w:rPr>
                <w:b/>
                <w:i/>
              </w:rPr>
              <w:t>Key impacts</w:t>
            </w:r>
            <w:r w:rsidR="00F7203F">
              <w:rPr>
                <w:b/>
                <w:i/>
              </w:rPr>
              <w:t xml:space="preserve"> on species</w:t>
            </w:r>
            <w:r w:rsidRPr="00AF1FC4">
              <w:rPr>
                <w:b/>
                <w:i/>
              </w:rPr>
              <w:t xml:space="preserve">:  </w:t>
            </w:r>
            <w:r w:rsidRPr="00AF1FC4">
              <w:t>decline in abundance and range/ local extinction (extirpation)</w:t>
            </w:r>
            <w:r>
              <w:t>/ extinction</w:t>
            </w:r>
          </w:p>
          <w:p w14:paraId="7DCD3441" w14:textId="77777777" w:rsidR="009A45CA" w:rsidRPr="00AF1FC4" w:rsidRDefault="009A45CA" w:rsidP="009A45CA">
            <w:pPr>
              <w:spacing w:after="120"/>
            </w:pPr>
            <w:r w:rsidRPr="00AF1FC4">
              <w:rPr>
                <w:b/>
                <w:i/>
              </w:rPr>
              <w:t xml:space="preserve">Likely causes (threats):  </w:t>
            </w:r>
            <w:r w:rsidRPr="00545DC4">
              <w:rPr>
                <w:bCs/>
                <w:iCs/>
              </w:rPr>
              <w:t>long-term &amp; extensive</w:t>
            </w:r>
            <w:r>
              <w:rPr>
                <w:b/>
                <w:i/>
              </w:rPr>
              <w:t xml:space="preserve"> </w:t>
            </w:r>
            <w:r w:rsidRPr="00AF1FC4">
              <w:rPr>
                <w:bCs/>
                <w:iCs/>
              </w:rPr>
              <w:t xml:space="preserve">river regulation; </w:t>
            </w:r>
            <w:r w:rsidRPr="00AF1FC4">
              <w:t xml:space="preserve">decreased flow volume; </w:t>
            </w:r>
            <w:r>
              <w:t xml:space="preserve">inappropriate water levels; </w:t>
            </w:r>
            <w:r w:rsidRPr="00AF1FC4">
              <w:t xml:space="preserve">reduced water quality; </w:t>
            </w:r>
            <w:r>
              <w:t xml:space="preserve">floodplain wetland </w:t>
            </w:r>
            <w:r w:rsidRPr="00AF1FC4">
              <w:t xml:space="preserve">habitat loss; </w:t>
            </w:r>
            <w:r>
              <w:t xml:space="preserve">impacts from invasive fish; </w:t>
            </w:r>
            <w:r w:rsidRPr="00AF1FC4">
              <w:t xml:space="preserve">sedimentation; over-exploitation; </w:t>
            </w:r>
            <w:r>
              <w:t xml:space="preserve">severe </w:t>
            </w:r>
            <w:r w:rsidRPr="00AF1FC4">
              <w:t xml:space="preserve">drought; climate change </w:t>
            </w:r>
          </w:p>
          <w:p w14:paraId="445AA064" w14:textId="2C40A592" w:rsidR="009A45CA" w:rsidRPr="00AF1FC4" w:rsidRDefault="009A45CA" w:rsidP="009A45CA">
            <w:pPr>
              <w:spacing w:after="120"/>
            </w:pPr>
            <w:r w:rsidRPr="00AF1FC4">
              <w:rPr>
                <w:b/>
                <w:i/>
              </w:rPr>
              <w:t>Key impacts on EC:</w:t>
            </w:r>
            <w:r w:rsidRPr="00AF1FC4">
              <w:t xml:space="preserve">  foodweb (trophic) impacts/ loss of food source and productivity transfer; reduced nutrient cycling and transfer; loss of biodiversity</w:t>
            </w:r>
            <w:r w:rsidR="00F7203F">
              <w:t>; climate change impacts exacerbated (e.g. heat, drying, flood impacts)</w:t>
            </w:r>
          </w:p>
          <w:p w14:paraId="028BCA8F" w14:textId="63C8030E" w:rsidR="00CF563C" w:rsidRPr="006F4BC3" w:rsidRDefault="009A45CA" w:rsidP="009A45CA">
            <w:r>
              <w:rPr>
                <w:b/>
                <w:i/>
              </w:rPr>
              <w:t>Overall i</w:t>
            </w:r>
            <w:r w:rsidRPr="00AF1FC4">
              <w:rPr>
                <w:b/>
                <w:i/>
              </w:rPr>
              <w:t>ndicative conservation status within the EC</w:t>
            </w:r>
            <w:r>
              <w:rPr>
                <w:b/>
                <w:i/>
              </w:rPr>
              <w:t xml:space="preserve"> for C3</w:t>
            </w:r>
            <w:r w:rsidRPr="00AF1FC4">
              <w:rPr>
                <w:b/>
                <w:i/>
              </w:rPr>
              <w:t>:</w:t>
            </w:r>
            <w:r w:rsidRPr="00AF1FC4">
              <w:t xml:space="preserve">  Critically Endangered</w:t>
            </w:r>
          </w:p>
        </w:tc>
      </w:tr>
    </w:tbl>
    <w:p w14:paraId="546A6BBF" w14:textId="77777777" w:rsidR="00CF563C" w:rsidRDefault="00CF563C" w:rsidP="00CF563C">
      <w:pPr>
        <w:spacing w:after="120"/>
        <w:rPr>
          <w:b/>
          <w:iCs/>
        </w:rPr>
      </w:pPr>
    </w:p>
    <w:p w14:paraId="6B6A73B0" w14:textId="77777777" w:rsidR="00771636" w:rsidRPr="00C17D01" w:rsidRDefault="00771636" w:rsidP="00A2521C">
      <w:pPr>
        <w:pStyle w:val="Heading5"/>
      </w:pPr>
      <w:r w:rsidRPr="00C17D01">
        <w:t>Overview</w:t>
      </w:r>
    </w:p>
    <w:p w14:paraId="0A466980" w14:textId="1DBEE192" w:rsidR="006F2929" w:rsidRDefault="00771636" w:rsidP="006F2929">
      <w:r w:rsidRPr="00A95810">
        <w:t xml:space="preserve">Ecological specialists </w:t>
      </w:r>
      <w:r w:rsidR="00423CB9">
        <w:t xml:space="preserve">are </w:t>
      </w:r>
      <w:r w:rsidRPr="00A95810">
        <w:t xml:space="preserve">species with specific habitat requirements or a dependence on particular aspects of the natural flow regime; </w:t>
      </w:r>
      <w:r w:rsidR="009433E2">
        <w:t xml:space="preserve">globally, </w:t>
      </w:r>
      <w:r w:rsidRPr="00A95810">
        <w:t xml:space="preserve">they make up approximately two-thirds of the </w:t>
      </w:r>
      <w:r w:rsidR="00EC4854">
        <w:t xml:space="preserve">freshwater </w:t>
      </w:r>
      <w:r w:rsidRPr="00A95810">
        <w:t>fish species threatened with extinction (Galat &amp; Zweimuller 2001 in Wedderburn et al. 2014). The suite of small-bodied native fish</w:t>
      </w:r>
      <w:r>
        <w:t xml:space="preserve"> </w:t>
      </w:r>
      <w:r w:rsidR="005F39B7">
        <w:t>considered here</w:t>
      </w:r>
      <w:r w:rsidRPr="00A95810">
        <w:t xml:space="preserve">, sometimes referred to as ‘the Magnificent Six’ (Lovett 2019), is comprised of </w:t>
      </w:r>
      <w:r w:rsidR="005F39B7">
        <w:t xml:space="preserve">six </w:t>
      </w:r>
      <w:r w:rsidRPr="00A95810">
        <w:t>‘ecological specialists’, adapted to ephemeral wetlands with natural flow regimes</w:t>
      </w:r>
      <w:r>
        <w:t xml:space="preserve"> within the ecological community</w:t>
      </w:r>
      <w:r w:rsidRPr="00A95810">
        <w:t xml:space="preserve"> (</w:t>
      </w:r>
      <w:r w:rsidR="005F39B7">
        <w:t xml:space="preserve">i.e. as </w:t>
      </w:r>
      <w:r w:rsidR="00154072">
        <w:t xml:space="preserve">in box </w:t>
      </w:r>
      <w:r w:rsidR="005F39B7">
        <w:t xml:space="preserve">above, </w:t>
      </w:r>
      <w:r w:rsidRPr="00A95810">
        <w:t>We</w:t>
      </w:r>
      <w:r>
        <w:t>d</w:t>
      </w:r>
      <w:r w:rsidRPr="00A95810">
        <w:t>derburn et al. 2012, 2014</w:t>
      </w:r>
      <w:r w:rsidR="005A7936">
        <w:t>; Whiterod 2019</w:t>
      </w:r>
      <w:r w:rsidRPr="00A95810">
        <w:t xml:space="preserve">). </w:t>
      </w:r>
    </w:p>
    <w:p w14:paraId="07BFE86C" w14:textId="5299DE07" w:rsidR="00771636" w:rsidRPr="00A95810" w:rsidRDefault="00771636" w:rsidP="00C41473">
      <w:r>
        <w:t>The</w:t>
      </w:r>
      <w:r w:rsidR="005F39B7">
        <w:t>se</w:t>
      </w:r>
      <w:r>
        <w:t xml:space="preserve"> six species of small-bodied fish were o</w:t>
      </w:r>
      <w:r w:rsidRPr="00A95810">
        <w:t xml:space="preserve">nce widespread throughout the ecological community, </w:t>
      </w:r>
      <w:r>
        <w:t xml:space="preserve">however </w:t>
      </w:r>
      <w:r w:rsidRPr="00A95810">
        <w:t>historical declines from river regulation and a range of other threats (see box</w:t>
      </w:r>
      <w:r w:rsidR="00154072">
        <w:t xml:space="preserve"> above</w:t>
      </w:r>
      <w:r w:rsidRPr="00A95810">
        <w:t>) were exacerbated by the prolonged Millennium Drought (1997–2010). Th</w:t>
      </w:r>
      <w:r>
        <w:t>e</w:t>
      </w:r>
      <w:r w:rsidRPr="00A95810">
        <w:t xml:space="preserve"> prolonged drought heavily impacted freshwater habitats—including dramatic lowering of wetland water levels and loss of macrophytes, particularly the Lower Lakes and adjacent wetlands</w:t>
      </w:r>
      <w:r>
        <w:t xml:space="preserve"> </w:t>
      </w:r>
      <w:r w:rsidRPr="00A95810">
        <w:t>(e.g. Hammer et al. 2009, 2013; Wedderburn et al. 2017, 2022</w:t>
      </w:r>
      <w:r w:rsidR="005A7936">
        <w:t>; Whiterod 2019</w:t>
      </w:r>
      <w:r w:rsidRPr="00A95810">
        <w:t>). There is growing evidence that prolonged drought exacerbate</w:t>
      </w:r>
      <w:r w:rsidR="005A7936">
        <w:t>s</w:t>
      </w:r>
      <w:r w:rsidRPr="00A95810">
        <w:t xml:space="preserve"> the impacts on freshwater fishes from river regulation and over-extraction of water (e.g. habitat disconnection, salinisation, drying etc.) to cause regional extinctions of ecological specialists (Wedderburn et al. 2012, 2014</w:t>
      </w:r>
      <w:r w:rsidR="00DF3A3F">
        <w:t>, 2020, 2023</w:t>
      </w:r>
      <w:r w:rsidR="005A7936">
        <w:t xml:space="preserve">; Whiterod et al. </w:t>
      </w:r>
      <w:r w:rsidR="00DF3A3F">
        <w:t>2021</w:t>
      </w:r>
      <w:r w:rsidRPr="00A95810">
        <w:t>).</w:t>
      </w:r>
    </w:p>
    <w:p w14:paraId="68442EE7" w14:textId="1F425C46" w:rsidR="00771636" w:rsidRDefault="00771636" w:rsidP="00771636">
      <w:pPr>
        <w:rPr>
          <w:bCs/>
          <w:iCs/>
        </w:rPr>
      </w:pPr>
      <w:r>
        <w:rPr>
          <w:bCs/>
          <w:iCs/>
        </w:rPr>
        <w:lastRenderedPageBreak/>
        <w:t>Emergency conservation measures were undertaken for some species during th</w:t>
      </w:r>
      <w:r w:rsidR="00233054">
        <w:rPr>
          <w:bCs/>
          <w:iCs/>
        </w:rPr>
        <w:t>e Millennium</w:t>
      </w:r>
      <w:r>
        <w:rPr>
          <w:bCs/>
          <w:iCs/>
        </w:rPr>
        <w:t xml:space="preserve"> drought, such as rescues for temporary maintenance in refugia and captive breeding programs, with varying degrees of success (Hammer 2008, 2009; Wedderburn et al. 2017; Whiterod et al. 2019, 2021). While some recovery efforts and related research continue (Lovett 2019; Whiterod et al. 2021), three of the six species remain extirpated from the ecological community. </w:t>
      </w:r>
    </w:p>
    <w:p w14:paraId="5F2728CF" w14:textId="77777777" w:rsidR="00B44949" w:rsidRDefault="00771636" w:rsidP="00771636">
      <w:r>
        <w:rPr>
          <w:bCs/>
          <w:iCs/>
        </w:rPr>
        <w:t xml:space="preserve">Experts consider that </w:t>
      </w:r>
      <w:r>
        <w:t xml:space="preserve">the </w:t>
      </w:r>
      <w:r w:rsidRPr="006B4E7A">
        <w:t>persistence and</w:t>
      </w:r>
      <w:r>
        <w:t>/or</w:t>
      </w:r>
      <w:r w:rsidRPr="006B4E7A">
        <w:t xml:space="preserve"> meaningful recovery of th</w:t>
      </w:r>
      <w:r>
        <w:t xml:space="preserve">ese six small-bodied fish species will only be possible with </w:t>
      </w:r>
      <w:r w:rsidRPr="006B4E7A">
        <w:t xml:space="preserve">active </w:t>
      </w:r>
      <w:r>
        <w:t xml:space="preserve">hydrological/species </w:t>
      </w:r>
      <w:r w:rsidRPr="006B4E7A">
        <w:t>management and reintroductions</w:t>
      </w:r>
      <w:r>
        <w:t>,</w:t>
      </w:r>
      <w:r w:rsidRPr="006B4E7A">
        <w:t xml:space="preserve"> as well as mitigation of </w:t>
      </w:r>
      <w:r>
        <w:t>invasive</w:t>
      </w:r>
      <w:r w:rsidRPr="006B4E7A">
        <w:t xml:space="preserve"> species and other prevailing threats</w:t>
      </w:r>
      <w:r>
        <w:t xml:space="preserve"> (Whiterod et al. 2021)</w:t>
      </w:r>
      <w:r w:rsidRPr="006B4E7A">
        <w:t>.</w:t>
      </w:r>
      <w:r>
        <w:t xml:space="preserve"> Further, Beheregaray et al. (2021) caution that r</w:t>
      </w:r>
      <w:r w:rsidRPr="00E53083">
        <w:t xml:space="preserve">escue for recovery is not a </w:t>
      </w:r>
      <w:r>
        <w:t>‘</w:t>
      </w:r>
      <w:r w:rsidRPr="00E53083">
        <w:t>silver bullet</w:t>
      </w:r>
      <w:r>
        <w:t>’</w:t>
      </w:r>
      <w:r w:rsidRPr="00E53083">
        <w:t xml:space="preserve"> and should not be seen as a</w:t>
      </w:r>
      <w:r>
        <w:t>n</w:t>
      </w:r>
      <w:r w:rsidRPr="00E53083">
        <w:t xml:space="preserve"> easy key management solution</w:t>
      </w:r>
      <w:r w:rsidRPr="00D92223">
        <w:t xml:space="preserve">, but rather as a supplement to long-term habitat protection and restoration. </w:t>
      </w:r>
    </w:p>
    <w:p w14:paraId="1AC8528D" w14:textId="756E8EF6" w:rsidR="00771636" w:rsidRPr="004C4ABC" w:rsidRDefault="00771636" w:rsidP="00771636">
      <w:r>
        <w:t>In addition, t</w:t>
      </w:r>
      <w:r w:rsidRPr="00AF1FC4">
        <w:t>hreatened species often show reduced genetic variation compared to non-threatened species, and this is considered indicative of lowered evolutionary potential, compromised reproductive fitness, and elevated extinction risk</w:t>
      </w:r>
      <w:r>
        <w:t xml:space="preserve"> (Sasaki et al. 2016).</w:t>
      </w:r>
      <w:r w:rsidRPr="00AF1FC4">
        <w:t xml:space="preserve"> </w:t>
      </w:r>
      <w:r w:rsidRPr="007467A1">
        <w:t>Based on improved genetic understanding of freshwater fish in the MDB, Brauer &amp;</w:t>
      </w:r>
      <w:r w:rsidRPr="0009315B">
        <w:t xml:space="preserve"> Beheregaray (2020) argue that proactive measures to reconnect </w:t>
      </w:r>
      <w:r>
        <w:t xml:space="preserve">fragmented/isolated </w:t>
      </w:r>
      <w:r w:rsidRPr="0009315B">
        <w:t xml:space="preserve">riverine populations </w:t>
      </w:r>
      <w:r w:rsidR="00B44949">
        <w:t>(</w:t>
      </w:r>
      <w:r w:rsidRPr="0009315B">
        <w:t>and subpopulations</w:t>
      </w:r>
      <w:r w:rsidR="00B44949">
        <w:t>)</w:t>
      </w:r>
      <w:r w:rsidRPr="0009315B">
        <w:t xml:space="preserve"> are urgently needed.</w:t>
      </w:r>
      <w:r>
        <w:t xml:space="preserve"> </w:t>
      </w:r>
      <w:r w:rsidRPr="00DB00F5">
        <w:t xml:space="preserve">Enabling inter-mixing will </w:t>
      </w:r>
      <w:r>
        <w:t xml:space="preserve">limit </w:t>
      </w:r>
      <w:r w:rsidRPr="00DB00F5">
        <w:t xml:space="preserve">the loss of genetic diversity through </w:t>
      </w:r>
      <w:r>
        <w:t>disturbance</w:t>
      </w:r>
      <w:r w:rsidRPr="00DB00F5">
        <w:t xml:space="preserve"> and inbreeding</w:t>
      </w:r>
      <w:r>
        <w:t xml:space="preserve"> </w:t>
      </w:r>
      <w:r w:rsidRPr="00DB00F5">
        <w:t xml:space="preserve">and improve species’ resilience to </w:t>
      </w:r>
      <w:r>
        <w:t xml:space="preserve">future </w:t>
      </w:r>
      <w:r w:rsidRPr="00DB00F5">
        <w:t>environmental challenges</w:t>
      </w:r>
      <w:r w:rsidR="007A23F9">
        <w:t xml:space="preserve"> (Brauer &amp; Beheregaray 2020</w:t>
      </w:r>
      <w:r w:rsidR="00523D2A">
        <w:t>; Marshall et al. 2021</w:t>
      </w:r>
      <w:r w:rsidR="007A23F9">
        <w:t>)</w:t>
      </w:r>
      <w:r w:rsidRPr="00DB00F5">
        <w:t>.</w:t>
      </w:r>
    </w:p>
    <w:p w14:paraId="12139DA7" w14:textId="77777777" w:rsidR="00771636" w:rsidRDefault="00771636" w:rsidP="00A2521C">
      <w:pPr>
        <w:pStyle w:val="Heading5"/>
      </w:pPr>
      <w:r>
        <w:t>Olive perchlet</w:t>
      </w:r>
    </w:p>
    <w:p w14:paraId="7336DFE3" w14:textId="389C8D9F" w:rsidR="0008370F" w:rsidRPr="0008370F" w:rsidRDefault="00771636" w:rsidP="0008370F">
      <w:pPr>
        <w:rPr>
          <w:bCs/>
          <w:iCs/>
        </w:rPr>
      </w:pPr>
      <w:r>
        <w:rPr>
          <w:bCs/>
          <w:iCs/>
        </w:rPr>
        <w:t>Olive perchlet was once widespread throughout the MDB, including</w:t>
      </w:r>
      <w:r w:rsidR="008673A4">
        <w:rPr>
          <w:bCs/>
          <w:iCs/>
        </w:rPr>
        <w:t xml:space="preserve"> within </w:t>
      </w:r>
      <w:r>
        <w:rPr>
          <w:bCs/>
          <w:iCs/>
        </w:rPr>
        <w:t>the ecological community (Hammer et al. 2009; Lintermans 2023). While captive maintenance and breeding has more recently occurred for northern MDB populations, this species remains extirpated (extinct) within the ecological community. The species was last recorded in South Australia in 1983 and in Victoria in 1922 (Whiterod et al. 2021). Attempts to establish a backup population in SA in the 1990s, failed (Hammer 2008; Whiterod et al. 2021).</w:t>
      </w:r>
    </w:p>
    <w:p w14:paraId="1B380C64" w14:textId="77777777" w:rsidR="0008370F" w:rsidRPr="00AF1FC4" w:rsidRDefault="0008370F" w:rsidP="00A2521C">
      <w:pPr>
        <w:pStyle w:val="Heading5"/>
      </w:pPr>
      <w:r w:rsidRPr="00AF1FC4">
        <w:t>Flat-headed galaxias</w:t>
      </w:r>
    </w:p>
    <w:p w14:paraId="504014CB" w14:textId="77777777" w:rsidR="0008370F" w:rsidRPr="002C6099" w:rsidRDefault="0008370F" w:rsidP="0008370F">
      <w:pPr>
        <w:rPr>
          <w:bCs/>
          <w:i/>
        </w:rPr>
      </w:pPr>
      <w:r w:rsidRPr="00AF1FC4">
        <w:rPr>
          <w:bCs/>
          <w:iCs/>
        </w:rPr>
        <w:t>The flat-headed galaxias is listed as Critically Endangered under the EPBC Act and is extinct in the wild in South Australia</w:t>
      </w:r>
      <w:r>
        <w:rPr>
          <w:bCs/>
          <w:iCs/>
        </w:rPr>
        <w:t>, i.e. extirpated</w:t>
      </w:r>
      <w:r w:rsidRPr="00AF1FC4">
        <w:rPr>
          <w:bCs/>
          <w:iCs/>
        </w:rPr>
        <w:t xml:space="preserve"> (Whiterod et al. 2021). In historical records, the species occurred as far as Murray Bridge, and substantial declines likely occurred prior to the Millennium Drought (Hammer et al. 2009). Ecological knowledge remains limited and there is a need for investment in surveys and </w:t>
      </w:r>
      <w:r w:rsidRPr="008D5C54">
        <w:rPr>
          <w:bCs/>
          <w:iCs/>
        </w:rPr>
        <w:t>establishment of backup populations (Whiterod et al. 2021).</w:t>
      </w:r>
    </w:p>
    <w:p w14:paraId="456A9FFD" w14:textId="77777777" w:rsidR="0008370F" w:rsidRDefault="0008370F" w:rsidP="00A2521C">
      <w:pPr>
        <w:pStyle w:val="Heading5"/>
      </w:pPr>
      <w:r>
        <w:t xml:space="preserve">Yarra pygmy perch (YPP – and see </w:t>
      </w:r>
      <w:r w:rsidRPr="00922975">
        <w:rPr>
          <w:u w:val="single"/>
        </w:rPr>
        <w:t>Table 31</w:t>
      </w:r>
      <w:r>
        <w:t>)</w:t>
      </w:r>
    </w:p>
    <w:p w14:paraId="26888A7F" w14:textId="77777777" w:rsidR="0008370F" w:rsidRDefault="0008370F" w:rsidP="0008370F">
      <w:pPr>
        <w:rPr>
          <w:bCs/>
          <w:iCs/>
        </w:rPr>
      </w:pPr>
      <w:r>
        <w:rPr>
          <w:bCs/>
          <w:iCs/>
        </w:rPr>
        <w:t xml:space="preserve">While Yarra pygmy perch occurs in several major catchments in south-eastern Australia, the genetically unique population in the MDB was known to only inhabit wetlands of Lake </w:t>
      </w:r>
    </w:p>
    <w:p w14:paraId="5F35FEF4" w14:textId="77777777" w:rsidR="0008370F" w:rsidRDefault="0008370F" w:rsidP="0008370F">
      <w:pPr>
        <w:rPr>
          <w:bCs/>
          <w:iCs/>
        </w:rPr>
      </w:pPr>
      <w:r>
        <w:rPr>
          <w:bCs/>
          <w:iCs/>
        </w:rPr>
        <w:t xml:space="preserve">Alexandrina at the terminus of the system. </w:t>
      </w:r>
      <w:r w:rsidRPr="00A90A34">
        <w:t>Th</w:t>
      </w:r>
      <w:r>
        <w:t>ese</w:t>
      </w:r>
      <w:r w:rsidRPr="00A90A34">
        <w:t xml:space="preserve"> YPP </w:t>
      </w:r>
      <w:r>
        <w:t>(i.e. that once occurred within the ecological community) we</w:t>
      </w:r>
      <w:r w:rsidRPr="00A90A34">
        <w:t>re an endemic lineage classified as an evolutionarily significant unit (ESU) isolated since the Pleistocene (Brauer et al. 2013).</w:t>
      </w:r>
      <w:r>
        <w:t xml:space="preserve"> </w:t>
      </w:r>
    </w:p>
    <w:p w14:paraId="72E31BD1" w14:textId="77777777" w:rsidR="00027EBD" w:rsidRDefault="00DC7390" w:rsidP="00DC7390">
      <w:pPr>
        <w:rPr>
          <w:bCs/>
          <w:iCs/>
        </w:rPr>
        <w:sectPr w:rsidR="00027EBD" w:rsidSect="00CF55ED">
          <w:pgSz w:w="11906" w:h="16838"/>
          <w:pgMar w:top="1134" w:right="1418" w:bottom="1134" w:left="1418" w:header="454" w:footer="454" w:gutter="0"/>
          <w:cols w:space="708"/>
          <w:docGrid w:linePitch="360"/>
        </w:sectPr>
      </w:pPr>
      <w:r>
        <w:rPr>
          <w:bCs/>
          <w:iCs/>
        </w:rPr>
        <w:t xml:space="preserve">YPP was last recorded in 2008 towards the end of the Millennium Drought (Wedderburn 2018; Wedderburn et al. 2012, 2014, 2019, 2022). At this time, 200 individuals were rescued for captive breeding (Hammer et al. 2013) and there have been several ‘reintroduction’ (reintro.) attempts between 2011 and 2015 (Bice et al. 2014; Wedderburn et al. 2020, 2023). However, these attempts seemingly failed, for reasons that remain unresolved—although low genetic </w:t>
      </w:r>
    </w:p>
    <w:p w14:paraId="10381894" w14:textId="02523888" w:rsidR="00B7293F" w:rsidRPr="00DC7390" w:rsidRDefault="00C41473" w:rsidP="00DC7390">
      <w:pPr>
        <w:spacing w:after="160" w:line="259" w:lineRule="auto"/>
        <w:rPr>
          <w:b/>
          <w:bCs/>
          <w:iCs/>
          <w:sz w:val="21"/>
          <w:szCs w:val="21"/>
        </w:rPr>
      </w:pPr>
      <w:r w:rsidRPr="00DC7390">
        <w:rPr>
          <w:b/>
          <w:bCs/>
          <w:sz w:val="21"/>
          <w:szCs w:val="21"/>
        </w:rPr>
        <w:lastRenderedPageBreak/>
        <w:t xml:space="preserve">Table </w:t>
      </w:r>
      <w:r w:rsidRPr="00DC7390">
        <w:rPr>
          <w:b/>
          <w:bCs/>
          <w:sz w:val="21"/>
          <w:szCs w:val="21"/>
        </w:rPr>
        <w:fldChar w:fldCharType="begin"/>
      </w:r>
      <w:r w:rsidRPr="00DC7390">
        <w:rPr>
          <w:b/>
          <w:bCs/>
          <w:sz w:val="21"/>
          <w:szCs w:val="21"/>
        </w:rPr>
        <w:instrText xml:space="preserve"> SEQ Table \* ARABIC </w:instrText>
      </w:r>
      <w:r w:rsidRPr="00DC7390">
        <w:rPr>
          <w:b/>
          <w:bCs/>
          <w:sz w:val="21"/>
          <w:szCs w:val="21"/>
        </w:rPr>
        <w:fldChar w:fldCharType="separate"/>
      </w:r>
      <w:r w:rsidR="006D35C5">
        <w:rPr>
          <w:b/>
          <w:bCs/>
          <w:noProof/>
          <w:sz w:val="21"/>
          <w:szCs w:val="21"/>
        </w:rPr>
        <w:t>31</w:t>
      </w:r>
      <w:r w:rsidRPr="00DC7390">
        <w:rPr>
          <w:b/>
          <w:bCs/>
          <w:sz w:val="21"/>
          <w:szCs w:val="21"/>
        </w:rPr>
        <w:fldChar w:fldCharType="end"/>
      </w:r>
      <w:r w:rsidR="00B7293F" w:rsidRPr="00DC7390">
        <w:rPr>
          <w:b/>
          <w:bCs/>
          <w:sz w:val="21"/>
          <w:szCs w:val="21"/>
        </w:rPr>
        <w:t>: Suite of small-bodied fish of the Lower Lakes and fringing wetlands in the RMDS EC (source: references cited in the Criterion 3 assessment of the suite of small-bodied fish).</w:t>
      </w:r>
    </w:p>
    <w:tbl>
      <w:tblPr>
        <w:tblStyle w:val="TableGrid"/>
        <w:tblW w:w="5649" w:type="pct"/>
        <w:tblInd w:w="-431" w:type="dxa"/>
        <w:tblLayout w:type="fixed"/>
        <w:tblLook w:val="04A0" w:firstRow="1" w:lastRow="0" w:firstColumn="1" w:lastColumn="0" w:noHBand="0" w:noVBand="1"/>
      </w:tblPr>
      <w:tblGrid>
        <w:gridCol w:w="1559"/>
        <w:gridCol w:w="2422"/>
        <w:gridCol w:w="2120"/>
        <w:gridCol w:w="2128"/>
        <w:gridCol w:w="2265"/>
      </w:tblGrid>
      <w:tr w:rsidR="000E3D39" w:rsidRPr="005361DC" w14:paraId="682FC24B" w14:textId="77777777" w:rsidTr="00543BB8">
        <w:trPr>
          <w:trHeight w:hRule="exact" w:val="624"/>
          <w:tblHeader/>
        </w:trPr>
        <w:tc>
          <w:tcPr>
            <w:tcW w:w="743" w:type="pct"/>
            <w:shd w:val="clear" w:color="auto" w:fill="D9E2F3" w:themeFill="accent5" w:themeFillTint="33"/>
          </w:tcPr>
          <w:p w14:paraId="0EF33146" w14:textId="77777777" w:rsidR="00F05224" w:rsidRPr="00544DD9" w:rsidRDefault="00F05224" w:rsidP="00676AFB">
            <w:pPr>
              <w:rPr>
                <w:rFonts w:cs="Times New Roman"/>
                <w:b/>
                <w:bCs/>
                <w:sz w:val="21"/>
                <w:szCs w:val="21"/>
              </w:rPr>
            </w:pPr>
            <w:r w:rsidRPr="00544DD9">
              <w:rPr>
                <w:rFonts w:cs="Times New Roman"/>
                <w:b/>
                <w:bCs/>
                <w:sz w:val="21"/>
                <w:szCs w:val="21"/>
              </w:rPr>
              <w:t>Aspect</w:t>
            </w:r>
          </w:p>
        </w:tc>
        <w:tc>
          <w:tcPr>
            <w:tcW w:w="1154" w:type="pct"/>
            <w:shd w:val="clear" w:color="auto" w:fill="D9E2F3" w:themeFill="accent5" w:themeFillTint="33"/>
          </w:tcPr>
          <w:p w14:paraId="22B5F55E" w14:textId="77777777" w:rsidR="00F05224" w:rsidRPr="00544DD9" w:rsidRDefault="00F05224" w:rsidP="005A1ED6">
            <w:pPr>
              <w:rPr>
                <w:rFonts w:cs="Times New Roman"/>
                <w:b/>
                <w:bCs/>
                <w:sz w:val="21"/>
                <w:szCs w:val="21"/>
              </w:rPr>
            </w:pPr>
            <w:r w:rsidRPr="00544DD9">
              <w:rPr>
                <w:rFonts w:cs="Times New Roman"/>
                <w:b/>
                <w:bCs/>
                <w:sz w:val="21"/>
                <w:szCs w:val="21"/>
              </w:rPr>
              <w:t>Murray Hardyhead</w:t>
            </w:r>
          </w:p>
        </w:tc>
        <w:tc>
          <w:tcPr>
            <w:tcW w:w="1010" w:type="pct"/>
            <w:shd w:val="clear" w:color="auto" w:fill="D9E2F3" w:themeFill="accent5" w:themeFillTint="33"/>
          </w:tcPr>
          <w:p w14:paraId="3992CDB2" w14:textId="77777777" w:rsidR="00F05224" w:rsidRPr="00544DD9" w:rsidRDefault="00F05224" w:rsidP="005A1ED6">
            <w:pPr>
              <w:rPr>
                <w:rFonts w:cs="Times New Roman"/>
                <w:b/>
                <w:bCs/>
                <w:sz w:val="21"/>
                <w:szCs w:val="21"/>
              </w:rPr>
            </w:pPr>
            <w:r w:rsidRPr="00544DD9">
              <w:rPr>
                <w:rFonts w:cs="Times New Roman"/>
                <w:b/>
                <w:bCs/>
                <w:sz w:val="21"/>
                <w:szCs w:val="21"/>
              </w:rPr>
              <w:t>Sothern Purple-spotted Gudgeon</w:t>
            </w:r>
          </w:p>
        </w:tc>
        <w:tc>
          <w:tcPr>
            <w:tcW w:w="1014" w:type="pct"/>
            <w:shd w:val="clear" w:color="auto" w:fill="D9E2F3" w:themeFill="accent5" w:themeFillTint="33"/>
          </w:tcPr>
          <w:p w14:paraId="6054BA04" w14:textId="799ED321" w:rsidR="00F05224" w:rsidRPr="00544DD9" w:rsidRDefault="00F05224" w:rsidP="005A1ED6">
            <w:pPr>
              <w:rPr>
                <w:rFonts w:cs="Times New Roman"/>
                <w:b/>
                <w:bCs/>
                <w:sz w:val="21"/>
                <w:szCs w:val="21"/>
              </w:rPr>
            </w:pPr>
            <w:r w:rsidRPr="00544DD9">
              <w:rPr>
                <w:rFonts w:cs="Times New Roman"/>
                <w:b/>
                <w:bCs/>
                <w:sz w:val="21"/>
                <w:szCs w:val="21"/>
              </w:rPr>
              <w:t>Yarra Pygmy</w:t>
            </w:r>
            <w:r w:rsidR="006E4877" w:rsidRPr="00544DD9">
              <w:rPr>
                <w:rFonts w:cs="Times New Roman"/>
                <w:b/>
                <w:bCs/>
                <w:sz w:val="21"/>
                <w:szCs w:val="21"/>
              </w:rPr>
              <w:t xml:space="preserve"> </w:t>
            </w:r>
            <w:r w:rsidRPr="00544DD9">
              <w:rPr>
                <w:rFonts w:cs="Times New Roman"/>
                <w:b/>
                <w:bCs/>
                <w:sz w:val="21"/>
                <w:szCs w:val="21"/>
              </w:rPr>
              <w:t>Perch</w:t>
            </w:r>
          </w:p>
        </w:tc>
        <w:tc>
          <w:tcPr>
            <w:tcW w:w="1079" w:type="pct"/>
            <w:shd w:val="clear" w:color="auto" w:fill="D9E2F3" w:themeFill="accent5" w:themeFillTint="33"/>
          </w:tcPr>
          <w:p w14:paraId="64749973" w14:textId="5B8E6A04" w:rsidR="00F05224" w:rsidRPr="00544DD9" w:rsidRDefault="00F05224" w:rsidP="005A1ED6">
            <w:pPr>
              <w:rPr>
                <w:rFonts w:cs="Times New Roman"/>
                <w:b/>
                <w:bCs/>
                <w:sz w:val="21"/>
                <w:szCs w:val="21"/>
              </w:rPr>
            </w:pPr>
            <w:r w:rsidRPr="00544DD9">
              <w:rPr>
                <w:rFonts w:cs="Times New Roman"/>
                <w:b/>
                <w:bCs/>
                <w:sz w:val="21"/>
                <w:szCs w:val="21"/>
              </w:rPr>
              <w:t>Southern Pygmy</w:t>
            </w:r>
            <w:r w:rsidR="006E4877" w:rsidRPr="00544DD9">
              <w:rPr>
                <w:rFonts w:cs="Times New Roman"/>
                <w:b/>
                <w:bCs/>
                <w:sz w:val="21"/>
                <w:szCs w:val="21"/>
              </w:rPr>
              <w:t xml:space="preserve"> </w:t>
            </w:r>
            <w:r w:rsidRPr="00544DD9">
              <w:rPr>
                <w:rFonts w:cs="Times New Roman"/>
                <w:b/>
                <w:bCs/>
                <w:sz w:val="21"/>
                <w:szCs w:val="21"/>
              </w:rPr>
              <w:t>Perch</w:t>
            </w:r>
          </w:p>
        </w:tc>
      </w:tr>
      <w:tr w:rsidR="00544DD9" w:rsidRPr="005361DC" w14:paraId="0797CC53" w14:textId="77777777" w:rsidTr="00543BB8">
        <w:trPr>
          <w:trHeight w:hRule="exact" w:val="609"/>
        </w:trPr>
        <w:tc>
          <w:tcPr>
            <w:tcW w:w="743" w:type="pct"/>
          </w:tcPr>
          <w:p w14:paraId="5504DE61" w14:textId="74A4ED80" w:rsidR="00F05224" w:rsidRPr="00445659" w:rsidRDefault="00F05224" w:rsidP="002229FF">
            <w:pPr>
              <w:rPr>
                <w:rFonts w:cstheme="minorHAnsi"/>
                <w:b/>
                <w:bCs/>
                <w:sz w:val="18"/>
                <w:szCs w:val="18"/>
              </w:rPr>
            </w:pPr>
            <w:r w:rsidRPr="00445659">
              <w:rPr>
                <w:rFonts w:cstheme="minorHAnsi"/>
                <w:b/>
                <w:bCs/>
                <w:sz w:val="18"/>
                <w:szCs w:val="18"/>
              </w:rPr>
              <w:t>Conservation</w:t>
            </w:r>
            <w:r w:rsidR="004E7A0D" w:rsidRPr="00445659">
              <w:rPr>
                <w:rFonts w:cstheme="minorHAnsi"/>
                <w:b/>
                <w:bCs/>
                <w:sz w:val="18"/>
                <w:szCs w:val="18"/>
              </w:rPr>
              <w:t xml:space="preserve"> </w:t>
            </w:r>
            <w:r w:rsidRPr="00445659">
              <w:rPr>
                <w:rFonts w:cstheme="minorHAnsi"/>
                <w:b/>
                <w:bCs/>
                <w:sz w:val="18"/>
                <w:szCs w:val="18"/>
              </w:rPr>
              <w:t>Status (EPBC)</w:t>
            </w:r>
          </w:p>
        </w:tc>
        <w:tc>
          <w:tcPr>
            <w:tcW w:w="1154" w:type="pct"/>
          </w:tcPr>
          <w:p w14:paraId="59BE9CEE" w14:textId="77777777" w:rsidR="006A33F5" w:rsidRPr="00445659" w:rsidRDefault="00F05224" w:rsidP="0058408B">
            <w:pPr>
              <w:spacing w:after="0"/>
              <w:rPr>
                <w:rFonts w:cstheme="minorHAnsi"/>
                <w:sz w:val="18"/>
                <w:szCs w:val="18"/>
              </w:rPr>
            </w:pPr>
            <w:r w:rsidRPr="00445659">
              <w:rPr>
                <w:rFonts w:cstheme="minorHAnsi"/>
                <w:sz w:val="18"/>
                <w:szCs w:val="18"/>
              </w:rPr>
              <w:t>Endangered</w:t>
            </w:r>
          </w:p>
          <w:p w14:paraId="7E2E044A" w14:textId="33337FE7" w:rsidR="00F05224" w:rsidRPr="00445659" w:rsidRDefault="006A33F5" w:rsidP="002229FF">
            <w:pPr>
              <w:rPr>
                <w:rFonts w:cstheme="minorHAnsi"/>
                <w:sz w:val="18"/>
                <w:szCs w:val="18"/>
              </w:rPr>
            </w:pPr>
            <w:r w:rsidRPr="00445659">
              <w:rPr>
                <w:rFonts w:cstheme="minorHAnsi"/>
                <w:sz w:val="18"/>
                <w:szCs w:val="18"/>
              </w:rPr>
              <w:t>(</w:t>
            </w:r>
            <w:r w:rsidR="00F05224" w:rsidRPr="00445659">
              <w:rPr>
                <w:rFonts w:cstheme="minorHAnsi"/>
                <w:sz w:val="18"/>
                <w:szCs w:val="18"/>
              </w:rPr>
              <w:t>‘Protected</w:t>
            </w:r>
            <w:r w:rsidR="00756B1F" w:rsidRPr="00445659">
              <w:rPr>
                <w:rFonts w:cstheme="minorHAnsi"/>
                <w:sz w:val="18"/>
                <w:szCs w:val="18"/>
              </w:rPr>
              <w:t>’</w:t>
            </w:r>
            <w:r w:rsidR="00F05224" w:rsidRPr="00445659">
              <w:rPr>
                <w:rFonts w:cstheme="minorHAnsi"/>
                <w:sz w:val="18"/>
                <w:szCs w:val="18"/>
              </w:rPr>
              <w:t xml:space="preserve"> in SA)</w:t>
            </w:r>
          </w:p>
        </w:tc>
        <w:tc>
          <w:tcPr>
            <w:tcW w:w="1010" w:type="pct"/>
          </w:tcPr>
          <w:p w14:paraId="466787B7" w14:textId="77777777" w:rsidR="00F05224" w:rsidRPr="00445659" w:rsidRDefault="00F05224" w:rsidP="002229FF">
            <w:pPr>
              <w:rPr>
                <w:rFonts w:cstheme="minorHAnsi"/>
                <w:sz w:val="18"/>
                <w:szCs w:val="18"/>
              </w:rPr>
            </w:pPr>
            <w:r w:rsidRPr="00445659">
              <w:rPr>
                <w:rFonts w:cstheme="minorHAnsi"/>
                <w:sz w:val="18"/>
                <w:szCs w:val="18"/>
              </w:rPr>
              <w:t xml:space="preserve">2024 FPAL </w:t>
            </w:r>
          </w:p>
        </w:tc>
        <w:tc>
          <w:tcPr>
            <w:tcW w:w="1014" w:type="pct"/>
          </w:tcPr>
          <w:p w14:paraId="228FB3C5" w14:textId="77777777" w:rsidR="0058408B" w:rsidRPr="00445659" w:rsidRDefault="00F05224" w:rsidP="0058408B">
            <w:pPr>
              <w:spacing w:after="0"/>
              <w:rPr>
                <w:rFonts w:cstheme="minorHAnsi"/>
                <w:sz w:val="18"/>
                <w:szCs w:val="18"/>
              </w:rPr>
            </w:pPr>
            <w:r w:rsidRPr="00445659">
              <w:rPr>
                <w:rFonts w:cstheme="minorHAnsi"/>
                <w:sz w:val="18"/>
                <w:szCs w:val="18"/>
              </w:rPr>
              <w:t>Vulnerable</w:t>
            </w:r>
          </w:p>
          <w:p w14:paraId="5FDF21CF" w14:textId="03AD1873" w:rsidR="00F05224" w:rsidRPr="00445659" w:rsidRDefault="006A33F5" w:rsidP="002229FF">
            <w:pPr>
              <w:rPr>
                <w:rFonts w:cstheme="minorHAnsi"/>
                <w:sz w:val="18"/>
                <w:szCs w:val="18"/>
              </w:rPr>
            </w:pPr>
            <w:r w:rsidRPr="00445659">
              <w:rPr>
                <w:rFonts w:cstheme="minorHAnsi"/>
                <w:sz w:val="18"/>
                <w:szCs w:val="18"/>
              </w:rPr>
              <w:t>(</w:t>
            </w:r>
            <w:r w:rsidR="00F05224" w:rsidRPr="00445659">
              <w:rPr>
                <w:rFonts w:cstheme="minorHAnsi"/>
                <w:sz w:val="18"/>
                <w:szCs w:val="18"/>
              </w:rPr>
              <w:t>‘Protected</w:t>
            </w:r>
            <w:r w:rsidR="00756B1F" w:rsidRPr="00445659">
              <w:rPr>
                <w:rFonts w:cstheme="minorHAnsi"/>
                <w:sz w:val="18"/>
                <w:szCs w:val="18"/>
              </w:rPr>
              <w:t>’</w:t>
            </w:r>
            <w:r w:rsidR="00F05224" w:rsidRPr="00445659">
              <w:rPr>
                <w:rFonts w:cstheme="minorHAnsi"/>
                <w:sz w:val="18"/>
                <w:szCs w:val="18"/>
              </w:rPr>
              <w:t xml:space="preserve"> in SA)</w:t>
            </w:r>
          </w:p>
        </w:tc>
        <w:tc>
          <w:tcPr>
            <w:tcW w:w="1079" w:type="pct"/>
          </w:tcPr>
          <w:p w14:paraId="050FC2E6" w14:textId="77777777" w:rsidR="0058408B" w:rsidRPr="00445659" w:rsidRDefault="00F05224" w:rsidP="0058408B">
            <w:pPr>
              <w:spacing w:after="0"/>
              <w:rPr>
                <w:rFonts w:cstheme="minorHAnsi"/>
                <w:sz w:val="18"/>
                <w:szCs w:val="18"/>
              </w:rPr>
            </w:pPr>
            <w:r w:rsidRPr="00445659">
              <w:rPr>
                <w:rFonts w:cstheme="minorHAnsi"/>
                <w:sz w:val="18"/>
                <w:szCs w:val="18"/>
              </w:rPr>
              <w:t>Vulnerable</w:t>
            </w:r>
          </w:p>
          <w:p w14:paraId="1DE57A76" w14:textId="3F0D8763" w:rsidR="00F05224" w:rsidRPr="00445659" w:rsidRDefault="006A33F5" w:rsidP="002229FF">
            <w:pPr>
              <w:rPr>
                <w:rFonts w:cstheme="minorHAnsi"/>
                <w:sz w:val="18"/>
                <w:szCs w:val="18"/>
              </w:rPr>
            </w:pPr>
            <w:r w:rsidRPr="00445659">
              <w:rPr>
                <w:rFonts w:cstheme="minorHAnsi"/>
                <w:sz w:val="18"/>
                <w:szCs w:val="18"/>
              </w:rPr>
              <w:t>(</w:t>
            </w:r>
            <w:r w:rsidR="00F05224" w:rsidRPr="00445659">
              <w:rPr>
                <w:rFonts w:cstheme="minorHAnsi"/>
                <w:sz w:val="18"/>
                <w:szCs w:val="18"/>
              </w:rPr>
              <w:t>‘Protected’ in SA)</w:t>
            </w:r>
          </w:p>
        </w:tc>
      </w:tr>
      <w:tr w:rsidR="00544DD9" w:rsidRPr="005361DC" w14:paraId="57D35644" w14:textId="77777777" w:rsidTr="00543BB8">
        <w:trPr>
          <w:trHeight w:hRule="exact" w:val="405"/>
        </w:trPr>
        <w:tc>
          <w:tcPr>
            <w:tcW w:w="743" w:type="pct"/>
          </w:tcPr>
          <w:p w14:paraId="65863C41" w14:textId="77777777" w:rsidR="00F05224" w:rsidRPr="00445659" w:rsidRDefault="00F05224" w:rsidP="002229FF">
            <w:pPr>
              <w:rPr>
                <w:rFonts w:cstheme="minorHAnsi"/>
                <w:b/>
                <w:bCs/>
                <w:sz w:val="18"/>
                <w:szCs w:val="18"/>
              </w:rPr>
            </w:pPr>
            <w:r w:rsidRPr="00445659">
              <w:rPr>
                <w:rFonts w:cstheme="minorHAnsi"/>
                <w:b/>
                <w:bCs/>
                <w:sz w:val="18"/>
                <w:szCs w:val="18"/>
              </w:rPr>
              <w:t>Size</w:t>
            </w:r>
          </w:p>
        </w:tc>
        <w:tc>
          <w:tcPr>
            <w:tcW w:w="1154" w:type="pct"/>
          </w:tcPr>
          <w:p w14:paraId="69C27AFA"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&lt; 90 mm</w:t>
            </w:r>
          </w:p>
        </w:tc>
        <w:tc>
          <w:tcPr>
            <w:tcW w:w="1010" w:type="pct"/>
          </w:tcPr>
          <w:p w14:paraId="64F4C234"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&lt; 150 mm</w:t>
            </w:r>
          </w:p>
        </w:tc>
        <w:tc>
          <w:tcPr>
            <w:tcW w:w="1014" w:type="pct"/>
          </w:tcPr>
          <w:p w14:paraId="1CCB289F"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&lt; 85 mm</w:t>
            </w:r>
          </w:p>
        </w:tc>
        <w:tc>
          <w:tcPr>
            <w:tcW w:w="1079" w:type="pct"/>
          </w:tcPr>
          <w:p w14:paraId="38E22C89"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&lt; 85 mm</w:t>
            </w:r>
          </w:p>
        </w:tc>
      </w:tr>
      <w:tr w:rsidR="00544DD9" w:rsidRPr="005361DC" w14:paraId="5312D5B7" w14:textId="77777777" w:rsidTr="00543BB8">
        <w:trPr>
          <w:trHeight w:hRule="exact" w:val="438"/>
        </w:trPr>
        <w:tc>
          <w:tcPr>
            <w:tcW w:w="743" w:type="pct"/>
          </w:tcPr>
          <w:p w14:paraId="61A14804" w14:textId="77777777" w:rsidR="00F05224" w:rsidRPr="00445659" w:rsidRDefault="00F05224" w:rsidP="002229FF">
            <w:pPr>
              <w:rPr>
                <w:rFonts w:cstheme="minorHAnsi"/>
                <w:b/>
                <w:bCs/>
                <w:sz w:val="18"/>
                <w:szCs w:val="18"/>
              </w:rPr>
            </w:pPr>
            <w:r w:rsidRPr="00445659">
              <w:rPr>
                <w:rFonts w:cstheme="minorHAnsi"/>
                <w:b/>
                <w:bCs/>
                <w:sz w:val="18"/>
                <w:szCs w:val="18"/>
              </w:rPr>
              <w:t>Longevity</w:t>
            </w:r>
          </w:p>
        </w:tc>
        <w:tc>
          <w:tcPr>
            <w:tcW w:w="1154" w:type="pct"/>
          </w:tcPr>
          <w:p w14:paraId="0354AF14"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&lt; 1.5 y</w:t>
            </w:r>
          </w:p>
        </w:tc>
        <w:tc>
          <w:tcPr>
            <w:tcW w:w="1010" w:type="pct"/>
          </w:tcPr>
          <w:p w14:paraId="62CD3BC6"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1 – 5 y</w:t>
            </w:r>
          </w:p>
        </w:tc>
        <w:tc>
          <w:tcPr>
            <w:tcW w:w="1014" w:type="pct"/>
          </w:tcPr>
          <w:p w14:paraId="767B0CE5"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1 – 5 y</w:t>
            </w:r>
          </w:p>
        </w:tc>
        <w:tc>
          <w:tcPr>
            <w:tcW w:w="1079" w:type="pct"/>
          </w:tcPr>
          <w:p w14:paraId="69AAA899" w14:textId="77777777" w:rsidR="00F05224" w:rsidRPr="00445659" w:rsidRDefault="00F05224" w:rsidP="004162AC">
            <w:pPr>
              <w:pStyle w:val="ListParagraph"/>
              <w:numPr>
                <w:ilvl w:val="0"/>
                <w:numId w:val="81"/>
              </w:numPr>
              <w:spacing w:after="0" w:line="240" w:lineRule="auto"/>
              <w:rPr>
                <w:rFonts w:cstheme="minorHAnsi"/>
                <w:sz w:val="18"/>
                <w:szCs w:val="18"/>
              </w:rPr>
            </w:pPr>
            <w:r w:rsidRPr="00445659">
              <w:rPr>
                <w:rFonts w:cstheme="minorHAnsi"/>
                <w:sz w:val="18"/>
                <w:szCs w:val="18"/>
              </w:rPr>
              <w:t>up to 5 y</w:t>
            </w:r>
          </w:p>
        </w:tc>
      </w:tr>
      <w:tr w:rsidR="00544DD9" w:rsidRPr="005361DC" w14:paraId="0206D5A8" w14:textId="77777777" w:rsidTr="00543BB8">
        <w:trPr>
          <w:trHeight w:val="2993"/>
        </w:trPr>
        <w:tc>
          <w:tcPr>
            <w:tcW w:w="743" w:type="pct"/>
          </w:tcPr>
          <w:p w14:paraId="149DA90C" w14:textId="77777777" w:rsidR="00F05224" w:rsidRPr="00445659" w:rsidRDefault="00F05224" w:rsidP="002229FF">
            <w:pPr>
              <w:rPr>
                <w:rFonts w:cstheme="minorHAnsi"/>
                <w:b/>
                <w:bCs/>
                <w:sz w:val="18"/>
                <w:szCs w:val="18"/>
              </w:rPr>
            </w:pPr>
            <w:r w:rsidRPr="00445659">
              <w:rPr>
                <w:rFonts w:cstheme="minorHAnsi"/>
                <w:b/>
                <w:bCs/>
                <w:sz w:val="18"/>
                <w:szCs w:val="18"/>
              </w:rPr>
              <w:t>Habitat preference</w:t>
            </w:r>
          </w:p>
        </w:tc>
        <w:tc>
          <w:tcPr>
            <w:tcW w:w="1154" w:type="pct"/>
          </w:tcPr>
          <w:p w14:paraId="7F6AE37C"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still to low flowing waters</w:t>
            </w:r>
          </w:p>
          <w:p w14:paraId="42A5F9BE"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water level variability</w:t>
            </w:r>
          </w:p>
          <w:p w14:paraId="746AC4DD"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 xml:space="preserve">fresh-brackish waters </w:t>
            </w:r>
          </w:p>
          <w:p w14:paraId="3F0F4021"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salt-tolerant, remnant populations in &gt;1000 EC)</w:t>
            </w:r>
          </w:p>
          <w:p w14:paraId="471C16EB"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wetlands, edges or sites fringing Lower Lakes</w:t>
            </w:r>
          </w:p>
          <w:p w14:paraId="1BA8028D"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highly mobile, schooling</w:t>
            </w:r>
          </w:p>
          <w:p w14:paraId="17769226"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 xml:space="preserve">need zooplankton food </w:t>
            </w:r>
          </w:p>
          <w:p w14:paraId="3AD174C0"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aquatic veg. – shelter, lays eggs on</w:t>
            </w:r>
          </w:p>
          <w:p w14:paraId="1078C564"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recruitment off-channel</w:t>
            </w:r>
          </w:p>
        </w:tc>
        <w:tc>
          <w:tcPr>
            <w:tcW w:w="1010" w:type="pct"/>
          </w:tcPr>
          <w:p w14:paraId="0439466D"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shallow &lt; 1m wetlands &amp; slow-moving creeks</w:t>
            </w:r>
          </w:p>
          <w:p w14:paraId="244F86CF"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low salinity (&lt;1000 EC)</w:t>
            </w:r>
          </w:p>
          <w:p w14:paraId="19F38A6B"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abundant submerged macrophytes, e.g.</w:t>
            </w:r>
            <w:r w:rsidRPr="00445659">
              <w:rPr>
                <w:rFonts w:cstheme="minorHAnsi"/>
                <w:i/>
                <w:iCs/>
                <w:sz w:val="18"/>
                <w:szCs w:val="18"/>
              </w:rPr>
              <w:t xml:space="preserve"> Myriophyllum</w:t>
            </w:r>
            <w:r w:rsidRPr="00445659">
              <w:rPr>
                <w:rFonts w:cstheme="minorHAnsi"/>
                <w:sz w:val="18"/>
                <w:szCs w:val="18"/>
              </w:rPr>
              <w:t xml:space="preserve">, </w:t>
            </w:r>
            <w:r w:rsidRPr="00445659">
              <w:rPr>
                <w:rFonts w:cstheme="minorHAnsi"/>
                <w:i/>
                <w:iCs/>
                <w:sz w:val="18"/>
                <w:szCs w:val="18"/>
              </w:rPr>
              <w:t>Vallisneria</w:t>
            </w:r>
          </w:p>
          <w:p w14:paraId="2F11EED5"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mainly found around vegetated margins</w:t>
            </w:r>
          </w:p>
        </w:tc>
        <w:tc>
          <w:tcPr>
            <w:tcW w:w="1014" w:type="pct"/>
          </w:tcPr>
          <w:p w14:paraId="5E04318D"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sedentary nature</w:t>
            </w:r>
          </w:p>
          <w:p w14:paraId="61EDD5B2"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shallow littoral zone Lake Alex/ wetlands</w:t>
            </w:r>
          </w:p>
          <w:p w14:paraId="7C2C07F2" w14:textId="35FAF185"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low salinity &lt;1000 EC</w:t>
            </w:r>
          </w:p>
          <w:p w14:paraId="4039B98A"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dense submerged macrophytes for food &amp; shelter, e.g.</w:t>
            </w:r>
            <w:r w:rsidRPr="00445659">
              <w:rPr>
                <w:rFonts w:cstheme="minorHAnsi"/>
                <w:i/>
                <w:iCs/>
                <w:sz w:val="18"/>
                <w:szCs w:val="18"/>
              </w:rPr>
              <w:t xml:space="preserve"> Myriophyllum</w:t>
            </w:r>
            <w:r w:rsidRPr="00445659">
              <w:rPr>
                <w:rFonts w:cstheme="minorHAnsi"/>
                <w:sz w:val="18"/>
                <w:szCs w:val="18"/>
              </w:rPr>
              <w:t xml:space="preserve">, </w:t>
            </w:r>
            <w:r w:rsidRPr="00445659">
              <w:rPr>
                <w:rFonts w:cstheme="minorHAnsi"/>
                <w:i/>
                <w:iCs/>
                <w:sz w:val="18"/>
                <w:szCs w:val="18"/>
              </w:rPr>
              <w:t>Vallisneria, Ceratophyllum, Scheonoplectus</w:t>
            </w:r>
          </w:p>
        </w:tc>
        <w:tc>
          <w:tcPr>
            <w:tcW w:w="1079" w:type="pct"/>
          </w:tcPr>
          <w:p w14:paraId="018FA8E5"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slow flow, pools</w:t>
            </w:r>
          </w:p>
          <w:p w14:paraId="7F4F10C9"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dense aquatic veg. –shelter, food, egg laying</w:t>
            </w:r>
          </w:p>
          <w:p w14:paraId="1743E6AF"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fringing wetlands of Lake Alex. &amp; islands</w:t>
            </w:r>
          </w:p>
          <w:p w14:paraId="22F589BD"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 xml:space="preserve">RM – rock banks, aquatic &amp; riparian vegetation, e.g. </w:t>
            </w:r>
            <w:r w:rsidRPr="00445659">
              <w:rPr>
                <w:rFonts w:cstheme="minorHAnsi"/>
                <w:i/>
                <w:sz w:val="18"/>
                <w:szCs w:val="18"/>
              </w:rPr>
              <w:t>Ceratophyllum</w:t>
            </w:r>
            <w:r w:rsidRPr="00445659">
              <w:rPr>
                <w:rFonts w:cstheme="minorHAnsi"/>
                <w:sz w:val="18"/>
                <w:szCs w:val="18"/>
              </w:rPr>
              <w:t xml:space="preserve">, </w:t>
            </w:r>
            <w:r w:rsidRPr="00445659">
              <w:rPr>
                <w:rFonts w:cstheme="minorHAnsi"/>
                <w:i/>
                <w:sz w:val="18"/>
                <w:szCs w:val="18"/>
              </w:rPr>
              <w:t>Typha</w:t>
            </w:r>
          </w:p>
          <w:p w14:paraId="40B1DA0C" w14:textId="77777777" w:rsidR="00F05224" w:rsidRPr="00445659" w:rsidRDefault="00F05224" w:rsidP="004C2AB9">
            <w:pPr>
              <w:pStyle w:val="ListParagraph"/>
              <w:numPr>
                <w:ilvl w:val="0"/>
                <w:numId w:val="81"/>
              </w:numPr>
              <w:spacing w:after="0"/>
              <w:rPr>
                <w:rFonts w:cstheme="minorHAnsi"/>
                <w:sz w:val="18"/>
                <w:szCs w:val="18"/>
              </w:rPr>
            </w:pPr>
            <w:r w:rsidRPr="00445659">
              <w:rPr>
                <w:rFonts w:cstheme="minorHAnsi"/>
                <w:sz w:val="18"/>
                <w:szCs w:val="18"/>
              </w:rPr>
              <w:t xml:space="preserve">water level variation </w:t>
            </w:r>
          </w:p>
        </w:tc>
      </w:tr>
      <w:tr w:rsidR="00544DD9" w:rsidRPr="005361DC" w14:paraId="21CD9ED4" w14:textId="77777777" w:rsidTr="00543BB8">
        <w:trPr>
          <w:trHeight w:val="2681"/>
        </w:trPr>
        <w:tc>
          <w:tcPr>
            <w:tcW w:w="743" w:type="pct"/>
          </w:tcPr>
          <w:p w14:paraId="5B3F3298" w14:textId="77777777" w:rsidR="00F05224" w:rsidRPr="00445659" w:rsidRDefault="00F05224" w:rsidP="002229FF">
            <w:pPr>
              <w:rPr>
                <w:rFonts w:cstheme="minorHAnsi"/>
                <w:b/>
                <w:bCs/>
                <w:sz w:val="18"/>
                <w:szCs w:val="18"/>
              </w:rPr>
            </w:pPr>
            <w:r w:rsidRPr="00445659">
              <w:rPr>
                <w:rFonts w:cstheme="minorHAnsi"/>
                <w:b/>
                <w:bCs/>
                <w:sz w:val="18"/>
                <w:szCs w:val="18"/>
              </w:rPr>
              <w:t>Condition trend</w:t>
            </w:r>
          </w:p>
        </w:tc>
        <w:tc>
          <w:tcPr>
            <w:tcW w:w="1154" w:type="pct"/>
          </w:tcPr>
          <w:p w14:paraId="4C3D533A" w14:textId="77777777" w:rsidR="00FC3B47" w:rsidRPr="00445659" w:rsidRDefault="00F05224" w:rsidP="00FC3B47">
            <w:pPr>
              <w:contextualSpacing/>
              <w:rPr>
                <w:rFonts w:cstheme="minorHAnsi"/>
                <w:sz w:val="18"/>
                <w:szCs w:val="18"/>
              </w:rPr>
            </w:pPr>
            <w:r w:rsidRPr="00445659">
              <w:rPr>
                <w:rFonts w:cstheme="minorHAnsi"/>
                <w:b/>
                <w:bCs/>
                <w:sz w:val="18"/>
                <w:szCs w:val="18"/>
              </w:rPr>
              <w:t>Past 50 y:</w:t>
            </w:r>
            <w:r w:rsidRPr="00445659">
              <w:rPr>
                <w:rFonts w:cstheme="minorHAnsi"/>
                <w:sz w:val="18"/>
                <w:szCs w:val="18"/>
              </w:rPr>
              <w:t xml:space="preserve"> severe decline in range &amp; abundance</w:t>
            </w:r>
          </w:p>
          <w:p w14:paraId="5F1DBCB4" w14:textId="4E812A37" w:rsidR="00F05224" w:rsidRPr="00445659" w:rsidRDefault="00F05224" w:rsidP="00FC3B47">
            <w:pPr>
              <w:contextualSpacing/>
              <w:rPr>
                <w:rFonts w:cstheme="minorHAnsi"/>
                <w:sz w:val="18"/>
                <w:szCs w:val="18"/>
              </w:rPr>
            </w:pPr>
            <w:r w:rsidRPr="00445659">
              <w:rPr>
                <w:rFonts w:cstheme="minorHAnsi"/>
                <w:b/>
                <w:bCs/>
                <w:sz w:val="18"/>
                <w:szCs w:val="18"/>
              </w:rPr>
              <w:t>2003:</w:t>
            </w:r>
            <w:r w:rsidRPr="00445659">
              <w:rPr>
                <w:rFonts w:cstheme="minorHAnsi"/>
                <w:sz w:val="18"/>
                <w:szCs w:val="18"/>
              </w:rPr>
              <w:t xml:space="preserve"> abundant at sites fringing Lower Lakes</w:t>
            </w:r>
          </w:p>
          <w:p w14:paraId="12DD3317" w14:textId="77777777" w:rsidR="00F05224" w:rsidRPr="00445659" w:rsidRDefault="00F05224" w:rsidP="00FC3B47">
            <w:pPr>
              <w:contextualSpacing/>
              <w:rPr>
                <w:rFonts w:cstheme="minorHAnsi"/>
                <w:sz w:val="18"/>
                <w:szCs w:val="18"/>
              </w:rPr>
            </w:pPr>
            <w:r w:rsidRPr="00445659">
              <w:rPr>
                <w:rFonts w:cstheme="minorHAnsi"/>
                <w:b/>
                <w:bCs/>
                <w:sz w:val="18"/>
                <w:szCs w:val="18"/>
              </w:rPr>
              <w:t>2007:</w:t>
            </w:r>
            <w:r w:rsidRPr="00445659">
              <w:rPr>
                <w:rFonts w:cstheme="minorHAnsi"/>
                <w:sz w:val="18"/>
                <w:szCs w:val="18"/>
              </w:rPr>
              <w:t xml:space="preserve"> extirpated NSW</w:t>
            </w:r>
          </w:p>
          <w:p w14:paraId="4AFDA9D5" w14:textId="77777777" w:rsidR="00F05224" w:rsidRPr="00445659" w:rsidRDefault="00F05224" w:rsidP="00FC3B47">
            <w:pPr>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partial recovery SA</w:t>
            </w:r>
          </w:p>
          <w:p w14:paraId="00693E3A" w14:textId="77777777" w:rsidR="00F05224" w:rsidRPr="00445659" w:rsidRDefault="00F05224" w:rsidP="00FC3B47">
            <w:pPr>
              <w:contextualSpacing/>
              <w:rPr>
                <w:rFonts w:cstheme="minorHAnsi"/>
                <w:sz w:val="18"/>
                <w:szCs w:val="18"/>
              </w:rPr>
            </w:pPr>
            <w:r w:rsidRPr="00445659">
              <w:rPr>
                <w:rFonts w:cstheme="minorHAnsi"/>
                <w:b/>
                <w:bCs/>
                <w:sz w:val="18"/>
                <w:szCs w:val="18"/>
              </w:rPr>
              <w:t xml:space="preserve">2020: on </w:t>
            </w:r>
            <w:r w:rsidRPr="00445659">
              <w:rPr>
                <w:rFonts w:cstheme="minorHAnsi"/>
                <w:sz w:val="18"/>
                <w:szCs w:val="18"/>
              </w:rPr>
              <w:t>verge of extirpation in VIC</w:t>
            </w:r>
          </w:p>
          <w:p w14:paraId="6084F57C" w14:textId="77777777" w:rsidR="00F05224" w:rsidRPr="00445659" w:rsidRDefault="00F05224" w:rsidP="00FC3B47">
            <w:pPr>
              <w:contextualSpacing/>
              <w:rPr>
                <w:rFonts w:cstheme="minorHAnsi"/>
                <w:sz w:val="18"/>
                <w:szCs w:val="18"/>
              </w:rPr>
            </w:pPr>
            <w:r w:rsidRPr="00445659">
              <w:rPr>
                <w:rFonts w:cstheme="minorHAnsi"/>
                <w:b/>
                <w:bCs/>
                <w:sz w:val="18"/>
                <w:szCs w:val="18"/>
              </w:rPr>
              <w:t>2021:</w:t>
            </w:r>
            <w:r w:rsidRPr="00445659">
              <w:rPr>
                <w:rFonts w:cstheme="minorHAnsi"/>
                <w:sz w:val="18"/>
                <w:szCs w:val="18"/>
              </w:rPr>
              <w:t xml:space="preserve"> last detected in Lake Albert in 2009; reintros. in recent years failed </w:t>
            </w:r>
          </w:p>
        </w:tc>
        <w:tc>
          <w:tcPr>
            <w:tcW w:w="1010" w:type="pct"/>
          </w:tcPr>
          <w:p w14:paraId="67CA7BA6" w14:textId="77777777" w:rsidR="00F05224" w:rsidRPr="00445659" w:rsidRDefault="00F05224" w:rsidP="00FC3B47">
            <w:pPr>
              <w:contextualSpacing/>
              <w:rPr>
                <w:rFonts w:cstheme="minorHAnsi"/>
                <w:sz w:val="18"/>
                <w:szCs w:val="18"/>
              </w:rPr>
            </w:pPr>
            <w:r w:rsidRPr="00445659">
              <w:rPr>
                <w:rFonts w:cstheme="minorHAnsi"/>
                <w:b/>
                <w:bCs/>
                <w:sz w:val="18"/>
                <w:szCs w:val="18"/>
              </w:rPr>
              <w:t xml:space="preserve">1990s: </w:t>
            </w:r>
            <w:r w:rsidRPr="00445659">
              <w:rPr>
                <w:rFonts w:cstheme="minorHAnsi"/>
                <w:sz w:val="18"/>
                <w:szCs w:val="18"/>
              </w:rPr>
              <w:t>Extirpated in SA &amp; NSW section of Murray (last record from wild in 1973)</w:t>
            </w:r>
          </w:p>
          <w:p w14:paraId="5DF68338" w14:textId="77777777" w:rsidR="00F05224" w:rsidRPr="00445659" w:rsidRDefault="00F05224" w:rsidP="00FC3B47">
            <w:pPr>
              <w:contextualSpacing/>
              <w:rPr>
                <w:rFonts w:cstheme="minorHAnsi"/>
                <w:sz w:val="18"/>
                <w:szCs w:val="18"/>
              </w:rPr>
            </w:pPr>
            <w:r w:rsidRPr="00445659">
              <w:rPr>
                <w:rFonts w:cstheme="minorHAnsi"/>
                <w:b/>
                <w:bCs/>
                <w:sz w:val="18"/>
                <w:szCs w:val="18"/>
              </w:rPr>
              <w:t xml:space="preserve">2002: </w:t>
            </w:r>
            <w:r w:rsidRPr="00445659">
              <w:rPr>
                <w:rFonts w:cstheme="minorHAnsi"/>
                <w:sz w:val="18"/>
                <w:szCs w:val="18"/>
              </w:rPr>
              <w:t>rediscovered in Jury Swamp (rescued)</w:t>
            </w:r>
          </w:p>
          <w:p w14:paraId="5514D51B" w14:textId="77777777" w:rsidR="00F05224" w:rsidRPr="00445659" w:rsidRDefault="00F05224" w:rsidP="00FC3B47">
            <w:pPr>
              <w:contextualSpacing/>
              <w:rPr>
                <w:rFonts w:cstheme="minorHAnsi"/>
                <w:sz w:val="18"/>
                <w:szCs w:val="18"/>
              </w:rPr>
            </w:pPr>
            <w:r w:rsidRPr="00445659">
              <w:rPr>
                <w:rFonts w:cstheme="minorHAnsi"/>
                <w:b/>
                <w:bCs/>
                <w:sz w:val="18"/>
                <w:szCs w:val="18"/>
              </w:rPr>
              <w:t>2003:</w:t>
            </w:r>
            <w:r w:rsidRPr="00445659">
              <w:rPr>
                <w:rFonts w:cstheme="minorHAnsi"/>
                <w:sz w:val="18"/>
                <w:szCs w:val="18"/>
              </w:rPr>
              <w:t xml:space="preserve"> abundant SW Lower Lakes</w:t>
            </w:r>
          </w:p>
          <w:p w14:paraId="1B405DE1" w14:textId="77777777" w:rsidR="00F05224" w:rsidRPr="00445659" w:rsidRDefault="00F05224" w:rsidP="00FC3B47">
            <w:pPr>
              <w:contextualSpacing/>
              <w:rPr>
                <w:rFonts w:cstheme="minorHAnsi"/>
                <w:sz w:val="18"/>
                <w:szCs w:val="18"/>
              </w:rPr>
            </w:pPr>
            <w:r w:rsidRPr="00445659">
              <w:rPr>
                <w:rFonts w:cstheme="minorHAnsi"/>
                <w:b/>
                <w:bCs/>
                <w:sz w:val="18"/>
                <w:szCs w:val="18"/>
              </w:rPr>
              <w:t>2021:</w:t>
            </w:r>
            <w:r w:rsidRPr="00445659">
              <w:rPr>
                <w:rFonts w:cstheme="minorHAnsi"/>
                <w:sz w:val="18"/>
                <w:szCs w:val="18"/>
              </w:rPr>
              <w:t xml:space="preserve"> persists in EC with regular reintroductions; no self-sustaining popn.</w:t>
            </w:r>
          </w:p>
        </w:tc>
        <w:tc>
          <w:tcPr>
            <w:tcW w:w="1014" w:type="pct"/>
          </w:tcPr>
          <w:p w14:paraId="0F5E37E4" w14:textId="77777777" w:rsidR="00F05224" w:rsidRPr="00445659" w:rsidRDefault="00F05224" w:rsidP="00FC3B47">
            <w:pPr>
              <w:contextualSpacing/>
              <w:rPr>
                <w:rFonts w:cstheme="minorHAnsi"/>
                <w:sz w:val="18"/>
                <w:szCs w:val="18"/>
              </w:rPr>
            </w:pPr>
            <w:r w:rsidRPr="00445659">
              <w:rPr>
                <w:rFonts w:cstheme="minorHAnsi"/>
                <w:b/>
                <w:bCs/>
                <w:sz w:val="18"/>
                <w:szCs w:val="18"/>
              </w:rPr>
              <w:t>2003:</w:t>
            </w:r>
            <w:r w:rsidRPr="00445659">
              <w:rPr>
                <w:rFonts w:cstheme="minorHAnsi"/>
                <w:sz w:val="18"/>
                <w:szCs w:val="18"/>
              </w:rPr>
              <w:t xml:space="preserve"> abundant Hindmarsh Island at Lower Lakes</w:t>
            </w:r>
          </w:p>
          <w:p w14:paraId="2C92CD51" w14:textId="77777777" w:rsidR="00F05224" w:rsidRPr="00445659" w:rsidRDefault="00F05224" w:rsidP="00FC3B47">
            <w:pPr>
              <w:contextualSpacing/>
              <w:rPr>
                <w:rFonts w:cstheme="minorHAnsi"/>
                <w:sz w:val="18"/>
                <w:szCs w:val="18"/>
              </w:rPr>
            </w:pPr>
            <w:r w:rsidRPr="00445659">
              <w:rPr>
                <w:rFonts w:cstheme="minorHAnsi"/>
                <w:b/>
                <w:bCs/>
                <w:sz w:val="18"/>
                <w:szCs w:val="18"/>
              </w:rPr>
              <w:t>2008:</w:t>
            </w:r>
            <w:r w:rsidRPr="00445659">
              <w:rPr>
                <w:rFonts w:cstheme="minorHAnsi"/>
                <w:sz w:val="18"/>
                <w:szCs w:val="18"/>
              </w:rPr>
              <w:t xml:space="preserve"> last observed in wild</w:t>
            </w:r>
          </w:p>
          <w:p w14:paraId="16DB6BB4" w14:textId="77777777" w:rsidR="00F05224" w:rsidRPr="00445659" w:rsidRDefault="00F05224" w:rsidP="00FC3B47">
            <w:pPr>
              <w:contextualSpacing/>
              <w:rPr>
                <w:rFonts w:cstheme="minorHAnsi"/>
                <w:sz w:val="18"/>
                <w:szCs w:val="18"/>
              </w:rPr>
            </w:pPr>
            <w:r w:rsidRPr="00445659">
              <w:rPr>
                <w:rFonts w:cstheme="minorHAnsi"/>
                <w:b/>
                <w:sz w:val="18"/>
                <w:szCs w:val="18"/>
              </w:rPr>
              <w:t>2012</w:t>
            </w:r>
            <w:r w:rsidRPr="00445659">
              <w:rPr>
                <w:rFonts w:cstheme="minorHAnsi"/>
                <w:sz w:val="18"/>
                <w:szCs w:val="18"/>
              </w:rPr>
              <w:t>: reintroduction attempt failed</w:t>
            </w:r>
          </w:p>
          <w:p w14:paraId="7ABF929B" w14:textId="77777777" w:rsidR="00F05224" w:rsidRPr="00445659" w:rsidRDefault="00F05224" w:rsidP="00FC3B47">
            <w:pPr>
              <w:contextualSpacing/>
              <w:rPr>
                <w:rFonts w:cstheme="minorHAnsi"/>
                <w:sz w:val="18"/>
                <w:szCs w:val="18"/>
              </w:rPr>
            </w:pPr>
            <w:r w:rsidRPr="00445659">
              <w:rPr>
                <w:rFonts w:cstheme="minorHAnsi"/>
                <w:b/>
                <w:sz w:val="18"/>
                <w:szCs w:val="18"/>
              </w:rPr>
              <w:t>2015</w:t>
            </w:r>
            <w:r w:rsidRPr="00445659">
              <w:rPr>
                <w:rFonts w:cstheme="minorHAnsi"/>
                <w:sz w:val="18"/>
                <w:szCs w:val="18"/>
              </w:rPr>
              <w:t>: reintroduction attempt failed</w:t>
            </w:r>
          </w:p>
          <w:p w14:paraId="29787B84" w14:textId="0E27451B" w:rsidR="00A66D3D" w:rsidRDefault="00F05224" w:rsidP="00FC3B47">
            <w:pPr>
              <w:contextualSpacing/>
              <w:rPr>
                <w:rFonts w:cstheme="minorHAnsi"/>
                <w:sz w:val="18"/>
                <w:szCs w:val="18"/>
              </w:rPr>
            </w:pPr>
            <w:r w:rsidRPr="00445659">
              <w:rPr>
                <w:rFonts w:cstheme="minorHAnsi"/>
                <w:b/>
                <w:bCs/>
                <w:sz w:val="18"/>
                <w:szCs w:val="18"/>
              </w:rPr>
              <w:t>2019:</w:t>
            </w:r>
            <w:r w:rsidR="00A66D3D">
              <w:rPr>
                <w:rFonts w:cstheme="minorHAnsi"/>
                <w:b/>
                <w:bCs/>
                <w:sz w:val="18"/>
                <w:szCs w:val="18"/>
              </w:rPr>
              <w:t xml:space="preserve"> </w:t>
            </w:r>
            <w:r w:rsidRPr="00445659">
              <w:rPr>
                <w:rFonts w:cstheme="minorHAnsi"/>
                <w:sz w:val="18"/>
                <w:szCs w:val="18"/>
              </w:rPr>
              <w:t>extirpated</w:t>
            </w:r>
            <w:r w:rsidR="008C41F5" w:rsidRPr="00445659">
              <w:rPr>
                <w:rFonts w:cstheme="minorHAnsi"/>
                <w:sz w:val="18"/>
                <w:szCs w:val="18"/>
              </w:rPr>
              <w:t>/</w:t>
            </w:r>
          </w:p>
          <w:p w14:paraId="226849AF" w14:textId="72EDD7B0" w:rsidR="00F05224" w:rsidRPr="00445659" w:rsidRDefault="008C41F5" w:rsidP="00FC3B47">
            <w:pPr>
              <w:contextualSpacing/>
              <w:rPr>
                <w:rFonts w:cstheme="minorHAnsi"/>
                <w:sz w:val="18"/>
                <w:szCs w:val="18"/>
              </w:rPr>
            </w:pPr>
            <w:r w:rsidRPr="00445659">
              <w:rPr>
                <w:rFonts w:cstheme="minorHAnsi"/>
                <w:sz w:val="18"/>
                <w:szCs w:val="18"/>
              </w:rPr>
              <w:t>extinct</w:t>
            </w:r>
            <w:r w:rsidR="00F05224" w:rsidRPr="00445659">
              <w:rPr>
                <w:rFonts w:cstheme="minorHAnsi"/>
                <w:sz w:val="18"/>
                <w:szCs w:val="18"/>
              </w:rPr>
              <w:t xml:space="preserve"> in EC</w:t>
            </w:r>
          </w:p>
        </w:tc>
        <w:tc>
          <w:tcPr>
            <w:tcW w:w="1079" w:type="pct"/>
          </w:tcPr>
          <w:p w14:paraId="15DF7E57" w14:textId="77777777" w:rsidR="00F05224" w:rsidRPr="00445659" w:rsidRDefault="00F05224" w:rsidP="006A33F5">
            <w:pPr>
              <w:spacing w:after="0" w:line="240" w:lineRule="auto"/>
              <w:rPr>
                <w:rFonts w:cstheme="minorHAnsi"/>
                <w:sz w:val="18"/>
                <w:szCs w:val="18"/>
              </w:rPr>
            </w:pPr>
            <w:r w:rsidRPr="00445659">
              <w:rPr>
                <w:rFonts w:cstheme="minorHAnsi"/>
                <w:b/>
                <w:bCs/>
                <w:sz w:val="18"/>
                <w:szCs w:val="18"/>
              </w:rPr>
              <w:t>2008:</w:t>
            </w:r>
            <w:r w:rsidRPr="00445659">
              <w:rPr>
                <w:rFonts w:cstheme="minorHAnsi"/>
                <w:sz w:val="18"/>
                <w:szCs w:val="18"/>
              </w:rPr>
              <w:t xml:space="preserve"> extirpated in EC</w:t>
            </w:r>
          </w:p>
          <w:p w14:paraId="39FE9930" w14:textId="77777777" w:rsidR="00F05224" w:rsidRPr="00445659" w:rsidRDefault="00F05224" w:rsidP="006A33F5">
            <w:pPr>
              <w:spacing w:after="0" w:line="240" w:lineRule="auto"/>
              <w:rPr>
                <w:rFonts w:cstheme="minorHAnsi"/>
                <w:sz w:val="18"/>
                <w:szCs w:val="18"/>
              </w:rPr>
            </w:pPr>
            <w:r w:rsidRPr="00445659">
              <w:rPr>
                <w:rFonts w:cstheme="minorHAnsi"/>
                <w:b/>
                <w:bCs/>
                <w:sz w:val="18"/>
                <w:szCs w:val="18"/>
              </w:rPr>
              <w:t>2019-20:</w:t>
            </w:r>
            <w:r w:rsidRPr="00445659">
              <w:rPr>
                <w:rFonts w:cstheme="minorHAnsi"/>
                <w:sz w:val="18"/>
                <w:szCs w:val="18"/>
              </w:rPr>
              <w:t xml:space="preserve"> low numbers from reintroductions</w:t>
            </w:r>
          </w:p>
          <w:p w14:paraId="77478826" w14:textId="77777777" w:rsidR="00F05224" w:rsidRPr="00445659" w:rsidRDefault="00F05224" w:rsidP="006A33F5">
            <w:pPr>
              <w:spacing w:after="0" w:line="240" w:lineRule="auto"/>
              <w:rPr>
                <w:rFonts w:cstheme="minorHAnsi"/>
                <w:sz w:val="18"/>
                <w:szCs w:val="18"/>
              </w:rPr>
            </w:pPr>
            <w:r w:rsidRPr="00445659">
              <w:rPr>
                <w:rFonts w:cstheme="minorHAnsi"/>
                <w:b/>
                <w:bCs/>
                <w:sz w:val="18"/>
                <w:szCs w:val="18"/>
              </w:rPr>
              <w:t>2021:</w:t>
            </w:r>
            <w:r w:rsidRPr="00445659">
              <w:rPr>
                <w:rFonts w:cstheme="minorHAnsi"/>
                <w:sz w:val="18"/>
                <w:szCs w:val="18"/>
              </w:rPr>
              <w:t xml:space="preserve"> 4x numbers of previous survey (‘reestablished)</w:t>
            </w:r>
          </w:p>
          <w:p w14:paraId="0E3EFF1C" w14:textId="77777777" w:rsidR="00F05224" w:rsidRPr="00445659" w:rsidRDefault="00F05224" w:rsidP="006A33F5">
            <w:pPr>
              <w:spacing w:after="0" w:line="240" w:lineRule="auto"/>
              <w:rPr>
                <w:rFonts w:cstheme="minorHAnsi"/>
                <w:sz w:val="18"/>
                <w:szCs w:val="18"/>
              </w:rPr>
            </w:pPr>
            <w:r w:rsidRPr="00445659">
              <w:rPr>
                <w:rFonts w:cstheme="minorHAnsi"/>
                <w:b/>
                <w:bCs/>
                <w:sz w:val="18"/>
                <w:szCs w:val="18"/>
              </w:rPr>
              <w:t>2024:</w:t>
            </w:r>
            <w:r w:rsidRPr="00445659">
              <w:rPr>
                <w:rFonts w:cstheme="minorHAnsi"/>
                <w:sz w:val="18"/>
                <w:szCs w:val="18"/>
              </w:rPr>
              <w:t xml:space="preserve"> increasing numbers on Mundoo Island, lowering numbers on Hindmarsh Island  </w:t>
            </w:r>
          </w:p>
        </w:tc>
      </w:tr>
      <w:tr w:rsidR="00544DD9" w:rsidRPr="005361DC" w14:paraId="22ED4095" w14:textId="77777777" w:rsidTr="00543BB8">
        <w:trPr>
          <w:trHeight w:val="2721"/>
        </w:trPr>
        <w:tc>
          <w:tcPr>
            <w:tcW w:w="743" w:type="pct"/>
          </w:tcPr>
          <w:p w14:paraId="447CEEE4" w14:textId="77777777" w:rsidR="000D1D7A" w:rsidRPr="00445659" w:rsidRDefault="00F05224" w:rsidP="000D1D7A">
            <w:pPr>
              <w:contextualSpacing/>
              <w:rPr>
                <w:rFonts w:cstheme="minorHAnsi"/>
                <w:b/>
                <w:bCs/>
                <w:sz w:val="18"/>
                <w:szCs w:val="18"/>
              </w:rPr>
            </w:pPr>
            <w:r w:rsidRPr="00445659">
              <w:rPr>
                <w:rFonts w:cstheme="minorHAnsi"/>
                <w:b/>
                <w:bCs/>
                <w:sz w:val="18"/>
                <w:szCs w:val="18"/>
              </w:rPr>
              <w:t>Surveys</w:t>
            </w:r>
            <w:r w:rsidR="000D1D7A" w:rsidRPr="00445659">
              <w:rPr>
                <w:rFonts w:cstheme="minorHAnsi"/>
                <w:b/>
                <w:bCs/>
                <w:sz w:val="18"/>
                <w:szCs w:val="18"/>
              </w:rPr>
              <w:t xml:space="preserve"> </w:t>
            </w:r>
          </w:p>
          <w:p w14:paraId="515BD4D8" w14:textId="2901C8B1" w:rsidR="00F05224" w:rsidRPr="00445659" w:rsidRDefault="00F05224" w:rsidP="000D1D7A">
            <w:pPr>
              <w:contextualSpacing/>
              <w:rPr>
                <w:rFonts w:cstheme="minorHAnsi"/>
                <w:b/>
                <w:bCs/>
                <w:sz w:val="18"/>
                <w:szCs w:val="18"/>
              </w:rPr>
            </w:pPr>
            <w:r w:rsidRPr="00445659">
              <w:rPr>
                <w:rFonts w:cstheme="minorHAnsi"/>
                <w:b/>
                <w:bCs/>
                <w:sz w:val="18"/>
                <w:szCs w:val="18"/>
              </w:rPr>
              <w:t>(from Nov. 2009)</w:t>
            </w:r>
          </w:p>
        </w:tc>
        <w:tc>
          <w:tcPr>
            <w:tcW w:w="1154" w:type="pct"/>
          </w:tcPr>
          <w:p w14:paraId="4B0152DC" w14:textId="77777777" w:rsidR="00F05224" w:rsidRPr="00445659" w:rsidRDefault="00F05224" w:rsidP="000D1D7A">
            <w:pPr>
              <w:contextualSpacing/>
              <w:rPr>
                <w:rFonts w:cstheme="minorHAnsi"/>
                <w:sz w:val="18"/>
                <w:szCs w:val="18"/>
              </w:rPr>
            </w:pPr>
            <w:r w:rsidRPr="00445659">
              <w:rPr>
                <w:rFonts w:cstheme="minorHAnsi"/>
                <w:b/>
                <w:bCs/>
                <w:sz w:val="18"/>
                <w:szCs w:val="18"/>
              </w:rPr>
              <w:t xml:space="preserve">2009-2012: </w:t>
            </w:r>
            <w:r w:rsidRPr="00445659">
              <w:rPr>
                <w:rFonts w:cstheme="minorHAnsi"/>
                <w:sz w:val="18"/>
                <w:szCs w:val="18"/>
              </w:rPr>
              <w:t>none past Nov. 2010</w:t>
            </w:r>
          </w:p>
          <w:p w14:paraId="0CD4AD73" w14:textId="77777777" w:rsidR="00F05224" w:rsidRPr="00445659" w:rsidRDefault="00F05224" w:rsidP="000D1D7A">
            <w:pPr>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74 sites – at 13 sites</w:t>
            </w:r>
          </w:p>
          <w:p w14:paraId="560EBAFD" w14:textId="77777777" w:rsidR="00F05224" w:rsidRPr="00445659" w:rsidRDefault="00F05224" w:rsidP="000D1D7A">
            <w:pPr>
              <w:contextualSpacing/>
              <w:rPr>
                <w:rFonts w:cstheme="minorHAnsi"/>
                <w:sz w:val="18"/>
                <w:szCs w:val="18"/>
              </w:rPr>
            </w:pPr>
            <w:r w:rsidRPr="00445659">
              <w:rPr>
                <w:rFonts w:cstheme="minorHAnsi"/>
                <w:b/>
                <w:bCs/>
                <w:sz w:val="18"/>
                <w:szCs w:val="18"/>
              </w:rPr>
              <w:t>2015:</w:t>
            </w:r>
            <w:r w:rsidRPr="00445659">
              <w:rPr>
                <w:rFonts w:cstheme="minorHAnsi"/>
                <w:sz w:val="18"/>
                <w:szCs w:val="18"/>
              </w:rPr>
              <w:t xml:space="preserve"> high abundance 2 saline sites with habitat recovery + e-water, in SA Riverland</w:t>
            </w:r>
          </w:p>
          <w:p w14:paraId="0E286E2E" w14:textId="77777777" w:rsidR="00F05224" w:rsidRPr="00445659" w:rsidRDefault="00F05224" w:rsidP="000D1D7A">
            <w:pPr>
              <w:contextualSpacing/>
              <w:rPr>
                <w:rFonts w:cstheme="minorHAnsi"/>
                <w:sz w:val="18"/>
                <w:szCs w:val="18"/>
              </w:rPr>
            </w:pPr>
            <w:r w:rsidRPr="00445659">
              <w:rPr>
                <w:rFonts w:cstheme="minorHAnsi"/>
                <w:b/>
                <w:bCs/>
                <w:sz w:val="18"/>
                <w:szCs w:val="18"/>
              </w:rPr>
              <w:t>2016:</w:t>
            </w:r>
            <w:r w:rsidRPr="00445659">
              <w:rPr>
                <w:rFonts w:cstheme="minorHAnsi"/>
                <w:sz w:val="18"/>
                <w:szCs w:val="18"/>
              </w:rPr>
              <w:t xml:space="preserve"> at 7 of 20 sites</w:t>
            </w:r>
          </w:p>
          <w:p w14:paraId="40178E43" w14:textId="77777777" w:rsidR="00F05224" w:rsidRPr="00445659" w:rsidRDefault="00F05224" w:rsidP="000D1D7A">
            <w:pPr>
              <w:contextualSpacing/>
              <w:rPr>
                <w:rFonts w:cstheme="minorHAnsi"/>
                <w:sz w:val="18"/>
                <w:szCs w:val="18"/>
              </w:rPr>
            </w:pPr>
            <w:r w:rsidRPr="00445659">
              <w:rPr>
                <w:rFonts w:cstheme="minorHAnsi"/>
                <w:b/>
                <w:bCs/>
                <w:sz w:val="18"/>
                <w:szCs w:val="18"/>
              </w:rPr>
              <w:t>2017:</w:t>
            </w:r>
            <w:r w:rsidRPr="00445659">
              <w:rPr>
                <w:rFonts w:cstheme="minorHAnsi"/>
                <w:sz w:val="18"/>
                <w:szCs w:val="18"/>
              </w:rPr>
              <w:t xml:space="preserve"> 8 known sites from SA &amp; VIC </w:t>
            </w:r>
          </w:p>
          <w:p w14:paraId="62B978FA" w14:textId="61B4353E" w:rsidR="00F05224" w:rsidRPr="00445659" w:rsidRDefault="00F05224" w:rsidP="000D1D7A">
            <w:pPr>
              <w:contextualSpacing/>
              <w:rPr>
                <w:rFonts w:cstheme="minorHAnsi"/>
                <w:sz w:val="18"/>
                <w:szCs w:val="18"/>
              </w:rPr>
            </w:pPr>
            <w:r w:rsidRPr="00445659">
              <w:rPr>
                <w:rFonts w:cstheme="minorHAnsi"/>
                <w:b/>
                <w:bCs/>
                <w:sz w:val="18"/>
                <w:szCs w:val="18"/>
              </w:rPr>
              <w:t>2019-21:</w:t>
            </w:r>
            <w:r w:rsidRPr="00445659">
              <w:rPr>
                <w:rFonts w:cstheme="minorHAnsi"/>
                <w:sz w:val="18"/>
                <w:szCs w:val="18"/>
              </w:rPr>
              <w:t xml:space="preserve"> at 5 of 23/4 sites</w:t>
            </w:r>
          </w:p>
        </w:tc>
        <w:tc>
          <w:tcPr>
            <w:tcW w:w="1010" w:type="pct"/>
          </w:tcPr>
          <w:p w14:paraId="00630A75" w14:textId="77777777" w:rsidR="00F05224" w:rsidRPr="00445659" w:rsidRDefault="00F05224" w:rsidP="000D1D7A">
            <w:pPr>
              <w:contextualSpacing/>
              <w:rPr>
                <w:rFonts w:cstheme="minorHAnsi"/>
                <w:sz w:val="18"/>
                <w:szCs w:val="18"/>
              </w:rPr>
            </w:pPr>
            <w:r w:rsidRPr="00445659">
              <w:rPr>
                <w:rFonts w:cstheme="minorHAnsi"/>
                <w:b/>
                <w:bCs/>
                <w:sz w:val="18"/>
                <w:szCs w:val="18"/>
              </w:rPr>
              <w:t xml:space="preserve">2009-2012: </w:t>
            </w:r>
            <w:r w:rsidRPr="00445659">
              <w:rPr>
                <w:rFonts w:cstheme="minorHAnsi"/>
                <w:sz w:val="18"/>
                <w:szCs w:val="18"/>
              </w:rPr>
              <w:t>None</w:t>
            </w:r>
          </w:p>
          <w:p w14:paraId="7294D2BD" w14:textId="77777777" w:rsidR="00F05224" w:rsidRPr="00445659" w:rsidRDefault="00F05224" w:rsidP="000D1D7A">
            <w:pPr>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74 sites – None</w:t>
            </w:r>
          </w:p>
          <w:p w14:paraId="52658B41" w14:textId="77777777" w:rsidR="00F05224" w:rsidRPr="00445659" w:rsidRDefault="00F05224" w:rsidP="000D1D7A">
            <w:pPr>
              <w:contextualSpacing/>
              <w:rPr>
                <w:rFonts w:cstheme="minorHAnsi"/>
                <w:sz w:val="18"/>
                <w:szCs w:val="18"/>
              </w:rPr>
            </w:pPr>
            <w:r w:rsidRPr="00445659">
              <w:rPr>
                <w:rFonts w:cstheme="minorHAnsi"/>
                <w:b/>
                <w:bCs/>
                <w:sz w:val="18"/>
                <w:szCs w:val="18"/>
              </w:rPr>
              <w:t>2016:</w:t>
            </w:r>
            <w:r w:rsidRPr="00445659">
              <w:rPr>
                <w:rFonts w:cstheme="minorHAnsi"/>
                <w:sz w:val="18"/>
                <w:szCs w:val="18"/>
              </w:rPr>
              <w:t xml:space="preserve"> 20 sites - None</w:t>
            </w:r>
          </w:p>
          <w:p w14:paraId="1C9C28BD" w14:textId="77777777" w:rsidR="00F05224" w:rsidRPr="00445659" w:rsidRDefault="00F05224" w:rsidP="000D1D7A">
            <w:pPr>
              <w:contextualSpacing/>
              <w:rPr>
                <w:rFonts w:cstheme="minorHAnsi"/>
                <w:sz w:val="18"/>
                <w:szCs w:val="18"/>
              </w:rPr>
            </w:pPr>
            <w:r w:rsidRPr="00445659">
              <w:rPr>
                <w:rFonts w:cstheme="minorHAnsi"/>
                <w:b/>
                <w:bCs/>
                <w:sz w:val="18"/>
                <w:szCs w:val="18"/>
              </w:rPr>
              <w:t>2019:</w:t>
            </w:r>
            <w:r w:rsidRPr="00445659">
              <w:rPr>
                <w:rFonts w:cstheme="minorHAnsi"/>
                <w:sz w:val="18"/>
                <w:szCs w:val="18"/>
              </w:rPr>
              <w:t xml:space="preserve"> 23 sites - None</w:t>
            </w:r>
          </w:p>
          <w:p w14:paraId="2DD39242" w14:textId="77777777" w:rsidR="00F05224" w:rsidRPr="00445659" w:rsidRDefault="00F05224" w:rsidP="00212736">
            <w:pPr>
              <w:contextualSpacing/>
              <w:rPr>
                <w:rFonts w:cstheme="minorHAnsi"/>
                <w:sz w:val="18"/>
                <w:szCs w:val="18"/>
              </w:rPr>
            </w:pPr>
            <w:r w:rsidRPr="00445659">
              <w:rPr>
                <w:rFonts w:cstheme="minorHAnsi"/>
                <w:b/>
                <w:bCs/>
                <w:sz w:val="18"/>
                <w:szCs w:val="18"/>
              </w:rPr>
              <w:t>2021:</w:t>
            </w:r>
            <w:r w:rsidRPr="00445659">
              <w:rPr>
                <w:rFonts w:cstheme="minorHAnsi"/>
                <w:sz w:val="18"/>
                <w:szCs w:val="18"/>
              </w:rPr>
              <w:t xml:space="preserve"> 24 sites - None</w:t>
            </w:r>
          </w:p>
        </w:tc>
        <w:tc>
          <w:tcPr>
            <w:tcW w:w="1014" w:type="pct"/>
          </w:tcPr>
          <w:p w14:paraId="289EBF47" w14:textId="77777777" w:rsidR="00F05224" w:rsidRPr="00445659" w:rsidRDefault="00F05224" w:rsidP="000D1D7A">
            <w:pPr>
              <w:contextualSpacing/>
              <w:rPr>
                <w:rFonts w:cstheme="minorHAnsi"/>
                <w:b/>
                <w:bCs/>
                <w:sz w:val="18"/>
                <w:szCs w:val="18"/>
              </w:rPr>
            </w:pPr>
            <w:r w:rsidRPr="00445659">
              <w:rPr>
                <w:rFonts w:cstheme="minorHAnsi"/>
                <w:b/>
                <w:bCs/>
                <w:sz w:val="18"/>
                <w:szCs w:val="18"/>
              </w:rPr>
              <w:t xml:space="preserve">2009-2012: </w:t>
            </w:r>
            <w:r w:rsidRPr="00445659">
              <w:rPr>
                <w:rFonts w:cstheme="minorHAnsi"/>
                <w:sz w:val="18"/>
                <w:szCs w:val="18"/>
              </w:rPr>
              <w:t>None</w:t>
            </w:r>
          </w:p>
          <w:p w14:paraId="6D1CBD57" w14:textId="77777777" w:rsidR="00F05224" w:rsidRPr="00445659" w:rsidRDefault="00F05224" w:rsidP="000D1D7A">
            <w:pPr>
              <w:contextualSpacing/>
              <w:rPr>
                <w:rFonts w:cstheme="minorHAnsi"/>
                <w:sz w:val="18"/>
                <w:szCs w:val="18"/>
              </w:rPr>
            </w:pPr>
            <w:r w:rsidRPr="00445659">
              <w:rPr>
                <w:rFonts w:cstheme="minorHAnsi"/>
                <w:b/>
                <w:bCs/>
                <w:sz w:val="18"/>
                <w:szCs w:val="18"/>
              </w:rPr>
              <w:t xml:space="preserve">2013-14: </w:t>
            </w:r>
            <w:r w:rsidRPr="00445659">
              <w:rPr>
                <w:rFonts w:cstheme="minorHAnsi"/>
                <w:sz w:val="18"/>
                <w:szCs w:val="18"/>
              </w:rPr>
              <w:t>short-term survival &amp; wild recruitment observed</w:t>
            </w:r>
          </w:p>
          <w:p w14:paraId="02989571" w14:textId="77777777" w:rsidR="00F05224" w:rsidRPr="00445659" w:rsidRDefault="00F05224" w:rsidP="000D1D7A">
            <w:pPr>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74 sites, one fish</w:t>
            </w:r>
          </w:p>
          <w:p w14:paraId="32A9B3A5" w14:textId="77777777" w:rsidR="00F05224" w:rsidRPr="00445659" w:rsidRDefault="00F05224" w:rsidP="000D1D7A">
            <w:pPr>
              <w:contextualSpacing/>
              <w:rPr>
                <w:rFonts w:cstheme="minorHAnsi"/>
                <w:sz w:val="18"/>
                <w:szCs w:val="18"/>
              </w:rPr>
            </w:pPr>
            <w:r w:rsidRPr="00445659">
              <w:rPr>
                <w:rFonts w:cstheme="minorHAnsi"/>
                <w:b/>
                <w:bCs/>
                <w:sz w:val="18"/>
                <w:szCs w:val="18"/>
              </w:rPr>
              <w:t>2016:</w:t>
            </w:r>
            <w:r w:rsidRPr="00445659">
              <w:rPr>
                <w:rFonts w:cstheme="minorHAnsi"/>
                <w:sz w:val="18"/>
                <w:szCs w:val="18"/>
              </w:rPr>
              <w:t xml:space="preserve"> 20 sites - None</w:t>
            </w:r>
          </w:p>
          <w:p w14:paraId="335D7F23" w14:textId="14F452D8" w:rsidR="00F05224" w:rsidRPr="00445659" w:rsidRDefault="00F05224" w:rsidP="000D1D7A">
            <w:pPr>
              <w:contextualSpacing/>
              <w:rPr>
                <w:rFonts w:cstheme="minorHAnsi"/>
                <w:sz w:val="18"/>
                <w:szCs w:val="18"/>
              </w:rPr>
            </w:pPr>
            <w:r w:rsidRPr="00445659">
              <w:rPr>
                <w:rFonts w:cstheme="minorHAnsi"/>
                <w:b/>
                <w:bCs/>
                <w:sz w:val="18"/>
                <w:szCs w:val="18"/>
              </w:rPr>
              <w:t>2018:</w:t>
            </w:r>
            <w:r w:rsidRPr="00445659">
              <w:rPr>
                <w:rFonts w:cstheme="minorHAnsi"/>
                <w:sz w:val="18"/>
                <w:szCs w:val="18"/>
              </w:rPr>
              <w:t xml:space="preserve"> o</w:t>
            </w:r>
            <w:r w:rsidR="00E029AC" w:rsidRPr="00445659">
              <w:rPr>
                <w:rFonts w:cstheme="minorHAnsi"/>
                <w:sz w:val="18"/>
                <w:szCs w:val="18"/>
              </w:rPr>
              <w:t>c</w:t>
            </w:r>
            <w:r w:rsidRPr="00445659">
              <w:rPr>
                <w:rFonts w:cstheme="minorHAnsi"/>
                <w:sz w:val="18"/>
                <w:szCs w:val="18"/>
              </w:rPr>
              <w:t>cupancy study of 32 sites – None</w:t>
            </w:r>
          </w:p>
          <w:p w14:paraId="24E3230E" w14:textId="77777777" w:rsidR="00F05224" w:rsidRPr="00445659" w:rsidRDefault="00F05224" w:rsidP="000D1D7A">
            <w:pPr>
              <w:contextualSpacing/>
              <w:rPr>
                <w:rFonts w:cstheme="minorHAnsi"/>
                <w:sz w:val="18"/>
                <w:szCs w:val="18"/>
              </w:rPr>
            </w:pPr>
            <w:r w:rsidRPr="00445659">
              <w:rPr>
                <w:rFonts w:cstheme="minorHAnsi"/>
                <w:b/>
                <w:bCs/>
                <w:sz w:val="18"/>
                <w:szCs w:val="18"/>
              </w:rPr>
              <w:t>2021:</w:t>
            </w:r>
            <w:r w:rsidRPr="00445659">
              <w:rPr>
                <w:rFonts w:cstheme="minorHAnsi"/>
                <w:sz w:val="18"/>
                <w:szCs w:val="18"/>
              </w:rPr>
              <w:t xml:space="preserve"> 24 sites - None</w:t>
            </w:r>
          </w:p>
          <w:p w14:paraId="38C4928C" w14:textId="77777777" w:rsidR="00F05224" w:rsidRPr="00445659" w:rsidRDefault="00F05224" w:rsidP="000D1D7A">
            <w:pPr>
              <w:contextualSpacing/>
              <w:rPr>
                <w:rFonts w:cstheme="minorHAnsi"/>
                <w:sz w:val="18"/>
                <w:szCs w:val="18"/>
              </w:rPr>
            </w:pPr>
            <w:r w:rsidRPr="00445659">
              <w:rPr>
                <w:rFonts w:cstheme="minorHAnsi"/>
                <w:b/>
                <w:sz w:val="18"/>
                <w:szCs w:val="18"/>
              </w:rPr>
              <w:t>2023</w:t>
            </w:r>
            <w:r w:rsidRPr="00445659">
              <w:rPr>
                <w:rFonts w:cstheme="minorHAnsi"/>
                <w:sz w:val="18"/>
                <w:szCs w:val="18"/>
              </w:rPr>
              <w:t>: recaptures few weeks after reintro.</w:t>
            </w:r>
          </w:p>
        </w:tc>
        <w:tc>
          <w:tcPr>
            <w:tcW w:w="1079" w:type="pct"/>
          </w:tcPr>
          <w:p w14:paraId="6836E31E" w14:textId="77777777" w:rsidR="00F05224" w:rsidRPr="00445659" w:rsidRDefault="00F05224" w:rsidP="000D1D7A">
            <w:pPr>
              <w:contextualSpacing/>
              <w:rPr>
                <w:rFonts w:cstheme="minorHAnsi"/>
                <w:sz w:val="18"/>
                <w:szCs w:val="18"/>
              </w:rPr>
            </w:pPr>
            <w:r w:rsidRPr="00445659">
              <w:rPr>
                <w:rFonts w:cstheme="minorHAnsi"/>
                <w:b/>
                <w:bCs/>
                <w:sz w:val="18"/>
                <w:szCs w:val="18"/>
              </w:rPr>
              <w:t>2009-2012</w:t>
            </w:r>
            <w:r w:rsidRPr="00445659">
              <w:rPr>
                <w:rFonts w:cstheme="minorHAnsi"/>
                <w:sz w:val="18"/>
                <w:szCs w:val="18"/>
              </w:rPr>
              <w:t xml:space="preserve">: 2 recaptures Nov. 2011 (from intros 3 weeks prior) </w:t>
            </w:r>
          </w:p>
          <w:p w14:paraId="1CB3E312" w14:textId="77777777" w:rsidR="00F05224" w:rsidRPr="00445659" w:rsidRDefault="00F05224" w:rsidP="000D1D7A">
            <w:pPr>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at one of 74 sites </w:t>
            </w:r>
          </w:p>
          <w:p w14:paraId="3C1AF5F7" w14:textId="77777777" w:rsidR="00F05224" w:rsidRPr="00445659" w:rsidRDefault="00F05224" w:rsidP="000D1D7A">
            <w:pPr>
              <w:contextualSpacing/>
              <w:rPr>
                <w:rFonts w:cstheme="minorHAnsi"/>
                <w:bCs/>
                <w:sz w:val="18"/>
                <w:szCs w:val="18"/>
              </w:rPr>
            </w:pPr>
            <w:r w:rsidRPr="00445659">
              <w:rPr>
                <w:rFonts w:cstheme="minorHAnsi"/>
                <w:b/>
                <w:sz w:val="18"/>
                <w:szCs w:val="18"/>
              </w:rPr>
              <w:t xml:space="preserve">2016: </w:t>
            </w:r>
            <w:r w:rsidRPr="00445659">
              <w:rPr>
                <w:rFonts w:cstheme="minorHAnsi"/>
                <w:bCs/>
                <w:sz w:val="18"/>
                <w:szCs w:val="18"/>
              </w:rPr>
              <w:t>at 5 of 20 sites TLM</w:t>
            </w:r>
          </w:p>
          <w:p w14:paraId="715AE90F" w14:textId="77777777" w:rsidR="00F05224" w:rsidRPr="00445659" w:rsidRDefault="00F05224" w:rsidP="000D1D7A">
            <w:pPr>
              <w:contextualSpacing/>
              <w:rPr>
                <w:rFonts w:cstheme="minorHAnsi"/>
                <w:bCs/>
                <w:sz w:val="18"/>
                <w:szCs w:val="18"/>
              </w:rPr>
            </w:pPr>
            <w:r w:rsidRPr="00445659">
              <w:rPr>
                <w:rFonts w:cstheme="minorHAnsi"/>
                <w:b/>
                <w:sz w:val="18"/>
                <w:szCs w:val="18"/>
              </w:rPr>
              <w:t>2019:</w:t>
            </w:r>
            <w:r w:rsidRPr="00445659">
              <w:rPr>
                <w:rFonts w:cstheme="minorHAnsi"/>
                <w:bCs/>
                <w:sz w:val="18"/>
                <w:szCs w:val="18"/>
              </w:rPr>
              <w:t xml:space="preserve"> at 9 of 23 sites TLM</w:t>
            </w:r>
          </w:p>
          <w:p w14:paraId="47ABC69B" w14:textId="77777777" w:rsidR="00F05224" w:rsidRPr="00445659" w:rsidRDefault="00F05224" w:rsidP="000D1D7A">
            <w:pPr>
              <w:contextualSpacing/>
              <w:rPr>
                <w:rFonts w:cstheme="minorHAnsi"/>
                <w:b/>
                <w:sz w:val="18"/>
                <w:szCs w:val="18"/>
              </w:rPr>
            </w:pPr>
            <w:r w:rsidRPr="00445659">
              <w:rPr>
                <w:rFonts w:cstheme="minorHAnsi"/>
                <w:b/>
                <w:sz w:val="18"/>
                <w:szCs w:val="18"/>
              </w:rPr>
              <w:t>2021:</w:t>
            </w:r>
            <w:r w:rsidRPr="00445659">
              <w:rPr>
                <w:rFonts w:cstheme="minorHAnsi"/>
                <w:bCs/>
                <w:sz w:val="18"/>
                <w:szCs w:val="18"/>
              </w:rPr>
              <w:t xml:space="preserve"> at 9 of 24 sites TLM</w:t>
            </w:r>
          </w:p>
          <w:p w14:paraId="23EF005A" w14:textId="77777777" w:rsidR="00F05224" w:rsidRPr="00445659" w:rsidRDefault="00F05224" w:rsidP="000D1D7A">
            <w:pPr>
              <w:contextualSpacing/>
              <w:rPr>
                <w:rFonts w:cstheme="minorHAnsi"/>
                <w:sz w:val="18"/>
                <w:szCs w:val="18"/>
              </w:rPr>
            </w:pPr>
            <w:r w:rsidRPr="00445659">
              <w:rPr>
                <w:rFonts w:cstheme="minorHAnsi"/>
                <w:b/>
                <w:sz w:val="18"/>
                <w:szCs w:val="18"/>
              </w:rPr>
              <w:t>2024</w:t>
            </w:r>
            <w:r w:rsidRPr="00445659">
              <w:rPr>
                <w:rFonts w:cstheme="minorHAnsi"/>
                <w:sz w:val="18"/>
                <w:szCs w:val="18"/>
              </w:rPr>
              <w:t>: at 6 of 24 sites (total 448 fish) in The Living Murray (TLM) condition monitoring</w:t>
            </w:r>
          </w:p>
        </w:tc>
      </w:tr>
      <w:tr w:rsidR="00544DD9" w:rsidRPr="005361DC" w14:paraId="36554E2A" w14:textId="77777777" w:rsidTr="00543BB8">
        <w:trPr>
          <w:trHeight w:val="2541"/>
        </w:trPr>
        <w:tc>
          <w:tcPr>
            <w:tcW w:w="743" w:type="pct"/>
          </w:tcPr>
          <w:p w14:paraId="02D35D57" w14:textId="77777777" w:rsidR="00F05224" w:rsidRPr="00445659" w:rsidRDefault="00F05224" w:rsidP="002B4746">
            <w:pPr>
              <w:rPr>
                <w:rFonts w:cstheme="minorHAnsi"/>
                <w:b/>
                <w:bCs/>
                <w:sz w:val="18"/>
                <w:szCs w:val="18"/>
              </w:rPr>
            </w:pPr>
            <w:r w:rsidRPr="00445659">
              <w:rPr>
                <w:rFonts w:cstheme="minorHAnsi"/>
                <w:b/>
                <w:bCs/>
                <w:sz w:val="18"/>
                <w:szCs w:val="18"/>
              </w:rPr>
              <w:t>Potential cause of decline</w:t>
            </w:r>
          </w:p>
        </w:tc>
        <w:tc>
          <w:tcPr>
            <w:tcW w:w="1154" w:type="pct"/>
          </w:tcPr>
          <w:p w14:paraId="01B0717B"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river regulation</w:t>
            </w:r>
          </w:p>
          <w:p w14:paraId="68FE28DE"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Millennium Drought</w:t>
            </w:r>
          </w:p>
          <w:p w14:paraId="7972AB6D"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poor water quality</w:t>
            </w:r>
          </w:p>
          <w:p w14:paraId="3F27648A"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isolation of wetlands</w:t>
            </w:r>
          </w:p>
          <w:p w14:paraId="6548EA5B" w14:textId="42583532"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 xml:space="preserve">competition/ predation from invasive fish </w:t>
            </w:r>
          </w:p>
          <w:p w14:paraId="3953984D"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lack of dispersal mechanisms</w:t>
            </w:r>
          </w:p>
          <w:p w14:paraId="57068362"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eggs less tolerant of high salinity</w:t>
            </w:r>
          </w:p>
        </w:tc>
        <w:tc>
          <w:tcPr>
            <w:tcW w:w="1010" w:type="pct"/>
          </w:tcPr>
          <w:p w14:paraId="2FEB3665"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river regulation (flows and diversions)</w:t>
            </w:r>
          </w:p>
          <w:p w14:paraId="6D929AD4"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habitat loss</w:t>
            </w:r>
          </w:p>
          <w:p w14:paraId="2C4AA490"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predation/ competition by alien fish</w:t>
            </w:r>
          </w:p>
          <w:p w14:paraId="4697F15E"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drought</w:t>
            </w:r>
          </w:p>
          <w:p w14:paraId="4E1380CF"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potentially bushfire</w:t>
            </w:r>
          </w:p>
        </w:tc>
        <w:tc>
          <w:tcPr>
            <w:tcW w:w="1014" w:type="pct"/>
          </w:tcPr>
          <w:p w14:paraId="5D4160FC"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river regulation</w:t>
            </w:r>
          </w:p>
          <w:p w14:paraId="303290F2"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Millennium Drought</w:t>
            </w:r>
          </w:p>
          <w:p w14:paraId="1EEF4EE3"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low Lake levels</w:t>
            </w:r>
          </w:p>
          <w:p w14:paraId="5DB20C11"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desiccation of fringing vegetation</w:t>
            </w:r>
          </w:p>
          <w:p w14:paraId="1285CB75"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 xml:space="preserve">changes to aquatic vegetation </w:t>
            </w:r>
          </w:p>
          <w:p w14:paraId="31DB14D5"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invasive fish impacts</w:t>
            </w:r>
          </w:p>
          <w:p w14:paraId="3CBAF43D"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poor water quality</w:t>
            </w:r>
          </w:p>
          <w:p w14:paraId="6B389F39"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 xml:space="preserve">low zooplankton </w:t>
            </w:r>
          </w:p>
        </w:tc>
        <w:tc>
          <w:tcPr>
            <w:tcW w:w="1079" w:type="pct"/>
          </w:tcPr>
          <w:p w14:paraId="76415074"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 xml:space="preserve">river regulation </w:t>
            </w:r>
          </w:p>
          <w:p w14:paraId="42B870FF"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Millennium Drought</w:t>
            </w:r>
          </w:p>
          <w:p w14:paraId="38D3AE0B"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low Lake levels</w:t>
            </w:r>
          </w:p>
          <w:p w14:paraId="2BC8B9CF"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loss of fringing veg.</w:t>
            </w:r>
          </w:p>
          <w:p w14:paraId="4E8CFD8F"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changes to aquatic vegetation composition</w:t>
            </w:r>
          </w:p>
          <w:p w14:paraId="11E83C1B"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invasive fish predation/ competition</w:t>
            </w:r>
          </w:p>
          <w:p w14:paraId="15569388"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poor water quality</w:t>
            </w:r>
          </w:p>
          <w:p w14:paraId="356672F7" w14:textId="77777777" w:rsidR="00F05224" w:rsidRPr="00445659" w:rsidRDefault="00F05224" w:rsidP="00A20AD7">
            <w:pPr>
              <w:pStyle w:val="ListParagraph"/>
              <w:numPr>
                <w:ilvl w:val="0"/>
                <w:numId w:val="81"/>
              </w:numPr>
              <w:spacing w:after="0"/>
              <w:rPr>
                <w:rFonts w:cstheme="minorHAnsi"/>
                <w:sz w:val="18"/>
                <w:szCs w:val="18"/>
              </w:rPr>
            </w:pPr>
            <w:r w:rsidRPr="00445659">
              <w:rPr>
                <w:rFonts w:cstheme="minorHAnsi"/>
                <w:sz w:val="18"/>
                <w:szCs w:val="18"/>
              </w:rPr>
              <w:t>low zooplankton (food)</w:t>
            </w:r>
          </w:p>
        </w:tc>
      </w:tr>
      <w:tr w:rsidR="00544DD9" w:rsidRPr="005361DC" w14:paraId="571D242A" w14:textId="77777777" w:rsidTr="00543BB8">
        <w:trPr>
          <w:trHeight w:val="238"/>
        </w:trPr>
        <w:tc>
          <w:tcPr>
            <w:tcW w:w="743" w:type="pct"/>
          </w:tcPr>
          <w:p w14:paraId="22B77BF2" w14:textId="77777777" w:rsidR="00F05224" w:rsidRPr="00445659" w:rsidRDefault="00F05224" w:rsidP="002B4746">
            <w:pPr>
              <w:spacing w:after="0"/>
              <w:contextualSpacing/>
              <w:rPr>
                <w:rFonts w:cstheme="minorHAnsi"/>
                <w:b/>
                <w:bCs/>
                <w:sz w:val="18"/>
                <w:szCs w:val="18"/>
              </w:rPr>
            </w:pPr>
            <w:r w:rsidRPr="00445659">
              <w:rPr>
                <w:rFonts w:cstheme="minorHAnsi"/>
                <w:b/>
                <w:bCs/>
                <w:sz w:val="18"/>
                <w:szCs w:val="18"/>
              </w:rPr>
              <w:lastRenderedPageBreak/>
              <w:t>Translocations</w:t>
            </w:r>
          </w:p>
          <w:p w14:paraId="3F092982" w14:textId="77777777" w:rsidR="00F36E42" w:rsidRPr="00445659" w:rsidRDefault="00F36E42" w:rsidP="002B4746">
            <w:pPr>
              <w:spacing w:after="0"/>
              <w:contextualSpacing/>
              <w:rPr>
                <w:rFonts w:cstheme="minorHAnsi"/>
                <w:b/>
                <w:bCs/>
                <w:sz w:val="18"/>
                <w:szCs w:val="18"/>
              </w:rPr>
            </w:pPr>
          </w:p>
          <w:p w14:paraId="18C0486C" w14:textId="77777777" w:rsidR="00F36E42" w:rsidRPr="00445659" w:rsidRDefault="00F36E42" w:rsidP="002B4746">
            <w:pPr>
              <w:spacing w:after="0"/>
              <w:contextualSpacing/>
              <w:rPr>
                <w:rFonts w:cstheme="minorHAnsi"/>
                <w:b/>
                <w:bCs/>
                <w:sz w:val="18"/>
                <w:szCs w:val="18"/>
              </w:rPr>
            </w:pPr>
          </w:p>
          <w:p w14:paraId="2EBD7CDC" w14:textId="77777777" w:rsidR="00F36E42" w:rsidRPr="00445659" w:rsidRDefault="00F36E42" w:rsidP="002B4746">
            <w:pPr>
              <w:spacing w:after="0"/>
              <w:contextualSpacing/>
              <w:rPr>
                <w:rFonts w:cstheme="minorHAnsi"/>
                <w:b/>
                <w:bCs/>
                <w:sz w:val="18"/>
                <w:szCs w:val="18"/>
              </w:rPr>
            </w:pPr>
          </w:p>
          <w:p w14:paraId="5E7E0D35" w14:textId="77777777" w:rsidR="00F36E42" w:rsidRPr="00445659" w:rsidRDefault="00F36E42" w:rsidP="002B4746">
            <w:pPr>
              <w:spacing w:after="0"/>
              <w:contextualSpacing/>
              <w:rPr>
                <w:rFonts w:cstheme="minorHAnsi"/>
                <w:b/>
                <w:bCs/>
                <w:sz w:val="18"/>
                <w:szCs w:val="18"/>
              </w:rPr>
            </w:pPr>
          </w:p>
          <w:p w14:paraId="01A47256" w14:textId="227769EE" w:rsidR="00F36E42" w:rsidRPr="00445659" w:rsidRDefault="00F36E42" w:rsidP="002B4746">
            <w:pPr>
              <w:spacing w:after="0"/>
              <w:contextualSpacing/>
              <w:rPr>
                <w:rFonts w:cstheme="minorHAnsi"/>
                <w:b/>
                <w:bCs/>
                <w:sz w:val="18"/>
                <w:szCs w:val="18"/>
              </w:rPr>
            </w:pPr>
          </w:p>
        </w:tc>
        <w:tc>
          <w:tcPr>
            <w:tcW w:w="1154" w:type="pct"/>
          </w:tcPr>
          <w:p w14:paraId="1CC2EEE3"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2014-15:</w:t>
            </w:r>
            <w:r w:rsidRPr="00445659">
              <w:rPr>
                <w:rFonts w:cstheme="minorHAnsi"/>
                <w:sz w:val="18"/>
                <w:szCs w:val="18"/>
              </w:rPr>
              <w:t xml:space="preserve"> fish translocated from Riverland sites to VIC</w:t>
            </w:r>
          </w:p>
          <w:p w14:paraId="7D53434B"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2018:</w:t>
            </w:r>
            <w:r w:rsidRPr="00445659">
              <w:rPr>
                <w:rFonts w:cstheme="minorHAnsi"/>
                <w:sz w:val="18"/>
                <w:szCs w:val="18"/>
              </w:rPr>
              <w:t xml:space="preserve"> successful captive breeding VIC</w:t>
            </w:r>
          </w:p>
          <w:p w14:paraId="7E498EDD"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2018:</w:t>
            </w:r>
            <w:r w:rsidRPr="00445659">
              <w:rPr>
                <w:rFonts w:cstheme="minorHAnsi"/>
                <w:sz w:val="18"/>
                <w:szCs w:val="18"/>
              </w:rPr>
              <w:t xml:space="preserve"> 830 translocated from SA to NSW (with e-water); 3 wetland sites, appeared successful in 2019</w:t>
            </w:r>
          </w:p>
        </w:tc>
        <w:tc>
          <w:tcPr>
            <w:tcW w:w="1010" w:type="pct"/>
          </w:tcPr>
          <w:p w14:paraId="66FAAB32" w14:textId="73EE2CF5" w:rsidR="00F05224" w:rsidRPr="00445659" w:rsidRDefault="00F05224" w:rsidP="002B4746">
            <w:pPr>
              <w:spacing w:after="0"/>
              <w:contextualSpacing/>
              <w:rPr>
                <w:rFonts w:cstheme="minorHAnsi"/>
                <w:sz w:val="18"/>
                <w:szCs w:val="18"/>
              </w:rPr>
            </w:pPr>
            <w:r w:rsidRPr="00445659">
              <w:rPr>
                <w:rFonts w:cstheme="minorHAnsi"/>
                <w:b/>
                <w:bCs/>
                <w:sz w:val="18"/>
                <w:szCs w:val="18"/>
              </w:rPr>
              <w:t>2002:</w:t>
            </w:r>
            <w:r w:rsidRPr="00445659">
              <w:rPr>
                <w:rFonts w:cstheme="minorHAnsi"/>
                <w:sz w:val="18"/>
                <w:szCs w:val="18"/>
              </w:rPr>
              <w:t xml:space="preserve"> rediscovered </w:t>
            </w:r>
            <w:r w:rsidR="00500F6D" w:rsidRPr="00445659">
              <w:rPr>
                <w:rFonts w:cstheme="minorHAnsi"/>
                <w:sz w:val="18"/>
                <w:szCs w:val="18"/>
              </w:rPr>
              <w:t>p</w:t>
            </w:r>
            <w:r w:rsidRPr="00445659">
              <w:rPr>
                <w:rFonts w:cstheme="minorHAnsi"/>
                <w:sz w:val="18"/>
                <w:szCs w:val="18"/>
              </w:rPr>
              <w:t xml:space="preserve">opn. Rescued; captive breeding; refuge popn. </w:t>
            </w:r>
          </w:p>
          <w:p w14:paraId="39868132"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2011-12:</w:t>
            </w:r>
            <w:r w:rsidRPr="00445659">
              <w:rPr>
                <w:rFonts w:cstheme="minorHAnsi"/>
                <w:sz w:val="18"/>
                <w:szCs w:val="18"/>
              </w:rPr>
              <w:t xml:space="preserve"> 1120 fish reintroduced to historical site, but it dried up</w:t>
            </w:r>
          </w:p>
          <w:p w14:paraId="78172172" w14:textId="00A70B26" w:rsidR="00F05224" w:rsidRPr="00445659" w:rsidRDefault="00F05224" w:rsidP="002B4746">
            <w:pPr>
              <w:spacing w:after="0"/>
              <w:contextualSpacing/>
              <w:rPr>
                <w:rFonts w:cstheme="minorHAnsi"/>
                <w:sz w:val="18"/>
                <w:szCs w:val="18"/>
              </w:rPr>
            </w:pPr>
            <w:r w:rsidRPr="00445659">
              <w:rPr>
                <w:rFonts w:cstheme="minorHAnsi"/>
                <w:b/>
                <w:bCs/>
                <w:sz w:val="18"/>
                <w:szCs w:val="18"/>
              </w:rPr>
              <w:t>2014-19:</w:t>
            </w:r>
            <w:r w:rsidRPr="00445659">
              <w:rPr>
                <w:rFonts w:cstheme="minorHAnsi"/>
                <w:sz w:val="18"/>
                <w:szCs w:val="18"/>
              </w:rPr>
              <w:t xml:space="preserve"> 5043 fish reintro</w:t>
            </w:r>
            <w:r w:rsidR="00E029AC" w:rsidRPr="00445659">
              <w:rPr>
                <w:rFonts w:cstheme="minorHAnsi"/>
                <w:sz w:val="18"/>
                <w:szCs w:val="18"/>
              </w:rPr>
              <w:t>duced</w:t>
            </w:r>
            <w:r w:rsidRPr="00445659">
              <w:rPr>
                <w:rFonts w:cstheme="minorHAnsi"/>
                <w:sz w:val="18"/>
                <w:szCs w:val="18"/>
              </w:rPr>
              <w:t xml:space="preserve"> to rediscovery site</w:t>
            </w:r>
          </w:p>
        </w:tc>
        <w:tc>
          <w:tcPr>
            <w:tcW w:w="1014" w:type="pct"/>
          </w:tcPr>
          <w:p w14:paraId="2A6AFACA"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 xml:space="preserve">2008: </w:t>
            </w:r>
            <w:r w:rsidRPr="00445659">
              <w:rPr>
                <w:rFonts w:cstheme="minorHAnsi"/>
                <w:sz w:val="18"/>
                <w:szCs w:val="18"/>
              </w:rPr>
              <w:t>rescued; captive breeding</w:t>
            </w:r>
          </w:p>
          <w:p w14:paraId="6523F245"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 xml:space="preserve">2011-2014: </w:t>
            </w:r>
            <w:r w:rsidRPr="00445659">
              <w:rPr>
                <w:rFonts w:cstheme="minorHAnsi"/>
                <w:sz w:val="18"/>
                <w:szCs w:val="18"/>
              </w:rPr>
              <w:t>5850 fish to 5 former sites</w:t>
            </w:r>
          </w:p>
          <w:p w14:paraId="2F122792"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2014:</w:t>
            </w:r>
            <w:r w:rsidRPr="00445659">
              <w:rPr>
                <w:rFonts w:cstheme="minorHAnsi"/>
                <w:sz w:val="18"/>
                <w:szCs w:val="18"/>
              </w:rPr>
              <w:t xml:space="preserve"> surrogate refuge collapsed (backup lost)</w:t>
            </w:r>
          </w:p>
          <w:p w14:paraId="33EEB3A7" w14:textId="0C0ACA01" w:rsidR="00E029AC" w:rsidRPr="00445659" w:rsidRDefault="00F05224" w:rsidP="002B4746">
            <w:pPr>
              <w:spacing w:after="0"/>
              <w:contextualSpacing/>
              <w:rPr>
                <w:rFonts w:cstheme="minorHAnsi"/>
                <w:sz w:val="18"/>
                <w:szCs w:val="18"/>
              </w:rPr>
            </w:pPr>
            <w:r w:rsidRPr="00445659">
              <w:rPr>
                <w:rFonts w:cstheme="minorHAnsi"/>
                <w:b/>
                <w:bCs/>
                <w:sz w:val="18"/>
                <w:szCs w:val="18"/>
              </w:rPr>
              <w:t xml:space="preserve">2015: </w:t>
            </w:r>
            <w:r w:rsidRPr="00445659">
              <w:rPr>
                <w:rFonts w:cstheme="minorHAnsi"/>
                <w:sz w:val="18"/>
                <w:szCs w:val="18"/>
              </w:rPr>
              <w:t>900 fish</w:t>
            </w:r>
            <w:r w:rsidR="00E029AC" w:rsidRPr="00445659">
              <w:rPr>
                <w:rFonts w:cstheme="minorHAnsi"/>
                <w:sz w:val="18"/>
                <w:szCs w:val="18"/>
              </w:rPr>
              <w:t xml:space="preserve">, </w:t>
            </w:r>
            <w:r w:rsidRPr="00445659">
              <w:rPr>
                <w:rFonts w:cstheme="minorHAnsi"/>
                <w:sz w:val="18"/>
                <w:szCs w:val="18"/>
              </w:rPr>
              <w:t xml:space="preserve">3 sites </w:t>
            </w:r>
          </w:p>
          <w:p w14:paraId="6684D218" w14:textId="23634F87" w:rsidR="00F05224" w:rsidRPr="00445659" w:rsidRDefault="00F05224" w:rsidP="002B4746">
            <w:pPr>
              <w:spacing w:after="0"/>
              <w:contextualSpacing/>
              <w:rPr>
                <w:rFonts w:cstheme="minorHAnsi"/>
                <w:sz w:val="18"/>
                <w:szCs w:val="18"/>
              </w:rPr>
            </w:pPr>
            <w:r w:rsidRPr="00445659">
              <w:rPr>
                <w:rFonts w:cstheme="minorHAnsi"/>
                <w:b/>
                <w:bCs/>
                <w:sz w:val="18"/>
                <w:szCs w:val="18"/>
              </w:rPr>
              <w:t>2018:</w:t>
            </w:r>
            <w:r w:rsidRPr="00445659">
              <w:rPr>
                <w:rFonts w:cstheme="minorHAnsi"/>
                <w:sz w:val="18"/>
                <w:szCs w:val="18"/>
              </w:rPr>
              <w:t xml:space="preserve"> surrogate refuge created from captive </w:t>
            </w:r>
          </w:p>
          <w:p w14:paraId="107CDC8E" w14:textId="4F6B1953" w:rsidR="00F05224" w:rsidRPr="00445659" w:rsidRDefault="00F05224" w:rsidP="002B4746">
            <w:pPr>
              <w:spacing w:after="0"/>
              <w:contextualSpacing/>
              <w:rPr>
                <w:rFonts w:cstheme="minorHAnsi"/>
                <w:b/>
                <w:bCs/>
                <w:sz w:val="18"/>
                <w:szCs w:val="18"/>
              </w:rPr>
            </w:pPr>
            <w:r w:rsidRPr="00445659">
              <w:rPr>
                <w:rFonts w:cstheme="minorHAnsi"/>
                <w:b/>
                <w:sz w:val="18"/>
                <w:szCs w:val="18"/>
              </w:rPr>
              <w:t>2023</w:t>
            </w:r>
            <w:r w:rsidRPr="00445659">
              <w:rPr>
                <w:rFonts w:cstheme="minorHAnsi"/>
                <w:sz w:val="18"/>
                <w:szCs w:val="18"/>
              </w:rPr>
              <w:t xml:space="preserve">: </w:t>
            </w:r>
            <w:r w:rsidR="003040C1" w:rsidRPr="00445659">
              <w:rPr>
                <w:rFonts w:cstheme="minorHAnsi"/>
                <w:sz w:val="18"/>
                <w:szCs w:val="18"/>
              </w:rPr>
              <w:t>r</w:t>
            </w:r>
            <w:r w:rsidRPr="00445659">
              <w:rPr>
                <w:rFonts w:cstheme="minorHAnsi"/>
                <w:sz w:val="18"/>
                <w:szCs w:val="18"/>
              </w:rPr>
              <w:t>eintro</w:t>
            </w:r>
            <w:r w:rsidR="000C13F0" w:rsidRPr="00445659">
              <w:rPr>
                <w:rFonts w:cstheme="minorHAnsi"/>
                <w:sz w:val="18"/>
                <w:szCs w:val="18"/>
              </w:rPr>
              <w:t xml:space="preserve">duced </w:t>
            </w:r>
            <w:r w:rsidRPr="00445659">
              <w:rPr>
                <w:rFonts w:cstheme="minorHAnsi"/>
                <w:sz w:val="18"/>
                <w:szCs w:val="18"/>
              </w:rPr>
              <w:t>2000 Hindmarsh Island</w:t>
            </w:r>
          </w:p>
        </w:tc>
        <w:tc>
          <w:tcPr>
            <w:tcW w:w="1079" w:type="pct"/>
          </w:tcPr>
          <w:p w14:paraId="2125F467"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1997:</w:t>
            </w:r>
            <w:r w:rsidRPr="00445659">
              <w:rPr>
                <w:rFonts w:cstheme="minorHAnsi"/>
                <w:sz w:val="18"/>
                <w:szCs w:val="18"/>
              </w:rPr>
              <w:t xml:space="preserve"> from northern MDB to southern MDB</w:t>
            </w:r>
          </w:p>
          <w:p w14:paraId="481DCB77"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2007:</w:t>
            </w:r>
            <w:r w:rsidRPr="00445659">
              <w:rPr>
                <w:rFonts w:cstheme="minorHAnsi"/>
                <w:sz w:val="18"/>
                <w:szCs w:val="18"/>
              </w:rPr>
              <w:t xml:space="preserve"> – 65 rescued</w:t>
            </w:r>
          </w:p>
          <w:p w14:paraId="3A1368FA"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2008:</w:t>
            </w:r>
            <w:r w:rsidRPr="00445659">
              <w:rPr>
                <w:rFonts w:cstheme="minorHAnsi"/>
                <w:sz w:val="18"/>
                <w:szCs w:val="18"/>
              </w:rPr>
              <w:t xml:space="preserve"> rescued; captive breeding</w:t>
            </w:r>
          </w:p>
          <w:p w14:paraId="15AF0302" w14:textId="77777777" w:rsidR="00F05224" w:rsidRPr="00445659" w:rsidRDefault="00F05224" w:rsidP="002B4746">
            <w:pPr>
              <w:spacing w:after="0"/>
              <w:contextualSpacing/>
              <w:rPr>
                <w:rFonts w:cstheme="minorHAnsi"/>
                <w:sz w:val="18"/>
                <w:szCs w:val="18"/>
              </w:rPr>
            </w:pPr>
            <w:r w:rsidRPr="00445659">
              <w:rPr>
                <w:rFonts w:cstheme="minorHAnsi"/>
                <w:b/>
                <w:bCs/>
                <w:sz w:val="18"/>
                <w:szCs w:val="18"/>
              </w:rPr>
              <w:t>2011-12:</w:t>
            </w:r>
            <w:r w:rsidRPr="00445659">
              <w:rPr>
                <w:rFonts w:cstheme="minorHAnsi"/>
                <w:sz w:val="18"/>
                <w:szCs w:val="18"/>
              </w:rPr>
              <w:t xml:space="preserve"> 1000s reintroduced LM</w:t>
            </w:r>
          </w:p>
          <w:p w14:paraId="76132270" w14:textId="7156D982" w:rsidR="00F05224" w:rsidRPr="00445659" w:rsidRDefault="00F05224" w:rsidP="002B4746">
            <w:pPr>
              <w:spacing w:after="0"/>
              <w:contextualSpacing/>
              <w:rPr>
                <w:rFonts w:cstheme="minorHAnsi"/>
                <w:sz w:val="18"/>
                <w:szCs w:val="18"/>
              </w:rPr>
            </w:pPr>
            <w:r w:rsidRPr="00445659">
              <w:rPr>
                <w:rFonts w:cstheme="minorHAnsi"/>
                <w:b/>
                <w:sz w:val="18"/>
                <w:szCs w:val="18"/>
              </w:rPr>
              <w:t>2023</w:t>
            </w:r>
            <w:r w:rsidRPr="00445659">
              <w:rPr>
                <w:rFonts w:cstheme="minorHAnsi"/>
                <w:sz w:val="18"/>
                <w:szCs w:val="18"/>
              </w:rPr>
              <w:t>: reintroduced 500 Pelican Lagoon, Lake Alexandrina</w:t>
            </w:r>
          </w:p>
        </w:tc>
      </w:tr>
    </w:tbl>
    <w:p w14:paraId="73417F3E" w14:textId="77777777" w:rsidR="00543BB8" w:rsidRDefault="00543BB8" w:rsidP="00445659">
      <w:pPr>
        <w:keepLines/>
        <w:rPr>
          <w:bCs/>
          <w:iCs/>
        </w:rPr>
        <w:sectPr w:rsidR="00543BB8" w:rsidSect="00027EBD">
          <w:pgSz w:w="11906" w:h="16838"/>
          <w:pgMar w:top="1134" w:right="1247" w:bottom="1134" w:left="1361" w:header="454" w:footer="454" w:gutter="0"/>
          <w:cols w:space="708"/>
          <w:docGrid w:linePitch="360"/>
        </w:sectPr>
      </w:pPr>
    </w:p>
    <w:p w14:paraId="6B6037CD" w14:textId="1AAE6F35" w:rsidR="00DC7390" w:rsidRDefault="00DC7390" w:rsidP="006F2929">
      <w:pPr>
        <w:rPr>
          <w:bCs/>
          <w:iCs/>
        </w:rPr>
      </w:pPr>
      <w:r>
        <w:rPr>
          <w:bCs/>
          <w:iCs/>
        </w:rPr>
        <w:t>diversity of the YPP lineage may have been a contributing factor (Attard et al. 2016; Buckley et al. 2022), as may have predator naivety (Wedderburn et al. 2022).</w:t>
      </w:r>
    </w:p>
    <w:p w14:paraId="344CC775" w14:textId="1B38C166" w:rsidR="006F2929" w:rsidRPr="00B76457" w:rsidRDefault="0015588E" w:rsidP="006F2929">
      <w:pPr>
        <w:rPr>
          <w:bCs/>
          <w:iCs/>
        </w:rPr>
      </w:pPr>
      <w:r>
        <w:rPr>
          <w:bCs/>
          <w:iCs/>
        </w:rPr>
        <w:t xml:space="preserve">Repeated surveys targeting the species in 2018 failed to detect YPP, and modelling for imperfect detection, </w:t>
      </w:r>
      <w:r w:rsidR="00701D45">
        <w:rPr>
          <w:bCs/>
          <w:iCs/>
        </w:rPr>
        <w:t xml:space="preserve">combined to </w:t>
      </w:r>
      <w:r>
        <w:rPr>
          <w:bCs/>
          <w:iCs/>
        </w:rPr>
        <w:t>provi</w:t>
      </w:r>
      <w:r w:rsidR="00701D45">
        <w:rPr>
          <w:bCs/>
          <w:iCs/>
        </w:rPr>
        <w:t>de</w:t>
      </w:r>
      <w:r>
        <w:rPr>
          <w:bCs/>
          <w:iCs/>
        </w:rPr>
        <w:t xml:space="preserve"> strong evidence that </w:t>
      </w:r>
      <w:r w:rsidRPr="00117296">
        <w:rPr>
          <w:bCs/>
          <w:i/>
        </w:rPr>
        <w:t xml:space="preserve">Nannoperca </w:t>
      </w:r>
      <w:r>
        <w:rPr>
          <w:bCs/>
          <w:i/>
        </w:rPr>
        <w:t>obscura</w:t>
      </w:r>
      <w:r>
        <w:rPr>
          <w:bCs/>
          <w:iCs/>
        </w:rPr>
        <w:t xml:space="preserve"> is extirpated from the</w:t>
      </w:r>
      <w:r w:rsidR="00556C5F">
        <w:rPr>
          <w:bCs/>
          <w:iCs/>
        </w:rPr>
        <w:t xml:space="preserve"> </w:t>
      </w:r>
      <w:r w:rsidR="006F2929">
        <w:rPr>
          <w:bCs/>
          <w:iCs/>
        </w:rPr>
        <w:t>MDB</w:t>
      </w:r>
      <w:r w:rsidR="006F2929" w:rsidRPr="00B23445">
        <w:rPr>
          <w:bCs/>
          <w:iCs/>
        </w:rPr>
        <w:t xml:space="preserve"> </w:t>
      </w:r>
      <w:r w:rsidR="006F2929">
        <w:rPr>
          <w:bCs/>
          <w:iCs/>
        </w:rPr>
        <w:t>(Wedderburn et al. 2021</w:t>
      </w:r>
      <w:r w:rsidR="00F02D3D">
        <w:rPr>
          <w:bCs/>
          <w:iCs/>
        </w:rPr>
        <w:t>, 2023</w:t>
      </w:r>
      <w:r w:rsidR="006F2929">
        <w:rPr>
          <w:bCs/>
          <w:iCs/>
        </w:rPr>
        <w:t>), and therefore the ecological community. In 2019 the MDB YPP lineage was considered extinct (Beheregaray et al. 2021). Given its genetic status, a lineage distinct from that of other catchments, this finding confirmed the first known extinction of a freshwater fish from the entire MDB (Wedderburn et al. 2022</w:t>
      </w:r>
      <w:r w:rsidR="00F02D3D">
        <w:rPr>
          <w:bCs/>
          <w:iCs/>
        </w:rPr>
        <w:t>, 2023</w:t>
      </w:r>
      <w:r w:rsidR="006F2929">
        <w:rPr>
          <w:bCs/>
          <w:iCs/>
        </w:rPr>
        <w:t>). Natural recolonisation is now unfeasible for this genetically unique small-bodied native fish</w:t>
      </w:r>
      <w:r w:rsidR="00C0312B">
        <w:rPr>
          <w:bCs/>
          <w:iCs/>
        </w:rPr>
        <w:t xml:space="preserve"> (Wedderburn et al. 202</w:t>
      </w:r>
      <w:r w:rsidR="00614B47">
        <w:rPr>
          <w:bCs/>
          <w:iCs/>
        </w:rPr>
        <w:t>2</w:t>
      </w:r>
      <w:r w:rsidR="00C0312B">
        <w:rPr>
          <w:bCs/>
          <w:iCs/>
        </w:rPr>
        <w:t>)</w:t>
      </w:r>
      <w:r w:rsidR="006F2929">
        <w:rPr>
          <w:bCs/>
          <w:iCs/>
        </w:rPr>
        <w:t xml:space="preserve">. </w:t>
      </w:r>
    </w:p>
    <w:p w14:paraId="008C9A3E" w14:textId="77777777" w:rsidR="006F2929" w:rsidRPr="00D27511" w:rsidRDefault="006F2929" w:rsidP="00A2521C">
      <w:pPr>
        <w:pStyle w:val="Heading5"/>
        <w:rPr>
          <w:bCs/>
          <w:iCs/>
        </w:rPr>
      </w:pPr>
      <w:r w:rsidRPr="00543803">
        <w:t>Southern pygmy perch</w:t>
      </w:r>
      <w:r>
        <w:t xml:space="preserve"> </w:t>
      </w:r>
      <w:r w:rsidRPr="00D27511">
        <w:t>(SPP</w:t>
      </w:r>
      <w:r>
        <w:t xml:space="preserve"> – and see </w:t>
      </w:r>
      <w:r w:rsidRPr="00922975">
        <w:rPr>
          <w:u w:val="single"/>
        </w:rPr>
        <w:t>Table31</w:t>
      </w:r>
      <w:r>
        <w:t>)</w:t>
      </w:r>
    </w:p>
    <w:p w14:paraId="3F1A555B" w14:textId="3079FCD9" w:rsidR="00010F75" w:rsidRPr="00010F75" w:rsidRDefault="006F2929" w:rsidP="00010F75">
      <w:pPr>
        <w:rPr>
          <w:shd w:val="clear" w:color="auto" w:fill="FFFFFF"/>
        </w:rPr>
      </w:pPr>
      <w:r w:rsidRPr="00AF1FC4">
        <w:rPr>
          <w:bCs/>
          <w:iCs/>
        </w:rPr>
        <w:t xml:space="preserve">Southern Pygmy Perch once thrived throughout the MDB, </w:t>
      </w:r>
      <w:r>
        <w:rPr>
          <w:bCs/>
          <w:iCs/>
        </w:rPr>
        <w:t xml:space="preserve">and was </w:t>
      </w:r>
      <w:r w:rsidRPr="00AF1FC4">
        <w:rPr>
          <w:bCs/>
          <w:iCs/>
        </w:rPr>
        <w:t>commonly found in wetlands and creeks</w:t>
      </w:r>
      <w:r>
        <w:rPr>
          <w:bCs/>
          <w:iCs/>
        </w:rPr>
        <w:t>, including the Lower Lakes and Eastern Mt Lofty tributaries (Hammer et al. 2009)</w:t>
      </w:r>
      <w:r w:rsidRPr="00AF1FC4">
        <w:rPr>
          <w:bCs/>
          <w:iCs/>
        </w:rPr>
        <w:t xml:space="preserve">. </w:t>
      </w:r>
      <w:r>
        <w:rPr>
          <w:rFonts w:cs="Arial"/>
          <w:shd w:val="clear" w:color="auto" w:fill="FFFFFF"/>
        </w:rPr>
        <w:t>T</w:t>
      </w:r>
      <w:r w:rsidRPr="00C44AFD">
        <w:rPr>
          <w:rFonts w:cs="Arial"/>
          <w:shd w:val="clear" w:color="auto" w:fill="FFFFFF"/>
        </w:rPr>
        <w:t xml:space="preserve">he SPP lineage has experienced large-scale </w:t>
      </w:r>
      <w:r w:rsidR="000B24C0">
        <w:rPr>
          <w:rFonts w:cs="Arial"/>
          <w:shd w:val="clear" w:color="auto" w:fill="FFFFFF"/>
        </w:rPr>
        <w:t xml:space="preserve">subpopulation </w:t>
      </w:r>
      <w:r w:rsidRPr="00C44AFD">
        <w:rPr>
          <w:rFonts w:cs="Arial"/>
          <w:shd w:val="clear" w:color="auto" w:fill="FFFFFF"/>
        </w:rPr>
        <w:t>extinctions from most of the middle MDB, and survives now only in very small population fragments</w:t>
      </w:r>
      <w:r>
        <w:rPr>
          <w:rFonts w:cs="Arial"/>
          <w:shd w:val="clear" w:color="auto" w:fill="FFFFFF"/>
        </w:rPr>
        <w:t>,</w:t>
      </w:r>
      <w:r w:rsidRPr="00C44AFD">
        <w:rPr>
          <w:rFonts w:cs="Arial"/>
          <w:shd w:val="clear" w:color="auto" w:fill="FFFFFF"/>
        </w:rPr>
        <w:t xml:space="preserve"> mainly in tributaries of the upper </w:t>
      </w:r>
      <w:r>
        <w:rPr>
          <w:rFonts w:cs="Arial"/>
          <w:shd w:val="clear" w:color="auto" w:fill="FFFFFF"/>
        </w:rPr>
        <w:t xml:space="preserve">River </w:t>
      </w:r>
      <w:r w:rsidRPr="00C44AFD">
        <w:rPr>
          <w:rFonts w:cs="Arial"/>
          <w:shd w:val="clear" w:color="auto" w:fill="FFFFFF"/>
        </w:rPr>
        <w:t xml:space="preserve">Murray and in pockets of the lowermost reaches of the </w:t>
      </w:r>
      <w:r>
        <w:rPr>
          <w:rFonts w:cs="Arial"/>
          <w:shd w:val="clear" w:color="auto" w:fill="FFFFFF"/>
        </w:rPr>
        <w:t>B</w:t>
      </w:r>
      <w:r w:rsidRPr="00C44AFD">
        <w:rPr>
          <w:rFonts w:cs="Arial"/>
          <w:shd w:val="clear" w:color="auto" w:fill="FFFFFF"/>
        </w:rPr>
        <w:t>asin</w:t>
      </w:r>
      <w:r>
        <w:rPr>
          <w:rFonts w:cs="Arial"/>
          <w:shd w:val="clear" w:color="auto" w:fill="FFFFFF"/>
        </w:rPr>
        <w:t xml:space="preserve"> (Beheregaray et al. 2021; Buckley et al. 2023). </w:t>
      </w:r>
      <w:r w:rsidRPr="00A219AF">
        <w:t xml:space="preserve">The SPP found in the lower MDB </w:t>
      </w:r>
      <w:r w:rsidR="00896AB3">
        <w:t>is</w:t>
      </w:r>
      <w:r w:rsidRPr="00A219AF">
        <w:t xml:space="preserve"> geographically isolated, locally adapted</w:t>
      </w:r>
      <w:r w:rsidR="00BE5D82">
        <w:t>,</w:t>
      </w:r>
      <w:r w:rsidRPr="00A219AF">
        <w:t xml:space="preserve"> and genetically divergent from other regional populations (Brauer et al. 2016).</w:t>
      </w:r>
      <w:r>
        <w:t xml:space="preserve"> </w:t>
      </w:r>
      <w:r w:rsidRPr="00282EDD">
        <w:t xml:space="preserve">Threats resulting in </w:t>
      </w:r>
      <w:r w:rsidRPr="00282EDD">
        <w:rPr>
          <w:bCs/>
          <w:iCs/>
        </w:rPr>
        <w:t xml:space="preserve">loss of genetic variability is a key </w:t>
      </w:r>
      <w:r>
        <w:rPr>
          <w:bCs/>
          <w:iCs/>
        </w:rPr>
        <w:t>risk-</w:t>
      </w:r>
      <w:r w:rsidRPr="00282EDD">
        <w:rPr>
          <w:bCs/>
          <w:iCs/>
        </w:rPr>
        <w:t xml:space="preserve">factor for remaining </w:t>
      </w:r>
      <w:r>
        <w:rPr>
          <w:bCs/>
          <w:iCs/>
        </w:rPr>
        <w:t>sub</w:t>
      </w:r>
      <w:r w:rsidRPr="00282EDD">
        <w:rPr>
          <w:bCs/>
          <w:iCs/>
        </w:rPr>
        <w:t>populations</w:t>
      </w:r>
      <w:r>
        <w:rPr>
          <w:bCs/>
          <w:iCs/>
        </w:rPr>
        <w:t xml:space="preserve">, of which 14 genetically distinct ‘demes’ (isolated subpopulations) are now recognised (Cole et al. 2016)—four of these occur within the ecological community. </w:t>
      </w:r>
    </w:p>
    <w:p w14:paraId="54C724D9" w14:textId="06FE99FB" w:rsidR="006F2929" w:rsidRPr="00017196" w:rsidRDefault="004A615A" w:rsidP="00010F75">
      <w:pPr>
        <w:rPr>
          <w:rFonts w:cs="Arial"/>
          <w:shd w:val="clear" w:color="auto" w:fill="FFFFFF"/>
        </w:rPr>
      </w:pPr>
      <w:r>
        <w:rPr>
          <w:bCs/>
          <w:iCs/>
        </w:rPr>
        <w:t>T</w:t>
      </w:r>
      <w:r w:rsidR="006F2929">
        <w:rPr>
          <w:bCs/>
          <w:iCs/>
        </w:rPr>
        <w:t xml:space="preserve">he knowledge and outcomes related to the YPP story remain highly relevant to its congener, the southern pygmy perch, which is ecologically similar (Wedderburn et al. 2022). Therefore, SPP </w:t>
      </w:r>
      <w:r w:rsidR="000B24C0">
        <w:rPr>
          <w:bCs/>
          <w:iCs/>
        </w:rPr>
        <w:t xml:space="preserve">is </w:t>
      </w:r>
      <w:r w:rsidR="006F2929">
        <w:rPr>
          <w:bCs/>
          <w:iCs/>
        </w:rPr>
        <w:t>considered at high risk to ongoing threats and future prolonged drought. While the previous efforts at captive breeding and reintroductions failed for YPP, efforts were considered successful for SPP (</w:t>
      </w:r>
      <w:r w:rsidR="006F2929">
        <w:rPr>
          <w:rFonts w:cs="Arial"/>
          <w:shd w:val="clear" w:color="auto" w:fill="FFFFFF"/>
        </w:rPr>
        <w:t>Beheregaray et al. 2021). This was attributed to developing capability to retain genetic diversity within the captive breeding program, along with the end</w:t>
      </w:r>
      <w:r w:rsidR="002D7E27">
        <w:rPr>
          <w:rFonts w:cs="Arial"/>
          <w:shd w:val="clear" w:color="auto" w:fill="FFFFFF"/>
        </w:rPr>
        <w:t>ing</w:t>
      </w:r>
      <w:r w:rsidR="006F2929">
        <w:rPr>
          <w:rFonts w:cs="Arial"/>
          <w:shd w:val="clear" w:color="auto" w:fill="FFFFFF"/>
        </w:rPr>
        <w:t xml:space="preserve"> of the Millennium Drought</w:t>
      </w:r>
      <w:r w:rsidR="00332D91">
        <w:rPr>
          <w:rFonts w:cs="Arial"/>
          <w:shd w:val="clear" w:color="auto" w:fill="FFFFFF"/>
        </w:rPr>
        <w:t xml:space="preserve"> Buckley et al. 2022, 2023)</w:t>
      </w:r>
      <w:r w:rsidR="006F2929">
        <w:rPr>
          <w:rFonts w:cs="Arial"/>
          <w:shd w:val="clear" w:color="auto" w:fill="FFFFFF"/>
        </w:rPr>
        <w:t xml:space="preserve">. </w:t>
      </w:r>
      <w:r w:rsidR="006F2929">
        <w:rPr>
          <w:shd w:val="clear" w:color="auto" w:fill="FFFFFF"/>
        </w:rPr>
        <w:t>T</w:t>
      </w:r>
      <w:r w:rsidR="006F2929" w:rsidRPr="00AF1FC4">
        <w:rPr>
          <w:shd w:val="clear" w:color="auto" w:fill="FFFFFF"/>
        </w:rPr>
        <w:t xml:space="preserve">housands of </w:t>
      </w:r>
      <w:r w:rsidR="006F2929">
        <w:rPr>
          <w:shd w:val="clear" w:color="auto" w:fill="FFFFFF"/>
        </w:rPr>
        <w:t>s</w:t>
      </w:r>
      <w:r w:rsidR="006F2929" w:rsidRPr="00AF1FC4">
        <w:rPr>
          <w:shd w:val="clear" w:color="auto" w:fill="FFFFFF"/>
        </w:rPr>
        <w:t>outhern pygmy perch were reintroduced to the area in 2011</w:t>
      </w:r>
      <w:r w:rsidR="006F2929">
        <w:rPr>
          <w:shd w:val="clear" w:color="auto" w:fill="FFFFFF"/>
        </w:rPr>
        <w:t>–</w:t>
      </w:r>
      <w:r w:rsidR="006F2929" w:rsidRPr="00AF1FC4">
        <w:rPr>
          <w:shd w:val="clear" w:color="auto" w:fill="FFFFFF"/>
        </w:rPr>
        <w:t>12 which led to the population’s re-establishment in</w:t>
      </w:r>
      <w:r w:rsidR="006F2929">
        <w:rPr>
          <w:shd w:val="clear" w:color="auto" w:fill="FFFFFF"/>
        </w:rPr>
        <w:t xml:space="preserve"> Lake Alexandrina (Whiterod et al. </w:t>
      </w:r>
      <w:r w:rsidR="00D84486">
        <w:rPr>
          <w:shd w:val="clear" w:color="auto" w:fill="FFFFFF"/>
        </w:rPr>
        <w:t xml:space="preserve">2019, </w:t>
      </w:r>
      <w:r w:rsidR="006F2929">
        <w:rPr>
          <w:shd w:val="clear" w:color="auto" w:fill="FFFFFF"/>
        </w:rPr>
        <w:t>202</w:t>
      </w:r>
      <w:r w:rsidR="00BC1136">
        <w:rPr>
          <w:shd w:val="clear" w:color="auto" w:fill="FFFFFF"/>
        </w:rPr>
        <w:t>1</w:t>
      </w:r>
      <w:r w:rsidR="006F2929">
        <w:rPr>
          <w:shd w:val="clear" w:color="auto" w:fill="FFFFFF"/>
        </w:rPr>
        <w:t>).</w:t>
      </w:r>
    </w:p>
    <w:p w14:paraId="76DD861D" w14:textId="3F8BB9D8" w:rsidR="006F2929" w:rsidRDefault="006F2929" w:rsidP="00646C70">
      <w:pPr>
        <w:rPr>
          <w:shd w:val="clear" w:color="auto" w:fill="FFFFFF"/>
        </w:rPr>
      </w:pPr>
      <w:r>
        <w:rPr>
          <w:rFonts w:cs="Arial"/>
          <w:shd w:val="clear" w:color="auto" w:fill="FFFFFF"/>
        </w:rPr>
        <w:t xml:space="preserve">The status of SPP in Lake Alexandrina has been assessed since 2007 under the Living Murray initiative (TLM) of the Murray-Darling Basin Authority. The overall status of the species has improved slightly within the ecological community (i.e. wetlands of Lake Alexandrina and Eastern Mount Lofty streams), due to reintroductions, surrogate refuges, and natural recovery </w:t>
      </w:r>
      <w:r>
        <w:rPr>
          <w:rFonts w:cs="Arial"/>
          <w:shd w:val="clear" w:color="auto" w:fill="FFFFFF"/>
        </w:rPr>
        <w:lastRenderedPageBreak/>
        <w:t>(Whiterod et al. 2021).  This has been supported through targeted environmental watering and water level management (Wedderburn et al. 2012</w:t>
      </w:r>
      <w:r w:rsidR="008A7356">
        <w:rPr>
          <w:rFonts w:cs="Arial"/>
          <w:shd w:val="clear" w:color="auto" w:fill="FFFFFF"/>
        </w:rPr>
        <w:t>,</w:t>
      </w:r>
      <w:r>
        <w:rPr>
          <w:rFonts w:cs="Arial"/>
          <w:shd w:val="clear" w:color="auto" w:fill="FFFFFF"/>
        </w:rPr>
        <w:t xml:space="preserve"> 2020). Spring flow pulses, to generate ecological productivity, and maintenance of adequate water levels over the critical period when young fish are still growing (following hatching in September–October) leads to greater recruitment success. </w:t>
      </w:r>
      <w:r w:rsidRPr="00AF1FC4">
        <w:rPr>
          <w:shd w:val="clear" w:color="auto" w:fill="FFFFFF"/>
        </w:rPr>
        <w:t xml:space="preserve"> If water levels fall too low during spring and early autumn</w:t>
      </w:r>
      <w:r>
        <w:rPr>
          <w:shd w:val="clear" w:color="auto" w:fill="FFFFFF"/>
        </w:rPr>
        <w:t xml:space="preserve"> in the Lower Lakes</w:t>
      </w:r>
      <w:r w:rsidRPr="00AF1FC4">
        <w:rPr>
          <w:shd w:val="clear" w:color="auto" w:fill="FFFFFF"/>
        </w:rPr>
        <w:t xml:space="preserve">, wetland habitats become shallow and water recedes from fringing water plants, </w:t>
      </w:r>
      <w:r>
        <w:rPr>
          <w:shd w:val="clear" w:color="auto" w:fill="FFFFFF"/>
        </w:rPr>
        <w:t>leaving young fish vulnerable to additional pressures (e.g. reduced habitat availability; increased exposure to invasive species).</w:t>
      </w:r>
    </w:p>
    <w:p w14:paraId="2B6EF0A3" w14:textId="5446A497" w:rsidR="006F2929" w:rsidRDefault="006F2929" w:rsidP="006F2929">
      <w:pPr>
        <w:rPr>
          <w:shd w:val="clear" w:color="auto" w:fill="FFFFFF"/>
        </w:rPr>
      </w:pPr>
      <w:r>
        <w:rPr>
          <w:shd w:val="clear" w:color="auto" w:fill="FFFFFF"/>
        </w:rPr>
        <w:t xml:space="preserve">While SPP continues to decline across the southern MDB, with exception in some isolated areas associated with Lake Alexandrina (Wedderburn </w:t>
      </w:r>
      <w:r w:rsidR="00E57E2D">
        <w:rPr>
          <w:shd w:val="clear" w:color="auto" w:fill="FFFFFF"/>
        </w:rPr>
        <w:t xml:space="preserve">&amp; </w:t>
      </w:r>
      <w:r>
        <w:rPr>
          <w:shd w:val="clear" w:color="auto" w:fill="FFFFFF"/>
        </w:rPr>
        <w:t>Bailey 2024), future conservation efforts need to consider the genetically distinct units within the species (</w:t>
      </w:r>
      <w:r w:rsidR="00E44EBB">
        <w:rPr>
          <w:shd w:val="clear" w:color="auto" w:fill="FFFFFF"/>
        </w:rPr>
        <w:t>Brauer et al. 2016;</w:t>
      </w:r>
      <w:r w:rsidR="00B41D9D">
        <w:rPr>
          <w:shd w:val="clear" w:color="auto" w:fill="FFFFFF"/>
        </w:rPr>
        <w:t xml:space="preserve"> </w:t>
      </w:r>
      <w:r>
        <w:rPr>
          <w:shd w:val="clear" w:color="auto" w:fill="FFFFFF"/>
        </w:rPr>
        <w:t>Whiterod et al. 2021) in addition to hydrological requirements to enhance recruitment success.</w:t>
      </w:r>
    </w:p>
    <w:p w14:paraId="77600342" w14:textId="77777777" w:rsidR="008B7B15" w:rsidRPr="00AF1FC4" w:rsidRDefault="008B7B15" w:rsidP="00A2521C">
      <w:pPr>
        <w:pStyle w:val="Heading5"/>
        <w:rPr>
          <w:iCs/>
        </w:rPr>
      </w:pPr>
      <w:r w:rsidRPr="00AF1FC4">
        <w:t xml:space="preserve">Murray hardyhead </w:t>
      </w:r>
      <w:r w:rsidRPr="00D27511">
        <w:t>(MH</w:t>
      </w:r>
      <w:r>
        <w:t xml:space="preserve">H – and see </w:t>
      </w:r>
      <w:r w:rsidRPr="00922975">
        <w:rPr>
          <w:u w:val="single"/>
        </w:rPr>
        <w:t>Table31</w:t>
      </w:r>
      <w:r w:rsidRPr="00D27511">
        <w:t>)</w:t>
      </w:r>
    </w:p>
    <w:p w14:paraId="5B343B7E" w14:textId="19DA73DA" w:rsidR="008B7B15" w:rsidRDefault="008B7B15" w:rsidP="008B7B15">
      <w:pPr>
        <w:rPr>
          <w:bCs/>
          <w:iCs/>
        </w:rPr>
      </w:pPr>
      <w:r w:rsidRPr="00AF1FC4">
        <w:rPr>
          <w:bCs/>
          <w:iCs/>
        </w:rPr>
        <w:t>The Murray hardyhead is a salt-tolerant species</w:t>
      </w:r>
      <w:r>
        <w:rPr>
          <w:bCs/>
          <w:iCs/>
        </w:rPr>
        <w:t>, endemic to the MDB,</w:t>
      </w:r>
      <w:r w:rsidRPr="00AF1FC4">
        <w:rPr>
          <w:bCs/>
          <w:iCs/>
        </w:rPr>
        <w:t xml:space="preserve"> occurring in wetlands of lowland floodplains. It prefers </w:t>
      </w:r>
      <w:r>
        <w:rPr>
          <w:bCs/>
          <w:iCs/>
        </w:rPr>
        <w:t xml:space="preserve">slightly to moderately </w:t>
      </w:r>
      <w:r w:rsidRPr="00AF1FC4">
        <w:rPr>
          <w:bCs/>
          <w:iCs/>
        </w:rPr>
        <w:t>saline</w:t>
      </w:r>
      <w:r>
        <w:rPr>
          <w:bCs/>
          <w:iCs/>
        </w:rPr>
        <w:t xml:space="preserve"> (0.4–20 g/l)</w:t>
      </w:r>
      <w:r w:rsidRPr="00AF1FC4">
        <w:rPr>
          <w:bCs/>
          <w:iCs/>
        </w:rPr>
        <w:t>, well</w:t>
      </w:r>
      <w:r>
        <w:rPr>
          <w:bCs/>
          <w:iCs/>
        </w:rPr>
        <w:t>-</w:t>
      </w:r>
      <w:r w:rsidRPr="00AF1FC4">
        <w:rPr>
          <w:bCs/>
          <w:iCs/>
        </w:rPr>
        <w:t>vegetated habitats (e.g.</w:t>
      </w:r>
      <w:r w:rsidRPr="00AF1FC4">
        <w:rPr>
          <w:bCs/>
          <w:i/>
        </w:rPr>
        <w:t xml:space="preserve"> Myriophyllum</w:t>
      </w:r>
      <w:r w:rsidRPr="00AF1FC4">
        <w:rPr>
          <w:bCs/>
          <w:iCs/>
        </w:rPr>
        <w:t xml:space="preserve">, </w:t>
      </w:r>
      <w:r w:rsidRPr="00AF1FC4">
        <w:rPr>
          <w:bCs/>
          <w:i/>
        </w:rPr>
        <w:t>Ruppia</w:t>
      </w:r>
      <w:r w:rsidRPr="00AF1FC4">
        <w:rPr>
          <w:bCs/>
          <w:iCs/>
        </w:rPr>
        <w:t>), although eggs and early larval stages do better in lower salinities than those tolerated by adults and juveniles (</w:t>
      </w:r>
      <w:r>
        <w:rPr>
          <w:bCs/>
          <w:iCs/>
        </w:rPr>
        <w:t xml:space="preserve">Wedderburn et al. 2014; </w:t>
      </w:r>
      <w:r w:rsidRPr="00AF1FC4">
        <w:rPr>
          <w:bCs/>
          <w:iCs/>
        </w:rPr>
        <w:t xml:space="preserve">Stoessel et al. 2020). </w:t>
      </w:r>
      <w:r w:rsidRPr="00924A5E">
        <w:t xml:space="preserve">The life history strategy of </w:t>
      </w:r>
      <w:r>
        <w:t xml:space="preserve">MHH </w:t>
      </w:r>
      <w:r w:rsidRPr="00924A5E">
        <w:t xml:space="preserve">is well suited to early colonisation of newly inundated habitats </w:t>
      </w:r>
      <w:r>
        <w:t xml:space="preserve">such as floodplain wetlands </w:t>
      </w:r>
      <w:r w:rsidRPr="00924A5E">
        <w:t>(Hammer &amp; Wedderburn 2008)</w:t>
      </w:r>
      <w:r>
        <w:t>.</w:t>
      </w:r>
    </w:p>
    <w:p w14:paraId="316E6A1D" w14:textId="0E93E7E7" w:rsidR="008B7B15" w:rsidRPr="00AF1FC4" w:rsidRDefault="008B7B15" w:rsidP="008B7B15">
      <w:pPr>
        <w:rPr>
          <w:bCs/>
          <w:iCs/>
        </w:rPr>
      </w:pPr>
      <w:r w:rsidRPr="00AF1FC4">
        <w:rPr>
          <w:bCs/>
          <w:iCs/>
        </w:rPr>
        <w:t xml:space="preserve">Significant </w:t>
      </w:r>
      <w:r>
        <w:rPr>
          <w:bCs/>
          <w:iCs/>
        </w:rPr>
        <w:t xml:space="preserve">and long-term </w:t>
      </w:r>
      <w:r w:rsidRPr="00AF1FC4">
        <w:rPr>
          <w:bCs/>
          <w:iCs/>
        </w:rPr>
        <w:t>declines in this species have occurred due to river regulation and loss of well-vegetated, shallow saline wetland habitat (Hammer et al. 2013</w:t>
      </w:r>
      <w:r>
        <w:rPr>
          <w:bCs/>
          <w:iCs/>
        </w:rPr>
        <w:t>; Wedderburn et al. 2017, 2022</w:t>
      </w:r>
      <w:r w:rsidRPr="00AF1FC4">
        <w:rPr>
          <w:bCs/>
          <w:iCs/>
        </w:rPr>
        <w:t xml:space="preserve">), </w:t>
      </w:r>
      <w:r>
        <w:rPr>
          <w:bCs/>
          <w:iCs/>
        </w:rPr>
        <w:t xml:space="preserve">and more recently </w:t>
      </w:r>
      <w:r w:rsidRPr="00AF1FC4">
        <w:rPr>
          <w:bCs/>
          <w:iCs/>
        </w:rPr>
        <w:t xml:space="preserve">exacerbated by critical water shortages during the Millennium Drought (Whiterod et al. 2021). </w:t>
      </w:r>
      <w:r>
        <w:rPr>
          <w:bCs/>
          <w:iCs/>
        </w:rPr>
        <w:t xml:space="preserve"> </w:t>
      </w:r>
      <w:r w:rsidRPr="00AF1FC4">
        <w:rPr>
          <w:bCs/>
          <w:iCs/>
        </w:rPr>
        <w:t>A few key sites for MH</w:t>
      </w:r>
      <w:r>
        <w:rPr>
          <w:bCs/>
          <w:iCs/>
        </w:rPr>
        <w:t>H</w:t>
      </w:r>
      <w:r w:rsidRPr="00AF1FC4">
        <w:rPr>
          <w:bCs/>
          <w:iCs/>
        </w:rPr>
        <w:t xml:space="preserve"> within the ecological community were maintained through the Millennium Drought via environmental watering</w:t>
      </w:r>
      <w:r>
        <w:rPr>
          <w:bCs/>
          <w:iCs/>
        </w:rPr>
        <w:t>;</w:t>
      </w:r>
      <w:r w:rsidRPr="00AF1FC4">
        <w:rPr>
          <w:bCs/>
          <w:iCs/>
        </w:rPr>
        <w:t xml:space="preserve"> fish rescues were </w:t>
      </w:r>
      <w:r>
        <w:rPr>
          <w:bCs/>
          <w:iCs/>
        </w:rPr>
        <w:t xml:space="preserve">also </w:t>
      </w:r>
      <w:r w:rsidRPr="00AF1FC4">
        <w:rPr>
          <w:bCs/>
          <w:iCs/>
        </w:rPr>
        <w:t xml:space="preserve">undertaken for wild-to-wild reintroductions and to establish backup populations at captive facilities (Hammer et al. 2013; Wedderburn et al. 2013; Whiterod et al. 2019, 2021). </w:t>
      </w:r>
      <w:r w:rsidRPr="00AF1FC4">
        <w:t>During 2010-11, a surrogate refuge within the ecological community (Munday Dam) was successfully established using fish sourced from various sites across the Lower Murray, with another established in 2017 (Whiterod et al. 2021).</w:t>
      </w:r>
    </w:p>
    <w:p w14:paraId="73E9B5CC" w14:textId="77777777" w:rsidR="008B7B15" w:rsidRDefault="008B7B15" w:rsidP="008B7B15">
      <w:pPr>
        <w:rPr>
          <w:bCs/>
          <w:iCs/>
        </w:rPr>
      </w:pPr>
      <w:r w:rsidRPr="00AF1FC4">
        <w:rPr>
          <w:bCs/>
          <w:iCs/>
        </w:rPr>
        <w:t>Since the Millennium Drought, there has been some fragmented recovery of wild populations</w:t>
      </w:r>
      <w:r>
        <w:rPr>
          <w:bCs/>
          <w:iCs/>
        </w:rPr>
        <w:t>,</w:t>
      </w:r>
      <w:r w:rsidRPr="00AF1FC4">
        <w:rPr>
          <w:bCs/>
          <w:iCs/>
        </w:rPr>
        <w:t xml:space="preserve"> due </w:t>
      </w:r>
      <w:r>
        <w:rPr>
          <w:bCs/>
          <w:iCs/>
        </w:rPr>
        <w:t>partly</w:t>
      </w:r>
      <w:r w:rsidRPr="00AF1FC4">
        <w:rPr>
          <w:bCs/>
          <w:iCs/>
        </w:rPr>
        <w:t xml:space="preserve"> to human intervention (Bice et al. 2014; Wedderburn et al. 2014; Whiterod et al. 2021). </w:t>
      </w:r>
      <w:r>
        <w:rPr>
          <w:bCs/>
          <w:iCs/>
        </w:rPr>
        <w:t xml:space="preserve">This has been achieved through improved management knowledge </w:t>
      </w:r>
      <w:r w:rsidRPr="00AF1FC4">
        <w:rPr>
          <w:bCs/>
          <w:iCs/>
        </w:rPr>
        <w:t xml:space="preserve">(including genetic) and successful use of </w:t>
      </w:r>
      <w:r>
        <w:rPr>
          <w:bCs/>
          <w:iCs/>
        </w:rPr>
        <w:t xml:space="preserve">captive facilities, </w:t>
      </w:r>
      <w:r w:rsidRPr="00AF1FC4">
        <w:rPr>
          <w:bCs/>
          <w:iCs/>
        </w:rPr>
        <w:t xml:space="preserve">refugia, translocations, and reintroductions. Tailored environmental watering regimes for isolated populations within the ecological community have also been adopted at key sites (Whiterod et al. 2021). </w:t>
      </w:r>
    </w:p>
    <w:p w14:paraId="67F03616" w14:textId="77777777" w:rsidR="008B7B15" w:rsidRDefault="008B7B15" w:rsidP="008B7B15">
      <w:pPr>
        <w:rPr>
          <w:bCs/>
          <w:iCs/>
        </w:rPr>
      </w:pPr>
      <w:r w:rsidRPr="00AF1FC4">
        <w:rPr>
          <w:bCs/>
          <w:iCs/>
        </w:rPr>
        <w:t xml:space="preserve">Through </w:t>
      </w:r>
      <w:r>
        <w:rPr>
          <w:bCs/>
          <w:iCs/>
        </w:rPr>
        <w:t xml:space="preserve">such </w:t>
      </w:r>
      <w:r w:rsidRPr="00AF1FC4">
        <w:rPr>
          <w:bCs/>
          <w:iCs/>
        </w:rPr>
        <w:t xml:space="preserve">interventions, subpopulations of </w:t>
      </w:r>
      <w:r>
        <w:rPr>
          <w:bCs/>
          <w:iCs/>
        </w:rPr>
        <w:t>MHH</w:t>
      </w:r>
      <w:r w:rsidRPr="00AF1FC4">
        <w:rPr>
          <w:bCs/>
          <w:iCs/>
        </w:rPr>
        <w:t xml:space="preserve"> appear to be persisting </w:t>
      </w:r>
      <w:r>
        <w:rPr>
          <w:bCs/>
          <w:iCs/>
        </w:rPr>
        <w:t xml:space="preserve">at several locations </w:t>
      </w:r>
      <w:r w:rsidRPr="00AF1FC4">
        <w:rPr>
          <w:bCs/>
          <w:iCs/>
        </w:rPr>
        <w:t>within the ecological community (Whiterod et al. 2021 and references therein; Murraylands and Riverland Landscape Board unpublished data)</w:t>
      </w:r>
      <w:r>
        <w:rPr>
          <w:bCs/>
          <w:iCs/>
        </w:rPr>
        <w:t>. However,</w:t>
      </w:r>
      <w:r w:rsidRPr="00AF1FC4">
        <w:rPr>
          <w:bCs/>
          <w:iCs/>
        </w:rPr>
        <w:t xml:space="preserve"> these </w:t>
      </w:r>
      <w:r>
        <w:rPr>
          <w:bCs/>
          <w:iCs/>
        </w:rPr>
        <w:t xml:space="preserve">have been </w:t>
      </w:r>
      <w:r w:rsidRPr="00AF1FC4">
        <w:rPr>
          <w:bCs/>
          <w:iCs/>
        </w:rPr>
        <w:t xml:space="preserve">found to be genetically distinct from upstream subpopulations </w:t>
      </w:r>
      <w:r>
        <w:rPr>
          <w:bCs/>
          <w:iCs/>
        </w:rPr>
        <w:t xml:space="preserve">and, to avoid reinforcing genetic isolation, it is recommended to manage more broadly, such as at the meta-population level </w:t>
      </w:r>
      <w:r w:rsidRPr="00AF1FC4">
        <w:rPr>
          <w:bCs/>
          <w:iCs/>
        </w:rPr>
        <w:t xml:space="preserve">(Theile et al. 2020). </w:t>
      </w:r>
      <w:r>
        <w:rPr>
          <w:bCs/>
          <w:iCs/>
        </w:rPr>
        <w:t xml:space="preserve">Koehn et al. (2020) found that less than 59% of knowledge that is needed for future management and conservation of the various life history stages of this species is available. </w:t>
      </w:r>
    </w:p>
    <w:p w14:paraId="231A3A1D" w14:textId="77777777" w:rsidR="00031006" w:rsidRPr="00D27511" w:rsidRDefault="00031006" w:rsidP="00A2521C">
      <w:pPr>
        <w:pStyle w:val="Heading5"/>
        <w:rPr>
          <w:shd w:val="clear" w:color="auto" w:fill="FFFFFF"/>
        </w:rPr>
      </w:pPr>
      <w:r w:rsidRPr="00003D46">
        <w:rPr>
          <w:shd w:val="clear" w:color="auto" w:fill="FFFFFF"/>
        </w:rPr>
        <w:t>Southern purple-spotted gudgeon</w:t>
      </w:r>
      <w:r>
        <w:rPr>
          <w:shd w:val="clear" w:color="auto" w:fill="FFFFFF"/>
        </w:rPr>
        <w:t xml:space="preserve"> </w:t>
      </w:r>
      <w:r w:rsidRPr="00D27511">
        <w:rPr>
          <w:shd w:val="clear" w:color="auto" w:fill="FFFFFF"/>
        </w:rPr>
        <w:t>(SPSG</w:t>
      </w:r>
      <w:r>
        <w:rPr>
          <w:shd w:val="clear" w:color="auto" w:fill="FFFFFF"/>
        </w:rPr>
        <w:t xml:space="preserve"> </w:t>
      </w:r>
      <w:r>
        <w:t xml:space="preserve">– and see </w:t>
      </w:r>
      <w:r w:rsidRPr="00922975">
        <w:rPr>
          <w:u w:val="single"/>
        </w:rPr>
        <w:t>Table 31</w:t>
      </w:r>
      <w:r w:rsidRPr="00D27511">
        <w:rPr>
          <w:shd w:val="clear" w:color="auto" w:fill="FFFFFF"/>
        </w:rPr>
        <w:t>)</w:t>
      </w:r>
    </w:p>
    <w:p w14:paraId="59B8A1E3" w14:textId="69645FAE" w:rsidR="000A2C07" w:rsidRDefault="00031006" w:rsidP="000A2C07">
      <w:pPr>
        <w:rPr>
          <w:shd w:val="clear" w:color="auto" w:fill="FFFFFF"/>
        </w:rPr>
      </w:pPr>
      <w:r>
        <w:rPr>
          <w:shd w:val="clear" w:color="auto" w:fill="FFFFFF"/>
        </w:rPr>
        <w:t xml:space="preserve">The southern MDB subpopulation of the southern purple-spotted gudgeon is considered genetically distinct from those of the northern MDB, and thus a distinct ‘conservation unit’ </w:t>
      </w:r>
      <w:r>
        <w:rPr>
          <w:shd w:val="clear" w:color="auto" w:fill="FFFFFF"/>
        </w:rPr>
        <w:lastRenderedPageBreak/>
        <w:t xml:space="preserve">(Sasaki et al. 2016). The species was once widespread and common in wetland and fringing river habitats in the southern MDB (Hammer et al. 2009; Whiterod et al. 2021). However, it was declared extinct in South Australia in the early 1990s, following the last verified record in the wild in 1973 (Hammer et al. 2009). The last record from the NSW section of the southern MDB was in 1996. </w:t>
      </w:r>
    </w:p>
    <w:p w14:paraId="2BE8B9D2" w14:textId="4DFF6453" w:rsidR="00031006" w:rsidRDefault="00031006" w:rsidP="00445659">
      <w:pPr>
        <w:keepLines/>
        <w:rPr>
          <w:shd w:val="clear" w:color="auto" w:fill="FFFFFF"/>
        </w:rPr>
      </w:pPr>
      <w:r>
        <w:rPr>
          <w:shd w:val="clear" w:color="auto" w:fill="FFFFFF"/>
        </w:rPr>
        <w:t>After 30 years, in 2002, the SPSG was rediscovered within the ecological community—in Jury Swamp near Murray Bridge, SA (Hammer et al. 2015). The discovery coincided with increasing severity of impacts from the Millennium Drought, and fish were fortuitously rescued into three captive breeding facilities, with the view of establishing surrogate populations to safeguard the species (Hammer 2007). An approach was taken to ‘train’ fish prior to release to enhance survival, as part of broader restoration program (Hammer et al. 2012).</w:t>
      </w:r>
    </w:p>
    <w:p w14:paraId="1A2D83E9" w14:textId="29670DB9" w:rsidR="00031006" w:rsidRDefault="00031006" w:rsidP="00031006">
      <w:pPr>
        <w:rPr>
          <w:shd w:val="clear" w:color="auto" w:fill="FFFFFF"/>
        </w:rPr>
      </w:pPr>
      <w:r>
        <w:rPr>
          <w:shd w:val="clear" w:color="auto" w:fill="FFFFFF"/>
        </w:rPr>
        <w:t xml:space="preserve">Successful captive breeding led to several reintroductions between 2011 and 2019, with varying levels of success (Bice et al. 2014; Whiterod 2019). The bulk of these translocations occurred at Jury Swamp, and while low numbers were regularly detected the establishment of self-sustaining populations has not occurred (Whiterod </w:t>
      </w:r>
      <w:r w:rsidR="00D0381E">
        <w:rPr>
          <w:shd w:val="clear" w:color="auto" w:fill="FFFFFF"/>
        </w:rPr>
        <w:t xml:space="preserve">et al. </w:t>
      </w:r>
      <w:r>
        <w:rPr>
          <w:shd w:val="clear" w:color="auto" w:fill="FFFFFF"/>
        </w:rPr>
        <w:t>2019</w:t>
      </w:r>
      <w:r w:rsidR="00D0381E">
        <w:rPr>
          <w:shd w:val="clear" w:color="auto" w:fill="FFFFFF"/>
        </w:rPr>
        <w:t>,</w:t>
      </w:r>
      <w:r>
        <w:rPr>
          <w:shd w:val="clear" w:color="auto" w:fill="FFFFFF"/>
        </w:rPr>
        <w:t xml:space="preserve"> 2021). </w:t>
      </w:r>
    </w:p>
    <w:p w14:paraId="5E8AEF05" w14:textId="55C5D2A6" w:rsidR="005D54F7" w:rsidRDefault="00031006" w:rsidP="00EA31CA">
      <w:pPr>
        <w:rPr>
          <w:shd w:val="clear" w:color="auto" w:fill="FFFFFF"/>
        </w:rPr>
      </w:pPr>
      <w:r>
        <w:rPr>
          <w:shd w:val="clear" w:color="auto" w:fill="FFFFFF"/>
        </w:rPr>
        <w:t>The Lower Murray subpopulation continues to exist within the ecological community, with the assistance of regular reintroductions and maintenance of backup populations in captive facilities (</w:t>
      </w:r>
      <w:r w:rsidR="00D0381E">
        <w:rPr>
          <w:shd w:val="clear" w:color="auto" w:fill="FFFFFF"/>
        </w:rPr>
        <w:t>Whiterod 2019</w:t>
      </w:r>
      <w:r w:rsidR="00F27E69">
        <w:rPr>
          <w:shd w:val="clear" w:color="auto" w:fill="FFFFFF"/>
        </w:rPr>
        <w:t xml:space="preserve">; </w:t>
      </w:r>
      <w:r>
        <w:rPr>
          <w:shd w:val="clear" w:color="auto" w:fill="FFFFFF"/>
        </w:rPr>
        <w:t>Whiterod et al. 2021). However, according to Whiterod et al. (2021), the future of the species remains precarious in the southern MDB, as it is only known from a few locations which have resulted from reintroductions, and in the Lower Murray it has yet to reestablish a self-sustaining population. In addition, considerable knowledge gaps exist regarding both biology and ecology of SPSG (Koehn et al. 2017).</w:t>
      </w:r>
      <w:r w:rsidR="00CB0D9B">
        <w:rPr>
          <w:shd w:val="clear" w:color="auto" w:fill="FFFFFF"/>
        </w:rPr>
        <w:t xml:space="preserve"> </w:t>
      </w:r>
    </w:p>
    <w:p w14:paraId="181A9016" w14:textId="5659F37D" w:rsidR="00FA2BDE" w:rsidRDefault="00FA2BDE" w:rsidP="00A2521C">
      <w:pPr>
        <w:pStyle w:val="Heading5"/>
        <w:rPr>
          <w:shd w:val="clear" w:color="auto" w:fill="FFFFFF"/>
        </w:rPr>
      </w:pPr>
      <w:r w:rsidRPr="009F773D">
        <w:rPr>
          <w:shd w:val="clear" w:color="auto" w:fill="FFFFFF"/>
        </w:rPr>
        <w:t>Conclusion</w:t>
      </w:r>
      <w:r w:rsidR="009F773D">
        <w:rPr>
          <w:shd w:val="clear" w:color="auto" w:fill="FFFFFF"/>
        </w:rPr>
        <w:t xml:space="preserve"> re suite of small-bodied fish</w:t>
      </w:r>
    </w:p>
    <w:p w14:paraId="31FD6D6E" w14:textId="73487143" w:rsidR="00653D4F" w:rsidRDefault="00B354EB" w:rsidP="00EA31CA">
      <w:pPr>
        <w:contextualSpacing/>
        <w:rPr>
          <w:shd w:val="clear" w:color="auto" w:fill="FFFFFF"/>
        </w:rPr>
      </w:pPr>
      <w:r>
        <w:rPr>
          <w:shd w:val="clear" w:color="auto" w:fill="FFFFFF"/>
        </w:rPr>
        <w:t>Of the six species of ecological specialists</w:t>
      </w:r>
      <w:r w:rsidR="000C4861">
        <w:rPr>
          <w:shd w:val="clear" w:color="auto" w:fill="FFFFFF"/>
        </w:rPr>
        <w:t>, i.e. the suite of small-bodied fish, half (3) a</w:t>
      </w:r>
      <w:r w:rsidR="00551201">
        <w:rPr>
          <w:shd w:val="clear" w:color="auto" w:fill="FFFFFF"/>
        </w:rPr>
        <w:t>re</w:t>
      </w:r>
      <w:r w:rsidR="000C4861">
        <w:rPr>
          <w:shd w:val="clear" w:color="auto" w:fill="FFFFFF"/>
        </w:rPr>
        <w:t xml:space="preserve"> either extirpated or extinct within the ecological community.</w:t>
      </w:r>
      <w:r w:rsidR="00FE6D13">
        <w:rPr>
          <w:shd w:val="clear" w:color="auto" w:fill="FFFFFF"/>
        </w:rPr>
        <w:t xml:space="preserve"> All six have </w:t>
      </w:r>
      <w:r w:rsidR="0064564B">
        <w:rPr>
          <w:shd w:val="clear" w:color="auto" w:fill="FFFFFF"/>
        </w:rPr>
        <w:t>S</w:t>
      </w:r>
      <w:r w:rsidR="00FE6D13">
        <w:rPr>
          <w:shd w:val="clear" w:color="auto" w:fill="FFFFFF"/>
        </w:rPr>
        <w:t xml:space="preserve">tate recognition as </w:t>
      </w:r>
      <w:r w:rsidR="00AD6B84">
        <w:rPr>
          <w:shd w:val="clear" w:color="auto" w:fill="FFFFFF"/>
        </w:rPr>
        <w:t>a</w:t>
      </w:r>
      <w:r w:rsidR="00DA6766">
        <w:rPr>
          <w:shd w:val="clear" w:color="auto" w:fill="FFFFFF"/>
        </w:rPr>
        <w:t xml:space="preserve"> </w:t>
      </w:r>
      <w:r w:rsidR="00FE6D13">
        <w:rPr>
          <w:shd w:val="clear" w:color="auto" w:fill="FFFFFF"/>
        </w:rPr>
        <w:t>threatened</w:t>
      </w:r>
      <w:r w:rsidR="00DA6766">
        <w:rPr>
          <w:shd w:val="clear" w:color="auto" w:fill="FFFFFF"/>
        </w:rPr>
        <w:t xml:space="preserve"> or protected species</w:t>
      </w:r>
      <w:r w:rsidR="00FE6D13">
        <w:rPr>
          <w:shd w:val="clear" w:color="auto" w:fill="FFFFFF"/>
        </w:rPr>
        <w:t>, and five</w:t>
      </w:r>
      <w:r w:rsidR="003A4836">
        <w:rPr>
          <w:shd w:val="clear" w:color="auto" w:fill="FFFFFF"/>
        </w:rPr>
        <w:t xml:space="preserve"> are listed as threatened </w:t>
      </w:r>
      <w:r w:rsidR="0064564B">
        <w:rPr>
          <w:shd w:val="clear" w:color="auto" w:fill="FFFFFF"/>
        </w:rPr>
        <w:t xml:space="preserve">species </w:t>
      </w:r>
      <w:r w:rsidR="003A4836">
        <w:rPr>
          <w:shd w:val="clear" w:color="auto" w:fill="FFFFFF"/>
        </w:rPr>
        <w:t xml:space="preserve">under the EPBC Act (exception olive perchlet; see </w:t>
      </w:r>
      <w:r w:rsidR="003A4836" w:rsidRPr="0060589B">
        <w:rPr>
          <w:u w:val="single"/>
          <w:shd w:val="clear" w:color="auto" w:fill="FFFFFF"/>
        </w:rPr>
        <w:t>Appendix B, Table</w:t>
      </w:r>
      <w:r w:rsidR="00A91E52" w:rsidRPr="0060589B">
        <w:rPr>
          <w:u w:val="single"/>
          <w:shd w:val="clear" w:color="auto" w:fill="FFFFFF"/>
        </w:rPr>
        <w:t xml:space="preserve"> B</w:t>
      </w:r>
      <w:r w:rsidR="003A4836" w:rsidRPr="0060589B">
        <w:rPr>
          <w:u w:val="single"/>
          <w:shd w:val="clear" w:color="auto" w:fill="FFFFFF"/>
        </w:rPr>
        <w:t>2</w:t>
      </w:r>
      <w:r w:rsidR="003A4836">
        <w:rPr>
          <w:shd w:val="clear" w:color="auto" w:fill="FFFFFF"/>
        </w:rPr>
        <w:t>).</w:t>
      </w:r>
      <w:r w:rsidR="00114AF6">
        <w:rPr>
          <w:shd w:val="clear" w:color="auto" w:fill="FFFFFF"/>
        </w:rPr>
        <w:t xml:space="preserve"> </w:t>
      </w:r>
    </w:p>
    <w:p w14:paraId="79303F4F" w14:textId="77777777" w:rsidR="00653D4F" w:rsidRDefault="00653D4F" w:rsidP="00EA31CA">
      <w:pPr>
        <w:contextualSpacing/>
        <w:rPr>
          <w:shd w:val="clear" w:color="auto" w:fill="FFFFFF"/>
        </w:rPr>
      </w:pPr>
    </w:p>
    <w:p w14:paraId="3118ED25" w14:textId="6DE40F4D" w:rsidR="00AD6B84" w:rsidRDefault="004B0656" w:rsidP="00EA31CA">
      <w:pPr>
        <w:contextualSpacing/>
        <w:rPr>
          <w:shd w:val="clear" w:color="auto" w:fill="FFFFFF"/>
        </w:rPr>
      </w:pPr>
      <w:r>
        <w:rPr>
          <w:shd w:val="clear" w:color="auto" w:fill="FFFFFF"/>
        </w:rPr>
        <w:t xml:space="preserve">The dire situation </w:t>
      </w:r>
      <w:r w:rsidR="0068338B">
        <w:rPr>
          <w:shd w:val="clear" w:color="auto" w:fill="FFFFFF"/>
        </w:rPr>
        <w:t xml:space="preserve">of these small fish </w:t>
      </w:r>
      <w:r>
        <w:rPr>
          <w:shd w:val="clear" w:color="auto" w:fill="FFFFFF"/>
        </w:rPr>
        <w:t>during the Millennium Drought led to c</w:t>
      </w:r>
      <w:r w:rsidR="00D17CC5">
        <w:rPr>
          <w:shd w:val="clear" w:color="auto" w:fill="FFFFFF"/>
        </w:rPr>
        <w:t xml:space="preserve">aptive breeding programs </w:t>
      </w:r>
      <w:r w:rsidR="00E40153">
        <w:rPr>
          <w:shd w:val="clear" w:color="auto" w:fill="FFFFFF"/>
        </w:rPr>
        <w:t>for f</w:t>
      </w:r>
      <w:r w:rsidR="00500F6D">
        <w:rPr>
          <w:shd w:val="clear" w:color="auto" w:fill="FFFFFF"/>
        </w:rPr>
        <w:t xml:space="preserve">our species, </w:t>
      </w:r>
      <w:r w:rsidR="00D17CC5">
        <w:rPr>
          <w:shd w:val="clear" w:color="auto" w:fill="FFFFFF"/>
        </w:rPr>
        <w:t>YPP, SPP, SPSG, and MH</w:t>
      </w:r>
      <w:r w:rsidR="002D0C62">
        <w:rPr>
          <w:shd w:val="clear" w:color="auto" w:fill="FFFFFF"/>
        </w:rPr>
        <w:t>.</w:t>
      </w:r>
      <w:r w:rsidR="00D17CC5">
        <w:rPr>
          <w:shd w:val="clear" w:color="auto" w:fill="FFFFFF"/>
        </w:rPr>
        <w:t xml:space="preserve"> </w:t>
      </w:r>
      <w:r w:rsidR="008D5E4F">
        <w:rPr>
          <w:shd w:val="clear" w:color="auto" w:fill="FFFFFF"/>
        </w:rPr>
        <w:t xml:space="preserve">Translocations ensued, with limited to no success. </w:t>
      </w:r>
      <w:r w:rsidR="000C5E0D">
        <w:rPr>
          <w:shd w:val="clear" w:color="auto" w:fill="FFFFFF"/>
        </w:rPr>
        <w:t>However, i</w:t>
      </w:r>
      <w:r w:rsidR="00342C15">
        <w:rPr>
          <w:shd w:val="clear" w:color="auto" w:fill="FFFFFF"/>
        </w:rPr>
        <w:t xml:space="preserve">t is </w:t>
      </w:r>
      <w:r w:rsidR="00BF118E">
        <w:rPr>
          <w:shd w:val="clear" w:color="auto" w:fill="FFFFFF"/>
        </w:rPr>
        <w:t xml:space="preserve">increasingly recognised that </w:t>
      </w:r>
      <w:r w:rsidR="00AE31F9">
        <w:rPr>
          <w:shd w:val="clear" w:color="auto" w:fill="FFFFFF"/>
        </w:rPr>
        <w:t xml:space="preserve">captive breeding programs </w:t>
      </w:r>
      <w:r w:rsidR="00BF118E">
        <w:rPr>
          <w:shd w:val="clear" w:color="auto" w:fill="FFFFFF"/>
        </w:rPr>
        <w:t xml:space="preserve">need </w:t>
      </w:r>
      <w:r w:rsidR="00AE31F9">
        <w:rPr>
          <w:shd w:val="clear" w:color="auto" w:fill="FFFFFF"/>
        </w:rPr>
        <w:t>to retain genetic diversity</w:t>
      </w:r>
      <w:r w:rsidR="00A76BC9">
        <w:rPr>
          <w:shd w:val="clear" w:color="auto" w:fill="FFFFFF"/>
        </w:rPr>
        <w:t xml:space="preserve"> and allow for predator naivety. </w:t>
      </w:r>
      <w:r w:rsidR="008B7325">
        <w:rPr>
          <w:shd w:val="clear" w:color="auto" w:fill="FFFFFF"/>
        </w:rPr>
        <w:t xml:space="preserve">With human intervention, </w:t>
      </w:r>
      <w:r w:rsidR="000A79DF">
        <w:rPr>
          <w:shd w:val="clear" w:color="auto" w:fill="FFFFFF"/>
        </w:rPr>
        <w:t xml:space="preserve">including some targeted environmental watering, </w:t>
      </w:r>
      <w:r w:rsidR="008B7325">
        <w:rPr>
          <w:shd w:val="clear" w:color="auto" w:fill="FFFFFF"/>
        </w:rPr>
        <w:t xml:space="preserve">two of the species, </w:t>
      </w:r>
      <w:r w:rsidR="00AC5D7A">
        <w:rPr>
          <w:shd w:val="clear" w:color="auto" w:fill="FFFFFF"/>
        </w:rPr>
        <w:t>MH and SPSG,</w:t>
      </w:r>
      <w:r w:rsidR="008B7325">
        <w:rPr>
          <w:shd w:val="clear" w:color="auto" w:fill="FFFFFF"/>
        </w:rPr>
        <w:t xml:space="preserve"> have had </w:t>
      </w:r>
      <w:r w:rsidR="00AC5D7A">
        <w:rPr>
          <w:shd w:val="clear" w:color="auto" w:fill="FFFFFF"/>
        </w:rPr>
        <w:t xml:space="preserve">some </w:t>
      </w:r>
      <w:r w:rsidR="008B7325">
        <w:rPr>
          <w:shd w:val="clear" w:color="auto" w:fill="FFFFFF"/>
        </w:rPr>
        <w:t>fragmentary recovery</w:t>
      </w:r>
      <w:r w:rsidR="00387720">
        <w:rPr>
          <w:shd w:val="clear" w:color="auto" w:fill="FFFFFF"/>
        </w:rPr>
        <w:t xml:space="preserve">—although, </w:t>
      </w:r>
      <w:r w:rsidR="00D17FDC">
        <w:rPr>
          <w:shd w:val="clear" w:color="auto" w:fill="FFFFFF"/>
        </w:rPr>
        <w:t xml:space="preserve">SPSG </w:t>
      </w:r>
      <w:r w:rsidR="00387720">
        <w:rPr>
          <w:shd w:val="clear" w:color="auto" w:fill="FFFFFF"/>
        </w:rPr>
        <w:t xml:space="preserve">shows no </w:t>
      </w:r>
      <w:r w:rsidR="00832026">
        <w:rPr>
          <w:shd w:val="clear" w:color="auto" w:fill="FFFFFF"/>
        </w:rPr>
        <w:t>sign of self-sustaining populations.</w:t>
      </w:r>
      <w:r w:rsidR="00387720">
        <w:rPr>
          <w:shd w:val="clear" w:color="auto" w:fill="FFFFFF"/>
        </w:rPr>
        <w:t xml:space="preserve"> </w:t>
      </w:r>
      <w:r w:rsidR="00CB0D9B">
        <w:rPr>
          <w:shd w:val="clear" w:color="auto" w:fill="FFFFFF"/>
        </w:rPr>
        <w:t>The extant small-bodied fish are considered by experts to be at high risk to ongoing threats and future prolonged drought</w:t>
      </w:r>
      <w:r w:rsidR="00B17556">
        <w:rPr>
          <w:shd w:val="clear" w:color="auto" w:fill="FFFFFF"/>
        </w:rPr>
        <w:t>.</w:t>
      </w:r>
    </w:p>
    <w:p w14:paraId="0ADBA349" w14:textId="77777777" w:rsidR="002E6A56" w:rsidRDefault="002E6A56" w:rsidP="00EA31CA">
      <w:pPr>
        <w:contextualSpacing/>
        <w:rPr>
          <w:shd w:val="clear" w:color="auto" w:fill="FFFFFF"/>
        </w:rPr>
      </w:pPr>
    </w:p>
    <w:p w14:paraId="40E1CD81" w14:textId="19D0873F" w:rsidR="002E6A56" w:rsidRPr="009F773D" w:rsidRDefault="002E6A56" w:rsidP="00EA31CA">
      <w:pPr>
        <w:contextualSpacing/>
        <w:rPr>
          <w:shd w:val="clear" w:color="auto" w:fill="FFFFFF"/>
        </w:rPr>
      </w:pPr>
      <w:r>
        <w:rPr>
          <w:shd w:val="clear" w:color="auto" w:fill="FFFFFF"/>
        </w:rPr>
        <w:t xml:space="preserve">Given the level of decline suffered by these small-bodied fish species, and that </w:t>
      </w:r>
      <w:r w:rsidR="000368DD">
        <w:rPr>
          <w:shd w:val="clear" w:color="auto" w:fill="FFFFFF"/>
        </w:rPr>
        <w:t>restoration is not likely in the immediate future, a conservation status of Critically Endangered</w:t>
      </w:r>
      <w:r w:rsidR="00E86A6D">
        <w:rPr>
          <w:shd w:val="clear" w:color="auto" w:fill="FFFFFF"/>
        </w:rPr>
        <w:t xml:space="preserve"> within the EC is</w:t>
      </w:r>
      <w:r w:rsidR="00EF09D8">
        <w:rPr>
          <w:shd w:val="clear" w:color="auto" w:fill="FFFFFF"/>
        </w:rPr>
        <w:t xml:space="preserve"> applied</w:t>
      </w:r>
      <w:r w:rsidR="00E86A6D">
        <w:rPr>
          <w:shd w:val="clear" w:color="auto" w:fill="FFFFFF"/>
        </w:rPr>
        <w:t>.</w:t>
      </w:r>
      <w:r w:rsidR="0081019D">
        <w:rPr>
          <w:shd w:val="clear" w:color="auto" w:fill="FFFFFF"/>
        </w:rPr>
        <w:t xml:space="preserve"> </w:t>
      </w:r>
      <w:r w:rsidR="0081019D" w:rsidRPr="00096346">
        <w:rPr>
          <w:shd w:val="clear" w:color="auto" w:fill="FFFFFF"/>
        </w:rPr>
        <w:t xml:space="preserve">Overall, there have been </w:t>
      </w:r>
      <w:r w:rsidR="0081019D">
        <w:rPr>
          <w:shd w:val="clear" w:color="auto" w:fill="FFFFFF"/>
        </w:rPr>
        <w:t>very severe</w:t>
      </w:r>
      <w:r w:rsidR="0081019D" w:rsidRPr="00096346">
        <w:rPr>
          <w:shd w:val="clear" w:color="auto" w:fill="FFFFFF"/>
        </w:rPr>
        <w:t xml:space="preserve"> declines in </w:t>
      </w:r>
      <w:r w:rsidR="0081019D">
        <w:rPr>
          <w:shd w:val="clear" w:color="auto" w:fill="FFFFFF"/>
        </w:rPr>
        <w:t xml:space="preserve">small-bodied fish species </w:t>
      </w:r>
      <w:r w:rsidR="0081019D" w:rsidRPr="00096346">
        <w:rPr>
          <w:shd w:val="clear" w:color="auto" w:fill="FFFFFF"/>
        </w:rPr>
        <w:t xml:space="preserve">and it is not likely to be possible to restore to normal the major functional role </w:t>
      </w:r>
      <w:r w:rsidR="0081019D">
        <w:rPr>
          <w:shd w:val="clear" w:color="auto" w:fill="FFFFFF"/>
        </w:rPr>
        <w:t>they</w:t>
      </w:r>
      <w:r w:rsidR="0081019D" w:rsidRPr="00096346">
        <w:rPr>
          <w:shd w:val="clear" w:color="auto" w:fill="FFFFFF"/>
        </w:rPr>
        <w:t xml:space="preserve"> play in the ecological community in the immediate future.</w:t>
      </w:r>
    </w:p>
    <w:p w14:paraId="02ADC66C" w14:textId="77777777" w:rsidR="00AD6B84" w:rsidRDefault="00AD6B84" w:rsidP="000C033F">
      <w:pPr>
        <w:rPr>
          <w:b/>
          <w:sz w:val="24"/>
          <w:szCs w:val="24"/>
        </w:rPr>
      </w:pPr>
    </w:p>
    <w:p w14:paraId="5B60C405" w14:textId="77777777" w:rsidR="00445659" w:rsidRDefault="00445659">
      <w:pPr>
        <w:spacing w:after="160" w:line="259" w:lineRule="auto"/>
        <w:rPr>
          <w:rFonts w:asciiTheme="minorHAnsi" w:eastAsiaTheme="majorEastAsia" w:hAnsiTheme="minorHAnsi" w:cs="Arial"/>
          <w:b/>
          <w:i/>
          <w:iCs/>
          <w:smallCaps/>
          <w:szCs w:val="24"/>
          <w:lang w:val="en-US"/>
        </w:rPr>
      </w:pPr>
      <w:r>
        <w:br w:type="page"/>
      </w:r>
    </w:p>
    <w:p w14:paraId="7FCB8530" w14:textId="6D43C16F" w:rsidR="000C033F" w:rsidRPr="00482B14" w:rsidRDefault="00FB69E5" w:rsidP="006E2204">
      <w:pPr>
        <w:pStyle w:val="Heading4"/>
      </w:pPr>
      <w:r w:rsidRPr="00441D7C">
        <w:lastRenderedPageBreak/>
        <w:t xml:space="preserve">Keystone </w:t>
      </w:r>
      <w:r>
        <w:t>recycler</w:t>
      </w:r>
      <w:r w:rsidR="003B5EFC">
        <w:t>/detritivore</w:t>
      </w:r>
      <w:r w:rsidRPr="00482B14">
        <w:t xml:space="preserve"> </w:t>
      </w:r>
      <w:r>
        <w:t xml:space="preserve">– </w:t>
      </w:r>
      <w:r w:rsidR="000C033F" w:rsidRPr="00441D7C">
        <w:t xml:space="preserve">Murray Crayfish  </w:t>
      </w:r>
    </w:p>
    <w:tbl>
      <w:tblPr>
        <w:tblStyle w:val="TableGrid"/>
        <w:tblW w:w="0" w:type="auto"/>
        <w:tblLook w:val="04A0" w:firstRow="1" w:lastRow="0" w:firstColumn="1" w:lastColumn="0" w:noHBand="0" w:noVBand="1"/>
      </w:tblPr>
      <w:tblGrid>
        <w:gridCol w:w="9060"/>
      </w:tblGrid>
      <w:tr w:rsidR="000C033F" w14:paraId="32796CCC" w14:textId="77777777" w:rsidTr="002101BE">
        <w:tc>
          <w:tcPr>
            <w:tcW w:w="9174" w:type="dxa"/>
            <w:shd w:val="clear" w:color="auto" w:fill="DEEAF6" w:themeFill="accent1" w:themeFillTint="33"/>
          </w:tcPr>
          <w:p w14:paraId="3DC17621" w14:textId="11A9B186" w:rsidR="000C033F" w:rsidRPr="00F52D9A" w:rsidRDefault="000C033F" w:rsidP="003E129C">
            <w:pPr>
              <w:spacing w:after="120"/>
              <w:rPr>
                <w:b/>
                <w:iCs/>
              </w:rPr>
            </w:pPr>
            <w:r w:rsidRPr="00F52D9A">
              <w:rPr>
                <w:b/>
                <w:iCs/>
              </w:rPr>
              <w:t xml:space="preserve">Murray </w:t>
            </w:r>
            <w:r>
              <w:rPr>
                <w:b/>
                <w:iCs/>
              </w:rPr>
              <w:t>C</w:t>
            </w:r>
            <w:r w:rsidRPr="00F52D9A">
              <w:rPr>
                <w:b/>
                <w:iCs/>
              </w:rPr>
              <w:t xml:space="preserve">rayfish </w:t>
            </w:r>
            <w:r>
              <w:rPr>
                <w:b/>
                <w:iCs/>
              </w:rPr>
              <w:t>(</w:t>
            </w:r>
            <w:r w:rsidRPr="00F52D9A">
              <w:rPr>
                <w:b/>
                <w:i/>
              </w:rPr>
              <w:t>Euastacus armatus</w:t>
            </w:r>
            <w:r>
              <w:rPr>
                <w:b/>
                <w:i/>
              </w:rPr>
              <w:t>)</w:t>
            </w:r>
          </w:p>
          <w:p w14:paraId="41DD94D9" w14:textId="77777777" w:rsidR="000C033F" w:rsidRPr="00EE0FB2" w:rsidRDefault="000C033F" w:rsidP="009A45CA">
            <w:pPr>
              <w:spacing w:after="120"/>
            </w:pPr>
            <w:r w:rsidRPr="00EE0FB2">
              <w:rPr>
                <w:b/>
                <w:i/>
              </w:rPr>
              <w:t>Key functional role:</w:t>
            </w:r>
            <w:r>
              <w:rPr>
                <w:b/>
                <w:i/>
              </w:rPr>
              <w:t xml:space="preserve">  </w:t>
            </w:r>
            <w:r>
              <w:t>largest macroinvertebrate; scavenger/predator/detritivore/recycler; habitat modifier; food for terrestrial wildlife</w:t>
            </w:r>
          </w:p>
          <w:p w14:paraId="6CA41FE5" w14:textId="5C5D2333" w:rsidR="000C033F" w:rsidRDefault="000C033F" w:rsidP="009A45CA">
            <w:pPr>
              <w:spacing w:after="120"/>
            </w:pPr>
            <w:r w:rsidRPr="00EE0FB2">
              <w:rPr>
                <w:b/>
                <w:i/>
              </w:rPr>
              <w:t>Key vulnerabilities:</w:t>
            </w:r>
            <w:r>
              <w:t xml:space="preserve">  slow growing, long lived (~28 y); late sexual maturity (M 4 y; F 8-9 y); low fecundity (&lt; 2000 eggs/ annual breeding event); winter-spring brooder; sedentary; intolerant of low dissolved oxygen, high temperature, and high salinity (&amp; see </w:t>
            </w:r>
            <w:r w:rsidRPr="00020C5D">
              <w:rPr>
                <w:u w:val="single"/>
              </w:rPr>
              <w:t>Table</w:t>
            </w:r>
            <w:r w:rsidR="00020C5D">
              <w:rPr>
                <w:u w:val="single"/>
              </w:rPr>
              <w:t xml:space="preserve"> </w:t>
            </w:r>
            <w:r w:rsidR="00020C5D" w:rsidRPr="00020C5D">
              <w:rPr>
                <w:u w:val="single"/>
              </w:rPr>
              <w:t>17</w:t>
            </w:r>
            <w:r>
              <w:t xml:space="preserve">) </w:t>
            </w:r>
          </w:p>
          <w:p w14:paraId="6F6896F0" w14:textId="3B47A652" w:rsidR="000C033F" w:rsidRPr="007E28A6" w:rsidRDefault="000C033F" w:rsidP="009A45CA">
            <w:pPr>
              <w:spacing w:after="120"/>
            </w:pPr>
            <w:r>
              <w:rPr>
                <w:b/>
                <w:i/>
              </w:rPr>
              <w:t>Key impact</w:t>
            </w:r>
            <w:r w:rsidR="00EF09D8">
              <w:rPr>
                <w:b/>
                <w:i/>
              </w:rPr>
              <w:t>s on specie</w:t>
            </w:r>
            <w:r>
              <w:rPr>
                <w:b/>
                <w:i/>
              </w:rPr>
              <w:t xml:space="preserve">s:  </w:t>
            </w:r>
            <w:r>
              <w:t>decline in abundance and range/ local extinction (extirpation)</w:t>
            </w:r>
          </w:p>
          <w:p w14:paraId="1A73740B" w14:textId="77777777" w:rsidR="000C033F" w:rsidRDefault="000C033F" w:rsidP="009A45CA">
            <w:pPr>
              <w:spacing w:after="120"/>
            </w:pPr>
            <w:r>
              <w:rPr>
                <w:b/>
                <w:i/>
              </w:rPr>
              <w:t xml:space="preserve">Likely causes (threats):  </w:t>
            </w:r>
            <w:r>
              <w:t>decreased flow volume and flow velocity; construction of weirs; fishing pressure; reduced water quality; sedimentation; thermal pollution; climate change; bushfire impacts</w:t>
            </w:r>
          </w:p>
          <w:p w14:paraId="5A379167" w14:textId="54EC4816" w:rsidR="000C033F" w:rsidRPr="007E28A6" w:rsidRDefault="000C033F" w:rsidP="009A45CA">
            <w:pPr>
              <w:spacing w:after="120"/>
            </w:pPr>
            <w:r w:rsidRPr="00C25902">
              <w:rPr>
                <w:b/>
                <w:i/>
              </w:rPr>
              <w:t>Key impacts on EC:</w:t>
            </w:r>
            <w:r>
              <w:t xml:space="preserve">  foodweb (trophic) impacts/ loss of food source; reduced nutrient cycling and transfer; loss of habitat </w:t>
            </w:r>
            <w:r w:rsidR="00553D71">
              <w:t>structuring;</w:t>
            </w:r>
            <w:r>
              <w:t xml:space="preserve"> loss of biodiversity</w:t>
            </w:r>
            <w:r w:rsidR="00EF09D8">
              <w:t>; climate change impacts exacerbated (e.g. heat, drying, flood impacts)</w:t>
            </w:r>
          </w:p>
          <w:p w14:paraId="20D1FA3B" w14:textId="0941BC75" w:rsidR="000C033F" w:rsidRDefault="000C033F" w:rsidP="009A45CA">
            <w:r w:rsidRPr="00C02DD6">
              <w:rPr>
                <w:b/>
                <w:i/>
              </w:rPr>
              <w:t>Indicative conservation status within the EC:</w:t>
            </w:r>
            <w:r>
              <w:t xml:space="preserve">  Extirpated</w:t>
            </w:r>
            <w:r w:rsidR="00976136">
              <w:t>/ Critically Endangered</w:t>
            </w:r>
          </w:p>
        </w:tc>
      </w:tr>
    </w:tbl>
    <w:p w14:paraId="6AF399F0" w14:textId="77777777" w:rsidR="000C033F" w:rsidRPr="000C033F" w:rsidRDefault="000C033F" w:rsidP="000C033F">
      <w:pPr>
        <w:rPr>
          <w:b/>
          <w:bCs/>
          <w:i/>
          <w:iCs/>
          <w:sz w:val="16"/>
          <w:szCs w:val="16"/>
        </w:rPr>
      </w:pPr>
    </w:p>
    <w:p w14:paraId="41DD35A3" w14:textId="43C801A3" w:rsidR="000C033F" w:rsidRPr="00197ADC" w:rsidRDefault="000C033F" w:rsidP="00A2521C">
      <w:pPr>
        <w:pStyle w:val="Heading5"/>
      </w:pPr>
      <w:r w:rsidRPr="00197ADC">
        <w:t>An iconic</w:t>
      </w:r>
      <w:r>
        <w:t xml:space="preserve"> </w:t>
      </w:r>
      <w:r w:rsidRPr="00197ADC">
        <w:t>crustacean</w:t>
      </w:r>
    </w:p>
    <w:p w14:paraId="10A02205" w14:textId="038E43D8" w:rsidR="000C033F" w:rsidRDefault="0076389D" w:rsidP="000C033F">
      <w:pPr>
        <w:contextualSpacing/>
      </w:pPr>
      <w:r>
        <w:t xml:space="preserve">The </w:t>
      </w:r>
      <w:r w:rsidR="000C033F">
        <w:t xml:space="preserve">Murray (or </w:t>
      </w:r>
      <w:r w:rsidR="00762788">
        <w:t xml:space="preserve">River </w:t>
      </w:r>
      <w:r w:rsidR="000C033F">
        <w:t>Murray or Murray Spiny) crayfish (</w:t>
      </w:r>
      <w:r w:rsidR="000C033F" w:rsidRPr="004B4400">
        <w:rPr>
          <w:i/>
        </w:rPr>
        <w:t>Euastacus armatus</w:t>
      </w:r>
      <w:r w:rsidR="000C033F">
        <w:t>)</w:t>
      </w:r>
      <w:r>
        <w:t xml:space="preserve"> </w:t>
      </w:r>
      <w:r w:rsidR="000C033F">
        <w:t xml:space="preserve">is restricted to the </w:t>
      </w:r>
      <w:r>
        <w:t xml:space="preserve">River </w:t>
      </w:r>
      <w:r w:rsidR="000C033F">
        <w:t xml:space="preserve">Murray and its </w:t>
      </w:r>
      <w:r w:rsidR="00A01CE9">
        <w:t xml:space="preserve">southern </w:t>
      </w:r>
      <w:r w:rsidR="000C033F">
        <w:t>tributaries (Geddes, 1990; McCormick, 2012; Fisheries Scientific Committee NSW 2013)</w:t>
      </w:r>
      <w:r w:rsidR="00E560DB">
        <w:t>, and is one of two freshwater crayfish that occur within the ecological community</w:t>
      </w:r>
      <w:r w:rsidR="00034382">
        <w:t>—the other being the common yabby (</w:t>
      </w:r>
      <w:r w:rsidR="00034382" w:rsidRPr="00762788">
        <w:rPr>
          <w:i/>
          <w:iCs/>
        </w:rPr>
        <w:t>Cherax destructor</w:t>
      </w:r>
      <w:r w:rsidR="00034382">
        <w:t>)</w:t>
      </w:r>
      <w:r w:rsidR="000C033F">
        <w:t xml:space="preserve">. Reported to grow to 3 kg (and up to 50 cm total length), the Murray crayfish is the second largest freshwater crayfish in the world (the largest, </w:t>
      </w:r>
      <w:r w:rsidR="000C033F">
        <w:rPr>
          <w:i/>
        </w:rPr>
        <w:t>Asta</w:t>
      </w:r>
      <w:r w:rsidR="000C033F" w:rsidRPr="00067CBD">
        <w:rPr>
          <w:i/>
        </w:rPr>
        <w:t>copsis gouldii</w:t>
      </w:r>
      <w:r w:rsidR="000C033F">
        <w:t xml:space="preserve">, occurs in Tasmania); by comparison, the yabbie is much smaller and rarely exceeds 250 g (Geddes, 1990; Horwitz 1990 in Gilligan et al. 2007). </w:t>
      </w:r>
    </w:p>
    <w:p w14:paraId="6A45E6C4" w14:textId="03CD6773" w:rsidR="000C033F" w:rsidRPr="00C572C9" w:rsidRDefault="000C033F" w:rsidP="00A2521C">
      <w:pPr>
        <w:pStyle w:val="Heading5"/>
      </w:pPr>
      <w:r>
        <w:t>Important e</w:t>
      </w:r>
      <w:r w:rsidRPr="00C572C9">
        <w:t>cological role</w:t>
      </w:r>
    </w:p>
    <w:p w14:paraId="00259333" w14:textId="7C372F1E" w:rsidR="00E9044E" w:rsidRPr="00E9044E" w:rsidRDefault="000C033F" w:rsidP="00E9044E">
      <w:r>
        <w:t xml:space="preserve">Murray crayfish is a keystone species that serves an important ecological role in the benthic environment by shredding and processing large quantities of organic material, such as leaf litter and attached invertebrates, and by burrowing in and mobilising sediments (Nystrom 2002 in McCarthy 2005). These crayfish provide food for many species and are an important trophic link in the transformation of energy from microbiota through to predators such as fish, birds, water rats, and terrestrial mammals (Nystrom 2002 in McCarthy 2005). As such, Murray crayfish influence multiple trophic levels in addition to acting as ecosystem engineers, adding structure to the habitat with their burrowing behaviour (Gilligan et al. 2007; Whiterod &amp; Zukowski 2019). </w:t>
      </w:r>
    </w:p>
    <w:p w14:paraId="66ACBE95" w14:textId="041A4DC1" w:rsidR="000C033F" w:rsidRDefault="000C033F" w:rsidP="00A2521C">
      <w:pPr>
        <w:pStyle w:val="Heading5"/>
      </w:pPr>
      <w:r>
        <w:t>Critical habitat</w:t>
      </w:r>
    </w:p>
    <w:p w14:paraId="62FFF4F0" w14:textId="54DDFC62" w:rsidR="00E9044E" w:rsidRDefault="000C033F" w:rsidP="00E9044E">
      <w:pPr>
        <w:contextualSpacing/>
      </w:pPr>
      <w:r>
        <w:t xml:space="preserve">While there may be some differences between upland and lowland environments, and between individual streams, typically </w:t>
      </w:r>
      <w:r w:rsidR="00FC411F">
        <w:t xml:space="preserve">the </w:t>
      </w:r>
      <w:r>
        <w:t xml:space="preserve">Murray crayfish has a preference for areas of </w:t>
      </w:r>
      <w:r w:rsidR="00B87758">
        <w:t>cool</w:t>
      </w:r>
      <w:r w:rsidR="00F10CFE">
        <w:t>,</w:t>
      </w:r>
      <w:r w:rsidR="00B87758">
        <w:t xml:space="preserve"> well oxygenated waters of </w:t>
      </w:r>
      <w:r>
        <w:t>intermediate flow velocity,</w:t>
      </w:r>
      <w:r w:rsidR="00E2208B">
        <w:t xml:space="preserve"> with</w:t>
      </w:r>
      <w:r>
        <w:t xml:space="preserve"> </w:t>
      </w:r>
      <w:r w:rsidR="00E2208B">
        <w:t xml:space="preserve">strong </w:t>
      </w:r>
      <w:r>
        <w:t>habitat complexity. Rocks, woody debris</w:t>
      </w:r>
      <w:r w:rsidR="00C86A14">
        <w:t xml:space="preserve"> (e</w:t>
      </w:r>
      <w:r w:rsidR="00F10CFE">
        <w:t>.g. snags)</w:t>
      </w:r>
      <w:r>
        <w:t>, and riparian vegetation can provide shelter and refuge, and stable (clay) banks are needed for burrowing (Gilligan et al. 2007; Zukowski 2012; Nobel &amp; Fulton 2017).</w:t>
      </w:r>
    </w:p>
    <w:p w14:paraId="3E88F3A1" w14:textId="0DCBEAEB" w:rsidR="000C033F" w:rsidRDefault="000C033F" w:rsidP="00A2521C">
      <w:pPr>
        <w:pStyle w:val="Heading5"/>
      </w:pPr>
      <w:r>
        <w:t>Vulnerabilities and environmental tolerances</w:t>
      </w:r>
    </w:p>
    <w:p w14:paraId="3992FA1B" w14:textId="559277A6" w:rsidR="00E9044E" w:rsidRDefault="000C033F" w:rsidP="004C237C">
      <w:pPr>
        <w:contextualSpacing/>
      </w:pPr>
      <w:r>
        <w:t xml:space="preserve">Several features of the biology and ecology of the Murray crayfish serve to make it a species vulnerable to disturbance: low dispersal ability, longevity, low fecundity; high mortality (~ 50%) prior to maturity (e.g. Geddes 1990; Gilligan et al. 2007 and references therein; Zukowski et al. </w:t>
      </w:r>
      <w:r w:rsidRPr="00020C5D">
        <w:lastRenderedPageBreak/>
        <w:t>in press</w:t>
      </w:r>
      <w:r>
        <w:t xml:space="preserve">). In addition, it has been hypothesized that annual mating occurs over a brief period and is cued by a rapid decline in water temperature to about 12 – 15 °C (O’Conner 1986 in Gilligan et al. 2007). </w:t>
      </w:r>
    </w:p>
    <w:p w14:paraId="2B46293D" w14:textId="77777777" w:rsidR="00E9044E" w:rsidRDefault="00E9044E" w:rsidP="00E9044E">
      <w:pPr>
        <w:contextualSpacing/>
      </w:pPr>
    </w:p>
    <w:p w14:paraId="7555D369" w14:textId="02D4D243" w:rsidR="000C033F" w:rsidRDefault="000C033F" w:rsidP="00E9044E">
      <w:r>
        <w:t>It is well documented that this large freshwater crayfish is highly vulnerable to poor water quality. Geddes et al. (1993) recorded Murray crayfish to have the following longer-term tolerances:</w:t>
      </w:r>
    </w:p>
    <w:p w14:paraId="789C5BDA" w14:textId="77777777" w:rsidR="000C033F" w:rsidRDefault="000C033F" w:rsidP="004162AC">
      <w:pPr>
        <w:pStyle w:val="ListParagraph"/>
        <w:numPr>
          <w:ilvl w:val="1"/>
          <w:numId w:val="61"/>
        </w:numPr>
      </w:pPr>
      <w:r>
        <w:t>temperature as high as 27 °C (LD</w:t>
      </w:r>
      <w:r w:rsidRPr="00A501F6">
        <w:rPr>
          <w:vertAlign w:val="subscript"/>
        </w:rPr>
        <w:t>50</w:t>
      </w:r>
      <w:r>
        <w:t>s 30 °C)</w:t>
      </w:r>
    </w:p>
    <w:p w14:paraId="217CAC03" w14:textId="77777777" w:rsidR="000C033F" w:rsidRDefault="000C033F" w:rsidP="004162AC">
      <w:pPr>
        <w:pStyle w:val="ListParagraph"/>
        <w:numPr>
          <w:ilvl w:val="1"/>
          <w:numId w:val="61"/>
        </w:numPr>
      </w:pPr>
      <w:r>
        <w:t>dissolved oxygen concentration as low as 3 g/L (LD</w:t>
      </w:r>
      <w:r w:rsidRPr="00A501F6">
        <w:rPr>
          <w:vertAlign w:val="subscript"/>
        </w:rPr>
        <w:t>50</w:t>
      </w:r>
      <w:r>
        <w:t>s 2.2 mg/L)</w:t>
      </w:r>
    </w:p>
    <w:p w14:paraId="46DFC5A2" w14:textId="77777777" w:rsidR="000C033F" w:rsidRDefault="000C033F" w:rsidP="004162AC">
      <w:pPr>
        <w:pStyle w:val="ListParagraph"/>
        <w:numPr>
          <w:ilvl w:val="1"/>
          <w:numId w:val="61"/>
        </w:numPr>
      </w:pPr>
      <w:r>
        <w:t>salinities less than 16 ppt (33% mortality at 16 ppt).</w:t>
      </w:r>
    </w:p>
    <w:p w14:paraId="11ADA9D4" w14:textId="77777777" w:rsidR="000C033F" w:rsidRDefault="000C033F" w:rsidP="000C033F">
      <w:r>
        <w:t>Of concern, is that under climate change, rising temperatures, future heatwave conditions, and other extreme events, may see these thresholds exceeded within the region of the ecological community (e.g. MDBA 2019; Lawrence et al. 2022).</w:t>
      </w:r>
    </w:p>
    <w:p w14:paraId="4E58D28D" w14:textId="7E4DBABA" w:rsidR="000C033F" w:rsidRDefault="000C033F" w:rsidP="000C033F">
      <w:r>
        <w:t>A widespread 'crawl-out' of Murray crayfish occurred in 1992-93, in the middle River Murray downstream of the Barmah-Millewa Forest, in response to low oxygen water (&lt; 2 mg/L) associated with a 'blackwater' event (McKinnon, 1995; Walker et al. 2009). Such ‘crawl-outs’ were also observed across the southern Murray-Darling Basin in 2010/11 when the prolonged flooding that ended the Millennium Drought produced a large-scale blackwater event (McCarthy et al. 2014; Whiterod et al. 2018). Despite the ability of Murray Crayfish to emerge from these hypoxic conditions, McCarthy et al. (2014) found significant population declines (~80%) two years later at affected sites. A similar mass crawl-out occurred in 2022 in the southern Riverina region of the Murray, of which a large number were rescued (NSW DPI 2022). Lengthy recovery trajectories (e.g. 50 years) to reach pre-disturbance population sizes have been proposed, with recovery timeframes delayed under any harvesting pressure (Whiterod et al. 2018).</w:t>
      </w:r>
    </w:p>
    <w:p w14:paraId="40924F54" w14:textId="6391BD27" w:rsidR="000C033F" w:rsidRDefault="000C033F" w:rsidP="000C033F">
      <w:r>
        <w:t>Geddes et al. (1993) also demonstrated this crayfish was sensitive to low flow or no flow conditions. These authors found Murray crayfish did not survive in the Lock 3 weir pool in reduced flow velocities of 0.02 m/s, although they did survive at flows of 0.31 m/s (Geddes et al. 1993).  Flow velocity, and its link to higher DO concentrations, is now recognised as an important habitat feature for this species and it is largely absent from slow-flowing impoundments and weir pools (McCarthy 2005; Gilligan et al. 2007; Zukowski 2012; Noble </w:t>
      </w:r>
      <w:r w:rsidR="00655054">
        <w:t xml:space="preserve">&amp; </w:t>
      </w:r>
      <w:r>
        <w:t xml:space="preserve">Fulton 2017). </w:t>
      </w:r>
    </w:p>
    <w:p w14:paraId="47FA16C4" w14:textId="20DB731E" w:rsidR="000C033F" w:rsidRDefault="000C033F" w:rsidP="000C033F">
      <w:r>
        <w:t xml:space="preserve">Crayfish are known to be particularly sensitive to chemical pollutants and pollution is often cited as a contributing factor in their decline. Widespread use of pesticides during the 1950s likely contributed to abrupt population declines (Geddes 1990; Geddes et al. 1993). However, an understanding of the sensitivity and thresholds of Murray crayfish to agricultural chemicals and pesticides, remains lacking (Gilligan et al. 2007; </w:t>
      </w:r>
      <w:r w:rsidRPr="00CC2890">
        <w:t>Zukowski et al. in press).</w:t>
      </w:r>
      <w:r>
        <w:t xml:space="preserve"> This species has the capacity for short-term emersion to avoid adverse conditions, however mortality can result from periods out of the water due to desiccation, predation and illegal collection (McKinnon 1995). </w:t>
      </w:r>
    </w:p>
    <w:p w14:paraId="60484175" w14:textId="77777777" w:rsidR="000C033F" w:rsidRPr="00726E1E" w:rsidRDefault="000C033F" w:rsidP="00A2521C">
      <w:pPr>
        <w:pStyle w:val="Heading5"/>
      </w:pPr>
      <w:r>
        <w:t>A sentinel species</w:t>
      </w:r>
    </w:p>
    <w:p w14:paraId="4F0400B1" w14:textId="77777777" w:rsidR="000C033F" w:rsidRDefault="000C033F" w:rsidP="004C237C">
      <w:pPr>
        <w:contextualSpacing/>
      </w:pPr>
      <w:r>
        <w:t xml:space="preserve">Given its high level of vulnerability and sensitivity to environmental conditions, Murray crayfish also serve as important ‘environmental indicators’ of water quality and the condition of aquatic habitats. Furse and Coughran (2011c) flag that </w:t>
      </w:r>
      <w:r w:rsidRPr="00760531">
        <w:rPr>
          <w:i/>
          <w:iCs/>
        </w:rPr>
        <w:t>Euastacus</w:t>
      </w:r>
      <w:r>
        <w:t xml:space="preserve"> species, in general, will likely be the first to be broadly impacted by the combined effects of various threats (i.e. increasing temperature and dryness, reduced flow, land use practices, invasive species, etc.) and should be considered a ‘sentinel’ genus that could serve as an early warning indicator for other native </w:t>
      </w:r>
      <w:r>
        <w:lastRenderedPageBreak/>
        <w:t>fauna. The fact that Murray crayfish has been extirpated within the ecological community for decades represents such a warning.</w:t>
      </w:r>
    </w:p>
    <w:p w14:paraId="679B6250" w14:textId="77777777" w:rsidR="000C033F" w:rsidRDefault="000C033F" w:rsidP="00A2521C">
      <w:pPr>
        <w:pStyle w:val="Heading5"/>
      </w:pPr>
      <w:r>
        <w:t xml:space="preserve">History </w:t>
      </w:r>
    </w:p>
    <w:p w14:paraId="4F177300" w14:textId="095F361D" w:rsidR="000C033F" w:rsidRPr="00134F43" w:rsidRDefault="000C033F" w:rsidP="00E9044E">
      <w:pPr>
        <w:pStyle w:val="ListBullet"/>
        <w:contextualSpacing/>
      </w:pPr>
      <w:r>
        <w:t>Once common and widespread, the Murray crayfish has suffered considerable decline</w:t>
      </w:r>
      <w:r w:rsidR="00B64FBE">
        <w:t>s throughout it</w:t>
      </w:r>
      <w:r w:rsidR="00AC7E51">
        <w:t>s range</w:t>
      </w:r>
      <w:r>
        <w:t xml:space="preserve"> in distribution and abundance, particularly in the region of the ecological where it is assumed to be locally extinct or extirpated (e.g. Whiterod &amp; Zukowski 2017). Historical records indicate the species occurred as far </w:t>
      </w:r>
      <w:r>
        <w:rPr>
          <w:rFonts w:cstheme="minorHAnsi"/>
        </w:rPr>
        <w:t xml:space="preserve">downstream as </w:t>
      </w:r>
      <w:r w:rsidRPr="00AA38BF">
        <w:rPr>
          <w:rFonts w:cstheme="minorHAnsi"/>
        </w:rPr>
        <w:t xml:space="preserve">Murray Bridge (Geddes 1990) and </w:t>
      </w:r>
      <w:r>
        <w:rPr>
          <w:rFonts w:cstheme="minorHAnsi"/>
        </w:rPr>
        <w:t xml:space="preserve">even </w:t>
      </w:r>
      <w:r w:rsidRPr="00AA38BF">
        <w:rPr>
          <w:rFonts w:cstheme="minorHAnsi"/>
        </w:rPr>
        <w:t>Pomanda Point in Lake Alexandrina in the 1960s (Warneke 2000</w:t>
      </w:r>
      <w:r>
        <w:rPr>
          <w:rFonts w:cstheme="minorHAnsi"/>
        </w:rPr>
        <w:t xml:space="preserve"> in Whiterod &amp; Zukowski 2019). Early </w:t>
      </w:r>
      <w:r w:rsidRPr="00AA38BF">
        <w:rPr>
          <w:rFonts w:cstheme="minorHAnsi"/>
        </w:rPr>
        <w:t>explorer John Eyre</w:t>
      </w:r>
      <w:r>
        <w:rPr>
          <w:rFonts w:cstheme="minorHAnsi"/>
        </w:rPr>
        <w:t>,</w:t>
      </w:r>
      <w:r w:rsidRPr="00AA38BF">
        <w:rPr>
          <w:rFonts w:cstheme="minorHAnsi"/>
        </w:rPr>
        <w:t xml:space="preserve"> </w:t>
      </w:r>
      <w:r>
        <w:rPr>
          <w:rFonts w:cstheme="minorHAnsi"/>
        </w:rPr>
        <w:t xml:space="preserve">observed in </w:t>
      </w:r>
      <w:r w:rsidRPr="00AA38BF">
        <w:rPr>
          <w:rFonts w:cstheme="minorHAnsi"/>
        </w:rPr>
        <w:t xml:space="preserve">the Lower River Murray that </w:t>
      </w:r>
      <w:r w:rsidR="008415A4">
        <w:rPr>
          <w:rFonts w:cstheme="minorHAnsi"/>
        </w:rPr>
        <w:t>First Nations</w:t>
      </w:r>
      <w:r w:rsidR="00FC228A">
        <w:rPr>
          <w:rFonts w:cstheme="minorHAnsi"/>
        </w:rPr>
        <w:t xml:space="preserve"> peoples</w:t>
      </w:r>
      <w:r w:rsidRPr="00AA38BF">
        <w:rPr>
          <w:rFonts w:cstheme="minorHAnsi"/>
        </w:rPr>
        <w:t xml:space="preserve"> could readily harvest the species by spear and hand in clear, shallow water, </w:t>
      </w:r>
      <w:r>
        <w:rPr>
          <w:rFonts w:cstheme="minorHAnsi"/>
        </w:rPr>
        <w:t xml:space="preserve">which </w:t>
      </w:r>
      <w:r w:rsidRPr="00AA38BF">
        <w:rPr>
          <w:rFonts w:cstheme="minorHAnsi"/>
        </w:rPr>
        <w:t>attests to how plentiful it once was (Eyre 1845</w:t>
      </w:r>
      <w:r>
        <w:rPr>
          <w:rFonts w:cstheme="minorHAnsi"/>
        </w:rPr>
        <w:t xml:space="preserve"> in Whiterod &amp; Zukowski 2019</w:t>
      </w:r>
      <w:r w:rsidRPr="00AA38BF">
        <w:rPr>
          <w:rFonts w:cstheme="minorHAnsi"/>
        </w:rPr>
        <w:t>). Furthermore, the species was in sufficient abundance to support a commercial fishery as well as recreational harvesting the Lower River Murray during the 20th century (Geddes et al. 1993; Gilligan et al. 2007</w:t>
      </w:r>
      <w:r>
        <w:rPr>
          <w:rFonts w:cstheme="minorHAnsi"/>
        </w:rPr>
        <w:t xml:space="preserve">; see </w:t>
      </w:r>
      <w:r w:rsidRPr="00F54589">
        <w:rPr>
          <w:rFonts w:cstheme="minorHAnsi"/>
          <w:u w:val="single"/>
        </w:rPr>
        <w:t xml:space="preserve">Table </w:t>
      </w:r>
      <w:r w:rsidR="00F54589" w:rsidRPr="00F54589">
        <w:rPr>
          <w:rFonts w:cstheme="minorHAnsi"/>
          <w:u w:val="single"/>
        </w:rPr>
        <w:t>32</w:t>
      </w:r>
      <w:r w:rsidRPr="00AA38BF">
        <w:rPr>
          <w:rFonts w:cstheme="minorHAnsi"/>
        </w:rPr>
        <w:t>).</w:t>
      </w:r>
    </w:p>
    <w:p w14:paraId="724C1F46" w14:textId="77777777" w:rsidR="00E9044E" w:rsidRDefault="000C033F" w:rsidP="00A2521C">
      <w:pPr>
        <w:pStyle w:val="Heading5"/>
      </w:pPr>
      <w:r w:rsidRPr="00A04B1A">
        <w:t xml:space="preserve">Declining trends and </w:t>
      </w:r>
      <w:r>
        <w:t>e</w:t>
      </w:r>
      <w:r w:rsidRPr="00A04B1A">
        <w:t>xtirpation in the EC</w:t>
      </w:r>
    </w:p>
    <w:p w14:paraId="26EEFD68" w14:textId="7474E229" w:rsidR="005D54F7" w:rsidRPr="00F43965" w:rsidRDefault="000C033F" w:rsidP="00F43965">
      <w:pPr>
        <w:rPr>
          <w:b/>
          <w:bCs/>
          <w:i/>
          <w:iCs/>
        </w:rPr>
      </w:pPr>
      <w:r>
        <w:t>Murray crayfish has not been officially detected in the South Australian section of the River Murray for more than 40 years (Zukowski et al</w:t>
      </w:r>
      <w:r w:rsidRPr="00E9044E">
        <w:t>. in press</w:t>
      </w:r>
      <w:r>
        <w:t xml:space="preserve">). The history of decline and disappearance of this species from the ecological community is outlined in </w:t>
      </w:r>
      <w:r w:rsidRPr="00F54589">
        <w:rPr>
          <w:u w:val="single"/>
        </w:rPr>
        <w:t xml:space="preserve">Table </w:t>
      </w:r>
      <w:r w:rsidR="00F54589" w:rsidRPr="00F54589">
        <w:rPr>
          <w:u w:val="single"/>
        </w:rPr>
        <w:t>32</w:t>
      </w:r>
      <w:r>
        <w:t xml:space="preserve">, which also includes the conservation status in each jurisdiction in which it occurs/occurred. </w:t>
      </w:r>
      <w:bookmarkStart w:id="278" w:name="_Toc232747213"/>
      <w:bookmarkStart w:id="279" w:name="_Toc232747289"/>
      <w:bookmarkStart w:id="280" w:name="_Toc232747532"/>
    </w:p>
    <w:p w14:paraId="40338B5B" w14:textId="77777777" w:rsidR="00F43965" w:rsidRDefault="00F43965" w:rsidP="00F43965">
      <w:pPr>
        <w:pStyle w:val="ListBullet"/>
      </w:pPr>
      <w:r>
        <w:t>The declining trend of Murray crayfish over the past 50 years throughout the Murray-Darling Basin has been attributed to threats such as overfishing (largely historical), poor water quality, habitat disturbance, and environmental changes related to flow regulation and dislocation by weirs (Gilligan et al. 2007; Walker et al. 2009; Whiterod &amp; Zukowski 2019). Fishing (commercial and recreational) has been banned in South Australia since 1989</w:t>
      </w:r>
      <w:r w:rsidRPr="006C4F5E">
        <w:t>,</w:t>
      </w:r>
      <w:r>
        <w:t xml:space="preserve"> however there has been no recovery of Murray crayfish reported. Recreational fishing of Murray crayfish still occurs under regulations in Victoria and New South Wales (Whiterod &amp; Zukowski 2017; Forbes et al. 2019)—and therefore, potentially within the NSW and Victorian reaches of the ecological community (i.e. should Murray crayfish occur there). </w:t>
      </w:r>
    </w:p>
    <w:p w14:paraId="6225588F" w14:textId="77777777" w:rsidR="00C158C0" w:rsidRDefault="00C158C0" w:rsidP="00C158C0">
      <w:pPr>
        <w:pStyle w:val="ListBullet"/>
      </w:pPr>
      <w:r>
        <w:t>There has been no recovery in South Australia reported, despite intensive targeted surveys being undertaken to detect Murray crayfish (Whiterod &amp; Zukowski 2019). Following much research, Whiterod et al. (2018) called for greater emphasis on conservation of the species, and a precautionary approach to recreational fishery management in order to promote recovery and sustainability.</w:t>
      </w:r>
    </w:p>
    <w:p w14:paraId="4F0524FD" w14:textId="2C7B2AC3" w:rsidR="00022598" w:rsidRDefault="002101BE" w:rsidP="00445659">
      <w:pPr>
        <w:keepLines/>
      </w:pPr>
      <w:r w:rsidRPr="001C15B5">
        <w:t>Walker (1982, 2001) attributed the disappearance of Murray crayfish from the South Australian</w:t>
      </w:r>
      <w:r>
        <w:t xml:space="preserve"> </w:t>
      </w:r>
      <w:r w:rsidRPr="001C15B5">
        <w:t>River Murray to the construction of weirs an</w:t>
      </w:r>
      <w:r>
        <w:t>d subsequent river regulation</w:t>
      </w:r>
      <w:r w:rsidRPr="001C15B5">
        <w:t xml:space="preserve">, which transformed </w:t>
      </w:r>
      <w:bookmarkEnd w:id="278"/>
      <w:bookmarkEnd w:id="279"/>
      <w:bookmarkEnd w:id="280"/>
      <w:r w:rsidR="003B0075" w:rsidRPr="001C15B5">
        <w:t>the region into a series of weir-pools, where hydrology</w:t>
      </w:r>
      <w:r w:rsidR="003B0075">
        <w:t xml:space="preserve"> (e.g. seasonal flows)</w:t>
      </w:r>
      <w:r w:rsidR="003B0075" w:rsidRPr="001C15B5">
        <w:t>, hydraulics, sedimentation rates and biofilm composition are all altered from the natural riverine state.</w:t>
      </w:r>
      <w:r w:rsidR="003B0075">
        <w:t xml:space="preserve"> In contrast, f</w:t>
      </w:r>
      <w:r w:rsidR="003B0075" w:rsidRPr="00690259">
        <w:t>low regulation a</w:t>
      </w:r>
      <w:r w:rsidR="003B0075">
        <w:t xml:space="preserve">nd the construction of weirs have </w:t>
      </w:r>
      <w:r w:rsidR="003B0075" w:rsidRPr="00690259">
        <w:t>promoted yabbie populations in the river channel</w:t>
      </w:r>
      <w:r w:rsidR="003B0075">
        <w:t xml:space="preserve"> within the ecological community, given the yabbies’ preferences for warmer, stiller waters (Walker et al. 2009)</w:t>
      </w:r>
      <w:r w:rsidR="003B0075" w:rsidRPr="00690259">
        <w:t>.</w:t>
      </w:r>
      <w:r w:rsidR="003B0075">
        <w:t xml:space="preserve"> McCarthy (2005) further demonstrated the avoidance of weir-pool environments by Murray crayfish in the Mallee region, which supports the proposal that river regulation is an important threatening process within the ecological community, by creating barriers to movements and low-flow environments that are unsuitable for Murray crayfish (e.g. Gilligan et al. 2007).</w:t>
      </w:r>
    </w:p>
    <w:p w14:paraId="725FC4AF" w14:textId="4379A85E" w:rsidR="00244D27" w:rsidRPr="00630DA7" w:rsidRDefault="00244D27" w:rsidP="00244D27">
      <w:pPr>
        <w:pStyle w:val="Caption"/>
        <w:rPr>
          <w:b w:val="0"/>
          <w:bCs/>
          <w:sz w:val="21"/>
          <w:szCs w:val="21"/>
        </w:rPr>
      </w:pPr>
      <w:r w:rsidRPr="00B727F5">
        <w:rPr>
          <w:sz w:val="20"/>
          <w:szCs w:val="16"/>
        </w:rPr>
        <w:lastRenderedPageBreak/>
        <w:t xml:space="preserve">Table </w:t>
      </w:r>
      <w:r w:rsidRPr="00B727F5">
        <w:rPr>
          <w:sz w:val="20"/>
          <w:szCs w:val="16"/>
        </w:rPr>
        <w:fldChar w:fldCharType="begin"/>
      </w:r>
      <w:r w:rsidRPr="00B727F5">
        <w:rPr>
          <w:sz w:val="20"/>
          <w:szCs w:val="16"/>
        </w:rPr>
        <w:instrText xml:space="preserve"> SEQ Table \* ARABIC </w:instrText>
      </w:r>
      <w:r w:rsidRPr="00B727F5">
        <w:rPr>
          <w:sz w:val="20"/>
          <w:szCs w:val="16"/>
        </w:rPr>
        <w:fldChar w:fldCharType="separate"/>
      </w:r>
      <w:r w:rsidR="006D35C5">
        <w:rPr>
          <w:noProof/>
          <w:sz w:val="20"/>
          <w:szCs w:val="16"/>
        </w:rPr>
        <w:t>32</w:t>
      </w:r>
      <w:r w:rsidRPr="00B727F5">
        <w:rPr>
          <w:sz w:val="20"/>
          <w:szCs w:val="16"/>
        </w:rPr>
        <w:fldChar w:fldCharType="end"/>
      </w:r>
      <w:r w:rsidRPr="00B727F5">
        <w:rPr>
          <w:bCs/>
          <w:sz w:val="20"/>
          <w:szCs w:val="16"/>
        </w:rPr>
        <w:t xml:space="preserve">: </w:t>
      </w:r>
      <w:r w:rsidRPr="00630DA7">
        <w:rPr>
          <w:bCs/>
          <w:sz w:val="21"/>
          <w:szCs w:val="21"/>
        </w:rPr>
        <w:t>History of decline for River Murray crayfish (</w:t>
      </w:r>
      <w:r w:rsidRPr="00630DA7">
        <w:rPr>
          <w:bCs/>
          <w:i/>
          <w:sz w:val="21"/>
          <w:szCs w:val="21"/>
        </w:rPr>
        <w:t>Euastacus armatus</w:t>
      </w:r>
      <w:r w:rsidRPr="00630DA7">
        <w:rPr>
          <w:bCs/>
          <w:sz w:val="21"/>
          <w:szCs w:val="21"/>
        </w:rPr>
        <w:t>) in the ecological community and upstream MDB (after Geddes 1990; McCarthy 2005; Gilligan et al. 2007; Walker et al. 2009; McCormick 2012; Zukowski 2012; Fisheries Scientific Committee NSW 2013; Zukowski et al. in press).</w:t>
      </w:r>
    </w:p>
    <w:tbl>
      <w:tblPr>
        <w:tblStyle w:val="TableGrid"/>
        <w:tblW w:w="5000" w:type="pct"/>
        <w:tblLook w:val="04A0" w:firstRow="1" w:lastRow="0" w:firstColumn="1" w:lastColumn="0" w:noHBand="0" w:noVBand="1"/>
      </w:tblPr>
      <w:tblGrid>
        <w:gridCol w:w="1754"/>
        <w:gridCol w:w="7306"/>
      </w:tblGrid>
      <w:tr w:rsidR="00244D27" w:rsidRPr="00F04C34" w14:paraId="254E2E45" w14:textId="77777777" w:rsidTr="00244D27">
        <w:trPr>
          <w:trHeight w:val="227"/>
          <w:tblHeader/>
        </w:trPr>
        <w:tc>
          <w:tcPr>
            <w:tcW w:w="968" w:type="pct"/>
            <w:shd w:val="clear" w:color="auto" w:fill="D9D9D9" w:themeFill="background1" w:themeFillShade="D9"/>
          </w:tcPr>
          <w:p w14:paraId="5F0961F0" w14:textId="77777777" w:rsidR="00244D27" w:rsidRPr="00F04C34" w:rsidRDefault="00244D27" w:rsidP="00CD5901">
            <w:pPr>
              <w:pStyle w:val="tableheadertext"/>
            </w:pPr>
            <w:r w:rsidRPr="00F04C34">
              <w:t>Period</w:t>
            </w:r>
          </w:p>
        </w:tc>
        <w:tc>
          <w:tcPr>
            <w:tcW w:w="4032" w:type="pct"/>
            <w:shd w:val="clear" w:color="auto" w:fill="D9D9D9" w:themeFill="background1" w:themeFillShade="D9"/>
          </w:tcPr>
          <w:p w14:paraId="05FF117A" w14:textId="77777777" w:rsidR="00244D27" w:rsidRPr="00F04C34" w:rsidRDefault="00244D27" w:rsidP="00CD5901">
            <w:pPr>
              <w:pStyle w:val="tableheadertext"/>
            </w:pPr>
            <w:r w:rsidRPr="00F04C34">
              <w:t>History</w:t>
            </w:r>
          </w:p>
        </w:tc>
      </w:tr>
      <w:tr w:rsidR="00244D27" w:rsidRPr="00F04C34" w14:paraId="417A4663" w14:textId="77777777" w:rsidTr="00244D27">
        <w:trPr>
          <w:trHeight w:val="227"/>
        </w:trPr>
        <w:tc>
          <w:tcPr>
            <w:tcW w:w="968" w:type="pct"/>
          </w:tcPr>
          <w:p w14:paraId="4351C257" w14:textId="77777777" w:rsidR="00244D27" w:rsidRPr="00F04C34" w:rsidRDefault="00244D27" w:rsidP="00DC7F87">
            <w:pPr>
              <w:pStyle w:val="ListBullet"/>
              <w:spacing w:line="240" w:lineRule="auto"/>
              <w:rPr>
                <w:sz w:val="20"/>
                <w:szCs w:val="20"/>
              </w:rPr>
            </w:pPr>
          </w:p>
        </w:tc>
        <w:tc>
          <w:tcPr>
            <w:tcW w:w="4032" w:type="pct"/>
          </w:tcPr>
          <w:p w14:paraId="32996311" w14:textId="77777777" w:rsidR="00244D27" w:rsidRPr="00F04C34" w:rsidRDefault="00244D27" w:rsidP="00DC7F87">
            <w:pPr>
              <w:spacing w:after="120" w:line="240" w:lineRule="auto"/>
              <w:rPr>
                <w:sz w:val="20"/>
                <w:szCs w:val="20"/>
              </w:rPr>
            </w:pPr>
            <w:r w:rsidRPr="00F04C34">
              <w:rPr>
                <w:sz w:val="20"/>
                <w:szCs w:val="20"/>
              </w:rPr>
              <w:t xml:space="preserve">The Murray crayfish is the only described </w:t>
            </w:r>
            <w:r w:rsidRPr="00F04C34">
              <w:rPr>
                <w:i/>
                <w:sz w:val="20"/>
                <w:szCs w:val="20"/>
              </w:rPr>
              <w:t>Euastacus</w:t>
            </w:r>
            <w:r w:rsidRPr="00F04C34">
              <w:rPr>
                <w:sz w:val="20"/>
                <w:szCs w:val="20"/>
              </w:rPr>
              <w:t xml:space="preserve"> species west of the Great Dividing Range—of some 50 species in the genus; it is also the largest species in the genus</w:t>
            </w:r>
          </w:p>
        </w:tc>
      </w:tr>
      <w:tr w:rsidR="00244D27" w:rsidRPr="00F04C34" w14:paraId="2C818F72" w14:textId="77777777" w:rsidTr="00244D27">
        <w:trPr>
          <w:trHeight w:val="227"/>
        </w:trPr>
        <w:tc>
          <w:tcPr>
            <w:tcW w:w="968" w:type="pct"/>
          </w:tcPr>
          <w:p w14:paraId="0AEB1B2F" w14:textId="77777777" w:rsidR="00244D27" w:rsidRPr="00F04C34" w:rsidRDefault="00244D27" w:rsidP="00DC7F87">
            <w:pPr>
              <w:pStyle w:val="ListBullet"/>
              <w:spacing w:line="240" w:lineRule="auto"/>
              <w:rPr>
                <w:sz w:val="20"/>
                <w:szCs w:val="20"/>
              </w:rPr>
            </w:pPr>
            <w:r w:rsidRPr="00F04C34">
              <w:rPr>
                <w:sz w:val="20"/>
                <w:szCs w:val="20"/>
              </w:rPr>
              <w:t xml:space="preserve">1800s </w:t>
            </w:r>
          </w:p>
        </w:tc>
        <w:tc>
          <w:tcPr>
            <w:tcW w:w="4032" w:type="pct"/>
          </w:tcPr>
          <w:p w14:paraId="787E9E08"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very abundant throughout the Murray-Darling Basin</w:t>
            </w:r>
          </w:p>
        </w:tc>
      </w:tr>
      <w:tr w:rsidR="00244D27" w:rsidRPr="00F04C34" w14:paraId="297F82C6" w14:textId="77777777" w:rsidTr="00244D27">
        <w:trPr>
          <w:trHeight w:val="227"/>
        </w:trPr>
        <w:tc>
          <w:tcPr>
            <w:tcW w:w="968" w:type="pct"/>
          </w:tcPr>
          <w:p w14:paraId="0168C9AE" w14:textId="77777777" w:rsidR="00244D27" w:rsidRPr="00F04C34" w:rsidRDefault="00244D27" w:rsidP="00DC7F87">
            <w:pPr>
              <w:pStyle w:val="ListBullet"/>
              <w:spacing w:line="240" w:lineRule="auto"/>
              <w:rPr>
                <w:sz w:val="20"/>
                <w:szCs w:val="20"/>
              </w:rPr>
            </w:pPr>
            <w:r w:rsidRPr="00F04C34">
              <w:rPr>
                <w:sz w:val="20"/>
                <w:szCs w:val="20"/>
              </w:rPr>
              <w:t>mid-1800s – 1940s</w:t>
            </w:r>
          </w:p>
        </w:tc>
        <w:tc>
          <w:tcPr>
            <w:tcW w:w="4032" w:type="pct"/>
          </w:tcPr>
          <w:p w14:paraId="2C0DD3B5"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significant commercial fisheries (supported by introduction of railway) in New South Wales and South Australia (down to Murray Bridge)</w:t>
            </w:r>
          </w:p>
        </w:tc>
      </w:tr>
      <w:tr w:rsidR="00244D27" w:rsidRPr="00F04C34" w14:paraId="56FDEC15" w14:textId="77777777" w:rsidTr="00244D27">
        <w:trPr>
          <w:trHeight w:val="227"/>
        </w:trPr>
        <w:tc>
          <w:tcPr>
            <w:tcW w:w="968" w:type="pct"/>
          </w:tcPr>
          <w:p w14:paraId="1BC8B7DE" w14:textId="77777777" w:rsidR="00244D27" w:rsidRPr="00F04C34" w:rsidRDefault="00244D27" w:rsidP="00DC7F87">
            <w:pPr>
              <w:pStyle w:val="ListBullet"/>
              <w:spacing w:line="240" w:lineRule="auto"/>
              <w:rPr>
                <w:sz w:val="20"/>
                <w:szCs w:val="20"/>
              </w:rPr>
            </w:pPr>
            <w:r w:rsidRPr="00F04C34">
              <w:rPr>
                <w:sz w:val="20"/>
                <w:szCs w:val="20"/>
              </w:rPr>
              <w:t>mid-1940s</w:t>
            </w:r>
          </w:p>
        </w:tc>
        <w:tc>
          <w:tcPr>
            <w:tcW w:w="4032" w:type="pct"/>
          </w:tcPr>
          <w:p w14:paraId="7E4277E1"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range and abundance decreased; market value decreased</w:t>
            </w:r>
          </w:p>
        </w:tc>
      </w:tr>
      <w:tr w:rsidR="00244D27" w:rsidRPr="00F04C34" w14:paraId="242FCA4B" w14:textId="77777777" w:rsidTr="00244D27">
        <w:trPr>
          <w:trHeight w:val="227"/>
        </w:trPr>
        <w:tc>
          <w:tcPr>
            <w:tcW w:w="968" w:type="pct"/>
          </w:tcPr>
          <w:p w14:paraId="6656D517" w14:textId="77777777" w:rsidR="00244D27" w:rsidRPr="00F04C34" w:rsidRDefault="00244D27" w:rsidP="00DC7F87">
            <w:pPr>
              <w:pStyle w:val="ListBullet"/>
              <w:spacing w:line="240" w:lineRule="auto"/>
              <w:rPr>
                <w:sz w:val="20"/>
                <w:szCs w:val="20"/>
              </w:rPr>
            </w:pPr>
            <w:r w:rsidRPr="00F04C34">
              <w:rPr>
                <w:sz w:val="20"/>
                <w:szCs w:val="20"/>
              </w:rPr>
              <w:t>mid-1950s – mid-1960s</w:t>
            </w:r>
          </w:p>
        </w:tc>
        <w:tc>
          <w:tcPr>
            <w:tcW w:w="4032" w:type="pct"/>
          </w:tcPr>
          <w:p w14:paraId="2C39D00A"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 xml:space="preserve">professional fishers in SA noted a decline </w:t>
            </w:r>
          </w:p>
          <w:p w14:paraId="40EECCB3"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occasional catches with only a few relict sites where it was common</w:t>
            </w:r>
          </w:p>
        </w:tc>
      </w:tr>
      <w:tr w:rsidR="00244D27" w:rsidRPr="00F04C34" w14:paraId="15AD8BCB" w14:textId="77777777" w:rsidTr="00244D27">
        <w:trPr>
          <w:trHeight w:val="227"/>
        </w:trPr>
        <w:tc>
          <w:tcPr>
            <w:tcW w:w="968" w:type="pct"/>
          </w:tcPr>
          <w:p w14:paraId="58705BDD" w14:textId="77777777" w:rsidR="00244D27" w:rsidRPr="00F04C34" w:rsidRDefault="00244D27" w:rsidP="00DC7F87">
            <w:pPr>
              <w:pStyle w:val="ListBullet"/>
              <w:spacing w:line="240" w:lineRule="auto"/>
              <w:rPr>
                <w:sz w:val="20"/>
                <w:szCs w:val="20"/>
              </w:rPr>
            </w:pPr>
            <w:r w:rsidRPr="00F04C34">
              <w:rPr>
                <w:sz w:val="20"/>
                <w:szCs w:val="20"/>
              </w:rPr>
              <w:t>mid-1960s</w:t>
            </w:r>
          </w:p>
        </w:tc>
        <w:tc>
          <w:tcPr>
            <w:tcW w:w="4032" w:type="pct"/>
          </w:tcPr>
          <w:p w14:paraId="69810519"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cessation of potting (and related catch information)</w:t>
            </w:r>
          </w:p>
        </w:tc>
      </w:tr>
      <w:tr w:rsidR="00244D27" w:rsidRPr="00F04C34" w14:paraId="6D9248DC" w14:textId="77777777" w:rsidTr="00244D27">
        <w:trPr>
          <w:trHeight w:val="227"/>
        </w:trPr>
        <w:tc>
          <w:tcPr>
            <w:tcW w:w="968" w:type="pct"/>
          </w:tcPr>
          <w:p w14:paraId="3DD899F4" w14:textId="77777777" w:rsidR="00244D27" w:rsidRPr="00F04C34" w:rsidRDefault="00244D27" w:rsidP="00DC7F87">
            <w:pPr>
              <w:pStyle w:val="ListBullet"/>
              <w:spacing w:line="240" w:lineRule="auto"/>
              <w:rPr>
                <w:sz w:val="20"/>
                <w:szCs w:val="20"/>
              </w:rPr>
            </w:pPr>
            <w:r w:rsidRPr="00F04C34">
              <w:rPr>
                <w:sz w:val="20"/>
                <w:szCs w:val="20"/>
              </w:rPr>
              <w:t>1965</w:t>
            </w:r>
          </w:p>
        </w:tc>
        <w:tc>
          <w:tcPr>
            <w:tcW w:w="4032" w:type="pct"/>
          </w:tcPr>
          <w:p w14:paraId="3996E9C0"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no longer commercially targeted in SA</w:t>
            </w:r>
          </w:p>
        </w:tc>
      </w:tr>
      <w:tr w:rsidR="00244D27" w:rsidRPr="00F04C34" w14:paraId="181445FB" w14:textId="77777777" w:rsidTr="00244D27">
        <w:trPr>
          <w:trHeight w:val="227"/>
        </w:trPr>
        <w:tc>
          <w:tcPr>
            <w:tcW w:w="968" w:type="pct"/>
          </w:tcPr>
          <w:p w14:paraId="2001FF28" w14:textId="77777777" w:rsidR="00244D27" w:rsidRPr="00F04C34" w:rsidRDefault="00244D27" w:rsidP="00DC7F87">
            <w:pPr>
              <w:pStyle w:val="ListBullet"/>
              <w:spacing w:line="240" w:lineRule="auto"/>
              <w:rPr>
                <w:sz w:val="20"/>
                <w:szCs w:val="20"/>
              </w:rPr>
            </w:pPr>
            <w:r w:rsidRPr="00F04C34">
              <w:rPr>
                <w:sz w:val="20"/>
                <w:szCs w:val="20"/>
              </w:rPr>
              <w:t>mid-1960s–1980s</w:t>
            </w:r>
          </w:p>
        </w:tc>
        <w:tc>
          <w:tcPr>
            <w:tcW w:w="4032" w:type="pct"/>
          </w:tcPr>
          <w:p w14:paraId="07A67647"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only occasional specimens caught (recreationally) in SA</w:t>
            </w:r>
          </w:p>
        </w:tc>
      </w:tr>
      <w:tr w:rsidR="00244D27" w:rsidRPr="00F04C34" w14:paraId="1B890B2B" w14:textId="77777777" w:rsidTr="00244D27">
        <w:trPr>
          <w:trHeight w:val="227"/>
        </w:trPr>
        <w:tc>
          <w:tcPr>
            <w:tcW w:w="968" w:type="pct"/>
          </w:tcPr>
          <w:p w14:paraId="5CCD6CE6" w14:textId="77777777" w:rsidR="00244D27" w:rsidRPr="00F04C34" w:rsidRDefault="00244D27" w:rsidP="00DC7F87">
            <w:pPr>
              <w:pStyle w:val="ListBullet"/>
              <w:spacing w:line="240" w:lineRule="auto"/>
              <w:rPr>
                <w:sz w:val="20"/>
                <w:szCs w:val="20"/>
              </w:rPr>
            </w:pPr>
            <w:r w:rsidRPr="00F04C34">
              <w:rPr>
                <w:sz w:val="20"/>
                <w:szCs w:val="20"/>
              </w:rPr>
              <w:t>1989</w:t>
            </w:r>
          </w:p>
        </w:tc>
        <w:tc>
          <w:tcPr>
            <w:tcW w:w="4032" w:type="pct"/>
          </w:tcPr>
          <w:p w14:paraId="4FD78EAB" w14:textId="24ABB75A"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all fishing banned in SA and Murray crayfish declared ‘Protected’ in SA (</w:t>
            </w:r>
            <w:r w:rsidRPr="00F04C34">
              <w:rPr>
                <w:i/>
                <w:sz w:val="20"/>
                <w:szCs w:val="20"/>
              </w:rPr>
              <w:t>Fisheries Act 1982</w:t>
            </w:r>
            <w:r w:rsidRPr="00F04C34">
              <w:rPr>
                <w:sz w:val="20"/>
                <w:szCs w:val="20"/>
              </w:rPr>
              <w:t xml:space="preserve">) (Note, despite this, no Action or Recovery Plan was </w:t>
            </w:r>
            <w:r w:rsidR="00670EE1" w:rsidRPr="00F04C34">
              <w:rPr>
                <w:sz w:val="20"/>
                <w:szCs w:val="20"/>
              </w:rPr>
              <w:t xml:space="preserve">developed)  </w:t>
            </w:r>
          </w:p>
        </w:tc>
      </w:tr>
      <w:tr w:rsidR="00244D27" w:rsidRPr="00F04C34" w14:paraId="223358CA" w14:textId="77777777" w:rsidTr="00244D27">
        <w:trPr>
          <w:trHeight w:val="227"/>
        </w:trPr>
        <w:tc>
          <w:tcPr>
            <w:tcW w:w="968" w:type="pct"/>
          </w:tcPr>
          <w:p w14:paraId="737E2A50" w14:textId="77777777" w:rsidR="00244D27" w:rsidRPr="00F04C34" w:rsidRDefault="00244D27" w:rsidP="00DC7F87">
            <w:pPr>
              <w:pStyle w:val="ListBullet"/>
              <w:spacing w:line="240" w:lineRule="auto"/>
              <w:rPr>
                <w:sz w:val="20"/>
                <w:szCs w:val="20"/>
              </w:rPr>
            </w:pPr>
            <w:r w:rsidRPr="00F04C34">
              <w:rPr>
                <w:sz w:val="20"/>
                <w:szCs w:val="20"/>
              </w:rPr>
              <w:t>1990</w:t>
            </w:r>
          </w:p>
        </w:tc>
        <w:tc>
          <w:tcPr>
            <w:tcW w:w="4032" w:type="pct"/>
          </w:tcPr>
          <w:p w14:paraId="4A2A3A05"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reported as locally extinct in River Murray downstream of Mildura (Note, that includes the entire length of the Murray within the ecological community)</w:t>
            </w:r>
          </w:p>
          <w:p w14:paraId="5100AE81"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 xml:space="preserve">end of commercial fishery in NSW </w:t>
            </w:r>
          </w:p>
        </w:tc>
      </w:tr>
      <w:tr w:rsidR="00244D27" w:rsidRPr="00F04C34" w14:paraId="0BD102E1" w14:textId="77777777" w:rsidTr="00244D27">
        <w:trPr>
          <w:trHeight w:val="227"/>
        </w:trPr>
        <w:tc>
          <w:tcPr>
            <w:tcW w:w="968" w:type="pct"/>
          </w:tcPr>
          <w:p w14:paraId="26E213A1" w14:textId="77777777" w:rsidR="00244D27" w:rsidRPr="00F04C34" w:rsidRDefault="00244D27" w:rsidP="00DC7F87">
            <w:pPr>
              <w:pStyle w:val="ListBullet"/>
              <w:spacing w:line="240" w:lineRule="auto"/>
              <w:rPr>
                <w:sz w:val="20"/>
                <w:szCs w:val="20"/>
              </w:rPr>
            </w:pPr>
            <w:r w:rsidRPr="00F04C34">
              <w:rPr>
                <w:sz w:val="20"/>
                <w:szCs w:val="20"/>
              </w:rPr>
              <w:t>1991</w:t>
            </w:r>
          </w:p>
        </w:tc>
        <w:tc>
          <w:tcPr>
            <w:tcW w:w="4032" w:type="pct"/>
          </w:tcPr>
          <w:p w14:paraId="4A17BD96"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 xml:space="preserve">recreational fishery closed in ACT and taking of Murray crayfish prohibited </w:t>
            </w:r>
          </w:p>
        </w:tc>
      </w:tr>
      <w:tr w:rsidR="00244D27" w:rsidRPr="00F04C34" w14:paraId="144AC558" w14:textId="77777777" w:rsidTr="00244D27">
        <w:trPr>
          <w:trHeight w:val="227"/>
        </w:trPr>
        <w:tc>
          <w:tcPr>
            <w:tcW w:w="968" w:type="pct"/>
          </w:tcPr>
          <w:p w14:paraId="6C682DFA" w14:textId="77777777" w:rsidR="00244D27" w:rsidRPr="00F04C34" w:rsidRDefault="00244D27" w:rsidP="00DC7F87">
            <w:pPr>
              <w:pStyle w:val="ListBullet"/>
              <w:spacing w:line="240" w:lineRule="auto"/>
              <w:rPr>
                <w:sz w:val="20"/>
                <w:szCs w:val="20"/>
              </w:rPr>
            </w:pPr>
            <w:r w:rsidRPr="00F04C34">
              <w:rPr>
                <w:sz w:val="20"/>
                <w:szCs w:val="20"/>
              </w:rPr>
              <w:t>1997</w:t>
            </w:r>
          </w:p>
        </w:tc>
        <w:tc>
          <w:tcPr>
            <w:tcW w:w="4032" w:type="pct"/>
          </w:tcPr>
          <w:p w14:paraId="73B8D185"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listed as Vulnerable in ACT (</w:t>
            </w:r>
            <w:r w:rsidRPr="00F04C34">
              <w:rPr>
                <w:i/>
                <w:sz w:val="20"/>
                <w:szCs w:val="20"/>
              </w:rPr>
              <w:t>Nature Conservation Act 1980</w:t>
            </w:r>
            <w:r w:rsidRPr="00F04C34">
              <w:rPr>
                <w:sz w:val="20"/>
                <w:szCs w:val="20"/>
              </w:rPr>
              <w:t xml:space="preserve">), with Action Plan prepared in 1999 </w:t>
            </w:r>
          </w:p>
        </w:tc>
      </w:tr>
      <w:tr w:rsidR="00244D27" w:rsidRPr="00F04C34" w14:paraId="7FCC1B11" w14:textId="77777777" w:rsidTr="00244D27">
        <w:trPr>
          <w:trHeight w:val="227"/>
        </w:trPr>
        <w:tc>
          <w:tcPr>
            <w:tcW w:w="968" w:type="pct"/>
          </w:tcPr>
          <w:p w14:paraId="13817559" w14:textId="77777777" w:rsidR="00244D27" w:rsidRPr="00F04C34" w:rsidRDefault="00244D27" w:rsidP="00DC7F87">
            <w:pPr>
              <w:pStyle w:val="ListBullet"/>
              <w:spacing w:line="240" w:lineRule="auto"/>
              <w:rPr>
                <w:sz w:val="20"/>
                <w:szCs w:val="20"/>
              </w:rPr>
            </w:pPr>
            <w:r w:rsidRPr="00F04C34">
              <w:rPr>
                <w:sz w:val="20"/>
                <w:szCs w:val="20"/>
              </w:rPr>
              <w:t>2001</w:t>
            </w:r>
          </w:p>
        </w:tc>
        <w:tc>
          <w:tcPr>
            <w:tcW w:w="4032" w:type="pct"/>
          </w:tcPr>
          <w:p w14:paraId="687F8988"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listed as Threatened in Victoria (</w:t>
            </w:r>
            <w:r w:rsidRPr="00F04C34">
              <w:rPr>
                <w:i/>
                <w:sz w:val="20"/>
                <w:szCs w:val="20"/>
              </w:rPr>
              <w:t>Flora and Fauna Guarantee Act 1988</w:t>
            </w:r>
            <w:r w:rsidRPr="00F04C34">
              <w:rPr>
                <w:sz w:val="20"/>
                <w:szCs w:val="20"/>
              </w:rPr>
              <w:t>)</w:t>
            </w:r>
          </w:p>
        </w:tc>
      </w:tr>
      <w:tr w:rsidR="00244D27" w:rsidRPr="00F04C34" w14:paraId="5E47093B" w14:textId="77777777" w:rsidTr="00244D27">
        <w:trPr>
          <w:trHeight w:val="227"/>
        </w:trPr>
        <w:tc>
          <w:tcPr>
            <w:tcW w:w="968" w:type="pct"/>
          </w:tcPr>
          <w:p w14:paraId="54375442" w14:textId="77777777" w:rsidR="00244D27" w:rsidRPr="00F04C34" w:rsidRDefault="00244D27" w:rsidP="00DC7F87">
            <w:pPr>
              <w:pStyle w:val="ListBullet"/>
              <w:spacing w:line="240" w:lineRule="auto"/>
              <w:rPr>
                <w:sz w:val="20"/>
                <w:szCs w:val="20"/>
              </w:rPr>
            </w:pPr>
            <w:r w:rsidRPr="00F04C34">
              <w:rPr>
                <w:sz w:val="20"/>
                <w:szCs w:val="20"/>
              </w:rPr>
              <w:t>2002</w:t>
            </w:r>
          </w:p>
        </w:tc>
        <w:tc>
          <w:tcPr>
            <w:tcW w:w="4032" w:type="pct"/>
          </w:tcPr>
          <w:p w14:paraId="69A85632"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protected in New South Wales as part of the Endangered ecological community of the Lower Murray River Catchment (</w:t>
            </w:r>
            <w:r w:rsidRPr="00F04C34">
              <w:rPr>
                <w:i/>
                <w:sz w:val="20"/>
                <w:szCs w:val="20"/>
              </w:rPr>
              <w:t>Fisheries Management Act 199</w:t>
            </w:r>
            <w:r w:rsidRPr="00F04C34">
              <w:rPr>
                <w:sz w:val="20"/>
                <w:szCs w:val="20"/>
              </w:rPr>
              <w:t>4)</w:t>
            </w:r>
          </w:p>
          <w:p w14:paraId="79FF9D6B"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interim order to allow recreational fishing while a Species Impact Statement prepared (As a result of SIS, regulations changed from December)</w:t>
            </w:r>
          </w:p>
        </w:tc>
      </w:tr>
      <w:tr w:rsidR="00244D27" w:rsidRPr="00F04C34" w14:paraId="6671DFEF" w14:textId="77777777" w:rsidTr="00244D27">
        <w:trPr>
          <w:trHeight w:val="227"/>
        </w:trPr>
        <w:tc>
          <w:tcPr>
            <w:tcW w:w="968" w:type="pct"/>
          </w:tcPr>
          <w:p w14:paraId="663A03E8" w14:textId="77777777" w:rsidR="00244D27" w:rsidRPr="00F04C34" w:rsidRDefault="00244D27" w:rsidP="00DC7F87">
            <w:pPr>
              <w:pStyle w:val="ListBullet"/>
              <w:spacing w:line="240" w:lineRule="auto"/>
              <w:rPr>
                <w:sz w:val="20"/>
                <w:szCs w:val="20"/>
              </w:rPr>
            </w:pPr>
            <w:r w:rsidRPr="00F04C34">
              <w:rPr>
                <w:sz w:val="20"/>
                <w:szCs w:val="20"/>
              </w:rPr>
              <w:t>2003</w:t>
            </w:r>
          </w:p>
        </w:tc>
        <w:tc>
          <w:tcPr>
            <w:tcW w:w="4032" w:type="pct"/>
          </w:tcPr>
          <w:p w14:paraId="5AB4D590"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Action Statement published in Victoria (</w:t>
            </w:r>
            <w:r w:rsidRPr="00F04C34">
              <w:rPr>
                <w:i/>
                <w:sz w:val="20"/>
                <w:szCs w:val="20"/>
              </w:rPr>
              <w:t>Flora and Fauna Guarantee Act 1988</w:t>
            </w:r>
            <w:r w:rsidRPr="00F04C34">
              <w:rPr>
                <w:sz w:val="20"/>
                <w:szCs w:val="20"/>
              </w:rPr>
              <w:t>)</w:t>
            </w:r>
          </w:p>
        </w:tc>
      </w:tr>
      <w:tr w:rsidR="00244D27" w:rsidRPr="00F04C34" w14:paraId="3427ECC8" w14:textId="77777777" w:rsidTr="00244D27">
        <w:trPr>
          <w:trHeight w:val="227"/>
        </w:trPr>
        <w:tc>
          <w:tcPr>
            <w:tcW w:w="968" w:type="pct"/>
          </w:tcPr>
          <w:p w14:paraId="39A8BFDF" w14:textId="77777777" w:rsidR="00244D27" w:rsidRPr="00F04C34" w:rsidRDefault="00244D27" w:rsidP="00DC7F87">
            <w:pPr>
              <w:pStyle w:val="ListBullet"/>
              <w:spacing w:line="240" w:lineRule="auto"/>
              <w:rPr>
                <w:sz w:val="20"/>
                <w:szCs w:val="20"/>
              </w:rPr>
            </w:pPr>
            <w:r w:rsidRPr="00F04C34">
              <w:rPr>
                <w:sz w:val="20"/>
                <w:szCs w:val="20"/>
              </w:rPr>
              <w:t>2013</w:t>
            </w:r>
          </w:p>
        </w:tc>
        <w:tc>
          <w:tcPr>
            <w:tcW w:w="4032" w:type="pct"/>
          </w:tcPr>
          <w:p w14:paraId="19D5A502"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listed as a Vulnerable Species in NSW (</w:t>
            </w:r>
            <w:r w:rsidRPr="00F04C34">
              <w:rPr>
                <w:i/>
                <w:iCs/>
                <w:sz w:val="20"/>
                <w:szCs w:val="20"/>
              </w:rPr>
              <w:t>Fisheries Management Act 1994)</w:t>
            </w:r>
          </w:p>
        </w:tc>
      </w:tr>
      <w:tr w:rsidR="00244D27" w:rsidRPr="00F04C34" w14:paraId="0AAB15CE" w14:textId="77777777" w:rsidTr="00244D27">
        <w:trPr>
          <w:trHeight w:val="227"/>
        </w:trPr>
        <w:tc>
          <w:tcPr>
            <w:tcW w:w="968" w:type="pct"/>
          </w:tcPr>
          <w:p w14:paraId="7AB39130" w14:textId="77777777" w:rsidR="00244D27" w:rsidRPr="00F04C34" w:rsidRDefault="00244D27" w:rsidP="00DC7F87">
            <w:pPr>
              <w:pStyle w:val="ListBullet"/>
              <w:spacing w:line="240" w:lineRule="auto"/>
              <w:rPr>
                <w:sz w:val="20"/>
                <w:szCs w:val="20"/>
              </w:rPr>
            </w:pPr>
            <w:r w:rsidRPr="00F04C34">
              <w:rPr>
                <w:sz w:val="20"/>
                <w:szCs w:val="20"/>
              </w:rPr>
              <w:t>2018</w:t>
            </w:r>
          </w:p>
        </w:tc>
        <w:tc>
          <w:tcPr>
            <w:tcW w:w="4032" w:type="pct"/>
          </w:tcPr>
          <w:p w14:paraId="55D5EB27"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Action Plan updated for ACT (</w:t>
            </w:r>
            <w:r w:rsidRPr="00F04C34">
              <w:rPr>
                <w:i/>
                <w:sz w:val="20"/>
                <w:szCs w:val="20"/>
              </w:rPr>
              <w:t>Nature Conservation Act 2014</w:t>
            </w:r>
            <w:r w:rsidRPr="00F04C34">
              <w:rPr>
                <w:sz w:val="20"/>
                <w:szCs w:val="20"/>
              </w:rPr>
              <w:t>)</w:t>
            </w:r>
          </w:p>
        </w:tc>
      </w:tr>
      <w:tr w:rsidR="00244D27" w:rsidRPr="00F04C34" w14:paraId="20882D9E" w14:textId="77777777" w:rsidTr="00244D27">
        <w:trPr>
          <w:trHeight w:val="227"/>
        </w:trPr>
        <w:tc>
          <w:tcPr>
            <w:tcW w:w="968" w:type="pct"/>
          </w:tcPr>
          <w:p w14:paraId="6070431F" w14:textId="77777777" w:rsidR="00244D27" w:rsidRPr="00F04C34" w:rsidRDefault="00244D27" w:rsidP="00DC7F87">
            <w:pPr>
              <w:pStyle w:val="ListBullet"/>
              <w:spacing w:line="240" w:lineRule="auto"/>
              <w:rPr>
                <w:sz w:val="20"/>
                <w:szCs w:val="20"/>
              </w:rPr>
            </w:pPr>
            <w:r w:rsidRPr="00F04C34">
              <w:rPr>
                <w:sz w:val="20"/>
                <w:szCs w:val="20"/>
              </w:rPr>
              <w:t>2023</w:t>
            </w:r>
          </w:p>
        </w:tc>
        <w:tc>
          <w:tcPr>
            <w:tcW w:w="4032" w:type="pct"/>
          </w:tcPr>
          <w:p w14:paraId="4DCBDA72" w14:textId="77777777" w:rsidR="00244D27" w:rsidRPr="00F04C34" w:rsidRDefault="00244D27" w:rsidP="00DC7F87">
            <w:pPr>
              <w:pStyle w:val="ListParagraph"/>
              <w:numPr>
                <w:ilvl w:val="0"/>
                <w:numId w:val="61"/>
              </w:numPr>
              <w:spacing w:after="120" w:line="240" w:lineRule="auto"/>
              <w:contextualSpacing w:val="0"/>
              <w:rPr>
                <w:sz w:val="20"/>
                <w:szCs w:val="20"/>
              </w:rPr>
            </w:pPr>
            <w:r w:rsidRPr="00F04C34">
              <w:rPr>
                <w:sz w:val="20"/>
                <w:szCs w:val="20"/>
              </w:rPr>
              <w:t>200 reintroductions (translocations from upstream blackwater affected populations) conducted at suitable location of SA River Murray (29 animals with a tracking device)</w:t>
            </w:r>
          </w:p>
        </w:tc>
      </w:tr>
    </w:tbl>
    <w:p w14:paraId="2FC9F8EF" w14:textId="77777777" w:rsidR="00244D27" w:rsidRDefault="00244D27" w:rsidP="000C033F"/>
    <w:p w14:paraId="6A8CE14D" w14:textId="19D36CDB" w:rsidR="00630DA7" w:rsidRPr="00785EFD" w:rsidRDefault="00630DA7" w:rsidP="000C033F">
      <w:r>
        <w:t xml:space="preserve">It is also likely that increased sedimentation, which is characteristic of the weir-pools, may impact upon crayfish habitat. Sedimentation was exacerbated during the 1956 floods, when a huge silt burden was deposited and completely filled parts of the channel (Walker 1982). The </w:t>
      </w:r>
      <w:r>
        <w:lastRenderedPageBreak/>
        <w:t xml:space="preserve">silt burden has remained in the river in the absence or </w:t>
      </w:r>
      <w:r w:rsidRPr="00C225A9">
        <w:t>reduced frequency of flushing flows (Gilligan et al. 2007).</w:t>
      </w:r>
      <w:r w:rsidRPr="009E12FF">
        <w:rPr>
          <w:highlight w:val="yellow"/>
        </w:rPr>
        <w:t xml:space="preserve"> </w:t>
      </w:r>
    </w:p>
    <w:p w14:paraId="04E0BD54" w14:textId="3F3B9AAC" w:rsidR="000C033F" w:rsidRDefault="000C033F" w:rsidP="00A2521C">
      <w:pPr>
        <w:pStyle w:val="Heading5"/>
      </w:pPr>
      <w:r>
        <w:t>SA reintroduction attempt</w:t>
      </w:r>
    </w:p>
    <w:p w14:paraId="0D562E11" w14:textId="77777777" w:rsidR="00844792" w:rsidRDefault="000C033F" w:rsidP="00764EAD">
      <w:pPr>
        <w:contextualSpacing/>
      </w:pPr>
      <w:r>
        <w:t>Although numbers of Murray crayfish have declined in both the Victoria and NSW sections of the River Murray over the past 50 years, the species still survives upstream of the ecological community. However, dispersal limitations coupled with its biological traits, suggest that there is limited potential for natural recolonisation following population decline</w:t>
      </w:r>
      <w:r>
        <w:rPr>
          <w:b/>
          <w:bCs/>
          <w:i/>
          <w:iCs/>
        </w:rPr>
        <w:t xml:space="preserve"> </w:t>
      </w:r>
      <w:r>
        <w:t xml:space="preserve">(Whiterod et al. 2016).  </w:t>
      </w:r>
    </w:p>
    <w:p w14:paraId="3EF858D0" w14:textId="74142F3B" w:rsidR="006178C3" w:rsidRDefault="000C033F" w:rsidP="006178C3">
      <w:r>
        <w:t xml:space="preserve">Therefore, to re-establish a population of this species in the South Australian section of the River Murray </w:t>
      </w:r>
      <w:r w:rsidR="00AA3CEF">
        <w:t xml:space="preserve">(i.e. within the ecological community) </w:t>
      </w:r>
      <w:r>
        <w:t xml:space="preserve">requires human intervention. </w:t>
      </w:r>
    </w:p>
    <w:p w14:paraId="158466C8" w14:textId="11FBB995" w:rsidR="002F51BB" w:rsidRDefault="000C033F" w:rsidP="00A244B2">
      <w:r w:rsidRPr="000560E1">
        <w:t xml:space="preserve">The reintroduction of Murray crayfish back into the SA section of the River </w:t>
      </w:r>
      <w:r w:rsidR="0037393E">
        <w:t xml:space="preserve">Murray </w:t>
      </w:r>
      <w:r w:rsidRPr="000560E1">
        <w:t>was first proposed in the 1980s (Geddes et al. 1993)</w:t>
      </w:r>
      <w:r>
        <w:t xml:space="preserve">, </w:t>
      </w:r>
      <w:r w:rsidR="000D0911">
        <w:t>but</w:t>
      </w:r>
      <w:r w:rsidRPr="000560E1">
        <w:t xml:space="preserve"> a comprehensive strategy </w:t>
      </w:r>
      <w:r w:rsidR="000D0911">
        <w:t xml:space="preserve">was not </w:t>
      </w:r>
      <w:r w:rsidRPr="000560E1">
        <w:t xml:space="preserve">developed </w:t>
      </w:r>
      <w:r w:rsidR="000D0911">
        <w:t>until 2019 (</w:t>
      </w:r>
      <w:r w:rsidRPr="000560E1">
        <w:t xml:space="preserve">Whiterod </w:t>
      </w:r>
      <w:r w:rsidR="000D0911">
        <w:t xml:space="preserve">&amp; </w:t>
      </w:r>
      <w:r w:rsidRPr="000560E1">
        <w:t>Zukowski</w:t>
      </w:r>
      <w:r w:rsidR="00902396">
        <w:t xml:space="preserve"> 2019</w:t>
      </w:r>
      <w:r w:rsidRPr="000560E1">
        <w:t>).</w:t>
      </w:r>
      <w:r>
        <w:rPr>
          <w:rFonts w:ascii="Aptos" w:hAnsi="Aptos"/>
        </w:rPr>
        <w:t xml:space="preserve"> </w:t>
      </w:r>
      <w:r w:rsidR="0062359D">
        <w:t>Subsequently, an</w:t>
      </w:r>
      <w:r>
        <w:t xml:space="preserve"> opportunity arose to undertake translocations following the 202</w:t>
      </w:r>
      <w:r w:rsidR="003707CF">
        <w:t>2-</w:t>
      </w:r>
      <w:r>
        <w:t xml:space="preserve">23 large-scale floods and blackwater event across the southern Murray-Darling Basin (Zukowski et </w:t>
      </w:r>
      <w:r w:rsidRPr="00FA251E">
        <w:t>al. in press).</w:t>
      </w:r>
      <w:r>
        <w:t xml:space="preserve"> Of the many crayfish rescued from hypoxic waters upstream of the </w:t>
      </w:r>
      <w:r w:rsidR="002101BE">
        <w:t xml:space="preserve">EC </w:t>
      </w:r>
      <w:r>
        <w:t xml:space="preserve">and later returned, about 200 were retained and housed in aquarium facilities. Subsequently, a range of sizes and sexes were released in suitable habitat in an undisclosed location within the South </w:t>
      </w:r>
      <w:r w:rsidRPr="00B65C8D">
        <w:t xml:space="preserve">Australian River Murray </w:t>
      </w:r>
      <w:r>
        <w:t xml:space="preserve">system, from April to August 2023 (Zukowski et al. </w:t>
      </w:r>
      <w:r w:rsidRPr="00FA251E">
        <w:t xml:space="preserve"> in press</w:t>
      </w:r>
      <w:r>
        <w:t xml:space="preserve">). This included 29 animals fitted with transmitters to track activity and survival before their next moult. At early April 2024, the tracked individuals were surviving but were due to moult </w:t>
      </w:r>
      <w:r w:rsidR="00393CD4">
        <w:t>(and lo</w:t>
      </w:r>
      <w:r w:rsidR="00A244B2">
        <w:t xml:space="preserve">se their tracker) </w:t>
      </w:r>
      <w:r>
        <w:t xml:space="preserve">around mid to late April (Zukowski et al. </w:t>
      </w:r>
      <w:r w:rsidRPr="006178C3">
        <w:t>in press</w:t>
      </w:r>
      <w:r>
        <w:t>).</w:t>
      </w:r>
    </w:p>
    <w:p w14:paraId="66FEDBAA" w14:textId="0AD96829" w:rsidR="0098394E" w:rsidRDefault="0098394E" w:rsidP="00A244B2">
      <w:r w:rsidRPr="00096346">
        <w:rPr>
          <w:shd w:val="clear" w:color="auto" w:fill="FFFFFF"/>
        </w:rPr>
        <w:t xml:space="preserve">Overall, there have been </w:t>
      </w:r>
      <w:r>
        <w:rPr>
          <w:shd w:val="clear" w:color="auto" w:fill="FFFFFF"/>
        </w:rPr>
        <w:t>very severe</w:t>
      </w:r>
      <w:r w:rsidRPr="00096346">
        <w:rPr>
          <w:shd w:val="clear" w:color="auto" w:fill="FFFFFF"/>
        </w:rPr>
        <w:t xml:space="preserve"> declines in </w:t>
      </w:r>
      <w:r>
        <w:rPr>
          <w:shd w:val="clear" w:color="auto" w:fill="FFFFFF"/>
        </w:rPr>
        <w:t xml:space="preserve">Murray crayfish </w:t>
      </w:r>
      <w:r w:rsidRPr="00096346">
        <w:rPr>
          <w:shd w:val="clear" w:color="auto" w:fill="FFFFFF"/>
        </w:rPr>
        <w:t>and it is not likely to be possible to restore to normal the major functional role it plays in the ecological community in the immediate future.</w:t>
      </w:r>
    </w:p>
    <w:p w14:paraId="5DE272A3" w14:textId="77777777" w:rsidR="00AF1A0B" w:rsidRDefault="00AF1A0B" w:rsidP="00A244B2"/>
    <w:tbl>
      <w:tblPr>
        <w:tblStyle w:val="TableGrid"/>
        <w:tblW w:w="0" w:type="auto"/>
        <w:tblLook w:val="04A0" w:firstRow="1" w:lastRow="0" w:firstColumn="1" w:lastColumn="0" w:noHBand="0" w:noVBand="1"/>
      </w:tblPr>
      <w:tblGrid>
        <w:gridCol w:w="9060"/>
      </w:tblGrid>
      <w:tr w:rsidR="008022C2" w14:paraId="307BCBE4" w14:textId="77777777" w:rsidTr="00F907EE">
        <w:tc>
          <w:tcPr>
            <w:tcW w:w="9174" w:type="dxa"/>
            <w:shd w:val="clear" w:color="auto" w:fill="FFF2CC" w:themeFill="accent4" w:themeFillTint="33"/>
          </w:tcPr>
          <w:p w14:paraId="13D1F346" w14:textId="77777777" w:rsidR="00FA251E" w:rsidRDefault="00FA251E" w:rsidP="00281C59">
            <w:pPr>
              <w:rPr>
                <w:b/>
                <w:bCs/>
                <w:i/>
                <w:iCs/>
              </w:rPr>
            </w:pPr>
            <w:r>
              <w:rPr>
                <w:b/>
                <w:bCs/>
                <w:i/>
                <w:iCs/>
              </w:rPr>
              <w:t>Question/Request</w:t>
            </w:r>
          </w:p>
          <w:p w14:paraId="1898943E" w14:textId="7102AC5F" w:rsidR="00C3611F" w:rsidRPr="00AD4A8E" w:rsidRDefault="00C3611F" w:rsidP="00281C59">
            <w:pPr>
              <w:rPr>
                <w:i/>
                <w:iCs/>
              </w:rPr>
            </w:pPr>
            <w:r w:rsidRPr="00AD4A8E">
              <w:rPr>
                <w:i/>
                <w:iCs/>
              </w:rPr>
              <w:t>Any</w:t>
            </w:r>
            <w:r w:rsidR="006178C3" w:rsidRPr="00AD4A8E">
              <w:rPr>
                <w:i/>
                <w:iCs/>
              </w:rPr>
              <w:t xml:space="preserve"> further</w:t>
            </w:r>
            <w:r w:rsidRPr="00AD4A8E">
              <w:rPr>
                <w:i/>
                <w:iCs/>
              </w:rPr>
              <w:t xml:space="preserve"> recent references or information related to Murray crayfish within the EC </w:t>
            </w:r>
            <w:r w:rsidR="00EA505B" w:rsidRPr="00AD4A8E">
              <w:rPr>
                <w:i/>
                <w:iCs/>
              </w:rPr>
              <w:t xml:space="preserve">that are currently not included within this Draft Conservation Advice, </w:t>
            </w:r>
            <w:r w:rsidRPr="00AD4A8E">
              <w:rPr>
                <w:i/>
                <w:iCs/>
              </w:rPr>
              <w:t>would be welcomed</w:t>
            </w:r>
            <w:r w:rsidR="006178C3" w:rsidRPr="00AD4A8E">
              <w:rPr>
                <w:i/>
                <w:iCs/>
              </w:rPr>
              <w:t xml:space="preserve"> (e.g. </w:t>
            </w:r>
            <w:r w:rsidR="00BC73E6">
              <w:rPr>
                <w:i/>
                <w:iCs/>
              </w:rPr>
              <w:t>further</w:t>
            </w:r>
            <w:r w:rsidR="00C77941">
              <w:rPr>
                <w:i/>
                <w:iCs/>
              </w:rPr>
              <w:t xml:space="preserve"> information on </w:t>
            </w:r>
            <w:r w:rsidR="006178C3" w:rsidRPr="00AD4A8E">
              <w:rPr>
                <w:i/>
                <w:iCs/>
              </w:rPr>
              <w:t>the result of the 2023 translocations).</w:t>
            </w:r>
          </w:p>
        </w:tc>
      </w:tr>
    </w:tbl>
    <w:p w14:paraId="156135C3" w14:textId="77777777" w:rsidR="00DE7C9E" w:rsidRDefault="00DE7C9E" w:rsidP="00281C59"/>
    <w:p w14:paraId="73B750A4" w14:textId="77777777" w:rsidR="00AF1A0B" w:rsidRDefault="00AF1A0B" w:rsidP="00281C59"/>
    <w:p w14:paraId="6D16DC06" w14:textId="77777777" w:rsidR="00AF1A0B" w:rsidRDefault="00AF1A0B" w:rsidP="00281C59"/>
    <w:p w14:paraId="284686F9" w14:textId="77777777" w:rsidR="00AF1A0B" w:rsidRDefault="00AF1A0B" w:rsidP="00281C59"/>
    <w:p w14:paraId="1471001C" w14:textId="77777777" w:rsidR="00AF1A0B" w:rsidRDefault="00AF1A0B" w:rsidP="00281C59"/>
    <w:p w14:paraId="6D2DB565" w14:textId="77777777" w:rsidR="00AF1A0B" w:rsidRDefault="00AF1A0B" w:rsidP="00281C59"/>
    <w:p w14:paraId="224B4D49" w14:textId="77777777" w:rsidR="00AF1A0B" w:rsidRDefault="00AF1A0B" w:rsidP="00281C59"/>
    <w:p w14:paraId="6F01BCA4" w14:textId="77777777" w:rsidR="00AF1A0B" w:rsidRDefault="00AF1A0B" w:rsidP="00281C59"/>
    <w:p w14:paraId="588EFF4B" w14:textId="677E84EB" w:rsidR="00EA08D7" w:rsidRPr="00477E71" w:rsidRDefault="00EA08D7" w:rsidP="006E2204">
      <w:pPr>
        <w:pStyle w:val="Heading4"/>
      </w:pPr>
      <w:r w:rsidRPr="00477E71">
        <w:lastRenderedPageBreak/>
        <w:t>Keystone grazer detritivores - the suite of native freshwater snail species</w:t>
      </w:r>
    </w:p>
    <w:tbl>
      <w:tblPr>
        <w:tblStyle w:val="TableGrid"/>
        <w:tblW w:w="0" w:type="auto"/>
        <w:tblLook w:val="04A0" w:firstRow="1" w:lastRow="0" w:firstColumn="1" w:lastColumn="0" w:noHBand="0" w:noVBand="1"/>
      </w:tblPr>
      <w:tblGrid>
        <w:gridCol w:w="9060"/>
      </w:tblGrid>
      <w:tr w:rsidR="00A90D9A" w14:paraId="02A5112D" w14:textId="77777777" w:rsidTr="00AD4A8E">
        <w:tc>
          <w:tcPr>
            <w:tcW w:w="9174" w:type="dxa"/>
            <w:shd w:val="clear" w:color="auto" w:fill="DEEAF6" w:themeFill="accent1" w:themeFillTint="33"/>
          </w:tcPr>
          <w:p w14:paraId="65FFC6D1" w14:textId="1534751B" w:rsidR="00050291" w:rsidRPr="00050291" w:rsidRDefault="007D45B8" w:rsidP="00A90D9A">
            <w:pPr>
              <w:spacing w:after="120"/>
              <w:rPr>
                <w:b/>
                <w:iCs/>
              </w:rPr>
            </w:pPr>
            <w:r>
              <w:rPr>
                <w:b/>
                <w:iCs/>
              </w:rPr>
              <w:t>Native f</w:t>
            </w:r>
            <w:r w:rsidR="00050291">
              <w:rPr>
                <w:b/>
                <w:iCs/>
              </w:rPr>
              <w:t>reshwater snails</w:t>
            </w:r>
            <w:r>
              <w:rPr>
                <w:b/>
                <w:iCs/>
              </w:rPr>
              <w:t xml:space="preserve"> </w:t>
            </w:r>
            <w:r w:rsidRPr="00AA6ECE">
              <w:rPr>
                <w:bCs/>
                <w:iCs/>
              </w:rPr>
              <w:t xml:space="preserve">(8 Families; </w:t>
            </w:r>
            <w:r w:rsidR="00AA6ECE" w:rsidRPr="00AA6ECE">
              <w:rPr>
                <w:bCs/>
                <w:iCs/>
              </w:rPr>
              <w:t>min. 16 species)</w:t>
            </w:r>
          </w:p>
          <w:p w14:paraId="25D2B329" w14:textId="2E900440" w:rsidR="00A90D9A" w:rsidRPr="00EE0FB2" w:rsidRDefault="00A90D9A" w:rsidP="00A90D9A">
            <w:pPr>
              <w:spacing w:after="120"/>
            </w:pPr>
            <w:r w:rsidRPr="00EE0FB2">
              <w:rPr>
                <w:b/>
                <w:i/>
              </w:rPr>
              <w:t>Key functional role:</w:t>
            </w:r>
            <w:r>
              <w:rPr>
                <w:b/>
                <w:i/>
              </w:rPr>
              <w:t xml:space="preserve">  </w:t>
            </w:r>
            <w:r>
              <w:t>grazer</w:t>
            </w:r>
            <w:r w:rsidR="008E2791">
              <w:t xml:space="preserve"> detritivores </w:t>
            </w:r>
            <w:r>
              <w:t>- converting primary and microbial production into secondary production</w:t>
            </w:r>
          </w:p>
          <w:p w14:paraId="1F2FF387" w14:textId="6CB89BBF" w:rsidR="00A90D9A" w:rsidRPr="00EE0FB2" w:rsidRDefault="00A90D9A" w:rsidP="00A90D9A">
            <w:pPr>
              <w:spacing w:after="120"/>
            </w:pPr>
            <w:r w:rsidRPr="00EE0FB2">
              <w:rPr>
                <w:b/>
                <w:i/>
              </w:rPr>
              <w:t>Key vulnerabilities:</w:t>
            </w:r>
            <w:r>
              <w:t xml:space="preserve">  dependent on high nutritional diet from microbial based biofilms;</w:t>
            </w:r>
            <w:r w:rsidR="004A3868">
              <w:t xml:space="preserve"> (see </w:t>
            </w:r>
            <w:r w:rsidR="004A3868" w:rsidRPr="00B660AF">
              <w:rPr>
                <w:u w:val="single"/>
              </w:rPr>
              <w:t>Table 1</w:t>
            </w:r>
            <w:r w:rsidR="00B660AF" w:rsidRPr="00B660AF">
              <w:rPr>
                <w:u w:val="single"/>
              </w:rPr>
              <w:t>7</w:t>
            </w:r>
            <w:r w:rsidR="004A3868" w:rsidRPr="00E4121B">
              <w:t>)</w:t>
            </w:r>
            <w:r w:rsidR="00B660AF">
              <w:t>; some species with limited dispersal ability; need slow flow or still waters</w:t>
            </w:r>
          </w:p>
          <w:p w14:paraId="0D9E4E66" w14:textId="4C57292F" w:rsidR="00A90D9A" w:rsidRPr="007E28A6" w:rsidRDefault="00A90D9A" w:rsidP="00A90D9A">
            <w:pPr>
              <w:spacing w:after="120"/>
            </w:pPr>
            <w:r>
              <w:rPr>
                <w:b/>
                <w:i/>
              </w:rPr>
              <w:t>Key impact</w:t>
            </w:r>
            <w:r w:rsidR="00931344">
              <w:rPr>
                <w:b/>
                <w:i/>
              </w:rPr>
              <w:t>s on specie</w:t>
            </w:r>
            <w:r>
              <w:rPr>
                <w:b/>
                <w:i/>
              </w:rPr>
              <w:t xml:space="preserve">s:  </w:t>
            </w:r>
            <w:r>
              <w:t>long-term recruitment failure; decline in abundance and range; regional extinctions of some species; loss of food source</w:t>
            </w:r>
          </w:p>
          <w:p w14:paraId="0D32560E" w14:textId="77777777" w:rsidR="00A90D9A" w:rsidRPr="00792B10" w:rsidRDefault="00A90D9A" w:rsidP="00A90D9A">
            <w:pPr>
              <w:spacing w:after="120"/>
            </w:pPr>
            <w:r>
              <w:rPr>
                <w:b/>
                <w:i/>
              </w:rPr>
              <w:t xml:space="preserve">Likely causes:  </w:t>
            </w:r>
            <w:r>
              <w:t>changed habitat and food availability due to regulation; predation by common carp; competition with alien snails</w:t>
            </w:r>
          </w:p>
          <w:p w14:paraId="5F1C1700" w14:textId="32D47869" w:rsidR="00A90D9A" w:rsidRPr="007E28A6" w:rsidRDefault="00A90D9A" w:rsidP="00A90D9A">
            <w:pPr>
              <w:spacing w:after="120"/>
            </w:pPr>
            <w:r w:rsidRPr="00C25902">
              <w:rPr>
                <w:b/>
                <w:i/>
              </w:rPr>
              <w:t>Key impacts on EC:</w:t>
            </w:r>
            <w:r>
              <w:t xml:space="preserve"> foodweb impacts; loss of biodiversity; opening niche for non-native alien species that degrade the natural habitat</w:t>
            </w:r>
            <w:r w:rsidR="00931344">
              <w:t>; climate change impacts exacerbated (e.g. heat, drying, flood impacts)</w:t>
            </w:r>
            <w:r w:rsidR="00EF09D8">
              <w:t>;</w:t>
            </w:r>
            <w:r w:rsidR="000C7CDF">
              <w:t xml:space="preserve"> climate change impacts exacerbated (e.g. heat, drying, flood impacts)</w:t>
            </w:r>
          </w:p>
          <w:p w14:paraId="0BE24606" w14:textId="74C48583" w:rsidR="00A90D9A" w:rsidRDefault="00A90D9A" w:rsidP="00A90D9A">
            <w:r w:rsidRPr="00FC426E">
              <w:rPr>
                <w:b/>
                <w:i/>
              </w:rPr>
              <w:t>Indicative conservation status within the EC:</w:t>
            </w:r>
            <w:r>
              <w:t xml:space="preserve">  Critically endangered</w:t>
            </w:r>
          </w:p>
        </w:tc>
      </w:tr>
    </w:tbl>
    <w:p w14:paraId="0611163E" w14:textId="77777777" w:rsidR="00EA08D7" w:rsidRDefault="00EA08D7" w:rsidP="00281C59"/>
    <w:p w14:paraId="41084C3B" w14:textId="20FA0CF9" w:rsidR="004A05AB" w:rsidRDefault="004A05AB" w:rsidP="004A05AB">
      <w:pPr>
        <w:rPr>
          <w:noProof/>
        </w:rPr>
      </w:pPr>
      <w:r>
        <w:rPr>
          <w:noProof/>
        </w:rPr>
        <w:t xml:space="preserve">The ecological community formerly supported at least 18 native freshwater gastropod snail species from eight families (Sheldon </w:t>
      </w:r>
      <w:r w:rsidR="00CA4381">
        <w:rPr>
          <w:noProof/>
        </w:rPr>
        <w:t>&amp;</w:t>
      </w:r>
      <w:r>
        <w:rPr>
          <w:noProof/>
        </w:rPr>
        <w:t xml:space="preserve"> Walker 1993; Ponder </w:t>
      </w:r>
      <w:r w:rsidR="00CA4381">
        <w:rPr>
          <w:noProof/>
        </w:rPr>
        <w:t>&amp;</w:t>
      </w:r>
      <w:r>
        <w:rPr>
          <w:noProof/>
        </w:rPr>
        <w:t xml:space="preserve"> Walker 2003; </w:t>
      </w:r>
      <w:r w:rsidRPr="00CA4381">
        <w:rPr>
          <w:noProof/>
          <w:u w:val="single"/>
        </w:rPr>
        <w:t>Table</w:t>
      </w:r>
      <w:r w:rsidR="00CA4381" w:rsidRPr="00CA4381">
        <w:rPr>
          <w:noProof/>
          <w:u w:val="single"/>
        </w:rPr>
        <w:t xml:space="preserve"> 33</w:t>
      </w:r>
      <w:r>
        <w:rPr>
          <w:noProof/>
        </w:rPr>
        <w:t xml:space="preserve">). There is doubt over the precise number due to the paucity of early collections and recurrent taxonomic issues (Sheldon </w:t>
      </w:r>
      <w:r w:rsidR="00CA4381">
        <w:rPr>
          <w:noProof/>
        </w:rPr>
        <w:t>&amp;</w:t>
      </w:r>
      <w:r>
        <w:rPr>
          <w:noProof/>
        </w:rPr>
        <w:t xml:space="preserve"> Walker 1993; Ponder </w:t>
      </w:r>
      <w:r w:rsidR="004B1612">
        <w:rPr>
          <w:noProof/>
        </w:rPr>
        <w:t xml:space="preserve">&amp; </w:t>
      </w:r>
      <w:r>
        <w:rPr>
          <w:noProof/>
        </w:rPr>
        <w:t>Walker 2003). Freshwater snails (Mollusca, Gastropoda) include caenogastropods (formerly 'prosobranchs') with gills and an operculum to close the shell aperture, and pulmonates with a vascularised 'lung' to aid respiration but without an operculum (Walker et al. 2009</w:t>
      </w:r>
      <w:r w:rsidR="004B1612">
        <w:rPr>
          <w:noProof/>
        </w:rPr>
        <w:t>, 2018</w:t>
      </w:r>
      <w:r>
        <w:rPr>
          <w:noProof/>
        </w:rPr>
        <w:t>). In general, the operculate species prefer flowing, well-oxygenated water, and the pulmonates inhabit wetlands where oxygen levels and other conditions vary (Walker et al. 2009</w:t>
      </w:r>
      <w:r w:rsidR="004B1612">
        <w:rPr>
          <w:noProof/>
        </w:rPr>
        <w:t>, 2018</w:t>
      </w:r>
      <w:r>
        <w:rPr>
          <w:noProof/>
        </w:rPr>
        <w:t xml:space="preserve">). </w:t>
      </w:r>
    </w:p>
    <w:p w14:paraId="7661543D" w14:textId="33D062C8" w:rsidR="004A05AB" w:rsidRDefault="004A05AB" w:rsidP="004A05AB">
      <w:pPr>
        <w:rPr>
          <w:noProof/>
        </w:rPr>
      </w:pPr>
      <w:r>
        <w:rPr>
          <w:noProof/>
        </w:rPr>
        <w:t xml:space="preserve">All freshwater snails are grazers, equipped with a radula to scrape bacteria, algae and detritus from submerged surfaces. Evidence from analysis of gut and faecal pellets, and stable carbon isotopes, shows that these taxa are 'detritivores', feeding mainly on amorphous organic detritus and algae, bacteria and fungi as 'biofilms' (Sheldon </w:t>
      </w:r>
      <w:r w:rsidR="00CA4381">
        <w:rPr>
          <w:noProof/>
        </w:rPr>
        <w:t>&amp;</w:t>
      </w:r>
      <w:r>
        <w:rPr>
          <w:noProof/>
        </w:rPr>
        <w:t xml:space="preserve"> Walker 1997). As detritivores, they play a critical role in the aquatic foodweb. Microbial colonisation of detritus and dead leaves that fall into streams is a significant pathway for energy transfer (Boulton </w:t>
      </w:r>
      <w:r w:rsidR="00273AA6">
        <w:rPr>
          <w:noProof/>
        </w:rPr>
        <w:t>&amp;</w:t>
      </w:r>
      <w:r>
        <w:rPr>
          <w:noProof/>
        </w:rPr>
        <w:t xml:space="preserve"> Brock 1999). In particular, microbial production in the biofilms on leaves, rocks and logs is important, and along with the fungi and algae (e.g. diatoms) that co-occur in the films, is a nutritious food source for invertebrates. The grazing of snails is a vital link in the release and exchange of this energy from biofilms in the aquatic foodweb (Boulton </w:t>
      </w:r>
      <w:r w:rsidR="00273AA6">
        <w:rPr>
          <w:noProof/>
        </w:rPr>
        <w:t>&amp;</w:t>
      </w:r>
      <w:r>
        <w:rPr>
          <w:noProof/>
        </w:rPr>
        <w:t xml:space="preserve"> Brock 1999).</w:t>
      </w:r>
    </w:p>
    <w:p w14:paraId="0EE99C14" w14:textId="5C6A6095" w:rsidR="004A05AB" w:rsidRDefault="004A05AB" w:rsidP="004A05AB">
      <w:pPr>
        <w:rPr>
          <w:noProof/>
        </w:rPr>
      </w:pPr>
      <w:r>
        <w:rPr>
          <w:noProof/>
        </w:rPr>
        <w:t xml:space="preserve">Evidence from various sources, including </w:t>
      </w:r>
      <w:r w:rsidR="008E2791">
        <w:rPr>
          <w:noProof/>
        </w:rPr>
        <w:t>A</w:t>
      </w:r>
      <w:r>
        <w:rPr>
          <w:noProof/>
        </w:rPr>
        <w:t>boriginal shell middens, indicates that the freshwater snails were very abundant in the region of the ecological community during the first half of the 20</w:t>
      </w:r>
      <w:r w:rsidRPr="00EE27C0">
        <w:rPr>
          <w:noProof/>
          <w:vertAlign w:val="superscript"/>
        </w:rPr>
        <w:t xml:space="preserve">th </w:t>
      </w:r>
      <w:r>
        <w:rPr>
          <w:noProof/>
          <w:vertAlign w:val="superscript"/>
        </w:rPr>
        <w:t xml:space="preserve"> </w:t>
      </w:r>
      <w:r>
        <w:rPr>
          <w:noProof/>
        </w:rPr>
        <w:t xml:space="preserve">century (Sheldon </w:t>
      </w:r>
      <w:r w:rsidR="00CA4381">
        <w:rPr>
          <w:noProof/>
        </w:rPr>
        <w:t>&amp;</w:t>
      </w:r>
      <w:r>
        <w:rPr>
          <w:noProof/>
        </w:rPr>
        <w:t xml:space="preserve"> Walker 1993 and references therein). However surveys from the 1980s onwards,  of riverine and floodplain environments within the ecological community show that most species have declined sharply in range and abundance or disappeared entirely (Sheldon </w:t>
      </w:r>
      <w:r w:rsidR="00CA4381">
        <w:rPr>
          <w:noProof/>
        </w:rPr>
        <w:t>&amp;</w:t>
      </w:r>
      <w:r>
        <w:rPr>
          <w:noProof/>
        </w:rPr>
        <w:t xml:space="preserve"> Walker 1993 and references therein; see </w:t>
      </w:r>
      <w:r w:rsidRPr="008E2791">
        <w:rPr>
          <w:noProof/>
          <w:u w:val="single"/>
        </w:rPr>
        <w:t>Table</w:t>
      </w:r>
      <w:r w:rsidR="00CA4381">
        <w:rPr>
          <w:noProof/>
          <w:u w:val="single"/>
        </w:rPr>
        <w:t xml:space="preserve"> </w:t>
      </w:r>
      <w:r w:rsidR="008E2791" w:rsidRPr="008E2791">
        <w:rPr>
          <w:noProof/>
          <w:u w:val="single"/>
        </w:rPr>
        <w:t>33</w:t>
      </w:r>
      <w:r w:rsidRPr="008E2791">
        <w:rPr>
          <w:noProof/>
        </w:rPr>
        <w:t xml:space="preserve">). </w:t>
      </w:r>
      <w:r>
        <w:rPr>
          <w:noProof/>
        </w:rPr>
        <w:t xml:space="preserve">Natural populations of nearly all taxa, particularly the caenogastropods </w:t>
      </w:r>
      <w:r w:rsidRPr="00D75D69">
        <w:rPr>
          <w:i/>
          <w:noProof/>
        </w:rPr>
        <w:t>Thiara balonnensis</w:t>
      </w:r>
      <w:r>
        <w:rPr>
          <w:noProof/>
        </w:rPr>
        <w:t xml:space="preserve"> and </w:t>
      </w:r>
      <w:r w:rsidRPr="00D75D69">
        <w:rPr>
          <w:i/>
          <w:noProof/>
        </w:rPr>
        <w:t>Notopala</w:t>
      </w:r>
      <w:r>
        <w:rPr>
          <w:noProof/>
        </w:rPr>
        <w:t xml:space="preserve"> </w:t>
      </w:r>
      <w:r w:rsidRPr="00EE27C0">
        <w:rPr>
          <w:i/>
          <w:noProof/>
        </w:rPr>
        <w:t>hanleyi</w:t>
      </w:r>
      <w:r>
        <w:rPr>
          <w:noProof/>
        </w:rPr>
        <w:t xml:space="preserve"> have declined markedly over the last 50 years throughout the Murray-Darling Basin (Sheldon </w:t>
      </w:r>
      <w:r w:rsidR="00CA4381">
        <w:rPr>
          <w:noProof/>
        </w:rPr>
        <w:t>&amp;</w:t>
      </w:r>
      <w:r>
        <w:rPr>
          <w:noProof/>
        </w:rPr>
        <w:t xml:space="preserve"> Walker 1993</w:t>
      </w:r>
      <w:r w:rsidR="008E2791">
        <w:rPr>
          <w:noProof/>
        </w:rPr>
        <w:t xml:space="preserve">; </w:t>
      </w:r>
      <w:r w:rsidR="00C84E50">
        <w:rPr>
          <w:noProof/>
        </w:rPr>
        <w:t>Holmes et al. 2013; FSC 2015</w:t>
      </w:r>
      <w:r w:rsidR="008F295B">
        <w:rPr>
          <w:noProof/>
        </w:rPr>
        <w:t>; D</w:t>
      </w:r>
      <w:r w:rsidR="00273AA6">
        <w:rPr>
          <w:noProof/>
        </w:rPr>
        <w:t>ISRD 2018</w:t>
      </w:r>
      <w:r>
        <w:rPr>
          <w:noProof/>
        </w:rPr>
        <w:t xml:space="preserve">). These two species are considered to be regionally </w:t>
      </w:r>
      <w:r>
        <w:rPr>
          <w:noProof/>
        </w:rPr>
        <w:lastRenderedPageBreak/>
        <w:t>extinct in the wild (</w:t>
      </w:r>
      <w:r w:rsidRPr="008524E7">
        <w:rPr>
          <w:noProof/>
          <w:u w:val="single"/>
        </w:rPr>
        <w:t xml:space="preserve">Table </w:t>
      </w:r>
      <w:r w:rsidR="008524E7" w:rsidRPr="008524E7">
        <w:rPr>
          <w:noProof/>
          <w:u w:val="single"/>
        </w:rPr>
        <w:t>33</w:t>
      </w:r>
      <w:r>
        <w:rPr>
          <w:noProof/>
        </w:rPr>
        <w:t>) and within the ecological community</w:t>
      </w:r>
      <w:r w:rsidR="008524E7">
        <w:rPr>
          <w:noProof/>
        </w:rPr>
        <w:t xml:space="preserve"> (Holmes et al. 2013)</w:t>
      </w:r>
      <w:r>
        <w:rPr>
          <w:noProof/>
        </w:rPr>
        <w:t xml:space="preserve">. As of the mid-1990s, the only native gastropod taxa that remain common and widespread in the ecological community are the freshwater limpets (Ancylidae) (Botting 1995 in Ponder </w:t>
      </w:r>
      <w:r w:rsidR="00406AB4">
        <w:rPr>
          <w:noProof/>
        </w:rPr>
        <w:t xml:space="preserve">&amp; </w:t>
      </w:r>
      <w:r>
        <w:rPr>
          <w:noProof/>
        </w:rPr>
        <w:t xml:space="preserve">Walker 2003). </w:t>
      </w:r>
    </w:p>
    <w:p w14:paraId="33155EBE" w14:textId="6EA1586D" w:rsidR="004A05AB" w:rsidRDefault="004A05AB" w:rsidP="004A05AB">
      <w:pPr>
        <w:rPr>
          <w:noProof/>
        </w:rPr>
      </w:pPr>
      <w:r>
        <w:rPr>
          <w:noProof/>
        </w:rPr>
        <w:t xml:space="preserve">The decline of an entire functional (taxonomic) group is evidence of profound changes in the river environment. Importantly, some of the snail species still occur in the Murray upstream of the junction with the Darling (Bennison et al. 1989), suggesting that the decline in the ecological community is at least partly due to local factors (Sheldon </w:t>
      </w:r>
      <w:r w:rsidR="00406AB4">
        <w:rPr>
          <w:noProof/>
        </w:rPr>
        <w:t xml:space="preserve">&amp; </w:t>
      </w:r>
      <w:r>
        <w:rPr>
          <w:noProof/>
        </w:rPr>
        <w:t>Walker 1993). The decline in freshwater snails in the ecological community has paralleled intensified flow regulation and is most likely due to changes in the composition of biofilms, predation by common carp, and changes in connectivity between the river and its floodplain wetlands (Walker et al. 1992, 1994, 2009</w:t>
      </w:r>
      <w:r w:rsidR="004B1612">
        <w:rPr>
          <w:noProof/>
        </w:rPr>
        <w:t>, 2018</w:t>
      </w:r>
      <w:r>
        <w:rPr>
          <w:noProof/>
        </w:rPr>
        <w:t>)</w:t>
      </w:r>
      <w:r w:rsidR="003B7E09">
        <w:rPr>
          <w:noProof/>
        </w:rPr>
        <w:t>:</w:t>
      </w:r>
    </w:p>
    <w:p w14:paraId="55E070B2" w14:textId="1D201AA2" w:rsidR="004A05AB" w:rsidRDefault="003B7E09" w:rsidP="004162AC">
      <w:pPr>
        <w:pStyle w:val="ListParagraph"/>
        <w:numPr>
          <w:ilvl w:val="0"/>
          <w:numId w:val="61"/>
        </w:numPr>
        <w:rPr>
          <w:noProof/>
        </w:rPr>
      </w:pPr>
      <w:r>
        <w:rPr>
          <w:noProof/>
        </w:rPr>
        <w:t>B</w:t>
      </w:r>
      <w:r w:rsidR="004A05AB" w:rsidRPr="00D02877">
        <w:rPr>
          <w:noProof/>
        </w:rPr>
        <w:t xml:space="preserve">efore regulation, prior to the 1920s, littoral biofilms were dominated by microbial biomass, as fluctuating water levels and high turbidity would have limited algal growth and maintained the biofilms in a state of early succession (Sheldon </w:t>
      </w:r>
      <w:r w:rsidR="00406AB4">
        <w:rPr>
          <w:noProof/>
        </w:rPr>
        <w:t xml:space="preserve">&amp; </w:t>
      </w:r>
      <w:r w:rsidR="004A05AB" w:rsidRPr="00D02877">
        <w:rPr>
          <w:noProof/>
        </w:rPr>
        <w:t>Walker 1997). However, by stabilising seasonal water levels, regulation would have promoted the growth of filamentous algae. Biofilms that are predomina</w:t>
      </w:r>
      <w:r w:rsidR="004A05AB">
        <w:rPr>
          <w:noProof/>
        </w:rPr>
        <w:t>nt</w:t>
      </w:r>
      <w:r w:rsidR="004A05AB" w:rsidRPr="00D02877">
        <w:rPr>
          <w:noProof/>
        </w:rPr>
        <w:t xml:space="preserve">ly algal rather than bacterial are </w:t>
      </w:r>
      <w:r w:rsidR="004A05AB">
        <w:rPr>
          <w:noProof/>
        </w:rPr>
        <w:t>a much less-</w:t>
      </w:r>
      <w:r w:rsidR="004A05AB" w:rsidRPr="00D02877">
        <w:rPr>
          <w:noProof/>
        </w:rPr>
        <w:t>nutritious</w:t>
      </w:r>
      <w:r w:rsidR="004A05AB">
        <w:rPr>
          <w:noProof/>
        </w:rPr>
        <w:t xml:space="preserve"> food source for detritivorous snails</w:t>
      </w:r>
      <w:r w:rsidR="004A05AB" w:rsidRPr="00D02877">
        <w:rPr>
          <w:noProof/>
        </w:rPr>
        <w:t xml:space="preserve"> (i.e. high C:N ratio, Sheldon </w:t>
      </w:r>
      <w:r w:rsidR="00EF15FC">
        <w:rPr>
          <w:noProof/>
        </w:rPr>
        <w:t xml:space="preserve">&amp; </w:t>
      </w:r>
      <w:r w:rsidR="004A05AB" w:rsidRPr="00D02877">
        <w:rPr>
          <w:noProof/>
        </w:rPr>
        <w:t>Walker, 1997</w:t>
      </w:r>
      <w:r w:rsidR="004A05AB">
        <w:rPr>
          <w:noProof/>
        </w:rPr>
        <w:t xml:space="preserve">; </w:t>
      </w:r>
      <w:r w:rsidR="004A05AB" w:rsidRPr="00D02877">
        <w:rPr>
          <w:noProof/>
        </w:rPr>
        <w:t xml:space="preserve">Walker et al. 2009). </w:t>
      </w:r>
      <w:r w:rsidR="004A05AB">
        <w:rPr>
          <w:noProof/>
        </w:rPr>
        <w:t>T</w:t>
      </w:r>
      <w:r w:rsidR="004A05AB" w:rsidRPr="00D02877">
        <w:rPr>
          <w:noProof/>
        </w:rPr>
        <w:t>he dark confines of the irrigation piplines</w:t>
      </w:r>
      <w:r w:rsidR="004A05AB">
        <w:rPr>
          <w:noProof/>
        </w:rPr>
        <w:t>, where some species have found</w:t>
      </w:r>
      <w:r w:rsidR="004A05AB" w:rsidRPr="00D02877">
        <w:rPr>
          <w:noProof/>
        </w:rPr>
        <w:t xml:space="preserve"> refuge,</w:t>
      </w:r>
      <w:r w:rsidR="004A05AB">
        <w:rPr>
          <w:noProof/>
        </w:rPr>
        <w:t xml:space="preserve"> have bacterial-</w:t>
      </w:r>
      <w:r w:rsidR="004A05AB" w:rsidRPr="00D02877">
        <w:rPr>
          <w:noProof/>
        </w:rPr>
        <w:t>dominated biofilms</w:t>
      </w:r>
      <w:r w:rsidR="004A05AB">
        <w:rPr>
          <w:noProof/>
        </w:rPr>
        <w:t xml:space="preserve"> and the snails are much less prone to predation by carp (Sheldon </w:t>
      </w:r>
      <w:r w:rsidR="00406AB4">
        <w:rPr>
          <w:noProof/>
        </w:rPr>
        <w:t xml:space="preserve">&amp; </w:t>
      </w:r>
      <w:r w:rsidR="004A05AB">
        <w:rPr>
          <w:noProof/>
        </w:rPr>
        <w:t>Walker 1997</w:t>
      </w:r>
      <w:r w:rsidR="008074CC">
        <w:rPr>
          <w:noProof/>
        </w:rPr>
        <w:t>; Holmes et al. 2013</w:t>
      </w:r>
      <w:r w:rsidR="004A05AB">
        <w:rPr>
          <w:noProof/>
        </w:rPr>
        <w:t>).</w:t>
      </w:r>
    </w:p>
    <w:p w14:paraId="15572C9A" w14:textId="77777777" w:rsidR="003B7E09" w:rsidRDefault="003B7E09" w:rsidP="003B7E09">
      <w:pPr>
        <w:pStyle w:val="ListParagraph"/>
        <w:ind w:left="360"/>
        <w:rPr>
          <w:noProof/>
        </w:rPr>
      </w:pPr>
    </w:p>
    <w:p w14:paraId="395A1A7A" w14:textId="127ED188" w:rsidR="003B7E09" w:rsidRDefault="004A05AB" w:rsidP="004162AC">
      <w:pPr>
        <w:pStyle w:val="ListParagraph"/>
        <w:numPr>
          <w:ilvl w:val="0"/>
          <w:numId w:val="61"/>
        </w:numPr>
        <w:rPr>
          <w:noProof/>
        </w:rPr>
      </w:pPr>
      <w:r>
        <w:rPr>
          <w:noProof/>
        </w:rPr>
        <w:t>The European carp (</w:t>
      </w:r>
      <w:r w:rsidRPr="003B7E09">
        <w:rPr>
          <w:i/>
          <w:noProof/>
        </w:rPr>
        <w:t>Cyprinus carpio</w:t>
      </w:r>
      <w:r>
        <w:rPr>
          <w:noProof/>
        </w:rPr>
        <w:t>) has attained very high numbers within the ecological community, especially after the floods in 1974-75 (Koehn et al. 2000</w:t>
      </w:r>
      <w:r w:rsidR="00EF20BF">
        <w:rPr>
          <w:noProof/>
        </w:rPr>
        <w:t>, 2004</w:t>
      </w:r>
      <w:r>
        <w:rPr>
          <w:noProof/>
        </w:rPr>
        <w:t xml:space="preserve">). </w:t>
      </w:r>
      <w:r w:rsidR="008074CC">
        <w:rPr>
          <w:noProof/>
        </w:rPr>
        <w:t>C</w:t>
      </w:r>
      <w:r>
        <w:rPr>
          <w:noProof/>
        </w:rPr>
        <w:t xml:space="preserve">arp </w:t>
      </w:r>
      <w:r w:rsidR="008074CC">
        <w:rPr>
          <w:noProof/>
        </w:rPr>
        <w:t>is an</w:t>
      </w:r>
      <w:r>
        <w:rPr>
          <w:noProof/>
        </w:rPr>
        <w:t xml:space="preserve"> indiscriminate feeder on benthic (bottom dwelling) animals, including snails (Walker et al. 2009).</w:t>
      </w:r>
    </w:p>
    <w:p w14:paraId="133AB1D1" w14:textId="77777777" w:rsidR="003B7E09" w:rsidRDefault="003B7E09" w:rsidP="003B7E09">
      <w:pPr>
        <w:pStyle w:val="ListParagraph"/>
        <w:rPr>
          <w:noProof/>
        </w:rPr>
      </w:pPr>
    </w:p>
    <w:p w14:paraId="06368551" w14:textId="194DA805" w:rsidR="004A05AB" w:rsidRDefault="004A05AB" w:rsidP="004162AC">
      <w:pPr>
        <w:pStyle w:val="ListParagraph"/>
        <w:numPr>
          <w:ilvl w:val="0"/>
          <w:numId w:val="61"/>
        </w:numPr>
        <w:rPr>
          <w:noProof/>
        </w:rPr>
      </w:pPr>
      <w:r>
        <w:rPr>
          <w:noProof/>
        </w:rPr>
        <w:t>River regulation and diversions for irrigation have depleted and changed seasonal patterns of flow. This has led to changed connectivity between the river and floodplain which has isolated the channel, the main corridor for dispersal of flora and fauna, from many of the wetlands that are nurseries and refuges for snails and other species (Walker et al. 2009</w:t>
      </w:r>
      <w:r w:rsidR="008074CC">
        <w:rPr>
          <w:noProof/>
        </w:rPr>
        <w:t>; FSC 2015</w:t>
      </w:r>
      <w:r w:rsidR="003B51BC">
        <w:rPr>
          <w:noProof/>
        </w:rPr>
        <w:t>; DISRD 2018</w:t>
      </w:r>
      <w:r>
        <w:rPr>
          <w:noProof/>
        </w:rPr>
        <w:t>).</w:t>
      </w:r>
    </w:p>
    <w:p w14:paraId="53A2C897" w14:textId="77777777" w:rsidR="001F2A30" w:rsidRDefault="004A05AB" w:rsidP="00915273">
      <w:pPr>
        <w:rPr>
          <w:noProof/>
        </w:rPr>
      </w:pPr>
      <w:r>
        <w:rPr>
          <w:noProof/>
        </w:rPr>
        <w:t xml:space="preserve">It is also likely that the increasing presence of </w:t>
      </w:r>
      <w:r w:rsidR="008074CC">
        <w:rPr>
          <w:noProof/>
        </w:rPr>
        <w:t xml:space="preserve">invasive (alien) </w:t>
      </w:r>
      <w:r>
        <w:rPr>
          <w:noProof/>
        </w:rPr>
        <w:t>snail species is exacerbating the above impacts through competition and growth suppression</w:t>
      </w:r>
      <w:r w:rsidR="003D120A">
        <w:rPr>
          <w:noProof/>
        </w:rPr>
        <w:t>, for example,</w:t>
      </w:r>
      <w:r>
        <w:rPr>
          <w:noProof/>
        </w:rPr>
        <w:t xml:space="preserve"> competition between the European pond snail </w:t>
      </w:r>
      <w:r w:rsidRPr="0050689C">
        <w:rPr>
          <w:i/>
          <w:noProof/>
        </w:rPr>
        <w:t>Physa acuta</w:t>
      </w:r>
      <w:r>
        <w:rPr>
          <w:noProof/>
        </w:rPr>
        <w:t xml:space="preserve"> and native species</w:t>
      </w:r>
      <w:r w:rsidR="003D120A">
        <w:rPr>
          <w:noProof/>
        </w:rPr>
        <w:t xml:space="preserve"> (</w:t>
      </w:r>
      <w:r>
        <w:rPr>
          <w:noProof/>
        </w:rPr>
        <w:t xml:space="preserve">Zukowski </w:t>
      </w:r>
      <w:r w:rsidR="008074CC">
        <w:rPr>
          <w:noProof/>
        </w:rPr>
        <w:t>&amp;</w:t>
      </w:r>
      <w:r>
        <w:rPr>
          <w:noProof/>
        </w:rPr>
        <w:t xml:space="preserve"> Walker 2009).</w:t>
      </w:r>
      <w:r w:rsidR="00915273">
        <w:rPr>
          <w:noProof/>
        </w:rPr>
        <w:t xml:space="preserve"> </w:t>
      </w:r>
    </w:p>
    <w:p w14:paraId="2A0F0F4D" w14:textId="5D3600E6" w:rsidR="00915273" w:rsidRDefault="00915273" w:rsidP="00915273">
      <w:pPr>
        <w:rPr>
          <w:noProof/>
        </w:rPr>
        <w:sectPr w:rsidR="00915273" w:rsidSect="00543BB8">
          <w:type w:val="continuous"/>
          <w:pgSz w:w="11906" w:h="16838"/>
          <w:pgMar w:top="1134" w:right="1418" w:bottom="1134" w:left="1418" w:header="454" w:footer="454" w:gutter="0"/>
          <w:cols w:space="708"/>
          <w:docGrid w:linePitch="360"/>
        </w:sectPr>
      </w:pPr>
      <w:r w:rsidRPr="00096346">
        <w:rPr>
          <w:shd w:val="clear" w:color="auto" w:fill="FFFFFF"/>
        </w:rPr>
        <w:t xml:space="preserve">Overall, there have been </w:t>
      </w:r>
      <w:r>
        <w:rPr>
          <w:shd w:val="clear" w:color="auto" w:fill="FFFFFF"/>
        </w:rPr>
        <w:t>very severe</w:t>
      </w:r>
      <w:r w:rsidRPr="00096346">
        <w:rPr>
          <w:shd w:val="clear" w:color="auto" w:fill="FFFFFF"/>
        </w:rPr>
        <w:t xml:space="preserve"> declines in </w:t>
      </w:r>
      <w:r>
        <w:rPr>
          <w:shd w:val="clear" w:color="auto" w:fill="FFFFFF"/>
        </w:rPr>
        <w:t xml:space="preserve">snail species </w:t>
      </w:r>
      <w:r w:rsidRPr="00096346">
        <w:rPr>
          <w:shd w:val="clear" w:color="auto" w:fill="FFFFFF"/>
        </w:rPr>
        <w:t>and it is not likely to be possible to restore to normal the major fu</w:t>
      </w:r>
      <w:r w:rsidR="00E36952">
        <w:rPr>
          <w:shd w:val="clear" w:color="auto" w:fill="FFFFFF"/>
        </w:rPr>
        <w:t>n</w:t>
      </w:r>
      <w:r w:rsidRPr="00096346">
        <w:rPr>
          <w:shd w:val="clear" w:color="auto" w:fill="FFFFFF"/>
        </w:rPr>
        <w:t xml:space="preserve">ctional role </w:t>
      </w:r>
      <w:r>
        <w:rPr>
          <w:shd w:val="clear" w:color="auto" w:fill="FFFFFF"/>
        </w:rPr>
        <w:t>they</w:t>
      </w:r>
      <w:r w:rsidRPr="00096346">
        <w:rPr>
          <w:shd w:val="clear" w:color="auto" w:fill="FFFFFF"/>
        </w:rPr>
        <w:t xml:space="preserve"> play in the ecological community in the immediate futur</w:t>
      </w:r>
      <w:r w:rsidR="00E36952">
        <w:rPr>
          <w:shd w:val="clear" w:color="auto" w:fill="FFFFFF"/>
        </w:rPr>
        <w:t>e</w:t>
      </w:r>
      <w:r w:rsidR="00E74179">
        <w:rPr>
          <w:shd w:val="clear" w:color="auto" w:fill="FFFFFF"/>
        </w:rPr>
        <w:t>.</w:t>
      </w:r>
    </w:p>
    <w:p w14:paraId="54EB988A" w14:textId="68E998AF" w:rsidR="00BF21AF" w:rsidRPr="00AF1A0B" w:rsidRDefault="00071E0E" w:rsidP="00071E0E">
      <w:pPr>
        <w:pStyle w:val="Caption"/>
        <w:rPr>
          <w:b w:val="0"/>
          <w:bCs/>
          <w:sz w:val="20"/>
          <w:szCs w:val="20"/>
        </w:rPr>
      </w:pPr>
      <w:bookmarkStart w:id="281" w:name="_Toc232747214"/>
      <w:bookmarkStart w:id="282" w:name="_Toc232747290"/>
      <w:bookmarkStart w:id="283" w:name="_Toc232747533"/>
      <w:r>
        <w:lastRenderedPageBreak/>
        <w:t xml:space="preserve">Table </w:t>
      </w:r>
      <w:r>
        <w:fldChar w:fldCharType="begin"/>
      </w:r>
      <w:r>
        <w:instrText xml:space="preserve"> SEQ Table \* ARABIC </w:instrText>
      </w:r>
      <w:r>
        <w:fldChar w:fldCharType="separate"/>
      </w:r>
      <w:r w:rsidR="006D35C5">
        <w:rPr>
          <w:noProof/>
        </w:rPr>
        <w:t>33</w:t>
      </w:r>
      <w:r>
        <w:fldChar w:fldCharType="end"/>
      </w:r>
      <w:r w:rsidR="00BF21AF" w:rsidRPr="0000489B">
        <w:rPr>
          <w:bCs/>
          <w:sz w:val="21"/>
          <w:szCs w:val="21"/>
        </w:rPr>
        <w:t xml:space="preserve">: </w:t>
      </w:r>
      <w:r w:rsidR="00BF21AF" w:rsidRPr="00AF1A0B">
        <w:rPr>
          <w:bCs/>
          <w:sz w:val="20"/>
          <w:szCs w:val="20"/>
        </w:rPr>
        <w:t>History and status of freshwater snails recorded from the</w:t>
      </w:r>
      <w:r w:rsidR="00B97128" w:rsidRPr="00AF1A0B">
        <w:rPr>
          <w:bCs/>
          <w:sz w:val="20"/>
          <w:szCs w:val="20"/>
        </w:rPr>
        <w:t xml:space="preserve"> RMDS EC</w:t>
      </w:r>
      <w:r w:rsidR="00BF21AF" w:rsidRPr="00AF1A0B">
        <w:rPr>
          <w:bCs/>
          <w:sz w:val="20"/>
          <w:szCs w:val="20"/>
        </w:rPr>
        <w:t xml:space="preserve">. All formerly abundant but many are </w:t>
      </w:r>
      <w:r w:rsidR="004F6CF8" w:rsidRPr="00AF1A0B">
        <w:rPr>
          <w:bCs/>
          <w:sz w:val="20"/>
          <w:szCs w:val="20"/>
        </w:rPr>
        <w:t xml:space="preserve">now </w:t>
      </w:r>
      <w:r w:rsidR="00BF21AF" w:rsidRPr="00AF1A0B">
        <w:rPr>
          <w:bCs/>
          <w:sz w:val="20"/>
          <w:szCs w:val="20"/>
        </w:rPr>
        <w:t xml:space="preserve">rare or regionally extinct. Most families need taxonomic revision, with many confusing synonymies in older literature. </w:t>
      </w:r>
      <w:r w:rsidR="004F6CF8" w:rsidRPr="00AF1A0B">
        <w:rPr>
          <w:bCs/>
          <w:sz w:val="20"/>
          <w:szCs w:val="20"/>
        </w:rPr>
        <w:t>(</w:t>
      </w:r>
      <w:r w:rsidR="00BF21AF" w:rsidRPr="00AF1A0B">
        <w:rPr>
          <w:bCs/>
          <w:sz w:val="20"/>
          <w:szCs w:val="20"/>
        </w:rPr>
        <w:t>EMLR</w:t>
      </w:r>
      <w:r w:rsidR="004F6CF8" w:rsidRPr="00AF1A0B">
        <w:rPr>
          <w:bCs/>
          <w:sz w:val="20"/>
          <w:szCs w:val="20"/>
        </w:rPr>
        <w:t xml:space="preserve"> =</w:t>
      </w:r>
      <w:r w:rsidR="00BF21AF" w:rsidRPr="00AF1A0B">
        <w:rPr>
          <w:bCs/>
          <w:sz w:val="20"/>
          <w:szCs w:val="20"/>
        </w:rPr>
        <w:t xml:space="preserve"> streams of the Eastern Mount Lofty Ranges</w:t>
      </w:r>
      <w:r w:rsidR="004F6CF8" w:rsidRPr="00AF1A0B">
        <w:rPr>
          <w:bCs/>
          <w:sz w:val="20"/>
          <w:szCs w:val="20"/>
        </w:rPr>
        <w:t>)</w:t>
      </w:r>
      <w:r w:rsidR="00BF21AF" w:rsidRPr="00AF1A0B">
        <w:rPr>
          <w:bCs/>
          <w:sz w:val="20"/>
          <w:szCs w:val="20"/>
        </w:rPr>
        <w:t>.</w:t>
      </w:r>
      <w:bookmarkEnd w:id="281"/>
      <w:bookmarkEnd w:id="282"/>
      <w:bookmarkEnd w:id="283"/>
    </w:p>
    <w:tbl>
      <w:tblPr>
        <w:tblStyle w:val="TableGrid"/>
        <w:tblW w:w="5333" w:type="pct"/>
        <w:tblInd w:w="-289" w:type="dxa"/>
        <w:tblLook w:val="04A0" w:firstRow="1" w:lastRow="0" w:firstColumn="1" w:lastColumn="0" w:noHBand="0" w:noVBand="1"/>
      </w:tblPr>
      <w:tblGrid>
        <w:gridCol w:w="1489"/>
        <w:gridCol w:w="2196"/>
        <w:gridCol w:w="7089"/>
        <w:gridCol w:w="1984"/>
        <w:gridCol w:w="2409"/>
      </w:tblGrid>
      <w:tr w:rsidR="00C513A4" w:rsidRPr="00F04C34" w14:paraId="354B284A" w14:textId="77777777" w:rsidTr="00C513A4">
        <w:trPr>
          <w:tblHeader/>
        </w:trPr>
        <w:tc>
          <w:tcPr>
            <w:tcW w:w="491" w:type="pct"/>
            <w:shd w:val="clear" w:color="auto" w:fill="D9D9D9" w:themeFill="background1" w:themeFillShade="D9"/>
          </w:tcPr>
          <w:p w14:paraId="07F44329" w14:textId="77777777" w:rsidR="008B3743" w:rsidRPr="00F04C34" w:rsidRDefault="008B3743" w:rsidP="00CD5901">
            <w:pPr>
              <w:pStyle w:val="tableheadertext"/>
            </w:pPr>
            <w:r w:rsidRPr="00F04C34">
              <w:t>Family</w:t>
            </w:r>
          </w:p>
        </w:tc>
        <w:tc>
          <w:tcPr>
            <w:tcW w:w="724" w:type="pct"/>
            <w:shd w:val="clear" w:color="auto" w:fill="D9D9D9" w:themeFill="background1" w:themeFillShade="D9"/>
          </w:tcPr>
          <w:p w14:paraId="40C133A4" w14:textId="77777777" w:rsidR="008B3743" w:rsidRPr="00F04C34" w:rsidRDefault="008B3743" w:rsidP="00CD5901">
            <w:pPr>
              <w:pStyle w:val="tableheadertext"/>
            </w:pPr>
            <w:r w:rsidRPr="00F04C34">
              <w:t>Species</w:t>
            </w:r>
          </w:p>
        </w:tc>
        <w:tc>
          <w:tcPr>
            <w:tcW w:w="2337" w:type="pct"/>
            <w:shd w:val="clear" w:color="auto" w:fill="D9D9D9" w:themeFill="background1" w:themeFillShade="D9"/>
          </w:tcPr>
          <w:p w14:paraId="4EE6F9D0" w14:textId="77777777" w:rsidR="008B3743" w:rsidRPr="00F04C34" w:rsidRDefault="008B3743" w:rsidP="00CD5901">
            <w:pPr>
              <w:pStyle w:val="tableheadertext"/>
            </w:pPr>
            <w:r w:rsidRPr="00F04C34">
              <w:t>Notes</w:t>
            </w:r>
          </w:p>
        </w:tc>
        <w:tc>
          <w:tcPr>
            <w:tcW w:w="654" w:type="pct"/>
            <w:shd w:val="clear" w:color="auto" w:fill="D9D9D9" w:themeFill="background1" w:themeFillShade="D9"/>
          </w:tcPr>
          <w:p w14:paraId="0E0A753C" w14:textId="77777777" w:rsidR="008B3743" w:rsidRPr="00F04C34" w:rsidRDefault="008B3743" w:rsidP="00CD5901">
            <w:pPr>
              <w:pStyle w:val="tableheadertext"/>
            </w:pPr>
            <w:r w:rsidRPr="00F04C34">
              <w:t>Status</w:t>
            </w:r>
          </w:p>
        </w:tc>
        <w:tc>
          <w:tcPr>
            <w:tcW w:w="794" w:type="pct"/>
            <w:shd w:val="clear" w:color="auto" w:fill="D9D9D9" w:themeFill="background1" w:themeFillShade="D9"/>
          </w:tcPr>
          <w:p w14:paraId="42403C03" w14:textId="77777777" w:rsidR="008B3743" w:rsidRPr="00F04C34" w:rsidRDefault="008B3743" w:rsidP="00CD5901">
            <w:pPr>
              <w:pStyle w:val="tableheadertext"/>
            </w:pPr>
            <w:r w:rsidRPr="00F04C34">
              <w:t>Key reference/s</w:t>
            </w:r>
          </w:p>
        </w:tc>
      </w:tr>
      <w:tr w:rsidR="008B3743" w:rsidRPr="00F04C34" w14:paraId="44538E59" w14:textId="77777777" w:rsidTr="00C513A4">
        <w:tc>
          <w:tcPr>
            <w:tcW w:w="491" w:type="pct"/>
          </w:tcPr>
          <w:p w14:paraId="1F5579A0" w14:textId="77777777" w:rsidR="008B3743" w:rsidRPr="003D3E43" w:rsidRDefault="008B3743" w:rsidP="009C61D8">
            <w:pPr>
              <w:spacing w:after="0"/>
              <w:rPr>
                <w:sz w:val="20"/>
                <w:szCs w:val="20"/>
              </w:rPr>
            </w:pPr>
            <w:r w:rsidRPr="003D3E43">
              <w:rPr>
                <w:sz w:val="20"/>
                <w:szCs w:val="20"/>
              </w:rPr>
              <w:t>Bithyniidae</w:t>
            </w:r>
          </w:p>
        </w:tc>
        <w:tc>
          <w:tcPr>
            <w:tcW w:w="724" w:type="pct"/>
          </w:tcPr>
          <w:p w14:paraId="6464E1D0" w14:textId="23CCD05D" w:rsidR="008B3743" w:rsidRPr="003D3E43" w:rsidRDefault="008B3743" w:rsidP="000670EE">
            <w:pPr>
              <w:spacing w:after="0"/>
              <w:ind w:left="34"/>
              <w:rPr>
                <w:i/>
                <w:sz w:val="20"/>
                <w:szCs w:val="20"/>
              </w:rPr>
            </w:pPr>
            <w:r w:rsidRPr="003D3E43">
              <w:rPr>
                <w:i/>
                <w:sz w:val="20"/>
                <w:szCs w:val="20"/>
              </w:rPr>
              <w:t xml:space="preserve">Gabbia </w:t>
            </w:r>
            <w:r w:rsidRPr="003D3E43">
              <w:rPr>
                <w:rStyle w:val="Emphasis"/>
                <w:sz w:val="20"/>
                <w:szCs w:val="20"/>
              </w:rPr>
              <w:t>ventiginosa</w:t>
            </w:r>
          </w:p>
        </w:tc>
        <w:tc>
          <w:tcPr>
            <w:tcW w:w="2337" w:type="pct"/>
          </w:tcPr>
          <w:p w14:paraId="33D86529" w14:textId="0D56A45C" w:rsidR="008B3743" w:rsidRPr="003D3E43" w:rsidRDefault="0012104E"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Found in i</w:t>
            </w:r>
            <w:r w:rsidR="008B3743" w:rsidRPr="003D3E43">
              <w:rPr>
                <w:sz w:val="20"/>
                <w:szCs w:val="20"/>
              </w:rPr>
              <w:t>rrigation pipeline at Renmark, 1984</w:t>
            </w:r>
          </w:p>
        </w:tc>
        <w:tc>
          <w:tcPr>
            <w:tcW w:w="654" w:type="pct"/>
          </w:tcPr>
          <w:p w14:paraId="0FADB728"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Uncommon</w:t>
            </w:r>
          </w:p>
        </w:tc>
        <w:tc>
          <w:tcPr>
            <w:tcW w:w="794" w:type="pct"/>
          </w:tcPr>
          <w:p w14:paraId="1658242B" w14:textId="669248E3" w:rsidR="008B3743" w:rsidRPr="003D3E43" w:rsidRDefault="008B3743" w:rsidP="00C85430">
            <w:pPr>
              <w:pStyle w:val="Tabletext"/>
              <w:rPr>
                <w:sz w:val="20"/>
                <w:szCs w:val="20"/>
              </w:rPr>
            </w:pPr>
            <w:r w:rsidRPr="003D3E43">
              <w:rPr>
                <w:sz w:val="20"/>
                <w:szCs w:val="20"/>
              </w:rPr>
              <w:t>Sheldon &amp; Walker 1993;</w:t>
            </w:r>
          </w:p>
          <w:p w14:paraId="4E7046A9" w14:textId="150324A7" w:rsidR="008B3743" w:rsidRPr="003D3E43" w:rsidRDefault="008B3743" w:rsidP="00C85430">
            <w:pPr>
              <w:pStyle w:val="Tabletext"/>
              <w:rPr>
                <w:sz w:val="20"/>
                <w:szCs w:val="20"/>
              </w:rPr>
            </w:pPr>
            <w:r w:rsidRPr="003D3E43">
              <w:rPr>
                <w:sz w:val="20"/>
                <w:szCs w:val="20"/>
              </w:rPr>
              <w:t>Ponder &amp; Walker 2003</w:t>
            </w:r>
          </w:p>
        </w:tc>
      </w:tr>
      <w:tr w:rsidR="008B3743" w:rsidRPr="00F04C34" w14:paraId="5D3E4431" w14:textId="77777777" w:rsidTr="00C513A4">
        <w:tc>
          <w:tcPr>
            <w:tcW w:w="491" w:type="pct"/>
          </w:tcPr>
          <w:p w14:paraId="5488B4B6" w14:textId="77777777" w:rsidR="008B3743" w:rsidRPr="003D3E43" w:rsidRDefault="008B3743" w:rsidP="009C61D8">
            <w:pPr>
              <w:spacing w:after="0"/>
              <w:rPr>
                <w:sz w:val="20"/>
                <w:szCs w:val="20"/>
              </w:rPr>
            </w:pPr>
            <w:r w:rsidRPr="003D3E43">
              <w:rPr>
                <w:sz w:val="20"/>
                <w:szCs w:val="20"/>
              </w:rPr>
              <w:t>Hydrobiidae</w:t>
            </w:r>
          </w:p>
          <w:p w14:paraId="1B8995CB" w14:textId="77777777" w:rsidR="008B3743" w:rsidRPr="003D3E43" w:rsidRDefault="008B3743" w:rsidP="009C61D8">
            <w:pPr>
              <w:spacing w:after="0"/>
              <w:rPr>
                <w:sz w:val="20"/>
                <w:szCs w:val="20"/>
              </w:rPr>
            </w:pPr>
            <w:r w:rsidRPr="003D3E43">
              <w:rPr>
                <w:sz w:val="20"/>
                <w:szCs w:val="20"/>
              </w:rPr>
              <w:t>(operculate snails)</w:t>
            </w:r>
          </w:p>
        </w:tc>
        <w:tc>
          <w:tcPr>
            <w:tcW w:w="724" w:type="pct"/>
          </w:tcPr>
          <w:p w14:paraId="084440E6" w14:textId="77777777" w:rsidR="008B3743" w:rsidRPr="003D3E43" w:rsidRDefault="008B3743" w:rsidP="009C61D8">
            <w:pPr>
              <w:spacing w:after="0"/>
              <w:ind w:left="34"/>
              <w:rPr>
                <w:i/>
                <w:sz w:val="20"/>
                <w:szCs w:val="20"/>
              </w:rPr>
            </w:pPr>
            <w:r w:rsidRPr="003D3E43">
              <w:rPr>
                <w:i/>
                <w:sz w:val="20"/>
                <w:szCs w:val="20"/>
              </w:rPr>
              <w:t xml:space="preserve">Fluvidona angasi </w:t>
            </w:r>
          </w:p>
          <w:p w14:paraId="3D7A7B37" w14:textId="77777777" w:rsidR="008B3743" w:rsidRPr="003D3E43" w:rsidRDefault="008B3743" w:rsidP="009C61D8">
            <w:pPr>
              <w:spacing w:after="0"/>
              <w:ind w:left="34"/>
              <w:rPr>
                <w:i/>
                <w:sz w:val="20"/>
                <w:szCs w:val="20"/>
              </w:rPr>
            </w:pPr>
            <w:r w:rsidRPr="003D3E43">
              <w:rPr>
                <w:i/>
                <w:sz w:val="20"/>
                <w:szCs w:val="20"/>
              </w:rPr>
              <w:t xml:space="preserve">Austropyrgus </w:t>
            </w:r>
            <w:r w:rsidRPr="003D3E43">
              <w:rPr>
                <w:sz w:val="20"/>
                <w:szCs w:val="20"/>
              </w:rPr>
              <w:t>sp.</w:t>
            </w:r>
            <w:r w:rsidRPr="003D3E43">
              <w:rPr>
                <w:i/>
                <w:sz w:val="20"/>
                <w:szCs w:val="20"/>
              </w:rPr>
              <w:t xml:space="preserve"> </w:t>
            </w:r>
          </w:p>
          <w:p w14:paraId="1ED5C7A5" w14:textId="77777777" w:rsidR="008B3743" w:rsidRPr="003D3E43" w:rsidRDefault="008B3743" w:rsidP="009C61D8">
            <w:pPr>
              <w:spacing w:after="0"/>
              <w:ind w:left="34"/>
              <w:rPr>
                <w:sz w:val="20"/>
                <w:szCs w:val="20"/>
              </w:rPr>
            </w:pPr>
            <w:r w:rsidRPr="003D3E43">
              <w:rPr>
                <w:i/>
                <w:sz w:val="20"/>
                <w:szCs w:val="20"/>
              </w:rPr>
              <w:t xml:space="preserve">Posticobia </w:t>
            </w:r>
            <w:r w:rsidRPr="003D3E43">
              <w:rPr>
                <w:sz w:val="20"/>
                <w:szCs w:val="20"/>
              </w:rPr>
              <w:t>sp.</w:t>
            </w:r>
          </w:p>
          <w:p w14:paraId="0A58D68B" w14:textId="77777777" w:rsidR="008B3743" w:rsidRPr="003D3E43" w:rsidRDefault="008B3743" w:rsidP="009C61D8">
            <w:pPr>
              <w:spacing w:after="0"/>
              <w:ind w:left="34"/>
              <w:rPr>
                <w:sz w:val="20"/>
                <w:szCs w:val="20"/>
              </w:rPr>
            </w:pPr>
            <w:r w:rsidRPr="003D3E43">
              <w:rPr>
                <w:b/>
                <w:bCs/>
                <w:sz w:val="20"/>
                <w:szCs w:val="20"/>
              </w:rPr>
              <w:t>*</w:t>
            </w:r>
            <w:r w:rsidRPr="003D3E43">
              <w:rPr>
                <w:i/>
                <w:sz w:val="20"/>
                <w:szCs w:val="20"/>
              </w:rPr>
              <w:t>Potamopyrgus antipodarum</w:t>
            </w:r>
            <w:r w:rsidRPr="003D3E43">
              <w:rPr>
                <w:sz w:val="20"/>
                <w:szCs w:val="20"/>
              </w:rPr>
              <w:t xml:space="preserve"> </w:t>
            </w:r>
          </w:p>
        </w:tc>
        <w:tc>
          <w:tcPr>
            <w:tcW w:w="2337" w:type="pct"/>
          </w:tcPr>
          <w:p w14:paraId="0D2B3E8F" w14:textId="40178311"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rStyle w:val="Emphasis"/>
                <w:sz w:val="20"/>
                <w:szCs w:val="20"/>
              </w:rPr>
              <w:t>Austropyrgus angasi</w:t>
            </w:r>
            <w:r w:rsidR="00D76D31" w:rsidRPr="003D3E43">
              <w:rPr>
                <w:rStyle w:val="Emphasis"/>
                <w:sz w:val="20"/>
                <w:szCs w:val="20"/>
              </w:rPr>
              <w:t xml:space="preserve">, </w:t>
            </w:r>
            <w:r w:rsidRPr="003D3E43">
              <w:rPr>
                <w:sz w:val="20"/>
                <w:szCs w:val="20"/>
              </w:rPr>
              <w:t xml:space="preserve">irrigation pipelines at Waikerie </w:t>
            </w:r>
            <w:r w:rsidR="00D76D31" w:rsidRPr="003D3E43">
              <w:rPr>
                <w:sz w:val="20"/>
                <w:szCs w:val="20"/>
              </w:rPr>
              <w:t>&amp;</w:t>
            </w:r>
            <w:r w:rsidRPr="003D3E43">
              <w:rPr>
                <w:sz w:val="20"/>
                <w:szCs w:val="20"/>
              </w:rPr>
              <w:t xml:space="preserve"> Cadell, 1990-</w:t>
            </w:r>
            <w:r w:rsidR="00D76D31" w:rsidRPr="003D3E43">
              <w:rPr>
                <w:sz w:val="20"/>
                <w:szCs w:val="20"/>
              </w:rPr>
              <w:t>9</w:t>
            </w:r>
            <w:r w:rsidRPr="003D3E43">
              <w:rPr>
                <w:sz w:val="20"/>
                <w:szCs w:val="20"/>
              </w:rPr>
              <w:t>2</w:t>
            </w:r>
          </w:p>
          <w:p w14:paraId="4F0B9FEE"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Austropyrgus</w:t>
            </w:r>
            <w:r w:rsidRPr="003D3E43">
              <w:rPr>
                <w:sz w:val="20"/>
                <w:szCs w:val="20"/>
              </w:rPr>
              <w:t>: Marne and Somme rivers, creeks of EMLR</w:t>
            </w:r>
          </w:p>
          <w:p w14:paraId="0C035F35"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Posticobia</w:t>
            </w:r>
            <w:r w:rsidRPr="003D3E43">
              <w:rPr>
                <w:sz w:val="20"/>
                <w:szCs w:val="20"/>
              </w:rPr>
              <w:t>: rare in wetlands from Murray Bridge to Woods Point</w:t>
            </w:r>
          </w:p>
          <w:p w14:paraId="78681D63" w14:textId="00AA8CE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New Zealand mudsnail </w:t>
            </w:r>
            <w:r w:rsidRPr="003D3E43">
              <w:rPr>
                <w:i/>
                <w:iCs/>
                <w:sz w:val="20"/>
                <w:szCs w:val="20"/>
              </w:rPr>
              <w:t>P. antipodarum</w:t>
            </w:r>
            <w:r w:rsidRPr="003D3E43">
              <w:rPr>
                <w:sz w:val="20"/>
                <w:szCs w:val="20"/>
              </w:rPr>
              <w:t xml:space="preserve"> (syn. </w:t>
            </w:r>
            <w:r w:rsidRPr="003D3E43">
              <w:rPr>
                <w:i/>
                <w:iCs/>
                <w:sz w:val="20"/>
                <w:szCs w:val="20"/>
              </w:rPr>
              <w:t>P. jenkinsi</w:t>
            </w:r>
            <w:r w:rsidRPr="003D3E43">
              <w:rPr>
                <w:sz w:val="20"/>
                <w:szCs w:val="20"/>
              </w:rPr>
              <w:t xml:space="preserve">, </w:t>
            </w:r>
            <w:r w:rsidRPr="003D3E43">
              <w:rPr>
                <w:i/>
                <w:iCs/>
                <w:sz w:val="20"/>
                <w:szCs w:val="20"/>
              </w:rPr>
              <w:t>P. niger</w:t>
            </w:r>
            <w:r w:rsidRPr="003D3E43">
              <w:rPr>
                <w:sz w:val="20"/>
                <w:szCs w:val="20"/>
              </w:rPr>
              <w:t xml:space="preserve">) </w:t>
            </w:r>
          </w:p>
        </w:tc>
        <w:tc>
          <w:tcPr>
            <w:tcW w:w="654" w:type="pct"/>
          </w:tcPr>
          <w:p w14:paraId="1E80B8CA" w14:textId="57C7A4C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Rare</w:t>
            </w:r>
            <w:r w:rsidR="000D459B" w:rsidRPr="003D3E43">
              <w:rPr>
                <w:sz w:val="20"/>
                <w:szCs w:val="20"/>
              </w:rPr>
              <w:t>; r</w:t>
            </w:r>
            <w:r w:rsidRPr="003D3E43">
              <w:rPr>
                <w:sz w:val="20"/>
                <w:szCs w:val="20"/>
              </w:rPr>
              <w:t>elict populations in pipelines</w:t>
            </w:r>
          </w:p>
          <w:p w14:paraId="4B3DDE45" w14:textId="06CDE879"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Mudsnail </w:t>
            </w:r>
            <w:r w:rsidR="000D459B" w:rsidRPr="003D3E43">
              <w:rPr>
                <w:sz w:val="20"/>
                <w:szCs w:val="20"/>
              </w:rPr>
              <w:t xml:space="preserve">- </w:t>
            </w:r>
            <w:r w:rsidRPr="003D3E43">
              <w:rPr>
                <w:sz w:val="20"/>
                <w:szCs w:val="20"/>
              </w:rPr>
              <w:t>common</w:t>
            </w:r>
            <w:r w:rsidR="00D76D31" w:rsidRPr="003D3E43">
              <w:rPr>
                <w:sz w:val="20"/>
                <w:szCs w:val="20"/>
              </w:rPr>
              <w:t xml:space="preserve"> alien</w:t>
            </w:r>
          </w:p>
        </w:tc>
        <w:tc>
          <w:tcPr>
            <w:tcW w:w="794" w:type="pct"/>
          </w:tcPr>
          <w:p w14:paraId="1F84E272" w14:textId="34A1DBA2" w:rsidR="008B3743" w:rsidRPr="003D3E43" w:rsidRDefault="008B3743" w:rsidP="00C85430">
            <w:pPr>
              <w:pStyle w:val="Tabletext"/>
              <w:rPr>
                <w:sz w:val="20"/>
                <w:szCs w:val="20"/>
              </w:rPr>
            </w:pPr>
            <w:r w:rsidRPr="003D3E43">
              <w:rPr>
                <w:sz w:val="20"/>
                <w:szCs w:val="20"/>
              </w:rPr>
              <w:t xml:space="preserve">Sheldon &amp; Walker 1993; </w:t>
            </w:r>
          </w:p>
          <w:p w14:paraId="47F00009" w14:textId="40739BD6" w:rsidR="008B3743" w:rsidRPr="003D3E43" w:rsidRDefault="008B3743" w:rsidP="00C85430">
            <w:pPr>
              <w:pStyle w:val="Tabletext"/>
              <w:rPr>
                <w:sz w:val="20"/>
                <w:szCs w:val="20"/>
              </w:rPr>
            </w:pPr>
            <w:r w:rsidRPr="003D3E43">
              <w:rPr>
                <w:sz w:val="20"/>
                <w:szCs w:val="20"/>
              </w:rPr>
              <w:t>Walker et al. 2009</w:t>
            </w:r>
          </w:p>
        </w:tc>
      </w:tr>
      <w:tr w:rsidR="008B3743" w:rsidRPr="00F04C34" w14:paraId="4F145E2E" w14:textId="77777777" w:rsidTr="00C513A4">
        <w:tc>
          <w:tcPr>
            <w:tcW w:w="491" w:type="pct"/>
          </w:tcPr>
          <w:p w14:paraId="38CAED5C" w14:textId="77777777" w:rsidR="008B3743" w:rsidRPr="003D3E43" w:rsidRDefault="008B3743" w:rsidP="009C61D8">
            <w:pPr>
              <w:spacing w:after="0"/>
              <w:rPr>
                <w:sz w:val="20"/>
                <w:szCs w:val="20"/>
              </w:rPr>
            </w:pPr>
            <w:r w:rsidRPr="003D3E43">
              <w:rPr>
                <w:sz w:val="20"/>
                <w:szCs w:val="20"/>
              </w:rPr>
              <w:t>Lymnaeidae</w:t>
            </w:r>
          </w:p>
          <w:p w14:paraId="5C00A8EE" w14:textId="77777777" w:rsidR="008B3743" w:rsidRPr="003D3E43" w:rsidRDefault="008B3743" w:rsidP="009C61D8">
            <w:pPr>
              <w:spacing w:after="0"/>
              <w:rPr>
                <w:sz w:val="20"/>
                <w:szCs w:val="20"/>
              </w:rPr>
            </w:pPr>
          </w:p>
        </w:tc>
        <w:tc>
          <w:tcPr>
            <w:tcW w:w="724" w:type="pct"/>
          </w:tcPr>
          <w:p w14:paraId="205D8961" w14:textId="77777777" w:rsidR="008B3743" w:rsidRPr="003D3E43" w:rsidRDefault="008B3743" w:rsidP="009C61D8">
            <w:pPr>
              <w:spacing w:after="0"/>
              <w:ind w:left="34"/>
              <w:rPr>
                <w:i/>
                <w:sz w:val="20"/>
                <w:szCs w:val="20"/>
                <w:lang w:val="it-IT"/>
              </w:rPr>
            </w:pPr>
            <w:r w:rsidRPr="003D3E43">
              <w:rPr>
                <w:i/>
                <w:sz w:val="20"/>
                <w:szCs w:val="20"/>
                <w:lang w:val="it-IT"/>
              </w:rPr>
              <w:t>Austropeplea lessoni</w:t>
            </w:r>
          </w:p>
          <w:p w14:paraId="3F6C1CB0" w14:textId="77777777" w:rsidR="008B3743" w:rsidRPr="003D3E43" w:rsidRDefault="008B3743" w:rsidP="009C61D8">
            <w:pPr>
              <w:spacing w:after="0"/>
              <w:ind w:left="34"/>
              <w:rPr>
                <w:i/>
                <w:sz w:val="20"/>
                <w:szCs w:val="20"/>
                <w:lang w:val="it-IT"/>
              </w:rPr>
            </w:pPr>
            <w:r w:rsidRPr="003D3E43">
              <w:rPr>
                <w:i/>
                <w:sz w:val="20"/>
                <w:szCs w:val="20"/>
                <w:lang w:val="it-IT"/>
              </w:rPr>
              <w:t>A. tomentosa</w:t>
            </w:r>
          </w:p>
          <w:p w14:paraId="31956C99" w14:textId="77777777" w:rsidR="008B3743" w:rsidRPr="003D3E43" w:rsidRDefault="008B3743" w:rsidP="009C61D8">
            <w:pPr>
              <w:spacing w:after="0"/>
              <w:ind w:left="34"/>
              <w:rPr>
                <w:sz w:val="20"/>
                <w:szCs w:val="20"/>
                <w:lang w:val="it-IT"/>
              </w:rPr>
            </w:pPr>
            <w:r w:rsidRPr="003D3E43">
              <w:rPr>
                <w:b/>
                <w:bCs/>
                <w:sz w:val="20"/>
                <w:szCs w:val="20"/>
                <w:lang w:val="it-IT"/>
              </w:rPr>
              <w:t>*</w:t>
            </w:r>
            <w:r w:rsidRPr="003D3E43">
              <w:rPr>
                <w:i/>
                <w:sz w:val="20"/>
                <w:szCs w:val="20"/>
                <w:lang w:val="it-IT"/>
              </w:rPr>
              <w:t>Lymnaea stagnalis</w:t>
            </w:r>
          </w:p>
        </w:tc>
        <w:tc>
          <w:tcPr>
            <w:tcW w:w="2337" w:type="pct"/>
          </w:tcPr>
          <w:p w14:paraId="4C73E932"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Species of Austropeplea, esp. A. tomentosa, are vectors for common liver fluke (Fasciola hepatica)</w:t>
            </w:r>
          </w:p>
          <w:p w14:paraId="15C6052C"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Most regional records from Mannum to Tailem Bend</w:t>
            </w:r>
          </w:p>
          <w:p w14:paraId="68C132F0" w14:textId="3CB02E10"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L. stagnalis</w:t>
            </w:r>
            <w:r w:rsidRPr="003D3E43">
              <w:rPr>
                <w:sz w:val="20"/>
                <w:szCs w:val="20"/>
              </w:rPr>
              <w:t xml:space="preserve"> (mudsnail) is an alien northern hemisphere species</w:t>
            </w:r>
          </w:p>
        </w:tc>
        <w:tc>
          <w:tcPr>
            <w:tcW w:w="654" w:type="pct"/>
          </w:tcPr>
          <w:p w14:paraId="56CC05BD"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Rare</w:t>
            </w:r>
          </w:p>
          <w:p w14:paraId="6C051AB8" w14:textId="77777777" w:rsidR="008B3743" w:rsidRPr="003D3E43" w:rsidRDefault="008B3743" w:rsidP="009C61D8">
            <w:pPr>
              <w:pStyle w:val="ListBullet"/>
              <w:tabs>
                <w:tab w:val="num" w:pos="175"/>
              </w:tabs>
              <w:spacing w:after="0"/>
              <w:ind w:left="33"/>
              <w:rPr>
                <w:sz w:val="20"/>
                <w:szCs w:val="20"/>
              </w:rPr>
            </w:pPr>
          </w:p>
          <w:p w14:paraId="1ADEF6BD" w14:textId="4E3C43B4" w:rsidR="008B3743" w:rsidRPr="003D3E43" w:rsidRDefault="008B3743" w:rsidP="004162AC">
            <w:pPr>
              <w:pStyle w:val="ListParagraph"/>
              <w:numPr>
                <w:ilvl w:val="0"/>
                <w:numId w:val="61"/>
              </w:numPr>
              <w:tabs>
                <w:tab w:val="clear" w:pos="360"/>
                <w:tab w:val="num" w:pos="175"/>
              </w:tabs>
              <w:spacing w:after="0"/>
              <w:contextualSpacing w:val="0"/>
              <w:rPr>
                <w:sz w:val="20"/>
                <w:szCs w:val="20"/>
                <w:lang w:val="fr-RE"/>
              </w:rPr>
            </w:pPr>
            <w:r w:rsidRPr="003D3E43">
              <w:rPr>
                <w:i/>
                <w:sz w:val="20"/>
                <w:szCs w:val="20"/>
                <w:lang w:val="fr-RE"/>
              </w:rPr>
              <w:t>L. stagnalis</w:t>
            </w:r>
            <w:r w:rsidR="000D459B" w:rsidRPr="003D3E43">
              <w:rPr>
                <w:i/>
                <w:sz w:val="20"/>
                <w:szCs w:val="20"/>
                <w:lang w:val="fr-RE"/>
              </w:rPr>
              <w:t xml:space="preserve"> - </w:t>
            </w:r>
            <w:r w:rsidRPr="003D3E43">
              <w:rPr>
                <w:sz w:val="20"/>
                <w:szCs w:val="20"/>
                <w:lang w:val="fr-RE"/>
              </w:rPr>
              <w:t xml:space="preserve">common </w:t>
            </w:r>
            <w:r w:rsidR="000D459B" w:rsidRPr="003D3E43">
              <w:rPr>
                <w:sz w:val="20"/>
                <w:szCs w:val="20"/>
                <w:lang w:val="fr-RE"/>
              </w:rPr>
              <w:t>alien</w:t>
            </w:r>
          </w:p>
        </w:tc>
        <w:tc>
          <w:tcPr>
            <w:tcW w:w="794" w:type="pct"/>
          </w:tcPr>
          <w:p w14:paraId="76AC67BB" w14:textId="2E2E2D3F" w:rsidR="008B3743" w:rsidRPr="003D3E43" w:rsidRDefault="008B3743" w:rsidP="00C85430">
            <w:pPr>
              <w:pStyle w:val="Tabletext"/>
              <w:rPr>
                <w:sz w:val="20"/>
                <w:szCs w:val="20"/>
              </w:rPr>
            </w:pPr>
            <w:r w:rsidRPr="003D3E43">
              <w:rPr>
                <w:sz w:val="20"/>
                <w:szCs w:val="20"/>
              </w:rPr>
              <w:t>Walker et al. 2009</w:t>
            </w:r>
          </w:p>
        </w:tc>
      </w:tr>
      <w:tr w:rsidR="008B3743" w:rsidRPr="00F04C34" w14:paraId="5C986C2C" w14:textId="77777777" w:rsidTr="00C513A4">
        <w:tc>
          <w:tcPr>
            <w:tcW w:w="491" w:type="pct"/>
          </w:tcPr>
          <w:p w14:paraId="5B6DDE41" w14:textId="77777777" w:rsidR="008B3743" w:rsidRPr="003D3E43" w:rsidRDefault="008B3743" w:rsidP="009C61D8">
            <w:pPr>
              <w:spacing w:after="0"/>
              <w:rPr>
                <w:sz w:val="20"/>
                <w:szCs w:val="20"/>
              </w:rPr>
            </w:pPr>
            <w:r w:rsidRPr="003D3E43">
              <w:rPr>
                <w:sz w:val="20"/>
                <w:szCs w:val="20"/>
              </w:rPr>
              <w:t>Planorbidae</w:t>
            </w:r>
          </w:p>
          <w:p w14:paraId="20F451C3" w14:textId="77777777" w:rsidR="008B3743" w:rsidRPr="003D3E43" w:rsidRDefault="008B3743" w:rsidP="009C61D8">
            <w:pPr>
              <w:spacing w:after="0"/>
              <w:rPr>
                <w:sz w:val="20"/>
                <w:szCs w:val="20"/>
              </w:rPr>
            </w:pPr>
            <w:r w:rsidRPr="003D3E43">
              <w:rPr>
                <w:sz w:val="20"/>
                <w:szCs w:val="20"/>
              </w:rPr>
              <w:t>(pulmonate or non-operculate snails)</w:t>
            </w:r>
          </w:p>
        </w:tc>
        <w:tc>
          <w:tcPr>
            <w:tcW w:w="724" w:type="pct"/>
          </w:tcPr>
          <w:p w14:paraId="57F159C4" w14:textId="77777777" w:rsidR="008B3743" w:rsidRPr="003D3E43" w:rsidRDefault="008B3743" w:rsidP="009C61D8">
            <w:pPr>
              <w:spacing w:after="0"/>
              <w:ind w:left="34"/>
              <w:rPr>
                <w:i/>
                <w:sz w:val="20"/>
                <w:szCs w:val="20"/>
                <w:lang w:val="it-IT"/>
              </w:rPr>
            </w:pPr>
            <w:r w:rsidRPr="003D3E43">
              <w:rPr>
                <w:i/>
                <w:sz w:val="20"/>
                <w:szCs w:val="20"/>
                <w:lang w:val="it-IT"/>
              </w:rPr>
              <w:t>Glyptophysa aliciae</w:t>
            </w:r>
          </w:p>
          <w:p w14:paraId="610D8952" w14:textId="77777777" w:rsidR="008B3743" w:rsidRPr="003D3E43" w:rsidRDefault="008B3743" w:rsidP="009C61D8">
            <w:pPr>
              <w:spacing w:after="0"/>
              <w:ind w:left="34"/>
              <w:rPr>
                <w:i/>
                <w:sz w:val="20"/>
                <w:szCs w:val="20"/>
                <w:lang w:val="it-IT"/>
              </w:rPr>
            </w:pPr>
            <w:r w:rsidRPr="003D3E43">
              <w:rPr>
                <w:i/>
                <w:sz w:val="20"/>
                <w:szCs w:val="20"/>
                <w:lang w:val="it-IT"/>
              </w:rPr>
              <w:t>G. connica</w:t>
            </w:r>
          </w:p>
          <w:p w14:paraId="5F59F5D0" w14:textId="77777777" w:rsidR="008B3743" w:rsidRPr="003D3E43" w:rsidRDefault="008B3743" w:rsidP="009C61D8">
            <w:pPr>
              <w:spacing w:after="0"/>
              <w:ind w:left="34"/>
              <w:rPr>
                <w:sz w:val="20"/>
                <w:szCs w:val="20"/>
                <w:lang w:val="it-IT"/>
              </w:rPr>
            </w:pPr>
            <w:r w:rsidRPr="003D3E43">
              <w:rPr>
                <w:sz w:val="20"/>
                <w:szCs w:val="20"/>
                <w:lang w:val="it-IT"/>
              </w:rPr>
              <w:t>G. gibbosa</w:t>
            </w:r>
          </w:p>
          <w:p w14:paraId="19382367" w14:textId="77777777" w:rsidR="008B3743" w:rsidRPr="003D3E43" w:rsidRDefault="008B3743" w:rsidP="009C61D8">
            <w:pPr>
              <w:spacing w:after="0"/>
              <w:ind w:left="34"/>
              <w:rPr>
                <w:i/>
                <w:sz w:val="20"/>
                <w:szCs w:val="20"/>
                <w:lang w:val="it-IT"/>
              </w:rPr>
            </w:pPr>
            <w:r w:rsidRPr="003D3E43">
              <w:rPr>
                <w:i/>
                <w:sz w:val="20"/>
                <w:szCs w:val="20"/>
                <w:lang w:val="it-IT"/>
              </w:rPr>
              <w:t>Gyraulus meridionalis</w:t>
            </w:r>
          </w:p>
          <w:p w14:paraId="19B2DD0B" w14:textId="77777777" w:rsidR="008B3743" w:rsidRPr="003D3E43" w:rsidRDefault="008B3743" w:rsidP="009C61D8">
            <w:pPr>
              <w:spacing w:after="0"/>
              <w:ind w:left="34"/>
              <w:rPr>
                <w:i/>
                <w:sz w:val="20"/>
                <w:szCs w:val="20"/>
                <w:lang w:val="it-IT"/>
              </w:rPr>
            </w:pPr>
            <w:r w:rsidRPr="003D3E43">
              <w:rPr>
                <w:i/>
                <w:sz w:val="20"/>
                <w:szCs w:val="20"/>
                <w:lang w:val="it-IT"/>
              </w:rPr>
              <w:t xml:space="preserve">Helicorbis </w:t>
            </w:r>
            <w:r w:rsidRPr="003D3E43">
              <w:rPr>
                <w:sz w:val="20"/>
                <w:szCs w:val="20"/>
                <w:lang w:val="it-IT"/>
              </w:rPr>
              <w:t>sp.</w:t>
            </w:r>
          </w:p>
          <w:p w14:paraId="7DD6B26E" w14:textId="77777777" w:rsidR="008B3743" w:rsidRPr="003D3E43" w:rsidRDefault="008B3743" w:rsidP="009C61D8">
            <w:pPr>
              <w:spacing w:after="0"/>
              <w:ind w:left="34"/>
              <w:rPr>
                <w:i/>
                <w:sz w:val="20"/>
                <w:szCs w:val="20"/>
                <w:lang w:val="it-IT"/>
              </w:rPr>
            </w:pPr>
            <w:r w:rsidRPr="003D3E43">
              <w:rPr>
                <w:i/>
                <w:sz w:val="20"/>
                <w:szCs w:val="20"/>
                <w:lang w:val="it-IT"/>
              </w:rPr>
              <w:t>Isidorella newcombi</w:t>
            </w:r>
          </w:p>
          <w:p w14:paraId="30881215" w14:textId="77777777" w:rsidR="008B3743" w:rsidRPr="003D3E43" w:rsidRDefault="008B3743" w:rsidP="009C61D8">
            <w:pPr>
              <w:spacing w:after="0"/>
              <w:ind w:left="34"/>
              <w:rPr>
                <w:i/>
                <w:sz w:val="20"/>
                <w:szCs w:val="20"/>
                <w:lang w:val="it-IT"/>
              </w:rPr>
            </w:pPr>
            <w:r w:rsidRPr="003D3E43">
              <w:rPr>
                <w:i/>
                <w:sz w:val="20"/>
                <w:szCs w:val="20"/>
                <w:lang w:val="it-IT"/>
              </w:rPr>
              <w:t>Helicorbis australiensis</w:t>
            </w:r>
            <w:r w:rsidRPr="003D3E43" w:rsidDel="00DB78A5">
              <w:rPr>
                <w:i/>
                <w:sz w:val="20"/>
                <w:szCs w:val="20"/>
                <w:lang w:val="it-IT"/>
              </w:rPr>
              <w:t xml:space="preserve"> </w:t>
            </w:r>
          </w:p>
          <w:p w14:paraId="6F2A8DA9" w14:textId="77777777" w:rsidR="008B3743" w:rsidRPr="003D3E43" w:rsidRDefault="008B3743" w:rsidP="009C61D8">
            <w:pPr>
              <w:spacing w:after="0"/>
              <w:ind w:left="34"/>
              <w:rPr>
                <w:sz w:val="20"/>
                <w:szCs w:val="20"/>
                <w:lang w:val="it-IT"/>
              </w:rPr>
            </w:pPr>
            <w:r w:rsidRPr="003D3E43">
              <w:rPr>
                <w:i/>
                <w:sz w:val="20"/>
                <w:szCs w:val="20"/>
                <w:lang w:val="it-IT"/>
              </w:rPr>
              <w:t>Ferrissia petterdi</w:t>
            </w:r>
          </w:p>
        </w:tc>
        <w:tc>
          <w:tcPr>
            <w:tcW w:w="2337" w:type="pct"/>
          </w:tcPr>
          <w:p w14:paraId="4E898B06"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Occasional records of </w:t>
            </w:r>
            <w:r w:rsidRPr="003D3E43">
              <w:rPr>
                <w:i/>
                <w:sz w:val="20"/>
                <w:szCs w:val="20"/>
              </w:rPr>
              <w:t>G. connica</w:t>
            </w:r>
            <w:r w:rsidRPr="003D3E43">
              <w:rPr>
                <w:sz w:val="20"/>
                <w:szCs w:val="20"/>
              </w:rPr>
              <w:t xml:space="preserve">, </w:t>
            </w:r>
            <w:r w:rsidRPr="003D3E43">
              <w:rPr>
                <w:i/>
                <w:sz w:val="20"/>
                <w:szCs w:val="20"/>
              </w:rPr>
              <w:t>Gyraulus meridionalis</w:t>
            </w:r>
            <w:r w:rsidRPr="003D3E43">
              <w:rPr>
                <w:sz w:val="20"/>
                <w:szCs w:val="20"/>
              </w:rPr>
              <w:t xml:space="preserve"> since 1980s </w:t>
            </w:r>
          </w:p>
          <w:p w14:paraId="0DA73E1F"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G. aliciae</w:t>
            </w:r>
            <w:r w:rsidRPr="003D3E43">
              <w:rPr>
                <w:sz w:val="20"/>
                <w:szCs w:val="20"/>
              </w:rPr>
              <w:t>: Calperum, Chowilla, Tailem Bend</w:t>
            </w:r>
          </w:p>
          <w:p w14:paraId="6406F60A"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G. aliciae</w:t>
            </w:r>
            <w:r w:rsidRPr="003D3E43">
              <w:rPr>
                <w:sz w:val="20"/>
                <w:szCs w:val="20"/>
              </w:rPr>
              <w:t>: irrigation pipelines at Renmark,1984</w:t>
            </w:r>
          </w:p>
          <w:p w14:paraId="7A19C21C"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i/>
                <w:iCs/>
                <w:sz w:val="20"/>
                <w:szCs w:val="20"/>
              </w:rPr>
              <w:t>Isidorella</w:t>
            </w:r>
            <w:r w:rsidRPr="003D3E43">
              <w:rPr>
                <w:sz w:val="20"/>
                <w:szCs w:val="20"/>
              </w:rPr>
              <w:t>:  Pilby Creek, Marne River, Reedy Creek</w:t>
            </w:r>
          </w:p>
          <w:p w14:paraId="49389C44"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Gyraulus and </w:t>
            </w:r>
            <w:r w:rsidRPr="003D3E43">
              <w:rPr>
                <w:i/>
                <w:iCs/>
                <w:sz w:val="20"/>
                <w:szCs w:val="20"/>
              </w:rPr>
              <w:t>Helicorbis</w:t>
            </w:r>
            <w:r w:rsidRPr="003D3E43">
              <w:rPr>
                <w:sz w:val="20"/>
                <w:szCs w:val="20"/>
              </w:rPr>
              <w:t xml:space="preserve">: few floodplain sites below Mypolonga </w:t>
            </w:r>
          </w:p>
          <w:p w14:paraId="58FC3DE1" w14:textId="75EFAA10"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Growth of </w:t>
            </w:r>
            <w:r w:rsidRPr="003D3E43">
              <w:rPr>
                <w:i/>
                <w:iCs/>
                <w:sz w:val="20"/>
                <w:szCs w:val="20"/>
              </w:rPr>
              <w:t>Glyptophysa</w:t>
            </w:r>
            <w:r w:rsidRPr="003D3E43">
              <w:rPr>
                <w:sz w:val="20"/>
                <w:szCs w:val="20"/>
              </w:rPr>
              <w:t xml:space="preserve"> may be suppressed by </w:t>
            </w:r>
            <w:r w:rsidRPr="003D3E43">
              <w:rPr>
                <w:i/>
                <w:iCs/>
                <w:sz w:val="20"/>
                <w:szCs w:val="20"/>
              </w:rPr>
              <w:t>Physa acuta</w:t>
            </w:r>
          </w:p>
          <w:p w14:paraId="5FDEC8BD"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Tiny species (syn. </w:t>
            </w:r>
            <w:r w:rsidRPr="003D3E43">
              <w:rPr>
                <w:i/>
                <w:iCs/>
                <w:sz w:val="20"/>
                <w:szCs w:val="20"/>
              </w:rPr>
              <w:t>F. tasmanica</w:t>
            </w:r>
            <w:r w:rsidRPr="003D3E43">
              <w:rPr>
                <w:sz w:val="20"/>
                <w:szCs w:val="20"/>
              </w:rPr>
              <w:t>), on snags, rocks, water plants</w:t>
            </w:r>
          </w:p>
          <w:p w14:paraId="00C7D900"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Irrigation pipeline at Renmark, 1984</w:t>
            </w:r>
          </w:p>
        </w:tc>
        <w:tc>
          <w:tcPr>
            <w:tcW w:w="654" w:type="pct"/>
          </w:tcPr>
          <w:p w14:paraId="0DDC7C6A"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Rare</w:t>
            </w:r>
          </w:p>
          <w:p w14:paraId="5E9DB6D0" w14:textId="77777777" w:rsidR="008B3743" w:rsidRPr="003D3E43" w:rsidRDefault="008B3743" w:rsidP="009C61D8">
            <w:pPr>
              <w:pStyle w:val="ListBullet"/>
              <w:tabs>
                <w:tab w:val="num" w:pos="175"/>
              </w:tabs>
              <w:spacing w:after="0"/>
              <w:ind w:left="33"/>
              <w:rPr>
                <w:sz w:val="20"/>
                <w:szCs w:val="20"/>
              </w:rPr>
            </w:pPr>
          </w:p>
        </w:tc>
        <w:tc>
          <w:tcPr>
            <w:tcW w:w="794" w:type="pct"/>
          </w:tcPr>
          <w:p w14:paraId="637B39C4" w14:textId="46478CE3" w:rsidR="008B3743" w:rsidRPr="003D3E43" w:rsidRDefault="008B3743" w:rsidP="00C85430">
            <w:pPr>
              <w:pStyle w:val="Tabletext"/>
              <w:rPr>
                <w:sz w:val="20"/>
                <w:szCs w:val="20"/>
              </w:rPr>
            </w:pPr>
            <w:r w:rsidRPr="003D3E43">
              <w:rPr>
                <w:sz w:val="20"/>
                <w:szCs w:val="20"/>
              </w:rPr>
              <w:t>Sheldon &amp; Walker 1993;</w:t>
            </w:r>
          </w:p>
          <w:p w14:paraId="09640174" w14:textId="41F4BF66" w:rsidR="008B3743" w:rsidRPr="003D3E43" w:rsidRDefault="008B3743" w:rsidP="00C85430">
            <w:pPr>
              <w:pStyle w:val="Tabletext"/>
              <w:rPr>
                <w:sz w:val="20"/>
                <w:szCs w:val="20"/>
              </w:rPr>
            </w:pPr>
            <w:r w:rsidRPr="003D3E43">
              <w:rPr>
                <w:sz w:val="20"/>
                <w:szCs w:val="20"/>
              </w:rPr>
              <w:t xml:space="preserve">Walker et al. 2009; </w:t>
            </w:r>
            <w:r w:rsidRPr="003D3E43">
              <w:rPr>
                <w:sz w:val="20"/>
                <w:szCs w:val="20"/>
              </w:rPr>
              <w:br/>
              <w:t>Zukowski &amp; Walker 2009</w:t>
            </w:r>
          </w:p>
        </w:tc>
      </w:tr>
      <w:tr w:rsidR="008B3743" w:rsidRPr="00F04C34" w14:paraId="2EF42365" w14:textId="77777777" w:rsidTr="00C513A4">
        <w:tc>
          <w:tcPr>
            <w:tcW w:w="491" w:type="pct"/>
          </w:tcPr>
          <w:p w14:paraId="5E7AB431" w14:textId="77777777" w:rsidR="008B3743" w:rsidRPr="003D3E43" w:rsidRDefault="008B3743" w:rsidP="009C61D8">
            <w:pPr>
              <w:spacing w:after="0"/>
              <w:rPr>
                <w:sz w:val="20"/>
                <w:szCs w:val="20"/>
              </w:rPr>
            </w:pPr>
            <w:r w:rsidRPr="003D3E43">
              <w:rPr>
                <w:sz w:val="20"/>
                <w:szCs w:val="20"/>
              </w:rPr>
              <w:t>Physidae</w:t>
            </w:r>
          </w:p>
        </w:tc>
        <w:tc>
          <w:tcPr>
            <w:tcW w:w="724" w:type="pct"/>
          </w:tcPr>
          <w:p w14:paraId="245F9E55" w14:textId="77777777" w:rsidR="008B3743" w:rsidRPr="003D3E43" w:rsidRDefault="008B3743" w:rsidP="009C61D8">
            <w:pPr>
              <w:spacing w:after="0"/>
              <w:ind w:left="34"/>
              <w:rPr>
                <w:sz w:val="20"/>
                <w:szCs w:val="20"/>
              </w:rPr>
            </w:pPr>
            <w:r w:rsidRPr="003D3E43">
              <w:rPr>
                <w:b/>
                <w:bCs/>
                <w:sz w:val="20"/>
                <w:szCs w:val="20"/>
              </w:rPr>
              <w:t>*</w:t>
            </w:r>
            <w:r w:rsidRPr="003D3E43">
              <w:rPr>
                <w:i/>
                <w:sz w:val="20"/>
                <w:szCs w:val="20"/>
              </w:rPr>
              <w:t>Physa acuta</w:t>
            </w:r>
          </w:p>
        </w:tc>
        <w:tc>
          <w:tcPr>
            <w:tcW w:w="2337" w:type="pct"/>
          </w:tcPr>
          <w:p w14:paraId="0349F741"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European pond snail, resembles native </w:t>
            </w:r>
            <w:r w:rsidRPr="003D3E43">
              <w:rPr>
                <w:i/>
                <w:sz w:val="20"/>
                <w:szCs w:val="20"/>
              </w:rPr>
              <w:t>G. gibbosa</w:t>
            </w:r>
          </w:p>
        </w:tc>
        <w:tc>
          <w:tcPr>
            <w:tcW w:w="654" w:type="pct"/>
          </w:tcPr>
          <w:p w14:paraId="479F19F5" w14:textId="749A7FE5"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Common </w:t>
            </w:r>
            <w:r w:rsidR="000D459B" w:rsidRPr="003D3E43">
              <w:rPr>
                <w:sz w:val="20"/>
                <w:szCs w:val="20"/>
              </w:rPr>
              <w:t>alien</w:t>
            </w:r>
          </w:p>
        </w:tc>
        <w:tc>
          <w:tcPr>
            <w:tcW w:w="794" w:type="pct"/>
          </w:tcPr>
          <w:p w14:paraId="3DB39F54" w14:textId="2A95EC53" w:rsidR="008B3743" w:rsidRPr="003D3E43" w:rsidRDefault="008B3743" w:rsidP="00C85430">
            <w:pPr>
              <w:pStyle w:val="Tabletext"/>
              <w:rPr>
                <w:sz w:val="20"/>
                <w:szCs w:val="20"/>
              </w:rPr>
            </w:pPr>
            <w:r w:rsidRPr="003D3E43">
              <w:rPr>
                <w:sz w:val="20"/>
                <w:szCs w:val="20"/>
              </w:rPr>
              <w:t>Walker et al. 2009</w:t>
            </w:r>
          </w:p>
        </w:tc>
      </w:tr>
      <w:tr w:rsidR="008B3743" w:rsidRPr="00F04C34" w14:paraId="75691B3B" w14:textId="77777777" w:rsidTr="00C513A4">
        <w:tc>
          <w:tcPr>
            <w:tcW w:w="491" w:type="pct"/>
          </w:tcPr>
          <w:p w14:paraId="66FEB746" w14:textId="77777777" w:rsidR="008B3743" w:rsidRPr="003D3E43" w:rsidRDefault="008B3743" w:rsidP="009C61D8">
            <w:pPr>
              <w:spacing w:after="0"/>
              <w:rPr>
                <w:sz w:val="20"/>
                <w:szCs w:val="20"/>
              </w:rPr>
            </w:pPr>
            <w:r w:rsidRPr="003D3E43">
              <w:rPr>
                <w:sz w:val="20"/>
                <w:szCs w:val="20"/>
              </w:rPr>
              <w:t>Pomatiopsidae</w:t>
            </w:r>
          </w:p>
        </w:tc>
        <w:tc>
          <w:tcPr>
            <w:tcW w:w="724" w:type="pct"/>
          </w:tcPr>
          <w:p w14:paraId="54C9F39C" w14:textId="77777777" w:rsidR="008B3743" w:rsidRPr="003D3E43" w:rsidRDefault="008B3743" w:rsidP="009C61D8">
            <w:pPr>
              <w:spacing w:after="0"/>
              <w:ind w:left="34"/>
              <w:rPr>
                <w:sz w:val="20"/>
                <w:szCs w:val="20"/>
              </w:rPr>
            </w:pPr>
            <w:r w:rsidRPr="003D3E43">
              <w:rPr>
                <w:i/>
                <w:sz w:val="20"/>
                <w:szCs w:val="20"/>
              </w:rPr>
              <w:t>Coxiella</w:t>
            </w:r>
            <w:r w:rsidRPr="003D3E43">
              <w:rPr>
                <w:sz w:val="20"/>
                <w:szCs w:val="20"/>
              </w:rPr>
              <w:t xml:space="preserve"> sp.</w:t>
            </w:r>
          </w:p>
        </w:tc>
        <w:tc>
          <w:tcPr>
            <w:tcW w:w="2337" w:type="pct"/>
          </w:tcPr>
          <w:p w14:paraId="62939930"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Known only from Salt Creek in EMLR</w:t>
            </w:r>
          </w:p>
        </w:tc>
        <w:tc>
          <w:tcPr>
            <w:tcW w:w="654" w:type="pct"/>
          </w:tcPr>
          <w:p w14:paraId="5368A765"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Regionally extinct</w:t>
            </w:r>
          </w:p>
        </w:tc>
        <w:tc>
          <w:tcPr>
            <w:tcW w:w="794" w:type="pct"/>
          </w:tcPr>
          <w:p w14:paraId="70EAA92D" w14:textId="5498046B" w:rsidR="008B3743" w:rsidRPr="003D3E43" w:rsidRDefault="008B3743" w:rsidP="00C85430">
            <w:pPr>
              <w:pStyle w:val="Tabletext"/>
              <w:rPr>
                <w:sz w:val="20"/>
                <w:szCs w:val="20"/>
              </w:rPr>
            </w:pPr>
            <w:r w:rsidRPr="003D3E43">
              <w:rPr>
                <w:sz w:val="20"/>
                <w:szCs w:val="20"/>
              </w:rPr>
              <w:t>Walker et al. 2009</w:t>
            </w:r>
          </w:p>
        </w:tc>
      </w:tr>
      <w:tr w:rsidR="008B3743" w:rsidRPr="00F04C34" w14:paraId="54FB34B2" w14:textId="77777777" w:rsidTr="00C513A4">
        <w:tc>
          <w:tcPr>
            <w:tcW w:w="491" w:type="pct"/>
          </w:tcPr>
          <w:p w14:paraId="5C469840" w14:textId="77777777" w:rsidR="008B3743" w:rsidRPr="003D3E43" w:rsidRDefault="008B3743" w:rsidP="009C61D8">
            <w:pPr>
              <w:spacing w:after="0"/>
              <w:rPr>
                <w:sz w:val="20"/>
                <w:szCs w:val="20"/>
              </w:rPr>
            </w:pPr>
            <w:r w:rsidRPr="003D3E43">
              <w:rPr>
                <w:sz w:val="20"/>
                <w:szCs w:val="20"/>
              </w:rPr>
              <w:t>Thiaridae</w:t>
            </w:r>
          </w:p>
        </w:tc>
        <w:tc>
          <w:tcPr>
            <w:tcW w:w="724" w:type="pct"/>
          </w:tcPr>
          <w:p w14:paraId="1B4BA5CB" w14:textId="77777777" w:rsidR="008B3743" w:rsidRPr="003D3E43" w:rsidRDefault="008B3743" w:rsidP="009C61D8">
            <w:pPr>
              <w:spacing w:after="0"/>
              <w:ind w:left="34"/>
              <w:rPr>
                <w:i/>
                <w:sz w:val="20"/>
                <w:szCs w:val="20"/>
              </w:rPr>
            </w:pPr>
            <w:r w:rsidRPr="003D3E43">
              <w:rPr>
                <w:i/>
                <w:sz w:val="20"/>
                <w:szCs w:val="20"/>
              </w:rPr>
              <w:t>Thiara balonnensis</w:t>
            </w:r>
          </w:p>
        </w:tc>
        <w:tc>
          <w:tcPr>
            <w:tcW w:w="2337" w:type="pct"/>
          </w:tcPr>
          <w:p w14:paraId="40242EB8"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Last recorded at Morgan, 1982</w:t>
            </w:r>
          </w:p>
          <w:p w14:paraId="472117BE" w14:textId="3DA59DC9"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Irrigation pipelines</w:t>
            </w:r>
            <w:r w:rsidR="005E2D38" w:rsidRPr="003D3E43">
              <w:rPr>
                <w:sz w:val="20"/>
                <w:szCs w:val="20"/>
              </w:rPr>
              <w:t xml:space="preserve">, </w:t>
            </w:r>
            <w:r w:rsidRPr="003D3E43">
              <w:rPr>
                <w:sz w:val="20"/>
                <w:szCs w:val="20"/>
              </w:rPr>
              <w:t>Renmark, 1984; Waikerie and Cadell, 1990-</w:t>
            </w:r>
            <w:r w:rsidR="005E2D38" w:rsidRPr="003D3E43">
              <w:rPr>
                <w:sz w:val="20"/>
                <w:szCs w:val="20"/>
              </w:rPr>
              <w:t>9</w:t>
            </w:r>
            <w:r w:rsidRPr="003D3E43">
              <w:rPr>
                <w:sz w:val="20"/>
                <w:szCs w:val="20"/>
              </w:rPr>
              <w:t>2</w:t>
            </w:r>
          </w:p>
        </w:tc>
        <w:tc>
          <w:tcPr>
            <w:tcW w:w="654" w:type="pct"/>
          </w:tcPr>
          <w:p w14:paraId="63477E25" w14:textId="77777777" w:rsidR="00F41391"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Regionally extinct in</w:t>
            </w:r>
            <w:r w:rsidR="00F41391" w:rsidRPr="003D3E43">
              <w:rPr>
                <w:sz w:val="20"/>
                <w:szCs w:val="20"/>
              </w:rPr>
              <w:t xml:space="preserve"> wild</w:t>
            </w:r>
          </w:p>
          <w:p w14:paraId="5B98B820" w14:textId="5099AF20" w:rsidR="008B3743" w:rsidRPr="003D3E43" w:rsidRDefault="00F41391"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M</w:t>
            </w:r>
            <w:r w:rsidR="008B3743" w:rsidRPr="003D3E43">
              <w:rPr>
                <w:sz w:val="20"/>
                <w:szCs w:val="20"/>
              </w:rPr>
              <w:t>ay persist in pipelines</w:t>
            </w:r>
          </w:p>
        </w:tc>
        <w:tc>
          <w:tcPr>
            <w:tcW w:w="794" w:type="pct"/>
          </w:tcPr>
          <w:p w14:paraId="0CDC973E" w14:textId="72C08C1D" w:rsidR="008B3743" w:rsidRPr="003D3E43" w:rsidRDefault="008B3743" w:rsidP="00C85430">
            <w:pPr>
              <w:pStyle w:val="Tabletext"/>
              <w:rPr>
                <w:sz w:val="20"/>
                <w:szCs w:val="20"/>
              </w:rPr>
            </w:pPr>
            <w:r w:rsidRPr="003D3E43">
              <w:rPr>
                <w:sz w:val="20"/>
                <w:szCs w:val="20"/>
              </w:rPr>
              <w:t xml:space="preserve">Sheldon &amp; Walker 1993; </w:t>
            </w:r>
          </w:p>
          <w:p w14:paraId="05A2E36B" w14:textId="66EE55A9" w:rsidR="008B3743" w:rsidRPr="003D3E43" w:rsidRDefault="008B3743" w:rsidP="00C85430">
            <w:pPr>
              <w:pStyle w:val="Tabletext"/>
              <w:rPr>
                <w:sz w:val="20"/>
                <w:szCs w:val="20"/>
              </w:rPr>
            </w:pPr>
            <w:r w:rsidRPr="003D3E43">
              <w:rPr>
                <w:sz w:val="20"/>
                <w:szCs w:val="20"/>
              </w:rPr>
              <w:t>Walker et al. 2009</w:t>
            </w:r>
          </w:p>
        </w:tc>
      </w:tr>
      <w:tr w:rsidR="008B3743" w:rsidRPr="00F04C34" w14:paraId="1C9AEF07" w14:textId="77777777" w:rsidTr="00C513A4">
        <w:tc>
          <w:tcPr>
            <w:tcW w:w="491" w:type="pct"/>
          </w:tcPr>
          <w:p w14:paraId="44216CAD" w14:textId="77777777" w:rsidR="008B3743" w:rsidRPr="003D3E43" w:rsidRDefault="008B3743" w:rsidP="009C61D8">
            <w:pPr>
              <w:spacing w:after="0"/>
              <w:rPr>
                <w:sz w:val="20"/>
                <w:szCs w:val="20"/>
              </w:rPr>
            </w:pPr>
            <w:r w:rsidRPr="003D3E43">
              <w:rPr>
                <w:sz w:val="20"/>
                <w:szCs w:val="20"/>
              </w:rPr>
              <w:t>Viviparidae</w:t>
            </w:r>
          </w:p>
          <w:p w14:paraId="515304C9" w14:textId="77777777" w:rsidR="008B3743" w:rsidRPr="003D3E43" w:rsidRDefault="008B3743" w:rsidP="009C61D8">
            <w:pPr>
              <w:spacing w:after="0"/>
              <w:rPr>
                <w:sz w:val="20"/>
                <w:szCs w:val="20"/>
              </w:rPr>
            </w:pPr>
          </w:p>
        </w:tc>
        <w:tc>
          <w:tcPr>
            <w:tcW w:w="724" w:type="pct"/>
          </w:tcPr>
          <w:p w14:paraId="78EB67FC" w14:textId="78A787F1" w:rsidR="008B3743" w:rsidRPr="003D3E43" w:rsidRDefault="008B3743" w:rsidP="009C61D8">
            <w:pPr>
              <w:spacing w:after="0"/>
              <w:ind w:left="34"/>
              <w:rPr>
                <w:i/>
                <w:sz w:val="20"/>
                <w:szCs w:val="20"/>
              </w:rPr>
            </w:pPr>
            <w:r w:rsidRPr="003D3E43">
              <w:rPr>
                <w:i/>
                <w:sz w:val="20"/>
                <w:szCs w:val="20"/>
              </w:rPr>
              <w:t xml:space="preserve">Notopala hanleyi </w:t>
            </w:r>
          </w:p>
        </w:tc>
        <w:tc>
          <w:tcPr>
            <w:tcW w:w="2337" w:type="pct"/>
          </w:tcPr>
          <w:p w14:paraId="7A012DFF" w14:textId="77777777" w:rsidR="008B3743" w:rsidRPr="003D3E43" w:rsidRDefault="008B3743" w:rsidP="004162AC">
            <w:pPr>
              <w:pStyle w:val="ListParagraph"/>
              <w:numPr>
                <w:ilvl w:val="0"/>
                <w:numId w:val="61"/>
              </w:numPr>
              <w:tabs>
                <w:tab w:val="clear" w:pos="360"/>
                <w:tab w:val="num" w:pos="175"/>
              </w:tabs>
              <w:spacing w:after="0"/>
              <w:contextualSpacing w:val="0"/>
              <w:rPr>
                <w:bCs/>
                <w:iCs/>
                <w:sz w:val="20"/>
                <w:szCs w:val="20"/>
              </w:rPr>
            </w:pPr>
            <w:r w:rsidRPr="003D3E43">
              <w:rPr>
                <w:sz w:val="20"/>
                <w:szCs w:val="20"/>
              </w:rPr>
              <w:t>River snail: declined from 1950, no records after</w:t>
            </w:r>
            <w:r w:rsidRPr="003D3E43">
              <w:rPr>
                <w:bCs/>
                <w:iCs/>
                <w:sz w:val="20"/>
                <w:szCs w:val="20"/>
              </w:rPr>
              <w:t xml:space="preserve"> mid-1970s</w:t>
            </w:r>
          </w:p>
          <w:p w14:paraId="1A4E8ECB"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Re-discovered in pipeline near Barmera, 1992</w:t>
            </w:r>
          </w:p>
          <w:p w14:paraId="0B8E7DFE"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Introduced to Banrock Wetland on three occasions</w:t>
            </w:r>
          </w:p>
          <w:p w14:paraId="52C8BEA9" w14:textId="2FFD701E" w:rsidR="00892145" w:rsidRPr="003D3E43" w:rsidRDefault="00AB719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 xml:space="preserve">Only </w:t>
            </w:r>
            <w:r w:rsidR="00892145" w:rsidRPr="003D3E43">
              <w:rPr>
                <w:sz w:val="20"/>
                <w:szCs w:val="20"/>
              </w:rPr>
              <w:t xml:space="preserve">in </w:t>
            </w:r>
            <w:r w:rsidR="00F469DA" w:rsidRPr="003D3E43">
              <w:rPr>
                <w:sz w:val="20"/>
                <w:szCs w:val="20"/>
              </w:rPr>
              <w:t>artificial habitat – Banrock Station, Kingston Squatters Tank</w:t>
            </w:r>
            <w:r w:rsidRPr="003D3E43">
              <w:rPr>
                <w:sz w:val="20"/>
                <w:szCs w:val="20"/>
              </w:rPr>
              <w:t xml:space="preserve"> 2013 surveys</w:t>
            </w:r>
            <w:r w:rsidR="009B07E9" w:rsidRPr="003D3E43">
              <w:rPr>
                <w:sz w:val="20"/>
                <w:szCs w:val="20"/>
              </w:rPr>
              <w:t xml:space="preserve"> </w:t>
            </w:r>
          </w:p>
        </w:tc>
        <w:tc>
          <w:tcPr>
            <w:tcW w:w="654" w:type="pct"/>
          </w:tcPr>
          <w:p w14:paraId="7A474D15" w14:textId="77777777" w:rsidR="008B3743" w:rsidRPr="003D3E43" w:rsidRDefault="008B3743" w:rsidP="004162AC">
            <w:pPr>
              <w:pStyle w:val="ListParagraph"/>
              <w:numPr>
                <w:ilvl w:val="0"/>
                <w:numId w:val="61"/>
              </w:numPr>
              <w:tabs>
                <w:tab w:val="clear" w:pos="360"/>
                <w:tab w:val="num" w:pos="175"/>
              </w:tabs>
              <w:spacing w:after="0"/>
              <w:contextualSpacing w:val="0"/>
              <w:rPr>
                <w:sz w:val="20"/>
                <w:szCs w:val="20"/>
              </w:rPr>
            </w:pPr>
            <w:r w:rsidRPr="003D3E43">
              <w:rPr>
                <w:sz w:val="20"/>
                <w:szCs w:val="20"/>
              </w:rPr>
              <w:t>Regionally extinct in wild</w:t>
            </w:r>
          </w:p>
          <w:p w14:paraId="1C6509DB" w14:textId="77777777" w:rsidR="008B3743" w:rsidRPr="003D3E43" w:rsidRDefault="008B3743" w:rsidP="004162AC">
            <w:pPr>
              <w:pStyle w:val="ListParagraph"/>
              <w:numPr>
                <w:ilvl w:val="0"/>
                <w:numId w:val="61"/>
              </w:numPr>
              <w:tabs>
                <w:tab w:val="clear" w:pos="360"/>
                <w:tab w:val="num" w:pos="175"/>
              </w:tabs>
              <w:spacing w:after="0"/>
              <w:ind w:left="175" w:hanging="175"/>
              <w:contextualSpacing w:val="0"/>
              <w:rPr>
                <w:sz w:val="20"/>
                <w:szCs w:val="20"/>
              </w:rPr>
            </w:pPr>
            <w:r w:rsidRPr="003D3E43">
              <w:rPr>
                <w:sz w:val="20"/>
                <w:szCs w:val="20"/>
              </w:rPr>
              <w:t>Status of captive populations uncertain</w:t>
            </w:r>
          </w:p>
        </w:tc>
        <w:tc>
          <w:tcPr>
            <w:tcW w:w="794" w:type="pct"/>
          </w:tcPr>
          <w:p w14:paraId="6B37C756" w14:textId="1D4A4BB8" w:rsidR="008B3743" w:rsidRPr="003D3E43" w:rsidRDefault="008B3743" w:rsidP="00C85430">
            <w:pPr>
              <w:pStyle w:val="Tabletext"/>
              <w:rPr>
                <w:sz w:val="20"/>
                <w:szCs w:val="20"/>
              </w:rPr>
            </w:pPr>
            <w:r w:rsidRPr="003D3E43">
              <w:rPr>
                <w:sz w:val="20"/>
                <w:szCs w:val="20"/>
              </w:rPr>
              <w:t>Sheldon &amp; Walker</w:t>
            </w:r>
            <w:r w:rsidR="00C7598F" w:rsidRPr="003D3E43">
              <w:rPr>
                <w:sz w:val="20"/>
                <w:szCs w:val="20"/>
              </w:rPr>
              <w:t xml:space="preserve"> </w:t>
            </w:r>
            <w:r w:rsidRPr="003D3E43">
              <w:rPr>
                <w:sz w:val="20"/>
                <w:szCs w:val="20"/>
              </w:rPr>
              <w:t>1993</w:t>
            </w:r>
            <w:r w:rsidR="00C7598F" w:rsidRPr="003D3E43">
              <w:rPr>
                <w:sz w:val="20"/>
                <w:szCs w:val="20"/>
              </w:rPr>
              <w:t>;</w:t>
            </w:r>
          </w:p>
          <w:p w14:paraId="55E71199" w14:textId="724A4343" w:rsidR="008B3743" w:rsidRPr="003D3E43" w:rsidRDefault="008B3743" w:rsidP="00C85430">
            <w:pPr>
              <w:pStyle w:val="Tabletext"/>
              <w:rPr>
                <w:sz w:val="20"/>
                <w:szCs w:val="20"/>
              </w:rPr>
            </w:pPr>
            <w:r w:rsidRPr="003D3E43">
              <w:rPr>
                <w:sz w:val="20"/>
                <w:szCs w:val="20"/>
              </w:rPr>
              <w:t xml:space="preserve">Walker 1997; </w:t>
            </w:r>
            <w:r w:rsidRPr="003D3E43">
              <w:rPr>
                <w:sz w:val="20"/>
                <w:szCs w:val="20"/>
              </w:rPr>
              <w:br/>
              <w:t>Ponder &amp; Walker 2003</w:t>
            </w:r>
            <w:r w:rsidR="00546141" w:rsidRPr="003D3E43">
              <w:rPr>
                <w:sz w:val="20"/>
                <w:szCs w:val="20"/>
              </w:rPr>
              <w:t>; Holmes et al. 2013</w:t>
            </w:r>
          </w:p>
        </w:tc>
      </w:tr>
    </w:tbl>
    <w:p w14:paraId="4002DD92" w14:textId="0F526250" w:rsidR="00FF6505" w:rsidRDefault="006C70F4" w:rsidP="006C70F4">
      <w:pPr>
        <w:pStyle w:val="singlespacebodytext"/>
        <w:ind w:left="0"/>
      </w:pPr>
      <w:r w:rsidRPr="00C7598F">
        <w:rPr>
          <w:b/>
          <w:bCs/>
          <w:sz w:val="22"/>
          <w:szCs w:val="22"/>
          <w:lang w:val="fr-RE"/>
        </w:rPr>
        <w:t>*</w:t>
      </w:r>
      <w:r w:rsidRPr="00A30572">
        <w:rPr>
          <w:lang w:val="fr-RE"/>
        </w:rPr>
        <w:t xml:space="preserve"> non-native (alien)</w:t>
      </w:r>
      <w:r w:rsidR="002848B0">
        <w:rPr>
          <w:lang w:val="fr-RE"/>
        </w:rPr>
        <w:t xml:space="preserve"> species</w:t>
      </w:r>
      <w:r w:rsidRPr="00A30572">
        <w:rPr>
          <w:lang w:val="fr-RE"/>
        </w:rPr>
        <w:t xml:space="preserve">     # pers. comm</w:t>
      </w:r>
      <w:r w:rsidR="002848B0">
        <w:rPr>
          <w:lang w:val="fr-RE"/>
        </w:rPr>
        <w:t>unication</w:t>
      </w:r>
      <w:r w:rsidRPr="00A30572">
        <w:rPr>
          <w:lang w:val="fr-RE"/>
        </w:rPr>
        <w:t xml:space="preserve"> </w:t>
      </w:r>
      <w:r>
        <w:t xml:space="preserve">Dr </w:t>
      </w:r>
      <w:r w:rsidRPr="00BF74AF">
        <w:t>Winston Ponder, Australian Museum, Sydney</w:t>
      </w:r>
    </w:p>
    <w:p w14:paraId="2B152B56" w14:textId="4303C675" w:rsidR="002848B0" w:rsidRDefault="002848B0" w:rsidP="006C70F4">
      <w:pPr>
        <w:pStyle w:val="singlespacebodytext"/>
        <w:ind w:left="0"/>
        <w:sectPr w:rsidR="002848B0" w:rsidSect="00AF1A0B">
          <w:pgSz w:w="16838" w:h="11906" w:orient="landscape"/>
          <w:pgMar w:top="1134" w:right="1247" w:bottom="1134" w:left="1361" w:header="454" w:footer="454" w:gutter="0"/>
          <w:cols w:space="708"/>
          <w:docGrid w:linePitch="360"/>
        </w:sectPr>
      </w:pPr>
    </w:p>
    <w:p w14:paraId="10FFFB4F" w14:textId="0B59F679" w:rsidR="00064A0E" w:rsidRPr="001E3AB7" w:rsidRDefault="00064A0E" w:rsidP="006E2204">
      <w:pPr>
        <w:pStyle w:val="Heading4"/>
        <w:rPr>
          <w:noProof/>
        </w:rPr>
      </w:pPr>
      <w:r w:rsidRPr="001E3AB7">
        <w:rPr>
          <w:noProof/>
        </w:rPr>
        <w:lastRenderedPageBreak/>
        <w:t>Conclusion - Conservation status for Criterion 3</w:t>
      </w:r>
    </w:p>
    <w:p w14:paraId="38314E94" w14:textId="7BDBF96A" w:rsidR="000C1FE9" w:rsidRDefault="00064A0E" w:rsidP="00E439D8">
      <w:pPr>
        <w:rPr>
          <w:noProof/>
        </w:rPr>
      </w:pPr>
      <w:r>
        <w:rPr>
          <w:noProof/>
        </w:rPr>
        <w:t xml:space="preserve">Indicative conservation status assessments for the </w:t>
      </w:r>
      <w:r w:rsidR="001E3AB7">
        <w:rPr>
          <w:noProof/>
        </w:rPr>
        <w:t>9</w:t>
      </w:r>
      <w:r>
        <w:rPr>
          <w:noProof/>
        </w:rPr>
        <w:t xml:space="preserve"> keystone</w:t>
      </w:r>
      <w:r w:rsidR="00867964">
        <w:rPr>
          <w:noProof/>
        </w:rPr>
        <w:t>-type</w:t>
      </w:r>
      <w:r>
        <w:rPr>
          <w:noProof/>
        </w:rPr>
        <w:t xml:space="preserve"> (functionally important) species </w:t>
      </w:r>
      <w:r w:rsidR="007A4296">
        <w:rPr>
          <w:noProof/>
        </w:rPr>
        <w:t>(</w:t>
      </w:r>
      <w:r w:rsidR="00867964">
        <w:rPr>
          <w:noProof/>
        </w:rPr>
        <w:t xml:space="preserve">or </w:t>
      </w:r>
      <w:r w:rsidR="007A4296">
        <w:rPr>
          <w:noProof/>
        </w:rPr>
        <w:t>suites</w:t>
      </w:r>
      <w:r w:rsidR="00867964">
        <w:rPr>
          <w:noProof/>
        </w:rPr>
        <w:t xml:space="preserve"> of species</w:t>
      </w:r>
      <w:r w:rsidR="007A4296">
        <w:rPr>
          <w:noProof/>
        </w:rPr>
        <w:t xml:space="preserve">) </w:t>
      </w:r>
      <w:r>
        <w:rPr>
          <w:noProof/>
        </w:rPr>
        <w:t xml:space="preserve">are shown above (and see </w:t>
      </w:r>
      <w:r w:rsidRPr="007A4296">
        <w:rPr>
          <w:noProof/>
          <w:u w:val="single"/>
        </w:rPr>
        <w:t xml:space="preserve">Table </w:t>
      </w:r>
      <w:r w:rsidR="00E02EDA">
        <w:rPr>
          <w:noProof/>
          <w:u w:val="single"/>
        </w:rPr>
        <w:t>26</w:t>
      </w:r>
      <w:r w:rsidRPr="00A61512">
        <w:rPr>
          <w:noProof/>
        </w:rPr>
        <w:t>).</w:t>
      </w:r>
      <w:r>
        <w:rPr>
          <w:noProof/>
        </w:rPr>
        <w:t xml:space="preserve"> </w:t>
      </w:r>
      <w:r w:rsidR="001605F5">
        <w:rPr>
          <w:noProof/>
        </w:rPr>
        <w:t>It is acknowledged that th</w:t>
      </w:r>
      <w:r w:rsidR="002A02E7">
        <w:rPr>
          <w:noProof/>
        </w:rPr>
        <w:t>ere have been some improvements</w:t>
      </w:r>
      <w:r w:rsidR="00F379E4">
        <w:rPr>
          <w:noProof/>
        </w:rPr>
        <w:t xml:space="preserve">, however these have </w:t>
      </w:r>
      <w:r w:rsidR="00E432EE">
        <w:rPr>
          <w:noProof/>
        </w:rPr>
        <w:t xml:space="preserve">been </w:t>
      </w:r>
      <w:r w:rsidR="00C32272">
        <w:rPr>
          <w:noProof/>
        </w:rPr>
        <w:t xml:space="preserve">due </w:t>
      </w:r>
      <w:r w:rsidR="00F86FEA">
        <w:rPr>
          <w:noProof/>
        </w:rPr>
        <w:t xml:space="preserve">mainly </w:t>
      </w:r>
      <w:r w:rsidR="002A02E7">
        <w:rPr>
          <w:noProof/>
        </w:rPr>
        <w:t xml:space="preserve">to </w:t>
      </w:r>
      <w:r w:rsidR="007258E7">
        <w:rPr>
          <w:noProof/>
        </w:rPr>
        <w:t>human intervention</w:t>
      </w:r>
      <w:r w:rsidR="00F86FEA">
        <w:rPr>
          <w:noProof/>
        </w:rPr>
        <w:t>s</w:t>
      </w:r>
      <w:r w:rsidR="007258E7">
        <w:rPr>
          <w:noProof/>
        </w:rPr>
        <w:t>, such as delivery of environmental water</w:t>
      </w:r>
      <w:r w:rsidR="00F86FEA">
        <w:rPr>
          <w:noProof/>
        </w:rPr>
        <w:t>, captive breeding and translocations,</w:t>
      </w:r>
      <w:r w:rsidR="007258E7">
        <w:rPr>
          <w:noProof/>
        </w:rPr>
        <w:t xml:space="preserve"> </w:t>
      </w:r>
      <w:r w:rsidR="00FD0292">
        <w:rPr>
          <w:noProof/>
        </w:rPr>
        <w:t>and instillation of fishways</w:t>
      </w:r>
      <w:r w:rsidR="002A02E7">
        <w:rPr>
          <w:noProof/>
        </w:rPr>
        <w:t xml:space="preserve">. </w:t>
      </w:r>
      <w:r w:rsidR="00E36952">
        <w:rPr>
          <w:noProof/>
        </w:rPr>
        <w:t xml:space="preserve">It is also yet to be proven that temporary improvements will be able to reverse ong-term declines. </w:t>
      </w:r>
      <w:r w:rsidR="008B0640">
        <w:rPr>
          <w:noProof/>
        </w:rPr>
        <w:t>Ryan et al</w:t>
      </w:r>
      <w:r w:rsidR="00E733BF">
        <w:rPr>
          <w:noProof/>
        </w:rPr>
        <w:t>.</w:t>
      </w:r>
      <w:r w:rsidR="008B0640">
        <w:rPr>
          <w:noProof/>
        </w:rPr>
        <w:t xml:space="preserve"> </w:t>
      </w:r>
      <w:r w:rsidR="00E733BF">
        <w:rPr>
          <w:noProof/>
        </w:rPr>
        <w:t>(</w:t>
      </w:r>
      <w:r w:rsidR="008B0640">
        <w:rPr>
          <w:noProof/>
        </w:rPr>
        <w:t>202</w:t>
      </w:r>
      <w:r w:rsidR="00E733BF">
        <w:rPr>
          <w:noProof/>
        </w:rPr>
        <w:t>1)</w:t>
      </w:r>
      <w:r w:rsidR="008B0640">
        <w:rPr>
          <w:noProof/>
        </w:rPr>
        <w:t xml:space="preserve"> </w:t>
      </w:r>
      <w:r w:rsidR="00E733BF">
        <w:rPr>
          <w:noProof/>
        </w:rPr>
        <w:t>conclude</w:t>
      </w:r>
      <w:r w:rsidR="003546C7">
        <w:rPr>
          <w:noProof/>
        </w:rPr>
        <w:t>d that</w:t>
      </w:r>
      <w:r w:rsidR="008B0640">
        <w:rPr>
          <w:noProof/>
        </w:rPr>
        <w:t xml:space="preserve"> </w:t>
      </w:r>
      <w:r w:rsidR="003546C7">
        <w:rPr>
          <w:noProof/>
        </w:rPr>
        <w:t xml:space="preserve">while </w:t>
      </w:r>
      <w:r w:rsidR="008B0640">
        <w:t xml:space="preserve">environmental watering </w:t>
      </w:r>
      <w:r w:rsidR="003546C7">
        <w:t xml:space="preserve">has </w:t>
      </w:r>
      <w:r w:rsidR="008B0640">
        <w:t xml:space="preserve">had some positive outcomes for some </w:t>
      </w:r>
      <w:r w:rsidR="00E733BF">
        <w:t>[</w:t>
      </w:r>
      <w:r w:rsidR="008B0640">
        <w:t>threatened</w:t>
      </w:r>
      <w:r w:rsidR="00E733BF">
        <w:t>]</w:t>
      </w:r>
      <w:r w:rsidR="008B0640">
        <w:t xml:space="preserve"> species in some locations on some occasions, </w:t>
      </w:r>
      <w:r w:rsidR="003546C7">
        <w:t>the</w:t>
      </w:r>
      <w:r w:rsidR="008B0640">
        <w:t xml:space="preserve"> benefits, and their monitoring and reporting, are patchy and inconsistent</w:t>
      </w:r>
      <w:r w:rsidR="009B5867">
        <w:t>;</w:t>
      </w:r>
      <w:r w:rsidR="00D5414D">
        <w:t xml:space="preserve"> further, </w:t>
      </w:r>
      <w:r w:rsidR="009B5867">
        <w:t xml:space="preserve">monitoring of temporal trends in distribution, occurrence and abundance of species is </w:t>
      </w:r>
      <w:r w:rsidR="00D973E2">
        <w:t xml:space="preserve">typically </w:t>
      </w:r>
      <w:r w:rsidR="009B5867">
        <w:t xml:space="preserve">inadequate to evaluate success. </w:t>
      </w:r>
      <w:r w:rsidR="00D5414D">
        <w:t xml:space="preserve"> </w:t>
      </w:r>
    </w:p>
    <w:p w14:paraId="18A12CCA" w14:textId="0302BD32" w:rsidR="00142765" w:rsidRDefault="00E432EE" w:rsidP="00E439D8">
      <w:pPr>
        <w:rPr>
          <w:noProof/>
        </w:rPr>
      </w:pPr>
      <w:r>
        <w:rPr>
          <w:noProof/>
        </w:rPr>
        <w:t>O</w:t>
      </w:r>
      <w:r w:rsidR="002A02E7">
        <w:rPr>
          <w:noProof/>
        </w:rPr>
        <w:t>verall</w:t>
      </w:r>
      <w:r>
        <w:rPr>
          <w:noProof/>
        </w:rPr>
        <w:t>,</w:t>
      </w:r>
      <w:r w:rsidR="002A02E7">
        <w:rPr>
          <w:noProof/>
        </w:rPr>
        <w:t xml:space="preserve"> there has been</w:t>
      </w:r>
      <w:r>
        <w:rPr>
          <w:noProof/>
        </w:rPr>
        <w:t>, and remains,</w:t>
      </w:r>
      <w:r w:rsidR="002A02E7">
        <w:rPr>
          <w:noProof/>
        </w:rPr>
        <w:t xml:space="preserve"> w</w:t>
      </w:r>
      <w:r w:rsidR="00064A0E">
        <w:rPr>
          <w:noProof/>
        </w:rPr>
        <w:t xml:space="preserve">idespread declines or losses </w:t>
      </w:r>
      <w:r w:rsidR="00E02EDA">
        <w:rPr>
          <w:noProof/>
        </w:rPr>
        <w:t>(extirpations</w:t>
      </w:r>
      <w:r>
        <w:rPr>
          <w:noProof/>
        </w:rPr>
        <w:t>/extinctions</w:t>
      </w:r>
      <w:r w:rsidR="00E02EDA">
        <w:rPr>
          <w:noProof/>
        </w:rPr>
        <w:t xml:space="preserve">) </w:t>
      </w:r>
      <w:r w:rsidR="00064A0E">
        <w:rPr>
          <w:noProof/>
        </w:rPr>
        <w:t xml:space="preserve">of these </w:t>
      </w:r>
      <w:r w:rsidR="002A02E7">
        <w:rPr>
          <w:noProof/>
        </w:rPr>
        <w:t xml:space="preserve">important </w:t>
      </w:r>
      <w:r w:rsidR="00EE57E7">
        <w:rPr>
          <w:noProof/>
        </w:rPr>
        <w:t>‘keystone-type</w:t>
      </w:r>
      <w:r w:rsidR="00611944">
        <w:rPr>
          <w:noProof/>
        </w:rPr>
        <w:t xml:space="preserve">’ </w:t>
      </w:r>
      <w:r w:rsidR="00064A0E">
        <w:rPr>
          <w:noProof/>
        </w:rPr>
        <w:t>species</w:t>
      </w:r>
      <w:r w:rsidR="002A02E7">
        <w:rPr>
          <w:noProof/>
        </w:rPr>
        <w:t xml:space="preserve">, which represent a </w:t>
      </w:r>
      <w:r w:rsidR="00D973E2">
        <w:rPr>
          <w:noProof/>
        </w:rPr>
        <w:t xml:space="preserve">wide </w:t>
      </w:r>
      <w:r w:rsidR="002A02E7">
        <w:rPr>
          <w:noProof/>
        </w:rPr>
        <w:t>diversity of taxa</w:t>
      </w:r>
      <w:r w:rsidR="00611944">
        <w:rPr>
          <w:noProof/>
        </w:rPr>
        <w:t xml:space="preserve"> and </w:t>
      </w:r>
      <w:r w:rsidR="002A02E7">
        <w:rPr>
          <w:noProof/>
        </w:rPr>
        <w:t>ecological functions</w:t>
      </w:r>
      <w:r w:rsidR="00D81C9F">
        <w:rPr>
          <w:noProof/>
        </w:rPr>
        <w:t xml:space="preserve"> within the ecological community</w:t>
      </w:r>
      <w:r w:rsidR="00535591">
        <w:rPr>
          <w:noProof/>
        </w:rPr>
        <w:t xml:space="preserve">. This has occurred </w:t>
      </w:r>
      <w:r w:rsidR="00064A0E">
        <w:rPr>
          <w:noProof/>
        </w:rPr>
        <w:t xml:space="preserve">throughout the various </w:t>
      </w:r>
      <w:r w:rsidR="00535591">
        <w:rPr>
          <w:noProof/>
        </w:rPr>
        <w:t xml:space="preserve">habitat and georaphical </w:t>
      </w:r>
      <w:r w:rsidR="00064A0E">
        <w:rPr>
          <w:noProof/>
        </w:rPr>
        <w:t xml:space="preserve">components of the </w:t>
      </w:r>
      <w:r w:rsidR="00064A0E" w:rsidRPr="00FA6A12">
        <w:rPr>
          <w:i/>
          <w:noProof/>
        </w:rPr>
        <w:t>River Murray - Darling to Sea</w:t>
      </w:r>
      <w:r w:rsidR="00064A0E">
        <w:rPr>
          <w:noProof/>
        </w:rPr>
        <w:t xml:space="preserve"> ecological community, </w:t>
      </w:r>
      <w:r w:rsidR="00535591">
        <w:rPr>
          <w:noProof/>
        </w:rPr>
        <w:t xml:space="preserve">and </w:t>
      </w:r>
      <w:r w:rsidR="00111C59">
        <w:rPr>
          <w:noProof/>
        </w:rPr>
        <w:t xml:space="preserve">has often </w:t>
      </w:r>
      <w:r w:rsidR="00064A0E">
        <w:rPr>
          <w:noProof/>
        </w:rPr>
        <w:t xml:space="preserve">combined with significant, </w:t>
      </w:r>
      <w:r w:rsidR="00A0232F">
        <w:rPr>
          <w:noProof/>
        </w:rPr>
        <w:t>sometimes</w:t>
      </w:r>
      <w:r w:rsidR="00064A0E">
        <w:rPr>
          <w:noProof/>
        </w:rPr>
        <w:t xml:space="preserve"> catastrophic</w:t>
      </w:r>
      <w:r w:rsidR="00E02EDA">
        <w:rPr>
          <w:noProof/>
        </w:rPr>
        <w:t xml:space="preserve"> (e.g. during drought)</w:t>
      </w:r>
      <w:r w:rsidR="00064A0E">
        <w:rPr>
          <w:noProof/>
        </w:rPr>
        <w:t xml:space="preserve">, </w:t>
      </w:r>
      <w:r w:rsidR="00111C59">
        <w:rPr>
          <w:noProof/>
        </w:rPr>
        <w:t>and</w:t>
      </w:r>
      <w:r w:rsidR="00300075">
        <w:rPr>
          <w:noProof/>
        </w:rPr>
        <w:t xml:space="preserve"> in many case</w:t>
      </w:r>
      <w:r w:rsidR="00A0232F">
        <w:rPr>
          <w:noProof/>
        </w:rPr>
        <w:t>s</w:t>
      </w:r>
      <w:r w:rsidR="00300075">
        <w:rPr>
          <w:noProof/>
        </w:rPr>
        <w:t>,</w:t>
      </w:r>
      <w:r w:rsidR="00111C59">
        <w:rPr>
          <w:noProof/>
        </w:rPr>
        <w:t xml:space="preserve"> ongoing</w:t>
      </w:r>
      <w:r w:rsidR="00142765">
        <w:rPr>
          <w:noProof/>
        </w:rPr>
        <w:t>,</w:t>
      </w:r>
      <w:r w:rsidR="00111C59">
        <w:rPr>
          <w:noProof/>
        </w:rPr>
        <w:t xml:space="preserve"> </w:t>
      </w:r>
      <w:r w:rsidR="00064A0E">
        <w:rPr>
          <w:noProof/>
        </w:rPr>
        <w:t>recruitment failure</w:t>
      </w:r>
      <w:r w:rsidR="008122A9">
        <w:rPr>
          <w:noProof/>
        </w:rPr>
        <w:t xml:space="preserve"> or exacerbation of threats.</w:t>
      </w:r>
    </w:p>
    <w:p w14:paraId="2E8A37F6" w14:textId="022719D1" w:rsidR="00E439D8" w:rsidRPr="00075D38" w:rsidRDefault="00300075" w:rsidP="00E439D8">
      <w:pPr>
        <w:rPr>
          <w:noProof/>
        </w:rPr>
      </w:pPr>
      <w:r>
        <w:rPr>
          <w:noProof/>
        </w:rPr>
        <w:t xml:space="preserve">Therefore, a conservation status of </w:t>
      </w:r>
      <w:r w:rsidR="00064A0E">
        <w:rPr>
          <w:noProof/>
        </w:rPr>
        <w:t xml:space="preserve"> </w:t>
      </w:r>
      <w:r w:rsidR="00064A0E">
        <w:rPr>
          <w:b/>
          <w:noProof/>
        </w:rPr>
        <w:t>Critically e</w:t>
      </w:r>
      <w:r w:rsidR="00064A0E" w:rsidRPr="00A23B2C">
        <w:rPr>
          <w:b/>
          <w:noProof/>
        </w:rPr>
        <w:t>ndangered</w:t>
      </w:r>
      <w:r w:rsidR="00064A0E">
        <w:rPr>
          <w:noProof/>
        </w:rPr>
        <w:t xml:space="preserve"> </w:t>
      </w:r>
      <w:r>
        <w:rPr>
          <w:noProof/>
        </w:rPr>
        <w:t>is indicated</w:t>
      </w:r>
      <w:r w:rsidR="00064A0E">
        <w:rPr>
          <w:noProof/>
        </w:rPr>
        <w:t xml:space="preserve">, as the decline is very severe and restoration of these </w:t>
      </w:r>
      <w:r>
        <w:rPr>
          <w:noProof/>
        </w:rPr>
        <w:t>species and</w:t>
      </w:r>
      <w:r w:rsidR="00E36952">
        <w:rPr>
          <w:noProof/>
        </w:rPr>
        <w:t xml:space="preserve"> their</w:t>
      </w:r>
      <w:r>
        <w:rPr>
          <w:noProof/>
        </w:rPr>
        <w:t xml:space="preserve"> </w:t>
      </w:r>
      <w:r w:rsidR="00064A0E">
        <w:rPr>
          <w:noProof/>
        </w:rPr>
        <w:t xml:space="preserve">functions within the ecological community as a whole is unlikely in the immediate future.  </w:t>
      </w:r>
    </w:p>
    <w:p w14:paraId="0791A5FF" w14:textId="290701DF" w:rsidR="00E439D8" w:rsidRPr="007D3214" w:rsidRDefault="00E439D8" w:rsidP="00E439D8">
      <w:pPr>
        <w:keepNext/>
        <w:pBdr>
          <w:top w:val="single" w:sz="4" w:space="1" w:color="auto"/>
          <w:left w:val="single" w:sz="4" w:space="4" w:color="auto"/>
          <w:bottom w:val="single" w:sz="4" w:space="1" w:color="auto"/>
          <w:right w:val="single" w:sz="4" w:space="4" w:color="auto"/>
        </w:pBdr>
        <w:shd w:val="clear" w:color="auto" w:fill="FFF2CC" w:themeFill="accent4" w:themeFillTint="33"/>
        <w:rPr>
          <w:b/>
          <w:bCs/>
          <w:i/>
          <w:iCs/>
        </w:rPr>
      </w:pPr>
      <w:r w:rsidRPr="007D3214">
        <w:rPr>
          <w:b/>
          <w:bCs/>
          <w:i/>
          <w:iCs/>
        </w:rPr>
        <w:t xml:space="preserve">Questions </w:t>
      </w:r>
    </w:p>
    <w:p w14:paraId="3FEA62D3" w14:textId="19C7CA6F" w:rsidR="00041205" w:rsidRDefault="00E2642A" w:rsidP="00281C59">
      <w:pPr>
        <w:pStyle w:val="Consultationquestions"/>
        <w:shd w:val="clear" w:color="auto" w:fill="FFF2CC" w:themeFill="accent4" w:themeFillTint="33"/>
        <w:ind w:left="425" w:hanging="425"/>
        <w:rPr>
          <w:i/>
          <w:iCs/>
          <w:color w:val="auto"/>
        </w:rPr>
      </w:pPr>
      <w:r>
        <w:rPr>
          <w:i/>
          <w:iCs/>
          <w:color w:val="auto"/>
        </w:rPr>
        <w:t>More recent data and a</w:t>
      </w:r>
      <w:r w:rsidR="00041205">
        <w:rPr>
          <w:i/>
          <w:iCs/>
          <w:color w:val="auto"/>
        </w:rPr>
        <w:t>na</w:t>
      </w:r>
      <w:r>
        <w:rPr>
          <w:i/>
          <w:iCs/>
          <w:color w:val="auto"/>
        </w:rPr>
        <w:t>lysis on trends will be available soo</w:t>
      </w:r>
      <w:r w:rsidR="00041205">
        <w:rPr>
          <w:i/>
          <w:iCs/>
          <w:color w:val="auto"/>
        </w:rPr>
        <w:t>n when Murray-Darling Basin Plan reports are released. In addition to that:</w:t>
      </w:r>
    </w:p>
    <w:p w14:paraId="40BE9121" w14:textId="06EECC38" w:rsidR="00F22453" w:rsidRPr="00A53498" w:rsidRDefault="00E439D8" w:rsidP="00A53498">
      <w:pPr>
        <w:pStyle w:val="Consultationquestions"/>
        <w:shd w:val="clear" w:color="auto" w:fill="FFF2CC" w:themeFill="accent4" w:themeFillTint="33"/>
        <w:ind w:left="425" w:hanging="425"/>
        <w:rPr>
          <w:i/>
          <w:iCs/>
          <w:color w:val="auto"/>
        </w:rPr>
      </w:pPr>
      <w:r w:rsidRPr="00592999">
        <w:rPr>
          <w:i/>
          <w:iCs/>
          <w:color w:val="auto"/>
        </w:rPr>
        <w:t xml:space="preserve">Do you have any feedback on the preliminary assessment under Criterion </w:t>
      </w:r>
      <w:r w:rsidR="005259CA" w:rsidRPr="00592999">
        <w:rPr>
          <w:i/>
          <w:iCs/>
          <w:color w:val="auto"/>
        </w:rPr>
        <w:t>3</w:t>
      </w:r>
      <w:r w:rsidRPr="00592999">
        <w:rPr>
          <w:i/>
          <w:iCs/>
          <w:color w:val="auto"/>
        </w:rPr>
        <w:t xml:space="preserve"> or further data or information that would support or update the assessment</w:t>
      </w:r>
      <w:r w:rsidR="0044198F" w:rsidRPr="00592999">
        <w:rPr>
          <w:i/>
          <w:iCs/>
          <w:color w:val="auto"/>
        </w:rPr>
        <w:t xml:space="preserve"> outcome</w:t>
      </w:r>
      <w:r w:rsidR="00592999">
        <w:rPr>
          <w:i/>
          <w:iCs/>
          <w:color w:val="auto"/>
        </w:rPr>
        <w:t>s</w:t>
      </w:r>
      <w:r w:rsidRPr="00592999">
        <w:rPr>
          <w:i/>
          <w:iCs/>
          <w:color w:val="auto"/>
        </w:rPr>
        <w:t>?</w:t>
      </w:r>
    </w:p>
    <w:p w14:paraId="51EB4B00" w14:textId="5B8B4CDE" w:rsidR="00E74179" w:rsidRDefault="00E74179">
      <w:pPr>
        <w:spacing w:after="160" w:line="259" w:lineRule="auto"/>
        <w:rPr>
          <w:rFonts w:asciiTheme="minorHAnsi" w:eastAsiaTheme="majorEastAsia" w:hAnsiTheme="minorHAnsi" w:cstheme="majorBidi"/>
          <w:b/>
          <w:i/>
          <w:szCs w:val="24"/>
        </w:rPr>
      </w:pPr>
      <w:bookmarkStart w:id="284" w:name="_Toc175317104"/>
    </w:p>
    <w:p w14:paraId="73739880" w14:textId="06FDCE98" w:rsidR="00F26D3D" w:rsidRPr="00550384" w:rsidRDefault="00C618CE" w:rsidP="00550384">
      <w:pPr>
        <w:pStyle w:val="Heading3"/>
      </w:pPr>
      <w:r w:rsidRPr="00550384">
        <w:t xml:space="preserve">6.2.4 </w:t>
      </w:r>
      <w:r w:rsidR="006959E1" w:rsidRPr="00550384">
        <w:t>Criterion 4 – reduction in community integrity</w:t>
      </w:r>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2A48D6" w:rsidRPr="00051D51" w14:paraId="720356D3" w14:textId="77777777" w:rsidTr="00293454">
        <w:trPr>
          <w:cantSplit/>
          <w:tblHeader/>
          <w:jc w:val="center"/>
        </w:trPr>
        <w:tc>
          <w:tcPr>
            <w:tcW w:w="2198" w:type="pct"/>
            <w:vMerge w:val="restart"/>
            <w:vAlign w:val="center"/>
          </w:tcPr>
          <w:p w14:paraId="164B8027" w14:textId="77777777" w:rsidR="002A48D6" w:rsidRPr="00051D51" w:rsidRDefault="002A48D6" w:rsidP="00293454">
            <w:pPr>
              <w:pStyle w:val="Tabletext"/>
            </w:pPr>
          </w:p>
        </w:tc>
        <w:tc>
          <w:tcPr>
            <w:tcW w:w="2802" w:type="pct"/>
            <w:gridSpan w:val="3"/>
            <w:vAlign w:val="center"/>
          </w:tcPr>
          <w:p w14:paraId="6980171B" w14:textId="77777777" w:rsidR="002A48D6" w:rsidRPr="00153204" w:rsidRDefault="002A48D6" w:rsidP="00293454">
            <w:pPr>
              <w:pStyle w:val="Tabletext"/>
              <w:jc w:val="center"/>
              <w:rPr>
                <w:b/>
                <w:bCs/>
              </w:rPr>
            </w:pPr>
            <w:r w:rsidRPr="00153204">
              <w:rPr>
                <w:b/>
                <w:bCs/>
              </w:rPr>
              <w:t>Category</w:t>
            </w:r>
          </w:p>
        </w:tc>
      </w:tr>
      <w:tr w:rsidR="002A48D6" w:rsidRPr="00051D51" w14:paraId="2182B379" w14:textId="77777777" w:rsidTr="00293454">
        <w:trPr>
          <w:cantSplit/>
          <w:tblHeader/>
          <w:jc w:val="center"/>
        </w:trPr>
        <w:tc>
          <w:tcPr>
            <w:tcW w:w="2198" w:type="pct"/>
            <w:vMerge/>
            <w:vAlign w:val="center"/>
          </w:tcPr>
          <w:p w14:paraId="0526CBB3" w14:textId="77777777" w:rsidR="002A48D6" w:rsidRPr="00051D51" w:rsidRDefault="002A48D6" w:rsidP="00293454">
            <w:pPr>
              <w:pStyle w:val="Tabletext"/>
            </w:pPr>
          </w:p>
        </w:tc>
        <w:tc>
          <w:tcPr>
            <w:tcW w:w="944" w:type="pct"/>
            <w:vAlign w:val="center"/>
          </w:tcPr>
          <w:p w14:paraId="3C614CFF" w14:textId="77777777" w:rsidR="002A48D6" w:rsidRPr="00153204" w:rsidRDefault="002A48D6" w:rsidP="00293454">
            <w:pPr>
              <w:pStyle w:val="Tabletext"/>
              <w:jc w:val="center"/>
              <w:rPr>
                <w:b/>
                <w:bCs/>
              </w:rPr>
            </w:pPr>
            <w:r w:rsidRPr="00153204">
              <w:rPr>
                <w:b/>
                <w:bCs/>
              </w:rPr>
              <w:t>Critically Endangered</w:t>
            </w:r>
          </w:p>
        </w:tc>
        <w:tc>
          <w:tcPr>
            <w:tcW w:w="879" w:type="pct"/>
            <w:vAlign w:val="center"/>
          </w:tcPr>
          <w:p w14:paraId="7BD3AA99" w14:textId="77777777" w:rsidR="002A48D6" w:rsidRPr="00153204" w:rsidRDefault="002A48D6" w:rsidP="00293454">
            <w:pPr>
              <w:pStyle w:val="Tabletext"/>
              <w:jc w:val="center"/>
              <w:rPr>
                <w:b/>
                <w:bCs/>
              </w:rPr>
            </w:pPr>
            <w:r w:rsidRPr="00153204">
              <w:rPr>
                <w:b/>
                <w:bCs/>
              </w:rPr>
              <w:t>Endangered</w:t>
            </w:r>
          </w:p>
        </w:tc>
        <w:tc>
          <w:tcPr>
            <w:tcW w:w="979" w:type="pct"/>
            <w:vAlign w:val="center"/>
          </w:tcPr>
          <w:p w14:paraId="0244B93B" w14:textId="77777777" w:rsidR="002A48D6" w:rsidRPr="00153204" w:rsidRDefault="002A48D6" w:rsidP="00293454">
            <w:pPr>
              <w:pStyle w:val="Tabletext"/>
              <w:jc w:val="center"/>
              <w:rPr>
                <w:b/>
                <w:bCs/>
              </w:rPr>
            </w:pPr>
            <w:r w:rsidRPr="00153204">
              <w:rPr>
                <w:b/>
                <w:bCs/>
              </w:rPr>
              <w:t>Vulnerable</w:t>
            </w:r>
          </w:p>
        </w:tc>
      </w:tr>
      <w:tr w:rsidR="002A48D6" w:rsidRPr="00051D51" w14:paraId="03E9877F" w14:textId="77777777" w:rsidTr="00293454">
        <w:trPr>
          <w:cantSplit/>
          <w:jc w:val="center"/>
        </w:trPr>
        <w:tc>
          <w:tcPr>
            <w:tcW w:w="2198" w:type="pct"/>
            <w:shd w:val="clear" w:color="auto" w:fill="F2F2F2" w:themeFill="background1" w:themeFillShade="F2"/>
            <w:vAlign w:val="center"/>
          </w:tcPr>
          <w:p w14:paraId="2E2BF4CA" w14:textId="77777777" w:rsidR="002A48D6" w:rsidRPr="00051D51" w:rsidRDefault="002A48D6" w:rsidP="00293454">
            <w:pPr>
              <w:pStyle w:val="Tabletext"/>
              <w:keepNext/>
            </w:pPr>
            <w:r w:rsidRPr="00051D51">
              <w:t>The reduction in its integrity across most of its geographic distribution is:</w:t>
            </w:r>
          </w:p>
        </w:tc>
        <w:tc>
          <w:tcPr>
            <w:tcW w:w="944" w:type="pct"/>
            <w:shd w:val="clear" w:color="auto" w:fill="F2F2F2" w:themeFill="background1" w:themeFillShade="F2"/>
            <w:vAlign w:val="center"/>
          </w:tcPr>
          <w:p w14:paraId="675AACF7" w14:textId="77777777" w:rsidR="002A48D6" w:rsidRPr="00051D51" w:rsidRDefault="002A48D6" w:rsidP="00293454">
            <w:pPr>
              <w:pStyle w:val="Tabletext"/>
              <w:keepNext/>
              <w:jc w:val="center"/>
            </w:pPr>
            <w:r w:rsidRPr="00051D51">
              <w:t>very severe</w:t>
            </w:r>
          </w:p>
        </w:tc>
        <w:tc>
          <w:tcPr>
            <w:tcW w:w="879" w:type="pct"/>
            <w:shd w:val="clear" w:color="auto" w:fill="F2F2F2" w:themeFill="background1" w:themeFillShade="F2"/>
            <w:vAlign w:val="center"/>
          </w:tcPr>
          <w:p w14:paraId="1CAA79CB" w14:textId="77777777" w:rsidR="002A48D6" w:rsidRPr="00051D51" w:rsidRDefault="002A48D6" w:rsidP="00293454">
            <w:pPr>
              <w:pStyle w:val="Tabletext"/>
              <w:keepNext/>
              <w:jc w:val="center"/>
            </w:pPr>
            <w:r w:rsidRPr="00051D51">
              <w:t>severe</w:t>
            </w:r>
          </w:p>
        </w:tc>
        <w:tc>
          <w:tcPr>
            <w:tcW w:w="979" w:type="pct"/>
            <w:shd w:val="clear" w:color="auto" w:fill="F2F2F2" w:themeFill="background1" w:themeFillShade="F2"/>
            <w:vAlign w:val="center"/>
          </w:tcPr>
          <w:p w14:paraId="530F101A" w14:textId="77777777" w:rsidR="002A48D6" w:rsidRPr="00051D51" w:rsidRDefault="002A48D6" w:rsidP="00293454">
            <w:pPr>
              <w:pStyle w:val="Tabletext"/>
              <w:keepNext/>
              <w:jc w:val="center"/>
            </w:pPr>
            <w:r>
              <w:t>substantial</w:t>
            </w:r>
          </w:p>
        </w:tc>
      </w:tr>
      <w:tr w:rsidR="002A48D6" w:rsidRPr="00051D51" w14:paraId="04E20952" w14:textId="77777777" w:rsidTr="00293454">
        <w:trPr>
          <w:cantSplit/>
          <w:jc w:val="center"/>
        </w:trPr>
        <w:tc>
          <w:tcPr>
            <w:tcW w:w="2198" w:type="pct"/>
            <w:shd w:val="clear" w:color="auto" w:fill="F2F2F2" w:themeFill="background1" w:themeFillShade="F2"/>
            <w:vAlign w:val="center"/>
          </w:tcPr>
          <w:p w14:paraId="30FFC2A4" w14:textId="77777777" w:rsidR="002A48D6" w:rsidRPr="00051D51" w:rsidRDefault="002A48D6" w:rsidP="00293454">
            <w:pPr>
              <w:pStyle w:val="Tabletext"/>
              <w:keepNext/>
            </w:pPr>
            <w:r w:rsidRPr="00051D51">
              <w:t>as indicated by degradation of the community or its habitat, or disruption of important community processes, that is:</w:t>
            </w:r>
          </w:p>
        </w:tc>
        <w:tc>
          <w:tcPr>
            <w:tcW w:w="944" w:type="pct"/>
            <w:shd w:val="clear" w:color="auto" w:fill="F2F2F2" w:themeFill="background1" w:themeFillShade="F2"/>
            <w:vAlign w:val="center"/>
          </w:tcPr>
          <w:p w14:paraId="5EDAED8F" w14:textId="77777777" w:rsidR="002A48D6" w:rsidRPr="00051D51" w:rsidRDefault="002A48D6" w:rsidP="00293454">
            <w:pPr>
              <w:pStyle w:val="Tabletext"/>
              <w:keepNext/>
              <w:jc w:val="center"/>
            </w:pPr>
            <w:r w:rsidRPr="00051D51">
              <w:t>very severe</w:t>
            </w:r>
          </w:p>
        </w:tc>
        <w:tc>
          <w:tcPr>
            <w:tcW w:w="879" w:type="pct"/>
            <w:shd w:val="clear" w:color="auto" w:fill="F2F2F2" w:themeFill="background1" w:themeFillShade="F2"/>
            <w:vAlign w:val="center"/>
          </w:tcPr>
          <w:p w14:paraId="0FD87AF1" w14:textId="77777777" w:rsidR="002A48D6" w:rsidRPr="00051D51" w:rsidRDefault="002A48D6" w:rsidP="00293454">
            <w:pPr>
              <w:pStyle w:val="Tabletext"/>
              <w:keepNext/>
              <w:jc w:val="center"/>
            </w:pPr>
            <w:r w:rsidRPr="00051D51">
              <w:t>severe</w:t>
            </w:r>
          </w:p>
        </w:tc>
        <w:tc>
          <w:tcPr>
            <w:tcW w:w="979" w:type="pct"/>
            <w:shd w:val="clear" w:color="auto" w:fill="F2F2F2" w:themeFill="background1" w:themeFillShade="F2"/>
            <w:vAlign w:val="center"/>
          </w:tcPr>
          <w:p w14:paraId="7EF129EB" w14:textId="77777777" w:rsidR="002A48D6" w:rsidRPr="00051D51" w:rsidRDefault="002A48D6" w:rsidP="00293454">
            <w:pPr>
              <w:pStyle w:val="Tabletext"/>
              <w:keepNext/>
              <w:jc w:val="center"/>
            </w:pPr>
            <w:r w:rsidRPr="00051D51">
              <w:t>substantial</w:t>
            </w:r>
          </w:p>
        </w:tc>
      </w:tr>
      <w:tr w:rsidR="002A48D6" w:rsidRPr="00051D51" w14:paraId="69BBB4A8" w14:textId="77777777" w:rsidTr="00293454">
        <w:trPr>
          <w:cantSplit/>
          <w:jc w:val="center"/>
        </w:trPr>
        <w:tc>
          <w:tcPr>
            <w:tcW w:w="2198" w:type="pct"/>
            <w:shd w:val="clear" w:color="auto" w:fill="auto"/>
          </w:tcPr>
          <w:p w14:paraId="6E8C4675" w14:textId="77777777" w:rsidR="002A48D6" w:rsidRPr="00051D51" w:rsidRDefault="002A48D6" w:rsidP="00293454">
            <w:pPr>
              <w:pStyle w:val="Tabletext"/>
              <w:rPr>
                <w:i/>
              </w:rPr>
            </w:pPr>
            <w:r w:rsidRPr="00051D51">
              <w:rPr>
                <w:i/>
              </w:rPr>
              <w:t>such that restoration is unlikely (even with positive human intervention) within</w:t>
            </w:r>
          </w:p>
        </w:tc>
        <w:tc>
          <w:tcPr>
            <w:tcW w:w="944" w:type="pct"/>
            <w:shd w:val="clear" w:color="auto" w:fill="auto"/>
          </w:tcPr>
          <w:p w14:paraId="1677F523" w14:textId="77777777" w:rsidR="002A48D6" w:rsidRPr="00051D51" w:rsidRDefault="002A48D6" w:rsidP="00293454">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auto"/>
          </w:tcPr>
          <w:p w14:paraId="1303F24B" w14:textId="77777777" w:rsidR="002A48D6" w:rsidRPr="00051D51" w:rsidRDefault="002A48D6" w:rsidP="00293454">
            <w:pPr>
              <w:pStyle w:val="Tabletext"/>
              <w:jc w:val="center"/>
              <w:rPr>
                <w:i/>
              </w:rPr>
            </w:pPr>
            <w:r w:rsidRPr="00051D51">
              <w:rPr>
                <w:i/>
              </w:rPr>
              <w:t xml:space="preserve">the </w:t>
            </w:r>
            <w:r w:rsidRPr="00051D51">
              <w:rPr>
                <w:i/>
                <w:u w:val="single"/>
              </w:rPr>
              <w:t>near</w:t>
            </w:r>
            <w:r w:rsidRPr="00051D51">
              <w:rPr>
                <w:i/>
              </w:rPr>
              <w:t xml:space="preserve"> future (20 years or 5 generations</w:t>
            </w:r>
            <w:r>
              <w:rPr>
                <w:i/>
              </w:rPr>
              <w:t xml:space="preserve"> up to a maximum of 100 years</w:t>
            </w:r>
            <w:r w:rsidRPr="00051D51">
              <w:rPr>
                <w:i/>
              </w:rPr>
              <w:t>)</w:t>
            </w:r>
          </w:p>
        </w:tc>
        <w:tc>
          <w:tcPr>
            <w:tcW w:w="979" w:type="pct"/>
            <w:shd w:val="clear" w:color="auto" w:fill="auto"/>
          </w:tcPr>
          <w:p w14:paraId="1972F207" w14:textId="77777777" w:rsidR="002A48D6" w:rsidRPr="00051D51" w:rsidRDefault="002A48D6" w:rsidP="00293454">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7A93E02C" w14:textId="77777777" w:rsidR="002A48D6" w:rsidRDefault="002A48D6" w:rsidP="002A48D6"/>
    <w:p w14:paraId="36507AD5" w14:textId="7DF9F817" w:rsidR="00CC3461" w:rsidRDefault="00CC3461" w:rsidP="0016399D">
      <w:r>
        <w:t>C</w:t>
      </w:r>
      <w:r w:rsidR="00FC528C" w:rsidRPr="00AB42FA">
        <w:t xml:space="preserve">riterion </w:t>
      </w:r>
      <w:r>
        <w:t xml:space="preserve">4 </w:t>
      </w:r>
      <w:r w:rsidR="00FC528C" w:rsidRPr="00AB42FA">
        <w:t>recognises that an ecological community can be threatened with ‘functional’ extinction through on-going modifications that do not necessarily lead to total destruction of all components of the community.</w:t>
      </w:r>
      <w:r>
        <w:t xml:space="preserve"> </w:t>
      </w:r>
      <w:r w:rsidR="00DB39C9">
        <w:t>Where data availability allows, a</w:t>
      </w:r>
      <w:r>
        <w:t xml:space="preserve">n assessment against this criterion </w:t>
      </w:r>
      <w:r w:rsidR="00FE0229">
        <w:t xml:space="preserve">should aim </w:t>
      </w:r>
      <w:r w:rsidRPr="00AB42FA">
        <w:t>to capture detrimental changes in</w:t>
      </w:r>
      <w:r>
        <w:t>:</w:t>
      </w:r>
      <w:r w:rsidRPr="00AB42FA">
        <w:t xml:space="preserve"> the identity and number of component </w:t>
      </w:r>
      <w:r w:rsidRPr="00AB42FA">
        <w:lastRenderedPageBreak/>
        <w:t xml:space="preserve">species, the relative and absolute abundances of those species, and the state of the abiotic environment that supports them. </w:t>
      </w:r>
      <w:r w:rsidR="00616FA8" w:rsidRPr="00AB42FA">
        <w:t xml:space="preserve">It includes declines and loss </w:t>
      </w:r>
      <w:r w:rsidR="00616FA8">
        <w:t xml:space="preserve">(including irretrievable) </w:t>
      </w:r>
      <w:r w:rsidR="00616FA8" w:rsidRPr="00AB42FA">
        <w:t xml:space="preserve">of native species and invasion by non-native species, as well as changes in </w:t>
      </w:r>
      <w:r w:rsidR="00616FA8">
        <w:t xml:space="preserve">critical components of </w:t>
      </w:r>
      <w:r w:rsidR="00616FA8" w:rsidRPr="00AB42FA">
        <w:t xml:space="preserve">the physical environment sufficient to lead to ongoing changes in the </w:t>
      </w:r>
      <w:r w:rsidR="00616FA8">
        <w:t xml:space="preserve">assemblage of </w:t>
      </w:r>
      <w:r w:rsidR="00616FA8" w:rsidRPr="00AB42FA">
        <w:t>biota</w:t>
      </w:r>
      <w:r w:rsidR="00616FA8">
        <w:t xml:space="preserve"> and/or their ecological function</w:t>
      </w:r>
      <w:r w:rsidR="00616FA8" w:rsidRPr="00AB42FA">
        <w:t xml:space="preserve">. </w:t>
      </w:r>
    </w:p>
    <w:p w14:paraId="6D5E8618" w14:textId="77777777" w:rsidR="00DE2CC8" w:rsidRDefault="00FC528C" w:rsidP="0016399D">
      <w:r w:rsidRPr="00AB42FA">
        <w:t xml:space="preserve">Changes in integrity </w:t>
      </w:r>
      <w:r>
        <w:t>may</w:t>
      </w:r>
      <w:r w:rsidRPr="00AB42FA">
        <w:t xml:space="preserve"> be measured by comparison with a 'benchmark state' ('reference condition')</w:t>
      </w:r>
      <w:r>
        <w:t>, particularly if this is known and relevant</w:t>
      </w:r>
      <w:r w:rsidRPr="00AB42FA">
        <w:t>.</w:t>
      </w:r>
      <w:r w:rsidR="0016399D">
        <w:t xml:space="preserve"> T</w:t>
      </w:r>
      <w:r w:rsidR="00221738">
        <w:t xml:space="preserve">hey can </w:t>
      </w:r>
      <w:r w:rsidR="00DE2CC8">
        <w:t xml:space="preserve">also </w:t>
      </w:r>
      <w:r w:rsidR="00221738">
        <w:t xml:space="preserve">be measured by loss, or by a </w:t>
      </w:r>
      <w:r w:rsidR="0011772A">
        <w:t xml:space="preserve">relatively consistent </w:t>
      </w:r>
      <w:r w:rsidR="00221738">
        <w:t>declining trend over a</w:t>
      </w:r>
      <w:r w:rsidR="00743D66">
        <w:t>n ecologically</w:t>
      </w:r>
      <w:r w:rsidR="00221738">
        <w:t xml:space="preserve"> </w:t>
      </w:r>
      <w:r w:rsidR="00795876">
        <w:t>‘relevant’ period.</w:t>
      </w:r>
      <w:r w:rsidR="00D73E58">
        <w:t xml:space="preserve"> </w:t>
      </w:r>
    </w:p>
    <w:p w14:paraId="152C8956" w14:textId="0155C483" w:rsidR="00D73E58" w:rsidRDefault="00DE2CC8" w:rsidP="00D73E58">
      <w:r>
        <w:t xml:space="preserve">Criterion 4 </w:t>
      </w:r>
      <w:r w:rsidR="0016399D" w:rsidRPr="00AB42FA">
        <w:t>recognises that ecological processes are important to maintain an ecological community (e.g. flooding) and that disruption to those processes can</w:t>
      </w:r>
      <w:r w:rsidR="0016399D">
        <w:t xml:space="preserve"> </w:t>
      </w:r>
      <w:r w:rsidR="0016399D" w:rsidRPr="00AB42FA">
        <w:t xml:space="preserve">lead </w:t>
      </w:r>
      <w:r w:rsidR="0016399D">
        <w:t xml:space="preserve">to </w:t>
      </w:r>
      <w:r w:rsidR="0016399D" w:rsidRPr="00AB42FA">
        <w:t xml:space="preserve">a decline in integrity of the ecological community. Importantly, this criterion allows for </w:t>
      </w:r>
      <w:r w:rsidR="0016399D">
        <w:t xml:space="preserve">potential </w:t>
      </w:r>
      <w:r w:rsidR="0016399D" w:rsidRPr="00AB42FA">
        <w:t xml:space="preserve">recognition of a problem at an early stage </w:t>
      </w:r>
      <w:r w:rsidR="0016399D">
        <w:t xml:space="preserve">(should that be the case), while also </w:t>
      </w:r>
      <w:r w:rsidR="0016399D" w:rsidRPr="00AB42FA">
        <w:t>allow</w:t>
      </w:r>
      <w:r w:rsidR="0016399D">
        <w:t>ing</w:t>
      </w:r>
      <w:r w:rsidR="0016399D" w:rsidRPr="00AB42FA">
        <w:t xml:space="preserve"> for consideration of inherent variability due to natural dynamics.</w:t>
      </w:r>
    </w:p>
    <w:p w14:paraId="5F36FF6E" w14:textId="77777777" w:rsidR="00550384" w:rsidRDefault="00550384" w:rsidP="00D73E58"/>
    <w:p w14:paraId="18E44A75" w14:textId="5EBD57A9" w:rsidR="00FC528C" w:rsidRDefault="00DC14BE" w:rsidP="00611214">
      <w:pPr>
        <w:jc w:val="both"/>
      </w:pPr>
      <w:r w:rsidRPr="0004094E">
        <w:rPr>
          <w:noProof/>
          <w:lang w:val="en-US"/>
        </w:rPr>
        <w:drawing>
          <wp:inline distT="0" distB="0" distL="0" distR="0" wp14:anchorId="20D8DD37" wp14:editId="05C79264">
            <wp:extent cx="6038414" cy="5257800"/>
            <wp:effectExtent l="0" t="0" r="635" b="0"/>
            <wp:docPr id="1295466280" name="Picture 1" descr="A diagram of multiple lines of evidence considered for assessment against Criter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66280" name="Picture 1" descr="A diagram of multiple lines of evidence considered for assessment against Criterion 4"/>
                    <pic:cNvPicPr/>
                  </pic:nvPicPr>
                  <pic:blipFill>
                    <a:blip r:embed="rId37"/>
                    <a:stretch>
                      <a:fillRect/>
                    </a:stretch>
                  </pic:blipFill>
                  <pic:spPr>
                    <a:xfrm>
                      <a:off x="0" y="0"/>
                      <a:ext cx="6072996" cy="5287912"/>
                    </a:xfrm>
                    <a:prstGeom prst="rect">
                      <a:avLst/>
                    </a:prstGeom>
                  </pic:spPr>
                </pic:pic>
              </a:graphicData>
            </a:graphic>
          </wp:inline>
        </w:drawing>
      </w:r>
    </w:p>
    <w:p w14:paraId="522D2E56" w14:textId="08EF9B28" w:rsidR="00CE6F4C" w:rsidRDefault="002A48D6" w:rsidP="002A48D6">
      <w:pPr>
        <w:pStyle w:val="Caption"/>
        <w:rPr>
          <w:bCs/>
          <w:sz w:val="20"/>
          <w:szCs w:val="20"/>
          <w:lang w:val="en-US"/>
        </w:rPr>
      </w:pPr>
      <w:r>
        <w:t xml:space="preserve">Figure </w:t>
      </w:r>
      <w:r>
        <w:fldChar w:fldCharType="begin"/>
      </w:r>
      <w:r>
        <w:instrText xml:space="preserve"> SEQ Figure \* ARABIC </w:instrText>
      </w:r>
      <w:r>
        <w:fldChar w:fldCharType="separate"/>
      </w:r>
      <w:r w:rsidR="006D35C5">
        <w:rPr>
          <w:noProof/>
        </w:rPr>
        <w:t>10</w:t>
      </w:r>
      <w:r>
        <w:fldChar w:fldCharType="end"/>
      </w:r>
      <w:r w:rsidR="00EC2506" w:rsidRPr="002E1AD5">
        <w:rPr>
          <w:bCs/>
          <w:lang w:val="en-US"/>
        </w:rPr>
        <w:t xml:space="preserve">: </w:t>
      </w:r>
      <w:r w:rsidR="00EC2506" w:rsidRPr="00CE6F4C">
        <w:rPr>
          <w:bCs/>
          <w:sz w:val="20"/>
          <w:szCs w:val="20"/>
          <w:lang w:val="en-US"/>
        </w:rPr>
        <w:t>Multiple lines</w:t>
      </w:r>
      <w:r w:rsidR="00030C0D" w:rsidRPr="00CE6F4C">
        <w:rPr>
          <w:bCs/>
          <w:sz w:val="20"/>
          <w:szCs w:val="20"/>
          <w:lang w:val="en-US"/>
        </w:rPr>
        <w:t>-</w:t>
      </w:r>
      <w:r w:rsidR="00EC2506" w:rsidRPr="00CE6F4C">
        <w:rPr>
          <w:bCs/>
          <w:sz w:val="20"/>
          <w:szCs w:val="20"/>
          <w:lang w:val="en-US"/>
        </w:rPr>
        <w:t>of</w:t>
      </w:r>
      <w:r w:rsidR="00030C0D" w:rsidRPr="00CE6F4C">
        <w:rPr>
          <w:bCs/>
          <w:sz w:val="20"/>
          <w:szCs w:val="20"/>
          <w:lang w:val="en-US"/>
        </w:rPr>
        <w:t>-</w:t>
      </w:r>
      <w:r w:rsidR="00EC2506" w:rsidRPr="00CE6F4C">
        <w:rPr>
          <w:bCs/>
          <w:sz w:val="20"/>
          <w:szCs w:val="20"/>
          <w:lang w:val="en-US"/>
        </w:rPr>
        <w:t xml:space="preserve">evidence </w:t>
      </w:r>
      <w:r w:rsidR="00072DD7" w:rsidRPr="00CE6F4C">
        <w:rPr>
          <w:bCs/>
          <w:sz w:val="20"/>
          <w:szCs w:val="20"/>
          <w:lang w:val="en-US"/>
        </w:rPr>
        <w:t xml:space="preserve">(drivers and/or indicators) </w:t>
      </w:r>
      <w:r w:rsidR="00EC2506" w:rsidRPr="00CE6F4C">
        <w:rPr>
          <w:bCs/>
          <w:sz w:val="20"/>
          <w:szCs w:val="20"/>
          <w:lang w:val="en-US"/>
        </w:rPr>
        <w:t xml:space="preserve">considered for assessment against </w:t>
      </w:r>
      <w:r w:rsidR="00EC2506" w:rsidRPr="00CE6F4C">
        <w:rPr>
          <w:bCs/>
          <w:i/>
          <w:sz w:val="20"/>
          <w:szCs w:val="20"/>
          <w:lang w:val="en-US"/>
        </w:rPr>
        <w:t>Criterion 4:</w:t>
      </w:r>
      <w:r w:rsidR="00EC2506" w:rsidRPr="00CE6F4C">
        <w:rPr>
          <w:bCs/>
          <w:sz w:val="20"/>
          <w:szCs w:val="20"/>
          <w:lang w:val="en-US"/>
        </w:rPr>
        <w:t xml:space="preserve"> </w:t>
      </w:r>
      <w:r w:rsidR="00EC2506" w:rsidRPr="00CE6F4C">
        <w:rPr>
          <w:bCs/>
          <w:i/>
          <w:sz w:val="20"/>
          <w:szCs w:val="20"/>
          <w:lang w:val="en-US"/>
        </w:rPr>
        <w:t>Reduction in Community Integrity</w:t>
      </w:r>
      <w:r w:rsidR="00EC2506" w:rsidRPr="00CE6F4C">
        <w:rPr>
          <w:bCs/>
          <w:sz w:val="20"/>
          <w:szCs w:val="20"/>
          <w:lang w:val="en-US"/>
        </w:rPr>
        <w:t xml:space="preserve"> </w:t>
      </w:r>
      <w:r w:rsidR="00611214" w:rsidRPr="00CE6F4C">
        <w:rPr>
          <w:bCs/>
          <w:sz w:val="20"/>
          <w:szCs w:val="20"/>
          <w:lang w:val="en-US"/>
        </w:rPr>
        <w:t xml:space="preserve">for the </w:t>
      </w:r>
      <w:r w:rsidR="00611214" w:rsidRPr="00DB128C">
        <w:rPr>
          <w:bCs/>
          <w:i/>
          <w:sz w:val="20"/>
          <w:szCs w:val="20"/>
          <w:lang w:val="en-US"/>
        </w:rPr>
        <w:t>River Murray—Darling to Sea</w:t>
      </w:r>
      <w:r w:rsidR="00611214" w:rsidRPr="00CE6F4C">
        <w:rPr>
          <w:bCs/>
          <w:sz w:val="20"/>
          <w:szCs w:val="20"/>
          <w:lang w:val="en-US"/>
        </w:rPr>
        <w:t xml:space="preserve"> Ecological Community </w:t>
      </w:r>
      <w:r w:rsidR="00EC2506" w:rsidRPr="00CE6F4C">
        <w:rPr>
          <w:bCs/>
          <w:sz w:val="20"/>
          <w:szCs w:val="20"/>
          <w:lang w:val="en-US"/>
        </w:rPr>
        <w:t>(G</w:t>
      </w:r>
      <w:r w:rsidR="00400968" w:rsidRPr="00CE6F4C">
        <w:rPr>
          <w:bCs/>
          <w:sz w:val="20"/>
          <w:szCs w:val="20"/>
          <w:lang w:val="en-US"/>
        </w:rPr>
        <w:t>M</w:t>
      </w:r>
      <w:r w:rsidR="00EC2506" w:rsidRPr="00CE6F4C">
        <w:rPr>
          <w:bCs/>
          <w:sz w:val="20"/>
          <w:szCs w:val="20"/>
          <w:lang w:val="en-US"/>
        </w:rPr>
        <w:t xml:space="preserve"> Newton).</w:t>
      </w:r>
    </w:p>
    <w:p w14:paraId="2E1E0C4D" w14:textId="77777777" w:rsidR="002A48D6" w:rsidRPr="002A48D6" w:rsidRDefault="002A48D6" w:rsidP="002A48D6">
      <w:pPr>
        <w:rPr>
          <w:lang w:val="en-US"/>
        </w:rPr>
      </w:pPr>
    </w:p>
    <w:p w14:paraId="509463C2" w14:textId="10C38269" w:rsidR="00C6541B" w:rsidRDefault="000014A6" w:rsidP="001E3DC2">
      <w:r>
        <w:lastRenderedPageBreak/>
        <w:t xml:space="preserve">For the </w:t>
      </w:r>
      <w:r w:rsidRPr="008309AF">
        <w:rPr>
          <w:i/>
          <w:iCs/>
        </w:rPr>
        <w:t>River Murray—Darling to Sea</w:t>
      </w:r>
      <w:r>
        <w:t xml:space="preserve"> EC, assessment of Criterion 4 takes a multiple lines-of-evidence approach, against four main categories—each with three to five sub-categories (see </w:t>
      </w:r>
      <w:r w:rsidRPr="00CE019D">
        <w:rPr>
          <w:u w:val="single"/>
        </w:rPr>
        <w:t>Figure 10</w:t>
      </w:r>
      <w:r>
        <w:t xml:space="preserve">). In particular, </w:t>
      </w:r>
      <w:r w:rsidRPr="00AB42FA">
        <w:t xml:space="preserve">the following drivers and indicators of reduction in community integrity are pertinent </w:t>
      </w:r>
      <w:r>
        <w:t xml:space="preserve">to this assessment, </w:t>
      </w:r>
      <w:r w:rsidRPr="00AB42FA">
        <w:t>due to the threats outline</w:t>
      </w:r>
      <w:r>
        <w:t>d</w:t>
      </w:r>
      <w:r w:rsidRPr="00AB42FA">
        <w:t xml:space="preserve"> in </w:t>
      </w:r>
      <w:r w:rsidRPr="00671B3F">
        <w:rPr>
          <w:u w:val="single"/>
        </w:rPr>
        <w:t xml:space="preserve">Table </w:t>
      </w:r>
      <w:r>
        <w:rPr>
          <w:u w:val="single"/>
        </w:rPr>
        <w:t>23</w:t>
      </w:r>
      <w:r w:rsidR="00A573F0">
        <w:t>.</w:t>
      </w:r>
    </w:p>
    <w:tbl>
      <w:tblPr>
        <w:tblStyle w:val="TableGrid"/>
        <w:tblW w:w="5000" w:type="pct"/>
        <w:tblLook w:val="04A0" w:firstRow="1" w:lastRow="0" w:firstColumn="1" w:lastColumn="0" w:noHBand="0" w:noVBand="1"/>
      </w:tblPr>
      <w:tblGrid>
        <w:gridCol w:w="9060"/>
      </w:tblGrid>
      <w:tr w:rsidR="001D1012" w14:paraId="21C9DC43" w14:textId="77777777" w:rsidTr="00F64121">
        <w:tc>
          <w:tcPr>
            <w:tcW w:w="5000" w:type="pct"/>
            <w:shd w:val="clear" w:color="auto" w:fill="DEEAF6" w:themeFill="accent1" w:themeFillTint="33"/>
          </w:tcPr>
          <w:p w14:paraId="26193B12" w14:textId="5A0F385F" w:rsidR="001D1012" w:rsidRPr="00A604EC" w:rsidRDefault="001D1012" w:rsidP="00FC528C">
            <w:pPr>
              <w:rPr>
                <w:b/>
                <w:bCs/>
                <w:i/>
                <w:iCs/>
                <w:lang w:val="en-US"/>
              </w:rPr>
            </w:pPr>
            <w:r w:rsidRPr="00A604EC">
              <w:rPr>
                <w:b/>
                <w:bCs/>
                <w:i/>
                <w:iCs/>
                <w:lang w:val="en-US"/>
              </w:rPr>
              <w:t>Overview of Criterion 4</w:t>
            </w:r>
            <w:r w:rsidR="00D65F7A">
              <w:rPr>
                <w:b/>
                <w:bCs/>
                <w:i/>
                <w:iCs/>
                <w:lang w:val="en-US"/>
              </w:rPr>
              <w:t xml:space="preserve"> Assessment</w:t>
            </w:r>
          </w:p>
          <w:p w14:paraId="3539DAD6" w14:textId="4844AD28" w:rsidR="00ED3183" w:rsidRDefault="00ED3183" w:rsidP="00C52EFB">
            <w:pPr>
              <w:spacing w:after="0"/>
              <w:contextualSpacing/>
              <w:rPr>
                <w:b/>
                <w:bCs/>
                <w:lang w:val="en-US"/>
              </w:rPr>
            </w:pPr>
            <w:r>
              <w:rPr>
                <w:b/>
                <w:bCs/>
                <w:lang w:val="en-US"/>
              </w:rPr>
              <w:t xml:space="preserve">1a) </w:t>
            </w:r>
            <w:r w:rsidR="00B77FFA">
              <w:rPr>
                <w:b/>
                <w:bCs/>
                <w:lang w:val="en-US"/>
              </w:rPr>
              <w:t>Decline in integrity from b</w:t>
            </w:r>
            <w:r>
              <w:rPr>
                <w:b/>
                <w:bCs/>
                <w:lang w:val="en-US"/>
              </w:rPr>
              <w:t xml:space="preserve">iodiversity </w:t>
            </w:r>
            <w:r w:rsidR="00B77FFA">
              <w:rPr>
                <w:b/>
                <w:bCs/>
                <w:lang w:val="en-US"/>
              </w:rPr>
              <w:t>l</w:t>
            </w:r>
            <w:r>
              <w:rPr>
                <w:b/>
                <w:bCs/>
                <w:lang w:val="en-US"/>
              </w:rPr>
              <w:t>oss</w:t>
            </w:r>
          </w:p>
          <w:p w14:paraId="6E3D848C" w14:textId="1DCF7561" w:rsidR="00ED3183" w:rsidRPr="007D0C67" w:rsidRDefault="00C52EFB" w:rsidP="004162AC">
            <w:pPr>
              <w:pStyle w:val="ListParagraph"/>
              <w:numPr>
                <w:ilvl w:val="0"/>
                <w:numId w:val="85"/>
              </w:numPr>
              <w:spacing w:after="0"/>
              <w:rPr>
                <w:b/>
                <w:bCs/>
                <w:sz w:val="20"/>
                <w:szCs w:val="20"/>
                <w:lang w:val="en-US"/>
              </w:rPr>
            </w:pPr>
            <w:r w:rsidRPr="007D0C67">
              <w:rPr>
                <w:sz w:val="20"/>
                <w:szCs w:val="20"/>
                <w:lang w:val="en-US"/>
              </w:rPr>
              <w:t>m</w:t>
            </w:r>
            <w:r w:rsidR="00ED3183" w:rsidRPr="007D0C67">
              <w:rPr>
                <w:sz w:val="20"/>
                <w:szCs w:val="20"/>
                <w:lang w:val="en-US"/>
              </w:rPr>
              <w:t>acrophytes</w:t>
            </w:r>
          </w:p>
          <w:p w14:paraId="7C4E5BF3" w14:textId="77777777" w:rsidR="00ED3183" w:rsidRPr="007D0C67" w:rsidRDefault="00ED3183" w:rsidP="004162AC">
            <w:pPr>
              <w:pStyle w:val="ListParagraph"/>
              <w:numPr>
                <w:ilvl w:val="0"/>
                <w:numId w:val="85"/>
              </w:numPr>
              <w:spacing w:after="0"/>
              <w:rPr>
                <w:b/>
                <w:bCs/>
                <w:sz w:val="20"/>
                <w:szCs w:val="20"/>
                <w:lang w:val="en-US"/>
              </w:rPr>
            </w:pPr>
            <w:r w:rsidRPr="007D0C67">
              <w:rPr>
                <w:sz w:val="20"/>
                <w:szCs w:val="20"/>
                <w:lang w:val="en-US"/>
              </w:rPr>
              <w:t>macroinvertebrates</w:t>
            </w:r>
          </w:p>
          <w:p w14:paraId="79DFA2FE" w14:textId="77777777" w:rsidR="00C52EFB" w:rsidRPr="007D0C67" w:rsidRDefault="00C52EFB" w:rsidP="004162AC">
            <w:pPr>
              <w:pStyle w:val="ListParagraph"/>
              <w:numPr>
                <w:ilvl w:val="0"/>
                <w:numId w:val="85"/>
              </w:numPr>
              <w:spacing w:after="0"/>
              <w:rPr>
                <w:sz w:val="20"/>
                <w:szCs w:val="20"/>
                <w:lang w:val="en-US"/>
              </w:rPr>
            </w:pPr>
            <w:r w:rsidRPr="007D0C67">
              <w:rPr>
                <w:sz w:val="20"/>
                <w:szCs w:val="20"/>
                <w:lang w:val="en-US"/>
              </w:rPr>
              <w:t>fish</w:t>
            </w:r>
          </w:p>
          <w:p w14:paraId="6F4F08A1" w14:textId="77777777" w:rsidR="00C52EFB" w:rsidRPr="007D0C67" w:rsidRDefault="00C52EFB" w:rsidP="004162AC">
            <w:pPr>
              <w:pStyle w:val="ListParagraph"/>
              <w:numPr>
                <w:ilvl w:val="0"/>
                <w:numId w:val="85"/>
              </w:numPr>
              <w:spacing w:after="0"/>
              <w:rPr>
                <w:sz w:val="20"/>
                <w:szCs w:val="20"/>
                <w:lang w:val="en-US"/>
              </w:rPr>
            </w:pPr>
            <w:r w:rsidRPr="007D0C67">
              <w:rPr>
                <w:sz w:val="20"/>
                <w:szCs w:val="20"/>
                <w:lang w:val="en-US"/>
              </w:rPr>
              <w:t>birds</w:t>
            </w:r>
          </w:p>
          <w:p w14:paraId="42AC6EEC" w14:textId="06B023F3" w:rsidR="00C52EFB" w:rsidRDefault="00C52EFB" w:rsidP="00C52EFB">
            <w:pPr>
              <w:spacing w:after="0"/>
              <w:rPr>
                <w:b/>
                <w:bCs/>
                <w:lang w:val="en-US"/>
              </w:rPr>
            </w:pPr>
            <w:r w:rsidRPr="00775F21">
              <w:rPr>
                <w:b/>
                <w:bCs/>
                <w:lang w:val="en-US"/>
              </w:rPr>
              <w:t>1</w:t>
            </w:r>
            <w:r w:rsidR="00775F21" w:rsidRPr="00775F21">
              <w:rPr>
                <w:b/>
                <w:bCs/>
                <w:lang w:val="en-US"/>
              </w:rPr>
              <w:t xml:space="preserve">b) </w:t>
            </w:r>
            <w:r w:rsidR="00E82009">
              <w:rPr>
                <w:b/>
                <w:bCs/>
                <w:lang w:val="en-US"/>
              </w:rPr>
              <w:t>Decline in integrity from i</w:t>
            </w:r>
            <w:r w:rsidR="00775F21">
              <w:rPr>
                <w:b/>
                <w:bCs/>
                <w:lang w:val="en-US"/>
              </w:rPr>
              <w:t>nvasion by non-native species</w:t>
            </w:r>
          </w:p>
          <w:p w14:paraId="369D2373" w14:textId="14327E7B" w:rsidR="00775F21" w:rsidRPr="007D0C67" w:rsidRDefault="00775F21" w:rsidP="004162AC">
            <w:pPr>
              <w:pStyle w:val="ListParagraph"/>
              <w:numPr>
                <w:ilvl w:val="0"/>
                <w:numId w:val="85"/>
              </w:numPr>
              <w:spacing w:after="0"/>
              <w:rPr>
                <w:sz w:val="20"/>
                <w:szCs w:val="20"/>
                <w:lang w:val="en-US"/>
              </w:rPr>
            </w:pPr>
            <w:r w:rsidRPr="007D0C67">
              <w:rPr>
                <w:sz w:val="20"/>
                <w:szCs w:val="20"/>
                <w:lang w:val="en-US"/>
              </w:rPr>
              <w:t>aquatic weeds</w:t>
            </w:r>
          </w:p>
          <w:p w14:paraId="4565B277" w14:textId="1B3171D5" w:rsidR="00775F21" w:rsidRPr="007D0C67" w:rsidRDefault="00D85CA0" w:rsidP="004162AC">
            <w:pPr>
              <w:pStyle w:val="ListParagraph"/>
              <w:numPr>
                <w:ilvl w:val="0"/>
                <w:numId w:val="85"/>
              </w:numPr>
              <w:spacing w:after="0"/>
              <w:rPr>
                <w:sz w:val="20"/>
                <w:szCs w:val="20"/>
                <w:lang w:val="en-US"/>
              </w:rPr>
            </w:pPr>
            <w:r w:rsidRPr="007D0C67">
              <w:rPr>
                <w:sz w:val="20"/>
                <w:szCs w:val="20"/>
                <w:lang w:val="en-US"/>
              </w:rPr>
              <w:t>terrestrial weeds</w:t>
            </w:r>
          </w:p>
          <w:p w14:paraId="697C6834" w14:textId="1F7A0B4D" w:rsidR="00775F21" w:rsidRPr="007D0C67" w:rsidRDefault="00D85CA0" w:rsidP="004162AC">
            <w:pPr>
              <w:pStyle w:val="ListParagraph"/>
              <w:numPr>
                <w:ilvl w:val="0"/>
                <w:numId w:val="85"/>
              </w:numPr>
              <w:spacing w:after="0"/>
              <w:rPr>
                <w:sz w:val="20"/>
                <w:szCs w:val="20"/>
                <w:lang w:val="en-US"/>
              </w:rPr>
            </w:pPr>
            <w:r w:rsidRPr="007D0C67">
              <w:rPr>
                <w:sz w:val="20"/>
                <w:szCs w:val="20"/>
                <w:lang w:val="en-US"/>
              </w:rPr>
              <w:t>common carp &amp; other non-native fish</w:t>
            </w:r>
          </w:p>
          <w:p w14:paraId="64B67F16" w14:textId="1E7B6D58" w:rsidR="00775F21" w:rsidRDefault="00004A2E" w:rsidP="004162AC">
            <w:pPr>
              <w:pStyle w:val="ListParagraph"/>
              <w:numPr>
                <w:ilvl w:val="0"/>
                <w:numId w:val="85"/>
              </w:numPr>
              <w:spacing w:after="0"/>
              <w:rPr>
                <w:sz w:val="20"/>
                <w:szCs w:val="20"/>
                <w:lang w:val="en-US"/>
              </w:rPr>
            </w:pPr>
            <w:r>
              <w:rPr>
                <w:sz w:val="20"/>
                <w:szCs w:val="20"/>
                <w:lang w:val="en-US"/>
              </w:rPr>
              <w:t>feral mammals &amp; birds</w:t>
            </w:r>
          </w:p>
          <w:p w14:paraId="2E8D1C96" w14:textId="4FEC6FE7" w:rsidR="00004A2E" w:rsidRDefault="00004A2E" w:rsidP="004162AC">
            <w:pPr>
              <w:pStyle w:val="ListParagraph"/>
              <w:numPr>
                <w:ilvl w:val="0"/>
                <w:numId w:val="85"/>
              </w:numPr>
              <w:spacing w:after="0"/>
              <w:rPr>
                <w:sz w:val="20"/>
                <w:szCs w:val="20"/>
                <w:lang w:val="en-US"/>
              </w:rPr>
            </w:pPr>
            <w:r>
              <w:rPr>
                <w:sz w:val="20"/>
                <w:szCs w:val="20"/>
                <w:lang w:val="en-US"/>
              </w:rPr>
              <w:t>non-native invertebrates</w:t>
            </w:r>
          </w:p>
          <w:p w14:paraId="27AAFA83" w14:textId="3C75B73A" w:rsidR="00004A2E" w:rsidRDefault="005C4A44" w:rsidP="00004A2E">
            <w:pPr>
              <w:spacing w:after="0"/>
              <w:rPr>
                <w:b/>
                <w:bCs/>
                <w:lang w:val="en-US"/>
              </w:rPr>
            </w:pPr>
            <w:r w:rsidRPr="005C4A44">
              <w:rPr>
                <w:b/>
                <w:bCs/>
                <w:lang w:val="en-US"/>
              </w:rPr>
              <w:t xml:space="preserve">2a) </w:t>
            </w:r>
            <w:r w:rsidR="00E236D8">
              <w:rPr>
                <w:b/>
                <w:bCs/>
                <w:lang w:val="en-US"/>
              </w:rPr>
              <w:t>Decline in integrity from a</w:t>
            </w:r>
            <w:r w:rsidRPr="005C4A44">
              <w:rPr>
                <w:b/>
                <w:bCs/>
                <w:lang w:val="en-US"/>
              </w:rPr>
              <w:t>ltered hydrological regime</w:t>
            </w:r>
          </w:p>
          <w:p w14:paraId="393FD242" w14:textId="6FBE1DF9" w:rsidR="005C4A44" w:rsidRPr="005C4A44" w:rsidRDefault="005C4A44" w:rsidP="004162AC">
            <w:pPr>
              <w:pStyle w:val="ListParagraph"/>
              <w:numPr>
                <w:ilvl w:val="0"/>
                <w:numId w:val="85"/>
              </w:numPr>
              <w:spacing w:after="0"/>
              <w:rPr>
                <w:sz w:val="20"/>
                <w:szCs w:val="20"/>
                <w:lang w:val="en-US"/>
              </w:rPr>
            </w:pPr>
            <w:r w:rsidRPr="005C4A44">
              <w:rPr>
                <w:sz w:val="20"/>
                <w:szCs w:val="20"/>
              </w:rPr>
              <w:t>altered flooding regime - loss of medium floods</w:t>
            </w:r>
            <w:r>
              <w:rPr>
                <w:sz w:val="20"/>
                <w:szCs w:val="20"/>
              </w:rPr>
              <w:t xml:space="preserve"> </w:t>
            </w:r>
            <w:r w:rsidRPr="005C4A44">
              <w:rPr>
                <w:sz w:val="20"/>
                <w:szCs w:val="20"/>
              </w:rPr>
              <w:t>and flooding/flow variability</w:t>
            </w:r>
          </w:p>
          <w:p w14:paraId="5EE37C36" w14:textId="77777777" w:rsidR="005C4A44" w:rsidRPr="005C4A44" w:rsidRDefault="005C4A44" w:rsidP="004162AC">
            <w:pPr>
              <w:pStyle w:val="ListBullet"/>
              <w:numPr>
                <w:ilvl w:val="0"/>
                <w:numId w:val="85"/>
              </w:numPr>
              <w:spacing w:after="60" w:line="240" w:lineRule="auto"/>
              <w:rPr>
                <w:sz w:val="20"/>
                <w:szCs w:val="20"/>
              </w:rPr>
            </w:pPr>
            <w:r w:rsidRPr="005C4A44">
              <w:rPr>
                <w:sz w:val="20"/>
                <w:szCs w:val="20"/>
              </w:rPr>
              <w:t>increased water level stability and reduction in flow velocity</w:t>
            </w:r>
          </w:p>
          <w:p w14:paraId="074D1092" w14:textId="77777777" w:rsidR="005C4A44" w:rsidRPr="005C4A44" w:rsidRDefault="005C4A44" w:rsidP="004162AC">
            <w:pPr>
              <w:pStyle w:val="ListBullet"/>
              <w:numPr>
                <w:ilvl w:val="0"/>
                <w:numId w:val="85"/>
              </w:numPr>
              <w:spacing w:after="60" w:line="240" w:lineRule="auto"/>
              <w:rPr>
                <w:sz w:val="20"/>
                <w:szCs w:val="20"/>
              </w:rPr>
            </w:pPr>
            <w:r w:rsidRPr="005C4A44">
              <w:rPr>
                <w:sz w:val="20"/>
                <w:szCs w:val="20"/>
              </w:rPr>
              <w:t xml:space="preserve">decline in functional mouth condition </w:t>
            </w:r>
          </w:p>
          <w:p w14:paraId="60720664" w14:textId="47A8EF2E" w:rsidR="005C4A44" w:rsidRPr="005C4A44" w:rsidRDefault="005C4A44" w:rsidP="004162AC">
            <w:pPr>
              <w:pStyle w:val="ListParagraph"/>
              <w:numPr>
                <w:ilvl w:val="0"/>
                <w:numId w:val="85"/>
              </w:numPr>
              <w:spacing w:after="0"/>
              <w:rPr>
                <w:sz w:val="20"/>
                <w:szCs w:val="20"/>
                <w:lang w:val="en-US"/>
              </w:rPr>
            </w:pPr>
            <w:r w:rsidRPr="005C4A44">
              <w:rPr>
                <w:sz w:val="20"/>
                <w:szCs w:val="20"/>
              </w:rPr>
              <w:t>decline in water quality (salinity, turbidity, ASS, algal blooms, eutrophication, blackwater, etc.)</w:t>
            </w:r>
          </w:p>
          <w:p w14:paraId="4D1BB6D4" w14:textId="467CC1DB" w:rsidR="005C4A44" w:rsidRPr="004F7C1E" w:rsidRDefault="004F7C1E" w:rsidP="005C4A44">
            <w:pPr>
              <w:spacing w:after="0"/>
              <w:rPr>
                <w:b/>
                <w:bCs/>
                <w:lang w:val="en-US"/>
              </w:rPr>
            </w:pPr>
            <w:r w:rsidRPr="004F7C1E">
              <w:rPr>
                <w:b/>
                <w:bCs/>
                <w:lang w:val="en-US"/>
              </w:rPr>
              <w:t xml:space="preserve">2b) </w:t>
            </w:r>
            <w:r w:rsidR="00E236D8">
              <w:rPr>
                <w:b/>
                <w:bCs/>
                <w:lang w:val="en-US"/>
              </w:rPr>
              <w:t>Decline in integrity from l</w:t>
            </w:r>
            <w:r w:rsidRPr="004F7C1E">
              <w:rPr>
                <w:b/>
                <w:bCs/>
                <w:lang w:val="en-US"/>
              </w:rPr>
              <w:t xml:space="preserve">oss of </w:t>
            </w:r>
            <w:r w:rsidR="00E236D8">
              <w:rPr>
                <w:b/>
                <w:bCs/>
                <w:lang w:val="en-US"/>
              </w:rPr>
              <w:t>c</w:t>
            </w:r>
            <w:r w:rsidRPr="004F7C1E">
              <w:rPr>
                <w:b/>
                <w:bCs/>
                <w:lang w:val="en-US"/>
              </w:rPr>
              <w:t>onnectivity</w:t>
            </w:r>
          </w:p>
          <w:p w14:paraId="12538CE3" w14:textId="77777777" w:rsidR="004F7C1E" w:rsidRPr="004F7C1E" w:rsidRDefault="004F7C1E" w:rsidP="004162AC">
            <w:pPr>
              <w:pStyle w:val="ListBullet"/>
              <w:numPr>
                <w:ilvl w:val="0"/>
                <w:numId w:val="85"/>
              </w:numPr>
              <w:spacing w:after="60" w:line="240" w:lineRule="auto"/>
              <w:rPr>
                <w:sz w:val="20"/>
                <w:szCs w:val="20"/>
              </w:rPr>
            </w:pPr>
            <w:r w:rsidRPr="004F7C1E">
              <w:rPr>
                <w:sz w:val="20"/>
                <w:szCs w:val="20"/>
              </w:rPr>
              <w:t>between river (and tributaries and lakes) and floodplain</w:t>
            </w:r>
          </w:p>
          <w:p w14:paraId="375355FE" w14:textId="77777777" w:rsidR="00EC638C" w:rsidRDefault="004F7C1E" w:rsidP="004162AC">
            <w:pPr>
              <w:pStyle w:val="ListBullet"/>
              <w:numPr>
                <w:ilvl w:val="0"/>
                <w:numId w:val="85"/>
              </w:numPr>
              <w:spacing w:after="60" w:line="240" w:lineRule="auto"/>
              <w:rPr>
                <w:sz w:val="20"/>
                <w:szCs w:val="20"/>
              </w:rPr>
            </w:pPr>
            <w:r w:rsidRPr="004F7C1E">
              <w:rPr>
                <w:sz w:val="20"/>
                <w:szCs w:val="20"/>
              </w:rPr>
              <w:t xml:space="preserve">within channel </w:t>
            </w:r>
          </w:p>
          <w:p w14:paraId="734BC227" w14:textId="38287F7C" w:rsidR="00BA48A5" w:rsidRDefault="004F7C1E" w:rsidP="004162AC">
            <w:pPr>
              <w:pStyle w:val="ListBullet"/>
              <w:numPr>
                <w:ilvl w:val="1"/>
                <w:numId w:val="85"/>
              </w:numPr>
              <w:spacing w:after="60" w:line="240" w:lineRule="auto"/>
              <w:rPr>
                <w:sz w:val="20"/>
                <w:szCs w:val="20"/>
              </w:rPr>
            </w:pPr>
            <w:r w:rsidRPr="004F7C1E">
              <w:rPr>
                <w:sz w:val="20"/>
                <w:szCs w:val="20"/>
              </w:rPr>
              <w:t xml:space="preserve">between freshwater </w:t>
            </w:r>
            <w:r w:rsidR="00BA48A5">
              <w:rPr>
                <w:sz w:val="20"/>
                <w:szCs w:val="20"/>
              </w:rPr>
              <w:t>sections</w:t>
            </w:r>
          </w:p>
          <w:p w14:paraId="5EC18008" w14:textId="56ECBD88" w:rsidR="00EC638C" w:rsidRDefault="00EC638C" w:rsidP="004162AC">
            <w:pPr>
              <w:pStyle w:val="ListBullet"/>
              <w:numPr>
                <w:ilvl w:val="1"/>
                <w:numId w:val="85"/>
              </w:numPr>
              <w:spacing w:after="60" w:line="240" w:lineRule="auto"/>
              <w:rPr>
                <w:sz w:val="20"/>
                <w:szCs w:val="20"/>
              </w:rPr>
            </w:pPr>
            <w:r>
              <w:rPr>
                <w:sz w:val="20"/>
                <w:szCs w:val="20"/>
              </w:rPr>
              <w:t>between freshwater and estuary sections</w:t>
            </w:r>
          </w:p>
          <w:p w14:paraId="0BF6CE0E" w14:textId="527E7217" w:rsidR="00AB1001" w:rsidRDefault="00AB1001" w:rsidP="004162AC">
            <w:pPr>
              <w:pStyle w:val="ListBullet"/>
              <w:numPr>
                <w:ilvl w:val="1"/>
                <w:numId w:val="85"/>
              </w:numPr>
              <w:spacing w:after="60" w:line="240" w:lineRule="auto"/>
              <w:rPr>
                <w:sz w:val="20"/>
                <w:szCs w:val="20"/>
              </w:rPr>
            </w:pPr>
            <w:r>
              <w:rPr>
                <w:sz w:val="20"/>
                <w:szCs w:val="20"/>
              </w:rPr>
              <w:t>between estuary and adjacent ocean</w:t>
            </w:r>
          </w:p>
          <w:p w14:paraId="6ED5F94C" w14:textId="0E02DD3E" w:rsidR="00B16E08" w:rsidRPr="00B16E08" w:rsidRDefault="00B16E08" w:rsidP="00AB1001">
            <w:pPr>
              <w:pStyle w:val="ListBullet"/>
              <w:spacing w:after="60" w:line="240" w:lineRule="auto"/>
              <w:ind w:left="360"/>
              <w:rPr>
                <w:sz w:val="8"/>
                <w:szCs w:val="8"/>
              </w:rPr>
            </w:pPr>
          </w:p>
        </w:tc>
      </w:tr>
    </w:tbl>
    <w:p w14:paraId="6B5FC270" w14:textId="77777777" w:rsidR="007F4432" w:rsidRDefault="007F4432" w:rsidP="00FC528C">
      <w:pPr>
        <w:rPr>
          <w:b/>
          <w:bCs/>
          <w:lang w:val="en-US"/>
        </w:rPr>
      </w:pPr>
    </w:p>
    <w:p w14:paraId="6AD8AAD3" w14:textId="4291A08A" w:rsidR="00F91590" w:rsidRDefault="00F91590" w:rsidP="00F64121">
      <w:pPr>
        <w:pStyle w:val="Consultationquestions"/>
        <w:numPr>
          <w:ilvl w:val="0"/>
          <w:numId w:val="0"/>
        </w:numPr>
        <w:pBdr>
          <w:right w:val="single" w:sz="4" w:space="0" w:color="auto"/>
        </w:pBdr>
        <w:shd w:val="clear" w:color="auto" w:fill="FFF2CC" w:themeFill="accent4" w:themeFillTint="33"/>
        <w:rPr>
          <w:b/>
          <w:bCs/>
          <w:i/>
          <w:iCs/>
          <w:color w:val="auto"/>
        </w:rPr>
      </w:pPr>
      <w:r w:rsidRPr="00F91590">
        <w:rPr>
          <w:b/>
          <w:bCs/>
          <w:i/>
          <w:iCs/>
          <w:color w:val="auto"/>
        </w:rPr>
        <w:t>Note</w:t>
      </w:r>
      <w:r w:rsidR="00CE6DC1">
        <w:rPr>
          <w:b/>
          <w:bCs/>
          <w:i/>
          <w:iCs/>
          <w:color w:val="auto"/>
        </w:rPr>
        <w:t xml:space="preserve"> Regarding Criterion 4 parts 1b) and 2a) and 2b)</w:t>
      </w:r>
    </w:p>
    <w:p w14:paraId="68C830DC" w14:textId="77777777" w:rsidR="002D01C2" w:rsidRPr="00F91590" w:rsidRDefault="002D01C2" w:rsidP="00F64121">
      <w:pPr>
        <w:pStyle w:val="Consultationquestions"/>
        <w:numPr>
          <w:ilvl w:val="0"/>
          <w:numId w:val="0"/>
        </w:numPr>
        <w:pBdr>
          <w:right w:val="single" w:sz="4" w:space="0" w:color="auto"/>
        </w:pBdr>
        <w:shd w:val="clear" w:color="auto" w:fill="FFF2CC" w:themeFill="accent4" w:themeFillTint="33"/>
        <w:rPr>
          <w:b/>
          <w:bCs/>
          <w:i/>
          <w:iCs/>
          <w:color w:val="auto"/>
        </w:rPr>
      </w:pPr>
    </w:p>
    <w:p w14:paraId="3FD63F7B" w14:textId="778A625C" w:rsidR="00830C7B" w:rsidRDefault="00830C7B" w:rsidP="00F64121">
      <w:pPr>
        <w:pStyle w:val="Consultationquestions"/>
        <w:pBdr>
          <w:right w:val="single" w:sz="4" w:space="0" w:color="auto"/>
        </w:pBdr>
        <w:shd w:val="clear" w:color="auto" w:fill="FFF2CC" w:themeFill="accent4" w:themeFillTint="33"/>
        <w:ind w:left="425" w:hanging="425"/>
        <w:rPr>
          <w:i/>
          <w:iCs/>
          <w:color w:val="auto"/>
        </w:rPr>
      </w:pPr>
      <w:r>
        <w:rPr>
          <w:i/>
          <w:iCs/>
          <w:color w:val="auto"/>
        </w:rPr>
        <w:t>These components of Criterion 4</w:t>
      </w:r>
      <w:r w:rsidR="009F3FCC">
        <w:rPr>
          <w:i/>
          <w:iCs/>
          <w:color w:val="auto"/>
        </w:rPr>
        <w:t xml:space="preserve"> require further updates</w:t>
      </w:r>
      <w:r w:rsidR="009F5A32">
        <w:rPr>
          <w:i/>
          <w:iCs/>
          <w:color w:val="auto"/>
        </w:rPr>
        <w:t>.</w:t>
      </w:r>
    </w:p>
    <w:p w14:paraId="18C9C6EE" w14:textId="142A1CF9" w:rsidR="00CE6DC1" w:rsidRDefault="00F91590" w:rsidP="00F64121">
      <w:pPr>
        <w:pStyle w:val="Consultationquestions"/>
        <w:pBdr>
          <w:right w:val="single" w:sz="4" w:space="0" w:color="auto"/>
        </w:pBdr>
        <w:shd w:val="clear" w:color="auto" w:fill="FFF2CC" w:themeFill="accent4" w:themeFillTint="33"/>
        <w:ind w:left="425" w:hanging="425"/>
        <w:rPr>
          <w:i/>
          <w:iCs/>
          <w:color w:val="auto"/>
        </w:rPr>
      </w:pPr>
      <w:r>
        <w:rPr>
          <w:i/>
          <w:iCs/>
          <w:color w:val="auto"/>
        </w:rPr>
        <w:t xml:space="preserve">More recent data and analysis on trends </w:t>
      </w:r>
      <w:r w:rsidR="00CE6DC1">
        <w:rPr>
          <w:i/>
          <w:iCs/>
          <w:color w:val="auto"/>
        </w:rPr>
        <w:t xml:space="preserve">for these aspects of Criterion 4 </w:t>
      </w:r>
      <w:r w:rsidR="009F5A32">
        <w:rPr>
          <w:i/>
          <w:iCs/>
          <w:color w:val="auto"/>
        </w:rPr>
        <w:t xml:space="preserve">are expected to </w:t>
      </w:r>
      <w:r>
        <w:rPr>
          <w:i/>
          <w:iCs/>
          <w:color w:val="auto"/>
        </w:rPr>
        <w:t>be</w:t>
      </w:r>
      <w:r w:rsidR="009F5A32">
        <w:rPr>
          <w:i/>
          <w:iCs/>
          <w:color w:val="auto"/>
        </w:rPr>
        <w:t>come</w:t>
      </w:r>
      <w:r>
        <w:rPr>
          <w:i/>
          <w:iCs/>
          <w:color w:val="auto"/>
        </w:rPr>
        <w:t xml:space="preserve"> available soon</w:t>
      </w:r>
      <w:r w:rsidR="009F5A32">
        <w:rPr>
          <w:i/>
          <w:iCs/>
          <w:color w:val="auto"/>
        </w:rPr>
        <w:t>,</w:t>
      </w:r>
      <w:r>
        <w:rPr>
          <w:i/>
          <w:iCs/>
          <w:color w:val="auto"/>
        </w:rPr>
        <w:t xml:space="preserve"> when Murray-Darling Basin Plan reports are released. </w:t>
      </w:r>
    </w:p>
    <w:p w14:paraId="7FE8A0BC" w14:textId="549F6277" w:rsidR="00F91590" w:rsidRDefault="00F91590" w:rsidP="00F64121">
      <w:pPr>
        <w:pStyle w:val="Consultationquestions"/>
        <w:pBdr>
          <w:right w:val="single" w:sz="4" w:space="0" w:color="auto"/>
        </w:pBdr>
        <w:shd w:val="clear" w:color="auto" w:fill="FFF2CC" w:themeFill="accent4" w:themeFillTint="33"/>
        <w:ind w:left="425" w:hanging="425"/>
        <w:rPr>
          <w:i/>
          <w:iCs/>
          <w:color w:val="auto"/>
        </w:rPr>
      </w:pPr>
      <w:r>
        <w:rPr>
          <w:i/>
          <w:iCs/>
          <w:color w:val="auto"/>
        </w:rPr>
        <w:t>In</w:t>
      </w:r>
      <w:r w:rsidR="00F949C9">
        <w:rPr>
          <w:i/>
          <w:iCs/>
          <w:color w:val="auto"/>
        </w:rPr>
        <w:t xml:space="preserve"> particular, th</w:t>
      </w:r>
      <w:r w:rsidR="009F5A32">
        <w:rPr>
          <w:i/>
          <w:iCs/>
          <w:color w:val="auto"/>
        </w:rPr>
        <w:t>is relates to</w:t>
      </w:r>
      <w:r w:rsidR="00F949C9">
        <w:rPr>
          <w:i/>
          <w:iCs/>
          <w:color w:val="auto"/>
        </w:rPr>
        <w:t xml:space="preserve"> </w:t>
      </w:r>
      <w:r w:rsidR="009F5A32">
        <w:rPr>
          <w:i/>
          <w:iCs/>
          <w:color w:val="auto"/>
        </w:rPr>
        <w:t xml:space="preserve">the five-yearly </w:t>
      </w:r>
      <w:r w:rsidR="00F949C9">
        <w:rPr>
          <w:i/>
          <w:iCs/>
          <w:color w:val="auto"/>
        </w:rPr>
        <w:t>Schedule 12 Matter 8 reports from South Australia, and the Matter 7 reports from the MDBA</w:t>
      </w:r>
      <w:r w:rsidR="009F5A32">
        <w:rPr>
          <w:i/>
          <w:iCs/>
          <w:color w:val="auto"/>
        </w:rPr>
        <w:t>, including underpinning technical reports</w:t>
      </w:r>
      <w:r w:rsidR="00F949C9">
        <w:rPr>
          <w:i/>
          <w:iCs/>
          <w:color w:val="auto"/>
        </w:rPr>
        <w:t>.</w:t>
      </w:r>
    </w:p>
    <w:p w14:paraId="1487F227" w14:textId="2BDAFDF5" w:rsidR="00830C7B" w:rsidRPr="002D01C2" w:rsidRDefault="00F949C9" w:rsidP="00F64121">
      <w:pPr>
        <w:pStyle w:val="Consultationquestions"/>
        <w:pBdr>
          <w:right w:val="single" w:sz="4" w:space="0" w:color="auto"/>
        </w:pBdr>
        <w:shd w:val="clear" w:color="auto" w:fill="FFF2CC" w:themeFill="accent4" w:themeFillTint="33"/>
        <w:ind w:left="425" w:hanging="425"/>
        <w:rPr>
          <w:i/>
          <w:iCs/>
          <w:color w:val="auto"/>
        </w:rPr>
      </w:pPr>
      <w:r>
        <w:rPr>
          <w:i/>
          <w:iCs/>
          <w:color w:val="auto"/>
        </w:rPr>
        <w:t>Also</w:t>
      </w:r>
      <w:r w:rsidR="005017DB">
        <w:rPr>
          <w:i/>
          <w:iCs/>
          <w:color w:val="auto"/>
        </w:rPr>
        <w:t xml:space="preserve"> expected soon,</w:t>
      </w:r>
      <w:r>
        <w:rPr>
          <w:i/>
          <w:iCs/>
          <w:color w:val="auto"/>
        </w:rPr>
        <w:t xml:space="preserve"> the latest reports on hydrology and climate </w:t>
      </w:r>
      <w:r w:rsidR="003C0278">
        <w:rPr>
          <w:i/>
          <w:iCs/>
          <w:color w:val="auto"/>
        </w:rPr>
        <w:t xml:space="preserve">change, </w:t>
      </w:r>
      <w:r w:rsidR="002D01C2">
        <w:rPr>
          <w:i/>
          <w:iCs/>
          <w:color w:val="auto"/>
        </w:rPr>
        <w:t xml:space="preserve">due </w:t>
      </w:r>
      <w:r>
        <w:rPr>
          <w:i/>
          <w:iCs/>
          <w:color w:val="auto"/>
        </w:rPr>
        <w:t xml:space="preserve">under the Murray-Darling Environment </w:t>
      </w:r>
      <w:r w:rsidR="003C0278">
        <w:rPr>
          <w:i/>
          <w:iCs/>
          <w:color w:val="auto"/>
        </w:rPr>
        <w:t xml:space="preserve">and </w:t>
      </w:r>
      <w:r>
        <w:rPr>
          <w:i/>
          <w:iCs/>
          <w:color w:val="auto"/>
        </w:rPr>
        <w:t xml:space="preserve">Water </w:t>
      </w:r>
      <w:r w:rsidR="003C0278">
        <w:rPr>
          <w:i/>
          <w:iCs/>
          <w:color w:val="auto"/>
        </w:rPr>
        <w:t xml:space="preserve">Research </w:t>
      </w:r>
      <w:r>
        <w:rPr>
          <w:i/>
          <w:iCs/>
          <w:color w:val="auto"/>
        </w:rPr>
        <w:t>Program</w:t>
      </w:r>
      <w:r w:rsidR="003C0278">
        <w:rPr>
          <w:i/>
          <w:iCs/>
          <w:color w:val="auto"/>
        </w:rPr>
        <w:t xml:space="preserve"> (MD WERP)</w:t>
      </w:r>
      <w:r w:rsidR="00830C7B">
        <w:rPr>
          <w:i/>
          <w:iCs/>
          <w:color w:val="auto"/>
        </w:rPr>
        <w:t>.</w:t>
      </w:r>
    </w:p>
    <w:p w14:paraId="781EF082" w14:textId="77777777" w:rsidR="00F91590" w:rsidRPr="002F2F55" w:rsidRDefault="00F91590" w:rsidP="00FC528C">
      <w:pPr>
        <w:rPr>
          <w:b/>
          <w:bCs/>
          <w:lang w:val="en-US"/>
        </w:rPr>
      </w:pPr>
    </w:p>
    <w:p w14:paraId="298CF949" w14:textId="367809EE" w:rsidR="00FC528C" w:rsidRPr="00720168" w:rsidRDefault="00FC528C" w:rsidP="006E2204">
      <w:pPr>
        <w:pStyle w:val="Heading4"/>
      </w:pPr>
      <w:r w:rsidRPr="00720168">
        <w:t>1a) Decline in integrity from biodiversity loss</w:t>
      </w:r>
    </w:p>
    <w:p w14:paraId="64FD1528" w14:textId="649DBABC" w:rsidR="00C74AF4" w:rsidRPr="00812441" w:rsidRDefault="00F90541" w:rsidP="00A2521C">
      <w:pPr>
        <w:pStyle w:val="Heading5"/>
      </w:pPr>
      <w:r>
        <w:t xml:space="preserve">Loss of </w:t>
      </w:r>
      <w:r w:rsidR="00C74AF4" w:rsidRPr="00812441">
        <w:t xml:space="preserve">Macrophyte biodiversity </w:t>
      </w:r>
    </w:p>
    <w:p w14:paraId="5C219C5C" w14:textId="121199A3" w:rsidR="00C74AF4" w:rsidRPr="00A51F69" w:rsidRDefault="00C74AF4" w:rsidP="00AD4454">
      <w:pPr>
        <w:pStyle w:val="Heading6"/>
      </w:pPr>
      <w:r w:rsidRPr="00A51F69">
        <w:t>Histo</w:t>
      </w:r>
      <w:r>
        <w:t>r</w:t>
      </w:r>
      <w:r w:rsidRPr="00A51F69">
        <w:t>y</w:t>
      </w:r>
      <w:r>
        <w:t xml:space="preserve"> of decline</w:t>
      </w:r>
    </w:p>
    <w:p w14:paraId="107866CB" w14:textId="432850E1" w:rsidR="00C74AF4" w:rsidRDefault="00C74AF4" w:rsidP="00C74AF4">
      <w:pPr>
        <w:spacing w:after="0"/>
        <w:contextualSpacing/>
      </w:pPr>
      <w:r w:rsidRPr="00A51F69">
        <w:t>Herbarium vouchers and annotations suggest that riverine aquatic and semi-aquatic vegetation was historically more diverse and extended into deeper water than contemporary riverine aquatics do (Sainty and Jacobs 1990; Blanch and Walker 1998; Australian Virtual Herbarium, accessed 18</w:t>
      </w:r>
      <w:r>
        <w:t>/</w:t>
      </w:r>
      <w:r w:rsidRPr="00A51F69">
        <w:t>4</w:t>
      </w:r>
      <w:r>
        <w:t>/</w:t>
      </w:r>
      <w:r w:rsidRPr="00A51F69">
        <w:t xml:space="preserve">2024; and see </w:t>
      </w:r>
      <w:r w:rsidRPr="009F3FCC">
        <w:rPr>
          <w:u w:val="single"/>
        </w:rPr>
        <w:t xml:space="preserve">Appendix </w:t>
      </w:r>
      <w:r w:rsidR="00A53498" w:rsidRPr="009F3FCC">
        <w:rPr>
          <w:u w:val="single"/>
        </w:rPr>
        <w:t>B</w:t>
      </w:r>
      <w:r w:rsidRPr="009F3FCC">
        <w:rPr>
          <w:u w:val="single"/>
        </w:rPr>
        <w:t>,</w:t>
      </w:r>
      <w:r w:rsidRPr="009F3FCC">
        <w:t xml:space="preserve"> </w:t>
      </w:r>
      <w:r w:rsidRPr="009F3FCC">
        <w:rPr>
          <w:u w:val="single"/>
        </w:rPr>
        <w:t xml:space="preserve">Table </w:t>
      </w:r>
      <w:r w:rsidR="00A53498" w:rsidRPr="009F3FCC">
        <w:rPr>
          <w:u w:val="single"/>
        </w:rPr>
        <w:t>B1</w:t>
      </w:r>
      <w:r w:rsidRPr="00A51F69">
        <w:t xml:space="preserve">). Species such as </w:t>
      </w:r>
      <w:r w:rsidRPr="00A51F69">
        <w:rPr>
          <w:i/>
          <w:iCs/>
        </w:rPr>
        <w:t>Cyperus gymnocaulos</w:t>
      </w:r>
      <w:r w:rsidRPr="00A51F69">
        <w:t xml:space="preserve"> </w:t>
      </w:r>
      <w:r w:rsidRPr="00A51F69">
        <w:lastRenderedPageBreak/>
        <w:t xml:space="preserve">(spiny flat-sedge), </w:t>
      </w:r>
      <w:r w:rsidRPr="00A51F69">
        <w:rPr>
          <w:i/>
          <w:iCs/>
        </w:rPr>
        <w:t>Eleocharis pusilla</w:t>
      </w:r>
      <w:r w:rsidRPr="00A51F69">
        <w:t xml:space="preserve"> (small spike-rush), </w:t>
      </w:r>
      <w:r w:rsidRPr="00A51F69">
        <w:rPr>
          <w:i/>
          <w:iCs/>
        </w:rPr>
        <w:t>Lythrum hyssopifolia</w:t>
      </w:r>
      <w:r w:rsidRPr="00A51F69">
        <w:t xml:space="preserve"> (lesser loosestrife), </w:t>
      </w:r>
      <w:r w:rsidRPr="00A51F69">
        <w:rPr>
          <w:i/>
          <w:iCs/>
        </w:rPr>
        <w:t>Schoenoplectus tabernaemontani</w:t>
      </w:r>
      <w:r w:rsidRPr="00A51F69">
        <w:t xml:space="preserve"> (river club-rush), </w:t>
      </w:r>
      <w:r w:rsidRPr="00A51F69">
        <w:rPr>
          <w:i/>
          <w:iCs/>
        </w:rPr>
        <w:t>Myrophyllum catput-medusae</w:t>
      </w:r>
      <w:r w:rsidRPr="00A51F69">
        <w:t xml:space="preserve"> (coarse milfoil), </w:t>
      </w:r>
      <w:r w:rsidRPr="00A51F69">
        <w:rPr>
          <w:i/>
          <w:iCs/>
        </w:rPr>
        <w:t>Potamogeton perfoliatus</w:t>
      </w:r>
      <w:r w:rsidRPr="00A51F69">
        <w:t xml:space="preserve"> (clasped pondweed) were all observed and/or vouchered along the river channel prior to construction of the locks. An even greater diversity was observed among the fringing wetlands</w:t>
      </w:r>
      <w:r>
        <w:t xml:space="preserve"> (see </w:t>
      </w:r>
      <w:r w:rsidRPr="00A51F69">
        <w:rPr>
          <w:u w:val="single"/>
        </w:rPr>
        <w:t xml:space="preserve">Appendix </w:t>
      </w:r>
      <w:r>
        <w:rPr>
          <w:u w:val="single"/>
        </w:rPr>
        <w:t>B</w:t>
      </w:r>
      <w:r w:rsidRPr="00A51F69">
        <w:rPr>
          <w:u w:val="single"/>
        </w:rPr>
        <w:t xml:space="preserve">, Table </w:t>
      </w:r>
      <w:r>
        <w:rPr>
          <w:u w:val="single"/>
        </w:rPr>
        <w:t>B</w:t>
      </w:r>
      <w:r w:rsidRPr="00A51F69">
        <w:rPr>
          <w:u w:val="single"/>
        </w:rPr>
        <w:t>1</w:t>
      </w:r>
      <w:r>
        <w:rPr>
          <w:u w:val="single"/>
        </w:rPr>
        <w:t>)</w:t>
      </w:r>
      <w:r w:rsidRPr="00A51F69">
        <w:t>.</w:t>
      </w:r>
      <w:r>
        <w:t xml:space="preserve"> </w:t>
      </w:r>
    </w:p>
    <w:p w14:paraId="34487C29" w14:textId="77777777" w:rsidR="005017DB" w:rsidRDefault="005017DB" w:rsidP="00C74AF4">
      <w:pPr>
        <w:spacing w:after="0"/>
      </w:pPr>
    </w:p>
    <w:p w14:paraId="4B2A2126" w14:textId="0B4D6C82" w:rsidR="00C74AF4" w:rsidRDefault="00C74AF4" w:rsidP="00C74AF4">
      <w:pPr>
        <w:spacing w:after="0"/>
      </w:pPr>
      <w:r w:rsidRPr="00DC7A67">
        <w:t>The greatest decline of macrophytes within the river channel and fringing wetlands was experienced by species that did not adapt well to increased sedimentation, were highly palatable to introduced herbivores, required variable water levels or which needed light penetration to the benthic sediments for germination (Sainty and Jacobs 1990; Walker 2006). Water flow and depth variability has a significant impact on aquatic plant composition, with Walker et al. (1994) finding a broad correlation between the composition of the plant assemblages and the distance below a weir (hence the amplitude of water level fluctuation).</w:t>
      </w:r>
      <w:r>
        <w:t xml:space="preserve"> </w:t>
      </w:r>
    </w:p>
    <w:p w14:paraId="2A467FA7" w14:textId="77777777" w:rsidR="00C74AF4" w:rsidRDefault="00C74AF4" w:rsidP="00C74AF4">
      <w:pPr>
        <w:spacing w:after="0"/>
      </w:pPr>
    </w:p>
    <w:p w14:paraId="6D9C0321" w14:textId="77777777" w:rsidR="00C74AF4" w:rsidRDefault="00C74AF4" w:rsidP="00C74AF4">
      <w:pPr>
        <w:spacing w:after="0"/>
      </w:pPr>
      <w:r w:rsidRPr="008C424A">
        <w:t>Gehrig &amp; Nicol (2010, and references therein) demonstrated for a range of functional groups of plant species, that water regime is the primary driver of plant community composition upstream of the barrages, while salinity was also an important driver downstream of the barrages. Rogers &amp; Ralph (2011) and Kilby &amp; Steggles (2015) provide further useful information on preferred water regimes to support condition and recruitment of key floodplain and riparian flora.</w:t>
      </w:r>
    </w:p>
    <w:p w14:paraId="61067C57" w14:textId="77777777" w:rsidR="00BC41EF" w:rsidRDefault="00BC41EF" w:rsidP="00C74AF4">
      <w:pPr>
        <w:spacing w:after="0"/>
        <w:rPr>
          <w:b/>
          <w:bCs/>
          <w:i/>
          <w:iCs/>
        </w:rPr>
      </w:pPr>
    </w:p>
    <w:p w14:paraId="14883692" w14:textId="06721118" w:rsidR="00C74AF4" w:rsidRPr="0007449F" w:rsidRDefault="00812441" w:rsidP="00AD4454">
      <w:pPr>
        <w:pStyle w:val="Heading6"/>
      </w:pPr>
      <w:r>
        <w:t xml:space="preserve">Macrophytes in the </w:t>
      </w:r>
      <w:r w:rsidR="00C74AF4" w:rsidRPr="0007449F">
        <w:t>Lower Lakes</w:t>
      </w:r>
    </w:p>
    <w:p w14:paraId="48A22BFF" w14:textId="77777777" w:rsidR="00C74AF4" w:rsidRDefault="00C74AF4" w:rsidP="00C74AF4">
      <w:pPr>
        <w:spacing w:after="0"/>
      </w:pPr>
      <w:r>
        <w:t xml:space="preserve">Prior to river regulation, the Lower Lakes were surrounded by dense beds of reeds and contained extensive macrophyte cover, at least a mile out from shore (Sim &amp; Muller 2004; Nicol et al. 2018; Coleman in press). Construction of the barrages resulted in fresh and relatively stable water levels, however shoreline erosion resulted in almost vertical shorelines in places, which did (does) not favour colonisation of littoral vegetation (Nicol et al. 2018). The areas with greatest abundance and diversity of submerged and amphibious species are fringing wetlands and sheltered areas along the western shoreline of Lake Alexandrina; the northern shoreline of Hindmarsh Island, Goolwa Channel and the lower Finnis River; and lower Currency Creek (Nicol et al. 2018). </w:t>
      </w:r>
    </w:p>
    <w:p w14:paraId="107EAEE1" w14:textId="77777777" w:rsidR="00C74AF4" w:rsidRDefault="00C74AF4" w:rsidP="00C74AF4">
      <w:pPr>
        <w:spacing w:before="240"/>
      </w:pPr>
      <w:r>
        <w:t xml:space="preserve">Due to the Millennium Drought, there was a complete loss of submergent species (Gehrig et al. 2011a, b), however a viable seed bank remained present in some places (Nicol &amp; Ward 2010). In addition, fringing wetlands in the Lower Lakes and floodplain wetlands upstream of Wellington that were historically permanent, dried up completely. This resulted in the loss of large areas of submergent plant species (e.g. </w:t>
      </w:r>
      <w:r w:rsidRPr="007E2979">
        <w:rPr>
          <w:i/>
        </w:rPr>
        <w:t xml:space="preserve">Vallisneria </w:t>
      </w:r>
      <w:r>
        <w:rPr>
          <w:i/>
        </w:rPr>
        <w:t>australis</w:t>
      </w:r>
      <w:r>
        <w:t xml:space="preserve">, </w:t>
      </w:r>
      <w:r w:rsidRPr="007E2979">
        <w:rPr>
          <w:i/>
        </w:rPr>
        <w:t>Potamogeton crispus</w:t>
      </w:r>
      <w:r>
        <w:t xml:space="preserve">) and amphibious plant species (e.g. </w:t>
      </w:r>
      <w:r w:rsidRPr="007E2979">
        <w:rPr>
          <w:i/>
        </w:rPr>
        <w:t>Myriophyllum</w:t>
      </w:r>
      <w:r>
        <w:t xml:space="preserve"> spp.) from these habitats. Importantly, species lost from the permanent wetlands did not colonise the remnant inundated habitats (the main channel and Lower Lakes) (Gehrig and Nicol 2010). Other submergent macrophyte species historically recorded in the Lakes but not observed since 2007 include: </w:t>
      </w:r>
      <w:r w:rsidRPr="00B31CA5">
        <w:rPr>
          <w:i/>
          <w:iCs/>
        </w:rPr>
        <w:t>Lepilaena cylindrocarpa</w:t>
      </w:r>
      <w:r>
        <w:t xml:space="preserve"> (water mat), </w:t>
      </w:r>
      <w:r w:rsidRPr="00B31CA5">
        <w:rPr>
          <w:i/>
          <w:iCs/>
        </w:rPr>
        <w:t>L. australis</w:t>
      </w:r>
      <w:r>
        <w:t xml:space="preserve"> (Austral water mat), </w:t>
      </w:r>
      <w:r w:rsidRPr="00B31CA5">
        <w:rPr>
          <w:i/>
          <w:iCs/>
        </w:rPr>
        <w:t>Myrophyllum simulans</w:t>
      </w:r>
      <w:r>
        <w:t xml:space="preserve"> (amphibious water milfoil), and </w:t>
      </w:r>
      <w:r w:rsidRPr="00292836">
        <w:rPr>
          <w:i/>
          <w:iCs/>
        </w:rPr>
        <w:t>Ranunculus trichophyllus</w:t>
      </w:r>
      <w:r>
        <w:t xml:space="preserve"> (thread-leaf crowfoot) (Nicol et al. 2018 and references therein).</w:t>
      </w:r>
    </w:p>
    <w:p w14:paraId="6707AE06" w14:textId="4B48ACF7" w:rsidR="00C74AF4" w:rsidRDefault="00C74AF4" w:rsidP="00C74AF4">
      <w:pPr>
        <w:spacing w:before="240"/>
      </w:pPr>
      <w:r>
        <w:t xml:space="preserve">At the end of the drought, increased inflows breached the Clayton regulator and Narrung bund (i.e. structures put in place during the Millennium Drought to assist raising water levels in the Goolwa Channel and Lakes) and enabled reconnection throughout the Lower Lakes (Nicol et al. 2018). Resulting water levels have </w:t>
      </w:r>
      <w:r w:rsidR="00EC0E75">
        <w:t xml:space="preserve">since </w:t>
      </w:r>
      <w:r>
        <w:t>been maintained between 0.4 and +1 AHD and salinities reduced, which has helped to increase abundance of submergents in Lake Alexandrina and adjacent wetland habitats (Nicol et al. 2017</w:t>
      </w:r>
      <w:r w:rsidR="00281B0B">
        <w:t>; DEW 2023e</w:t>
      </w:r>
      <w:r>
        <w:t xml:space="preserve">).  </w:t>
      </w:r>
      <w:r w:rsidR="005B3A86">
        <w:t xml:space="preserve">However, on balance long-term </w:t>
      </w:r>
      <w:r w:rsidR="005B3A86">
        <w:lastRenderedPageBreak/>
        <w:t xml:space="preserve">declines of macrophytes have very severely impacted </w:t>
      </w:r>
      <w:r w:rsidR="00223D3E">
        <w:t>community integrity and disrupted ecological processes over e</w:t>
      </w:r>
      <w:r w:rsidR="00F01D66">
        <w:t>x</w:t>
      </w:r>
      <w:r w:rsidR="00223D3E">
        <w:t>tended periods, with recovery not possible in some areas, and unlikely</w:t>
      </w:r>
      <w:r w:rsidR="00F01D66">
        <w:t xml:space="preserve"> in other areas.</w:t>
      </w:r>
    </w:p>
    <w:p w14:paraId="2CAC168A" w14:textId="6641EF77" w:rsidR="00C74AF4" w:rsidRPr="00CB5899" w:rsidRDefault="00812441" w:rsidP="00AD4454">
      <w:pPr>
        <w:pStyle w:val="Heading6"/>
      </w:pPr>
      <w:r>
        <w:t xml:space="preserve">Macrophytes in the </w:t>
      </w:r>
      <w:r w:rsidR="00C74AF4" w:rsidRPr="00CB5899">
        <w:t>Coorong</w:t>
      </w:r>
    </w:p>
    <w:p w14:paraId="60E9775C" w14:textId="7F5AB8B6" w:rsidR="00C74AF4" w:rsidRDefault="00C74AF4" w:rsidP="00812441">
      <w:pPr>
        <w:contextualSpacing/>
      </w:pPr>
      <w:r>
        <w:t xml:space="preserve">The Coorong component of </w:t>
      </w:r>
      <w:r w:rsidR="00F01D66">
        <w:t>the</w:t>
      </w:r>
      <w:r>
        <w:t xml:space="preserve"> ecological community</w:t>
      </w:r>
      <w:r w:rsidR="00F01D66">
        <w:t xml:space="preserve"> </w:t>
      </w:r>
      <w:r>
        <w:t>is an internationally recognised, ecologically significant coastal lagoon. Its</w:t>
      </w:r>
      <w:r w:rsidRPr="009B58D8">
        <w:t xml:space="preserve"> dense macrophyte </w:t>
      </w:r>
      <w:r w:rsidR="00F01D66">
        <w:t>sub-</w:t>
      </w:r>
      <w:r w:rsidRPr="009B58D8">
        <w:t xml:space="preserve">community was </w:t>
      </w:r>
      <w:r>
        <w:t xml:space="preserve">(and remains) </w:t>
      </w:r>
      <w:r w:rsidRPr="009B58D8">
        <w:t xml:space="preserve">the primary food source for </w:t>
      </w:r>
      <w:r w:rsidR="00D72519">
        <w:t xml:space="preserve">the </w:t>
      </w:r>
      <w:r w:rsidRPr="009B58D8">
        <w:t>vast number</w:t>
      </w:r>
      <w:r>
        <w:t>s</w:t>
      </w:r>
      <w:r w:rsidRPr="009B58D8">
        <w:t xml:space="preserve"> of waterfowl once common on the Coorong</w:t>
      </w:r>
      <w:r>
        <w:t xml:space="preserve"> (Delroy 1974)</w:t>
      </w:r>
      <w:r w:rsidRPr="009B58D8">
        <w:t xml:space="preserve">, as well as for fish and other grazing species. Dense macrophyte stands increase the resilience of coastal lagoons to climate change, while clarifying and cooling the water column, shading dark sediments, </w:t>
      </w:r>
      <w:r>
        <w:t xml:space="preserve">and </w:t>
      </w:r>
      <w:r w:rsidRPr="009B58D8">
        <w:t xml:space="preserve">reducing both inorganic and planktonic turbidity. </w:t>
      </w:r>
      <w:r w:rsidR="008A4DF5">
        <w:t>Historically, t</w:t>
      </w:r>
      <w:r w:rsidRPr="009B58D8">
        <w:t xml:space="preserve">he macrophyte </w:t>
      </w:r>
      <w:r w:rsidR="00F01D66">
        <w:t>sub-</w:t>
      </w:r>
      <w:r w:rsidRPr="009B58D8">
        <w:t>community of the Coorong was known to stabilise, oxidise</w:t>
      </w:r>
      <w:r>
        <w:t>,</w:t>
      </w:r>
      <w:r w:rsidRPr="009B58D8">
        <w:t xml:space="preserve"> and reduce nutrient release from sediments</w:t>
      </w:r>
      <w:r>
        <w:t xml:space="preserve"> (</w:t>
      </w:r>
      <w:r w:rsidR="002F3C53">
        <w:t>Waycott et al. 2023</w:t>
      </w:r>
      <w:r w:rsidR="009C0B3B">
        <w:t>; Coleman in press</w:t>
      </w:r>
      <w:r>
        <w:t>)</w:t>
      </w:r>
      <w:r w:rsidRPr="009B58D8">
        <w:t>.</w:t>
      </w:r>
      <w:r>
        <w:t xml:space="preserve"> </w:t>
      </w:r>
      <w:r w:rsidR="008A4DF5">
        <w:t xml:space="preserve">However, this estuarine component of the ecological community </w:t>
      </w:r>
      <w:r>
        <w:t>has experienced major changes in plant composition since regulation</w:t>
      </w:r>
      <w:r w:rsidR="0096071B">
        <w:t xml:space="preserve">—associated </w:t>
      </w:r>
      <w:r>
        <w:t xml:space="preserve">mainly with increased salinity, </w:t>
      </w:r>
      <w:r w:rsidRPr="00CC1E92">
        <w:t xml:space="preserve">changes in water chemistry, unseasonable variation in water depth, turbidity, nutrients, sedimentation, and grazing pressure </w:t>
      </w:r>
      <w:r w:rsidRPr="00014551">
        <w:t xml:space="preserve">from birds (Dick et al. 2011; Hunt et al. 2019). </w:t>
      </w:r>
    </w:p>
    <w:p w14:paraId="6A0B2457" w14:textId="77777777" w:rsidR="00014551" w:rsidRPr="00014551" w:rsidRDefault="00014551" w:rsidP="00812441">
      <w:pPr>
        <w:contextualSpacing/>
      </w:pPr>
    </w:p>
    <w:p w14:paraId="73CFD07A" w14:textId="51C4F05C" w:rsidR="003C0278" w:rsidRDefault="00C74AF4" w:rsidP="00812441">
      <w:r w:rsidRPr="00CB5899">
        <w:t xml:space="preserve">Prior to 1978, a diverse macrophyte cohort covered more than 60% of the submerged Coorong sediments (including areas as deep as 4 metres) and these filled a </w:t>
      </w:r>
      <w:r>
        <w:t xml:space="preserve">range of </w:t>
      </w:r>
      <w:r w:rsidRPr="00CB5899">
        <w:t xml:space="preserve">key ecological </w:t>
      </w:r>
      <w:r>
        <w:t>functions</w:t>
      </w:r>
      <w:r w:rsidRPr="00CB5899">
        <w:t xml:space="preserve"> </w:t>
      </w:r>
      <w:r w:rsidR="0069045C">
        <w:t xml:space="preserve">as outlined above </w:t>
      </w:r>
      <w:r w:rsidRPr="00CB5899">
        <w:t>(Coleman in press</w:t>
      </w:r>
      <w:r>
        <w:t xml:space="preserve">; </w:t>
      </w:r>
      <w:r w:rsidRPr="00CB5899">
        <w:rPr>
          <w:u w:val="single"/>
        </w:rPr>
        <w:t xml:space="preserve">Appendix </w:t>
      </w:r>
      <w:r>
        <w:rPr>
          <w:u w:val="single"/>
        </w:rPr>
        <w:t>B</w:t>
      </w:r>
      <w:r w:rsidRPr="00CB5899">
        <w:rPr>
          <w:u w:val="single"/>
        </w:rPr>
        <w:t xml:space="preserve">, Table </w:t>
      </w:r>
      <w:r>
        <w:rPr>
          <w:u w:val="single"/>
        </w:rPr>
        <w:t>B1</w:t>
      </w:r>
      <w:r w:rsidRPr="00CB5899">
        <w:t xml:space="preserve">). </w:t>
      </w:r>
      <w:r>
        <w:t>Deeper</w:t>
      </w:r>
      <w:r w:rsidR="00CC4AE5">
        <w:t>-</w:t>
      </w:r>
      <w:r>
        <w:t>water macrophyte communities are currently almost entirely restricted to propagation material within the sediment of the South Lagoon, likely due to salinity stratification (</w:t>
      </w:r>
      <w:r w:rsidR="0069045C">
        <w:t>Waycott et al. 2023</w:t>
      </w:r>
      <w:r w:rsidR="00CC4AE5">
        <w:t>; Coleman in press</w:t>
      </w:r>
      <w:r>
        <w:t xml:space="preserve">). </w:t>
      </w:r>
      <w:r w:rsidR="007C7A23">
        <w:t xml:space="preserve">Decades ago, </w:t>
      </w:r>
      <w:r>
        <w:t xml:space="preserve">this </w:t>
      </w:r>
      <w:r w:rsidR="005670A1">
        <w:t xml:space="preserve">component of the </w:t>
      </w:r>
      <w:r>
        <w:t xml:space="preserve">community had more standing biomass and denser stands than their shallow water counterparts. These deepwater macrophyte stands were once up to 2.4 m tall and would have utilised vast amounts of nutrients from the water column (Coleman in press). </w:t>
      </w:r>
    </w:p>
    <w:p w14:paraId="3B0390C5" w14:textId="77777777" w:rsidR="00C74AF4" w:rsidRDefault="00C74AF4" w:rsidP="00C74AF4">
      <w:pPr>
        <w:jc w:val="center"/>
      </w:pPr>
      <w:r w:rsidRPr="00432F09">
        <w:rPr>
          <w:noProof/>
        </w:rPr>
        <w:drawing>
          <wp:inline distT="0" distB="0" distL="0" distR="0" wp14:anchorId="61EDC6AE" wp14:editId="5D5C1E43">
            <wp:extent cx="4800762" cy="3060065"/>
            <wp:effectExtent l="0" t="0" r="0" b="6985"/>
            <wp:docPr id="653734689" name="Picture 1" descr="A graph with green bars and white lines indicating macrophytes in the Coorong with optimal range in dark green and tolerated range in ligh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34689" name="Picture 1" descr="A graph with green bars and white lines indicating macrophytes in the Coorong with optimal range in dark green and tolerated range in light green"/>
                    <pic:cNvPicPr/>
                  </pic:nvPicPr>
                  <pic:blipFill>
                    <a:blip r:embed="rId38"/>
                    <a:stretch>
                      <a:fillRect/>
                    </a:stretch>
                  </pic:blipFill>
                  <pic:spPr>
                    <a:xfrm>
                      <a:off x="0" y="0"/>
                      <a:ext cx="4935527" cy="3145966"/>
                    </a:xfrm>
                    <a:prstGeom prst="rect">
                      <a:avLst/>
                    </a:prstGeom>
                  </pic:spPr>
                </pic:pic>
              </a:graphicData>
            </a:graphic>
          </wp:inline>
        </w:drawing>
      </w:r>
    </w:p>
    <w:p w14:paraId="2BA2AFDA" w14:textId="59506419" w:rsidR="00C74AF4" w:rsidRPr="005017DB" w:rsidRDefault="00014551" w:rsidP="00014551">
      <w:pPr>
        <w:pStyle w:val="Caption"/>
        <w:rPr>
          <w:sz w:val="21"/>
          <w:szCs w:val="21"/>
        </w:rPr>
      </w:pPr>
      <w:r>
        <w:t xml:space="preserve">Figure </w:t>
      </w:r>
      <w:r>
        <w:fldChar w:fldCharType="begin"/>
      </w:r>
      <w:r>
        <w:instrText xml:space="preserve"> SEQ Figure \* ARABIC </w:instrText>
      </w:r>
      <w:r>
        <w:fldChar w:fldCharType="separate"/>
      </w:r>
      <w:r w:rsidR="006D35C5">
        <w:rPr>
          <w:noProof/>
        </w:rPr>
        <w:t>11</w:t>
      </w:r>
      <w:r>
        <w:fldChar w:fldCharType="end"/>
      </w:r>
      <w:r w:rsidR="00C74AF4" w:rsidRPr="0002547D">
        <w:t xml:space="preserve">: </w:t>
      </w:r>
      <w:r w:rsidR="008566E7" w:rsidRPr="005017DB">
        <w:rPr>
          <w:sz w:val="21"/>
          <w:szCs w:val="21"/>
        </w:rPr>
        <w:t>Macrophytes in the Coorong - s</w:t>
      </w:r>
      <w:r w:rsidR="00C74AF4" w:rsidRPr="005017DB">
        <w:rPr>
          <w:sz w:val="21"/>
          <w:szCs w:val="21"/>
        </w:rPr>
        <w:t>alinity ranges required for species growth and reproduction, with optimal range in dark green and tolerated range in light green; BMC is Benthic Microbial Communities, which often provide sediment cover in hypersaline environments (Coleman in press).</w:t>
      </w:r>
    </w:p>
    <w:p w14:paraId="4F8F2F97" w14:textId="77777777" w:rsidR="00646DE7" w:rsidRPr="00646DE7" w:rsidRDefault="00646DE7" w:rsidP="00646DE7"/>
    <w:p w14:paraId="1B40F891" w14:textId="77777777" w:rsidR="00C74AF4" w:rsidRDefault="00C74AF4" w:rsidP="00C74AF4">
      <w:pPr>
        <w:jc w:val="center"/>
      </w:pPr>
      <w:r w:rsidRPr="00432F09">
        <w:rPr>
          <w:noProof/>
        </w:rPr>
        <w:drawing>
          <wp:inline distT="0" distB="0" distL="0" distR="0" wp14:anchorId="693F27E2" wp14:editId="10F1A438">
            <wp:extent cx="4680566" cy="2638425"/>
            <wp:effectExtent l="0" t="0" r="6350" b="0"/>
            <wp:docPr id="769723950" name="Picture 1" descr="A graph of depth below lowest average water level for growth and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23950" name="Picture 1" descr="A graph of depth below lowest average water level for growth and reproduction"/>
                    <pic:cNvPicPr/>
                  </pic:nvPicPr>
                  <pic:blipFill>
                    <a:blip r:embed="rId39"/>
                    <a:stretch>
                      <a:fillRect/>
                    </a:stretch>
                  </pic:blipFill>
                  <pic:spPr>
                    <a:xfrm>
                      <a:off x="0" y="0"/>
                      <a:ext cx="4718364" cy="2659732"/>
                    </a:xfrm>
                    <a:prstGeom prst="rect">
                      <a:avLst/>
                    </a:prstGeom>
                  </pic:spPr>
                </pic:pic>
              </a:graphicData>
            </a:graphic>
          </wp:inline>
        </w:drawing>
      </w:r>
    </w:p>
    <w:p w14:paraId="268C9943" w14:textId="3B4E4354" w:rsidR="00C74AF4" w:rsidRPr="005017DB" w:rsidRDefault="00014551" w:rsidP="00014551">
      <w:pPr>
        <w:pStyle w:val="Caption"/>
        <w:rPr>
          <w:sz w:val="21"/>
          <w:szCs w:val="21"/>
        </w:rPr>
      </w:pPr>
      <w:r w:rsidRPr="005017DB">
        <w:rPr>
          <w:sz w:val="21"/>
          <w:szCs w:val="21"/>
        </w:rPr>
        <w:t xml:space="preserve">Figure </w:t>
      </w:r>
      <w:r w:rsidRPr="005017DB">
        <w:rPr>
          <w:sz w:val="21"/>
          <w:szCs w:val="21"/>
        </w:rPr>
        <w:fldChar w:fldCharType="begin"/>
      </w:r>
      <w:r w:rsidRPr="005017DB">
        <w:rPr>
          <w:sz w:val="21"/>
          <w:szCs w:val="21"/>
        </w:rPr>
        <w:instrText xml:space="preserve"> SEQ Figure \* ARABIC </w:instrText>
      </w:r>
      <w:r w:rsidRPr="005017DB">
        <w:rPr>
          <w:sz w:val="21"/>
          <w:szCs w:val="21"/>
        </w:rPr>
        <w:fldChar w:fldCharType="separate"/>
      </w:r>
      <w:r w:rsidR="006D35C5">
        <w:rPr>
          <w:noProof/>
          <w:sz w:val="21"/>
          <w:szCs w:val="21"/>
        </w:rPr>
        <w:t>12</w:t>
      </w:r>
      <w:r w:rsidRPr="005017DB">
        <w:rPr>
          <w:sz w:val="21"/>
          <w:szCs w:val="21"/>
        </w:rPr>
        <w:fldChar w:fldCharType="end"/>
      </w:r>
      <w:r w:rsidR="00C74AF4" w:rsidRPr="005017DB">
        <w:rPr>
          <w:sz w:val="21"/>
          <w:szCs w:val="21"/>
        </w:rPr>
        <w:t>: Depth below lowest average water level (LAWL) for growth and reproduction, with optimal range in dark green and tolerated range in light green (Coleman in press).</w:t>
      </w:r>
    </w:p>
    <w:p w14:paraId="2372AF3E" w14:textId="77777777" w:rsidR="003C0278" w:rsidRDefault="003C0278" w:rsidP="008F7B5B"/>
    <w:p w14:paraId="6E2AC928" w14:textId="067DCEC9" w:rsidR="006D4606" w:rsidRDefault="006D4606" w:rsidP="00CC0195">
      <w:r w:rsidRPr="009B58D8">
        <w:t xml:space="preserve">Specific salinity and depth tolerances of key </w:t>
      </w:r>
      <w:r>
        <w:t xml:space="preserve">macrophyte </w:t>
      </w:r>
      <w:r w:rsidRPr="009B58D8">
        <w:t xml:space="preserve">species </w:t>
      </w:r>
      <w:r>
        <w:t xml:space="preserve">are shown in </w:t>
      </w:r>
      <w:r w:rsidRPr="00563523">
        <w:rPr>
          <w:u w:val="single"/>
        </w:rPr>
        <w:t>Figures 11 and 12</w:t>
      </w:r>
      <w:r w:rsidRPr="009B58D8">
        <w:t xml:space="preserve">. While each macrophyte species has its own tolerances, the </w:t>
      </w:r>
      <w:r>
        <w:t xml:space="preserve">macrophyte </w:t>
      </w:r>
      <w:r w:rsidRPr="009B58D8">
        <w:t xml:space="preserve">community is generally only found in salinities from </w:t>
      </w:r>
      <w:r>
        <w:t xml:space="preserve">about </w:t>
      </w:r>
      <w:r w:rsidRPr="009B58D8">
        <w:t>1</w:t>
      </w:r>
      <w:r>
        <w:t>0–</w:t>
      </w:r>
      <w:r w:rsidRPr="009B58D8">
        <w:t xml:space="preserve">70 g/L, with </w:t>
      </w:r>
      <w:r>
        <w:t xml:space="preserve">higher salinities only </w:t>
      </w:r>
      <w:r w:rsidRPr="009B58D8">
        <w:t xml:space="preserve">tolerated for short periods, </w:t>
      </w:r>
      <w:r>
        <w:t xml:space="preserve">and then </w:t>
      </w:r>
      <w:r w:rsidRPr="009B58D8">
        <w:t>by the most tolerant of species</w:t>
      </w:r>
      <w:r>
        <w:t xml:space="preserve"> (note, seawater is around 35 g/L Total Dissolved Solids)</w:t>
      </w:r>
      <w:r w:rsidRPr="009B58D8">
        <w:t>. When salinities exceed the preferred salinity range</w:t>
      </w:r>
      <w:r>
        <w:t>,</w:t>
      </w:r>
      <w:r w:rsidRPr="009B58D8">
        <w:t xml:space="preserve"> the species will usually persist as reproductive material within the sediment</w:t>
      </w:r>
      <w:r>
        <w:t xml:space="preserve"> (Coleman in press)</w:t>
      </w:r>
      <w:r w:rsidRPr="009B58D8">
        <w:t xml:space="preserve">. </w:t>
      </w:r>
      <w:r>
        <w:t xml:space="preserve">There is also, typically, a preferred depth range. </w:t>
      </w:r>
    </w:p>
    <w:p w14:paraId="0EE33612" w14:textId="4D9C128F" w:rsidR="00C74AF4" w:rsidRPr="00CC0195" w:rsidRDefault="00646DE7" w:rsidP="00CC0195">
      <w:pPr>
        <w:rPr>
          <w:highlight w:val="cyan"/>
        </w:rPr>
      </w:pPr>
      <w:r w:rsidRPr="00CB5899">
        <w:t xml:space="preserve">As discussed in Criterion 3 for </w:t>
      </w:r>
      <w:r w:rsidRPr="00CB5899">
        <w:rPr>
          <w:i/>
          <w:iCs/>
        </w:rPr>
        <w:t>Ruppia</w:t>
      </w:r>
      <w:r w:rsidRPr="00CB5899">
        <w:t>, the South Lagoon of the Coorong has switched to a plankton/</w:t>
      </w:r>
      <w:r>
        <w:t xml:space="preserve">filamentous </w:t>
      </w:r>
      <w:r w:rsidRPr="00CB5899">
        <w:t>alga dominated system. Light</w:t>
      </w:r>
      <w:r>
        <w:t>-</w:t>
      </w:r>
      <w:r w:rsidRPr="00CB5899">
        <w:t xml:space="preserve">dependent macrophytes have been </w:t>
      </w:r>
      <w:r>
        <w:t xml:space="preserve">light- </w:t>
      </w:r>
      <w:r w:rsidRPr="00CB5899">
        <w:t>limited by high turbidity (</w:t>
      </w:r>
      <w:r>
        <w:t xml:space="preserve">i.e. </w:t>
      </w:r>
      <w:r w:rsidRPr="00CB5899">
        <w:t>due to plankton blooms and increased sedimentation)</w:t>
      </w:r>
      <w:r>
        <w:t xml:space="preserve">, in addition to shading by filamentous algae </w:t>
      </w:r>
      <w:r w:rsidRPr="00CB5899">
        <w:t>(Nicol</w:t>
      </w:r>
      <w:r>
        <w:t xml:space="preserve"> et al.</w:t>
      </w:r>
      <w:r w:rsidRPr="00CB5899">
        <w:t xml:space="preserve"> 2018; Waycott et al. 2022; Coleman in press). </w:t>
      </w:r>
      <w:r>
        <w:t>Concomitantly, i</w:t>
      </w:r>
      <w:r w:rsidRPr="00CB5899">
        <w:t>ncreased sediment anaerobi</w:t>
      </w:r>
      <w:r>
        <w:t>a</w:t>
      </w:r>
      <w:r w:rsidRPr="00CB5899">
        <w:t xml:space="preserve">, hydrogen sulfide generation, and poor structure </w:t>
      </w:r>
      <w:r>
        <w:t xml:space="preserve">impedes </w:t>
      </w:r>
      <w:r w:rsidRPr="00CB5899">
        <w:t xml:space="preserve">rooted macrophytes </w:t>
      </w:r>
      <w:r>
        <w:t>from</w:t>
      </w:r>
      <w:r w:rsidRPr="00CB5899">
        <w:t xml:space="preserve"> persist</w:t>
      </w:r>
      <w:r>
        <w:t>ing</w:t>
      </w:r>
      <w:r w:rsidRPr="00CB5899">
        <w:t xml:space="preserve"> in deeper, clearer waters (Mosley et al. 2020). While historically the waters of the Coorong were much clearer, macrophytes are currently mainly growing in the littoral and tidal zone, Salt Creek, fringing ephemeral lagoons, or where freshwater springs pool (i.e. rather than in the deeper parts of the Coorong) (Coleman in press). H</w:t>
      </w:r>
      <w:r>
        <w:t>owever, h</w:t>
      </w:r>
      <w:r w:rsidRPr="00CB5899">
        <w:t xml:space="preserve">ere, the macrophytes are more vulnerable to higher temperatures, water level changes, and </w:t>
      </w:r>
      <w:r>
        <w:t xml:space="preserve">risk </w:t>
      </w:r>
      <w:r w:rsidRPr="00CB5899">
        <w:t xml:space="preserve">desiccation. </w:t>
      </w:r>
    </w:p>
    <w:p w14:paraId="3D9E0CA2" w14:textId="3F26E059" w:rsidR="00C74AF4" w:rsidRPr="00FC064F" w:rsidRDefault="00C74AF4" w:rsidP="00AD4454">
      <w:pPr>
        <w:pStyle w:val="Heading6"/>
      </w:pPr>
      <w:r w:rsidRPr="00FC064F">
        <w:t>Deline in Diversity</w:t>
      </w:r>
      <w:r>
        <w:t xml:space="preserve"> – </w:t>
      </w:r>
      <w:r w:rsidR="00BC6D6A">
        <w:t>A</w:t>
      </w:r>
      <w:r>
        <w:t>ngiosperms</w:t>
      </w:r>
      <w:r w:rsidR="00BC6D6A">
        <w:t xml:space="preserve"> in the Coorong</w:t>
      </w:r>
    </w:p>
    <w:p w14:paraId="73577040" w14:textId="19CC5711" w:rsidR="00C74AF4" w:rsidRDefault="00C74AF4" w:rsidP="00C74AF4">
      <w:pPr>
        <w:spacing w:after="0"/>
      </w:pPr>
      <w:r>
        <w:t xml:space="preserve">Notwithstanding recent taxonomic reviews are likely to reveal more species (e.g. Lewis et al. 2022 </w:t>
      </w:r>
      <w:r w:rsidRPr="00B87CE8">
        <w:rPr>
          <w:i/>
          <w:iCs/>
        </w:rPr>
        <w:t>Ruppia</w:t>
      </w:r>
      <w:r>
        <w:t xml:space="preserve"> sp. nov.; Coleman in press), at least 14 known species of submergent macrophytes have been documented from the Coorong lagoons (Coleman in press; </w:t>
      </w:r>
      <w:r w:rsidRPr="003B593C">
        <w:rPr>
          <w:u w:val="single"/>
        </w:rPr>
        <w:t xml:space="preserve">Appendix </w:t>
      </w:r>
      <w:r w:rsidR="000F7E82" w:rsidRPr="003B593C">
        <w:rPr>
          <w:u w:val="single"/>
        </w:rPr>
        <w:t>B</w:t>
      </w:r>
      <w:r w:rsidRPr="003B593C">
        <w:rPr>
          <w:u w:val="single"/>
        </w:rPr>
        <w:t xml:space="preserve">, Table </w:t>
      </w:r>
      <w:r w:rsidR="000F7E82" w:rsidRPr="003B593C">
        <w:rPr>
          <w:u w:val="single"/>
        </w:rPr>
        <w:t>B1</w:t>
      </w:r>
      <w:r w:rsidRPr="003B593C">
        <w:t>).</w:t>
      </w:r>
      <w:r>
        <w:t xml:space="preserve"> A dramatic loss of macrophyte species diversity has occurred, for example, from at least four angiosperm taxa and four calcifying macroalgae taxa prior to the 1970s, down to two angiosperm taxa in the present-day South Lagoon (Coleman in press). In particular, there has been significant loss and decline for the two previously dominant macrophytes in the Coorong system (and see Criterion 3): </w:t>
      </w:r>
    </w:p>
    <w:p w14:paraId="7C7A3970" w14:textId="77777777" w:rsidR="00C74AF4" w:rsidRPr="00701386" w:rsidRDefault="00C74AF4" w:rsidP="00C74AF4">
      <w:pPr>
        <w:spacing w:after="0"/>
        <w:rPr>
          <w:sz w:val="16"/>
          <w:szCs w:val="16"/>
        </w:rPr>
      </w:pPr>
    </w:p>
    <w:p w14:paraId="77FA76FE" w14:textId="22BEEC12" w:rsidR="00C74AF4" w:rsidRDefault="00C74AF4" w:rsidP="004162AC">
      <w:pPr>
        <w:pStyle w:val="ListParagraph"/>
        <w:numPr>
          <w:ilvl w:val="0"/>
          <w:numId w:val="82"/>
        </w:numPr>
        <w:spacing w:after="0"/>
      </w:pPr>
      <w:r w:rsidRPr="00701386">
        <w:rPr>
          <w:i/>
          <w:iCs/>
        </w:rPr>
        <w:lastRenderedPageBreak/>
        <w:t>Ruppia megacarpa</w:t>
      </w:r>
      <w:r>
        <w:t xml:space="preserve"> is now ‘functionally extirpated’ in the North Lagoon, although Lewis et al. (2022) reported finding seeds in a 2019-2022 sediment survey (10% of </w:t>
      </w:r>
      <w:r w:rsidRPr="00701386">
        <w:rPr>
          <w:i/>
          <w:iCs/>
        </w:rPr>
        <w:t xml:space="preserve">Ruppia </w:t>
      </w:r>
      <w:r>
        <w:t>seeds, however it was unclear as to which lagoon these were from). Of note</w:t>
      </w:r>
      <w:r w:rsidR="00DF744A">
        <w:t>,</w:t>
      </w:r>
      <w:r>
        <w:t xml:space="preserve"> is that its decline commenced prior to the Millennium Drought</w:t>
      </w:r>
      <w:r w:rsidR="0085520F">
        <w:t xml:space="preserve"> and </w:t>
      </w:r>
      <w:r w:rsidR="004C2929">
        <w:t xml:space="preserve">that this species does occur in </w:t>
      </w:r>
      <w:r w:rsidR="00961A60">
        <w:t>some wetlands adjacent to the Coorong</w:t>
      </w:r>
      <w:r w:rsidR="00884FF0">
        <w:t xml:space="preserve"> (DEW 2021)</w:t>
      </w:r>
      <w:r w:rsidR="005F4921">
        <w:t>.</w:t>
      </w:r>
    </w:p>
    <w:p w14:paraId="5EB3F179" w14:textId="77777777" w:rsidR="00C74AF4" w:rsidRDefault="00C74AF4" w:rsidP="00C74AF4">
      <w:pPr>
        <w:pStyle w:val="ListParagraph"/>
        <w:spacing w:after="0"/>
      </w:pPr>
    </w:p>
    <w:p w14:paraId="38438AE5" w14:textId="77777777" w:rsidR="00C74AF4" w:rsidRDefault="00C74AF4" w:rsidP="004162AC">
      <w:pPr>
        <w:pStyle w:val="ListParagraph"/>
        <w:numPr>
          <w:ilvl w:val="0"/>
          <w:numId w:val="82"/>
        </w:numPr>
        <w:spacing w:after="0"/>
      </w:pPr>
      <w:r w:rsidRPr="00701386">
        <w:rPr>
          <w:i/>
          <w:iCs/>
        </w:rPr>
        <w:t>Ruppia tuberosa</w:t>
      </w:r>
      <w:r>
        <w:t xml:space="preserve"> (surrogate for the ‘Ruppia Community’, which includes another angiosperm—</w:t>
      </w:r>
      <w:r w:rsidRPr="00646D42">
        <w:rPr>
          <w:i/>
          <w:iCs/>
        </w:rPr>
        <w:t>Althenia</w:t>
      </w:r>
      <w:r>
        <w:t xml:space="preserve">) was significantly impacted by the Millennium Drought and all but disappeared from the South Lagoon (Nicol et al. 2018; Waycott et al. 2022). Recovery after the drought has been slow and patchy, and the seed bank remains low and ‘not resilient’ (Nicol et al. 2018; Asanopoulos &amp; Waycott 2020; Lewis et al. 2022). In addition, seasonal blooms of filamentous algae are interfering with the reproductive outputs </w:t>
      </w:r>
      <w:r w:rsidRPr="00646D42">
        <w:rPr>
          <w:i/>
          <w:iCs/>
        </w:rPr>
        <w:t>of R. tuberosa</w:t>
      </w:r>
      <w:r>
        <w:t xml:space="preserve"> (and </w:t>
      </w:r>
      <w:r w:rsidRPr="00646D42">
        <w:rPr>
          <w:i/>
          <w:iCs/>
        </w:rPr>
        <w:t>Althenia</w:t>
      </w:r>
      <w:r>
        <w:t>) (Waycott et al. 2022).</w:t>
      </w:r>
    </w:p>
    <w:p w14:paraId="1234482A" w14:textId="77777777" w:rsidR="00C74AF4" w:rsidRDefault="00C74AF4" w:rsidP="00C74AF4">
      <w:pPr>
        <w:spacing w:after="0"/>
      </w:pPr>
    </w:p>
    <w:p w14:paraId="7AC125FB" w14:textId="629BA299" w:rsidR="00C74AF4" w:rsidRDefault="00C74AF4" w:rsidP="00C74AF4">
      <w:pPr>
        <w:spacing w:after="0"/>
      </w:pPr>
      <w:r>
        <w:t xml:space="preserve">Asanopoulos and Waycott (2020) observed that suitable salinities for </w:t>
      </w:r>
      <w:r w:rsidRPr="00632603">
        <w:rPr>
          <w:i/>
          <w:iCs/>
        </w:rPr>
        <w:t>Ruppia megacarpa</w:t>
      </w:r>
      <w:r>
        <w:t xml:space="preserve"> and </w:t>
      </w:r>
      <w:r w:rsidRPr="00632603">
        <w:rPr>
          <w:i/>
          <w:iCs/>
        </w:rPr>
        <w:t>Ruppia polycarpa</w:t>
      </w:r>
      <w:r>
        <w:t xml:space="preserve"> now occur within the Coorong at times, yet neither species has reappeared within the </w:t>
      </w:r>
      <w:r w:rsidR="00452DB9">
        <w:t xml:space="preserve">main </w:t>
      </w:r>
      <w:r>
        <w:t xml:space="preserve">waterbody. Additionally, there has been major loss of </w:t>
      </w:r>
      <w:r w:rsidRPr="00D05D04">
        <w:rPr>
          <w:i/>
          <w:iCs/>
        </w:rPr>
        <w:t>Zostera mu</w:t>
      </w:r>
      <w:r w:rsidR="009C713F">
        <w:rPr>
          <w:i/>
          <w:iCs/>
        </w:rPr>
        <w:t>e</w:t>
      </w:r>
      <w:r w:rsidRPr="00D05D04">
        <w:rPr>
          <w:i/>
          <w:iCs/>
        </w:rPr>
        <w:t>lleri</w:t>
      </w:r>
      <w:r>
        <w:t xml:space="preserve"> (</w:t>
      </w:r>
      <w:r w:rsidR="009C713F">
        <w:t xml:space="preserve">estuarine </w:t>
      </w:r>
      <w:r>
        <w:t>sea grass) meadows from the North Lagoon</w:t>
      </w:r>
      <w:r w:rsidR="00043755">
        <w:t xml:space="preserve"> (DEW 2021)</w:t>
      </w:r>
      <w:r>
        <w:t xml:space="preserve">, with it only recently found as remnants </w:t>
      </w:r>
      <w:r w:rsidR="006A62C6">
        <w:t>around</w:t>
      </w:r>
      <w:r w:rsidR="00C31CDB">
        <w:t xml:space="preserve"> the </w:t>
      </w:r>
      <w:r>
        <w:t xml:space="preserve">Murray </w:t>
      </w:r>
      <w:r w:rsidRPr="00C31CDB">
        <w:t xml:space="preserve">Mouth </w:t>
      </w:r>
      <w:r w:rsidR="00C31CDB" w:rsidRPr="00C31CDB">
        <w:t>(</w:t>
      </w:r>
      <w:r w:rsidR="00C31CDB">
        <w:t>Lewis et al. 2022).</w:t>
      </w:r>
    </w:p>
    <w:p w14:paraId="5EDB0D43" w14:textId="77777777" w:rsidR="00C74AF4" w:rsidRDefault="00C74AF4" w:rsidP="00C74AF4">
      <w:pPr>
        <w:spacing w:after="0"/>
      </w:pPr>
    </w:p>
    <w:p w14:paraId="14989F94" w14:textId="4F4107B9" w:rsidR="00C74AF4" w:rsidRPr="0036335A" w:rsidRDefault="00C74AF4" w:rsidP="00AD4454">
      <w:pPr>
        <w:pStyle w:val="Heading6"/>
      </w:pPr>
      <w:r w:rsidRPr="0036335A">
        <w:t>Decline in Diversity – C</w:t>
      </w:r>
      <w:r>
        <w:t xml:space="preserve">alcifying </w:t>
      </w:r>
      <w:r w:rsidRPr="0036335A">
        <w:t>macroalgae</w:t>
      </w:r>
      <w:r w:rsidR="0026180C">
        <w:t xml:space="preserve"> in the Coorong</w:t>
      </w:r>
    </w:p>
    <w:p w14:paraId="760D00D3" w14:textId="22CA130F" w:rsidR="00B526AD" w:rsidRDefault="00C74AF4" w:rsidP="00B526AD">
      <w:r>
        <w:t xml:space="preserve">The South Lagoon of the Coorong is considered to have transitioned from a clear-water to a turbid state in around 1976-78, which coincided with an observed shift in dominance from the charophyte </w:t>
      </w:r>
      <w:r w:rsidRPr="007F4CF5">
        <w:rPr>
          <w:i/>
          <w:iCs/>
        </w:rPr>
        <w:t>Lamprothamniu</w:t>
      </w:r>
      <w:r>
        <w:rPr>
          <w:i/>
          <w:iCs/>
        </w:rPr>
        <w:t>m</w:t>
      </w:r>
      <w:r>
        <w:t xml:space="preserve"> </w:t>
      </w:r>
      <w:r w:rsidRPr="00D2371D">
        <w:rPr>
          <w:i/>
          <w:iCs/>
        </w:rPr>
        <w:t>papulosum</w:t>
      </w:r>
      <w:r>
        <w:t>, (foxtail stonewort) to filamentous green algae (likely Cladophor sp</w:t>
      </w:r>
      <w:r w:rsidR="00B11172">
        <w:t>.</w:t>
      </w:r>
      <w:r>
        <w:t xml:space="preserve">), in deeper waters (Coleman in press). Stoneworts are green, calcifying macroalgae that represent an important food resource for many waterbird species (Womersley 1975; Fox &amp; Stipniece 2024). </w:t>
      </w:r>
    </w:p>
    <w:p w14:paraId="21D2287F" w14:textId="1540E7E5" w:rsidR="00C74AF4" w:rsidRDefault="00C74AF4" w:rsidP="00B526AD">
      <w:r>
        <w:t xml:space="preserve">Dick et al. (2011) found </w:t>
      </w:r>
      <w:r w:rsidRPr="006E78EE">
        <w:rPr>
          <w:i/>
          <w:iCs/>
        </w:rPr>
        <w:t>Lamprothamnium</w:t>
      </w:r>
      <w:r w:rsidRPr="009B58D8">
        <w:t xml:space="preserve"> oospores through the equivalent of 3,600 years of a single sediment core within the South Lagoon</w:t>
      </w:r>
      <w:r>
        <w:t>.</w:t>
      </w:r>
      <w:r w:rsidRPr="009B58D8">
        <w:t xml:space="preserve"> </w:t>
      </w:r>
      <w:r>
        <w:t xml:space="preserve">Further, sediment core studies found that calcified oospores of </w:t>
      </w:r>
      <w:r w:rsidRPr="009717EB">
        <w:rPr>
          <w:i/>
          <w:iCs/>
        </w:rPr>
        <w:t>Lamprothamnium</w:t>
      </w:r>
      <w:r>
        <w:t xml:space="preserve"> continued to decline throughout the 1960s and 1970s (Reeves et al. 2015). The spore-bank of viable desiccation-tolerant </w:t>
      </w:r>
      <w:r w:rsidRPr="007F2730">
        <w:rPr>
          <w:i/>
          <w:iCs/>
        </w:rPr>
        <w:t>Lamprothamnium</w:t>
      </w:r>
      <w:r>
        <w:t xml:space="preserve"> oospores can survive decades or more, to re-establish populations once a wetland is inundated (Casanova 2013). During their 2019-2022 survey of the Coorong, Lewis et al. (2022) found only a few, and very unhealthy, specimens of </w:t>
      </w:r>
      <w:r w:rsidRPr="008939E1">
        <w:rPr>
          <w:i/>
          <w:iCs/>
        </w:rPr>
        <w:t>Lamprothamnium</w:t>
      </w:r>
      <w:r>
        <w:t xml:space="preserve"> amongst filamentous algae samples. </w:t>
      </w:r>
    </w:p>
    <w:p w14:paraId="166843FD" w14:textId="77777777" w:rsidR="00C74AF4" w:rsidRDefault="00C74AF4" w:rsidP="00C74AF4">
      <w:r>
        <w:t xml:space="preserve">Although not monitored or as widely reported on as was </w:t>
      </w:r>
      <w:r w:rsidRPr="00CD015D">
        <w:rPr>
          <w:i/>
          <w:iCs/>
        </w:rPr>
        <w:t>Ruppia</w:t>
      </w:r>
      <w:r w:rsidRPr="00CD015D">
        <w:t xml:space="preserve"> over the past several decades</w:t>
      </w:r>
      <w:r>
        <w:t xml:space="preserve"> (e.g. Coleman in press)</w:t>
      </w:r>
      <w:r w:rsidRPr="00CD015D">
        <w:t>,</w:t>
      </w:r>
      <w:r>
        <w:t xml:space="preserve"> Lewis et al. (2022) noted that the loss of </w:t>
      </w:r>
      <w:r w:rsidRPr="00913965">
        <w:rPr>
          <w:i/>
          <w:iCs/>
        </w:rPr>
        <w:t>L.</w:t>
      </w:r>
      <w:r>
        <w:t xml:space="preserve"> </w:t>
      </w:r>
      <w:r w:rsidRPr="00D2371D">
        <w:rPr>
          <w:i/>
          <w:iCs/>
        </w:rPr>
        <w:t>papulosum</w:t>
      </w:r>
      <w:r>
        <w:t xml:space="preserve"> could be indicative of the decline in water quality in the South Lagoon. For example, c</w:t>
      </w:r>
      <w:r w:rsidRPr="009B58D8">
        <w:t xml:space="preserve">alcifying macroalgae precipitate calcium phosphate deposits, binding phosphorus in dense sedimentary beds of calcium carbonate rich </w:t>
      </w:r>
      <w:r>
        <w:t>‘</w:t>
      </w:r>
      <w:r w:rsidRPr="009B58D8">
        <w:t>marl</w:t>
      </w:r>
      <w:r>
        <w:t>’</w:t>
      </w:r>
      <w:r w:rsidRPr="009B58D8">
        <w:t xml:space="preserve"> over millennia,</w:t>
      </w:r>
      <w:r>
        <w:t xml:space="preserve"> thus removing phosphorus from the water column (Dick et al. 2011). Fox &amp; Stipniece (2024) concur that charophytes are ideal indicator species of ecological change. </w:t>
      </w:r>
      <w:r w:rsidRPr="009B58D8">
        <w:t xml:space="preserve"> </w:t>
      </w:r>
    </w:p>
    <w:p w14:paraId="39050F10" w14:textId="47D20C40" w:rsidR="00C74AF4" w:rsidRDefault="00C74AF4" w:rsidP="005017DB">
      <w:r>
        <w:t xml:space="preserve">The loss of calcifying algae within the ecological community, such as </w:t>
      </w:r>
      <w:r w:rsidRPr="007F4CF5">
        <w:rPr>
          <w:i/>
          <w:iCs/>
        </w:rPr>
        <w:t>L</w:t>
      </w:r>
      <w:r>
        <w:rPr>
          <w:i/>
          <w:iCs/>
        </w:rPr>
        <w:t xml:space="preserve">. </w:t>
      </w:r>
      <w:r w:rsidRPr="00D2371D">
        <w:rPr>
          <w:i/>
          <w:iCs/>
        </w:rPr>
        <w:t>papulosum</w:t>
      </w:r>
      <w:r>
        <w:t xml:space="preserve">, and </w:t>
      </w:r>
      <w:r w:rsidRPr="0090166E">
        <w:rPr>
          <w:rFonts w:eastAsia="Times New Roman" w:cs="Calibri"/>
          <w:i/>
          <w:iCs/>
          <w:color w:val="000000"/>
          <w:lang w:eastAsia="en-AU"/>
        </w:rPr>
        <w:t>Acetabularia peniculus</w:t>
      </w:r>
      <w:r>
        <w:rPr>
          <w:rFonts w:eastAsia="Times New Roman" w:cs="Calibri"/>
          <w:i/>
          <w:iCs/>
          <w:color w:val="000000"/>
          <w:sz w:val="20"/>
          <w:szCs w:val="20"/>
          <w:lang w:eastAsia="en-AU"/>
        </w:rPr>
        <w:t xml:space="preserve"> </w:t>
      </w:r>
      <w:r w:rsidRPr="0090166E">
        <w:rPr>
          <w:rFonts w:eastAsia="Times New Roman" w:cs="Calibri"/>
          <w:color w:val="000000"/>
          <w:lang w:eastAsia="en-AU"/>
        </w:rPr>
        <w:t>(</w:t>
      </w:r>
      <w:r>
        <w:rPr>
          <w:rFonts w:eastAsia="Times New Roman" w:cs="Calibri"/>
          <w:color w:val="000000"/>
          <w:lang w:eastAsia="en-AU"/>
        </w:rPr>
        <w:t>b</w:t>
      </w:r>
      <w:r w:rsidRPr="0090166E">
        <w:rPr>
          <w:rFonts w:eastAsia="Times New Roman" w:cs="Calibri"/>
          <w:color w:val="000000"/>
          <w:lang w:eastAsia="en-AU"/>
        </w:rPr>
        <w:t>alloon tops</w:t>
      </w:r>
      <w:r>
        <w:rPr>
          <w:rFonts w:eastAsia="Times New Roman" w:cs="Calibri"/>
          <w:color w:val="000000"/>
          <w:lang w:eastAsia="en-AU"/>
        </w:rPr>
        <w:t xml:space="preserve">, not observed in the South Lagoon since 1979; </w:t>
      </w:r>
      <w:r w:rsidRPr="002A3866">
        <w:rPr>
          <w:rFonts w:eastAsia="Times New Roman" w:cs="Calibri"/>
          <w:color w:val="000000"/>
          <w:u w:val="single"/>
          <w:lang w:eastAsia="en-AU"/>
        </w:rPr>
        <w:t xml:space="preserve">Appendix </w:t>
      </w:r>
      <w:r w:rsidR="002F6F87" w:rsidRPr="002A3866">
        <w:rPr>
          <w:rFonts w:eastAsia="Times New Roman" w:cs="Calibri"/>
          <w:color w:val="000000"/>
          <w:u w:val="single"/>
          <w:lang w:eastAsia="en-AU"/>
        </w:rPr>
        <w:t>B</w:t>
      </w:r>
      <w:r w:rsidRPr="002A3866">
        <w:rPr>
          <w:rFonts w:eastAsia="Times New Roman" w:cs="Calibri"/>
          <w:color w:val="000000"/>
          <w:u w:val="single"/>
          <w:lang w:eastAsia="en-AU"/>
        </w:rPr>
        <w:t xml:space="preserve">, Table </w:t>
      </w:r>
      <w:r w:rsidR="002F6F87" w:rsidRPr="002A3866">
        <w:rPr>
          <w:rFonts w:eastAsia="Times New Roman" w:cs="Calibri"/>
          <w:color w:val="000000"/>
          <w:u w:val="single"/>
          <w:lang w:eastAsia="en-AU"/>
        </w:rPr>
        <w:t>B1</w:t>
      </w:r>
      <w:r w:rsidRPr="002A3866">
        <w:rPr>
          <w:rFonts w:eastAsia="Times New Roman" w:cs="Calibri"/>
          <w:color w:val="000000"/>
          <w:lang w:eastAsia="en-AU"/>
        </w:rPr>
        <w:t>)</w:t>
      </w:r>
      <w:r>
        <w:rPr>
          <w:rFonts w:eastAsia="Times New Roman" w:cs="Calibri"/>
          <w:color w:val="000000"/>
          <w:lang w:eastAsia="en-AU"/>
        </w:rPr>
        <w:t xml:space="preserve"> would have contributed to the current turbid, nutrient rich conditions. </w:t>
      </w:r>
      <w:r>
        <w:t xml:space="preserve">The loss of these important calcifying macrophyte taxa is related to changing water chemistry, including higher acidity and salinity (i.e. increases in sodium and chloride and decreases in magnesium, </w:t>
      </w:r>
      <w:r>
        <w:lastRenderedPageBreak/>
        <w:t>sulphate and calcium). In addition, w</w:t>
      </w:r>
      <w:r w:rsidRPr="009B58D8">
        <w:t xml:space="preserve">ithin the South Lagoon, </w:t>
      </w:r>
      <w:r>
        <w:t>the</w:t>
      </w:r>
      <w:r w:rsidRPr="009B58D8">
        <w:t xml:space="preserve"> decrease in dissolved inorganic carbon and increase in organic carbon over the past seventy years has resulted in a low aragonite saturation state, </w:t>
      </w:r>
      <w:r>
        <w:t xml:space="preserve">which limits </w:t>
      </w:r>
      <w:r w:rsidRPr="009B58D8">
        <w:t>the ability of calcifying algae to bind excess phosphorous and photosynthesis</w:t>
      </w:r>
      <w:r>
        <w:t>e</w:t>
      </w:r>
      <w:r w:rsidRPr="009B58D8">
        <w:t xml:space="preserve"> </w:t>
      </w:r>
      <w:r>
        <w:t>(</w:t>
      </w:r>
      <w:r w:rsidRPr="009B58D8">
        <w:t>Coleman</w:t>
      </w:r>
      <w:r>
        <w:t xml:space="preserve"> </w:t>
      </w:r>
      <w:r w:rsidRPr="00B763F1">
        <w:t>in press</w:t>
      </w:r>
      <w:r w:rsidRPr="009B58D8">
        <w:t xml:space="preserve">). </w:t>
      </w:r>
    </w:p>
    <w:p w14:paraId="121F9D9A" w14:textId="453F4C4D" w:rsidR="00C74AF4" w:rsidRDefault="00C74AF4" w:rsidP="00D11482">
      <w:r>
        <w:t>Importantly, Lewis et al. (2022) stressed that, going forward, the mixed community of aquatic macrophytes found in the ‘Ruppia Community’ should be managed to maintain the mi</w:t>
      </w:r>
      <w:r w:rsidR="006F22F8">
        <w:t>x</w:t>
      </w:r>
      <w:r>
        <w:t xml:space="preserve">ed assemblage rather than one dominant species (i.e. </w:t>
      </w:r>
      <w:r w:rsidRPr="00832A63">
        <w:rPr>
          <w:i/>
          <w:iCs/>
        </w:rPr>
        <w:t>R. tuberosa</w:t>
      </w:r>
      <w:r>
        <w:t>).</w:t>
      </w:r>
    </w:p>
    <w:p w14:paraId="661DC899" w14:textId="1F323224" w:rsidR="00F90541" w:rsidRPr="00F90541" w:rsidRDefault="00F90541" w:rsidP="00A2521C">
      <w:pPr>
        <w:pStyle w:val="Heading5"/>
      </w:pPr>
      <w:r>
        <w:t xml:space="preserve">Loss of </w:t>
      </w:r>
      <w:r w:rsidR="005F0630" w:rsidRPr="005F0630">
        <w:t>Macroinvertebrate biodiversity</w:t>
      </w:r>
    </w:p>
    <w:p w14:paraId="75990C2B" w14:textId="77777777" w:rsidR="00046DB7" w:rsidRDefault="00F90541" w:rsidP="00AD4454">
      <w:pPr>
        <w:pStyle w:val="Heading6"/>
      </w:pPr>
      <w:r w:rsidRPr="00F90541">
        <w:t>Overview</w:t>
      </w:r>
    </w:p>
    <w:p w14:paraId="7B2C9E85" w14:textId="7E809878" w:rsidR="00046DB7" w:rsidRPr="00046DB7" w:rsidRDefault="005F0630" w:rsidP="00046DB7">
      <w:pPr>
        <w:rPr>
          <w:b/>
          <w:bCs/>
          <w:i/>
          <w:iCs/>
        </w:rPr>
      </w:pPr>
      <w:r>
        <w:t xml:space="preserve">Macroinvertebrates typically occur in three main habitats—benthic (bottom-living), pelagic (open-water), and littoral (lake/stream-edge). Of these, the littoral habitat typically has the richest species diversity, with species composition influenced by the type and amount of aquatic vegetation. </w:t>
      </w:r>
      <w:r w:rsidR="000F35D2">
        <w:t>Therefore, loss and decline in emergent and submergent plants will translate to loss and decline in a considerable portion of the macroinvertebrate biodiversity (see Macrophyte biodiversity section above).</w:t>
      </w:r>
    </w:p>
    <w:p w14:paraId="116887EA" w14:textId="1F99E705" w:rsidR="005F0630" w:rsidRPr="003066B1" w:rsidRDefault="005F0630" w:rsidP="00046DB7">
      <w:r>
        <w:t xml:space="preserve">Macroinvertebrates are susceptible to catastrophic damage whenever flows cease to connect the River, Lakes, and sea for extended periods of time (Walker et al. 2018). Flows from the highly turbid Darling River can also affect invertebrate communities in the Murray channel and </w:t>
      </w:r>
      <w:r w:rsidR="00BD1B99">
        <w:t xml:space="preserve">adjacent </w:t>
      </w:r>
      <w:r>
        <w:t xml:space="preserve">wetlands of the ecological community, and when the Darling River’s contribution is increased by regulated flows from Lake Victoria (via Rufus River), the abundances of many species decline (Blanch et al. 1999). This may reflect a loss/degradation of aquatic plants and habitats for macroinvertebrates due </w:t>
      </w:r>
      <w:r w:rsidR="00670EE1">
        <w:t>to</w:t>
      </w:r>
      <w:r>
        <w:t xml:space="preserve"> increased turbidity and lowered underwater light, lack of variability in water level, and, the possibility of pesticide contamination (Bennison &amp; Suter 1990; Walker et al. 2009).</w:t>
      </w:r>
    </w:p>
    <w:p w14:paraId="7232E0F0" w14:textId="77777777" w:rsidR="005F0630" w:rsidRDefault="005F0630" w:rsidP="00AD4454">
      <w:pPr>
        <w:pStyle w:val="Heading6"/>
      </w:pPr>
      <w:r w:rsidRPr="00E9683C">
        <w:t>Freshwater macroinvertebrates</w:t>
      </w:r>
    </w:p>
    <w:p w14:paraId="35134DA7" w14:textId="77777777" w:rsidR="006115FA" w:rsidRDefault="008070D8" w:rsidP="005F0630">
      <w:pPr>
        <w:contextualSpacing/>
      </w:pPr>
      <w:r>
        <w:t>In May 2006, t</w:t>
      </w:r>
      <w:r w:rsidR="00B506A3">
        <w:t xml:space="preserve">he Sustainable Rivers Audit sampled the Lower Murray Valley </w:t>
      </w:r>
      <w:r w:rsidR="00D30570">
        <w:t xml:space="preserve">which </w:t>
      </w:r>
      <w:r w:rsidR="00BD6D81">
        <w:t xml:space="preserve">overlaps with much </w:t>
      </w:r>
      <w:r w:rsidR="008F541C">
        <w:t xml:space="preserve">of the </w:t>
      </w:r>
      <w:r w:rsidR="00D30570">
        <w:t xml:space="preserve">ecological community (i.e. </w:t>
      </w:r>
      <w:r w:rsidR="00B877B7">
        <w:t xml:space="preserve">River Murray </w:t>
      </w:r>
      <w:r w:rsidR="00D30570">
        <w:t>from lock 10 below the confluence with the Darling River</w:t>
      </w:r>
      <w:r w:rsidR="008F541C">
        <w:t>, down to the Murray’s entry to Lake Alexandrina</w:t>
      </w:r>
      <w:r w:rsidR="0076373D">
        <w:t xml:space="preserve"> </w:t>
      </w:r>
      <w:r w:rsidR="00143FEF">
        <w:t>and including the tributaries of the Eastern Mount Lofty zone</w:t>
      </w:r>
      <w:r w:rsidR="00B877B7">
        <w:t>)</w:t>
      </w:r>
      <w:r w:rsidR="002474DA">
        <w:t xml:space="preserve"> for macroinvertebrates</w:t>
      </w:r>
      <w:r w:rsidR="008F541C">
        <w:t>.</w:t>
      </w:r>
      <w:r w:rsidR="0076373D">
        <w:t xml:space="preserve"> </w:t>
      </w:r>
      <w:r w:rsidR="002474DA">
        <w:t xml:space="preserve">They </w:t>
      </w:r>
      <w:r w:rsidR="00645513">
        <w:t>were found to be in ‘Poor Condition’ in the Upper and</w:t>
      </w:r>
      <w:r w:rsidR="00035727">
        <w:t xml:space="preserve"> Mt Lofty zones, and in </w:t>
      </w:r>
      <w:r w:rsidR="00CF114E">
        <w:t>‘</w:t>
      </w:r>
      <w:r w:rsidR="00035727">
        <w:t>Very Poor Condition</w:t>
      </w:r>
      <w:r w:rsidR="00CF114E">
        <w:t>’</w:t>
      </w:r>
      <w:r w:rsidR="00035727">
        <w:t xml:space="preserve"> in the Lower and Middle zones (Davies et al. 2008, 2010</w:t>
      </w:r>
      <w:r w:rsidR="00DE6693">
        <w:t xml:space="preserve">, </w:t>
      </w:r>
      <w:r w:rsidR="00DE6693" w:rsidRPr="002A3866">
        <w:rPr>
          <w:u w:val="single"/>
        </w:rPr>
        <w:t xml:space="preserve">Table </w:t>
      </w:r>
      <w:r w:rsidR="00B2219B" w:rsidRPr="002A3866">
        <w:rPr>
          <w:u w:val="single"/>
        </w:rPr>
        <w:t>34</w:t>
      </w:r>
      <w:r w:rsidR="00035727">
        <w:t>).</w:t>
      </w:r>
      <w:r w:rsidR="00CF114E">
        <w:t xml:space="preserve"> </w:t>
      </w:r>
    </w:p>
    <w:p w14:paraId="72630D17" w14:textId="77777777" w:rsidR="006115FA" w:rsidRDefault="006115FA" w:rsidP="005F0630">
      <w:pPr>
        <w:contextualSpacing/>
      </w:pPr>
    </w:p>
    <w:p w14:paraId="64F647CB" w14:textId="626456DF" w:rsidR="00CF2D62" w:rsidRPr="00ED3F13" w:rsidRDefault="00CF114E" w:rsidP="005F0630">
      <w:pPr>
        <w:contextualSpacing/>
      </w:pPr>
      <w:r>
        <w:t xml:space="preserve">While most </w:t>
      </w:r>
      <w:r w:rsidR="00D4432C">
        <w:t xml:space="preserve">(82%) </w:t>
      </w:r>
      <w:r>
        <w:t>of the expected families were recorded in the Valley</w:t>
      </w:r>
      <w:r w:rsidR="003A7CCC">
        <w:t xml:space="preserve"> in 2006</w:t>
      </w:r>
      <w:r>
        <w:t xml:space="preserve">, </w:t>
      </w:r>
      <w:r w:rsidR="00D4432C">
        <w:t xml:space="preserve">family richness was less than the ‘Reference Condition used for 98% of </w:t>
      </w:r>
      <w:r w:rsidR="00DF12C3">
        <w:t xml:space="preserve">the 33 </w:t>
      </w:r>
      <w:r w:rsidR="00D4432C">
        <w:t>sites</w:t>
      </w:r>
      <w:r w:rsidR="00DF12C3">
        <w:t xml:space="preserve"> sampled (Davies et al. 2008).</w:t>
      </w:r>
      <w:r w:rsidR="006E1AC9">
        <w:t xml:space="preserve"> Diversity was moderate to low, with the most diverse sites occurring in the Mt Lofty zone.</w:t>
      </w:r>
      <w:r w:rsidR="00BB1738">
        <w:t xml:space="preserve"> The Murray sites </w:t>
      </w:r>
      <w:r w:rsidR="001E1E51">
        <w:t>generally had impoverished macroinvertebrate communities</w:t>
      </w:r>
      <w:r w:rsidR="0094189D">
        <w:t xml:space="preserve"> </w:t>
      </w:r>
      <w:r w:rsidR="001E1E51">
        <w:t>but retained most disturbance sensitive families (Davies et al. 2008).</w:t>
      </w:r>
      <w:r w:rsidR="002474DA">
        <w:t xml:space="preserve"> </w:t>
      </w:r>
      <w:r w:rsidR="000B1883">
        <w:t xml:space="preserve">For </w:t>
      </w:r>
      <w:r w:rsidR="002474DA">
        <w:t>SRA 2</w:t>
      </w:r>
      <w:r w:rsidR="000B1883">
        <w:t>,</w:t>
      </w:r>
      <w:r w:rsidR="002474DA">
        <w:t xml:space="preserve"> </w:t>
      </w:r>
      <w:r w:rsidR="00DE6693">
        <w:t xml:space="preserve">sampled towards the end of the Millennium Drought, </w:t>
      </w:r>
      <w:r w:rsidR="002474DA">
        <w:t>2008-10,</w:t>
      </w:r>
      <w:r w:rsidR="00DE6693">
        <w:t xml:space="preserve"> </w:t>
      </w:r>
      <w:r w:rsidR="00ED3F13">
        <w:t>although benthic macroinvertebrates had a higher overall rating of ‘Moderate’</w:t>
      </w:r>
      <w:r w:rsidR="00DE6693">
        <w:t xml:space="preserve"> (</w:t>
      </w:r>
      <w:r w:rsidR="00DE6693" w:rsidRPr="0066634A">
        <w:rPr>
          <w:u w:val="single"/>
        </w:rPr>
        <w:t xml:space="preserve">Table </w:t>
      </w:r>
      <w:r w:rsidR="004D0395" w:rsidRPr="0066634A">
        <w:rPr>
          <w:u w:val="single"/>
        </w:rPr>
        <w:t>34</w:t>
      </w:r>
      <w:r w:rsidR="00DE6693">
        <w:t>)</w:t>
      </w:r>
      <w:r w:rsidR="00ED3F13">
        <w:t xml:space="preserve">, </w:t>
      </w:r>
      <w:r w:rsidR="00ED3F13" w:rsidRPr="00ED3F13">
        <w:t>there were substantial declines in the frequency and occurrence of expected macroinvertebrate families. Family richness was low</w:t>
      </w:r>
      <w:r w:rsidR="004D0395">
        <w:t>, particularly as</w:t>
      </w:r>
      <w:r w:rsidR="00ED3F13" w:rsidRPr="00ED3F13">
        <w:t xml:space="preserve"> compared to Reference Condition</w:t>
      </w:r>
      <w:r w:rsidR="00ED3F13">
        <w:t xml:space="preserve"> (Davies et al. 2012).</w:t>
      </w:r>
    </w:p>
    <w:p w14:paraId="10F9BA1E" w14:textId="77777777" w:rsidR="008F541C" w:rsidRPr="00B506A3" w:rsidRDefault="008F541C" w:rsidP="005F0630">
      <w:pPr>
        <w:contextualSpacing/>
      </w:pPr>
    </w:p>
    <w:p w14:paraId="64AC0F34" w14:textId="0B4EC088" w:rsidR="0054145A" w:rsidRDefault="005F0630" w:rsidP="0025536B">
      <w:r>
        <w:t xml:space="preserve">In 2003-2004, before the worst impacts of the Millennium Drought, macro-crustaceans collected from Lake Alexandrina were: the amphipods </w:t>
      </w:r>
      <w:r w:rsidRPr="00233803">
        <w:rPr>
          <w:i/>
          <w:iCs/>
        </w:rPr>
        <w:t>Austrochiltonia</w:t>
      </w:r>
      <w:r>
        <w:t xml:space="preserve"> and eusirids, the isopod </w:t>
      </w:r>
      <w:r w:rsidRPr="000C79E1">
        <w:rPr>
          <w:i/>
          <w:iCs/>
        </w:rPr>
        <w:t>Heterias</w:t>
      </w:r>
      <w:r>
        <w:t xml:space="preserve">, and the decapods </w:t>
      </w:r>
      <w:r w:rsidRPr="000C79E1">
        <w:rPr>
          <w:i/>
          <w:iCs/>
        </w:rPr>
        <w:t>Paratya</w:t>
      </w:r>
      <w:r>
        <w:t xml:space="preserve">, </w:t>
      </w:r>
      <w:r w:rsidRPr="000C79E1">
        <w:rPr>
          <w:i/>
          <w:iCs/>
        </w:rPr>
        <w:t>Caridina</w:t>
      </w:r>
      <w:r>
        <w:t xml:space="preserve">, </w:t>
      </w:r>
      <w:r w:rsidRPr="000C79E1">
        <w:rPr>
          <w:i/>
          <w:iCs/>
        </w:rPr>
        <w:t>Macrobrachium</w:t>
      </w:r>
      <w:r>
        <w:t xml:space="preserve">, </w:t>
      </w:r>
      <w:r w:rsidRPr="000C79E1">
        <w:rPr>
          <w:i/>
          <w:iCs/>
        </w:rPr>
        <w:t>Amarinus</w:t>
      </w:r>
      <w:r>
        <w:t xml:space="preserve"> and </w:t>
      </w:r>
      <w:r w:rsidRPr="000C79E1">
        <w:rPr>
          <w:i/>
          <w:iCs/>
        </w:rPr>
        <w:t>Cherax</w:t>
      </w:r>
      <w:r>
        <w:t xml:space="preserve"> (McEvoy &amp; Oxley 2013). </w:t>
      </w:r>
      <w:r w:rsidR="00724D2F">
        <w:t>However, by</w:t>
      </w:r>
      <w:r>
        <w:t xml:space="preserve"> 2009-10, just prior to the end of the drought, amphipods were the only </w:t>
      </w:r>
    </w:p>
    <w:p w14:paraId="3DED8752" w14:textId="77777777" w:rsidR="0054145A" w:rsidRPr="003C0278" w:rsidRDefault="0054145A" w:rsidP="005F0630">
      <w:pPr>
        <w:rPr>
          <w:b/>
          <w:bCs/>
        </w:rPr>
        <w:sectPr w:rsidR="0054145A" w:rsidRPr="003C0278" w:rsidSect="00143D3C">
          <w:pgSz w:w="11906" w:h="16838"/>
          <w:pgMar w:top="1134" w:right="1418" w:bottom="1134" w:left="1418" w:header="454" w:footer="454" w:gutter="0"/>
          <w:cols w:space="708"/>
          <w:docGrid w:linePitch="360"/>
        </w:sectPr>
      </w:pPr>
    </w:p>
    <w:p w14:paraId="70430014" w14:textId="6F2C0794" w:rsidR="008D2A83" w:rsidRPr="009F7798" w:rsidRDefault="00D25583" w:rsidP="007B3FA7">
      <w:pPr>
        <w:pStyle w:val="Caption"/>
        <w:ind w:left="-426" w:right="-229"/>
        <w:rPr>
          <w:b w:val="0"/>
          <w:bCs/>
          <w:sz w:val="20"/>
          <w:szCs w:val="20"/>
          <w:lang w:val="en-US"/>
        </w:rPr>
      </w:pPr>
      <w:r>
        <w:lastRenderedPageBreak/>
        <w:t xml:space="preserve">Table </w:t>
      </w:r>
      <w:r>
        <w:fldChar w:fldCharType="begin"/>
      </w:r>
      <w:r>
        <w:instrText xml:space="preserve"> SEQ Table \* ARABIC </w:instrText>
      </w:r>
      <w:r>
        <w:fldChar w:fldCharType="separate"/>
      </w:r>
      <w:r w:rsidR="006D35C5">
        <w:rPr>
          <w:noProof/>
        </w:rPr>
        <w:t>34</w:t>
      </w:r>
      <w:r>
        <w:fldChar w:fldCharType="end"/>
      </w:r>
      <w:r w:rsidR="008D2A83" w:rsidRPr="001F2B31">
        <w:rPr>
          <w:bCs/>
          <w:sz w:val="20"/>
          <w:szCs w:val="20"/>
          <w:lang w:val="en-US"/>
        </w:rPr>
        <w:t xml:space="preserve">: </w:t>
      </w:r>
      <w:r w:rsidR="008D2A83" w:rsidRPr="009F7798">
        <w:rPr>
          <w:bCs/>
          <w:sz w:val="20"/>
          <w:szCs w:val="20"/>
          <w:lang w:val="en-US"/>
        </w:rPr>
        <w:t>Summary of Sustainable Rivers Audit 1 &amp; 2: 2004 – 2010, Outcomes for ‘Lower Murray Valley’ (i.e. overlaps with RMDS EC) (Davies et al. 2008, 2010).</w:t>
      </w:r>
    </w:p>
    <w:tbl>
      <w:tblPr>
        <w:tblStyle w:val="TableGrid"/>
        <w:tblW w:w="5533" w:type="pct"/>
        <w:tblInd w:w="-714" w:type="dxa"/>
        <w:tblLayout w:type="fixed"/>
        <w:tblLook w:val="04A0" w:firstRow="1" w:lastRow="0" w:firstColumn="1" w:lastColumn="0" w:noHBand="0" w:noVBand="1"/>
      </w:tblPr>
      <w:tblGrid>
        <w:gridCol w:w="1702"/>
        <w:gridCol w:w="1275"/>
        <w:gridCol w:w="6096"/>
        <w:gridCol w:w="1275"/>
        <w:gridCol w:w="5388"/>
      </w:tblGrid>
      <w:tr w:rsidR="00D77D18" w14:paraId="20F7E5B6" w14:textId="77777777" w:rsidTr="0035072E">
        <w:tc>
          <w:tcPr>
            <w:tcW w:w="541" w:type="pct"/>
            <w:shd w:val="clear" w:color="auto" w:fill="FFF2CC" w:themeFill="accent4" w:themeFillTint="33"/>
          </w:tcPr>
          <w:p w14:paraId="25F8D870" w14:textId="77777777" w:rsidR="0015453E" w:rsidRPr="0095238C" w:rsidRDefault="0015453E" w:rsidP="00AF7448">
            <w:pPr>
              <w:spacing w:after="0" w:line="240" w:lineRule="auto"/>
              <w:contextualSpacing/>
              <w:rPr>
                <w:b/>
                <w:bCs/>
                <w:lang w:val="en-US"/>
              </w:rPr>
            </w:pPr>
            <w:r w:rsidRPr="0095238C">
              <w:rPr>
                <w:b/>
                <w:bCs/>
                <w:lang w:val="en-US"/>
              </w:rPr>
              <w:t>Indicator</w:t>
            </w:r>
          </w:p>
        </w:tc>
        <w:tc>
          <w:tcPr>
            <w:tcW w:w="405" w:type="pct"/>
            <w:shd w:val="clear" w:color="auto" w:fill="FFF2CC" w:themeFill="accent4" w:themeFillTint="33"/>
          </w:tcPr>
          <w:p w14:paraId="56940D7D" w14:textId="77777777" w:rsidR="0015453E" w:rsidRPr="0095238C" w:rsidRDefault="0015453E" w:rsidP="00AF7448">
            <w:pPr>
              <w:spacing w:after="0" w:line="240" w:lineRule="auto"/>
              <w:contextualSpacing/>
              <w:rPr>
                <w:b/>
                <w:bCs/>
                <w:lang w:val="en-US"/>
              </w:rPr>
            </w:pPr>
            <w:r w:rsidRPr="0095238C">
              <w:rPr>
                <w:b/>
                <w:bCs/>
                <w:lang w:val="en-US"/>
              </w:rPr>
              <w:t>Condition Status</w:t>
            </w:r>
          </w:p>
        </w:tc>
        <w:tc>
          <w:tcPr>
            <w:tcW w:w="1937" w:type="pct"/>
            <w:shd w:val="clear" w:color="auto" w:fill="FFF2CC" w:themeFill="accent4" w:themeFillTint="33"/>
          </w:tcPr>
          <w:p w14:paraId="08D65539" w14:textId="77777777" w:rsidR="0015453E" w:rsidRPr="0095238C" w:rsidRDefault="0015453E" w:rsidP="00AF7448">
            <w:pPr>
              <w:spacing w:after="0" w:line="240" w:lineRule="auto"/>
              <w:contextualSpacing/>
              <w:rPr>
                <w:b/>
                <w:bCs/>
                <w:lang w:val="en-US"/>
              </w:rPr>
            </w:pPr>
            <w:r w:rsidRPr="0095238C">
              <w:rPr>
                <w:b/>
                <w:bCs/>
                <w:lang w:val="en-US"/>
              </w:rPr>
              <w:t>Outcome SRA 1: 2004-2007</w:t>
            </w:r>
          </w:p>
        </w:tc>
        <w:tc>
          <w:tcPr>
            <w:tcW w:w="405" w:type="pct"/>
            <w:shd w:val="clear" w:color="auto" w:fill="FFF2CC" w:themeFill="accent4" w:themeFillTint="33"/>
          </w:tcPr>
          <w:p w14:paraId="219012E6" w14:textId="77777777" w:rsidR="0015453E" w:rsidRPr="0095238C" w:rsidRDefault="0015453E" w:rsidP="00AF7448">
            <w:pPr>
              <w:spacing w:after="0" w:line="240" w:lineRule="auto"/>
              <w:contextualSpacing/>
              <w:rPr>
                <w:b/>
                <w:bCs/>
                <w:lang w:val="en-US"/>
              </w:rPr>
            </w:pPr>
            <w:r w:rsidRPr="0095238C">
              <w:rPr>
                <w:b/>
                <w:bCs/>
                <w:lang w:val="en-US"/>
              </w:rPr>
              <w:t>Condition Status</w:t>
            </w:r>
          </w:p>
        </w:tc>
        <w:tc>
          <w:tcPr>
            <w:tcW w:w="1712" w:type="pct"/>
            <w:shd w:val="clear" w:color="auto" w:fill="FFF2CC" w:themeFill="accent4" w:themeFillTint="33"/>
          </w:tcPr>
          <w:p w14:paraId="2F31B4F5" w14:textId="77777777" w:rsidR="0015453E" w:rsidRPr="0095238C" w:rsidRDefault="0015453E" w:rsidP="00AF7448">
            <w:pPr>
              <w:spacing w:after="0" w:line="240" w:lineRule="auto"/>
              <w:contextualSpacing/>
              <w:rPr>
                <w:b/>
                <w:bCs/>
                <w:lang w:val="en-US"/>
              </w:rPr>
            </w:pPr>
            <w:r w:rsidRPr="0095238C">
              <w:rPr>
                <w:b/>
                <w:bCs/>
                <w:lang w:val="en-US"/>
              </w:rPr>
              <w:t>Outcome SRA 2: 2008-2010</w:t>
            </w:r>
          </w:p>
        </w:tc>
      </w:tr>
      <w:tr w:rsidR="009C2BD8" w:rsidRPr="00BE557B" w14:paraId="10D1D224" w14:textId="77777777" w:rsidTr="0035072E">
        <w:tc>
          <w:tcPr>
            <w:tcW w:w="541" w:type="pct"/>
          </w:tcPr>
          <w:p w14:paraId="61342E43" w14:textId="77777777" w:rsidR="0015453E" w:rsidRPr="00BB4650" w:rsidRDefault="0015453E" w:rsidP="00657A0B">
            <w:pPr>
              <w:spacing w:after="0" w:line="240" w:lineRule="auto"/>
              <w:rPr>
                <w:b/>
                <w:bCs/>
                <w:sz w:val="20"/>
                <w:szCs w:val="20"/>
                <w:lang w:val="en-US"/>
              </w:rPr>
            </w:pPr>
            <w:r w:rsidRPr="00BB4650">
              <w:rPr>
                <w:b/>
                <w:bCs/>
                <w:sz w:val="20"/>
                <w:szCs w:val="20"/>
                <w:lang w:val="en-US"/>
              </w:rPr>
              <w:t>Hydrology</w:t>
            </w:r>
          </w:p>
        </w:tc>
        <w:tc>
          <w:tcPr>
            <w:tcW w:w="405" w:type="pct"/>
            <w:shd w:val="clear" w:color="auto" w:fill="B4C6E7" w:themeFill="accent5" w:themeFillTint="66"/>
          </w:tcPr>
          <w:p w14:paraId="29DFB48E" w14:textId="77777777" w:rsidR="0015453E" w:rsidRPr="00B12006" w:rsidRDefault="0015453E" w:rsidP="00657A0B">
            <w:pPr>
              <w:spacing w:after="0" w:line="240" w:lineRule="auto"/>
              <w:rPr>
                <w:b/>
                <w:bCs/>
                <w:lang w:val="en-US"/>
              </w:rPr>
            </w:pPr>
            <w:r w:rsidRPr="00B12006">
              <w:rPr>
                <w:b/>
                <w:bCs/>
                <w:lang w:val="en-US"/>
              </w:rPr>
              <w:t>Poor</w:t>
            </w:r>
          </w:p>
        </w:tc>
        <w:tc>
          <w:tcPr>
            <w:tcW w:w="1937" w:type="pct"/>
            <w:shd w:val="clear" w:color="auto" w:fill="auto"/>
          </w:tcPr>
          <w:p w14:paraId="061E7ADD" w14:textId="6EA717E7" w:rsidR="0015453E" w:rsidRPr="002A59F9" w:rsidRDefault="0015453E" w:rsidP="00657A0B">
            <w:pPr>
              <w:spacing w:after="0" w:line="240" w:lineRule="auto"/>
              <w:rPr>
                <w:sz w:val="20"/>
                <w:szCs w:val="20"/>
              </w:rPr>
            </w:pPr>
            <w:r w:rsidRPr="002A59F9">
              <w:rPr>
                <w:sz w:val="20"/>
                <w:szCs w:val="20"/>
              </w:rPr>
              <w:t xml:space="preserve">Condition of the Lower Murray was Poor throughout, with Hydrology Index scores of 50–60. High-flow magnitudes reduced by 69–88%, 66% and 68–69% in the Upper, Middle and Lower Zones, respectively. Reductions in magnitude of low flows by 45-58% in all </w:t>
            </w:r>
            <w:r w:rsidR="00A7040C" w:rsidRPr="002A59F9">
              <w:rPr>
                <w:sz w:val="20"/>
                <w:szCs w:val="20"/>
              </w:rPr>
              <w:t>3</w:t>
            </w:r>
            <w:r w:rsidRPr="002A59F9">
              <w:rPr>
                <w:sz w:val="20"/>
                <w:szCs w:val="20"/>
              </w:rPr>
              <w:t xml:space="preserve"> mainstem Zones. All sites showed a 31–40% decline in variability. All sites showed a Moderate Difference from Reference Condition in seasonality. All sites </w:t>
            </w:r>
            <w:r w:rsidR="00A7040C" w:rsidRPr="002A59F9">
              <w:rPr>
                <w:sz w:val="20"/>
                <w:szCs w:val="20"/>
              </w:rPr>
              <w:t xml:space="preserve">showed </w:t>
            </w:r>
            <w:r w:rsidRPr="002A59F9">
              <w:rPr>
                <w:sz w:val="20"/>
                <w:szCs w:val="20"/>
              </w:rPr>
              <w:t>a Very Large Difference from Reference Condition. No data available for the streams of the Mt Lofty Zone.</w:t>
            </w:r>
          </w:p>
        </w:tc>
        <w:tc>
          <w:tcPr>
            <w:tcW w:w="405" w:type="pct"/>
            <w:shd w:val="clear" w:color="auto" w:fill="FF0000"/>
          </w:tcPr>
          <w:p w14:paraId="5A5C2A81" w14:textId="77777777" w:rsidR="0015453E" w:rsidRPr="00B12006" w:rsidRDefault="0015453E" w:rsidP="00657A0B">
            <w:pPr>
              <w:spacing w:after="0" w:line="240" w:lineRule="auto"/>
              <w:rPr>
                <w:b/>
                <w:bCs/>
              </w:rPr>
            </w:pPr>
            <w:r w:rsidRPr="00B12006">
              <w:rPr>
                <w:b/>
                <w:bCs/>
              </w:rPr>
              <w:t>V</w:t>
            </w:r>
            <w:r w:rsidRPr="00B12006">
              <w:rPr>
                <w:b/>
                <w:bCs/>
                <w:shd w:val="clear" w:color="auto" w:fill="FF0000"/>
              </w:rPr>
              <w:t>ery</w:t>
            </w:r>
            <w:r w:rsidRPr="00B12006">
              <w:rPr>
                <w:b/>
                <w:bCs/>
              </w:rPr>
              <w:t xml:space="preserve"> Poor</w:t>
            </w:r>
          </w:p>
        </w:tc>
        <w:tc>
          <w:tcPr>
            <w:tcW w:w="1712" w:type="pct"/>
            <w:shd w:val="clear" w:color="auto" w:fill="auto"/>
          </w:tcPr>
          <w:p w14:paraId="1CD775E0" w14:textId="77777777" w:rsidR="0015453E" w:rsidRPr="002A59F9" w:rsidRDefault="0015453E" w:rsidP="00657A0B">
            <w:pPr>
              <w:spacing w:after="0" w:line="240" w:lineRule="auto"/>
              <w:rPr>
                <w:sz w:val="20"/>
                <w:szCs w:val="20"/>
              </w:rPr>
            </w:pPr>
            <w:r w:rsidRPr="002A59F9">
              <w:rPr>
                <w:sz w:val="20"/>
                <w:szCs w:val="20"/>
              </w:rPr>
              <w:t>The river system’s Hydrology was in Very Poor condition, with the mainstem River Murray reaches in Extremely Poor condition and characterised by substantial alteration in flow variability, flow seasonality and high flow events relative to Reference Condition; and considerable alteration in flow gross volume and low flow events in the main channel.</w:t>
            </w:r>
          </w:p>
        </w:tc>
      </w:tr>
      <w:tr w:rsidR="009C2BD8" w:rsidRPr="00BE557B" w14:paraId="1CA073BD" w14:textId="77777777" w:rsidTr="0035072E">
        <w:tc>
          <w:tcPr>
            <w:tcW w:w="541" w:type="pct"/>
          </w:tcPr>
          <w:p w14:paraId="5C7778A8" w14:textId="77777777" w:rsidR="0015453E" w:rsidRPr="00BB4650" w:rsidRDefault="0015453E" w:rsidP="00657A0B">
            <w:pPr>
              <w:spacing w:after="0" w:line="240" w:lineRule="auto"/>
              <w:rPr>
                <w:b/>
                <w:bCs/>
                <w:sz w:val="20"/>
                <w:szCs w:val="20"/>
                <w:lang w:val="en-US"/>
              </w:rPr>
            </w:pPr>
            <w:r w:rsidRPr="00BB4650">
              <w:rPr>
                <w:b/>
                <w:bCs/>
                <w:sz w:val="20"/>
                <w:szCs w:val="20"/>
                <w:lang w:val="en-US"/>
              </w:rPr>
              <w:t>Riverine Vegetation</w:t>
            </w:r>
          </w:p>
        </w:tc>
        <w:tc>
          <w:tcPr>
            <w:tcW w:w="405" w:type="pct"/>
            <w:shd w:val="clear" w:color="auto" w:fill="auto"/>
          </w:tcPr>
          <w:p w14:paraId="6E5CAD1B" w14:textId="77777777" w:rsidR="0015453E" w:rsidRPr="00B12006" w:rsidRDefault="0015453E" w:rsidP="00657A0B">
            <w:pPr>
              <w:spacing w:after="0" w:line="240" w:lineRule="auto"/>
              <w:rPr>
                <w:lang w:val="en-US"/>
              </w:rPr>
            </w:pPr>
            <w:r w:rsidRPr="00B12006">
              <w:rPr>
                <w:lang w:val="en-US"/>
              </w:rPr>
              <w:t>N/A</w:t>
            </w:r>
          </w:p>
        </w:tc>
        <w:tc>
          <w:tcPr>
            <w:tcW w:w="1937" w:type="pct"/>
            <w:shd w:val="clear" w:color="auto" w:fill="auto"/>
          </w:tcPr>
          <w:p w14:paraId="7469CA1C" w14:textId="77777777" w:rsidR="0015453E" w:rsidRPr="002A59F9" w:rsidRDefault="0015453E" w:rsidP="00657A0B">
            <w:pPr>
              <w:spacing w:after="0" w:line="240" w:lineRule="auto"/>
              <w:rPr>
                <w:sz w:val="20"/>
                <w:szCs w:val="20"/>
              </w:rPr>
            </w:pPr>
            <w:r w:rsidRPr="002A59F9">
              <w:rPr>
                <w:sz w:val="20"/>
                <w:szCs w:val="20"/>
              </w:rPr>
              <w:t>N/A</w:t>
            </w:r>
          </w:p>
        </w:tc>
        <w:tc>
          <w:tcPr>
            <w:tcW w:w="405" w:type="pct"/>
            <w:shd w:val="clear" w:color="auto" w:fill="B4C6E7" w:themeFill="accent5" w:themeFillTint="66"/>
          </w:tcPr>
          <w:p w14:paraId="197B8431" w14:textId="77777777" w:rsidR="0015453E" w:rsidRPr="00B12006" w:rsidRDefault="0015453E" w:rsidP="00657A0B">
            <w:pPr>
              <w:spacing w:after="0" w:line="240" w:lineRule="auto"/>
              <w:rPr>
                <w:b/>
                <w:bCs/>
              </w:rPr>
            </w:pPr>
            <w:r w:rsidRPr="00B12006">
              <w:rPr>
                <w:b/>
                <w:bCs/>
                <w:lang w:val="en-US"/>
              </w:rPr>
              <w:t>Poor</w:t>
            </w:r>
          </w:p>
        </w:tc>
        <w:tc>
          <w:tcPr>
            <w:tcW w:w="1712" w:type="pct"/>
            <w:shd w:val="clear" w:color="auto" w:fill="auto"/>
          </w:tcPr>
          <w:p w14:paraId="328B148F" w14:textId="5D9C89DE" w:rsidR="0015453E" w:rsidRPr="002A59F9" w:rsidRDefault="0015453E" w:rsidP="00657A0B">
            <w:pPr>
              <w:spacing w:after="0" w:line="240" w:lineRule="auto"/>
              <w:rPr>
                <w:sz w:val="20"/>
                <w:szCs w:val="20"/>
              </w:rPr>
            </w:pPr>
            <w:r w:rsidRPr="002A59F9">
              <w:rPr>
                <w:sz w:val="20"/>
                <w:szCs w:val="20"/>
              </w:rPr>
              <w:t xml:space="preserve">[Lower zone: Extremely Poor; Middle zone: Good; Upper zone: Good; Mt Lofty zone: Extremely Poor]. Reduced abundance, stability, nativeness, </w:t>
            </w:r>
            <w:r w:rsidR="00CE32F5" w:rsidRPr="002A59F9">
              <w:rPr>
                <w:sz w:val="20"/>
                <w:szCs w:val="20"/>
              </w:rPr>
              <w:t xml:space="preserve">&amp; </w:t>
            </w:r>
            <w:r w:rsidRPr="002A59F9">
              <w:rPr>
                <w:sz w:val="20"/>
                <w:szCs w:val="20"/>
              </w:rPr>
              <w:t>structural integrity in the Near Riparian and Lowland Floodplain domains, and minor to no increase in fragmentation in the Lowland Floodplain.</w:t>
            </w:r>
          </w:p>
        </w:tc>
      </w:tr>
      <w:tr w:rsidR="009C2BD8" w:rsidRPr="00BE557B" w14:paraId="5E9726A9" w14:textId="77777777" w:rsidTr="0035072E">
        <w:tc>
          <w:tcPr>
            <w:tcW w:w="541" w:type="pct"/>
          </w:tcPr>
          <w:p w14:paraId="5284DF91" w14:textId="77777777" w:rsidR="0015453E" w:rsidRPr="00BB4650" w:rsidRDefault="0015453E" w:rsidP="00657A0B">
            <w:pPr>
              <w:spacing w:after="0" w:line="240" w:lineRule="auto"/>
              <w:rPr>
                <w:b/>
                <w:bCs/>
                <w:sz w:val="20"/>
                <w:szCs w:val="20"/>
                <w:lang w:val="en-US"/>
              </w:rPr>
            </w:pPr>
            <w:r w:rsidRPr="00BB4650">
              <w:rPr>
                <w:b/>
                <w:bCs/>
                <w:sz w:val="20"/>
                <w:szCs w:val="20"/>
                <w:lang w:val="en-US"/>
              </w:rPr>
              <w:t>Benthic Macro-invertebrates</w:t>
            </w:r>
          </w:p>
          <w:p w14:paraId="4E81A992" w14:textId="77777777" w:rsidR="0015453E" w:rsidRPr="00BB4650" w:rsidRDefault="0015453E" w:rsidP="00657A0B">
            <w:pPr>
              <w:spacing w:after="0" w:line="240" w:lineRule="auto"/>
              <w:rPr>
                <w:sz w:val="20"/>
                <w:szCs w:val="20"/>
                <w:lang w:val="en-US"/>
              </w:rPr>
            </w:pPr>
          </w:p>
        </w:tc>
        <w:tc>
          <w:tcPr>
            <w:tcW w:w="405" w:type="pct"/>
            <w:shd w:val="clear" w:color="auto" w:fill="FF0000"/>
          </w:tcPr>
          <w:p w14:paraId="5F533575" w14:textId="77777777" w:rsidR="0015453E" w:rsidRPr="00B12006" w:rsidRDefault="0015453E" w:rsidP="00657A0B">
            <w:pPr>
              <w:spacing w:after="0" w:line="240" w:lineRule="auto"/>
              <w:rPr>
                <w:b/>
                <w:bCs/>
                <w:lang w:val="en-US"/>
              </w:rPr>
            </w:pPr>
            <w:r w:rsidRPr="00B12006">
              <w:rPr>
                <w:b/>
                <w:bCs/>
                <w:shd w:val="clear" w:color="auto" w:fill="FF0000"/>
                <w:lang w:val="en-US"/>
              </w:rPr>
              <w:t>Poor – Very</w:t>
            </w:r>
            <w:r w:rsidRPr="00B12006">
              <w:rPr>
                <w:b/>
                <w:bCs/>
                <w:lang w:val="en-US"/>
              </w:rPr>
              <w:t xml:space="preserve"> Poor</w:t>
            </w:r>
          </w:p>
        </w:tc>
        <w:tc>
          <w:tcPr>
            <w:tcW w:w="1937" w:type="pct"/>
            <w:shd w:val="clear" w:color="auto" w:fill="auto"/>
          </w:tcPr>
          <w:p w14:paraId="1636A72B" w14:textId="77777777" w:rsidR="0015453E" w:rsidRPr="002A59F9" w:rsidRDefault="0015453E" w:rsidP="00657A0B">
            <w:pPr>
              <w:spacing w:after="0" w:line="240" w:lineRule="auto"/>
              <w:rPr>
                <w:sz w:val="20"/>
                <w:szCs w:val="20"/>
              </w:rPr>
            </w:pPr>
            <w:r w:rsidRPr="002A59F9">
              <w:rPr>
                <w:sz w:val="20"/>
                <w:szCs w:val="20"/>
              </w:rPr>
              <w:t>The Lower and Middle Zones were in Very Poor Condition, and the Upper and Mt Lofty Zones in Poor Condition. Most sites had impoverished faunas but retained many of their disturbance-sensitive families.</w:t>
            </w:r>
          </w:p>
        </w:tc>
        <w:tc>
          <w:tcPr>
            <w:tcW w:w="405" w:type="pct"/>
            <w:shd w:val="clear" w:color="auto" w:fill="FFC000"/>
          </w:tcPr>
          <w:p w14:paraId="49B7D20B" w14:textId="77777777" w:rsidR="0015453E" w:rsidRPr="00B12006" w:rsidRDefault="0015453E" w:rsidP="00657A0B">
            <w:pPr>
              <w:spacing w:after="0" w:line="240" w:lineRule="auto"/>
              <w:rPr>
                <w:b/>
                <w:bCs/>
              </w:rPr>
            </w:pPr>
            <w:r w:rsidRPr="00B12006">
              <w:rPr>
                <w:b/>
                <w:bCs/>
              </w:rPr>
              <w:t>Moderate</w:t>
            </w:r>
          </w:p>
        </w:tc>
        <w:tc>
          <w:tcPr>
            <w:tcW w:w="1712" w:type="pct"/>
            <w:shd w:val="clear" w:color="auto" w:fill="auto"/>
          </w:tcPr>
          <w:p w14:paraId="2C01DD65" w14:textId="77777777" w:rsidR="0015453E" w:rsidRPr="002A59F9" w:rsidRDefault="0015453E" w:rsidP="00657A0B">
            <w:pPr>
              <w:spacing w:after="0" w:line="240" w:lineRule="auto"/>
              <w:rPr>
                <w:sz w:val="20"/>
                <w:szCs w:val="20"/>
              </w:rPr>
            </w:pPr>
            <w:r w:rsidRPr="002A59F9">
              <w:rPr>
                <w:sz w:val="20"/>
                <w:szCs w:val="20"/>
              </w:rPr>
              <w:t xml:space="preserve">[Mt Lofty zone: Good; Lower zone: Poor; Middle zone: Moderate; Upper zone: Moderate]. </w:t>
            </w:r>
            <w:bookmarkStart w:id="285" w:name="_Hlk173102491"/>
            <w:r w:rsidRPr="002A59F9">
              <w:rPr>
                <w:sz w:val="20"/>
                <w:szCs w:val="20"/>
              </w:rPr>
              <w:t>Substantial declines in the frequency and occurrence of expected macroinvertebrate families. Family richness generally was low and was also low compared to Reference Condition.</w:t>
            </w:r>
            <w:bookmarkEnd w:id="285"/>
          </w:p>
        </w:tc>
      </w:tr>
      <w:tr w:rsidR="009C2BD8" w:rsidRPr="00BE557B" w14:paraId="09938D3F" w14:textId="77777777" w:rsidTr="0035072E">
        <w:tc>
          <w:tcPr>
            <w:tcW w:w="541" w:type="pct"/>
          </w:tcPr>
          <w:p w14:paraId="67B2F95C" w14:textId="77777777" w:rsidR="0015453E" w:rsidRPr="00BB4650" w:rsidRDefault="0015453E" w:rsidP="00657A0B">
            <w:pPr>
              <w:spacing w:after="0" w:line="240" w:lineRule="auto"/>
              <w:rPr>
                <w:b/>
                <w:bCs/>
                <w:sz w:val="20"/>
                <w:szCs w:val="20"/>
                <w:lang w:val="en-US"/>
              </w:rPr>
            </w:pPr>
            <w:r w:rsidRPr="00BB4650">
              <w:rPr>
                <w:b/>
                <w:bCs/>
                <w:sz w:val="20"/>
                <w:szCs w:val="20"/>
                <w:lang w:val="en-US"/>
              </w:rPr>
              <w:t>Fish</w:t>
            </w:r>
          </w:p>
          <w:p w14:paraId="581521B3" w14:textId="77777777" w:rsidR="0015453E" w:rsidRPr="00BB4650" w:rsidRDefault="0015453E" w:rsidP="00657A0B">
            <w:pPr>
              <w:spacing w:after="0" w:line="240" w:lineRule="auto"/>
              <w:rPr>
                <w:sz w:val="20"/>
                <w:szCs w:val="20"/>
                <w:lang w:val="en-US"/>
              </w:rPr>
            </w:pPr>
          </w:p>
        </w:tc>
        <w:tc>
          <w:tcPr>
            <w:tcW w:w="405" w:type="pct"/>
            <w:shd w:val="clear" w:color="auto" w:fill="B4C6E7" w:themeFill="accent5" w:themeFillTint="66"/>
          </w:tcPr>
          <w:p w14:paraId="3DBAC3B8" w14:textId="77777777" w:rsidR="0015453E" w:rsidRPr="00B12006" w:rsidRDefault="0015453E" w:rsidP="00657A0B">
            <w:pPr>
              <w:spacing w:after="0" w:line="240" w:lineRule="auto"/>
              <w:rPr>
                <w:b/>
                <w:bCs/>
                <w:lang w:val="en-US"/>
              </w:rPr>
            </w:pPr>
            <w:r w:rsidRPr="00B12006">
              <w:rPr>
                <w:b/>
                <w:bCs/>
                <w:lang w:val="en-US"/>
              </w:rPr>
              <w:t>Poor</w:t>
            </w:r>
          </w:p>
        </w:tc>
        <w:tc>
          <w:tcPr>
            <w:tcW w:w="1937" w:type="pct"/>
            <w:shd w:val="clear" w:color="auto" w:fill="auto"/>
          </w:tcPr>
          <w:p w14:paraId="40F32EB4" w14:textId="77777777" w:rsidR="0015453E" w:rsidRPr="002A59F9" w:rsidRDefault="0015453E" w:rsidP="00657A0B">
            <w:pPr>
              <w:spacing w:after="0" w:line="240" w:lineRule="auto"/>
              <w:rPr>
                <w:sz w:val="20"/>
                <w:szCs w:val="20"/>
                <w:lang w:val="en-US"/>
              </w:rPr>
            </w:pPr>
            <w:r w:rsidRPr="002A59F9">
              <w:rPr>
                <w:sz w:val="20"/>
                <w:szCs w:val="20"/>
              </w:rPr>
              <w:t>Only 40% of predicted native species were caught, although ‘Nativeness’ was increased by the abundance of native fish. The Mt Lofty Zone was drought–affected, and the community there was different from those in the weir– pool habitats of the Murray. Thirteen predicted species that require access to the estuary were missing, due to the barrier effect of the barrages. The community had lost much of its native species richness and its biomass was dominated by alien fish.</w:t>
            </w:r>
          </w:p>
        </w:tc>
        <w:tc>
          <w:tcPr>
            <w:tcW w:w="405" w:type="pct"/>
            <w:shd w:val="clear" w:color="auto" w:fill="B4C6E7" w:themeFill="accent5" w:themeFillTint="66"/>
          </w:tcPr>
          <w:p w14:paraId="4C538675" w14:textId="77777777" w:rsidR="0015453E" w:rsidRPr="00B12006" w:rsidRDefault="0015453E" w:rsidP="00657A0B">
            <w:pPr>
              <w:spacing w:after="0" w:line="240" w:lineRule="auto"/>
              <w:rPr>
                <w:b/>
                <w:bCs/>
              </w:rPr>
            </w:pPr>
            <w:r w:rsidRPr="00B12006">
              <w:rPr>
                <w:b/>
                <w:bCs/>
              </w:rPr>
              <w:t>Poor</w:t>
            </w:r>
          </w:p>
        </w:tc>
        <w:tc>
          <w:tcPr>
            <w:tcW w:w="1712" w:type="pct"/>
            <w:shd w:val="clear" w:color="auto" w:fill="auto"/>
          </w:tcPr>
          <w:p w14:paraId="3B5A12E4" w14:textId="77777777" w:rsidR="0015453E" w:rsidRPr="002A59F9" w:rsidRDefault="0015453E" w:rsidP="00657A0B">
            <w:pPr>
              <w:spacing w:after="0" w:line="240" w:lineRule="auto"/>
              <w:rPr>
                <w:sz w:val="20"/>
                <w:szCs w:val="20"/>
              </w:rPr>
            </w:pPr>
            <w:r w:rsidRPr="002A59F9">
              <w:rPr>
                <w:sz w:val="20"/>
                <w:szCs w:val="20"/>
              </w:rPr>
              <w:t>[Lower zone: Poor; Middle zone: Poor; Upper zone: Poor; Mt Lofty zone: Extremely Poor]. Some expected species were absent. Species count and abundance were dominated by native species, but biomass was dominated by aliens; recruitment levels among the remaining native species were high. The Valley had lost much of its native species richness and alien species contributed over 69% of fish biomass. Native fish recruitment was Very Poor in the Mt. Lofty zone and Poor to Moderate in the Upper, Middle and Lower zones of the River Murray, respectively.</w:t>
            </w:r>
          </w:p>
        </w:tc>
      </w:tr>
      <w:tr w:rsidR="009C2BD8" w:rsidRPr="00BE557B" w14:paraId="5FA97FA1" w14:textId="77777777" w:rsidTr="0035072E">
        <w:tc>
          <w:tcPr>
            <w:tcW w:w="541" w:type="pct"/>
          </w:tcPr>
          <w:p w14:paraId="7C9E6A3F" w14:textId="77777777" w:rsidR="0015453E" w:rsidRPr="00BB4650" w:rsidRDefault="0015453E" w:rsidP="002A59F9">
            <w:pPr>
              <w:keepNext/>
              <w:spacing w:after="0" w:line="240" w:lineRule="auto"/>
              <w:rPr>
                <w:b/>
                <w:bCs/>
                <w:sz w:val="20"/>
                <w:szCs w:val="20"/>
                <w:lang w:val="en-US"/>
              </w:rPr>
            </w:pPr>
            <w:r w:rsidRPr="00BB4650">
              <w:rPr>
                <w:b/>
                <w:bCs/>
                <w:sz w:val="20"/>
                <w:szCs w:val="20"/>
                <w:lang w:val="en-US"/>
              </w:rPr>
              <w:t>Ecosystem Health</w:t>
            </w:r>
          </w:p>
        </w:tc>
        <w:tc>
          <w:tcPr>
            <w:tcW w:w="405" w:type="pct"/>
            <w:shd w:val="clear" w:color="auto" w:fill="FF0000"/>
          </w:tcPr>
          <w:p w14:paraId="645EF436" w14:textId="77777777" w:rsidR="0015453E" w:rsidRPr="00B12006" w:rsidRDefault="0015453E" w:rsidP="00657A0B">
            <w:pPr>
              <w:spacing w:after="0" w:line="240" w:lineRule="auto"/>
              <w:rPr>
                <w:b/>
                <w:bCs/>
                <w:lang w:val="en-US"/>
              </w:rPr>
            </w:pPr>
            <w:r w:rsidRPr="00B12006">
              <w:rPr>
                <w:b/>
                <w:bCs/>
                <w:lang w:val="en-US"/>
              </w:rPr>
              <w:t xml:space="preserve">Poor – </w:t>
            </w:r>
            <w:r w:rsidRPr="00B12006">
              <w:rPr>
                <w:b/>
                <w:bCs/>
                <w:shd w:val="clear" w:color="auto" w:fill="FF0000"/>
                <w:lang w:val="en-US"/>
              </w:rPr>
              <w:t>Very Poor</w:t>
            </w:r>
          </w:p>
        </w:tc>
        <w:tc>
          <w:tcPr>
            <w:tcW w:w="1937" w:type="pct"/>
            <w:shd w:val="clear" w:color="auto" w:fill="auto"/>
          </w:tcPr>
          <w:p w14:paraId="29CBA93D" w14:textId="62E59879" w:rsidR="0015453E" w:rsidRPr="002A59F9" w:rsidRDefault="0015453E" w:rsidP="00657A0B">
            <w:pPr>
              <w:spacing w:after="0" w:line="240" w:lineRule="auto"/>
              <w:rPr>
                <w:sz w:val="20"/>
                <w:szCs w:val="20"/>
                <w:lang w:val="en-US"/>
              </w:rPr>
            </w:pPr>
            <w:r w:rsidRPr="002A59F9">
              <w:rPr>
                <w:sz w:val="20"/>
                <w:szCs w:val="20"/>
              </w:rPr>
              <w:t>The Lower Murray Valley river ecosystem was in Poor Health [Lower and Middle Zones: Very Poor; Upper and Mt Lofty Zones: Poor]. If Mt Lofty Zone excluded, the rating is Very Poor. Fish abundance dominated by native species in all Zones, but biomass dominated by alien species, and most expected species absent. Most expected macroinvertebrate families absent from the Murray and Mt Lofty Zone, and many disturbance-sensitive families absent. The regime had substantial long-term reductions in the magnitudes of mean and median annual flows and high</w:t>
            </w:r>
            <w:r w:rsidR="0035072E">
              <w:rPr>
                <w:sz w:val="20"/>
                <w:szCs w:val="20"/>
              </w:rPr>
              <w:t xml:space="preserve"> </w:t>
            </w:r>
            <w:r w:rsidRPr="002A59F9">
              <w:rPr>
                <w:sz w:val="20"/>
                <w:szCs w:val="20"/>
              </w:rPr>
              <w:t>flows</w:t>
            </w:r>
            <w:r w:rsidR="009A508D" w:rsidRPr="002A59F9">
              <w:rPr>
                <w:sz w:val="20"/>
                <w:szCs w:val="20"/>
              </w:rPr>
              <w:t xml:space="preserve">, with </w:t>
            </w:r>
            <w:r w:rsidRPr="002A59F9">
              <w:rPr>
                <w:sz w:val="20"/>
                <w:szCs w:val="20"/>
              </w:rPr>
              <w:t>substantial changes in variability and moderate changes in seasonality.</w:t>
            </w:r>
          </w:p>
        </w:tc>
        <w:tc>
          <w:tcPr>
            <w:tcW w:w="405" w:type="pct"/>
            <w:shd w:val="clear" w:color="auto" w:fill="B4C6E7" w:themeFill="accent5" w:themeFillTint="66"/>
          </w:tcPr>
          <w:p w14:paraId="0528590A" w14:textId="77777777" w:rsidR="0015453E" w:rsidRPr="00B12006" w:rsidRDefault="0015453E" w:rsidP="00657A0B">
            <w:pPr>
              <w:spacing w:after="0" w:line="240" w:lineRule="auto"/>
              <w:rPr>
                <w:b/>
                <w:bCs/>
              </w:rPr>
            </w:pPr>
            <w:r w:rsidRPr="00B12006">
              <w:rPr>
                <w:b/>
                <w:bCs/>
              </w:rPr>
              <w:t>Poor</w:t>
            </w:r>
          </w:p>
        </w:tc>
        <w:tc>
          <w:tcPr>
            <w:tcW w:w="1712" w:type="pct"/>
            <w:shd w:val="clear" w:color="auto" w:fill="auto"/>
          </w:tcPr>
          <w:p w14:paraId="77EC79DE" w14:textId="77777777" w:rsidR="0015453E" w:rsidRPr="002A59F9" w:rsidRDefault="0015453E" w:rsidP="00657A0B">
            <w:pPr>
              <w:spacing w:after="0" w:line="240" w:lineRule="auto"/>
              <w:rPr>
                <w:sz w:val="20"/>
                <w:szCs w:val="20"/>
              </w:rPr>
            </w:pPr>
            <w:r w:rsidRPr="002A59F9">
              <w:rPr>
                <w:sz w:val="20"/>
                <w:szCs w:val="20"/>
              </w:rPr>
              <w:t xml:space="preserve">[Upper: Moderate; Middle: Poor, Lower and Mt Lofty: Very Poor] </w:t>
            </w:r>
          </w:p>
          <w:p w14:paraId="460C446A" w14:textId="4C885366" w:rsidR="0015453E" w:rsidRPr="002A59F9" w:rsidRDefault="0015453E" w:rsidP="00657A0B">
            <w:pPr>
              <w:spacing w:after="0" w:line="240" w:lineRule="auto"/>
              <w:rPr>
                <w:sz w:val="20"/>
                <w:szCs w:val="20"/>
              </w:rPr>
            </w:pPr>
            <w:r w:rsidRPr="002A59F9">
              <w:rPr>
                <w:sz w:val="20"/>
                <w:szCs w:val="20"/>
              </w:rPr>
              <w:t xml:space="preserve">Hydrology was the worst out of the 23 SRA Valleys. </w:t>
            </w:r>
            <w:r w:rsidR="005C50EC" w:rsidRPr="002A59F9">
              <w:rPr>
                <w:sz w:val="20"/>
                <w:szCs w:val="20"/>
              </w:rPr>
              <w:t>But</w:t>
            </w:r>
            <w:r w:rsidRPr="002A59F9">
              <w:rPr>
                <w:sz w:val="20"/>
                <w:szCs w:val="20"/>
              </w:rPr>
              <w:t xml:space="preserve"> it ranked 7</w:t>
            </w:r>
            <w:r w:rsidRPr="002A59F9">
              <w:rPr>
                <w:sz w:val="20"/>
                <w:szCs w:val="20"/>
                <w:vertAlign w:val="superscript"/>
              </w:rPr>
              <w:t>th</w:t>
            </w:r>
            <w:r w:rsidRPr="002A59F9">
              <w:rPr>
                <w:sz w:val="20"/>
                <w:szCs w:val="20"/>
              </w:rPr>
              <w:t xml:space="preserve"> in terms of Ecosystem Health. The physical form of the river system was in Moderate condition, with bank dynamics in Good Condition and channel form and bed dynamics in Moderate condition. There were moderate to high levels of sediment delivery to the floodplain. </w:t>
            </w:r>
          </w:p>
        </w:tc>
      </w:tr>
    </w:tbl>
    <w:p w14:paraId="217B6C91" w14:textId="77777777" w:rsidR="009E77D3" w:rsidRDefault="009E77D3" w:rsidP="005F0630">
      <w:pPr>
        <w:sectPr w:rsidR="009E77D3" w:rsidSect="00B342B7">
          <w:pgSz w:w="16838" w:h="11906" w:orient="landscape"/>
          <w:pgMar w:top="737" w:right="1247" w:bottom="567" w:left="1361" w:header="454" w:footer="454" w:gutter="0"/>
          <w:cols w:space="708"/>
          <w:docGrid w:linePitch="360"/>
        </w:sectPr>
      </w:pPr>
    </w:p>
    <w:p w14:paraId="22BA1F8B" w14:textId="77777777" w:rsidR="0025536B" w:rsidRDefault="0025536B" w:rsidP="0025536B">
      <w:r>
        <w:lastRenderedPageBreak/>
        <w:t>crustaceans collected, probably due to high salinity; once floodwaters entered the region in late-2010, isopods and decapods slowly recolonised to regain former diversity by about 2014 (Walker et al. 2018). While re-establishment of many aquatic species began soon after the end of the extended Millennium Drought in the Lower Lakes, recovery was incomplete after four to five years, and many groups and species remained absent or had restricted distributions compared with what was known prior to the drought (Walker et al. 2018).</w:t>
      </w:r>
    </w:p>
    <w:p w14:paraId="5958E844" w14:textId="77777777" w:rsidR="0025536B" w:rsidRDefault="0025536B" w:rsidP="0025536B">
      <w:pPr>
        <w:tabs>
          <w:tab w:val="left" w:pos="3705"/>
        </w:tabs>
      </w:pPr>
      <w:r>
        <w:t>Contemporarily, the deeper parts of Lake Alexandrina (max. depth 4 m) and Lake Albert (max. depth 2 m) are sparsely populated by macroinvertebrates—i.e. in alignment with contemporary macrophyte distribution. The freshwater submerged aquatic plant communities that were once extensive in the Lakes are now restricted to near-shore habitats due to higher turbidity and light limitation (Sim &amp; Muller 2004; Coleman in press). Additionally, little is known about the macroinvertebrates that live in the shallow freshwater wetlands (some ephemeral) that surround the Lakes (Walker et al. 2018), however these areas would be highly susceptible to evaporation and drought. An exception may be for spring-fed wetlands, which may then constitute a refuge.</w:t>
      </w:r>
    </w:p>
    <w:p w14:paraId="42D37190" w14:textId="77777777" w:rsidR="0025536B" w:rsidRPr="003C0278" w:rsidRDefault="0025536B" w:rsidP="0025536B">
      <w:r w:rsidRPr="003C0278">
        <w:rPr>
          <w:b/>
          <w:bCs/>
        </w:rPr>
        <w:t>Sn</w:t>
      </w:r>
      <w:r w:rsidRPr="00654FE3">
        <w:rPr>
          <w:b/>
          <w:bCs/>
        </w:rPr>
        <w:t>ails:</w:t>
      </w:r>
      <w:r>
        <w:rPr>
          <w:b/>
          <w:bCs/>
          <w:i/>
          <w:iCs/>
        </w:rPr>
        <w:t xml:space="preserve"> </w:t>
      </w:r>
      <w:r>
        <w:t xml:space="preserve">There has been widespread loss and decline in the high biodiversity and abundance of freshwater snails that once occurred in the ecological community. Of some 18 species, none are common, with many now rare or with limited patchy distribution. At least two species are confirmed as regionally extinct. Conversely at least three species of non-native snails are now common. See also Criterion 3, </w:t>
      </w:r>
      <w:r w:rsidRPr="0066634A">
        <w:rPr>
          <w:u w:val="single"/>
        </w:rPr>
        <w:t>Table 33</w:t>
      </w:r>
      <w:r w:rsidRPr="00A61512">
        <w:t>.</w:t>
      </w:r>
    </w:p>
    <w:p w14:paraId="44B87AA1" w14:textId="77777777" w:rsidR="0025536B" w:rsidRDefault="0025536B" w:rsidP="0025536B">
      <w:r w:rsidRPr="00884BA0">
        <w:rPr>
          <w:b/>
          <w:bCs/>
        </w:rPr>
        <w:t>Mussels:</w:t>
      </w:r>
      <w:r>
        <w:t xml:space="preserve"> Freshwater mussels are important ecosystem engineers in rivers and lakes and serve a key role in transferring suspended material from the water column to the benthos, thus influencing water clarity, production, biogeochemical cycles, and sedimentation rates (Vaughn 2018).  </w:t>
      </w:r>
    </w:p>
    <w:p w14:paraId="744539BE" w14:textId="77777777" w:rsidR="0025536B" w:rsidRDefault="0025536B" w:rsidP="0025536B">
      <w:r>
        <w:t xml:space="preserve">The </w:t>
      </w:r>
      <w:r w:rsidRPr="00A46C65">
        <w:t xml:space="preserve">two </w:t>
      </w:r>
      <w:r>
        <w:t>main species of freshwater mussels within the ecological community have been impacted by the series of weir-pools created by the ten locks in the River Murray below the junction with the Darling River (</w:t>
      </w:r>
      <w:r w:rsidRPr="007E63A7">
        <w:rPr>
          <w:u w:val="single"/>
        </w:rPr>
        <w:t>Table 4</w:t>
      </w:r>
      <w:r>
        <w:t xml:space="preserve">). This has allowed </w:t>
      </w:r>
      <w:r w:rsidRPr="00D10DB7">
        <w:rPr>
          <w:i/>
          <w:iCs/>
        </w:rPr>
        <w:t>Velesunio ambiguous</w:t>
      </w:r>
      <w:r>
        <w:t xml:space="preserve"> (</w:t>
      </w:r>
      <w:r w:rsidRPr="00A46C65">
        <w:t>floodplain m</w:t>
      </w:r>
      <w:r>
        <w:t xml:space="preserve">ussel; prefers slow flowing to still waters) to extend its range, whereas the range of </w:t>
      </w:r>
      <w:r w:rsidRPr="00D10DB7">
        <w:rPr>
          <w:i/>
          <w:iCs/>
        </w:rPr>
        <w:t>Alathyria jacksoni</w:t>
      </w:r>
      <w:r>
        <w:t xml:space="preserve"> (river mussel, prefers flowing waters) has diminished (Walker 2006; Walker et al. 2009, 2018). </w:t>
      </w:r>
      <w:r w:rsidRPr="003A71AB">
        <w:rPr>
          <w:i/>
          <w:iCs/>
        </w:rPr>
        <w:t>A. jacksoni</w:t>
      </w:r>
      <w:r>
        <w:t xml:space="preserve"> is currently listed as data deficient on the IUCN Red List, however recent surveys in the northern MDB indicate that </w:t>
      </w:r>
      <w:r w:rsidRPr="00F45089">
        <w:rPr>
          <w:i/>
          <w:iCs/>
        </w:rPr>
        <w:t>A. jacksoni</w:t>
      </w:r>
      <w:r>
        <w:t xml:space="preserve"> is in severe decline after the 2019-20 drought (Sheldon et al. 2020) and an update of its conservation status is underway (Klunzinger 2023).</w:t>
      </w:r>
    </w:p>
    <w:p w14:paraId="1EC52443" w14:textId="77777777" w:rsidR="0025536B" w:rsidRDefault="0025536B" w:rsidP="0025536B">
      <w:pPr>
        <w:keepLines/>
      </w:pPr>
      <w:r>
        <w:t xml:space="preserve">Freshwater mussels vary in their physiological tolerance of emersion and response to habitat drying, with those that use their muscular foot to burrow into sediment often more tolerant of desiccation than species that simply horizontally track receding water (Wright et al. 2024). </w:t>
      </w:r>
      <w:r>
        <w:br/>
      </w:r>
      <w:r w:rsidRPr="00001EB6">
        <w:rPr>
          <w:i/>
          <w:iCs/>
        </w:rPr>
        <w:t>A. jacksoni</w:t>
      </w:r>
      <w:r>
        <w:t xml:space="preserve"> is less tolerant to drying, and therefore drought, compared to </w:t>
      </w:r>
      <w:r w:rsidRPr="00726EC0">
        <w:rPr>
          <w:i/>
          <w:iCs/>
        </w:rPr>
        <w:t>V. ambiguous</w:t>
      </w:r>
      <w:r>
        <w:t xml:space="preserve">, however both species experience mortality at prolonged temperatures greater than 35 °C (Wright et al. 2022). As a result of the Millennium Drought, mass mortality of mussels occurred throughout the ecological community, with the large beds around Lake Alexandrina the </w:t>
      </w:r>
      <w:r w:rsidRPr="003C6618">
        <w:t xml:space="preserve">most </w:t>
      </w:r>
      <w:r>
        <w:t>obvious</w:t>
      </w:r>
      <w:r w:rsidRPr="003C6618">
        <w:t xml:space="preserve"> (Walker et al. 2018).</w:t>
      </w:r>
      <w:r w:rsidRPr="00A35890">
        <w:rPr>
          <w:i/>
          <w:iCs/>
        </w:rPr>
        <w:t xml:space="preserve"> </w:t>
      </w:r>
      <w:r w:rsidRPr="003C6618">
        <w:t xml:space="preserve">This was likely due to increased salinity, as the salt tolerance of </w:t>
      </w:r>
      <w:r w:rsidRPr="003C6618">
        <w:rPr>
          <w:i/>
          <w:iCs/>
        </w:rPr>
        <w:t xml:space="preserve">V. ambiguous </w:t>
      </w:r>
      <w:r w:rsidRPr="003C6618">
        <w:t>is</w:t>
      </w:r>
      <w:r>
        <w:t xml:space="preserve"> quite low (Walker pers. obs.) in addition to low lake levels and acid sulphate soils (Mosley et al. 2014). There have been recent signs of recolonisation in the Lake (which has been likely via their larvae which parasitise fish) (Walker et al. 2018).</w:t>
      </w:r>
    </w:p>
    <w:p w14:paraId="0C0CEA19" w14:textId="77777777" w:rsidR="0025536B" w:rsidRPr="00654FE3" w:rsidRDefault="0025536B" w:rsidP="0025536B">
      <w:pPr>
        <w:rPr>
          <w:b/>
          <w:bCs/>
          <w:i/>
          <w:iCs/>
        </w:rPr>
      </w:pPr>
      <w:r w:rsidRPr="00654FE3">
        <w:rPr>
          <w:b/>
          <w:bCs/>
        </w:rPr>
        <w:lastRenderedPageBreak/>
        <w:t>Crayfish:</w:t>
      </w:r>
      <w:r>
        <w:rPr>
          <w:b/>
          <w:bCs/>
          <w:i/>
          <w:iCs/>
        </w:rPr>
        <w:t xml:space="preserve"> </w:t>
      </w:r>
      <w:r>
        <w:t xml:space="preserve">The largest macroinvertebrate, one of only two crayfish species to occur within the ecological community, the once-common </w:t>
      </w:r>
      <w:r w:rsidRPr="00AF296A">
        <w:rPr>
          <w:i/>
        </w:rPr>
        <w:t>Euastacus armatus</w:t>
      </w:r>
      <w:r>
        <w:t xml:space="preserve"> (Murray crayfish), has been locally extinct for some 35 years. As with the freshwater mussels, the weir-pools have favoured </w:t>
      </w:r>
      <w:r w:rsidRPr="00AF296A">
        <w:rPr>
          <w:i/>
        </w:rPr>
        <w:t>Cherax destr</w:t>
      </w:r>
      <w:r>
        <w:rPr>
          <w:i/>
        </w:rPr>
        <w:t>u</w:t>
      </w:r>
      <w:r w:rsidRPr="00AF296A">
        <w:rPr>
          <w:i/>
        </w:rPr>
        <w:t>cto</w:t>
      </w:r>
      <w:r>
        <w:rPr>
          <w:i/>
        </w:rPr>
        <w:t xml:space="preserve">r </w:t>
      </w:r>
      <w:r w:rsidRPr="00A631F1">
        <w:rPr>
          <w:iCs/>
        </w:rPr>
        <w:t>(yabby),</w:t>
      </w:r>
      <w:r>
        <w:t xml:space="preserve"> a native lentic habitat specialist which has extended its range from the floodplain habitats, at the expense of the Murray crayfish, a lotic specialist (Walker et al. 2009, 2018). </w:t>
      </w:r>
    </w:p>
    <w:p w14:paraId="667D66B2" w14:textId="77777777" w:rsidR="0025536B" w:rsidRDefault="0025536B" w:rsidP="0025536B">
      <w:r>
        <w:t>In addition to occurring in the main river and streams within the ecological community, the yabby historically supported a small but locally important commercial fishery in the Lower Lakes with a catch of &gt; 100 t/y (Walker et al. 2018). However, the fishery declined during the late 1970s due to a number of implied causes, such as over-fishing, competition with introduced fish species, and the reduction in flooding through the regulation of water levels in the River Murray (Walker et al. 2018). While yabbies remain broadly distributed across the region, numbers are considerably lower than they once were, with an average commercial catch of only about 6 t/y for the past 30 years (Walker et al. 2018). Walker et al. (2018) urge the Lower Lakes should be maintained above sea level, to ensure that the habitat needs of freshwater species, such as the yabby, are met into the future.</w:t>
      </w:r>
    </w:p>
    <w:p w14:paraId="73D99B8B" w14:textId="77777777" w:rsidR="0025536B" w:rsidRPr="0054145A" w:rsidRDefault="0025536B" w:rsidP="0025536B">
      <w:r>
        <w:t xml:space="preserve">Supported by several years of research, there are current attempts (May 2023, 2024) to reintroduce the Murray Crayfish back into the South Australian River Murray (Zukowski in press; see </w:t>
      </w:r>
      <w:r w:rsidRPr="00373922">
        <w:rPr>
          <w:u w:val="single"/>
        </w:rPr>
        <w:t>Criterion 3</w:t>
      </w:r>
      <w:r>
        <w:t>).</w:t>
      </w:r>
    </w:p>
    <w:p w14:paraId="7E311E60" w14:textId="77777777" w:rsidR="0025536B" w:rsidRPr="00E9683C" w:rsidRDefault="0025536B" w:rsidP="0025536B">
      <w:pPr>
        <w:pStyle w:val="Heading6"/>
      </w:pPr>
      <w:r>
        <w:t>Estuarine</w:t>
      </w:r>
      <w:r w:rsidRPr="00E9683C">
        <w:t xml:space="preserve"> macroinvertebrates</w:t>
      </w:r>
    </w:p>
    <w:p w14:paraId="3D6744E2" w14:textId="77777777" w:rsidR="0025536B" w:rsidRDefault="0025536B" w:rsidP="0025536B">
      <w:r>
        <w:t>Estuarine macroinvertebrates of the Coorong and Murray Mouth components of the ecological community are a vital food source for fish and birds, particularly migratory shorebirds (many of which are under international agreements). Salinity is the strongest environmental determinant influencing distribution of macroinvertebrates; a salinity threshold of 64 g/L (ppt) separates communities in the Murray Mouth and parts of the North Lagoon from a hypersaline community found in the southern reaches of the Coorong (Dittmann et al. 2015). Highest numbers and biomass of macroinvertebrates, including ‘deep-large’ taxa, occur in the Murray Estuary and North Lagoon (Dittmann et al. 2022). Species diversity is low in the South Lagoon, where the macroinvertebrate community is dominated by chironomid larvae (Dittmann et al. 2022, 2023).</w:t>
      </w:r>
    </w:p>
    <w:p w14:paraId="3DCA5D41" w14:textId="77777777" w:rsidR="0025536B" w:rsidRDefault="0025536B" w:rsidP="0025536B">
      <w:pPr>
        <w:spacing w:afterLines="200" w:after="480"/>
        <w:contextualSpacing/>
      </w:pPr>
      <w:r>
        <w:t xml:space="preserve">Water regulation and construction of the barrages constrain river flows reaching the Murray Mouth and Coorong; periods occur with low or no flow over the barrages, which exacerbates drought conditions, when occurring (Dittmann et al. 2018). During a drought, extreme hypersalinity affects a wider area and lower water levels lead to long-term exposure of mudflats—both impact macroinvertebrate habitability and abundance. If drought conditions persist for several years (i.e. as per the Millennium Drought) macroinvertebrate distribution ranges and abundances decline, and some species may not persist (Dittmann et al. 2018). </w:t>
      </w:r>
    </w:p>
    <w:p w14:paraId="17686793" w14:textId="77777777" w:rsidR="0025536B" w:rsidRPr="0054145A" w:rsidRDefault="0025536B" w:rsidP="0025536B">
      <w:pPr>
        <w:spacing w:afterLines="200" w:after="480"/>
        <w:contextualSpacing/>
      </w:pPr>
    </w:p>
    <w:p w14:paraId="1B5A2787" w14:textId="77777777" w:rsidR="0025536B" w:rsidRDefault="0025536B" w:rsidP="0025536B">
      <w:pPr>
        <w:spacing w:afterLines="200" w:after="480"/>
        <w:contextualSpacing/>
      </w:pPr>
      <w:r>
        <w:t>Recovery of macroinvertebrates can take years, depending on species-specific responses and post-drought flows. Many macroinvertebrate species have low dispersal abilities. Typically, amphipods respond quickly to freshwater inflows, but for most other taxa there is a time-lag; this is influenced by life-history, tolerance to salinity and dissolved oxygen, and habitat suitability (Geddes 1987; Dittmann et al. 2015). Surveys after the drought-breaking flood of late-2010-11, indicated that sediments in deeper sections can function as a refuge during a drought, or flood event, and provide a source for macroinvertebrate recolonisation of near-shore sediments (Dittmann et al. 2016). However, for some taxa, dispersal from estuaries further afield may account for their delayed return to the system (Dittmann et al. 2018).</w:t>
      </w:r>
    </w:p>
    <w:p w14:paraId="39A1585A" w14:textId="47584058" w:rsidR="00451BA0" w:rsidRDefault="000B6145" w:rsidP="00C74AF4">
      <w:pPr>
        <w:spacing w:after="0"/>
      </w:pPr>
      <w:r>
        <w:lastRenderedPageBreak/>
        <w:t>Under drought conditions</w:t>
      </w:r>
      <w:r w:rsidR="00632DC9">
        <w:t>,</w:t>
      </w:r>
      <w:r>
        <w:t xml:space="preserve"> overall numbers</w:t>
      </w:r>
      <w:r w:rsidR="00632DC9">
        <w:t xml:space="preserve"> of macroinvertebrates</w:t>
      </w:r>
      <w:r>
        <w:t xml:space="preserve"> are low with a few larger-bodied organisms occurring, whereas under flood conditions small-bodied opportunistic species tend to be abundant</w:t>
      </w:r>
      <w:r w:rsidR="00632DC9">
        <w:t xml:space="preserve"> (Dittman et al. 2018)</w:t>
      </w:r>
      <w:r>
        <w:t>.</w:t>
      </w:r>
      <w:r w:rsidR="00632DC9">
        <w:t xml:space="preserve"> </w:t>
      </w:r>
      <w:r w:rsidR="007560F5">
        <w:t xml:space="preserve"> </w:t>
      </w:r>
      <w:r w:rsidR="00E2079C">
        <w:t>Dittmann et al. (2015) demonstrated</w:t>
      </w:r>
      <w:r w:rsidR="004B6DBD">
        <w:t xml:space="preserve"> </w:t>
      </w:r>
      <w:r w:rsidR="00FB01AB">
        <w:t xml:space="preserve">that </w:t>
      </w:r>
      <w:r w:rsidR="004B6DBD">
        <w:t xml:space="preserve">continuity of flow over the barrages (i.e. </w:t>
      </w:r>
      <w:r w:rsidR="0058388F">
        <w:t xml:space="preserve">of intermediate to above average flow volumes) </w:t>
      </w:r>
      <w:r w:rsidR="004B6DBD">
        <w:t>is needed to sustain</w:t>
      </w:r>
      <w:r w:rsidR="0028697C">
        <w:t xml:space="preserve"> </w:t>
      </w:r>
      <w:r w:rsidR="009546BB">
        <w:t xml:space="preserve">macroinvertebrate </w:t>
      </w:r>
      <w:r w:rsidR="00D05DF8">
        <w:t>communities</w:t>
      </w:r>
      <w:r w:rsidR="000E55C4">
        <w:t xml:space="preserve"> and thus </w:t>
      </w:r>
      <w:r w:rsidR="003E7429">
        <w:t xml:space="preserve">food supply for </w:t>
      </w:r>
      <w:r w:rsidR="00A75ED4">
        <w:t>fish and birds</w:t>
      </w:r>
      <w:r w:rsidR="00A81627">
        <w:t xml:space="preserve"> in the Coorong</w:t>
      </w:r>
      <w:r w:rsidR="003906CC">
        <w:t>.</w:t>
      </w:r>
      <w:r w:rsidR="00426507">
        <w:t xml:space="preserve"> </w:t>
      </w:r>
      <w:r w:rsidR="007560F5">
        <w:t xml:space="preserve">Under estuarine-marine conditions with more continuous river flows, a more </w:t>
      </w:r>
      <w:r w:rsidR="00441775">
        <w:t xml:space="preserve">functionally </w:t>
      </w:r>
      <w:r w:rsidR="007560F5">
        <w:t>diverse and abundant benthic macroinvertebrate</w:t>
      </w:r>
      <w:r w:rsidR="00A05F7F">
        <w:t xml:space="preserve"> </w:t>
      </w:r>
      <w:r w:rsidR="00373922">
        <w:t>sub-</w:t>
      </w:r>
      <w:r w:rsidR="00A05F7F">
        <w:t>community occurs</w:t>
      </w:r>
      <w:r w:rsidR="00441775">
        <w:t xml:space="preserve"> (Dittmann et al. 2018)</w:t>
      </w:r>
      <w:r w:rsidR="00680874">
        <w:t>. With more suitable flows, water levels and salinities occurring in the Coorong, macroinvertebrates are showing signs of recovery after the long drought.</w:t>
      </w:r>
      <w:r w:rsidR="00F66EF1">
        <w:t xml:space="preserve"> Recently, Dittmann et al. (2022) have also found, that</w:t>
      </w:r>
      <w:r w:rsidR="0076542E">
        <w:t xml:space="preserve"> macroinvertebrate diversity (individual and biomass densities) </w:t>
      </w:r>
      <w:r w:rsidR="00306956">
        <w:t xml:space="preserve">is </w:t>
      </w:r>
      <w:r w:rsidR="0076542E">
        <w:t>highest</w:t>
      </w:r>
      <w:r w:rsidR="00275BF9">
        <w:t xml:space="preserve"> at salinities &lt; 40 g/L (ppt).</w:t>
      </w:r>
      <w:r w:rsidR="000059BF">
        <w:t xml:space="preserve"> These authors suggest that lowering salinity to below 40 or 50 ppt could have a beneficial outcome for the Coorong food web. </w:t>
      </w:r>
    </w:p>
    <w:p w14:paraId="7F929981" w14:textId="77777777" w:rsidR="005B722A" w:rsidRDefault="005B722A" w:rsidP="00C74AF4">
      <w:pPr>
        <w:spacing w:after="0"/>
      </w:pPr>
    </w:p>
    <w:p w14:paraId="6835F4C8" w14:textId="52F10386" w:rsidR="00956287" w:rsidRDefault="00F41752" w:rsidP="00B12006">
      <w:pPr>
        <w:keepLines/>
        <w:spacing w:after="0"/>
      </w:pPr>
      <w:r>
        <w:t>Macroinvertebrates are regularly monitored as part of the Lower Lakes</w:t>
      </w:r>
      <w:r w:rsidR="00C07B37">
        <w:t>, Coorong</w:t>
      </w:r>
      <w:r>
        <w:t xml:space="preserve"> and Murray Mouth </w:t>
      </w:r>
      <w:r w:rsidR="00C07B37">
        <w:t xml:space="preserve">Living Murray </w:t>
      </w:r>
      <w:r>
        <w:t>Icon Site</w:t>
      </w:r>
      <w:r w:rsidR="007C6874">
        <w:t xml:space="preserve"> for 18 years; a summary of outcomes </w:t>
      </w:r>
      <w:r w:rsidR="00B96758">
        <w:t>against targets from 2016–2022 is at</w:t>
      </w:r>
      <w:r w:rsidR="004931B0">
        <w:t xml:space="preserve"> </w:t>
      </w:r>
      <w:r w:rsidR="004931B0" w:rsidRPr="00373922">
        <w:rPr>
          <w:u w:val="single"/>
        </w:rPr>
        <w:t xml:space="preserve">Table </w:t>
      </w:r>
      <w:r w:rsidR="00FD5BBC" w:rsidRPr="00373922">
        <w:rPr>
          <w:u w:val="single"/>
        </w:rPr>
        <w:t>35</w:t>
      </w:r>
      <w:r>
        <w:t>.</w:t>
      </w:r>
      <w:r w:rsidR="005E7952">
        <w:t xml:space="preserve"> </w:t>
      </w:r>
      <w:r w:rsidR="00C554CD">
        <w:t xml:space="preserve">The macroinvertebrate </w:t>
      </w:r>
      <w:r w:rsidR="00373922">
        <w:t>sub-</w:t>
      </w:r>
      <w:r w:rsidR="00C554CD">
        <w:t>community in the North Coorong Lagoon has stabilised since 2013</w:t>
      </w:r>
      <w:r w:rsidR="000A2F7B">
        <w:t xml:space="preserve"> </w:t>
      </w:r>
      <w:r w:rsidR="00066A78">
        <w:t>(i.e. post-Millennium Drought</w:t>
      </w:r>
      <w:r w:rsidR="005E1063">
        <w:t>)</w:t>
      </w:r>
      <w:r w:rsidR="00066A78">
        <w:t xml:space="preserve"> </w:t>
      </w:r>
      <w:r w:rsidR="000A2F7B">
        <w:t>and shifted into a different stat</w:t>
      </w:r>
      <w:r w:rsidR="00C630A7">
        <w:t>e</w:t>
      </w:r>
      <w:r w:rsidR="00066A78">
        <w:t xml:space="preserve"> of similar abundance</w:t>
      </w:r>
      <w:r w:rsidR="008658C4">
        <w:t xml:space="preserve"> (Dittmann et al. 2021</w:t>
      </w:r>
      <w:r w:rsidR="005428E2">
        <w:t>, 2022</w:t>
      </w:r>
      <w:r w:rsidR="007E7DD9">
        <w:t>)</w:t>
      </w:r>
      <w:r w:rsidR="00C630A7">
        <w:t xml:space="preserve">. However, the effects of high nutrient loads and algal matts are leading to deteriorated conditions in the mudflats </w:t>
      </w:r>
      <w:r w:rsidR="0058177D">
        <w:t xml:space="preserve">for macroinvertebrates </w:t>
      </w:r>
      <w:r w:rsidR="00C630A7">
        <w:t>(Dittman et al. 202</w:t>
      </w:r>
      <w:r w:rsidR="008658C4">
        <w:t>2</w:t>
      </w:r>
      <w:r w:rsidR="00C630A7">
        <w:t>).</w:t>
      </w:r>
      <w:r w:rsidR="00021663">
        <w:t xml:space="preserve"> </w:t>
      </w:r>
      <w:r w:rsidR="00021663" w:rsidRPr="00021663">
        <w:t xml:space="preserve">Filamentous algae mats are often a consequence of eutrophication and can themselves </w:t>
      </w:r>
    </w:p>
    <w:p w14:paraId="78FC7A8A" w14:textId="77777777" w:rsidR="003C0278" w:rsidRDefault="003C0278" w:rsidP="00B12006">
      <w:pPr>
        <w:keepLines/>
        <w:spacing w:after="0"/>
      </w:pPr>
      <w:r>
        <w:rPr>
          <w:sz w:val="18"/>
          <w:szCs w:val="18"/>
        </w:rPr>
        <w:t>f</w:t>
      </w:r>
      <w:r w:rsidRPr="00021663">
        <w:t>urther impact on biogeochemical processes and benthic fauna in sediments</w:t>
      </w:r>
      <w:r>
        <w:t xml:space="preserve"> (Le Moal et al. 2019 in Dittmann et al. 2021). </w:t>
      </w:r>
      <w:r w:rsidRPr="00066A78">
        <w:t>The high organic matter in mudflats of the South Coorong reflect</w:t>
      </w:r>
      <w:r>
        <w:t xml:space="preserve"> </w:t>
      </w:r>
      <w:r w:rsidRPr="00066A78">
        <w:t xml:space="preserve">eutrophic </w:t>
      </w:r>
      <w:r>
        <w:t xml:space="preserve">and degraded </w:t>
      </w:r>
      <w:r w:rsidRPr="00066A78">
        <w:t>conditions (Mosley et al. 2020)</w:t>
      </w:r>
      <w:r>
        <w:t xml:space="preserve">. </w:t>
      </w:r>
      <w:r w:rsidRPr="00F2552F">
        <w:t xml:space="preserve">Deteriorating conditions for macroinvertebrates could </w:t>
      </w:r>
      <w:r>
        <w:t>increase</w:t>
      </w:r>
      <w:r w:rsidRPr="00F2552F">
        <w:t xml:space="preserve"> if filamentous algal mats </w:t>
      </w:r>
      <w:r>
        <w:t xml:space="preserve">and eutrophication </w:t>
      </w:r>
      <w:r w:rsidRPr="00F2552F">
        <w:t>persist</w:t>
      </w:r>
      <w:r>
        <w:t xml:space="preserve"> (e.g. Dittmann et al. 2022). </w:t>
      </w:r>
    </w:p>
    <w:p w14:paraId="08F5F0D4" w14:textId="77777777" w:rsidR="003C0278" w:rsidRDefault="003C0278" w:rsidP="003C0278">
      <w:pPr>
        <w:spacing w:after="0"/>
      </w:pPr>
    </w:p>
    <w:p w14:paraId="5E24AFAF" w14:textId="4062C68E" w:rsidR="003C0278" w:rsidRPr="003B2AD8" w:rsidRDefault="003C0278" w:rsidP="003C0278">
      <w:pPr>
        <w:spacing w:after="0"/>
      </w:pPr>
      <w:r>
        <w:t xml:space="preserve">The extended period of high flows from the spring-summer 2022/23 flood resulted in </w:t>
      </w:r>
      <w:r w:rsidR="00240E93">
        <w:t>reduced salinities</w:t>
      </w:r>
      <w:r>
        <w:t xml:space="preserve"> and a shift of macroinvertebrates further south into the northern South Lagoon (Dittmann et al. 2003). Overall, abundances were similar to previous monitoring years (</w:t>
      </w:r>
      <w:r w:rsidRPr="00F261C9">
        <w:rPr>
          <w:u w:val="single"/>
        </w:rPr>
        <w:t>Table 35</w:t>
      </w:r>
      <w:r>
        <w:t>). However, an autumn post-flood survey (April 2023) revealed a flood related impact on macroinvertebrates in the Murray Mouth region, with flood related water quality and/or sediment deposition as possible causes (Dittmann et al. 2023).</w:t>
      </w:r>
    </w:p>
    <w:p w14:paraId="34701048" w14:textId="77777777" w:rsidR="003C0278" w:rsidRDefault="003C0278" w:rsidP="00F41752">
      <w:pPr>
        <w:spacing w:after="0"/>
        <w:sectPr w:rsidR="003C0278" w:rsidSect="00143D3C">
          <w:pgSz w:w="11906" w:h="16838"/>
          <w:pgMar w:top="1134" w:right="1418" w:bottom="1134" w:left="1418" w:header="454" w:footer="454" w:gutter="0"/>
          <w:cols w:space="708"/>
          <w:docGrid w:linePitch="360"/>
        </w:sectPr>
      </w:pPr>
    </w:p>
    <w:p w14:paraId="669E331F" w14:textId="709E37C0" w:rsidR="00261BEB" w:rsidRPr="00E36FD6" w:rsidRDefault="00D94E98" w:rsidP="00D94E98">
      <w:pPr>
        <w:pStyle w:val="Caption"/>
        <w:rPr>
          <w:bCs/>
          <w:sz w:val="21"/>
          <w:szCs w:val="21"/>
        </w:rPr>
      </w:pPr>
      <w:r>
        <w:lastRenderedPageBreak/>
        <w:t xml:space="preserve">Table </w:t>
      </w:r>
      <w:r>
        <w:fldChar w:fldCharType="begin"/>
      </w:r>
      <w:r>
        <w:instrText xml:space="preserve"> SEQ Table \* ARABIC </w:instrText>
      </w:r>
      <w:r>
        <w:fldChar w:fldCharType="separate"/>
      </w:r>
      <w:r w:rsidR="006D35C5">
        <w:rPr>
          <w:noProof/>
        </w:rPr>
        <w:t>35</w:t>
      </w:r>
      <w:r>
        <w:fldChar w:fldCharType="end"/>
      </w:r>
      <w:r w:rsidR="00261BEB" w:rsidRPr="007F580D">
        <w:rPr>
          <w:bCs/>
        </w:rPr>
        <w:t>:</w:t>
      </w:r>
      <w:r w:rsidR="00261BEB" w:rsidRPr="007F580D">
        <w:rPr>
          <w:sz w:val="20"/>
          <w:szCs w:val="20"/>
        </w:rPr>
        <w:t xml:space="preserve"> </w:t>
      </w:r>
      <w:r w:rsidR="00261BEB" w:rsidRPr="00E36FD6">
        <w:rPr>
          <w:bCs/>
          <w:sz w:val="21"/>
          <w:szCs w:val="21"/>
        </w:rPr>
        <w:t>Summary table of how monitoring targets have been met in spring/summer for The Living Murray Icon site (LLCMM) that are related to macroinvertebrates; 11 sites monitored, 5 in Coorong’s North Lagoon, 2 in Murray Mouth region and 4 in Coorong’s South Lagoon; the weather patterns are indicated for each year as per MDBA Report Cards*; the flow categories are defined by total flow per flow year (July to June), with Low = 115 to 600 to 2500 – 7000 GL, and Very High = &gt;12000 GL; Target 4 of the mudflat habitat condition was discontinued in 2022  (</w:t>
      </w:r>
      <w:r w:rsidR="00601D31" w:rsidRPr="00E36FD6">
        <w:rPr>
          <w:bCs/>
          <w:sz w:val="21"/>
          <w:szCs w:val="21"/>
        </w:rPr>
        <w:t xml:space="preserve">after </w:t>
      </w:r>
      <w:r w:rsidR="00261BEB" w:rsidRPr="00E36FD6">
        <w:rPr>
          <w:bCs/>
          <w:sz w:val="21"/>
          <w:szCs w:val="21"/>
        </w:rPr>
        <w:t>Dittmann et al. 2023).</w:t>
      </w:r>
    </w:p>
    <w:tbl>
      <w:tblPr>
        <w:tblStyle w:val="TableGrid1"/>
        <w:tblW w:w="0" w:type="auto"/>
        <w:tblLook w:val="04A0" w:firstRow="1" w:lastRow="0" w:firstColumn="1" w:lastColumn="0" w:noHBand="0" w:noVBand="1"/>
      </w:tblPr>
      <w:tblGrid>
        <w:gridCol w:w="5911"/>
        <w:gridCol w:w="1201"/>
        <w:gridCol w:w="1126"/>
        <w:gridCol w:w="1102"/>
        <w:gridCol w:w="1133"/>
        <w:gridCol w:w="1153"/>
        <w:gridCol w:w="1122"/>
        <w:gridCol w:w="1200"/>
      </w:tblGrid>
      <w:tr w:rsidR="00601D31" w:rsidRPr="00C33B4B" w14:paraId="72A0AB9A" w14:textId="77777777" w:rsidTr="00484EA0">
        <w:trPr>
          <w:trHeight w:val="425"/>
        </w:trPr>
        <w:tc>
          <w:tcPr>
            <w:tcW w:w="5911" w:type="dxa"/>
            <w:shd w:val="clear" w:color="auto" w:fill="F2F2F2" w:themeFill="background1" w:themeFillShade="F2"/>
          </w:tcPr>
          <w:p w14:paraId="173B1BDB"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Monitoring target</w:t>
            </w:r>
          </w:p>
        </w:tc>
        <w:tc>
          <w:tcPr>
            <w:tcW w:w="1201" w:type="dxa"/>
            <w:shd w:val="clear" w:color="auto" w:fill="F2F2F2" w:themeFill="background1" w:themeFillShade="F2"/>
          </w:tcPr>
          <w:p w14:paraId="51A84FB0"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2016</w:t>
            </w:r>
          </w:p>
        </w:tc>
        <w:tc>
          <w:tcPr>
            <w:tcW w:w="1126" w:type="dxa"/>
            <w:shd w:val="clear" w:color="auto" w:fill="F2F2F2" w:themeFill="background1" w:themeFillShade="F2"/>
          </w:tcPr>
          <w:p w14:paraId="4105F671"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2017</w:t>
            </w:r>
          </w:p>
        </w:tc>
        <w:tc>
          <w:tcPr>
            <w:tcW w:w="1102" w:type="dxa"/>
            <w:shd w:val="clear" w:color="auto" w:fill="F2F2F2" w:themeFill="background1" w:themeFillShade="F2"/>
          </w:tcPr>
          <w:p w14:paraId="1CCC2F49"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2018</w:t>
            </w:r>
          </w:p>
        </w:tc>
        <w:tc>
          <w:tcPr>
            <w:tcW w:w="1133" w:type="dxa"/>
            <w:shd w:val="clear" w:color="auto" w:fill="F2F2F2" w:themeFill="background1" w:themeFillShade="F2"/>
          </w:tcPr>
          <w:p w14:paraId="603EBC04"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2019</w:t>
            </w:r>
          </w:p>
        </w:tc>
        <w:tc>
          <w:tcPr>
            <w:tcW w:w="1153" w:type="dxa"/>
            <w:shd w:val="clear" w:color="auto" w:fill="F2F2F2" w:themeFill="background1" w:themeFillShade="F2"/>
          </w:tcPr>
          <w:p w14:paraId="61BFBDA4"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2020</w:t>
            </w:r>
          </w:p>
        </w:tc>
        <w:tc>
          <w:tcPr>
            <w:tcW w:w="1122" w:type="dxa"/>
            <w:shd w:val="clear" w:color="auto" w:fill="F2F2F2" w:themeFill="background1" w:themeFillShade="F2"/>
          </w:tcPr>
          <w:p w14:paraId="13DB34C4"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2021</w:t>
            </w:r>
          </w:p>
        </w:tc>
        <w:tc>
          <w:tcPr>
            <w:tcW w:w="1200" w:type="dxa"/>
            <w:shd w:val="clear" w:color="auto" w:fill="F2F2F2" w:themeFill="background1" w:themeFillShade="F2"/>
          </w:tcPr>
          <w:p w14:paraId="5B84042A" w14:textId="77777777" w:rsidR="00601D31" w:rsidRPr="00E36FD6" w:rsidRDefault="00601D31" w:rsidP="00601D31">
            <w:pPr>
              <w:spacing w:after="0" w:line="240" w:lineRule="auto"/>
              <w:rPr>
                <w:rFonts w:eastAsia="Calibri" w:cs="Times New Roman"/>
                <w:b/>
                <w:bCs/>
                <w:sz w:val="24"/>
                <w:szCs w:val="24"/>
              </w:rPr>
            </w:pPr>
            <w:r w:rsidRPr="00E36FD6">
              <w:rPr>
                <w:rFonts w:eastAsia="Calibri" w:cs="Times New Roman"/>
                <w:b/>
                <w:bCs/>
                <w:sz w:val="24"/>
                <w:szCs w:val="24"/>
              </w:rPr>
              <w:t>2022</w:t>
            </w:r>
          </w:p>
        </w:tc>
      </w:tr>
      <w:tr w:rsidR="00601D31" w:rsidRPr="00C33B4B" w14:paraId="5D64E43B" w14:textId="77777777" w:rsidTr="00E36FD6">
        <w:trPr>
          <w:trHeight w:val="416"/>
        </w:trPr>
        <w:tc>
          <w:tcPr>
            <w:tcW w:w="5911" w:type="dxa"/>
          </w:tcPr>
          <w:p w14:paraId="18E425D0" w14:textId="77777777" w:rsidR="00601D31" w:rsidRPr="00C33B4B" w:rsidRDefault="00601D31" w:rsidP="00601D31">
            <w:pPr>
              <w:spacing w:after="0" w:line="240" w:lineRule="auto"/>
              <w:jc w:val="right"/>
              <w:rPr>
                <w:rFonts w:eastAsia="Calibri" w:cs="Times New Roman"/>
                <w:b/>
                <w:bCs/>
              </w:rPr>
            </w:pPr>
            <w:r w:rsidRPr="00C33B4B">
              <w:rPr>
                <w:rFonts w:eastAsia="Calibri" w:cs="Times New Roman"/>
                <w:b/>
                <w:bCs/>
              </w:rPr>
              <w:t>Weather pattern</w:t>
            </w:r>
          </w:p>
        </w:tc>
        <w:tc>
          <w:tcPr>
            <w:tcW w:w="1201" w:type="dxa"/>
          </w:tcPr>
          <w:p w14:paraId="038B6193"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Floods</w:t>
            </w:r>
          </w:p>
        </w:tc>
        <w:tc>
          <w:tcPr>
            <w:tcW w:w="1126" w:type="dxa"/>
          </w:tcPr>
          <w:p w14:paraId="152B030C"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Dry</w:t>
            </w:r>
          </w:p>
        </w:tc>
        <w:tc>
          <w:tcPr>
            <w:tcW w:w="1102" w:type="dxa"/>
          </w:tcPr>
          <w:p w14:paraId="2E209124"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Dry</w:t>
            </w:r>
          </w:p>
        </w:tc>
        <w:tc>
          <w:tcPr>
            <w:tcW w:w="1133" w:type="dxa"/>
          </w:tcPr>
          <w:p w14:paraId="326CEB3E"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Dry</w:t>
            </w:r>
          </w:p>
        </w:tc>
        <w:tc>
          <w:tcPr>
            <w:tcW w:w="1153" w:type="dxa"/>
          </w:tcPr>
          <w:p w14:paraId="17898936"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Moderate</w:t>
            </w:r>
          </w:p>
        </w:tc>
        <w:tc>
          <w:tcPr>
            <w:tcW w:w="1122" w:type="dxa"/>
          </w:tcPr>
          <w:p w14:paraId="12618E5F"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Wet</w:t>
            </w:r>
          </w:p>
        </w:tc>
        <w:tc>
          <w:tcPr>
            <w:tcW w:w="1200" w:type="dxa"/>
          </w:tcPr>
          <w:p w14:paraId="439F9D5D"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Floods</w:t>
            </w:r>
          </w:p>
        </w:tc>
      </w:tr>
      <w:tr w:rsidR="00601D31" w:rsidRPr="00C33B4B" w14:paraId="07AF1CE1" w14:textId="77777777" w:rsidTr="00AE07C3">
        <w:trPr>
          <w:trHeight w:val="639"/>
        </w:trPr>
        <w:tc>
          <w:tcPr>
            <w:tcW w:w="5911" w:type="dxa"/>
          </w:tcPr>
          <w:p w14:paraId="02949769" w14:textId="77777777" w:rsidR="00601D31" w:rsidRPr="00C33B4B" w:rsidRDefault="00601D31" w:rsidP="00601D31">
            <w:pPr>
              <w:spacing w:after="0" w:line="240" w:lineRule="auto"/>
              <w:jc w:val="right"/>
              <w:rPr>
                <w:rFonts w:eastAsia="Calibri" w:cs="Times New Roman"/>
                <w:b/>
                <w:bCs/>
              </w:rPr>
            </w:pPr>
            <w:r w:rsidRPr="00C33B4B">
              <w:rPr>
                <w:rFonts w:eastAsia="Calibri" w:cs="Times New Roman"/>
                <w:b/>
                <w:bCs/>
              </w:rPr>
              <w:t>Flow</w:t>
            </w:r>
          </w:p>
        </w:tc>
        <w:tc>
          <w:tcPr>
            <w:tcW w:w="1201" w:type="dxa"/>
          </w:tcPr>
          <w:p w14:paraId="198140CF"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Moderate</w:t>
            </w:r>
          </w:p>
        </w:tc>
        <w:tc>
          <w:tcPr>
            <w:tcW w:w="1126" w:type="dxa"/>
          </w:tcPr>
          <w:p w14:paraId="0E9FF862"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Low-moderate</w:t>
            </w:r>
          </w:p>
        </w:tc>
        <w:tc>
          <w:tcPr>
            <w:tcW w:w="1102" w:type="dxa"/>
          </w:tcPr>
          <w:p w14:paraId="2A086E0B"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Low</w:t>
            </w:r>
          </w:p>
        </w:tc>
        <w:tc>
          <w:tcPr>
            <w:tcW w:w="1133" w:type="dxa"/>
          </w:tcPr>
          <w:p w14:paraId="20725671"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Low-moderate</w:t>
            </w:r>
          </w:p>
        </w:tc>
        <w:tc>
          <w:tcPr>
            <w:tcW w:w="1153" w:type="dxa"/>
          </w:tcPr>
          <w:p w14:paraId="5D6AFA9A"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Low-moderate</w:t>
            </w:r>
          </w:p>
        </w:tc>
        <w:tc>
          <w:tcPr>
            <w:tcW w:w="1122" w:type="dxa"/>
          </w:tcPr>
          <w:p w14:paraId="6C1CBFB5"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Moderate</w:t>
            </w:r>
          </w:p>
        </w:tc>
        <w:tc>
          <w:tcPr>
            <w:tcW w:w="1200" w:type="dxa"/>
          </w:tcPr>
          <w:p w14:paraId="25F373D3" w14:textId="77777777" w:rsidR="00601D31" w:rsidRPr="00C33B4B" w:rsidRDefault="00601D31" w:rsidP="00601D31">
            <w:pPr>
              <w:spacing w:after="0" w:line="240" w:lineRule="auto"/>
              <w:rPr>
                <w:rFonts w:eastAsia="Calibri" w:cs="Times New Roman"/>
                <w:b/>
                <w:bCs/>
                <w:sz w:val="20"/>
                <w:szCs w:val="20"/>
              </w:rPr>
            </w:pPr>
            <w:r w:rsidRPr="00C33B4B">
              <w:rPr>
                <w:rFonts w:eastAsia="Calibri" w:cs="Times New Roman"/>
                <w:b/>
                <w:bCs/>
                <w:sz w:val="20"/>
                <w:szCs w:val="20"/>
              </w:rPr>
              <w:t>Very high</w:t>
            </w:r>
          </w:p>
        </w:tc>
      </w:tr>
      <w:tr w:rsidR="00601D31" w:rsidRPr="00C33B4B" w14:paraId="123C5352" w14:textId="77777777" w:rsidTr="00503196">
        <w:trPr>
          <w:trHeight w:val="474"/>
        </w:trPr>
        <w:tc>
          <w:tcPr>
            <w:tcW w:w="13948" w:type="dxa"/>
            <w:gridSpan w:val="8"/>
            <w:shd w:val="clear" w:color="auto" w:fill="F2F2F2" w:themeFill="background1" w:themeFillShade="F2"/>
          </w:tcPr>
          <w:p w14:paraId="63F39231" w14:textId="77777777" w:rsidR="00601D31" w:rsidRPr="00E36FD6" w:rsidRDefault="00601D31" w:rsidP="00601D31">
            <w:pPr>
              <w:spacing w:after="0" w:line="240" w:lineRule="auto"/>
              <w:rPr>
                <w:rFonts w:eastAsia="Calibri" w:cs="Times New Roman"/>
                <w:sz w:val="24"/>
                <w:szCs w:val="24"/>
              </w:rPr>
            </w:pPr>
            <w:r w:rsidRPr="00E36FD6">
              <w:rPr>
                <w:rFonts w:eastAsia="Calibri" w:cs="Times New Roman"/>
                <w:b/>
                <w:bCs/>
                <w:sz w:val="24"/>
                <w:szCs w:val="24"/>
              </w:rPr>
              <w:t>Macroinvertebrates</w:t>
            </w:r>
          </w:p>
        </w:tc>
      </w:tr>
      <w:tr w:rsidR="00601D31" w:rsidRPr="00C33B4B" w14:paraId="6B4D39FB" w14:textId="77777777" w:rsidTr="00AE07C3">
        <w:tc>
          <w:tcPr>
            <w:tcW w:w="5911" w:type="dxa"/>
          </w:tcPr>
          <w:p w14:paraId="2F552B62" w14:textId="77777777" w:rsidR="00601D31" w:rsidRPr="004D4FD1" w:rsidRDefault="00601D31" w:rsidP="00601D31">
            <w:pPr>
              <w:numPr>
                <w:ilvl w:val="0"/>
                <w:numId w:val="121"/>
              </w:numPr>
              <w:spacing w:after="0" w:line="240" w:lineRule="auto"/>
              <w:contextualSpacing/>
              <w:rPr>
                <w:rFonts w:eastAsia="Calibri" w:cs="Times New Roman"/>
                <w:b/>
                <w:bCs/>
                <w:sz w:val="20"/>
                <w:szCs w:val="20"/>
              </w:rPr>
            </w:pPr>
            <w:r w:rsidRPr="004D4FD1">
              <w:rPr>
                <w:rFonts w:eastAsia="Calibri" w:cs="Times New Roman"/>
                <w:b/>
                <w:bCs/>
                <w:sz w:val="20"/>
                <w:szCs w:val="20"/>
              </w:rPr>
              <w:t>Species richness increases throughout the Murray Mouth and Coorong.</w:t>
            </w:r>
          </w:p>
        </w:tc>
        <w:tc>
          <w:tcPr>
            <w:tcW w:w="1201" w:type="dxa"/>
            <w:shd w:val="clear" w:color="auto" w:fill="D9E2F3"/>
          </w:tcPr>
          <w:p w14:paraId="716E2A16"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6" w:type="dxa"/>
            <w:shd w:val="clear" w:color="auto" w:fill="D9E2F3"/>
          </w:tcPr>
          <w:p w14:paraId="2A5185E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D9E2F3"/>
          </w:tcPr>
          <w:p w14:paraId="1489D43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D9E2F3"/>
          </w:tcPr>
          <w:p w14:paraId="069E3246"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53" w:type="dxa"/>
            <w:shd w:val="clear" w:color="auto" w:fill="D9E2F3"/>
          </w:tcPr>
          <w:p w14:paraId="7DFB4C1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2CA22190"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shd w:val="clear" w:color="auto" w:fill="D9E2F3"/>
          </w:tcPr>
          <w:p w14:paraId="62EE4EA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r>
      <w:tr w:rsidR="00601D31" w:rsidRPr="00C33B4B" w14:paraId="5B22D16C" w14:textId="77777777" w:rsidTr="00AE07C3">
        <w:tc>
          <w:tcPr>
            <w:tcW w:w="5911" w:type="dxa"/>
          </w:tcPr>
          <w:p w14:paraId="0CB64B0C" w14:textId="77777777" w:rsidR="00601D31" w:rsidRPr="004D4FD1" w:rsidRDefault="00601D31" w:rsidP="00601D31">
            <w:pPr>
              <w:numPr>
                <w:ilvl w:val="0"/>
                <w:numId w:val="121"/>
              </w:numPr>
              <w:spacing w:after="0" w:line="240" w:lineRule="auto"/>
              <w:contextualSpacing/>
              <w:rPr>
                <w:rFonts w:eastAsia="Calibri" w:cs="Times New Roman"/>
                <w:b/>
                <w:bCs/>
                <w:sz w:val="20"/>
                <w:szCs w:val="20"/>
              </w:rPr>
            </w:pPr>
            <w:r w:rsidRPr="004D4FD1">
              <w:rPr>
                <w:rFonts w:eastAsia="Calibri" w:cs="Times New Roman"/>
                <w:b/>
                <w:bCs/>
                <w:sz w:val="20"/>
                <w:szCs w:val="20"/>
              </w:rPr>
              <w:t>Occurrence extends along the Coorong into the South Lagoon</w:t>
            </w:r>
          </w:p>
        </w:tc>
        <w:tc>
          <w:tcPr>
            <w:tcW w:w="1201" w:type="dxa"/>
            <w:shd w:val="clear" w:color="auto" w:fill="D9E2F3"/>
          </w:tcPr>
          <w:p w14:paraId="4869BE6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6" w:type="dxa"/>
            <w:shd w:val="clear" w:color="auto" w:fill="F7CAAC"/>
          </w:tcPr>
          <w:p w14:paraId="1BB9AA3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02" w:type="dxa"/>
            <w:shd w:val="clear" w:color="auto" w:fill="F7CAAC"/>
          </w:tcPr>
          <w:p w14:paraId="3CC2E58E"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33" w:type="dxa"/>
            <w:shd w:val="clear" w:color="auto" w:fill="F7CAAC"/>
          </w:tcPr>
          <w:p w14:paraId="1BED449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53" w:type="dxa"/>
            <w:shd w:val="clear" w:color="auto" w:fill="F7CAAC"/>
          </w:tcPr>
          <w:p w14:paraId="786C293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22" w:type="dxa"/>
            <w:shd w:val="clear" w:color="auto" w:fill="F7CAAC"/>
          </w:tcPr>
          <w:p w14:paraId="687537AE"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200" w:type="dxa"/>
            <w:shd w:val="clear" w:color="auto" w:fill="D9E2F3"/>
          </w:tcPr>
          <w:p w14:paraId="73E60A37"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r>
      <w:tr w:rsidR="00601D31" w:rsidRPr="00C33B4B" w14:paraId="3EF364E8" w14:textId="77777777" w:rsidTr="00AE07C3">
        <w:tc>
          <w:tcPr>
            <w:tcW w:w="5911" w:type="dxa"/>
          </w:tcPr>
          <w:p w14:paraId="61C8F65F" w14:textId="77777777" w:rsidR="00601D31" w:rsidRPr="004D4FD1" w:rsidRDefault="00601D31" w:rsidP="00601D31">
            <w:pPr>
              <w:numPr>
                <w:ilvl w:val="0"/>
                <w:numId w:val="121"/>
              </w:numPr>
              <w:spacing w:after="0" w:line="240" w:lineRule="auto"/>
              <w:contextualSpacing/>
              <w:rPr>
                <w:rFonts w:eastAsia="Calibri" w:cs="Times New Roman"/>
                <w:b/>
                <w:bCs/>
                <w:sz w:val="20"/>
                <w:szCs w:val="20"/>
              </w:rPr>
            </w:pPr>
            <w:r w:rsidRPr="004D4FD1">
              <w:rPr>
                <w:rFonts w:eastAsia="Calibri" w:cs="Times New Roman"/>
                <w:b/>
                <w:bCs/>
                <w:sz w:val="20"/>
                <w:szCs w:val="20"/>
              </w:rPr>
              <w:t>Area of occupation exceeds 60% of the sites sampled.</w:t>
            </w:r>
          </w:p>
        </w:tc>
        <w:tc>
          <w:tcPr>
            <w:tcW w:w="1201" w:type="dxa"/>
            <w:shd w:val="clear" w:color="auto" w:fill="C5E0B3"/>
          </w:tcPr>
          <w:p w14:paraId="75A0880E"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D9E2F3"/>
          </w:tcPr>
          <w:p w14:paraId="2A90705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D9E2F3"/>
          </w:tcPr>
          <w:p w14:paraId="023322D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D9E2F3"/>
          </w:tcPr>
          <w:p w14:paraId="7ECD168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53" w:type="dxa"/>
            <w:shd w:val="clear" w:color="auto" w:fill="D9E2F3"/>
          </w:tcPr>
          <w:p w14:paraId="1CE72E1E"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6BE0E7E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shd w:val="clear" w:color="auto" w:fill="D9E2F3"/>
          </w:tcPr>
          <w:p w14:paraId="2E2E3D5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r>
      <w:tr w:rsidR="00601D31" w:rsidRPr="00C33B4B" w14:paraId="5F442152" w14:textId="77777777" w:rsidTr="00AE07C3">
        <w:tc>
          <w:tcPr>
            <w:tcW w:w="5911" w:type="dxa"/>
          </w:tcPr>
          <w:p w14:paraId="1A72E443" w14:textId="77777777" w:rsidR="00601D31" w:rsidRPr="004D4FD1" w:rsidRDefault="00601D31" w:rsidP="00601D31">
            <w:pPr>
              <w:numPr>
                <w:ilvl w:val="0"/>
                <w:numId w:val="121"/>
              </w:numPr>
              <w:spacing w:after="0" w:line="240" w:lineRule="auto"/>
              <w:contextualSpacing/>
              <w:rPr>
                <w:rFonts w:eastAsia="Calibri" w:cs="Times New Roman"/>
                <w:b/>
                <w:bCs/>
                <w:sz w:val="20"/>
                <w:szCs w:val="20"/>
              </w:rPr>
            </w:pPr>
            <w:r w:rsidRPr="004D4FD1">
              <w:rPr>
                <w:rFonts w:eastAsia="Calibri" w:cs="Times New Roman"/>
                <w:b/>
                <w:bCs/>
                <w:sz w:val="20"/>
                <w:szCs w:val="20"/>
              </w:rPr>
              <w:t>Abundance is maintained at, or increases above, reference levels.</w:t>
            </w:r>
          </w:p>
        </w:tc>
        <w:tc>
          <w:tcPr>
            <w:tcW w:w="1201" w:type="dxa"/>
            <w:shd w:val="clear" w:color="auto" w:fill="C5E0B3"/>
          </w:tcPr>
          <w:p w14:paraId="44AB98D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D9E2F3"/>
          </w:tcPr>
          <w:p w14:paraId="0614047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D9E2F3"/>
          </w:tcPr>
          <w:p w14:paraId="48FB38B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C5E0B3"/>
          </w:tcPr>
          <w:p w14:paraId="68BACFB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53" w:type="dxa"/>
            <w:shd w:val="clear" w:color="auto" w:fill="C5E0B3"/>
          </w:tcPr>
          <w:p w14:paraId="61C0860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2" w:type="dxa"/>
            <w:shd w:val="clear" w:color="auto" w:fill="C5E0B3"/>
          </w:tcPr>
          <w:p w14:paraId="31E200B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200" w:type="dxa"/>
            <w:shd w:val="clear" w:color="auto" w:fill="C5E0B3"/>
          </w:tcPr>
          <w:p w14:paraId="4641A42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r>
      <w:tr w:rsidR="00601D31" w:rsidRPr="00C33B4B" w14:paraId="17359755" w14:textId="77777777" w:rsidTr="00AE07C3">
        <w:tc>
          <w:tcPr>
            <w:tcW w:w="5911" w:type="dxa"/>
          </w:tcPr>
          <w:p w14:paraId="53BF31DC" w14:textId="77777777" w:rsidR="00601D31" w:rsidRPr="00C33B4B" w:rsidRDefault="00601D31" w:rsidP="00601D31">
            <w:pPr>
              <w:numPr>
                <w:ilvl w:val="0"/>
                <w:numId w:val="121"/>
              </w:numPr>
              <w:spacing w:after="0" w:line="240" w:lineRule="auto"/>
              <w:contextualSpacing/>
              <w:rPr>
                <w:rFonts w:eastAsia="Calibri" w:cs="Times New Roman"/>
                <w:sz w:val="20"/>
                <w:szCs w:val="20"/>
              </w:rPr>
            </w:pPr>
            <w:r w:rsidRPr="004D4FD1">
              <w:rPr>
                <w:rFonts w:eastAsia="Calibri" w:cs="Times New Roman"/>
                <w:b/>
                <w:bCs/>
                <w:sz w:val="20"/>
                <w:szCs w:val="20"/>
              </w:rPr>
              <w:t>Biomass is maintained at, or increases above, reference levels</w:t>
            </w:r>
            <w:r w:rsidRPr="00C33B4B">
              <w:rPr>
                <w:rFonts w:eastAsia="Calibri" w:cs="Times New Roman"/>
                <w:sz w:val="20"/>
                <w:szCs w:val="20"/>
              </w:rPr>
              <w:t>.</w:t>
            </w:r>
          </w:p>
        </w:tc>
        <w:tc>
          <w:tcPr>
            <w:tcW w:w="1201" w:type="dxa"/>
            <w:shd w:val="clear" w:color="auto" w:fill="C5E0B3"/>
          </w:tcPr>
          <w:p w14:paraId="68E8B46A"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C5E0B3"/>
          </w:tcPr>
          <w:p w14:paraId="425E2B2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02" w:type="dxa"/>
            <w:shd w:val="clear" w:color="auto" w:fill="D9E2F3"/>
          </w:tcPr>
          <w:p w14:paraId="31A9B56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D9E2F3"/>
          </w:tcPr>
          <w:p w14:paraId="56A0380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53" w:type="dxa"/>
            <w:shd w:val="clear" w:color="auto" w:fill="D9E2F3"/>
          </w:tcPr>
          <w:p w14:paraId="5B918289"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7849AB7E"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shd w:val="clear" w:color="auto" w:fill="C5E0B3"/>
          </w:tcPr>
          <w:p w14:paraId="3D44E5E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r>
      <w:tr w:rsidR="00601D31" w:rsidRPr="00C33B4B" w14:paraId="43B1D544" w14:textId="77777777" w:rsidTr="00AE07C3">
        <w:tc>
          <w:tcPr>
            <w:tcW w:w="5911" w:type="dxa"/>
          </w:tcPr>
          <w:p w14:paraId="7DFB505F" w14:textId="77777777" w:rsidR="00601D31" w:rsidRPr="004D4FD1" w:rsidRDefault="00601D31" w:rsidP="00601D31">
            <w:pPr>
              <w:numPr>
                <w:ilvl w:val="0"/>
                <w:numId w:val="121"/>
              </w:numPr>
              <w:spacing w:after="0" w:line="240" w:lineRule="auto"/>
              <w:contextualSpacing/>
              <w:rPr>
                <w:rFonts w:eastAsia="Calibri" w:cs="Times New Roman"/>
                <w:b/>
                <w:bCs/>
                <w:sz w:val="20"/>
                <w:szCs w:val="20"/>
              </w:rPr>
            </w:pPr>
            <w:r w:rsidRPr="004D4FD1">
              <w:rPr>
                <w:rFonts w:eastAsia="Calibri" w:cs="Times New Roman"/>
                <w:b/>
                <w:bCs/>
                <w:sz w:val="20"/>
                <w:szCs w:val="20"/>
              </w:rPr>
              <w:t>Communities are similar to those occurring under intermediate continuous flows.</w:t>
            </w:r>
          </w:p>
        </w:tc>
        <w:tc>
          <w:tcPr>
            <w:tcW w:w="1201" w:type="dxa"/>
            <w:shd w:val="clear" w:color="auto" w:fill="C5E0B3"/>
          </w:tcPr>
          <w:p w14:paraId="2D474B1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C5E0B3"/>
          </w:tcPr>
          <w:p w14:paraId="23179D1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02" w:type="dxa"/>
            <w:shd w:val="clear" w:color="auto" w:fill="C5E0B3"/>
          </w:tcPr>
          <w:p w14:paraId="5BF1A9D5"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33" w:type="dxa"/>
            <w:shd w:val="clear" w:color="auto" w:fill="C5E0B3"/>
          </w:tcPr>
          <w:p w14:paraId="610D389A"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53" w:type="dxa"/>
            <w:shd w:val="clear" w:color="auto" w:fill="C5E0B3"/>
          </w:tcPr>
          <w:p w14:paraId="53415F2F"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2" w:type="dxa"/>
            <w:shd w:val="clear" w:color="auto" w:fill="C5E0B3"/>
          </w:tcPr>
          <w:p w14:paraId="0DED75DA"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200" w:type="dxa"/>
            <w:shd w:val="clear" w:color="auto" w:fill="C5E0B3"/>
          </w:tcPr>
          <w:p w14:paraId="69CEF59F"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r>
      <w:tr w:rsidR="00601D31" w:rsidRPr="00C33B4B" w14:paraId="3711C55F" w14:textId="77777777" w:rsidTr="00503196">
        <w:trPr>
          <w:trHeight w:val="366"/>
        </w:trPr>
        <w:tc>
          <w:tcPr>
            <w:tcW w:w="13948" w:type="dxa"/>
            <w:gridSpan w:val="8"/>
            <w:shd w:val="clear" w:color="auto" w:fill="F2F2F2" w:themeFill="background1" w:themeFillShade="F2"/>
          </w:tcPr>
          <w:p w14:paraId="184F58E3" w14:textId="77777777" w:rsidR="00601D31" w:rsidRPr="00E36FD6" w:rsidRDefault="00601D31" w:rsidP="00601D31">
            <w:pPr>
              <w:spacing w:after="0" w:line="240" w:lineRule="auto"/>
              <w:rPr>
                <w:rFonts w:eastAsia="Calibri" w:cs="Times New Roman"/>
                <w:sz w:val="24"/>
                <w:szCs w:val="24"/>
              </w:rPr>
            </w:pPr>
            <w:r w:rsidRPr="00E36FD6">
              <w:rPr>
                <w:rFonts w:eastAsia="Calibri" w:cs="Times New Roman"/>
                <w:b/>
                <w:bCs/>
                <w:sz w:val="24"/>
                <w:szCs w:val="24"/>
              </w:rPr>
              <w:t>Mudflat habitat condition</w:t>
            </w:r>
          </w:p>
        </w:tc>
      </w:tr>
      <w:tr w:rsidR="00601D31" w:rsidRPr="00C33B4B" w14:paraId="3D282F36" w14:textId="77777777" w:rsidTr="00AE07C3">
        <w:tc>
          <w:tcPr>
            <w:tcW w:w="5911" w:type="dxa"/>
          </w:tcPr>
          <w:p w14:paraId="3FCD9D3C" w14:textId="77777777" w:rsidR="00601D31" w:rsidRPr="004D4FD1" w:rsidRDefault="00601D31" w:rsidP="00601D31">
            <w:pPr>
              <w:numPr>
                <w:ilvl w:val="0"/>
                <w:numId w:val="122"/>
              </w:numPr>
              <w:spacing w:after="0" w:line="240" w:lineRule="auto"/>
              <w:contextualSpacing/>
              <w:rPr>
                <w:rFonts w:eastAsia="Calibri" w:cs="Times New Roman"/>
                <w:b/>
                <w:bCs/>
                <w:sz w:val="20"/>
                <w:szCs w:val="20"/>
              </w:rPr>
            </w:pPr>
            <w:r w:rsidRPr="004D4FD1">
              <w:rPr>
                <w:rFonts w:eastAsia="Calibri" w:cs="Times New Roman"/>
                <w:b/>
                <w:bCs/>
                <w:sz w:val="20"/>
                <w:szCs w:val="20"/>
              </w:rPr>
              <w:t>Habitable sediments are occurring along the Coorong into the South Lagoon.</w:t>
            </w:r>
          </w:p>
        </w:tc>
        <w:tc>
          <w:tcPr>
            <w:tcW w:w="1201" w:type="dxa"/>
            <w:shd w:val="clear" w:color="auto" w:fill="D9E2F3"/>
          </w:tcPr>
          <w:p w14:paraId="4E15EAD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6" w:type="dxa"/>
            <w:shd w:val="clear" w:color="auto" w:fill="D9E2F3"/>
          </w:tcPr>
          <w:p w14:paraId="39DE8D4D"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D9E2F3"/>
          </w:tcPr>
          <w:p w14:paraId="29DF84F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D9E2F3"/>
          </w:tcPr>
          <w:p w14:paraId="7EFD925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53" w:type="dxa"/>
            <w:shd w:val="clear" w:color="auto" w:fill="D9E2F3"/>
          </w:tcPr>
          <w:p w14:paraId="60E4B2F4"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40B22B4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shd w:val="clear" w:color="auto" w:fill="D9E2F3"/>
          </w:tcPr>
          <w:p w14:paraId="0E325D0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r>
      <w:tr w:rsidR="00601D31" w:rsidRPr="00C33B4B" w14:paraId="7617CA93" w14:textId="77777777" w:rsidTr="00AE07C3">
        <w:tc>
          <w:tcPr>
            <w:tcW w:w="5911" w:type="dxa"/>
          </w:tcPr>
          <w:p w14:paraId="49A7F7A5" w14:textId="77777777" w:rsidR="00601D31" w:rsidRPr="004D4FD1" w:rsidRDefault="00601D31" w:rsidP="00601D31">
            <w:pPr>
              <w:numPr>
                <w:ilvl w:val="0"/>
                <w:numId w:val="122"/>
              </w:numPr>
              <w:spacing w:after="0" w:line="240" w:lineRule="auto"/>
              <w:contextualSpacing/>
              <w:rPr>
                <w:rFonts w:eastAsia="Calibri" w:cs="Times New Roman"/>
                <w:b/>
                <w:bCs/>
                <w:sz w:val="20"/>
                <w:szCs w:val="20"/>
              </w:rPr>
            </w:pPr>
            <w:r w:rsidRPr="004D4FD1">
              <w:rPr>
                <w:rFonts w:eastAsia="Calibri" w:cs="Times New Roman"/>
                <w:b/>
                <w:bCs/>
                <w:sz w:val="20"/>
                <w:szCs w:val="20"/>
              </w:rPr>
              <w:t>Sediments are maintained as fine to medium sands and are mostly moderately well sorted.</w:t>
            </w:r>
          </w:p>
        </w:tc>
        <w:tc>
          <w:tcPr>
            <w:tcW w:w="1201" w:type="dxa"/>
            <w:shd w:val="clear" w:color="auto" w:fill="C5E0B3"/>
          </w:tcPr>
          <w:p w14:paraId="4BD4444A"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D9E2F3"/>
          </w:tcPr>
          <w:p w14:paraId="294CB26F"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D9E2F3"/>
          </w:tcPr>
          <w:p w14:paraId="7E662735"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33" w:type="dxa"/>
            <w:shd w:val="clear" w:color="auto" w:fill="C5E0B3"/>
          </w:tcPr>
          <w:p w14:paraId="2FFB291F"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53" w:type="dxa"/>
            <w:shd w:val="clear" w:color="auto" w:fill="D9E2F3"/>
          </w:tcPr>
          <w:p w14:paraId="5165505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36C72D43"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shd w:val="clear" w:color="auto" w:fill="D9E2F3"/>
          </w:tcPr>
          <w:p w14:paraId="12202428"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r>
      <w:tr w:rsidR="00601D31" w:rsidRPr="00C33B4B" w14:paraId="44C311DF" w14:textId="77777777" w:rsidTr="00AE07C3">
        <w:tc>
          <w:tcPr>
            <w:tcW w:w="5911" w:type="dxa"/>
          </w:tcPr>
          <w:p w14:paraId="09C36483" w14:textId="77777777" w:rsidR="00601D31" w:rsidRPr="004D4FD1" w:rsidRDefault="00601D31" w:rsidP="00601D31">
            <w:pPr>
              <w:numPr>
                <w:ilvl w:val="0"/>
                <w:numId w:val="122"/>
              </w:numPr>
              <w:spacing w:after="0" w:line="240" w:lineRule="auto"/>
              <w:contextualSpacing/>
              <w:rPr>
                <w:rFonts w:eastAsia="Calibri" w:cs="Times New Roman"/>
                <w:b/>
                <w:bCs/>
                <w:sz w:val="20"/>
                <w:szCs w:val="20"/>
              </w:rPr>
            </w:pPr>
            <w:r w:rsidRPr="004D4FD1">
              <w:rPr>
                <w:rFonts w:eastAsia="Calibri" w:cs="Times New Roman"/>
                <w:b/>
                <w:bCs/>
                <w:sz w:val="20"/>
                <w:szCs w:val="20"/>
              </w:rPr>
              <w:t>Sediment organic matter is maintained.</w:t>
            </w:r>
          </w:p>
        </w:tc>
        <w:tc>
          <w:tcPr>
            <w:tcW w:w="1201" w:type="dxa"/>
            <w:shd w:val="clear" w:color="auto" w:fill="C5E0B3"/>
          </w:tcPr>
          <w:p w14:paraId="27F3B9DA"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26" w:type="dxa"/>
            <w:shd w:val="clear" w:color="auto" w:fill="D9E2F3"/>
          </w:tcPr>
          <w:p w14:paraId="4C2DA5E1"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02" w:type="dxa"/>
            <w:shd w:val="clear" w:color="auto" w:fill="F7CAAC"/>
          </w:tcPr>
          <w:p w14:paraId="0E417FB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33" w:type="dxa"/>
            <w:shd w:val="clear" w:color="auto" w:fill="C5E0B3"/>
          </w:tcPr>
          <w:p w14:paraId="01CDFE5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53" w:type="dxa"/>
            <w:shd w:val="clear" w:color="auto" w:fill="D9E2F3"/>
          </w:tcPr>
          <w:p w14:paraId="56A39F3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F7CAAC"/>
          </w:tcPr>
          <w:p w14:paraId="5E2080C9"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200" w:type="dxa"/>
            <w:shd w:val="clear" w:color="auto" w:fill="C5E0B3"/>
          </w:tcPr>
          <w:p w14:paraId="1FF99482"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r>
      <w:tr w:rsidR="00601D31" w:rsidRPr="00C33B4B" w14:paraId="5109C88D" w14:textId="77777777" w:rsidTr="00AE07C3">
        <w:tc>
          <w:tcPr>
            <w:tcW w:w="5911" w:type="dxa"/>
          </w:tcPr>
          <w:p w14:paraId="0A917F44" w14:textId="77777777" w:rsidR="00601D31" w:rsidRPr="004D4FD1" w:rsidRDefault="00601D31" w:rsidP="00601D31">
            <w:pPr>
              <w:numPr>
                <w:ilvl w:val="0"/>
                <w:numId w:val="122"/>
              </w:numPr>
              <w:spacing w:after="0" w:line="240" w:lineRule="auto"/>
              <w:contextualSpacing/>
              <w:rPr>
                <w:rFonts w:eastAsia="Calibri" w:cs="Times New Roman"/>
                <w:b/>
                <w:bCs/>
                <w:sz w:val="20"/>
                <w:szCs w:val="20"/>
              </w:rPr>
            </w:pPr>
            <w:r w:rsidRPr="004D4FD1">
              <w:rPr>
                <w:rFonts w:eastAsia="Calibri" w:cs="Times New Roman"/>
                <w:b/>
                <w:bCs/>
                <w:sz w:val="20"/>
                <w:szCs w:val="20"/>
              </w:rPr>
              <w:t>Sediments provide microphytobenthic food for the benthic food web.</w:t>
            </w:r>
          </w:p>
        </w:tc>
        <w:tc>
          <w:tcPr>
            <w:tcW w:w="1201" w:type="dxa"/>
            <w:shd w:val="clear" w:color="auto" w:fill="F7CAAC"/>
          </w:tcPr>
          <w:p w14:paraId="0ACC12B9"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Not met</w:t>
            </w:r>
          </w:p>
        </w:tc>
        <w:tc>
          <w:tcPr>
            <w:tcW w:w="1126" w:type="dxa"/>
            <w:shd w:val="clear" w:color="auto" w:fill="C5E0B3"/>
          </w:tcPr>
          <w:p w14:paraId="51F6ED77"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02" w:type="dxa"/>
            <w:shd w:val="clear" w:color="auto" w:fill="C5E0B3"/>
          </w:tcPr>
          <w:p w14:paraId="0900D928"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33" w:type="dxa"/>
            <w:shd w:val="clear" w:color="auto" w:fill="C5E0B3"/>
          </w:tcPr>
          <w:p w14:paraId="00978EBB"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Met</w:t>
            </w:r>
          </w:p>
        </w:tc>
        <w:tc>
          <w:tcPr>
            <w:tcW w:w="1153" w:type="dxa"/>
            <w:shd w:val="clear" w:color="auto" w:fill="D9E2F3"/>
          </w:tcPr>
          <w:p w14:paraId="514B3C14"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122" w:type="dxa"/>
            <w:shd w:val="clear" w:color="auto" w:fill="D9E2F3"/>
          </w:tcPr>
          <w:p w14:paraId="4E4CA22F"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Partially met</w:t>
            </w:r>
          </w:p>
        </w:tc>
        <w:tc>
          <w:tcPr>
            <w:tcW w:w="1200" w:type="dxa"/>
          </w:tcPr>
          <w:p w14:paraId="6CF6BEFC" w14:textId="77777777" w:rsidR="00601D31" w:rsidRPr="00C33B4B" w:rsidRDefault="00601D31" w:rsidP="00601D31">
            <w:pPr>
              <w:spacing w:after="0" w:line="240" w:lineRule="auto"/>
              <w:rPr>
                <w:rFonts w:eastAsia="Calibri" w:cs="Times New Roman"/>
                <w:sz w:val="20"/>
                <w:szCs w:val="20"/>
              </w:rPr>
            </w:pPr>
            <w:r w:rsidRPr="00C33B4B">
              <w:rPr>
                <w:rFonts w:eastAsia="Calibri" w:cs="Times New Roman"/>
                <w:sz w:val="20"/>
                <w:szCs w:val="20"/>
              </w:rPr>
              <w:t>n/a</w:t>
            </w:r>
          </w:p>
        </w:tc>
      </w:tr>
    </w:tbl>
    <w:p w14:paraId="04EDA6F4" w14:textId="5F78442B" w:rsidR="00F00DA4" w:rsidRDefault="00654823" w:rsidP="00654823">
      <w:pPr>
        <w:rPr>
          <w:rStyle w:val="Hyperlink"/>
          <w:sz w:val="18"/>
          <w:szCs w:val="18"/>
        </w:rPr>
        <w:sectPr w:rsidR="00F00DA4" w:rsidSect="00143D3C">
          <w:pgSz w:w="16838" w:h="11906" w:orient="landscape"/>
          <w:pgMar w:top="851" w:right="1418" w:bottom="851" w:left="1418" w:header="454" w:footer="454" w:gutter="0"/>
          <w:cols w:space="708"/>
          <w:docGrid w:linePitch="360"/>
        </w:sectPr>
      </w:pPr>
      <w:r w:rsidRPr="007F580D">
        <w:rPr>
          <w:sz w:val="18"/>
          <w:szCs w:val="18"/>
        </w:rPr>
        <w:t xml:space="preserve">* </w:t>
      </w:r>
      <w:r w:rsidRPr="003C0278">
        <w:rPr>
          <w:sz w:val="18"/>
          <w:szCs w:val="18"/>
        </w:rPr>
        <w:t>Lower Lakes, Coorong and Murray Mouth Report Card 2022–23 | Murray–Darling Basin Authority (mdba.gov.au)</w:t>
      </w:r>
    </w:p>
    <w:p w14:paraId="20442549" w14:textId="0600E906" w:rsidR="00FC528C" w:rsidRPr="00A2521C" w:rsidRDefault="009A09CB" w:rsidP="00A2521C">
      <w:pPr>
        <w:pStyle w:val="Heading5"/>
        <w:rPr>
          <w:i/>
        </w:rPr>
      </w:pPr>
      <w:r w:rsidRPr="00A2521C">
        <w:lastRenderedPageBreak/>
        <w:t xml:space="preserve">Loss of </w:t>
      </w:r>
      <w:r w:rsidR="00FC528C" w:rsidRPr="00A2521C">
        <w:t>Fish biodiversity</w:t>
      </w:r>
    </w:p>
    <w:p w14:paraId="39C57295" w14:textId="598216BC" w:rsidR="001777A2" w:rsidRPr="00AD149D" w:rsidRDefault="001777A2" w:rsidP="00AD4454">
      <w:pPr>
        <w:pStyle w:val="Heading6"/>
      </w:pPr>
      <w:r w:rsidRPr="00AD149D">
        <w:t>Fish trends in the MDB</w:t>
      </w:r>
    </w:p>
    <w:p w14:paraId="66C98383" w14:textId="77777777" w:rsidR="001777A2" w:rsidRDefault="001777A2" w:rsidP="001777A2">
      <w:r>
        <w:t xml:space="preserve">In 2003, experts estimated that native fish populations in the Murray-Darling Basin (MDB) were about 10% of their pre-European settlement levels (MDBC 2004). </w:t>
      </w:r>
      <w:r w:rsidRPr="00B77085">
        <w:t>In 2020, expert opinion confirmed that native fish populations in the Basin have further declined since that 2003 assessment</w:t>
      </w:r>
      <w:r>
        <w:t xml:space="preserve"> (MDBA 2020), based on the following:</w:t>
      </w:r>
    </w:p>
    <w:p w14:paraId="5BC71A12" w14:textId="77777777" w:rsidR="001777A2" w:rsidRPr="003B021A" w:rsidRDefault="001777A2" w:rsidP="004162AC">
      <w:pPr>
        <w:pStyle w:val="ListBullet"/>
        <w:numPr>
          <w:ilvl w:val="0"/>
          <w:numId w:val="86"/>
        </w:numPr>
        <w:rPr>
          <w:bCs/>
          <w:iCs/>
        </w:rPr>
      </w:pPr>
      <w:r w:rsidRPr="003B021A">
        <w:rPr>
          <w:bCs/>
          <w:iCs/>
        </w:rPr>
        <w:t>an estimated 47% of native freshwater fish species/populations are threatened under national/State lists</w:t>
      </w:r>
    </w:p>
    <w:p w14:paraId="00400A72" w14:textId="77777777" w:rsidR="001777A2" w:rsidRPr="003B021A" w:rsidRDefault="001777A2" w:rsidP="004162AC">
      <w:pPr>
        <w:pStyle w:val="ListBullet"/>
        <w:numPr>
          <w:ilvl w:val="0"/>
          <w:numId w:val="86"/>
        </w:numPr>
        <w:rPr>
          <w:bCs/>
          <w:iCs/>
        </w:rPr>
      </w:pPr>
      <w:r>
        <w:rPr>
          <w:bCs/>
          <w:iCs/>
        </w:rPr>
        <w:t xml:space="preserve">there have been </w:t>
      </w:r>
      <w:r w:rsidRPr="003B021A">
        <w:rPr>
          <w:bCs/>
          <w:iCs/>
        </w:rPr>
        <w:t xml:space="preserve">a high number of large-scale fish death events over the past decade; notably in the </w:t>
      </w:r>
      <w:r>
        <w:rPr>
          <w:bCs/>
          <w:iCs/>
        </w:rPr>
        <w:t xml:space="preserve">Lower </w:t>
      </w:r>
      <w:r w:rsidRPr="003B021A">
        <w:rPr>
          <w:bCs/>
          <w:iCs/>
        </w:rPr>
        <w:t xml:space="preserve">River Murray in </w:t>
      </w:r>
      <w:r>
        <w:rPr>
          <w:bCs/>
          <w:iCs/>
        </w:rPr>
        <w:t xml:space="preserve">2010/11 (King et al. 2012; Leigh &amp; Zampatti 2013) and </w:t>
      </w:r>
      <w:r w:rsidRPr="003B021A">
        <w:rPr>
          <w:bCs/>
          <w:iCs/>
        </w:rPr>
        <w:t>2016</w:t>
      </w:r>
      <w:r>
        <w:rPr>
          <w:bCs/>
          <w:iCs/>
        </w:rPr>
        <w:t xml:space="preserve"> (Ye et al. 2018),</w:t>
      </w:r>
      <w:r w:rsidRPr="003B021A">
        <w:rPr>
          <w:bCs/>
          <w:iCs/>
        </w:rPr>
        <w:t xml:space="preserve"> and the lower Darling River in the summer of 2018-19</w:t>
      </w:r>
      <w:r>
        <w:rPr>
          <w:bCs/>
          <w:iCs/>
        </w:rPr>
        <w:t xml:space="preserve"> (AAS 2019; Vertessy et al. 2019), early-2023 (ABC 2023; Williams &amp; Schulz 2023), and early 2024 (ABC 2024)</w:t>
      </w:r>
    </w:p>
    <w:p w14:paraId="33DD6C17" w14:textId="77777777" w:rsidR="001777A2" w:rsidRDefault="001777A2" w:rsidP="004162AC">
      <w:pPr>
        <w:pStyle w:val="ListBullet"/>
        <w:numPr>
          <w:ilvl w:val="0"/>
          <w:numId w:val="86"/>
        </w:numPr>
        <w:rPr>
          <w:bCs/>
          <w:iCs/>
        </w:rPr>
      </w:pPr>
      <w:r>
        <w:rPr>
          <w:bCs/>
          <w:iCs/>
        </w:rPr>
        <w:t xml:space="preserve">due to impacts from a range of threats (see </w:t>
      </w:r>
      <w:r w:rsidRPr="005231A6">
        <w:rPr>
          <w:bCs/>
          <w:iCs/>
          <w:u w:val="single"/>
        </w:rPr>
        <w:t xml:space="preserve">Table </w:t>
      </w:r>
      <w:r>
        <w:rPr>
          <w:bCs/>
          <w:iCs/>
          <w:u w:val="single"/>
        </w:rPr>
        <w:t>23</w:t>
      </w:r>
      <w:r>
        <w:rPr>
          <w:bCs/>
          <w:iCs/>
        </w:rPr>
        <w:t xml:space="preserve">), </w:t>
      </w:r>
      <w:r w:rsidRPr="003B021A">
        <w:rPr>
          <w:bCs/>
          <w:iCs/>
        </w:rPr>
        <w:t>many native fish species in the MDB</w:t>
      </w:r>
      <w:r>
        <w:rPr>
          <w:bCs/>
          <w:iCs/>
        </w:rPr>
        <w:t xml:space="preserve"> </w:t>
      </w:r>
      <w:r w:rsidRPr="003B021A">
        <w:rPr>
          <w:bCs/>
          <w:iCs/>
        </w:rPr>
        <w:t>are now restricted in their range and have been reduced to small, fragmented populations (often genetically distinct) that are vulnerable to extreme events (</w:t>
      </w:r>
      <w:r>
        <w:t xml:space="preserve">Sasaki et al. 2016; </w:t>
      </w:r>
      <w:r w:rsidRPr="007467A1">
        <w:t>Brauer &amp;</w:t>
      </w:r>
      <w:r w:rsidRPr="0009315B">
        <w:t xml:space="preserve"> Beheregaray 2020</w:t>
      </w:r>
      <w:r>
        <w:t xml:space="preserve">; </w:t>
      </w:r>
      <w:r>
        <w:rPr>
          <w:bCs/>
          <w:iCs/>
        </w:rPr>
        <w:t xml:space="preserve">Whiterod et al. 2021; Wedderburn 2022; </w:t>
      </w:r>
      <w:r>
        <w:t>Beheregaray et al. 2021</w:t>
      </w:r>
      <w:r w:rsidRPr="003B021A">
        <w:rPr>
          <w:bCs/>
          <w:iCs/>
        </w:rPr>
        <w:t xml:space="preserve">; and see </w:t>
      </w:r>
      <w:r w:rsidRPr="00B82F1E">
        <w:rPr>
          <w:bCs/>
          <w:iCs/>
          <w:u w:val="single"/>
        </w:rPr>
        <w:t>Criterion 3</w:t>
      </w:r>
      <w:r w:rsidRPr="003B021A">
        <w:rPr>
          <w:bCs/>
          <w:iCs/>
        </w:rPr>
        <w:t xml:space="preserve">). </w:t>
      </w:r>
    </w:p>
    <w:p w14:paraId="50887C6E" w14:textId="77777777" w:rsidR="001777A2" w:rsidRDefault="001777A2" w:rsidP="001777A2">
      <w:pPr>
        <w:pStyle w:val="ListBullet"/>
        <w:rPr>
          <w:bCs/>
          <w:iCs/>
        </w:rPr>
      </w:pPr>
      <w:r w:rsidRPr="003B021A">
        <w:rPr>
          <w:bCs/>
          <w:iCs/>
        </w:rPr>
        <w:t>Concomitantly, introduced fish species have continued to prosper (</w:t>
      </w:r>
      <w:r>
        <w:rPr>
          <w:bCs/>
          <w:iCs/>
        </w:rPr>
        <w:t>Koehn &amp; MacKenzie 2004; Barrett et al. 2014; Schilling et al. 2024</w:t>
      </w:r>
      <w:r w:rsidRPr="003B021A">
        <w:rPr>
          <w:bCs/>
          <w:iCs/>
        </w:rPr>
        <w:t xml:space="preserve">). These trends led to the renewal of a </w:t>
      </w:r>
      <w:r w:rsidRPr="003B021A">
        <w:rPr>
          <w:bCs/>
          <w:i/>
        </w:rPr>
        <w:t>Native Fish Recovery Strategy</w:t>
      </w:r>
      <w:r w:rsidRPr="003B021A">
        <w:rPr>
          <w:bCs/>
          <w:iCs/>
        </w:rPr>
        <w:t xml:space="preserve"> for the MDB, released in mid-2020</w:t>
      </w:r>
      <w:r>
        <w:rPr>
          <w:bCs/>
          <w:iCs/>
        </w:rPr>
        <w:t xml:space="preserve"> (MDBA 2020)</w:t>
      </w:r>
      <w:r w:rsidRPr="003B021A">
        <w:rPr>
          <w:bCs/>
          <w:iCs/>
        </w:rPr>
        <w:t>.</w:t>
      </w:r>
      <w:r>
        <w:rPr>
          <w:bCs/>
          <w:iCs/>
        </w:rPr>
        <w:t xml:space="preserve"> </w:t>
      </w:r>
    </w:p>
    <w:p w14:paraId="1F1A7A87" w14:textId="77777777" w:rsidR="001777A2" w:rsidRPr="00AD149D" w:rsidRDefault="001777A2" w:rsidP="00AD4454">
      <w:pPr>
        <w:pStyle w:val="Heading6"/>
      </w:pPr>
      <w:r w:rsidRPr="00AD149D">
        <w:t>Biodiversity loss in the RMDS EC</w:t>
      </w:r>
    </w:p>
    <w:p w14:paraId="55DB5C77" w14:textId="1805FFC7" w:rsidR="001777A2" w:rsidRPr="00A97B00" w:rsidRDefault="001777A2" w:rsidP="001777A2">
      <w:pPr>
        <w:pStyle w:val="ListBullet"/>
        <w:contextualSpacing/>
        <w:rPr>
          <w:b/>
          <w:iCs/>
        </w:rPr>
      </w:pPr>
      <w:r>
        <w:t xml:space="preserve">Even lower levels of fish populations, i.e. than considered above for the MDB, are likely in the region of the ecological community (Ye and Hammer 2009; </w:t>
      </w:r>
      <w:r w:rsidRPr="00825293">
        <w:rPr>
          <w:u w:val="single"/>
        </w:rPr>
        <w:t xml:space="preserve">Figure </w:t>
      </w:r>
      <w:r>
        <w:rPr>
          <w:u w:val="single"/>
        </w:rPr>
        <w:t>13</w:t>
      </w:r>
      <w:r>
        <w:t xml:space="preserve">). Notwithstanding marine strays in the estuarine components of the EC, there have been approximately 47 species of freshwater, estuarine and diadromous fish species recorded within the ecological community, including 21 species of conservation significance (i.e. locally extinct or threatened) and eight alien species (Lloyd &amp; Walker 1986; Hammer &amp; Walker 2004; Hammer et al. 2009, 2012; Ye &amp; Hammer 2009; Bice et al. 2011, 2018; Wedderburn &amp; Suitor 2012; Wedderburn et al. 2017; Thacker et al. 2022a, b; Wedderburn &amp; Bailey 2024). </w:t>
      </w:r>
      <w:r w:rsidR="00057DBE">
        <w:t>This represents a significant component of the MDB fish fauna.</w:t>
      </w:r>
    </w:p>
    <w:p w14:paraId="5B772FC0" w14:textId="77777777" w:rsidR="001777A2" w:rsidRPr="0082695D" w:rsidRDefault="001777A2" w:rsidP="001777A2">
      <w:r>
        <w:t xml:space="preserve">Key fish species in the ecological community include (and see </w:t>
      </w:r>
      <w:r w:rsidRPr="002132BB">
        <w:rPr>
          <w:u w:val="single"/>
        </w:rPr>
        <w:t>Appendix B, Table B2</w:t>
      </w:r>
      <w:r>
        <w:t>):</w:t>
      </w:r>
    </w:p>
    <w:p w14:paraId="066FAF85" w14:textId="77777777" w:rsidR="001777A2" w:rsidRDefault="001777A2" w:rsidP="004162AC">
      <w:pPr>
        <w:pStyle w:val="ListBullet"/>
        <w:numPr>
          <w:ilvl w:val="0"/>
          <w:numId w:val="86"/>
        </w:numPr>
      </w:pPr>
      <w:r w:rsidRPr="00D37250">
        <w:rPr>
          <w:b/>
          <w:i/>
        </w:rPr>
        <w:t>small-bodied native fish</w:t>
      </w:r>
      <w:r w:rsidRPr="00D37250">
        <w:t xml:space="preserve"> </w:t>
      </w:r>
      <w:r>
        <w:t xml:space="preserve">(7 species) – </w:t>
      </w:r>
      <w:r w:rsidRPr="00D37250">
        <w:t>flathead galaxias</w:t>
      </w:r>
      <w:r>
        <w:t xml:space="preserve"> (extirpated)</w:t>
      </w:r>
      <w:r w:rsidRPr="00D37250">
        <w:t xml:space="preserve">, </w:t>
      </w:r>
      <w:r>
        <w:t>Murray hardyhead, Olive perchlet (</w:t>
      </w:r>
      <w:r>
        <w:rPr>
          <w:rStyle w:val="afdprefcommonname"/>
          <w:szCs w:val="20"/>
        </w:rPr>
        <w:t>extirpated)</w:t>
      </w:r>
      <w:r w:rsidRPr="00D37250">
        <w:t xml:space="preserve">, </w:t>
      </w:r>
      <w:r>
        <w:t xml:space="preserve">southern </w:t>
      </w:r>
      <w:r w:rsidRPr="00D37250">
        <w:t>purple-spotted gudgeon</w:t>
      </w:r>
      <w:r>
        <w:t xml:space="preserve">, southern </w:t>
      </w:r>
      <w:r w:rsidRPr="00D37250">
        <w:t>pygmy perch, spotted galaxias</w:t>
      </w:r>
      <w:r>
        <w:t>, yarra pygmy perch (extirpated/extinct)</w:t>
      </w:r>
    </w:p>
    <w:p w14:paraId="05AD41D5" w14:textId="77777777" w:rsidR="001777A2" w:rsidRDefault="001777A2" w:rsidP="004162AC">
      <w:pPr>
        <w:pStyle w:val="ListBullet"/>
        <w:numPr>
          <w:ilvl w:val="0"/>
          <w:numId w:val="86"/>
        </w:numPr>
      </w:pPr>
      <w:r w:rsidRPr="008D24C3">
        <w:rPr>
          <w:b/>
          <w:i/>
        </w:rPr>
        <w:t>large-bodied fish</w:t>
      </w:r>
      <w:r w:rsidRPr="00D37250">
        <w:t xml:space="preserve"> </w:t>
      </w:r>
      <w:r>
        <w:t>(8 species) –</w:t>
      </w:r>
      <w:r w:rsidRPr="00D37250">
        <w:t xml:space="preserve"> estuary perch</w:t>
      </w:r>
      <w:r>
        <w:t>, freshwater catfish, M</w:t>
      </w:r>
      <w:r w:rsidRPr="00D37250">
        <w:t>acquarie perch</w:t>
      </w:r>
      <w:r>
        <w:t xml:space="preserve"> (extirpated), Murray cod, river blackfish, golden perch, silver perch, trout cod (extirpated)</w:t>
      </w:r>
    </w:p>
    <w:p w14:paraId="62C34AEA" w14:textId="77777777" w:rsidR="001777A2" w:rsidRPr="00D37250" w:rsidRDefault="001777A2" w:rsidP="004162AC">
      <w:pPr>
        <w:pStyle w:val="ListBullet"/>
        <w:numPr>
          <w:ilvl w:val="0"/>
          <w:numId w:val="86"/>
        </w:numPr>
      </w:pPr>
      <w:r w:rsidRPr="008D24C3">
        <w:rPr>
          <w:b/>
          <w:i/>
        </w:rPr>
        <w:t>diadromous fish</w:t>
      </w:r>
      <w:r>
        <w:t xml:space="preserve"> (7 species, including some species from above groups</w:t>
      </w:r>
      <w:r w:rsidRPr="008D24C3">
        <w:rPr>
          <w:vertAlign w:val="superscript"/>
        </w:rPr>
        <w:t>*</w:t>
      </w:r>
      <w:r>
        <w:t>) – congolli, estuary perch (extirpated), longfinned eel, pouched lamprey, shortfinned eel, short head lamprey; spotted galaxias</w:t>
      </w:r>
      <w:r w:rsidRPr="008D24C3">
        <w:rPr>
          <w:vertAlign w:val="superscript"/>
        </w:rPr>
        <w:t>*</w:t>
      </w:r>
      <w:r>
        <w:t>.</w:t>
      </w:r>
    </w:p>
    <w:p w14:paraId="791DD83C" w14:textId="77777777" w:rsidR="001777A2" w:rsidRDefault="001777A2" w:rsidP="00B12006">
      <w:pPr>
        <w:keepLines/>
      </w:pPr>
      <w:r>
        <w:lastRenderedPageBreak/>
        <w:t>These fish represent a range of functionally important groups across the geographic distribution and a variety of habitats within the ecological community (including the streams of the Eastern Mount Lofty Ranges). T</w:t>
      </w:r>
      <w:r w:rsidRPr="00C211E6">
        <w:t>he Lower Lakes harbour the most diverse fish community in the MDB</w:t>
      </w:r>
      <w:r>
        <w:t>, and thus the EC,</w:t>
      </w:r>
      <w:r w:rsidRPr="00C211E6">
        <w:t xml:space="preserve"> because they are inhabited by estuarine, diadromous and freshwater species (Wedderburn and Hammer 2003).</w:t>
      </w:r>
    </w:p>
    <w:p w14:paraId="6D403391" w14:textId="77777777" w:rsidR="00AA57DD" w:rsidRDefault="001777A2" w:rsidP="001777A2">
      <w:pPr>
        <w:pStyle w:val="Figuretitle"/>
        <w:ind w:left="0" w:right="-46"/>
        <w:rPr>
          <w:rFonts w:ascii="Cambria" w:hAnsi="Cambria"/>
          <w:sz w:val="22"/>
          <w:szCs w:val="22"/>
        </w:rPr>
      </w:pPr>
      <w:r w:rsidRPr="002B06A2">
        <w:rPr>
          <w:noProof/>
        </w:rPr>
        <w:drawing>
          <wp:inline distT="0" distB="0" distL="0" distR="0" wp14:anchorId="48ECB296" wp14:editId="25F85D91">
            <wp:extent cx="5752800" cy="3774953"/>
            <wp:effectExtent l="0" t="0" r="635" b="0"/>
            <wp:docPr id="6" name="Picture 1" descr="A graph showing the decline of the SA River Murray fish community diversity and abundance since European settlement.  A target for restoration by 2050 is 60% of pre-European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graph showing the decline of the SA River Murray fish community diversity and abundance since European settlement.  A target for restoration by 2050 is 60% of pre-European level. "/>
                    <pic:cNvPicPr>
                      <a:picLocks noChangeAspect="1" noChangeArrowheads="1"/>
                    </pic:cNvPicPr>
                  </pic:nvPicPr>
                  <pic:blipFill>
                    <a:blip r:embed="rId40" cstate="print"/>
                    <a:srcRect/>
                    <a:stretch>
                      <a:fillRect/>
                    </a:stretch>
                  </pic:blipFill>
                  <pic:spPr bwMode="auto">
                    <a:xfrm>
                      <a:off x="0" y="0"/>
                      <a:ext cx="5752800" cy="3774953"/>
                    </a:xfrm>
                    <a:prstGeom prst="rect">
                      <a:avLst/>
                    </a:prstGeom>
                    <a:noFill/>
                    <a:ln w="9525">
                      <a:noFill/>
                      <a:miter lim="800000"/>
                      <a:headEnd/>
                      <a:tailEnd/>
                    </a:ln>
                  </pic:spPr>
                </pic:pic>
              </a:graphicData>
            </a:graphic>
          </wp:inline>
        </w:drawing>
      </w:r>
      <w:bookmarkStart w:id="286" w:name="_Toc232747964"/>
      <w:r>
        <w:rPr>
          <w:rFonts w:ascii="Cambria" w:hAnsi="Cambria"/>
          <w:sz w:val="22"/>
          <w:szCs w:val="22"/>
        </w:rPr>
        <w:t xml:space="preserve"> </w:t>
      </w:r>
    </w:p>
    <w:p w14:paraId="7B2C77C8" w14:textId="6760A75F" w:rsidR="001777A2" w:rsidRPr="00A2521C" w:rsidRDefault="00AA57DD" w:rsidP="00AA57DD">
      <w:pPr>
        <w:pStyle w:val="Caption"/>
        <w:rPr>
          <w:sz w:val="21"/>
          <w:szCs w:val="21"/>
        </w:rPr>
      </w:pPr>
      <w:r>
        <w:t xml:space="preserve">Figure </w:t>
      </w:r>
      <w:r>
        <w:fldChar w:fldCharType="begin"/>
      </w:r>
      <w:r>
        <w:instrText xml:space="preserve"> SEQ Figure \* ARABIC </w:instrText>
      </w:r>
      <w:r>
        <w:fldChar w:fldCharType="separate"/>
      </w:r>
      <w:r w:rsidR="006D35C5">
        <w:rPr>
          <w:noProof/>
        </w:rPr>
        <w:t>13</w:t>
      </w:r>
      <w:r>
        <w:fldChar w:fldCharType="end"/>
      </w:r>
      <w:r w:rsidR="001777A2" w:rsidRPr="002132BB">
        <w:rPr>
          <w:sz w:val="20"/>
          <w:szCs w:val="20"/>
        </w:rPr>
        <w:t xml:space="preserve">: </w:t>
      </w:r>
      <w:r w:rsidR="001777A2" w:rsidRPr="00A2521C">
        <w:rPr>
          <w:sz w:val="21"/>
          <w:szCs w:val="21"/>
        </w:rPr>
        <w:t xml:space="preserve">Decline of the SA River Murray fish community since European settlement. The model is developed after the 2003 </w:t>
      </w:r>
      <w:r w:rsidR="001777A2" w:rsidRPr="00A2521C">
        <w:rPr>
          <w:i/>
          <w:sz w:val="21"/>
          <w:szCs w:val="21"/>
        </w:rPr>
        <w:t>Native Fish Strategy</w:t>
      </w:r>
      <w:r w:rsidR="001777A2" w:rsidRPr="00A2521C">
        <w:rPr>
          <w:sz w:val="21"/>
          <w:szCs w:val="21"/>
        </w:rPr>
        <w:t xml:space="preserve"> which considered decline in species diversity and abundance of native fish to have reached 10% of pre-European levels for the MDB. The green bar represents the target for restoration under the same strategy (MDBC 2004).</w:t>
      </w:r>
      <w:bookmarkEnd w:id="286"/>
    </w:p>
    <w:p w14:paraId="2045957C" w14:textId="77777777" w:rsidR="00AA57DD" w:rsidRPr="00AA57DD" w:rsidRDefault="00AA57DD" w:rsidP="00AA57DD"/>
    <w:p w14:paraId="73FC2266" w14:textId="77777777" w:rsidR="001777A2" w:rsidRDefault="001777A2" w:rsidP="001777A2">
      <w:r>
        <w:t xml:space="preserve">Close to half of the fish biodiversity within the ecological community has some form of recognised 'conservation status, i.e. 21 of 47 species (see </w:t>
      </w:r>
      <w:r w:rsidRPr="00B82F1E">
        <w:rPr>
          <w:u w:val="single"/>
        </w:rPr>
        <w:t>Appendix B, Table B2</w:t>
      </w:r>
      <w:r>
        <w:t>; Hammer et al. 2009; Bice et al. 2011). It has also been depleted by at least five local (or functional) extinctions (i.e. extirpations), with many other species now recognised from records over the past 10–20 years, as very rare and/or restricted in distribution (</w:t>
      </w:r>
      <w:r w:rsidRPr="00B82F1E">
        <w:rPr>
          <w:u w:val="single"/>
        </w:rPr>
        <w:t>Appendix B, Table B2</w:t>
      </w:r>
      <w:r>
        <w:t>)</w:t>
      </w:r>
    </w:p>
    <w:p w14:paraId="2AC08EE1" w14:textId="77777777" w:rsidR="001777A2" w:rsidRDefault="001777A2" w:rsidP="001777A2">
      <w:r>
        <w:t xml:space="preserve">The loss of fish biodiversity from declines in abundance and extirpations, along with their associated ecological functions, indicate substantial impacts on productivity and trophic structure of the fish assemblage within the ecological community. There are also genetic implications. Genetic variation serves a pivotal role in species viability and resilience, and the maintenance of population genetic variation is essential for conservation (e.g. Lloyd &amp; Walker 1986; Sasaki et al. 2016; Thiele et al. 2019). Threatened species often show reduced genetic variation compared to non-threatened species, and this is considered indicative of lowered evolutionary potential, compromised reproductive fitness, and elevated extinction risk (Sasaki et al. 2016). In addition, genetic studies have revealed that discrete breeding populations (stocks) may have sub-specific status (e.g. Keenan et al. 1996; Thacker et al. 2022). </w:t>
      </w:r>
    </w:p>
    <w:p w14:paraId="38360FE7" w14:textId="77777777" w:rsidR="001777A2" w:rsidRPr="00AD149D" w:rsidRDefault="001777A2" w:rsidP="00AD4454">
      <w:pPr>
        <w:pStyle w:val="Heading6"/>
      </w:pPr>
      <w:r w:rsidRPr="00AD149D">
        <w:lastRenderedPageBreak/>
        <w:t>Significant loss from functional groups</w:t>
      </w:r>
    </w:p>
    <w:p w14:paraId="0D0CD34F" w14:textId="77777777" w:rsidR="001777A2" w:rsidRDefault="001777A2" w:rsidP="001777A2">
      <w:r>
        <w:t xml:space="preserve">A significant part of the small-bodied fish assemblage is missing compared to that present and before the advent of European carp (Boolarra strain) (see </w:t>
      </w:r>
      <w:r w:rsidRPr="00B82F1E">
        <w:rPr>
          <w:u w:val="single"/>
        </w:rPr>
        <w:t>Criterion 3</w:t>
      </w:r>
      <w:r>
        <w:t>). These small species relied on submergent aquatic plants for refuge and breeding sites, and common carp, by virtue of their destructive feeding habits, undoubtedly have contributed to the decline of plants and associated small fish (Koehn &amp; MacKenzie 2004; Kopf et al. 2019; Fanson et al. 2024; Schilling et al. 2024).</w:t>
      </w:r>
    </w:p>
    <w:p w14:paraId="40132EA1" w14:textId="7238A94B" w:rsidR="001777A2" w:rsidRDefault="001777A2" w:rsidP="001777A2">
      <w:r>
        <w:t>The loss of diadromous fish is even more pronounced, particularly as a result of lost connectivity during the Millennium Drought (Jennings et al. 2008; Bice 2023; see also Criterion 3). Diadromous species move between freshwater and estuarine/marine habitats to complete their life cycles and are dependent on connections between these environments (Bice 2010). The estuarine component of the ecological community is separated from the lower river by five tidal barrages that form an abrupt physical and biological barrier (Zampatti et al. 2011</w:t>
      </w:r>
      <w:r w:rsidR="00B253F3">
        <w:t>a</w:t>
      </w:r>
      <w:r>
        <w:t xml:space="preserve">, </w:t>
      </w:r>
      <w:r w:rsidR="00B253F3">
        <w:t>b</w:t>
      </w:r>
      <w:r>
        <w:t xml:space="preserve">). </w:t>
      </w:r>
    </w:p>
    <w:p w14:paraId="3AF0A16B" w14:textId="77777777" w:rsidR="001777A2" w:rsidRDefault="001777A2" w:rsidP="001777A2">
      <w:pPr>
        <w:rPr>
          <w:color w:val="FF0000"/>
        </w:rPr>
      </w:pPr>
      <w:r>
        <w:t xml:space="preserve">Three fishways were installed on the barrages between 2004 and 2008, however these remained largely ineffectual due to low flows (Jennings et al. 2008; Bice 2023). A further six fishways were installed between 2015 and 2018 (Bice 2023; see </w:t>
      </w:r>
      <w:r w:rsidRPr="00F32A12">
        <w:rPr>
          <w:u w:val="single"/>
        </w:rPr>
        <w:t>Table 30</w:t>
      </w:r>
      <w:r>
        <w:t xml:space="preserve">). Surveys have demonstrated that the barrage fishways </w:t>
      </w:r>
      <w:r w:rsidRPr="008D132F">
        <w:t xml:space="preserve">(e.g. Tauwitchere, Goolwa) facilitate fish movement during high end-of-system flows, </w:t>
      </w:r>
      <w:r>
        <w:t xml:space="preserve">however </w:t>
      </w:r>
      <w:r w:rsidRPr="008D132F">
        <w:t>continuing high flows are needed fo</w:t>
      </w:r>
      <w:r>
        <w:t xml:space="preserve">r the restoration of </w:t>
      </w:r>
      <w:r w:rsidRPr="008D132F">
        <w:t xml:space="preserve">populations of </w:t>
      </w:r>
      <w:r>
        <w:t xml:space="preserve">congolli, </w:t>
      </w:r>
      <w:r w:rsidRPr="008D132F">
        <w:t>common galaxias</w:t>
      </w:r>
      <w:r>
        <w:t>, and other diadromous species</w:t>
      </w:r>
      <w:r w:rsidRPr="008D132F">
        <w:t xml:space="preserve"> (Zampatti et al. 2012</w:t>
      </w:r>
      <w:r>
        <w:t>; Bice 2023; Bice et al. 2017 a, b, 2018, 2023)</w:t>
      </w:r>
      <w:r w:rsidRPr="005E1C4C">
        <w:t>.</w:t>
      </w:r>
      <w:r>
        <w:rPr>
          <w:color w:val="FF0000"/>
        </w:rPr>
        <w:t xml:space="preserve"> </w:t>
      </w:r>
      <w:r w:rsidRPr="001D5D4E">
        <w:rPr>
          <w:color w:val="FF0000"/>
        </w:rPr>
        <w:t xml:space="preserve"> </w:t>
      </w:r>
    </w:p>
    <w:p w14:paraId="43A1D392" w14:textId="3F2C2AA0" w:rsidR="00004118" w:rsidRPr="00B62D4F" w:rsidRDefault="00B62D4F" w:rsidP="00B62D4F">
      <w:r>
        <w:t>It is apparent that human-intervention is required for the future viability and protection of diadromous fish within the ecological community, which remain highly vulnerable into the future. This is particularly the case given the likelihood of future extreme drought conditions, where the barrages and fishways may not be operating optimally, or at all, for long periods, combined with increasing temperatures under climate change which may impact cues for spawning migrations (e.g.</w:t>
      </w:r>
      <w:r w:rsidRPr="00A97B00">
        <w:t xml:space="preserve"> </w:t>
      </w:r>
      <w:r>
        <w:t xml:space="preserve">Reinfelds et al. 2013; Bice et al. 2018b). </w:t>
      </w:r>
    </w:p>
    <w:p w14:paraId="79407F49" w14:textId="0863EF2E" w:rsidR="00FC528C" w:rsidRDefault="00B62D4F" w:rsidP="00A2521C">
      <w:pPr>
        <w:pStyle w:val="Heading5"/>
      </w:pPr>
      <w:r>
        <w:t xml:space="preserve">Loss of </w:t>
      </w:r>
      <w:r w:rsidR="00FC528C" w:rsidRPr="00EA1911">
        <w:t>Bird biodiversity</w:t>
      </w:r>
    </w:p>
    <w:p w14:paraId="221FC32F" w14:textId="77777777" w:rsidR="003200EC" w:rsidRPr="003200EC" w:rsidRDefault="003200EC" w:rsidP="00AD4454">
      <w:pPr>
        <w:pStyle w:val="Heading6"/>
      </w:pPr>
      <w:r w:rsidRPr="003200EC">
        <w:t>Overview</w:t>
      </w:r>
    </w:p>
    <w:p w14:paraId="08494254" w14:textId="637FDD73" w:rsidR="003200EC" w:rsidRDefault="00BD2345" w:rsidP="003200EC">
      <w:r>
        <w:t>The course of the River Murray through semi-arid and more temperate environments</w:t>
      </w:r>
      <w:r w:rsidR="00213935">
        <w:t>, including fresh and estuarine waters,</w:t>
      </w:r>
      <w:r>
        <w:t xml:space="preserve"> </w:t>
      </w:r>
      <w:r w:rsidR="00B4316D">
        <w:t xml:space="preserve">and thus </w:t>
      </w:r>
      <w:r>
        <w:t xml:space="preserve">provides for a diverse range of bird species. </w:t>
      </w:r>
      <w:r w:rsidR="0020487F">
        <w:t xml:space="preserve">The ecological community contains </w:t>
      </w:r>
      <w:r w:rsidR="000F1BD0">
        <w:t xml:space="preserve">foraging </w:t>
      </w:r>
      <w:r w:rsidR="002E7C7F">
        <w:t xml:space="preserve">habitat, </w:t>
      </w:r>
      <w:r w:rsidR="0020487F">
        <w:t>critical breeding habitat</w:t>
      </w:r>
      <w:r w:rsidR="002E7C7F">
        <w:t>,</w:t>
      </w:r>
      <w:r w:rsidR="0020487F">
        <w:t xml:space="preserve"> and refuge for many woodland birds and waterbirds (Paton et al. 2009 and references therein). </w:t>
      </w:r>
      <w:r w:rsidR="00AA3C19" w:rsidRPr="00D315B7">
        <w:t xml:space="preserve">The Chowilla Floodplain is the largest region of </w:t>
      </w:r>
      <w:r w:rsidR="00AA3C19" w:rsidRPr="00DC2A73">
        <w:t>floodplain habitat in the lower River</w:t>
      </w:r>
      <w:r w:rsidR="001C5875">
        <w:t xml:space="preserve"> Murray</w:t>
      </w:r>
      <w:r w:rsidR="00AA3C19" w:rsidRPr="00DC2A73">
        <w:t>, occupying 1,650 km</w:t>
      </w:r>
      <w:r w:rsidR="00AA3C19" w:rsidRPr="00DC2A73">
        <w:rPr>
          <w:vertAlign w:val="superscript"/>
        </w:rPr>
        <w:t>2</w:t>
      </w:r>
      <w:r w:rsidR="00AA3C19" w:rsidRPr="00DC2A73">
        <w:t xml:space="preserve"> upstream from Renmark</w:t>
      </w:r>
      <w:r w:rsidR="00AA3C19">
        <w:t xml:space="preserve"> (O’Malley &amp; Sheldon 1990). Within the ecological community, the Chowilla region has a particularly high species diversity of birds, with some 165 woodland and waterbird species </w:t>
      </w:r>
      <w:r w:rsidR="001C5875">
        <w:t xml:space="preserve">recorded </w:t>
      </w:r>
      <w:r w:rsidR="00AA3C19">
        <w:t xml:space="preserve">(Newall et al. 2009; DEH 2010). </w:t>
      </w:r>
      <w:r w:rsidR="00811214">
        <w:t xml:space="preserve">A </w:t>
      </w:r>
      <w:r w:rsidR="00CB795E">
        <w:t xml:space="preserve">March </w:t>
      </w:r>
      <w:r w:rsidR="00811214">
        <w:t xml:space="preserve">2002 survey of the Murray Mouth reserves recorded </w:t>
      </w:r>
      <w:r w:rsidR="005A0230">
        <w:t>85 bird species (at 22 sites), of which 9% were w</w:t>
      </w:r>
      <w:r w:rsidR="0019395F">
        <w:t>a</w:t>
      </w:r>
      <w:r w:rsidR="005A0230">
        <w:t>ders and 2</w:t>
      </w:r>
      <w:r w:rsidR="0092081E">
        <w:t>7% were waterbirds (Brandle 2002).</w:t>
      </w:r>
      <w:r w:rsidR="00C30977">
        <w:t xml:space="preserve"> </w:t>
      </w:r>
      <w:r w:rsidR="001F3B0A">
        <w:t>During</w:t>
      </w:r>
      <w:r w:rsidR="00C30977">
        <w:t xml:space="preserve"> a </w:t>
      </w:r>
      <w:r w:rsidR="00480EAA">
        <w:t>1988-89 a</w:t>
      </w:r>
      <w:r w:rsidR="001F3B0A">
        <w:t xml:space="preserve"> s</w:t>
      </w:r>
      <w:r w:rsidR="00480EAA">
        <w:t xml:space="preserve">urvey of Hindmarsh Island, </w:t>
      </w:r>
      <w:r w:rsidR="001F3B0A">
        <w:t>114 species were recorded, with waders and waterbirds dominating (Paton et al. 1989).</w:t>
      </w:r>
    </w:p>
    <w:p w14:paraId="58A32F32" w14:textId="6619ACFB" w:rsidR="00CE2FD5" w:rsidRPr="00CE2FD5" w:rsidRDefault="00CE2FD5" w:rsidP="00AD4454">
      <w:pPr>
        <w:pStyle w:val="Heading6"/>
      </w:pPr>
      <w:r w:rsidRPr="00CE2FD5">
        <w:t>Declining trends</w:t>
      </w:r>
    </w:p>
    <w:p w14:paraId="75B86FA6" w14:textId="4CEE6EE7" w:rsidR="009C1047" w:rsidRPr="009C1047" w:rsidRDefault="00CB795E" w:rsidP="009C1047">
      <w:r>
        <w:t>M</w:t>
      </w:r>
      <w:r w:rsidR="0020487F">
        <w:t xml:space="preserve">any woodland and waterbird species throughout the ecological community continue to decline </w:t>
      </w:r>
      <w:r w:rsidR="0047731F">
        <w:t xml:space="preserve">due to </w:t>
      </w:r>
      <w:r w:rsidR="0020487F">
        <w:t>habitat loss, fragmentation and degradation (Paton et al. 2009</w:t>
      </w:r>
      <w:r w:rsidR="000D1ED1">
        <w:t>, 2018</w:t>
      </w:r>
      <w:r w:rsidR="0020487F">
        <w:t xml:space="preserve">). Although broad-scale vegetation clearance has </w:t>
      </w:r>
      <w:r w:rsidR="0093138D">
        <w:t xml:space="preserve">virtually </w:t>
      </w:r>
      <w:r w:rsidR="0020487F">
        <w:t xml:space="preserve">ceased in South Australia, </w:t>
      </w:r>
      <w:r w:rsidR="000D1ED1">
        <w:t xml:space="preserve">birds and their </w:t>
      </w:r>
      <w:r w:rsidR="0020487F">
        <w:t>remnant habitats continue to be lost or degraded</w:t>
      </w:r>
      <w:r w:rsidR="00A33356">
        <w:t>,</w:t>
      </w:r>
      <w:r w:rsidR="0020487F">
        <w:t xml:space="preserve"> </w:t>
      </w:r>
      <w:r w:rsidR="005C50EC">
        <w:t>by</w:t>
      </w:r>
      <w:r w:rsidR="0020487F">
        <w:t xml:space="preserve"> altered water regimes and inadequate environmental flows; </w:t>
      </w:r>
      <w:r w:rsidR="009761E8">
        <w:t>rising salinity on the floodplain</w:t>
      </w:r>
      <w:r w:rsidR="00A33356">
        <w:t xml:space="preserve">; </w:t>
      </w:r>
      <w:r w:rsidR="0020487F">
        <w:t xml:space="preserve">altered fire regimes; drought and climate </w:t>
      </w:r>
      <w:r w:rsidR="0020487F">
        <w:lastRenderedPageBreak/>
        <w:t xml:space="preserve">change; </w:t>
      </w:r>
      <w:r w:rsidR="000D1ED1">
        <w:t>invasive species</w:t>
      </w:r>
      <w:r w:rsidR="00682A87">
        <w:t xml:space="preserve">; </w:t>
      </w:r>
      <w:r w:rsidR="0020487F">
        <w:t>and overgrazing of understorey plants (Paton et al.</w:t>
      </w:r>
      <w:r w:rsidR="00A33356">
        <w:t xml:space="preserve"> </w:t>
      </w:r>
      <w:r w:rsidR="0020487F">
        <w:t>2009</w:t>
      </w:r>
      <w:r w:rsidR="00A33356">
        <w:t xml:space="preserve">; </w:t>
      </w:r>
      <w:r w:rsidR="004C3E8A">
        <w:t xml:space="preserve">McGuinness et al. 2010; </w:t>
      </w:r>
      <w:r w:rsidR="00A33356">
        <w:t>Stewart et al. 2010</w:t>
      </w:r>
      <w:r w:rsidR="0020487F">
        <w:t xml:space="preserve">). </w:t>
      </w:r>
      <w:r w:rsidR="00682A87">
        <w:t>R</w:t>
      </w:r>
      <w:r w:rsidR="0020487F">
        <w:t xml:space="preserve">iver regulation has </w:t>
      </w:r>
      <w:r w:rsidR="00682A87">
        <w:t xml:space="preserve">also </w:t>
      </w:r>
      <w:r w:rsidR="0020487F">
        <w:t>impacted on waterbird breeding and survival, with the amount of breeding that previously occurred during medium and small floods</w:t>
      </w:r>
      <w:r w:rsidR="00682A87">
        <w:t xml:space="preserve">, </w:t>
      </w:r>
      <w:r w:rsidR="0020487F">
        <w:t>diminished (Briggs 1990</w:t>
      </w:r>
      <w:r w:rsidR="00CC1A07">
        <w:t xml:space="preserve">; </w:t>
      </w:r>
      <w:r w:rsidR="004D620A">
        <w:t>REF</w:t>
      </w:r>
      <w:r w:rsidR="0020487F">
        <w:t>).</w:t>
      </w:r>
      <w:r w:rsidR="002C5C59">
        <w:t xml:space="preserve"> While targeted environmental watering </w:t>
      </w:r>
      <w:r w:rsidR="00F76D68">
        <w:t>may</w:t>
      </w:r>
      <w:r w:rsidR="002C5C59">
        <w:t xml:space="preserve"> </w:t>
      </w:r>
      <w:r w:rsidR="009A7930">
        <w:t xml:space="preserve">result in increases for some species </w:t>
      </w:r>
      <w:r w:rsidR="009B1320">
        <w:t xml:space="preserve">waterbirds </w:t>
      </w:r>
      <w:r w:rsidR="009A7930">
        <w:t>at some locations</w:t>
      </w:r>
      <w:r w:rsidR="00BA51A4">
        <w:t xml:space="preserve"> on the floodplain</w:t>
      </w:r>
      <w:r w:rsidR="00390278">
        <w:t xml:space="preserve"> (e.g.</w:t>
      </w:r>
      <w:r w:rsidR="00AE5456">
        <w:t xml:space="preserve"> DEW 2022, 2023</w:t>
      </w:r>
      <w:r w:rsidR="009B1320">
        <w:t>)</w:t>
      </w:r>
      <w:r w:rsidR="00C9262F">
        <w:t xml:space="preserve">, </w:t>
      </w:r>
      <w:r w:rsidR="00F76D68">
        <w:t xml:space="preserve">this is against a backdrop of </w:t>
      </w:r>
      <w:r w:rsidR="00C9262F">
        <w:t>long periods without flooding and reduced flooding frequency</w:t>
      </w:r>
      <w:r w:rsidR="009C1047">
        <w:t>.</w:t>
      </w:r>
    </w:p>
    <w:p w14:paraId="009E4233" w14:textId="33CDB57E" w:rsidR="00386BF0" w:rsidRDefault="00D34673" w:rsidP="00AD4454">
      <w:pPr>
        <w:pStyle w:val="Heading6"/>
      </w:pPr>
      <w:r w:rsidRPr="00D34673">
        <w:t>Terrestrial/Woodland birds</w:t>
      </w:r>
    </w:p>
    <w:p w14:paraId="1472C494" w14:textId="024F6B99" w:rsidR="00330CA3" w:rsidRDefault="00774180" w:rsidP="009C1047">
      <w:pPr>
        <w:contextualSpacing/>
      </w:pPr>
      <w:r w:rsidRPr="00774180">
        <w:t>T</w:t>
      </w:r>
      <w:r>
        <w:t xml:space="preserve">here has been no regular monitoring of woodland birds </w:t>
      </w:r>
      <w:r w:rsidR="0016627E">
        <w:t>along</w:t>
      </w:r>
      <w:r>
        <w:t xml:space="preserve"> the River Murray floodplain</w:t>
      </w:r>
      <w:r w:rsidR="00803BD4">
        <w:t xml:space="preserve"> corridor</w:t>
      </w:r>
      <w:r w:rsidR="007F5643">
        <w:t xml:space="preserve">, with the first systematic </w:t>
      </w:r>
      <w:r w:rsidR="00803BD4">
        <w:t>s</w:t>
      </w:r>
      <w:r w:rsidR="005F381A">
        <w:t>urvey (from SA border to Murray Bridge,</w:t>
      </w:r>
      <w:r w:rsidR="00AD110A">
        <w:t xml:space="preserve"> and</w:t>
      </w:r>
      <w:r w:rsidR="005F381A">
        <w:t xml:space="preserve"> within the 1956 flood line) </w:t>
      </w:r>
      <w:r w:rsidR="009244C6">
        <w:t>conducted</w:t>
      </w:r>
      <w:r w:rsidR="005F381A">
        <w:t xml:space="preserve"> in </w:t>
      </w:r>
      <w:r w:rsidR="00803BD4">
        <w:t>2002-04</w:t>
      </w:r>
      <w:r w:rsidR="00AD110A">
        <w:t>,</w:t>
      </w:r>
      <w:r w:rsidR="00803BD4">
        <w:t xml:space="preserve"> </w:t>
      </w:r>
      <w:r w:rsidR="0070136D">
        <w:t>involving</w:t>
      </w:r>
      <w:r w:rsidR="00885CEC">
        <w:t xml:space="preserve"> 135 sites </w:t>
      </w:r>
      <w:r w:rsidR="00803BD4">
        <w:t xml:space="preserve">(Stewart et al. 2010). </w:t>
      </w:r>
      <w:r w:rsidR="004530C2">
        <w:t xml:space="preserve">The survey recorded </w:t>
      </w:r>
      <w:r w:rsidR="00675F39">
        <w:t xml:space="preserve">174 bird species (from </w:t>
      </w:r>
      <w:r w:rsidR="008139CE">
        <w:t>53 Families)</w:t>
      </w:r>
      <w:r w:rsidR="003B2203">
        <w:t xml:space="preserve">, with eight of these introduced species (Stewart et al. 2010). </w:t>
      </w:r>
      <w:r w:rsidR="00BD68AA">
        <w:t>The</w:t>
      </w:r>
      <w:r w:rsidR="00777FB7">
        <w:t xml:space="preserve"> survey found the</w:t>
      </w:r>
      <w:r w:rsidR="00BD68AA">
        <w:t xml:space="preserve"> range of structural vegetation types provi</w:t>
      </w:r>
      <w:r w:rsidR="0002161E">
        <w:t>de</w:t>
      </w:r>
      <w:r w:rsidR="00777FB7">
        <w:t>d</w:t>
      </w:r>
      <w:r w:rsidR="0002161E">
        <w:t xml:space="preserve"> the variety of habitats to support diverse bird assemblages</w:t>
      </w:r>
      <w:r w:rsidR="004D105B">
        <w:t xml:space="preserve"> (</w:t>
      </w:r>
      <w:r w:rsidR="004D105B" w:rsidRPr="004D105B">
        <w:rPr>
          <w:u w:val="single"/>
        </w:rPr>
        <w:t xml:space="preserve">Figure </w:t>
      </w:r>
      <w:r w:rsidR="004D620A">
        <w:rPr>
          <w:u w:val="single"/>
        </w:rPr>
        <w:t>14</w:t>
      </w:r>
      <w:r w:rsidR="004D105B">
        <w:t xml:space="preserve">). </w:t>
      </w:r>
      <w:r w:rsidR="008139CE">
        <w:t xml:space="preserve"> </w:t>
      </w:r>
      <w:r w:rsidR="00DB6938">
        <w:t>Woodland and forest</w:t>
      </w:r>
      <w:r w:rsidR="0016627E">
        <w:t xml:space="preserve"> </w:t>
      </w:r>
      <w:r w:rsidR="00DB6938">
        <w:t>supported the highest number of species and provide</w:t>
      </w:r>
      <w:r w:rsidR="0016627E">
        <w:t>d</w:t>
      </w:r>
      <w:r w:rsidR="00DB6938">
        <w:t xml:space="preserve"> a </w:t>
      </w:r>
      <w:r w:rsidR="00BF382D">
        <w:t xml:space="preserve">corridor </w:t>
      </w:r>
      <w:r w:rsidR="0032790E">
        <w:t>for a number of species into mallee communities either side of the River Murray (Stewart et al. 2010).</w:t>
      </w:r>
      <w:r w:rsidR="002D7012">
        <w:t xml:space="preserve"> Importantly, species such as </w:t>
      </w:r>
      <w:r w:rsidR="00FA6FA0">
        <w:t>E</w:t>
      </w:r>
      <w:r w:rsidR="00FA6FA0" w:rsidRPr="00FA6FA0">
        <w:rPr>
          <w:i/>
          <w:iCs/>
        </w:rPr>
        <w:t>ntomyzon cyanotis</w:t>
      </w:r>
      <w:r w:rsidR="00FA6FA0">
        <w:t xml:space="preserve"> (</w:t>
      </w:r>
      <w:r w:rsidR="002D7012">
        <w:t>blue-faced honey</w:t>
      </w:r>
      <w:r w:rsidR="00C12CF1">
        <w:t>eater</w:t>
      </w:r>
      <w:r w:rsidR="00FA6FA0">
        <w:t>)</w:t>
      </w:r>
      <w:r w:rsidR="00C12CF1">
        <w:t xml:space="preserve">, </w:t>
      </w:r>
      <w:r w:rsidR="00C13BCC" w:rsidRPr="00C13BCC">
        <w:rPr>
          <w:i/>
          <w:iCs/>
        </w:rPr>
        <w:t>Philemon citreogularis</w:t>
      </w:r>
      <w:r w:rsidR="00C13BCC">
        <w:t xml:space="preserve"> (</w:t>
      </w:r>
      <w:r w:rsidR="00C12CF1">
        <w:t>little friarbird</w:t>
      </w:r>
      <w:r w:rsidR="00C13BCC">
        <w:t>)</w:t>
      </w:r>
      <w:r w:rsidR="00C12CF1">
        <w:t xml:space="preserve">, </w:t>
      </w:r>
      <w:r w:rsidR="00EC6C37" w:rsidRPr="00EC6C37">
        <w:rPr>
          <w:i/>
          <w:iCs/>
        </w:rPr>
        <w:t>Plectorhyncha lanceolata</w:t>
      </w:r>
      <w:r w:rsidR="00ED35FF">
        <w:t xml:space="preserve"> (</w:t>
      </w:r>
      <w:r w:rsidR="00C12CF1">
        <w:t>striped honeyeater</w:t>
      </w:r>
      <w:r w:rsidR="00ED35FF">
        <w:t>)</w:t>
      </w:r>
      <w:r w:rsidR="00C12CF1">
        <w:t xml:space="preserve"> and </w:t>
      </w:r>
      <w:r w:rsidR="006B4BF3" w:rsidRPr="00E22ACF">
        <w:rPr>
          <w:i/>
          <w:iCs/>
        </w:rPr>
        <w:t>Pol</w:t>
      </w:r>
      <w:r w:rsidR="00E22ACF" w:rsidRPr="00E22ACF">
        <w:rPr>
          <w:i/>
          <w:iCs/>
        </w:rPr>
        <w:t>ytelis alexandrae</w:t>
      </w:r>
      <w:r w:rsidR="00E22ACF">
        <w:t xml:space="preserve"> </w:t>
      </w:r>
      <w:r w:rsidR="00EC6C37">
        <w:t>(</w:t>
      </w:r>
      <w:r w:rsidR="00C12CF1">
        <w:t>princess parrot</w:t>
      </w:r>
      <w:r w:rsidR="00EC6C37">
        <w:t>)</w:t>
      </w:r>
      <w:r w:rsidR="00C12CF1">
        <w:t xml:space="preserve"> only persist in </w:t>
      </w:r>
      <w:r w:rsidR="00E3103E">
        <w:t xml:space="preserve">this region of </w:t>
      </w:r>
      <w:r w:rsidR="00C12CF1">
        <w:t>South Australia because of their association with the River Murray (Stewart et al. 2010</w:t>
      </w:r>
      <w:r w:rsidR="008712DD">
        <w:t>)</w:t>
      </w:r>
      <w:r w:rsidR="00C12CF1">
        <w:t>.</w:t>
      </w:r>
    </w:p>
    <w:p w14:paraId="23CFA607" w14:textId="77777777" w:rsidR="00777FB7" w:rsidRPr="00386BF0" w:rsidRDefault="00777FB7" w:rsidP="00386BF0">
      <w:pPr>
        <w:contextualSpacing/>
        <w:rPr>
          <w:b/>
          <w:bCs/>
          <w:i/>
          <w:iCs/>
        </w:rPr>
      </w:pPr>
    </w:p>
    <w:p w14:paraId="2A538D8C" w14:textId="2DB3127E" w:rsidR="00330CA3" w:rsidRDefault="00C6315E" w:rsidP="00777FB7">
      <w:pPr>
        <w:contextualSpacing/>
        <w:jc w:val="center"/>
      </w:pPr>
      <w:r w:rsidRPr="00BA054C">
        <w:rPr>
          <w:noProof/>
        </w:rPr>
        <w:drawing>
          <wp:inline distT="0" distB="0" distL="0" distR="0" wp14:anchorId="49D94011" wp14:editId="294EC7B0">
            <wp:extent cx="5094363" cy="2805879"/>
            <wp:effectExtent l="0" t="0" r="0" b="0"/>
            <wp:docPr id="2025703350" name="Picture 1" descr="A graph of Bird species richness recorded by vegetation structure type from the Chowilla 1988 survey and the 2002-04 Murray Valley Floodplain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03350" name="Picture 1" descr="A graph of Bird species richness recorded by vegetation structure type from the Chowilla 1988 survey and the 2002-04 Murray Valley Floodplain surveys."/>
                    <pic:cNvPicPr/>
                  </pic:nvPicPr>
                  <pic:blipFill>
                    <a:blip r:embed="rId41"/>
                    <a:stretch>
                      <a:fillRect/>
                    </a:stretch>
                  </pic:blipFill>
                  <pic:spPr>
                    <a:xfrm>
                      <a:off x="0" y="0"/>
                      <a:ext cx="5146530" cy="2834612"/>
                    </a:xfrm>
                    <a:prstGeom prst="rect">
                      <a:avLst/>
                    </a:prstGeom>
                  </pic:spPr>
                </pic:pic>
              </a:graphicData>
            </a:graphic>
          </wp:inline>
        </w:drawing>
      </w:r>
    </w:p>
    <w:p w14:paraId="61A60525" w14:textId="7D085B0E" w:rsidR="00B94613" w:rsidRPr="00A2521C" w:rsidRDefault="00647291" w:rsidP="00647291">
      <w:pPr>
        <w:pStyle w:val="Caption"/>
        <w:rPr>
          <w:bCs/>
          <w:sz w:val="21"/>
          <w:szCs w:val="21"/>
        </w:rPr>
      </w:pPr>
      <w:r>
        <w:t xml:space="preserve">Figure </w:t>
      </w:r>
      <w:r>
        <w:fldChar w:fldCharType="begin"/>
      </w:r>
      <w:r>
        <w:instrText xml:space="preserve"> SEQ Figure \* ARABIC </w:instrText>
      </w:r>
      <w:r>
        <w:fldChar w:fldCharType="separate"/>
      </w:r>
      <w:r w:rsidR="006D35C5">
        <w:rPr>
          <w:noProof/>
        </w:rPr>
        <w:t>14</w:t>
      </w:r>
      <w:r>
        <w:fldChar w:fldCharType="end"/>
      </w:r>
      <w:r w:rsidR="00C6315E" w:rsidRPr="00F97DFF">
        <w:rPr>
          <w:bCs/>
        </w:rPr>
        <w:t>:</w:t>
      </w:r>
      <w:r w:rsidR="00C6315E" w:rsidRPr="00F97DFF">
        <w:rPr>
          <w:bCs/>
          <w:sz w:val="20"/>
          <w:szCs w:val="20"/>
        </w:rPr>
        <w:t xml:space="preserve"> </w:t>
      </w:r>
      <w:r w:rsidR="00B94613" w:rsidRPr="00A2521C">
        <w:rPr>
          <w:bCs/>
          <w:sz w:val="21"/>
          <w:szCs w:val="21"/>
        </w:rPr>
        <w:t xml:space="preserve">Bird species richness recorded by vegetation structure type from the Chowilla </w:t>
      </w:r>
      <w:r w:rsidR="00F60920" w:rsidRPr="00A2521C">
        <w:rPr>
          <w:bCs/>
          <w:sz w:val="21"/>
          <w:szCs w:val="21"/>
        </w:rPr>
        <w:t xml:space="preserve">1988 survey </w:t>
      </w:r>
      <w:r w:rsidR="00090752" w:rsidRPr="00A2521C">
        <w:rPr>
          <w:bCs/>
          <w:sz w:val="21"/>
          <w:szCs w:val="21"/>
        </w:rPr>
        <w:t>(O’Mall</w:t>
      </w:r>
      <w:r w:rsidR="00D24159" w:rsidRPr="00A2521C">
        <w:rPr>
          <w:bCs/>
          <w:sz w:val="21"/>
          <w:szCs w:val="21"/>
        </w:rPr>
        <w:t xml:space="preserve">ey &amp; Sheldon 1990) </w:t>
      </w:r>
      <w:r w:rsidR="00B94613" w:rsidRPr="00A2521C">
        <w:rPr>
          <w:bCs/>
          <w:sz w:val="21"/>
          <w:szCs w:val="21"/>
        </w:rPr>
        <w:t xml:space="preserve">and </w:t>
      </w:r>
      <w:r w:rsidR="00F60920" w:rsidRPr="00A2521C">
        <w:rPr>
          <w:bCs/>
          <w:sz w:val="21"/>
          <w:szCs w:val="21"/>
        </w:rPr>
        <w:t>the 2002-04</w:t>
      </w:r>
      <w:r w:rsidR="00DD3E66" w:rsidRPr="00A2521C">
        <w:rPr>
          <w:bCs/>
          <w:sz w:val="21"/>
          <w:szCs w:val="21"/>
        </w:rPr>
        <w:t xml:space="preserve"> </w:t>
      </w:r>
      <w:r w:rsidR="00B94613" w:rsidRPr="00A2521C">
        <w:rPr>
          <w:bCs/>
          <w:sz w:val="21"/>
          <w:szCs w:val="21"/>
        </w:rPr>
        <w:t>Murray Valley Floodplain surveys (Stewart et al. 2010).</w:t>
      </w:r>
    </w:p>
    <w:p w14:paraId="6A48C771" w14:textId="77777777" w:rsidR="00647291" w:rsidRPr="00647291" w:rsidRDefault="00647291" w:rsidP="00647291"/>
    <w:p w14:paraId="4AAE383F" w14:textId="60A923B6" w:rsidR="00676CC5" w:rsidRDefault="00676CC5" w:rsidP="00676CC5">
      <w:pPr>
        <w:contextualSpacing/>
      </w:pPr>
      <w:r>
        <w:t>These authors also noted that when combining all sources of bird records from the Biological Survey Databases of South Australia (BDBSA at 2007), 229 bird taxa had been recorded from the study area. Therefore 55 bird taxa (from 28 Families) were not recorded during the survey</w:t>
      </w:r>
      <w:r w:rsidR="004D620A">
        <w:t xml:space="preserve"> in 2002-04</w:t>
      </w:r>
      <w:r>
        <w:t>, including seven species of honeyeaters (Meliphagidae), six species of sandpipers (Scolopacidae), five species of thornbills (Acanthizidae) and four species of rail and crakes (Rallidae).</w:t>
      </w:r>
    </w:p>
    <w:p w14:paraId="18B0A7AC" w14:textId="77777777" w:rsidR="00676CC5" w:rsidRDefault="00676CC5" w:rsidP="00676CC5">
      <w:pPr>
        <w:contextualSpacing/>
      </w:pPr>
    </w:p>
    <w:p w14:paraId="4C1D42B5" w14:textId="77777777" w:rsidR="00676CC5" w:rsidRDefault="00676CC5" w:rsidP="00B12006">
      <w:pPr>
        <w:keepLines/>
      </w:pPr>
      <w:r>
        <w:lastRenderedPageBreak/>
        <w:t xml:space="preserve">McGuinness et al. (2010) </w:t>
      </w:r>
      <w:r w:rsidRPr="002F39F3">
        <w:t>examine</w:t>
      </w:r>
      <w:r>
        <w:t>d</w:t>
      </w:r>
      <w:r w:rsidRPr="002F39F3">
        <w:t xml:space="preserve"> the importance to woodland birds of floodplains, floods, and associated vegetation communities, highlighting potential links between declining water availability, habitat degradation, and bird populations</w:t>
      </w:r>
      <w:r>
        <w:t xml:space="preserve">. These authors found that floodplain woodlands and forests may be important refuges for woodland bird populations, in part due to the supply of water, sediment and nutrients from floods, which drives productivity (i.e. compared to woodlands with no flooding). Importantly, floodplain woodlands often act as a source population for surrounding non-floodplain woodlands (McGuinness et al. 2010). </w:t>
      </w:r>
    </w:p>
    <w:p w14:paraId="4F8FC30C" w14:textId="29C09E6F" w:rsidR="00E3103E" w:rsidRDefault="004D169D" w:rsidP="001F0117">
      <w:pPr>
        <w:contextualSpacing/>
      </w:pPr>
      <w:r>
        <w:t xml:space="preserve">As part of their survey, </w:t>
      </w:r>
      <w:r w:rsidR="00676CC5">
        <w:t xml:space="preserve">Stewart et al. (2010) determined that the bird species most at risk from rising salinity on the floodplain, are those that rely on habitat features likely to be reduced by this threat. They identified 24 species with South Australian conservation ratings as being at risk—with seven species highlighted as being at greatest risk, including five terrestrial species and three waterbird species (see </w:t>
      </w:r>
      <w:r w:rsidR="00676CC5" w:rsidRPr="00D80630">
        <w:rPr>
          <w:u w:val="single"/>
        </w:rPr>
        <w:t xml:space="preserve">Table </w:t>
      </w:r>
      <w:r w:rsidR="006573B6">
        <w:rPr>
          <w:u w:val="single"/>
        </w:rPr>
        <w:t>36</w:t>
      </w:r>
      <w:r w:rsidR="00676CC5">
        <w:t>). These authors caution that the seven species, in particular, are likely to disappear if salinity continues to rise and further degrade riverine and floodplain habitats. A fifth species (white-bellied sea-eagle) was identified as being more significantly threatened by factors unrelated to increasing salinity (Stewart et al. 2010).</w:t>
      </w:r>
    </w:p>
    <w:p w14:paraId="3E5B993F" w14:textId="77777777" w:rsidR="006573B6" w:rsidRPr="006573B6" w:rsidRDefault="006573B6" w:rsidP="001F0117">
      <w:pPr>
        <w:contextualSpacing/>
      </w:pPr>
    </w:p>
    <w:p w14:paraId="27A65E7E" w14:textId="6CB3422E" w:rsidR="001F0117" w:rsidRPr="00A2521C" w:rsidRDefault="00647291" w:rsidP="00647291">
      <w:pPr>
        <w:pStyle w:val="Caption"/>
        <w:rPr>
          <w:bCs/>
          <w:sz w:val="21"/>
          <w:szCs w:val="21"/>
        </w:rPr>
      </w:pPr>
      <w:r>
        <w:t xml:space="preserve">Table </w:t>
      </w:r>
      <w:r>
        <w:fldChar w:fldCharType="begin"/>
      </w:r>
      <w:r>
        <w:instrText xml:space="preserve"> SEQ Table \* ARABIC </w:instrText>
      </w:r>
      <w:r>
        <w:fldChar w:fldCharType="separate"/>
      </w:r>
      <w:r w:rsidR="006D35C5">
        <w:rPr>
          <w:noProof/>
        </w:rPr>
        <w:t>36</w:t>
      </w:r>
      <w:r>
        <w:fldChar w:fldCharType="end"/>
      </w:r>
      <w:r w:rsidR="001F0117">
        <w:rPr>
          <w:bCs/>
        </w:rPr>
        <w:t>:</w:t>
      </w:r>
      <w:r w:rsidR="001F0117" w:rsidRPr="00942F20">
        <w:rPr>
          <w:bCs/>
          <w:sz w:val="20"/>
          <w:szCs w:val="20"/>
        </w:rPr>
        <w:t xml:space="preserve"> </w:t>
      </w:r>
      <w:r w:rsidR="001F0117" w:rsidRPr="00A2521C">
        <w:rPr>
          <w:bCs/>
          <w:sz w:val="21"/>
          <w:szCs w:val="21"/>
        </w:rPr>
        <w:t xml:space="preserve">Conservation rated bird species records and exposure to </w:t>
      </w:r>
      <w:r w:rsidR="00C6423C" w:rsidRPr="00A2521C">
        <w:rPr>
          <w:bCs/>
          <w:sz w:val="21"/>
          <w:szCs w:val="21"/>
        </w:rPr>
        <w:t xml:space="preserve">salt risk </w:t>
      </w:r>
      <w:r w:rsidR="003078E3" w:rsidRPr="00A2521C">
        <w:rPr>
          <w:bCs/>
          <w:sz w:val="21"/>
          <w:szCs w:val="21"/>
        </w:rPr>
        <w:t xml:space="preserve">(i.e. low, medium, high) </w:t>
      </w:r>
      <w:r w:rsidR="00C6423C" w:rsidRPr="00A2521C">
        <w:rPr>
          <w:bCs/>
          <w:sz w:val="21"/>
          <w:szCs w:val="21"/>
        </w:rPr>
        <w:t xml:space="preserve">on the River Murray Valley Floodplain, </w:t>
      </w:r>
      <w:r w:rsidR="001F0117" w:rsidRPr="00A2521C">
        <w:rPr>
          <w:bCs/>
          <w:sz w:val="21"/>
          <w:szCs w:val="21"/>
        </w:rPr>
        <w:t xml:space="preserve">calculated using the FWIP </w:t>
      </w:r>
      <w:r w:rsidR="007A0270" w:rsidRPr="00A2521C">
        <w:rPr>
          <w:bCs/>
          <w:sz w:val="21"/>
          <w:szCs w:val="21"/>
        </w:rPr>
        <w:t>S</w:t>
      </w:r>
      <w:r w:rsidR="001F0117" w:rsidRPr="00A2521C">
        <w:rPr>
          <w:bCs/>
          <w:sz w:val="21"/>
          <w:szCs w:val="21"/>
        </w:rPr>
        <w:t>alt Risk Model</w:t>
      </w:r>
      <w:r w:rsidR="006351AB" w:rsidRPr="00A2521C">
        <w:rPr>
          <w:bCs/>
          <w:sz w:val="21"/>
          <w:szCs w:val="21"/>
        </w:rPr>
        <w:t xml:space="preserve"> as part of the Murray Valley survey of 2002-04</w:t>
      </w:r>
      <w:r w:rsidR="001F0117" w:rsidRPr="00A2521C">
        <w:rPr>
          <w:bCs/>
          <w:sz w:val="21"/>
          <w:szCs w:val="21"/>
        </w:rPr>
        <w:t xml:space="preserve"> </w:t>
      </w:r>
      <w:r w:rsidR="00D12B97" w:rsidRPr="00A2521C">
        <w:rPr>
          <w:bCs/>
          <w:sz w:val="21"/>
          <w:szCs w:val="21"/>
        </w:rPr>
        <w:t>(</w:t>
      </w:r>
      <w:r w:rsidR="00A41DA1" w:rsidRPr="00A2521C">
        <w:rPr>
          <w:bCs/>
          <w:sz w:val="21"/>
          <w:szCs w:val="21"/>
        </w:rPr>
        <w:t xml:space="preserve">after </w:t>
      </w:r>
      <w:r w:rsidR="001F0117" w:rsidRPr="00A2521C">
        <w:rPr>
          <w:bCs/>
          <w:sz w:val="21"/>
          <w:szCs w:val="21"/>
        </w:rPr>
        <w:t>Stewart et al. 2010).</w:t>
      </w:r>
    </w:p>
    <w:tbl>
      <w:tblPr>
        <w:tblStyle w:val="TableGrid"/>
        <w:tblW w:w="0" w:type="auto"/>
        <w:tblLook w:val="04A0" w:firstRow="1" w:lastRow="0" w:firstColumn="1" w:lastColumn="0" w:noHBand="0" w:noVBand="1"/>
      </w:tblPr>
      <w:tblGrid>
        <w:gridCol w:w="1954"/>
        <w:gridCol w:w="2286"/>
        <w:gridCol w:w="613"/>
        <w:gridCol w:w="508"/>
        <w:gridCol w:w="797"/>
        <w:gridCol w:w="897"/>
        <w:gridCol w:w="656"/>
        <w:gridCol w:w="665"/>
        <w:gridCol w:w="684"/>
      </w:tblGrid>
      <w:tr w:rsidR="00995CE5" w:rsidRPr="00A628D9" w14:paraId="2AB7EB68" w14:textId="77777777" w:rsidTr="00A2521C">
        <w:tc>
          <w:tcPr>
            <w:tcW w:w="4106" w:type="dxa"/>
            <w:shd w:val="clear" w:color="auto" w:fill="DEEAF6" w:themeFill="accent1" w:themeFillTint="33"/>
          </w:tcPr>
          <w:p w14:paraId="36E6AECE" w14:textId="77777777" w:rsidR="00995CE5" w:rsidRPr="00F5284A" w:rsidRDefault="00995CE5" w:rsidP="00933BE2">
            <w:pPr>
              <w:spacing w:after="0" w:line="240" w:lineRule="auto"/>
              <w:rPr>
                <w:b/>
                <w:bCs/>
                <w:sz w:val="20"/>
                <w:szCs w:val="20"/>
              </w:rPr>
            </w:pPr>
            <w:bookmarkStart w:id="287" w:name="_Hlk175659634"/>
            <w:r w:rsidRPr="00F5284A">
              <w:rPr>
                <w:b/>
                <w:bCs/>
                <w:sz w:val="20"/>
                <w:szCs w:val="20"/>
              </w:rPr>
              <w:t>Common Name</w:t>
            </w:r>
          </w:p>
        </w:tc>
        <w:tc>
          <w:tcPr>
            <w:tcW w:w="4678" w:type="dxa"/>
            <w:shd w:val="clear" w:color="auto" w:fill="DEEAF6" w:themeFill="accent1" w:themeFillTint="33"/>
          </w:tcPr>
          <w:p w14:paraId="4ACCEF59" w14:textId="77777777" w:rsidR="00995CE5" w:rsidRPr="00F5284A" w:rsidRDefault="00995CE5" w:rsidP="00933BE2">
            <w:pPr>
              <w:spacing w:after="0" w:line="240" w:lineRule="auto"/>
              <w:rPr>
                <w:b/>
                <w:bCs/>
                <w:sz w:val="20"/>
                <w:szCs w:val="20"/>
              </w:rPr>
            </w:pPr>
            <w:r w:rsidRPr="00F5284A">
              <w:rPr>
                <w:b/>
                <w:bCs/>
                <w:sz w:val="20"/>
                <w:szCs w:val="20"/>
              </w:rPr>
              <w:t xml:space="preserve">Species Name </w:t>
            </w:r>
          </w:p>
        </w:tc>
        <w:tc>
          <w:tcPr>
            <w:tcW w:w="709" w:type="dxa"/>
            <w:shd w:val="clear" w:color="auto" w:fill="DEEAF6" w:themeFill="accent1" w:themeFillTint="33"/>
          </w:tcPr>
          <w:p w14:paraId="3307135B" w14:textId="77777777" w:rsidR="00995CE5" w:rsidRPr="00F5284A" w:rsidRDefault="00995CE5" w:rsidP="00933BE2">
            <w:pPr>
              <w:spacing w:after="0" w:line="240" w:lineRule="auto"/>
              <w:jc w:val="center"/>
              <w:rPr>
                <w:b/>
                <w:bCs/>
                <w:sz w:val="20"/>
                <w:szCs w:val="20"/>
              </w:rPr>
            </w:pPr>
            <w:r w:rsidRPr="00F5284A">
              <w:rPr>
                <w:b/>
                <w:bCs/>
                <w:sz w:val="20"/>
                <w:szCs w:val="20"/>
              </w:rPr>
              <w:t>AUS</w:t>
            </w:r>
          </w:p>
        </w:tc>
        <w:tc>
          <w:tcPr>
            <w:tcW w:w="708" w:type="dxa"/>
            <w:shd w:val="clear" w:color="auto" w:fill="DEEAF6" w:themeFill="accent1" w:themeFillTint="33"/>
          </w:tcPr>
          <w:p w14:paraId="317E64B9" w14:textId="77777777" w:rsidR="00995CE5" w:rsidRPr="00F5284A" w:rsidRDefault="00995CE5" w:rsidP="00933BE2">
            <w:pPr>
              <w:spacing w:after="0" w:line="240" w:lineRule="auto"/>
              <w:jc w:val="center"/>
              <w:rPr>
                <w:b/>
                <w:bCs/>
                <w:sz w:val="20"/>
                <w:szCs w:val="20"/>
              </w:rPr>
            </w:pPr>
            <w:r w:rsidRPr="00F5284A">
              <w:rPr>
                <w:b/>
                <w:bCs/>
                <w:sz w:val="20"/>
                <w:szCs w:val="20"/>
              </w:rPr>
              <w:t>SA</w:t>
            </w:r>
          </w:p>
        </w:tc>
        <w:tc>
          <w:tcPr>
            <w:tcW w:w="1134" w:type="dxa"/>
            <w:shd w:val="clear" w:color="auto" w:fill="DEEAF6" w:themeFill="accent1" w:themeFillTint="33"/>
          </w:tcPr>
          <w:p w14:paraId="58EADECE" w14:textId="77777777" w:rsidR="00995CE5" w:rsidRPr="00F5284A" w:rsidRDefault="00995CE5" w:rsidP="00933BE2">
            <w:pPr>
              <w:spacing w:after="0" w:line="240" w:lineRule="auto"/>
              <w:jc w:val="center"/>
              <w:rPr>
                <w:b/>
                <w:bCs/>
                <w:sz w:val="20"/>
                <w:szCs w:val="20"/>
              </w:rPr>
            </w:pPr>
            <w:r w:rsidRPr="00F5284A">
              <w:rPr>
                <w:b/>
                <w:bCs/>
                <w:sz w:val="20"/>
                <w:szCs w:val="20"/>
              </w:rPr>
              <w:t>Total No Sites</w:t>
            </w:r>
          </w:p>
        </w:tc>
        <w:tc>
          <w:tcPr>
            <w:tcW w:w="1276" w:type="dxa"/>
            <w:shd w:val="clear" w:color="auto" w:fill="DEEAF6" w:themeFill="accent1" w:themeFillTint="33"/>
          </w:tcPr>
          <w:p w14:paraId="45725742" w14:textId="77777777" w:rsidR="00995CE5" w:rsidRPr="00F5284A" w:rsidRDefault="00995CE5" w:rsidP="00933BE2">
            <w:pPr>
              <w:spacing w:after="0" w:line="240" w:lineRule="auto"/>
              <w:jc w:val="center"/>
              <w:rPr>
                <w:b/>
                <w:bCs/>
                <w:sz w:val="20"/>
                <w:szCs w:val="20"/>
              </w:rPr>
            </w:pPr>
            <w:r w:rsidRPr="00F5284A">
              <w:rPr>
                <w:b/>
                <w:bCs/>
                <w:sz w:val="20"/>
                <w:szCs w:val="20"/>
              </w:rPr>
              <w:t>Not in Salt Model</w:t>
            </w:r>
          </w:p>
        </w:tc>
        <w:tc>
          <w:tcPr>
            <w:tcW w:w="851" w:type="dxa"/>
            <w:shd w:val="clear" w:color="auto" w:fill="DEEAF6" w:themeFill="accent1" w:themeFillTint="33"/>
          </w:tcPr>
          <w:p w14:paraId="4E8A5152" w14:textId="77777777" w:rsidR="00995CE5" w:rsidRPr="00F5284A" w:rsidRDefault="00995CE5" w:rsidP="00933BE2">
            <w:pPr>
              <w:spacing w:after="0" w:line="240" w:lineRule="auto"/>
              <w:jc w:val="center"/>
              <w:rPr>
                <w:b/>
                <w:bCs/>
                <w:sz w:val="20"/>
                <w:szCs w:val="20"/>
              </w:rPr>
            </w:pPr>
            <w:r w:rsidRPr="00F5284A">
              <w:rPr>
                <w:b/>
                <w:bCs/>
                <w:sz w:val="20"/>
                <w:szCs w:val="20"/>
              </w:rPr>
              <w:t>Low</w:t>
            </w:r>
          </w:p>
        </w:tc>
        <w:tc>
          <w:tcPr>
            <w:tcW w:w="850" w:type="dxa"/>
            <w:shd w:val="clear" w:color="auto" w:fill="DEEAF6" w:themeFill="accent1" w:themeFillTint="33"/>
          </w:tcPr>
          <w:p w14:paraId="2B5EA888" w14:textId="77777777" w:rsidR="00995CE5" w:rsidRPr="00F5284A" w:rsidRDefault="00995CE5" w:rsidP="00933BE2">
            <w:pPr>
              <w:spacing w:after="0" w:line="240" w:lineRule="auto"/>
              <w:jc w:val="center"/>
              <w:rPr>
                <w:b/>
                <w:bCs/>
                <w:sz w:val="20"/>
                <w:szCs w:val="20"/>
              </w:rPr>
            </w:pPr>
            <w:r w:rsidRPr="00F5284A">
              <w:rPr>
                <w:b/>
                <w:bCs/>
                <w:sz w:val="20"/>
                <w:szCs w:val="20"/>
              </w:rPr>
              <w:t>Med</w:t>
            </w:r>
          </w:p>
        </w:tc>
        <w:tc>
          <w:tcPr>
            <w:tcW w:w="814" w:type="dxa"/>
            <w:shd w:val="clear" w:color="auto" w:fill="DEEAF6" w:themeFill="accent1" w:themeFillTint="33"/>
          </w:tcPr>
          <w:p w14:paraId="697438E7" w14:textId="77777777" w:rsidR="00995CE5" w:rsidRPr="00F5284A" w:rsidRDefault="00995CE5" w:rsidP="00933BE2">
            <w:pPr>
              <w:spacing w:after="0" w:line="240" w:lineRule="auto"/>
              <w:jc w:val="center"/>
              <w:rPr>
                <w:b/>
                <w:bCs/>
                <w:sz w:val="20"/>
                <w:szCs w:val="20"/>
              </w:rPr>
            </w:pPr>
            <w:r w:rsidRPr="00F5284A">
              <w:rPr>
                <w:b/>
                <w:bCs/>
                <w:sz w:val="20"/>
                <w:szCs w:val="20"/>
              </w:rPr>
              <w:t>High</w:t>
            </w:r>
          </w:p>
        </w:tc>
      </w:tr>
      <w:tr w:rsidR="00995CE5" w:rsidRPr="00A628D9" w14:paraId="7C8F4C84" w14:textId="77777777" w:rsidTr="00AE07C3">
        <w:tc>
          <w:tcPr>
            <w:tcW w:w="4106" w:type="dxa"/>
          </w:tcPr>
          <w:p w14:paraId="6CCEC76D" w14:textId="77777777" w:rsidR="00995CE5" w:rsidRPr="00A628D9" w:rsidRDefault="00995CE5" w:rsidP="00933BE2">
            <w:pPr>
              <w:spacing w:after="0" w:line="240" w:lineRule="auto"/>
              <w:rPr>
                <w:sz w:val="20"/>
                <w:szCs w:val="20"/>
              </w:rPr>
            </w:pPr>
            <w:r w:rsidRPr="00A628D9">
              <w:rPr>
                <w:sz w:val="20"/>
                <w:szCs w:val="20"/>
              </w:rPr>
              <w:t>Australasian Bittern</w:t>
            </w:r>
          </w:p>
        </w:tc>
        <w:tc>
          <w:tcPr>
            <w:tcW w:w="4678" w:type="dxa"/>
          </w:tcPr>
          <w:p w14:paraId="53C587D9" w14:textId="77777777" w:rsidR="00995CE5" w:rsidRPr="00A628D9" w:rsidRDefault="00995CE5" w:rsidP="00933BE2">
            <w:pPr>
              <w:spacing w:after="0" w:line="240" w:lineRule="auto"/>
              <w:rPr>
                <w:i/>
                <w:iCs/>
                <w:sz w:val="20"/>
                <w:szCs w:val="20"/>
              </w:rPr>
            </w:pPr>
            <w:r w:rsidRPr="00A628D9">
              <w:rPr>
                <w:i/>
                <w:iCs/>
                <w:sz w:val="20"/>
                <w:szCs w:val="20"/>
              </w:rPr>
              <w:t>Botaurus poicilopilus</w:t>
            </w:r>
          </w:p>
        </w:tc>
        <w:tc>
          <w:tcPr>
            <w:tcW w:w="709" w:type="dxa"/>
          </w:tcPr>
          <w:p w14:paraId="5BF9755C" w14:textId="77777777" w:rsidR="00995CE5" w:rsidRPr="00A628D9" w:rsidRDefault="00995CE5" w:rsidP="00933BE2">
            <w:pPr>
              <w:spacing w:after="0" w:line="240" w:lineRule="auto"/>
              <w:jc w:val="center"/>
              <w:rPr>
                <w:sz w:val="20"/>
                <w:szCs w:val="20"/>
              </w:rPr>
            </w:pPr>
          </w:p>
        </w:tc>
        <w:tc>
          <w:tcPr>
            <w:tcW w:w="708" w:type="dxa"/>
          </w:tcPr>
          <w:p w14:paraId="0C1828FC" w14:textId="77777777" w:rsidR="00995CE5" w:rsidRPr="00A628D9" w:rsidRDefault="00995CE5" w:rsidP="00933BE2">
            <w:pPr>
              <w:spacing w:after="0" w:line="240" w:lineRule="auto"/>
              <w:jc w:val="center"/>
              <w:rPr>
                <w:sz w:val="20"/>
                <w:szCs w:val="20"/>
              </w:rPr>
            </w:pPr>
            <w:r w:rsidRPr="00A628D9">
              <w:rPr>
                <w:sz w:val="20"/>
                <w:szCs w:val="20"/>
              </w:rPr>
              <w:t>V</w:t>
            </w:r>
          </w:p>
        </w:tc>
        <w:tc>
          <w:tcPr>
            <w:tcW w:w="1134" w:type="dxa"/>
          </w:tcPr>
          <w:p w14:paraId="15E907DE" w14:textId="77777777" w:rsidR="00995CE5" w:rsidRPr="00A628D9" w:rsidRDefault="00995CE5" w:rsidP="00933BE2">
            <w:pPr>
              <w:spacing w:after="0" w:line="240" w:lineRule="auto"/>
              <w:jc w:val="center"/>
              <w:rPr>
                <w:sz w:val="20"/>
                <w:szCs w:val="20"/>
              </w:rPr>
            </w:pPr>
            <w:r w:rsidRPr="00A628D9">
              <w:rPr>
                <w:sz w:val="20"/>
                <w:szCs w:val="20"/>
              </w:rPr>
              <w:t>1</w:t>
            </w:r>
          </w:p>
        </w:tc>
        <w:tc>
          <w:tcPr>
            <w:tcW w:w="1276" w:type="dxa"/>
          </w:tcPr>
          <w:p w14:paraId="27DF8B98" w14:textId="77777777" w:rsidR="00995CE5" w:rsidRPr="00A628D9" w:rsidRDefault="00995CE5" w:rsidP="00933BE2">
            <w:pPr>
              <w:spacing w:after="0" w:line="240" w:lineRule="auto"/>
              <w:jc w:val="center"/>
              <w:rPr>
                <w:sz w:val="20"/>
                <w:szCs w:val="20"/>
              </w:rPr>
            </w:pPr>
          </w:p>
        </w:tc>
        <w:tc>
          <w:tcPr>
            <w:tcW w:w="851" w:type="dxa"/>
          </w:tcPr>
          <w:p w14:paraId="45FB05AF" w14:textId="77777777" w:rsidR="00995CE5" w:rsidRPr="00A628D9" w:rsidRDefault="00995CE5" w:rsidP="00933BE2">
            <w:pPr>
              <w:spacing w:after="0" w:line="240" w:lineRule="auto"/>
              <w:jc w:val="center"/>
              <w:rPr>
                <w:sz w:val="20"/>
                <w:szCs w:val="20"/>
              </w:rPr>
            </w:pPr>
          </w:p>
        </w:tc>
        <w:tc>
          <w:tcPr>
            <w:tcW w:w="850" w:type="dxa"/>
          </w:tcPr>
          <w:p w14:paraId="4A15DEA5" w14:textId="77777777" w:rsidR="00995CE5" w:rsidRPr="00A628D9" w:rsidRDefault="00995CE5" w:rsidP="00933BE2">
            <w:pPr>
              <w:spacing w:after="0" w:line="240" w:lineRule="auto"/>
              <w:jc w:val="center"/>
              <w:rPr>
                <w:sz w:val="20"/>
                <w:szCs w:val="20"/>
              </w:rPr>
            </w:pPr>
          </w:p>
        </w:tc>
        <w:tc>
          <w:tcPr>
            <w:tcW w:w="814" w:type="dxa"/>
          </w:tcPr>
          <w:p w14:paraId="440B3223" w14:textId="77777777" w:rsidR="00995CE5" w:rsidRPr="00A628D9" w:rsidRDefault="00995CE5" w:rsidP="00933BE2">
            <w:pPr>
              <w:spacing w:after="0" w:line="240" w:lineRule="auto"/>
              <w:jc w:val="center"/>
              <w:rPr>
                <w:sz w:val="20"/>
                <w:szCs w:val="20"/>
              </w:rPr>
            </w:pPr>
            <w:r w:rsidRPr="00A628D9">
              <w:rPr>
                <w:sz w:val="20"/>
                <w:szCs w:val="20"/>
              </w:rPr>
              <w:t>1</w:t>
            </w:r>
          </w:p>
        </w:tc>
      </w:tr>
      <w:tr w:rsidR="00995CE5" w:rsidRPr="00A628D9" w14:paraId="48795879" w14:textId="77777777" w:rsidTr="00AE07C3">
        <w:tc>
          <w:tcPr>
            <w:tcW w:w="4106" w:type="dxa"/>
          </w:tcPr>
          <w:p w14:paraId="2077620F" w14:textId="77777777" w:rsidR="00995CE5" w:rsidRPr="00A628D9" w:rsidRDefault="00995CE5" w:rsidP="00933BE2">
            <w:pPr>
              <w:spacing w:after="0" w:line="240" w:lineRule="auto"/>
              <w:rPr>
                <w:sz w:val="20"/>
                <w:szCs w:val="20"/>
              </w:rPr>
            </w:pPr>
            <w:r w:rsidRPr="00A628D9">
              <w:rPr>
                <w:sz w:val="20"/>
                <w:szCs w:val="20"/>
              </w:rPr>
              <w:t>Australasian Shoveler</w:t>
            </w:r>
          </w:p>
        </w:tc>
        <w:tc>
          <w:tcPr>
            <w:tcW w:w="4678" w:type="dxa"/>
          </w:tcPr>
          <w:p w14:paraId="1EF9A7E7" w14:textId="77777777" w:rsidR="00995CE5" w:rsidRPr="00A628D9" w:rsidRDefault="00995CE5" w:rsidP="00933BE2">
            <w:pPr>
              <w:spacing w:after="0" w:line="240" w:lineRule="auto"/>
              <w:rPr>
                <w:i/>
                <w:iCs/>
                <w:sz w:val="20"/>
                <w:szCs w:val="20"/>
              </w:rPr>
            </w:pPr>
            <w:r w:rsidRPr="00A628D9">
              <w:rPr>
                <w:i/>
                <w:iCs/>
                <w:sz w:val="20"/>
                <w:szCs w:val="20"/>
              </w:rPr>
              <w:t>Anas rhynchotis</w:t>
            </w:r>
          </w:p>
        </w:tc>
        <w:tc>
          <w:tcPr>
            <w:tcW w:w="709" w:type="dxa"/>
          </w:tcPr>
          <w:p w14:paraId="6AAB0336" w14:textId="77777777" w:rsidR="00995CE5" w:rsidRPr="00A628D9" w:rsidRDefault="00995CE5" w:rsidP="00933BE2">
            <w:pPr>
              <w:spacing w:after="0" w:line="240" w:lineRule="auto"/>
              <w:jc w:val="center"/>
              <w:rPr>
                <w:sz w:val="20"/>
                <w:szCs w:val="20"/>
              </w:rPr>
            </w:pPr>
          </w:p>
        </w:tc>
        <w:tc>
          <w:tcPr>
            <w:tcW w:w="708" w:type="dxa"/>
          </w:tcPr>
          <w:p w14:paraId="3DA71498" w14:textId="77777777" w:rsidR="00995CE5" w:rsidRPr="00A628D9" w:rsidRDefault="00995CE5" w:rsidP="00933BE2">
            <w:pPr>
              <w:spacing w:after="0" w:line="240" w:lineRule="auto"/>
              <w:jc w:val="center"/>
              <w:rPr>
                <w:sz w:val="20"/>
                <w:szCs w:val="20"/>
              </w:rPr>
            </w:pPr>
            <w:r w:rsidRPr="00A628D9">
              <w:rPr>
                <w:sz w:val="20"/>
                <w:szCs w:val="20"/>
              </w:rPr>
              <w:t>R</w:t>
            </w:r>
          </w:p>
        </w:tc>
        <w:tc>
          <w:tcPr>
            <w:tcW w:w="1134" w:type="dxa"/>
          </w:tcPr>
          <w:p w14:paraId="4DCDED39" w14:textId="77777777" w:rsidR="00995CE5" w:rsidRPr="00A628D9" w:rsidRDefault="00995CE5" w:rsidP="00933BE2">
            <w:pPr>
              <w:spacing w:after="0" w:line="240" w:lineRule="auto"/>
              <w:jc w:val="center"/>
              <w:rPr>
                <w:sz w:val="20"/>
                <w:szCs w:val="20"/>
              </w:rPr>
            </w:pPr>
            <w:r w:rsidRPr="00A628D9">
              <w:rPr>
                <w:sz w:val="20"/>
                <w:szCs w:val="20"/>
              </w:rPr>
              <w:t>27</w:t>
            </w:r>
          </w:p>
        </w:tc>
        <w:tc>
          <w:tcPr>
            <w:tcW w:w="1276" w:type="dxa"/>
          </w:tcPr>
          <w:p w14:paraId="70129406" w14:textId="77777777" w:rsidR="00995CE5" w:rsidRPr="00A628D9" w:rsidRDefault="00995CE5" w:rsidP="00933BE2">
            <w:pPr>
              <w:spacing w:after="0" w:line="240" w:lineRule="auto"/>
              <w:jc w:val="center"/>
              <w:rPr>
                <w:sz w:val="20"/>
                <w:szCs w:val="20"/>
              </w:rPr>
            </w:pPr>
            <w:r w:rsidRPr="00A628D9">
              <w:rPr>
                <w:sz w:val="20"/>
                <w:szCs w:val="20"/>
              </w:rPr>
              <w:t>11</w:t>
            </w:r>
          </w:p>
        </w:tc>
        <w:tc>
          <w:tcPr>
            <w:tcW w:w="851" w:type="dxa"/>
          </w:tcPr>
          <w:p w14:paraId="13C58EBD" w14:textId="77777777" w:rsidR="00995CE5" w:rsidRPr="00A628D9" w:rsidRDefault="00995CE5" w:rsidP="00933BE2">
            <w:pPr>
              <w:spacing w:after="0" w:line="240" w:lineRule="auto"/>
              <w:jc w:val="center"/>
              <w:rPr>
                <w:sz w:val="20"/>
                <w:szCs w:val="20"/>
              </w:rPr>
            </w:pPr>
            <w:r w:rsidRPr="00A628D9">
              <w:rPr>
                <w:sz w:val="20"/>
                <w:szCs w:val="20"/>
              </w:rPr>
              <w:t>7</w:t>
            </w:r>
          </w:p>
        </w:tc>
        <w:tc>
          <w:tcPr>
            <w:tcW w:w="850" w:type="dxa"/>
          </w:tcPr>
          <w:p w14:paraId="1D019326" w14:textId="77777777" w:rsidR="00995CE5" w:rsidRPr="00A628D9" w:rsidRDefault="00995CE5" w:rsidP="00933BE2">
            <w:pPr>
              <w:spacing w:after="0" w:line="240" w:lineRule="auto"/>
              <w:jc w:val="center"/>
              <w:rPr>
                <w:sz w:val="20"/>
                <w:szCs w:val="20"/>
              </w:rPr>
            </w:pPr>
            <w:r w:rsidRPr="00A628D9">
              <w:rPr>
                <w:sz w:val="20"/>
                <w:szCs w:val="20"/>
              </w:rPr>
              <w:t>3</w:t>
            </w:r>
          </w:p>
        </w:tc>
        <w:tc>
          <w:tcPr>
            <w:tcW w:w="814" w:type="dxa"/>
          </w:tcPr>
          <w:p w14:paraId="6076CBE7" w14:textId="77777777" w:rsidR="00995CE5" w:rsidRPr="00A628D9" w:rsidRDefault="00995CE5" w:rsidP="00933BE2">
            <w:pPr>
              <w:spacing w:after="0" w:line="240" w:lineRule="auto"/>
              <w:jc w:val="center"/>
              <w:rPr>
                <w:sz w:val="20"/>
                <w:szCs w:val="20"/>
              </w:rPr>
            </w:pPr>
            <w:r w:rsidRPr="00A628D9">
              <w:rPr>
                <w:sz w:val="20"/>
                <w:szCs w:val="20"/>
              </w:rPr>
              <w:t>6</w:t>
            </w:r>
          </w:p>
        </w:tc>
      </w:tr>
      <w:tr w:rsidR="00995CE5" w:rsidRPr="00A628D9" w14:paraId="1AA38DFC" w14:textId="77777777" w:rsidTr="00AE07C3">
        <w:tc>
          <w:tcPr>
            <w:tcW w:w="4106" w:type="dxa"/>
          </w:tcPr>
          <w:p w14:paraId="724407F3" w14:textId="77777777" w:rsidR="00995CE5" w:rsidRPr="00A628D9" w:rsidRDefault="00995CE5" w:rsidP="00933BE2">
            <w:pPr>
              <w:spacing w:after="0" w:line="240" w:lineRule="auto"/>
              <w:rPr>
                <w:sz w:val="20"/>
                <w:szCs w:val="20"/>
              </w:rPr>
            </w:pPr>
            <w:r w:rsidRPr="00A628D9">
              <w:rPr>
                <w:sz w:val="20"/>
                <w:szCs w:val="20"/>
              </w:rPr>
              <w:t>Baillon’s Crake</w:t>
            </w:r>
          </w:p>
        </w:tc>
        <w:tc>
          <w:tcPr>
            <w:tcW w:w="4678" w:type="dxa"/>
          </w:tcPr>
          <w:p w14:paraId="36F1E7FE" w14:textId="77777777" w:rsidR="00995CE5" w:rsidRPr="00A628D9" w:rsidRDefault="00995CE5" w:rsidP="00933BE2">
            <w:pPr>
              <w:spacing w:after="0" w:line="240" w:lineRule="auto"/>
              <w:rPr>
                <w:i/>
                <w:iCs/>
                <w:sz w:val="20"/>
                <w:szCs w:val="20"/>
              </w:rPr>
            </w:pPr>
            <w:r w:rsidRPr="00A628D9">
              <w:rPr>
                <w:i/>
                <w:iCs/>
                <w:sz w:val="20"/>
                <w:szCs w:val="20"/>
              </w:rPr>
              <w:t>Porzana pusilla</w:t>
            </w:r>
          </w:p>
        </w:tc>
        <w:tc>
          <w:tcPr>
            <w:tcW w:w="709" w:type="dxa"/>
          </w:tcPr>
          <w:p w14:paraId="795DD8B5" w14:textId="77777777" w:rsidR="00995CE5" w:rsidRPr="00A628D9" w:rsidRDefault="00995CE5" w:rsidP="00933BE2">
            <w:pPr>
              <w:spacing w:after="0" w:line="240" w:lineRule="auto"/>
              <w:jc w:val="center"/>
              <w:rPr>
                <w:sz w:val="20"/>
                <w:szCs w:val="20"/>
              </w:rPr>
            </w:pPr>
          </w:p>
        </w:tc>
        <w:tc>
          <w:tcPr>
            <w:tcW w:w="708" w:type="dxa"/>
          </w:tcPr>
          <w:p w14:paraId="204F8500" w14:textId="77777777" w:rsidR="00995CE5" w:rsidRPr="00A628D9" w:rsidRDefault="00995CE5" w:rsidP="00933BE2">
            <w:pPr>
              <w:spacing w:after="0" w:line="240" w:lineRule="auto"/>
              <w:jc w:val="center"/>
              <w:rPr>
                <w:sz w:val="20"/>
                <w:szCs w:val="20"/>
              </w:rPr>
            </w:pPr>
            <w:r w:rsidRPr="00A628D9">
              <w:rPr>
                <w:sz w:val="20"/>
                <w:szCs w:val="20"/>
              </w:rPr>
              <w:t>R</w:t>
            </w:r>
          </w:p>
        </w:tc>
        <w:tc>
          <w:tcPr>
            <w:tcW w:w="1134" w:type="dxa"/>
          </w:tcPr>
          <w:p w14:paraId="25AE248C" w14:textId="77777777" w:rsidR="00995CE5" w:rsidRPr="00A628D9" w:rsidRDefault="00995CE5" w:rsidP="00933BE2">
            <w:pPr>
              <w:spacing w:after="0" w:line="240" w:lineRule="auto"/>
              <w:jc w:val="center"/>
              <w:rPr>
                <w:sz w:val="20"/>
                <w:szCs w:val="20"/>
              </w:rPr>
            </w:pPr>
            <w:r w:rsidRPr="00A628D9">
              <w:rPr>
                <w:sz w:val="20"/>
                <w:szCs w:val="20"/>
              </w:rPr>
              <w:t>4</w:t>
            </w:r>
          </w:p>
        </w:tc>
        <w:tc>
          <w:tcPr>
            <w:tcW w:w="1276" w:type="dxa"/>
          </w:tcPr>
          <w:p w14:paraId="24BCD6A5" w14:textId="77777777" w:rsidR="00995CE5" w:rsidRPr="00A628D9" w:rsidRDefault="00995CE5" w:rsidP="00933BE2">
            <w:pPr>
              <w:spacing w:after="0" w:line="240" w:lineRule="auto"/>
              <w:jc w:val="center"/>
              <w:rPr>
                <w:sz w:val="20"/>
                <w:szCs w:val="20"/>
              </w:rPr>
            </w:pPr>
            <w:r w:rsidRPr="00A628D9">
              <w:rPr>
                <w:sz w:val="20"/>
                <w:szCs w:val="20"/>
              </w:rPr>
              <w:t>1</w:t>
            </w:r>
          </w:p>
        </w:tc>
        <w:tc>
          <w:tcPr>
            <w:tcW w:w="851" w:type="dxa"/>
          </w:tcPr>
          <w:p w14:paraId="7B832BDD" w14:textId="77777777" w:rsidR="00995CE5" w:rsidRPr="00A628D9" w:rsidRDefault="00995CE5" w:rsidP="00933BE2">
            <w:pPr>
              <w:spacing w:after="0" w:line="240" w:lineRule="auto"/>
              <w:jc w:val="center"/>
              <w:rPr>
                <w:sz w:val="20"/>
                <w:szCs w:val="20"/>
              </w:rPr>
            </w:pPr>
            <w:r w:rsidRPr="00A628D9">
              <w:rPr>
                <w:sz w:val="20"/>
                <w:szCs w:val="20"/>
              </w:rPr>
              <w:t>1</w:t>
            </w:r>
          </w:p>
        </w:tc>
        <w:tc>
          <w:tcPr>
            <w:tcW w:w="850" w:type="dxa"/>
          </w:tcPr>
          <w:p w14:paraId="7236B8C4" w14:textId="77777777" w:rsidR="00995CE5" w:rsidRPr="00A628D9" w:rsidRDefault="00995CE5" w:rsidP="00933BE2">
            <w:pPr>
              <w:spacing w:after="0" w:line="240" w:lineRule="auto"/>
              <w:jc w:val="center"/>
              <w:rPr>
                <w:sz w:val="20"/>
                <w:szCs w:val="20"/>
              </w:rPr>
            </w:pPr>
            <w:r w:rsidRPr="00A628D9">
              <w:rPr>
                <w:sz w:val="20"/>
                <w:szCs w:val="20"/>
              </w:rPr>
              <w:t>1</w:t>
            </w:r>
          </w:p>
        </w:tc>
        <w:tc>
          <w:tcPr>
            <w:tcW w:w="814" w:type="dxa"/>
          </w:tcPr>
          <w:p w14:paraId="385B1E3B" w14:textId="77777777" w:rsidR="00995CE5" w:rsidRPr="00A628D9" w:rsidRDefault="00995CE5" w:rsidP="00933BE2">
            <w:pPr>
              <w:spacing w:after="0" w:line="240" w:lineRule="auto"/>
              <w:jc w:val="center"/>
              <w:rPr>
                <w:sz w:val="20"/>
                <w:szCs w:val="20"/>
              </w:rPr>
            </w:pPr>
            <w:r w:rsidRPr="00A628D9">
              <w:rPr>
                <w:sz w:val="20"/>
                <w:szCs w:val="20"/>
              </w:rPr>
              <w:t>1</w:t>
            </w:r>
          </w:p>
        </w:tc>
      </w:tr>
      <w:tr w:rsidR="00995CE5" w:rsidRPr="00A628D9" w14:paraId="7104C2DC" w14:textId="77777777" w:rsidTr="00AE07C3">
        <w:tc>
          <w:tcPr>
            <w:tcW w:w="4106" w:type="dxa"/>
          </w:tcPr>
          <w:p w14:paraId="0F8ABA24" w14:textId="77777777" w:rsidR="00995CE5" w:rsidRPr="00A628D9" w:rsidRDefault="00995CE5" w:rsidP="00933BE2">
            <w:pPr>
              <w:spacing w:after="0" w:line="240" w:lineRule="auto"/>
              <w:rPr>
                <w:sz w:val="20"/>
                <w:szCs w:val="20"/>
              </w:rPr>
            </w:pPr>
            <w:r w:rsidRPr="00A628D9">
              <w:rPr>
                <w:sz w:val="20"/>
                <w:szCs w:val="20"/>
              </w:rPr>
              <w:t>Blue-billed Duck</w:t>
            </w:r>
          </w:p>
        </w:tc>
        <w:tc>
          <w:tcPr>
            <w:tcW w:w="4678" w:type="dxa"/>
          </w:tcPr>
          <w:p w14:paraId="5813B664" w14:textId="77777777" w:rsidR="00995CE5" w:rsidRPr="00A628D9" w:rsidRDefault="00995CE5" w:rsidP="00933BE2">
            <w:pPr>
              <w:spacing w:after="0" w:line="240" w:lineRule="auto"/>
              <w:rPr>
                <w:i/>
                <w:iCs/>
                <w:sz w:val="20"/>
                <w:szCs w:val="20"/>
              </w:rPr>
            </w:pPr>
            <w:r w:rsidRPr="00A628D9">
              <w:rPr>
                <w:i/>
                <w:iCs/>
                <w:sz w:val="20"/>
                <w:szCs w:val="20"/>
              </w:rPr>
              <w:t>Oxyura australis</w:t>
            </w:r>
          </w:p>
        </w:tc>
        <w:tc>
          <w:tcPr>
            <w:tcW w:w="709" w:type="dxa"/>
          </w:tcPr>
          <w:p w14:paraId="074906D4" w14:textId="77777777" w:rsidR="00995CE5" w:rsidRPr="00A628D9" w:rsidRDefault="00995CE5" w:rsidP="00933BE2">
            <w:pPr>
              <w:spacing w:after="0" w:line="240" w:lineRule="auto"/>
              <w:jc w:val="center"/>
              <w:rPr>
                <w:sz w:val="20"/>
                <w:szCs w:val="20"/>
              </w:rPr>
            </w:pPr>
          </w:p>
        </w:tc>
        <w:tc>
          <w:tcPr>
            <w:tcW w:w="708" w:type="dxa"/>
          </w:tcPr>
          <w:p w14:paraId="1797A718" w14:textId="77777777" w:rsidR="00995CE5" w:rsidRPr="00A628D9" w:rsidRDefault="00995CE5" w:rsidP="00933BE2">
            <w:pPr>
              <w:spacing w:after="0" w:line="240" w:lineRule="auto"/>
              <w:jc w:val="center"/>
              <w:rPr>
                <w:sz w:val="20"/>
                <w:szCs w:val="20"/>
              </w:rPr>
            </w:pPr>
            <w:r w:rsidRPr="00A628D9">
              <w:rPr>
                <w:sz w:val="20"/>
                <w:szCs w:val="20"/>
              </w:rPr>
              <w:t>R</w:t>
            </w:r>
          </w:p>
        </w:tc>
        <w:tc>
          <w:tcPr>
            <w:tcW w:w="1134" w:type="dxa"/>
          </w:tcPr>
          <w:p w14:paraId="2FF20069" w14:textId="77777777" w:rsidR="00995CE5" w:rsidRPr="00A628D9" w:rsidRDefault="00995CE5" w:rsidP="00933BE2">
            <w:pPr>
              <w:spacing w:after="0" w:line="240" w:lineRule="auto"/>
              <w:jc w:val="center"/>
              <w:rPr>
                <w:sz w:val="20"/>
                <w:szCs w:val="20"/>
              </w:rPr>
            </w:pPr>
            <w:r w:rsidRPr="00A628D9">
              <w:rPr>
                <w:sz w:val="20"/>
                <w:szCs w:val="20"/>
              </w:rPr>
              <w:t>3</w:t>
            </w:r>
          </w:p>
        </w:tc>
        <w:tc>
          <w:tcPr>
            <w:tcW w:w="1276" w:type="dxa"/>
          </w:tcPr>
          <w:p w14:paraId="72069AED" w14:textId="77777777" w:rsidR="00995CE5" w:rsidRPr="00A628D9" w:rsidRDefault="00995CE5" w:rsidP="00933BE2">
            <w:pPr>
              <w:spacing w:after="0" w:line="240" w:lineRule="auto"/>
              <w:jc w:val="center"/>
              <w:rPr>
                <w:sz w:val="20"/>
                <w:szCs w:val="20"/>
              </w:rPr>
            </w:pPr>
            <w:r w:rsidRPr="00A628D9">
              <w:rPr>
                <w:sz w:val="20"/>
                <w:szCs w:val="20"/>
              </w:rPr>
              <w:t>2</w:t>
            </w:r>
          </w:p>
        </w:tc>
        <w:tc>
          <w:tcPr>
            <w:tcW w:w="851" w:type="dxa"/>
          </w:tcPr>
          <w:p w14:paraId="02726DB0" w14:textId="77777777" w:rsidR="00995CE5" w:rsidRPr="00A628D9" w:rsidRDefault="00995CE5" w:rsidP="00933BE2">
            <w:pPr>
              <w:spacing w:after="0" w:line="240" w:lineRule="auto"/>
              <w:jc w:val="center"/>
              <w:rPr>
                <w:sz w:val="20"/>
                <w:szCs w:val="20"/>
              </w:rPr>
            </w:pPr>
            <w:r w:rsidRPr="00A628D9">
              <w:rPr>
                <w:sz w:val="20"/>
                <w:szCs w:val="20"/>
              </w:rPr>
              <w:t>1</w:t>
            </w:r>
          </w:p>
        </w:tc>
        <w:tc>
          <w:tcPr>
            <w:tcW w:w="850" w:type="dxa"/>
          </w:tcPr>
          <w:p w14:paraId="7AE6A884" w14:textId="77777777" w:rsidR="00995CE5" w:rsidRPr="00A628D9" w:rsidRDefault="00995CE5" w:rsidP="00933BE2">
            <w:pPr>
              <w:spacing w:after="0" w:line="240" w:lineRule="auto"/>
              <w:jc w:val="center"/>
              <w:rPr>
                <w:sz w:val="20"/>
                <w:szCs w:val="20"/>
              </w:rPr>
            </w:pPr>
          </w:p>
        </w:tc>
        <w:tc>
          <w:tcPr>
            <w:tcW w:w="814" w:type="dxa"/>
          </w:tcPr>
          <w:p w14:paraId="7DDBB6E7" w14:textId="77777777" w:rsidR="00995CE5" w:rsidRPr="00A628D9" w:rsidRDefault="00995CE5" w:rsidP="00933BE2">
            <w:pPr>
              <w:spacing w:after="0" w:line="240" w:lineRule="auto"/>
              <w:jc w:val="center"/>
              <w:rPr>
                <w:sz w:val="20"/>
                <w:szCs w:val="20"/>
              </w:rPr>
            </w:pPr>
          </w:p>
        </w:tc>
      </w:tr>
      <w:tr w:rsidR="00995CE5" w:rsidRPr="00A628D9" w14:paraId="15D3DD88" w14:textId="77777777" w:rsidTr="00AE07C3">
        <w:tc>
          <w:tcPr>
            <w:tcW w:w="4106" w:type="dxa"/>
          </w:tcPr>
          <w:p w14:paraId="5EB4775E" w14:textId="77777777" w:rsidR="00995CE5" w:rsidRPr="00A628D9" w:rsidRDefault="00995CE5" w:rsidP="00933BE2">
            <w:pPr>
              <w:spacing w:after="0" w:line="240" w:lineRule="auto"/>
              <w:rPr>
                <w:sz w:val="20"/>
                <w:szCs w:val="20"/>
              </w:rPr>
            </w:pPr>
            <w:r w:rsidRPr="00A628D9">
              <w:rPr>
                <w:sz w:val="20"/>
                <w:szCs w:val="20"/>
              </w:rPr>
              <w:t>Blue-faced Honeyeater</w:t>
            </w:r>
          </w:p>
        </w:tc>
        <w:tc>
          <w:tcPr>
            <w:tcW w:w="4678" w:type="dxa"/>
          </w:tcPr>
          <w:p w14:paraId="4C543E52" w14:textId="77777777" w:rsidR="00995CE5" w:rsidRPr="00A628D9" w:rsidRDefault="00995CE5" w:rsidP="00933BE2">
            <w:pPr>
              <w:spacing w:after="0" w:line="240" w:lineRule="auto"/>
              <w:rPr>
                <w:i/>
                <w:iCs/>
                <w:sz w:val="20"/>
                <w:szCs w:val="20"/>
              </w:rPr>
            </w:pPr>
            <w:r w:rsidRPr="00A628D9">
              <w:rPr>
                <w:i/>
                <w:iCs/>
                <w:sz w:val="20"/>
                <w:szCs w:val="20"/>
              </w:rPr>
              <w:t>Entomyzon cyanotis</w:t>
            </w:r>
          </w:p>
        </w:tc>
        <w:tc>
          <w:tcPr>
            <w:tcW w:w="709" w:type="dxa"/>
          </w:tcPr>
          <w:p w14:paraId="56E79C37" w14:textId="77777777" w:rsidR="00995CE5" w:rsidRPr="00A628D9" w:rsidRDefault="00995CE5" w:rsidP="00933BE2">
            <w:pPr>
              <w:spacing w:after="0" w:line="240" w:lineRule="auto"/>
              <w:jc w:val="center"/>
              <w:rPr>
                <w:sz w:val="20"/>
                <w:szCs w:val="20"/>
              </w:rPr>
            </w:pPr>
          </w:p>
        </w:tc>
        <w:tc>
          <w:tcPr>
            <w:tcW w:w="708" w:type="dxa"/>
          </w:tcPr>
          <w:p w14:paraId="0E60CE50" w14:textId="77777777" w:rsidR="00995CE5" w:rsidRPr="00A628D9" w:rsidRDefault="00995CE5" w:rsidP="00933BE2">
            <w:pPr>
              <w:spacing w:after="0" w:line="240" w:lineRule="auto"/>
              <w:jc w:val="center"/>
              <w:rPr>
                <w:sz w:val="20"/>
                <w:szCs w:val="20"/>
              </w:rPr>
            </w:pPr>
            <w:r w:rsidRPr="00A628D9">
              <w:rPr>
                <w:sz w:val="20"/>
                <w:szCs w:val="20"/>
              </w:rPr>
              <w:t>R</w:t>
            </w:r>
          </w:p>
        </w:tc>
        <w:tc>
          <w:tcPr>
            <w:tcW w:w="1134" w:type="dxa"/>
          </w:tcPr>
          <w:p w14:paraId="32D78EDB" w14:textId="77777777" w:rsidR="00995CE5" w:rsidRPr="00A628D9" w:rsidRDefault="00995CE5" w:rsidP="00933BE2">
            <w:pPr>
              <w:spacing w:after="0" w:line="240" w:lineRule="auto"/>
              <w:jc w:val="center"/>
              <w:rPr>
                <w:sz w:val="20"/>
                <w:szCs w:val="20"/>
              </w:rPr>
            </w:pPr>
            <w:r w:rsidRPr="00A628D9">
              <w:rPr>
                <w:sz w:val="20"/>
                <w:szCs w:val="20"/>
              </w:rPr>
              <w:t>27</w:t>
            </w:r>
          </w:p>
        </w:tc>
        <w:tc>
          <w:tcPr>
            <w:tcW w:w="1276" w:type="dxa"/>
          </w:tcPr>
          <w:p w14:paraId="12903F74" w14:textId="77777777" w:rsidR="00995CE5" w:rsidRPr="00A628D9" w:rsidRDefault="00995CE5" w:rsidP="00933BE2">
            <w:pPr>
              <w:spacing w:after="0" w:line="240" w:lineRule="auto"/>
              <w:jc w:val="center"/>
              <w:rPr>
                <w:sz w:val="20"/>
                <w:szCs w:val="20"/>
              </w:rPr>
            </w:pPr>
            <w:r w:rsidRPr="00A628D9">
              <w:rPr>
                <w:sz w:val="20"/>
                <w:szCs w:val="20"/>
              </w:rPr>
              <w:t>9</w:t>
            </w:r>
          </w:p>
        </w:tc>
        <w:tc>
          <w:tcPr>
            <w:tcW w:w="851" w:type="dxa"/>
          </w:tcPr>
          <w:p w14:paraId="42DEFB17" w14:textId="77777777" w:rsidR="00995CE5" w:rsidRPr="00A628D9" w:rsidRDefault="00995CE5" w:rsidP="00933BE2">
            <w:pPr>
              <w:spacing w:after="0" w:line="240" w:lineRule="auto"/>
              <w:jc w:val="center"/>
              <w:rPr>
                <w:sz w:val="20"/>
                <w:szCs w:val="20"/>
              </w:rPr>
            </w:pPr>
            <w:r w:rsidRPr="00A628D9">
              <w:rPr>
                <w:sz w:val="20"/>
                <w:szCs w:val="20"/>
              </w:rPr>
              <w:t>8</w:t>
            </w:r>
          </w:p>
        </w:tc>
        <w:tc>
          <w:tcPr>
            <w:tcW w:w="850" w:type="dxa"/>
          </w:tcPr>
          <w:p w14:paraId="7F5372CD" w14:textId="77777777" w:rsidR="00995CE5" w:rsidRPr="00A628D9" w:rsidRDefault="00995CE5" w:rsidP="00933BE2">
            <w:pPr>
              <w:spacing w:after="0" w:line="240" w:lineRule="auto"/>
              <w:jc w:val="center"/>
              <w:rPr>
                <w:sz w:val="20"/>
                <w:szCs w:val="20"/>
              </w:rPr>
            </w:pPr>
            <w:r w:rsidRPr="00A628D9">
              <w:rPr>
                <w:sz w:val="20"/>
                <w:szCs w:val="20"/>
              </w:rPr>
              <w:t>6</w:t>
            </w:r>
          </w:p>
        </w:tc>
        <w:tc>
          <w:tcPr>
            <w:tcW w:w="814" w:type="dxa"/>
          </w:tcPr>
          <w:p w14:paraId="3F680D52" w14:textId="77777777" w:rsidR="00995CE5" w:rsidRPr="00A628D9" w:rsidRDefault="00995CE5" w:rsidP="00933BE2">
            <w:pPr>
              <w:spacing w:after="0" w:line="240" w:lineRule="auto"/>
              <w:jc w:val="center"/>
              <w:rPr>
                <w:sz w:val="20"/>
                <w:szCs w:val="20"/>
              </w:rPr>
            </w:pPr>
            <w:r w:rsidRPr="00A628D9">
              <w:rPr>
                <w:sz w:val="20"/>
                <w:szCs w:val="20"/>
              </w:rPr>
              <w:t>4</w:t>
            </w:r>
          </w:p>
        </w:tc>
      </w:tr>
      <w:tr w:rsidR="00995CE5" w:rsidRPr="00A628D9" w14:paraId="29A64C3D" w14:textId="77777777" w:rsidTr="00AE07C3">
        <w:tc>
          <w:tcPr>
            <w:tcW w:w="4106" w:type="dxa"/>
          </w:tcPr>
          <w:p w14:paraId="7BE65C9B" w14:textId="77777777" w:rsidR="00995CE5" w:rsidRPr="00A628D9" w:rsidRDefault="00995CE5" w:rsidP="00933BE2">
            <w:pPr>
              <w:spacing w:after="0" w:line="240" w:lineRule="auto"/>
              <w:rPr>
                <w:sz w:val="20"/>
                <w:szCs w:val="20"/>
              </w:rPr>
            </w:pPr>
            <w:r w:rsidRPr="00A628D9">
              <w:rPr>
                <w:sz w:val="20"/>
                <w:szCs w:val="20"/>
              </w:rPr>
              <w:t>Brown Quail</w:t>
            </w:r>
          </w:p>
        </w:tc>
        <w:tc>
          <w:tcPr>
            <w:tcW w:w="4678" w:type="dxa"/>
          </w:tcPr>
          <w:p w14:paraId="4F7B9AF9" w14:textId="77777777" w:rsidR="00995CE5" w:rsidRPr="00A628D9" w:rsidRDefault="00995CE5" w:rsidP="00933BE2">
            <w:pPr>
              <w:spacing w:after="0" w:line="240" w:lineRule="auto"/>
              <w:rPr>
                <w:i/>
                <w:iCs/>
                <w:sz w:val="20"/>
                <w:szCs w:val="20"/>
              </w:rPr>
            </w:pPr>
            <w:r w:rsidRPr="00A628D9">
              <w:rPr>
                <w:i/>
                <w:iCs/>
                <w:sz w:val="20"/>
                <w:szCs w:val="20"/>
              </w:rPr>
              <w:t>Corturnix ypsilophora</w:t>
            </w:r>
          </w:p>
        </w:tc>
        <w:tc>
          <w:tcPr>
            <w:tcW w:w="709" w:type="dxa"/>
          </w:tcPr>
          <w:p w14:paraId="53F51540" w14:textId="77777777" w:rsidR="00995CE5" w:rsidRPr="00A628D9" w:rsidRDefault="00995CE5" w:rsidP="00933BE2">
            <w:pPr>
              <w:spacing w:after="0" w:line="240" w:lineRule="auto"/>
              <w:jc w:val="center"/>
              <w:rPr>
                <w:sz w:val="20"/>
                <w:szCs w:val="20"/>
              </w:rPr>
            </w:pPr>
          </w:p>
        </w:tc>
        <w:tc>
          <w:tcPr>
            <w:tcW w:w="708" w:type="dxa"/>
          </w:tcPr>
          <w:p w14:paraId="7C3D2D6F" w14:textId="77777777" w:rsidR="00995CE5" w:rsidRPr="00A628D9" w:rsidRDefault="00995CE5" w:rsidP="00933BE2">
            <w:pPr>
              <w:spacing w:after="0" w:line="240" w:lineRule="auto"/>
              <w:jc w:val="center"/>
              <w:rPr>
                <w:sz w:val="20"/>
                <w:szCs w:val="20"/>
              </w:rPr>
            </w:pPr>
            <w:r w:rsidRPr="00A628D9">
              <w:rPr>
                <w:sz w:val="20"/>
                <w:szCs w:val="20"/>
              </w:rPr>
              <w:t>V</w:t>
            </w:r>
          </w:p>
        </w:tc>
        <w:tc>
          <w:tcPr>
            <w:tcW w:w="1134" w:type="dxa"/>
          </w:tcPr>
          <w:p w14:paraId="5204FED3" w14:textId="77777777" w:rsidR="00995CE5" w:rsidRPr="00A628D9" w:rsidRDefault="00995CE5" w:rsidP="00933BE2">
            <w:pPr>
              <w:spacing w:after="0" w:line="240" w:lineRule="auto"/>
              <w:jc w:val="center"/>
              <w:rPr>
                <w:sz w:val="20"/>
                <w:szCs w:val="20"/>
              </w:rPr>
            </w:pPr>
            <w:r w:rsidRPr="00A628D9">
              <w:rPr>
                <w:sz w:val="20"/>
                <w:szCs w:val="20"/>
              </w:rPr>
              <w:t>8</w:t>
            </w:r>
          </w:p>
        </w:tc>
        <w:tc>
          <w:tcPr>
            <w:tcW w:w="1276" w:type="dxa"/>
          </w:tcPr>
          <w:p w14:paraId="24B0B61A" w14:textId="77777777" w:rsidR="00995CE5" w:rsidRPr="00A628D9" w:rsidRDefault="00995CE5" w:rsidP="00933BE2">
            <w:pPr>
              <w:spacing w:after="0" w:line="240" w:lineRule="auto"/>
              <w:jc w:val="center"/>
              <w:rPr>
                <w:sz w:val="20"/>
                <w:szCs w:val="20"/>
              </w:rPr>
            </w:pPr>
          </w:p>
        </w:tc>
        <w:tc>
          <w:tcPr>
            <w:tcW w:w="851" w:type="dxa"/>
          </w:tcPr>
          <w:p w14:paraId="2A46C7EE" w14:textId="77777777" w:rsidR="00995CE5" w:rsidRPr="00A628D9" w:rsidRDefault="00995CE5" w:rsidP="00933BE2">
            <w:pPr>
              <w:spacing w:after="0" w:line="240" w:lineRule="auto"/>
              <w:jc w:val="center"/>
              <w:rPr>
                <w:sz w:val="20"/>
                <w:szCs w:val="20"/>
              </w:rPr>
            </w:pPr>
            <w:r w:rsidRPr="00A628D9">
              <w:rPr>
                <w:sz w:val="20"/>
                <w:szCs w:val="20"/>
              </w:rPr>
              <w:t>6</w:t>
            </w:r>
          </w:p>
        </w:tc>
        <w:tc>
          <w:tcPr>
            <w:tcW w:w="850" w:type="dxa"/>
          </w:tcPr>
          <w:p w14:paraId="7870D00C" w14:textId="77777777" w:rsidR="00995CE5" w:rsidRPr="00A628D9" w:rsidRDefault="00995CE5" w:rsidP="00933BE2">
            <w:pPr>
              <w:spacing w:after="0" w:line="240" w:lineRule="auto"/>
              <w:jc w:val="center"/>
              <w:rPr>
                <w:sz w:val="20"/>
                <w:szCs w:val="20"/>
              </w:rPr>
            </w:pPr>
            <w:r w:rsidRPr="00A628D9">
              <w:rPr>
                <w:sz w:val="20"/>
                <w:szCs w:val="20"/>
              </w:rPr>
              <w:t>2</w:t>
            </w:r>
          </w:p>
        </w:tc>
        <w:tc>
          <w:tcPr>
            <w:tcW w:w="814" w:type="dxa"/>
          </w:tcPr>
          <w:p w14:paraId="1AEA4D5B" w14:textId="77777777" w:rsidR="00995CE5" w:rsidRPr="00A628D9" w:rsidRDefault="00995CE5" w:rsidP="00933BE2">
            <w:pPr>
              <w:spacing w:after="0" w:line="240" w:lineRule="auto"/>
              <w:jc w:val="center"/>
              <w:rPr>
                <w:sz w:val="20"/>
                <w:szCs w:val="20"/>
              </w:rPr>
            </w:pPr>
          </w:p>
        </w:tc>
      </w:tr>
      <w:tr w:rsidR="00995CE5" w:rsidRPr="00A628D9" w14:paraId="0C910CED" w14:textId="77777777" w:rsidTr="00AE07C3">
        <w:tc>
          <w:tcPr>
            <w:tcW w:w="4106" w:type="dxa"/>
          </w:tcPr>
          <w:p w14:paraId="6BC79221" w14:textId="77777777" w:rsidR="00995CE5" w:rsidRPr="00A628D9" w:rsidRDefault="00995CE5" w:rsidP="00933BE2">
            <w:pPr>
              <w:spacing w:after="0" w:line="240" w:lineRule="auto"/>
              <w:rPr>
                <w:sz w:val="20"/>
                <w:szCs w:val="20"/>
              </w:rPr>
            </w:pPr>
            <w:r w:rsidRPr="00A628D9">
              <w:rPr>
                <w:sz w:val="20"/>
                <w:szCs w:val="20"/>
              </w:rPr>
              <w:t>Bush Stone-curlew</w:t>
            </w:r>
          </w:p>
        </w:tc>
        <w:tc>
          <w:tcPr>
            <w:tcW w:w="4678" w:type="dxa"/>
          </w:tcPr>
          <w:p w14:paraId="623DF140" w14:textId="77777777" w:rsidR="00995CE5" w:rsidRPr="00A628D9" w:rsidRDefault="00995CE5" w:rsidP="00933BE2">
            <w:pPr>
              <w:spacing w:after="0" w:line="240" w:lineRule="auto"/>
              <w:rPr>
                <w:i/>
                <w:iCs/>
                <w:sz w:val="20"/>
                <w:szCs w:val="20"/>
              </w:rPr>
            </w:pPr>
            <w:r w:rsidRPr="00A628D9">
              <w:rPr>
                <w:i/>
                <w:iCs/>
                <w:sz w:val="20"/>
                <w:szCs w:val="20"/>
              </w:rPr>
              <w:t>Burhinus grallarius</w:t>
            </w:r>
          </w:p>
        </w:tc>
        <w:tc>
          <w:tcPr>
            <w:tcW w:w="709" w:type="dxa"/>
          </w:tcPr>
          <w:p w14:paraId="7D5D086D" w14:textId="77777777" w:rsidR="00995CE5" w:rsidRPr="00A628D9" w:rsidRDefault="00995CE5" w:rsidP="00933BE2">
            <w:pPr>
              <w:spacing w:after="0" w:line="240" w:lineRule="auto"/>
              <w:jc w:val="center"/>
              <w:rPr>
                <w:sz w:val="20"/>
                <w:szCs w:val="20"/>
              </w:rPr>
            </w:pPr>
          </w:p>
        </w:tc>
        <w:tc>
          <w:tcPr>
            <w:tcW w:w="708" w:type="dxa"/>
          </w:tcPr>
          <w:p w14:paraId="7519382D" w14:textId="77777777" w:rsidR="00995CE5" w:rsidRPr="00A628D9" w:rsidRDefault="00995CE5" w:rsidP="00933BE2">
            <w:pPr>
              <w:spacing w:after="0" w:line="240" w:lineRule="auto"/>
              <w:jc w:val="center"/>
              <w:rPr>
                <w:sz w:val="20"/>
                <w:szCs w:val="20"/>
              </w:rPr>
            </w:pPr>
            <w:r w:rsidRPr="00A628D9">
              <w:rPr>
                <w:sz w:val="20"/>
                <w:szCs w:val="20"/>
              </w:rPr>
              <w:t>V</w:t>
            </w:r>
          </w:p>
        </w:tc>
        <w:tc>
          <w:tcPr>
            <w:tcW w:w="1134" w:type="dxa"/>
          </w:tcPr>
          <w:p w14:paraId="638D1CD8" w14:textId="77777777" w:rsidR="00995CE5" w:rsidRPr="00A628D9" w:rsidRDefault="00995CE5" w:rsidP="00933BE2">
            <w:pPr>
              <w:spacing w:after="0" w:line="240" w:lineRule="auto"/>
              <w:jc w:val="center"/>
              <w:rPr>
                <w:sz w:val="20"/>
                <w:szCs w:val="20"/>
              </w:rPr>
            </w:pPr>
            <w:r w:rsidRPr="00A628D9">
              <w:rPr>
                <w:sz w:val="20"/>
                <w:szCs w:val="20"/>
              </w:rPr>
              <w:t>7</w:t>
            </w:r>
          </w:p>
        </w:tc>
        <w:tc>
          <w:tcPr>
            <w:tcW w:w="1276" w:type="dxa"/>
          </w:tcPr>
          <w:p w14:paraId="3798661B" w14:textId="77777777" w:rsidR="00995CE5" w:rsidRPr="00A628D9" w:rsidRDefault="00995CE5" w:rsidP="00933BE2">
            <w:pPr>
              <w:spacing w:after="0" w:line="240" w:lineRule="auto"/>
              <w:jc w:val="center"/>
              <w:rPr>
                <w:sz w:val="20"/>
                <w:szCs w:val="20"/>
              </w:rPr>
            </w:pPr>
            <w:r w:rsidRPr="00A628D9">
              <w:rPr>
                <w:sz w:val="20"/>
                <w:szCs w:val="20"/>
              </w:rPr>
              <w:t>1</w:t>
            </w:r>
          </w:p>
        </w:tc>
        <w:tc>
          <w:tcPr>
            <w:tcW w:w="851" w:type="dxa"/>
          </w:tcPr>
          <w:p w14:paraId="6C91F944" w14:textId="77777777" w:rsidR="00995CE5" w:rsidRPr="00A628D9" w:rsidRDefault="00995CE5" w:rsidP="00933BE2">
            <w:pPr>
              <w:spacing w:after="0" w:line="240" w:lineRule="auto"/>
              <w:jc w:val="center"/>
              <w:rPr>
                <w:sz w:val="20"/>
                <w:szCs w:val="20"/>
              </w:rPr>
            </w:pPr>
            <w:r w:rsidRPr="00A628D9">
              <w:rPr>
                <w:sz w:val="20"/>
                <w:szCs w:val="20"/>
              </w:rPr>
              <w:t>4</w:t>
            </w:r>
          </w:p>
        </w:tc>
        <w:tc>
          <w:tcPr>
            <w:tcW w:w="850" w:type="dxa"/>
          </w:tcPr>
          <w:p w14:paraId="37148F47" w14:textId="77777777" w:rsidR="00995CE5" w:rsidRPr="00A628D9" w:rsidRDefault="00995CE5" w:rsidP="00933BE2">
            <w:pPr>
              <w:spacing w:after="0" w:line="240" w:lineRule="auto"/>
              <w:jc w:val="center"/>
              <w:rPr>
                <w:sz w:val="20"/>
                <w:szCs w:val="20"/>
              </w:rPr>
            </w:pPr>
            <w:r w:rsidRPr="00A628D9">
              <w:rPr>
                <w:sz w:val="20"/>
                <w:szCs w:val="20"/>
              </w:rPr>
              <w:t>2</w:t>
            </w:r>
          </w:p>
        </w:tc>
        <w:tc>
          <w:tcPr>
            <w:tcW w:w="814" w:type="dxa"/>
          </w:tcPr>
          <w:p w14:paraId="2AC96E16" w14:textId="77777777" w:rsidR="00995CE5" w:rsidRPr="00A628D9" w:rsidRDefault="00995CE5" w:rsidP="00933BE2">
            <w:pPr>
              <w:spacing w:after="0" w:line="240" w:lineRule="auto"/>
              <w:jc w:val="center"/>
              <w:rPr>
                <w:sz w:val="20"/>
                <w:szCs w:val="20"/>
              </w:rPr>
            </w:pPr>
          </w:p>
        </w:tc>
      </w:tr>
      <w:tr w:rsidR="00995CE5" w:rsidRPr="00A628D9" w14:paraId="18C18B59" w14:textId="77777777" w:rsidTr="00AE07C3">
        <w:tc>
          <w:tcPr>
            <w:tcW w:w="4106" w:type="dxa"/>
          </w:tcPr>
          <w:p w14:paraId="33A985CA" w14:textId="77777777" w:rsidR="00995CE5" w:rsidRPr="00A628D9" w:rsidRDefault="00995CE5" w:rsidP="00933BE2">
            <w:pPr>
              <w:spacing w:after="0" w:line="240" w:lineRule="auto"/>
              <w:rPr>
                <w:sz w:val="20"/>
                <w:szCs w:val="20"/>
              </w:rPr>
            </w:pPr>
            <w:r w:rsidRPr="00A628D9">
              <w:rPr>
                <w:sz w:val="20"/>
                <w:szCs w:val="20"/>
              </w:rPr>
              <w:t xml:space="preserve">Cape Barren Goose </w:t>
            </w:r>
          </w:p>
        </w:tc>
        <w:tc>
          <w:tcPr>
            <w:tcW w:w="4678" w:type="dxa"/>
          </w:tcPr>
          <w:p w14:paraId="097E57E0" w14:textId="77777777" w:rsidR="00995CE5" w:rsidRPr="00A628D9" w:rsidRDefault="00995CE5" w:rsidP="00933BE2">
            <w:pPr>
              <w:spacing w:after="0" w:line="240" w:lineRule="auto"/>
              <w:rPr>
                <w:i/>
                <w:iCs/>
                <w:sz w:val="20"/>
                <w:szCs w:val="20"/>
              </w:rPr>
            </w:pPr>
            <w:r w:rsidRPr="00A628D9">
              <w:rPr>
                <w:i/>
                <w:iCs/>
                <w:sz w:val="20"/>
                <w:szCs w:val="20"/>
              </w:rPr>
              <w:t>Cereopsis novaehollandiae</w:t>
            </w:r>
          </w:p>
        </w:tc>
        <w:tc>
          <w:tcPr>
            <w:tcW w:w="709" w:type="dxa"/>
          </w:tcPr>
          <w:p w14:paraId="4EFDD669" w14:textId="77777777" w:rsidR="00995CE5" w:rsidRPr="00A628D9" w:rsidRDefault="00995CE5" w:rsidP="00933BE2">
            <w:pPr>
              <w:spacing w:after="0" w:line="240" w:lineRule="auto"/>
              <w:jc w:val="center"/>
              <w:rPr>
                <w:sz w:val="20"/>
                <w:szCs w:val="20"/>
              </w:rPr>
            </w:pPr>
          </w:p>
        </w:tc>
        <w:tc>
          <w:tcPr>
            <w:tcW w:w="708" w:type="dxa"/>
          </w:tcPr>
          <w:p w14:paraId="7B175029" w14:textId="77777777" w:rsidR="00995CE5" w:rsidRPr="00A628D9" w:rsidRDefault="00995CE5" w:rsidP="00933BE2">
            <w:pPr>
              <w:spacing w:after="0" w:line="240" w:lineRule="auto"/>
              <w:jc w:val="center"/>
              <w:rPr>
                <w:sz w:val="20"/>
                <w:szCs w:val="20"/>
              </w:rPr>
            </w:pPr>
            <w:r w:rsidRPr="00A628D9">
              <w:rPr>
                <w:sz w:val="20"/>
                <w:szCs w:val="20"/>
              </w:rPr>
              <w:t>R</w:t>
            </w:r>
          </w:p>
        </w:tc>
        <w:tc>
          <w:tcPr>
            <w:tcW w:w="1134" w:type="dxa"/>
          </w:tcPr>
          <w:p w14:paraId="486B22D0" w14:textId="77777777" w:rsidR="00995CE5" w:rsidRPr="00A628D9" w:rsidRDefault="00995CE5" w:rsidP="00933BE2">
            <w:pPr>
              <w:spacing w:after="0" w:line="240" w:lineRule="auto"/>
              <w:jc w:val="center"/>
              <w:rPr>
                <w:sz w:val="20"/>
                <w:szCs w:val="20"/>
              </w:rPr>
            </w:pPr>
            <w:r w:rsidRPr="00A628D9">
              <w:rPr>
                <w:sz w:val="20"/>
                <w:szCs w:val="20"/>
              </w:rPr>
              <w:t>2</w:t>
            </w:r>
          </w:p>
        </w:tc>
        <w:tc>
          <w:tcPr>
            <w:tcW w:w="1276" w:type="dxa"/>
          </w:tcPr>
          <w:p w14:paraId="51237162" w14:textId="77777777" w:rsidR="00995CE5" w:rsidRPr="00A628D9" w:rsidRDefault="00995CE5" w:rsidP="00933BE2">
            <w:pPr>
              <w:spacing w:after="0" w:line="240" w:lineRule="auto"/>
              <w:jc w:val="center"/>
              <w:rPr>
                <w:sz w:val="20"/>
                <w:szCs w:val="20"/>
              </w:rPr>
            </w:pPr>
            <w:r w:rsidRPr="00A628D9">
              <w:rPr>
                <w:sz w:val="20"/>
                <w:szCs w:val="20"/>
              </w:rPr>
              <w:t>1</w:t>
            </w:r>
          </w:p>
        </w:tc>
        <w:tc>
          <w:tcPr>
            <w:tcW w:w="851" w:type="dxa"/>
          </w:tcPr>
          <w:p w14:paraId="57C1A50D" w14:textId="77777777" w:rsidR="00995CE5" w:rsidRPr="00A628D9" w:rsidRDefault="00995CE5" w:rsidP="00933BE2">
            <w:pPr>
              <w:spacing w:after="0" w:line="240" w:lineRule="auto"/>
              <w:jc w:val="center"/>
              <w:rPr>
                <w:sz w:val="20"/>
                <w:szCs w:val="20"/>
              </w:rPr>
            </w:pPr>
            <w:r w:rsidRPr="00A628D9">
              <w:rPr>
                <w:sz w:val="20"/>
                <w:szCs w:val="20"/>
              </w:rPr>
              <w:t>1</w:t>
            </w:r>
          </w:p>
        </w:tc>
        <w:tc>
          <w:tcPr>
            <w:tcW w:w="850" w:type="dxa"/>
          </w:tcPr>
          <w:p w14:paraId="3AE5C581" w14:textId="77777777" w:rsidR="00995CE5" w:rsidRPr="00A628D9" w:rsidRDefault="00995CE5" w:rsidP="00933BE2">
            <w:pPr>
              <w:spacing w:after="0" w:line="240" w:lineRule="auto"/>
              <w:jc w:val="center"/>
              <w:rPr>
                <w:sz w:val="20"/>
                <w:szCs w:val="20"/>
              </w:rPr>
            </w:pPr>
          </w:p>
        </w:tc>
        <w:tc>
          <w:tcPr>
            <w:tcW w:w="814" w:type="dxa"/>
          </w:tcPr>
          <w:p w14:paraId="1BD6C147" w14:textId="77777777" w:rsidR="00995CE5" w:rsidRPr="00A628D9" w:rsidRDefault="00995CE5" w:rsidP="00933BE2">
            <w:pPr>
              <w:spacing w:after="0" w:line="240" w:lineRule="auto"/>
              <w:jc w:val="center"/>
              <w:rPr>
                <w:sz w:val="20"/>
                <w:szCs w:val="20"/>
              </w:rPr>
            </w:pPr>
          </w:p>
        </w:tc>
      </w:tr>
      <w:tr w:rsidR="00995CE5" w:rsidRPr="00A628D9" w14:paraId="5B9427AB" w14:textId="77777777" w:rsidTr="00AE07C3">
        <w:tc>
          <w:tcPr>
            <w:tcW w:w="4106" w:type="dxa"/>
          </w:tcPr>
          <w:p w14:paraId="540BA4E8" w14:textId="77777777" w:rsidR="00995CE5" w:rsidRPr="00A628D9" w:rsidRDefault="00995CE5" w:rsidP="00933BE2">
            <w:pPr>
              <w:spacing w:after="0" w:line="240" w:lineRule="auto"/>
              <w:rPr>
                <w:sz w:val="20"/>
                <w:szCs w:val="20"/>
              </w:rPr>
            </w:pPr>
            <w:r w:rsidRPr="00A628D9">
              <w:rPr>
                <w:sz w:val="20"/>
                <w:szCs w:val="20"/>
              </w:rPr>
              <w:t>Crested Shrike-tit</w:t>
            </w:r>
          </w:p>
        </w:tc>
        <w:tc>
          <w:tcPr>
            <w:tcW w:w="4678" w:type="dxa"/>
          </w:tcPr>
          <w:p w14:paraId="5DC22E5F" w14:textId="77777777" w:rsidR="00995CE5" w:rsidRPr="00A628D9" w:rsidRDefault="00995CE5" w:rsidP="00933BE2">
            <w:pPr>
              <w:spacing w:after="0" w:line="240" w:lineRule="auto"/>
              <w:rPr>
                <w:i/>
                <w:iCs/>
                <w:sz w:val="20"/>
                <w:szCs w:val="20"/>
              </w:rPr>
            </w:pPr>
            <w:r w:rsidRPr="00A628D9">
              <w:rPr>
                <w:i/>
                <w:iCs/>
                <w:sz w:val="20"/>
                <w:szCs w:val="20"/>
              </w:rPr>
              <w:t>Falcunculus frontatus</w:t>
            </w:r>
          </w:p>
        </w:tc>
        <w:tc>
          <w:tcPr>
            <w:tcW w:w="709" w:type="dxa"/>
          </w:tcPr>
          <w:p w14:paraId="7D79E765" w14:textId="77777777" w:rsidR="00995CE5" w:rsidRPr="00A628D9" w:rsidRDefault="00995CE5" w:rsidP="00933BE2">
            <w:pPr>
              <w:spacing w:after="0" w:line="240" w:lineRule="auto"/>
              <w:jc w:val="center"/>
              <w:rPr>
                <w:sz w:val="20"/>
                <w:szCs w:val="20"/>
              </w:rPr>
            </w:pPr>
          </w:p>
        </w:tc>
        <w:tc>
          <w:tcPr>
            <w:tcW w:w="708" w:type="dxa"/>
          </w:tcPr>
          <w:p w14:paraId="48AF1BAE" w14:textId="77777777" w:rsidR="00995CE5" w:rsidRPr="00A628D9" w:rsidRDefault="00995CE5" w:rsidP="00933BE2">
            <w:pPr>
              <w:spacing w:after="0" w:line="240" w:lineRule="auto"/>
              <w:jc w:val="center"/>
              <w:rPr>
                <w:sz w:val="20"/>
                <w:szCs w:val="20"/>
              </w:rPr>
            </w:pPr>
            <w:r w:rsidRPr="00A628D9">
              <w:rPr>
                <w:sz w:val="20"/>
                <w:szCs w:val="20"/>
              </w:rPr>
              <w:t>V</w:t>
            </w:r>
          </w:p>
        </w:tc>
        <w:tc>
          <w:tcPr>
            <w:tcW w:w="1134" w:type="dxa"/>
          </w:tcPr>
          <w:p w14:paraId="00C5C425" w14:textId="77777777" w:rsidR="00995CE5" w:rsidRPr="00A628D9" w:rsidRDefault="00995CE5" w:rsidP="00933BE2">
            <w:pPr>
              <w:spacing w:after="0" w:line="240" w:lineRule="auto"/>
              <w:jc w:val="center"/>
              <w:rPr>
                <w:sz w:val="20"/>
                <w:szCs w:val="20"/>
              </w:rPr>
            </w:pPr>
            <w:r w:rsidRPr="00A628D9">
              <w:rPr>
                <w:sz w:val="20"/>
                <w:szCs w:val="20"/>
              </w:rPr>
              <w:t>2</w:t>
            </w:r>
          </w:p>
        </w:tc>
        <w:tc>
          <w:tcPr>
            <w:tcW w:w="1276" w:type="dxa"/>
          </w:tcPr>
          <w:p w14:paraId="3E02826E" w14:textId="77777777" w:rsidR="00995CE5" w:rsidRPr="00A628D9" w:rsidRDefault="00995CE5" w:rsidP="00933BE2">
            <w:pPr>
              <w:spacing w:after="0" w:line="240" w:lineRule="auto"/>
              <w:jc w:val="center"/>
              <w:rPr>
                <w:sz w:val="20"/>
                <w:szCs w:val="20"/>
              </w:rPr>
            </w:pPr>
          </w:p>
        </w:tc>
        <w:tc>
          <w:tcPr>
            <w:tcW w:w="851" w:type="dxa"/>
          </w:tcPr>
          <w:p w14:paraId="01527847" w14:textId="77777777" w:rsidR="00995CE5" w:rsidRPr="00A628D9" w:rsidRDefault="00995CE5" w:rsidP="00933BE2">
            <w:pPr>
              <w:spacing w:after="0" w:line="240" w:lineRule="auto"/>
              <w:jc w:val="center"/>
              <w:rPr>
                <w:sz w:val="20"/>
                <w:szCs w:val="20"/>
              </w:rPr>
            </w:pPr>
            <w:r w:rsidRPr="00A628D9">
              <w:rPr>
                <w:sz w:val="20"/>
                <w:szCs w:val="20"/>
              </w:rPr>
              <w:t>2</w:t>
            </w:r>
          </w:p>
        </w:tc>
        <w:tc>
          <w:tcPr>
            <w:tcW w:w="850" w:type="dxa"/>
          </w:tcPr>
          <w:p w14:paraId="53DCF137" w14:textId="77777777" w:rsidR="00995CE5" w:rsidRPr="00A628D9" w:rsidRDefault="00995CE5" w:rsidP="00933BE2">
            <w:pPr>
              <w:spacing w:after="0" w:line="240" w:lineRule="auto"/>
              <w:jc w:val="center"/>
              <w:rPr>
                <w:sz w:val="20"/>
                <w:szCs w:val="20"/>
              </w:rPr>
            </w:pPr>
          </w:p>
        </w:tc>
        <w:tc>
          <w:tcPr>
            <w:tcW w:w="814" w:type="dxa"/>
          </w:tcPr>
          <w:p w14:paraId="5E1EB860" w14:textId="77777777" w:rsidR="00995CE5" w:rsidRPr="00A628D9" w:rsidRDefault="00995CE5" w:rsidP="00933BE2">
            <w:pPr>
              <w:spacing w:after="0" w:line="240" w:lineRule="auto"/>
              <w:jc w:val="center"/>
              <w:rPr>
                <w:sz w:val="20"/>
                <w:szCs w:val="20"/>
              </w:rPr>
            </w:pPr>
          </w:p>
        </w:tc>
      </w:tr>
      <w:tr w:rsidR="00995CE5" w:rsidRPr="00A628D9" w14:paraId="5E0915DA" w14:textId="77777777" w:rsidTr="00AE07C3">
        <w:tc>
          <w:tcPr>
            <w:tcW w:w="4106" w:type="dxa"/>
          </w:tcPr>
          <w:p w14:paraId="5DC2C16E" w14:textId="77777777" w:rsidR="00995CE5" w:rsidRPr="00A628D9" w:rsidRDefault="00995CE5" w:rsidP="00933BE2">
            <w:pPr>
              <w:spacing w:after="0" w:line="240" w:lineRule="auto"/>
              <w:rPr>
                <w:sz w:val="20"/>
                <w:szCs w:val="20"/>
              </w:rPr>
            </w:pPr>
            <w:r>
              <w:rPr>
                <w:sz w:val="20"/>
                <w:szCs w:val="20"/>
              </w:rPr>
              <w:t>Freckled Duck</w:t>
            </w:r>
          </w:p>
        </w:tc>
        <w:tc>
          <w:tcPr>
            <w:tcW w:w="4678" w:type="dxa"/>
          </w:tcPr>
          <w:p w14:paraId="138391E6" w14:textId="77777777" w:rsidR="00995CE5" w:rsidRPr="00A628D9" w:rsidRDefault="00995CE5" w:rsidP="00933BE2">
            <w:pPr>
              <w:spacing w:after="0" w:line="240" w:lineRule="auto"/>
              <w:rPr>
                <w:i/>
                <w:iCs/>
                <w:sz w:val="20"/>
                <w:szCs w:val="20"/>
              </w:rPr>
            </w:pPr>
            <w:r>
              <w:rPr>
                <w:i/>
                <w:iCs/>
                <w:sz w:val="20"/>
                <w:szCs w:val="20"/>
              </w:rPr>
              <w:t>Stictonetta naevosa</w:t>
            </w:r>
          </w:p>
        </w:tc>
        <w:tc>
          <w:tcPr>
            <w:tcW w:w="709" w:type="dxa"/>
          </w:tcPr>
          <w:p w14:paraId="3980DE7A" w14:textId="77777777" w:rsidR="00995CE5" w:rsidRPr="00A628D9" w:rsidRDefault="00995CE5" w:rsidP="00933BE2">
            <w:pPr>
              <w:spacing w:after="0" w:line="240" w:lineRule="auto"/>
              <w:jc w:val="center"/>
              <w:rPr>
                <w:sz w:val="20"/>
                <w:szCs w:val="20"/>
              </w:rPr>
            </w:pPr>
          </w:p>
        </w:tc>
        <w:tc>
          <w:tcPr>
            <w:tcW w:w="708" w:type="dxa"/>
          </w:tcPr>
          <w:p w14:paraId="1FE3B175" w14:textId="77777777" w:rsidR="00995CE5" w:rsidRPr="00A628D9" w:rsidRDefault="00995CE5" w:rsidP="00933BE2">
            <w:pPr>
              <w:spacing w:after="0" w:line="240" w:lineRule="auto"/>
              <w:jc w:val="center"/>
              <w:rPr>
                <w:sz w:val="20"/>
                <w:szCs w:val="20"/>
              </w:rPr>
            </w:pPr>
            <w:r>
              <w:rPr>
                <w:sz w:val="20"/>
                <w:szCs w:val="20"/>
              </w:rPr>
              <w:t>V</w:t>
            </w:r>
          </w:p>
        </w:tc>
        <w:tc>
          <w:tcPr>
            <w:tcW w:w="1134" w:type="dxa"/>
          </w:tcPr>
          <w:p w14:paraId="7D1BA5C0" w14:textId="77777777" w:rsidR="00995CE5" w:rsidRPr="00A628D9" w:rsidRDefault="00995CE5" w:rsidP="00933BE2">
            <w:pPr>
              <w:spacing w:after="0" w:line="240" w:lineRule="auto"/>
              <w:jc w:val="center"/>
              <w:rPr>
                <w:sz w:val="20"/>
                <w:szCs w:val="20"/>
              </w:rPr>
            </w:pPr>
            <w:r>
              <w:rPr>
                <w:sz w:val="20"/>
                <w:szCs w:val="20"/>
              </w:rPr>
              <w:t>8</w:t>
            </w:r>
          </w:p>
        </w:tc>
        <w:tc>
          <w:tcPr>
            <w:tcW w:w="1276" w:type="dxa"/>
          </w:tcPr>
          <w:p w14:paraId="28B2A532" w14:textId="77777777" w:rsidR="00995CE5" w:rsidRPr="00A628D9" w:rsidRDefault="00995CE5" w:rsidP="00933BE2">
            <w:pPr>
              <w:spacing w:after="0" w:line="240" w:lineRule="auto"/>
              <w:jc w:val="center"/>
              <w:rPr>
                <w:sz w:val="20"/>
                <w:szCs w:val="20"/>
              </w:rPr>
            </w:pPr>
            <w:r>
              <w:rPr>
                <w:sz w:val="20"/>
                <w:szCs w:val="20"/>
              </w:rPr>
              <w:t>2</w:t>
            </w:r>
          </w:p>
        </w:tc>
        <w:tc>
          <w:tcPr>
            <w:tcW w:w="851" w:type="dxa"/>
          </w:tcPr>
          <w:p w14:paraId="68783F1C" w14:textId="77777777" w:rsidR="00995CE5" w:rsidRPr="00A628D9" w:rsidRDefault="00995CE5" w:rsidP="00933BE2">
            <w:pPr>
              <w:spacing w:after="0" w:line="240" w:lineRule="auto"/>
              <w:jc w:val="center"/>
              <w:rPr>
                <w:sz w:val="20"/>
                <w:szCs w:val="20"/>
              </w:rPr>
            </w:pPr>
            <w:r>
              <w:rPr>
                <w:sz w:val="20"/>
                <w:szCs w:val="20"/>
              </w:rPr>
              <w:t>2</w:t>
            </w:r>
          </w:p>
        </w:tc>
        <w:tc>
          <w:tcPr>
            <w:tcW w:w="850" w:type="dxa"/>
          </w:tcPr>
          <w:p w14:paraId="681A0E1B" w14:textId="77777777" w:rsidR="00995CE5" w:rsidRPr="00A628D9" w:rsidRDefault="00995CE5" w:rsidP="00933BE2">
            <w:pPr>
              <w:spacing w:after="0" w:line="240" w:lineRule="auto"/>
              <w:jc w:val="center"/>
              <w:rPr>
                <w:sz w:val="20"/>
                <w:szCs w:val="20"/>
              </w:rPr>
            </w:pPr>
            <w:r>
              <w:rPr>
                <w:sz w:val="20"/>
                <w:szCs w:val="20"/>
              </w:rPr>
              <w:t>1</w:t>
            </w:r>
          </w:p>
        </w:tc>
        <w:tc>
          <w:tcPr>
            <w:tcW w:w="814" w:type="dxa"/>
          </w:tcPr>
          <w:p w14:paraId="4A9C0217" w14:textId="77777777" w:rsidR="00995CE5" w:rsidRPr="00A628D9" w:rsidRDefault="00995CE5" w:rsidP="00933BE2">
            <w:pPr>
              <w:spacing w:after="0" w:line="240" w:lineRule="auto"/>
              <w:jc w:val="center"/>
              <w:rPr>
                <w:sz w:val="20"/>
                <w:szCs w:val="20"/>
              </w:rPr>
            </w:pPr>
            <w:r>
              <w:rPr>
                <w:sz w:val="20"/>
                <w:szCs w:val="20"/>
              </w:rPr>
              <w:t>3</w:t>
            </w:r>
          </w:p>
        </w:tc>
      </w:tr>
      <w:tr w:rsidR="00995CE5" w:rsidRPr="00A628D9" w14:paraId="66E8B5C8" w14:textId="77777777" w:rsidTr="00AE07C3">
        <w:tc>
          <w:tcPr>
            <w:tcW w:w="4106" w:type="dxa"/>
          </w:tcPr>
          <w:p w14:paraId="1D9842CF" w14:textId="77777777" w:rsidR="00995CE5" w:rsidRPr="00A628D9" w:rsidRDefault="00995CE5" w:rsidP="00933BE2">
            <w:pPr>
              <w:spacing w:after="0" w:line="240" w:lineRule="auto"/>
              <w:rPr>
                <w:sz w:val="20"/>
                <w:szCs w:val="20"/>
              </w:rPr>
            </w:pPr>
            <w:r>
              <w:rPr>
                <w:sz w:val="20"/>
                <w:szCs w:val="20"/>
              </w:rPr>
              <w:t>Glossy Ibis</w:t>
            </w:r>
          </w:p>
        </w:tc>
        <w:tc>
          <w:tcPr>
            <w:tcW w:w="4678" w:type="dxa"/>
          </w:tcPr>
          <w:p w14:paraId="7547C747" w14:textId="77777777" w:rsidR="00995CE5" w:rsidRPr="00A628D9" w:rsidRDefault="00995CE5" w:rsidP="00933BE2">
            <w:pPr>
              <w:spacing w:after="0" w:line="240" w:lineRule="auto"/>
              <w:rPr>
                <w:i/>
                <w:iCs/>
                <w:sz w:val="20"/>
                <w:szCs w:val="20"/>
              </w:rPr>
            </w:pPr>
            <w:r>
              <w:rPr>
                <w:i/>
                <w:iCs/>
                <w:sz w:val="20"/>
                <w:szCs w:val="20"/>
              </w:rPr>
              <w:t>Plegadis falcinellus</w:t>
            </w:r>
          </w:p>
        </w:tc>
        <w:tc>
          <w:tcPr>
            <w:tcW w:w="709" w:type="dxa"/>
          </w:tcPr>
          <w:p w14:paraId="5DB4E4F4" w14:textId="77777777" w:rsidR="00995CE5" w:rsidRPr="00A628D9" w:rsidRDefault="00995CE5" w:rsidP="00933BE2">
            <w:pPr>
              <w:spacing w:after="0" w:line="240" w:lineRule="auto"/>
              <w:jc w:val="center"/>
              <w:rPr>
                <w:sz w:val="20"/>
                <w:szCs w:val="20"/>
              </w:rPr>
            </w:pPr>
          </w:p>
        </w:tc>
        <w:tc>
          <w:tcPr>
            <w:tcW w:w="708" w:type="dxa"/>
          </w:tcPr>
          <w:p w14:paraId="7FC04FB6"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0FBEE89D" w14:textId="77777777" w:rsidR="00995CE5" w:rsidRPr="00A628D9" w:rsidRDefault="00995CE5" w:rsidP="00933BE2">
            <w:pPr>
              <w:spacing w:after="0" w:line="240" w:lineRule="auto"/>
              <w:jc w:val="center"/>
              <w:rPr>
                <w:sz w:val="20"/>
                <w:szCs w:val="20"/>
              </w:rPr>
            </w:pPr>
            <w:r>
              <w:rPr>
                <w:sz w:val="20"/>
                <w:szCs w:val="20"/>
              </w:rPr>
              <w:t>2</w:t>
            </w:r>
          </w:p>
        </w:tc>
        <w:tc>
          <w:tcPr>
            <w:tcW w:w="1276" w:type="dxa"/>
          </w:tcPr>
          <w:p w14:paraId="29EE8D4D" w14:textId="77777777" w:rsidR="00995CE5" w:rsidRPr="00A628D9" w:rsidRDefault="00995CE5" w:rsidP="00933BE2">
            <w:pPr>
              <w:spacing w:after="0" w:line="240" w:lineRule="auto"/>
              <w:jc w:val="center"/>
              <w:rPr>
                <w:sz w:val="20"/>
                <w:szCs w:val="20"/>
              </w:rPr>
            </w:pPr>
            <w:r>
              <w:rPr>
                <w:sz w:val="20"/>
                <w:szCs w:val="20"/>
              </w:rPr>
              <w:t>1</w:t>
            </w:r>
          </w:p>
        </w:tc>
        <w:tc>
          <w:tcPr>
            <w:tcW w:w="851" w:type="dxa"/>
          </w:tcPr>
          <w:p w14:paraId="3FAF9AA4" w14:textId="77777777" w:rsidR="00995CE5" w:rsidRPr="00A628D9" w:rsidRDefault="00995CE5" w:rsidP="00933BE2">
            <w:pPr>
              <w:spacing w:after="0" w:line="240" w:lineRule="auto"/>
              <w:jc w:val="center"/>
              <w:rPr>
                <w:sz w:val="20"/>
                <w:szCs w:val="20"/>
              </w:rPr>
            </w:pPr>
            <w:r>
              <w:rPr>
                <w:sz w:val="20"/>
                <w:szCs w:val="20"/>
              </w:rPr>
              <w:t>1</w:t>
            </w:r>
          </w:p>
        </w:tc>
        <w:tc>
          <w:tcPr>
            <w:tcW w:w="850" w:type="dxa"/>
          </w:tcPr>
          <w:p w14:paraId="4ECC4CFC" w14:textId="77777777" w:rsidR="00995CE5" w:rsidRPr="00A628D9" w:rsidRDefault="00995CE5" w:rsidP="00933BE2">
            <w:pPr>
              <w:spacing w:after="0" w:line="240" w:lineRule="auto"/>
              <w:jc w:val="center"/>
              <w:rPr>
                <w:sz w:val="20"/>
                <w:szCs w:val="20"/>
              </w:rPr>
            </w:pPr>
          </w:p>
        </w:tc>
        <w:tc>
          <w:tcPr>
            <w:tcW w:w="814" w:type="dxa"/>
          </w:tcPr>
          <w:p w14:paraId="0EB23D5C" w14:textId="77777777" w:rsidR="00995CE5" w:rsidRPr="00A628D9" w:rsidRDefault="00995CE5" w:rsidP="00933BE2">
            <w:pPr>
              <w:spacing w:after="0" w:line="240" w:lineRule="auto"/>
              <w:jc w:val="center"/>
              <w:rPr>
                <w:sz w:val="20"/>
                <w:szCs w:val="20"/>
              </w:rPr>
            </w:pPr>
          </w:p>
        </w:tc>
      </w:tr>
      <w:tr w:rsidR="00995CE5" w:rsidRPr="00A628D9" w14:paraId="55E00C37" w14:textId="77777777" w:rsidTr="00AE07C3">
        <w:tc>
          <w:tcPr>
            <w:tcW w:w="4106" w:type="dxa"/>
          </w:tcPr>
          <w:p w14:paraId="08929ED0" w14:textId="77777777" w:rsidR="00995CE5" w:rsidRPr="00A628D9" w:rsidRDefault="00995CE5" w:rsidP="00933BE2">
            <w:pPr>
              <w:spacing w:after="0" w:line="240" w:lineRule="auto"/>
              <w:rPr>
                <w:sz w:val="20"/>
                <w:szCs w:val="20"/>
              </w:rPr>
            </w:pPr>
            <w:r>
              <w:rPr>
                <w:sz w:val="20"/>
                <w:szCs w:val="20"/>
              </w:rPr>
              <w:t>Golden-headed Cisticola</w:t>
            </w:r>
          </w:p>
        </w:tc>
        <w:tc>
          <w:tcPr>
            <w:tcW w:w="4678" w:type="dxa"/>
          </w:tcPr>
          <w:p w14:paraId="7BE34D47" w14:textId="77777777" w:rsidR="00995CE5" w:rsidRPr="00A628D9" w:rsidRDefault="00995CE5" w:rsidP="00933BE2">
            <w:pPr>
              <w:spacing w:after="0" w:line="240" w:lineRule="auto"/>
              <w:rPr>
                <w:i/>
                <w:iCs/>
                <w:sz w:val="20"/>
                <w:szCs w:val="20"/>
              </w:rPr>
            </w:pPr>
            <w:r>
              <w:rPr>
                <w:i/>
                <w:iCs/>
                <w:sz w:val="20"/>
                <w:szCs w:val="20"/>
              </w:rPr>
              <w:t>Cisticola exilis</w:t>
            </w:r>
          </w:p>
        </w:tc>
        <w:tc>
          <w:tcPr>
            <w:tcW w:w="709" w:type="dxa"/>
          </w:tcPr>
          <w:p w14:paraId="5A189414" w14:textId="77777777" w:rsidR="00995CE5" w:rsidRPr="00A628D9" w:rsidRDefault="00995CE5" w:rsidP="00933BE2">
            <w:pPr>
              <w:spacing w:after="0" w:line="240" w:lineRule="auto"/>
              <w:jc w:val="center"/>
              <w:rPr>
                <w:sz w:val="20"/>
                <w:szCs w:val="20"/>
              </w:rPr>
            </w:pPr>
          </w:p>
        </w:tc>
        <w:tc>
          <w:tcPr>
            <w:tcW w:w="708" w:type="dxa"/>
          </w:tcPr>
          <w:p w14:paraId="7BF5A3B2"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1995DB1A" w14:textId="77777777" w:rsidR="00995CE5" w:rsidRPr="00A628D9" w:rsidRDefault="00995CE5" w:rsidP="00933BE2">
            <w:pPr>
              <w:spacing w:after="0" w:line="240" w:lineRule="auto"/>
              <w:jc w:val="center"/>
              <w:rPr>
                <w:sz w:val="20"/>
                <w:szCs w:val="20"/>
              </w:rPr>
            </w:pPr>
            <w:r>
              <w:rPr>
                <w:sz w:val="20"/>
                <w:szCs w:val="20"/>
              </w:rPr>
              <w:t>5</w:t>
            </w:r>
          </w:p>
        </w:tc>
        <w:tc>
          <w:tcPr>
            <w:tcW w:w="1276" w:type="dxa"/>
          </w:tcPr>
          <w:p w14:paraId="25033C9A" w14:textId="77777777" w:rsidR="00995CE5" w:rsidRPr="00A628D9" w:rsidRDefault="00995CE5" w:rsidP="00933BE2">
            <w:pPr>
              <w:spacing w:after="0" w:line="240" w:lineRule="auto"/>
              <w:jc w:val="center"/>
              <w:rPr>
                <w:sz w:val="20"/>
                <w:szCs w:val="20"/>
              </w:rPr>
            </w:pPr>
            <w:r>
              <w:rPr>
                <w:sz w:val="20"/>
                <w:szCs w:val="20"/>
              </w:rPr>
              <w:t>2</w:t>
            </w:r>
          </w:p>
        </w:tc>
        <w:tc>
          <w:tcPr>
            <w:tcW w:w="851" w:type="dxa"/>
          </w:tcPr>
          <w:p w14:paraId="0838B6B7" w14:textId="77777777" w:rsidR="00995CE5" w:rsidRPr="00A628D9" w:rsidRDefault="00995CE5" w:rsidP="00933BE2">
            <w:pPr>
              <w:spacing w:after="0" w:line="240" w:lineRule="auto"/>
              <w:jc w:val="center"/>
              <w:rPr>
                <w:sz w:val="20"/>
                <w:szCs w:val="20"/>
              </w:rPr>
            </w:pPr>
            <w:r>
              <w:rPr>
                <w:sz w:val="20"/>
                <w:szCs w:val="20"/>
              </w:rPr>
              <w:t>3</w:t>
            </w:r>
          </w:p>
        </w:tc>
        <w:tc>
          <w:tcPr>
            <w:tcW w:w="850" w:type="dxa"/>
          </w:tcPr>
          <w:p w14:paraId="02C64AFF" w14:textId="77777777" w:rsidR="00995CE5" w:rsidRPr="00A628D9" w:rsidRDefault="00995CE5" w:rsidP="00933BE2">
            <w:pPr>
              <w:spacing w:after="0" w:line="240" w:lineRule="auto"/>
              <w:jc w:val="center"/>
              <w:rPr>
                <w:sz w:val="20"/>
                <w:szCs w:val="20"/>
              </w:rPr>
            </w:pPr>
          </w:p>
        </w:tc>
        <w:tc>
          <w:tcPr>
            <w:tcW w:w="814" w:type="dxa"/>
          </w:tcPr>
          <w:p w14:paraId="0C37DB2D" w14:textId="77777777" w:rsidR="00995CE5" w:rsidRPr="00A628D9" w:rsidRDefault="00995CE5" w:rsidP="00933BE2">
            <w:pPr>
              <w:spacing w:after="0" w:line="240" w:lineRule="auto"/>
              <w:jc w:val="center"/>
              <w:rPr>
                <w:sz w:val="20"/>
                <w:szCs w:val="20"/>
              </w:rPr>
            </w:pPr>
          </w:p>
        </w:tc>
      </w:tr>
      <w:tr w:rsidR="00995CE5" w:rsidRPr="00A628D9" w14:paraId="7208A987" w14:textId="77777777" w:rsidTr="00AE07C3">
        <w:tc>
          <w:tcPr>
            <w:tcW w:w="4106" w:type="dxa"/>
          </w:tcPr>
          <w:p w14:paraId="0F4173AA" w14:textId="77777777" w:rsidR="00995CE5" w:rsidRPr="00A628D9" w:rsidRDefault="00995CE5" w:rsidP="00933BE2">
            <w:pPr>
              <w:spacing w:after="0" w:line="240" w:lineRule="auto"/>
              <w:rPr>
                <w:sz w:val="20"/>
                <w:szCs w:val="20"/>
              </w:rPr>
            </w:pPr>
            <w:r>
              <w:rPr>
                <w:sz w:val="20"/>
                <w:szCs w:val="20"/>
              </w:rPr>
              <w:t>Great Crested Grebe</w:t>
            </w:r>
          </w:p>
        </w:tc>
        <w:tc>
          <w:tcPr>
            <w:tcW w:w="4678" w:type="dxa"/>
          </w:tcPr>
          <w:p w14:paraId="5CFEF535" w14:textId="77777777" w:rsidR="00995CE5" w:rsidRPr="00A628D9" w:rsidRDefault="00995CE5" w:rsidP="00933BE2">
            <w:pPr>
              <w:spacing w:after="0" w:line="240" w:lineRule="auto"/>
              <w:rPr>
                <w:i/>
                <w:iCs/>
                <w:sz w:val="20"/>
                <w:szCs w:val="20"/>
              </w:rPr>
            </w:pPr>
            <w:r>
              <w:rPr>
                <w:i/>
                <w:iCs/>
                <w:sz w:val="20"/>
                <w:szCs w:val="20"/>
              </w:rPr>
              <w:t>Podiceps cristatus</w:t>
            </w:r>
          </w:p>
        </w:tc>
        <w:tc>
          <w:tcPr>
            <w:tcW w:w="709" w:type="dxa"/>
          </w:tcPr>
          <w:p w14:paraId="3C11D1CA" w14:textId="77777777" w:rsidR="00995CE5" w:rsidRPr="00A628D9" w:rsidRDefault="00995CE5" w:rsidP="00933BE2">
            <w:pPr>
              <w:spacing w:after="0" w:line="240" w:lineRule="auto"/>
              <w:jc w:val="center"/>
              <w:rPr>
                <w:sz w:val="20"/>
                <w:szCs w:val="20"/>
              </w:rPr>
            </w:pPr>
          </w:p>
        </w:tc>
        <w:tc>
          <w:tcPr>
            <w:tcW w:w="708" w:type="dxa"/>
          </w:tcPr>
          <w:p w14:paraId="12A9FC91"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1E4AF369" w14:textId="77777777" w:rsidR="00995CE5" w:rsidRPr="00A628D9" w:rsidRDefault="00995CE5" w:rsidP="00933BE2">
            <w:pPr>
              <w:spacing w:after="0" w:line="240" w:lineRule="auto"/>
              <w:jc w:val="center"/>
              <w:rPr>
                <w:sz w:val="20"/>
                <w:szCs w:val="20"/>
              </w:rPr>
            </w:pPr>
            <w:r>
              <w:rPr>
                <w:sz w:val="20"/>
                <w:szCs w:val="20"/>
              </w:rPr>
              <w:t>12</w:t>
            </w:r>
          </w:p>
        </w:tc>
        <w:tc>
          <w:tcPr>
            <w:tcW w:w="1276" w:type="dxa"/>
          </w:tcPr>
          <w:p w14:paraId="3C68C77B" w14:textId="77777777" w:rsidR="00995CE5" w:rsidRPr="00A628D9" w:rsidRDefault="00995CE5" w:rsidP="00933BE2">
            <w:pPr>
              <w:spacing w:after="0" w:line="240" w:lineRule="auto"/>
              <w:jc w:val="center"/>
              <w:rPr>
                <w:sz w:val="20"/>
                <w:szCs w:val="20"/>
              </w:rPr>
            </w:pPr>
            <w:r>
              <w:rPr>
                <w:sz w:val="20"/>
                <w:szCs w:val="20"/>
              </w:rPr>
              <w:t>6</w:t>
            </w:r>
          </w:p>
        </w:tc>
        <w:tc>
          <w:tcPr>
            <w:tcW w:w="851" w:type="dxa"/>
          </w:tcPr>
          <w:p w14:paraId="1AB98656" w14:textId="77777777" w:rsidR="00995CE5" w:rsidRPr="00A628D9" w:rsidRDefault="00995CE5" w:rsidP="00933BE2">
            <w:pPr>
              <w:spacing w:after="0" w:line="240" w:lineRule="auto"/>
              <w:jc w:val="center"/>
              <w:rPr>
                <w:sz w:val="20"/>
                <w:szCs w:val="20"/>
              </w:rPr>
            </w:pPr>
            <w:r>
              <w:rPr>
                <w:sz w:val="20"/>
                <w:szCs w:val="20"/>
              </w:rPr>
              <w:t>2</w:t>
            </w:r>
          </w:p>
        </w:tc>
        <w:tc>
          <w:tcPr>
            <w:tcW w:w="850" w:type="dxa"/>
          </w:tcPr>
          <w:p w14:paraId="5A63641D" w14:textId="77777777" w:rsidR="00995CE5" w:rsidRPr="00A628D9" w:rsidRDefault="00995CE5" w:rsidP="00933BE2">
            <w:pPr>
              <w:spacing w:after="0" w:line="240" w:lineRule="auto"/>
              <w:jc w:val="center"/>
              <w:rPr>
                <w:sz w:val="20"/>
                <w:szCs w:val="20"/>
              </w:rPr>
            </w:pPr>
          </w:p>
        </w:tc>
        <w:tc>
          <w:tcPr>
            <w:tcW w:w="814" w:type="dxa"/>
          </w:tcPr>
          <w:p w14:paraId="32048254" w14:textId="77777777" w:rsidR="00995CE5" w:rsidRPr="00A628D9" w:rsidRDefault="00995CE5" w:rsidP="00933BE2">
            <w:pPr>
              <w:spacing w:after="0" w:line="240" w:lineRule="auto"/>
              <w:jc w:val="center"/>
              <w:rPr>
                <w:sz w:val="20"/>
                <w:szCs w:val="20"/>
              </w:rPr>
            </w:pPr>
            <w:r>
              <w:rPr>
                <w:sz w:val="20"/>
                <w:szCs w:val="20"/>
              </w:rPr>
              <w:t>4</w:t>
            </w:r>
          </w:p>
        </w:tc>
      </w:tr>
      <w:tr w:rsidR="00995CE5" w:rsidRPr="00A628D9" w14:paraId="78159DE3" w14:textId="77777777" w:rsidTr="00AE07C3">
        <w:tc>
          <w:tcPr>
            <w:tcW w:w="4106" w:type="dxa"/>
          </w:tcPr>
          <w:p w14:paraId="515C9827" w14:textId="77777777" w:rsidR="00995CE5" w:rsidRPr="00A628D9" w:rsidRDefault="00995CE5" w:rsidP="00933BE2">
            <w:pPr>
              <w:spacing w:after="0" w:line="240" w:lineRule="auto"/>
              <w:rPr>
                <w:sz w:val="20"/>
                <w:szCs w:val="20"/>
              </w:rPr>
            </w:pPr>
            <w:r>
              <w:rPr>
                <w:sz w:val="20"/>
                <w:szCs w:val="20"/>
              </w:rPr>
              <w:t>Intermediate Egret</w:t>
            </w:r>
          </w:p>
        </w:tc>
        <w:tc>
          <w:tcPr>
            <w:tcW w:w="4678" w:type="dxa"/>
          </w:tcPr>
          <w:p w14:paraId="6845F099" w14:textId="77777777" w:rsidR="00995CE5" w:rsidRPr="00A628D9" w:rsidRDefault="00995CE5" w:rsidP="00933BE2">
            <w:pPr>
              <w:spacing w:after="0" w:line="240" w:lineRule="auto"/>
              <w:rPr>
                <w:i/>
                <w:iCs/>
                <w:sz w:val="20"/>
                <w:szCs w:val="20"/>
              </w:rPr>
            </w:pPr>
            <w:r>
              <w:rPr>
                <w:i/>
                <w:iCs/>
                <w:sz w:val="20"/>
                <w:szCs w:val="20"/>
              </w:rPr>
              <w:t>Ardea intermedia</w:t>
            </w:r>
          </w:p>
        </w:tc>
        <w:tc>
          <w:tcPr>
            <w:tcW w:w="709" w:type="dxa"/>
          </w:tcPr>
          <w:p w14:paraId="5E2C1504" w14:textId="77777777" w:rsidR="00995CE5" w:rsidRPr="00A628D9" w:rsidRDefault="00995CE5" w:rsidP="00933BE2">
            <w:pPr>
              <w:spacing w:after="0" w:line="240" w:lineRule="auto"/>
              <w:jc w:val="center"/>
              <w:rPr>
                <w:sz w:val="20"/>
                <w:szCs w:val="20"/>
              </w:rPr>
            </w:pPr>
          </w:p>
        </w:tc>
        <w:tc>
          <w:tcPr>
            <w:tcW w:w="708" w:type="dxa"/>
          </w:tcPr>
          <w:p w14:paraId="5C2F28D2"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183DEF7C" w14:textId="77777777" w:rsidR="00995CE5" w:rsidRPr="00A628D9" w:rsidRDefault="00995CE5" w:rsidP="00933BE2">
            <w:pPr>
              <w:spacing w:after="0" w:line="240" w:lineRule="auto"/>
              <w:jc w:val="center"/>
              <w:rPr>
                <w:sz w:val="20"/>
                <w:szCs w:val="20"/>
              </w:rPr>
            </w:pPr>
            <w:r>
              <w:rPr>
                <w:sz w:val="20"/>
                <w:szCs w:val="20"/>
              </w:rPr>
              <w:t>8</w:t>
            </w:r>
          </w:p>
        </w:tc>
        <w:tc>
          <w:tcPr>
            <w:tcW w:w="1276" w:type="dxa"/>
          </w:tcPr>
          <w:p w14:paraId="1B1930CE" w14:textId="77777777" w:rsidR="00995CE5" w:rsidRPr="00A628D9" w:rsidRDefault="00995CE5" w:rsidP="00933BE2">
            <w:pPr>
              <w:spacing w:after="0" w:line="240" w:lineRule="auto"/>
              <w:jc w:val="center"/>
              <w:rPr>
                <w:sz w:val="20"/>
                <w:szCs w:val="20"/>
              </w:rPr>
            </w:pPr>
            <w:r>
              <w:rPr>
                <w:sz w:val="20"/>
                <w:szCs w:val="20"/>
              </w:rPr>
              <w:t>2</w:t>
            </w:r>
          </w:p>
        </w:tc>
        <w:tc>
          <w:tcPr>
            <w:tcW w:w="851" w:type="dxa"/>
          </w:tcPr>
          <w:p w14:paraId="307210A0" w14:textId="77777777" w:rsidR="00995CE5" w:rsidRPr="00A628D9" w:rsidRDefault="00995CE5" w:rsidP="00933BE2">
            <w:pPr>
              <w:spacing w:after="0" w:line="240" w:lineRule="auto"/>
              <w:jc w:val="center"/>
              <w:rPr>
                <w:sz w:val="20"/>
                <w:szCs w:val="20"/>
              </w:rPr>
            </w:pPr>
            <w:r>
              <w:rPr>
                <w:sz w:val="20"/>
                <w:szCs w:val="20"/>
              </w:rPr>
              <w:t>1</w:t>
            </w:r>
          </w:p>
        </w:tc>
        <w:tc>
          <w:tcPr>
            <w:tcW w:w="850" w:type="dxa"/>
          </w:tcPr>
          <w:p w14:paraId="22F49009" w14:textId="77777777" w:rsidR="00995CE5" w:rsidRPr="00A628D9" w:rsidRDefault="00995CE5" w:rsidP="00933BE2">
            <w:pPr>
              <w:spacing w:after="0" w:line="240" w:lineRule="auto"/>
              <w:jc w:val="center"/>
              <w:rPr>
                <w:sz w:val="20"/>
                <w:szCs w:val="20"/>
              </w:rPr>
            </w:pPr>
            <w:r>
              <w:rPr>
                <w:sz w:val="20"/>
                <w:szCs w:val="20"/>
              </w:rPr>
              <w:t>3</w:t>
            </w:r>
          </w:p>
        </w:tc>
        <w:tc>
          <w:tcPr>
            <w:tcW w:w="814" w:type="dxa"/>
          </w:tcPr>
          <w:p w14:paraId="1B466ECE" w14:textId="77777777" w:rsidR="00995CE5" w:rsidRPr="00A628D9" w:rsidRDefault="00995CE5" w:rsidP="00933BE2">
            <w:pPr>
              <w:spacing w:after="0" w:line="240" w:lineRule="auto"/>
              <w:jc w:val="center"/>
              <w:rPr>
                <w:sz w:val="20"/>
                <w:szCs w:val="20"/>
              </w:rPr>
            </w:pPr>
            <w:r>
              <w:rPr>
                <w:sz w:val="20"/>
                <w:szCs w:val="20"/>
              </w:rPr>
              <w:t>2</w:t>
            </w:r>
          </w:p>
        </w:tc>
      </w:tr>
      <w:tr w:rsidR="00995CE5" w:rsidRPr="00A628D9" w14:paraId="313027D4" w14:textId="77777777" w:rsidTr="00AE07C3">
        <w:tc>
          <w:tcPr>
            <w:tcW w:w="4106" w:type="dxa"/>
          </w:tcPr>
          <w:p w14:paraId="7057117C" w14:textId="77777777" w:rsidR="00995CE5" w:rsidRPr="00A628D9" w:rsidRDefault="00995CE5" w:rsidP="00933BE2">
            <w:pPr>
              <w:spacing w:after="0" w:line="240" w:lineRule="auto"/>
              <w:rPr>
                <w:sz w:val="20"/>
                <w:szCs w:val="20"/>
              </w:rPr>
            </w:pPr>
            <w:r>
              <w:rPr>
                <w:sz w:val="20"/>
                <w:szCs w:val="20"/>
              </w:rPr>
              <w:t>Latham’s Snipe</w:t>
            </w:r>
          </w:p>
        </w:tc>
        <w:tc>
          <w:tcPr>
            <w:tcW w:w="4678" w:type="dxa"/>
          </w:tcPr>
          <w:p w14:paraId="5746C459" w14:textId="77777777" w:rsidR="00995CE5" w:rsidRPr="00A628D9" w:rsidRDefault="00995CE5" w:rsidP="00933BE2">
            <w:pPr>
              <w:spacing w:after="0" w:line="240" w:lineRule="auto"/>
              <w:rPr>
                <w:i/>
                <w:iCs/>
                <w:sz w:val="20"/>
                <w:szCs w:val="20"/>
              </w:rPr>
            </w:pPr>
            <w:r>
              <w:rPr>
                <w:i/>
                <w:iCs/>
                <w:sz w:val="20"/>
                <w:szCs w:val="20"/>
              </w:rPr>
              <w:t>Gallinago hardwickii</w:t>
            </w:r>
          </w:p>
        </w:tc>
        <w:tc>
          <w:tcPr>
            <w:tcW w:w="709" w:type="dxa"/>
          </w:tcPr>
          <w:p w14:paraId="50E75F60" w14:textId="77777777" w:rsidR="00995CE5" w:rsidRPr="00A628D9" w:rsidRDefault="00995CE5" w:rsidP="00933BE2">
            <w:pPr>
              <w:spacing w:after="0" w:line="240" w:lineRule="auto"/>
              <w:jc w:val="center"/>
              <w:rPr>
                <w:sz w:val="20"/>
                <w:szCs w:val="20"/>
              </w:rPr>
            </w:pPr>
          </w:p>
        </w:tc>
        <w:tc>
          <w:tcPr>
            <w:tcW w:w="708" w:type="dxa"/>
          </w:tcPr>
          <w:p w14:paraId="5742C5EF" w14:textId="77777777" w:rsidR="00995CE5" w:rsidRPr="00A628D9" w:rsidRDefault="00995CE5" w:rsidP="00933BE2">
            <w:pPr>
              <w:spacing w:after="0" w:line="240" w:lineRule="auto"/>
              <w:jc w:val="center"/>
              <w:rPr>
                <w:sz w:val="20"/>
                <w:szCs w:val="20"/>
              </w:rPr>
            </w:pPr>
            <w:r>
              <w:rPr>
                <w:sz w:val="20"/>
                <w:szCs w:val="20"/>
              </w:rPr>
              <w:t>V</w:t>
            </w:r>
          </w:p>
        </w:tc>
        <w:tc>
          <w:tcPr>
            <w:tcW w:w="1134" w:type="dxa"/>
          </w:tcPr>
          <w:p w14:paraId="37B0366B" w14:textId="77777777" w:rsidR="00995CE5" w:rsidRPr="00A628D9" w:rsidRDefault="00995CE5" w:rsidP="00933BE2">
            <w:pPr>
              <w:spacing w:after="0" w:line="240" w:lineRule="auto"/>
              <w:jc w:val="center"/>
              <w:rPr>
                <w:sz w:val="20"/>
                <w:szCs w:val="20"/>
              </w:rPr>
            </w:pPr>
            <w:r>
              <w:rPr>
                <w:sz w:val="20"/>
                <w:szCs w:val="20"/>
              </w:rPr>
              <w:t>2</w:t>
            </w:r>
          </w:p>
        </w:tc>
        <w:tc>
          <w:tcPr>
            <w:tcW w:w="1276" w:type="dxa"/>
          </w:tcPr>
          <w:p w14:paraId="7E24837B" w14:textId="77777777" w:rsidR="00995CE5" w:rsidRPr="00A628D9" w:rsidRDefault="00995CE5" w:rsidP="00933BE2">
            <w:pPr>
              <w:spacing w:after="0" w:line="240" w:lineRule="auto"/>
              <w:jc w:val="center"/>
              <w:rPr>
                <w:sz w:val="20"/>
                <w:szCs w:val="20"/>
              </w:rPr>
            </w:pPr>
            <w:r>
              <w:rPr>
                <w:sz w:val="20"/>
                <w:szCs w:val="20"/>
              </w:rPr>
              <w:t>2</w:t>
            </w:r>
          </w:p>
        </w:tc>
        <w:tc>
          <w:tcPr>
            <w:tcW w:w="851" w:type="dxa"/>
          </w:tcPr>
          <w:p w14:paraId="59D4F301" w14:textId="77777777" w:rsidR="00995CE5" w:rsidRPr="00A628D9" w:rsidRDefault="00995CE5" w:rsidP="00933BE2">
            <w:pPr>
              <w:spacing w:after="0" w:line="240" w:lineRule="auto"/>
              <w:jc w:val="center"/>
              <w:rPr>
                <w:sz w:val="20"/>
                <w:szCs w:val="20"/>
              </w:rPr>
            </w:pPr>
          </w:p>
        </w:tc>
        <w:tc>
          <w:tcPr>
            <w:tcW w:w="850" w:type="dxa"/>
          </w:tcPr>
          <w:p w14:paraId="597B47CD" w14:textId="77777777" w:rsidR="00995CE5" w:rsidRPr="00A628D9" w:rsidRDefault="00995CE5" w:rsidP="00933BE2">
            <w:pPr>
              <w:spacing w:after="0" w:line="240" w:lineRule="auto"/>
              <w:jc w:val="center"/>
              <w:rPr>
                <w:sz w:val="20"/>
                <w:szCs w:val="20"/>
              </w:rPr>
            </w:pPr>
          </w:p>
        </w:tc>
        <w:tc>
          <w:tcPr>
            <w:tcW w:w="814" w:type="dxa"/>
          </w:tcPr>
          <w:p w14:paraId="697E6687" w14:textId="77777777" w:rsidR="00995CE5" w:rsidRPr="00A628D9" w:rsidRDefault="00995CE5" w:rsidP="00933BE2">
            <w:pPr>
              <w:spacing w:after="0" w:line="240" w:lineRule="auto"/>
              <w:jc w:val="center"/>
              <w:rPr>
                <w:sz w:val="20"/>
                <w:szCs w:val="20"/>
              </w:rPr>
            </w:pPr>
          </w:p>
        </w:tc>
      </w:tr>
      <w:tr w:rsidR="00995CE5" w:rsidRPr="00A628D9" w14:paraId="4A922D2F" w14:textId="77777777" w:rsidTr="00AE07C3">
        <w:tc>
          <w:tcPr>
            <w:tcW w:w="4106" w:type="dxa"/>
          </w:tcPr>
          <w:p w14:paraId="1F74C13D" w14:textId="77777777" w:rsidR="00995CE5" w:rsidRPr="00A628D9" w:rsidRDefault="00995CE5" w:rsidP="00933BE2">
            <w:pPr>
              <w:spacing w:after="0" w:line="240" w:lineRule="auto"/>
              <w:rPr>
                <w:sz w:val="20"/>
                <w:szCs w:val="20"/>
              </w:rPr>
            </w:pPr>
            <w:r>
              <w:rPr>
                <w:sz w:val="20"/>
                <w:szCs w:val="20"/>
              </w:rPr>
              <w:t>Little Bittern</w:t>
            </w:r>
          </w:p>
        </w:tc>
        <w:tc>
          <w:tcPr>
            <w:tcW w:w="4678" w:type="dxa"/>
          </w:tcPr>
          <w:p w14:paraId="5D26171A" w14:textId="77777777" w:rsidR="00995CE5" w:rsidRPr="00A628D9" w:rsidRDefault="00995CE5" w:rsidP="00933BE2">
            <w:pPr>
              <w:spacing w:after="0" w:line="240" w:lineRule="auto"/>
              <w:rPr>
                <w:i/>
                <w:iCs/>
                <w:sz w:val="20"/>
                <w:szCs w:val="20"/>
              </w:rPr>
            </w:pPr>
            <w:r>
              <w:rPr>
                <w:i/>
                <w:iCs/>
                <w:sz w:val="20"/>
                <w:szCs w:val="20"/>
              </w:rPr>
              <w:t>Ixobrychus minutus</w:t>
            </w:r>
          </w:p>
        </w:tc>
        <w:tc>
          <w:tcPr>
            <w:tcW w:w="709" w:type="dxa"/>
          </w:tcPr>
          <w:p w14:paraId="19512766" w14:textId="77777777" w:rsidR="00995CE5" w:rsidRPr="00A628D9" w:rsidRDefault="00995CE5" w:rsidP="00933BE2">
            <w:pPr>
              <w:spacing w:after="0" w:line="240" w:lineRule="auto"/>
              <w:jc w:val="center"/>
              <w:rPr>
                <w:sz w:val="20"/>
                <w:szCs w:val="20"/>
              </w:rPr>
            </w:pPr>
          </w:p>
        </w:tc>
        <w:tc>
          <w:tcPr>
            <w:tcW w:w="708" w:type="dxa"/>
          </w:tcPr>
          <w:p w14:paraId="59613D8F"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0283780F" w14:textId="77777777" w:rsidR="00995CE5" w:rsidRPr="00A628D9" w:rsidRDefault="00995CE5" w:rsidP="00933BE2">
            <w:pPr>
              <w:spacing w:after="0" w:line="240" w:lineRule="auto"/>
              <w:jc w:val="center"/>
              <w:rPr>
                <w:sz w:val="20"/>
                <w:szCs w:val="20"/>
              </w:rPr>
            </w:pPr>
            <w:r>
              <w:rPr>
                <w:sz w:val="20"/>
                <w:szCs w:val="20"/>
              </w:rPr>
              <w:t>1</w:t>
            </w:r>
          </w:p>
        </w:tc>
        <w:tc>
          <w:tcPr>
            <w:tcW w:w="1276" w:type="dxa"/>
          </w:tcPr>
          <w:p w14:paraId="08A19A84" w14:textId="77777777" w:rsidR="00995CE5" w:rsidRPr="00A628D9" w:rsidRDefault="00995CE5" w:rsidP="00933BE2">
            <w:pPr>
              <w:spacing w:after="0" w:line="240" w:lineRule="auto"/>
              <w:jc w:val="center"/>
              <w:rPr>
                <w:sz w:val="20"/>
                <w:szCs w:val="20"/>
              </w:rPr>
            </w:pPr>
            <w:r>
              <w:rPr>
                <w:sz w:val="20"/>
                <w:szCs w:val="20"/>
              </w:rPr>
              <w:t>1</w:t>
            </w:r>
          </w:p>
        </w:tc>
        <w:tc>
          <w:tcPr>
            <w:tcW w:w="851" w:type="dxa"/>
          </w:tcPr>
          <w:p w14:paraId="3AB15CDF" w14:textId="77777777" w:rsidR="00995CE5" w:rsidRPr="00A628D9" w:rsidRDefault="00995CE5" w:rsidP="00933BE2">
            <w:pPr>
              <w:spacing w:after="0" w:line="240" w:lineRule="auto"/>
              <w:jc w:val="center"/>
              <w:rPr>
                <w:sz w:val="20"/>
                <w:szCs w:val="20"/>
              </w:rPr>
            </w:pPr>
          </w:p>
        </w:tc>
        <w:tc>
          <w:tcPr>
            <w:tcW w:w="850" w:type="dxa"/>
          </w:tcPr>
          <w:p w14:paraId="4144BA35" w14:textId="77777777" w:rsidR="00995CE5" w:rsidRPr="00A628D9" w:rsidRDefault="00995CE5" w:rsidP="00933BE2">
            <w:pPr>
              <w:spacing w:after="0" w:line="240" w:lineRule="auto"/>
              <w:jc w:val="center"/>
              <w:rPr>
                <w:sz w:val="20"/>
                <w:szCs w:val="20"/>
              </w:rPr>
            </w:pPr>
          </w:p>
        </w:tc>
        <w:tc>
          <w:tcPr>
            <w:tcW w:w="814" w:type="dxa"/>
          </w:tcPr>
          <w:p w14:paraId="04A860B2" w14:textId="77777777" w:rsidR="00995CE5" w:rsidRPr="00A628D9" w:rsidRDefault="00995CE5" w:rsidP="00933BE2">
            <w:pPr>
              <w:spacing w:after="0" w:line="240" w:lineRule="auto"/>
              <w:jc w:val="center"/>
              <w:rPr>
                <w:sz w:val="20"/>
                <w:szCs w:val="20"/>
              </w:rPr>
            </w:pPr>
          </w:p>
        </w:tc>
      </w:tr>
      <w:tr w:rsidR="00995CE5" w:rsidRPr="00A628D9" w14:paraId="5783DF68" w14:textId="77777777" w:rsidTr="00AE07C3">
        <w:tc>
          <w:tcPr>
            <w:tcW w:w="4106" w:type="dxa"/>
          </w:tcPr>
          <w:p w14:paraId="64DC3778" w14:textId="77777777" w:rsidR="00995CE5" w:rsidRPr="00A628D9" w:rsidRDefault="00995CE5" w:rsidP="00933BE2">
            <w:pPr>
              <w:spacing w:after="0" w:line="240" w:lineRule="auto"/>
              <w:rPr>
                <w:sz w:val="20"/>
                <w:szCs w:val="20"/>
              </w:rPr>
            </w:pPr>
            <w:r>
              <w:rPr>
                <w:sz w:val="20"/>
                <w:szCs w:val="20"/>
              </w:rPr>
              <w:t>Little Friarbird</w:t>
            </w:r>
          </w:p>
        </w:tc>
        <w:tc>
          <w:tcPr>
            <w:tcW w:w="4678" w:type="dxa"/>
          </w:tcPr>
          <w:p w14:paraId="6F48D6CD" w14:textId="77777777" w:rsidR="00995CE5" w:rsidRPr="00A628D9" w:rsidRDefault="00995CE5" w:rsidP="00933BE2">
            <w:pPr>
              <w:spacing w:after="0" w:line="240" w:lineRule="auto"/>
              <w:rPr>
                <w:i/>
                <w:iCs/>
                <w:sz w:val="20"/>
                <w:szCs w:val="20"/>
              </w:rPr>
            </w:pPr>
            <w:r>
              <w:rPr>
                <w:i/>
                <w:iCs/>
                <w:sz w:val="20"/>
                <w:szCs w:val="20"/>
              </w:rPr>
              <w:t>Philemon citreogularis</w:t>
            </w:r>
          </w:p>
        </w:tc>
        <w:tc>
          <w:tcPr>
            <w:tcW w:w="709" w:type="dxa"/>
          </w:tcPr>
          <w:p w14:paraId="58655901" w14:textId="77777777" w:rsidR="00995CE5" w:rsidRPr="00A628D9" w:rsidRDefault="00995CE5" w:rsidP="00933BE2">
            <w:pPr>
              <w:spacing w:after="0" w:line="240" w:lineRule="auto"/>
              <w:jc w:val="center"/>
              <w:rPr>
                <w:sz w:val="20"/>
                <w:szCs w:val="20"/>
              </w:rPr>
            </w:pPr>
          </w:p>
        </w:tc>
        <w:tc>
          <w:tcPr>
            <w:tcW w:w="708" w:type="dxa"/>
          </w:tcPr>
          <w:p w14:paraId="43144FCF"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7D4686DF" w14:textId="77777777" w:rsidR="00995CE5" w:rsidRPr="00A628D9" w:rsidRDefault="00995CE5" w:rsidP="00933BE2">
            <w:pPr>
              <w:spacing w:after="0" w:line="240" w:lineRule="auto"/>
              <w:jc w:val="center"/>
              <w:rPr>
                <w:sz w:val="20"/>
                <w:szCs w:val="20"/>
              </w:rPr>
            </w:pPr>
            <w:r>
              <w:rPr>
                <w:sz w:val="20"/>
                <w:szCs w:val="20"/>
              </w:rPr>
              <w:t>70</w:t>
            </w:r>
          </w:p>
        </w:tc>
        <w:tc>
          <w:tcPr>
            <w:tcW w:w="1276" w:type="dxa"/>
          </w:tcPr>
          <w:p w14:paraId="15B10E94" w14:textId="77777777" w:rsidR="00995CE5" w:rsidRPr="00A628D9" w:rsidRDefault="00995CE5" w:rsidP="00933BE2">
            <w:pPr>
              <w:spacing w:after="0" w:line="240" w:lineRule="auto"/>
              <w:jc w:val="center"/>
              <w:rPr>
                <w:sz w:val="20"/>
                <w:szCs w:val="20"/>
              </w:rPr>
            </w:pPr>
            <w:r>
              <w:rPr>
                <w:sz w:val="20"/>
                <w:szCs w:val="20"/>
              </w:rPr>
              <w:t>7</w:t>
            </w:r>
          </w:p>
        </w:tc>
        <w:tc>
          <w:tcPr>
            <w:tcW w:w="851" w:type="dxa"/>
          </w:tcPr>
          <w:p w14:paraId="4488F717" w14:textId="77777777" w:rsidR="00995CE5" w:rsidRPr="00A628D9" w:rsidRDefault="00995CE5" w:rsidP="00933BE2">
            <w:pPr>
              <w:spacing w:after="0" w:line="240" w:lineRule="auto"/>
              <w:jc w:val="center"/>
              <w:rPr>
                <w:sz w:val="20"/>
                <w:szCs w:val="20"/>
              </w:rPr>
            </w:pPr>
            <w:r>
              <w:rPr>
                <w:sz w:val="20"/>
                <w:szCs w:val="20"/>
              </w:rPr>
              <w:t>22</w:t>
            </w:r>
          </w:p>
        </w:tc>
        <w:tc>
          <w:tcPr>
            <w:tcW w:w="850" w:type="dxa"/>
          </w:tcPr>
          <w:p w14:paraId="557C1774" w14:textId="77777777" w:rsidR="00995CE5" w:rsidRPr="00A628D9" w:rsidRDefault="00995CE5" w:rsidP="00933BE2">
            <w:pPr>
              <w:spacing w:after="0" w:line="240" w:lineRule="auto"/>
              <w:jc w:val="center"/>
              <w:rPr>
                <w:sz w:val="20"/>
                <w:szCs w:val="20"/>
              </w:rPr>
            </w:pPr>
            <w:r>
              <w:rPr>
                <w:sz w:val="20"/>
                <w:szCs w:val="20"/>
              </w:rPr>
              <w:t>24</w:t>
            </w:r>
          </w:p>
        </w:tc>
        <w:tc>
          <w:tcPr>
            <w:tcW w:w="814" w:type="dxa"/>
          </w:tcPr>
          <w:p w14:paraId="149C9EC6" w14:textId="77777777" w:rsidR="00995CE5" w:rsidRPr="00A628D9" w:rsidRDefault="00995CE5" w:rsidP="00933BE2">
            <w:pPr>
              <w:spacing w:after="0" w:line="240" w:lineRule="auto"/>
              <w:jc w:val="center"/>
              <w:rPr>
                <w:sz w:val="20"/>
                <w:szCs w:val="20"/>
              </w:rPr>
            </w:pPr>
            <w:r>
              <w:rPr>
                <w:sz w:val="20"/>
                <w:szCs w:val="20"/>
              </w:rPr>
              <w:t>17</w:t>
            </w:r>
          </w:p>
        </w:tc>
      </w:tr>
      <w:tr w:rsidR="00995CE5" w:rsidRPr="00A628D9" w14:paraId="066A9FA1" w14:textId="77777777" w:rsidTr="00AE07C3">
        <w:tc>
          <w:tcPr>
            <w:tcW w:w="4106" w:type="dxa"/>
          </w:tcPr>
          <w:p w14:paraId="791E6B93" w14:textId="77777777" w:rsidR="00995CE5" w:rsidRPr="00A628D9" w:rsidRDefault="00995CE5" w:rsidP="00933BE2">
            <w:pPr>
              <w:spacing w:after="0" w:line="240" w:lineRule="auto"/>
              <w:rPr>
                <w:sz w:val="20"/>
                <w:szCs w:val="20"/>
              </w:rPr>
            </w:pPr>
            <w:r>
              <w:rPr>
                <w:sz w:val="20"/>
                <w:szCs w:val="20"/>
              </w:rPr>
              <w:t>Major Mitchell’s Cockatoo</w:t>
            </w:r>
          </w:p>
        </w:tc>
        <w:tc>
          <w:tcPr>
            <w:tcW w:w="4678" w:type="dxa"/>
          </w:tcPr>
          <w:p w14:paraId="1F11DB98" w14:textId="77777777" w:rsidR="00995CE5" w:rsidRPr="00A628D9" w:rsidRDefault="00995CE5" w:rsidP="00933BE2">
            <w:pPr>
              <w:spacing w:after="0" w:line="240" w:lineRule="auto"/>
              <w:rPr>
                <w:i/>
                <w:iCs/>
                <w:sz w:val="20"/>
                <w:szCs w:val="20"/>
              </w:rPr>
            </w:pPr>
            <w:r>
              <w:rPr>
                <w:i/>
                <w:iCs/>
                <w:sz w:val="20"/>
                <w:szCs w:val="20"/>
              </w:rPr>
              <w:t>Cacatua leadbeateri</w:t>
            </w:r>
          </w:p>
        </w:tc>
        <w:tc>
          <w:tcPr>
            <w:tcW w:w="709" w:type="dxa"/>
          </w:tcPr>
          <w:p w14:paraId="0B220CFF" w14:textId="77777777" w:rsidR="00995CE5" w:rsidRPr="00A628D9" w:rsidRDefault="00995CE5" w:rsidP="00933BE2">
            <w:pPr>
              <w:spacing w:after="0" w:line="240" w:lineRule="auto"/>
              <w:jc w:val="center"/>
              <w:rPr>
                <w:sz w:val="20"/>
                <w:szCs w:val="20"/>
              </w:rPr>
            </w:pPr>
          </w:p>
        </w:tc>
        <w:tc>
          <w:tcPr>
            <w:tcW w:w="708" w:type="dxa"/>
          </w:tcPr>
          <w:p w14:paraId="34593DA6" w14:textId="77777777" w:rsidR="00995CE5" w:rsidRPr="00A628D9" w:rsidRDefault="00995CE5" w:rsidP="00933BE2">
            <w:pPr>
              <w:spacing w:after="0" w:line="240" w:lineRule="auto"/>
              <w:jc w:val="center"/>
              <w:rPr>
                <w:sz w:val="20"/>
                <w:szCs w:val="20"/>
              </w:rPr>
            </w:pPr>
            <w:r>
              <w:rPr>
                <w:sz w:val="20"/>
                <w:szCs w:val="20"/>
              </w:rPr>
              <w:t>V</w:t>
            </w:r>
          </w:p>
        </w:tc>
        <w:tc>
          <w:tcPr>
            <w:tcW w:w="1134" w:type="dxa"/>
          </w:tcPr>
          <w:p w14:paraId="5E9EC6D2" w14:textId="77777777" w:rsidR="00995CE5" w:rsidRPr="00A628D9" w:rsidRDefault="00995CE5" w:rsidP="00933BE2">
            <w:pPr>
              <w:spacing w:after="0" w:line="240" w:lineRule="auto"/>
              <w:jc w:val="center"/>
              <w:rPr>
                <w:sz w:val="20"/>
                <w:szCs w:val="20"/>
              </w:rPr>
            </w:pPr>
            <w:r>
              <w:rPr>
                <w:sz w:val="20"/>
                <w:szCs w:val="20"/>
              </w:rPr>
              <w:t>3</w:t>
            </w:r>
          </w:p>
        </w:tc>
        <w:tc>
          <w:tcPr>
            <w:tcW w:w="1276" w:type="dxa"/>
          </w:tcPr>
          <w:p w14:paraId="0C3E4500" w14:textId="77777777" w:rsidR="00995CE5" w:rsidRPr="00A628D9" w:rsidRDefault="00995CE5" w:rsidP="00933BE2">
            <w:pPr>
              <w:spacing w:after="0" w:line="240" w:lineRule="auto"/>
              <w:jc w:val="center"/>
              <w:rPr>
                <w:sz w:val="20"/>
                <w:szCs w:val="20"/>
              </w:rPr>
            </w:pPr>
          </w:p>
        </w:tc>
        <w:tc>
          <w:tcPr>
            <w:tcW w:w="851" w:type="dxa"/>
          </w:tcPr>
          <w:p w14:paraId="4BE9DB41" w14:textId="77777777" w:rsidR="00995CE5" w:rsidRPr="00A628D9" w:rsidRDefault="00995CE5" w:rsidP="00933BE2">
            <w:pPr>
              <w:spacing w:after="0" w:line="240" w:lineRule="auto"/>
              <w:jc w:val="center"/>
              <w:rPr>
                <w:sz w:val="20"/>
                <w:szCs w:val="20"/>
              </w:rPr>
            </w:pPr>
            <w:r>
              <w:rPr>
                <w:sz w:val="20"/>
                <w:szCs w:val="20"/>
              </w:rPr>
              <w:t>1</w:t>
            </w:r>
          </w:p>
        </w:tc>
        <w:tc>
          <w:tcPr>
            <w:tcW w:w="850" w:type="dxa"/>
          </w:tcPr>
          <w:p w14:paraId="658D26AD" w14:textId="77777777" w:rsidR="00995CE5" w:rsidRPr="00A628D9" w:rsidRDefault="00995CE5" w:rsidP="00933BE2">
            <w:pPr>
              <w:spacing w:after="0" w:line="240" w:lineRule="auto"/>
              <w:jc w:val="center"/>
              <w:rPr>
                <w:sz w:val="20"/>
                <w:szCs w:val="20"/>
              </w:rPr>
            </w:pPr>
          </w:p>
        </w:tc>
        <w:tc>
          <w:tcPr>
            <w:tcW w:w="814" w:type="dxa"/>
          </w:tcPr>
          <w:p w14:paraId="7311A16C" w14:textId="77777777" w:rsidR="00995CE5" w:rsidRPr="00A628D9" w:rsidRDefault="00995CE5" w:rsidP="00933BE2">
            <w:pPr>
              <w:spacing w:after="0" w:line="240" w:lineRule="auto"/>
              <w:jc w:val="center"/>
              <w:rPr>
                <w:sz w:val="20"/>
                <w:szCs w:val="20"/>
              </w:rPr>
            </w:pPr>
            <w:r>
              <w:rPr>
                <w:sz w:val="20"/>
                <w:szCs w:val="20"/>
              </w:rPr>
              <w:t>2</w:t>
            </w:r>
          </w:p>
        </w:tc>
      </w:tr>
      <w:tr w:rsidR="00995CE5" w:rsidRPr="00A628D9" w14:paraId="09DE8122" w14:textId="77777777" w:rsidTr="00AE07C3">
        <w:tc>
          <w:tcPr>
            <w:tcW w:w="4106" w:type="dxa"/>
          </w:tcPr>
          <w:p w14:paraId="437A8C79" w14:textId="77777777" w:rsidR="00995CE5" w:rsidRPr="00A628D9" w:rsidRDefault="00995CE5" w:rsidP="00933BE2">
            <w:pPr>
              <w:spacing w:after="0" w:line="240" w:lineRule="auto"/>
              <w:rPr>
                <w:sz w:val="20"/>
                <w:szCs w:val="20"/>
              </w:rPr>
            </w:pPr>
            <w:r>
              <w:rPr>
                <w:sz w:val="20"/>
                <w:szCs w:val="20"/>
              </w:rPr>
              <w:t>Musk Duck</w:t>
            </w:r>
          </w:p>
        </w:tc>
        <w:tc>
          <w:tcPr>
            <w:tcW w:w="4678" w:type="dxa"/>
          </w:tcPr>
          <w:p w14:paraId="4F6BE582" w14:textId="77777777" w:rsidR="00995CE5" w:rsidRPr="00A628D9" w:rsidRDefault="00995CE5" w:rsidP="00933BE2">
            <w:pPr>
              <w:spacing w:after="0" w:line="240" w:lineRule="auto"/>
              <w:rPr>
                <w:i/>
                <w:iCs/>
                <w:sz w:val="20"/>
                <w:szCs w:val="20"/>
              </w:rPr>
            </w:pPr>
            <w:r>
              <w:rPr>
                <w:i/>
                <w:iCs/>
                <w:sz w:val="20"/>
                <w:szCs w:val="20"/>
              </w:rPr>
              <w:t>Biziura lobata</w:t>
            </w:r>
          </w:p>
        </w:tc>
        <w:tc>
          <w:tcPr>
            <w:tcW w:w="709" w:type="dxa"/>
          </w:tcPr>
          <w:p w14:paraId="7950871D" w14:textId="77777777" w:rsidR="00995CE5" w:rsidRPr="00A628D9" w:rsidRDefault="00995CE5" w:rsidP="00933BE2">
            <w:pPr>
              <w:spacing w:after="0" w:line="240" w:lineRule="auto"/>
              <w:jc w:val="center"/>
              <w:rPr>
                <w:sz w:val="20"/>
                <w:szCs w:val="20"/>
              </w:rPr>
            </w:pPr>
          </w:p>
        </w:tc>
        <w:tc>
          <w:tcPr>
            <w:tcW w:w="708" w:type="dxa"/>
          </w:tcPr>
          <w:p w14:paraId="215C4A0A"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6C9127B0" w14:textId="77777777" w:rsidR="00995CE5" w:rsidRPr="00A628D9" w:rsidRDefault="00995CE5" w:rsidP="00933BE2">
            <w:pPr>
              <w:spacing w:after="0" w:line="240" w:lineRule="auto"/>
              <w:jc w:val="center"/>
              <w:rPr>
                <w:sz w:val="20"/>
                <w:szCs w:val="20"/>
              </w:rPr>
            </w:pPr>
            <w:r>
              <w:rPr>
                <w:sz w:val="20"/>
                <w:szCs w:val="20"/>
              </w:rPr>
              <w:t>10</w:t>
            </w:r>
          </w:p>
        </w:tc>
        <w:tc>
          <w:tcPr>
            <w:tcW w:w="1276" w:type="dxa"/>
          </w:tcPr>
          <w:p w14:paraId="17AC84C6" w14:textId="77777777" w:rsidR="00995CE5" w:rsidRPr="00A628D9" w:rsidRDefault="00995CE5" w:rsidP="00933BE2">
            <w:pPr>
              <w:spacing w:after="0" w:line="240" w:lineRule="auto"/>
              <w:jc w:val="center"/>
              <w:rPr>
                <w:sz w:val="20"/>
                <w:szCs w:val="20"/>
              </w:rPr>
            </w:pPr>
            <w:r>
              <w:rPr>
                <w:sz w:val="20"/>
                <w:szCs w:val="20"/>
              </w:rPr>
              <w:t>6</w:t>
            </w:r>
          </w:p>
        </w:tc>
        <w:tc>
          <w:tcPr>
            <w:tcW w:w="851" w:type="dxa"/>
          </w:tcPr>
          <w:p w14:paraId="506E60E4" w14:textId="77777777" w:rsidR="00995CE5" w:rsidRPr="00A628D9" w:rsidRDefault="00995CE5" w:rsidP="00933BE2">
            <w:pPr>
              <w:spacing w:after="0" w:line="240" w:lineRule="auto"/>
              <w:jc w:val="center"/>
              <w:rPr>
                <w:sz w:val="20"/>
                <w:szCs w:val="20"/>
              </w:rPr>
            </w:pPr>
            <w:r>
              <w:rPr>
                <w:sz w:val="20"/>
                <w:szCs w:val="20"/>
              </w:rPr>
              <w:t>2</w:t>
            </w:r>
          </w:p>
        </w:tc>
        <w:tc>
          <w:tcPr>
            <w:tcW w:w="850" w:type="dxa"/>
          </w:tcPr>
          <w:p w14:paraId="3587F72D" w14:textId="77777777" w:rsidR="00995CE5" w:rsidRPr="00A628D9" w:rsidRDefault="00995CE5" w:rsidP="00933BE2">
            <w:pPr>
              <w:spacing w:after="0" w:line="240" w:lineRule="auto"/>
              <w:jc w:val="center"/>
              <w:rPr>
                <w:sz w:val="20"/>
                <w:szCs w:val="20"/>
              </w:rPr>
            </w:pPr>
          </w:p>
        </w:tc>
        <w:tc>
          <w:tcPr>
            <w:tcW w:w="814" w:type="dxa"/>
          </w:tcPr>
          <w:p w14:paraId="3C2245DA" w14:textId="77777777" w:rsidR="00995CE5" w:rsidRPr="00A628D9" w:rsidRDefault="00995CE5" w:rsidP="00933BE2">
            <w:pPr>
              <w:spacing w:after="0" w:line="240" w:lineRule="auto"/>
              <w:jc w:val="center"/>
              <w:rPr>
                <w:sz w:val="20"/>
                <w:szCs w:val="20"/>
              </w:rPr>
            </w:pPr>
            <w:r>
              <w:rPr>
                <w:sz w:val="20"/>
                <w:szCs w:val="20"/>
              </w:rPr>
              <w:t>2</w:t>
            </w:r>
          </w:p>
        </w:tc>
      </w:tr>
      <w:tr w:rsidR="00995CE5" w:rsidRPr="00A628D9" w14:paraId="6B01D434" w14:textId="77777777" w:rsidTr="00AE07C3">
        <w:tc>
          <w:tcPr>
            <w:tcW w:w="4106" w:type="dxa"/>
          </w:tcPr>
          <w:p w14:paraId="380CAD06" w14:textId="77777777" w:rsidR="00995CE5" w:rsidRPr="00A628D9" w:rsidRDefault="00995CE5" w:rsidP="00933BE2">
            <w:pPr>
              <w:spacing w:after="0" w:line="240" w:lineRule="auto"/>
              <w:rPr>
                <w:sz w:val="20"/>
                <w:szCs w:val="20"/>
              </w:rPr>
            </w:pPr>
            <w:r>
              <w:rPr>
                <w:sz w:val="20"/>
                <w:szCs w:val="20"/>
              </w:rPr>
              <w:t>Peregrine Falcon</w:t>
            </w:r>
          </w:p>
        </w:tc>
        <w:tc>
          <w:tcPr>
            <w:tcW w:w="4678" w:type="dxa"/>
          </w:tcPr>
          <w:p w14:paraId="59569772" w14:textId="77777777" w:rsidR="00995CE5" w:rsidRPr="00A628D9" w:rsidRDefault="00995CE5" w:rsidP="00933BE2">
            <w:pPr>
              <w:spacing w:after="0" w:line="240" w:lineRule="auto"/>
              <w:rPr>
                <w:i/>
                <w:iCs/>
                <w:sz w:val="20"/>
                <w:szCs w:val="20"/>
              </w:rPr>
            </w:pPr>
            <w:r>
              <w:rPr>
                <w:i/>
                <w:iCs/>
                <w:sz w:val="20"/>
                <w:szCs w:val="20"/>
              </w:rPr>
              <w:t>Falco peregrinus</w:t>
            </w:r>
          </w:p>
        </w:tc>
        <w:tc>
          <w:tcPr>
            <w:tcW w:w="709" w:type="dxa"/>
          </w:tcPr>
          <w:p w14:paraId="69FCC934" w14:textId="77777777" w:rsidR="00995CE5" w:rsidRPr="00A628D9" w:rsidRDefault="00995CE5" w:rsidP="00933BE2">
            <w:pPr>
              <w:spacing w:after="0" w:line="240" w:lineRule="auto"/>
              <w:jc w:val="center"/>
              <w:rPr>
                <w:sz w:val="20"/>
                <w:szCs w:val="20"/>
              </w:rPr>
            </w:pPr>
          </w:p>
        </w:tc>
        <w:tc>
          <w:tcPr>
            <w:tcW w:w="708" w:type="dxa"/>
          </w:tcPr>
          <w:p w14:paraId="21BFB319"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52468C70" w14:textId="77777777" w:rsidR="00995CE5" w:rsidRPr="00A628D9" w:rsidRDefault="00995CE5" w:rsidP="00933BE2">
            <w:pPr>
              <w:spacing w:after="0" w:line="240" w:lineRule="auto"/>
              <w:jc w:val="center"/>
              <w:rPr>
                <w:sz w:val="20"/>
                <w:szCs w:val="20"/>
              </w:rPr>
            </w:pPr>
            <w:r>
              <w:rPr>
                <w:sz w:val="20"/>
                <w:szCs w:val="20"/>
              </w:rPr>
              <w:t>35</w:t>
            </w:r>
          </w:p>
        </w:tc>
        <w:tc>
          <w:tcPr>
            <w:tcW w:w="1276" w:type="dxa"/>
          </w:tcPr>
          <w:p w14:paraId="77869407" w14:textId="77777777" w:rsidR="00995CE5" w:rsidRPr="00A628D9" w:rsidRDefault="00995CE5" w:rsidP="00933BE2">
            <w:pPr>
              <w:spacing w:after="0" w:line="240" w:lineRule="auto"/>
              <w:jc w:val="center"/>
              <w:rPr>
                <w:sz w:val="20"/>
                <w:szCs w:val="20"/>
              </w:rPr>
            </w:pPr>
            <w:r>
              <w:rPr>
                <w:sz w:val="20"/>
                <w:szCs w:val="20"/>
              </w:rPr>
              <w:t>7</w:t>
            </w:r>
          </w:p>
        </w:tc>
        <w:tc>
          <w:tcPr>
            <w:tcW w:w="851" w:type="dxa"/>
          </w:tcPr>
          <w:p w14:paraId="00E9CD9A" w14:textId="77777777" w:rsidR="00995CE5" w:rsidRPr="00A628D9" w:rsidRDefault="00995CE5" w:rsidP="00933BE2">
            <w:pPr>
              <w:spacing w:after="0" w:line="240" w:lineRule="auto"/>
              <w:jc w:val="center"/>
              <w:rPr>
                <w:sz w:val="20"/>
                <w:szCs w:val="20"/>
              </w:rPr>
            </w:pPr>
            <w:r>
              <w:rPr>
                <w:sz w:val="20"/>
                <w:szCs w:val="20"/>
              </w:rPr>
              <w:t>17</w:t>
            </w:r>
          </w:p>
        </w:tc>
        <w:tc>
          <w:tcPr>
            <w:tcW w:w="850" w:type="dxa"/>
          </w:tcPr>
          <w:p w14:paraId="24814691" w14:textId="77777777" w:rsidR="00995CE5" w:rsidRPr="00A628D9" w:rsidRDefault="00995CE5" w:rsidP="00933BE2">
            <w:pPr>
              <w:spacing w:after="0" w:line="240" w:lineRule="auto"/>
              <w:jc w:val="center"/>
              <w:rPr>
                <w:sz w:val="20"/>
                <w:szCs w:val="20"/>
              </w:rPr>
            </w:pPr>
            <w:r>
              <w:rPr>
                <w:sz w:val="20"/>
                <w:szCs w:val="20"/>
              </w:rPr>
              <w:t>4</w:t>
            </w:r>
          </w:p>
        </w:tc>
        <w:tc>
          <w:tcPr>
            <w:tcW w:w="814" w:type="dxa"/>
          </w:tcPr>
          <w:p w14:paraId="0E7CF64E" w14:textId="77777777" w:rsidR="00995CE5" w:rsidRPr="00A628D9" w:rsidRDefault="00995CE5" w:rsidP="00933BE2">
            <w:pPr>
              <w:spacing w:after="0" w:line="240" w:lineRule="auto"/>
              <w:jc w:val="center"/>
              <w:rPr>
                <w:sz w:val="20"/>
                <w:szCs w:val="20"/>
              </w:rPr>
            </w:pPr>
            <w:r>
              <w:rPr>
                <w:sz w:val="20"/>
                <w:szCs w:val="20"/>
              </w:rPr>
              <w:t>7</w:t>
            </w:r>
          </w:p>
        </w:tc>
      </w:tr>
      <w:tr w:rsidR="00995CE5" w:rsidRPr="00A628D9" w14:paraId="560CD742" w14:textId="77777777" w:rsidTr="00AE07C3">
        <w:tc>
          <w:tcPr>
            <w:tcW w:w="4106" w:type="dxa"/>
          </w:tcPr>
          <w:p w14:paraId="4036CA7C" w14:textId="77777777" w:rsidR="00995CE5" w:rsidRPr="00A628D9" w:rsidRDefault="00995CE5" w:rsidP="00933BE2">
            <w:pPr>
              <w:spacing w:after="0" w:line="240" w:lineRule="auto"/>
              <w:rPr>
                <w:sz w:val="20"/>
                <w:szCs w:val="20"/>
              </w:rPr>
            </w:pPr>
            <w:r>
              <w:rPr>
                <w:sz w:val="20"/>
                <w:szCs w:val="20"/>
              </w:rPr>
              <w:t>Redthroat</w:t>
            </w:r>
          </w:p>
        </w:tc>
        <w:tc>
          <w:tcPr>
            <w:tcW w:w="4678" w:type="dxa"/>
          </w:tcPr>
          <w:p w14:paraId="1102D563" w14:textId="77777777" w:rsidR="00995CE5" w:rsidRPr="00A628D9" w:rsidRDefault="00995CE5" w:rsidP="00933BE2">
            <w:pPr>
              <w:spacing w:after="0" w:line="240" w:lineRule="auto"/>
              <w:rPr>
                <w:i/>
                <w:iCs/>
                <w:sz w:val="20"/>
                <w:szCs w:val="20"/>
              </w:rPr>
            </w:pPr>
            <w:r>
              <w:rPr>
                <w:i/>
                <w:iCs/>
                <w:sz w:val="20"/>
                <w:szCs w:val="20"/>
              </w:rPr>
              <w:t xml:space="preserve">Pyrrholaemus </w:t>
            </w:r>
            <w:r w:rsidRPr="00A628D9">
              <w:rPr>
                <w:i/>
                <w:iCs/>
                <w:sz w:val="20"/>
                <w:szCs w:val="20"/>
              </w:rPr>
              <w:t>brunneus</w:t>
            </w:r>
          </w:p>
        </w:tc>
        <w:tc>
          <w:tcPr>
            <w:tcW w:w="709" w:type="dxa"/>
          </w:tcPr>
          <w:p w14:paraId="34C0DE61" w14:textId="77777777" w:rsidR="00995CE5" w:rsidRPr="00A628D9" w:rsidRDefault="00995CE5" w:rsidP="00933BE2">
            <w:pPr>
              <w:spacing w:after="0" w:line="240" w:lineRule="auto"/>
              <w:jc w:val="center"/>
              <w:rPr>
                <w:sz w:val="20"/>
                <w:szCs w:val="20"/>
              </w:rPr>
            </w:pPr>
          </w:p>
        </w:tc>
        <w:tc>
          <w:tcPr>
            <w:tcW w:w="708" w:type="dxa"/>
          </w:tcPr>
          <w:p w14:paraId="661FF78B"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73687432" w14:textId="77777777" w:rsidR="00995CE5" w:rsidRPr="00A628D9" w:rsidRDefault="00995CE5" w:rsidP="00933BE2">
            <w:pPr>
              <w:spacing w:after="0" w:line="240" w:lineRule="auto"/>
              <w:jc w:val="center"/>
              <w:rPr>
                <w:sz w:val="20"/>
                <w:szCs w:val="20"/>
              </w:rPr>
            </w:pPr>
            <w:r>
              <w:rPr>
                <w:sz w:val="20"/>
                <w:szCs w:val="20"/>
              </w:rPr>
              <w:t>7</w:t>
            </w:r>
          </w:p>
        </w:tc>
        <w:tc>
          <w:tcPr>
            <w:tcW w:w="1276" w:type="dxa"/>
          </w:tcPr>
          <w:p w14:paraId="093EA72A" w14:textId="77777777" w:rsidR="00995CE5" w:rsidRPr="00A628D9" w:rsidRDefault="00995CE5" w:rsidP="00933BE2">
            <w:pPr>
              <w:spacing w:after="0" w:line="240" w:lineRule="auto"/>
              <w:jc w:val="center"/>
              <w:rPr>
                <w:sz w:val="20"/>
                <w:szCs w:val="20"/>
              </w:rPr>
            </w:pPr>
          </w:p>
        </w:tc>
        <w:tc>
          <w:tcPr>
            <w:tcW w:w="851" w:type="dxa"/>
          </w:tcPr>
          <w:p w14:paraId="439FB99E" w14:textId="77777777" w:rsidR="00995CE5" w:rsidRPr="00A628D9" w:rsidRDefault="00995CE5" w:rsidP="00933BE2">
            <w:pPr>
              <w:spacing w:after="0" w:line="240" w:lineRule="auto"/>
              <w:jc w:val="center"/>
              <w:rPr>
                <w:sz w:val="20"/>
                <w:szCs w:val="20"/>
              </w:rPr>
            </w:pPr>
            <w:r>
              <w:rPr>
                <w:sz w:val="20"/>
                <w:szCs w:val="20"/>
              </w:rPr>
              <w:t>4</w:t>
            </w:r>
          </w:p>
        </w:tc>
        <w:tc>
          <w:tcPr>
            <w:tcW w:w="850" w:type="dxa"/>
          </w:tcPr>
          <w:p w14:paraId="61A0C78D" w14:textId="77777777" w:rsidR="00995CE5" w:rsidRPr="00A628D9" w:rsidRDefault="00995CE5" w:rsidP="00933BE2">
            <w:pPr>
              <w:spacing w:after="0" w:line="240" w:lineRule="auto"/>
              <w:jc w:val="center"/>
              <w:rPr>
                <w:sz w:val="20"/>
                <w:szCs w:val="20"/>
              </w:rPr>
            </w:pPr>
            <w:r>
              <w:rPr>
                <w:sz w:val="20"/>
                <w:szCs w:val="20"/>
              </w:rPr>
              <w:t>1</w:t>
            </w:r>
          </w:p>
        </w:tc>
        <w:tc>
          <w:tcPr>
            <w:tcW w:w="814" w:type="dxa"/>
          </w:tcPr>
          <w:p w14:paraId="70144E4D" w14:textId="77777777" w:rsidR="00995CE5" w:rsidRPr="00A628D9" w:rsidRDefault="00995CE5" w:rsidP="00933BE2">
            <w:pPr>
              <w:spacing w:after="0" w:line="240" w:lineRule="auto"/>
              <w:jc w:val="center"/>
              <w:rPr>
                <w:sz w:val="20"/>
                <w:szCs w:val="20"/>
              </w:rPr>
            </w:pPr>
            <w:r>
              <w:rPr>
                <w:sz w:val="20"/>
                <w:szCs w:val="20"/>
              </w:rPr>
              <w:t>2</w:t>
            </w:r>
          </w:p>
        </w:tc>
      </w:tr>
      <w:tr w:rsidR="00995CE5" w:rsidRPr="00A628D9" w14:paraId="6D8F94A3" w14:textId="77777777" w:rsidTr="00AE07C3">
        <w:tc>
          <w:tcPr>
            <w:tcW w:w="4106" w:type="dxa"/>
          </w:tcPr>
          <w:p w14:paraId="45AADF69" w14:textId="77777777" w:rsidR="00995CE5" w:rsidRPr="00A628D9" w:rsidRDefault="00995CE5" w:rsidP="00933BE2">
            <w:pPr>
              <w:spacing w:after="0" w:line="240" w:lineRule="auto"/>
              <w:rPr>
                <w:sz w:val="20"/>
                <w:szCs w:val="20"/>
              </w:rPr>
            </w:pPr>
            <w:r>
              <w:rPr>
                <w:sz w:val="20"/>
                <w:szCs w:val="20"/>
              </w:rPr>
              <w:t>Regent Parrot</w:t>
            </w:r>
          </w:p>
        </w:tc>
        <w:tc>
          <w:tcPr>
            <w:tcW w:w="4678" w:type="dxa"/>
          </w:tcPr>
          <w:p w14:paraId="47499038" w14:textId="77777777" w:rsidR="00995CE5" w:rsidRPr="00A628D9" w:rsidRDefault="00995CE5" w:rsidP="00933BE2">
            <w:pPr>
              <w:spacing w:after="0" w:line="240" w:lineRule="auto"/>
              <w:rPr>
                <w:i/>
                <w:iCs/>
                <w:sz w:val="20"/>
                <w:szCs w:val="20"/>
              </w:rPr>
            </w:pPr>
            <w:r>
              <w:rPr>
                <w:i/>
                <w:iCs/>
                <w:sz w:val="20"/>
                <w:szCs w:val="20"/>
              </w:rPr>
              <w:t>Polytelis anthopeplus</w:t>
            </w:r>
          </w:p>
        </w:tc>
        <w:tc>
          <w:tcPr>
            <w:tcW w:w="709" w:type="dxa"/>
          </w:tcPr>
          <w:p w14:paraId="6C2E7C59" w14:textId="77777777" w:rsidR="00995CE5" w:rsidRPr="00A628D9" w:rsidRDefault="00995CE5" w:rsidP="00933BE2">
            <w:pPr>
              <w:spacing w:after="0" w:line="240" w:lineRule="auto"/>
              <w:jc w:val="center"/>
              <w:rPr>
                <w:sz w:val="20"/>
                <w:szCs w:val="20"/>
              </w:rPr>
            </w:pPr>
          </w:p>
        </w:tc>
        <w:tc>
          <w:tcPr>
            <w:tcW w:w="708" w:type="dxa"/>
          </w:tcPr>
          <w:p w14:paraId="4E655186" w14:textId="77777777" w:rsidR="00995CE5" w:rsidRPr="00A628D9" w:rsidRDefault="00995CE5" w:rsidP="00933BE2">
            <w:pPr>
              <w:spacing w:after="0" w:line="240" w:lineRule="auto"/>
              <w:jc w:val="center"/>
              <w:rPr>
                <w:sz w:val="20"/>
                <w:szCs w:val="20"/>
              </w:rPr>
            </w:pPr>
            <w:r>
              <w:rPr>
                <w:sz w:val="20"/>
                <w:szCs w:val="20"/>
              </w:rPr>
              <w:t>V</w:t>
            </w:r>
          </w:p>
        </w:tc>
        <w:tc>
          <w:tcPr>
            <w:tcW w:w="1134" w:type="dxa"/>
          </w:tcPr>
          <w:p w14:paraId="1FF570CD" w14:textId="77777777" w:rsidR="00995CE5" w:rsidRPr="00A628D9" w:rsidRDefault="00995CE5" w:rsidP="00933BE2">
            <w:pPr>
              <w:spacing w:after="0" w:line="240" w:lineRule="auto"/>
              <w:jc w:val="center"/>
              <w:rPr>
                <w:sz w:val="20"/>
                <w:szCs w:val="20"/>
              </w:rPr>
            </w:pPr>
            <w:r>
              <w:rPr>
                <w:sz w:val="20"/>
                <w:szCs w:val="20"/>
              </w:rPr>
              <w:t>88</w:t>
            </w:r>
          </w:p>
        </w:tc>
        <w:tc>
          <w:tcPr>
            <w:tcW w:w="1276" w:type="dxa"/>
          </w:tcPr>
          <w:p w14:paraId="25F52A43" w14:textId="77777777" w:rsidR="00995CE5" w:rsidRPr="00A628D9" w:rsidRDefault="00995CE5" w:rsidP="00933BE2">
            <w:pPr>
              <w:spacing w:after="0" w:line="240" w:lineRule="auto"/>
              <w:jc w:val="center"/>
              <w:rPr>
                <w:sz w:val="20"/>
                <w:szCs w:val="20"/>
              </w:rPr>
            </w:pPr>
            <w:r>
              <w:rPr>
                <w:sz w:val="20"/>
                <w:szCs w:val="20"/>
              </w:rPr>
              <w:t>15</w:t>
            </w:r>
          </w:p>
        </w:tc>
        <w:tc>
          <w:tcPr>
            <w:tcW w:w="851" w:type="dxa"/>
          </w:tcPr>
          <w:p w14:paraId="4963123F" w14:textId="77777777" w:rsidR="00995CE5" w:rsidRPr="00A628D9" w:rsidRDefault="00995CE5" w:rsidP="00933BE2">
            <w:pPr>
              <w:spacing w:after="0" w:line="240" w:lineRule="auto"/>
              <w:jc w:val="center"/>
              <w:rPr>
                <w:sz w:val="20"/>
                <w:szCs w:val="20"/>
              </w:rPr>
            </w:pPr>
            <w:r>
              <w:rPr>
                <w:sz w:val="20"/>
                <w:szCs w:val="20"/>
              </w:rPr>
              <w:t>55</w:t>
            </w:r>
          </w:p>
        </w:tc>
        <w:tc>
          <w:tcPr>
            <w:tcW w:w="850" w:type="dxa"/>
          </w:tcPr>
          <w:p w14:paraId="78BFE6C8" w14:textId="77777777" w:rsidR="00995CE5" w:rsidRPr="00A628D9" w:rsidRDefault="00995CE5" w:rsidP="00933BE2">
            <w:pPr>
              <w:spacing w:after="0" w:line="240" w:lineRule="auto"/>
              <w:jc w:val="center"/>
              <w:rPr>
                <w:sz w:val="20"/>
                <w:szCs w:val="20"/>
              </w:rPr>
            </w:pPr>
            <w:r>
              <w:rPr>
                <w:sz w:val="20"/>
                <w:szCs w:val="20"/>
              </w:rPr>
              <w:t>8</w:t>
            </w:r>
          </w:p>
        </w:tc>
        <w:tc>
          <w:tcPr>
            <w:tcW w:w="814" w:type="dxa"/>
          </w:tcPr>
          <w:p w14:paraId="75057612" w14:textId="77777777" w:rsidR="00995CE5" w:rsidRPr="00A628D9" w:rsidRDefault="00995CE5" w:rsidP="00933BE2">
            <w:pPr>
              <w:spacing w:after="0" w:line="240" w:lineRule="auto"/>
              <w:jc w:val="center"/>
              <w:rPr>
                <w:sz w:val="20"/>
                <w:szCs w:val="20"/>
              </w:rPr>
            </w:pPr>
            <w:r>
              <w:rPr>
                <w:sz w:val="20"/>
                <w:szCs w:val="20"/>
              </w:rPr>
              <w:t>10</w:t>
            </w:r>
          </w:p>
        </w:tc>
      </w:tr>
      <w:tr w:rsidR="00995CE5" w:rsidRPr="00A628D9" w14:paraId="46F08C93" w14:textId="77777777" w:rsidTr="00AE07C3">
        <w:tc>
          <w:tcPr>
            <w:tcW w:w="4106" w:type="dxa"/>
          </w:tcPr>
          <w:p w14:paraId="3846140C" w14:textId="77777777" w:rsidR="00995CE5" w:rsidRPr="00A628D9" w:rsidRDefault="00995CE5" w:rsidP="00933BE2">
            <w:pPr>
              <w:spacing w:after="0" w:line="240" w:lineRule="auto"/>
              <w:rPr>
                <w:sz w:val="20"/>
                <w:szCs w:val="20"/>
              </w:rPr>
            </w:pPr>
            <w:r>
              <w:rPr>
                <w:sz w:val="20"/>
                <w:szCs w:val="20"/>
              </w:rPr>
              <w:t>Striped Honeyeater</w:t>
            </w:r>
          </w:p>
        </w:tc>
        <w:tc>
          <w:tcPr>
            <w:tcW w:w="4678" w:type="dxa"/>
          </w:tcPr>
          <w:p w14:paraId="737BDA50" w14:textId="77777777" w:rsidR="00995CE5" w:rsidRPr="00A628D9" w:rsidRDefault="00995CE5" w:rsidP="00933BE2">
            <w:pPr>
              <w:spacing w:after="0" w:line="240" w:lineRule="auto"/>
              <w:rPr>
                <w:i/>
                <w:iCs/>
                <w:sz w:val="20"/>
                <w:szCs w:val="20"/>
              </w:rPr>
            </w:pPr>
            <w:r>
              <w:rPr>
                <w:i/>
                <w:iCs/>
                <w:sz w:val="20"/>
                <w:szCs w:val="20"/>
              </w:rPr>
              <w:t>Plectorhyncha lanceolata</w:t>
            </w:r>
          </w:p>
        </w:tc>
        <w:tc>
          <w:tcPr>
            <w:tcW w:w="709" w:type="dxa"/>
          </w:tcPr>
          <w:p w14:paraId="7173139D" w14:textId="77777777" w:rsidR="00995CE5" w:rsidRPr="00A628D9" w:rsidRDefault="00995CE5" w:rsidP="00933BE2">
            <w:pPr>
              <w:spacing w:after="0" w:line="240" w:lineRule="auto"/>
              <w:jc w:val="center"/>
              <w:rPr>
                <w:sz w:val="20"/>
                <w:szCs w:val="20"/>
              </w:rPr>
            </w:pPr>
          </w:p>
        </w:tc>
        <w:tc>
          <w:tcPr>
            <w:tcW w:w="708" w:type="dxa"/>
          </w:tcPr>
          <w:p w14:paraId="66C4653E" w14:textId="77777777" w:rsidR="00995CE5" w:rsidRPr="00A628D9" w:rsidRDefault="00995CE5" w:rsidP="00933BE2">
            <w:pPr>
              <w:spacing w:after="0" w:line="240" w:lineRule="auto"/>
              <w:jc w:val="center"/>
              <w:rPr>
                <w:sz w:val="20"/>
                <w:szCs w:val="20"/>
              </w:rPr>
            </w:pPr>
            <w:r>
              <w:rPr>
                <w:sz w:val="20"/>
                <w:szCs w:val="20"/>
              </w:rPr>
              <w:t>R</w:t>
            </w:r>
          </w:p>
        </w:tc>
        <w:tc>
          <w:tcPr>
            <w:tcW w:w="1134" w:type="dxa"/>
          </w:tcPr>
          <w:p w14:paraId="176CFB6E" w14:textId="77777777" w:rsidR="00995CE5" w:rsidRPr="00A628D9" w:rsidRDefault="00995CE5" w:rsidP="00933BE2">
            <w:pPr>
              <w:spacing w:after="0" w:line="240" w:lineRule="auto"/>
              <w:jc w:val="center"/>
              <w:rPr>
                <w:sz w:val="20"/>
                <w:szCs w:val="20"/>
              </w:rPr>
            </w:pPr>
            <w:r>
              <w:rPr>
                <w:sz w:val="20"/>
                <w:szCs w:val="20"/>
              </w:rPr>
              <w:t>34</w:t>
            </w:r>
          </w:p>
        </w:tc>
        <w:tc>
          <w:tcPr>
            <w:tcW w:w="1276" w:type="dxa"/>
          </w:tcPr>
          <w:p w14:paraId="4AF660C2" w14:textId="77777777" w:rsidR="00995CE5" w:rsidRPr="00A628D9" w:rsidRDefault="00995CE5" w:rsidP="00933BE2">
            <w:pPr>
              <w:spacing w:after="0" w:line="240" w:lineRule="auto"/>
              <w:jc w:val="center"/>
              <w:rPr>
                <w:sz w:val="20"/>
                <w:szCs w:val="20"/>
              </w:rPr>
            </w:pPr>
            <w:r>
              <w:rPr>
                <w:sz w:val="20"/>
                <w:szCs w:val="20"/>
              </w:rPr>
              <w:t>6</w:t>
            </w:r>
          </w:p>
        </w:tc>
        <w:tc>
          <w:tcPr>
            <w:tcW w:w="851" w:type="dxa"/>
          </w:tcPr>
          <w:p w14:paraId="68EADC59" w14:textId="77777777" w:rsidR="00995CE5" w:rsidRPr="00A628D9" w:rsidRDefault="00995CE5" w:rsidP="00933BE2">
            <w:pPr>
              <w:spacing w:after="0" w:line="240" w:lineRule="auto"/>
              <w:jc w:val="center"/>
              <w:rPr>
                <w:sz w:val="20"/>
                <w:szCs w:val="20"/>
              </w:rPr>
            </w:pPr>
            <w:r>
              <w:rPr>
                <w:sz w:val="20"/>
                <w:szCs w:val="20"/>
              </w:rPr>
              <w:t>12</w:t>
            </w:r>
          </w:p>
        </w:tc>
        <w:tc>
          <w:tcPr>
            <w:tcW w:w="850" w:type="dxa"/>
          </w:tcPr>
          <w:p w14:paraId="1514356D" w14:textId="77777777" w:rsidR="00995CE5" w:rsidRPr="00A628D9" w:rsidRDefault="00995CE5" w:rsidP="00933BE2">
            <w:pPr>
              <w:spacing w:after="0" w:line="240" w:lineRule="auto"/>
              <w:jc w:val="center"/>
              <w:rPr>
                <w:sz w:val="20"/>
                <w:szCs w:val="20"/>
              </w:rPr>
            </w:pPr>
            <w:r>
              <w:rPr>
                <w:sz w:val="20"/>
                <w:szCs w:val="20"/>
              </w:rPr>
              <w:t>8</w:t>
            </w:r>
          </w:p>
        </w:tc>
        <w:tc>
          <w:tcPr>
            <w:tcW w:w="814" w:type="dxa"/>
          </w:tcPr>
          <w:p w14:paraId="43524A13" w14:textId="77777777" w:rsidR="00995CE5" w:rsidRPr="00A628D9" w:rsidRDefault="00995CE5" w:rsidP="00933BE2">
            <w:pPr>
              <w:spacing w:after="0" w:line="240" w:lineRule="auto"/>
              <w:jc w:val="center"/>
              <w:rPr>
                <w:sz w:val="20"/>
                <w:szCs w:val="20"/>
              </w:rPr>
            </w:pPr>
            <w:r>
              <w:rPr>
                <w:sz w:val="20"/>
                <w:szCs w:val="20"/>
              </w:rPr>
              <w:t>8</w:t>
            </w:r>
          </w:p>
        </w:tc>
      </w:tr>
      <w:tr w:rsidR="00995CE5" w:rsidRPr="00A628D9" w14:paraId="4473C119" w14:textId="77777777" w:rsidTr="00AE07C3">
        <w:tc>
          <w:tcPr>
            <w:tcW w:w="4106" w:type="dxa"/>
          </w:tcPr>
          <w:p w14:paraId="154DBCCB" w14:textId="77777777" w:rsidR="00995CE5" w:rsidRDefault="00995CE5" w:rsidP="00933BE2">
            <w:pPr>
              <w:spacing w:after="0" w:line="240" w:lineRule="auto"/>
              <w:rPr>
                <w:sz w:val="20"/>
                <w:szCs w:val="20"/>
              </w:rPr>
            </w:pPr>
            <w:r>
              <w:rPr>
                <w:sz w:val="20"/>
                <w:szCs w:val="20"/>
              </w:rPr>
              <w:t>White-bellied Sea-Eagle</w:t>
            </w:r>
          </w:p>
        </w:tc>
        <w:tc>
          <w:tcPr>
            <w:tcW w:w="4678" w:type="dxa"/>
          </w:tcPr>
          <w:p w14:paraId="625085F8" w14:textId="77777777" w:rsidR="00995CE5" w:rsidRDefault="00995CE5" w:rsidP="00933BE2">
            <w:pPr>
              <w:spacing w:after="0" w:line="240" w:lineRule="auto"/>
              <w:rPr>
                <w:i/>
                <w:iCs/>
                <w:sz w:val="20"/>
                <w:szCs w:val="20"/>
              </w:rPr>
            </w:pPr>
            <w:r>
              <w:rPr>
                <w:i/>
                <w:iCs/>
                <w:sz w:val="20"/>
                <w:szCs w:val="20"/>
              </w:rPr>
              <w:t>Haliaeetus leucogaster</w:t>
            </w:r>
          </w:p>
        </w:tc>
        <w:tc>
          <w:tcPr>
            <w:tcW w:w="709" w:type="dxa"/>
          </w:tcPr>
          <w:p w14:paraId="46306D36" w14:textId="77777777" w:rsidR="00995CE5" w:rsidRPr="00A628D9" w:rsidRDefault="00995CE5" w:rsidP="00933BE2">
            <w:pPr>
              <w:spacing w:after="0" w:line="240" w:lineRule="auto"/>
              <w:jc w:val="center"/>
              <w:rPr>
                <w:sz w:val="20"/>
                <w:szCs w:val="20"/>
              </w:rPr>
            </w:pPr>
          </w:p>
        </w:tc>
        <w:tc>
          <w:tcPr>
            <w:tcW w:w="708" w:type="dxa"/>
          </w:tcPr>
          <w:p w14:paraId="4ADA7C98" w14:textId="77777777" w:rsidR="00995CE5" w:rsidRDefault="00995CE5" w:rsidP="00933BE2">
            <w:pPr>
              <w:spacing w:after="0" w:line="240" w:lineRule="auto"/>
              <w:jc w:val="center"/>
              <w:rPr>
                <w:sz w:val="20"/>
                <w:szCs w:val="20"/>
              </w:rPr>
            </w:pPr>
            <w:r>
              <w:rPr>
                <w:sz w:val="20"/>
                <w:szCs w:val="20"/>
              </w:rPr>
              <w:t>V</w:t>
            </w:r>
          </w:p>
        </w:tc>
        <w:tc>
          <w:tcPr>
            <w:tcW w:w="1134" w:type="dxa"/>
          </w:tcPr>
          <w:p w14:paraId="3AEAB41A" w14:textId="77777777" w:rsidR="00995CE5" w:rsidRDefault="00995CE5" w:rsidP="00933BE2">
            <w:pPr>
              <w:spacing w:after="0" w:line="240" w:lineRule="auto"/>
              <w:jc w:val="center"/>
              <w:rPr>
                <w:sz w:val="20"/>
                <w:szCs w:val="20"/>
              </w:rPr>
            </w:pPr>
            <w:r>
              <w:rPr>
                <w:sz w:val="20"/>
                <w:szCs w:val="20"/>
              </w:rPr>
              <w:t>3</w:t>
            </w:r>
          </w:p>
        </w:tc>
        <w:tc>
          <w:tcPr>
            <w:tcW w:w="1276" w:type="dxa"/>
          </w:tcPr>
          <w:p w14:paraId="590C1DF7" w14:textId="77777777" w:rsidR="00995CE5" w:rsidRDefault="00995CE5" w:rsidP="00933BE2">
            <w:pPr>
              <w:spacing w:after="0" w:line="240" w:lineRule="auto"/>
              <w:jc w:val="center"/>
              <w:rPr>
                <w:sz w:val="20"/>
                <w:szCs w:val="20"/>
              </w:rPr>
            </w:pPr>
          </w:p>
        </w:tc>
        <w:tc>
          <w:tcPr>
            <w:tcW w:w="851" w:type="dxa"/>
          </w:tcPr>
          <w:p w14:paraId="40E66260" w14:textId="77777777" w:rsidR="00995CE5" w:rsidRDefault="00995CE5" w:rsidP="00933BE2">
            <w:pPr>
              <w:spacing w:after="0" w:line="240" w:lineRule="auto"/>
              <w:jc w:val="center"/>
              <w:rPr>
                <w:sz w:val="20"/>
                <w:szCs w:val="20"/>
              </w:rPr>
            </w:pPr>
            <w:r>
              <w:rPr>
                <w:sz w:val="20"/>
                <w:szCs w:val="20"/>
              </w:rPr>
              <w:t>1</w:t>
            </w:r>
          </w:p>
        </w:tc>
        <w:tc>
          <w:tcPr>
            <w:tcW w:w="850" w:type="dxa"/>
          </w:tcPr>
          <w:p w14:paraId="6158C7F4" w14:textId="77777777" w:rsidR="00995CE5" w:rsidRDefault="00995CE5" w:rsidP="00933BE2">
            <w:pPr>
              <w:spacing w:after="0" w:line="240" w:lineRule="auto"/>
              <w:jc w:val="center"/>
              <w:rPr>
                <w:sz w:val="20"/>
                <w:szCs w:val="20"/>
              </w:rPr>
            </w:pPr>
          </w:p>
        </w:tc>
        <w:tc>
          <w:tcPr>
            <w:tcW w:w="814" w:type="dxa"/>
          </w:tcPr>
          <w:p w14:paraId="25FBB5A2" w14:textId="77777777" w:rsidR="00995CE5" w:rsidRDefault="00995CE5" w:rsidP="00933BE2">
            <w:pPr>
              <w:spacing w:after="0" w:line="240" w:lineRule="auto"/>
              <w:jc w:val="center"/>
              <w:rPr>
                <w:sz w:val="20"/>
                <w:szCs w:val="20"/>
              </w:rPr>
            </w:pPr>
            <w:r>
              <w:rPr>
                <w:sz w:val="20"/>
                <w:szCs w:val="20"/>
              </w:rPr>
              <w:t>2</w:t>
            </w:r>
          </w:p>
        </w:tc>
      </w:tr>
      <w:bookmarkEnd w:id="287"/>
    </w:tbl>
    <w:p w14:paraId="2BBE198B" w14:textId="77777777" w:rsidR="00995CE5" w:rsidRPr="00995CE5" w:rsidRDefault="00995CE5" w:rsidP="00995CE5"/>
    <w:p w14:paraId="6F906231" w14:textId="1DBBC843" w:rsidR="009E3863" w:rsidRPr="00774180" w:rsidRDefault="00774180" w:rsidP="00AD4454">
      <w:pPr>
        <w:pStyle w:val="Heading6"/>
        <w:rPr>
          <w:u w:val="single"/>
        </w:rPr>
      </w:pPr>
      <w:r w:rsidRPr="00774180">
        <w:lastRenderedPageBreak/>
        <w:t xml:space="preserve">Waterbirds </w:t>
      </w:r>
      <w:r w:rsidR="00A2414A">
        <w:t>–</w:t>
      </w:r>
      <w:r w:rsidR="00EC7439">
        <w:t xml:space="preserve"> C</w:t>
      </w:r>
      <w:r w:rsidR="00A2414A">
        <w:t>oorong, Murray Estuary</w:t>
      </w:r>
      <w:r w:rsidR="0064396A">
        <w:t>,</w:t>
      </w:r>
      <w:r w:rsidR="00A2414A">
        <w:t xml:space="preserve"> and Lower Lakes</w:t>
      </w:r>
    </w:p>
    <w:p w14:paraId="271A0E6C" w14:textId="370CE94B" w:rsidR="00FC7C8C" w:rsidRDefault="008B3E66" w:rsidP="0018206A">
      <w:r>
        <w:t>Waterbird habitat occurs throughout the ecological community (e.g. Suter et al. 1993, 1995), but the Coorong</w:t>
      </w:r>
      <w:r w:rsidR="00AC06DD">
        <w:t xml:space="preserve">, Murray Estuary and </w:t>
      </w:r>
      <w:r>
        <w:t>Lower Lakes, in particular, are nationally and internationally recognised wetlands for native and migratory waterbirds</w:t>
      </w:r>
      <w:r w:rsidR="00AC06DD">
        <w:t xml:space="preserve"> (Paton et al. 2018</w:t>
      </w:r>
      <w:r w:rsidR="0064396A">
        <w:t>, 2023</w:t>
      </w:r>
      <w:r w:rsidR="00AC06DD">
        <w:t xml:space="preserve">). </w:t>
      </w:r>
      <w:r w:rsidR="00FC7C8C">
        <w:t>About one-third of South Australia's wader population and one of the largest concentrations of migratory waders anywhere in Australia has been found along the Coorong in the past (Lothian &amp; Williams, 1988 in Nicol, 2005).</w:t>
      </w:r>
    </w:p>
    <w:p w14:paraId="456B86D9" w14:textId="15422F37" w:rsidR="004D169D" w:rsidRDefault="00F56ED1" w:rsidP="0018206A">
      <w:r>
        <w:t>These wetlands are particularly important summ</w:t>
      </w:r>
      <w:r w:rsidR="00DC712D">
        <w:t>e</w:t>
      </w:r>
      <w:r>
        <w:t>r and drought refugia for waterbirds</w:t>
      </w:r>
      <w:r w:rsidR="00C66B1A">
        <w:t>, with greatest abundances and diversities of species</w:t>
      </w:r>
      <w:r w:rsidR="00DC712D">
        <w:t xml:space="preserve"> present during summer and autumn (Paton 2010</w:t>
      </w:r>
      <w:r w:rsidR="00133D33">
        <w:t xml:space="preserve">; Paton et al. </w:t>
      </w:r>
      <w:r w:rsidR="00AC6CB4">
        <w:t xml:space="preserve">2009, </w:t>
      </w:r>
      <w:r w:rsidR="00FC7C8C">
        <w:t xml:space="preserve">2018, </w:t>
      </w:r>
      <w:r w:rsidR="00133D33">
        <w:t>2022, 2023</w:t>
      </w:r>
      <w:r w:rsidR="00DC712D">
        <w:t xml:space="preserve">). </w:t>
      </w:r>
      <w:r w:rsidR="00B1703C">
        <w:t xml:space="preserve">During summer, the Coorong </w:t>
      </w:r>
      <w:r w:rsidR="00047B4D">
        <w:t xml:space="preserve">(including </w:t>
      </w:r>
      <w:r w:rsidR="00BB4444">
        <w:t xml:space="preserve">the </w:t>
      </w:r>
      <w:r w:rsidR="00047B4D">
        <w:t>South and North Lagoons and</w:t>
      </w:r>
      <w:r w:rsidR="00B1703C">
        <w:t xml:space="preserve"> Murray </w:t>
      </w:r>
      <w:r w:rsidR="003650F3">
        <w:t>E</w:t>
      </w:r>
      <w:r w:rsidR="00B1703C">
        <w:t>stuary</w:t>
      </w:r>
      <w:r w:rsidR="00047B4D">
        <w:t>)</w:t>
      </w:r>
      <w:r w:rsidR="00B1703C">
        <w:t xml:space="preserve"> </w:t>
      </w:r>
      <w:r w:rsidR="003650F3">
        <w:t xml:space="preserve">typically support twice as many individuals compared to the freshwater Lower Lakes </w:t>
      </w:r>
      <w:r w:rsidR="00047B4D">
        <w:t xml:space="preserve">(Paton et al. 2023). </w:t>
      </w:r>
      <w:r w:rsidR="00060E23">
        <w:t>Although</w:t>
      </w:r>
      <w:r w:rsidR="006423CC">
        <w:t>, t</w:t>
      </w:r>
      <w:r w:rsidR="00602D1D">
        <w:t>he numbers of bi</w:t>
      </w:r>
      <w:r w:rsidR="00133EFC">
        <w:t xml:space="preserve">rd species and their abundance </w:t>
      </w:r>
      <w:r w:rsidR="006305B4">
        <w:t xml:space="preserve">varies </w:t>
      </w:r>
      <w:r w:rsidR="00212436">
        <w:t xml:space="preserve">between years </w:t>
      </w:r>
      <w:r w:rsidR="00133EFC">
        <w:t xml:space="preserve">according to </w:t>
      </w:r>
      <w:r w:rsidR="00DC712D">
        <w:t xml:space="preserve">a range of </w:t>
      </w:r>
      <w:r w:rsidR="00133EFC">
        <w:t xml:space="preserve">factors, such as: </w:t>
      </w:r>
      <w:r w:rsidR="00877742">
        <w:t>availability of food resources</w:t>
      </w:r>
      <w:r w:rsidR="009E7F82">
        <w:t xml:space="preserve">, hydrological regime, </w:t>
      </w:r>
      <w:r w:rsidR="00133EFC">
        <w:t xml:space="preserve">climate, </w:t>
      </w:r>
      <w:r w:rsidR="004D43CF">
        <w:t xml:space="preserve">resources available in central and northern Australia, </w:t>
      </w:r>
      <w:r w:rsidR="00037997">
        <w:t>breeding and migratory success in other parts of the world</w:t>
      </w:r>
      <w:r w:rsidR="001B71C4">
        <w:t xml:space="preserve"> (Brandle 2002</w:t>
      </w:r>
      <w:r w:rsidR="00212436">
        <w:t>; Paton et al. 2018</w:t>
      </w:r>
      <w:r w:rsidR="00047B4D">
        <w:t>).</w:t>
      </w:r>
      <w:r w:rsidR="006423CC">
        <w:t xml:space="preserve"> </w:t>
      </w:r>
    </w:p>
    <w:p w14:paraId="4E691340" w14:textId="3D2B6918" w:rsidR="000117C5" w:rsidRDefault="000117C5" w:rsidP="0018206A">
      <w:r>
        <w:t>Carpenter (1995</w:t>
      </w:r>
      <w:r w:rsidR="00172D57">
        <w:t xml:space="preserve"> in Brandle 2002</w:t>
      </w:r>
      <w:r>
        <w:t xml:space="preserve">) collated </w:t>
      </w:r>
      <w:r w:rsidR="00931F17">
        <w:t xml:space="preserve">available </w:t>
      </w:r>
      <w:r w:rsidR="0029663A">
        <w:t>historical</w:t>
      </w:r>
      <w:r w:rsidR="002D5E0C">
        <w:t xml:space="preserve"> summer bird count data for the Coorong and Lower Lakes</w:t>
      </w:r>
      <w:r w:rsidR="00931F17">
        <w:t xml:space="preserve"> </w:t>
      </w:r>
      <w:r w:rsidR="002D5E0C">
        <w:t xml:space="preserve">and </w:t>
      </w:r>
      <w:r w:rsidR="00060E23">
        <w:t>estimated</w:t>
      </w:r>
      <w:r w:rsidR="002D5E0C">
        <w:t xml:space="preserve">: </w:t>
      </w:r>
      <w:r w:rsidR="00CD3548">
        <w:t>60</w:t>
      </w:r>
      <w:r w:rsidR="004D28AD">
        <w:t xml:space="preserve"> </w:t>
      </w:r>
      <w:r w:rsidR="00CD3548">
        <w:t>000 waders of 30 species</w:t>
      </w:r>
      <w:r w:rsidR="002E0C3B">
        <w:t xml:space="preserve">; </w:t>
      </w:r>
      <w:r w:rsidR="00CD3548">
        <w:t>40,000 migratory</w:t>
      </w:r>
      <w:r w:rsidR="008B3790">
        <w:t xml:space="preserve"> of</w:t>
      </w:r>
      <w:r w:rsidR="00CD3548">
        <w:t xml:space="preserve"> 20 species</w:t>
      </w:r>
      <w:r w:rsidR="002E0C3B">
        <w:t xml:space="preserve">; </w:t>
      </w:r>
      <w:r w:rsidR="00CD3548">
        <w:t>110,000 waterfowl of 14 species; and</w:t>
      </w:r>
      <w:r w:rsidR="00FC3208">
        <w:t xml:space="preserve"> </w:t>
      </w:r>
      <w:r w:rsidR="00CD3548">
        <w:t>70</w:t>
      </w:r>
      <w:r w:rsidR="004D28AD">
        <w:t xml:space="preserve"> </w:t>
      </w:r>
      <w:r w:rsidR="00CD3548">
        <w:t>000 other waterbirds of 38 species</w:t>
      </w:r>
      <w:r w:rsidR="009040CD">
        <w:t xml:space="preserve"> (i.e. total of around 240,000 birds and </w:t>
      </w:r>
      <w:r w:rsidR="00FC3208">
        <w:t>82 species)</w:t>
      </w:r>
      <w:r w:rsidR="00CD3548">
        <w:t>.</w:t>
      </w:r>
      <w:r w:rsidR="00060E23">
        <w:t xml:space="preserve"> This provides </w:t>
      </w:r>
      <w:r w:rsidR="000C36E1">
        <w:t xml:space="preserve">a ‘rough’ reference guide for </w:t>
      </w:r>
      <w:r w:rsidR="00F61D56">
        <w:t xml:space="preserve">comparison of future </w:t>
      </w:r>
      <w:r w:rsidR="000C36E1">
        <w:t>monitoring</w:t>
      </w:r>
      <w:r w:rsidR="00F61D56">
        <w:t>/</w:t>
      </w:r>
      <w:r w:rsidR="000C36E1">
        <w:t xml:space="preserve">surveys. </w:t>
      </w:r>
      <w:r w:rsidR="00CF6F57">
        <w:t xml:space="preserve">A </w:t>
      </w:r>
      <w:r w:rsidR="00060E23">
        <w:t xml:space="preserve">declining trend in bird counts </w:t>
      </w:r>
      <w:r w:rsidR="00F61D56">
        <w:t xml:space="preserve">was </w:t>
      </w:r>
      <w:r w:rsidR="00060E23">
        <w:t xml:space="preserve">observed </w:t>
      </w:r>
      <w:r w:rsidR="009A794F">
        <w:t xml:space="preserve">from </w:t>
      </w:r>
      <w:r w:rsidR="00060E23">
        <w:t xml:space="preserve">the 1980s </w:t>
      </w:r>
      <w:r w:rsidR="00030D1C">
        <w:t xml:space="preserve">for the Coorong and Murray Mouth area, from </w:t>
      </w:r>
      <w:r w:rsidR="00F61D56">
        <w:t xml:space="preserve">counts of </w:t>
      </w:r>
      <w:r w:rsidR="00D847B6">
        <w:t>~</w:t>
      </w:r>
      <w:r w:rsidR="00F61D56">
        <w:t>1</w:t>
      </w:r>
      <w:r w:rsidR="001A2BC8">
        <w:t>4</w:t>
      </w:r>
      <w:r w:rsidR="00F61D56">
        <w:t xml:space="preserve">0,000 to </w:t>
      </w:r>
      <w:r w:rsidR="00D847B6">
        <w:t>~</w:t>
      </w:r>
      <w:r w:rsidR="00F61D56">
        <w:t xml:space="preserve">235,000 during the </w:t>
      </w:r>
      <w:r w:rsidR="00AC3F6F">
        <w:t xml:space="preserve">early </w:t>
      </w:r>
      <w:r w:rsidR="00F61D56">
        <w:t xml:space="preserve">1980s declining to </w:t>
      </w:r>
      <w:r w:rsidR="00D847B6">
        <w:t>~</w:t>
      </w:r>
      <w:r w:rsidR="00F72353">
        <w:t>48</w:t>
      </w:r>
      <w:r w:rsidR="00F61D56">
        <w:t xml:space="preserve">,000 to </w:t>
      </w:r>
      <w:r w:rsidR="00D847B6">
        <w:t>~</w:t>
      </w:r>
      <w:r w:rsidR="0006648F">
        <w:t>103</w:t>
      </w:r>
      <w:r w:rsidR="00F61D56">
        <w:t xml:space="preserve">,000 in the </w:t>
      </w:r>
      <w:r w:rsidR="00E843EF">
        <w:t xml:space="preserve">early </w:t>
      </w:r>
      <w:r w:rsidR="00F61D56">
        <w:t>2000s (Gosbell et al. 2002).</w:t>
      </w:r>
    </w:p>
    <w:p w14:paraId="7AC1C762" w14:textId="7FCB5B70" w:rsidR="004D169D" w:rsidRDefault="00066662" w:rsidP="00136EE0">
      <w:r>
        <w:t>Bird surveys in the Coorong demonstrate the extent of the decline for many species (Paton et al. 2009b; Rogers &amp; Paton, 2009b; Paton &amp; Bailey, 2011a, b, 2012b, c). Declines in the abundance of some key species between 1985 and 2000 intensified with the Millennium Drought and once-common birds were recorded only rarely by 2007 (Paton et al. 2009; Rogers &amp; Paton 2009b). For example, r</w:t>
      </w:r>
      <w:r w:rsidR="00FC528C">
        <w:t xml:space="preserve">egular </w:t>
      </w:r>
      <w:r w:rsidR="000670AC">
        <w:t xml:space="preserve">summer </w:t>
      </w:r>
      <w:r w:rsidR="00FC528C">
        <w:t xml:space="preserve">surveys of waterbirds have been undertaken in </w:t>
      </w:r>
      <w:r w:rsidR="00125BA5">
        <w:t>the Lower Lakes, Coorong and Murray Mouth</w:t>
      </w:r>
      <w:r w:rsidR="006866A3">
        <w:t xml:space="preserve"> </w:t>
      </w:r>
      <w:r w:rsidR="00B83AEC">
        <w:t xml:space="preserve">(LLCMM) </w:t>
      </w:r>
      <w:r w:rsidR="006866A3">
        <w:t xml:space="preserve">MDB </w:t>
      </w:r>
      <w:r w:rsidR="00F113A1">
        <w:t xml:space="preserve">Living Murray </w:t>
      </w:r>
      <w:r w:rsidR="006866A3">
        <w:t xml:space="preserve">Icon site since </w:t>
      </w:r>
      <w:r w:rsidR="002E0C3B">
        <w:t>200</w:t>
      </w:r>
      <w:r w:rsidR="00DB44C4">
        <w:t>0</w:t>
      </w:r>
      <w:r w:rsidR="006866A3">
        <w:t xml:space="preserve"> </w:t>
      </w:r>
      <w:r w:rsidR="00A5012D">
        <w:t xml:space="preserve">for the Coorong </w:t>
      </w:r>
      <w:r w:rsidR="00FC528C">
        <w:t>(</w:t>
      </w:r>
      <w:r w:rsidR="00DB44C4">
        <w:t xml:space="preserve">up to </w:t>
      </w:r>
      <w:r w:rsidR="00A5012D">
        <w:t>81</w:t>
      </w:r>
      <w:r w:rsidR="00FC528C">
        <w:t xml:space="preserve"> species recorded, Paton </w:t>
      </w:r>
      <w:r w:rsidR="00A5012D">
        <w:t>et al. 2018</w:t>
      </w:r>
      <w:r w:rsidR="00FC528C">
        <w:t>)</w:t>
      </w:r>
      <w:r w:rsidR="00A5012D">
        <w:t>, and since 2009 for the Lower Lakes (up to 72 species recorded</w:t>
      </w:r>
      <w:r w:rsidR="00677C02">
        <w:t>, Paton et al. 2019).</w:t>
      </w:r>
      <w:r w:rsidR="00FC528C">
        <w:t xml:space="preserve">  </w:t>
      </w:r>
      <w:bookmarkStart w:id="288" w:name="_Toc232747216"/>
      <w:bookmarkStart w:id="289" w:name="_Toc232747292"/>
      <w:bookmarkStart w:id="290" w:name="_Toc232747535"/>
    </w:p>
    <w:p w14:paraId="2056E48F" w14:textId="77777777" w:rsidR="0034321A" w:rsidRDefault="00ED1008" w:rsidP="00136EE0">
      <w:r>
        <w:t xml:space="preserve">For the 2023 </w:t>
      </w:r>
      <w:r w:rsidR="004D169D">
        <w:t xml:space="preserve">summer </w:t>
      </w:r>
      <w:r>
        <w:t xml:space="preserve">survey, </w:t>
      </w:r>
      <w:r w:rsidR="006445EC">
        <w:t xml:space="preserve">total </w:t>
      </w:r>
      <w:r w:rsidR="000670AC">
        <w:t xml:space="preserve">abundance </w:t>
      </w:r>
      <w:r w:rsidR="004D169D">
        <w:t xml:space="preserve">of </w:t>
      </w:r>
      <w:r w:rsidR="006445EC">
        <w:t>was down by 70</w:t>
      </w:r>
      <w:r w:rsidR="00AC55DA">
        <w:t xml:space="preserve"> </w:t>
      </w:r>
      <w:r w:rsidR="006445EC">
        <w:t>000 birds</w:t>
      </w:r>
      <w:r w:rsidR="0047376B">
        <w:t xml:space="preserve">, with 31 of </w:t>
      </w:r>
      <w:r w:rsidR="004D169D">
        <w:t xml:space="preserve">the </w:t>
      </w:r>
      <w:r w:rsidR="0047376B">
        <w:t xml:space="preserve">49 species </w:t>
      </w:r>
      <w:r w:rsidR="004F36B7">
        <w:t xml:space="preserve">present </w:t>
      </w:r>
      <w:r w:rsidR="0047376B">
        <w:t>below long</w:t>
      </w:r>
      <w:r w:rsidR="0057173A">
        <w:t>-term median abundance (LTMA); in the Lower Lakes</w:t>
      </w:r>
      <w:r w:rsidR="004D169D">
        <w:t>,</w:t>
      </w:r>
      <w:r w:rsidR="0057173A">
        <w:t xml:space="preserve"> abundance was up by 17</w:t>
      </w:r>
      <w:r w:rsidR="00C74431">
        <w:t xml:space="preserve"> </w:t>
      </w:r>
      <w:r w:rsidR="0057173A">
        <w:t>000</w:t>
      </w:r>
      <w:r w:rsidR="004D169D">
        <w:t xml:space="preserve"> birds</w:t>
      </w:r>
      <w:r w:rsidR="0057173A">
        <w:t xml:space="preserve">, however </w:t>
      </w:r>
      <w:r w:rsidR="00EA4E50">
        <w:t>of 48 species</w:t>
      </w:r>
      <w:r w:rsidR="004D169D">
        <w:t xml:space="preserve"> present</w:t>
      </w:r>
      <w:r w:rsidR="00EA4E50">
        <w:t>, 16 were below the LTMA (Paton et al. 202</w:t>
      </w:r>
      <w:r w:rsidR="001D6E15">
        <w:t>3</w:t>
      </w:r>
      <w:r w:rsidR="00EA4E50">
        <w:t>).</w:t>
      </w:r>
      <w:r w:rsidR="00A45489">
        <w:t xml:space="preserve"> The objective to maintain or improve water bird populations in the </w:t>
      </w:r>
      <w:r w:rsidR="00B83AEC">
        <w:t xml:space="preserve">LLCMM </w:t>
      </w:r>
      <w:r w:rsidR="00A45489">
        <w:t>was not met in January-February 2023</w:t>
      </w:r>
      <w:r w:rsidR="003E512A">
        <w:t xml:space="preserve"> (Paton et al. 2023). The overall substantial decline </w:t>
      </w:r>
      <w:r w:rsidR="00990458">
        <w:t xml:space="preserve">observed </w:t>
      </w:r>
      <w:r w:rsidR="003E512A">
        <w:t>in waterbirds follows on from substantial declines</w:t>
      </w:r>
      <w:r w:rsidR="00D16C05">
        <w:t xml:space="preserve"> in overall abundance recorded over the </w:t>
      </w:r>
      <w:r w:rsidR="00865FAF">
        <w:t>previous three years (Paton et al. 2023).</w:t>
      </w:r>
      <w:r w:rsidR="002B06E0">
        <w:t xml:space="preserve"> </w:t>
      </w:r>
    </w:p>
    <w:p w14:paraId="6463C33F" w14:textId="27BEEC1A" w:rsidR="004A47B4" w:rsidRPr="00F10AE8" w:rsidRDefault="004F36B7" w:rsidP="00F10AE8">
      <w:pPr>
        <w:spacing w:after="100"/>
      </w:pPr>
      <w:r>
        <w:t>L</w:t>
      </w:r>
      <w:r w:rsidR="002B06E0">
        <w:t xml:space="preserve">ong-term threshold ecological targets set for </w:t>
      </w:r>
      <w:r w:rsidR="0028298D">
        <w:t>the abundance and distribution</w:t>
      </w:r>
      <w:r w:rsidR="00003C63">
        <w:t xml:space="preserve"> of 25 species in the Lower Lakes and 40 species in the </w:t>
      </w:r>
      <w:r w:rsidR="005A7799">
        <w:t>Coorong</w:t>
      </w:r>
      <w:r>
        <w:t xml:space="preserve"> were </w:t>
      </w:r>
      <w:r w:rsidRPr="00990458">
        <w:rPr>
          <w:u w:val="single"/>
        </w:rPr>
        <w:t>not met</w:t>
      </w:r>
      <w:r>
        <w:t xml:space="preserve">, </w:t>
      </w:r>
      <w:r w:rsidR="00907D1E">
        <w:t>and the resultant</w:t>
      </w:r>
      <w:r w:rsidR="00DB53F9">
        <w:t xml:space="preserve"> negative Whole of Icon Site Score (WOISS) for the two wetlands</w:t>
      </w:r>
      <w:r w:rsidR="00CA058D">
        <w:t xml:space="preserve"> was the lowest on record since the end of the Millennium Drought</w:t>
      </w:r>
      <w:r w:rsidR="00B070B6">
        <w:t>; -</w:t>
      </w:r>
      <w:r w:rsidR="00EC3222">
        <w:t>79 for Coorong</w:t>
      </w:r>
      <w:r w:rsidR="003C5408">
        <w:t xml:space="preserve"> (</w:t>
      </w:r>
      <w:r w:rsidR="003C5408" w:rsidRPr="003234B2">
        <w:rPr>
          <w:u w:val="single"/>
        </w:rPr>
        <w:t>Figure 15</w:t>
      </w:r>
      <w:r w:rsidR="003C5408">
        <w:t>); -54 for Lower Lakes (</w:t>
      </w:r>
      <w:r w:rsidR="003C5408" w:rsidRPr="003234B2">
        <w:rPr>
          <w:u w:val="single"/>
        </w:rPr>
        <w:t>Figure 16</w:t>
      </w:r>
      <w:r w:rsidR="00EC3222">
        <w:t>)</w:t>
      </w:r>
      <w:r w:rsidR="00627983">
        <w:t xml:space="preserve"> (Paton et al. 2023)</w:t>
      </w:r>
      <w:r w:rsidR="00CA058D">
        <w:t>.</w:t>
      </w:r>
      <w:r w:rsidR="00627983">
        <w:t xml:space="preserve"> The biggest declines were for fish-eating group in the Lower Lakes, and for </w:t>
      </w:r>
      <w:r w:rsidR="00C56EC3">
        <w:t xml:space="preserve">wading </w:t>
      </w:r>
      <w:r w:rsidR="00627983">
        <w:t xml:space="preserve">shorebirds in the Coorong. </w:t>
      </w:r>
      <w:r w:rsidR="0034321A">
        <w:t xml:space="preserve">Declines are </w:t>
      </w:r>
      <w:r w:rsidR="008316FF">
        <w:t xml:space="preserve">likely </w:t>
      </w:r>
      <w:r w:rsidR="0034321A">
        <w:t>related to changes in food resources and access to those resources (i.e. due to changes in water depth) (Rogers &amp; Paton, 2009b; Pat</w:t>
      </w:r>
      <w:r w:rsidR="008316FF">
        <w:t>o</w:t>
      </w:r>
      <w:r w:rsidR="0034321A">
        <w:t xml:space="preserve">n et al. 2018, </w:t>
      </w:r>
      <w:r w:rsidR="0034321A">
        <w:lastRenderedPageBreak/>
        <w:t xml:space="preserve">2023). </w:t>
      </w:r>
      <w:r w:rsidR="00646261">
        <w:t>For c</w:t>
      </w:r>
      <w:r w:rsidR="008316FF">
        <w:t>hanges in food resources (i.e. macroinvertebrates, macrophytes</w:t>
      </w:r>
      <w:r w:rsidR="00646261">
        <w:t xml:space="preserve">, small fish) see </w:t>
      </w:r>
      <w:r w:rsidR="00AE1F21">
        <w:t xml:space="preserve">sections above in </w:t>
      </w:r>
      <w:r w:rsidR="00AE1F21" w:rsidRPr="00867F17">
        <w:rPr>
          <w:u w:val="single"/>
        </w:rPr>
        <w:t>Criterion 4</w:t>
      </w:r>
      <w:r w:rsidR="00AE1F21">
        <w:t xml:space="preserve"> and </w:t>
      </w:r>
      <w:r w:rsidR="00AE1F21" w:rsidRPr="00867F17">
        <w:rPr>
          <w:u w:val="single"/>
        </w:rPr>
        <w:t>Criterion 3</w:t>
      </w:r>
      <w:r w:rsidR="00AE1F21">
        <w:t>.</w:t>
      </w:r>
      <w:r w:rsidR="00646261">
        <w:t xml:space="preserve"> </w:t>
      </w:r>
    </w:p>
    <w:p w14:paraId="333284B3" w14:textId="35B76E92" w:rsidR="004D28AD" w:rsidRDefault="00A9401D" w:rsidP="00FC528C">
      <w:pPr>
        <w:pStyle w:val="tabletitle"/>
        <w:spacing w:before="120" w:after="60"/>
        <w:ind w:left="0"/>
        <w:rPr>
          <w:rFonts w:ascii="Cambria" w:hAnsi="Cambria"/>
          <w:sz w:val="20"/>
          <w:szCs w:val="20"/>
        </w:rPr>
      </w:pPr>
      <w:r w:rsidRPr="004C0FE3">
        <w:rPr>
          <w:noProof/>
        </w:rPr>
        <w:drawing>
          <wp:inline distT="0" distB="0" distL="0" distR="0" wp14:anchorId="5919B41A" wp14:editId="696661ED">
            <wp:extent cx="5762625" cy="3586697"/>
            <wp:effectExtent l="0" t="0" r="0" b="0"/>
            <wp:docPr id="171219916" name="Picture 1" descr="A graph showing the changes in the whole of icon site score for waterbirds using the Coorong in January from 200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9916" name="Picture 1" descr="A graph showing the changes in the whole of icon site score for waterbirds using the Coorong in January from 2002 to 2023."/>
                    <pic:cNvPicPr/>
                  </pic:nvPicPr>
                  <pic:blipFill>
                    <a:blip r:embed="rId42"/>
                    <a:stretch>
                      <a:fillRect/>
                    </a:stretch>
                  </pic:blipFill>
                  <pic:spPr>
                    <a:xfrm>
                      <a:off x="0" y="0"/>
                      <a:ext cx="5781657" cy="3598543"/>
                    </a:xfrm>
                    <a:prstGeom prst="rect">
                      <a:avLst/>
                    </a:prstGeom>
                  </pic:spPr>
                </pic:pic>
              </a:graphicData>
            </a:graphic>
          </wp:inline>
        </w:drawing>
      </w:r>
    </w:p>
    <w:p w14:paraId="1C091D90" w14:textId="3813E067" w:rsidR="000C66B2" w:rsidRDefault="00136EE0" w:rsidP="003234B2">
      <w:pPr>
        <w:pStyle w:val="Caption"/>
        <w:rPr>
          <w:bCs/>
          <w:sz w:val="20"/>
          <w:szCs w:val="20"/>
        </w:rPr>
      </w:pPr>
      <w:r>
        <w:t xml:space="preserve">Figure </w:t>
      </w:r>
      <w:r>
        <w:fldChar w:fldCharType="begin"/>
      </w:r>
      <w:r>
        <w:instrText xml:space="preserve"> SEQ Figure \* ARABIC </w:instrText>
      </w:r>
      <w:r>
        <w:fldChar w:fldCharType="separate"/>
      </w:r>
      <w:r w:rsidR="006D35C5">
        <w:rPr>
          <w:noProof/>
        </w:rPr>
        <w:t>15</w:t>
      </w:r>
      <w:r>
        <w:fldChar w:fldCharType="end"/>
      </w:r>
      <w:r w:rsidR="00A9401D" w:rsidRPr="001B597C">
        <w:rPr>
          <w:bCs/>
          <w:sz w:val="20"/>
          <w:szCs w:val="20"/>
        </w:rPr>
        <w:t xml:space="preserve">: </w:t>
      </w:r>
      <w:r w:rsidR="00A9401D" w:rsidRPr="004A47B4">
        <w:rPr>
          <w:bCs/>
          <w:sz w:val="20"/>
          <w:szCs w:val="20"/>
        </w:rPr>
        <w:t>Changes in the Whole of Icon Site Score (WOISS) for waterbirds using the Coorong in January from 2002 to 2023 (dark blue line). The shaded areas indicate the contributions of different components of the waterbird community (namely the migratory waders, non-migratory waders, and non-waders (all other species) to the WOISS through time</w:t>
      </w:r>
      <w:r w:rsidR="00135F3B" w:rsidRPr="004A47B4">
        <w:rPr>
          <w:bCs/>
          <w:sz w:val="20"/>
          <w:szCs w:val="20"/>
        </w:rPr>
        <w:t xml:space="preserve"> (Paton et al. 2023)</w:t>
      </w:r>
      <w:r w:rsidR="00A9401D" w:rsidRPr="004A47B4">
        <w:rPr>
          <w:bCs/>
          <w:sz w:val="20"/>
          <w:szCs w:val="20"/>
        </w:rPr>
        <w:t>.</w:t>
      </w:r>
    </w:p>
    <w:p w14:paraId="3C1D797A" w14:textId="77777777" w:rsidR="004A47B4" w:rsidRPr="004A47B4" w:rsidRDefault="004A47B4" w:rsidP="004A47B4"/>
    <w:p w14:paraId="55853E99" w14:textId="624EC2BE" w:rsidR="004D28AD" w:rsidRDefault="00135F3B" w:rsidP="00FC528C">
      <w:pPr>
        <w:pStyle w:val="tabletitle"/>
        <w:spacing w:before="120" w:after="60"/>
        <w:ind w:left="0"/>
        <w:rPr>
          <w:rFonts w:ascii="Cambria" w:hAnsi="Cambria"/>
          <w:sz w:val="20"/>
          <w:szCs w:val="20"/>
        </w:rPr>
      </w:pPr>
      <w:r w:rsidRPr="00135F3B">
        <w:rPr>
          <w:rFonts w:ascii="Cambria" w:hAnsi="Cambria"/>
          <w:noProof/>
          <w:sz w:val="20"/>
          <w:szCs w:val="20"/>
        </w:rPr>
        <w:drawing>
          <wp:inline distT="0" distB="0" distL="0" distR="0" wp14:anchorId="0291EEBC" wp14:editId="358F4413">
            <wp:extent cx="5840060" cy="3197752"/>
            <wp:effectExtent l="0" t="0" r="8890" b="3175"/>
            <wp:docPr id="1430084701" name="Picture 1" descr="A graph showing the changes in the whole of icon site score for waterbirds using the Lower Lakes in January from 200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84701" name="Picture 1" descr="A graph showing the changes in the whole of icon site score for waterbirds using the Lower Lakes in January from 2002 to 2023."/>
                    <pic:cNvPicPr/>
                  </pic:nvPicPr>
                  <pic:blipFill>
                    <a:blip r:embed="rId43"/>
                    <a:stretch>
                      <a:fillRect/>
                    </a:stretch>
                  </pic:blipFill>
                  <pic:spPr>
                    <a:xfrm>
                      <a:off x="0" y="0"/>
                      <a:ext cx="5857913" cy="3207528"/>
                    </a:xfrm>
                    <a:prstGeom prst="rect">
                      <a:avLst/>
                    </a:prstGeom>
                  </pic:spPr>
                </pic:pic>
              </a:graphicData>
            </a:graphic>
          </wp:inline>
        </w:drawing>
      </w:r>
    </w:p>
    <w:p w14:paraId="4BB9D8A8" w14:textId="30084268" w:rsidR="002E036C" w:rsidRDefault="00136EE0" w:rsidP="004A47B4">
      <w:pPr>
        <w:pStyle w:val="Caption"/>
        <w:rPr>
          <w:sz w:val="20"/>
          <w:szCs w:val="20"/>
        </w:rPr>
      </w:pPr>
      <w:r>
        <w:t xml:space="preserve">Figure </w:t>
      </w:r>
      <w:r>
        <w:fldChar w:fldCharType="begin"/>
      </w:r>
      <w:r>
        <w:instrText xml:space="preserve"> SEQ Figure \* ARABIC </w:instrText>
      </w:r>
      <w:r>
        <w:fldChar w:fldCharType="separate"/>
      </w:r>
      <w:r w:rsidR="006D35C5">
        <w:rPr>
          <w:noProof/>
        </w:rPr>
        <w:t>16</w:t>
      </w:r>
      <w:r>
        <w:fldChar w:fldCharType="end"/>
      </w:r>
      <w:r w:rsidR="002E036C" w:rsidRPr="002E036C">
        <w:rPr>
          <w:sz w:val="20"/>
          <w:szCs w:val="20"/>
        </w:rPr>
        <w:t xml:space="preserve">: </w:t>
      </w:r>
      <w:r w:rsidR="002E036C" w:rsidRPr="004A47B4">
        <w:rPr>
          <w:sz w:val="20"/>
          <w:szCs w:val="20"/>
        </w:rPr>
        <w:t>Changes in the Whole of Icon Site Score (WOISS) for waterbirds using the Lower Lakes in January from 2015 to 2023 (dark blue line). Shaded areas indicate the contributions of different waterbird community components (namely predominantly herbivorous species (blue), predominantly piscivorous species (orange); and other species (grey) (Paton et al. 2023).</w:t>
      </w:r>
    </w:p>
    <w:tbl>
      <w:tblPr>
        <w:tblStyle w:val="TableGrid"/>
        <w:tblW w:w="0" w:type="auto"/>
        <w:tblLook w:val="04A0" w:firstRow="1" w:lastRow="0" w:firstColumn="1" w:lastColumn="0" w:noHBand="0" w:noVBand="1"/>
      </w:tblPr>
      <w:tblGrid>
        <w:gridCol w:w="9060"/>
      </w:tblGrid>
      <w:tr w:rsidR="00FC528C" w14:paraId="45CBB553" w14:textId="77777777" w:rsidTr="009C61D8">
        <w:tc>
          <w:tcPr>
            <w:tcW w:w="9174" w:type="dxa"/>
            <w:shd w:val="clear" w:color="auto" w:fill="FBE4D5" w:themeFill="accent2" w:themeFillTint="33"/>
          </w:tcPr>
          <w:bookmarkEnd w:id="288"/>
          <w:bookmarkEnd w:id="289"/>
          <w:bookmarkEnd w:id="290"/>
          <w:p w14:paraId="3C9B2A0B" w14:textId="77777777" w:rsidR="00AE1F21" w:rsidRDefault="00502C42" w:rsidP="009C61D8">
            <w:pPr>
              <w:rPr>
                <w:i/>
                <w:iCs/>
              </w:rPr>
            </w:pPr>
            <w:r>
              <w:rPr>
                <w:i/>
                <w:iCs/>
              </w:rPr>
              <w:lastRenderedPageBreak/>
              <w:t>Questions</w:t>
            </w:r>
          </w:p>
          <w:p w14:paraId="56383811" w14:textId="744CE0FB" w:rsidR="00502C42" w:rsidRPr="00502C42" w:rsidRDefault="00502C42" w:rsidP="004162AC">
            <w:pPr>
              <w:pStyle w:val="ListParagraph"/>
              <w:numPr>
                <w:ilvl w:val="0"/>
                <w:numId w:val="87"/>
              </w:numPr>
              <w:rPr>
                <w:i/>
                <w:iCs/>
              </w:rPr>
            </w:pPr>
            <w:r>
              <w:rPr>
                <w:i/>
                <w:iCs/>
              </w:rPr>
              <w:t xml:space="preserve">Do you have any feedback on the </w:t>
            </w:r>
            <w:r w:rsidR="00AA627C">
              <w:rPr>
                <w:i/>
                <w:iCs/>
              </w:rPr>
              <w:t>preliminary assessment for part 1a) under Criterion 4 or further data, information or reports that would support or update the assessment outcomes</w:t>
            </w:r>
            <w:r w:rsidR="000C66B2">
              <w:rPr>
                <w:i/>
                <w:iCs/>
              </w:rPr>
              <w:t>?</w:t>
            </w:r>
          </w:p>
        </w:tc>
      </w:tr>
    </w:tbl>
    <w:p w14:paraId="6B84BE52" w14:textId="77777777" w:rsidR="00A23BC1" w:rsidRDefault="00A23BC1" w:rsidP="00825F50"/>
    <w:p w14:paraId="0BBA972A" w14:textId="0727C7EB" w:rsidR="006B465B" w:rsidRPr="008E6C56" w:rsidRDefault="006B465B" w:rsidP="006E2204">
      <w:pPr>
        <w:pStyle w:val="Heading4"/>
      </w:pPr>
      <w:r w:rsidRPr="008E6C56">
        <w:t>1b) Decline in integrity from invasion by non-native species</w:t>
      </w:r>
    </w:p>
    <w:p w14:paraId="21A0C74C" w14:textId="7A0CB575" w:rsidR="009B4F2D" w:rsidRPr="009B4F2D" w:rsidRDefault="006B465B" w:rsidP="00A2521C">
      <w:pPr>
        <w:pStyle w:val="Heading5"/>
      </w:pPr>
      <w:r w:rsidRPr="00A77EC1">
        <w:t>Weeds</w:t>
      </w:r>
    </w:p>
    <w:p w14:paraId="2560A018" w14:textId="2A086ACE" w:rsidR="000D1F38" w:rsidRPr="000D1F38" w:rsidRDefault="000D1F38" w:rsidP="00AD4454">
      <w:pPr>
        <w:pStyle w:val="Heading6"/>
      </w:pPr>
      <w:r w:rsidRPr="000D1F38">
        <w:t>Terrestrial</w:t>
      </w:r>
      <w:r w:rsidR="00786B4C">
        <w:t xml:space="preserve"> – </w:t>
      </w:r>
      <w:r>
        <w:t>riparian</w:t>
      </w:r>
      <w:r w:rsidR="00786B4C">
        <w:t xml:space="preserve"> &amp; floodplain </w:t>
      </w:r>
      <w:r w:rsidRPr="000D1F38">
        <w:t>weeds</w:t>
      </w:r>
    </w:p>
    <w:p w14:paraId="51F5C4F4" w14:textId="79B18203" w:rsidR="000C507D" w:rsidRDefault="009B4F2D" w:rsidP="009B4F2D">
      <w:pPr>
        <w:contextualSpacing/>
      </w:pPr>
      <w:r>
        <w:t xml:space="preserve">Over </w:t>
      </w:r>
      <w:r w:rsidR="006B465B">
        <w:t>1</w:t>
      </w:r>
      <w:r>
        <w:t>6</w:t>
      </w:r>
      <w:r w:rsidR="006B465B">
        <w:t>0 weeds occur within the ecological community, and some are abundant and widespread (</w:t>
      </w:r>
      <w:r>
        <w:t xml:space="preserve">Brandle 2002; </w:t>
      </w:r>
      <w:r w:rsidR="006B465B">
        <w:t xml:space="preserve">Nicol 2007c; Gehrig </w:t>
      </w:r>
      <w:r w:rsidR="00044438">
        <w:t xml:space="preserve">&amp; </w:t>
      </w:r>
      <w:r w:rsidR="006B465B">
        <w:t>Nicol, 2010; Gehrig et al. 2012</w:t>
      </w:r>
      <w:r w:rsidR="00886629">
        <w:t xml:space="preserve">; </w:t>
      </w:r>
      <w:r w:rsidR="00E4660B">
        <w:t>Nicol et al. 2018</w:t>
      </w:r>
      <w:r w:rsidR="006B465B">
        <w:t>). Weeds can form dense, monospecific patches in riparian, or floodplain, or channel zones</w:t>
      </w:r>
      <w:r w:rsidR="00E4660B">
        <w:t>.</w:t>
      </w:r>
      <w:r w:rsidR="006B465B">
        <w:t xml:space="preserve"> </w:t>
      </w:r>
      <w:r w:rsidR="00E4660B">
        <w:t>T</w:t>
      </w:r>
      <w:r w:rsidR="006B465B">
        <w:t>hey can particularly impact herbivores and invertebrates</w:t>
      </w:r>
      <w:r w:rsidR="00E4660B">
        <w:t>,</w:t>
      </w:r>
      <w:r w:rsidR="006B465B">
        <w:t xml:space="preserve"> causing a net reduction in available food sources and habitat normally provided by native plants (</w:t>
      </w:r>
      <w:r w:rsidR="00982839">
        <w:t xml:space="preserve">Weiss &amp; Dugdale 2017; and see </w:t>
      </w:r>
      <w:r w:rsidR="00023534" w:rsidRPr="00E4660B">
        <w:rPr>
          <w:u w:val="single"/>
        </w:rPr>
        <w:t>Table 1</w:t>
      </w:r>
      <w:r w:rsidR="00E4660B" w:rsidRPr="00E4660B">
        <w:rPr>
          <w:u w:val="single"/>
        </w:rPr>
        <w:t>7</w:t>
      </w:r>
      <w:r w:rsidR="006B465B">
        <w:t xml:space="preserve"> on threats). </w:t>
      </w:r>
      <w:r w:rsidR="000C507D">
        <w:t xml:space="preserve">The spread of weeds can be particularly assisted by large floods, such as occurred in 2022/23. </w:t>
      </w:r>
    </w:p>
    <w:p w14:paraId="59B043E6" w14:textId="77777777" w:rsidR="000C507D" w:rsidRDefault="000C507D" w:rsidP="009B4F2D">
      <w:pPr>
        <w:contextualSpacing/>
      </w:pPr>
    </w:p>
    <w:p w14:paraId="64DE1A86" w14:textId="12634048" w:rsidR="006B465B" w:rsidRPr="00EE59D1" w:rsidRDefault="006B465B" w:rsidP="009B4F2D">
      <w:pPr>
        <w:contextualSpacing/>
      </w:pPr>
      <w:r w:rsidRPr="00EE59D1">
        <w:t xml:space="preserve">Some examples </w:t>
      </w:r>
      <w:r w:rsidR="000C507D">
        <w:t xml:space="preserve">of priority weeds </w:t>
      </w:r>
      <w:r w:rsidRPr="00EE59D1">
        <w:t xml:space="preserve">include: </w:t>
      </w:r>
    </w:p>
    <w:p w14:paraId="37AC7AD2" w14:textId="450A1704" w:rsidR="006B465B" w:rsidRPr="00242E91" w:rsidRDefault="006B465B" w:rsidP="004162AC">
      <w:pPr>
        <w:pStyle w:val="ListBullet"/>
        <w:numPr>
          <w:ilvl w:val="0"/>
          <w:numId w:val="62"/>
        </w:numPr>
        <w:spacing w:after="120"/>
      </w:pPr>
      <w:r>
        <w:t>W</w:t>
      </w:r>
      <w:r w:rsidRPr="00242E91">
        <w:t>illows (</w:t>
      </w:r>
      <w:r w:rsidRPr="00242E91">
        <w:rPr>
          <w:i/>
        </w:rPr>
        <w:t xml:space="preserve">Salix </w:t>
      </w:r>
      <w:r w:rsidRPr="00242E91">
        <w:t>spp.)</w:t>
      </w:r>
      <w:r w:rsidR="007C4DF0">
        <w:t xml:space="preserve"> </w:t>
      </w:r>
      <w:r w:rsidRPr="00242E91">
        <w:t>form dense monospecific stands along the</w:t>
      </w:r>
      <w:r>
        <w:t xml:space="preserve"> river </w:t>
      </w:r>
      <w:r w:rsidR="00E4660B">
        <w:t>-</w:t>
      </w:r>
      <w:r w:rsidRPr="00242E91">
        <w:t xml:space="preserve">banks in </w:t>
      </w:r>
      <w:r>
        <w:t>areas where water levels are stable (Kennedy et al. 2003).</w:t>
      </w:r>
      <w:r w:rsidR="00E4660B">
        <w:t xml:space="preserve"> </w:t>
      </w:r>
      <w:r>
        <w:t>T</w:t>
      </w:r>
      <w:r w:rsidRPr="00242E91">
        <w:t>he</w:t>
      </w:r>
      <w:r w:rsidR="00E4660B">
        <w:t xml:space="preserve">se trees </w:t>
      </w:r>
      <w:r w:rsidRPr="00242E91">
        <w:t>now dominate about one-third of the river's 830 km cou</w:t>
      </w:r>
      <w:r>
        <w:t>r</w:t>
      </w:r>
      <w:r w:rsidRPr="00242E91">
        <w:t xml:space="preserve">se </w:t>
      </w:r>
      <w:r>
        <w:t>with</w:t>
      </w:r>
      <w:r w:rsidRPr="00242E91">
        <w:t>in the ecological community</w:t>
      </w:r>
      <w:r>
        <w:t>,</w:t>
      </w:r>
      <w:r w:rsidRPr="00242E91">
        <w:t xml:space="preserve"> where they rival river red gum as the dominant riparian tree (Schulze </w:t>
      </w:r>
      <w:r w:rsidR="007C4DF0">
        <w:t xml:space="preserve">&amp; </w:t>
      </w:r>
      <w:r w:rsidRPr="00242E91">
        <w:t>Walker 1997</w:t>
      </w:r>
      <w:r>
        <w:t>; Kennedy et al. 2003</w:t>
      </w:r>
      <w:r w:rsidRPr="00242E91">
        <w:t>). Their dense foliage crowd</w:t>
      </w:r>
      <w:r>
        <w:t xml:space="preserve">s native plants and casts deep </w:t>
      </w:r>
      <w:r w:rsidRPr="00242E91">
        <w:t>shade over the aquatic habitat. Their leaves and bark contai</w:t>
      </w:r>
      <w:r>
        <w:t>n chemicals that dete</w:t>
      </w:r>
      <w:r w:rsidRPr="00242E91">
        <w:t>r native herbivores and are less nutritious for insects</w:t>
      </w:r>
      <w:r>
        <w:t xml:space="preserve"> (Schultze </w:t>
      </w:r>
      <w:r w:rsidR="00E4660B">
        <w:t xml:space="preserve">&amp; </w:t>
      </w:r>
      <w:r>
        <w:t xml:space="preserve">Walker 1997). </w:t>
      </w:r>
      <w:r w:rsidR="00854578">
        <w:t>R</w:t>
      </w:r>
      <w:r w:rsidR="00854578" w:rsidRPr="00854578">
        <w:t>iverine willow infestations drain a substantial amount of water from waterways—from 3.9 to 5.5 ML per year for each hectare of willow canopy in cool temperate and semi-arid climates</w:t>
      </w:r>
      <w:r w:rsidR="007660F5">
        <w:t>,</w:t>
      </w:r>
      <w:r w:rsidR="00854578" w:rsidRPr="00854578">
        <w:t xml:space="preserve"> respectively</w:t>
      </w:r>
      <w:r w:rsidR="007660F5">
        <w:t xml:space="preserve"> (T. Doody pers. comm.).</w:t>
      </w:r>
    </w:p>
    <w:p w14:paraId="6EF09298" w14:textId="7BB5CF3D" w:rsidR="006B465B" w:rsidRPr="00EE59D1" w:rsidRDefault="006B465B" w:rsidP="004162AC">
      <w:pPr>
        <w:pStyle w:val="ListBullet"/>
        <w:numPr>
          <w:ilvl w:val="0"/>
          <w:numId w:val="62"/>
        </w:numPr>
        <w:spacing w:after="120"/>
      </w:pPr>
      <w:r>
        <w:t>Weeds like N</w:t>
      </w:r>
      <w:r w:rsidRPr="00EE59D1">
        <w:t xml:space="preserve">oogoora </w:t>
      </w:r>
      <w:r>
        <w:t xml:space="preserve">burr </w:t>
      </w:r>
      <w:r w:rsidRPr="00EE59D1">
        <w:t>and California burr (</w:t>
      </w:r>
      <w:r w:rsidRPr="00EE59D1">
        <w:rPr>
          <w:i/>
        </w:rPr>
        <w:t>Xanthium</w:t>
      </w:r>
      <w:r>
        <w:t xml:space="preserve"> spp.) </w:t>
      </w:r>
      <w:r w:rsidRPr="00EE59D1">
        <w:t>form large persistent soil seed banks on the floodplain aw</w:t>
      </w:r>
      <w:r>
        <w:t xml:space="preserve">aiting the next over-bank flow and out-compete native seedlings </w:t>
      </w:r>
      <w:r w:rsidRPr="00EE59D1">
        <w:t>(Cunningham et al. 1992)</w:t>
      </w:r>
      <w:r>
        <w:t>.</w:t>
      </w:r>
    </w:p>
    <w:p w14:paraId="1E34B5ED" w14:textId="152C4529" w:rsidR="006B465B" w:rsidRPr="00EE59D1" w:rsidRDefault="006B465B" w:rsidP="004162AC">
      <w:pPr>
        <w:pStyle w:val="ListBullet"/>
        <w:numPr>
          <w:ilvl w:val="0"/>
          <w:numId w:val="62"/>
        </w:numPr>
        <w:spacing w:after="120"/>
      </w:pPr>
      <w:r>
        <w:t>L</w:t>
      </w:r>
      <w:r w:rsidRPr="00EE59D1">
        <w:t>ippia (</w:t>
      </w:r>
      <w:r w:rsidRPr="00EE59D1">
        <w:rPr>
          <w:i/>
        </w:rPr>
        <w:t>Phyla canescens</w:t>
      </w:r>
      <w:r>
        <w:t xml:space="preserve">) can form extensive dense mats </w:t>
      </w:r>
      <w:r w:rsidRPr="00EE59D1">
        <w:t>on the floodplain that exclude almost all other species and i</w:t>
      </w:r>
      <w:r>
        <w:t xml:space="preserve">s tolerant of both desiccation </w:t>
      </w:r>
      <w:r w:rsidRPr="00EE59D1">
        <w:t>and inundation (Taylor</w:t>
      </w:r>
      <w:r w:rsidR="005D4A4B">
        <w:t xml:space="preserve"> &amp;</w:t>
      </w:r>
      <w:r w:rsidRPr="00EE59D1">
        <w:t xml:space="preserve"> Gan</w:t>
      </w:r>
      <w:r w:rsidR="005D4A4B">
        <w:t>f</w:t>
      </w:r>
      <w:r w:rsidRPr="00EE59D1">
        <w:t xml:space="preserve"> 2005)</w:t>
      </w:r>
      <w:r>
        <w:t>.</w:t>
      </w:r>
    </w:p>
    <w:p w14:paraId="6733FD5E" w14:textId="77777777" w:rsidR="006B465B" w:rsidRDefault="006B465B" w:rsidP="004162AC">
      <w:pPr>
        <w:pStyle w:val="ListBullet"/>
        <w:numPr>
          <w:ilvl w:val="0"/>
          <w:numId w:val="62"/>
        </w:numPr>
        <w:spacing w:after="120"/>
      </w:pPr>
      <w:r w:rsidRPr="00EE59D1">
        <w:t>Canadian pondweed (</w:t>
      </w:r>
      <w:r w:rsidRPr="00EE59D1">
        <w:rPr>
          <w:i/>
        </w:rPr>
        <w:t>Elodea canadensis</w:t>
      </w:r>
      <w:r>
        <w:t>) is</w:t>
      </w:r>
      <w:r w:rsidRPr="00EE59D1">
        <w:t xml:space="preserve"> a submergent aqua</w:t>
      </w:r>
      <w:r>
        <w:t xml:space="preserve">tic that colonised large areas </w:t>
      </w:r>
      <w:r w:rsidRPr="00EE59D1">
        <w:t>of the main channel in the Lock 2,3,6 and 7 weir p</w:t>
      </w:r>
      <w:r>
        <w:t xml:space="preserve">ools between 2007 and 2010 (i.e. during the limited flows of the Millennium Drought) but </w:t>
      </w:r>
      <w:r w:rsidRPr="00EE59D1">
        <w:t xml:space="preserve">declined after the </w:t>
      </w:r>
      <w:r>
        <w:t>late-</w:t>
      </w:r>
      <w:r w:rsidRPr="00EE59D1">
        <w:t xml:space="preserve">2010 flood. </w:t>
      </w:r>
    </w:p>
    <w:p w14:paraId="412B2240" w14:textId="75DD359E" w:rsidR="00C84A0A" w:rsidRDefault="006B465B" w:rsidP="004162AC">
      <w:pPr>
        <w:pStyle w:val="ListBullet"/>
        <w:numPr>
          <w:ilvl w:val="0"/>
          <w:numId w:val="62"/>
        </w:numPr>
        <w:spacing w:after="120"/>
      </w:pPr>
      <w:r>
        <w:t>Long-term surveys of the high refuge value Chowilla floodplain system within the ecological community, have recorded 86 exotic weeds (Nicol 2007c). The distribution and abundance of weeds in the seed bank at Chowilla is unknown.</w:t>
      </w:r>
    </w:p>
    <w:p w14:paraId="384BC306" w14:textId="167C3A6C" w:rsidR="001F06E3" w:rsidRDefault="001F06E3" w:rsidP="004162AC">
      <w:pPr>
        <w:pStyle w:val="ListBullet"/>
        <w:numPr>
          <w:ilvl w:val="0"/>
          <w:numId w:val="62"/>
        </w:numPr>
        <w:spacing w:after="120"/>
      </w:pPr>
      <w:r>
        <w:t>African boxthorn, boneseed, golden dodder</w:t>
      </w:r>
      <w:r w:rsidR="00E4660B">
        <w:t>, sagittaria, opuntia species, yellow water lily – priority weed species</w:t>
      </w:r>
      <w:r w:rsidR="004A47B4">
        <w:t>.</w:t>
      </w:r>
    </w:p>
    <w:p w14:paraId="288AE30D" w14:textId="77777777" w:rsidR="009156B2" w:rsidRDefault="009156B2" w:rsidP="009156B2">
      <w:pPr>
        <w:pStyle w:val="ListBullet"/>
        <w:spacing w:after="120"/>
      </w:pPr>
    </w:p>
    <w:p w14:paraId="1A52491E" w14:textId="77777777" w:rsidR="009156B2" w:rsidRDefault="009156B2" w:rsidP="009156B2">
      <w:pPr>
        <w:pStyle w:val="ListBullet"/>
        <w:spacing w:after="120"/>
      </w:pPr>
    </w:p>
    <w:p w14:paraId="638DDE46" w14:textId="77777777" w:rsidR="009156B2" w:rsidRDefault="009156B2" w:rsidP="009156B2">
      <w:pPr>
        <w:pStyle w:val="ListBullet"/>
        <w:spacing w:after="120"/>
      </w:pPr>
    </w:p>
    <w:p w14:paraId="579F92AC" w14:textId="5BA93C3E" w:rsidR="00E676E5" w:rsidRDefault="00786B4C" w:rsidP="00AD4454">
      <w:pPr>
        <w:pStyle w:val="Heading6"/>
      </w:pPr>
      <w:r w:rsidRPr="00786B4C">
        <w:lastRenderedPageBreak/>
        <w:t>Aquatic weeds</w:t>
      </w:r>
    </w:p>
    <w:p w14:paraId="23C61088" w14:textId="19F45237" w:rsidR="00E676E5" w:rsidRDefault="00786B4C" w:rsidP="00B12006">
      <w:pPr>
        <w:pStyle w:val="ListBullet"/>
        <w:keepLines/>
        <w:spacing w:after="120"/>
      </w:pPr>
      <w:r>
        <w:t xml:space="preserve">Aquatic weeds </w:t>
      </w:r>
      <w:r w:rsidR="0016628A">
        <w:t xml:space="preserve">compromise aquatic habitats including </w:t>
      </w:r>
      <w:r w:rsidR="00E62CF3">
        <w:t xml:space="preserve">impeding water flow, </w:t>
      </w:r>
      <w:r w:rsidR="0016628A">
        <w:t xml:space="preserve">reducing </w:t>
      </w:r>
      <w:r w:rsidR="008D2D1C">
        <w:t xml:space="preserve">oxygen levels, restricting light and photosynthesis, and changing water temperatures. </w:t>
      </w:r>
      <w:r w:rsidR="00CE439A">
        <w:t xml:space="preserve">They </w:t>
      </w:r>
      <w:r w:rsidR="002F223B">
        <w:t xml:space="preserve">can be </w:t>
      </w:r>
      <w:r>
        <w:t xml:space="preserve">grouped according to their growth habitat, including floating, submerged and emergent. </w:t>
      </w:r>
      <w:r w:rsidR="001D4D15">
        <w:t>Most aqu</w:t>
      </w:r>
      <w:r w:rsidR="00A55463">
        <w:t>a</w:t>
      </w:r>
      <w:r w:rsidR="001D4D15">
        <w:t>tic weeds found in the EC are the result of illegal</w:t>
      </w:r>
      <w:r w:rsidR="00A55463">
        <w:t xml:space="preserve">/accidental release to the wild (Ref). For example, </w:t>
      </w:r>
      <w:r w:rsidR="00AE630A">
        <w:t xml:space="preserve">the submerged </w:t>
      </w:r>
      <w:r w:rsidR="0035011A">
        <w:t>leafy elodea (</w:t>
      </w:r>
      <w:r w:rsidR="0035011A" w:rsidRPr="00C71595">
        <w:rPr>
          <w:i/>
          <w:iCs/>
        </w:rPr>
        <w:t>Egeria densa</w:t>
      </w:r>
      <w:r w:rsidR="0035011A">
        <w:t>) which invades lakes, ponds, and slow</w:t>
      </w:r>
      <w:r w:rsidR="006C0CBC">
        <w:t>-</w:t>
      </w:r>
      <w:r w:rsidR="0035011A">
        <w:t xml:space="preserve">moving streams, </w:t>
      </w:r>
      <w:r w:rsidR="0042306C">
        <w:t xml:space="preserve">the floating </w:t>
      </w:r>
      <w:r w:rsidR="00AE630A">
        <w:t>salvinia (</w:t>
      </w:r>
      <w:r w:rsidR="00AE630A" w:rsidRPr="006C0CBC">
        <w:rPr>
          <w:i/>
          <w:iCs/>
        </w:rPr>
        <w:t>Salvinia molestta</w:t>
      </w:r>
      <w:r w:rsidR="00AE630A">
        <w:t xml:space="preserve">) </w:t>
      </w:r>
      <w:r w:rsidR="0042306C">
        <w:t>and water caltrop (</w:t>
      </w:r>
      <w:r w:rsidR="006C0CBC" w:rsidRPr="006C0CBC">
        <w:rPr>
          <w:i/>
          <w:iCs/>
        </w:rPr>
        <w:t>Trapa natans</w:t>
      </w:r>
      <w:r w:rsidR="006C0CBC">
        <w:t xml:space="preserve">) </w:t>
      </w:r>
      <w:r w:rsidR="0042306C">
        <w:t>which can cover creeks</w:t>
      </w:r>
      <w:r w:rsidR="009232C6">
        <w:t>, and the emergent</w:t>
      </w:r>
      <w:r w:rsidR="0035011A">
        <w:t xml:space="preserve"> </w:t>
      </w:r>
      <w:r w:rsidR="0018578A">
        <w:t>Senggal tea plant (</w:t>
      </w:r>
      <w:r w:rsidR="0018578A" w:rsidRPr="0018578A">
        <w:rPr>
          <w:i/>
          <w:iCs/>
        </w:rPr>
        <w:t>Gymnocoronis spilanthoides</w:t>
      </w:r>
      <w:r w:rsidR="0018578A">
        <w:t>) which invades wetlands and slow-moving waterways.</w:t>
      </w:r>
    </w:p>
    <w:p w14:paraId="334EEBC0" w14:textId="2E0DD071" w:rsidR="00AC387A" w:rsidRDefault="00466791" w:rsidP="00A2521C">
      <w:pPr>
        <w:pStyle w:val="Heading5"/>
        <w:rPr>
          <w:i/>
        </w:rPr>
      </w:pPr>
      <w:r w:rsidRPr="00887FE2">
        <w:t xml:space="preserve">Common carp and other </w:t>
      </w:r>
      <w:r w:rsidR="006B24FD">
        <w:t>alien (</w:t>
      </w:r>
      <w:r w:rsidRPr="00887FE2">
        <w:t>non-native</w:t>
      </w:r>
      <w:r w:rsidR="006B24FD">
        <w:t>)</w:t>
      </w:r>
      <w:r w:rsidRPr="00887FE2">
        <w:t xml:space="preserve"> fish</w:t>
      </w:r>
    </w:p>
    <w:p w14:paraId="649CBCA7" w14:textId="46AF6806" w:rsidR="00F7736F" w:rsidRDefault="00F7736F" w:rsidP="00F7736F">
      <w:r>
        <w:t>Alien fish (i.e. exotic to Australia) are usually disadvantaged by the extremes of natural variability in dryland rivers but tend to dominate fish communities in regulated rivers (i.e. such as with the EC) (Wedderburn et al. 2017 &amp; references therei</w:t>
      </w:r>
      <w:r w:rsidR="00E95DF8">
        <w:t>n</w:t>
      </w:r>
      <w:r>
        <w:t xml:space="preserve">). Eight introduced </w:t>
      </w:r>
      <w:r w:rsidRPr="004522B4">
        <w:t xml:space="preserve">fish </w:t>
      </w:r>
      <w:r>
        <w:t xml:space="preserve">species </w:t>
      </w:r>
      <w:r w:rsidRPr="004522B4">
        <w:t xml:space="preserve">have been recorded in the </w:t>
      </w:r>
      <w:r>
        <w:t>e</w:t>
      </w:r>
      <w:r w:rsidRPr="004522B4">
        <w:t xml:space="preserve">cological </w:t>
      </w:r>
      <w:r>
        <w:t>c</w:t>
      </w:r>
      <w:r w:rsidRPr="004522B4">
        <w:t>ommunity</w:t>
      </w:r>
      <w:r w:rsidR="00E95DF8">
        <w:t xml:space="preserve"> that have, </w:t>
      </w:r>
      <w:r w:rsidR="00BC0D49">
        <w:t xml:space="preserve">with the </w:t>
      </w:r>
      <w:r w:rsidR="00886629">
        <w:t xml:space="preserve">likely </w:t>
      </w:r>
      <w:r w:rsidR="00BC0D49">
        <w:t>exception of trout</w:t>
      </w:r>
      <w:r w:rsidR="00886629">
        <w:t xml:space="preserve"> and tench</w:t>
      </w:r>
      <w:r w:rsidR="00E95DF8">
        <w:t>,</w:t>
      </w:r>
      <w:r>
        <w:t xml:space="preserve"> self-sustaining population</w:t>
      </w:r>
      <w:r w:rsidR="00886629">
        <w:t>s</w:t>
      </w:r>
      <w:r w:rsidRPr="004522B4">
        <w:t xml:space="preserve"> (see </w:t>
      </w:r>
      <w:r w:rsidRPr="00F84C79">
        <w:rPr>
          <w:u w:val="single"/>
        </w:rPr>
        <w:t>Appendix B, Table B2</w:t>
      </w:r>
      <w:r w:rsidRPr="004547B8">
        <w:t xml:space="preserve"> and</w:t>
      </w:r>
      <w:r>
        <w:rPr>
          <w:u w:val="single"/>
        </w:rPr>
        <w:t xml:space="preserve"> Table </w:t>
      </w:r>
      <w:r w:rsidR="00010E99">
        <w:rPr>
          <w:u w:val="single"/>
        </w:rPr>
        <w:t>37</w:t>
      </w:r>
      <w:r w:rsidRPr="004522B4">
        <w:t xml:space="preserve">). </w:t>
      </w:r>
      <w:r>
        <w:t xml:space="preserve">A couple more species have been recorded within the EC in the past, but at a low number and with no self-sustaining population observed (i.e. Atlantic salmon, </w:t>
      </w:r>
      <w:r w:rsidRPr="000D255B">
        <w:rPr>
          <w:i/>
          <w:iCs/>
        </w:rPr>
        <w:t>Salmo s</w:t>
      </w:r>
      <w:r w:rsidR="00D94C86">
        <w:rPr>
          <w:i/>
          <w:iCs/>
        </w:rPr>
        <w:t>o</w:t>
      </w:r>
      <w:r w:rsidRPr="000D255B">
        <w:rPr>
          <w:i/>
          <w:iCs/>
        </w:rPr>
        <w:t>lar</w:t>
      </w:r>
      <w:r>
        <w:t xml:space="preserve">, and brook trout, </w:t>
      </w:r>
      <w:r w:rsidRPr="000D255B">
        <w:rPr>
          <w:i/>
          <w:iCs/>
        </w:rPr>
        <w:t>Salvelinus fontinalis</w:t>
      </w:r>
      <w:r w:rsidRPr="000D255B">
        <w:t>)</w:t>
      </w:r>
      <w:r>
        <w:t xml:space="preserve"> (Hammer et al. 2009).</w:t>
      </w:r>
    </w:p>
    <w:p w14:paraId="6BFE3CD7" w14:textId="0A2DC41A" w:rsidR="00F7736F" w:rsidRDefault="00F7736F" w:rsidP="00F7736F">
      <w:r>
        <w:t xml:space="preserve">Most the alien fish species continue to have </w:t>
      </w:r>
      <w:r w:rsidRPr="004522B4">
        <w:t xml:space="preserve">significant to severe impacts on </w:t>
      </w:r>
      <w:r w:rsidR="00D94C86">
        <w:t xml:space="preserve">the flora and fauna of the EC, particularly the native fish fauna and their </w:t>
      </w:r>
      <w:r w:rsidRPr="004522B4">
        <w:t xml:space="preserve">aquatic </w:t>
      </w:r>
      <w:r>
        <w:t>habitats</w:t>
      </w:r>
      <w:r w:rsidRPr="004522B4">
        <w:t>. In addition to competition</w:t>
      </w:r>
      <w:r>
        <w:t xml:space="preserve">, </w:t>
      </w:r>
      <w:r w:rsidRPr="004522B4">
        <w:t>predation</w:t>
      </w:r>
      <w:r>
        <w:t>,</w:t>
      </w:r>
      <w:r w:rsidRPr="004522B4">
        <w:t xml:space="preserve"> </w:t>
      </w:r>
      <w:r>
        <w:t xml:space="preserve">and </w:t>
      </w:r>
      <w:r w:rsidRPr="004522B4">
        <w:t>physical habitat degradation impacts</w:t>
      </w:r>
      <w:r>
        <w:t xml:space="preserve">, </w:t>
      </w:r>
      <w:r w:rsidRPr="004522B4">
        <w:t>there are a range of alien parasites and pathogens associated with alien fish species that</w:t>
      </w:r>
      <w:r>
        <w:t xml:space="preserve"> can potentially harm </w:t>
      </w:r>
      <w:r w:rsidRPr="004522B4">
        <w:t>native species</w:t>
      </w:r>
      <w:r>
        <w:t xml:space="preserve"> (see </w:t>
      </w:r>
      <w:r w:rsidRPr="00D82B98">
        <w:rPr>
          <w:u w:val="single"/>
        </w:rPr>
        <w:t>Table 17</w:t>
      </w:r>
      <w:r w:rsidR="00D94C86">
        <w:t xml:space="preserve"> &amp; </w:t>
      </w:r>
      <w:r w:rsidR="006B24FD">
        <w:t>37</w:t>
      </w:r>
      <w:r w:rsidRPr="00D82B98">
        <w:t xml:space="preserve">). </w:t>
      </w:r>
      <w:r w:rsidRPr="004522B4">
        <w:t xml:space="preserve">This includes </w:t>
      </w:r>
      <w:r w:rsidRPr="006D67D9">
        <w:rPr>
          <w:i/>
          <w:iCs/>
        </w:rPr>
        <w:t>Lernaea cyprinacea</w:t>
      </w:r>
      <w:r w:rsidRPr="004522B4">
        <w:t xml:space="preserve"> </w:t>
      </w:r>
      <w:r>
        <w:t>(</w:t>
      </w:r>
      <w:r w:rsidRPr="004522B4">
        <w:t>“anchor worm”</w:t>
      </w:r>
      <w:r>
        <w:t xml:space="preserve">), </w:t>
      </w:r>
      <w:r w:rsidRPr="004522B4">
        <w:t xml:space="preserve">the oomycete </w:t>
      </w:r>
      <w:r w:rsidRPr="004522B4">
        <w:rPr>
          <w:i/>
          <w:iCs/>
        </w:rPr>
        <w:t>Saprolegnia parasitica</w:t>
      </w:r>
      <w:r>
        <w:t xml:space="preserve">, Epizootic Haematopoietic Necrosis Virus (EHN Virus) and the spreading threat of Epizootic Ulcerative Syndrome (EUS or “red-spot disease”) (Boys et al. 2012; Becker et al. 2013; </w:t>
      </w:r>
      <w:r w:rsidRPr="00AB3433">
        <w:t>Zhu et al. 2020</w:t>
      </w:r>
      <w:r>
        <w:t xml:space="preserve">; Kaminskas 2021). Some of these have been known to lead to fish mortality within the EC (e.g. </w:t>
      </w:r>
      <w:r w:rsidRPr="00AB3433">
        <w:t>Puckridge et al. 1988; Rowland &amp; Ingram 1991;</w:t>
      </w:r>
      <w:r>
        <w:t xml:space="preserve"> Kaminskas 2021). </w:t>
      </w:r>
    </w:p>
    <w:p w14:paraId="1370ECB5" w14:textId="77777777" w:rsidR="00F7736F" w:rsidRDefault="00F7736F" w:rsidP="00F7736F">
      <w:r>
        <w:t>Each of the eight invasive fish species has an impact on the ecological community (see Table X), with that of common carp (</w:t>
      </w:r>
      <w:r w:rsidRPr="00EA53D5">
        <w:rPr>
          <w:i/>
          <w:iCs/>
        </w:rPr>
        <w:t>Caprinus carpio</w:t>
      </w:r>
      <w:r>
        <w:t xml:space="preserve">) the most pervasive; goldfish, redfin perch and eastern gambusia are also prolific, occurring across most habitats (Wedderburn et al. 2017). </w:t>
      </w:r>
      <w:r w:rsidRPr="004522B4">
        <w:rPr>
          <w:lang w:val="en-US"/>
        </w:rPr>
        <w:t xml:space="preserve">Carp are a hardy, opportunistic fish and </w:t>
      </w:r>
      <w:r>
        <w:rPr>
          <w:lang w:val="en-US"/>
        </w:rPr>
        <w:t>are</w:t>
      </w:r>
      <w:r w:rsidRPr="004522B4">
        <w:rPr>
          <w:lang w:val="en-US"/>
        </w:rPr>
        <w:t xml:space="preserve"> the most abundant large-bodied freshwater fish species across the</w:t>
      </w:r>
      <w:r>
        <w:rPr>
          <w:lang w:val="en-US"/>
        </w:rPr>
        <w:t xml:space="preserve"> MDB (Kohen and MacKenzie 2004; Davies et al. 2012). </w:t>
      </w:r>
      <w:r>
        <w:t xml:space="preserve">The biomass dominance of carp, over 90%% at times, is a severe and ongoing impact to the native fish assemblage, other aquatic organisms and aquatic habitats. </w:t>
      </w:r>
      <w:r w:rsidRPr="00D17E41">
        <w:t>In the Lower River Murray, alien fishes make up a modest proportion of the abundance of fish, but more than half of the total fish biomass may be attributed to common carp (Davies et al. 2010</w:t>
      </w:r>
      <w:r>
        <w:t>; Wedderburn et al. 2017</w:t>
      </w:r>
      <w:r w:rsidRPr="00D17E41">
        <w:t>)</w:t>
      </w:r>
      <w:r>
        <w:t>.</w:t>
      </w:r>
    </w:p>
    <w:p w14:paraId="6E35A51B" w14:textId="77777777" w:rsidR="00F7736F" w:rsidRDefault="00F7736F" w:rsidP="00F7736F">
      <w:pPr>
        <w:rPr>
          <w:lang w:val="en-US"/>
        </w:rPr>
      </w:pPr>
      <w:r>
        <w:t xml:space="preserve">Carp degrade aquatic habitats through their bottom feeding behaviour, which leads to raised turbidity and loss of macrophytes (Kopf et al. 2019; Fanson et al. 2024; Schilling et al. 2024). </w:t>
      </w:r>
      <w:r>
        <w:rPr>
          <w:lang w:val="en-US"/>
        </w:rPr>
        <w:t>Adult carp have been observed becoming more predatory since their invasion of the MDB and are suspected of placing increasing predatory pressures on juvenile native fish (Tonkin et al. 2006). Carp are strongly linked to decline and loss of small-bodied native fish, primarily through macrophyte decline (e.g. Lewellyn 1971, 2006, 2008; Gilligan 2005).</w:t>
      </w:r>
    </w:p>
    <w:p w14:paraId="1B0BF658" w14:textId="54F72975" w:rsidR="00F7736F" w:rsidRDefault="00F7736F" w:rsidP="00F7736F">
      <w:pPr>
        <w:rPr>
          <w:lang w:val="en-US"/>
        </w:rPr>
      </w:pPr>
      <w:r>
        <w:rPr>
          <w:lang w:val="en-US"/>
        </w:rPr>
        <w:t xml:space="preserve">Given the above, the impacts outlined in </w:t>
      </w:r>
      <w:r w:rsidRPr="00692ADC">
        <w:rPr>
          <w:u w:val="single"/>
          <w:lang w:val="en-US"/>
        </w:rPr>
        <w:t>Table</w:t>
      </w:r>
      <w:r>
        <w:rPr>
          <w:u w:val="single"/>
          <w:lang w:val="en-US"/>
        </w:rPr>
        <w:t>s</w:t>
      </w:r>
      <w:r w:rsidRPr="00692ADC">
        <w:rPr>
          <w:u w:val="single"/>
          <w:lang w:val="en-US"/>
        </w:rPr>
        <w:t xml:space="preserve">17 and </w:t>
      </w:r>
      <w:r w:rsidR="002B6CDD">
        <w:rPr>
          <w:u w:val="single"/>
          <w:lang w:val="en-US"/>
        </w:rPr>
        <w:t>37</w:t>
      </w:r>
      <w:r>
        <w:rPr>
          <w:lang w:val="en-US"/>
        </w:rPr>
        <w:t>, it is likely that carp and other alien fish species have contributed significantly to habitat degradation and the decline of native fish assemblage in the ecological community (Wedderburn et al. 2017), particularly freshwater catfish and the suite of small-bodied fish species (see Criterion 3).</w:t>
      </w:r>
    </w:p>
    <w:p w14:paraId="7A1146F5" w14:textId="77777777" w:rsidR="002B6CDD" w:rsidRDefault="002B6CDD" w:rsidP="00F7736F">
      <w:pPr>
        <w:sectPr w:rsidR="002B6CDD" w:rsidSect="00143D3C">
          <w:pgSz w:w="11906" w:h="16838"/>
          <w:pgMar w:top="1134" w:right="1418" w:bottom="1134" w:left="1418" w:header="454" w:footer="454" w:gutter="0"/>
          <w:cols w:space="708"/>
          <w:docGrid w:linePitch="360"/>
        </w:sectPr>
      </w:pPr>
    </w:p>
    <w:p w14:paraId="3E378A50" w14:textId="6AB5CDFD" w:rsidR="002B6CDD" w:rsidRDefault="00EA357D" w:rsidP="00EA357D">
      <w:pPr>
        <w:pStyle w:val="Caption"/>
        <w:rPr>
          <w:b w:val="0"/>
          <w:bCs/>
        </w:rPr>
      </w:pPr>
      <w:r>
        <w:lastRenderedPageBreak/>
        <w:t xml:space="preserve">Table </w:t>
      </w:r>
      <w:r>
        <w:fldChar w:fldCharType="begin"/>
      </w:r>
      <w:r>
        <w:instrText xml:space="preserve"> SEQ Table \* ARABIC </w:instrText>
      </w:r>
      <w:r>
        <w:fldChar w:fldCharType="separate"/>
      </w:r>
      <w:r w:rsidR="006D35C5">
        <w:rPr>
          <w:noProof/>
        </w:rPr>
        <w:t>37</w:t>
      </w:r>
      <w:r>
        <w:fldChar w:fldCharType="end"/>
      </w:r>
      <w:r w:rsidR="002B6CDD" w:rsidRPr="002B6CDD">
        <w:rPr>
          <w:bCs/>
        </w:rPr>
        <w:t>: Eight alien fish species occurring in the EC, their introduction and impacts.</w:t>
      </w:r>
    </w:p>
    <w:tbl>
      <w:tblPr>
        <w:tblStyle w:val="TableGrid"/>
        <w:tblW w:w="5483" w:type="pct"/>
        <w:tblInd w:w="-572" w:type="dxa"/>
        <w:tblLook w:val="04A0" w:firstRow="1" w:lastRow="0" w:firstColumn="1" w:lastColumn="0" w:noHBand="0" w:noVBand="1"/>
      </w:tblPr>
      <w:tblGrid>
        <w:gridCol w:w="2268"/>
        <w:gridCol w:w="3828"/>
        <w:gridCol w:w="1588"/>
        <w:gridCol w:w="4504"/>
        <w:gridCol w:w="3406"/>
      </w:tblGrid>
      <w:tr w:rsidR="00F11844" w:rsidRPr="00920766" w14:paraId="6666FC67" w14:textId="77777777" w:rsidTr="002D62E0">
        <w:trPr>
          <w:trHeight w:hRule="exact" w:val="397"/>
        </w:trPr>
        <w:tc>
          <w:tcPr>
            <w:tcW w:w="727" w:type="pct"/>
            <w:shd w:val="clear" w:color="auto" w:fill="DEEAF6" w:themeFill="accent1" w:themeFillTint="33"/>
          </w:tcPr>
          <w:p w14:paraId="5D41A038" w14:textId="77777777" w:rsidR="002A4E08" w:rsidRPr="00920766" w:rsidRDefault="002A4E08" w:rsidP="00993951">
            <w:pPr>
              <w:spacing w:after="0" w:line="240" w:lineRule="auto"/>
              <w:contextualSpacing/>
              <w:rPr>
                <w:b/>
                <w:bCs/>
                <w:lang w:val="en-US"/>
              </w:rPr>
            </w:pPr>
            <w:r w:rsidRPr="00920766">
              <w:rPr>
                <w:b/>
                <w:bCs/>
                <w:lang w:val="en-US"/>
              </w:rPr>
              <w:t>Name</w:t>
            </w:r>
          </w:p>
        </w:tc>
        <w:tc>
          <w:tcPr>
            <w:tcW w:w="1227" w:type="pct"/>
            <w:shd w:val="clear" w:color="auto" w:fill="DEEAF6" w:themeFill="accent1" w:themeFillTint="33"/>
          </w:tcPr>
          <w:p w14:paraId="39AC6E4B" w14:textId="77777777" w:rsidR="002A4E08" w:rsidRPr="00920766" w:rsidRDefault="002A4E08" w:rsidP="00993951">
            <w:pPr>
              <w:spacing w:after="0" w:line="240" w:lineRule="auto"/>
              <w:contextualSpacing/>
              <w:rPr>
                <w:b/>
                <w:bCs/>
                <w:lang w:val="en-US"/>
              </w:rPr>
            </w:pPr>
            <w:r w:rsidRPr="00920766">
              <w:rPr>
                <w:b/>
                <w:bCs/>
                <w:lang w:val="en-US"/>
              </w:rPr>
              <w:t>Introduction</w:t>
            </w:r>
          </w:p>
        </w:tc>
        <w:tc>
          <w:tcPr>
            <w:tcW w:w="509" w:type="pct"/>
            <w:shd w:val="clear" w:color="auto" w:fill="DEEAF6" w:themeFill="accent1" w:themeFillTint="33"/>
          </w:tcPr>
          <w:p w14:paraId="271006F1" w14:textId="77777777" w:rsidR="002A4E08" w:rsidRPr="00920766" w:rsidRDefault="002A4E08" w:rsidP="00993951">
            <w:pPr>
              <w:spacing w:after="0" w:line="240" w:lineRule="auto"/>
              <w:contextualSpacing/>
              <w:rPr>
                <w:b/>
                <w:bCs/>
                <w:lang w:val="en-US"/>
              </w:rPr>
            </w:pPr>
            <w:r w:rsidRPr="00920766">
              <w:rPr>
                <w:b/>
                <w:bCs/>
                <w:lang w:val="en-US"/>
              </w:rPr>
              <w:t>Ecop-type</w:t>
            </w:r>
          </w:p>
        </w:tc>
        <w:tc>
          <w:tcPr>
            <w:tcW w:w="1444" w:type="pct"/>
            <w:shd w:val="clear" w:color="auto" w:fill="DEEAF6" w:themeFill="accent1" w:themeFillTint="33"/>
          </w:tcPr>
          <w:p w14:paraId="2CE72145" w14:textId="77777777" w:rsidR="002A4E08" w:rsidRPr="00920766" w:rsidRDefault="002A4E08" w:rsidP="00993951">
            <w:pPr>
              <w:spacing w:after="0" w:line="240" w:lineRule="auto"/>
              <w:contextualSpacing/>
              <w:rPr>
                <w:b/>
                <w:bCs/>
                <w:lang w:val="en-US"/>
              </w:rPr>
            </w:pPr>
            <w:r w:rsidRPr="00920766">
              <w:rPr>
                <w:b/>
                <w:bCs/>
                <w:lang w:val="en-US"/>
              </w:rPr>
              <w:t>Impacts</w:t>
            </w:r>
          </w:p>
        </w:tc>
        <w:tc>
          <w:tcPr>
            <w:tcW w:w="1092" w:type="pct"/>
            <w:shd w:val="clear" w:color="auto" w:fill="DEEAF6" w:themeFill="accent1" w:themeFillTint="33"/>
          </w:tcPr>
          <w:p w14:paraId="39F4261D" w14:textId="77777777" w:rsidR="002A4E08" w:rsidRPr="00920766" w:rsidRDefault="002A4E08" w:rsidP="00993951">
            <w:pPr>
              <w:spacing w:after="0" w:line="240" w:lineRule="auto"/>
              <w:contextualSpacing/>
              <w:rPr>
                <w:b/>
                <w:bCs/>
                <w:lang w:val="en-US"/>
              </w:rPr>
            </w:pPr>
            <w:r w:rsidRPr="00920766">
              <w:rPr>
                <w:b/>
                <w:bCs/>
                <w:lang w:val="en-US"/>
              </w:rPr>
              <w:t>References</w:t>
            </w:r>
          </w:p>
        </w:tc>
      </w:tr>
      <w:tr w:rsidR="00EA1831" w:rsidRPr="00920766" w14:paraId="2D01EFA6" w14:textId="77777777" w:rsidTr="002D62E0">
        <w:trPr>
          <w:trHeight w:hRule="exact" w:val="1545"/>
        </w:trPr>
        <w:tc>
          <w:tcPr>
            <w:tcW w:w="727" w:type="pct"/>
          </w:tcPr>
          <w:p w14:paraId="17EDDB67" w14:textId="77777777" w:rsidR="002A4E08" w:rsidRPr="00920766" w:rsidRDefault="002A4E08" w:rsidP="00993951">
            <w:pPr>
              <w:spacing w:after="0" w:line="240" w:lineRule="auto"/>
              <w:rPr>
                <w:lang w:val="en-US"/>
              </w:rPr>
            </w:pPr>
            <w:r w:rsidRPr="00920766">
              <w:rPr>
                <w:lang w:val="en-US"/>
              </w:rPr>
              <w:t>Common carp</w:t>
            </w:r>
          </w:p>
          <w:p w14:paraId="1B06CC0C" w14:textId="77777777" w:rsidR="002A4E08" w:rsidRPr="00920766" w:rsidRDefault="002A4E08" w:rsidP="00993951">
            <w:pPr>
              <w:spacing w:after="0" w:line="240" w:lineRule="auto"/>
              <w:rPr>
                <w:lang w:val="en-US"/>
              </w:rPr>
            </w:pPr>
            <w:r w:rsidRPr="00920766">
              <w:rPr>
                <w:lang w:val="en-US"/>
              </w:rPr>
              <w:t>(</w:t>
            </w:r>
            <w:r w:rsidRPr="00920766">
              <w:rPr>
                <w:i/>
                <w:iCs/>
                <w:lang w:val="en-US"/>
              </w:rPr>
              <w:t>Caprinus carpio</w:t>
            </w:r>
            <w:r w:rsidRPr="00920766">
              <w:rPr>
                <w:lang w:val="en-US"/>
              </w:rPr>
              <w:t>)</w:t>
            </w:r>
          </w:p>
        </w:tc>
        <w:tc>
          <w:tcPr>
            <w:tcW w:w="1227" w:type="pct"/>
          </w:tcPr>
          <w:p w14:paraId="6ECEA2BA"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in late 1960s-eqrly 1970s from illegal imports and releases</w:t>
            </w:r>
          </w:p>
          <w:p w14:paraId="0845A685"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spread through MDB via 1974 flood</w:t>
            </w:r>
          </w:p>
        </w:tc>
        <w:tc>
          <w:tcPr>
            <w:tcW w:w="509" w:type="pct"/>
          </w:tcPr>
          <w:p w14:paraId="7311F3FC"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large-bodied, bottom feeder, extremely abundant</w:t>
            </w:r>
          </w:p>
        </w:tc>
        <w:tc>
          <w:tcPr>
            <w:tcW w:w="1444" w:type="pct"/>
          </w:tcPr>
          <w:p w14:paraId="12CA092E"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increased turbidity, loss of macrophytes</w:t>
            </w:r>
          </w:p>
          <w:p w14:paraId="6BCEDC49"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competition with native fish</w:t>
            </w:r>
          </w:p>
          <w:p w14:paraId="79E5CDA8"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predation on juvenile native fish</w:t>
            </w:r>
          </w:p>
          <w:p w14:paraId="000FB107"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implicated in decline/loss of small-bodied fish species in EC</w:t>
            </w:r>
          </w:p>
          <w:p w14:paraId="75070AEB" w14:textId="77777777" w:rsidR="002A4E08" w:rsidRPr="00920766" w:rsidRDefault="002A4E08" w:rsidP="004162AC">
            <w:pPr>
              <w:pStyle w:val="ListParagraph"/>
              <w:numPr>
                <w:ilvl w:val="0"/>
                <w:numId w:val="88"/>
              </w:numPr>
              <w:spacing w:after="0" w:line="240" w:lineRule="auto"/>
              <w:rPr>
                <w:sz w:val="20"/>
                <w:szCs w:val="20"/>
                <w:lang w:val="en-US"/>
              </w:rPr>
            </w:pPr>
            <w:r w:rsidRPr="00920766">
              <w:rPr>
                <w:sz w:val="20"/>
                <w:szCs w:val="20"/>
                <w:lang w:val="en-US"/>
              </w:rPr>
              <w:t>implicated in native fish reintroduction failures</w:t>
            </w:r>
          </w:p>
        </w:tc>
        <w:tc>
          <w:tcPr>
            <w:tcW w:w="1092" w:type="pct"/>
          </w:tcPr>
          <w:p w14:paraId="2A3ACE1D" w14:textId="77777777" w:rsidR="002A4E08" w:rsidRPr="00920766" w:rsidRDefault="002A4E08" w:rsidP="00EA357D">
            <w:pPr>
              <w:pStyle w:val="Tabletext"/>
              <w:rPr>
                <w:sz w:val="20"/>
                <w:szCs w:val="20"/>
                <w:lang w:val="en-US"/>
              </w:rPr>
            </w:pPr>
            <w:r w:rsidRPr="00920766">
              <w:rPr>
                <w:sz w:val="20"/>
                <w:szCs w:val="20"/>
                <w:lang w:val="en-US"/>
              </w:rPr>
              <w:t>Lewellyn 1971, 2006, 2008; Koehn &amp; Mackenzie 2004; Hammer et al. 2009; Vilizzi et al. 2014, 2015; Koft et al. 2019; Stuart et al. 2021; Fanson et al. 2024; Schilling et al. 2024</w:t>
            </w:r>
          </w:p>
        </w:tc>
      </w:tr>
      <w:tr w:rsidR="00EA1831" w:rsidRPr="00920766" w14:paraId="2E80AE09" w14:textId="77777777" w:rsidTr="002D62E0">
        <w:trPr>
          <w:trHeight w:hRule="exact" w:val="1178"/>
        </w:trPr>
        <w:tc>
          <w:tcPr>
            <w:tcW w:w="727" w:type="pct"/>
          </w:tcPr>
          <w:p w14:paraId="3E53873A" w14:textId="77777777" w:rsidR="002A4E08" w:rsidRPr="00920766" w:rsidRDefault="002A4E08" w:rsidP="00993951">
            <w:pPr>
              <w:spacing w:after="0" w:line="240" w:lineRule="auto"/>
              <w:rPr>
                <w:lang w:val="en-US"/>
              </w:rPr>
            </w:pPr>
            <w:r w:rsidRPr="00920766">
              <w:rPr>
                <w:lang w:val="en-US"/>
              </w:rPr>
              <w:t>Eastern Gambusia</w:t>
            </w:r>
          </w:p>
          <w:p w14:paraId="25778055" w14:textId="77777777" w:rsidR="002A4E08" w:rsidRPr="00920766" w:rsidRDefault="002A4E08" w:rsidP="00993951">
            <w:pPr>
              <w:spacing w:after="0" w:line="240" w:lineRule="auto"/>
              <w:rPr>
                <w:lang w:val="en-US"/>
              </w:rPr>
            </w:pPr>
            <w:r w:rsidRPr="00920766">
              <w:rPr>
                <w:lang w:val="en-US"/>
              </w:rPr>
              <w:t>(</w:t>
            </w:r>
            <w:r w:rsidRPr="00920766">
              <w:rPr>
                <w:i/>
                <w:iCs/>
                <w:lang w:val="en-US"/>
              </w:rPr>
              <w:t>Gambusia holbrooki</w:t>
            </w:r>
            <w:r w:rsidRPr="00920766">
              <w:rPr>
                <w:lang w:val="en-US"/>
              </w:rPr>
              <w:t>)</w:t>
            </w:r>
          </w:p>
        </w:tc>
        <w:tc>
          <w:tcPr>
            <w:tcW w:w="1227" w:type="pct"/>
          </w:tcPr>
          <w:p w14:paraId="7483028F" w14:textId="77777777" w:rsidR="002A4E08" w:rsidRPr="00920766" w:rsidRDefault="002A4E08" w:rsidP="004162AC">
            <w:pPr>
              <w:pStyle w:val="ListParagraph"/>
              <w:numPr>
                <w:ilvl w:val="0"/>
                <w:numId w:val="90"/>
              </w:numPr>
              <w:spacing w:after="0" w:line="240" w:lineRule="auto"/>
              <w:rPr>
                <w:sz w:val="20"/>
                <w:szCs w:val="20"/>
                <w:lang w:val="en-US"/>
              </w:rPr>
            </w:pPr>
            <w:r w:rsidRPr="00920766">
              <w:rPr>
                <w:sz w:val="20"/>
                <w:szCs w:val="20"/>
                <w:lang w:val="en-US"/>
              </w:rPr>
              <w:t>in the 1920s under mistaken belief it offered control of mosquito larvae</w:t>
            </w:r>
          </w:p>
          <w:p w14:paraId="6106254D" w14:textId="77777777" w:rsidR="002A4E08" w:rsidRPr="00920766" w:rsidRDefault="002A4E08" w:rsidP="004162AC">
            <w:pPr>
              <w:pStyle w:val="ListParagraph"/>
              <w:numPr>
                <w:ilvl w:val="0"/>
                <w:numId w:val="90"/>
              </w:numPr>
              <w:spacing w:after="0" w:line="240" w:lineRule="auto"/>
              <w:rPr>
                <w:sz w:val="20"/>
                <w:szCs w:val="20"/>
                <w:lang w:val="en-US"/>
              </w:rPr>
            </w:pPr>
            <w:r w:rsidRPr="00920766">
              <w:rPr>
                <w:sz w:val="20"/>
                <w:szCs w:val="20"/>
                <w:lang w:val="en-US"/>
              </w:rPr>
              <w:t>abundant in most parts of MDB</w:t>
            </w:r>
          </w:p>
        </w:tc>
        <w:tc>
          <w:tcPr>
            <w:tcW w:w="509" w:type="pct"/>
          </w:tcPr>
          <w:p w14:paraId="43D1F6D4" w14:textId="77777777" w:rsidR="002A4E08" w:rsidRPr="00920766" w:rsidRDefault="002A4E08" w:rsidP="004162AC">
            <w:pPr>
              <w:pStyle w:val="ListParagraph"/>
              <w:numPr>
                <w:ilvl w:val="0"/>
                <w:numId w:val="89"/>
              </w:numPr>
              <w:spacing w:after="0" w:line="240" w:lineRule="auto"/>
              <w:rPr>
                <w:sz w:val="20"/>
                <w:szCs w:val="20"/>
                <w:lang w:val="en-US"/>
              </w:rPr>
            </w:pPr>
            <w:r w:rsidRPr="00920766">
              <w:rPr>
                <w:sz w:val="20"/>
                <w:szCs w:val="20"/>
                <w:lang w:val="en-US"/>
              </w:rPr>
              <w:t>small-bodied, aggressive</w:t>
            </w:r>
          </w:p>
        </w:tc>
        <w:tc>
          <w:tcPr>
            <w:tcW w:w="1444" w:type="pct"/>
          </w:tcPr>
          <w:p w14:paraId="68F70685" w14:textId="77777777" w:rsidR="002A4E08" w:rsidRPr="00920766" w:rsidRDefault="002A4E08" w:rsidP="004162AC">
            <w:pPr>
              <w:pStyle w:val="ListParagraph"/>
              <w:numPr>
                <w:ilvl w:val="0"/>
                <w:numId w:val="89"/>
              </w:numPr>
              <w:spacing w:after="0" w:line="240" w:lineRule="auto"/>
              <w:rPr>
                <w:sz w:val="20"/>
                <w:szCs w:val="20"/>
                <w:lang w:val="en-US"/>
              </w:rPr>
            </w:pPr>
            <w:r w:rsidRPr="00920766">
              <w:rPr>
                <w:sz w:val="20"/>
                <w:szCs w:val="20"/>
                <w:lang w:val="en-US"/>
              </w:rPr>
              <w:t>attacks small native fish by fin-nipping leading to disease/mortality</w:t>
            </w:r>
          </w:p>
          <w:p w14:paraId="67C1FE8C" w14:textId="77777777" w:rsidR="002A4E08" w:rsidRPr="00920766" w:rsidRDefault="002A4E08" w:rsidP="004162AC">
            <w:pPr>
              <w:pStyle w:val="ListParagraph"/>
              <w:numPr>
                <w:ilvl w:val="0"/>
                <w:numId w:val="89"/>
              </w:numPr>
              <w:spacing w:after="0" w:line="240" w:lineRule="auto"/>
              <w:rPr>
                <w:sz w:val="20"/>
                <w:szCs w:val="20"/>
                <w:lang w:val="en-US"/>
              </w:rPr>
            </w:pPr>
            <w:r w:rsidRPr="00920766">
              <w:rPr>
                <w:sz w:val="20"/>
                <w:szCs w:val="20"/>
                <w:lang w:val="en-US"/>
              </w:rPr>
              <w:t>implicated in native fish reintroduction failures in billabongs and wetlands</w:t>
            </w:r>
          </w:p>
        </w:tc>
        <w:tc>
          <w:tcPr>
            <w:tcW w:w="1092" w:type="pct"/>
          </w:tcPr>
          <w:p w14:paraId="184F1FB9" w14:textId="77777777" w:rsidR="002A4E08" w:rsidRPr="00920766" w:rsidRDefault="002A4E08" w:rsidP="00EA357D">
            <w:pPr>
              <w:pStyle w:val="Tabletext"/>
              <w:rPr>
                <w:sz w:val="20"/>
                <w:szCs w:val="20"/>
                <w:lang w:val="en-US"/>
              </w:rPr>
            </w:pPr>
            <w:r w:rsidRPr="00920766">
              <w:rPr>
                <w:sz w:val="20"/>
                <w:szCs w:val="20"/>
                <w:lang w:val="en-US"/>
              </w:rPr>
              <w:t>Becker et al. 2005; Macdonald &amp; Tonkin 2008; Hammer et al. 2009; MacDonald et al. 2012: Tonkin et al. 2012, 2014; Wedderburn et al. 2013</w:t>
            </w:r>
          </w:p>
        </w:tc>
      </w:tr>
      <w:tr w:rsidR="00EA1831" w:rsidRPr="00920766" w14:paraId="44C755F1" w14:textId="77777777" w:rsidTr="002D62E0">
        <w:trPr>
          <w:trHeight w:hRule="exact" w:val="1437"/>
        </w:trPr>
        <w:tc>
          <w:tcPr>
            <w:tcW w:w="727" w:type="pct"/>
          </w:tcPr>
          <w:p w14:paraId="19A16118" w14:textId="77777777" w:rsidR="002A4E08" w:rsidRPr="00920766" w:rsidRDefault="002A4E08" w:rsidP="00993951">
            <w:pPr>
              <w:spacing w:after="0" w:line="240" w:lineRule="auto"/>
              <w:rPr>
                <w:lang w:val="en-US"/>
              </w:rPr>
            </w:pPr>
            <w:r w:rsidRPr="00920766">
              <w:rPr>
                <w:lang w:val="en-US"/>
              </w:rPr>
              <w:t>Redfin perch</w:t>
            </w:r>
          </w:p>
          <w:p w14:paraId="5F1696AE" w14:textId="77777777" w:rsidR="002A4E08" w:rsidRPr="00920766" w:rsidRDefault="002A4E08" w:rsidP="00993951">
            <w:pPr>
              <w:spacing w:after="0" w:line="240" w:lineRule="auto"/>
              <w:rPr>
                <w:lang w:val="en-US"/>
              </w:rPr>
            </w:pPr>
            <w:r w:rsidRPr="00920766">
              <w:rPr>
                <w:lang w:val="en-US"/>
              </w:rPr>
              <w:t>(</w:t>
            </w:r>
            <w:r w:rsidRPr="00920766">
              <w:rPr>
                <w:i/>
                <w:iCs/>
                <w:lang w:val="en-US"/>
              </w:rPr>
              <w:t>Perca fluviatilis</w:t>
            </w:r>
            <w:r w:rsidRPr="00920766">
              <w:rPr>
                <w:lang w:val="en-US"/>
              </w:rPr>
              <w:t>)</w:t>
            </w:r>
          </w:p>
        </w:tc>
        <w:tc>
          <w:tcPr>
            <w:tcW w:w="1227" w:type="pct"/>
          </w:tcPr>
          <w:p w14:paraId="009F7D90"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lowland habitats of MDB, riverine &amp; off-river between 1920s &amp; 1960s</w:t>
            </w:r>
          </w:p>
          <w:p w14:paraId="01A0A375"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alien carp largely displaced redfin perch in the 1970s</w:t>
            </w:r>
          </w:p>
        </w:tc>
        <w:tc>
          <w:tcPr>
            <w:tcW w:w="509" w:type="pct"/>
          </w:tcPr>
          <w:p w14:paraId="0AAB5E14"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large-bodied</w:t>
            </w:r>
          </w:p>
        </w:tc>
        <w:tc>
          <w:tcPr>
            <w:tcW w:w="1444" w:type="pct"/>
          </w:tcPr>
          <w:p w14:paraId="6B44E86F"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highly predatory, particularly on small-bodied fish and juveniles</w:t>
            </w:r>
          </w:p>
          <w:p w14:paraId="4D95E09B"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abundant in reservoirs &amp; lakes; now less common in river and billabong habitats</w:t>
            </w:r>
          </w:p>
          <w:p w14:paraId="09D68BFA" w14:textId="77777777" w:rsidR="002A4E08" w:rsidRPr="00920766" w:rsidRDefault="002A4E08" w:rsidP="004162AC">
            <w:pPr>
              <w:pStyle w:val="ListParagraph"/>
              <w:numPr>
                <w:ilvl w:val="0"/>
                <w:numId w:val="91"/>
              </w:numPr>
              <w:spacing w:after="0" w:line="240" w:lineRule="auto"/>
              <w:rPr>
                <w:sz w:val="20"/>
                <w:szCs w:val="20"/>
                <w:lang w:val="en-US"/>
              </w:rPr>
            </w:pPr>
            <w:r w:rsidRPr="00920766">
              <w:rPr>
                <w:sz w:val="20"/>
                <w:szCs w:val="20"/>
                <w:lang w:val="en-US"/>
              </w:rPr>
              <w:t>an exception is the Eastern Mount Lofty Ranges streams</w:t>
            </w:r>
          </w:p>
        </w:tc>
        <w:tc>
          <w:tcPr>
            <w:tcW w:w="1092" w:type="pct"/>
          </w:tcPr>
          <w:p w14:paraId="06C4BE5B" w14:textId="77777777" w:rsidR="002A4E08" w:rsidRPr="00920766" w:rsidRDefault="002A4E08" w:rsidP="00EA357D">
            <w:pPr>
              <w:pStyle w:val="Tabletext"/>
              <w:rPr>
                <w:sz w:val="20"/>
                <w:szCs w:val="20"/>
                <w:lang w:val="en-US"/>
              </w:rPr>
            </w:pPr>
            <w:r w:rsidRPr="00920766">
              <w:rPr>
                <w:sz w:val="20"/>
                <w:szCs w:val="20"/>
                <w:lang w:val="en-US"/>
              </w:rPr>
              <w:t>Cadwallader 1977; Hammer 2004; Hammer et al. 2009; Wedderburn et al. 2014; Wedderburn &amp; Barnes 2016; Rowland 2020; Lintermans 2023</w:t>
            </w:r>
          </w:p>
        </w:tc>
      </w:tr>
      <w:tr w:rsidR="00EA1831" w:rsidRPr="00920766" w14:paraId="371D691B" w14:textId="77777777" w:rsidTr="002D62E0">
        <w:trPr>
          <w:trHeight w:hRule="exact" w:val="1135"/>
        </w:trPr>
        <w:tc>
          <w:tcPr>
            <w:tcW w:w="727" w:type="pct"/>
          </w:tcPr>
          <w:p w14:paraId="2E38D0D3" w14:textId="77777777" w:rsidR="002A4E08" w:rsidRPr="00920766" w:rsidRDefault="002A4E08" w:rsidP="00993951">
            <w:pPr>
              <w:spacing w:after="0" w:line="240" w:lineRule="auto"/>
              <w:rPr>
                <w:lang w:val="en-US"/>
              </w:rPr>
            </w:pPr>
            <w:r w:rsidRPr="00920766">
              <w:rPr>
                <w:lang w:val="en-US"/>
              </w:rPr>
              <w:t>Asian wealtherloach</w:t>
            </w:r>
          </w:p>
          <w:p w14:paraId="54AFF310" w14:textId="77777777" w:rsidR="002A4E08" w:rsidRPr="00920766" w:rsidRDefault="002A4E08" w:rsidP="00993951">
            <w:pPr>
              <w:spacing w:after="0" w:line="240" w:lineRule="auto"/>
              <w:rPr>
                <w:lang w:val="en-US"/>
              </w:rPr>
            </w:pPr>
            <w:r w:rsidRPr="00920766">
              <w:rPr>
                <w:lang w:val="en-US"/>
              </w:rPr>
              <w:t>(</w:t>
            </w:r>
            <w:r w:rsidRPr="00920766">
              <w:rPr>
                <w:i/>
                <w:iCs/>
                <w:lang w:val="en-US"/>
              </w:rPr>
              <w:t>Misgurnus anguillicaudatus</w:t>
            </w:r>
            <w:r w:rsidRPr="00920766">
              <w:rPr>
                <w:lang w:val="en-US"/>
              </w:rPr>
              <w:t>)</w:t>
            </w:r>
          </w:p>
        </w:tc>
        <w:tc>
          <w:tcPr>
            <w:tcW w:w="1227" w:type="pct"/>
          </w:tcPr>
          <w:p w14:paraId="7D0C806E" w14:textId="77777777" w:rsidR="002A4E08" w:rsidRPr="00920766" w:rsidRDefault="002A4E08" w:rsidP="004162AC">
            <w:pPr>
              <w:pStyle w:val="ListParagraph"/>
              <w:numPr>
                <w:ilvl w:val="0"/>
                <w:numId w:val="92"/>
              </w:numPr>
              <w:spacing w:after="0" w:line="240" w:lineRule="auto"/>
              <w:rPr>
                <w:sz w:val="20"/>
                <w:szCs w:val="20"/>
                <w:lang w:val="en-US"/>
              </w:rPr>
            </w:pPr>
            <w:r w:rsidRPr="00920766">
              <w:rPr>
                <w:sz w:val="20"/>
                <w:szCs w:val="20"/>
                <w:lang w:val="en-US"/>
              </w:rPr>
              <w:t>via ornamental fish trade &amp; illegal release into wild around mid-1980s</w:t>
            </w:r>
          </w:p>
          <w:p w14:paraId="63A7F112" w14:textId="77777777" w:rsidR="002A4E08" w:rsidRPr="00920766" w:rsidRDefault="002A4E08" w:rsidP="004162AC">
            <w:pPr>
              <w:pStyle w:val="ListParagraph"/>
              <w:numPr>
                <w:ilvl w:val="0"/>
                <w:numId w:val="92"/>
              </w:numPr>
              <w:spacing w:after="0" w:line="240" w:lineRule="auto"/>
              <w:rPr>
                <w:sz w:val="20"/>
                <w:szCs w:val="20"/>
                <w:lang w:val="en-US"/>
              </w:rPr>
            </w:pPr>
            <w:r w:rsidRPr="00920766">
              <w:rPr>
                <w:sz w:val="20"/>
                <w:szCs w:val="20"/>
                <w:lang w:val="en-US"/>
              </w:rPr>
              <w:t>invading southern MDB and first observed in EC after 2010-11 floods</w:t>
            </w:r>
          </w:p>
        </w:tc>
        <w:tc>
          <w:tcPr>
            <w:tcW w:w="509" w:type="pct"/>
          </w:tcPr>
          <w:p w14:paraId="3CD83C25" w14:textId="77777777" w:rsidR="002A4E08" w:rsidRPr="00920766" w:rsidRDefault="002A4E08" w:rsidP="004162AC">
            <w:pPr>
              <w:pStyle w:val="ListParagraph"/>
              <w:numPr>
                <w:ilvl w:val="0"/>
                <w:numId w:val="92"/>
              </w:numPr>
              <w:spacing w:after="0" w:line="240" w:lineRule="auto"/>
              <w:rPr>
                <w:sz w:val="20"/>
                <w:szCs w:val="20"/>
                <w:lang w:val="en-US"/>
              </w:rPr>
            </w:pPr>
            <w:r w:rsidRPr="00920766">
              <w:rPr>
                <w:sz w:val="20"/>
                <w:szCs w:val="20"/>
                <w:lang w:val="en-US"/>
              </w:rPr>
              <w:t>hardy</w:t>
            </w:r>
          </w:p>
        </w:tc>
        <w:tc>
          <w:tcPr>
            <w:tcW w:w="1444" w:type="pct"/>
          </w:tcPr>
          <w:p w14:paraId="4E8833E7" w14:textId="77777777" w:rsidR="002A4E08" w:rsidRPr="00920766" w:rsidRDefault="002A4E08" w:rsidP="004162AC">
            <w:pPr>
              <w:pStyle w:val="ListParagraph"/>
              <w:numPr>
                <w:ilvl w:val="0"/>
                <w:numId w:val="92"/>
              </w:numPr>
              <w:spacing w:after="0" w:line="240" w:lineRule="auto"/>
              <w:rPr>
                <w:sz w:val="20"/>
                <w:szCs w:val="20"/>
                <w:lang w:val="en-US"/>
              </w:rPr>
            </w:pPr>
            <w:r w:rsidRPr="00920766">
              <w:rPr>
                <w:sz w:val="20"/>
                <w:szCs w:val="20"/>
                <w:lang w:val="en-US"/>
              </w:rPr>
              <w:t>knowledge limited but significant competitive impacts indicated</w:t>
            </w:r>
          </w:p>
          <w:p w14:paraId="5A3C044D" w14:textId="77777777" w:rsidR="002A4E08" w:rsidRPr="00920766" w:rsidRDefault="002A4E08" w:rsidP="004162AC">
            <w:pPr>
              <w:pStyle w:val="ListParagraph"/>
              <w:numPr>
                <w:ilvl w:val="0"/>
                <w:numId w:val="92"/>
              </w:numPr>
              <w:spacing w:after="0" w:line="240" w:lineRule="auto"/>
              <w:rPr>
                <w:sz w:val="20"/>
                <w:szCs w:val="20"/>
                <w:lang w:val="en-US"/>
              </w:rPr>
            </w:pPr>
            <w:r w:rsidRPr="00920766">
              <w:rPr>
                <w:sz w:val="20"/>
                <w:szCs w:val="20"/>
                <w:lang w:val="en-US"/>
              </w:rPr>
              <w:t>EC native fish fauna naïve to this invader until relatively recently.</w:t>
            </w:r>
          </w:p>
        </w:tc>
        <w:tc>
          <w:tcPr>
            <w:tcW w:w="1092" w:type="pct"/>
          </w:tcPr>
          <w:p w14:paraId="4B7DE094" w14:textId="77777777" w:rsidR="002A4E08" w:rsidRPr="00920766" w:rsidRDefault="002A4E08" w:rsidP="00EA357D">
            <w:pPr>
              <w:pStyle w:val="Tabletext"/>
              <w:rPr>
                <w:sz w:val="20"/>
                <w:szCs w:val="20"/>
                <w:lang w:val="en-US"/>
              </w:rPr>
            </w:pPr>
            <w:r w:rsidRPr="00920766">
              <w:rPr>
                <w:sz w:val="20"/>
                <w:szCs w:val="20"/>
                <w:lang w:val="en-US"/>
              </w:rPr>
              <w:t>Lintermans 2004; Hammer et al. 2009; Wegener &amp; Suitor 2013; Fredberg et al. 2014; GAWS 2024</w:t>
            </w:r>
          </w:p>
        </w:tc>
      </w:tr>
      <w:tr w:rsidR="00EA1831" w:rsidRPr="00920766" w14:paraId="7463DDE5" w14:textId="77777777" w:rsidTr="002D62E0">
        <w:trPr>
          <w:trHeight w:hRule="exact" w:val="2238"/>
        </w:trPr>
        <w:tc>
          <w:tcPr>
            <w:tcW w:w="727" w:type="pct"/>
          </w:tcPr>
          <w:p w14:paraId="7E55F464" w14:textId="77777777" w:rsidR="002A4E08" w:rsidRPr="00920766" w:rsidRDefault="002A4E08" w:rsidP="00993951">
            <w:pPr>
              <w:spacing w:after="0" w:line="240" w:lineRule="auto"/>
              <w:rPr>
                <w:lang w:val="en-US"/>
              </w:rPr>
            </w:pPr>
            <w:r w:rsidRPr="00920766">
              <w:rPr>
                <w:lang w:val="en-US"/>
              </w:rPr>
              <w:t>Trout species</w:t>
            </w:r>
          </w:p>
          <w:p w14:paraId="428D9A63" w14:textId="77777777" w:rsidR="002A4E08" w:rsidRPr="00920766" w:rsidRDefault="002A4E08" w:rsidP="00993951">
            <w:pPr>
              <w:spacing w:after="0" w:line="240" w:lineRule="auto"/>
              <w:rPr>
                <w:lang w:val="en-US"/>
              </w:rPr>
            </w:pPr>
            <w:r w:rsidRPr="00920766">
              <w:rPr>
                <w:lang w:val="en-US"/>
              </w:rPr>
              <w:t>Rainbow (</w:t>
            </w:r>
            <w:r w:rsidRPr="00920766">
              <w:rPr>
                <w:i/>
                <w:iCs/>
                <w:lang w:val="en-US"/>
              </w:rPr>
              <w:t>Oncorhynchus mykiss</w:t>
            </w:r>
            <w:r w:rsidRPr="00920766">
              <w:rPr>
                <w:lang w:val="en-US"/>
              </w:rPr>
              <w:t>)</w:t>
            </w:r>
          </w:p>
          <w:p w14:paraId="4D689DC2" w14:textId="77777777" w:rsidR="002A4E08" w:rsidRPr="00920766" w:rsidRDefault="002A4E08" w:rsidP="00993951">
            <w:pPr>
              <w:spacing w:after="0" w:line="240" w:lineRule="auto"/>
              <w:rPr>
                <w:lang w:val="en-US"/>
              </w:rPr>
            </w:pPr>
            <w:r w:rsidRPr="00920766">
              <w:rPr>
                <w:lang w:val="en-US"/>
              </w:rPr>
              <w:t>Brown (</w:t>
            </w:r>
            <w:r w:rsidRPr="00920766">
              <w:rPr>
                <w:i/>
                <w:iCs/>
                <w:lang w:val="en-US"/>
              </w:rPr>
              <w:t>Salmo trutta</w:t>
            </w:r>
            <w:r w:rsidRPr="00920766">
              <w:rPr>
                <w:lang w:val="en-US"/>
              </w:rPr>
              <w:t>)</w:t>
            </w:r>
          </w:p>
        </w:tc>
        <w:tc>
          <w:tcPr>
            <w:tcW w:w="1227" w:type="pct"/>
          </w:tcPr>
          <w:p w14:paraId="4178F47E" w14:textId="77777777" w:rsidR="002A4E08" w:rsidRPr="00920766" w:rsidRDefault="002A4E08" w:rsidP="004162AC">
            <w:pPr>
              <w:pStyle w:val="ListParagraph"/>
              <w:numPr>
                <w:ilvl w:val="0"/>
                <w:numId w:val="93"/>
              </w:numPr>
              <w:spacing w:after="0" w:line="240" w:lineRule="auto"/>
              <w:rPr>
                <w:sz w:val="20"/>
                <w:szCs w:val="20"/>
                <w:lang w:val="en-US"/>
              </w:rPr>
            </w:pPr>
            <w:r w:rsidRPr="00920766">
              <w:rPr>
                <w:sz w:val="20"/>
                <w:szCs w:val="20"/>
                <w:lang w:val="en-US"/>
              </w:rPr>
              <w:t xml:space="preserve">introduced for recreational fishing in late 1800s </w:t>
            </w:r>
          </w:p>
          <w:p w14:paraId="58485785" w14:textId="77777777" w:rsidR="002A4E08" w:rsidRPr="00920766" w:rsidRDefault="002A4E08" w:rsidP="004162AC">
            <w:pPr>
              <w:pStyle w:val="ListParagraph"/>
              <w:numPr>
                <w:ilvl w:val="0"/>
                <w:numId w:val="93"/>
              </w:numPr>
              <w:spacing w:after="0" w:line="240" w:lineRule="auto"/>
              <w:rPr>
                <w:sz w:val="20"/>
                <w:szCs w:val="20"/>
                <w:lang w:val="en-US"/>
              </w:rPr>
            </w:pPr>
            <w:r w:rsidRPr="00920766">
              <w:rPr>
                <w:sz w:val="20"/>
                <w:szCs w:val="20"/>
                <w:lang w:val="en-US"/>
              </w:rPr>
              <w:t>rainbow trout dominated the Lower Lakes in the 1920s and 1930s, but retreated due to rising thermal regime</w:t>
            </w:r>
          </w:p>
          <w:p w14:paraId="6A5269AC" w14:textId="2DEBC9E3" w:rsidR="002A4E08" w:rsidRPr="00920766" w:rsidRDefault="008B7DC9" w:rsidP="004162AC">
            <w:pPr>
              <w:pStyle w:val="ListParagraph"/>
              <w:numPr>
                <w:ilvl w:val="0"/>
                <w:numId w:val="93"/>
              </w:numPr>
              <w:spacing w:after="0" w:line="240" w:lineRule="auto"/>
              <w:rPr>
                <w:sz w:val="20"/>
                <w:szCs w:val="20"/>
                <w:lang w:val="en-US"/>
              </w:rPr>
            </w:pPr>
            <w:r w:rsidRPr="00920766">
              <w:rPr>
                <w:sz w:val="20"/>
                <w:szCs w:val="20"/>
                <w:lang w:val="en-US"/>
              </w:rPr>
              <w:t>m</w:t>
            </w:r>
            <w:r w:rsidR="002A4E08" w:rsidRPr="00920766">
              <w:rPr>
                <w:sz w:val="20"/>
                <w:szCs w:val="20"/>
                <w:lang w:val="en-US"/>
              </w:rPr>
              <w:t>inor presence in EC today, with the exception of Eastern Mou</w:t>
            </w:r>
            <w:r w:rsidRPr="00920766">
              <w:rPr>
                <w:sz w:val="20"/>
                <w:szCs w:val="20"/>
                <w:lang w:val="en-US"/>
              </w:rPr>
              <w:t>n</w:t>
            </w:r>
            <w:r w:rsidR="002A4E08" w:rsidRPr="00920766">
              <w:rPr>
                <w:sz w:val="20"/>
                <w:szCs w:val="20"/>
                <w:lang w:val="en-US"/>
              </w:rPr>
              <w:t>t Lofty Ranges (EMLR) streams due to legal &amp; illegal stocking, &amp; natural breeding</w:t>
            </w:r>
          </w:p>
        </w:tc>
        <w:tc>
          <w:tcPr>
            <w:tcW w:w="509" w:type="pct"/>
          </w:tcPr>
          <w:p w14:paraId="76ACDBF3" w14:textId="77777777" w:rsidR="002A4E08" w:rsidRPr="00920766" w:rsidRDefault="002A4E08" w:rsidP="004162AC">
            <w:pPr>
              <w:pStyle w:val="ListParagraph"/>
              <w:numPr>
                <w:ilvl w:val="0"/>
                <w:numId w:val="93"/>
              </w:numPr>
              <w:spacing w:after="0" w:line="240" w:lineRule="auto"/>
              <w:rPr>
                <w:sz w:val="20"/>
                <w:szCs w:val="20"/>
                <w:lang w:val="en-US"/>
              </w:rPr>
            </w:pPr>
            <w:r w:rsidRPr="00920766">
              <w:rPr>
                <w:sz w:val="20"/>
                <w:szCs w:val="20"/>
                <w:lang w:val="en-US"/>
              </w:rPr>
              <w:t>aggressive predators</w:t>
            </w:r>
          </w:p>
        </w:tc>
        <w:tc>
          <w:tcPr>
            <w:tcW w:w="1444" w:type="pct"/>
          </w:tcPr>
          <w:p w14:paraId="607EEBC4" w14:textId="77777777" w:rsidR="002A4E08" w:rsidRPr="00920766" w:rsidRDefault="002A4E08" w:rsidP="004162AC">
            <w:pPr>
              <w:pStyle w:val="ListParagraph"/>
              <w:numPr>
                <w:ilvl w:val="0"/>
                <w:numId w:val="93"/>
              </w:numPr>
              <w:spacing w:after="0" w:line="240" w:lineRule="auto"/>
              <w:rPr>
                <w:sz w:val="20"/>
                <w:szCs w:val="20"/>
                <w:lang w:val="en-US"/>
              </w:rPr>
            </w:pPr>
            <w:r w:rsidRPr="00920766">
              <w:rPr>
                <w:sz w:val="20"/>
                <w:szCs w:val="20"/>
                <w:lang w:val="en-US"/>
              </w:rPr>
              <w:t>likely to declines of native fish in EMLR streams of EC, especially southern pygmy perch, mountain galaxias, and river blackfish populations</w:t>
            </w:r>
          </w:p>
          <w:p w14:paraId="0027AD07" w14:textId="77777777" w:rsidR="002A4E08" w:rsidRPr="00920766" w:rsidRDefault="002A4E08" w:rsidP="004162AC">
            <w:pPr>
              <w:pStyle w:val="ListParagraph"/>
              <w:numPr>
                <w:ilvl w:val="0"/>
                <w:numId w:val="93"/>
              </w:numPr>
              <w:spacing w:after="0" w:line="240" w:lineRule="auto"/>
              <w:rPr>
                <w:sz w:val="20"/>
                <w:szCs w:val="20"/>
                <w:lang w:val="en-US"/>
              </w:rPr>
            </w:pPr>
            <w:r w:rsidRPr="00920766">
              <w:rPr>
                <w:sz w:val="20"/>
                <w:szCs w:val="20"/>
                <w:lang w:val="en-US"/>
              </w:rPr>
              <w:t>presence of trout in EMLR streams means they cannot effectively function as refugia and/or a source of native fish for recolonisation/translocation to Lower Lakes</w:t>
            </w:r>
          </w:p>
        </w:tc>
        <w:tc>
          <w:tcPr>
            <w:tcW w:w="1092" w:type="pct"/>
          </w:tcPr>
          <w:p w14:paraId="0D258B76" w14:textId="77777777" w:rsidR="002A4E08" w:rsidRPr="00920766" w:rsidRDefault="002A4E08" w:rsidP="00EA357D">
            <w:pPr>
              <w:pStyle w:val="Tabletext"/>
              <w:rPr>
                <w:sz w:val="20"/>
                <w:szCs w:val="20"/>
                <w:lang w:val="en-US"/>
              </w:rPr>
            </w:pPr>
            <w:r w:rsidRPr="00920766">
              <w:rPr>
                <w:sz w:val="20"/>
                <w:szCs w:val="20"/>
                <w:lang w:val="en-US"/>
              </w:rPr>
              <w:t>Advertiser 1936; Hammer 2004; Hammer et al. 2009; Kaminskas 2023</w:t>
            </w:r>
          </w:p>
        </w:tc>
      </w:tr>
      <w:tr w:rsidR="00EA1831" w:rsidRPr="00920766" w14:paraId="7493143B" w14:textId="77777777" w:rsidTr="002D62E0">
        <w:trPr>
          <w:trHeight w:hRule="exact" w:val="794"/>
        </w:trPr>
        <w:tc>
          <w:tcPr>
            <w:tcW w:w="727" w:type="pct"/>
          </w:tcPr>
          <w:p w14:paraId="364492F8" w14:textId="77777777" w:rsidR="002A4E08" w:rsidRPr="00920766" w:rsidRDefault="002A4E08" w:rsidP="00993951">
            <w:pPr>
              <w:spacing w:after="0" w:line="240" w:lineRule="auto"/>
              <w:rPr>
                <w:lang w:val="en-US"/>
              </w:rPr>
            </w:pPr>
            <w:r w:rsidRPr="00920766">
              <w:rPr>
                <w:lang w:val="en-US"/>
              </w:rPr>
              <w:t>Goldfish</w:t>
            </w:r>
          </w:p>
          <w:p w14:paraId="7FC6F74D" w14:textId="77777777" w:rsidR="002A4E08" w:rsidRPr="00920766" w:rsidRDefault="002A4E08" w:rsidP="00993951">
            <w:pPr>
              <w:spacing w:after="0" w:line="240" w:lineRule="auto"/>
              <w:rPr>
                <w:lang w:val="en-US"/>
              </w:rPr>
            </w:pPr>
            <w:r w:rsidRPr="00920766">
              <w:rPr>
                <w:lang w:val="en-US"/>
              </w:rPr>
              <w:t>(</w:t>
            </w:r>
            <w:r w:rsidRPr="00920766">
              <w:rPr>
                <w:i/>
                <w:iCs/>
                <w:lang w:val="en-US"/>
              </w:rPr>
              <w:t>Carassius auratus</w:t>
            </w:r>
            <w:r w:rsidRPr="00920766">
              <w:rPr>
                <w:lang w:val="en-US"/>
              </w:rPr>
              <w:t>)</w:t>
            </w:r>
          </w:p>
        </w:tc>
        <w:tc>
          <w:tcPr>
            <w:tcW w:w="1227" w:type="pct"/>
          </w:tcPr>
          <w:p w14:paraId="0F0A428E" w14:textId="77777777" w:rsidR="002A4E08" w:rsidRPr="00920766" w:rsidRDefault="002A4E08" w:rsidP="004162AC">
            <w:pPr>
              <w:pStyle w:val="ListParagraph"/>
              <w:numPr>
                <w:ilvl w:val="0"/>
                <w:numId w:val="94"/>
              </w:numPr>
              <w:spacing w:after="0" w:line="240" w:lineRule="auto"/>
              <w:rPr>
                <w:sz w:val="20"/>
                <w:szCs w:val="20"/>
                <w:lang w:val="en-US"/>
              </w:rPr>
            </w:pPr>
            <w:r w:rsidRPr="00920766">
              <w:rPr>
                <w:sz w:val="20"/>
                <w:szCs w:val="20"/>
                <w:lang w:val="en-US"/>
              </w:rPr>
              <w:t>via ornamental fish trade &amp; illegal release into wild</w:t>
            </w:r>
          </w:p>
          <w:p w14:paraId="17A8058C" w14:textId="77777777" w:rsidR="002A4E08" w:rsidRPr="00920766" w:rsidRDefault="002A4E08" w:rsidP="004162AC">
            <w:pPr>
              <w:pStyle w:val="ListParagraph"/>
              <w:numPr>
                <w:ilvl w:val="0"/>
                <w:numId w:val="94"/>
              </w:numPr>
              <w:spacing w:after="0" w:line="240" w:lineRule="auto"/>
              <w:rPr>
                <w:sz w:val="20"/>
                <w:szCs w:val="20"/>
                <w:lang w:val="en-US"/>
              </w:rPr>
            </w:pPr>
            <w:r w:rsidRPr="00920766">
              <w:rPr>
                <w:sz w:val="20"/>
                <w:szCs w:val="20"/>
                <w:lang w:val="en-US"/>
              </w:rPr>
              <w:t>ubiquitous throughout MDB (&amp; EC)</w:t>
            </w:r>
          </w:p>
        </w:tc>
        <w:tc>
          <w:tcPr>
            <w:tcW w:w="509" w:type="pct"/>
          </w:tcPr>
          <w:p w14:paraId="23E99C09" w14:textId="77777777" w:rsidR="002A4E08" w:rsidRPr="00920766" w:rsidRDefault="002A4E08" w:rsidP="004162AC">
            <w:pPr>
              <w:pStyle w:val="ListParagraph"/>
              <w:numPr>
                <w:ilvl w:val="0"/>
                <w:numId w:val="94"/>
              </w:numPr>
              <w:spacing w:after="0" w:line="240" w:lineRule="auto"/>
              <w:rPr>
                <w:sz w:val="20"/>
                <w:szCs w:val="20"/>
                <w:lang w:val="en-US"/>
              </w:rPr>
            </w:pPr>
            <w:r w:rsidRPr="00920766">
              <w:rPr>
                <w:sz w:val="20"/>
                <w:szCs w:val="20"/>
                <w:lang w:val="en-US"/>
              </w:rPr>
              <w:t>small</w:t>
            </w:r>
          </w:p>
        </w:tc>
        <w:tc>
          <w:tcPr>
            <w:tcW w:w="1444" w:type="pct"/>
          </w:tcPr>
          <w:p w14:paraId="5413C662" w14:textId="77777777" w:rsidR="002A4E08" w:rsidRPr="00920766" w:rsidRDefault="002A4E08" w:rsidP="004162AC">
            <w:pPr>
              <w:pStyle w:val="ListParagraph"/>
              <w:numPr>
                <w:ilvl w:val="0"/>
                <w:numId w:val="94"/>
              </w:numPr>
              <w:spacing w:after="0" w:line="240" w:lineRule="auto"/>
              <w:rPr>
                <w:sz w:val="20"/>
                <w:szCs w:val="20"/>
                <w:lang w:val="en-US"/>
              </w:rPr>
            </w:pPr>
            <w:r w:rsidRPr="00920766">
              <w:rPr>
                <w:sz w:val="20"/>
                <w:szCs w:val="20"/>
                <w:lang w:val="en-US"/>
              </w:rPr>
              <w:t xml:space="preserve">largely benign compared to other alien fish </w:t>
            </w:r>
          </w:p>
          <w:p w14:paraId="15AE7186" w14:textId="77777777" w:rsidR="002A4E08" w:rsidRPr="00920766" w:rsidRDefault="002A4E08" w:rsidP="004162AC">
            <w:pPr>
              <w:pStyle w:val="ListParagraph"/>
              <w:numPr>
                <w:ilvl w:val="0"/>
                <w:numId w:val="94"/>
              </w:numPr>
              <w:spacing w:after="0" w:line="240" w:lineRule="auto"/>
              <w:rPr>
                <w:sz w:val="20"/>
                <w:szCs w:val="20"/>
                <w:lang w:val="en-US"/>
              </w:rPr>
            </w:pPr>
            <w:r w:rsidRPr="00920766">
              <w:rPr>
                <w:sz w:val="20"/>
                <w:szCs w:val="20"/>
                <w:lang w:val="en-US"/>
              </w:rPr>
              <w:t>likely to play a role in vectoring alien fish parasites and pathogens</w:t>
            </w:r>
          </w:p>
        </w:tc>
        <w:tc>
          <w:tcPr>
            <w:tcW w:w="1092" w:type="pct"/>
          </w:tcPr>
          <w:p w14:paraId="6045E5F0" w14:textId="77777777" w:rsidR="002A4E08" w:rsidRPr="00920766" w:rsidRDefault="002A4E08" w:rsidP="00EA357D">
            <w:pPr>
              <w:pStyle w:val="Tabletext"/>
              <w:rPr>
                <w:sz w:val="20"/>
                <w:szCs w:val="20"/>
                <w:lang w:val="en-US"/>
              </w:rPr>
            </w:pPr>
            <w:r w:rsidRPr="00920766">
              <w:rPr>
                <w:sz w:val="20"/>
                <w:szCs w:val="20"/>
                <w:lang w:val="en-US"/>
              </w:rPr>
              <w:t>Hammer et al. 2009; Kaminskas 2021; GAWS 2024</w:t>
            </w:r>
          </w:p>
        </w:tc>
      </w:tr>
      <w:tr w:rsidR="00EA1831" w:rsidRPr="00920766" w14:paraId="70E6D3DA" w14:textId="77777777" w:rsidTr="002D62E0">
        <w:trPr>
          <w:trHeight w:hRule="exact" w:val="836"/>
        </w:trPr>
        <w:tc>
          <w:tcPr>
            <w:tcW w:w="727" w:type="pct"/>
          </w:tcPr>
          <w:p w14:paraId="497C18CA" w14:textId="77777777" w:rsidR="002A4E08" w:rsidRPr="00920766" w:rsidRDefault="002A4E08" w:rsidP="00993951">
            <w:pPr>
              <w:spacing w:after="0" w:line="240" w:lineRule="auto"/>
              <w:rPr>
                <w:lang w:val="en-US"/>
              </w:rPr>
            </w:pPr>
            <w:r w:rsidRPr="00920766">
              <w:rPr>
                <w:lang w:val="en-US"/>
              </w:rPr>
              <w:t>Tench</w:t>
            </w:r>
          </w:p>
          <w:p w14:paraId="38CFD2E0" w14:textId="77777777" w:rsidR="002A4E08" w:rsidRPr="00920766" w:rsidRDefault="002A4E08" w:rsidP="00993951">
            <w:pPr>
              <w:spacing w:after="0" w:line="240" w:lineRule="auto"/>
              <w:rPr>
                <w:lang w:val="en-US"/>
              </w:rPr>
            </w:pPr>
            <w:r w:rsidRPr="00920766">
              <w:rPr>
                <w:lang w:val="en-US"/>
              </w:rPr>
              <w:t>(</w:t>
            </w:r>
            <w:r w:rsidRPr="00920766">
              <w:rPr>
                <w:i/>
                <w:iCs/>
                <w:lang w:val="en-US"/>
              </w:rPr>
              <w:t>Tinca tinca</w:t>
            </w:r>
            <w:r w:rsidRPr="00920766">
              <w:rPr>
                <w:lang w:val="en-US"/>
              </w:rPr>
              <w:t>)</w:t>
            </w:r>
          </w:p>
        </w:tc>
        <w:tc>
          <w:tcPr>
            <w:tcW w:w="1227" w:type="pct"/>
          </w:tcPr>
          <w:p w14:paraId="213A73D8" w14:textId="4D5F7380" w:rsidR="005C6D3B" w:rsidRPr="00920766" w:rsidRDefault="00F15917" w:rsidP="004162AC">
            <w:pPr>
              <w:pStyle w:val="ListParagraph"/>
              <w:numPr>
                <w:ilvl w:val="0"/>
                <w:numId w:val="95"/>
              </w:numPr>
              <w:spacing w:after="0" w:line="240" w:lineRule="auto"/>
              <w:rPr>
                <w:sz w:val="20"/>
                <w:szCs w:val="20"/>
                <w:lang w:val="en-US"/>
              </w:rPr>
            </w:pPr>
            <w:r w:rsidRPr="00920766">
              <w:rPr>
                <w:sz w:val="20"/>
                <w:szCs w:val="20"/>
                <w:lang w:val="en-US"/>
              </w:rPr>
              <w:t>introduced</w:t>
            </w:r>
            <w:r w:rsidR="005C6D3B" w:rsidRPr="00920766">
              <w:rPr>
                <w:sz w:val="20"/>
                <w:szCs w:val="20"/>
                <w:lang w:val="en-US"/>
              </w:rPr>
              <w:t xml:space="preserve"> in 18</w:t>
            </w:r>
            <w:r w:rsidR="009300EE" w:rsidRPr="00920766">
              <w:rPr>
                <w:sz w:val="20"/>
                <w:szCs w:val="20"/>
                <w:lang w:val="en-US"/>
              </w:rPr>
              <w:t>7</w:t>
            </w:r>
            <w:r w:rsidR="005C6D3B" w:rsidRPr="00920766">
              <w:rPr>
                <w:sz w:val="20"/>
                <w:szCs w:val="20"/>
                <w:lang w:val="en-US"/>
              </w:rPr>
              <w:t>0</w:t>
            </w:r>
            <w:r w:rsidR="009300EE" w:rsidRPr="00920766">
              <w:rPr>
                <w:sz w:val="20"/>
                <w:szCs w:val="20"/>
                <w:lang w:val="en-US"/>
              </w:rPr>
              <w:t>-80</w:t>
            </w:r>
            <w:r w:rsidR="005C6D3B" w:rsidRPr="00920766">
              <w:rPr>
                <w:sz w:val="20"/>
                <w:szCs w:val="20"/>
                <w:lang w:val="en-US"/>
              </w:rPr>
              <w:t>s</w:t>
            </w:r>
            <w:r w:rsidR="006935B1" w:rsidRPr="00920766">
              <w:rPr>
                <w:sz w:val="20"/>
                <w:szCs w:val="20"/>
                <w:lang w:val="en-US"/>
              </w:rPr>
              <w:t xml:space="preserve"> for rec fishing</w:t>
            </w:r>
          </w:p>
          <w:p w14:paraId="7F1EE6C3" w14:textId="77777777" w:rsidR="00193FF1" w:rsidRPr="00920766" w:rsidRDefault="002A4E08" w:rsidP="004162AC">
            <w:pPr>
              <w:pStyle w:val="ListParagraph"/>
              <w:numPr>
                <w:ilvl w:val="0"/>
                <w:numId w:val="95"/>
              </w:numPr>
              <w:spacing w:after="0" w:line="240" w:lineRule="auto"/>
              <w:rPr>
                <w:sz w:val="20"/>
                <w:szCs w:val="20"/>
                <w:lang w:val="en-US"/>
              </w:rPr>
            </w:pPr>
            <w:r w:rsidRPr="00920766">
              <w:rPr>
                <w:sz w:val="20"/>
                <w:szCs w:val="20"/>
                <w:lang w:val="en-US"/>
              </w:rPr>
              <w:t>largely displaced by carp from 1970s</w:t>
            </w:r>
          </w:p>
          <w:p w14:paraId="177C9FF9" w14:textId="4D991EA1" w:rsidR="002A4E08" w:rsidRPr="00920766" w:rsidRDefault="00190A86" w:rsidP="004162AC">
            <w:pPr>
              <w:pStyle w:val="ListParagraph"/>
              <w:numPr>
                <w:ilvl w:val="0"/>
                <w:numId w:val="95"/>
              </w:numPr>
              <w:spacing w:after="0" w:line="240" w:lineRule="auto"/>
              <w:rPr>
                <w:sz w:val="20"/>
                <w:szCs w:val="20"/>
                <w:lang w:val="en-US"/>
              </w:rPr>
            </w:pPr>
            <w:r w:rsidRPr="00920766">
              <w:rPr>
                <w:sz w:val="20"/>
                <w:szCs w:val="20"/>
                <w:lang w:val="en-US"/>
              </w:rPr>
              <w:t xml:space="preserve">now quite rare in </w:t>
            </w:r>
            <w:r w:rsidR="00193FF1" w:rsidRPr="00920766">
              <w:rPr>
                <w:sz w:val="20"/>
                <w:szCs w:val="20"/>
                <w:lang w:val="en-US"/>
              </w:rPr>
              <w:t xml:space="preserve">SA and </w:t>
            </w:r>
            <w:r w:rsidRPr="00920766">
              <w:rPr>
                <w:sz w:val="20"/>
                <w:szCs w:val="20"/>
                <w:lang w:val="en-US"/>
              </w:rPr>
              <w:t>EC</w:t>
            </w:r>
          </w:p>
        </w:tc>
        <w:tc>
          <w:tcPr>
            <w:tcW w:w="509" w:type="pct"/>
          </w:tcPr>
          <w:p w14:paraId="2311CBF4" w14:textId="600AE8D0" w:rsidR="002A4E08" w:rsidRPr="00920766" w:rsidRDefault="002360CB" w:rsidP="004162AC">
            <w:pPr>
              <w:pStyle w:val="ListParagraph"/>
              <w:numPr>
                <w:ilvl w:val="0"/>
                <w:numId w:val="95"/>
              </w:numPr>
              <w:spacing w:after="0" w:line="240" w:lineRule="auto"/>
              <w:rPr>
                <w:sz w:val="20"/>
                <w:szCs w:val="20"/>
                <w:lang w:val="en-US"/>
              </w:rPr>
            </w:pPr>
            <w:r w:rsidRPr="00920766">
              <w:rPr>
                <w:sz w:val="20"/>
                <w:szCs w:val="20"/>
                <w:lang w:val="en-US"/>
              </w:rPr>
              <w:t>medium-bodied</w:t>
            </w:r>
            <w:r w:rsidR="00C31926" w:rsidRPr="00920766">
              <w:rPr>
                <w:sz w:val="20"/>
                <w:szCs w:val="20"/>
                <w:lang w:val="en-US"/>
              </w:rPr>
              <w:t>, red eyes</w:t>
            </w:r>
          </w:p>
        </w:tc>
        <w:tc>
          <w:tcPr>
            <w:tcW w:w="1444" w:type="pct"/>
          </w:tcPr>
          <w:p w14:paraId="2BADE131" w14:textId="77777777" w:rsidR="00190A86" w:rsidRPr="00920766" w:rsidRDefault="00C31926" w:rsidP="004162AC">
            <w:pPr>
              <w:pStyle w:val="ListParagraph"/>
              <w:numPr>
                <w:ilvl w:val="0"/>
                <w:numId w:val="95"/>
              </w:numPr>
              <w:spacing w:after="0" w:line="240" w:lineRule="auto"/>
              <w:rPr>
                <w:sz w:val="20"/>
                <w:szCs w:val="20"/>
                <w:lang w:val="en-US"/>
              </w:rPr>
            </w:pPr>
            <w:r w:rsidRPr="00920766">
              <w:rPr>
                <w:sz w:val="20"/>
                <w:szCs w:val="20"/>
                <w:lang w:val="en-US"/>
              </w:rPr>
              <w:t xml:space="preserve">prefer still </w:t>
            </w:r>
            <w:r w:rsidR="00190A86" w:rsidRPr="00920766">
              <w:rPr>
                <w:sz w:val="20"/>
                <w:szCs w:val="20"/>
                <w:lang w:val="en-US"/>
              </w:rPr>
              <w:t>&amp; slow flowing habitat</w:t>
            </w:r>
          </w:p>
          <w:p w14:paraId="30380E07" w14:textId="77777777" w:rsidR="00C4661B" w:rsidRPr="00920766" w:rsidRDefault="00614763" w:rsidP="004162AC">
            <w:pPr>
              <w:pStyle w:val="ListParagraph"/>
              <w:numPr>
                <w:ilvl w:val="0"/>
                <w:numId w:val="95"/>
              </w:numPr>
              <w:spacing w:after="0" w:line="240" w:lineRule="auto"/>
              <w:rPr>
                <w:sz w:val="20"/>
                <w:szCs w:val="20"/>
                <w:lang w:val="en-US"/>
              </w:rPr>
            </w:pPr>
            <w:r w:rsidRPr="00920766">
              <w:rPr>
                <w:sz w:val="20"/>
                <w:szCs w:val="20"/>
                <w:lang w:val="en-US"/>
              </w:rPr>
              <w:t>benthic carnivores</w:t>
            </w:r>
          </w:p>
          <w:p w14:paraId="7CCA27D4" w14:textId="328956A6" w:rsidR="00193FF1" w:rsidRPr="00920766" w:rsidRDefault="00193FF1" w:rsidP="004162AC">
            <w:pPr>
              <w:pStyle w:val="ListParagraph"/>
              <w:numPr>
                <w:ilvl w:val="0"/>
                <w:numId w:val="95"/>
              </w:numPr>
              <w:spacing w:after="0" w:line="240" w:lineRule="auto"/>
              <w:rPr>
                <w:sz w:val="20"/>
                <w:szCs w:val="20"/>
                <w:lang w:val="en-US"/>
              </w:rPr>
            </w:pPr>
            <w:r w:rsidRPr="00920766">
              <w:rPr>
                <w:sz w:val="20"/>
                <w:szCs w:val="20"/>
                <w:lang w:val="en-US"/>
              </w:rPr>
              <w:t>impacts unclear/ unknown</w:t>
            </w:r>
          </w:p>
        </w:tc>
        <w:tc>
          <w:tcPr>
            <w:tcW w:w="1092" w:type="pct"/>
          </w:tcPr>
          <w:p w14:paraId="7266E833" w14:textId="77777777" w:rsidR="002A4E08" w:rsidRPr="00920766" w:rsidRDefault="002A4E08" w:rsidP="00EA357D">
            <w:pPr>
              <w:pStyle w:val="Tabletext"/>
              <w:rPr>
                <w:sz w:val="20"/>
                <w:szCs w:val="20"/>
                <w:lang w:val="en-US"/>
              </w:rPr>
            </w:pPr>
            <w:r w:rsidRPr="00920766">
              <w:rPr>
                <w:sz w:val="20"/>
                <w:szCs w:val="20"/>
                <w:lang w:val="en-US"/>
              </w:rPr>
              <w:t>Advertiser 1936; Cadwallader 1977; Hammer et al. 2009; Lintermans 2023</w:t>
            </w:r>
          </w:p>
        </w:tc>
      </w:tr>
    </w:tbl>
    <w:p w14:paraId="3E91A88A" w14:textId="77777777" w:rsidR="006D6584" w:rsidRDefault="006D6584" w:rsidP="00F7736F">
      <w:pPr>
        <w:rPr>
          <w:b/>
          <w:bCs/>
        </w:rPr>
        <w:sectPr w:rsidR="006D6584" w:rsidSect="009156B2">
          <w:pgSz w:w="16838" w:h="11906" w:orient="landscape"/>
          <w:pgMar w:top="851" w:right="1247" w:bottom="851" w:left="1361" w:header="454" w:footer="454" w:gutter="0"/>
          <w:cols w:space="708"/>
          <w:docGrid w:linePitch="360"/>
        </w:sectPr>
      </w:pPr>
    </w:p>
    <w:p w14:paraId="4D0D584A" w14:textId="372FE373" w:rsidR="009300EE" w:rsidRPr="009300EE" w:rsidRDefault="00466791" w:rsidP="00A2521C">
      <w:pPr>
        <w:pStyle w:val="Heading5"/>
      </w:pPr>
      <w:r w:rsidRPr="009300EE">
        <w:lastRenderedPageBreak/>
        <w:t>Feral mammals and birds</w:t>
      </w:r>
    </w:p>
    <w:p w14:paraId="58987EAE" w14:textId="1248251E" w:rsidR="009300EE" w:rsidRDefault="00466791" w:rsidP="009300EE">
      <w:r>
        <w:t xml:space="preserve">There are </w:t>
      </w:r>
      <w:r w:rsidR="006778B1">
        <w:t>eleven</w:t>
      </w:r>
      <w:r w:rsidRPr="009A6C62">
        <w:t xml:space="preserve"> main pest mammal species that have been recorded in the</w:t>
      </w:r>
      <w:r>
        <w:t xml:space="preserve"> ecological community: f</w:t>
      </w:r>
      <w:r w:rsidRPr="009A6C62">
        <w:t>ox (</w:t>
      </w:r>
      <w:r w:rsidRPr="009A6C62">
        <w:rPr>
          <w:i/>
        </w:rPr>
        <w:t>Vulpes vulpes</w:t>
      </w:r>
      <w:r w:rsidRPr="009A6C62">
        <w:t>)</w:t>
      </w:r>
      <w:r>
        <w:t xml:space="preserve">; cat </w:t>
      </w:r>
      <w:r w:rsidRPr="009A6C62">
        <w:t>(</w:t>
      </w:r>
      <w:r w:rsidRPr="009A6C62">
        <w:rPr>
          <w:i/>
        </w:rPr>
        <w:t>Felis catus</w:t>
      </w:r>
      <w:r w:rsidRPr="009A6C62">
        <w:t>)</w:t>
      </w:r>
      <w:r>
        <w:t>; d</w:t>
      </w:r>
      <w:r w:rsidRPr="009A6C62">
        <w:t>og (</w:t>
      </w:r>
      <w:r w:rsidRPr="009A6C62">
        <w:rPr>
          <w:i/>
        </w:rPr>
        <w:t>Canis famil</w:t>
      </w:r>
      <w:r>
        <w:rPr>
          <w:i/>
        </w:rPr>
        <w:t>i</w:t>
      </w:r>
      <w:r w:rsidRPr="009A6C62">
        <w:rPr>
          <w:i/>
        </w:rPr>
        <w:t>aris</w:t>
      </w:r>
      <w:r w:rsidRPr="009A6C62">
        <w:t>)</w:t>
      </w:r>
      <w:r>
        <w:t>; r</w:t>
      </w:r>
      <w:r w:rsidRPr="009A6C62">
        <w:t>abbit (</w:t>
      </w:r>
      <w:r w:rsidRPr="009A6C62">
        <w:rPr>
          <w:i/>
        </w:rPr>
        <w:t>Oryctolagus cuniculus</w:t>
      </w:r>
      <w:r w:rsidRPr="009A6C62">
        <w:t>)</w:t>
      </w:r>
      <w:r>
        <w:t>; b</w:t>
      </w:r>
      <w:r w:rsidRPr="009A6C62">
        <w:t>rown hare (</w:t>
      </w:r>
      <w:r w:rsidRPr="009A6C62">
        <w:rPr>
          <w:i/>
        </w:rPr>
        <w:t>Lepus capensis</w:t>
      </w:r>
      <w:r w:rsidRPr="009A6C62">
        <w:t>)</w:t>
      </w:r>
      <w:r>
        <w:t>; h</w:t>
      </w:r>
      <w:r w:rsidRPr="009A6C62">
        <w:t>ouse mouse (</w:t>
      </w:r>
      <w:r w:rsidRPr="009A6C62">
        <w:rPr>
          <w:i/>
        </w:rPr>
        <w:t>Mus musculus</w:t>
      </w:r>
      <w:r w:rsidRPr="009A6C62">
        <w:t>)</w:t>
      </w:r>
      <w:r>
        <w:t xml:space="preserve">; </w:t>
      </w:r>
      <w:r w:rsidR="006778B1">
        <w:t>black rat (</w:t>
      </w:r>
      <w:r w:rsidR="006778B1" w:rsidRPr="001D2194">
        <w:rPr>
          <w:i/>
          <w:iCs/>
        </w:rPr>
        <w:t>Rattus rattus</w:t>
      </w:r>
      <w:r w:rsidR="006778B1">
        <w:t xml:space="preserve">); </w:t>
      </w:r>
      <w:r>
        <w:t>pig (</w:t>
      </w:r>
      <w:r w:rsidRPr="008C4D7B">
        <w:rPr>
          <w:i/>
        </w:rPr>
        <w:t>Sus scro</w:t>
      </w:r>
      <w:r>
        <w:rPr>
          <w:i/>
        </w:rPr>
        <w:t>fa</w:t>
      </w:r>
      <w:r>
        <w:t xml:space="preserve">); </w:t>
      </w:r>
      <w:r w:rsidR="005C50EC">
        <w:t>goat (</w:t>
      </w:r>
      <w:r w:rsidRPr="007448F5">
        <w:rPr>
          <w:i/>
        </w:rPr>
        <w:t>Capra hircus</w:t>
      </w:r>
      <w:r>
        <w:t>); and red deer (</w:t>
      </w:r>
      <w:r w:rsidRPr="007328F9">
        <w:rPr>
          <w:i/>
        </w:rPr>
        <w:t>Cervus elaphus</w:t>
      </w:r>
      <w:r>
        <w:t>)</w:t>
      </w:r>
      <w:r w:rsidR="00BC3321">
        <w:t xml:space="preserve"> and fallow deer (the latter mainly in the Eastern Mt Lofty region of the RMDS EC</w:t>
      </w:r>
      <w:r w:rsidR="00D7099D">
        <w:t>)</w:t>
      </w:r>
      <w:r>
        <w:t xml:space="preserve">. </w:t>
      </w:r>
    </w:p>
    <w:p w14:paraId="220ADA31" w14:textId="620AEFA5" w:rsidR="00466791" w:rsidRDefault="00466791" w:rsidP="009300EE">
      <w:r>
        <w:t>Particularly on the floodplain of the ecological community, p</w:t>
      </w:r>
      <w:r w:rsidRPr="009A6C62">
        <w:t>est mammals compete with native species for habitat and food, and predato</w:t>
      </w:r>
      <w:r>
        <w:t xml:space="preserve">rs like the cat, dog and fox </w:t>
      </w:r>
      <w:r w:rsidRPr="009A6C62">
        <w:t xml:space="preserve">prey on </w:t>
      </w:r>
      <w:r>
        <w:t>birds and other native animals</w:t>
      </w:r>
      <w:r w:rsidRPr="009A6C62">
        <w:t xml:space="preserve">. For example, birds such as the endangered rufus bristlebird </w:t>
      </w:r>
      <w:r>
        <w:t>(</w:t>
      </w:r>
      <w:r w:rsidRPr="008C4D7B">
        <w:rPr>
          <w:i/>
        </w:rPr>
        <w:t>Dasyornis broadbenti</w:t>
      </w:r>
      <w:r>
        <w:t xml:space="preserve">) </w:t>
      </w:r>
      <w:r w:rsidRPr="009A6C62">
        <w:t>spend much of their time foraging for insects on the ground and build bulky nests close to the ground. They are therefore likely to be vulnerable to predation by foxes and cats (Paton 2010).</w:t>
      </w:r>
      <w:r>
        <w:t xml:space="preserve"> </w:t>
      </w:r>
    </w:p>
    <w:p w14:paraId="3E75D148" w14:textId="28AABDA9" w:rsidR="00E71392" w:rsidRDefault="00E71392" w:rsidP="00F84128">
      <w:r>
        <w:t xml:space="preserve">Of particular concern is </w:t>
      </w:r>
      <w:r w:rsidR="00E12B65">
        <w:t xml:space="preserve">fox </w:t>
      </w:r>
      <w:r>
        <w:t xml:space="preserve">predation of </w:t>
      </w:r>
      <w:r w:rsidR="00E12B65">
        <w:t>f</w:t>
      </w:r>
      <w:r>
        <w:t>reshwater turtles and their eggs</w:t>
      </w:r>
      <w:r w:rsidR="005A41BE">
        <w:t xml:space="preserve"> (Howard et al. 206; Van Dyke et al. 2019)</w:t>
      </w:r>
      <w:r w:rsidR="00E12B65">
        <w:t>.</w:t>
      </w:r>
    </w:p>
    <w:p w14:paraId="15613D94" w14:textId="48EA7C9D" w:rsidR="00466791" w:rsidRDefault="00466791" w:rsidP="00F84128">
      <w:r w:rsidRPr="009A6C62">
        <w:t>There are also many pest bird species that occur within the ecological community, such as starlings (</w:t>
      </w:r>
      <w:r>
        <w:rPr>
          <w:i/>
        </w:rPr>
        <w:t>Stern</w:t>
      </w:r>
      <w:r w:rsidRPr="009A6C62">
        <w:rPr>
          <w:i/>
        </w:rPr>
        <w:t>us vulgaris</w:t>
      </w:r>
      <w:r w:rsidRPr="009A6C62">
        <w:t>), blackbirds (</w:t>
      </w:r>
      <w:r w:rsidRPr="009A6C62">
        <w:rPr>
          <w:i/>
        </w:rPr>
        <w:t>Turdus merula</w:t>
      </w:r>
      <w:r w:rsidRPr="009A6C62">
        <w:t>) and sparrows (</w:t>
      </w:r>
      <w:r w:rsidRPr="009A6C62">
        <w:rPr>
          <w:rStyle w:val="apple-style-span"/>
          <w:i/>
          <w:iCs/>
          <w:color w:val="000000"/>
          <w:shd w:val="clear" w:color="auto" w:fill="FFFFFF"/>
        </w:rPr>
        <w:t>Passer domesticus</w:t>
      </w:r>
      <w:r w:rsidRPr="009A6C62">
        <w:rPr>
          <w:rStyle w:val="apple-style-span"/>
          <w:color w:val="000000"/>
          <w:shd w:val="clear" w:color="auto" w:fill="FFFFFF"/>
        </w:rPr>
        <w:t>)</w:t>
      </w:r>
      <w:r w:rsidRPr="009A6C62">
        <w:t>. These would simi</w:t>
      </w:r>
      <w:r>
        <w:t xml:space="preserve">larly </w:t>
      </w:r>
      <w:r w:rsidRPr="009A6C62">
        <w:t>compete with native spe</w:t>
      </w:r>
      <w:r>
        <w:t xml:space="preserve">cies for habitat, </w:t>
      </w:r>
      <w:r w:rsidRPr="009A6C62">
        <w:t>resources and nesting sites.</w:t>
      </w:r>
    </w:p>
    <w:p w14:paraId="02222711" w14:textId="0EFBEF8C" w:rsidR="00BD0F18" w:rsidRPr="00BD0F18" w:rsidRDefault="00466791" w:rsidP="00A2521C">
      <w:pPr>
        <w:pStyle w:val="Heading5"/>
      </w:pPr>
      <w:r w:rsidRPr="00AC387A">
        <w:t>Invading marine tubeworm</w:t>
      </w:r>
    </w:p>
    <w:p w14:paraId="34C1BE14" w14:textId="099FCF0A" w:rsidR="007077E1" w:rsidRDefault="007077E1" w:rsidP="007077E1">
      <w:r w:rsidRPr="009423C1">
        <w:rPr>
          <w:i/>
          <w:iCs/>
        </w:rPr>
        <w:t>Ficopomatus enigmaticus</w:t>
      </w:r>
      <w:r>
        <w:t xml:space="preserve"> (Australian tubeworm) tolerates a wide range of salinities, from marine to hypersaline, but prefer brackish conditions. </w:t>
      </w:r>
      <w:r w:rsidR="00DE00C8">
        <w:t>It is a</w:t>
      </w:r>
      <w:r>
        <w:t xml:space="preserve"> normal inhabitant of the Coorong, where it forms </w:t>
      </w:r>
      <w:r w:rsidR="00DE00C8">
        <w:t>large reefs which contribute habitat heterogeneity (Dittmann et al. 2018). However, d</w:t>
      </w:r>
      <w:r>
        <w:t>uring the Millennium Drought, these worms colonised Lake Alexandrina</w:t>
      </w:r>
      <w:r w:rsidR="00DE00C8">
        <w:t xml:space="preserve"> </w:t>
      </w:r>
      <w:r w:rsidR="00223341">
        <w:t xml:space="preserve">as </w:t>
      </w:r>
      <w:r w:rsidR="00223341" w:rsidRPr="00887FE2">
        <w:t xml:space="preserve">result of declining water levels and rising salinities following the ingress of sea water (Dittmann et al. 2009; Rolston </w:t>
      </w:r>
      <w:r w:rsidR="00223341">
        <w:t xml:space="preserve">&amp; </w:t>
      </w:r>
      <w:r w:rsidR="00223341" w:rsidRPr="00887FE2">
        <w:t>Dittmann 2009)</w:t>
      </w:r>
      <w:r w:rsidR="00223341">
        <w:t>.</w:t>
      </w:r>
      <w:r w:rsidR="00A737B1">
        <w:t xml:space="preserve"> The worms formed calcareous masses on the shells of freshwater turtl</w:t>
      </w:r>
      <w:r w:rsidR="00720168">
        <w:t>e</w:t>
      </w:r>
      <w:r w:rsidR="00A737B1">
        <w:t>s, which proved fatal to many</w:t>
      </w:r>
      <w:r w:rsidR="00720168">
        <w:t xml:space="preserve"> (i.e. from drowning and disease), </w:t>
      </w:r>
      <w:r w:rsidR="00720168" w:rsidRPr="00887FE2">
        <w:t>particularly the short-necked turtle</w:t>
      </w:r>
      <w:r w:rsidR="00720168">
        <w:t xml:space="preserve"> </w:t>
      </w:r>
      <w:r>
        <w:t xml:space="preserve">(Dittmann et al. 2009; Rolston &amp; Dittmann 2009; Bower et al. 2012). </w:t>
      </w:r>
    </w:p>
    <w:p w14:paraId="221CA717" w14:textId="05B8BA74" w:rsidR="004902F0" w:rsidRDefault="00CB71D9" w:rsidP="00A2521C">
      <w:pPr>
        <w:pStyle w:val="Heading5"/>
      </w:pPr>
      <w:r>
        <w:t>Native versus non-native biodiversity</w:t>
      </w:r>
    </w:p>
    <w:p w14:paraId="6090213A" w14:textId="13BBFFE5" w:rsidR="003E1356" w:rsidRDefault="00FD4839" w:rsidP="00BD0F18">
      <w:pPr>
        <w:pStyle w:val="twentypointnormal"/>
        <w:spacing w:after="200"/>
        <w:ind w:left="0"/>
        <w:contextualSpacing/>
        <w:rPr>
          <w:rFonts w:ascii="Cambria" w:hAnsi="Cambria"/>
          <w:sz w:val="22"/>
          <w:szCs w:val="22"/>
        </w:rPr>
      </w:pPr>
      <w:r w:rsidRPr="00B42404">
        <w:rPr>
          <w:rFonts w:ascii="Cambria" w:hAnsi="Cambria"/>
          <w:sz w:val="22"/>
          <w:szCs w:val="22"/>
          <w:u w:val="single"/>
        </w:rPr>
        <w:t>Table 38</w:t>
      </w:r>
      <w:r w:rsidR="00CB71D9">
        <w:rPr>
          <w:rFonts w:ascii="Cambria" w:hAnsi="Cambria"/>
          <w:sz w:val="22"/>
          <w:szCs w:val="22"/>
        </w:rPr>
        <w:t xml:space="preserve"> p</w:t>
      </w:r>
      <w:r w:rsidR="00426515">
        <w:rPr>
          <w:rFonts w:ascii="Cambria" w:hAnsi="Cambria"/>
          <w:sz w:val="22"/>
          <w:szCs w:val="22"/>
        </w:rPr>
        <w:t>rovides examples of large-scale surveys</w:t>
      </w:r>
      <w:r w:rsidR="00B25A9B">
        <w:rPr>
          <w:rFonts w:ascii="Cambria" w:hAnsi="Cambria"/>
          <w:sz w:val="22"/>
          <w:szCs w:val="22"/>
        </w:rPr>
        <w:t xml:space="preserve"> with information on total species counts, including invasive species. </w:t>
      </w:r>
      <w:r w:rsidR="001A553D">
        <w:rPr>
          <w:rFonts w:ascii="Cambria" w:hAnsi="Cambria"/>
          <w:sz w:val="22"/>
          <w:szCs w:val="22"/>
        </w:rPr>
        <w:t xml:space="preserve">This demonstrates </w:t>
      </w:r>
      <w:r w:rsidR="00B25A9B">
        <w:rPr>
          <w:rFonts w:ascii="Cambria" w:hAnsi="Cambria"/>
          <w:sz w:val="22"/>
          <w:szCs w:val="22"/>
        </w:rPr>
        <w:t xml:space="preserve">that </w:t>
      </w:r>
      <w:r w:rsidR="000E6D5F">
        <w:rPr>
          <w:rFonts w:ascii="Cambria" w:hAnsi="Cambria"/>
          <w:sz w:val="22"/>
          <w:szCs w:val="22"/>
        </w:rPr>
        <w:t xml:space="preserve">for plants, fish, and mammals the proportion of invasive species </w:t>
      </w:r>
      <w:r w:rsidR="001A553D">
        <w:rPr>
          <w:rFonts w:ascii="Cambria" w:hAnsi="Cambria"/>
          <w:sz w:val="22"/>
          <w:szCs w:val="22"/>
        </w:rPr>
        <w:t xml:space="preserve">often </w:t>
      </w:r>
      <w:r w:rsidR="00AD6057">
        <w:rPr>
          <w:rFonts w:ascii="Cambria" w:hAnsi="Cambria"/>
          <w:sz w:val="22"/>
          <w:szCs w:val="22"/>
        </w:rPr>
        <w:t>represents</w:t>
      </w:r>
      <w:r w:rsidR="000E6D5F">
        <w:rPr>
          <w:rFonts w:ascii="Cambria" w:hAnsi="Cambria"/>
          <w:sz w:val="22"/>
          <w:szCs w:val="22"/>
        </w:rPr>
        <w:t xml:space="preserve"> about a third of the total number of species</w:t>
      </w:r>
      <w:r w:rsidR="00AD6057">
        <w:rPr>
          <w:rFonts w:ascii="Cambria" w:hAnsi="Cambria"/>
          <w:sz w:val="22"/>
          <w:szCs w:val="22"/>
        </w:rPr>
        <w:t>.</w:t>
      </w:r>
      <w:r w:rsidR="004902F0">
        <w:rPr>
          <w:rFonts w:ascii="Cambria" w:hAnsi="Cambria"/>
          <w:sz w:val="22"/>
          <w:szCs w:val="22"/>
        </w:rPr>
        <w:t xml:space="preserve"> </w:t>
      </w:r>
      <w:r w:rsidR="00CB71D9">
        <w:rPr>
          <w:rFonts w:ascii="Cambria" w:hAnsi="Cambria"/>
          <w:sz w:val="22"/>
          <w:szCs w:val="22"/>
        </w:rPr>
        <w:t>There is limited information on reptiles, apart from the red-eared slider, and it seems that there may be only one invasive frog species</w:t>
      </w:r>
      <w:r w:rsidR="0019385F">
        <w:rPr>
          <w:rFonts w:ascii="Cambria" w:hAnsi="Cambria"/>
          <w:sz w:val="22"/>
          <w:szCs w:val="22"/>
        </w:rPr>
        <w:t xml:space="preserve">—the </w:t>
      </w:r>
      <w:r w:rsidR="00CB71D9">
        <w:rPr>
          <w:rFonts w:ascii="Cambria" w:hAnsi="Cambria"/>
          <w:sz w:val="22"/>
          <w:szCs w:val="22"/>
        </w:rPr>
        <w:t>black-spined toad. To date and proportionally, birds have few invasive species, with the maximum recorded to date for the EC at around six (</w:t>
      </w:r>
      <w:r w:rsidR="00111593">
        <w:rPr>
          <w:rFonts w:ascii="Cambria" w:hAnsi="Cambria"/>
          <w:sz w:val="22"/>
          <w:szCs w:val="22"/>
        </w:rPr>
        <w:t>McGuinnes et al. 2010</w:t>
      </w:r>
      <w:r w:rsidR="00CB71D9">
        <w:rPr>
          <w:rFonts w:ascii="Cambria" w:hAnsi="Cambria"/>
          <w:sz w:val="22"/>
          <w:szCs w:val="22"/>
        </w:rPr>
        <w:t>).</w:t>
      </w:r>
    </w:p>
    <w:p w14:paraId="4C2EFDDD" w14:textId="77777777" w:rsidR="003E1356" w:rsidRDefault="003E1356" w:rsidP="00BD0F18">
      <w:pPr>
        <w:pStyle w:val="twentypointnormal"/>
        <w:spacing w:after="200"/>
        <w:ind w:left="0"/>
        <w:contextualSpacing/>
        <w:rPr>
          <w:rFonts w:ascii="Cambria" w:hAnsi="Cambria"/>
          <w:sz w:val="22"/>
          <w:szCs w:val="22"/>
        </w:rPr>
      </w:pPr>
    </w:p>
    <w:p w14:paraId="5279CD23" w14:textId="77777777" w:rsidR="00B12006" w:rsidRDefault="00B12006">
      <w:pPr>
        <w:spacing w:after="160" w:line="259" w:lineRule="auto"/>
        <w:rPr>
          <w:b/>
          <w:iCs/>
          <w:szCs w:val="18"/>
        </w:rPr>
      </w:pPr>
      <w:r>
        <w:br w:type="page"/>
      </w:r>
    </w:p>
    <w:p w14:paraId="0935BB2B" w14:textId="6D957D4E" w:rsidR="003E1356" w:rsidRPr="00526925" w:rsidRDefault="00407506" w:rsidP="00407506">
      <w:pPr>
        <w:pStyle w:val="Caption"/>
        <w:rPr>
          <w:b w:val="0"/>
          <w:bCs/>
          <w:sz w:val="21"/>
          <w:szCs w:val="21"/>
        </w:rPr>
      </w:pPr>
      <w:r>
        <w:lastRenderedPageBreak/>
        <w:t xml:space="preserve">Table </w:t>
      </w:r>
      <w:r>
        <w:fldChar w:fldCharType="begin"/>
      </w:r>
      <w:r>
        <w:instrText xml:space="preserve"> SEQ Table \* ARABIC </w:instrText>
      </w:r>
      <w:r>
        <w:fldChar w:fldCharType="separate"/>
      </w:r>
      <w:r w:rsidR="006D35C5">
        <w:rPr>
          <w:noProof/>
        </w:rPr>
        <w:t>38</w:t>
      </w:r>
      <w:r>
        <w:fldChar w:fldCharType="end"/>
      </w:r>
      <w:r w:rsidR="003E1356" w:rsidRPr="003E1356">
        <w:rPr>
          <w:bCs/>
          <w:szCs w:val="22"/>
        </w:rPr>
        <w:t xml:space="preserve">: </w:t>
      </w:r>
      <w:r w:rsidR="003E1356" w:rsidRPr="00526925">
        <w:rPr>
          <w:bCs/>
          <w:sz w:val="21"/>
          <w:szCs w:val="21"/>
        </w:rPr>
        <w:t>Selected surveys showing total species counts and proportions of invasive species per taxon group.</w:t>
      </w:r>
    </w:p>
    <w:tbl>
      <w:tblPr>
        <w:tblStyle w:val="TableGrid"/>
        <w:tblW w:w="9918" w:type="dxa"/>
        <w:tblLook w:val="04A0" w:firstRow="1" w:lastRow="0" w:firstColumn="1" w:lastColumn="0" w:noHBand="0" w:noVBand="1"/>
      </w:tblPr>
      <w:tblGrid>
        <w:gridCol w:w="969"/>
        <w:gridCol w:w="1011"/>
        <w:gridCol w:w="987"/>
        <w:gridCol w:w="2840"/>
        <w:gridCol w:w="1457"/>
        <w:gridCol w:w="2654"/>
      </w:tblGrid>
      <w:tr w:rsidR="00526925" w:rsidRPr="002F53EF" w14:paraId="38EF01B1" w14:textId="77777777" w:rsidTr="00BE3931">
        <w:trPr>
          <w:trHeight w:hRule="exact" w:val="397"/>
        </w:trPr>
        <w:tc>
          <w:tcPr>
            <w:tcW w:w="2967" w:type="dxa"/>
            <w:gridSpan w:val="3"/>
            <w:shd w:val="clear" w:color="auto" w:fill="DEEAF6" w:themeFill="accent1" w:themeFillTint="33"/>
          </w:tcPr>
          <w:p w14:paraId="79806398" w14:textId="77777777" w:rsidR="00526925" w:rsidRPr="002F53EF" w:rsidRDefault="00526925" w:rsidP="00BE3931">
            <w:pPr>
              <w:rPr>
                <w:b/>
                <w:bCs/>
                <w:sz w:val="24"/>
                <w:szCs w:val="24"/>
              </w:rPr>
            </w:pPr>
            <w:r w:rsidRPr="002F53EF">
              <w:rPr>
                <w:b/>
                <w:bCs/>
                <w:sz w:val="24"/>
                <w:szCs w:val="24"/>
              </w:rPr>
              <w:t>Taxon Group</w:t>
            </w:r>
          </w:p>
        </w:tc>
        <w:tc>
          <w:tcPr>
            <w:tcW w:w="4297" w:type="dxa"/>
            <w:gridSpan w:val="2"/>
            <w:shd w:val="clear" w:color="auto" w:fill="DEEAF6" w:themeFill="accent1" w:themeFillTint="33"/>
          </w:tcPr>
          <w:p w14:paraId="4D79B1FC" w14:textId="77777777" w:rsidR="00526925" w:rsidRPr="002F53EF" w:rsidRDefault="00526925" w:rsidP="00BE3931">
            <w:pPr>
              <w:rPr>
                <w:b/>
                <w:bCs/>
                <w:sz w:val="24"/>
                <w:szCs w:val="24"/>
              </w:rPr>
            </w:pPr>
            <w:r w:rsidRPr="002F53EF">
              <w:rPr>
                <w:b/>
                <w:bCs/>
                <w:sz w:val="24"/>
                <w:szCs w:val="24"/>
              </w:rPr>
              <w:t>Survey/Monitoring</w:t>
            </w:r>
          </w:p>
        </w:tc>
        <w:tc>
          <w:tcPr>
            <w:tcW w:w="2654" w:type="dxa"/>
            <w:vMerge w:val="restart"/>
            <w:shd w:val="clear" w:color="auto" w:fill="DEEAF6" w:themeFill="accent1" w:themeFillTint="33"/>
          </w:tcPr>
          <w:p w14:paraId="50ADDC73" w14:textId="77777777" w:rsidR="00526925" w:rsidRPr="002F53EF" w:rsidRDefault="00526925" w:rsidP="00BE3931">
            <w:pPr>
              <w:rPr>
                <w:b/>
                <w:bCs/>
                <w:sz w:val="24"/>
                <w:szCs w:val="24"/>
              </w:rPr>
            </w:pPr>
            <w:r w:rsidRPr="002F53EF">
              <w:rPr>
                <w:b/>
                <w:bCs/>
                <w:sz w:val="24"/>
                <w:szCs w:val="24"/>
              </w:rPr>
              <w:t>Reference</w:t>
            </w:r>
          </w:p>
        </w:tc>
      </w:tr>
      <w:tr w:rsidR="00526925" w:rsidRPr="002F53EF" w14:paraId="2F1ABE4B" w14:textId="77777777" w:rsidTr="00BE3931">
        <w:trPr>
          <w:trHeight w:hRule="exact" w:val="612"/>
        </w:trPr>
        <w:tc>
          <w:tcPr>
            <w:tcW w:w="969" w:type="dxa"/>
            <w:shd w:val="clear" w:color="auto" w:fill="DEEAF6" w:themeFill="accent1" w:themeFillTint="33"/>
          </w:tcPr>
          <w:p w14:paraId="4420BBF1" w14:textId="77777777" w:rsidR="00526925" w:rsidRPr="00034C52" w:rsidRDefault="00526925" w:rsidP="00BE3931">
            <w:pPr>
              <w:rPr>
                <w:b/>
                <w:bCs/>
                <w:sz w:val="20"/>
                <w:szCs w:val="20"/>
              </w:rPr>
            </w:pPr>
            <w:r w:rsidRPr="00034C52">
              <w:rPr>
                <w:b/>
                <w:bCs/>
                <w:sz w:val="20"/>
                <w:szCs w:val="20"/>
              </w:rPr>
              <w:t>Total Species</w:t>
            </w:r>
          </w:p>
        </w:tc>
        <w:tc>
          <w:tcPr>
            <w:tcW w:w="1011" w:type="dxa"/>
            <w:shd w:val="clear" w:color="auto" w:fill="DEEAF6" w:themeFill="accent1" w:themeFillTint="33"/>
          </w:tcPr>
          <w:p w14:paraId="36D6E1D2" w14:textId="77777777" w:rsidR="00526925" w:rsidRPr="00034C52" w:rsidRDefault="00526925" w:rsidP="00BE3931">
            <w:pPr>
              <w:rPr>
                <w:b/>
                <w:bCs/>
                <w:sz w:val="20"/>
                <w:szCs w:val="20"/>
              </w:rPr>
            </w:pPr>
            <w:r w:rsidRPr="00034C52">
              <w:rPr>
                <w:b/>
                <w:bCs/>
                <w:sz w:val="20"/>
                <w:szCs w:val="20"/>
              </w:rPr>
              <w:t>No. Invasive</w:t>
            </w:r>
          </w:p>
        </w:tc>
        <w:tc>
          <w:tcPr>
            <w:tcW w:w="987" w:type="dxa"/>
            <w:shd w:val="clear" w:color="auto" w:fill="DEEAF6" w:themeFill="accent1" w:themeFillTint="33"/>
          </w:tcPr>
          <w:p w14:paraId="6CA203E3" w14:textId="77777777" w:rsidR="00526925" w:rsidRPr="00034C52" w:rsidRDefault="00526925" w:rsidP="00BE3931">
            <w:pPr>
              <w:jc w:val="center"/>
              <w:rPr>
                <w:b/>
                <w:bCs/>
                <w:sz w:val="20"/>
                <w:szCs w:val="20"/>
              </w:rPr>
            </w:pPr>
            <w:r w:rsidRPr="00034C52">
              <w:rPr>
                <w:b/>
                <w:bCs/>
                <w:sz w:val="20"/>
                <w:szCs w:val="20"/>
              </w:rPr>
              <w:t>% Invasive</w:t>
            </w:r>
          </w:p>
        </w:tc>
        <w:tc>
          <w:tcPr>
            <w:tcW w:w="2840" w:type="dxa"/>
            <w:shd w:val="clear" w:color="auto" w:fill="DEEAF6" w:themeFill="accent1" w:themeFillTint="33"/>
          </w:tcPr>
          <w:p w14:paraId="1E7C0A10" w14:textId="77777777" w:rsidR="00526925" w:rsidRPr="002F53EF" w:rsidRDefault="00526925" w:rsidP="00BE3931">
            <w:pPr>
              <w:rPr>
                <w:b/>
                <w:bCs/>
              </w:rPr>
            </w:pPr>
            <w:r w:rsidRPr="002F53EF">
              <w:rPr>
                <w:b/>
                <w:bCs/>
              </w:rPr>
              <w:t>Location</w:t>
            </w:r>
          </w:p>
        </w:tc>
        <w:tc>
          <w:tcPr>
            <w:tcW w:w="1457" w:type="dxa"/>
            <w:shd w:val="clear" w:color="auto" w:fill="DEEAF6" w:themeFill="accent1" w:themeFillTint="33"/>
          </w:tcPr>
          <w:p w14:paraId="179ABF30" w14:textId="77777777" w:rsidR="00526925" w:rsidRPr="002F53EF" w:rsidRDefault="00526925" w:rsidP="00BE3931">
            <w:pPr>
              <w:rPr>
                <w:b/>
                <w:bCs/>
              </w:rPr>
            </w:pPr>
            <w:r w:rsidRPr="002F53EF">
              <w:rPr>
                <w:b/>
                <w:bCs/>
              </w:rPr>
              <w:t>Period</w:t>
            </w:r>
          </w:p>
        </w:tc>
        <w:tc>
          <w:tcPr>
            <w:tcW w:w="2654" w:type="dxa"/>
            <w:vMerge/>
            <w:shd w:val="clear" w:color="auto" w:fill="EAEDF1" w:themeFill="text2" w:themeFillTint="1A"/>
          </w:tcPr>
          <w:p w14:paraId="26A550D5" w14:textId="77777777" w:rsidR="00526925" w:rsidRPr="002F53EF" w:rsidRDefault="00526925" w:rsidP="00BE3931">
            <w:pPr>
              <w:rPr>
                <w:b/>
                <w:bCs/>
              </w:rPr>
            </w:pPr>
          </w:p>
        </w:tc>
      </w:tr>
      <w:tr w:rsidR="00526925" w:rsidRPr="002F53EF" w14:paraId="7DEDBB4C" w14:textId="77777777" w:rsidTr="00BE3931">
        <w:trPr>
          <w:trHeight w:hRule="exact" w:val="397"/>
        </w:trPr>
        <w:tc>
          <w:tcPr>
            <w:tcW w:w="9918" w:type="dxa"/>
            <w:gridSpan w:val="6"/>
            <w:shd w:val="clear" w:color="auto" w:fill="E2EFD9" w:themeFill="accent6" w:themeFillTint="33"/>
          </w:tcPr>
          <w:p w14:paraId="3002FE97" w14:textId="77777777" w:rsidR="00526925" w:rsidRPr="002F53EF" w:rsidRDefault="00526925" w:rsidP="00BE3931">
            <w:pPr>
              <w:rPr>
                <w:b/>
                <w:bCs/>
              </w:rPr>
            </w:pPr>
            <w:r>
              <w:rPr>
                <w:b/>
                <w:bCs/>
              </w:rPr>
              <w:t xml:space="preserve">PLANTS </w:t>
            </w:r>
          </w:p>
        </w:tc>
      </w:tr>
      <w:tr w:rsidR="00526925" w:rsidRPr="002F53EF" w14:paraId="62E46DC3" w14:textId="77777777" w:rsidTr="00BE3931">
        <w:trPr>
          <w:trHeight w:hRule="exact" w:val="665"/>
        </w:trPr>
        <w:tc>
          <w:tcPr>
            <w:tcW w:w="969" w:type="dxa"/>
          </w:tcPr>
          <w:p w14:paraId="243747A6" w14:textId="77777777" w:rsidR="00526925" w:rsidRDefault="00526925" w:rsidP="00BE3931">
            <w:pPr>
              <w:jc w:val="right"/>
            </w:pPr>
            <w:r>
              <w:t>767</w:t>
            </w:r>
          </w:p>
        </w:tc>
        <w:tc>
          <w:tcPr>
            <w:tcW w:w="1011" w:type="dxa"/>
          </w:tcPr>
          <w:p w14:paraId="77C47AA7" w14:textId="77777777" w:rsidR="00526925" w:rsidRDefault="00526925" w:rsidP="00BE3931">
            <w:pPr>
              <w:jc w:val="right"/>
            </w:pPr>
            <w:r>
              <w:t>256</w:t>
            </w:r>
          </w:p>
        </w:tc>
        <w:tc>
          <w:tcPr>
            <w:tcW w:w="987" w:type="dxa"/>
          </w:tcPr>
          <w:p w14:paraId="47A24038" w14:textId="77777777" w:rsidR="00526925" w:rsidRDefault="00526925" w:rsidP="00BE3931">
            <w:pPr>
              <w:jc w:val="right"/>
            </w:pPr>
            <w:r>
              <w:t>33</w:t>
            </w:r>
          </w:p>
        </w:tc>
        <w:tc>
          <w:tcPr>
            <w:tcW w:w="2840" w:type="dxa"/>
          </w:tcPr>
          <w:p w14:paraId="36867F62" w14:textId="77777777" w:rsidR="00526925" w:rsidRDefault="00526925" w:rsidP="00BE3931">
            <w:r>
              <w:t xml:space="preserve">Murray floodplain </w:t>
            </w:r>
            <w:r w:rsidRPr="004310A7">
              <w:t>(below Hume Dam to Lake Alex.)</w:t>
            </w:r>
          </w:p>
        </w:tc>
        <w:tc>
          <w:tcPr>
            <w:tcW w:w="1457" w:type="dxa"/>
          </w:tcPr>
          <w:p w14:paraId="60D1A0AD" w14:textId="77777777" w:rsidR="00526925" w:rsidRDefault="00526925" w:rsidP="00BE3931">
            <w:r>
              <w:t>1987–1988</w:t>
            </w:r>
          </w:p>
        </w:tc>
        <w:tc>
          <w:tcPr>
            <w:tcW w:w="2654" w:type="dxa"/>
          </w:tcPr>
          <w:p w14:paraId="650DF106" w14:textId="77777777" w:rsidR="00526925" w:rsidRDefault="00526925" w:rsidP="00BE3931">
            <w:r>
              <w:t>MDBC 1990</w:t>
            </w:r>
          </w:p>
        </w:tc>
      </w:tr>
      <w:tr w:rsidR="00526925" w:rsidRPr="002F53EF" w14:paraId="457FBBBB" w14:textId="77777777" w:rsidTr="00BE3931">
        <w:trPr>
          <w:trHeight w:hRule="exact" w:val="397"/>
        </w:trPr>
        <w:tc>
          <w:tcPr>
            <w:tcW w:w="969" w:type="dxa"/>
          </w:tcPr>
          <w:p w14:paraId="7053B1F8" w14:textId="77777777" w:rsidR="00526925" w:rsidRPr="002F53EF" w:rsidRDefault="00526925" w:rsidP="00BE3931">
            <w:pPr>
              <w:jc w:val="right"/>
            </w:pPr>
            <w:r>
              <w:t>596</w:t>
            </w:r>
          </w:p>
        </w:tc>
        <w:tc>
          <w:tcPr>
            <w:tcW w:w="1011" w:type="dxa"/>
          </w:tcPr>
          <w:p w14:paraId="55DF7905" w14:textId="77777777" w:rsidR="00526925" w:rsidRPr="002F53EF" w:rsidRDefault="00526925" w:rsidP="00BE3931">
            <w:pPr>
              <w:jc w:val="right"/>
            </w:pPr>
            <w:r>
              <w:t>187</w:t>
            </w:r>
          </w:p>
        </w:tc>
        <w:tc>
          <w:tcPr>
            <w:tcW w:w="987" w:type="dxa"/>
          </w:tcPr>
          <w:p w14:paraId="79328D74" w14:textId="77777777" w:rsidR="00526925" w:rsidRPr="002F53EF" w:rsidRDefault="00526925" w:rsidP="00BE3931">
            <w:pPr>
              <w:jc w:val="right"/>
            </w:pPr>
            <w:r>
              <w:t>31</w:t>
            </w:r>
          </w:p>
        </w:tc>
        <w:tc>
          <w:tcPr>
            <w:tcW w:w="2840" w:type="dxa"/>
          </w:tcPr>
          <w:p w14:paraId="236996C6" w14:textId="77777777" w:rsidR="00526925" w:rsidRPr="002F53EF" w:rsidRDefault="00526925" w:rsidP="00BE3931">
            <w:r>
              <w:t>Murray Valley SA</w:t>
            </w:r>
          </w:p>
        </w:tc>
        <w:tc>
          <w:tcPr>
            <w:tcW w:w="1457" w:type="dxa"/>
          </w:tcPr>
          <w:p w14:paraId="24C9F8AE" w14:textId="77777777" w:rsidR="00526925" w:rsidRPr="002F53EF" w:rsidRDefault="00526925" w:rsidP="00BE3931">
            <w:r>
              <w:t>2002–04</w:t>
            </w:r>
          </w:p>
        </w:tc>
        <w:tc>
          <w:tcPr>
            <w:tcW w:w="2654" w:type="dxa"/>
          </w:tcPr>
          <w:p w14:paraId="73560160" w14:textId="77777777" w:rsidR="00526925" w:rsidRPr="002F53EF" w:rsidRDefault="00526925" w:rsidP="00BE3931">
            <w:r>
              <w:t>Stewart et al. 2010</w:t>
            </w:r>
          </w:p>
        </w:tc>
      </w:tr>
      <w:tr w:rsidR="00526925" w:rsidRPr="002F53EF" w14:paraId="22CB67C2" w14:textId="77777777" w:rsidTr="00BE3931">
        <w:trPr>
          <w:trHeight w:hRule="exact" w:val="397"/>
        </w:trPr>
        <w:tc>
          <w:tcPr>
            <w:tcW w:w="969" w:type="dxa"/>
          </w:tcPr>
          <w:p w14:paraId="5051D883" w14:textId="77777777" w:rsidR="00526925" w:rsidRPr="002F53EF" w:rsidRDefault="00526925" w:rsidP="00BE3931">
            <w:pPr>
              <w:jc w:val="right"/>
            </w:pPr>
            <w:r>
              <w:t>216</w:t>
            </w:r>
          </w:p>
        </w:tc>
        <w:tc>
          <w:tcPr>
            <w:tcW w:w="1011" w:type="dxa"/>
          </w:tcPr>
          <w:p w14:paraId="6EEC02C9" w14:textId="77777777" w:rsidR="00526925" w:rsidRPr="002F53EF" w:rsidRDefault="00526925" w:rsidP="00BE3931">
            <w:pPr>
              <w:jc w:val="right"/>
            </w:pPr>
            <w:r>
              <w:t>73</w:t>
            </w:r>
          </w:p>
        </w:tc>
        <w:tc>
          <w:tcPr>
            <w:tcW w:w="987" w:type="dxa"/>
          </w:tcPr>
          <w:p w14:paraId="6F33DA1E" w14:textId="77777777" w:rsidR="00526925" w:rsidRPr="002F53EF" w:rsidRDefault="00526925" w:rsidP="00BE3931">
            <w:pPr>
              <w:jc w:val="right"/>
            </w:pPr>
            <w:r>
              <w:t>33</w:t>
            </w:r>
          </w:p>
        </w:tc>
        <w:tc>
          <w:tcPr>
            <w:tcW w:w="2840" w:type="dxa"/>
          </w:tcPr>
          <w:p w14:paraId="3343AFE7" w14:textId="77777777" w:rsidR="00526925" w:rsidRPr="002F53EF" w:rsidRDefault="00526925" w:rsidP="00BE3931">
            <w:r>
              <w:t>Murray Mouth Reserves</w:t>
            </w:r>
          </w:p>
        </w:tc>
        <w:tc>
          <w:tcPr>
            <w:tcW w:w="1457" w:type="dxa"/>
          </w:tcPr>
          <w:p w14:paraId="46C00643" w14:textId="77777777" w:rsidR="00526925" w:rsidRPr="002F53EF" w:rsidRDefault="00526925" w:rsidP="00BE3931">
            <w:r>
              <w:t>2002</w:t>
            </w:r>
          </w:p>
        </w:tc>
        <w:tc>
          <w:tcPr>
            <w:tcW w:w="2654" w:type="dxa"/>
          </w:tcPr>
          <w:p w14:paraId="4FBD0DE8" w14:textId="77777777" w:rsidR="00526925" w:rsidRPr="002F53EF" w:rsidRDefault="00526925" w:rsidP="00BE3931">
            <w:r>
              <w:t>Brandle 2002</w:t>
            </w:r>
          </w:p>
        </w:tc>
      </w:tr>
      <w:tr w:rsidR="00526925" w:rsidRPr="002F53EF" w14:paraId="45F3F671" w14:textId="77777777" w:rsidTr="00BE3931">
        <w:trPr>
          <w:trHeight w:hRule="exact" w:val="397"/>
        </w:trPr>
        <w:tc>
          <w:tcPr>
            <w:tcW w:w="969" w:type="dxa"/>
          </w:tcPr>
          <w:p w14:paraId="70583538" w14:textId="77777777" w:rsidR="00526925" w:rsidRPr="002F53EF" w:rsidRDefault="00526925" w:rsidP="00BE3931">
            <w:pPr>
              <w:jc w:val="right"/>
            </w:pPr>
            <w:r>
              <w:t>2153</w:t>
            </w:r>
          </w:p>
        </w:tc>
        <w:tc>
          <w:tcPr>
            <w:tcW w:w="1011" w:type="dxa"/>
          </w:tcPr>
          <w:p w14:paraId="02FEAAF2" w14:textId="77777777" w:rsidR="00526925" w:rsidRPr="002F53EF" w:rsidRDefault="00526925" w:rsidP="00BE3931">
            <w:pPr>
              <w:jc w:val="right"/>
            </w:pPr>
            <w:r>
              <w:t>554</w:t>
            </w:r>
          </w:p>
        </w:tc>
        <w:tc>
          <w:tcPr>
            <w:tcW w:w="987" w:type="dxa"/>
          </w:tcPr>
          <w:p w14:paraId="7EF0B44B" w14:textId="77777777" w:rsidR="00526925" w:rsidRPr="002F53EF" w:rsidRDefault="00526925" w:rsidP="00BE3931">
            <w:pPr>
              <w:jc w:val="right"/>
            </w:pPr>
            <w:r>
              <w:t>26</w:t>
            </w:r>
          </w:p>
        </w:tc>
        <w:tc>
          <w:tcPr>
            <w:tcW w:w="2840" w:type="dxa"/>
          </w:tcPr>
          <w:p w14:paraId="73418BCB" w14:textId="77777777" w:rsidR="00526925" w:rsidRPr="002F53EF" w:rsidRDefault="00526925" w:rsidP="00BE3931">
            <w:r>
              <w:t>Riverland and Murraylands</w:t>
            </w:r>
          </w:p>
        </w:tc>
        <w:tc>
          <w:tcPr>
            <w:tcW w:w="1457" w:type="dxa"/>
          </w:tcPr>
          <w:p w14:paraId="349CE6E7" w14:textId="77777777" w:rsidR="00526925" w:rsidRPr="002F53EF" w:rsidRDefault="00526925" w:rsidP="00BE3931">
            <w:r>
              <w:t>1990–2005</w:t>
            </w:r>
          </w:p>
        </w:tc>
        <w:tc>
          <w:tcPr>
            <w:tcW w:w="2654" w:type="dxa"/>
          </w:tcPr>
          <w:p w14:paraId="02530503" w14:textId="77777777" w:rsidR="00526925" w:rsidRPr="002F53EF" w:rsidRDefault="00526925" w:rsidP="00BE3931">
            <w:r>
              <w:t>Robinson et al. 2009</w:t>
            </w:r>
          </w:p>
        </w:tc>
      </w:tr>
      <w:tr w:rsidR="00526925" w:rsidRPr="002F53EF" w14:paraId="3CD6BF9F" w14:textId="77777777" w:rsidTr="00BE3931">
        <w:trPr>
          <w:trHeight w:hRule="exact" w:val="397"/>
        </w:trPr>
        <w:tc>
          <w:tcPr>
            <w:tcW w:w="969" w:type="dxa"/>
          </w:tcPr>
          <w:p w14:paraId="3B42294A" w14:textId="77777777" w:rsidR="00526925" w:rsidRDefault="00526925" w:rsidP="00BE3931">
            <w:pPr>
              <w:jc w:val="right"/>
            </w:pPr>
            <w:r>
              <w:t>353</w:t>
            </w:r>
          </w:p>
        </w:tc>
        <w:tc>
          <w:tcPr>
            <w:tcW w:w="1011" w:type="dxa"/>
          </w:tcPr>
          <w:p w14:paraId="7436DD5D" w14:textId="77777777" w:rsidR="00526925" w:rsidRPr="00B1796E" w:rsidRDefault="00526925" w:rsidP="00BE3931">
            <w:pPr>
              <w:jc w:val="right"/>
            </w:pPr>
            <w:r>
              <w:t>132</w:t>
            </w:r>
          </w:p>
        </w:tc>
        <w:tc>
          <w:tcPr>
            <w:tcW w:w="987" w:type="dxa"/>
          </w:tcPr>
          <w:p w14:paraId="77D71EAF" w14:textId="77777777" w:rsidR="00526925" w:rsidRDefault="00526925" w:rsidP="00BE3931">
            <w:pPr>
              <w:jc w:val="right"/>
            </w:pPr>
            <w:r>
              <w:t>37</w:t>
            </w:r>
          </w:p>
        </w:tc>
        <w:tc>
          <w:tcPr>
            <w:tcW w:w="2840" w:type="dxa"/>
          </w:tcPr>
          <w:p w14:paraId="12C120FA" w14:textId="77777777" w:rsidR="00526925" w:rsidRDefault="00526925" w:rsidP="00BE3931">
            <w:r>
              <w:t>Lock 1 downstream to Sea</w:t>
            </w:r>
          </w:p>
        </w:tc>
        <w:tc>
          <w:tcPr>
            <w:tcW w:w="1457" w:type="dxa"/>
          </w:tcPr>
          <w:p w14:paraId="161AE4F9" w14:textId="77777777" w:rsidR="00526925" w:rsidRDefault="00526925" w:rsidP="00BE3931">
            <w:r>
              <w:t>1975–2010#</w:t>
            </w:r>
          </w:p>
        </w:tc>
        <w:tc>
          <w:tcPr>
            <w:tcW w:w="2654" w:type="dxa"/>
          </w:tcPr>
          <w:p w14:paraId="20CEE93E" w14:textId="77777777" w:rsidR="00526925" w:rsidRDefault="00526925" w:rsidP="00BE3931">
            <w:r>
              <w:t>Gehrig &amp; Nicol 2005</w:t>
            </w:r>
          </w:p>
        </w:tc>
      </w:tr>
      <w:tr w:rsidR="00526925" w:rsidRPr="002F53EF" w14:paraId="0385DECC" w14:textId="77777777" w:rsidTr="00BE3931">
        <w:trPr>
          <w:trHeight w:hRule="exact" w:val="397"/>
        </w:trPr>
        <w:tc>
          <w:tcPr>
            <w:tcW w:w="969" w:type="dxa"/>
          </w:tcPr>
          <w:p w14:paraId="15821746" w14:textId="0F0579C3" w:rsidR="00526925" w:rsidRDefault="00455E8C" w:rsidP="00BE3931">
            <w:pPr>
              <w:jc w:val="right"/>
            </w:pPr>
            <w:r>
              <w:t>3</w:t>
            </w:r>
            <w:r w:rsidR="00735D09">
              <w:t>5</w:t>
            </w:r>
          </w:p>
        </w:tc>
        <w:tc>
          <w:tcPr>
            <w:tcW w:w="1011" w:type="dxa"/>
          </w:tcPr>
          <w:p w14:paraId="3AC38A1C" w14:textId="4F83CC05" w:rsidR="00526925" w:rsidRPr="00B1796E" w:rsidRDefault="003D3E1C" w:rsidP="00BE3931">
            <w:pPr>
              <w:jc w:val="right"/>
            </w:pPr>
            <w:r>
              <w:t>5</w:t>
            </w:r>
          </w:p>
        </w:tc>
        <w:tc>
          <w:tcPr>
            <w:tcW w:w="987" w:type="dxa"/>
          </w:tcPr>
          <w:p w14:paraId="7A96180E" w14:textId="37343674" w:rsidR="00526925" w:rsidRDefault="00C85D4B" w:rsidP="00BE3931">
            <w:pPr>
              <w:jc w:val="right"/>
            </w:pPr>
            <w:r>
              <w:t>14</w:t>
            </w:r>
          </w:p>
        </w:tc>
        <w:tc>
          <w:tcPr>
            <w:tcW w:w="2840" w:type="dxa"/>
          </w:tcPr>
          <w:p w14:paraId="6B25C0A7" w14:textId="77777777" w:rsidR="00526925" w:rsidRPr="00824DB3" w:rsidRDefault="00526925" w:rsidP="00BE3931">
            <w:pPr>
              <w:rPr>
                <w:sz w:val="21"/>
                <w:szCs w:val="21"/>
              </w:rPr>
            </w:pPr>
            <w:r w:rsidRPr="00824DB3">
              <w:rPr>
                <w:sz w:val="21"/>
                <w:szCs w:val="21"/>
              </w:rPr>
              <w:t>Pike Anabranch &amp; Floodplain</w:t>
            </w:r>
          </w:p>
        </w:tc>
        <w:tc>
          <w:tcPr>
            <w:tcW w:w="1457" w:type="dxa"/>
          </w:tcPr>
          <w:p w14:paraId="225CB258" w14:textId="601CE4D6" w:rsidR="00526925" w:rsidRDefault="00735D09" w:rsidP="00BE3931">
            <w:r>
              <w:t>2015</w:t>
            </w:r>
          </w:p>
        </w:tc>
        <w:tc>
          <w:tcPr>
            <w:tcW w:w="2654" w:type="dxa"/>
          </w:tcPr>
          <w:p w14:paraId="59328E31" w14:textId="77777777" w:rsidR="00526925" w:rsidRDefault="00526925" w:rsidP="00BE3931">
            <w:r>
              <w:t>Nicol et al. 2015</w:t>
            </w:r>
          </w:p>
        </w:tc>
      </w:tr>
      <w:tr w:rsidR="00526925" w:rsidRPr="002F53EF" w14:paraId="1C73C2F9" w14:textId="77777777" w:rsidTr="00BE3931">
        <w:trPr>
          <w:trHeight w:hRule="exact" w:val="397"/>
        </w:trPr>
        <w:tc>
          <w:tcPr>
            <w:tcW w:w="969" w:type="dxa"/>
          </w:tcPr>
          <w:p w14:paraId="41C0E84A" w14:textId="77777777" w:rsidR="00526925" w:rsidRDefault="00526925" w:rsidP="00BE3931">
            <w:pPr>
              <w:jc w:val="right"/>
            </w:pPr>
            <w:r>
              <w:t>65</w:t>
            </w:r>
          </w:p>
        </w:tc>
        <w:tc>
          <w:tcPr>
            <w:tcW w:w="1011" w:type="dxa"/>
          </w:tcPr>
          <w:p w14:paraId="209C30DB" w14:textId="77777777" w:rsidR="00526925" w:rsidRPr="002F53EF" w:rsidRDefault="00526925" w:rsidP="00BE3931">
            <w:pPr>
              <w:jc w:val="right"/>
            </w:pPr>
            <w:r w:rsidRPr="00B1796E">
              <w:t>N/A</w:t>
            </w:r>
          </w:p>
        </w:tc>
        <w:tc>
          <w:tcPr>
            <w:tcW w:w="987" w:type="dxa"/>
          </w:tcPr>
          <w:p w14:paraId="230B1076" w14:textId="77777777" w:rsidR="00526925" w:rsidRPr="002F53EF" w:rsidRDefault="00526925" w:rsidP="00BE3931">
            <w:pPr>
              <w:jc w:val="right"/>
            </w:pPr>
            <w:r>
              <w:t>-</w:t>
            </w:r>
          </w:p>
        </w:tc>
        <w:tc>
          <w:tcPr>
            <w:tcW w:w="2840" w:type="dxa"/>
          </w:tcPr>
          <w:p w14:paraId="7A833C9B" w14:textId="77777777" w:rsidR="00526925" w:rsidRDefault="00526925" w:rsidP="00BE3931">
            <w:r>
              <w:t>Chowilla</w:t>
            </w:r>
          </w:p>
        </w:tc>
        <w:tc>
          <w:tcPr>
            <w:tcW w:w="1457" w:type="dxa"/>
          </w:tcPr>
          <w:p w14:paraId="17B8F9ED" w14:textId="77777777" w:rsidR="00526925" w:rsidRPr="002F53EF" w:rsidRDefault="00526925" w:rsidP="00BE3931">
            <w:r>
              <w:t>2006–2022</w:t>
            </w:r>
          </w:p>
        </w:tc>
        <w:tc>
          <w:tcPr>
            <w:tcW w:w="2654" w:type="dxa"/>
          </w:tcPr>
          <w:p w14:paraId="2E58B711" w14:textId="77777777" w:rsidR="00526925" w:rsidRPr="002F53EF" w:rsidRDefault="00526925" w:rsidP="00BE3931">
            <w:r>
              <w:t>Nicol et al. 2023</w:t>
            </w:r>
          </w:p>
        </w:tc>
      </w:tr>
      <w:tr w:rsidR="00526925" w:rsidRPr="002F53EF" w14:paraId="73A04EDB" w14:textId="77777777" w:rsidTr="00BE3931">
        <w:trPr>
          <w:trHeight w:hRule="exact" w:val="397"/>
        </w:trPr>
        <w:tc>
          <w:tcPr>
            <w:tcW w:w="9918" w:type="dxa"/>
            <w:gridSpan w:val="6"/>
            <w:shd w:val="clear" w:color="auto" w:fill="DEEAF6" w:themeFill="accent1" w:themeFillTint="33"/>
          </w:tcPr>
          <w:p w14:paraId="200B7BFD" w14:textId="77777777" w:rsidR="00526925" w:rsidRPr="002F53EF" w:rsidRDefault="00526925" w:rsidP="00BE3931">
            <w:pPr>
              <w:rPr>
                <w:b/>
                <w:bCs/>
              </w:rPr>
            </w:pPr>
            <w:r w:rsidRPr="002F53EF">
              <w:rPr>
                <w:b/>
                <w:bCs/>
              </w:rPr>
              <w:t>FISH</w:t>
            </w:r>
            <w:r>
              <w:rPr>
                <w:b/>
                <w:bCs/>
              </w:rPr>
              <w:t xml:space="preserve"> </w:t>
            </w:r>
          </w:p>
        </w:tc>
      </w:tr>
      <w:tr w:rsidR="00526925" w:rsidRPr="002F53EF" w14:paraId="4F948BE5" w14:textId="77777777" w:rsidTr="00BE3931">
        <w:trPr>
          <w:trHeight w:hRule="exact" w:val="461"/>
        </w:trPr>
        <w:tc>
          <w:tcPr>
            <w:tcW w:w="969" w:type="dxa"/>
          </w:tcPr>
          <w:p w14:paraId="67FE1F5E" w14:textId="77777777" w:rsidR="00526925" w:rsidRPr="002F53EF" w:rsidRDefault="00526925" w:rsidP="00BE3931">
            <w:pPr>
              <w:jc w:val="right"/>
            </w:pPr>
            <w:r>
              <w:t>26</w:t>
            </w:r>
          </w:p>
        </w:tc>
        <w:tc>
          <w:tcPr>
            <w:tcW w:w="1011" w:type="dxa"/>
          </w:tcPr>
          <w:p w14:paraId="1B064413" w14:textId="77777777" w:rsidR="00526925" w:rsidRPr="002F53EF" w:rsidRDefault="00526925" w:rsidP="00BE3931">
            <w:pPr>
              <w:jc w:val="right"/>
            </w:pPr>
            <w:r>
              <w:t>7</w:t>
            </w:r>
          </w:p>
        </w:tc>
        <w:tc>
          <w:tcPr>
            <w:tcW w:w="987" w:type="dxa"/>
          </w:tcPr>
          <w:p w14:paraId="5A6E4818" w14:textId="77777777" w:rsidR="00526925" w:rsidRPr="002F53EF" w:rsidRDefault="00526925" w:rsidP="00BE3931">
            <w:pPr>
              <w:jc w:val="right"/>
            </w:pPr>
            <w:r>
              <w:t>30</w:t>
            </w:r>
          </w:p>
        </w:tc>
        <w:tc>
          <w:tcPr>
            <w:tcW w:w="2840" w:type="dxa"/>
          </w:tcPr>
          <w:p w14:paraId="53D0AD97" w14:textId="77777777" w:rsidR="00526925" w:rsidRPr="002F53EF" w:rsidRDefault="00526925" w:rsidP="00BE3931">
            <w:r>
              <w:t>Eastern Mt Lofty Streams</w:t>
            </w:r>
          </w:p>
        </w:tc>
        <w:tc>
          <w:tcPr>
            <w:tcW w:w="1457" w:type="dxa"/>
          </w:tcPr>
          <w:p w14:paraId="07A050C7" w14:textId="77777777" w:rsidR="00526925" w:rsidRPr="002F53EF" w:rsidRDefault="00526925" w:rsidP="00BE3931">
            <w:r>
              <w:t>2001–03</w:t>
            </w:r>
          </w:p>
        </w:tc>
        <w:tc>
          <w:tcPr>
            <w:tcW w:w="2654" w:type="dxa"/>
          </w:tcPr>
          <w:p w14:paraId="2C478A62" w14:textId="77777777" w:rsidR="00526925" w:rsidRPr="002F53EF" w:rsidRDefault="00526925" w:rsidP="00BE3931">
            <w:r>
              <w:t>Conalin &amp; Hammer 2003</w:t>
            </w:r>
          </w:p>
        </w:tc>
      </w:tr>
      <w:tr w:rsidR="00526925" w:rsidRPr="002F53EF" w14:paraId="22C2BC0D" w14:textId="77777777" w:rsidTr="00BE3931">
        <w:trPr>
          <w:trHeight w:hRule="exact" w:val="397"/>
        </w:trPr>
        <w:tc>
          <w:tcPr>
            <w:tcW w:w="969" w:type="dxa"/>
          </w:tcPr>
          <w:p w14:paraId="10C7B62C" w14:textId="77777777" w:rsidR="00526925" w:rsidRPr="002F53EF" w:rsidRDefault="00526925" w:rsidP="00BE3931">
            <w:pPr>
              <w:jc w:val="right"/>
            </w:pPr>
            <w:r>
              <w:t>19</w:t>
            </w:r>
          </w:p>
        </w:tc>
        <w:tc>
          <w:tcPr>
            <w:tcW w:w="1011" w:type="dxa"/>
          </w:tcPr>
          <w:p w14:paraId="58A471A0" w14:textId="77777777" w:rsidR="00526925" w:rsidRPr="002F53EF" w:rsidRDefault="00526925" w:rsidP="00BE3931">
            <w:pPr>
              <w:jc w:val="right"/>
            </w:pPr>
            <w:r>
              <w:t>4</w:t>
            </w:r>
          </w:p>
        </w:tc>
        <w:tc>
          <w:tcPr>
            <w:tcW w:w="987" w:type="dxa"/>
          </w:tcPr>
          <w:p w14:paraId="37A7F771" w14:textId="77777777" w:rsidR="00526925" w:rsidRPr="002F53EF" w:rsidRDefault="00526925" w:rsidP="00BE3931">
            <w:pPr>
              <w:jc w:val="right"/>
            </w:pPr>
            <w:r>
              <w:t>21</w:t>
            </w:r>
          </w:p>
        </w:tc>
        <w:tc>
          <w:tcPr>
            <w:tcW w:w="2840" w:type="dxa"/>
          </w:tcPr>
          <w:p w14:paraId="41CC8E9B" w14:textId="77777777" w:rsidR="00526925" w:rsidRPr="002F53EF" w:rsidRDefault="00526925" w:rsidP="00BE3931">
            <w:r>
              <w:t>Murray Mouth Reserves</w:t>
            </w:r>
          </w:p>
        </w:tc>
        <w:tc>
          <w:tcPr>
            <w:tcW w:w="1457" w:type="dxa"/>
          </w:tcPr>
          <w:p w14:paraId="5F87A101" w14:textId="77777777" w:rsidR="00526925" w:rsidRPr="002F53EF" w:rsidRDefault="00526925" w:rsidP="00BE3931">
            <w:r>
              <w:t>2002</w:t>
            </w:r>
          </w:p>
        </w:tc>
        <w:tc>
          <w:tcPr>
            <w:tcW w:w="2654" w:type="dxa"/>
          </w:tcPr>
          <w:p w14:paraId="71389540" w14:textId="77777777" w:rsidR="00526925" w:rsidRPr="002F53EF" w:rsidRDefault="00526925" w:rsidP="00BE3931">
            <w:r>
              <w:t>Brandle 2002</w:t>
            </w:r>
          </w:p>
        </w:tc>
      </w:tr>
      <w:tr w:rsidR="00526925" w:rsidRPr="002F53EF" w14:paraId="2A2697AA" w14:textId="77777777" w:rsidTr="00BE3931">
        <w:trPr>
          <w:trHeight w:hRule="exact" w:val="698"/>
        </w:trPr>
        <w:tc>
          <w:tcPr>
            <w:tcW w:w="969" w:type="dxa"/>
          </w:tcPr>
          <w:p w14:paraId="23B505AF" w14:textId="77777777" w:rsidR="00526925" w:rsidRPr="002F53EF" w:rsidRDefault="00526925" w:rsidP="00BE3931">
            <w:pPr>
              <w:jc w:val="right"/>
            </w:pPr>
            <w:r>
              <w:t>35</w:t>
            </w:r>
          </w:p>
        </w:tc>
        <w:tc>
          <w:tcPr>
            <w:tcW w:w="1011" w:type="dxa"/>
          </w:tcPr>
          <w:p w14:paraId="72A7BE92" w14:textId="77777777" w:rsidR="00526925" w:rsidRPr="002F53EF" w:rsidRDefault="00526925" w:rsidP="00BE3931">
            <w:pPr>
              <w:jc w:val="right"/>
            </w:pPr>
            <w:r>
              <w:t>11</w:t>
            </w:r>
          </w:p>
        </w:tc>
        <w:tc>
          <w:tcPr>
            <w:tcW w:w="987" w:type="dxa"/>
          </w:tcPr>
          <w:p w14:paraId="2846E97E" w14:textId="77777777" w:rsidR="00526925" w:rsidRPr="002F53EF" w:rsidRDefault="00526925" w:rsidP="00BE3931">
            <w:pPr>
              <w:jc w:val="right"/>
            </w:pPr>
            <w:r>
              <w:t>31</w:t>
            </w:r>
          </w:p>
        </w:tc>
        <w:tc>
          <w:tcPr>
            <w:tcW w:w="2840" w:type="dxa"/>
          </w:tcPr>
          <w:p w14:paraId="43784364" w14:textId="77777777" w:rsidR="00526925" w:rsidRPr="002F53EF" w:rsidRDefault="00526925" w:rsidP="00BE3931">
            <w:r>
              <w:t xml:space="preserve">River Murray SA border to confluence Lake Alex. </w:t>
            </w:r>
          </w:p>
        </w:tc>
        <w:tc>
          <w:tcPr>
            <w:tcW w:w="1457" w:type="dxa"/>
          </w:tcPr>
          <w:p w14:paraId="77BE2B24" w14:textId="77777777" w:rsidR="00526925" w:rsidRPr="002F53EF" w:rsidRDefault="00526925" w:rsidP="00BE3931">
            <w:r>
              <w:t xml:space="preserve">1974–2007 </w:t>
            </w:r>
          </w:p>
        </w:tc>
        <w:tc>
          <w:tcPr>
            <w:tcW w:w="2654" w:type="dxa"/>
          </w:tcPr>
          <w:p w14:paraId="5589FFC9" w14:textId="77777777" w:rsidR="00526925" w:rsidRPr="002F53EF" w:rsidRDefault="00526925" w:rsidP="00BE3931">
            <w:r>
              <w:t>Ye &amp; Hammer 2009</w:t>
            </w:r>
          </w:p>
        </w:tc>
      </w:tr>
      <w:tr w:rsidR="00526925" w:rsidRPr="002F53EF" w14:paraId="77C606C1" w14:textId="77777777" w:rsidTr="00BE3931">
        <w:trPr>
          <w:trHeight w:hRule="exact" w:val="454"/>
        </w:trPr>
        <w:tc>
          <w:tcPr>
            <w:tcW w:w="969" w:type="dxa"/>
          </w:tcPr>
          <w:p w14:paraId="25951FD7" w14:textId="77777777" w:rsidR="00526925" w:rsidRDefault="00526925" w:rsidP="00BE3931">
            <w:pPr>
              <w:jc w:val="right"/>
            </w:pPr>
            <w:r>
              <w:t>10</w:t>
            </w:r>
          </w:p>
        </w:tc>
        <w:tc>
          <w:tcPr>
            <w:tcW w:w="1011" w:type="dxa"/>
          </w:tcPr>
          <w:p w14:paraId="64F32EBB" w14:textId="77777777" w:rsidR="00526925" w:rsidRDefault="00526925" w:rsidP="00BE3931">
            <w:pPr>
              <w:jc w:val="right"/>
            </w:pPr>
            <w:r>
              <w:t>4</w:t>
            </w:r>
          </w:p>
        </w:tc>
        <w:tc>
          <w:tcPr>
            <w:tcW w:w="987" w:type="dxa"/>
          </w:tcPr>
          <w:p w14:paraId="60549B8A" w14:textId="77777777" w:rsidR="00526925" w:rsidRDefault="00526925" w:rsidP="00BE3931">
            <w:pPr>
              <w:jc w:val="right"/>
            </w:pPr>
            <w:r>
              <w:t>40</w:t>
            </w:r>
          </w:p>
        </w:tc>
        <w:tc>
          <w:tcPr>
            <w:tcW w:w="2840" w:type="dxa"/>
          </w:tcPr>
          <w:p w14:paraId="28DFF4A5" w14:textId="77777777" w:rsidR="00526925" w:rsidRDefault="00526925" w:rsidP="00BE3931">
            <w:r>
              <w:t xml:space="preserve">Chowilla </w:t>
            </w:r>
          </w:p>
        </w:tc>
        <w:tc>
          <w:tcPr>
            <w:tcW w:w="1457" w:type="dxa"/>
          </w:tcPr>
          <w:p w14:paraId="32B92CEB" w14:textId="77777777" w:rsidR="00526925" w:rsidRDefault="00526925" w:rsidP="00BE3931">
            <w:r>
              <w:t>2021</w:t>
            </w:r>
          </w:p>
        </w:tc>
        <w:tc>
          <w:tcPr>
            <w:tcW w:w="2654" w:type="dxa"/>
          </w:tcPr>
          <w:p w14:paraId="04FCF816" w14:textId="77777777" w:rsidR="00526925" w:rsidRDefault="00526925" w:rsidP="00BE3931">
            <w:r>
              <w:t>Fredburg et al. 2022</w:t>
            </w:r>
          </w:p>
        </w:tc>
      </w:tr>
      <w:tr w:rsidR="00526925" w:rsidRPr="002F53EF" w14:paraId="6AE2548C" w14:textId="77777777" w:rsidTr="00BE3931">
        <w:trPr>
          <w:trHeight w:hRule="exact" w:val="397"/>
        </w:trPr>
        <w:tc>
          <w:tcPr>
            <w:tcW w:w="9918" w:type="dxa"/>
            <w:gridSpan w:val="6"/>
            <w:shd w:val="clear" w:color="auto" w:fill="FBE4D5" w:themeFill="accent2" w:themeFillTint="33"/>
          </w:tcPr>
          <w:p w14:paraId="02FE251C" w14:textId="77777777" w:rsidR="00526925" w:rsidRPr="00F9358B" w:rsidRDefault="00526925" w:rsidP="00BE3931">
            <w:pPr>
              <w:rPr>
                <w:b/>
                <w:bCs/>
              </w:rPr>
            </w:pPr>
            <w:r w:rsidRPr="00F9358B">
              <w:rPr>
                <w:b/>
                <w:bCs/>
              </w:rPr>
              <w:t>REPTILES</w:t>
            </w:r>
            <w:r>
              <w:rPr>
                <w:b/>
                <w:bCs/>
              </w:rPr>
              <w:t xml:space="preserve"> </w:t>
            </w:r>
          </w:p>
        </w:tc>
      </w:tr>
      <w:tr w:rsidR="00526925" w:rsidRPr="002F53EF" w14:paraId="4590185C" w14:textId="77777777" w:rsidTr="00BE3931">
        <w:trPr>
          <w:trHeight w:hRule="exact" w:val="397"/>
        </w:trPr>
        <w:tc>
          <w:tcPr>
            <w:tcW w:w="969" w:type="dxa"/>
          </w:tcPr>
          <w:p w14:paraId="07D2739B" w14:textId="77777777" w:rsidR="00526925" w:rsidRPr="002F53EF" w:rsidRDefault="00526925" w:rsidP="00BE3931">
            <w:pPr>
              <w:jc w:val="right"/>
            </w:pPr>
            <w:r>
              <w:t>37</w:t>
            </w:r>
          </w:p>
        </w:tc>
        <w:tc>
          <w:tcPr>
            <w:tcW w:w="1011" w:type="dxa"/>
          </w:tcPr>
          <w:p w14:paraId="2FA9A55A" w14:textId="77777777" w:rsidR="00526925" w:rsidRPr="002F53EF" w:rsidRDefault="00526925" w:rsidP="00BE3931">
            <w:pPr>
              <w:jc w:val="right"/>
            </w:pPr>
            <w:r w:rsidRPr="00A22941">
              <w:t>N/A</w:t>
            </w:r>
          </w:p>
        </w:tc>
        <w:tc>
          <w:tcPr>
            <w:tcW w:w="987" w:type="dxa"/>
          </w:tcPr>
          <w:p w14:paraId="1A392F56" w14:textId="77777777" w:rsidR="00526925" w:rsidRPr="002F53EF" w:rsidRDefault="00526925" w:rsidP="00BE3931">
            <w:pPr>
              <w:jc w:val="right"/>
            </w:pPr>
            <w:r>
              <w:t>-</w:t>
            </w:r>
          </w:p>
        </w:tc>
        <w:tc>
          <w:tcPr>
            <w:tcW w:w="2840" w:type="dxa"/>
          </w:tcPr>
          <w:p w14:paraId="1ED9AE37" w14:textId="77777777" w:rsidR="00526925" w:rsidRPr="002F53EF" w:rsidRDefault="00526925" w:rsidP="00BE3931">
            <w:r>
              <w:t>Murray Valley SA</w:t>
            </w:r>
          </w:p>
        </w:tc>
        <w:tc>
          <w:tcPr>
            <w:tcW w:w="1457" w:type="dxa"/>
          </w:tcPr>
          <w:p w14:paraId="1FFD41C2" w14:textId="77777777" w:rsidR="00526925" w:rsidRPr="002F53EF" w:rsidRDefault="00526925" w:rsidP="00BE3931">
            <w:r>
              <w:t>2002–04</w:t>
            </w:r>
          </w:p>
        </w:tc>
        <w:tc>
          <w:tcPr>
            <w:tcW w:w="2654" w:type="dxa"/>
          </w:tcPr>
          <w:p w14:paraId="51D077C8" w14:textId="77777777" w:rsidR="00526925" w:rsidRPr="002F53EF" w:rsidRDefault="00526925" w:rsidP="00BE3931">
            <w:r>
              <w:t>Stewart et al. 2010</w:t>
            </w:r>
          </w:p>
        </w:tc>
      </w:tr>
      <w:tr w:rsidR="00526925" w:rsidRPr="002F53EF" w14:paraId="1D4F4B9F" w14:textId="77777777" w:rsidTr="00BE3931">
        <w:trPr>
          <w:trHeight w:hRule="exact" w:val="397"/>
        </w:trPr>
        <w:tc>
          <w:tcPr>
            <w:tcW w:w="969" w:type="dxa"/>
          </w:tcPr>
          <w:p w14:paraId="4403600E" w14:textId="77777777" w:rsidR="00526925" w:rsidRPr="002F53EF" w:rsidRDefault="00526925" w:rsidP="00BE3931">
            <w:pPr>
              <w:jc w:val="right"/>
            </w:pPr>
            <w:r>
              <w:t>26</w:t>
            </w:r>
          </w:p>
        </w:tc>
        <w:tc>
          <w:tcPr>
            <w:tcW w:w="1011" w:type="dxa"/>
          </w:tcPr>
          <w:p w14:paraId="5088E2BC" w14:textId="77777777" w:rsidR="00526925" w:rsidRPr="002F53EF" w:rsidRDefault="00526925" w:rsidP="00BE3931">
            <w:pPr>
              <w:jc w:val="right"/>
            </w:pPr>
            <w:r w:rsidRPr="00A22941">
              <w:t>N/A</w:t>
            </w:r>
          </w:p>
        </w:tc>
        <w:tc>
          <w:tcPr>
            <w:tcW w:w="987" w:type="dxa"/>
          </w:tcPr>
          <w:p w14:paraId="2E6F247C" w14:textId="77777777" w:rsidR="00526925" w:rsidRPr="002F53EF" w:rsidRDefault="00526925" w:rsidP="00BE3931">
            <w:pPr>
              <w:jc w:val="right"/>
            </w:pPr>
            <w:r>
              <w:t>-</w:t>
            </w:r>
          </w:p>
        </w:tc>
        <w:tc>
          <w:tcPr>
            <w:tcW w:w="2840" w:type="dxa"/>
          </w:tcPr>
          <w:p w14:paraId="78D768E2" w14:textId="77777777" w:rsidR="00526925" w:rsidRPr="002F53EF" w:rsidRDefault="00526925" w:rsidP="00BE3931">
            <w:r>
              <w:t>Murray Mouth Reserves</w:t>
            </w:r>
          </w:p>
        </w:tc>
        <w:tc>
          <w:tcPr>
            <w:tcW w:w="1457" w:type="dxa"/>
          </w:tcPr>
          <w:p w14:paraId="7ADF9D02" w14:textId="77777777" w:rsidR="00526925" w:rsidRPr="002F53EF" w:rsidRDefault="00526925" w:rsidP="00BE3931">
            <w:r>
              <w:t>2002</w:t>
            </w:r>
          </w:p>
        </w:tc>
        <w:tc>
          <w:tcPr>
            <w:tcW w:w="2654" w:type="dxa"/>
          </w:tcPr>
          <w:p w14:paraId="6F97601E" w14:textId="77777777" w:rsidR="00526925" w:rsidRPr="002F53EF" w:rsidRDefault="00526925" w:rsidP="00BE3931">
            <w:r>
              <w:t>Brandle 2002</w:t>
            </w:r>
          </w:p>
        </w:tc>
      </w:tr>
      <w:tr w:rsidR="00526925" w:rsidRPr="002F53EF" w14:paraId="35F520B0" w14:textId="77777777" w:rsidTr="00BE3931">
        <w:trPr>
          <w:trHeight w:hRule="exact" w:val="397"/>
        </w:trPr>
        <w:tc>
          <w:tcPr>
            <w:tcW w:w="969" w:type="dxa"/>
          </w:tcPr>
          <w:p w14:paraId="0614DBD2" w14:textId="77777777" w:rsidR="00526925" w:rsidRPr="002F53EF" w:rsidRDefault="00526925" w:rsidP="00BE3931">
            <w:pPr>
              <w:jc w:val="right"/>
            </w:pPr>
            <w:r>
              <w:t>27</w:t>
            </w:r>
          </w:p>
        </w:tc>
        <w:tc>
          <w:tcPr>
            <w:tcW w:w="1011" w:type="dxa"/>
          </w:tcPr>
          <w:p w14:paraId="6941BE95" w14:textId="77777777" w:rsidR="00526925" w:rsidRPr="002F53EF" w:rsidRDefault="00526925" w:rsidP="00BE3931">
            <w:pPr>
              <w:jc w:val="right"/>
            </w:pPr>
            <w:r w:rsidRPr="00A22941">
              <w:t>N/A</w:t>
            </w:r>
          </w:p>
        </w:tc>
        <w:tc>
          <w:tcPr>
            <w:tcW w:w="987" w:type="dxa"/>
          </w:tcPr>
          <w:p w14:paraId="1A395C48" w14:textId="77777777" w:rsidR="00526925" w:rsidRPr="002F53EF" w:rsidRDefault="00526925" w:rsidP="00BE3931">
            <w:pPr>
              <w:jc w:val="right"/>
            </w:pPr>
            <w:r>
              <w:t>-</w:t>
            </w:r>
          </w:p>
        </w:tc>
        <w:tc>
          <w:tcPr>
            <w:tcW w:w="2840" w:type="dxa"/>
          </w:tcPr>
          <w:p w14:paraId="2595FD31" w14:textId="77777777" w:rsidR="00526925" w:rsidRPr="002F53EF" w:rsidRDefault="00526925" w:rsidP="00BE3931">
            <w:r>
              <w:t>Riverland Ramsar Site</w:t>
            </w:r>
          </w:p>
        </w:tc>
        <w:tc>
          <w:tcPr>
            <w:tcW w:w="1457" w:type="dxa"/>
          </w:tcPr>
          <w:p w14:paraId="061EFBC6" w14:textId="77777777" w:rsidR="00526925" w:rsidRPr="002F53EF" w:rsidRDefault="00526925" w:rsidP="00BE3931">
            <w:r>
              <w:t>2003</w:t>
            </w:r>
          </w:p>
        </w:tc>
        <w:tc>
          <w:tcPr>
            <w:tcW w:w="2654" w:type="dxa"/>
          </w:tcPr>
          <w:p w14:paraId="6DAD8C88" w14:textId="77777777" w:rsidR="00526925" w:rsidRPr="002F53EF" w:rsidRDefault="00526925" w:rsidP="00BE3931">
            <w:r>
              <w:t>Newell et al. 2009</w:t>
            </w:r>
          </w:p>
        </w:tc>
      </w:tr>
      <w:tr w:rsidR="00526925" w:rsidRPr="002F53EF" w14:paraId="7F194E6E" w14:textId="77777777" w:rsidTr="00BE3931">
        <w:trPr>
          <w:trHeight w:hRule="exact" w:val="397"/>
        </w:trPr>
        <w:tc>
          <w:tcPr>
            <w:tcW w:w="9918" w:type="dxa"/>
            <w:gridSpan w:val="6"/>
            <w:shd w:val="clear" w:color="auto" w:fill="FFF2CC" w:themeFill="accent4" w:themeFillTint="33"/>
          </w:tcPr>
          <w:p w14:paraId="17F3CD57" w14:textId="77777777" w:rsidR="00526925" w:rsidRPr="002F53EF" w:rsidRDefault="00526925" w:rsidP="00BE3931">
            <w:pPr>
              <w:rPr>
                <w:b/>
                <w:bCs/>
              </w:rPr>
            </w:pPr>
            <w:r w:rsidRPr="002F53EF">
              <w:rPr>
                <w:b/>
                <w:bCs/>
              </w:rPr>
              <w:t>BIRDS</w:t>
            </w:r>
            <w:r>
              <w:rPr>
                <w:b/>
                <w:bCs/>
              </w:rPr>
              <w:t xml:space="preserve"> </w:t>
            </w:r>
          </w:p>
        </w:tc>
      </w:tr>
      <w:tr w:rsidR="00526925" w:rsidRPr="002F53EF" w14:paraId="10178374" w14:textId="77777777" w:rsidTr="00BE3931">
        <w:trPr>
          <w:trHeight w:hRule="exact" w:val="397"/>
        </w:trPr>
        <w:tc>
          <w:tcPr>
            <w:tcW w:w="969" w:type="dxa"/>
          </w:tcPr>
          <w:p w14:paraId="08E2CB46" w14:textId="77777777" w:rsidR="00526925" w:rsidRPr="002F53EF" w:rsidRDefault="00526925" w:rsidP="00BE3931">
            <w:pPr>
              <w:jc w:val="right"/>
            </w:pPr>
            <w:r>
              <w:t>174</w:t>
            </w:r>
          </w:p>
        </w:tc>
        <w:tc>
          <w:tcPr>
            <w:tcW w:w="1011" w:type="dxa"/>
          </w:tcPr>
          <w:p w14:paraId="7F9CF2E6" w14:textId="77777777" w:rsidR="00526925" w:rsidRPr="002F53EF" w:rsidRDefault="00526925" w:rsidP="00BE3931">
            <w:pPr>
              <w:jc w:val="right"/>
            </w:pPr>
            <w:r>
              <w:t>8</w:t>
            </w:r>
          </w:p>
        </w:tc>
        <w:tc>
          <w:tcPr>
            <w:tcW w:w="987" w:type="dxa"/>
          </w:tcPr>
          <w:p w14:paraId="431F63C8" w14:textId="77777777" w:rsidR="00526925" w:rsidRPr="002F53EF" w:rsidRDefault="00526925" w:rsidP="00BE3931">
            <w:pPr>
              <w:jc w:val="right"/>
            </w:pPr>
            <w:r>
              <w:t>5</w:t>
            </w:r>
          </w:p>
        </w:tc>
        <w:tc>
          <w:tcPr>
            <w:tcW w:w="2840" w:type="dxa"/>
          </w:tcPr>
          <w:p w14:paraId="2643BDCF" w14:textId="77777777" w:rsidR="00526925" w:rsidRPr="002F53EF" w:rsidRDefault="00526925" w:rsidP="00BE3931">
            <w:r>
              <w:t>Murray Valley SA</w:t>
            </w:r>
          </w:p>
        </w:tc>
        <w:tc>
          <w:tcPr>
            <w:tcW w:w="1457" w:type="dxa"/>
          </w:tcPr>
          <w:p w14:paraId="0FD572FD" w14:textId="77777777" w:rsidR="00526925" w:rsidRPr="002F53EF" w:rsidRDefault="00526925" w:rsidP="00BE3931">
            <w:r>
              <w:t>2002–04</w:t>
            </w:r>
          </w:p>
        </w:tc>
        <w:tc>
          <w:tcPr>
            <w:tcW w:w="2654" w:type="dxa"/>
          </w:tcPr>
          <w:p w14:paraId="0AA8FDA6" w14:textId="77777777" w:rsidR="00526925" w:rsidRPr="002F53EF" w:rsidRDefault="00526925" w:rsidP="00BE3931">
            <w:r>
              <w:t>Stewart et al. 2010</w:t>
            </w:r>
          </w:p>
        </w:tc>
      </w:tr>
      <w:tr w:rsidR="00526925" w:rsidRPr="002F53EF" w14:paraId="7D13EEB4" w14:textId="77777777" w:rsidTr="00BE3931">
        <w:trPr>
          <w:trHeight w:hRule="exact" w:val="397"/>
        </w:trPr>
        <w:tc>
          <w:tcPr>
            <w:tcW w:w="969" w:type="dxa"/>
          </w:tcPr>
          <w:p w14:paraId="711AAAD1" w14:textId="77777777" w:rsidR="00526925" w:rsidRPr="008C7578" w:rsidRDefault="00526925" w:rsidP="00BE3931">
            <w:pPr>
              <w:jc w:val="right"/>
            </w:pPr>
            <w:r w:rsidRPr="008C7578">
              <w:t>234</w:t>
            </w:r>
          </w:p>
        </w:tc>
        <w:tc>
          <w:tcPr>
            <w:tcW w:w="1011" w:type="dxa"/>
          </w:tcPr>
          <w:p w14:paraId="2717FE2D" w14:textId="77777777" w:rsidR="00526925" w:rsidRPr="008C7578" w:rsidRDefault="00526925" w:rsidP="00BE3931">
            <w:pPr>
              <w:jc w:val="right"/>
            </w:pPr>
            <w:r w:rsidRPr="008C7578">
              <w:t>9</w:t>
            </w:r>
          </w:p>
        </w:tc>
        <w:tc>
          <w:tcPr>
            <w:tcW w:w="987" w:type="dxa"/>
          </w:tcPr>
          <w:p w14:paraId="5E7ECDB3" w14:textId="77777777" w:rsidR="00526925" w:rsidRPr="002F53EF" w:rsidRDefault="00526925" w:rsidP="00BE3931">
            <w:pPr>
              <w:jc w:val="right"/>
            </w:pPr>
            <w:r>
              <w:t>4</w:t>
            </w:r>
          </w:p>
        </w:tc>
        <w:tc>
          <w:tcPr>
            <w:tcW w:w="2840" w:type="dxa"/>
          </w:tcPr>
          <w:p w14:paraId="41A64590" w14:textId="77777777" w:rsidR="00526925" w:rsidRPr="002F53EF" w:rsidRDefault="00526925" w:rsidP="00BE3931">
            <w:r>
              <w:t>Murray Mouth Reserves</w:t>
            </w:r>
          </w:p>
        </w:tc>
        <w:tc>
          <w:tcPr>
            <w:tcW w:w="1457" w:type="dxa"/>
          </w:tcPr>
          <w:p w14:paraId="22C7709E" w14:textId="77777777" w:rsidR="00526925" w:rsidRPr="002F53EF" w:rsidRDefault="00526925" w:rsidP="00BE3931">
            <w:r>
              <w:t xml:space="preserve">2002 </w:t>
            </w:r>
          </w:p>
        </w:tc>
        <w:tc>
          <w:tcPr>
            <w:tcW w:w="2654" w:type="dxa"/>
          </w:tcPr>
          <w:p w14:paraId="583825EE" w14:textId="77777777" w:rsidR="00526925" w:rsidRPr="002F53EF" w:rsidRDefault="00526925" w:rsidP="00BE3931">
            <w:r>
              <w:t>Brandle 2002</w:t>
            </w:r>
          </w:p>
        </w:tc>
      </w:tr>
      <w:tr w:rsidR="00526925" w:rsidRPr="002F53EF" w14:paraId="7CCB1352" w14:textId="77777777" w:rsidTr="00BE3931">
        <w:trPr>
          <w:trHeight w:hRule="exact" w:val="397"/>
        </w:trPr>
        <w:tc>
          <w:tcPr>
            <w:tcW w:w="969" w:type="dxa"/>
          </w:tcPr>
          <w:p w14:paraId="00B96808" w14:textId="77777777" w:rsidR="00526925" w:rsidRPr="002F53EF" w:rsidRDefault="00526925" w:rsidP="00BE3931">
            <w:pPr>
              <w:jc w:val="right"/>
            </w:pPr>
            <w:r>
              <w:t>179</w:t>
            </w:r>
          </w:p>
        </w:tc>
        <w:tc>
          <w:tcPr>
            <w:tcW w:w="1011" w:type="dxa"/>
          </w:tcPr>
          <w:p w14:paraId="63D8991A" w14:textId="77777777" w:rsidR="00526925" w:rsidRPr="002F53EF" w:rsidRDefault="00526925" w:rsidP="00BE3931">
            <w:pPr>
              <w:jc w:val="right"/>
            </w:pPr>
            <w:r w:rsidRPr="00B1796E">
              <w:t>N/A</w:t>
            </w:r>
          </w:p>
        </w:tc>
        <w:tc>
          <w:tcPr>
            <w:tcW w:w="987" w:type="dxa"/>
          </w:tcPr>
          <w:p w14:paraId="07765C02" w14:textId="77777777" w:rsidR="00526925" w:rsidRPr="002F53EF" w:rsidRDefault="00526925" w:rsidP="00BE3931">
            <w:pPr>
              <w:jc w:val="right"/>
            </w:pPr>
            <w:r>
              <w:t>-</w:t>
            </w:r>
          </w:p>
        </w:tc>
        <w:tc>
          <w:tcPr>
            <w:tcW w:w="2840" w:type="dxa"/>
          </w:tcPr>
          <w:p w14:paraId="62B46455" w14:textId="77777777" w:rsidR="00526925" w:rsidRPr="002F53EF" w:rsidRDefault="00526925" w:rsidP="00BE3931">
            <w:r>
              <w:t>Riverland Ramsar Site</w:t>
            </w:r>
          </w:p>
        </w:tc>
        <w:tc>
          <w:tcPr>
            <w:tcW w:w="1457" w:type="dxa"/>
          </w:tcPr>
          <w:p w14:paraId="3D7A0624" w14:textId="77777777" w:rsidR="00526925" w:rsidRPr="002F53EF" w:rsidRDefault="00526925" w:rsidP="00BE3931">
            <w:r>
              <w:t>2003</w:t>
            </w:r>
          </w:p>
        </w:tc>
        <w:tc>
          <w:tcPr>
            <w:tcW w:w="2654" w:type="dxa"/>
          </w:tcPr>
          <w:p w14:paraId="0D4A7730" w14:textId="77777777" w:rsidR="00526925" w:rsidRPr="002F53EF" w:rsidRDefault="00526925" w:rsidP="00BE3931">
            <w:r>
              <w:t>Newell et al. 2009</w:t>
            </w:r>
          </w:p>
        </w:tc>
      </w:tr>
      <w:tr w:rsidR="00526925" w:rsidRPr="002F53EF" w14:paraId="4B40E01E" w14:textId="77777777" w:rsidTr="00BE3931">
        <w:trPr>
          <w:trHeight w:hRule="exact" w:val="397"/>
        </w:trPr>
        <w:tc>
          <w:tcPr>
            <w:tcW w:w="9918" w:type="dxa"/>
            <w:gridSpan w:val="6"/>
            <w:shd w:val="clear" w:color="auto" w:fill="F7CAAC" w:themeFill="accent2" w:themeFillTint="66"/>
          </w:tcPr>
          <w:p w14:paraId="15B13B69" w14:textId="77777777" w:rsidR="00526925" w:rsidRPr="002F53EF" w:rsidRDefault="00526925" w:rsidP="00BE3931">
            <w:pPr>
              <w:rPr>
                <w:b/>
                <w:bCs/>
              </w:rPr>
            </w:pPr>
            <w:r w:rsidRPr="002F53EF">
              <w:rPr>
                <w:b/>
                <w:bCs/>
              </w:rPr>
              <w:t>MAMMALS</w:t>
            </w:r>
          </w:p>
        </w:tc>
      </w:tr>
      <w:tr w:rsidR="00526925" w:rsidRPr="002F53EF" w14:paraId="2EAF03EA" w14:textId="77777777" w:rsidTr="00BE3931">
        <w:trPr>
          <w:trHeight w:hRule="exact" w:val="397"/>
        </w:trPr>
        <w:tc>
          <w:tcPr>
            <w:tcW w:w="969" w:type="dxa"/>
          </w:tcPr>
          <w:p w14:paraId="12E2C8DA" w14:textId="77777777" w:rsidR="00526925" w:rsidRPr="002F53EF" w:rsidRDefault="00526925" w:rsidP="00BE3931">
            <w:pPr>
              <w:jc w:val="right"/>
            </w:pPr>
            <w:r>
              <w:t>36</w:t>
            </w:r>
          </w:p>
        </w:tc>
        <w:tc>
          <w:tcPr>
            <w:tcW w:w="1011" w:type="dxa"/>
          </w:tcPr>
          <w:p w14:paraId="21400087" w14:textId="77777777" w:rsidR="00526925" w:rsidRPr="002F53EF" w:rsidRDefault="00526925" w:rsidP="00BE3931">
            <w:pPr>
              <w:jc w:val="right"/>
            </w:pPr>
            <w:r>
              <w:t>12*</w:t>
            </w:r>
          </w:p>
        </w:tc>
        <w:tc>
          <w:tcPr>
            <w:tcW w:w="987" w:type="dxa"/>
          </w:tcPr>
          <w:p w14:paraId="2F6110C3" w14:textId="77777777" w:rsidR="00526925" w:rsidRPr="002F53EF" w:rsidRDefault="00526925" w:rsidP="00BE3931">
            <w:pPr>
              <w:jc w:val="right"/>
            </w:pPr>
            <w:r>
              <w:t>33</w:t>
            </w:r>
          </w:p>
        </w:tc>
        <w:tc>
          <w:tcPr>
            <w:tcW w:w="2840" w:type="dxa"/>
          </w:tcPr>
          <w:p w14:paraId="39CCDAE3" w14:textId="77777777" w:rsidR="00526925" w:rsidRPr="002F53EF" w:rsidRDefault="00526925" w:rsidP="00BE3931">
            <w:r>
              <w:t>Murray Valley SA</w:t>
            </w:r>
          </w:p>
        </w:tc>
        <w:tc>
          <w:tcPr>
            <w:tcW w:w="1457" w:type="dxa"/>
          </w:tcPr>
          <w:p w14:paraId="02F60C56" w14:textId="77777777" w:rsidR="00526925" w:rsidRPr="002F53EF" w:rsidRDefault="00526925" w:rsidP="00BE3931">
            <w:r>
              <w:t>2002–04</w:t>
            </w:r>
          </w:p>
        </w:tc>
        <w:tc>
          <w:tcPr>
            <w:tcW w:w="2654" w:type="dxa"/>
          </w:tcPr>
          <w:p w14:paraId="3443F8DD" w14:textId="77777777" w:rsidR="00526925" w:rsidRPr="002F53EF" w:rsidRDefault="00526925" w:rsidP="00BE3931">
            <w:r>
              <w:t>Stewart et al. 2010</w:t>
            </w:r>
          </w:p>
        </w:tc>
      </w:tr>
      <w:tr w:rsidR="00526925" w:rsidRPr="002F53EF" w14:paraId="2176FEBF" w14:textId="77777777" w:rsidTr="00BE3931">
        <w:trPr>
          <w:trHeight w:hRule="exact" w:val="397"/>
        </w:trPr>
        <w:tc>
          <w:tcPr>
            <w:tcW w:w="969" w:type="dxa"/>
          </w:tcPr>
          <w:p w14:paraId="0B35F962" w14:textId="77777777" w:rsidR="00526925" w:rsidRPr="002F53EF" w:rsidRDefault="00526925" w:rsidP="00BE3931">
            <w:pPr>
              <w:jc w:val="right"/>
            </w:pPr>
            <w:r>
              <w:t>12</w:t>
            </w:r>
          </w:p>
        </w:tc>
        <w:tc>
          <w:tcPr>
            <w:tcW w:w="1011" w:type="dxa"/>
          </w:tcPr>
          <w:p w14:paraId="30ACE21E" w14:textId="77777777" w:rsidR="00526925" w:rsidRPr="002F53EF" w:rsidRDefault="00526925" w:rsidP="00BE3931">
            <w:pPr>
              <w:jc w:val="right"/>
            </w:pPr>
            <w:r>
              <w:t>2</w:t>
            </w:r>
          </w:p>
        </w:tc>
        <w:tc>
          <w:tcPr>
            <w:tcW w:w="987" w:type="dxa"/>
          </w:tcPr>
          <w:p w14:paraId="736B779B" w14:textId="77777777" w:rsidR="00526925" w:rsidRPr="002F53EF" w:rsidRDefault="00526925" w:rsidP="00BE3931">
            <w:pPr>
              <w:jc w:val="right"/>
            </w:pPr>
            <w:r>
              <w:t>16</w:t>
            </w:r>
          </w:p>
        </w:tc>
        <w:tc>
          <w:tcPr>
            <w:tcW w:w="2840" w:type="dxa"/>
          </w:tcPr>
          <w:p w14:paraId="7CD865EC" w14:textId="77777777" w:rsidR="00526925" w:rsidRPr="002F53EF" w:rsidRDefault="00526925" w:rsidP="00BE3931">
            <w:r>
              <w:t>Murray Mouth Reserves</w:t>
            </w:r>
          </w:p>
        </w:tc>
        <w:tc>
          <w:tcPr>
            <w:tcW w:w="1457" w:type="dxa"/>
          </w:tcPr>
          <w:p w14:paraId="14CB0F3D" w14:textId="77777777" w:rsidR="00526925" w:rsidRPr="002F53EF" w:rsidRDefault="00526925" w:rsidP="00BE3931">
            <w:r>
              <w:t>2002</w:t>
            </w:r>
          </w:p>
        </w:tc>
        <w:tc>
          <w:tcPr>
            <w:tcW w:w="2654" w:type="dxa"/>
          </w:tcPr>
          <w:p w14:paraId="4D145E6B" w14:textId="77777777" w:rsidR="00526925" w:rsidRPr="002F53EF" w:rsidRDefault="00526925" w:rsidP="00BE3931">
            <w:r>
              <w:t>Brandle 2002</w:t>
            </w:r>
          </w:p>
        </w:tc>
      </w:tr>
      <w:tr w:rsidR="00526925" w:rsidRPr="002F53EF" w14:paraId="32CC0B58" w14:textId="77777777" w:rsidTr="00BE3931">
        <w:trPr>
          <w:trHeight w:hRule="exact" w:val="397"/>
        </w:trPr>
        <w:tc>
          <w:tcPr>
            <w:tcW w:w="969" w:type="dxa"/>
          </w:tcPr>
          <w:p w14:paraId="6D17B0FD" w14:textId="77777777" w:rsidR="00526925" w:rsidRPr="002F53EF" w:rsidRDefault="00526925" w:rsidP="00BE3931">
            <w:pPr>
              <w:jc w:val="right"/>
            </w:pPr>
            <w:r>
              <w:t>18</w:t>
            </w:r>
          </w:p>
        </w:tc>
        <w:tc>
          <w:tcPr>
            <w:tcW w:w="1011" w:type="dxa"/>
          </w:tcPr>
          <w:p w14:paraId="40EDBE50" w14:textId="77777777" w:rsidR="00526925" w:rsidRPr="002F53EF" w:rsidRDefault="00526925" w:rsidP="00BE3931">
            <w:pPr>
              <w:jc w:val="right"/>
            </w:pPr>
            <w:r>
              <w:t>7</w:t>
            </w:r>
          </w:p>
        </w:tc>
        <w:tc>
          <w:tcPr>
            <w:tcW w:w="987" w:type="dxa"/>
          </w:tcPr>
          <w:p w14:paraId="7BAAEC2F" w14:textId="77777777" w:rsidR="00526925" w:rsidRPr="002F53EF" w:rsidRDefault="00526925" w:rsidP="00BE3931">
            <w:pPr>
              <w:jc w:val="right"/>
            </w:pPr>
            <w:r>
              <w:t>38</w:t>
            </w:r>
          </w:p>
        </w:tc>
        <w:tc>
          <w:tcPr>
            <w:tcW w:w="2840" w:type="dxa"/>
          </w:tcPr>
          <w:p w14:paraId="6733C135" w14:textId="77777777" w:rsidR="00526925" w:rsidRPr="002F53EF" w:rsidRDefault="00526925" w:rsidP="00BE3931">
            <w:r>
              <w:t>Riverland Ramsar Site</w:t>
            </w:r>
          </w:p>
        </w:tc>
        <w:tc>
          <w:tcPr>
            <w:tcW w:w="1457" w:type="dxa"/>
          </w:tcPr>
          <w:p w14:paraId="4787EB17" w14:textId="77777777" w:rsidR="00526925" w:rsidRPr="002F53EF" w:rsidRDefault="00526925" w:rsidP="00BE3931">
            <w:r>
              <w:t>2003</w:t>
            </w:r>
          </w:p>
        </w:tc>
        <w:tc>
          <w:tcPr>
            <w:tcW w:w="2654" w:type="dxa"/>
          </w:tcPr>
          <w:p w14:paraId="4452AD38" w14:textId="77777777" w:rsidR="00526925" w:rsidRPr="002F53EF" w:rsidRDefault="00526925" w:rsidP="00BE3931">
            <w:r>
              <w:t>Newell et al. 2009</w:t>
            </w:r>
          </w:p>
        </w:tc>
      </w:tr>
    </w:tbl>
    <w:p w14:paraId="605DED9C" w14:textId="25DEDC61" w:rsidR="003E1356" w:rsidRDefault="003E1356" w:rsidP="00BD0F18">
      <w:pPr>
        <w:pStyle w:val="twentypointnormal"/>
        <w:spacing w:after="200"/>
        <w:ind w:left="0"/>
        <w:contextualSpacing/>
        <w:rPr>
          <w:rFonts w:ascii="Cambria" w:hAnsi="Cambria"/>
          <w:b/>
          <w:bCs/>
          <w:sz w:val="22"/>
          <w:szCs w:val="22"/>
        </w:rPr>
      </w:pPr>
    </w:p>
    <w:p w14:paraId="518E9EAA" w14:textId="77777777" w:rsidR="000579F9" w:rsidRPr="003E1356" w:rsidRDefault="000579F9" w:rsidP="00BD0F18">
      <w:pPr>
        <w:pStyle w:val="twentypointnormal"/>
        <w:spacing w:after="200"/>
        <w:ind w:left="0"/>
        <w:contextualSpacing/>
        <w:rPr>
          <w:rFonts w:ascii="Cambria" w:hAnsi="Cambria"/>
          <w:b/>
          <w:bCs/>
          <w:sz w:val="22"/>
          <w:szCs w:val="22"/>
        </w:rPr>
      </w:pPr>
    </w:p>
    <w:p w14:paraId="42B57572" w14:textId="77777777" w:rsidR="00B12006" w:rsidRDefault="00B12006">
      <w:pPr>
        <w:spacing w:after="160" w:line="259" w:lineRule="auto"/>
        <w:rPr>
          <w:rFonts w:asciiTheme="minorHAnsi" w:eastAsiaTheme="majorEastAsia" w:hAnsiTheme="minorHAnsi" w:cs="Arial"/>
          <w:b/>
          <w:i/>
          <w:iCs/>
          <w:smallCaps/>
          <w:szCs w:val="24"/>
          <w:lang w:val="en-US"/>
        </w:rPr>
      </w:pPr>
      <w:r>
        <w:br w:type="page"/>
      </w:r>
    </w:p>
    <w:p w14:paraId="70152C04" w14:textId="25BF9B4C" w:rsidR="00D22F07" w:rsidRPr="00720168" w:rsidRDefault="00D22F07" w:rsidP="006E2204">
      <w:pPr>
        <w:pStyle w:val="Heading4"/>
      </w:pPr>
      <w:r w:rsidRPr="00720168">
        <w:lastRenderedPageBreak/>
        <w:t>2a) Decline in integrity from altered hydrological regime</w:t>
      </w:r>
    </w:p>
    <w:p w14:paraId="65DD4E55" w14:textId="30986CC8" w:rsidR="00D22F07" w:rsidRPr="009568A7" w:rsidRDefault="00D22F07" w:rsidP="00A2521C">
      <w:pPr>
        <w:pStyle w:val="Heading5"/>
      </w:pPr>
      <w:r w:rsidRPr="009568A7">
        <w:t>Altered flooding regime</w:t>
      </w:r>
      <w:r w:rsidR="00BB31EA" w:rsidRPr="009568A7">
        <w:t xml:space="preserve"> </w:t>
      </w:r>
      <w:r w:rsidR="0098551D" w:rsidRPr="009568A7">
        <w:t>–</w:t>
      </w:r>
      <w:r w:rsidR="00BB31EA" w:rsidRPr="009568A7">
        <w:t xml:space="preserve"> </w:t>
      </w:r>
      <w:r w:rsidR="0098551D" w:rsidRPr="009568A7">
        <w:t>loss of medium floods and flooding variability</w:t>
      </w:r>
    </w:p>
    <w:p w14:paraId="76130D15" w14:textId="79DAA85F" w:rsidR="00D22F07" w:rsidRDefault="00853E0B" w:rsidP="00D22F07">
      <w:r>
        <w:t xml:space="preserve">The range of flow conditions experienced by the ecological community is </w:t>
      </w:r>
      <w:r w:rsidR="006978E8">
        <w:t xml:space="preserve">at </w:t>
      </w:r>
      <w:r w:rsidR="006978E8" w:rsidRPr="006978E8">
        <w:rPr>
          <w:u w:val="single"/>
        </w:rPr>
        <w:t>Table 39</w:t>
      </w:r>
      <w:r w:rsidR="006978E8">
        <w:t xml:space="preserve">. </w:t>
      </w:r>
      <w:r w:rsidR="00D22F07">
        <w:t xml:space="preserve">Flow regimes </w:t>
      </w:r>
      <w:r w:rsidR="00D22F07" w:rsidRPr="005B7AA3">
        <w:t xml:space="preserve">have been </w:t>
      </w:r>
      <w:r w:rsidR="00D22F07">
        <w:t xml:space="preserve">progressively altered by diversions, regulation </w:t>
      </w:r>
      <w:r w:rsidR="00D22F07" w:rsidRPr="005B7AA3">
        <w:t>and</w:t>
      </w:r>
      <w:r w:rsidR="00D22F07">
        <w:t xml:space="preserve"> associated infrastructure,</w:t>
      </w:r>
      <w:r w:rsidR="00D22F07" w:rsidRPr="005B7AA3">
        <w:t xml:space="preserve"> </w:t>
      </w:r>
      <w:r w:rsidR="00D22F07">
        <w:t xml:space="preserve">both within the region of the ecological community </w:t>
      </w:r>
      <w:r w:rsidR="00D22F07" w:rsidRPr="005B7AA3">
        <w:t xml:space="preserve">(i.e. below the Murray-Darling confluence) </w:t>
      </w:r>
      <w:r w:rsidR="00D22F07">
        <w:t xml:space="preserve">and upstream </w:t>
      </w:r>
      <w:r w:rsidR="00D22F07" w:rsidRPr="005B7AA3">
        <w:t>(</w:t>
      </w:r>
      <w:r w:rsidR="00D22F07">
        <w:t xml:space="preserve">Walker et al., 1978; </w:t>
      </w:r>
      <w:r w:rsidR="00D22F07" w:rsidRPr="005B7AA3">
        <w:t xml:space="preserve">Walker, 2006; Walker et al, 1995). </w:t>
      </w:r>
      <w:r w:rsidR="00D22F07">
        <w:t>In particular, the main channel of the ecological community contains a series of 10 weirs (built 1922–1935), with five barrages (completed 1940) at the Murray Mouth, as well as numerous levees and offstream regulators. The lower Murray is, in effect</w:t>
      </w:r>
      <w:r w:rsidR="00FB5436">
        <w:t>,</w:t>
      </w:r>
      <w:r w:rsidR="00D22F07">
        <w:t xml:space="preserve"> a cascading series of pools that are maintained near bankfull capacity except during large floods (Walker, 2006). Regulated flows are much reduced compared with unregulated conditions (Walker and Thoms, 1993; Maheshwari et al., 1995; CSIRO, 2008). The median annual flow to the sea is about 27% of what it would have been under natural conditions (MDBC, 2006a). Also, modelling has determined that annual stream flow at the Murray Mouth is reduced by 61% (CSIRO, 2008).  Importantly there is an increasing trend in water extraction from the River Murray and of groundwater (e.g. Eastern Mount Lofty Ranges). </w:t>
      </w:r>
    </w:p>
    <w:p w14:paraId="32137DD0" w14:textId="2A0E3F64" w:rsidR="00DA352E" w:rsidRPr="00C85D4B" w:rsidRDefault="00B16CC5" w:rsidP="00B16CC5">
      <w:pPr>
        <w:pStyle w:val="Caption"/>
        <w:rPr>
          <w:b w:val="0"/>
          <w:bCs/>
          <w:sz w:val="21"/>
          <w:szCs w:val="21"/>
          <w:lang w:val="en-US"/>
        </w:rPr>
      </w:pPr>
      <w:r>
        <w:t xml:space="preserve">Table </w:t>
      </w:r>
      <w:r>
        <w:fldChar w:fldCharType="begin"/>
      </w:r>
      <w:r>
        <w:instrText xml:space="preserve"> SEQ Table \* ARABIC </w:instrText>
      </w:r>
      <w:r>
        <w:fldChar w:fldCharType="separate"/>
      </w:r>
      <w:r w:rsidR="006D35C5">
        <w:rPr>
          <w:noProof/>
        </w:rPr>
        <w:t>39</w:t>
      </w:r>
      <w:r>
        <w:fldChar w:fldCharType="end"/>
      </w:r>
      <w:r w:rsidR="00DA352E">
        <w:rPr>
          <w:bCs/>
          <w:lang w:val="en-US"/>
        </w:rPr>
        <w:t xml:space="preserve">: </w:t>
      </w:r>
      <w:r w:rsidR="00DA352E" w:rsidRPr="00C85D4B">
        <w:rPr>
          <w:bCs/>
          <w:sz w:val="21"/>
          <w:szCs w:val="21"/>
          <w:lang w:val="en-US"/>
        </w:rPr>
        <w:t xml:space="preserve">Components of Flow Regime under Basin Plan and under regulated conditions in the Lower Murray. Note, </w:t>
      </w:r>
      <w:r w:rsidR="00DA352E" w:rsidRPr="00C85D4B">
        <w:rPr>
          <w:bCs/>
          <w:sz w:val="21"/>
          <w:szCs w:val="21"/>
        </w:rPr>
        <w:t>the Lower Murray does not experience cease-to-flow conditions, and as a result of the stabilisation of water levels, the delivery of managed entitlement flows represent the base flows</w:t>
      </w:r>
      <w:r w:rsidR="00DA352E" w:rsidRPr="00C85D4B">
        <w:rPr>
          <w:bCs/>
          <w:sz w:val="21"/>
          <w:szCs w:val="21"/>
          <w:lang w:val="en-US"/>
        </w:rPr>
        <w:t xml:space="preserve"> (Wallace et al. 2014).</w:t>
      </w:r>
    </w:p>
    <w:tbl>
      <w:tblPr>
        <w:tblStyle w:val="TableGrid"/>
        <w:tblW w:w="5000" w:type="pct"/>
        <w:tblLook w:val="04A0" w:firstRow="1" w:lastRow="0" w:firstColumn="1" w:lastColumn="0" w:noHBand="0" w:noVBand="1"/>
      </w:tblPr>
      <w:tblGrid>
        <w:gridCol w:w="553"/>
        <w:gridCol w:w="3289"/>
        <w:gridCol w:w="3276"/>
        <w:gridCol w:w="1942"/>
      </w:tblGrid>
      <w:tr w:rsidR="00150CC3" w14:paraId="74C437F8" w14:textId="77777777" w:rsidTr="00C01E26">
        <w:trPr>
          <w:trHeight w:hRule="exact" w:val="737"/>
        </w:trPr>
        <w:tc>
          <w:tcPr>
            <w:tcW w:w="305" w:type="pct"/>
            <w:shd w:val="clear" w:color="auto" w:fill="DEEAF6" w:themeFill="accent1" w:themeFillTint="33"/>
          </w:tcPr>
          <w:p w14:paraId="460ED308" w14:textId="77777777" w:rsidR="00150CC3" w:rsidRPr="00F42B51" w:rsidRDefault="00150CC3" w:rsidP="004518D5">
            <w:pPr>
              <w:rPr>
                <w:b/>
                <w:bCs/>
                <w:lang w:val="en-US"/>
              </w:rPr>
            </w:pPr>
            <w:r w:rsidRPr="00F42B51">
              <w:rPr>
                <w:b/>
                <w:bCs/>
                <w:lang w:val="en-US"/>
              </w:rPr>
              <w:t>No.</w:t>
            </w:r>
          </w:p>
        </w:tc>
        <w:tc>
          <w:tcPr>
            <w:tcW w:w="1815" w:type="pct"/>
            <w:shd w:val="clear" w:color="auto" w:fill="DEEAF6" w:themeFill="accent1" w:themeFillTint="33"/>
          </w:tcPr>
          <w:p w14:paraId="41C2BA44" w14:textId="77777777" w:rsidR="00150CC3" w:rsidRPr="00F42B51" w:rsidRDefault="00150CC3" w:rsidP="004518D5">
            <w:pPr>
              <w:rPr>
                <w:b/>
                <w:bCs/>
                <w:lang w:val="en-US"/>
              </w:rPr>
            </w:pPr>
            <w:r w:rsidRPr="00F42B51">
              <w:rPr>
                <w:b/>
                <w:bCs/>
                <w:lang w:val="en-US"/>
              </w:rPr>
              <w:t xml:space="preserve">Flow Components </w:t>
            </w:r>
            <w:r>
              <w:rPr>
                <w:b/>
                <w:bCs/>
                <w:lang w:val="en-US"/>
              </w:rPr>
              <w:t>recognised u</w:t>
            </w:r>
            <w:r w:rsidRPr="00F42B51">
              <w:rPr>
                <w:b/>
                <w:bCs/>
                <w:lang w:val="en-US"/>
              </w:rPr>
              <w:t>nder Basin Plan</w:t>
            </w:r>
          </w:p>
        </w:tc>
        <w:tc>
          <w:tcPr>
            <w:tcW w:w="1808" w:type="pct"/>
            <w:shd w:val="clear" w:color="auto" w:fill="DEEAF6" w:themeFill="accent1" w:themeFillTint="33"/>
          </w:tcPr>
          <w:p w14:paraId="66708CCE" w14:textId="515BEF24" w:rsidR="00150CC3" w:rsidRPr="00F42B51" w:rsidRDefault="00150CC3" w:rsidP="004518D5">
            <w:pPr>
              <w:rPr>
                <w:b/>
                <w:bCs/>
                <w:lang w:val="en-US"/>
              </w:rPr>
            </w:pPr>
            <w:r w:rsidRPr="00F42B51">
              <w:rPr>
                <w:b/>
                <w:bCs/>
                <w:lang w:val="en-US"/>
              </w:rPr>
              <w:t xml:space="preserve">Flow Components </w:t>
            </w:r>
            <w:r>
              <w:rPr>
                <w:b/>
                <w:bCs/>
                <w:lang w:val="en-US"/>
              </w:rPr>
              <w:t>applicable to</w:t>
            </w:r>
            <w:r w:rsidRPr="00F42B51">
              <w:rPr>
                <w:b/>
                <w:bCs/>
                <w:lang w:val="en-US"/>
              </w:rPr>
              <w:t xml:space="preserve"> Lower Murray</w:t>
            </w:r>
            <w:r>
              <w:rPr>
                <w:b/>
                <w:bCs/>
                <w:lang w:val="en-US"/>
              </w:rPr>
              <w:t xml:space="preserve"> </w:t>
            </w:r>
          </w:p>
        </w:tc>
        <w:tc>
          <w:tcPr>
            <w:tcW w:w="1072" w:type="pct"/>
            <w:shd w:val="clear" w:color="auto" w:fill="DEEAF6" w:themeFill="accent1" w:themeFillTint="33"/>
          </w:tcPr>
          <w:p w14:paraId="06D6AD55" w14:textId="77777777" w:rsidR="00150CC3" w:rsidRPr="00F42B51" w:rsidRDefault="00150CC3" w:rsidP="004518D5">
            <w:pPr>
              <w:rPr>
                <w:b/>
                <w:bCs/>
                <w:lang w:val="en-US"/>
              </w:rPr>
            </w:pPr>
            <w:r>
              <w:rPr>
                <w:b/>
                <w:bCs/>
                <w:lang w:val="en-US"/>
              </w:rPr>
              <w:t>Velocity for LMR ML/day</w:t>
            </w:r>
          </w:p>
        </w:tc>
      </w:tr>
      <w:tr w:rsidR="00150CC3" w14:paraId="7DB8BEBF" w14:textId="77777777" w:rsidTr="00C01E26">
        <w:trPr>
          <w:trHeight w:hRule="exact" w:val="397"/>
        </w:trPr>
        <w:tc>
          <w:tcPr>
            <w:tcW w:w="305" w:type="pct"/>
          </w:tcPr>
          <w:p w14:paraId="26A417BC" w14:textId="77777777" w:rsidR="00150CC3" w:rsidRDefault="00150CC3" w:rsidP="004518D5">
            <w:pPr>
              <w:rPr>
                <w:b/>
                <w:bCs/>
                <w:lang w:val="en-US"/>
              </w:rPr>
            </w:pPr>
            <w:r>
              <w:rPr>
                <w:b/>
                <w:bCs/>
                <w:lang w:val="en-US"/>
              </w:rPr>
              <w:t>1</w:t>
            </w:r>
          </w:p>
        </w:tc>
        <w:tc>
          <w:tcPr>
            <w:tcW w:w="1815" w:type="pct"/>
          </w:tcPr>
          <w:p w14:paraId="002F5DD8" w14:textId="77777777" w:rsidR="00150CC3" w:rsidRPr="00F42B51" w:rsidRDefault="00150CC3" w:rsidP="004518D5">
            <w:pPr>
              <w:rPr>
                <w:lang w:val="en-US"/>
              </w:rPr>
            </w:pPr>
            <w:r>
              <w:t>c</w:t>
            </w:r>
            <w:r w:rsidRPr="00F42B51">
              <w:t>ease</w:t>
            </w:r>
            <w:r>
              <w:t>-</w:t>
            </w:r>
            <w:r w:rsidRPr="00F42B51">
              <w:t>to</w:t>
            </w:r>
            <w:r>
              <w:t>-</w:t>
            </w:r>
            <w:r w:rsidRPr="00F42B51">
              <w:t>flow</w:t>
            </w:r>
          </w:p>
        </w:tc>
        <w:tc>
          <w:tcPr>
            <w:tcW w:w="1808" w:type="pct"/>
          </w:tcPr>
          <w:p w14:paraId="342FD314" w14:textId="799BE108" w:rsidR="00150CC3" w:rsidRPr="00F42B51" w:rsidRDefault="00955912" w:rsidP="004518D5">
            <w:pPr>
              <w:rPr>
                <w:lang w:val="en-US"/>
              </w:rPr>
            </w:pPr>
            <w:r>
              <w:t>r</w:t>
            </w:r>
            <w:r w:rsidR="00150CC3" w:rsidRPr="00F42B51">
              <w:t>egulated entitlement flows</w:t>
            </w:r>
          </w:p>
        </w:tc>
        <w:tc>
          <w:tcPr>
            <w:tcW w:w="1072" w:type="pct"/>
          </w:tcPr>
          <w:p w14:paraId="29C1752B" w14:textId="77777777" w:rsidR="00150CC3" w:rsidRPr="00F42B51" w:rsidRDefault="00150CC3" w:rsidP="004518D5">
            <w:pPr>
              <w:jc w:val="right"/>
              <w:rPr>
                <w:lang w:val="en-US"/>
              </w:rPr>
            </w:pPr>
            <w:r w:rsidRPr="00F42B51">
              <w:rPr>
                <w:lang w:val="en-US"/>
              </w:rPr>
              <w:t>&lt;7000</w:t>
            </w:r>
          </w:p>
        </w:tc>
      </w:tr>
      <w:tr w:rsidR="00150CC3" w14:paraId="27FE6E09" w14:textId="77777777" w:rsidTr="00C01E26">
        <w:trPr>
          <w:trHeight w:hRule="exact" w:val="397"/>
        </w:trPr>
        <w:tc>
          <w:tcPr>
            <w:tcW w:w="305" w:type="pct"/>
          </w:tcPr>
          <w:p w14:paraId="337A9435" w14:textId="77777777" w:rsidR="00150CC3" w:rsidRDefault="00150CC3" w:rsidP="004518D5">
            <w:pPr>
              <w:rPr>
                <w:b/>
                <w:bCs/>
                <w:lang w:val="en-US"/>
              </w:rPr>
            </w:pPr>
            <w:r>
              <w:rPr>
                <w:b/>
                <w:bCs/>
                <w:lang w:val="en-US"/>
              </w:rPr>
              <w:t>2</w:t>
            </w:r>
          </w:p>
        </w:tc>
        <w:tc>
          <w:tcPr>
            <w:tcW w:w="1815" w:type="pct"/>
          </w:tcPr>
          <w:p w14:paraId="0094819C" w14:textId="77777777" w:rsidR="00150CC3" w:rsidRPr="00F42B51" w:rsidRDefault="00150CC3" w:rsidP="004518D5">
            <w:pPr>
              <w:rPr>
                <w:lang w:val="en-US"/>
              </w:rPr>
            </w:pPr>
            <w:r w:rsidRPr="00F42B51">
              <w:t>low-flow season base flows</w:t>
            </w:r>
          </w:p>
        </w:tc>
        <w:tc>
          <w:tcPr>
            <w:tcW w:w="1808" w:type="pct"/>
          </w:tcPr>
          <w:p w14:paraId="5C3CF4AB" w14:textId="78A5A6DA" w:rsidR="00150CC3" w:rsidRPr="00F42B51" w:rsidRDefault="00955912" w:rsidP="004518D5">
            <w:pPr>
              <w:rPr>
                <w:lang w:val="en-US"/>
              </w:rPr>
            </w:pPr>
            <w:r>
              <w:t>i</w:t>
            </w:r>
            <w:r w:rsidR="00150CC3" w:rsidRPr="00F42B51">
              <w:t>n-channel low flows</w:t>
            </w:r>
          </w:p>
        </w:tc>
        <w:tc>
          <w:tcPr>
            <w:tcW w:w="1072" w:type="pct"/>
          </w:tcPr>
          <w:p w14:paraId="29832A67" w14:textId="77777777" w:rsidR="00150CC3" w:rsidRPr="00F42B51" w:rsidRDefault="00150CC3" w:rsidP="004518D5">
            <w:pPr>
              <w:jc w:val="right"/>
              <w:rPr>
                <w:lang w:val="en-US"/>
              </w:rPr>
            </w:pPr>
            <w:r w:rsidRPr="00F42B51">
              <w:t>7000-15,000</w:t>
            </w:r>
          </w:p>
        </w:tc>
      </w:tr>
      <w:tr w:rsidR="00150CC3" w14:paraId="6F596B97" w14:textId="77777777" w:rsidTr="00C01E26">
        <w:trPr>
          <w:trHeight w:hRule="exact" w:val="397"/>
        </w:trPr>
        <w:tc>
          <w:tcPr>
            <w:tcW w:w="305" w:type="pct"/>
          </w:tcPr>
          <w:p w14:paraId="66D02715" w14:textId="77777777" w:rsidR="00150CC3" w:rsidRDefault="00150CC3" w:rsidP="004518D5">
            <w:pPr>
              <w:rPr>
                <w:b/>
                <w:bCs/>
                <w:lang w:val="en-US"/>
              </w:rPr>
            </w:pPr>
            <w:r>
              <w:rPr>
                <w:b/>
                <w:bCs/>
                <w:lang w:val="en-US"/>
              </w:rPr>
              <w:t>3</w:t>
            </w:r>
          </w:p>
        </w:tc>
        <w:tc>
          <w:tcPr>
            <w:tcW w:w="1815" w:type="pct"/>
          </w:tcPr>
          <w:p w14:paraId="5A784C56" w14:textId="77777777" w:rsidR="00150CC3" w:rsidRPr="00F42B51" w:rsidRDefault="00150CC3" w:rsidP="004518D5">
            <w:pPr>
              <w:rPr>
                <w:lang w:val="en-US"/>
              </w:rPr>
            </w:pPr>
            <w:r w:rsidRPr="00F42B51">
              <w:t>high-flow season base flows</w:t>
            </w:r>
          </w:p>
        </w:tc>
        <w:tc>
          <w:tcPr>
            <w:tcW w:w="1808" w:type="pct"/>
          </w:tcPr>
          <w:p w14:paraId="541554CF" w14:textId="20709E4A" w:rsidR="00150CC3" w:rsidRPr="00F42B51" w:rsidRDefault="00955912" w:rsidP="004518D5">
            <w:pPr>
              <w:rPr>
                <w:lang w:val="en-US"/>
              </w:rPr>
            </w:pPr>
            <w:r>
              <w:t>i</w:t>
            </w:r>
            <w:r w:rsidR="00150CC3" w:rsidRPr="00F42B51">
              <w:t>n-channel moderate flows</w:t>
            </w:r>
          </w:p>
        </w:tc>
        <w:tc>
          <w:tcPr>
            <w:tcW w:w="1072" w:type="pct"/>
          </w:tcPr>
          <w:p w14:paraId="516373AC" w14:textId="77777777" w:rsidR="00150CC3" w:rsidRPr="00F42B51" w:rsidRDefault="00150CC3" w:rsidP="004518D5">
            <w:pPr>
              <w:jc w:val="right"/>
              <w:rPr>
                <w:lang w:val="en-US"/>
              </w:rPr>
            </w:pPr>
            <w:r w:rsidRPr="00F42B51">
              <w:t>15,000-30,000</w:t>
            </w:r>
          </w:p>
        </w:tc>
      </w:tr>
      <w:tr w:rsidR="00150CC3" w14:paraId="0A7CC6B8" w14:textId="77777777" w:rsidTr="00C01E26">
        <w:trPr>
          <w:trHeight w:hRule="exact" w:val="397"/>
        </w:trPr>
        <w:tc>
          <w:tcPr>
            <w:tcW w:w="305" w:type="pct"/>
          </w:tcPr>
          <w:p w14:paraId="54818574" w14:textId="77777777" w:rsidR="00150CC3" w:rsidRDefault="00150CC3" w:rsidP="004518D5">
            <w:pPr>
              <w:rPr>
                <w:b/>
                <w:bCs/>
                <w:lang w:val="en-US"/>
              </w:rPr>
            </w:pPr>
            <w:r>
              <w:rPr>
                <w:b/>
                <w:bCs/>
                <w:lang w:val="en-US"/>
              </w:rPr>
              <w:t>4</w:t>
            </w:r>
          </w:p>
        </w:tc>
        <w:tc>
          <w:tcPr>
            <w:tcW w:w="1815" w:type="pct"/>
          </w:tcPr>
          <w:p w14:paraId="07E987E3" w14:textId="77777777" w:rsidR="00150CC3" w:rsidRPr="00F42B51" w:rsidRDefault="00150CC3" w:rsidP="004518D5">
            <w:pPr>
              <w:rPr>
                <w:lang w:val="en-US"/>
              </w:rPr>
            </w:pPr>
            <w:r>
              <w:t>l</w:t>
            </w:r>
            <w:r w:rsidRPr="00F42B51">
              <w:t>ow-flow season freshes</w:t>
            </w:r>
          </w:p>
        </w:tc>
        <w:tc>
          <w:tcPr>
            <w:tcW w:w="1808" w:type="pct"/>
          </w:tcPr>
          <w:p w14:paraId="250ED3A7" w14:textId="7AF51DC5" w:rsidR="00150CC3" w:rsidRPr="00F42B51" w:rsidRDefault="00955912" w:rsidP="004518D5">
            <w:pPr>
              <w:rPr>
                <w:lang w:val="en-US"/>
              </w:rPr>
            </w:pPr>
            <w:r>
              <w:t>b</w:t>
            </w:r>
            <w:r w:rsidR="00150CC3" w:rsidRPr="00F42B51">
              <w:t>ankfull flows</w:t>
            </w:r>
          </w:p>
        </w:tc>
        <w:tc>
          <w:tcPr>
            <w:tcW w:w="1072" w:type="pct"/>
          </w:tcPr>
          <w:p w14:paraId="44DA6C62" w14:textId="77777777" w:rsidR="00150CC3" w:rsidRPr="00F42B51" w:rsidRDefault="00150CC3" w:rsidP="004518D5">
            <w:pPr>
              <w:jc w:val="right"/>
              <w:rPr>
                <w:lang w:val="en-US"/>
              </w:rPr>
            </w:pPr>
            <w:r w:rsidRPr="00F42B51">
              <w:t>30,000 - 40,000</w:t>
            </w:r>
          </w:p>
        </w:tc>
      </w:tr>
      <w:tr w:rsidR="00150CC3" w14:paraId="4302FFCF" w14:textId="77777777" w:rsidTr="00C01E26">
        <w:trPr>
          <w:trHeight w:hRule="exact" w:val="397"/>
        </w:trPr>
        <w:tc>
          <w:tcPr>
            <w:tcW w:w="305" w:type="pct"/>
          </w:tcPr>
          <w:p w14:paraId="6FE02F85" w14:textId="77777777" w:rsidR="00150CC3" w:rsidRDefault="00150CC3" w:rsidP="004518D5">
            <w:pPr>
              <w:rPr>
                <w:b/>
                <w:bCs/>
                <w:lang w:val="en-US"/>
              </w:rPr>
            </w:pPr>
            <w:r>
              <w:rPr>
                <w:b/>
                <w:bCs/>
                <w:lang w:val="en-US"/>
              </w:rPr>
              <w:t>5</w:t>
            </w:r>
          </w:p>
        </w:tc>
        <w:tc>
          <w:tcPr>
            <w:tcW w:w="1815" w:type="pct"/>
          </w:tcPr>
          <w:p w14:paraId="068C07BE" w14:textId="77777777" w:rsidR="00150CC3" w:rsidRPr="00F42B51" w:rsidRDefault="00150CC3" w:rsidP="004518D5">
            <w:pPr>
              <w:rPr>
                <w:lang w:val="en-US"/>
              </w:rPr>
            </w:pPr>
            <w:r w:rsidRPr="00F42B51">
              <w:t>high-flow-season freshes</w:t>
            </w:r>
          </w:p>
        </w:tc>
        <w:tc>
          <w:tcPr>
            <w:tcW w:w="1808" w:type="pct"/>
          </w:tcPr>
          <w:p w14:paraId="4511B267" w14:textId="6CC75248" w:rsidR="00150CC3" w:rsidRPr="00F42B51" w:rsidRDefault="00955912" w:rsidP="004518D5">
            <w:pPr>
              <w:rPr>
                <w:lang w:val="en-US"/>
              </w:rPr>
            </w:pPr>
            <w:r>
              <w:t>s</w:t>
            </w:r>
            <w:r w:rsidR="00150CC3" w:rsidRPr="00F42B51">
              <w:t>mall overbank flows</w:t>
            </w:r>
          </w:p>
        </w:tc>
        <w:tc>
          <w:tcPr>
            <w:tcW w:w="1072" w:type="pct"/>
          </w:tcPr>
          <w:p w14:paraId="52F603F7" w14:textId="77777777" w:rsidR="00150CC3" w:rsidRPr="00F42B51" w:rsidRDefault="00150CC3" w:rsidP="004518D5">
            <w:pPr>
              <w:jc w:val="right"/>
              <w:rPr>
                <w:lang w:val="en-US"/>
              </w:rPr>
            </w:pPr>
            <w:r w:rsidRPr="00946C87">
              <w:t>40,000 - 60,000</w:t>
            </w:r>
          </w:p>
        </w:tc>
      </w:tr>
      <w:tr w:rsidR="00150CC3" w14:paraId="4BDACC22" w14:textId="77777777" w:rsidTr="00C01E26">
        <w:trPr>
          <w:trHeight w:hRule="exact" w:val="397"/>
        </w:trPr>
        <w:tc>
          <w:tcPr>
            <w:tcW w:w="305" w:type="pct"/>
          </w:tcPr>
          <w:p w14:paraId="651C834F" w14:textId="77777777" w:rsidR="00150CC3" w:rsidRDefault="00150CC3" w:rsidP="004518D5">
            <w:pPr>
              <w:rPr>
                <w:b/>
                <w:bCs/>
                <w:lang w:val="en-US"/>
              </w:rPr>
            </w:pPr>
            <w:r>
              <w:rPr>
                <w:b/>
                <w:bCs/>
                <w:lang w:val="en-US"/>
              </w:rPr>
              <w:t>6</w:t>
            </w:r>
          </w:p>
        </w:tc>
        <w:tc>
          <w:tcPr>
            <w:tcW w:w="1815" w:type="pct"/>
          </w:tcPr>
          <w:p w14:paraId="11E6691C" w14:textId="77777777" w:rsidR="00150CC3" w:rsidRPr="00F42B51" w:rsidRDefault="00150CC3" w:rsidP="004518D5">
            <w:pPr>
              <w:rPr>
                <w:lang w:val="en-US"/>
              </w:rPr>
            </w:pPr>
            <w:r w:rsidRPr="00F42B51">
              <w:t>bankfull flows</w:t>
            </w:r>
          </w:p>
        </w:tc>
        <w:tc>
          <w:tcPr>
            <w:tcW w:w="1808" w:type="pct"/>
          </w:tcPr>
          <w:p w14:paraId="4F5B10DE" w14:textId="340A35B1" w:rsidR="00150CC3" w:rsidRPr="00F42B51" w:rsidRDefault="00955912" w:rsidP="004518D5">
            <w:pPr>
              <w:rPr>
                <w:lang w:val="en-US"/>
              </w:rPr>
            </w:pPr>
            <w:r>
              <w:t>m</w:t>
            </w:r>
            <w:r w:rsidR="00150CC3" w:rsidRPr="00946C87">
              <w:t xml:space="preserve">oderate overbank flows </w:t>
            </w:r>
          </w:p>
        </w:tc>
        <w:tc>
          <w:tcPr>
            <w:tcW w:w="1072" w:type="pct"/>
          </w:tcPr>
          <w:p w14:paraId="73A2E93D" w14:textId="77777777" w:rsidR="00150CC3" w:rsidRPr="00F42B51" w:rsidRDefault="00150CC3" w:rsidP="004518D5">
            <w:pPr>
              <w:jc w:val="right"/>
              <w:rPr>
                <w:lang w:val="en-US"/>
              </w:rPr>
            </w:pPr>
            <w:r w:rsidRPr="00946C87">
              <w:t>60,000-80,000</w:t>
            </w:r>
          </w:p>
        </w:tc>
      </w:tr>
      <w:tr w:rsidR="00150CC3" w14:paraId="33C657A4" w14:textId="77777777" w:rsidTr="00C01E26">
        <w:trPr>
          <w:trHeight w:hRule="exact" w:val="397"/>
        </w:trPr>
        <w:tc>
          <w:tcPr>
            <w:tcW w:w="305" w:type="pct"/>
          </w:tcPr>
          <w:p w14:paraId="23D621AD" w14:textId="77777777" w:rsidR="00150CC3" w:rsidRDefault="00150CC3" w:rsidP="004518D5">
            <w:pPr>
              <w:rPr>
                <w:b/>
                <w:bCs/>
                <w:lang w:val="en-US"/>
              </w:rPr>
            </w:pPr>
            <w:r>
              <w:rPr>
                <w:b/>
                <w:bCs/>
                <w:lang w:val="en-US"/>
              </w:rPr>
              <w:t>7</w:t>
            </w:r>
          </w:p>
        </w:tc>
        <w:tc>
          <w:tcPr>
            <w:tcW w:w="1815" w:type="pct"/>
          </w:tcPr>
          <w:p w14:paraId="68D69DD9" w14:textId="77777777" w:rsidR="00150CC3" w:rsidRPr="00F42B51" w:rsidRDefault="00150CC3" w:rsidP="004518D5">
            <w:pPr>
              <w:rPr>
                <w:lang w:val="en-US"/>
              </w:rPr>
            </w:pPr>
            <w:r w:rsidRPr="00F42B51">
              <w:t>overbank flow</w:t>
            </w:r>
          </w:p>
        </w:tc>
        <w:tc>
          <w:tcPr>
            <w:tcW w:w="1808" w:type="pct"/>
          </w:tcPr>
          <w:p w14:paraId="0C7269EC" w14:textId="3E54EFD0" w:rsidR="00150CC3" w:rsidRPr="00F42B51" w:rsidRDefault="00955912" w:rsidP="004518D5">
            <w:pPr>
              <w:rPr>
                <w:lang w:val="en-US"/>
              </w:rPr>
            </w:pPr>
            <w:r>
              <w:t>l</w:t>
            </w:r>
            <w:r w:rsidR="00150CC3" w:rsidRPr="00946C87">
              <w:t>arge overbank flows</w:t>
            </w:r>
          </w:p>
        </w:tc>
        <w:tc>
          <w:tcPr>
            <w:tcW w:w="1072" w:type="pct"/>
          </w:tcPr>
          <w:p w14:paraId="1C563F47" w14:textId="77777777" w:rsidR="00150CC3" w:rsidRPr="00F42B51" w:rsidRDefault="00150CC3" w:rsidP="004518D5">
            <w:pPr>
              <w:jc w:val="right"/>
              <w:rPr>
                <w:lang w:val="en-US"/>
              </w:rPr>
            </w:pPr>
            <w:r>
              <w:t>&gt;</w:t>
            </w:r>
            <w:r w:rsidRPr="00946C87">
              <w:t>80,000</w:t>
            </w:r>
          </w:p>
        </w:tc>
      </w:tr>
    </w:tbl>
    <w:p w14:paraId="66DC7E66" w14:textId="77777777" w:rsidR="00B852E4" w:rsidRDefault="00B852E4" w:rsidP="00D22F07"/>
    <w:p w14:paraId="53E9E8A5" w14:textId="77777777" w:rsidR="00D22F07" w:rsidRPr="00386320" w:rsidRDefault="00D22F07" w:rsidP="00D22F07">
      <w:r>
        <w:t>Regulation of the River Murray has reduced peak flows, and the historical frequency (35-62%) and duration (40-80%) of extensive floods that connect the River Murray to its floodplain (Maheshwari et al., 1995). In essence, t</w:t>
      </w:r>
      <w:r w:rsidRPr="005B7AA3">
        <w:rPr>
          <w:bCs/>
          <w:iCs/>
        </w:rPr>
        <w:t xml:space="preserve">he effects </w:t>
      </w:r>
      <w:r>
        <w:rPr>
          <w:bCs/>
          <w:iCs/>
        </w:rPr>
        <w:t xml:space="preserve">of regulation, diversions and infrastructure </w:t>
      </w:r>
      <w:r w:rsidRPr="005B7AA3">
        <w:rPr>
          <w:bCs/>
          <w:iCs/>
        </w:rPr>
        <w:t>have been to</w:t>
      </w:r>
      <w:r>
        <w:rPr>
          <w:bCs/>
          <w:iCs/>
        </w:rPr>
        <w:t>:</w:t>
      </w:r>
      <w:r w:rsidRPr="005B7AA3">
        <w:rPr>
          <w:bCs/>
          <w:iCs/>
        </w:rPr>
        <w:t xml:space="preserve"> </w:t>
      </w:r>
    </w:p>
    <w:p w14:paraId="4F8EF242" w14:textId="77777777" w:rsidR="00D22F07" w:rsidRPr="00823F69" w:rsidRDefault="00D22F07" w:rsidP="004162AC">
      <w:pPr>
        <w:pStyle w:val="ListBullet"/>
        <w:numPr>
          <w:ilvl w:val="0"/>
          <w:numId w:val="63"/>
        </w:numPr>
      </w:pPr>
      <w:r w:rsidRPr="00823F69">
        <w:t xml:space="preserve">eliminate small floods </w:t>
      </w:r>
      <w:r>
        <w:t xml:space="preserve">where within-channel flow is achieved </w:t>
      </w:r>
      <w:r w:rsidRPr="00823F69">
        <w:t xml:space="preserve">(up to 1 in 7 y frequencies; 25–40,000 ML/d), and to </w:t>
      </w:r>
    </w:p>
    <w:p w14:paraId="39F0B288" w14:textId="77777777" w:rsidR="00D22F07" w:rsidRPr="00823F69" w:rsidRDefault="00D22F07" w:rsidP="004162AC">
      <w:pPr>
        <w:pStyle w:val="ListBullet"/>
        <w:numPr>
          <w:ilvl w:val="0"/>
          <w:numId w:val="63"/>
        </w:numPr>
      </w:pPr>
      <w:r w:rsidRPr="00823F69">
        <w:t xml:space="preserve">reduce the frequency and duration of moderate sized floods </w:t>
      </w:r>
      <w:r>
        <w:t xml:space="preserve">where strong overbank flow may be achieved </w:t>
      </w:r>
      <w:r w:rsidRPr="00823F69">
        <w:t>(up to 1 in 20 y;</w:t>
      </w:r>
      <w:r>
        <w:t xml:space="preserve"> </w:t>
      </w:r>
      <w:r w:rsidRPr="00823F69">
        <w:t xml:space="preserve">40–60,000 ML/d).  </w:t>
      </w:r>
    </w:p>
    <w:p w14:paraId="61FDDC1A" w14:textId="62DF7D05" w:rsidR="00D22F07" w:rsidRDefault="00D22F07" w:rsidP="00345B08">
      <w:pPr>
        <w:keepLines/>
      </w:pPr>
      <w:r w:rsidRPr="005B7AA3">
        <w:lastRenderedPageBreak/>
        <w:t>For example, at Chowil</w:t>
      </w:r>
      <w:r>
        <w:t xml:space="preserve">la (which represents the largest area of natural floodplain in the ecological community and an area of high complexity and refuge value), </w:t>
      </w:r>
      <w:r w:rsidRPr="005B7AA3">
        <w:t xml:space="preserve">natural flood frequencies of 1 in </w:t>
      </w:r>
      <w:r>
        <w:t>2 y have been reduced to 1 in 4–9</w:t>
      </w:r>
      <w:r w:rsidRPr="005B7AA3">
        <w:t xml:space="preserve"> y </w:t>
      </w:r>
      <w:r>
        <w:t xml:space="preserve">and this is projected to increase to 1 in 19 y by 2030 </w:t>
      </w:r>
      <w:r w:rsidRPr="005B7AA3">
        <w:t>(Sharley and Huggan, 1995 in Jensen et al, 2007</w:t>
      </w:r>
      <w:r>
        <w:t xml:space="preserve">; CSIRO, 2008). Flows of around 50 000 ML/d are required for significant overbank flow downstream of the Darling junction. Vulnerable floodplain areas within the ecological community (e.g. the meander plain following shallow contour lines of creeks and wetlands) would benefit from flows of at least 50 000 ML/d which used to occur 79 of every 100 years, but now occurs in 30 of every 100 years (MDBC, 2002 in MDBC, 2003a). </w:t>
      </w:r>
    </w:p>
    <w:p w14:paraId="62F1C356" w14:textId="77777777" w:rsidR="00D22F07" w:rsidRPr="002A54C9" w:rsidRDefault="00D22F07" w:rsidP="00D22F07">
      <w:r>
        <w:t xml:space="preserve">Floods play a vital role in maintaining floodplain vegetation (Robertson et al., 1999; George et al., 2005) and as </w:t>
      </w:r>
      <w:r w:rsidRPr="005B7AA3">
        <w:t>a result</w:t>
      </w:r>
      <w:r>
        <w:t xml:space="preserve"> of the altered flooding regime</w:t>
      </w:r>
      <w:r w:rsidRPr="005B7AA3">
        <w:t>, the floodplain generally is drier (Walker and Thoms, 1993).</w:t>
      </w:r>
      <w:r>
        <w:t xml:space="preserve"> </w:t>
      </w:r>
      <w:r w:rsidRPr="005B7AA3">
        <w:t>Flooding is the primary source of water for eucalypts, recharging shallow aquifers and maintaining soil moisture supplemented by local rainfall.</w:t>
      </w:r>
      <w:r>
        <w:t xml:space="preserve"> </w:t>
      </w:r>
      <w:r w:rsidRPr="005B7AA3">
        <w:t>R</w:t>
      </w:r>
      <w:r>
        <w:t>iver r</w:t>
      </w:r>
      <w:r w:rsidRPr="005B7AA3">
        <w:t>ed gum and black box on the floodplain depend on flood</w:t>
      </w:r>
      <w:r>
        <w:t xml:space="preserve">ing </w:t>
      </w:r>
      <w:r w:rsidRPr="005B7AA3">
        <w:t>as their main water source.</w:t>
      </w:r>
      <w:r>
        <w:t xml:space="preserve"> Such overbank flows come from medium and large floods. However, very little of the river red gum floodplain now experiences extensive (1000s of ha), long-term (&gt; 3 months) flooding to promote recruitment. Between 1996 and </w:t>
      </w:r>
      <w:r w:rsidRPr="005B7AA3">
        <w:t>2009 there were no effective overbank flows which severely affected these</w:t>
      </w:r>
      <w:r>
        <w:t xml:space="preserve"> floodplain </w:t>
      </w:r>
      <w:r w:rsidRPr="005B7AA3">
        <w:t>trees</w:t>
      </w:r>
      <w:r>
        <w:t xml:space="preserve"> (see also Criterion 3).</w:t>
      </w:r>
    </w:p>
    <w:p w14:paraId="6FDF97AD" w14:textId="1A506BAB" w:rsidR="00D22F07" w:rsidRDefault="00D22F07" w:rsidP="00D22F07">
      <w:r>
        <w:t>F</w:t>
      </w:r>
      <w:r w:rsidRPr="002A54C9">
        <w:t>lood</w:t>
      </w:r>
      <w:r w:rsidR="005D71A4">
        <w:t xml:space="preserve">s, or </w:t>
      </w:r>
      <w:r w:rsidRPr="002A54C9">
        <w:t>overbank flows &gt;35,000 ML/</w:t>
      </w:r>
      <w:r w:rsidR="005C50EC" w:rsidRPr="002A54C9">
        <w:t>day</w:t>
      </w:r>
      <w:r w:rsidR="005C50EC">
        <w:t xml:space="preserve">, </w:t>
      </w:r>
      <w:r w:rsidR="005C50EC" w:rsidRPr="002A54C9">
        <w:t>are</w:t>
      </w:r>
      <w:r w:rsidRPr="002A54C9">
        <w:t xml:space="preserve"> critical, because they connect channel, riparian an</w:t>
      </w:r>
      <w:r>
        <w:t>d other floodplain environments. Importantly, m</w:t>
      </w:r>
      <w:r w:rsidRPr="002A54C9">
        <w:t xml:space="preserve">inor in-channel flows are also important because they facilitate transport of salt, sediment, nutrients and longitudinal movements by fish and other animals. In some species, </w:t>
      </w:r>
      <w:r>
        <w:t>these minor flows also promote l</w:t>
      </w:r>
      <w:r w:rsidRPr="002A54C9">
        <w:t>ow-level or ‘bridging’ recruitment that maintains th</w:t>
      </w:r>
      <w:r>
        <w:t xml:space="preserve">e resilience of populations, particularly for flood-cued spawners. For example, within-channel flows of 15-25 000 ML/d from late spring through summer would promote spawning and recruitment and improve the resilience of golden perch populations in the ecological community (Zampatti and Leigh, 2013). </w:t>
      </w:r>
      <w:r w:rsidRPr="002A54C9">
        <w:t>In many respects, the elimination of smaller flows has been the most significant impact of flow events. Major floods and droughts by comparison are beyon</w:t>
      </w:r>
      <w:r>
        <w:t>d the control of dams and weirs.</w:t>
      </w:r>
    </w:p>
    <w:p w14:paraId="6FCAB517" w14:textId="77777777" w:rsidR="00D22F07" w:rsidRPr="009568A7" w:rsidRDefault="00D22F07" w:rsidP="00A2521C">
      <w:pPr>
        <w:pStyle w:val="Heading5"/>
      </w:pPr>
      <w:r w:rsidRPr="009568A7">
        <w:t>Increased water stability and reduced flow velocity</w:t>
      </w:r>
    </w:p>
    <w:p w14:paraId="4E922D43" w14:textId="77777777" w:rsidR="00D22F07" w:rsidRDefault="00D22F07" w:rsidP="00D22F07">
      <w:r>
        <w:t xml:space="preserve">Weirs elevate the water level above them, creating a 'weir pool' that extends for tens of kilometres upstream. The weirs are operated to hold a stable river level above them, even when the rate of flow changes. Immediately below each weir, there are daily rises and falls in river level (typically ±200 mm daily) during periods when the river is flowing (Walker et al., 1994). Many native species of plants and animals rely on flow or water-level cues for reproduction, dispersal or migration. The weirs have changed the river from a lotic (flowing) </w:t>
      </w:r>
      <w:r w:rsidRPr="00856777">
        <w:t>environment into</w:t>
      </w:r>
      <w:r>
        <w:t xml:space="preserve"> a more </w:t>
      </w:r>
      <w:r w:rsidRPr="00856777">
        <w:t>lentic (still water)</w:t>
      </w:r>
      <w:r>
        <w:t xml:space="preserve"> environment, favouring</w:t>
      </w:r>
      <w:r w:rsidRPr="00856777">
        <w:t xml:space="preserve"> a different suit</w:t>
      </w:r>
      <w:r>
        <w:t xml:space="preserve">e </w:t>
      </w:r>
      <w:r w:rsidRPr="00856777">
        <w:t>of species.</w:t>
      </w:r>
      <w:r>
        <w:t xml:space="preserve"> In addition, the river channel along the ecological community is progressively developing a stepped gradient, with deposition of sediments above each weir and erosion downstream (Thoms and Walker, 1992).</w:t>
      </w:r>
    </w:p>
    <w:p w14:paraId="58DF518F" w14:textId="77777777" w:rsidR="00D22F07" w:rsidRDefault="00D22F07" w:rsidP="00D22F07">
      <w:r w:rsidRPr="005B7AA3">
        <w:t>The propensity for river flows to vary widely is reflected in the life cycles of many native species that are opportunistic, tolerant and capable of rapid dispersal. The effects of regulation, however, have reduced flow variability within and between years, a</w:t>
      </w:r>
      <w:r>
        <w:t>nd generally favoured alien</w:t>
      </w:r>
      <w:r w:rsidRPr="005B7AA3">
        <w:t xml:space="preserve"> species, with regular, seasonal life cycles, over native species.</w:t>
      </w:r>
      <w:r>
        <w:t xml:space="preserve"> </w:t>
      </w:r>
    </w:p>
    <w:p w14:paraId="2B4D1D78" w14:textId="5F0AAB37" w:rsidR="009A6071" w:rsidRDefault="00D22F07" w:rsidP="00345B08">
      <w:pPr>
        <w:keepLines/>
      </w:pPr>
      <w:r>
        <w:lastRenderedPageBreak/>
        <w:t>Other pertinent examples of the impacts of such changes on the integrity of the ecological community involve aquatic macroinvertebrates: the species of freshwater mussel normally associated with the floodplain, has now moved into the more stable channel environment of the weir-pools, at the expense of the river mussel; the yabbie has similarly moved into the weir-pool habitat at the expense of the now locally extinct Murray crayfish. In addition, c</w:t>
      </w:r>
      <w:r w:rsidRPr="005B7AA3">
        <w:t>hanges in the water level of the channel affect the growth of biofilms that provide food for fish, snails and other grazing invertebrates.</w:t>
      </w:r>
      <w:r>
        <w:t xml:space="preserve"> Also, emergent plants along the riverbanks are now mostly wetland species that have been able to invade the river margins as levels are kept stable (Blanch et al., 1999).</w:t>
      </w:r>
    </w:p>
    <w:p w14:paraId="23690E41" w14:textId="77777777" w:rsidR="00D22F07" w:rsidRPr="009568A7" w:rsidRDefault="00D22F07" w:rsidP="00A2521C">
      <w:pPr>
        <w:pStyle w:val="Heading5"/>
      </w:pPr>
      <w:r w:rsidRPr="009568A7">
        <w:t>Decline in functional mouth condition</w:t>
      </w:r>
    </w:p>
    <w:p w14:paraId="105494A7" w14:textId="0BA29122" w:rsidR="00D22F07" w:rsidRDefault="00D002FD" w:rsidP="00D22F07">
      <w:r>
        <w:t>The Murray Mouth, near Goolwa in South Australia, is part of dynamic system</w:t>
      </w:r>
      <w:r w:rsidR="009A54B1">
        <w:t xml:space="preserve"> influenced by the flow of River Murray water from Lake Alexandrina via barrage releases</w:t>
      </w:r>
      <w:r w:rsidR="00D82F97">
        <w:t>, in addition to</w:t>
      </w:r>
      <w:r w:rsidR="009A54B1">
        <w:t xml:space="preserve"> tidal movement from the </w:t>
      </w:r>
      <w:r w:rsidR="00C57465">
        <w:t>adjacent ocean</w:t>
      </w:r>
      <w:r w:rsidR="00FA5C31">
        <w:t>,</w:t>
      </w:r>
      <w:r w:rsidR="00D82F97">
        <w:t xml:space="preserve"> and at times</w:t>
      </w:r>
      <w:r w:rsidR="00D86775">
        <w:t>,</w:t>
      </w:r>
      <w:r w:rsidR="00D82F97">
        <w:t xml:space="preserve"> wind (Walker 2002a.b; Webster, 2005)</w:t>
      </w:r>
      <w:r w:rsidR="00C57465">
        <w:t xml:space="preserve">. </w:t>
      </w:r>
      <w:r w:rsidR="00D22F07">
        <w:t xml:space="preserve">An open, functioning mouth </w:t>
      </w:r>
      <w:r w:rsidR="0090568A">
        <w:t>provides connection between the Southern Ocean, the Coorong, and the Lower Lakes of the River Mu</w:t>
      </w:r>
      <w:r w:rsidR="00806023">
        <w:t xml:space="preserve">rray and this </w:t>
      </w:r>
      <w:r w:rsidR="00D22F07">
        <w:t>is critical to a healthy ecological community (TSSC</w:t>
      </w:r>
      <w:r w:rsidR="005631B4">
        <w:t xml:space="preserve"> </w:t>
      </w:r>
      <w:r w:rsidR="00D22F07">
        <w:t>20</w:t>
      </w:r>
      <w:r w:rsidR="00BF141F">
        <w:t>09</w:t>
      </w:r>
      <w:r w:rsidR="00D22F07">
        <w:t>, 20</w:t>
      </w:r>
      <w:r w:rsidR="00BF141F">
        <w:t>10</w:t>
      </w:r>
      <w:r w:rsidR="00D22F07">
        <w:t>). The consequences of low flow or mouth closure are broad ranging. For example, sand movement around the mouth is affected and may cause increase</w:t>
      </w:r>
      <w:r w:rsidR="00BF141F">
        <w:t>d</w:t>
      </w:r>
      <w:r w:rsidR="00D22F07">
        <w:t xml:space="preserve"> salinities</w:t>
      </w:r>
      <w:r w:rsidR="00C479B9">
        <w:t xml:space="preserve"> (and potentially temperatures)</w:t>
      </w:r>
      <w:r w:rsidR="00D22F07">
        <w:t xml:space="preserve"> in the Murray Estuary and Coorong (Walker 2002a,</w:t>
      </w:r>
      <w:r w:rsidR="00BF141F">
        <w:t xml:space="preserve"> </w:t>
      </w:r>
      <w:r w:rsidR="00D22F07">
        <w:t>b</w:t>
      </w:r>
      <w:r w:rsidR="00032D03">
        <w:t>; DEW 2023a</w:t>
      </w:r>
      <w:r w:rsidR="000C4F24">
        <w:t>, b</w:t>
      </w:r>
      <w:r w:rsidR="00D22F07">
        <w:t>). To simulate pre-regulation conditions</w:t>
      </w:r>
      <w:r w:rsidR="006E7802">
        <w:t xml:space="preserve"> and maintain a healthy ecological state</w:t>
      </w:r>
      <w:r w:rsidR="00D22F07">
        <w:t>, the mouth of the Murray should be kept open permanently</w:t>
      </w:r>
      <w:r w:rsidR="00BF141F">
        <w:t>,</w:t>
      </w:r>
      <w:r w:rsidR="00D22F07">
        <w:t xml:space="preserve"> in order to flush </w:t>
      </w:r>
      <w:r w:rsidR="0022292A">
        <w:t xml:space="preserve">out </w:t>
      </w:r>
      <w:r w:rsidR="00D22F07">
        <w:t xml:space="preserve">salt </w:t>
      </w:r>
      <w:r w:rsidR="006E7802">
        <w:t xml:space="preserve">and excess </w:t>
      </w:r>
      <w:r w:rsidR="00D22F07">
        <w:t>nutrients and pollutants from the system (N. Harvey, B. Bourman and J. Tibby pers. comm.).</w:t>
      </w:r>
      <w:r w:rsidR="00FA5C31">
        <w:t xml:space="preserve"> Additionally, connectivity with the adjacent ocean is </w:t>
      </w:r>
      <w:r w:rsidR="0022292A">
        <w:t>vital for diadromous fish species (</w:t>
      </w:r>
      <w:r w:rsidR="009568A7">
        <w:t>Bice et al. 2018</w:t>
      </w:r>
      <w:r w:rsidR="0022292A">
        <w:t>).</w:t>
      </w:r>
    </w:p>
    <w:p w14:paraId="17D7979F" w14:textId="694B67A5" w:rsidR="00D22F07" w:rsidRDefault="00D22F07" w:rsidP="00D22F07">
      <w:r>
        <w:t xml:space="preserve">Evidence from paleo-history of diatoms and foraminiferans in sediments confirms that mouth closure was rare over the past 3000 years, with only four brief periods of closure identified (Cann et al. 2000; Fluin et al. 2007). Further, historical records also confirm that until 1981, the mouth has not closed permanently since European settlement (James 2004).  In the 1930s, prior to regulation, some 80% of the water entering the River Murray annually went out to sea. However, by the 1990s this was reduced to 27%, with only 4% recorded from 2000–04 during the Millennium Drought (MDB, 2006a; Paton 2010).  CSIRO (2008) modelling suggested that, on average, 39% (4723 GL) of the natural mean annual discharge (12 233 GL) reaches the sea. In addition, the river ceases to flow through the Murray Mouth 40% of the time, compared to only 1% under natural, unregulated conditions (CSIRO 2008). </w:t>
      </w:r>
    </w:p>
    <w:p w14:paraId="062BEFF3" w14:textId="370805EE" w:rsidR="007B5F1C" w:rsidRDefault="00D22F07" w:rsidP="00D22F07">
      <w:r>
        <w:t xml:space="preserve">The Murray Mouth closed for the first time on record in April 1981, after there was no flow through the barrages for 196 days, </w:t>
      </w:r>
      <w:r w:rsidR="00407C8B">
        <w:t>resulting in sand deposi</w:t>
      </w:r>
      <w:r w:rsidR="009F2AE6">
        <w:t xml:space="preserve">tion </w:t>
      </w:r>
      <w:r>
        <w:t xml:space="preserve">and </w:t>
      </w:r>
      <w:r w:rsidR="009F2AE6">
        <w:t xml:space="preserve">the need for </w:t>
      </w:r>
      <w:r>
        <w:t xml:space="preserve">to re-connect the river to the sea (Bourman </w:t>
      </w:r>
      <w:r w:rsidR="009F2AE6">
        <w:t>&amp;</w:t>
      </w:r>
      <w:r>
        <w:t xml:space="preserve"> Harvey 1983; Goode </w:t>
      </w:r>
      <w:r w:rsidR="009F2AE6">
        <w:t>&amp;</w:t>
      </w:r>
      <w:r w:rsidR="009568A7">
        <w:t xml:space="preserve"> </w:t>
      </w:r>
      <w:r>
        <w:t>Harvey 2009). During the Millennium Drought, dredges were employed from 2002 to 2010 to keep the Murray Mouth open.</w:t>
      </w:r>
      <w:r w:rsidR="00651CDD">
        <w:t xml:space="preserve"> </w:t>
      </w:r>
      <w:r w:rsidR="005C3D95">
        <w:t>Dredging cease</w:t>
      </w:r>
      <w:r w:rsidR="00C862B7">
        <w:t>d</w:t>
      </w:r>
      <w:r w:rsidR="005C3D95">
        <w:t xml:space="preserve"> </w:t>
      </w:r>
      <w:r w:rsidR="00624D0A">
        <w:t>during the drought br</w:t>
      </w:r>
      <w:r w:rsidR="00C862B7">
        <w:t>e</w:t>
      </w:r>
      <w:r w:rsidR="00624D0A">
        <w:t>aking flood of late 2010-11. However</w:t>
      </w:r>
      <w:r w:rsidR="00F16E1E">
        <w:t>,</w:t>
      </w:r>
      <w:r w:rsidR="00624D0A">
        <w:t xml:space="preserve"> low flows returned in 2014</w:t>
      </w:r>
      <w:r w:rsidR="00E43CE0">
        <w:t xml:space="preserve"> and mouth</w:t>
      </w:r>
      <w:r w:rsidR="00F16E1E">
        <w:t xml:space="preserve"> condition</w:t>
      </w:r>
      <w:r w:rsidR="00E43CE0">
        <w:t xml:space="preserve"> deteriorated</w:t>
      </w:r>
      <w:r w:rsidR="00F16E1E">
        <w:t xml:space="preserve">; </w:t>
      </w:r>
      <w:r w:rsidR="00E43CE0">
        <w:t xml:space="preserve">dredging </w:t>
      </w:r>
      <w:r w:rsidR="00F16E1E">
        <w:t>began again in January 2015</w:t>
      </w:r>
      <w:r w:rsidR="00B23C02">
        <w:t xml:space="preserve"> and </w:t>
      </w:r>
      <w:r w:rsidR="001D2892">
        <w:t xml:space="preserve">has </w:t>
      </w:r>
      <w:r w:rsidR="00B23C02">
        <w:t xml:space="preserve">continued </w:t>
      </w:r>
      <w:r w:rsidR="001D2892">
        <w:t>since, with a</w:t>
      </w:r>
      <w:r w:rsidR="00BB01B5">
        <w:t xml:space="preserve"> </w:t>
      </w:r>
      <w:r w:rsidR="001D2892">
        <w:t xml:space="preserve">break during </w:t>
      </w:r>
      <w:r w:rsidR="00C862B7">
        <w:t xml:space="preserve">the </w:t>
      </w:r>
      <w:r w:rsidR="007B5F1C">
        <w:t>extreme flood</w:t>
      </w:r>
      <w:r w:rsidR="00BB01B5">
        <w:t>ing</w:t>
      </w:r>
      <w:r w:rsidR="007B5F1C">
        <w:t xml:space="preserve"> of 2022</w:t>
      </w:r>
      <w:r w:rsidR="00BB01B5">
        <w:t>/23</w:t>
      </w:r>
      <w:r w:rsidR="00437B35">
        <w:t xml:space="preserve"> (DEW 2023b)</w:t>
      </w:r>
      <w:r w:rsidR="007B5F1C">
        <w:t xml:space="preserve">. </w:t>
      </w:r>
    </w:p>
    <w:p w14:paraId="002EAB91" w14:textId="1AAA0191" w:rsidR="00C01E26" w:rsidRDefault="00A35AC6" w:rsidP="00D22F07">
      <w:r>
        <w:t xml:space="preserve">Although, as </w:t>
      </w:r>
      <w:r w:rsidRPr="00B50E26">
        <w:rPr>
          <w:u w:val="single"/>
        </w:rPr>
        <w:t>Fig</w:t>
      </w:r>
      <w:r w:rsidR="00B50E26" w:rsidRPr="00B50E26">
        <w:rPr>
          <w:u w:val="single"/>
        </w:rPr>
        <w:t>ure</w:t>
      </w:r>
      <w:r w:rsidRPr="00B50E26">
        <w:rPr>
          <w:u w:val="single"/>
        </w:rPr>
        <w:t xml:space="preserve"> </w:t>
      </w:r>
      <w:r w:rsidR="00D368B6">
        <w:rPr>
          <w:u w:val="single"/>
        </w:rPr>
        <w:t>17</w:t>
      </w:r>
      <w:r>
        <w:t xml:space="preserve"> demonstrates, </w:t>
      </w:r>
      <w:r w:rsidR="00322E6F">
        <w:t>Murray Mouth openness has been improving over the past decad</w:t>
      </w:r>
      <w:r w:rsidR="00576A64">
        <w:t>e</w:t>
      </w:r>
      <w:r w:rsidR="00322E6F">
        <w:t xml:space="preserve">, </w:t>
      </w:r>
      <w:r w:rsidR="00D368B6">
        <w:t xml:space="preserve">however </w:t>
      </w:r>
      <w:r w:rsidR="00322E6F">
        <w:t xml:space="preserve">this has only occurred due to </w:t>
      </w:r>
      <w:r w:rsidR="00767187">
        <w:t xml:space="preserve">human intervention, i.e. </w:t>
      </w:r>
      <w:r w:rsidR="007B5F1C">
        <w:t xml:space="preserve">relatively </w:t>
      </w:r>
      <w:r w:rsidR="00322E6F">
        <w:t>continu</w:t>
      </w:r>
      <w:r w:rsidR="00576A64">
        <w:t>ous</w:t>
      </w:r>
      <w:r w:rsidR="00322E6F">
        <w:t xml:space="preserve"> dredging operations</w:t>
      </w:r>
      <w:r w:rsidR="00576A64">
        <w:t xml:space="preserve"> since 2015</w:t>
      </w:r>
      <w:r w:rsidR="00322E6F">
        <w:t xml:space="preserve"> (DEW 2023a</w:t>
      </w:r>
      <w:r w:rsidR="0053205A">
        <w:t>, b</w:t>
      </w:r>
      <w:r w:rsidR="00322E6F">
        <w:t>).</w:t>
      </w:r>
      <w:r w:rsidR="0005464D">
        <w:t xml:space="preserve"> </w:t>
      </w:r>
      <w:r w:rsidR="007B5F1C">
        <w:t xml:space="preserve">Maintaining an open Murray Mouth is a key objective of the Murray-Darling Basin Plan, adopted in 2012. </w:t>
      </w:r>
      <w:r w:rsidR="007B0432">
        <w:t>At present, t</w:t>
      </w:r>
      <w:r w:rsidR="0005464D">
        <w:t xml:space="preserve">he condition of the Murray Mouth is considered ‘poor’ while dredging is required to maintain openness </w:t>
      </w:r>
      <w:r w:rsidR="000D321F">
        <w:br/>
      </w:r>
      <w:r w:rsidR="0005464D">
        <w:t>(DEW 2023a</w:t>
      </w:r>
      <w:r w:rsidR="0053205A">
        <w:t>, b</w:t>
      </w:r>
      <w:r w:rsidR="0005464D">
        <w:t>).</w:t>
      </w:r>
      <w:r w:rsidR="007B0432">
        <w:t xml:space="preserve"> </w:t>
      </w:r>
    </w:p>
    <w:p w14:paraId="070BBEE4" w14:textId="6AEE25D3" w:rsidR="00194E61" w:rsidRDefault="00295C55" w:rsidP="00D22F07">
      <w:r w:rsidRPr="009A6071">
        <w:rPr>
          <w:noProof/>
        </w:rPr>
        <w:lastRenderedPageBreak/>
        <w:drawing>
          <wp:inline distT="0" distB="0" distL="0" distR="0" wp14:anchorId="4D2E054A" wp14:editId="570EFD07">
            <wp:extent cx="5831840" cy="3414570"/>
            <wp:effectExtent l="0" t="0" r="0" b="0"/>
            <wp:docPr id="389715543" name="Picture 1" descr="A graph of blue and yellow bars showing the proportion of time each year that the Murray mouth was open from 2003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5543" name="Picture 1" descr="A graph of blue and yellow bars showing the proportion of time each year that the Murray mouth was open from 2003 to 2022."/>
                    <pic:cNvPicPr/>
                  </pic:nvPicPr>
                  <pic:blipFill>
                    <a:blip r:embed="rId44"/>
                    <a:stretch>
                      <a:fillRect/>
                    </a:stretch>
                  </pic:blipFill>
                  <pic:spPr>
                    <a:xfrm>
                      <a:off x="0" y="0"/>
                      <a:ext cx="5831840" cy="3414570"/>
                    </a:xfrm>
                    <a:prstGeom prst="rect">
                      <a:avLst/>
                    </a:prstGeom>
                  </pic:spPr>
                </pic:pic>
              </a:graphicData>
            </a:graphic>
          </wp:inline>
        </w:drawing>
      </w:r>
    </w:p>
    <w:p w14:paraId="173DCD09" w14:textId="4D08C520" w:rsidR="00883348" w:rsidRDefault="00C01E26" w:rsidP="00C01E26">
      <w:pPr>
        <w:pStyle w:val="Caption"/>
        <w:rPr>
          <w:bCs/>
          <w:szCs w:val="22"/>
        </w:rPr>
      </w:pPr>
      <w:r>
        <w:t xml:space="preserve">Figure </w:t>
      </w:r>
      <w:r>
        <w:fldChar w:fldCharType="begin"/>
      </w:r>
      <w:r>
        <w:instrText xml:space="preserve"> SEQ Figure \* ARABIC </w:instrText>
      </w:r>
      <w:r>
        <w:fldChar w:fldCharType="separate"/>
      </w:r>
      <w:r w:rsidR="006D35C5">
        <w:rPr>
          <w:noProof/>
        </w:rPr>
        <w:t>17</w:t>
      </w:r>
      <w:r>
        <w:fldChar w:fldCharType="end"/>
      </w:r>
      <w:r w:rsidR="00295C55" w:rsidRPr="00295C55">
        <w:rPr>
          <w:bCs/>
          <w:sz w:val="20"/>
          <w:szCs w:val="20"/>
        </w:rPr>
        <w:t xml:space="preserve">: </w:t>
      </w:r>
      <w:r w:rsidR="00295C55" w:rsidRPr="00C01E26">
        <w:rPr>
          <w:bCs/>
          <w:szCs w:val="22"/>
        </w:rPr>
        <w:t>Proportion of time each year that the Murray Mouth was open (DTR &gt; 0.3) or critically constricted (DTR ≤ 0.2); note DTR = Diurnal Tide Ratio is an indicator of Murray Mouth openness and 0.3 is the Murray Mouth open threshold (source DEW 2023</w:t>
      </w:r>
      <w:r w:rsidR="00774442" w:rsidRPr="00C01E26">
        <w:rPr>
          <w:bCs/>
          <w:szCs w:val="22"/>
        </w:rPr>
        <w:t>b</w:t>
      </w:r>
      <w:r w:rsidR="00295C55" w:rsidRPr="00C01E26">
        <w:rPr>
          <w:bCs/>
          <w:szCs w:val="22"/>
        </w:rPr>
        <w:t>).</w:t>
      </w:r>
    </w:p>
    <w:p w14:paraId="2544A2B5" w14:textId="77777777" w:rsidR="00345B08" w:rsidRPr="00345B08" w:rsidRDefault="00345B08" w:rsidP="00345B08"/>
    <w:p w14:paraId="17A16A7C" w14:textId="703F21BD" w:rsidR="00674AC8" w:rsidRPr="00BB01B5" w:rsidRDefault="00674AC8" w:rsidP="00A2521C">
      <w:pPr>
        <w:pStyle w:val="Heading5"/>
      </w:pPr>
      <w:r w:rsidRPr="00BB01B5">
        <w:t>Decline in water quality</w:t>
      </w:r>
    </w:p>
    <w:p w14:paraId="267EDC0F" w14:textId="627BB7E2" w:rsidR="00674AC8" w:rsidRDefault="00674AC8" w:rsidP="00674AC8">
      <w:r>
        <w:t>Water quality within the ecological community has declined significantly due to several factors, with some persistent, such as salinity (from rising saline groundwater and reduced flows) and temperature (rising levels from climate change), and others episodic (e.g. algal blooms and blackwater events from excess nutrients and organic matter, or acid sulphate soils from drying and exposure).</w:t>
      </w:r>
    </w:p>
    <w:p w14:paraId="6BCCEA16" w14:textId="62ECD413" w:rsidR="00674AC8" w:rsidRPr="00E20EA9" w:rsidRDefault="00674AC8" w:rsidP="00674AC8">
      <w:r>
        <w:t xml:space="preserve">While mitigation measures (e.g. SA salt interception scheme which slows the rate of increase) are now in place to help address the issue of salinity, some 1000 tonnes of salt passes down the river channel daily and overall salt is accumulating, particularly on the floodplains (TSSC, 2010). Native flora and fauna of the ecological community have evolved in an environment where the salinity fluctuated (Close, 1990b), however most will only tolerate increased salinity up to a certain threshold. Prior to the Millennium Drought, there was little evidence that river salinities were outside the tolerance of phytoplankton, invertebrates, fish or birds that live in the river or the native vegetation that grows along its banks (e.g. Close, 1990b). However, </w:t>
      </w:r>
      <w:r>
        <w:rPr>
          <w:lang w:val="en-US"/>
        </w:rPr>
        <w:t>t</w:t>
      </w:r>
      <w:r w:rsidRPr="005A2C77">
        <w:rPr>
          <w:lang w:val="en-US"/>
        </w:rPr>
        <w:t>he Millennium Drought exacerbated the dryland salinity problem in the floodplain and wetland components of the ecological community. In particular riv</w:t>
      </w:r>
      <w:r>
        <w:rPr>
          <w:lang w:val="en-US"/>
        </w:rPr>
        <w:t>er red gum and black box trees we</w:t>
      </w:r>
      <w:r w:rsidRPr="005A2C77">
        <w:rPr>
          <w:lang w:val="en-US"/>
        </w:rPr>
        <w:t>re increasingly salt-a</w:t>
      </w:r>
      <w:r>
        <w:rPr>
          <w:lang w:val="en-US"/>
        </w:rPr>
        <w:t>ffected with high levels of stress and dieback reported, and some areas were</w:t>
      </w:r>
      <w:r w:rsidRPr="005A2C77">
        <w:rPr>
          <w:lang w:val="en-US"/>
        </w:rPr>
        <w:t xml:space="preserve"> invaded by halophilic plants (Walker, 2006; Holland et al., 2009</w:t>
      </w:r>
      <w:r>
        <w:rPr>
          <w:lang w:val="en-US"/>
        </w:rPr>
        <w:t>; see Criterion 3 and 5</w:t>
      </w:r>
      <w:r w:rsidRPr="005A2C77">
        <w:rPr>
          <w:lang w:val="en-US"/>
        </w:rPr>
        <w:t xml:space="preserve">). </w:t>
      </w:r>
      <w:r>
        <w:rPr>
          <w:lang w:val="en-US"/>
        </w:rPr>
        <w:t>Salinity levels rose in the Lower Lakes, and the Murray Estuary and Coorong became increasingly hypersaline which had major impacts on ecosystem function and biota (see Criterion 3). Importantly, the South Lagoon of the Coorong changed from a macrophyte-fish-chironomid system, to a hypersaline system dominated by brine shrimp and algae (Paton, 2010).</w:t>
      </w:r>
    </w:p>
    <w:p w14:paraId="2F3D4880" w14:textId="176153A0" w:rsidR="00674AC8" w:rsidRPr="00A71987" w:rsidRDefault="00674AC8" w:rsidP="00345B08">
      <w:pPr>
        <w:keepLines/>
      </w:pPr>
      <w:r w:rsidRPr="00E75B19">
        <w:lastRenderedPageBreak/>
        <w:t xml:space="preserve">The installation of weirs </w:t>
      </w:r>
      <w:r>
        <w:t xml:space="preserve">and barrages has provided for </w:t>
      </w:r>
      <w:r w:rsidRPr="00E75B19">
        <w:t>stable pool level</w:t>
      </w:r>
      <w:r>
        <w:t>s</w:t>
      </w:r>
      <w:r w:rsidRPr="00E75B19">
        <w:t xml:space="preserve"> since the 1930s. This has had the effect of producing wetland environments that have retained the sulfur as pyrite in their soils, i.e. instead of having the normal oxidation, reduction and flushing cycle, that cycle has been interrupted (Fitzpatrick et al., 2009). This change has promoted the significant build-up of sulfide minerals </w:t>
      </w:r>
      <w:r>
        <w:t>that can result in acid sulfate soils when exposed (Fitzpatrick and Shand, 2008). This can lead to serious environmental consequences such as soil and water acidification, deoxygenation of water and formation of H</w:t>
      </w:r>
      <w:r w:rsidRPr="00E75B19">
        <w:rPr>
          <w:vertAlign w:val="subscript"/>
        </w:rPr>
        <w:t>2</w:t>
      </w:r>
      <w:r>
        <w:t xml:space="preserve">S. The Millennium Drought led to </w:t>
      </w:r>
      <w:r w:rsidRPr="00E75B19">
        <w:t>exposure of large sections of river bank, wetlands and lakes within the ecological community that contained high levels of unoxidised (reduced) iron sulfides (</w:t>
      </w:r>
      <w:r w:rsidR="00175951" w:rsidRPr="00E75B19">
        <w:t>Fitzpatrick</w:t>
      </w:r>
      <w:r w:rsidRPr="00E75B19">
        <w:t xml:space="preserve"> and Shand, 2008; Fitzpatrick et al., 2009). The Lower Lakes receded considerably during the prolonged drought, uncovering extensive areas </w:t>
      </w:r>
      <w:r>
        <w:t xml:space="preserve">(up to 20 000 to 30 000 ha) </w:t>
      </w:r>
      <w:r w:rsidRPr="00E75B19">
        <w:t xml:space="preserve">of sulfidic material in the formerly subaqueous soils. </w:t>
      </w:r>
      <w:r>
        <w:t>Although remedial measures were taken (e.g. liming, re-vegetation), this event represented a significant and prolonged disturbance of the integrity of the ecological community.</w:t>
      </w:r>
    </w:p>
    <w:p w14:paraId="5D132FBD" w14:textId="70C76A02" w:rsidR="00674AC8" w:rsidRDefault="00674AC8" w:rsidP="00674AC8">
      <w:pPr>
        <w:rPr>
          <w:lang w:val="en-US"/>
        </w:rPr>
      </w:pPr>
      <w:r>
        <w:rPr>
          <w:lang w:val="en-US"/>
        </w:rPr>
        <w:t xml:space="preserve">Blackwater events occur from high dissolved organic carbon loads and create low dissolved oxygen levels (O'Connell et al, 2000; Howitt et al., 2007). During the Millennium Drought there was a buildup of organic matter (e.g. leaves) under the low flow conditions, throughout the ecological community. Following the drought-breaking late-2010–11 floods a large blackwater event affected some 1800 km of the Murray channel as far down as Murray Bridge, South Australia (Whitworth et al., 2011, 2012). There were widespread fish and crustacean kills (Whitworth et al., 2012) and a tracking study of Murray cod in the ecological community at the same time recorded a high mortality rate (Leigh </w:t>
      </w:r>
      <w:r w:rsidR="00C37598">
        <w:rPr>
          <w:lang w:val="en-US"/>
        </w:rPr>
        <w:t>&amp;</w:t>
      </w:r>
      <w:r>
        <w:rPr>
          <w:lang w:val="en-US"/>
        </w:rPr>
        <w:t xml:space="preserve"> Zampatti</w:t>
      </w:r>
      <w:r w:rsidR="007644A9">
        <w:rPr>
          <w:lang w:val="en-US"/>
        </w:rPr>
        <w:t xml:space="preserve"> 2013</w:t>
      </w:r>
      <w:r>
        <w:rPr>
          <w:lang w:val="en-US"/>
        </w:rPr>
        <w:t xml:space="preserve">). Importantly, hypoxic conditions were recorded as long as seven months after initial flooding in some parts of the River Murray, suggesting that large blackwater events could have long-term effects </w:t>
      </w:r>
      <w:r w:rsidR="00CD2297">
        <w:rPr>
          <w:lang w:val="en-US"/>
        </w:rPr>
        <w:t>on the</w:t>
      </w:r>
      <w:r>
        <w:rPr>
          <w:lang w:val="en-US"/>
        </w:rPr>
        <w:t xml:space="preserve"> health of the river system and fish communities (King et al., 2012; Whitworth, et al., 2012). It is likely that with the advent of drier conditions projected under a changing climate (e.g. CSIRO, 2008) that blackwater events may occur more often. </w:t>
      </w:r>
    </w:p>
    <w:p w14:paraId="1C05CF89" w14:textId="51BCD7E1" w:rsidR="0023778C" w:rsidRPr="00BB01B5" w:rsidRDefault="0023778C" w:rsidP="006E2204">
      <w:pPr>
        <w:pStyle w:val="Heading4"/>
      </w:pPr>
      <w:r w:rsidRPr="00BB01B5">
        <w:t>2b) Decline in integrity from loss of connectivity</w:t>
      </w:r>
    </w:p>
    <w:p w14:paraId="25F76B06" w14:textId="02C0FB68" w:rsidR="0023778C" w:rsidRPr="00BB01B5" w:rsidRDefault="00BB01B5" w:rsidP="00A2521C">
      <w:pPr>
        <w:pStyle w:val="Heading5"/>
      </w:pPr>
      <w:r w:rsidRPr="00BB01B5">
        <w:t>B</w:t>
      </w:r>
      <w:r w:rsidR="0023778C" w:rsidRPr="00BB01B5">
        <w:t>etween river and floodplain</w:t>
      </w:r>
    </w:p>
    <w:p w14:paraId="1DFF5741" w14:textId="7868620A" w:rsidR="007350ED" w:rsidRDefault="0023778C" w:rsidP="0023778C">
      <w:r w:rsidRPr="00264F1B">
        <w:t xml:space="preserve">Connectivity, the </w:t>
      </w:r>
      <w:r>
        <w:t xml:space="preserve">hydrological </w:t>
      </w:r>
      <w:r w:rsidRPr="00264F1B">
        <w:t>connection between the floodplain and river, is of critical importance and supports a myriad of ecological functions and interactions (Goode</w:t>
      </w:r>
      <w:r w:rsidR="007350ED">
        <w:t xml:space="preserve"> &amp;</w:t>
      </w:r>
      <w:r w:rsidRPr="00264F1B">
        <w:t xml:space="preserve"> Harvey 2009). The floodplain flora and fauna depend on the river f</w:t>
      </w:r>
      <w:r>
        <w:t xml:space="preserve">or dispersal and replenishment, </w:t>
      </w:r>
      <w:r w:rsidRPr="00264F1B">
        <w:t xml:space="preserve">and in turn, the riverine biota depend on the floodplain for food, nurseries and refuges (Walker, 2001). </w:t>
      </w:r>
      <w:r w:rsidR="007350ED">
        <w:t>For example, a</w:t>
      </w:r>
      <w:r w:rsidR="007350ED" w:rsidRPr="007350ED">
        <w:t xml:space="preserve">n extensive survey by Van Dyke et al. (2019) found that </w:t>
      </w:r>
      <w:r w:rsidR="007350ED" w:rsidRPr="007350ED">
        <w:rPr>
          <w:i/>
          <w:iCs/>
        </w:rPr>
        <w:t>E. macquarii</w:t>
      </w:r>
      <w:r w:rsidR="007350ED" w:rsidRPr="007350ED">
        <w:t xml:space="preserve"> occurred mainly in backwater, lagoon, lake, and tributary habitats connected or close to main channels.</w:t>
      </w:r>
    </w:p>
    <w:p w14:paraId="1FD19E1F" w14:textId="5B887BB9" w:rsidR="0023778C" w:rsidRPr="003C40AB" w:rsidRDefault="0023778C" w:rsidP="0023778C">
      <w:r w:rsidRPr="00264F1B">
        <w:t xml:space="preserve">A useful general model for the lowland floodplain reaches of large rivers, such as for the </w:t>
      </w:r>
      <w:r>
        <w:t>ecological community, is</w:t>
      </w:r>
      <w:r w:rsidRPr="00264F1B">
        <w:t xml:space="preserve"> the </w:t>
      </w:r>
      <w:r w:rsidRPr="008B67E6">
        <w:rPr>
          <w:i/>
        </w:rPr>
        <w:t>Flood Pulse Concept</w:t>
      </w:r>
      <w:r w:rsidRPr="00264F1B">
        <w:t xml:space="preserve"> (FPC) which recognises the importance of lateral linkages between the river and floodplain and consequent exchange of water, organic material, nutrients and organisms (Junk et al. 1989; Robertson et al. 1999; Tockner et al, 2000; Junk and Wantzen, 2004). The FPC is based on overbank inundation driven by floods</w:t>
      </w:r>
      <w:r>
        <w:t xml:space="preserve">, </w:t>
      </w:r>
      <w:r w:rsidRPr="00264F1B">
        <w:t xml:space="preserve">considered to be the key ecological </w:t>
      </w:r>
      <w:r>
        <w:t>determinant of eco</w:t>
      </w:r>
      <w:r w:rsidRPr="00264F1B">
        <w:t>system function</w:t>
      </w:r>
      <w:r>
        <w:t xml:space="preserve"> and trophic linkages</w:t>
      </w:r>
      <w:r w:rsidRPr="00264F1B">
        <w:t xml:space="preserve"> (Junk et al., </w:t>
      </w:r>
      <w:r>
        <w:t>1989; Puckeridge et al. 1998)</w:t>
      </w:r>
      <w:r w:rsidRPr="00264F1B">
        <w:t>.</w:t>
      </w:r>
    </w:p>
    <w:p w14:paraId="47ABD60A" w14:textId="607B5D16" w:rsidR="0023778C" w:rsidRPr="00664089" w:rsidRDefault="0023778C" w:rsidP="0084023A">
      <w:r w:rsidRPr="00664089">
        <w:t xml:space="preserve">The river channel, unlike most floodplain habitats, is </w:t>
      </w:r>
      <w:r>
        <w:t xml:space="preserve">generally </w:t>
      </w:r>
      <w:r w:rsidRPr="00664089">
        <w:t>characterised by strong currents, unstable s</w:t>
      </w:r>
      <w:r>
        <w:t>ediments and a shallow photic zone</w:t>
      </w:r>
      <w:r w:rsidRPr="00664089">
        <w:t>. The littoral</w:t>
      </w:r>
      <w:r>
        <w:t xml:space="preserve"> </w:t>
      </w:r>
      <w:r w:rsidRPr="00664089">
        <w:t xml:space="preserve">zone, at the channel edge, supports a narrow band of emergent and submerged plants that forms a refuge for many animals and is often a place of high biodiversity (Walker et al., 1992; </w:t>
      </w:r>
      <w:r>
        <w:t xml:space="preserve">Blanch et al., 1999; </w:t>
      </w:r>
      <w:r w:rsidRPr="00664089">
        <w:t xml:space="preserve">Walker et al., 2009). </w:t>
      </w:r>
      <w:r>
        <w:lastRenderedPageBreak/>
        <w:t xml:space="preserve">Although weir construction has modified the assemblage of littoral plants (see above). </w:t>
      </w:r>
      <w:r w:rsidRPr="00664089">
        <w:t>The distribution of aquatic/emergent plants is influenced by the frequency of flooding and exposure (Walker et al., 1994</w:t>
      </w:r>
      <w:r>
        <w:t>;</w:t>
      </w:r>
      <w:r w:rsidRPr="001E06D3">
        <w:t xml:space="preserve"> </w:t>
      </w:r>
      <w:r>
        <w:t>Blanch and Walker 1998; Blanch et al., 1999, 2000</w:t>
      </w:r>
      <w:r w:rsidRPr="00664089">
        <w:t>)</w:t>
      </w:r>
      <w:r>
        <w:t>. F</w:t>
      </w:r>
      <w:r w:rsidRPr="00315E9A">
        <w:t>loodplain wetlands occur along a water-availability gradient that governs the zones where particular plant and</w:t>
      </w:r>
      <w:r>
        <w:t xml:space="preserve"> animal species may occur (Brock</w:t>
      </w:r>
      <w:r w:rsidRPr="00315E9A">
        <w:t xml:space="preserve">, </w:t>
      </w:r>
      <w:r>
        <w:t>1994</w:t>
      </w:r>
      <w:r w:rsidRPr="00315E9A">
        <w:t>).</w:t>
      </w:r>
      <w:r>
        <w:t xml:space="preserve"> Wetlands</w:t>
      </w:r>
      <w:r w:rsidRPr="00664089">
        <w:t xml:space="preserve"> are adapted to intermittent periods of wetting and drying (Passfield et al., 2008) and the wetting-drying sequence is also important for habitats within the river channel component of the ecological community. Primarily, changes in the water level in the channel affect the growth of biofilms that</w:t>
      </w:r>
      <w:r>
        <w:t xml:space="preserve"> provide food for fish, </w:t>
      </w:r>
      <w:r w:rsidRPr="00664089">
        <w:t xml:space="preserve">snails and other grazing invertebrates (Walker, 2001). </w:t>
      </w:r>
      <w:r>
        <w:t>However, regulation has tended to stabilise flow and water level within the ecological community and decreased the frequency of overbank flows and thus connectivity between the channel and floodplain (Walker, 1991).</w:t>
      </w:r>
    </w:p>
    <w:p w14:paraId="263F221D" w14:textId="77777777" w:rsidR="0023778C" w:rsidRDefault="0023778C" w:rsidP="0023778C">
      <w:r>
        <w:t>Thus, within the ecological community, the channel is a conduit for transport of water, sediment and other material, and a corridor for dispersal, and the floodplain is the site of key biological processes. Connectivity along the channel, between the channel and floodplain, as well as throughout the drainage network is important. For example, Leigh and Zampatti (2013) found from radio tracking studies of Murray cod that connectivity between the main channel and off-channel habitats was critical to their movement and reproductive success. The floodplain as a whole is, by definition, dependent on flows in the river and the fauna and flora of the channel also depends on access to floodplain habitats and resources. Regulation (and infrastructure) and reduced flows have led to fragmentation and widespread disconnection within the ecological community (Norris et al., 2001).</w:t>
      </w:r>
    </w:p>
    <w:p w14:paraId="620B6222" w14:textId="77777777" w:rsidR="00C61389" w:rsidRPr="007350ED" w:rsidRDefault="00C61389" w:rsidP="00A2521C">
      <w:pPr>
        <w:pStyle w:val="Heading5"/>
      </w:pPr>
      <w:r w:rsidRPr="007350ED">
        <w:t>Within channel including between freshwater and estuarine/marine habitats</w:t>
      </w:r>
    </w:p>
    <w:p w14:paraId="69C090C2" w14:textId="58C85F97" w:rsidR="00C61389" w:rsidRDefault="00C61389" w:rsidP="00C61389">
      <w:r>
        <w:t xml:space="preserve">Under regulated conditions, approximately 39% (4723 GL) of natural mean discharge (12 233 GL) reaches the sea (CSIRO, 2008), however due to over abstraction and the Millennium Drought River Murray inflows were extremely low (e.g. &lt; 600 GL/y 2007-09). With high rates of evaporation in the Lower lakes (typically &gt; 750 GL/y; CSIRO, 2008), inflows were insufficient to maintain typical regulated water levels </w:t>
      </w:r>
      <w:r w:rsidR="003860F6">
        <w:t>(~</w:t>
      </w:r>
      <w:r>
        <w:t>0.75 m AHD) and the lakes fell below sea level, reaching a historical low in May 2009 (-1.0 AHD) (Zampatti et al., 2011b). Receding water level was accompanied by the complete physical and biological disconnection of the Lower Lakes and the estuarine Coorong in March 2007.</w:t>
      </w:r>
    </w:p>
    <w:p w14:paraId="1B7E5D96" w14:textId="77777777" w:rsidR="00C61389" w:rsidRDefault="00C61389" w:rsidP="00C61389">
      <w:r>
        <w:t>Longitudinal movement is a major part of the ecology of most native fish species, however many physical and hydrological barriers impede fish movement within the ecological community (Stuart et al., 2008; Zampatti et al., 2011a, b, c). There has been much effort over the past decade to improve fish movement through installation of fishways, although much more research needs to be done in terms of assessing their effectiveness for small and large-bodied fish, and prioritising locations of further installations (Stuart et al., 2008).</w:t>
      </w:r>
    </w:p>
    <w:p w14:paraId="59D907AD" w14:textId="77777777" w:rsidR="00C61389" w:rsidRDefault="00C61389" w:rsidP="00C61389">
      <w:r>
        <w:t>Freshwater inflows and connectivity between freshwater and marine/estuarine environments play a crucial role in structuring the composition of biotic assemblages within the ecological community, and in particular native fish assemblages. For example these connections facilitate recruitment of diadromous (i.e. catadromous and anadromous) fish such as congolli (and common galaxias, eels and lampreys) in the Coorong estuary (Zampatti et al., 2011b). In their four year survey, Zampatti et al. (2011b) found that:</w:t>
      </w:r>
    </w:p>
    <w:p w14:paraId="76085CEC" w14:textId="77777777" w:rsidR="00C61389" w:rsidRDefault="00C61389" w:rsidP="004162AC">
      <w:pPr>
        <w:pStyle w:val="ListBullet"/>
        <w:numPr>
          <w:ilvl w:val="0"/>
          <w:numId w:val="64"/>
        </w:numPr>
        <w:spacing w:after="120"/>
      </w:pPr>
      <w:r w:rsidRPr="007E2350">
        <w:t>cessation of freshwater inflow and disconnection of the Coorong estuary from the freshwater Lower Lakes resulted in increases in estuarine salinities and a concomita</w:t>
      </w:r>
      <w:r>
        <w:t xml:space="preserve">nt decrease in species richness </w:t>
      </w:r>
    </w:p>
    <w:p w14:paraId="39E1CB36" w14:textId="77777777" w:rsidR="00C61389" w:rsidRPr="007E2350" w:rsidRDefault="00C61389" w:rsidP="004162AC">
      <w:pPr>
        <w:pStyle w:val="ListBullet"/>
        <w:numPr>
          <w:ilvl w:val="0"/>
          <w:numId w:val="64"/>
        </w:numPr>
        <w:spacing w:after="120"/>
      </w:pPr>
      <w:r w:rsidRPr="007E2350">
        <w:lastRenderedPageBreak/>
        <w:t>when brackish conditions prevailed, fish assemblages were characterised by a diversity of freshwater, diadromous and estuarine and marine s</w:t>
      </w:r>
      <w:r>
        <w:t>pecies</w:t>
      </w:r>
    </w:p>
    <w:p w14:paraId="263DABAA" w14:textId="77777777" w:rsidR="00C61389" w:rsidRPr="007E2350" w:rsidRDefault="00C61389" w:rsidP="004162AC">
      <w:pPr>
        <w:pStyle w:val="ListBullet"/>
        <w:numPr>
          <w:ilvl w:val="0"/>
          <w:numId w:val="64"/>
        </w:numPr>
        <w:spacing w:after="120"/>
      </w:pPr>
      <w:r w:rsidRPr="007E2350">
        <w:t>when salinities increased, freshwater, diadromous and estuarine species were lost and marine species become more common</w:t>
      </w:r>
      <w:r>
        <w:t xml:space="preserve">; and </w:t>
      </w:r>
    </w:p>
    <w:p w14:paraId="26EF5274" w14:textId="77777777" w:rsidR="00C61389" w:rsidRPr="00A41CFB" w:rsidRDefault="00C61389" w:rsidP="004162AC">
      <w:pPr>
        <w:pStyle w:val="ListBullet"/>
        <w:numPr>
          <w:ilvl w:val="0"/>
          <w:numId w:val="64"/>
        </w:numPr>
        <w:spacing w:after="120"/>
      </w:pPr>
      <w:r>
        <w:t xml:space="preserve">as freshwater inflows into the Coorong diminished, the abundance of diadromous species decreased dramatically (with lampreys disappearing completely when inflows ceased). </w:t>
      </w:r>
    </w:p>
    <w:p w14:paraId="463B00BC" w14:textId="52FC1872" w:rsidR="00C61389" w:rsidRDefault="00C61389" w:rsidP="00C61389">
      <w:r>
        <w:t>Variable within-channel flows are also important for native fish recruitment. Many species are cued to spawn by rising flows and others rely on post-spawning migration downstream flow of larvae and juveniles. A prime example of such a flow-ecology relationship is that of golden perch (</w:t>
      </w:r>
      <w:r w:rsidRPr="005E559C">
        <w:rPr>
          <w:i/>
        </w:rPr>
        <w:t>Macquaria ambigua ambigua</w:t>
      </w:r>
      <w:r>
        <w:t xml:space="preserve">). Golden perch recruitment appears negligible in years when flow is low and stable but low-level recruitment occurs in within-channel flows of &gt; 15 000 ML/d if prolonged (i.e. medium or moderate sized flows; Leigh and Zampatti, 2012).  These authors indicate that these medium flows (i.e. 15 000 - 25, 000 ML/d) can be practically restored within the current constraints of regulation operation. </w:t>
      </w:r>
    </w:p>
    <w:p w14:paraId="609808E8" w14:textId="77777777" w:rsidR="00C61389" w:rsidRDefault="00C61389" w:rsidP="00C61389">
      <w:r>
        <w:t>The Chowilla system is an important area of permanent lotic (flowing anabranch) habitats, which are uncommon in the remainder of the ecological community (Zampatti et al., 2011b). It is recognised as an important area for fish breeding and refuge, including for Murray cod (Zampatti et al., 2011b). Connectivity between this area and the remainder of the ecological community is therefore vital. However regulating structures impede the movements of fish and other biota between mesohabitats within this area. Promotion hydrological connectivity is vital to maintaining and potentially restoring native fish populations and other aquatic biota within the ecological community (Zampatti et al., 2011b,c).</w:t>
      </w:r>
    </w:p>
    <w:p w14:paraId="64792D84" w14:textId="778DA7DC" w:rsidR="004F506E" w:rsidRPr="00145426" w:rsidRDefault="004F506E" w:rsidP="006E2204">
      <w:pPr>
        <w:pStyle w:val="Heading4"/>
      </w:pPr>
      <w:r w:rsidRPr="00145426">
        <w:t>Conclusion</w:t>
      </w:r>
      <w:r w:rsidR="007A7352" w:rsidRPr="00145426">
        <w:t xml:space="preserve"> Criterion 4</w:t>
      </w:r>
    </w:p>
    <w:p w14:paraId="69F33D03" w14:textId="77777777" w:rsidR="00517671" w:rsidRDefault="00517671" w:rsidP="00517671">
      <w:r w:rsidRPr="005B7AA3">
        <w:t>The combi</w:t>
      </w:r>
      <w:r>
        <w:t>ned impacts of the various threats operating have</w:t>
      </w:r>
      <w:r w:rsidRPr="005B7AA3">
        <w:t xml:space="preserve"> reduced the integrit</w:t>
      </w:r>
      <w:r>
        <w:t>y of the ecological community through:</w:t>
      </w:r>
    </w:p>
    <w:p w14:paraId="33788CB5" w14:textId="77777777" w:rsidR="00517671" w:rsidRPr="002D6EE7" w:rsidRDefault="00517671" w:rsidP="004162AC">
      <w:pPr>
        <w:pStyle w:val="ListBullet"/>
        <w:numPr>
          <w:ilvl w:val="0"/>
          <w:numId w:val="65"/>
        </w:numPr>
        <w:spacing w:after="120"/>
      </w:pPr>
      <w:r w:rsidRPr="002D6EE7">
        <w:t>reductions in biodiversity</w:t>
      </w:r>
      <w:r>
        <w:t>, including genetic diversity (e.g. Frankham, 1996),</w:t>
      </w:r>
      <w:r w:rsidRPr="002D6EE7">
        <w:t xml:space="preserve"> across a range of taxa and habitats </w:t>
      </w:r>
    </w:p>
    <w:p w14:paraId="32BAD5D2" w14:textId="77777777" w:rsidR="00517671" w:rsidRDefault="00517671" w:rsidP="004162AC">
      <w:pPr>
        <w:pStyle w:val="ListBullet"/>
        <w:numPr>
          <w:ilvl w:val="0"/>
          <w:numId w:val="65"/>
        </w:numPr>
        <w:spacing w:after="120"/>
      </w:pPr>
      <w:r>
        <w:t>promotion of conditions that favour alien species, including 'pests', and</w:t>
      </w:r>
    </w:p>
    <w:p w14:paraId="44A99981" w14:textId="77777777" w:rsidR="00517671" w:rsidRDefault="00517671" w:rsidP="004162AC">
      <w:pPr>
        <w:pStyle w:val="ListBullet"/>
        <w:numPr>
          <w:ilvl w:val="0"/>
          <w:numId w:val="65"/>
        </w:numPr>
        <w:spacing w:after="120"/>
      </w:pPr>
      <w:r>
        <w:t xml:space="preserve">altered hydrological regimes and loss of connectivity leading to </w:t>
      </w:r>
      <w:r w:rsidRPr="002D6EE7">
        <w:t>disrup</w:t>
      </w:r>
      <w:r>
        <w:t>tion of  key ecological processes, s</w:t>
      </w:r>
      <w:r w:rsidRPr="002D6EE7">
        <w:t>uch as</w:t>
      </w:r>
      <w:r>
        <w:t>:</w:t>
      </w:r>
      <w:r w:rsidRPr="002D6EE7">
        <w:t xml:space="preserve"> natural cycles of reproduction</w:t>
      </w:r>
      <w:r>
        <w:t>, recruitment</w:t>
      </w:r>
      <w:r w:rsidRPr="002D6EE7">
        <w:t xml:space="preserve"> and regeneration, maintaining movement and dispersal corridors ( in the water-column and on land), and providing </w:t>
      </w:r>
      <w:r>
        <w:t xml:space="preserve">complex </w:t>
      </w:r>
      <w:r w:rsidRPr="002D6EE7">
        <w:t>habitat</w:t>
      </w:r>
      <w:r>
        <w:t>s.</w:t>
      </w:r>
    </w:p>
    <w:p w14:paraId="3972B6E4" w14:textId="3CB56814" w:rsidR="00517671" w:rsidRDefault="00517671" w:rsidP="00517671">
      <w:r>
        <w:t>These reductions in integrity have impaired the</w:t>
      </w:r>
      <w:r w:rsidRPr="002D6EE7">
        <w:t xml:space="preserve"> resilience </w:t>
      </w:r>
      <w:r>
        <w:t>of the ecological community due to ongoing</w:t>
      </w:r>
      <w:r w:rsidRPr="002D6EE7">
        <w:t xml:space="preserve"> natural and anthropogenic pressures</w:t>
      </w:r>
      <w:r>
        <w:t>, which will further exacerbate the continued and combined impacts of the various threats, including climate change</w:t>
      </w:r>
      <w:r w:rsidRPr="002D6EE7">
        <w:t>.</w:t>
      </w:r>
      <w:r>
        <w:t xml:space="preserve"> </w:t>
      </w:r>
    </w:p>
    <w:p w14:paraId="00DF182E" w14:textId="6BF73EAD" w:rsidR="00517671" w:rsidRDefault="00517671" w:rsidP="00517671">
      <w:r>
        <w:t>A number of management actions have been taken, and are ongoing, to remove pressures and restore resilience</w:t>
      </w:r>
      <w:r w:rsidR="00D53A37">
        <w:t>. For example,</w:t>
      </w:r>
      <w:r>
        <w:t xml:space="preserve"> the Basin Plan in particular is aimed at restoring environmental flows. However </w:t>
      </w:r>
      <w:r w:rsidR="00D53A37">
        <w:t xml:space="preserve">the Basin Plan </w:t>
      </w:r>
      <w:r>
        <w:t xml:space="preserve">will not be </w:t>
      </w:r>
      <w:r w:rsidR="00D53A37">
        <w:t xml:space="preserve">fully </w:t>
      </w:r>
      <w:r>
        <w:t>implemented for some time</w:t>
      </w:r>
      <w:r w:rsidR="00D53A37">
        <w:t>,</w:t>
      </w:r>
      <w:r>
        <w:t xml:space="preserve"> and is unlikely to restore the integrity of the ecological community in the immediate future.</w:t>
      </w:r>
    </w:p>
    <w:p w14:paraId="0ADD953B" w14:textId="1E478011" w:rsidR="00524848" w:rsidRPr="002A2AC8" w:rsidRDefault="00845FFE" w:rsidP="00524848">
      <w:pPr>
        <w:pStyle w:val="twentypointnormal"/>
        <w:ind w:left="0"/>
        <w:rPr>
          <w:rFonts w:ascii="Cambria" w:hAnsi="Cambria"/>
          <w:sz w:val="22"/>
          <w:szCs w:val="22"/>
        </w:rPr>
      </w:pPr>
      <w:r w:rsidRPr="002A2AC8">
        <w:rPr>
          <w:rFonts w:ascii="Cambria" w:hAnsi="Cambria"/>
          <w:sz w:val="22"/>
          <w:szCs w:val="22"/>
        </w:rPr>
        <w:t>After preliminary assessment, t</w:t>
      </w:r>
      <w:r w:rsidR="00517671" w:rsidRPr="002A2AC8">
        <w:rPr>
          <w:rFonts w:ascii="Cambria" w:hAnsi="Cambria"/>
          <w:sz w:val="22"/>
          <w:szCs w:val="22"/>
        </w:rPr>
        <w:t xml:space="preserve">he Committee considers that the change in integrity experienced by the ecological community </w:t>
      </w:r>
      <w:r w:rsidR="00F337EA" w:rsidRPr="002A2AC8">
        <w:rPr>
          <w:rFonts w:ascii="Cambria" w:hAnsi="Cambria"/>
          <w:sz w:val="22"/>
          <w:szCs w:val="22"/>
        </w:rPr>
        <w:t>may have met the relevant elements of Criterion 4</w:t>
      </w:r>
      <w:r w:rsidR="003E1CFE" w:rsidRPr="002A2AC8">
        <w:rPr>
          <w:rFonts w:ascii="Cambria" w:hAnsi="Cambria"/>
          <w:sz w:val="22"/>
          <w:szCs w:val="22"/>
        </w:rPr>
        <w:t xml:space="preserve"> (i.e.</w:t>
      </w:r>
      <w:r w:rsidR="00517671" w:rsidRPr="002A2AC8">
        <w:rPr>
          <w:rFonts w:ascii="Cambria" w:hAnsi="Cambria"/>
          <w:sz w:val="22"/>
          <w:szCs w:val="22"/>
        </w:rPr>
        <w:t xml:space="preserve"> </w:t>
      </w:r>
      <w:r w:rsidR="00517671" w:rsidRPr="002A2AC8">
        <w:rPr>
          <w:rFonts w:ascii="Cambria" w:hAnsi="Cambria"/>
          <w:b/>
          <w:sz w:val="22"/>
          <w:szCs w:val="22"/>
        </w:rPr>
        <w:t xml:space="preserve">very severe </w:t>
      </w:r>
      <w:r w:rsidR="00517671" w:rsidRPr="002A2AC8">
        <w:rPr>
          <w:rFonts w:ascii="Cambria" w:hAnsi="Cambria"/>
          <w:sz w:val="22"/>
          <w:szCs w:val="22"/>
        </w:rPr>
        <w:t>and restoration across the extent of the ecological community is unlikely in the immediate future</w:t>
      </w:r>
      <w:r w:rsidR="003E1CFE" w:rsidRPr="002A2AC8">
        <w:rPr>
          <w:rFonts w:ascii="Cambria" w:hAnsi="Cambria"/>
          <w:sz w:val="22"/>
          <w:szCs w:val="22"/>
        </w:rPr>
        <w:t xml:space="preserve">) to make it eligible for listing </w:t>
      </w:r>
      <w:r w:rsidR="00517671" w:rsidRPr="002A2AC8">
        <w:rPr>
          <w:rFonts w:ascii="Cambria" w:hAnsi="Cambria"/>
          <w:sz w:val="22"/>
          <w:szCs w:val="22"/>
        </w:rPr>
        <w:t xml:space="preserve">as </w:t>
      </w:r>
      <w:r w:rsidR="00517671" w:rsidRPr="002A2AC8">
        <w:rPr>
          <w:rFonts w:ascii="Cambria" w:hAnsi="Cambria"/>
          <w:b/>
          <w:sz w:val="22"/>
          <w:szCs w:val="22"/>
        </w:rPr>
        <w:t xml:space="preserve">Critically </w:t>
      </w:r>
      <w:r w:rsidR="003E1CFE" w:rsidRPr="002A2AC8">
        <w:rPr>
          <w:rFonts w:ascii="Cambria" w:hAnsi="Cambria"/>
          <w:b/>
          <w:sz w:val="22"/>
          <w:szCs w:val="22"/>
        </w:rPr>
        <w:t>E</w:t>
      </w:r>
      <w:r w:rsidR="00517671" w:rsidRPr="002A2AC8">
        <w:rPr>
          <w:rFonts w:ascii="Cambria" w:hAnsi="Cambria"/>
          <w:b/>
          <w:sz w:val="22"/>
          <w:szCs w:val="22"/>
        </w:rPr>
        <w:t>ndangered</w:t>
      </w:r>
      <w:r w:rsidR="00517671" w:rsidRPr="002A2AC8">
        <w:rPr>
          <w:rFonts w:ascii="Cambria" w:hAnsi="Cambria"/>
          <w:sz w:val="22"/>
          <w:szCs w:val="22"/>
        </w:rPr>
        <w:t>.</w:t>
      </w:r>
    </w:p>
    <w:p w14:paraId="71B2B6B2" w14:textId="77777777" w:rsidR="00524848" w:rsidRDefault="00524848" w:rsidP="00C16752">
      <w:pPr>
        <w:keepNext/>
        <w:pBdr>
          <w:top w:val="single" w:sz="4" w:space="1" w:color="auto"/>
          <w:left w:val="single" w:sz="4" w:space="4" w:color="auto"/>
          <w:bottom w:val="single" w:sz="4" w:space="1" w:color="auto"/>
          <w:right w:val="single" w:sz="4" w:space="0" w:color="auto"/>
        </w:pBdr>
        <w:shd w:val="clear" w:color="auto" w:fill="FFF2CC" w:themeFill="accent4" w:themeFillTint="33"/>
      </w:pPr>
      <w:r w:rsidRPr="00DF09D1">
        <w:lastRenderedPageBreak/>
        <w:t>Consultation Questions</w:t>
      </w:r>
      <w:r>
        <w:t xml:space="preserve"> on listing assessment </w:t>
      </w:r>
    </w:p>
    <w:p w14:paraId="3C25651E" w14:textId="7FC6B26B" w:rsidR="00695E32" w:rsidRPr="00DF09D1" w:rsidRDefault="00D21A8E" w:rsidP="00C16752">
      <w:pPr>
        <w:keepNext/>
        <w:pBdr>
          <w:top w:val="single" w:sz="4" w:space="1" w:color="auto"/>
          <w:left w:val="single" w:sz="4" w:space="4" w:color="auto"/>
          <w:bottom w:val="single" w:sz="4" w:space="1" w:color="auto"/>
          <w:right w:val="single" w:sz="4" w:space="0" w:color="auto"/>
        </w:pBdr>
        <w:shd w:val="clear" w:color="auto" w:fill="FFF2CC" w:themeFill="accent4" w:themeFillTint="33"/>
      </w:pPr>
      <w:r>
        <w:t xml:space="preserve">More recent data and </w:t>
      </w:r>
      <w:r w:rsidR="007A4ADA">
        <w:t>analysis</w:t>
      </w:r>
      <w:r>
        <w:t xml:space="preserve"> on trends will be available and will be incorporated when Murray-Darling Basin Plan and Water and Environment Research Program (WERP) reports are released soon. In addition to that:</w:t>
      </w:r>
    </w:p>
    <w:p w14:paraId="6EA86239" w14:textId="34059E5E" w:rsidR="00D21A8E" w:rsidRPr="00D21A8E" w:rsidRDefault="00D21A8E" w:rsidP="00D21A8E">
      <w:pPr>
        <w:pStyle w:val="Consultationquestions"/>
        <w:pBdr>
          <w:right w:val="single" w:sz="4" w:space="0" w:color="auto"/>
        </w:pBdr>
        <w:shd w:val="clear" w:color="auto" w:fill="FFF2CC" w:themeFill="accent4" w:themeFillTint="33"/>
        <w:ind w:left="425" w:hanging="425"/>
        <w:rPr>
          <w:color w:val="auto"/>
        </w:rPr>
      </w:pPr>
      <w:r>
        <w:rPr>
          <w:color w:val="auto"/>
        </w:rPr>
        <w:t xml:space="preserve">Do you have any feedback on the preliminary assessment under Criterion 4 or further data or information on changes in integrity and processes that would support or update the assessment, including references? </w:t>
      </w:r>
    </w:p>
    <w:p w14:paraId="54D46285" w14:textId="1429660B" w:rsidR="00FA6C76" w:rsidRDefault="00FA6C76">
      <w:pPr>
        <w:spacing w:after="160" w:line="259" w:lineRule="auto"/>
        <w:rPr>
          <w:rFonts w:asciiTheme="minorHAnsi" w:eastAsiaTheme="majorEastAsia" w:hAnsiTheme="minorHAnsi" w:cstheme="majorBidi"/>
          <w:i/>
          <w:szCs w:val="24"/>
        </w:rPr>
      </w:pPr>
      <w:bookmarkStart w:id="291" w:name="_Toc175317105"/>
    </w:p>
    <w:p w14:paraId="2CD9CF94" w14:textId="2ED180B1" w:rsidR="00F26D3D" w:rsidRDefault="00FA6C76" w:rsidP="00550384">
      <w:pPr>
        <w:pStyle w:val="Heading3"/>
      </w:pPr>
      <w:r w:rsidRPr="00FA6C76">
        <w:t xml:space="preserve">6.2.5 </w:t>
      </w:r>
      <w:r w:rsidR="00F26D3D" w:rsidRPr="00FA6C76">
        <w:t>Criterion 5 – rate of continuing detrimental change</w:t>
      </w:r>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240"/>
        <w:gridCol w:w="1274"/>
        <w:gridCol w:w="1274"/>
        <w:gridCol w:w="1272"/>
      </w:tblGrid>
      <w:tr w:rsidR="000F7A57" w:rsidRPr="00051D51" w14:paraId="7076E58B" w14:textId="77777777" w:rsidTr="00293454">
        <w:trPr>
          <w:cantSplit/>
          <w:tblHeader/>
          <w:jc w:val="center"/>
        </w:trPr>
        <w:tc>
          <w:tcPr>
            <w:tcW w:w="2892" w:type="pct"/>
            <w:vMerge w:val="restart"/>
            <w:vAlign w:val="center"/>
          </w:tcPr>
          <w:p w14:paraId="562BD98D" w14:textId="77777777" w:rsidR="000F7A57" w:rsidRPr="00051D51" w:rsidRDefault="000F7A57" w:rsidP="00293454">
            <w:pPr>
              <w:pStyle w:val="Tabletext"/>
            </w:pPr>
            <w:bookmarkStart w:id="292" w:name="_Hlk40363822"/>
            <w:bookmarkStart w:id="293" w:name="_Hlk40363846"/>
          </w:p>
        </w:tc>
        <w:tc>
          <w:tcPr>
            <w:tcW w:w="2108" w:type="pct"/>
            <w:gridSpan w:val="3"/>
            <w:vAlign w:val="center"/>
          </w:tcPr>
          <w:p w14:paraId="6B45D12F" w14:textId="77777777" w:rsidR="000F7A57" w:rsidRPr="00153204" w:rsidRDefault="000F7A57" w:rsidP="00293454">
            <w:pPr>
              <w:pStyle w:val="Tabletext"/>
              <w:jc w:val="center"/>
              <w:rPr>
                <w:b/>
                <w:bCs/>
              </w:rPr>
            </w:pPr>
            <w:r w:rsidRPr="00153204">
              <w:rPr>
                <w:b/>
                <w:bCs/>
              </w:rPr>
              <w:t>Category</w:t>
            </w:r>
          </w:p>
        </w:tc>
      </w:tr>
      <w:tr w:rsidR="000F7A57" w:rsidRPr="00051D51" w14:paraId="7725C3B2" w14:textId="77777777" w:rsidTr="00293454">
        <w:trPr>
          <w:cantSplit/>
          <w:tblHeader/>
          <w:jc w:val="center"/>
        </w:trPr>
        <w:tc>
          <w:tcPr>
            <w:tcW w:w="2892" w:type="pct"/>
            <w:vMerge/>
            <w:vAlign w:val="center"/>
          </w:tcPr>
          <w:p w14:paraId="1C50EDE0" w14:textId="77777777" w:rsidR="000F7A57" w:rsidRPr="00051D51" w:rsidRDefault="000F7A57" w:rsidP="00293454">
            <w:pPr>
              <w:pStyle w:val="Tabletext"/>
            </w:pPr>
          </w:p>
        </w:tc>
        <w:tc>
          <w:tcPr>
            <w:tcW w:w="703" w:type="pct"/>
            <w:vAlign w:val="center"/>
          </w:tcPr>
          <w:p w14:paraId="67C25EE6" w14:textId="77777777" w:rsidR="000F7A57" w:rsidRPr="00153204" w:rsidRDefault="000F7A57" w:rsidP="00293454">
            <w:pPr>
              <w:pStyle w:val="Tabletext"/>
              <w:jc w:val="center"/>
              <w:rPr>
                <w:b/>
                <w:bCs/>
              </w:rPr>
            </w:pPr>
            <w:r w:rsidRPr="00153204">
              <w:rPr>
                <w:b/>
                <w:bCs/>
              </w:rPr>
              <w:t>Critically Endangered</w:t>
            </w:r>
          </w:p>
        </w:tc>
        <w:tc>
          <w:tcPr>
            <w:tcW w:w="703" w:type="pct"/>
            <w:vAlign w:val="center"/>
          </w:tcPr>
          <w:p w14:paraId="26BF840F" w14:textId="77777777" w:rsidR="000F7A57" w:rsidRPr="00153204" w:rsidRDefault="000F7A57" w:rsidP="00293454">
            <w:pPr>
              <w:pStyle w:val="Tabletext"/>
              <w:jc w:val="center"/>
              <w:rPr>
                <w:b/>
                <w:bCs/>
              </w:rPr>
            </w:pPr>
            <w:r w:rsidRPr="00153204">
              <w:rPr>
                <w:b/>
                <w:bCs/>
              </w:rPr>
              <w:t>Endangered</w:t>
            </w:r>
          </w:p>
        </w:tc>
        <w:tc>
          <w:tcPr>
            <w:tcW w:w="703" w:type="pct"/>
            <w:vAlign w:val="center"/>
          </w:tcPr>
          <w:p w14:paraId="1C39F982" w14:textId="77777777" w:rsidR="000F7A57" w:rsidRPr="00153204" w:rsidRDefault="000F7A57" w:rsidP="00293454">
            <w:pPr>
              <w:pStyle w:val="Tabletext"/>
              <w:jc w:val="center"/>
              <w:rPr>
                <w:b/>
                <w:bCs/>
              </w:rPr>
            </w:pPr>
            <w:r w:rsidRPr="00153204">
              <w:rPr>
                <w:b/>
                <w:bCs/>
              </w:rPr>
              <w:t>Vulnerable</w:t>
            </w:r>
          </w:p>
        </w:tc>
      </w:tr>
      <w:bookmarkEnd w:id="292"/>
      <w:bookmarkEnd w:id="293"/>
      <w:tr w:rsidR="000F7A57" w:rsidRPr="00051D51" w14:paraId="358FEE59" w14:textId="77777777" w:rsidTr="00293454">
        <w:trPr>
          <w:cantSplit/>
          <w:jc w:val="center"/>
        </w:trPr>
        <w:tc>
          <w:tcPr>
            <w:tcW w:w="2892" w:type="pct"/>
            <w:shd w:val="clear" w:color="auto" w:fill="F2F2F2" w:themeFill="background1" w:themeFillShade="F2"/>
            <w:vAlign w:val="center"/>
          </w:tcPr>
          <w:p w14:paraId="7ED16AD6" w14:textId="77777777" w:rsidR="000F7A57" w:rsidRPr="00051D51" w:rsidRDefault="000F7A57" w:rsidP="00293454">
            <w:pPr>
              <w:pStyle w:val="Tabletext"/>
              <w:keepNext/>
            </w:pPr>
            <w:r w:rsidRPr="00051D51">
              <w:t xml:space="preserve">Its rate of continuing detrimental change is: </w:t>
            </w:r>
          </w:p>
          <w:p w14:paraId="42FC9897" w14:textId="77777777" w:rsidR="000F7A57" w:rsidRPr="00051D51" w:rsidRDefault="000F7A57" w:rsidP="00293454">
            <w:pPr>
              <w:pStyle w:val="Tabletext"/>
              <w:keepNext/>
            </w:pPr>
            <w:r w:rsidRPr="00051D51">
              <w:t xml:space="preserve">as indicated by: </w:t>
            </w:r>
          </w:p>
        </w:tc>
        <w:tc>
          <w:tcPr>
            <w:tcW w:w="703" w:type="pct"/>
            <w:shd w:val="clear" w:color="auto" w:fill="F2F2F2" w:themeFill="background1" w:themeFillShade="F2"/>
            <w:vAlign w:val="center"/>
          </w:tcPr>
          <w:p w14:paraId="6F76B4A4" w14:textId="77777777" w:rsidR="000F7A57" w:rsidRPr="00051D51" w:rsidRDefault="000F7A57" w:rsidP="00293454">
            <w:pPr>
              <w:pStyle w:val="Tabletext"/>
              <w:keepNext/>
              <w:jc w:val="center"/>
            </w:pPr>
            <w:r w:rsidRPr="00051D51">
              <w:t>very severe</w:t>
            </w:r>
          </w:p>
        </w:tc>
        <w:tc>
          <w:tcPr>
            <w:tcW w:w="703" w:type="pct"/>
            <w:shd w:val="clear" w:color="auto" w:fill="F2F2F2" w:themeFill="background1" w:themeFillShade="F2"/>
            <w:vAlign w:val="center"/>
          </w:tcPr>
          <w:p w14:paraId="37FCE4F9" w14:textId="77777777" w:rsidR="000F7A57" w:rsidRPr="00051D51" w:rsidRDefault="000F7A57" w:rsidP="00293454">
            <w:pPr>
              <w:pStyle w:val="Tabletext"/>
              <w:keepNext/>
              <w:jc w:val="center"/>
            </w:pPr>
            <w:r w:rsidRPr="00051D51">
              <w:t>severe</w:t>
            </w:r>
          </w:p>
        </w:tc>
        <w:tc>
          <w:tcPr>
            <w:tcW w:w="703" w:type="pct"/>
            <w:shd w:val="clear" w:color="auto" w:fill="F2F2F2" w:themeFill="background1" w:themeFillShade="F2"/>
            <w:vAlign w:val="center"/>
          </w:tcPr>
          <w:p w14:paraId="7BE905C9" w14:textId="77777777" w:rsidR="000F7A57" w:rsidRPr="00051D51" w:rsidRDefault="000F7A57" w:rsidP="00293454">
            <w:pPr>
              <w:pStyle w:val="Tabletext"/>
              <w:keepNext/>
              <w:jc w:val="center"/>
            </w:pPr>
            <w:r w:rsidRPr="00051D51">
              <w:t>substantial</w:t>
            </w:r>
          </w:p>
        </w:tc>
      </w:tr>
      <w:tr w:rsidR="000F7A57" w:rsidRPr="00051D51" w14:paraId="260B302C" w14:textId="77777777" w:rsidTr="00293454">
        <w:trPr>
          <w:cantSplit/>
          <w:jc w:val="center"/>
        </w:trPr>
        <w:tc>
          <w:tcPr>
            <w:tcW w:w="2892" w:type="pct"/>
            <w:shd w:val="clear" w:color="auto" w:fill="F2F2F2" w:themeFill="background1" w:themeFillShade="F2"/>
            <w:vAlign w:val="center"/>
          </w:tcPr>
          <w:p w14:paraId="6DB7AFC2" w14:textId="77777777" w:rsidR="000F7A57" w:rsidRPr="00051D51" w:rsidRDefault="000F7A57" w:rsidP="00293454">
            <w:pPr>
              <w:pStyle w:val="Tabletext"/>
            </w:pPr>
            <w:r w:rsidRPr="00051D51">
              <w:t xml:space="preserve">(a) rate of continuing decline in its geographic distribution, or a population of a native species that is believed to play a major role in the community, that is: </w:t>
            </w:r>
          </w:p>
          <w:p w14:paraId="3ADEA71A" w14:textId="77777777" w:rsidR="000F7A57" w:rsidRPr="00051D51" w:rsidRDefault="000F7A57" w:rsidP="00293454">
            <w:pPr>
              <w:pStyle w:val="Tabletext"/>
            </w:pPr>
            <w:r w:rsidRPr="00051D51">
              <w:t xml:space="preserve">OR </w:t>
            </w:r>
          </w:p>
        </w:tc>
        <w:tc>
          <w:tcPr>
            <w:tcW w:w="703" w:type="pct"/>
            <w:shd w:val="clear" w:color="auto" w:fill="F2F2F2" w:themeFill="background1" w:themeFillShade="F2"/>
            <w:vAlign w:val="center"/>
          </w:tcPr>
          <w:p w14:paraId="0ABD7394" w14:textId="77777777" w:rsidR="000F7A57" w:rsidRPr="00051D51" w:rsidRDefault="000F7A57" w:rsidP="00293454">
            <w:pPr>
              <w:pStyle w:val="Tabletext"/>
              <w:jc w:val="center"/>
            </w:pPr>
            <w:r w:rsidRPr="00051D51">
              <w:t>very severe</w:t>
            </w:r>
          </w:p>
        </w:tc>
        <w:tc>
          <w:tcPr>
            <w:tcW w:w="703" w:type="pct"/>
            <w:shd w:val="clear" w:color="auto" w:fill="F2F2F2" w:themeFill="background1" w:themeFillShade="F2"/>
            <w:vAlign w:val="center"/>
          </w:tcPr>
          <w:p w14:paraId="2107B428" w14:textId="77777777" w:rsidR="000F7A57" w:rsidRPr="00051D51" w:rsidRDefault="000F7A57" w:rsidP="00293454">
            <w:pPr>
              <w:pStyle w:val="Tabletext"/>
              <w:jc w:val="center"/>
            </w:pPr>
            <w:r w:rsidRPr="00051D51">
              <w:t>severe</w:t>
            </w:r>
          </w:p>
        </w:tc>
        <w:tc>
          <w:tcPr>
            <w:tcW w:w="703" w:type="pct"/>
            <w:shd w:val="clear" w:color="auto" w:fill="F2F2F2" w:themeFill="background1" w:themeFillShade="F2"/>
            <w:vAlign w:val="center"/>
          </w:tcPr>
          <w:p w14:paraId="3F972FA2" w14:textId="77777777" w:rsidR="000F7A57" w:rsidRPr="00051D51" w:rsidRDefault="000F7A57" w:rsidP="00293454">
            <w:pPr>
              <w:pStyle w:val="Tabletext"/>
              <w:jc w:val="center"/>
            </w:pPr>
            <w:r w:rsidRPr="00051D51">
              <w:t>serious</w:t>
            </w:r>
          </w:p>
        </w:tc>
      </w:tr>
      <w:tr w:rsidR="000F7A57" w:rsidRPr="00051D51" w14:paraId="18388345" w14:textId="77777777" w:rsidTr="00293454">
        <w:trPr>
          <w:cantSplit/>
          <w:jc w:val="center"/>
        </w:trPr>
        <w:tc>
          <w:tcPr>
            <w:tcW w:w="2892" w:type="pct"/>
            <w:shd w:val="clear" w:color="auto" w:fill="F2F2F2" w:themeFill="background1" w:themeFillShade="F2"/>
          </w:tcPr>
          <w:p w14:paraId="1643C50E" w14:textId="77777777" w:rsidR="000F7A57" w:rsidRPr="00051D51" w:rsidRDefault="000F7A57" w:rsidP="00293454">
            <w:pPr>
              <w:pStyle w:val="Tabletext"/>
            </w:pPr>
            <w:r w:rsidRPr="00051D51">
              <w:t>(b) intensification, across most of its geographic distribution, in degradation, or disruption of important community processes, that is:</w:t>
            </w:r>
          </w:p>
        </w:tc>
        <w:tc>
          <w:tcPr>
            <w:tcW w:w="703" w:type="pct"/>
            <w:shd w:val="clear" w:color="auto" w:fill="F2F2F2" w:themeFill="background1" w:themeFillShade="F2"/>
            <w:vAlign w:val="center"/>
          </w:tcPr>
          <w:p w14:paraId="40EB5EFC" w14:textId="77777777" w:rsidR="000F7A57" w:rsidRPr="00051D51" w:rsidRDefault="000F7A57" w:rsidP="00293454">
            <w:pPr>
              <w:pStyle w:val="Tabletext"/>
              <w:jc w:val="center"/>
            </w:pPr>
            <w:r w:rsidRPr="00051D51">
              <w:t>very severe</w:t>
            </w:r>
          </w:p>
        </w:tc>
        <w:tc>
          <w:tcPr>
            <w:tcW w:w="703" w:type="pct"/>
            <w:shd w:val="clear" w:color="auto" w:fill="F2F2F2" w:themeFill="background1" w:themeFillShade="F2"/>
            <w:vAlign w:val="center"/>
          </w:tcPr>
          <w:p w14:paraId="20A7CC88" w14:textId="77777777" w:rsidR="000F7A57" w:rsidRPr="00051D51" w:rsidRDefault="000F7A57" w:rsidP="00293454">
            <w:pPr>
              <w:pStyle w:val="Tabletext"/>
              <w:jc w:val="center"/>
            </w:pPr>
            <w:r w:rsidRPr="00051D51">
              <w:t>severe</w:t>
            </w:r>
          </w:p>
        </w:tc>
        <w:tc>
          <w:tcPr>
            <w:tcW w:w="703" w:type="pct"/>
            <w:shd w:val="clear" w:color="auto" w:fill="F2F2F2" w:themeFill="background1" w:themeFillShade="F2"/>
            <w:vAlign w:val="center"/>
          </w:tcPr>
          <w:p w14:paraId="605E2EDB" w14:textId="77777777" w:rsidR="000F7A57" w:rsidRPr="00051D51" w:rsidRDefault="000F7A57" w:rsidP="00293454">
            <w:pPr>
              <w:pStyle w:val="Tabletext"/>
              <w:jc w:val="center"/>
            </w:pPr>
            <w:r w:rsidRPr="00051D51">
              <w:t>serious</w:t>
            </w:r>
          </w:p>
        </w:tc>
      </w:tr>
      <w:tr w:rsidR="000F7A57" w:rsidRPr="00051D51" w14:paraId="1EF72A26" w14:textId="77777777" w:rsidTr="00293454">
        <w:trPr>
          <w:cantSplit/>
          <w:jc w:val="center"/>
        </w:trPr>
        <w:tc>
          <w:tcPr>
            <w:tcW w:w="2892" w:type="pct"/>
            <w:shd w:val="clear" w:color="auto" w:fill="auto"/>
          </w:tcPr>
          <w:p w14:paraId="4B109D45" w14:textId="77777777" w:rsidR="000F7A57" w:rsidRPr="00051D51" w:rsidRDefault="000F7A57" w:rsidP="00293454">
            <w:pPr>
              <w:pStyle w:val="Tabletext"/>
              <w:rPr>
                <w:i/>
              </w:rPr>
            </w:pPr>
            <w:r w:rsidRPr="00051D51">
              <w:rPr>
                <w:i/>
              </w:rPr>
              <w:t>an observed, estimated, inferred or suspected detrimental change over the immediate past, or projected for the immediate future (10 years or 3 generations</w:t>
            </w:r>
            <w:r>
              <w:rPr>
                <w:i/>
              </w:rPr>
              <w:t>, up to a maximum of 60 years</w:t>
            </w:r>
            <w:r w:rsidRPr="00051D51">
              <w:rPr>
                <w:i/>
              </w:rPr>
              <w:t>), of at least:</w:t>
            </w:r>
          </w:p>
        </w:tc>
        <w:tc>
          <w:tcPr>
            <w:tcW w:w="703" w:type="pct"/>
            <w:shd w:val="clear" w:color="auto" w:fill="auto"/>
          </w:tcPr>
          <w:p w14:paraId="576E4A8A" w14:textId="77777777" w:rsidR="000F7A57" w:rsidRPr="00051D51" w:rsidRDefault="000F7A57" w:rsidP="00293454">
            <w:pPr>
              <w:pStyle w:val="Tabletext"/>
              <w:jc w:val="center"/>
              <w:rPr>
                <w:i/>
              </w:rPr>
            </w:pPr>
            <w:r w:rsidRPr="00051D51">
              <w:rPr>
                <w:i/>
              </w:rPr>
              <w:t>80%</w:t>
            </w:r>
          </w:p>
        </w:tc>
        <w:tc>
          <w:tcPr>
            <w:tcW w:w="703" w:type="pct"/>
            <w:shd w:val="clear" w:color="auto" w:fill="auto"/>
          </w:tcPr>
          <w:p w14:paraId="3D2E6E3E" w14:textId="77777777" w:rsidR="000F7A57" w:rsidRPr="00051D51" w:rsidRDefault="000F7A57" w:rsidP="00293454">
            <w:pPr>
              <w:pStyle w:val="Tabletext"/>
              <w:jc w:val="center"/>
              <w:rPr>
                <w:i/>
              </w:rPr>
            </w:pPr>
            <w:r w:rsidRPr="00051D51">
              <w:rPr>
                <w:i/>
              </w:rPr>
              <w:t>50%</w:t>
            </w:r>
          </w:p>
        </w:tc>
        <w:tc>
          <w:tcPr>
            <w:tcW w:w="703" w:type="pct"/>
            <w:shd w:val="clear" w:color="auto" w:fill="auto"/>
          </w:tcPr>
          <w:p w14:paraId="39481FC2" w14:textId="77777777" w:rsidR="000F7A57" w:rsidRPr="00051D51" w:rsidRDefault="000F7A57" w:rsidP="00293454">
            <w:pPr>
              <w:pStyle w:val="Tabletext"/>
              <w:jc w:val="center"/>
              <w:rPr>
                <w:i/>
              </w:rPr>
            </w:pPr>
            <w:r w:rsidRPr="00051D51">
              <w:rPr>
                <w:i/>
              </w:rPr>
              <w:t>30%</w:t>
            </w:r>
          </w:p>
        </w:tc>
      </w:tr>
    </w:tbl>
    <w:p w14:paraId="750476B1" w14:textId="4988C595" w:rsidR="00BD66D4" w:rsidRDefault="00BD66D4" w:rsidP="007930F2"/>
    <w:p w14:paraId="6D6CF84D" w14:textId="00486983" w:rsidR="007930F2" w:rsidRDefault="007930F2" w:rsidP="007930F2">
      <w:r w:rsidRPr="00D60912">
        <w:t>Eligibility under this criterion is about demonstrating an observed, estimated, inferred, or suspected ongoing detrimental change; where detrimental change may refer to either of the components of this criterion, i.e. to:</w:t>
      </w:r>
    </w:p>
    <w:p w14:paraId="087EA58D" w14:textId="70C509B8" w:rsidR="007930F2" w:rsidRDefault="007930F2" w:rsidP="004162AC">
      <w:pPr>
        <w:pStyle w:val="ListParagraph"/>
        <w:numPr>
          <w:ilvl w:val="0"/>
          <w:numId w:val="66"/>
        </w:numPr>
        <w:spacing w:before="80" w:after="80"/>
        <w:ind w:left="714" w:hanging="357"/>
        <w:contextualSpacing w:val="0"/>
      </w:pPr>
      <w:r w:rsidRPr="00D60912">
        <w:t>changes in the geographic distribution of, or changes to populations of, critically important species</w:t>
      </w:r>
      <w:r>
        <w:t>,</w:t>
      </w:r>
      <w:r w:rsidRPr="00D60912">
        <w:t xml:space="preserve"> or, </w:t>
      </w:r>
    </w:p>
    <w:p w14:paraId="7DA1C432" w14:textId="77777777" w:rsidR="007930F2" w:rsidRPr="00D60912" w:rsidRDefault="007930F2" w:rsidP="004162AC">
      <w:pPr>
        <w:pStyle w:val="ListParagraph"/>
        <w:numPr>
          <w:ilvl w:val="0"/>
          <w:numId w:val="66"/>
        </w:numPr>
        <w:spacing w:before="120" w:after="120"/>
        <w:ind w:left="714" w:hanging="357"/>
        <w:contextualSpacing w:val="0"/>
      </w:pPr>
      <w:r w:rsidRPr="00D60912">
        <w:t xml:space="preserve">degradation or disruption of important processes. </w:t>
      </w:r>
    </w:p>
    <w:p w14:paraId="41F0B849" w14:textId="74DFFB63" w:rsidR="007930F2" w:rsidRDefault="007930F2" w:rsidP="007930F2">
      <w:pPr>
        <w:spacing w:before="120" w:after="120"/>
      </w:pPr>
      <w:r w:rsidRPr="00D60912">
        <w:t xml:space="preserve">Data </w:t>
      </w:r>
      <w:r w:rsidR="002E7A9D">
        <w:t xml:space="preserve">and information </w:t>
      </w:r>
      <w:r w:rsidRPr="00D60912">
        <w:t>to demonstrate this criterion must be documented. They can be in the form of direct measurements of any of the components, levels of exploitation, or the known effects of introduced biotic or abiotic elements on any of the components</w:t>
      </w:r>
      <w:r w:rsidR="001A642F">
        <w:t xml:space="preserve"> of the ecological community</w:t>
      </w:r>
      <w:r w:rsidRPr="00D60912">
        <w:t>.</w:t>
      </w:r>
    </w:p>
    <w:p w14:paraId="08563994" w14:textId="50624614" w:rsidR="004F601D" w:rsidRDefault="004F601D" w:rsidP="004F601D">
      <w:pPr>
        <w:spacing w:before="120" w:after="120"/>
      </w:pPr>
      <w:r>
        <w:t xml:space="preserve">The main threat contributing to an increased rate of detrimental change under Criterion 5 for the RMDS </w:t>
      </w:r>
      <w:r w:rsidRPr="003A5722">
        <w:t>ecological community</w:t>
      </w:r>
      <w:r>
        <w:t>, and for which there is sufficient data a</w:t>
      </w:r>
      <w:r w:rsidR="00A032E7">
        <w:t>t</w:t>
      </w:r>
      <w:r>
        <w:t xml:space="preserve"> the time of the </w:t>
      </w:r>
      <w:r w:rsidR="00A032E7">
        <w:t xml:space="preserve">preliminary </w:t>
      </w:r>
      <w:r>
        <w:t>assessment, is salinisation of the floodplain.</w:t>
      </w:r>
    </w:p>
    <w:p w14:paraId="4A8FE273" w14:textId="26EDA997" w:rsidR="008E50E4" w:rsidRPr="000F7A57" w:rsidRDefault="008E50E4" w:rsidP="006E2204">
      <w:pPr>
        <w:pStyle w:val="Heading4"/>
      </w:pPr>
      <w:r w:rsidRPr="000F7A57">
        <w:t>Salinisation of the floodplain</w:t>
      </w:r>
    </w:p>
    <w:p w14:paraId="0CEF3C5C" w14:textId="77777777" w:rsidR="008E50E4" w:rsidRPr="008E0680" w:rsidRDefault="008E50E4" w:rsidP="00A2521C">
      <w:pPr>
        <w:pStyle w:val="Heading5"/>
      </w:pPr>
      <w:r w:rsidRPr="00034C49">
        <w:t>History</w:t>
      </w:r>
    </w:p>
    <w:p w14:paraId="50EB3C16" w14:textId="77777777" w:rsidR="008E50E4" w:rsidRDefault="008E50E4" w:rsidP="008E50E4">
      <w:r>
        <w:t>The Murray-</w:t>
      </w:r>
      <w:r w:rsidRPr="00D60912">
        <w:t xml:space="preserve">Darling Basin </w:t>
      </w:r>
      <w:r>
        <w:t xml:space="preserve">(MDB) </w:t>
      </w:r>
      <w:r w:rsidRPr="00D60912">
        <w:t xml:space="preserve">is geologically and climatically prone to concentrating salt in an ancient landscape that was once covered by ocean. </w:t>
      </w:r>
      <w:r>
        <w:t>Much of the salt in the Australian landscape is dissolved sodium chloride in groundwaters and soil waters, in large sedimentary aquifers</w:t>
      </w:r>
      <w:r w:rsidRPr="00310DA5">
        <w:t xml:space="preserve"> </w:t>
      </w:r>
      <w:r>
        <w:t>(</w:t>
      </w:r>
      <w:r w:rsidRPr="00310DA5">
        <w:t>Herczeg et al. 2001)</w:t>
      </w:r>
      <w:r>
        <w:t xml:space="preserve">. </w:t>
      </w:r>
      <w:r w:rsidRPr="00D60912">
        <w:t xml:space="preserve">The generally flat terrain, low rainfall and high evaporation, </w:t>
      </w:r>
      <w:bookmarkStart w:id="294" w:name="OLE_LINK1"/>
      <w:r w:rsidRPr="00D60912">
        <w:lastRenderedPageBreak/>
        <w:t xml:space="preserve">combine </w:t>
      </w:r>
      <w:bookmarkEnd w:id="294"/>
      <w:r w:rsidRPr="00D60912">
        <w:t xml:space="preserve">to concentrate </w:t>
      </w:r>
      <w:r>
        <w:t xml:space="preserve">an estimated </w:t>
      </w:r>
      <w:r w:rsidRPr="00D60912">
        <w:t>more than 1</w:t>
      </w:r>
      <w:r>
        <w:t>5</w:t>
      </w:r>
      <w:r w:rsidRPr="00D60912">
        <w:t xml:space="preserve">0 000 million </w:t>
      </w:r>
      <w:r>
        <w:t>tons</w:t>
      </w:r>
      <w:r w:rsidRPr="00D60912">
        <w:t xml:space="preserve"> of salt in the groundwater</w:t>
      </w:r>
      <w:r>
        <w:rPr>
          <w:rStyle w:val="FootnoteReference"/>
        </w:rPr>
        <w:footnoteReference w:id="15"/>
      </w:r>
      <w:r w:rsidRPr="00D60912">
        <w:t xml:space="preserve"> (</w:t>
      </w:r>
      <w:r>
        <w:t>Simpson et al. 1994 in Hart et al. 2020; Herczeg et al. 2001; MDBC 2008c</w:t>
      </w:r>
      <w:r w:rsidRPr="00D60912">
        <w:t>).</w:t>
      </w:r>
    </w:p>
    <w:p w14:paraId="6B6CE757" w14:textId="2BE653CC" w:rsidR="008E50E4" w:rsidRDefault="008E50E4" w:rsidP="001179E9">
      <w:pPr>
        <w:keepLines/>
      </w:pPr>
      <w:r w:rsidRPr="001A3AC0">
        <w:t>The southern M</w:t>
      </w:r>
      <w:r>
        <w:t>DB</w:t>
      </w:r>
      <w:r w:rsidR="007E24E0">
        <w:t xml:space="preserve">, which corresponds with much of the RMDS, </w:t>
      </w:r>
      <w:r>
        <w:t xml:space="preserve"> </w:t>
      </w:r>
      <w:r w:rsidRPr="001A3AC0">
        <w:t>is particularly vulnerable to salinity problems</w:t>
      </w:r>
      <w:r>
        <w:t xml:space="preserve"> (Hart et al. 2020)</w:t>
      </w:r>
      <w:r w:rsidRPr="001A3AC0">
        <w:t xml:space="preserve">. </w:t>
      </w:r>
      <w:r w:rsidRPr="007125E8">
        <w:t xml:space="preserve">Prior to river regulation, salt accumulation was mitigated by flushing from frequent floods which inundated the floodplains. </w:t>
      </w:r>
      <w:r w:rsidRPr="002573F4">
        <w:t>Pre-European Settlement salt loads in the South Australian River Murray were estimated at 800-900 tonnes/day (</w:t>
      </w:r>
      <w:r>
        <w:t>Felder</w:t>
      </w:r>
      <w:r w:rsidRPr="002573F4">
        <w:t xml:space="preserve"> 20</w:t>
      </w:r>
      <w:r>
        <w:t>15</w:t>
      </w:r>
      <w:r w:rsidRPr="002573F4">
        <w:t xml:space="preserve">). </w:t>
      </w:r>
      <w:r w:rsidRPr="007125E8">
        <w:t>Over the long-term there was a salt balance in the soil and</w:t>
      </w:r>
      <w:r>
        <w:t xml:space="preserve">, subsequently, </w:t>
      </w:r>
      <w:r w:rsidRPr="007125E8">
        <w:t>stable vegetation communities developed (Jolly</w:t>
      </w:r>
      <w:r>
        <w:t> </w:t>
      </w:r>
      <w:r w:rsidRPr="007125E8">
        <w:t>2004).</w:t>
      </w:r>
    </w:p>
    <w:p w14:paraId="4BF3DC28" w14:textId="77777777" w:rsidR="008E50E4" w:rsidRPr="008E0680" w:rsidRDefault="008E50E4" w:rsidP="00A2521C">
      <w:pPr>
        <w:pStyle w:val="Heading5"/>
      </w:pPr>
      <w:r w:rsidRPr="008E0680">
        <w:t>The Soil Salinity Problem</w:t>
      </w:r>
    </w:p>
    <w:p w14:paraId="6551C591" w14:textId="77777777" w:rsidR="008E50E4" w:rsidRDefault="008E50E4" w:rsidP="008E50E4">
      <w:r w:rsidRPr="00D60912">
        <w:t xml:space="preserve">Soil salinity problems on the floodplain </w:t>
      </w:r>
      <w:r w:rsidRPr="005A734D">
        <w:t xml:space="preserve">(often referred to as “dryland salinity”) </w:t>
      </w:r>
      <w:r w:rsidRPr="00D60912">
        <w:t>occur when the upward groundwater fluxes (discharge) which carry salts up into the surface soils, pr</w:t>
      </w:r>
      <w:r>
        <w:t>edominate over</w:t>
      </w:r>
      <w:r w:rsidRPr="00D60912">
        <w:t xml:space="preserve"> the downward fluxes (recharge) of relatively low-salinity water (Jolly et al. 1993b</w:t>
      </w:r>
      <w:r>
        <w:t xml:space="preserve">; </w:t>
      </w:r>
      <w:r w:rsidRPr="00B24570">
        <w:t xml:space="preserve">Peck </w:t>
      </w:r>
      <w:r>
        <w:t>&amp; Hatton </w:t>
      </w:r>
      <w:r w:rsidRPr="0057193E">
        <w:t>2003</w:t>
      </w:r>
      <w:r w:rsidRPr="00660A94">
        <w:t>).</w:t>
      </w:r>
      <w:r>
        <w:t xml:space="preserve"> B</w:t>
      </w:r>
      <w:r w:rsidRPr="0042212E">
        <w:t>y the mid-1980s</w:t>
      </w:r>
      <w:r>
        <w:t>,</w:t>
      </w:r>
      <w:r w:rsidRPr="0042212E">
        <w:t xml:space="preserve"> salinity was recogni</w:t>
      </w:r>
      <w:r>
        <w:t>s</w:t>
      </w:r>
      <w:r w:rsidRPr="0042212E">
        <w:t>ed as one of the most significant environmental and economic challenges facing the southern MDB</w:t>
      </w:r>
      <w:r>
        <w:t xml:space="preserve"> (MDBA 2014; MDBMC 2015)</w:t>
      </w:r>
      <w:r w:rsidRPr="0042212E">
        <w:t>.</w:t>
      </w:r>
      <w:r>
        <w:t xml:space="preserve"> </w:t>
      </w:r>
    </w:p>
    <w:p w14:paraId="2C84BBCE" w14:textId="77777777" w:rsidR="00CA0EEA" w:rsidRDefault="008E50E4" w:rsidP="00CA0EEA">
      <w:r w:rsidRPr="00D60912">
        <w:t>Since the early 20</w:t>
      </w:r>
      <w:r w:rsidRPr="00D60912">
        <w:rPr>
          <w:vertAlign w:val="superscript"/>
        </w:rPr>
        <w:t>th</w:t>
      </w:r>
      <w:r>
        <w:t> </w:t>
      </w:r>
      <w:r w:rsidRPr="00D60912">
        <w:t xml:space="preserve">Century, the surface and groundwater hydrology of the floodplains has been dramatically altered </w:t>
      </w:r>
      <w:r>
        <w:t xml:space="preserve">by </w:t>
      </w:r>
      <w:r w:rsidRPr="00D60912">
        <w:t>the impacts of river regulation, vegetation clearance</w:t>
      </w:r>
      <w:r>
        <w:t>,</w:t>
      </w:r>
      <w:r w:rsidRPr="00D60912">
        <w:t xml:space="preserve"> and the development of large irrigation areas on the higher areas adjacent to the floodplains</w:t>
      </w:r>
      <w:r>
        <w:t xml:space="preserve"> (</w:t>
      </w:r>
      <w:r w:rsidRPr="009822C3">
        <w:rPr>
          <w:u w:val="single"/>
        </w:rPr>
        <w:t>Figure 18</w:t>
      </w:r>
      <w:r>
        <w:t>)</w:t>
      </w:r>
      <w:r w:rsidRPr="00D60912">
        <w:t xml:space="preserve">. </w:t>
      </w:r>
      <w:r>
        <w:t>Salt is accumulating</w:t>
      </w:r>
      <w:r w:rsidR="00CA0EEA">
        <w:t xml:space="preserve"> </w:t>
      </w:r>
      <w:r w:rsidR="00CA0EEA" w:rsidRPr="00D60912">
        <w:t xml:space="preserve">in floodplain soils at an increased rate </w:t>
      </w:r>
      <w:r w:rsidR="00CA0EEA">
        <w:t>due to:</w:t>
      </w:r>
    </w:p>
    <w:p w14:paraId="7B258FEB" w14:textId="77777777" w:rsidR="00CA0EEA" w:rsidRDefault="00CA0EEA" w:rsidP="004162AC">
      <w:pPr>
        <w:pStyle w:val="ListParagraph"/>
        <w:numPr>
          <w:ilvl w:val="0"/>
          <w:numId w:val="96"/>
        </w:numPr>
      </w:pPr>
      <w:r w:rsidRPr="00D60912">
        <w:t>increased saline groundwater discharge caused by raised water table levels</w:t>
      </w:r>
      <w:r>
        <w:t xml:space="preserve"> </w:t>
      </w:r>
    </w:p>
    <w:p w14:paraId="6B0F3283" w14:textId="77777777" w:rsidR="00CA0EEA" w:rsidRDefault="00CA0EEA" w:rsidP="004162AC">
      <w:pPr>
        <w:pStyle w:val="ListParagraph"/>
        <w:numPr>
          <w:ilvl w:val="0"/>
          <w:numId w:val="96"/>
        </w:numPr>
      </w:pPr>
      <w:r w:rsidRPr="00D60912">
        <w:t>point-source saline discharge from adjacent irrigation areas</w:t>
      </w:r>
      <w:r>
        <w:t>,</w:t>
      </w:r>
      <w:r w:rsidRPr="00D60912">
        <w:t xml:space="preserve"> and </w:t>
      </w:r>
    </w:p>
    <w:p w14:paraId="4111CD71" w14:textId="77777777" w:rsidR="00CA0EEA" w:rsidRDefault="00CA0EEA" w:rsidP="004162AC">
      <w:pPr>
        <w:pStyle w:val="ListParagraph"/>
        <w:numPr>
          <w:ilvl w:val="0"/>
          <w:numId w:val="96"/>
        </w:numPr>
        <w:spacing w:after="80"/>
        <w:ind w:left="714" w:hanging="357"/>
        <w:contextualSpacing w:val="0"/>
        <w:rPr>
          <w:bCs/>
        </w:rPr>
      </w:pPr>
      <w:r w:rsidRPr="00D60912">
        <w:t>a lack of flushing by floods</w:t>
      </w:r>
      <w:r w:rsidRPr="004738D9">
        <w:t xml:space="preserve"> </w:t>
      </w:r>
      <w:r w:rsidRPr="00D60912">
        <w:rPr>
          <w:bCs/>
        </w:rPr>
        <w:t>(Jolly</w:t>
      </w:r>
      <w:r>
        <w:rPr>
          <w:bCs/>
        </w:rPr>
        <w:t> </w:t>
      </w:r>
      <w:r w:rsidRPr="00D60912">
        <w:rPr>
          <w:bCs/>
        </w:rPr>
        <w:t>2004)</w:t>
      </w:r>
      <w:r w:rsidRPr="00BD3740">
        <w:rPr>
          <w:bCs/>
        </w:rPr>
        <w:t>.</w:t>
      </w:r>
    </w:p>
    <w:p w14:paraId="630339A5" w14:textId="77777777" w:rsidR="00CA0EEA" w:rsidRPr="00C35710" w:rsidRDefault="00CA0EEA" w:rsidP="00CA0EEA">
      <w:pPr>
        <w:ind w:right="-472"/>
      </w:pPr>
      <w:r w:rsidRPr="00C35710">
        <w:t xml:space="preserve">For example, </w:t>
      </w:r>
      <w:r>
        <w:t>t</w:t>
      </w:r>
      <w:r w:rsidRPr="00E41FD0">
        <w:t>o maintain crop productivity</w:t>
      </w:r>
      <w:r>
        <w:t>,</w:t>
      </w:r>
      <w:r w:rsidRPr="00E41FD0">
        <w:t xml:space="preserve"> salt must be removed from the root zone. Leaching is the most common approach</w:t>
      </w:r>
      <w:r>
        <w:t>. It</w:t>
      </w:r>
      <w:r w:rsidRPr="00E41FD0">
        <w:t xml:space="preserve"> is achieved by applying more water than is needed by the crop. This results in water and salt </w:t>
      </w:r>
      <w:r>
        <w:t xml:space="preserve">draining </w:t>
      </w:r>
      <w:r w:rsidRPr="00E41FD0">
        <w:t xml:space="preserve">past the root zone and eventually </w:t>
      </w:r>
      <w:r>
        <w:t>in</w:t>
      </w:r>
      <w:r w:rsidRPr="00E41FD0">
        <w:t>to the groundwater table</w:t>
      </w:r>
      <w:r>
        <w:t xml:space="preserve"> (DEWNR 2017)</w:t>
      </w:r>
      <w:r w:rsidRPr="00E41FD0">
        <w:t>.</w:t>
      </w:r>
      <w:r>
        <w:t xml:space="preserve"> </w:t>
      </w:r>
      <w:r w:rsidRPr="00A12AF1">
        <w:t>There can be significant time delays (several decades or more</w:t>
      </w:r>
      <w:r>
        <w:t>)</w:t>
      </w:r>
      <w:r w:rsidRPr="00A12AF1">
        <w:t xml:space="preserve"> between the start of irrigation and increased salt loads appearing in the river and floodplain, so salt loads will continue to increase over time, even if no new irrigation schemes are implemented</w:t>
      </w:r>
      <w:r w:rsidRPr="00A12AF1">
        <w:rPr>
          <w:color w:val="00B050"/>
        </w:rPr>
        <w:t xml:space="preserve"> </w:t>
      </w:r>
      <w:r w:rsidRPr="00A12AF1">
        <w:t>(Connor 2008</w:t>
      </w:r>
      <w:r>
        <w:t>;</w:t>
      </w:r>
      <w:r w:rsidRPr="00A12AF1">
        <w:t xml:space="preserve"> Government of SA 2011</w:t>
      </w:r>
      <w:r>
        <w:t xml:space="preserve">; </w:t>
      </w:r>
      <w:r w:rsidRPr="007228B9">
        <w:rPr>
          <w:u w:val="single"/>
        </w:rPr>
        <w:t>Figure 18</w:t>
      </w:r>
      <w:r w:rsidRPr="00A12AF1">
        <w:t xml:space="preserve">). </w:t>
      </w:r>
    </w:p>
    <w:p w14:paraId="0D15401E" w14:textId="50642CCE" w:rsidR="004525B2" w:rsidRPr="00D65E44" w:rsidRDefault="00D65E44" w:rsidP="00D65E44">
      <w:r w:rsidRPr="00B71AD3">
        <w:rPr>
          <w:b/>
        </w:rPr>
        <w:t>Recharge:</w:t>
      </w:r>
      <w:r>
        <w:rPr>
          <w:bCs/>
        </w:rPr>
        <w:t xml:space="preserve"> </w:t>
      </w:r>
      <w:r w:rsidRPr="00D60912">
        <w:t>In arid and semi-arid environments, recharge events occur intermittently</w:t>
      </w:r>
      <w:r>
        <w:t>,</w:t>
      </w:r>
      <w:r w:rsidRPr="00D60912">
        <w:t xml:space="preserve"> as a res</w:t>
      </w:r>
      <w:r w:rsidRPr="00EE6754">
        <w:t>ult of extreme rainfall or flood</w:t>
      </w:r>
      <w:r>
        <w:t xml:space="preserve">s </w:t>
      </w:r>
      <w:r w:rsidRPr="00D60912">
        <w:t xml:space="preserve">(Gee </w:t>
      </w:r>
      <w:r>
        <w:t>&amp;</w:t>
      </w:r>
      <w:r w:rsidRPr="00D60912">
        <w:t xml:space="preserve"> Hillel 1988)</w:t>
      </w:r>
      <w:r w:rsidRPr="00EE6754">
        <w:t>. Before river regulation</w:t>
      </w:r>
      <w:r>
        <w:t>,</w:t>
      </w:r>
      <w:r w:rsidRPr="00EE6754">
        <w:t xml:space="preserve"> there was probably a net recharge regime (Jolly et al. 1993a). This is no longer the case. For example, on the Chowilla floodplain, regulation of the River Murray</w:t>
      </w:r>
      <w:r>
        <w:t>,</w:t>
      </w:r>
      <w:r w:rsidRPr="00EE6754">
        <w:t xml:space="preserve"> by weirs (such as Lock 6) and major storages</w:t>
      </w:r>
      <w:r>
        <w:t>,</w:t>
      </w:r>
      <w:r w:rsidRPr="00EE6754">
        <w:t xml:space="preserve"> ha</w:t>
      </w:r>
      <w:r>
        <w:t>s</w:t>
      </w:r>
      <w:r w:rsidRPr="00EE6754">
        <w:t xml:space="preserve"> reduced the frequency of flooding </w:t>
      </w:r>
      <w:r>
        <w:t>(</w:t>
      </w:r>
      <w:r w:rsidRPr="00EE6754">
        <w:t xml:space="preserve">by </w:t>
      </w:r>
      <w:r>
        <w:t xml:space="preserve">at least </w:t>
      </w:r>
      <w:r w:rsidRPr="00EE6754">
        <w:t>a factor of three</w:t>
      </w:r>
      <w:r>
        <w:t xml:space="preserve">) (Overton et al. 2006). This has led to rising of the </w:t>
      </w:r>
      <w:r w:rsidRPr="00EE6754">
        <w:t xml:space="preserve">water tables beneath the adjacent floodplain </w:t>
      </w:r>
      <w:r>
        <w:t>(</w:t>
      </w:r>
      <w:r w:rsidRPr="00EE6754">
        <w:t>Ohlmeyer 1991</w:t>
      </w:r>
      <w:r>
        <w:t xml:space="preserve">). </w:t>
      </w:r>
      <w:r w:rsidRPr="003A0DCB">
        <w:t>Rises in saline groundwater</w:t>
      </w:r>
      <w:r>
        <w:t>, due mainly to river regulation,</w:t>
      </w:r>
      <w:r w:rsidRPr="003A0DCB">
        <w:t xml:space="preserve"> have been observed since the 1920s (</w:t>
      </w:r>
      <w:bookmarkStart w:id="295" w:name="OLE_LINK3"/>
      <w:r w:rsidRPr="003A0DCB">
        <w:t>Overton et al. 2006).</w:t>
      </w:r>
      <w:bookmarkEnd w:id="295"/>
      <w:r w:rsidR="004525B2">
        <w:rPr>
          <w:bCs/>
        </w:rPr>
        <w:br w:type="page"/>
      </w:r>
    </w:p>
    <w:p w14:paraId="35424CB3" w14:textId="77777777" w:rsidR="008E50E4" w:rsidRDefault="008E50E4" w:rsidP="008E50E4">
      <w:pPr>
        <w:ind w:right="-472"/>
      </w:pPr>
      <w:r w:rsidRPr="00A12AF1">
        <w:rPr>
          <w:noProof/>
        </w:rPr>
        <w:lastRenderedPageBreak/>
        <w:drawing>
          <wp:inline distT="0" distB="0" distL="0" distR="0" wp14:anchorId="26BDF005" wp14:editId="19A9FE2F">
            <wp:extent cx="5752800" cy="2226138"/>
            <wp:effectExtent l="0" t="0" r="635" b="3175"/>
            <wp:docPr id="1569355511" name="Picture 1" descr="A diagram of how groundwater influences salinity before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5511" name="Picture 1" descr="A diagram of how groundwater influences salinity before irrigation"/>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2800" cy="2226138"/>
                    </a:xfrm>
                    <a:prstGeom prst="rect">
                      <a:avLst/>
                    </a:prstGeom>
                    <a:noFill/>
                  </pic:spPr>
                </pic:pic>
              </a:graphicData>
            </a:graphic>
          </wp:inline>
        </w:drawing>
      </w:r>
    </w:p>
    <w:p w14:paraId="4B854F2A" w14:textId="77777777" w:rsidR="008E50E4" w:rsidRDefault="008E50E4" w:rsidP="008E50E4">
      <w:pPr>
        <w:ind w:right="-472"/>
      </w:pPr>
    </w:p>
    <w:p w14:paraId="543ACA75" w14:textId="77777777" w:rsidR="008E50E4" w:rsidRDefault="008E50E4" w:rsidP="008E50E4">
      <w:pPr>
        <w:ind w:right="-472"/>
      </w:pPr>
      <w:r w:rsidRPr="00A12AF1">
        <w:rPr>
          <w:noProof/>
        </w:rPr>
        <w:drawing>
          <wp:inline distT="0" distB="0" distL="0" distR="0" wp14:anchorId="2840ADAA" wp14:editId="09036FB9">
            <wp:extent cx="5752800" cy="2423525"/>
            <wp:effectExtent l="0" t="0" r="635" b="0"/>
            <wp:docPr id="1943440523" name="Picture 1" descr="A diagram of how groundwater influences salinity after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40523" name="Picture 1" descr="A diagram of how groundwater influences salinity after irrigation"/>
                    <pic:cNvPicPr/>
                  </pic:nvPicPr>
                  <pic:blipFill>
                    <a:blip r:embed="rId46" cstate="email">
                      <a:extLst>
                        <a:ext uri="{28A0092B-C50C-407E-A947-70E740481C1C}">
                          <a14:useLocalDpi xmlns:a14="http://schemas.microsoft.com/office/drawing/2010/main"/>
                        </a:ext>
                      </a:extLst>
                    </a:blip>
                    <a:stretch>
                      <a:fillRect/>
                    </a:stretch>
                  </pic:blipFill>
                  <pic:spPr>
                    <a:xfrm>
                      <a:off x="0" y="0"/>
                      <a:ext cx="5752800" cy="2423525"/>
                    </a:xfrm>
                    <a:prstGeom prst="rect">
                      <a:avLst/>
                    </a:prstGeom>
                  </pic:spPr>
                </pic:pic>
              </a:graphicData>
            </a:graphic>
          </wp:inline>
        </w:drawing>
      </w:r>
    </w:p>
    <w:p w14:paraId="6E75E04A" w14:textId="08D10188" w:rsidR="008E50E4" w:rsidRPr="00063D5E" w:rsidRDefault="00063D5E" w:rsidP="00063D5E">
      <w:pPr>
        <w:pStyle w:val="Caption"/>
        <w:rPr>
          <w:bCs/>
          <w:szCs w:val="22"/>
        </w:rPr>
      </w:pPr>
      <w:r>
        <w:t xml:space="preserve">Figure </w:t>
      </w:r>
      <w:r>
        <w:fldChar w:fldCharType="begin"/>
      </w:r>
      <w:r>
        <w:instrText xml:space="preserve"> SEQ Figure \* ARABIC </w:instrText>
      </w:r>
      <w:r>
        <w:fldChar w:fldCharType="separate"/>
      </w:r>
      <w:r w:rsidR="006D35C5">
        <w:rPr>
          <w:noProof/>
        </w:rPr>
        <w:t>18</w:t>
      </w:r>
      <w:r>
        <w:fldChar w:fldCharType="end"/>
      </w:r>
      <w:r w:rsidR="00CA0EEA">
        <w:rPr>
          <w:bCs/>
          <w:sz w:val="20"/>
          <w:szCs w:val="20"/>
        </w:rPr>
        <w:t>:</w:t>
      </w:r>
      <w:r w:rsidR="008E50E4" w:rsidRPr="00CA0EEA">
        <w:rPr>
          <w:bCs/>
          <w:sz w:val="20"/>
          <w:szCs w:val="20"/>
        </w:rPr>
        <w:t xml:space="preserve"> </w:t>
      </w:r>
      <w:r w:rsidR="008E50E4" w:rsidRPr="00063D5E">
        <w:rPr>
          <w:bCs/>
          <w:szCs w:val="22"/>
        </w:rPr>
        <w:t>A diagrammatic representation of a change in hydraulic gradients — how groundwater influences salinity—pre and post irrigation (after Felder 2015).</w:t>
      </w:r>
    </w:p>
    <w:p w14:paraId="74E043C7" w14:textId="77777777" w:rsidR="00063D5E" w:rsidRPr="00063D5E" w:rsidRDefault="00063D5E" w:rsidP="00063D5E"/>
    <w:p w14:paraId="2B6DA7DA" w14:textId="77777777" w:rsidR="008E50E4" w:rsidRDefault="008E50E4" w:rsidP="008E50E4">
      <w:r w:rsidRPr="00B71AD3">
        <w:rPr>
          <w:b/>
          <w:bCs/>
        </w:rPr>
        <w:t>Land clearing:</w:t>
      </w:r>
      <w:r>
        <w:rPr>
          <w:b/>
          <w:bCs/>
        </w:rPr>
        <w:t xml:space="preserve"> </w:t>
      </w:r>
      <w:r w:rsidRPr="00EE6754">
        <w:t>Loss of native vegetation compounds the problem</w:t>
      </w:r>
      <w:r>
        <w:t xml:space="preserve"> of soil salinisation</w:t>
      </w:r>
      <w:r w:rsidRPr="00EE6754">
        <w:t>. Land clearance and cropping replaces deep-rooted native vegetation with shallow-rooted agricultural crops</w:t>
      </w:r>
      <w:r>
        <w:t>.</w:t>
      </w:r>
      <w:r w:rsidRPr="00EE6754">
        <w:t xml:space="preserve"> </w:t>
      </w:r>
      <w:r>
        <w:t>C</w:t>
      </w:r>
      <w:r w:rsidRPr="00EE6754">
        <w:t xml:space="preserve">rops </w:t>
      </w:r>
      <w:r w:rsidRPr="00CF619E">
        <w:t>use less water than native vegetation, leaving more rainwater to recharge the groundwater (Government of SA 2011). This additional recharge, allied to river regulation and irrigation schemes, causes saline water tables to rise, saline groundwater inflows to increase</w:t>
      </w:r>
      <w:r>
        <w:t>,</w:t>
      </w:r>
      <w:r w:rsidRPr="00CF619E">
        <w:t xml:space="preserve"> and salt mobilisation to occur. Most of the salt mobilised does not get exported through the rivers to the sea</w:t>
      </w:r>
      <w:r>
        <w:t xml:space="preserve">; </w:t>
      </w:r>
      <w:r w:rsidRPr="00CF619E">
        <w:t>instead</w:t>
      </w:r>
      <w:r>
        <w:t xml:space="preserve"> it</w:t>
      </w:r>
      <w:r w:rsidRPr="00CF619E">
        <w:t xml:space="preserve"> stay</w:t>
      </w:r>
      <w:r>
        <w:t>s</w:t>
      </w:r>
      <w:r w:rsidRPr="00CF619E">
        <w:t xml:space="preserve"> in the landscape</w:t>
      </w:r>
      <w:r>
        <w:t>,</w:t>
      </w:r>
      <w:r w:rsidRPr="00CF619E">
        <w:t xml:space="preserve"> or get</w:t>
      </w:r>
      <w:r>
        <w:t>s</w:t>
      </w:r>
      <w:r w:rsidRPr="00CF619E">
        <w:t xml:space="preserve"> diverted into irrigation areas and floodplain wetlands (MDBMC 1999). As a result, the River Murray floodplain in South Australia is now badly affected by salinity and is degrading further (MDBC 2003a; Government of SA 2011).</w:t>
      </w:r>
      <w:r w:rsidRPr="00EE6754">
        <w:t> </w:t>
      </w:r>
    </w:p>
    <w:p w14:paraId="28CD1284" w14:textId="77777777" w:rsidR="008E50E4" w:rsidRDefault="008E50E4" w:rsidP="008E50E4">
      <w:r w:rsidRPr="00FB6BFA">
        <w:rPr>
          <w:u w:val="single"/>
        </w:rPr>
        <w:t>Table 40</w:t>
      </w:r>
      <w:r w:rsidRPr="00D60912">
        <w:t xml:space="preserve"> </w:t>
      </w:r>
      <w:r>
        <w:t>provides</w:t>
      </w:r>
      <w:r w:rsidRPr="00D60912">
        <w:t xml:space="preserve"> estimates of salt mobilised to the land surface in the Murray Darling Basin in S</w:t>
      </w:r>
      <w:r>
        <w:t>A</w:t>
      </w:r>
      <w:r w:rsidRPr="00D60912">
        <w:t xml:space="preserve">, as well as the amount of </w:t>
      </w:r>
      <w:r w:rsidRPr="00554D9B">
        <w:t>mobilised salt that would be retained in the landscape (as opposed to flushed into the rivers) (MDBMC 1999). It shows a projected increase in the amount of mobilised salt, retained in the landscape, of 38% between 1998 and 2020 (over 22 years), and an</w:t>
      </w:r>
      <w:r>
        <w:t xml:space="preserve"> increase </w:t>
      </w:r>
      <w:r w:rsidRPr="00E26A3B">
        <w:t>of 105% between 1998 and 2050 (</w:t>
      </w:r>
      <w:r>
        <w:t xml:space="preserve">over </w:t>
      </w:r>
      <w:r w:rsidRPr="00E26A3B">
        <w:t>52 years</w:t>
      </w:r>
      <w:r w:rsidRPr="001B31C4">
        <w:t>).</w:t>
      </w:r>
      <w:r w:rsidRPr="00D60912">
        <w:t xml:space="preserve"> </w:t>
      </w:r>
      <w:r>
        <w:t xml:space="preserve">This represents a severe to very </w:t>
      </w:r>
      <w:r>
        <w:lastRenderedPageBreak/>
        <w:t xml:space="preserve">severe intensification in degradation, </w:t>
      </w:r>
      <w:r w:rsidRPr="00D60912">
        <w:t>across most of the geographic distribution of the floodplain of the ecological</w:t>
      </w:r>
      <w:r>
        <w:t xml:space="preserve"> community</w:t>
      </w:r>
      <w:r w:rsidRPr="00D60912">
        <w:t>.</w:t>
      </w:r>
    </w:p>
    <w:p w14:paraId="5E4C0DE5" w14:textId="34CFB529" w:rsidR="008E50E4" w:rsidRDefault="008E50E4" w:rsidP="008E50E4">
      <w:r w:rsidRPr="00B96A43">
        <w:t xml:space="preserve">Note that the figures </w:t>
      </w:r>
      <w:r>
        <w:t xml:space="preserve">in </w:t>
      </w:r>
      <w:r w:rsidRPr="007228B9">
        <w:rPr>
          <w:u w:val="single"/>
        </w:rPr>
        <w:t>Table 40</w:t>
      </w:r>
      <w:r>
        <w:t xml:space="preserve"> n</w:t>
      </w:r>
      <w:r w:rsidRPr="00B96A43">
        <w:t>either take account of remedial action since 1999 (e.g. irrigation efficienc</w:t>
      </w:r>
      <w:r>
        <w:t>ies</w:t>
      </w:r>
      <w:r w:rsidRPr="00B96A43">
        <w:t>, salt interception schemes</w:t>
      </w:r>
      <w:r>
        <w:t>,</w:t>
      </w:r>
      <w:r w:rsidRPr="00B96A43">
        <w:t xml:space="preserve"> and land management changes</w:t>
      </w:r>
      <w:r>
        <w:t xml:space="preserve">). Nor </w:t>
      </w:r>
      <w:r w:rsidRPr="00B96A43">
        <w:t xml:space="preserve">do they </w:t>
      </w:r>
      <w:r>
        <w:t xml:space="preserve">take account of </w:t>
      </w:r>
      <w:r w:rsidRPr="00B96A43">
        <w:t xml:space="preserve">the Millennium Drought, </w:t>
      </w:r>
      <w:r>
        <w:t xml:space="preserve">which was </w:t>
      </w:r>
      <w:r w:rsidRPr="00B96A43">
        <w:t xml:space="preserve">followed by large floods in 2010-11 and 2022-23, which would have </w:t>
      </w:r>
      <w:r>
        <w:t xml:space="preserve">both leached and </w:t>
      </w:r>
      <w:r w:rsidRPr="00B96A43">
        <w:t xml:space="preserve">exacerbated salinity. </w:t>
      </w:r>
      <w:r w:rsidR="00AC2581">
        <w:t>However, u</w:t>
      </w:r>
      <w:r w:rsidRPr="00B96A43">
        <w:t>pdated estimates of salt mobilised to the land surface have</w:t>
      </w:r>
      <w:r w:rsidR="00A23B9D">
        <w:t xml:space="preserve"> </w:t>
      </w:r>
      <w:r w:rsidRPr="00B96A43">
        <w:t xml:space="preserve">not </w:t>
      </w:r>
      <w:r>
        <w:t>been available</w:t>
      </w:r>
      <w:r w:rsidR="00A23B9D">
        <w:t xml:space="preserve"> in more recent years, so there is some uncertainty regarding the </w:t>
      </w:r>
      <w:r w:rsidR="00AC685F">
        <w:t>intensity and rate of increase</w:t>
      </w:r>
      <w:r>
        <w:t xml:space="preserve">. </w:t>
      </w:r>
    </w:p>
    <w:p w14:paraId="3B091B5E" w14:textId="7D3888E1" w:rsidR="00A77FA8" w:rsidRPr="00CD76D5" w:rsidRDefault="00063D5E" w:rsidP="00CD76D5">
      <w:pPr>
        <w:pStyle w:val="Caption"/>
      </w:pPr>
      <w:r w:rsidRPr="00CD76D5">
        <w:t xml:space="preserve">Table </w:t>
      </w:r>
      <w:r w:rsidRPr="00CD76D5">
        <w:fldChar w:fldCharType="begin"/>
      </w:r>
      <w:r w:rsidRPr="00CD76D5">
        <w:instrText xml:space="preserve"> SEQ Table \* ARABIC </w:instrText>
      </w:r>
      <w:r w:rsidRPr="00CD76D5">
        <w:fldChar w:fldCharType="separate"/>
      </w:r>
      <w:r w:rsidR="006D35C5">
        <w:rPr>
          <w:noProof/>
        </w:rPr>
        <w:t>40</w:t>
      </w:r>
      <w:r w:rsidRPr="00CD76D5">
        <w:fldChar w:fldCharType="end"/>
      </w:r>
      <w:r w:rsidR="00F477E6" w:rsidRPr="00CD76D5">
        <w:t>: Estimated quantity of salt mobilised to the land surface, 1998–2100, Lower Murray in South Australia</w:t>
      </w:r>
      <w:r w:rsidR="001010E4" w:rsidRPr="00CD76D5">
        <w:t xml:space="preserve"> (Source: MDBMC 1999).</w:t>
      </w:r>
    </w:p>
    <w:tbl>
      <w:tblPr>
        <w:tblStyle w:val="TableGrid"/>
        <w:tblpPr w:leftFromText="180" w:rightFromText="180" w:vertAnchor="text" w:horzAnchor="margin" w:tblpY="227"/>
        <w:tblW w:w="5000" w:type="pct"/>
        <w:tblLook w:val="04A0" w:firstRow="1" w:lastRow="0" w:firstColumn="1" w:lastColumn="0" w:noHBand="0" w:noVBand="1"/>
      </w:tblPr>
      <w:tblGrid>
        <w:gridCol w:w="2706"/>
        <w:gridCol w:w="817"/>
        <w:gridCol w:w="914"/>
        <w:gridCol w:w="997"/>
        <w:gridCol w:w="817"/>
        <w:gridCol w:w="997"/>
        <w:gridCol w:w="1024"/>
        <w:gridCol w:w="788"/>
      </w:tblGrid>
      <w:tr w:rsidR="003208F8" w:rsidRPr="00C469C0" w14:paraId="5F6C269B" w14:textId="77777777" w:rsidTr="00063D5E">
        <w:trPr>
          <w:cantSplit/>
          <w:trHeight w:val="495"/>
        </w:trPr>
        <w:tc>
          <w:tcPr>
            <w:tcW w:w="1531" w:type="pct"/>
            <w:shd w:val="clear" w:color="auto" w:fill="D9D9D9" w:themeFill="background1" w:themeFillShade="D9"/>
            <w:vAlign w:val="center"/>
          </w:tcPr>
          <w:p w14:paraId="396BCEE6" w14:textId="77777777" w:rsidR="003208F8" w:rsidRPr="00C469C0" w:rsidRDefault="003208F8" w:rsidP="00CD5901">
            <w:pPr>
              <w:pStyle w:val="tableheadertext"/>
            </w:pPr>
            <w:r w:rsidRPr="00C469C0">
              <w:t>Aspect</w:t>
            </w:r>
          </w:p>
        </w:tc>
        <w:tc>
          <w:tcPr>
            <w:tcW w:w="3469" w:type="pct"/>
            <w:gridSpan w:val="7"/>
            <w:shd w:val="clear" w:color="auto" w:fill="D9D9D9" w:themeFill="background1" w:themeFillShade="D9"/>
            <w:vAlign w:val="center"/>
          </w:tcPr>
          <w:p w14:paraId="77ED2332" w14:textId="77777777" w:rsidR="003208F8" w:rsidRPr="00C469C0" w:rsidRDefault="003208F8" w:rsidP="00CD5901">
            <w:pPr>
              <w:pStyle w:val="tableheadertext"/>
            </w:pPr>
            <w:r w:rsidRPr="00C469C0">
              <w:t>Salt mobilised to land surface (tonnes per year)</w:t>
            </w:r>
          </w:p>
        </w:tc>
        <w:bookmarkStart w:id="296" w:name="_Ref529438345"/>
      </w:tr>
      <w:tr w:rsidR="003208F8" w:rsidRPr="00C469C0" w14:paraId="2CCABFF1" w14:textId="77777777" w:rsidTr="00063D5E">
        <w:trPr>
          <w:cantSplit/>
          <w:trHeight w:val="495"/>
        </w:trPr>
        <w:tc>
          <w:tcPr>
            <w:tcW w:w="1531" w:type="pct"/>
            <w:vAlign w:val="center"/>
          </w:tcPr>
          <w:p w14:paraId="5311E272" w14:textId="77777777" w:rsidR="003208F8" w:rsidRPr="00C469C0" w:rsidRDefault="003208F8" w:rsidP="004518D5">
            <w:pPr>
              <w:pStyle w:val="tabletext1"/>
              <w:keepNext/>
              <w:keepLines/>
              <w:ind w:left="142"/>
              <w:jc w:val="center"/>
              <w:rPr>
                <w:rFonts w:ascii="Cambria" w:hAnsi="Cambria"/>
                <w:sz w:val="20"/>
                <w:szCs w:val="20"/>
              </w:rPr>
            </w:pPr>
          </w:p>
        </w:tc>
        <w:tc>
          <w:tcPr>
            <w:tcW w:w="488" w:type="pct"/>
            <w:vAlign w:val="center"/>
          </w:tcPr>
          <w:p w14:paraId="70291CF5" w14:textId="77777777" w:rsidR="003208F8" w:rsidRPr="00C469C0" w:rsidRDefault="003208F8" w:rsidP="004518D5">
            <w:pPr>
              <w:pStyle w:val="tabletext1"/>
              <w:keepNext/>
              <w:keepLines/>
              <w:ind w:left="34"/>
              <w:jc w:val="center"/>
              <w:rPr>
                <w:rFonts w:ascii="Cambria" w:hAnsi="Cambria"/>
                <w:b/>
                <w:bCs/>
                <w:sz w:val="20"/>
                <w:szCs w:val="20"/>
              </w:rPr>
            </w:pPr>
            <w:r w:rsidRPr="00C469C0">
              <w:rPr>
                <w:rFonts w:ascii="Cambria" w:hAnsi="Cambria"/>
                <w:b/>
                <w:bCs/>
                <w:sz w:val="20"/>
                <w:szCs w:val="20"/>
              </w:rPr>
              <w:t>1998</w:t>
            </w:r>
          </w:p>
        </w:tc>
        <w:tc>
          <w:tcPr>
            <w:tcW w:w="488" w:type="pct"/>
            <w:tcBorders>
              <w:right w:val="single" w:sz="18" w:space="0" w:color="auto"/>
            </w:tcBorders>
            <w:vAlign w:val="center"/>
          </w:tcPr>
          <w:p w14:paraId="7448D245" w14:textId="77777777" w:rsidR="003208F8" w:rsidRPr="00C469C0" w:rsidRDefault="003208F8" w:rsidP="004518D5">
            <w:pPr>
              <w:pStyle w:val="tabletext1"/>
              <w:keepNext/>
              <w:keepLines/>
              <w:ind w:left="34"/>
              <w:jc w:val="center"/>
              <w:rPr>
                <w:rFonts w:ascii="Cambria" w:hAnsi="Cambria"/>
                <w:b/>
                <w:bCs/>
                <w:sz w:val="20"/>
                <w:szCs w:val="20"/>
              </w:rPr>
            </w:pPr>
            <w:r w:rsidRPr="00C469C0">
              <w:rPr>
                <w:rFonts w:ascii="Cambria" w:hAnsi="Cambria"/>
                <w:b/>
                <w:bCs/>
                <w:sz w:val="20"/>
                <w:szCs w:val="20"/>
              </w:rPr>
              <w:t>2020</w:t>
            </w:r>
          </w:p>
        </w:tc>
        <w:tc>
          <w:tcPr>
            <w:tcW w:w="488" w:type="pct"/>
            <w:tcBorders>
              <w:top w:val="single" w:sz="18" w:space="0" w:color="auto"/>
              <w:left w:val="single" w:sz="18" w:space="0" w:color="auto"/>
              <w:bottom w:val="single" w:sz="18" w:space="0" w:color="auto"/>
              <w:right w:val="single" w:sz="18" w:space="0" w:color="auto"/>
            </w:tcBorders>
            <w:vAlign w:val="center"/>
          </w:tcPr>
          <w:p w14:paraId="28B7973B" w14:textId="77777777" w:rsidR="003208F8" w:rsidRPr="00C469C0" w:rsidRDefault="003208F8" w:rsidP="004518D5">
            <w:pPr>
              <w:pStyle w:val="tabletext1"/>
              <w:keepNext/>
              <w:keepLines/>
              <w:ind w:left="0" w:right="-105" w:firstLine="34"/>
              <w:jc w:val="center"/>
              <w:rPr>
                <w:rFonts w:ascii="Cambria" w:hAnsi="Cambria"/>
                <w:b/>
                <w:bCs/>
                <w:sz w:val="20"/>
                <w:szCs w:val="20"/>
              </w:rPr>
            </w:pPr>
            <w:r w:rsidRPr="00C469C0">
              <w:rPr>
                <w:rFonts w:ascii="Cambria" w:hAnsi="Cambria"/>
                <w:b/>
                <w:bCs/>
                <w:sz w:val="20"/>
                <w:szCs w:val="20"/>
              </w:rPr>
              <w:t>2020 increase as % of 1998</w:t>
            </w:r>
          </w:p>
        </w:tc>
        <w:tc>
          <w:tcPr>
            <w:tcW w:w="488" w:type="pct"/>
            <w:tcBorders>
              <w:left w:val="single" w:sz="18" w:space="0" w:color="auto"/>
            </w:tcBorders>
            <w:vAlign w:val="center"/>
          </w:tcPr>
          <w:p w14:paraId="26317725" w14:textId="77777777" w:rsidR="003208F8" w:rsidRPr="00C469C0" w:rsidRDefault="003208F8" w:rsidP="004518D5">
            <w:pPr>
              <w:pStyle w:val="tabletext1"/>
              <w:keepNext/>
              <w:keepLines/>
              <w:ind w:left="0" w:firstLine="34"/>
              <w:jc w:val="center"/>
              <w:rPr>
                <w:rFonts w:ascii="Cambria" w:hAnsi="Cambria"/>
                <w:b/>
                <w:bCs/>
                <w:sz w:val="20"/>
                <w:szCs w:val="20"/>
              </w:rPr>
            </w:pPr>
            <w:r w:rsidRPr="00C469C0">
              <w:rPr>
                <w:rFonts w:ascii="Cambria" w:hAnsi="Cambria"/>
                <w:b/>
                <w:bCs/>
                <w:sz w:val="20"/>
                <w:szCs w:val="20"/>
              </w:rPr>
              <w:t>2050</w:t>
            </w:r>
          </w:p>
        </w:tc>
        <w:tc>
          <w:tcPr>
            <w:tcW w:w="488" w:type="pct"/>
            <w:vAlign w:val="center"/>
          </w:tcPr>
          <w:p w14:paraId="52B48F92" w14:textId="77777777" w:rsidR="003208F8" w:rsidRPr="00C469C0" w:rsidRDefault="003208F8" w:rsidP="004518D5">
            <w:pPr>
              <w:pStyle w:val="tabletext1"/>
              <w:keepNext/>
              <w:keepLines/>
              <w:ind w:left="0" w:right="-110" w:firstLine="34"/>
              <w:jc w:val="center"/>
              <w:rPr>
                <w:rFonts w:ascii="Cambria" w:hAnsi="Cambria"/>
                <w:b/>
                <w:bCs/>
                <w:sz w:val="20"/>
                <w:szCs w:val="20"/>
              </w:rPr>
            </w:pPr>
            <w:r w:rsidRPr="00C469C0">
              <w:rPr>
                <w:rFonts w:ascii="Cambria" w:hAnsi="Cambria"/>
                <w:b/>
                <w:bCs/>
                <w:sz w:val="20"/>
                <w:szCs w:val="20"/>
              </w:rPr>
              <w:t>2050 increase as % of 1998</w:t>
            </w:r>
          </w:p>
        </w:tc>
        <w:tc>
          <w:tcPr>
            <w:tcW w:w="557" w:type="pct"/>
            <w:vAlign w:val="center"/>
          </w:tcPr>
          <w:p w14:paraId="73F4B8AA" w14:textId="77777777" w:rsidR="003208F8" w:rsidRPr="00C469C0" w:rsidRDefault="003208F8" w:rsidP="004518D5">
            <w:pPr>
              <w:pStyle w:val="tabletext1"/>
              <w:keepNext/>
              <w:keepLines/>
              <w:ind w:left="0" w:firstLine="34"/>
              <w:jc w:val="center"/>
              <w:rPr>
                <w:rFonts w:ascii="Cambria" w:hAnsi="Cambria"/>
                <w:b/>
                <w:bCs/>
                <w:sz w:val="20"/>
                <w:szCs w:val="20"/>
              </w:rPr>
            </w:pPr>
            <w:r w:rsidRPr="00C469C0">
              <w:rPr>
                <w:rFonts w:ascii="Cambria" w:hAnsi="Cambria"/>
                <w:b/>
                <w:bCs/>
                <w:sz w:val="20"/>
                <w:szCs w:val="20"/>
              </w:rPr>
              <w:t>2100</w:t>
            </w:r>
          </w:p>
        </w:tc>
        <w:tc>
          <w:tcPr>
            <w:tcW w:w="474" w:type="pct"/>
            <w:vAlign w:val="center"/>
          </w:tcPr>
          <w:p w14:paraId="0E5D4FCA" w14:textId="77777777" w:rsidR="003208F8" w:rsidRPr="00C469C0" w:rsidRDefault="003208F8" w:rsidP="004518D5">
            <w:pPr>
              <w:pStyle w:val="tabletext1"/>
              <w:keepNext/>
              <w:keepLines/>
              <w:ind w:left="0" w:firstLine="34"/>
              <w:jc w:val="center"/>
              <w:rPr>
                <w:rFonts w:ascii="Cambria" w:hAnsi="Cambria"/>
                <w:b/>
                <w:bCs/>
                <w:sz w:val="20"/>
                <w:szCs w:val="20"/>
              </w:rPr>
            </w:pPr>
            <w:r w:rsidRPr="00C469C0">
              <w:rPr>
                <w:rFonts w:ascii="Cambria" w:hAnsi="Cambria"/>
                <w:b/>
                <w:bCs/>
                <w:sz w:val="20"/>
                <w:szCs w:val="20"/>
              </w:rPr>
              <w:t>2100 figure as % of 1998</w:t>
            </w:r>
          </w:p>
        </w:tc>
      </w:tr>
      <w:tr w:rsidR="003208F8" w:rsidRPr="00C469C0" w14:paraId="2BC1AEAA" w14:textId="77777777" w:rsidTr="00063D5E">
        <w:trPr>
          <w:cantSplit/>
        </w:trPr>
        <w:tc>
          <w:tcPr>
            <w:tcW w:w="1531" w:type="pct"/>
            <w:vAlign w:val="center"/>
          </w:tcPr>
          <w:p w14:paraId="793245EE"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Barrages to Lock 2</w:t>
            </w:r>
          </w:p>
        </w:tc>
        <w:tc>
          <w:tcPr>
            <w:tcW w:w="488" w:type="pct"/>
            <w:vAlign w:val="center"/>
          </w:tcPr>
          <w:p w14:paraId="18B1C34F"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105 000</w:t>
            </w:r>
          </w:p>
        </w:tc>
        <w:tc>
          <w:tcPr>
            <w:tcW w:w="488" w:type="pct"/>
            <w:tcBorders>
              <w:right w:val="single" w:sz="18" w:space="0" w:color="auto"/>
            </w:tcBorders>
            <w:vAlign w:val="center"/>
          </w:tcPr>
          <w:p w14:paraId="769E6D4F"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190 000</w:t>
            </w:r>
          </w:p>
        </w:tc>
        <w:tc>
          <w:tcPr>
            <w:tcW w:w="488" w:type="pct"/>
            <w:tcBorders>
              <w:top w:val="single" w:sz="18" w:space="0" w:color="auto"/>
              <w:left w:val="single" w:sz="18" w:space="0" w:color="auto"/>
              <w:bottom w:val="single" w:sz="18" w:space="0" w:color="auto"/>
              <w:right w:val="single" w:sz="18" w:space="0" w:color="auto"/>
            </w:tcBorders>
            <w:vAlign w:val="center"/>
          </w:tcPr>
          <w:p w14:paraId="36D47812" w14:textId="77777777" w:rsidR="003208F8" w:rsidRPr="00C469C0" w:rsidRDefault="003208F8" w:rsidP="004518D5">
            <w:pPr>
              <w:pStyle w:val="tabletext1"/>
              <w:keepNext/>
              <w:keepLines/>
              <w:ind w:left="0" w:right="-105" w:firstLine="34"/>
              <w:jc w:val="center"/>
              <w:rPr>
                <w:rFonts w:ascii="Cambria" w:hAnsi="Cambria"/>
                <w:sz w:val="20"/>
                <w:szCs w:val="20"/>
              </w:rPr>
            </w:pPr>
            <w:r w:rsidRPr="00C469C0">
              <w:rPr>
                <w:rFonts w:ascii="Cambria" w:hAnsi="Cambria"/>
                <w:sz w:val="20"/>
                <w:szCs w:val="20"/>
              </w:rPr>
              <w:t>81%</w:t>
            </w:r>
          </w:p>
        </w:tc>
        <w:tc>
          <w:tcPr>
            <w:tcW w:w="488" w:type="pct"/>
            <w:tcBorders>
              <w:left w:val="single" w:sz="18" w:space="0" w:color="auto"/>
            </w:tcBorders>
            <w:vAlign w:val="center"/>
          </w:tcPr>
          <w:p w14:paraId="100F147F"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260 000</w:t>
            </w:r>
          </w:p>
        </w:tc>
        <w:tc>
          <w:tcPr>
            <w:tcW w:w="488" w:type="pct"/>
            <w:vAlign w:val="center"/>
          </w:tcPr>
          <w:p w14:paraId="2D920A54" w14:textId="77777777" w:rsidR="003208F8" w:rsidRPr="00C469C0" w:rsidRDefault="003208F8" w:rsidP="004518D5">
            <w:pPr>
              <w:pStyle w:val="tabletext1"/>
              <w:keepNext/>
              <w:keepLines/>
              <w:ind w:left="0" w:right="-110" w:firstLine="34"/>
              <w:rPr>
                <w:rFonts w:ascii="Cambria" w:hAnsi="Cambria"/>
                <w:sz w:val="20"/>
                <w:szCs w:val="20"/>
              </w:rPr>
            </w:pPr>
            <w:r w:rsidRPr="00C469C0">
              <w:rPr>
                <w:rFonts w:ascii="Cambria" w:hAnsi="Cambria"/>
                <w:sz w:val="20"/>
                <w:szCs w:val="20"/>
              </w:rPr>
              <w:t>148%</w:t>
            </w:r>
          </w:p>
        </w:tc>
        <w:tc>
          <w:tcPr>
            <w:tcW w:w="557" w:type="pct"/>
            <w:vAlign w:val="center"/>
          </w:tcPr>
          <w:p w14:paraId="56A30936"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335 000</w:t>
            </w:r>
          </w:p>
        </w:tc>
        <w:tc>
          <w:tcPr>
            <w:tcW w:w="474" w:type="pct"/>
            <w:vAlign w:val="center"/>
          </w:tcPr>
          <w:p w14:paraId="47A54E82"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219%</w:t>
            </w:r>
          </w:p>
        </w:tc>
      </w:tr>
      <w:tr w:rsidR="003208F8" w:rsidRPr="00C469C0" w14:paraId="31F24ACC" w14:textId="77777777" w:rsidTr="00063D5E">
        <w:trPr>
          <w:cantSplit/>
        </w:trPr>
        <w:tc>
          <w:tcPr>
            <w:tcW w:w="1531" w:type="pct"/>
            <w:vAlign w:val="center"/>
          </w:tcPr>
          <w:p w14:paraId="405676A4"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Lock 2 to SA/NSW Border</w:t>
            </w:r>
          </w:p>
        </w:tc>
        <w:tc>
          <w:tcPr>
            <w:tcW w:w="488" w:type="pct"/>
            <w:vAlign w:val="center"/>
          </w:tcPr>
          <w:p w14:paraId="501244F9"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329 000</w:t>
            </w:r>
          </w:p>
        </w:tc>
        <w:tc>
          <w:tcPr>
            <w:tcW w:w="488" w:type="pct"/>
            <w:tcBorders>
              <w:right w:val="single" w:sz="18" w:space="0" w:color="auto"/>
            </w:tcBorders>
            <w:vAlign w:val="center"/>
          </w:tcPr>
          <w:p w14:paraId="67ECE4AA"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450 000</w:t>
            </w:r>
          </w:p>
        </w:tc>
        <w:tc>
          <w:tcPr>
            <w:tcW w:w="488" w:type="pct"/>
            <w:tcBorders>
              <w:top w:val="single" w:sz="18" w:space="0" w:color="auto"/>
              <w:left w:val="single" w:sz="18" w:space="0" w:color="auto"/>
              <w:bottom w:val="single" w:sz="18" w:space="0" w:color="auto"/>
              <w:right w:val="single" w:sz="18" w:space="0" w:color="auto"/>
            </w:tcBorders>
            <w:vAlign w:val="center"/>
          </w:tcPr>
          <w:p w14:paraId="060D304B" w14:textId="77777777" w:rsidR="003208F8" w:rsidRPr="00C469C0" w:rsidRDefault="003208F8" w:rsidP="004518D5">
            <w:pPr>
              <w:pStyle w:val="tabletext1"/>
              <w:keepNext/>
              <w:keepLines/>
              <w:ind w:left="0" w:right="-105" w:firstLine="34"/>
              <w:jc w:val="center"/>
              <w:rPr>
                <w:rFonts w:ascii="Cambria" w:hAnsi="Cambria"/>
                <w:sz w:val="20"/>
                <w:szCs w:val="20"/>
              </w:rPr>
            </w:pPr>
            <w:r w:rsidRPr="00C469C0">
              <w:rPr>
                <w:rFonts w:ascii="Cambria" w:hAnsi="Cambria"/>
                <w:sz w:val="20"/>
                <w:szCs w:val="20"/>
              </w:rPr>
              <w:t>37%</w:t>
            </w:r>
          </w:p>
        </w:tc>
        <w:tc>
          <w:tcPr>
            <w:tcW w:w="488" w:type="pct"/>
            <w:tcBorders>
              <w:left w:val="single" w:sz="18" w:space="0" w:color="auto"/>
            </w:tcBorders>
            <w:vAlign w:val="center"/>
          </w:tcPr>
          <w:p w14:paraId="43025B41"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610 000</w:t>
            </w:r>
          </w:p>
        </w:tc>
        <w:tc>
          <w:tcPr>
            <w:tcW w:w="488" w:type="pct"/>
            <w:vAlign w:val="center"/>
          </w:tcPr>
          <w:p w14:paraId="4C739452" w14:textId="77777777" w:rsidR="003208F8" w:rsidRPr="00C469C0" w:rsidRDefault="003208F8" w:rsidP="004518D5">
            <w:pPr>
              <w:pStyle w:val="tabletext1"/>
              <w:keepNext/>
              <w:keepLines/>
              <w:ind w:left="0" w:right="-110" w:firstLine="34"/>
              <w:rPr>
                <w:rFonts w:ascii="Cambria" w:hAnsi="Cambria"/>
                <w:sz w:val="20"/>
                <w:szCs w:val="20"/>
              </w:rPr>
            </w:pPr>
            <w:r w:rsidRPr="00C469C0">
              <w:rPr>
                <w:rFonts w:ascii="Cambria" w:hAnsi="Cambria"/>
                <w:sz w:val="20"/>
                <w:szCs w:val="20"/>
              </w:rPr>
              <w:t>85%</w:t>
            </w:r>
          </w:p>
        </w:tc>
        <w:tc>
          <w:tcPr>
            <w:tcW w:w="557" w:type="pct"/>
            <w:vAlign w:val="center"/>
          </w:tcPr>
          <w:p w14:paraId="090DE11D"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685 000</w:t>
            </w:r>
          </w:p>
        </w:tc>
        <w:tc>
          <w:tcPr>
            <w:tcW w:w="474" w:type="pct"/>
            <w:vAlign w:val="center"/>
          </w:tcPr>
          <w:p w14:paraId="7481C869"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108%</w:t>
            </w:r>
          </w:p>
        </w:tc>
      </w:tr>
      <w:tr w:rsidR="003208F8" w:rsidRPr="00C469C0" w14:paraId="4D93999D" w14:textId="77777777" w:rsidTr="00063D5E">
        <w:trPr>
          <w:cantSplit/>
        </w:trPr>
        <w:tc>
          <w:tcPr>
            <w:tcW w:w="1531" w:type="pct"/>
            <w:vAlign w:val="center"/>
          </w:tcPr>
          <w:p w14:paraId="372C4841"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Total salt mobilised</w:t>
            </w:r>
          </w:p>
        </w:tc>
        <w:tc>
          <w:tcPr>
            <w:tcW w:w="488" w:type="pct"/>
            <w:vAlign w:val="center"/>
          </w:tcPr>
          <w:p w14:paraId="38DCBEC7"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434 000</w:t>
            </w:r>
          </w:p>
        </w:tc>
        <w:tc>
          <w:tcPr>
            <w:tcW w:w="488" w:type="pct"/>
            <w:tcBorders>
              <w:right w:val="single" w:sz="18" w:space="0" w:color="auto"/>
            </w:tcBorders>
            <w:vAlign w:val="center"/>
          </w:tcPr>
          <w:p w14:paraId="078FB7FB"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640 000</w:t>
            </w:r>
          </w:p>
        </w:tc>
        <w:tc>
          <w:tcPr>
            <w:tcW w:w="488" w:type="pct"/>
            <w:tcBorders>
              <w:top w:val="single" w:sz="18" w:space="0" w:color="auto"/>
              <w:left w:val="single" w:sz="18" w:space="0" w:color="auto"/>
              <w:bottom w:val="single" w:sz="18" w:space="0" w:color="auto"/>
              <w:right w:val="single" w:sz="18" w:space="0" w:color="auto"/>
            </w:tcBorders>
            <w:vAlign w:val="center"/>
          </w:tcPr>
          <w:p w14:paraId="2F91C9F0" w14:textId="77777777" w:rsidR="003208F8" w:rsidRPr="00C469C0" w:rsidRDefault="003208F8" w:rsidP="004518D5">
            <w:pPr>
              <w:pStyle w:val="tabletext1"/>
              <w:keepNext/>
              <w:keepLines/>
              <w:ind w:left="0" w:right="-105" w:firstLine="34"/>
              <w:jc w:val="center"/>
              <w:rPr>
                <w:rFonts w:ascii="Cambria" w:hAnsi="Cambria"/>
                <w:sz w:val="20"/>
                <w:szCs w:val="20"/>
              </w:rPr>
            </w:pPr>
            <w:r w:rsidRPr="00C469C0">
              <w:rPr>
                <w:rFonts w:ascii="Cambria" w:hAnsi="Cambria"/>
                <w:sz w:val="20"/>
                <w:szCs w:val="20"/>
              </w:rPr>
              <w:t>47%</w:t>
            </w:r>
          </w:p>
        </w:tc>
        <w:tc>
          <w:tcPr>
            <w:tcW w:w="488" w:type="pct"/>
            <w:tcBorders>
              <w:left w:val="single" w:sz="18" w:space="0" w:color="auto"/>
            </w:tcBorders>
            <w:vAlign w:val="center"/>
          </w:tcPr>
          <w:p w14:paraId="06FCC70B"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870 000</w:t>
            </w:r>
          </w:p>
        </w:tc>
        <w:tc>
          <w:tcPr>
            <w:tcW w:w="488" w:type="pct"/>
            <w:vAlign w:val="center"/>
          </w:tcPr>
          <w:p w14:paraId="2A6CB615" w14:textId="77777777" w:rsidR="003208F8" w:rsidRPr="00C469C0" w:rsidRDefault="003208F8" w:rsidP="004518D5">
            <w:pPr>
              <w:pStyle w:val="tabletext1"/>
              <w:keepNext/>
              <w:keepLines/>
              <w:ind w:left="0" w:right="-110" w:firstLine="34"/>
              <w:rPr>
                <w:rFonts w:ascii="Cambria" w:hAnsi="Cambria"/>
                <w:sz w:val="20"/>
                <w:szCs w:val="20"/>
              </w:rPr>
            </w:pPr>
            <w:r w:rsidRPr="00C469C0">
              <w:rPr>
                <w:rFonts w:ascii="Cambria" w:hAnsi="Cambria"/>
                <w:sz w:val="20"/>
                <w:szCs w:val="20"/>
              </w:rPr>
              <w:t>100%</w:t>
            </w:r>
          </w:p>
        </w:tc>
        <w:tc>
          <w:tcPr>
            <w:tcW w:w="557" w:type="pct"/>
            <w:vAlign w:val="center"/>
          </w:tcPr>
          <w:p w14:paraId="2792093D"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1 020 000</w:t>
            </w:r>
          </w:p>
        </w:tc>
        <w:tc>
          <w:tcPr>
            <w:tcW w:w="474" w:type="pct"/>
            <w:vAlign w:val="center"/>
          </w:tcPr>
          <w:p w14:paraId="2879392F"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135%</w:t>
            </w:r>
          </w:p>
        </w:tc>
      </w:tr>
      <w:tr w:rsidR="003208F8" w:rsidRPr="00C469C0" w14:paraId="2CDFE555" w14:textId="77777777" w:rsidTr="00063D5E">
        <w:trPr>
          <w:cantSplit/>
        </w:trPr>
        <w:tc>
          <w:tcPr>
            <w:tcW w:w="1531" w:type="pct"/>
            <w:vAlign w:val="center"/>
          </w:tcPr>
          <w:p w14:paraId="3278F833"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Ratio of amount retained in landscape: the total salt mobilised</w:t>
            </w:r>
            <w:r w:rsidRPr="00C469C0">
              <w:rPr>
                <w:rFonts w:ascii="Cambria" w:hAnsi="Cambria"/>
                <w:sz w:val="20"/>
                <w:szCs w:val="20"/>
                <w:vertAlign w:val="superscript"/>
              </w:rPr>
              <w:t>1</w:t>
            </w:r>
          </w:p>
        </w:tc>
        <w:tc>
          <w:tcPr>
            <w:tcW w:w="488" w:type="pct"/>
            <w:vAlign w:val="center"/>
          </w:tcPr>
          <w:p w14:paraId="65D68009"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3:5.1</w:t>
            </w:r>
          </w:p>
        </w:tc>
        <w:tc>
          <w:tcPr>
            <w:tcW w:w="488" w:type="pct"/>
            <w:tcBorders>
              <w:right w:val="single" w:sz="18" w:space="0" w:color="auto"/>
            </w:tcBorders>
            <w:vAlign w:val="center"/>
          </w:tcPr>
          <w:p w14:paraId="70FACC5B"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3.7:6.7*</w:t>
            </w:r>
          </w:p>
        </w:tc>
        <w:tc>
          <w:tcPr>
            <w:tcW w:w="488" w:type="pct"/>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607EBF42" w14:textId="77777777" w:rsidR="003208F8" w:rsidRPr="00C469C0" w:rsidRDefault="003208F8" w:rsidP="004518D5">
            <w:pPr>
              <w:pStyle w:val="tabletext1"/>
              <w:keepNext/>
              <w:keepLines/>
              <w:ind w:left="0" w:right="-105" w:firstLine="34"/>
              <w:jc w:val="center"/>
              <w:rPr>
                <w:rFonts w:ascii="Cambria" w:hAnsi="Cambria"/>
                <w:sz w:val="20"/>
                <w:szCs w:val="20"/>
              </w:rPr>
            </w:pPr>
          </w:p>
        </w:tc>
        <w:tc>
          <w:tcPr>
            <w:tcW w:w="488" w:type="pct"/>
            <w:tcBorders>
              <w:left w:val="single" w:sz="18" w:space="0" w:color="auto"/>
            </w:tcBorders>
            <w:vAlign w:val="center"/>
          </w:tcPr>
          <w:p w14:paraId="797C3F15"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5:8.3</w:t>
            </w:r>
          </w:p>
        </w:tc>
        <w:tc>
          <w:tcPr>
            <w:tcW w:w="488" w:type="pct"/>
            <w:vAlign w:val="center"/>
          </w:tcPr>
          <w:p w14:paraId="2E8D0F5A" w14:textId="77777777" w:rsidR="003208F8" w:rsidRPr="00C469C0" w:rsidRDefault="003208F8" w:rsidP="004518D5">
            <w:pPr>
              <w:pStyle w:val="tabletext1"/>
              <w:keepNext/>
              <w:keepLines/>
              <w:ind w:left="0" w:right="-110" w:firstLine="34"/>
              <w:rPr>
                <w:rFonts w:ascii="Cambria" w:hAnsi="Cambria"/>
                <w:sz w:val="20"/>
                <w:szCs w:val="20"/>
              </w:rPr>
            </w:pPr>
          </w:p>
        </w:tc>
        <w:tc>
          <w:tcPr>
            <w:tcW w:w="557" w:type="pct"/>
            <w:vAlign w:val="center"/>
          </w:tcPr>
          <w:p w14:paraId="7492B9F2"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6.5:10.3*</w:t>
            </w:r>
          </w:p>
        </w:tc>
        <w:tc>
          <w:tcPr>
            <w:tcW w:w="474" w:type="pct"/>
            <w:vAlign w:val="center"/>
          </w:tcPr>
          <w:p w14:paraId="3BF47957" w14:textId="77777777" w:rsidR="003208F8" w:rsidRPr="00C469C0" w:rsidRDefault="003208F8" w:rsidP="004518D5">
            <w:pPr>
              <w:pStyle w:val="tabletext1"/>
              <w:keepNext/>
              <w:keepLines/>
              <w:ind w:left="0" w:firstLine="34"/>
              <w:rPr>
                <w:rFonts w:ascii="Cambria" w:hAnsi="Cambria"/>
                <w:sz w:val="20"/>
                <w:szCs w:val="20"/>
              </w:rPr>
            </w:pPr>
          </w:p>
        </w:tc>
      </w:tr>
      <w:tr w:rsidR="003208F8" w:rsidRPr="00C469C0" w14:paraId="0A488001" w14:textId="77777777" w:rsidTr="00063D5E">
        <w:trPr>
          <w:cantSplit/>
        </w:trPr>
        <w:tc>
          <w:tcPr>
            <w:tcW w:w="1531" w:type="pct"/>
            <w:vAlign w:val="center"/>
          </w:tcPr>
          <w:p w14:paraId="246DC8D8"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Above ratio expressed as a percentage</w:t>
            </w:r>
          </w:p>
        </w:tc>
        <w:tc>
          <w:tcPr>
            <w:tcW w:w="488" w:type="pct"/>
            <w:vAlign w:val="center"/>
          </w:tcPr>
          <w:p w14:paraId="22BECD94"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59</w:t>
            </w:r>
          </w:p>
        </w:tc>
        <w:tc>
          <w:tcPr>
            <w:tcW w:w="488" w:type="pct"/>
            <w:tcBorders>
              <w:right w:val="single" w:sz="18" w:space="0" w:color="auto"/>
            </w:tcBorders>
            <w:vAlign w:val="center"/>
          </w:tcPr>
          <w:p w14:paraId="0CE168B5" w14:textId="77777777" w:rsidR="003208F8" w:rsidRPr="00C469C0" w:rsidRDefault="003208F8" w:rsidP="004518D5">
            <w:pPr>
              <w:pStyle w:val="tabletext1"/>
              <w:keepNext/>
              <w:keepLines/>
              <w:ind w:left="34"/>
              <w:rPr>
                <w:rFonts w:ascii="Cambria" w:hAnsi="Cambria"/>
                <w:sz w:val="20"/>
                <w:szCs w:val="20"/>
              </w:rPr>
            </w:pPr>
            <w:r w:rsidRPr="00C469C0">
              <w:rPr>
                <w:rFonts w:ascii="Cambria" w:hAnsi="Cambria"/>
                <w:sz w:val="20"/>
                <w:szCs w:val="20"/>
              </w:rPr>
              <w:t>55</w:t>
            </w:r>
          </w:p>
        </w:tc>
        <w:tc>
          <w:tcPr>
            <w:tcW w:w="488" w:type="pct"/>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E7A953C" w14:textId="77777777" w:rsidR="003208F8" w:rsidRPr="00C469C0" w:rsidRDefault="003208F8" w:rsidP="004518D5">
            <w:pPr>
              <w:pStyle w:val="tabletext1"/>
              <w:keepNext/>
              <w:keepLines/>
              <w:ind w:left="0" w:right="-105" w:firstLine="34"/>
              <w:jc w:val="center"/>
              <w:rPr>
                <w:rFonts w:ascii="Cambria" w:hAnsi="Cambria"/>
                <w:sz w:val="20"/>
                <w:szCs w:val="20"/>
              </w:rPr>
            </w:pPr>
          </w:p>
        </w:tc>
        <w:tc>
          <w:tcPr>
            <w:tcW w:w="488" w:type="pct"/>
            <w:tcBorders>
              <w:left w:val="single" w:sz="18" w:space="0" w:color="auto"/>
            </w:tcBorders>
            <w:vAlign w:val="center"/>
          </w:tcPr>
          <w:p w14:paraId="7FBC0273"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60</w:t>
            </w:r>
          </w:p>
        </w:tc>
        <w:tc>
          <w:tcPr>
            <w:tcW w:w="488" w:type="pct"/>
            <w:vAlign w:val="center"/>
          </w:tcPr>
          <w:p w14:paraId="6AB6E5F1" w14:textId="77777777" w:rsidR="003208F8" w:rsidRPr="00C469C0" w:rsidRDefault="003208F8" w:rsidP="004518D5">
            <w:pPr>
              <w:pStyle w:val="tabletext1"/>
              <w:keepNext/>
              <w:keepLines/>
              <w:ind w:left="0" w:right="-110" w:firstLine="34"/>
              <w:rPr>
                <w:rFonts w:ascii="Cambria" w:hAnsi="Cambria"/>
                <w:sz w:val="20"/>
                <w:szCs w:val="20"/>
              </w:rPr>
            </w:pPr>
          </w:p>
        </w:tc>
        <w:tc>
          <w:tcPr>
            <w:tcW w:w="557" w:type="pct"/>
            <w:vAlign w:val="center"/>
          </w:tcPr>
          <w:p w14:paraId="05A04B9C"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63</w:t>
            </w:r>
          </w:p>
        </w:tc>
        <w:tc>
          <w:tcPr>
            <w:tcW w:w="474" w:type="pct"/>
            <w:vAlign w:val="center"/>
          </w:tcPr>
          <w:p w14:paraId="71815937" w14:textId="77777777" w:rsidR="003208F8" w:rsidRPr="00C469C0" w:rsidRDefault="003208F8" w:rsidP="004518D5">
            <w:pPr>
              <w:pStyle w:val="tabletext1"/>
              <w:keepNext/>
              <w:keepLines/>
              <w:ind w:left="0" w:firstLine="34"/>
              <w:rPr>
                <w:rFonts w:ascii="Cambria" w:hAnsi="Cambria"/>
                <w:sz w:val="20"/>
                <w:szCs w:val="20"/>
              </w:rPr>
            </w:pPr>
          </w:p>
        </w:tc>
      </w:tr>
      <w:tr w:rsidR="003208F8" w:rsidRPr="00C469C0" w14:paraId="654312E5" w14:textId="77777777" w:rsidTr="00063D5E">
        <w:trPr>
          <w:cantSplit/>
        </w:trPr>
        <w:tc>
          <w:tcPr>
            <w:tcW w:w="1531" w:type="pct"/>
            <w:vAlign w:val="center"/>
          </w:tcPr>
          <w:p w14:paraId="1A6364EE" w14:textId="77777777" w:rsidR="003208F8" w:rsidRPr="00C469C0" w:rsidRDefault="003208F8" w:rsidP="004518D5">
            <w:pPr>
              <w:pStyle w:val="tabletext1"/>
              <w:keepNext/>
              <w:keepLines/>
              <w:ind w:left="142"/>
              <w:rPr>
                <w:rFonts w:ascii="Cambria" w:hAnsi="Cambria"/>
                <w:b/>
                <w:bCs/>
                <w:sz w:val="20"/>
                <w:szCs w:val="20"/>
              </w:rPr>
            </w:pPr>
            <w:r w:rsidRPr="00C469C0">
              <w:rPr>
                <w:rFonts w:ascii="Cambria" w:hAnsi="Cambria"/>
                <w:b/>
                <w:bCs/>
                <w:sz w:val="20"/>
                <w:szCs w:val="20"/>
              </w:rPr>
              <w:t xml:space="preserve">Increase in the amount of salt retained in the </w:t>
            </w:r>
            <w:r w:rsidRPr="00C469C0">
              <w:rPr>
                <w:rFonts w:ascii="Cambria" w:hAnsi="Cambria"/>
                <w:b/>
                <w:bCs/>
                <w:i/>
                <w:iCs/>
                <w:sz w:val="20"/>
                <w:szCs w:val="20"/>
              </w:rPr>
              <w:t>landscape, as a percentage of the 1998 figure</w:t>
            </w:r>
          </w:p>
        </w:tc>
        <w:tc>
          <w:tcPr>
            <w:tcW w:w="488" w:type="pct"/>
            <w:vAlign w:val="center"/>
          </w:tcPr>
          <w:p w14:paraId="7223CBA2" w14:textId="77777777" w:rsidR="003208F8" w:rsidRPr="00C469C0" w:rsidRDefault="003208F8" w:rsidP="004518D5">
            <w:pPr>
              <w:pStyle w:val="tabletext1"/>
              <w:keepNext/>
              <w:keepLines/>
              <w:ind w:left="34"/>
              <w:rPr>
                <w:rFonts w:ascii="Cambria" w:hAnsi="Cambria"/>
                <w:sz w:val="20"/>
                <w:szCs w:val="20"/>
              </w:rPr>
            </w:pPr>
          </w:p>
        </w:tc>
        <w:tc>
          <w:tcPr>
            <w:tcW w:w="488" w:type="pct"/>
            <w:tcBorders>
              <w:right w:val="single" w:sz="18" w:space="0" w:color="auto"/>
            </w:tcBorders>
            <w:vAlign w:val="center"/>
          </w:tcPr>
          <w:p w14:paraId="62480980" w14:textId="77777777" w:rsidR="003208F8" w:rsidRPr="00C469C0" w:rsidRDefault="003208F8" w:rsidP="004518D5">
            <w:pPr>
              <w:pStyle w:val="tabletext1"/>
              <w:keepNext/>
              <w:keepLines/>
              <w:ind w:left="34"/>
              <w:rPr>
                <w:rFonts w:ascii="Cambria" w:hAnsi="Cambria"/>
                <w:sz w:val="20"/>
                <w:szCs w:val="20"/>
              </w:rPr>
            </w:pPr>
          </w:p>
        </w:tc>
        <w:tc>
          <w:tcPr>
            <w:tcW w:w="488" w:type="pct"/>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00A152E3" w14:textId="77777777" w:rsidR="003208F8" w:rsidRPr="00C469C0" w:rsidRDefault="003208F8" w:rsidP="004518D5">
            <w:pPr>
              <w:pStyle w:val="tabletext1"/>
              <w:keepNext/>
              <w:keepLines/>
              <w:ind w:left="0" w:right="-105" w:firstLine="34"/>
              <w:jc w:val="center"/>
              <w:rPr>
                <w:rFonts w:ascii="Cambria" w:hAnsi="Cambria"/>
                <w:b/>
                <w:bCs/>
                <w:sz w:val="20"/>
                <w:szCs w:val="20"/>
              </w:rPr>
            </w:pPr>
            <w:r w:rsidRPr="00C469C0">
              <w:rPr>
                <w:rFonts w:ascii="Cambria" w:hAnsi="Cambria"/>
                <w:b/>
                <w:bCs/>
                <w:sz w:val="20"/>
                <w:szCs w:val="20"/>
              </w:rPr>
              <w:t>38%</w:t>
            </w:r>
          </w:p>
        </w:tc>
        <w:tc>
          <w:tcPr>
            <w:tcW w:w="488" w:type="pct"/>
            <w:tcBorders>
              <w:left w:val="single" w:sz="18" w:space="0" w:color="auto"/>
            </w:tcBorders>
            <w:vAlign w:val="center"/>
          </w:tcPr>
          <w:p w14:paraId="47F58AB5" w14:textId="77777777" w:rsidR="003208F8" w:rsidRPr="00C469C0" w:rsidRDefault="003208F8" w:rsidP="004518D5">
            <w:pPr>
              <w:pStyle w:val="tabletext1"/>
              <w:keepNext/>
              <w:keepLines/>
              <w:ind w:left="0" w:firstLine="34"/>
              <w:rPr>
                <w:rFonts w:ascii="Cambria" w:hAnsi="Cambria"/>
                <w:b/>
                <w:bCs/>
                <w:sz w:val="20"/>
                <w:szCs w:val="20"/>
              </w:rPr>
            </w:pPr>
          </w:p>
        </w:tc>
        <w:tc>
          <w:tcPr>
            <w:tcW w:w="488" w:type="pct"/>
            <w:shd w:val="clear" w:color="auto" w:fill="F2F2F2" w:themeFill="background1" w:themeFillShade="F2"/>
            <w:vAlign w:val="center"/>
          </w:tcPr>
          <w:p w14:paraId="31D71D18" w14:textId="77777777" w:rsidR="003208F8" w:rsidRPr="00C469C0" w:rsidRDefault="003208F8" w:rsidP="004518D5">
            <w:pPr>
              <w:pStyle w:val="tabletext1"/>
              <w:keepNext/>
              <w:keepLines/>
              <w:ind w:left="0" w:right="-110" w:firstLine="34"/>
              <w:rPr>
                <w:rFonts w:ascii="Cambria" w:hAnsi="Cambria"/>
                <w:b/>
                <w:bCs/>
                <w:sz w:val="20"/>
                <w:szCs w:val="20"/>
              </w:rPr>
            </w:pPr>
            <w:r w:rsidRPr="00C469C0">
              <w:rPr>
                <w:rFonts w:ascii="Cambria" w:hAnsi="Cambria"/>
                <w:b/>
                <w:bCs/>
                <w:sz w:val="20"/>
                <w:szCs w:val="20"/>
              </w:rPr>
              <w:t>105%</w:t>
            </w:r>
          </w:p>
        </w:tc>
        <w:tc>
          <w:tcPr>
            <w:tcW w:w="557" w:type="pct"/>
            <w:vAlign w:val="center"/>
          </w:tcPr>
          <w:p w14:paraId="2483F0C5" w14:textId="77777777" w:rsidR="003208F8" w:rsidRPr="00C469C0" w:rsidRDefault="003208F8" w:rsidP="004518D5">
            <w:pPr>
              <w:pStyle w:val="tabletext1"/>
              <w:keepNext/>
              <w:keepLines/>
              <w:ind w:left="0" w:firstLine="34"/>
              <w:rPr>
                <w:rFonts w:ascii="Cambria" w:hAnsi="Cambria"/>
                <w:sz w:val="20"/>
                <w:szCs w:val="20"/>
              </w:rPr>
            </w:pPr>
          </w:p>
        </w:tc>
        <w:tc>
          <w:tcPr>
            <w:tcW w:w="474" w:type="pct"/>
            <w:vAlign w:val="center"/>
          </w:tcPr>
          <w:p w14:paraId="74B8813E" w14:textId="77777777" w:rsidR="003208F8" w:rsidRPr="00C469C0" w:rsidRDefault="003208F8" w:rsidP="004518D5">
            <w:pPr>
              <w:pStyle w:val="tabletext1"/>
              <w:keepNext/>
              <w:keepLines/>
              <w:ind w:left="0" w:firstLine="34"/>
              <w:rPr>
                <w:rFonts w:ascii="Cambria" w:hAnsi="Cambria"/>
                <w:sz w:val="20"/>
                <w:szCs w:val="20"/>
              </w:rPr>
            </w:pPr>
            <w:r w:rsidRPr="00C469C0">
              <w:rPr>
                <w:rFonts w:ascii="Cambria" w:hAnsi="Cambria"/>
                <w:sz w:val="20"/>
                <w:szCs w:val="20"/>
              </w:rPr>
              <w:t>152%</w:t>
            </w:r>
          </w:p>
        </w:tc>
      </w:tr>
      <w:tr w:rsidR="003208F8" w:rsidRPr="00C469C0" w14:paraId="7134F22D" w14:textId="77777777" w:rsidTr="00063D5E">
        <w:trPr>
          <w:cantSplit/>
        </w:trPr>
        <w:tc>
          <w:tcPr>
            <w:tcW w:w="5000" w:type="pct"/>
            <w:gridSpan w:val="8"/>
          </w:tcPr>
          <w:p w14:paraId="5938C045" w14:textId="77777777" w:rsidR="003208F8" w:rsidRPr="00C469C0" w:rsidRDefault="003208F8" w:rsidP="004518D5">
            <w:pPr>
              <w:pStyle w:val="singlespacebodytext"/>
              <w:keepNext/>
              <w:keepLines/>
              <w:ind w:left="32"/>
              <w:rPr>
                <w:rFonts w:ascii="Cambria" w:hAnsi="Cambria"/>
                <w:szCs w:val="20"/>
              </w:rPr>
            </w:pPr>
            <w:r w:rsidRPr="00C469C0">
              <w:rPr>
                <w:rFonts w:ascii="Cambria" w:hAnsi="Cambria"/>
                <w:szCs w:val="20"/>
              </w:rPr>
              <w:t xml:space="preserve">Notes: </w:t>
            </w:r>
            <w:r w:rsidRPr="00C469C0">
              <w:rPr>
                <w:rFonts w:ascii="Cambria" w:hAnsi="Cambria"/>
                <w:bCs/>
                <w:szCs w:val="20"/>
                <w:vertAlign w:val="superscript"/>
              </w:rPr>
              <w:t>1</w:t>
            </w:r>
            <w:r w:rsidRPr="00C469C0">
              <w:rPr>
                <w:rFonts w:ascii="Cambria" w:hAnsi="Cambria"/>
                <w:szCs w:val="20"/>
              </w:rPr>
              <w:t xml:space="preserve">The ratio is expressed as a ratio of the total amount of ‘mobilised salt’ to the land surface for the entire MDB in Australia: to the amount retained in the landscape for the entire basin. The percentage increase from the 1998 figure is then calculated by multiplying the total salt mobilised (in the row above) by the ratio (e.g. 0.59 for 1998 and 0.55 for 2020). </w:t>
            </w:r>
            <w:r w:rsidRPr="00C469C0">
              <w:rPr>
                <w:rFonts w:ascii="Cambria" w:hAnsi="Cambria"/>
                <w:b/>
                <w:szCs w:val="20"/>
              </w:rPr>
              <w:t>*</w:t>
            </w:r>
            <w:r w:rsidRPr="00C469C0">
              <w:rPr>
                <w:rFonts w:ascii="Cambria" w:hAnsi="Cambria"/>
                <w:szCs w:val="20"/>
              </w:rPr>
              <w:t>Estimate, by inspection of Figure 7 in MDBMC (1999).</w:t>
            </w:r>
          </w:p>
        </w:tc>
      </w:tr>
    </w:tbl>
    <w:p w14:paraId="5CA317A8" w14:textId="77777777" w:rsidR="00E50FDE" w:rsidRDefault="00E50FDE" w:rsidP="00A2521C">
      <w:pPr>
        <w:pStyle w:val="Heading5"/>
      </w:pPr>
    </w:p>
    <w:p w14:paraId="30BA8A96" w14:textId="5CAC64C7" w:rsidR="00231D46" w:rsidRPr="00BC4BDF" w:rsidRDefault="00231D46" w:rsidP="00A2521C">
      <w:pPr>
        <w:pStyle w:val="Heading5"/>
      </w:pPr>
      <w:r w:rsidRPr="00E96936">
        <w:t>Impacts</w:t>
      </w:r>
      <w:r w:rsidRPr="00BC4BDF">
        <w:t xml:space="preserve"> of salinisation</w:t>
      </w:r>
    </w:p>
    <w:p w14:paraId="7F635E6D" w14:textId="78B7817A" w:rsidR="00231D46" w:rsidRDefault="00231D46" w:rsidP="00231D46">
      <w:r>
        <w:t>S</w:t>
      </w:r>
      <w:r w:rsidRPr="00D53C58">
        <w:t xml:space="preserve">oil salinisation </w:t>
      </w:r>
      <w:r>
        <w:t xml:space="preserve">has long been considered an </w:t>
      </w:r>
      <w:r w:rsidRPr="00667759">
        <w:t>issue of great concern for the long-term health of</w:t>
      </w:r>
      <w:r w:rsidRPr="00D53C58">
        <w:t xml:space="preserve"> riparian </w:t>
      </w:r>
      <w:r>
        <w:t xml:space="preserve">and floodplain </w:t>
      </w:r>
      <w:r w:rsidRPr="00D53C58">
        <w:t>vegetation along the River Murray</w:t>
      </w:r>
      <w:r>
        <w:t xml:space="preserve"> (Margules &amp; Partners et al. 1990). Although</w:t>
      </w:r>
      <w:r w:rsidRPr="00D60912">
        <w:t xml:space="preserve"> native flora and fauna </w:t>
      </w:r>
      <w:r>
        <w:t xml:space="preserve">have evolved with and </w:t>
      </w:r>
      <w:r w:rsidRPr="00D60912">
        <w:t>are</w:t>
      </w:r>
      <w:r>
        <w:t xml:space="preserve">, to some extent, </w:t>
      </w:r>
      <w:r w:rsidRPr="00D60912">
        <w:t>adapted to saline conditions,</w:t>
      </w:r>
      <w:r w:rsidRPr="003D5478">
        <w:t xml:space="preserve"> there are limits. </w:t>
      </w:r>
      <w:r w:rsidRPr="00C87A89">
        <w:t xml:space="preserve">As salt accumulates </w:t>
      </w:r>
      <w:r w:rsidRPr="00D60912">
        <w:t xml:space="preserve">beyond particular </w:t>
      </w:r>
      <w:r w:rsidRPr="005F1FBA">
        <w:t xml:space="preserve">physiological </w:t>
      </w:r>
      <w:r w:rsidRPr="00D60912">
        <w:t xml:space="preserve">thresholds </w:t>
      </w:r>
      <w:r w:rsidRPr="0044675B">
        <w:t>for a species</w:t>
      </w:r>
      <w:r>
        <w:t>,</w:t>
      </w:r>
      <w:r w:rsidRPr="0044675B">
        <w:t xml:space="preserve"> </w:t>
      </w:r>
      <w:r w:rsidRPr="00D60912">
        <w:t>germination and recruitment is impeded</w:t>
      </w:r>
      <w:r>
        <w:t>. E</w:t>
      </w:r>
      <w:r w:rsidRPr="00D60912">
        <w:t>ventually</w:t>
      </w:r>
      <w:r>
        <w:t>,</w:t>
      </w:r>
      <w:r w:rsidRPr="00D60912">
        <w:t xml:space="preserve"> adult</w:t>
      </w:r>
      <w:r w:rsidR="00AC685F">
        <w:t>s of many</w:t>
      </w:r>
      <w:r w:rsidRPr="00D60912">
        <w:t xml:space="preserve"> </w:t>
      </w:r>
      <w:r>
        <w:t xml:space="preserve">plants </w:t>
      </w:r>
      <w:r w:rsidR="00AC685F">
        <w:t xml:space="preserve">(e.g. </w:t>
      </w:r>
      <w:r w:rsidR="00AC685F">
        <w:lastRenderedPageBreak/>
        <w:t xml:space="preserve">functionally important eucalypts and herbaceous wetland species) </w:t>
      </w:r>
      <w:r w:rsidRPr="00D60912">
        <w:t xml:space="preserve">are likely to be lost, </w:t>
      </w:r>
      <w:r>
        <w:t>particularly</w:t>
      </w:r>
      <w:r w:rsidRPr="00B96A43">
        <w:t xml:space="preserve"> if high soil salinity is coupled with long drought periods and/or waterlogging (e.g. by extreme floods). Dieback </w:t>
      </w:r>
      <w:r w:rsidRPr="00A146FC">
        <w:t xml:space="preserve">of </w:t>
      </w:r>
      <w:r>
        <w:t xml:space="preserve">tree </w:t>
      </w:r>
      <w:r w:rsidRPr="00A146FC">
        <w:t xml:space="preserve">species on floodplains has </w:t>
      </w:r>
      <w:r>
        <w:t xml:space="preserve">long </w:t>
      </w:r>
      <w:r w:rsidRPr="00A146FC">
        <w:t xml:space="preserve">been attributed to increased soil salinisation due to raised groundwater levels, </w:t>
      </w:r>
      <w:r>
        <w:t xml:space="preserve">which have </w:t>
      </w:r>
      <w:r w:rsidRPr="00A146FC">
        <w:t>result</w:t>
      </w:r>
      <w:r>
        <w:t>ed</w:t>
      </w:r>
      <w:r w:rsidRPr="00A146FC">
        <w:t xml:space="preserve"> from irrigation and river regulation (Jolly et al. 1993b</w:t>
      </w:r>
      <w:r>
        <w:t>; Doody et al. 2015, 2021, 2023</w:t>
      </w:r>
      <w:r w:rsidRPr="00A146FC">
        <w:t xml:space="preserve">). </w:t>
      </w:r>
      <w:r>
        <w:t xml:space="preserve">This situation is </w:t>
      </w:r>
      <w:r w:rsidRPr="00A146FC">
        <w:t>exacerbated by a reduction in flooding frequency and duration of inundation</w:t>
      </w:r>
      <w:r>
        <w:t>, both of which are impacted by over extraction of water and climate change</w:t>
      </w:r>
      <w:r w:rsidRPr="00A146FC">
        <w:t xml:space="preserve"> (Jolly et </w:t>
      </w:r>
      <w:r w:rsidRPr="00AB7653">
        <w:t>al.  1993b) and</w:t>
      </w:r>
      <w:r>
        <w:t xml:space="preserve"> see image of </w:t>
      </w:r>
      <w:r w:rsidRPr="004A1AE7">
        <w:t xml:space="preserve">Clark’s floodplain </w:t>
      </w:r>
      <w:r>
        <w:t>–</w:t>
      </w:r>
      <w:r w:rsidRPr="004A1AE7">
        <w:t xml:space="preserve"> Bookpurnong</w:t>
      </w:r>
      <w:r>
        <w:t>, below.</w:t>
      </w:r>
    </w:p>
    <w:p w14:paraId="00ACE6E1" w14:textId="77777777" w:rsidR="007312AF" w:rsidRDefault="007312AF" w:rsidP="007930F2">
      <w:pPr>
        <w:spacing w:before="120" w:after="120"/>
        <w:rPr>
          <w:noProof/>
        </w:rPr>
      </w:pPr>
    </w:p>
    <w:p w14:paraId="3926B80A" w14:textId="627D6C34" w:rsidR="00DB44EF" w:rsidRDefault="005D66BC" w:rsidP="007930F2">
      <w:pPr>
        <w:spacing w:before="120" w:after="120"/>
        <w:rPr>
          <w:sz w:val="20"/>
          <w:szCs w:val="20"/>
        </w:rPr>
      </w:pPr>
      <w:r>
        <w:rPr>
          <w:noProof/>
        </w:rPr>
        <w:drawing>
          <wp:inline distT="0" distB="0" distL="0" distR="0" wp14:anchorId="266CAEB1" wp14:editId="25B0A900">
            <wp:extent cx="5752800" cy="2981679"/>
            <wp:effectExtent l="0" t="0" r="635" b="9525"/>
            <wp:docPr id="2100142576" name="Picture 2" descr="A picture of Clark's floodplain showing dieback of tree species attributed to increased soil salinisation due to raised groundwater levels as a result of irrigation and rive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42576" name="Picture 2" descr="A picture of Clark's floodplain showing dieback of tree species attributed to increased soil salinisation due to raised groundwater levels as a result of irrigation and river regulation."/>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b="14259"/>
                    <a:stretch/>
                  </pic:blipFill>
                  <pic:spPr bwMode="auto">
                    <a:xfrm>
                      <a:off x="0" y="0"/>
                      <a:ext cx="5752800" cy="2981679"/>
                    </a:xfrm>
                    <a:prstGeom prst="rect">
                      <a:avLst/>
                    </a:prstGeom>
                    <a:noFill/>
                    <a:ln>
                      <a:noFill/>
                    </a:ln>
                    <a:extLst>
                      <a:ext uri="{53640926-AAD7-44D8-BBD7-CCE9431645EC}">
                        <a14:shadowObscured xmlns:a14="http://schemas.microsoft.com/office/drawing/2010/main"/>
                      </a:ext>
                    </a:extLst>
                  </pic:spPr>
                </pic:pic>
              </a:graphicData>
            </a:graphic>
          </wp:inline>
        </w:drawing>
      </w:r>
      <w:r w:rsidR="00DB44EF" w:rsidRPr="00DB44EF">
        <w:rPr>
          <w:sz w:val="20"/>
          <w:szCs w:val="20"/>
        </w:rPr>
        <w:t xml:space="preserve"> </w:t>
      </w:r>
    </w:p>
    <w:p w14:paraId="35F08551" w14:textId="7B653CC7" w:rsidR="007352D9" w:rsidRPr="00B740AD" w:rsidRDefault="00A52D67" w:rsidP="007312AF">
      <w:pPr>
        <w:pStyle w:val="Tablesource"/>
        <w:jc w:val="center"/>
        <w:rPr>
          <w:b/>
          <w:bCs/>
          <w:sz w:val="20"/>
          <w:szCs w:val="20"/>
        </w:rPr>
      </w:pPr>
      <w:r w:rsidRPr="00B740AD">
        <w:rPr>
          <w:b/>
          <w:bCs/>
          <w:sz w:val="20"/>
          <w:szCs w:val="20"/>
        </w:rPr>
        <w:t xml:space="preserve">Clark’s </w:t>
      </w:r>
      <w:r w:rsidR="00B740AD">
        <w:rPr>
          <w:b/>
          <w:bCs/>
          <w:sz w:val="20"/>
          <w:szCs w:val="20"/>
        </w:rPr>
        <w:t>F</w:t>
      </w:r>
      <w:r w:rsidRPr="00B740AD">
        <w:rPr>
          <w:b/>
          <w:bCs/>
          <w:sz w:val="20"/>
          <w:szCs w:val="20"/>
        </w:rPr>
        <w:t xml:space="preserve">loodplain </w:t>
      </w:r>
      <w:r w:rsidR="00F7508E" w:rsidRPr="00B740AD">
        <w:rPr>
          <w:b/>
          <w:bCs/>
          <w:sz w:val="20"/>
          <w:szCs w:val="20"/>
        </w:rPr>
        <w:t>–</w:t>
      </w:r>
      <w:r w:rsidRPr="00B740AD">
        <w:rPr>
          <w:b/>
          <w:bCs/>
          <w:sz w:val="20"/>
          <w:szCs w:val="20"/>
        </w:rPr>
        <w:t xml:space="preserve"> Bookpurno</w:t>
      </w:r>
      <w:r w:rsidR="00F7508E" w:rsidRPr="00B740AD">
        <w:rPr>
          <w:b/>
          <w:bCs/>
          <w:sz w:val="20"/>
          <w:szCs w:val="20"/>
        </w:rPr>
        <w:t>ng</w:t>
      </w:r>
      <w:r w:rsidR="00B740AD">
        <w:rPr>
          <w:b/>
          <w:bCs/>
          <w:sz w:val="20"/>
          <w:szCs w:val="20"/>
        </w:rPr>
        <w:t>, SA</w:t>
      </w:r>
      <w:r w:rsidR="00F7508E" w:rsidRPr="00B740AD">
        <w:rPr>
          <w:b/>
          <w:bCs/>
          <w:sz w:val="20"/>
          <w:szCs w:val="20"/>
        </w:rPr>
        <w:t xml:space="preserve"> ©</w:t>
      </w:r>
      <w:r w:rsidR="00DB44EF" w:rsidRPr="00B740AD">
        <w:rPr>
          <w:b/>
          <w:bCs/>
          <w:sz w:val="20"/>
          <w:szCs w:val="20"/>
        </w:rPr>
        <w:t xml:space="preserve"> </w:t>
      </w:r>
      <w:r w:rsidR="00EE440D">
        <w:rPr>
          <w:b/>
          <w:bCs/>
          <w:sz w:val="20"/>
          <w:szCs w:val="20"/>
        </w:rPr>
        <w:t>R. Felder 2015</w:t>
      </w:r>
      <w:r w:rsidR="00DB44EF" w:rsidRPr="00B740AD">
        <w:rPr>
          <w:b/>
          <w:bCs/>
          <w:sz w:val="20"/>
          <w:szCs w:val="20"/>
        </w:rPr>
        <w:t xml:space="preserve"> </w:t>
      </w:r>
    </w:p>
    <w:p w14:paraId="5815EACE" w14:textId="77777777" w:rsidR="00AC685F" w:rsidRPr="00AC685F" w:rsidRDefault="00AC685F" w:rsidP="00AC685F">
      <w:pPr>
        <w:spacing w:before="120" w:after="120"/>
        <w:rPr>
          <w:b/>
          <w:bCs/>
          <w:sz w:val="8"/>
          <w:szCs w:val="8"/>
        </w:rPr>
      </w:pPr>
    </w:p>
    <w:p w14:paraId="6EC1DE91" w14:textId="55DED876" w:rsidR="00582C29" w:rsidRPr="00823274" w:rsidRDefault="007352D9" w:rsidP="00582C29">
      <w:r w:rsidRPr="00EE6754">
        <w:t>Floodplain salinisation is a threatening process</w:t>
      </w:r>
      <w:r w:rsidR="00AC685F">
        <w:t xml:space="preserve"> (refer to </w:t>
      </w:r>
      <w:r w:rsidR="00AC685F" w:rsidRPr="00AC685F">
        <w:rPr>
          <w:u w:val="single"/>
        </w:rPr>
        <w:t>Section 4</w:t>
      </w:r>
      <w:r w:rsidR="00AC685F">
        <w:t>)</w:t>
      </w:r>
      <w:r>
        <w:t>. It</w:t>
      </w:r>
      <w:r w:rsidRPr="00EE6754">
        <w:t xml:space="preserve"> causes detrimental change to the ecological community </w:t>
      </w:r>
      <w:r>
        <w:t xml:space="preserve">by </w:t>
      </w:r>
      <w:r w:rsidRPr="00D60912">
        <w:t>disruptin</w:t>
      </w:r>
      <w:r>
        <w:t>g</w:t>
      </w:r>
      <w:r w:rsidRPr="00D60912">
        <w:t xml:space="preserve"> the</w:t>
      </w:r>
      <w:r>
        <w:t xml:space="preserve"> </w:t>
      </w:r>
      <w:r w:rsidRPr="00D60912">
        <w:t xml:space="preserve">fresh water </w:t>
      </w:r>
      <w:r>
        <w:t xml:space="preserve">supply </w:t>
      </w:r>
      <w:r w:rsidRPr="00D60912">
        <w:t>to native vegetation on the floodplain</w:t>
      </w:r>
      <w:r>
        <w:t>, that is used</w:t>
      </w:r>
      <w:r w:rsidRPr="00D60912">
        <w:t xml:space="preserve"> for transpiration and biolog</w:t>
      </w:r>
      <w:r w:rsidRPr="000B7DB4">
        <w:t>ical functioning</w:t>
      </w:r>
      <w:r>
        <w:t>. R</w:t>
      </w:r>
      <w:r w:rsidRPr="00D60912">
        <w:t>aised weir pool levels and the development of irrigation areas adjacent to the floodplain ha</w:t>
      </w:r>
      <w:r>
        <w:t>ve further</w:t>
      </w:r>
      <w:r w:rsidRPr="00D60912">
        <w:t xml:space="preserve"> increased rates of evapotranspiration (and hence increased movement of salt up into the plant root zone (Jolly</w:t>
      </w:r>
      <w:r>
        <w:t> </w:t>
      </w:r>
      <w:r w:rsidRPr="00D60912">
        <w:t>1996</w:t>
      </w:r>
      <w:r>
        <w:t>)</w:t>
      </w:r>
      <w:r w:rsidRPr="00D60912">
        <w:t>.</w:t>
      </w:r>
      <w:r>
        <w:t xml:space="preserve"> Long-term, high salinity</w:t>
      </w:r>
      <w:r w:rsidRPr="007228B9">
        <w:t xml:space="preserve"> </w:t>
      </w:r>
      <w:r>
        <w:t>ultimately reduces the structural complexity of habitats (such as woodlands) to that of low</w:t>
      </w:r>
      <w:r w:rsidR="00582C29">
        <w:t xml:space="preserve"> shrubland, with a </w:t>
      </w:r>
      <w:r w:rsidR="00582C29" w:rsidRPr="00823274">
        <w:t>resulting reduction in species able to use the habitat (Stewart et al. 2010). For example, indications are, that at high salinities, native mammal species richness is suppressed (Stewart et al. 2010).</w:t>
      </w:r>
    </w:p>
    <w:p w14:paraId="1E845976" w14:textId="77777777" w:rsidR="00582C29" w:rsidRPr="00D60912" w:rsidRDefault="00582C29" w:rsidP="00582C29">
      <w:r w:rsidRPr="00823274">
        <w:t>With respect to the Chowilla floodplain, the largest area of undeveloped floodplain in the ecological community and with high refuge value, Taylor et al. (1996), using GIS-based modelling, estimated that in 1993, 43% of the floodplain was affected by soil salinisation, and this had increased to 65% by 2003 (DEH 2004; Smith &amp; Kenny 2005). Specifically, the Chowilla floodplain is a 'sink' for naturally saline regional aquifers in the western Murray Basin (Gehrig et al. 2012).</w:t>
      </w:r>
    </w:p>
    <w:p w14:paraId="11658144" w14:textId="77777777" w:rsidR="00D80824" w:rsidRPr="00BC4BDF" w:rsidRDefault="00D80824" w:rsidP="00A2521C">
      <w:pPr>
        <w:pStyle w:val="Heading5"/>
      </w:pPr>
      <w:r>
        <w:t>K</w:t>
      </w:r>
      <w:r w:rsidRPr="00BC4BDF">
        <w:t xml:space="preserve">eystone floodplain trees </w:t>
      </w:r>
      <w:r>
        <w:t>and i</w:t>
      </w:r>
      <w:r w:rsidRPr="00BC4BDF">
        <w:t xml:space="preserve">mpacts of salinisation </w:t>
      </w:r>
    </w:p>
    <w:p w14:paraId="7E1CC3B9" w14:textId="2F8D3392" w:rsidR="00D80824" w:rsidRDefault="00D80824" w:rsidP="00D80824">
      <w:r w:rsidRPr="00D60912">
        <w:t xml:space="preserve">Slavich (1997) showed that </w:t>
      </w:r>
      <w:r w:rsidRPr="00AC5F18">
        <w:rPr>
          <w:i/>
          <w:iCs/>
        </w:rPr>
        <w:t>Eucalyptus largiflorens</w:t>
      </w:r>
      <w:r w:rsidRPr="00C77D5B">
        <w:t xml:space="preserve"> (</w:t>
      </w:r>
      <w:r w:rsidRPr="00D60912">
        <w:t>black box</w:t>
      </w:r>
      <w:r>
        <w:t>, river box)</w:t>
      </w:r>
      <w:r w:rsidRPr="00D60912">
        <w:t xml:space="preserve"> trees</w:t>
      </w:r>
      <w:r>
        <w:t xml:space="preserve"> </w:t>
      </w:r>
      <w:r w:rsidRPr="00D60912">
        <w:t xml:space="preserve">on the Chowilla floodplain could live as long as 450 years; </w:t>
      </w:r>
      <w:r w:rsidRPr="00AC5F18">
        <w:rPr>
          <w:i/>
          <w:iCs/>
        </w:rPr>
        <w:t>Eucalyptus camaldulensis</w:t>
      </w:r>
      <w:r>
        <w:t xml:space="preserve"> (</w:t>
      </w:r>
      <w:r w:rsidRPr="00D60912">
        <w:t>river red gum</w:t>
      </w:r>
      <w:r>
        <w:t>)</w:t>
      </w:r>
      <w:r w:rsidRPr="00D60912">
        <w:t xml:space="preserve"> can live even longer</w:t>
      </w:r>
      <w:r>
        <w:t xml:space="preserve">, </w:t>
      </w:r>
      <w:r w:rsidRPr="00792B42">
        <w:t>possibly to 950 years (Ogden 1978</w:t>
      </w:r>
      <w:r>
        <w:t>;</w:t>
      </w:r>
      <w:r w:rsidRPr="00D60912">
        <w:t xml:space="preserve"> MDBC 2003</w:t>
      </w:r>
      <w:r>
        <w:t>a</w:t>
      </w:r>
      <w:r w:rsidRPr="00D60912">
        <w:t xml:space="preserve">). </w:t>
      </w:r>
      <w:r>
        <w:t xml:space="preserve">These two </w:t>
      </w:r>
      <w:r w:rsidRPr="00DD48D6">
        <w:t>keystone eucalypt species</w:t>
      </w:r>
      <w:r>
        <w:t xml:space="preserve"> </w:t>
      </w:r>
      <w:r w:rsidRPr="00DD48D6">
        <w:lastRenderedPageBreak/>
        <w:t>are essential ecosystem engineers</w:t>
      </w:r>
      <w:r>
        <w:t xml:space="preserve"> and characterise the dominant vegetation communities of the ecological community (Stewart et al. 2010; Gibbs et al. 2020; </w:t>
      </w:r>
      <w:r w:rsidRPr="00C73106">
        <w:t>Doody et al. 2021</w:t>
      </w:r>
      <w:r>
        <w:t xml:space="preserve">; see </w:t>
      </w:r>
      <w:r w:rsidRPr="00AC685F">
        <w:rPr>
          <w:u w:val="single"/>
        </w:rPr>
        <w:t>Criterion 3</w:t>
      </w:r>
      <w:r>
        <w:t xml:space="preserve">). </w:t>
      </w:r>
      <w:r w:rsidR="00AC685F">
        <w:t>As outlined in Section 1.2.3, t</w:t>
      </w:r>
      <w:r>
        <w:t>hey provide high-value habitat for a range of flora and fauna and provide ecosystem services throughout the ecological community; for example, b</w:t>
      </w:r>
      <w:r w:rsidRPr="00027870">
        <w:t xml:space="preserve">ird species richness </w:t>
      </w:r>
      <w:r>
        <w:t>i</w:t>
      </w:r>
      <w:r w:rsidRPr="00027870">
        <w:t>s greatest in the more structurally complex woodlands</w:t>
      </w:r>
      <w:r w:rsidRPr="009933CF">
        <w:t xml:space="preserve"> </w:t>
      </w:r>
      <w:r>
        <w:t xml:space="preserve">and forests </w:t>
      </w:r>
      <w:r w:rsidRPr="003A472B">
        <w:t>(</w:t>
      </w:r>
      <w:r w:rsidRPr="006020BD">
        <w:t>Stewart et al. 2010</w:t>
      </w:r>
      <w:r>
        <w:t xml:space="preserve">; </w:t>
      </w:r>
      <w:r w:rsidRPr="003A472B">
        <w:t>Overton et</w:t>
      </w:r>
      <w:r>
        <w:t> </w:t>
      </w:r>
      <w:r w:rsidRPr="003A472B">
        <w:t>al.</w:t>
      </w:r>
      <w:r>
        <w:t> </w:t>
      </w:r>
      <w:r w:rsidRPr="003A472B">
        <w:t>2018</w:t>
      </w:r>
      <w:r w:rsidRPr="00F64722">
        <w:t xml:space="preserve">). </w:t>
      </w:r>
    </w:p>
    <w:p w14:paraId="308D8EFD" w14:textId="77777777" w:rsidR="00D80824" w:rsidRDefault="00D80824" w:rsidP="00D80824">
      <w:r w:rsidRPr="002B1DFB">
        <w:t>The</w:t>
      </w:r>
      <w:r>
        <w:t>se eucalypts</w:t>
      </w:r>
      <w:r w:rsidRPr="002B1DFB">
        <w:t xml:space="preserve"> </w:t>
      </w:r>
      <w:r>
        <w:t xml:space="preserve">also </w:t>
      </w:r>
      <w:r w:rsidRPr="002B1DFB">
        <w:t>influence local hydrology and micro-climates, and provide food for many organisms, including important pollinators (Robertson et</w:t>
      </w:r>
      <w:r>
        <w:t> </w:t>
      </w:r>
      <w:r w:rsidRPr="002B1DFB">
        <w:t>al.</w:t>
      </w:r>
      <w:r>
        <w:t> </w:t>
      </w:r>
      <w:r w:rsidRPr="002B1DFB">
        <w:t>2001; MDBC 2003a; Wallace 2009).</w:t>
      </w:r>
      <w:r>
        <w:t xml:space="preserve"> </w:t>
      </w:r>
      <w:r w:rsidRPr="003F4184">
        <w:t>River Red Gum</w:t>
      </w:r>
      <w:r>
        <w:t>s</w:t>
      </w:r>
      <w:r w:rsidRPr="003F4184">
        <w:t xml:space="preserve"> contribute energy directly to the</w:t>
      </w:r>
      <w:r>
        <w:t xml:space="preserve"> </w:t>
      </w:r>
      <w:r w:rsidRPr="003F4184">
        <w:t>river in the form of dissolved organic carbon,</w:t>
      </w:r>
      <w:r>
        <w:t xml:space="preserve"> </w:t>
      </w:r>
      <w:r w:rsidRPr="003F4184">
        <w:t>provide structural features such as snags,</w:t>
      </w:r>
      <w:r>
        <w:t xml:space="preserve"> </w:t>
      </w:r>
      <w:r w:rsidRPr="003F4184">
        <w:t>and moderate river temperature by shading</w:t>
      </w:r>
      <w:r>
        <w:t xml:space="preserve"> (Roberts &amp; Marston 2011).</w:t>
      </w:r>
      <w:r w:rsidRPr="00FD172E">
        <w:t xml:space="preserve"> </w:t>
      </w:r>
      <w:r>
        <w:t>They</w:t>
      </w:r>
      <w:r w:rsidRPr="00FD172E">
        <w:t xml:space="preserve"> alter soil properties nearby. On floodplains, floodwater percolates into the soil more rapidly </w:t>
      </w:r>
      <w:r>
        <w:t>(</w:t>
      </w:r>
      <w:r w:rsidRPr="00246B98">
        <w:t>2</w:t>
      </w:r>
      <w:r>
        <w:t>-</w:t>
      </w:r>
      <w:r w:rsidRPr="00246B98">
        <w:t>17 times faster</w:t>
      </w:r>
      <w:r>
        <w:t xml:space="preserve">) </w:t>
      </w:r>
      <w:r w:rsidRPr="00FD172E">
        <w:t xml:space="preserve">near </w:t>
      </w:r>
      <w:r>
        <w:t>b</w:t>
      </w:r>
      <w:r w:rsidRPr="00FD172E">
        <w:t xml:space="preserve">lack </w:t>
      </w:r>
      <w:r>
        <w:t>b</w:t>
      </w:r>
      <w:r w:rsidRPr="00FD172E">
        <w:t xml:space="preserve">ox than in </w:t>
      </w:r>
      <w:r w:rsidRPr="00393915">
        <w:t xml:space="preserve">adjacent bare ground </w:t>
      </w:r>
      <w:r w:rsidRPr="00FD172E">
        <w:t>(Bramley et al. 2003).</w:t>
      </w:r>
    </w:p>
    <w:p w14:paraId="41B34046" w14:textId="3E4F90FA" w:rsidR="00D80824" w:rsidRDefault="00D80824" w:rsidP="00D80824">
      <w:r w:rsidRPr="00EE6754">
        <w:t>Although salt-tolerant</w:t>
      </w:r>
      <w:r>
        <w:t xml:space="preserve"> to varying extents</w:t>
      </w:r>
      <w:r w:rsidRPr="00EE6754">
        <w:t>, black box and river red gum are vulnerable to additional salinisation of floodplain soils and to the influx of saltwater into the plant root zone</w:t>
      </w:r>
      <w:r>
        <w:t xml:space="preserve"> </w:t>
      </w:r>
      <w:r w:rsidRPr="00EE6754">
        <w:t xml:space="preserve">(Stewart et al. 2010). </w:t>
      </w:r>
      <w:r>
        <w:t xml:space="preserve">This </w:t>
      </w:r>
      <w:r w:rsidR="00AC685F">
        <w:t xml:space="preserve">is </w:t>
      </w:r>
      <w:r>
        <w:t xml:space="preserve">heightened </w:t>
      </w:r>
      <w:r w:rsidR="00386CAC">
        <w:t>as droughts become more severe under climate change (e.g.</w:t>
      </w:r>
      <w:r>
        <w:t xml:space="preserve"> Millennium Drought</w:t>
      </w:r>
      <w:r w:rsidR="00386CAC">
        <w:t>)</w:t>
      </w:r>
      <w:r>
        <w:t xml:space="preserve">, with trees more dependent on groundwater—which compounds soil salinity problems in areas underlain by saline groundwater (e.g. Jolly 1996). </w:t>
      </w:r>
    </w:p>
    <w:p w14:paraId="24789111" w14:textId="77777777" w:rsidR="0088283F" w:rsidRDefault="0088283F" w:rsidP="0088283F">
      <w:pPr>
        <w:keepNext/>
      </w:pPr>
      <w:r w:rsidRPr="00EE6754">
        <w:t xml:space="preserve">There is strong </w:t>
      </w:r>
      <w:r>
        <w:t xml:space="preserve">and consistent </w:t>
      </w:r>
      <w:r w:rsidRPr="00EE6754">
        <w:t>evidence that old-growth floodplain trees in the ecological community are stressed</w:t>
      </w:r>
      <w:r>
        <w:t xml:space="preserve">, showing dieback, </w:t>
      </w:r>
      <w:r w:rsidRPr="00EE6754">
        <w:t>dying, or suffering recruitment failure</w:t>
      </w:r>
      <w:r>
        <w:t xml:space="preserve">—all largely due to soil salination (i.e. as per </w:t>
      </w:r>
      <w:r w:rsidRPr="00474C2D">
        <w:rPr>
          <w:u w:val="single"/>
        </w:rPr>
        <w:t>Table 27</w:t>
      </w:r>
      <w:r>
        <w:t xml:space="preserve">, particularly MDBC (2003), McNally et al. (2011), Cunninham et al. (2011), and Overton et al. (2006). During the Millennium Drought, Walker et al. (2005) </w:t>
      </w:r>
      <w:r w:rsidRPr="00602611">
        <w:t>estimated that 40% of the floodplain (40</w:t>
      </w:r>
      <w:r>
        <w:t> </w:t>
      </w:r>
      <w:r w:rsidRPr="00602611">
        <w:t xml:space="preserve">000 ha) was severely degraded by </w:t>
      </w:r>
      <w:r w:rsidRPr="004F1A35">
        <w:t>soil salinisation</w:t>
      </w:r>
      <w:r w:rsidRPr="004F1A35">
        <w:rPr>
          <w:rStyle w:val="FootnoteReference"/>
        </w:rPr>
        <w:footnoteReference w:id="16"/>
      </w:r>
      <w:r w:rsidRPr="004F1A35">
        <w:t>; and</w:t>
      </w:r>
      <w:r w:rsidRPr="00602611">
        <w:t>, in the case of trees alone, 68% of the floodplain vegetation communities (28 653 ha) were suffering health decline, with 17% reported as dead</w:t>
      </w:r>
      <w:r>
        <w:t xml:space="preserve">. </w:t>
      </w:r>
    </w:p>
    <w:p w14:paraId="6267CB0D" w14:textId="77777777" w:rsidR="00CF350D" w:rsidRPr="00D60912" w:rsidRDefault="00CF350D" w:rsidP="00CF350D">
      <w:r>
        <w:t xml:space="preserve">Although there has been a slight improvement in red gum condition given targeted environmental watering and recent wet years (e.g. DEW 2023; and see </w:t>
      </w:r>
      <w:r w:rsidRPr="00E34324">
        <w:rPr>
          <w:u w:val="single"/>
        </w:rPr>
        <w:t>Table 27</w:t>
      </w:r>
      <w:r>
        <w:t xml:space="preserve">), the limited extent and duration of environmental flows under </w:t>
      </w:r>
      <w:r w:rsidRPr="00EE6754">
        <w:t>conditions of river regulation, water extraction, and climate change</w:t>
      </w:r>
      <w:r>
        <w:t xml:space="preserve"> going forward,</w:t>
      </w:r>
      <w:r w:rsidRPr="00EE6754">
        <w:t xml:space="preserve"> are </w:t>
      </w:r>
      <w:r>
        <w:t>considered in</w:t>
      </w:r>
      <w:r w:rsidRPr="00EE6754">
        <w:t xml:space="preserve">sufficient to meet the needs </w:t>
      </w:r>
      <w:r>
        <w:t xml:space="preserve">of floodplain trees, </w:t>
      </w:r>
      <w:r w:rsidRPr="00EE6754">
        <w:t>remove accumulated soil salts</w:t>
      </w:r>
      <w:r>
        <w:t xml:space="preserve">, and reverse the long-term trend of decline </w:t>
      </w:r>
      <w:r w:rsidRPr="00EE6754">
        <w:t>(MDBC 2003a; Holland et al. </w:t>
      </w:r>
      <w:r>
        <w:t xml:space="preserve">2005, </w:t>
      </w:r>
      <w:r w:rsidRPr="00EE6754">
        <w:t>2009</w:t>
      </w:r>
      <w:r>
        <w:t xml:space="preserve">; </w:t>
      </w:r>
      <w:r w:rsidRPr="00C86A25">
        <w:t>Doody et al. 2021;</w:t>
      </w:r>
      <w:r>
        <w:t xml:space="preserve"> DEW 2023</w:t>
      </w:r>
      <w:r w:rsidRPr="00EE6754">
        <w:t>).</w:t>
      </w:r>
      <w:r>
        <w:t xml:space="preserve"> High (unregulated) flows are important for the system, and they are critical to reach areas of the floodplain that cannot be supported through managed inundation (DEW 2020b).</w:t>
      </w:r>
      <w:r w:rsidRPr="002C66DD">
        <w:t xml:space="preserve"> </w:t>
      </w:r>
      <w:r>
        <w:t>A</w:t>
      </w:r>
      <w:r w:rsidRPr="002C66DD">
        <w:t>rtificial watering is not a direct substitute for regular natural floods given the limited extent and degree of salt leaching, bank recharge, and groundwater freshening in comparison to natural floods (Ye et al. 2014).</w:t>
      </w:r>
    </w:p>
    <w:p w14:paraId="1FE4BB4C" w14:textId="77777777" w:rsidR="00EF050D" w:rsidRPr="004F1A35" w:rsidRDefault="00EF050D" w:rsidP="00A2521C">
      <w:pPr>
        <w:pStyle w:val="Heading5"/>
        <w:rPr>
          <w:i/>
          <w:iCs/>
        </w:rPr>
      </w:pPr>
      <w:r w:rsidRPr="004F1A35">
        <w:t>Vegetation and Fauna at high risk from saline soils</w:t>
      </w:r>
    </w:p>
    <w:p w14:paraId="438EA1ED" w14:textId="35D7476C" w:rsidR="00861458" w:rsidRPr="00A12AF1" w:rsidRDefault="00EF050D" w:rsidP="00861458">
      <w:r>
        <w:t>In a seminal 2002-04 survey of the South Australian Murray floodplain (Murray Valley), which overlaps with a significant component of the ecological community, Stewart et al (2010) concluded that t</w:t>
      </w:r>
      <w:r w:rsidRPr="007E4D00">
        <w:t>he impact of</w:t>
      </w:r>
      <w:r>
        <w:t xml:space="preserve"> </w:t>
      </w:r>
      <w:r w:rsidRPr="007E4D00">
        <w:t xml:space="preserve">increasing salinisation is likely to change areas of woodland </w:t>
      </w:r>
      <w:r w:rsidR="00861458" w:rsidRPr="007E4D00">
        <w:t>vegetation to low shrubland dominated by samphire</w:t>
      </w:r>
      <w:r w:rsidR="00861458">
        <w:t xml:space="preserve">, which would </w:t>
      </w:r>
      <w:r w:rsidR="00861458" w:rsidRPr="007E4D00">
        <w:t xml:space="preserve">most likely </w:t>
      </w:r>
      <w:r w:rsidR="00861458">
        <w:t>also</w:t>
      </w:r>
      <w:r w:rsidR="00861458" w:rsidRPr="007E4D00">
        <w:t xml:space="preserve"> impact arboreal or semi-arboreal species, such as </w:t>
      </w:r>
      <w:r w:rsidR="00861458">
        <w:t xml:space="preserve">gliders and possums and </w:t>
      </w:r>
      <w:r w:rsidR="00861458" w:rsidRPr="007E4D00">
        <w:t xml:space="preserve">the </w:t>
      </w:r>
      <w:r w:rsidR="00861458">
        <w:t xml:space="preserve">many </w:t>
      </w:r>
      <w:r w:rsidR="00861458" w:rsidRPr="007E4D00">
        <w:t xml:space="preserve">bat species that </w:t>
      </w:r>
      <w:r w:rsidR="00861458" w:rsidRPr="007E4D00">
        <w:lastRenderedPageBreak/>
        <w:t>shelter in tree hollows along the River</w:t>
      </w:r>
      <w:r w:rsidR="00861458">
        <w:t xml:space="preserve"> Murray (</w:t>
      </w:r>
      <w:r w:rsidR="00861458" w:rsidRPr="007E4D00">
        <w:t xml:space="preserve">particularly </w:t>
      </w:r>
      <w:r w:rsidR="00861458">
        <w:t xml:space="preserve">species </w:t>
      </w:r>
      <w:r w:rsidR="00861458" w:rsidRPr="007E4D00">
        <w:t xml:space="preserve">that </w:t>
      </w:r>
      <w:r w:rsidR="00861458">
        <w:t>are highly-</w:t>
      </w:r>
      <w:r w:rsidR="00861458" w:rsidRPr="007E4D00">
        <w:t>dependent on the river</w:t>
      </w:r>
      <w:r w:rsidR="00861458">
        <w:t>).</w:t>
      </w:r>
      <w:r w:rsidR="00861458" w:rsidRPr="007E4D00">
        <w:t xml:space="preserve"> </w:t>
      </w:r>
      <w:r w:rsidR="00861458">
        <w:t xml:space="preserve">These authors determined that 5 of 35 floodplain vegetation </w:t>
      </w:r>
      <w:r w:rsidR="00386CAC">
        <w:t>sub-</w:t>
      </w:r>
      <w:r w:rsidR="00861458" w:rsidRPr="00784A36">
        <w:t>communities</w:t>
      </w:r>
      <w:r w:rsidR="00861458">
        <w:t xml:space="preserve"> recorded</w:t>
      </w:r>
      <w:r w:rsidR="00861458" w:rsidRPr="00784A36">
        <w:t xml:space="preserve">, and 24 </w:t>
      </w:r>
      <w:r w:rsidR="00861458">
        <w:t>fauna species</w:t>
      </w:r>
      <w:r w:rsidR="00861458" w:rsidRPr="00784A36">
        <w:t xml:space="preserve"> </w:t>
      </w:r>
      <w:r w:rsidR="00861458" w:rsidRPr="00CA012E">
        <w:t xml:space="preserve">(of 295 </w:t>
      </w:r>
      <w:r w:rsidR="00861458">
        <w:t xml:space="preserve">vertebrate </w:t>
      </w:r>
      <w:r w:rsidR="00861458" w:rsidRPr="00CA012E">
        <w:t>species)</w:t>
      </w:r>
      <w:r w:rsidR="00861458">
        <w:t>,</w:t>
      </w:r>
      <w:r w:rsidR="00861458" w:rsidRPr="00CA012E">
        <w:t xml:space="preserve"> </w:t>
      </w:r>
      <w:r w:rsidR="00861458">
        <w:t xml:space="preserve">were </w:t>
      </w:r>
      <w:r w:rsidR="00861458" w:rsidRPr="00E0313F">
        <w:t>at highest risk from rising salinity levels</w:t>
      </w:r>
      <w:r w:rsidR="00861458">
        <w:t xml:space="preserve"> (see </w:t>
      </w:r>
      <w:r w:rsidR="00861458" w:rsidRPr="00290BB7">
        <w:rPr>
          <w:u w:val="single"/>
        </w:rPr>
        <w:t>Tables 41a and 41 b</w:t>
      </w:r>
      <w:r w:rsidR="00861458">
        <w:t xml:space="preserve">). </w:t>
      </w:r>
      <w:r w:rsidR="00861458" w:rsidRPr="007E4D00">
        <w:t>Species dependent on cracking clay soils</w:t>
      </w:r>
      <w:r w:rsidR="00861458">
        <w:t xml:space="preserve">, </w:t>
      </w:r>
      <w:r w:rsidR="00861458" w:rsidRPr="007E4D00">
        <w:t>such as Giles Planigale and Fat-tailed Dunnart</w:t>
      </w:r>
      <w:r w:rsidR="00861458">
        <w:t>,</w:t>
      </w:r>
      <w:r w:rsidR="00861458" w:rsidRPr="007E4D00">
        <w:t xml:space="preserve"> are also likely to decline in the region if </w:t>
      </w:r>
      <w:r w:rsidR="00861458" w:rsidRPr="00B11719">
        <w:t>surface salt levels are high enough to alter this character of those soils (Stewart et</w:t>
      </w:r>
      <w:r w:rsidR="00861458">
        <w:t> </w:t>
      </w:r>
      <w:r w:rsidR="00861458" w:rsidRPr="00B11719">
        <w:t>al</w:t>
      </w:r>
      <w:r w:rsidR="00861458">
        <w:t>. </w:t>
      </w:r>
      <w:r w:rsidR="00861458" w:rsidRPr="00B11719">
        <w:t>2010).</w:t>
      </w:r>
      <w:r w:rsidR="00861458">
        <w:t xml:space="preserve"> The authors suggested that such biodiversity assets could be the focus of future monitoring to help evaluate salinity management actions.</w:t>
      </w:r>
    </w:p>
    <w:p w14:paraId="54252751" w14:textId="7F3ED1A3" w:rsidR="00E94F85" w:rsidRPr="00722FF3" w:rsidRDefault="00E94F85" w:rsidP="00E94F85">
      <w:pPr>
        <w:pStyle w:val="Caption"/>
        <w:rPr>
          <w:b w:val="0"/>
          <w:bCs/>
          <w:szCs w:val="22"/>
        </w:rPr>
      </w:pPr>
      <w:bookmarkStart w:id="297" w:name="_Hlk175091420"/>
      <w:r>
        <w:t xml:space="preserve">Table </w:t>
      </w:r>
      <w:r>
        <w:fldChar w:fldCharType="begin"/>
      </w:r>
      <w:r>
        <w:instrText xml:space="preserve"> SEQ Table \* ARABIC </w:instrText>
      </w:r>
      <w:r>
        <w:fldChar w:fldCharType="separate"/>
      </w:r>
      <w:r w:rsidR="006D35C5">
        <w:rPr>
          <w:noProof/>
        </w:rPr>
        <w:t>41</w:t>
      </w:r>
      <w:r>
        <w:fldChar w:fldCharType="end"/>
      </w:r>
      <w:r w:rsidRPr="00290BB7">
        <w:rPr>
          <w:bCs/>
        </w:rPr>
        <w:t>a:</w:t>
      </w:r>
      <w:r w:rsidRPr="00225134">
        <w:rPr>
          <w:bCs/>
        </w:rPr>
        <w:t xml:space="preserve"> </w:t>
      </w:r>
      <w:r w:rsidRPr="00722FF3">
        <w:rPr>
          <w:bCs/>
          <w:szCs w:val="22"/>
        </w:rPr>
        <w:t>Vegetation sub-communities at highest risk from rising salinity levels (from survey outcomes of 2002-04 Murray Valley, after Stewart et al. 2010).</w:t>
      </w:r>
    </w:p>
    <w:tbl>
      <w:tblPr>
        <w:tblStyle w:val="TableGrid"/>
        <w:tblW w:w="5000" w:type="pct"/>
        <w:tblLook w:val="04A0" w:firstRow="1" w:lastRow="0" w:firstColumn="1" w:lastColumn="0" w:noHBand="0" w:noVBand="1"/>
      </w:tblPr>
      <w:tblGrid>
        <w:gridCol w:w="9060"/>
      </w:tblGrid>
      <w:tr w:rsidR="00E94F85" w14:paraId="410B863D" w14:textId="77777777" w:rsidTr="00293454">
        <w:trPr>
          <w:trHeight w:val="418"/>
        </w:trPr>
        <w:tc>
          <w:tcPr>
            <w:tcW w:w="5000" w:type="pct"/>
            <w:shd w:val="clear" w:color="auto" w:fill="E2EFD9" w:themeFill="accent6" w:themeFillTint="33"/>
          </w:tcPr>
          <w:p w14:paraId="30622AAA" w14:textId="77777777" w:rsidR="00E94F85" w:rsidRPr="00050835" w:rsidRDefault="00E94F85" w:rsidP="00293454">
            <w:pPr>
              <w:pStyle w:val="tabletext1"/>
              <w:spacing w:before="60" w:after="60"/>
              <w:ind w:left="272"/>
              <w:rPr>
                <w:b/>
                <w:bCs/>
              </w:rPr>
            </w:pPr>
            <w:r>
              <w:rPr>
                <w:rFonts w:ascii="Cambria" w:hAnsi="Cambria"/>
                <w:b/>
                <w:bCs/>
                <w:szCs w:val="22"/>
              </w:rPr>
              <w:t xml:space="preserve">Id. \ </w:t>
            </w:r>
            <w:r w:rsidRPr="00050835">
              <w:rPr>
                <w:rFonts w:ascii="Cambria" w:hAnsi="Cambria"/>
                <w:b/>
                <w:bCs/>
                <w:szCs w:val="22"/>
              </w:rPr>
              <w:t xml:space="preserve">Vegetation </w:t>
            </w:r>
            <w:r>
              <w:rPr>
                <w:rFonts w:ascii="Cambria" w:hAnsi="Cambria"/>
                <w:b/>
                <w:bCs/>
                <w:szCs w:val="22"/>
              </w:rPr>
              <w:t>C</w:t>
            </w:r>
            <w:r w:rsidRPr="00050835">
              <w:rPr>
                <w:rFonts w:ascii="Cambria" w:hAnsi="Cambria"/>
                <w:b/>
                <w:bCs/>
                <w:szCs w:val="22"/>
              </w:rPr>
              <w:t>ommunit</w:t>
            </w:r>
            <w:r>
              <w:rPr>
                <w:rFonts w:ascii="Cambria" w:hAnsi="Cambria"/>
                <w:b/>
                <w:bCs/>
                <w:szCs w:val="22"/>
              </w:rPr>
              <w:t>y Name</w:t>
            </w:r>
          </w:p>
        </w:tc>
      </w:tr>
      <w:tr w:rsidR="00E94F85" w14:paraId="41232B6B" w14:textId="77777777" w:rsidTr="00293454">
        <w:tc>
          <w:tcPr>
            <w:tcW w:w="5000" w:type="pct"/>
          </w:tcPr>
          <w:p w14:paraId="72299AC3" w14:textId="77777777" w:rsidR="00E94F85" w:rsidRPr="00576E23" w:rsidRDefault="00E94F85" w:rsidP="00293454">
            <w:pPr>
              <w:pStyle w:val="tabletext1"/>
              <w:spacing w:before="60" w:after="60"/>
              <w:ind w:left="272"/>
              <w:rPr>
                <w:sz w:val="20"/>
                <w:szCs w:val="20"/>
              </w:rPr>
            </w:pPr>
            <w:r>
              <w:rPr>
                <w:rFonts w:ascii="Cambria" w:hAnsi="Cambria"/>
                <w:sz w:val="20"/>
                <w:szCs w:val="20"/>
              </w:rPr>
              <w:t xml:space="preserve">9 </w:t>
            </w:r>
            <w:r w:rsidRPr="003F6B2C">
              <w:rPr>
                <w:rFonts w:ascii="Cambria" w:hAnsi="Cambria"/>
                <w:sz w:val="20"/>
                <w:szCs w:val="20"/>
              </w:rPr>
              <w:t>Common Reed (</w:t>
            </w:r>
            <w:r w:rsidRPr="00576E23">
              <w:rPr>
                <w:rFonts w:ascii="Cambria" w:hAnsi="Cambria"/>
                <w:i/>
                <w:iCs/>
                <w:sz w:val="20"/>
                <w:szCs w:val="20"/>
              </w:rPr>
              <w:t>Phragmites australis</w:t>
            </w:r>
            <w:r w:rsidRPr="00576E23">
              <w:rPr>
                <w:rFonts w:ascii="Cambria" w:hAnsi="Cambria"/>
                <w:sz w:val="20"/>
                <w:szCs w:val="20"/>
              </w:rPr>
              <w:t>) Tussock Grassland +/- Lignum (</w:t>
            </w:r>
            <w:r>
              <w:rPr>
                <w:rFonts w:ascii="Cambria" w:hAnsi="Cambria"/>
                <w:i/>
                <w:iCs/>
                <w:sz w:val="20"/>
                <w:szCs w:val="20"/>
              </w:rPr>
              <w:t xml:space="preserve">Duma </w:t>
            </w:r>
            <w:r w:rsidRPr="00576E23">
              <w:rPr>
                <w:rFonts w:ascii="Cambria" w:hAnsi="Cambria"/>
                <w:i/>
                <w:iCs/>
                <w:sz w:val="20"/>
                <w:szCs w:val="20"/>
              </w:rPr>
              <w:t>florulent</w:t>
            </w:r>
            <w:r>
              <w:rPr>
                <w:rFonts w:ascii="Cambria" w:hAnsi="Cambria"/>
                <w:i/>
                <w:iCs/>
                <w:sz w:val="20"/>
                <w:szCs w:val="20"/>
              </w:rPr>
              <w:t>a</w:t>
            </w:r>
            <w:r w:rsidRPr="00576E23">
              <w:rPr>
                <w:rFonts w:ascii="Cambria" w:hAnsi="Cambria"/>
                <w:i/>
                <w:iCs/>
                <w:sz w:val="20"/>
                <w:szCs w:val="20"/>
                <w:vertAlign w:val="superscript"/>
              </w:rPr>
              <w:t>1</w:t>
            </w:r>
            <w:r w:rsidRPr="00576E23">
              <w:rPr>
                <w:rFonts w:ascii="Cambria" w:hAnsi="Cambria"/>
                <w:sz w:val="20"/>
                <w:szCs w:val="20"/>
              </w:rPr>
              <w:t>) and River Red Gum (</w:t>
            </w:r>
            <w:r w:rsidRPr="00576E23">
              <w:rPr>
                <w:rFonts w:ascii="Cambria" w:hAnsi="Cambria"/>
                <w:i/>
                <w:iCs/>
                <w:sz w:val="20"/>
                <w:szCs w:val="20"/>
              </w:rPr>
              <w:t>Eucalyptus camaldulensis</w:t>
            </w:r>
            <w:r w:rsidRPr="00576E23">
              <w:rPr>
                <w:rFonts w:ascii="Cambria" w:hAnsi="Cambria"/>
                <w:sz w:val="20"/>
                <w:szCs w:val="20"/>
              </w:rPr>
              <w:t xml:space="preserve"> var. </w:t>
            </w:r>
            <w:r w:rsidRPr="00576E23">
              <w:rPr>
                <w:rFonts w:ascii="Cambria" w:hAnsi="Cambria"/>
                <w:i/>
                <w:iCs/>
                <w:sz w:val="20"/>
                <w:szCs w:val="20"/>
              </w:rPr>
              <w:t>camaldulensis</w:t>
            </w:r>
            <w:r w:rsidRPr="00576E23">
              <w:rPr>
                <w:rFonts w:ascii="Cambria" w:hAnsi="Cambria"/>
                <w:sz w:val="20"/>
                <w:szCs w:val="20"/>
              </w:rPr>
              <w:t>)</w:t>
            </w:r>
          </w:p>
        </w:tc>
      </w:tr>
      <w:tr w:rsidR="00E94F85" w14:paraId="6CCD88F6" w14:textId="77777777" w:rsidTr="00293454">
        <w:tc>
          <w:tcPr>
            <w:tcW w:w="5000" w:type="pct"/>
          </w:tcPr>
          <w:p w14:paraId="7D457605" w14:textId="77777777" w:rsidR="00E94F85" w:rsidRPr="004A5AA8" w:rsidRDefault="00E94F85" w:rsidP="00293454">
            <w:pPr>
              <w:pStyle w:val="tabletext1"/>
              <w:spacing w:before="60" w:after="60"/>
              <w:ind w:left="272"/>
              <w:rPr>
                <w:sz w:val="20"/>
                <w:szCs w:val="20"/>
              </w:rPr>
            </w:pPr>
            <w:r>
              <w:rPr>
                <w:rFonts w:ascii="Cambria" w:hAnsi="Cambria"/>
                <w:sz w:val="20"/>
                <w:szCs w:val="20"/>
              </w:rPr>
              <w:t xml:space="preserve">10 </w:t>
            </w:r>
            <w:r w:rsidRPr="004A5AA8">
              <w:rPr>
                <w:rFonts w:ascii="Cambria" w:hAnsi="Cambria"/>
                <w:sz w:val="20"/>
                <w:szCs w:val="20"/>
              </w:rPr>
              <w:t>Narrow-leaf Bulrush (</w:t>
            </w:r>
            <w:r w:rsidRPr="004A5AA8">
              <w:rPr>
                <w:rFonts w:ascii="Cambria" w:hAnsi="Cambria"/>
                <w:i/>
                <w:iCs/>
                <w:sz w:val="20"/>
                <w:szCs w:val="20"/>
              </w:rPr>
              <w:t>Typha domingensis</w:t>
            </w:r>
            <w:r w:rsidRPr="004A5AA8">
              <w:rPr>
                <w:rFonts w:ascii="Cambria" w:hAnsi="Cambria"/>
                <w:sz w:val="20"/>
                <w:szCs w:val="20"/>
              </w:rPr>
              <w:t>) Sedgeland +/- Common Reed (</w:t>
            </w:r>
            <w:r w:rsidRPr="004A5AA8">
              <w:rPr>
                <w:rFonts w:ascii="Cambria" w:hAnsi="Cambria"/>
                <w:i/>
                <w:iCs/>
                <w:sz w:val="20"/>
                <w:szCs w:val="20"/>
              </w:rPr>
              <w:t>Phragmites australis</w:t>
            </w:r>
            <w:r w:rsidRPr="004A5AA8">
              <w:rPr>
                <w:rFonts w:ascii="Cambria" w:hAnsi="Cambria"/>
                <w:sz w:val="20"/>
                <w:szCs w:val="20"/>
              </w:rPr>
              <w:t>) +/- River Club-rush (</w:t>
            </w:r>
            <w:r w:rsidRPr="004A5AA8">
              <w:rPr>
                <w:rFonts w:ascii="Cambria" w:hAnsi="Cambria"/>
                <w:i/>
                <w:iCs/>
                <w:sz w:val="20"/>
                <w:szCs w:val="20"/>
              </w:rPr>
              <w:t>Schoenoplectus validus</w:t>
            </w:r>
            <w:r w:rsidRPr="004A5AA8">
              <w:rPr>
                <w:rFonts w:ascii="Cambria" w:hAnsi="Cambria"/>
                <w:sz w:val="20"/>
                <w:szCs w:val="20"/>
              </w:rPr>
              <w:t>) and emergent River Red Gum (</w:t>
            </w:r>
            <w:r w:rsidRPr="004A5AA8">
              <w:rPr>
                <w:rFonts w:ascii="Cambria" w:hAnsi="Cambria"/>
                <w:i/>
                <w:iCs/>
                <w:sz w:val="20"/>
                <w:szCs w:val="20"/>
              </w:rPr>
              <w:t>Eucalyptus camaldulensis</w:t>
            </w:r>
            <w:r w:rsidRPr="004A5AA8">
              <w:rPr>
                <w:rFonts w:ascii="Cambria" w:hAnsi="Cambria"/>
                <w:sz w:val="20"/>
                <w:szCs w:val="20"/>
              </w:rPr>
              <w:t xml:space="preserve"> var. </w:t>
            </w:r>
            <w:r w:rsidRPr="004A5AA8">
              <w:rPr>
                <w:rFonts w:ascii="Cambria" w:hAnsi="Cambria"/>
                <w:i/>
                <w:iCs/>
                <w:sz w:val="20"/>
                <w:szCs w:val="20"/>
              </w:rPr>
              <w:t>camaldulensis</w:t>
            </w:r>
          </w:p>
        </w:tc>
      </w:tr>
      <w:tr w:rsidR="00E94F85" w14:paraId="0465D458" w14:textId="77777777" w:rsidTr="00293454">
        <w:tc>
          <w:tcPr>
            <w:tcW w:w="5000" w:type="pct"/>
          </w:tcPr>
          <w:p w14:paraId="240C3BFB" w14:textId="77777777" w:rsidR="00E94F85" w:rsidRPr="003F6B2C" w:rsidRDefault="00E94F85" w:rsidP="00293454">
            <w:pPr>
              <w:pStyle w:val="tabletext1"/>
              <w:spacing w:before="60" w:after="60"/>
              <w:ind w:left="272"/>
              <w:rPr>
                <w:sz w:val="20"/>
                <w:szCs w:val="20"/>
              </w:rPr>
            </w:pPr>
            <w:r>
              <w:rPr>
                <w:rFonts w:ascii="Cambria" w:hAnsi="Cambria"/>
                <w:sz w:val="20"/>
                <w:szCs w:val="20"/>
              </w:rPr>
              <w:t xml:space="preserve">15 </w:t>
            </w:r>
            <w:r w:rsidRPr="00576E23">
              <w:rPr>
                <w:rFonts w:ascii="Cambria" w:hAnsi="Cambria"/>
                <w:sz w:val="20"/>
                <w:szCs w:val="20"/>
              </w:rPr>
              <w:t>Lignum (</w:t>
            </w:r>
            <w:r w:rsidRPr="000C68F2">
              <w:rPr>
                <w:rFonts w:ascii="Cambria" w:hAnsi="Cambria"/>
                <w:i/>
                <w:iCs/>
                <w:sz w:val="20"/>
                <w:szCs w:val="20"/>
              </w:rPr>
              <w:t>Muehlenbeckia florulenta</w:t>
            </w:r>
            <w:r w:rsidRPr="00576E23">
              <w:rPr>
                <w:rFonts w:ascii="Cambria" w:hAnsi="Cambria"/>
                <w:sz w:val="20"/>
                <w:szCs w:val="20"/>
              </w:rPr>
              <w:t>) Tall Shrubland</w:t>
            </w:r>
          </w:p>
        </w:tc>
      </w:tr>
      <w:tr w:rsidR="00E94F85" w14:paraId="1838F764" w14:textId="77777777" w:rsidTr="00293454">
        <w:tc>
          <w:tcPr>
            <w:tcW w:w="5000" w:type="pct"/>
          </w:tcPr>
          <w:p w14:paraId="518FE45F" w14:textId="77777777" w:rsidR="00E94F85" w:rsidRPr="00576E23" w:rsidRDefault="00E94F85" w:rsidP="00293454">
            <w:pPr>
              <w:pStyle w:val="tabletext1"/>
              <w:spacing w:before="60" w:after="60"/>
              <w:ind w:left="272"/>
              <w:rPr>
                <w:sz w:val="20"/>
                <w:szCs w:val="20"/>
              </w:rPr>
            </w:pPr>
            <w:r>
              <w:rPr>
                <w:rFonts w:ascii="Cambria" w:hAnsi="Cambria"/>
                <w:sz w:val="20"/>
                <w:szCs w:val="20"/>
              </w:rPr>
              <w:t xml:space="preserve">27 </w:t>
            </w:r>
            <w:r w:rsidRPr="003F6B2C">
              <w:rPr>
                <w:rFonts w:ascii="Cambria" w:hAnsi="Cambria"/>
                <w:sz w:val="20"/>
                <w:szCs w:val="20"/>
              </w:rPr>
              <w:t>River Box</w:t>
            </w:r>
            <w:r>
              <w:rPr>
                <w:rStyle w:val="FootnoteReference"/>
              </w:rPr>
              <w:t>2</w:t>
            </w:r>
            <w:r w:rsidRPr="00576E23">
              <w:rPr>
                <w:rFonts w:ascii="Cambria" w:hAnsi="Cambria"/>
                <w:sz w:val="20"/>
                <w:szCs w:val="20"/>
              </w:rPr>
              <w:t xml:space="preserve"> (</w:t>
            </w:r>
            <w:r w:rsidRPr="00576E23">
              <w:rPr>
                <w:rFonts w:ascii="Cambria" w:hAnsi="Cambria"/>
                <w:i/>
                <w:iCs/>
                <w:sz w:val="20"/>
                <w:szCs w:val="20"/>
              </w:rPr>
              <w:t>Eucalyptus largiflorens</w:t>
            </w:r>
            <w:r w:rsidRPr="00576E23">
              <w:rPr>
                <w:rFonts w:ascii="Cambria" w:hAnsi="Cambria"/>
                <w:sz w:val="20"/>
                <w:szCs w:val="20"/>
              </w:rPr>
              <w:t>) Open Woodland over River Saltbush (</w:t>
            </w:r>
            <w:r w:rsidRPr="00576E23">
              <w:rPr>
                <w:rFonts w:ascii="Cambria" w:hAnsi="Cambria"/>
                <w:i/>
                <w:iCs/>
                <w:sz w:val="20"/>
                <w:szCs w:val="20"/>
              </w:rPr>
              <w:t>Atriplex rhagodioides</w:t>
            </w:r>
            <w:r w:rsidRPr="00576E23">
              <w:rPr>
                <w:rFonts w:ascii="Cambria" w:hAnsi="Cambria"/>
                <w:sz w:val="20"/>
                <w:szCs w:val="20"/>
              </w:rPr>
              <w:t>) +/- Ruby Saltbush (</w:t>
            </w:r>
            <w:r w:rsidRPr="00576E23">
              <w:rPr>
                <w:rFonts w:ascii="Cambria" w:hAnsi="Cambria"/>
                <w:i/>
                <w:iCs/>
                <w:sz w:val="20"/>
                <w:szCs w:val="20"/>
              </w:rPr>
              <w:t>Enchylaena tomentosa</w:t>
            </w:r>
            <w:r w:rsidRPr="00576E23">
              <w:rPr>
                <w:rFonts w:ascii="Cambria" w:hAnsi="Cambria"/>
                <w:sz w:val="20"/>
                <w:szCs w:val="20"/>
              </w:rPr>
              <w:t>) / Round-leaf Pigface (</w:t>
            </w:r>
            <w:r w:rsidRPr="00576E23">
              <w:rPr>
                <w:rFonts w:ascii="Cambria" w:hAnsi="Cambria"/>
                <w:i/>
                <w:iCs/>
                <w:sz w:val="20"/>
                <w:szCs w:val="20"/>
              </w:rPr>
              <w:t>Disphyma crassifolium</w:t>
            </w:r>
            <w:r w:rsidRPr="00576E23">
              <w:rPr>
                <w:rFonts w:ascii="Cambria" w:hAnsi="Cambria"/>
                <w:sz w:val="20"/>
                <w:szCs w:val="20"/>
              </w:rPr>
              <w:t xml:space="preserve"> ssp. </w:t>
            </w:r>
            <w:r w:rsidRPr="00576E23">
              <w:rPr>
                <w:rFonts w:ascii="Cambria" w:hAnsi="Cambria"/>
                <w:i/>
                <w:iCs/>
                <w:sz w:val="20"/>
                <w:szCs w:val="20"/>
              </w:rPr>
              <w:t>clavellatum</w:t>
            </w:r>
            <w:r w:rsidRPr="00576E23">
              <w:rPr>
                <w:rFonts w:ascii="Cambria" w:hAnsi="Cambria"/>
                <w:sz w:val="20"/>
                <w:szCs w:val="20"/>
              </w:rPr>
              <w:t>)</w:t>
            </w:r>
          </w:p>
        </w:tc>
      </w:tr>
      <w:tr w:rsidR="00E94F85" w14:paraId="6E8AF883" w14:textId="77777777" w:rsidTr="00293454">
        <w:tc>
          <w:tcPr>
            <w:tcW w:w="5000" w:type="pct"/>
          </w:tcPr>
          <w:p w14:paraId="5C7779DD" w14:textId="77777777" w:rsidR="00E94F85" w:rsidRPr="003F6B2C" w:rsidRDefault="00E94F85" w:rsidP="00293454">
            <w:pPr>
              <w:pStyle w:val="tabletext1"/>
              <w:spacing w:before="60" w:after="60"/>
              <w:ind w:left="272"/>
              <w:rPr>
                <w:rFonts w:ascii="Cambria" w:hAnsi="Cambria"/>
                <w:sz w:val="20"/>
                <w:szCs w:val="20"/>
              </w:rPr>
            </w:pPr>
            <w:r>
              <w:rPr>
                <w:rFonts w:ascii="Cambria" w:hAnsi="Cambria"/>
                <w:sz w:val="20"/>
                <w:szCs w:val="20"/>
              </w:rPr>
              <w:t xml:space="preserve">28 </w:t>
            </w:r>
            <w:r w:rsidRPr="00576E23">
              <w:rPr>
                <w:rFonts w:ascii="Cambria" w:hAnsi="Cambria"/>
                <w:sz w:val="20"/>
                <w:szCs w:val="20"/>
              </w:rPr>
              <w:t>Prickly Bottlebrush (</w:t>
            </w:r>
            <w:r w:rsidRPr="00576E23">
              <w:rPr>
                <w:rFonts w:ascii="Cambria" w:hAnsi="Cambria"/>
                <w:i/>
                <w:iCs/>
                <w:sz w:val="20"/>
                <w:szCs w:val="20"/>
              </w:rPr>
              <w:t>Callistemon brachyandrus</w:t>
            </w:r>
            <w:r w:rsidRPr="00576E23">
              <w:rPr>
                <w:rFonts w:ascii="Cambria" w:hAnsi="Cambria"/>
                <w:sz w:val="20"/>
                <w:szCs w:val="20"/>
              </w:rPr>
              <w:t>) Tall Shrubland over Ruby Saltbush (</w:t>
            </w:r>
            <w:r w:rsidRPr="00576E23">
              <w:rPr>
                <w:rFonts w:ascii="Cambria" w:hAnsi="Cambria"/>
                <w:i/>
                <w:iCs/>
                <w:sz w:val="20"/>
                <w:szCs w:val="20"/>
              </w:rPr>
              <w:t>Enchylaena tomentosa</w:t>
            </w:r>
            <w:r w:rsidRPr="00576E23">
              <w:rPr>
                <w:rFonts w:ascii="Cambria" w:hAnsi="Cambria"/>
                <w:sz w:val="20"/>
                <w:szCs w:val="20"/>
              </w:rPr>
              <w:t xml:space="preserve"> var. </w:t>
            </w:r>
            <w:r w:rsidRPr="00576E23">
              <w:rPr>
                <w:rFonts w:ascii="Cambria" w:hAnsi="Cambria"/>
                <w:i/>
                <w:iCs/>
                <w:sz w:val="20"/>
                <w:szCs w:val="20"/>
              </w:rPr>
              <w:t>tomentosa</w:t>
            </w:r>
            <w:r w:rsidRPr="00576E23">
              <w:rPr>
                <w:rFonts w:ascii="Cambria" w:hAnsi="Cambria"/>
                <w:sz w:val="20"/>
                <w:szCs w:val="20"/>
              </w:rPr>
              <w:t>) Warrego Summer- grass (</w:t>
            </w:r>
            <w:r w:rsidRPr="00576E23">
              <w:rPr>
                <w:rFonts w:ascii="Cambria" w:hAnsi="Cambria"/>
                <w:i/>
                <w:iCs/>
                <w:sz w:val="20"/>
                <w:szCs w:val="20"/>
              </w:rPr>
              <w:t>Setaria jubiflora</w:t>
            </w:r>
            <w:r w:rsidRPr="00576E23">
              <w:rPr>
                <w:rFonts w:ascii="Cambria" w:hAnsi="Cambria"/>
                <w:sz w:val="20"/>
                <w:szCs w:val="20"/>
              </w:rPr>
              <w:t>) +/- River Box (</w:t>
            </w:r>
            <w:r w:rsidRPr="00576E23">
              <w:rPr>
                <w:rFonts w:ascii="Cambria" w:hAnsi="Cambria"/>
                <w:i/>
                <w:iCs/>
                <w:sz w:val="20"/>
                <w:szCs w:val="20"/>
              </w:rPr>
              <w:t>Eucalyptus largiflorens</w:t>
            </w:r>
            <w:r w:rsidRPr="00576E23">
              <w:rPr>
                <w:rFonts w:ascii="Cambria" w:hAnsi="Cambria"/>
                <w:sz w:val="20"/>
                <w:szCs w:val="20"/>
              </w:rPr>
              <w:t>) / River Red Gum (</w:t>
            </w:r>
            <w:r w:rsidRPr="00576E23">
              <w:rPr>
                <w:rFonts w:ascii="Cambria" w:hAnsi="Cambria"/>
                <w:i/>
                <w:iCs/>
                <w:sz w:val="20"/>
                <w:szCs w:val="20"/>
              </w:rPr>
              <w:t>E</w:t>
            </w:r>
            <w:r w:rsidRPr="00576E23">
              <w:rPr>
                <w:rFonts w:ascii="Cambria" w:hAnsi="Cambria"/>
                <w:sz w:val="20"/>
                <w:szCs w:val="20"/>
              </w:rPr>
              <w:t xml:space="preserve">. </w:t>
            </w:r>
            <w:r w:rsidRPr="004A5AA8">
              <w:rPr>
                <w:rFonts w:ascii="Cambria" w:hAnsi="Cambria"/>
                <w:i/>
                <w:iCs/>
                <w:sz w:val="20"/>
                <w:szCs w:val="20"/>
              </w:rPr>
              <w:t xml:space="preserve">camaldulensis </w:t>
            </w:r>
            <w:r w:rsidRPr="004A5AA8">
              <w:rPr>
                <w:rFonts w:ascii="Cambria" w:hAnsi="Cambria"/>
                <w:sz w:val="20"/>
                <w:szCs w:val="20"/>
              </w:rPr>
              <w:t xml:space="preserve">var. </w:t>
            </w:r>
            <w:r w:rsidRPr="004A5AA8">
              <w:rPr>
                <w:rFonts w:ascii="Cambria" w:hAnsi="Cambria"/>
                <w:i/>
                <w:iCs/>
                <w:sz w:val="20"/>
                <w:szCs w:val="20"/>
              </w:rPr>
              <w:t>camaldulensis</w:t>
            </w:r>
            <w:r w:rsidRPr="004A5AA8">
              <w:rPr>
                <w:rFonts w:ascii="Cambria" w:hAnsi="Cambria"/>
                <w:sz w:val="20"/>
                <w:szCs w:val="20"/>
              </w:rPr>
              <w:t>) Open Woodland</w:t>
            </w:r>
          </w:p>
        </w:tc>
      </w:tr>
      <w:tr w:rsidR="00E94F85" w14:paraId="36A83A88" w14:textId="77777777" w:rsidTr="00293454">
        <w:tc>
          <w:tcPr>
            <w:tcW w:w="5000" w:type="pct"/>
          </w:tcPr>
          <w:p w14:paraId="646CA2A3" w14:textId="77777777" w:rsidR="00E94F85" w:rsidRPr="00576E23" w:rsidRDefault="00E94F85" w:rsidP="00293454">
            <w:pPr>
              <w:pStyle w:val="tabletext1"/>
              <w:spacing w:before="80" w:after="80"/>
              <w:ind w:left="174"/>
              <w:rPr>
                <w:rFonts w:ascii="Cambria" w:hAnsi="Cambria"/>
                <w:sz w:val="20"/>
                <w:szCs w:val="20"/>
              </w:rPr>
            </w:pPr>
            <w:r w:rsidRPr="0075303B">
              <w:t>Notes:</w:t>
            </w:r>
            <w:r>
              <w:rPr>
                <w:rStyle w:val="Heading3Char"/>
              </w:rPr>
              <w:t xml:space="preserve"> </w:t>
            </w:r>
            <w:r w:rsidRPr="00E961A9">
              <w:rPr>
                <w:vertAlign w:val="superscript"/>
              </w:rPr>
              <w:t>1</w:t>
            </w:r>
            <w:r w:rsidRPr="00E961A9">
              <w:rPr>
                <w:i/>
                <w:iCs/>
              </w:rPr>
              <w:t>Duma florulenta</w:t>
            </w:r>
            <w:r w:rsidRPr="00651D15">
              <w:t xml:space="preserve"> (synonym </w:t>
            </w:r>
            <w:r w:rsidRPr="00E961A9">
              <w:rPr>
                <w:i/>
                <w:iCs/>
              </w:rPr>
              <w:t>Muehlenbeckia florulenta</w:t>
            </w:r>
            <w:r w:rsidRPr="00651D15">
              <w:t>)</w:t>
            </w:r>
            <w:r>
              <w:t xml:space="preserve"> - </w:t>
            </w:r>
            <w:r w:rsidRPr="00651D15">
              <w:t xml:space="preserve">tangled lignum </w:t>
            </w:r>
            <w:r>
              <w:t xml:space="preserve">/ </w:t>
            </w:r>
            <w:r w:rsidRPr="00651D15">
              <w:t>lignum</w:t>
            </w:r>
            <w:r>
              <w:t>.</w:t>
            </w:r>
            <w:r>
              <w:br/>
            </w:r>
            <w:r w:rsidRPr="00E961A9">
              <w:rPr>
                <w:vertAlign w:val="superscript"/>
              </w:rPr>
              <w:t>2</w:t>
            </w:r>
            <w:r w:rsidRPr="00E961A9">
              <w:rPr>
                <w:i/>
                <w:iCs/>
              </w:rPr>
              <w:t>Eucalyptus largiflorens</w:t>
            </w:r>
            <w:r>
              <w:t xml:space="preserve"> - r</w:t>
            </w:r>
            <w:r w:rsidRPr="00786902">
              <w:t xml:space="preserve">iver </w:t>
            </w:r>
            <w:r>
              <w:t>b</w:t>
            </w:r>
            <w:r w:rsidRPr="00786902">
              <w:t>ox</w:t>
            </w:r>
            <w:r>
              <w:t xml:space="preserve"> / black box.</w:t>
            </w:r>
          </w:p>
        </w:tc>
      </w:tr>
    </w:tbl>
    <w:p w14:paraId="48709C6D" w14:textId="77777777" w:rsidR="006058E4" w:rsidRDefault="006058E4">
      <w:pPr>
        <w:spacing w:after="160" w:line="259" w:lineRule="auto"/>
        <w:rPr>
          <w:b/>
          <w:bCs/>
        </w:rPr>
      </w:pPr>
    </w:p>
    <w:p w14:paraId="232DD838" w14:textId="77777777" w:rsidR="006058E4" w:rsidRPr="00A12AF1" w:rsidRDefault="006058E4" w:rsidP="006058E4">
      <w:pPr>
        <w:pStyle w:val="Heading5"/>
      </w:pPr>
      <w:r w:rsidRPr="009E3726">
        <w:t>Salt Interception</w:t>
      </w:r>
    </w:p>
    <w:p w14:paraId="30CC8EEC" w14:textId="77777777" w:rsidR="006058E4" w:rsidRPr="00A12AF1" w:rsidRDefault="006058E4" w:rsidP="006058E4">
      <w:r w:rsidRPr="00A12AF1">
        <w:t>Groundwater gradients now exist in many reaches, and they drive saline water directly into the river</w:t>
      </w:r>
      <w:r>
        <w:t xml:space="preserve"> (</w:t>
      </w:r>
      <w:r w:rsidRPr="00B44D0C">
        <w:rPr>
          <w:u w:val="single"/>
        </w:rPr>
        <w:t>Figure 18</w:t>
      </w:r>
      <w:r>
        <w:t>)</w:t>
      </w:r>
      <w:r w:rsidRPr="00A12AF1">
        <w:t xml:space="preserve">. </w:t>
      </w:r>
      <w:r>
        <w:t xml:space="preserve">Salt </w:t>
      </w:r>
      <w:r w:rsidRPr="00A12AF1">
        <w:t xml:space="preserve">interception </w:t>
      </w:r>
      <w:r>
        <w:t>aims</w:t>
      </w:r>
      <w:r w:rsidRPr="00A12AF1">
        <w:t xml:space="preserve"> to reduce this hydraulic gradient, by drawing down the elevated saline groundwater table at the edge of the floodplain</w:t>
      </w:r>
      <w:r>
        <w:t>,</w:t>
      </w:r>
      <w:r w:rsidRPr="00A12AF1">
        <w:t xml:space="preserve"> with pumps. The saline water accumulated from interception is piped to evaporation basins several kilometres away from the river (Connor 2008)</w:t>
      </w:r>
      <w:r w:rsidRPr="00A12AF1">
        <w:rPr>
          <w:rStyle w:val="FootnoteReference"/>
        </w:rPr>
        <w:footnoteReference w:id="17"/>
      </w:r>
      <w:r w:rsidRPr="00A12AF1">
        <w:t>. Without salinity management</w:t>
      </w:r>
      <w:r>
        <w:t>,</w:t>
      </w:r>
      <w:r w:rsidRPr="00A12AF1">
        <w:t xml:space="preserve"> salt loads in the river in S</w:t>
      </w:r>
      <w:r>
        <w:t xml:space="preserve">outh </w:t>
      </w:r>
      <w:r w:rsidRPr="00A12AF1">
        <w:t>A</w:t>
      </w:r>
      <w:r>
        <w:t>ustralia</w:t>
      </w:r>
      <w:r w:rsidRPr="00A12AF1">
        <w:t xml:space="preserve"> were predicted to reach almost 2500 tonnes of salt/day (t/d) by 2050 (Felder 2015).</w:t>
      </w:r>
    </w:p>
    <w:p w14:paraId="3293BE84" w14:textId="4F6E531A" w:rsidR="006058E4" w:rsidRDefault="006058E4" w:rsidP="006058E4">
      <w:r w:rsidRPr="00A12AF1">
        <w:t xml:space="preserve">Between 1990 and 2014, six salt interception schemes </w:t>
      </w:r>
      <w:r>
        <w:t xml:space="preserve">(SIS) </w:t>
      </w:r>
      <w:r w:rsidRPr="00A12AF1">
        <w:t xml:space="preserve">were installed along the South Australian </w:t>
      </w:r>
      <w:r w:rsidRPr="005B4F74">
        <w:t>Murray, from Lock 2 - Waikerie to Pike. Together, they intercepted an average of 500 t/d of salt (Felder 2015; DEWNR 2013; DEW 2019)</w:t>
      </w:r>
      <w:r>
        <w:t>; from 2015-2021</w:t>
      </w:r>
      <w:r w:rsidRPr="005B4F74">
        <w:t xml:space="preserve"> </w:t>
      </w:r>
      <w:r>
        <w:t>the</w:t>
      </w:r>
      <w:r w:rsidRPr="00C92804">
        <w:t xml:space="preserve"> average </w:t>
      </w:r>
      <w:r>
        <w:t>was</w:t>
      </w:r>
      <w:r w:rsidRPr="00C92804">
        <w:t xml:space="preserve"> 630 t/d of salt </w:t>
      </w:r>
      <w:r>
        <w:t>(</w:t>
      </w:r>
      <w:r w:rsidRPr="00C92804">
        <w:t>MDBA 2018, 2020, 2022</w:t>
      </w:r>
      <w:r>
        <w:t xml:space="preserve">). </w:t>
      </w:r>
      <w:r w:rsidRPr="005B4F74">
        <w:t xml:space="preserve">Other initiatives such as pipelines, bores and salt </w:t>
      </w:r>
    </w:p>
    <w:p w14:paraId="17E3CAB3" w14:textId="481AD52B" w:rsidR="001179E9" w:rsidRDefault="001179E9">
      <w:pPr>
        <w:spacing w:after="160" w:line="259" w:lineRule="auto"/>
        <w:rPr>
          <w:b/>
          <w:bCs/>
        </w:rPr>
      </w:pPr>
      <w:r>
        <w:rPr>
          <w:b/>
          <w:bCs/>
        </w:rPr>
        <w:br w:type="page"/>
      </w:r>
    </w:p>
    <w:p w14:paraId="15C3BED9" w14:textId="61E1360F" w:rsidR="002723EA" w:rsidRPr="00290BB7" w:rsidRDefault="002723EA" w:rsidP="002723EA">
      <w:pPr>
        <w:ind w:right="-472"/>
        <w:rPr>
          <w:sz w:val="20"/>
          <w:szCs w:val="20"/>
        </w:rPr>
      </w:pPr>
      <w:r w:rsidRPr="00290BB7">
        <w:rPr>
          <w:b/>
          <w:bCs/>
        </w:rPr>
        <w:lastRenderedPageBreak/>
        <w:t>Table 41b</w:t>
      </w:r>
      <w:r w:rsidRPr="003F6B2C">
        <w:rPr>
          <w:b/>
          <w:bCs/>
        </w:rPr>
        <w:t xml:space="preserve">: </w:t>
      </w:r>
      <w:r w:rsidRPr="00E94F85">
        <w:rPr>
          <w:b/>
          <w:bCs/>
        </w:rPr>
        <w:t>Fauna species at highest risk from rising salinity levels (from survey outcomes of 2002-04 Murray Valley, after Stewart et al. 2010)</w:t>
      </w:r>
    </w:p>
    <w:tbl>
      <w:tblPr>
        <w:tblStyle w:val="TableGrid"/>
        <w:tblW w:w="5000" w:type="pct"/>
        <w:tblLook w:val="04A0" w:firstRow="1" w:lastRow="0" w:firstColumn="1" w:lastColumn="0" w:noHBand="0" w:noVBand="1"/>
      </w:tblPr>
      <w:tblGrid>
        <w:gridCol w:w="3528"/>
        <w:gridCol w:w="3247"/>
        <w:gridCol w:w="1134"/>
        <w:gridCol w:w="1151"/>
      </w:tblGrid>
      <w:tr w:rsidR="00414E9C" w14:paraId="3064C5B2" w14:textId="77777777" w:rsidTr="00E94F85">
        <w:trPr>
          <w:cantSplit/>
          <w:tblHeader/>
        </w:trPr>
        <w:tc>
          <w:tcPr>
            <w:tcW w:w="1947" w:type="pct"/>
            <w:tcBorders>
              <w:bottom w:val="single" w:sz="4" w:space="0" w:color="auto"/>
            </w:tcBorders>
            <w:shd w:val="clear" w:color="auto" w:fill="FBE4D5" w:themeFill="accent2" w:themeFillTint="33"/>
          </w:tcPr>
          <w:p w14:paraId="508DAEC7" w14:textId="77777777" w:rsidR="00414E9C" w:rsidRPr="003F6B2C" w:rsidRDefault="00414E9C" w:rsidP="004518D5">
            <w:pPr>
              <w:pStyle w:val="tabletext1"/>
              <w:spacing w:before="60" w:after="60"/>
              <w:rPr>
                <w:rFonts w:ascii="Cambria" w:hAnsi="Cambria"/>
                <w:b/>
                <w:bCs/>
                <w:szCs w:val="22"/>
              </w:rPr>
            </w:pPr>
            <w:r w:rsidRPr="003F6B2C">
              <w:rPr>
                <w:rFonts w:ascii="Cambria" w:hAnsi="Cambria"/>
                <w:b/>
                <w:bCs/>
                <w:szCs w:val="22"/>
              </w:rPr>
              <w:t>Scientific Name</w:t>
            </w:r>
          </w:p>
        </w:tc>
        <w:tc>
          <w:tcPr>
            <w:tcW w:w="1792" w:type="pct"/>
            <w:tcBorders>
              <w:bottom w:val="single" w:sz="4" w:space="0" w:color="auto"/>
            </w:tcBorders>
            <w:shd w:val="clear" w:color="auto" w:fill="FBE4D5" w:themeFill="accent2" w:themeFillTint="33"/>
          </w:tcPr>
          <w:p w14:paraId="6676EDBE" w14:textId="77777777" w:rsidR="00414E9C" w:rsidRPr="003F6B2C" w:rsidRDefault="00414E9C" w:rsidP="004518D5">
            <w:pPr>
              <w:pStyle w:val="tabletext1"/>
              <w:spacing w:before="60" w:after="60"/>
              <w:rPr>
                <w:rFonts w:ascii="Cambria" w:hAnsi="Cambria"/>
                <w:b/>
                <w:bCs/>
                <w:szCs w:val="22"/>
              </w:rPr>
            </w:pPr>
            <w:r w:rsidRPr="003F6B2C">
              <w:rPr>
                <w:rFonts w:ascii="Cambria" w:hAnsi="Cambria"/>
                <w:b/>
                <w:bCs/>
                <w:szCs w:val="22"/>
              </w:rPr>
              <w:t>Common Name</w:t>
            </w:r>
          </w:p>
        </w:tc>
        <w:tc>
          <w:tcPr>
            <w:tcW w:w="626" w:type="pct"/>
            <w:tcBorders>
              <w:bottom w:val="single" w:sz="4" w:space="0" w:color="auto"/>
            </w:tcBorders>
            <w:shd w:val="clear" w:color="auto" w:fill="FBE4D5" w:themeFill="accent2" w:themeFillTint="33"/>
            <w:vAlign w:val="center"/>
          </w:tcPr>
          <w:p w14:paraId="7B8B8FF9" w14:textId="77777777" w:rsidR="00414E9C" w:rsidRPr="004A5AA8" w:rsidRDefault="00414E9C" w:rsidP="004518D5">
            <w:pPr>
              <w:pStyle w:val="tabletext1"/>
              <w:spacing w:before="60" w:after="60"/>
              <w:ind w:left="-50"/>
              <w:jc w:val="center"/>
              <w:rPr>
                <w:rFonts w:ascii="Cambria" w:hAnsi="Cambria"/>
                <w:b/>
                <w:bCs/>
                <w:szCs w:val="22"/>
              </w:rPr>
            </w:pPr>
            <w:r w:rsidRPr="003F6B2C">
              <w:rPr>
                <w:rFonts w:ascii="Cambria" w:hAnsi="Cambria"/>
                <w:b/>
                <w:bCs/>
                <w:szCs w:val="22"/>
              </w:rPr>
              <w:t>SA</w:t>
            </w:r>
            <w:r>
              <w:rPr>
                <w:rFonts w:ascii="Cambria" w:hAnsi="Cambria"/>
                <w:b/>
                <w:bCs/>
                <w:szCs w:val="22"/>
              </w:rPr>
              <w:t>1</w:t>
            </w:r>
            <w:r>
              <w:rPr>
                <w:rFonts w:ascii="Cambria" w:hAnsi="Cambria"/>
                <w:szCs w:val="22"/>
                <w:vertAlign w:val="superscript"/>
              </w:rPr>
              <w:t>1</w:t>
            </w:r>
            <w:r w:rsidRPr="004A5AA8">
              <w:rPr>
                <w:rFonts w:ascii="Cambria" w:hAnsi="Cambria"/>
                <w:b/>
                <w:bCs/>
                <w:szCs w:val="22"/>
              </w:rPr>
              <w:t xml:space="preserve"> </w:t>
            </w:r>
          </w:p>
        </w:tc>
        <w:tc>
          <w:tcPr>
            <w:tcW w:w="635" w:type="pct"/>
            <w:tcBorders>
              <w:bottom w:val="single" w:sz="4" w:space="0" w:color="auto"/>
            </w:tcBorders>
            <w:shd w:val="clear" w:color="auto" w:fill="FBE4D5" w:themeFill="accent2" w:themeFillTint="33"/>
            <w:vAlign w:val="center"/>
          </w:tcPr>
          <w:p w14:paraId="341F509F" w14:textId="77777777" w:rsidR="00414E9C" w:rsidRPr="004A5AA8" w:rsidRDefault="00414E9C" w:rsidP="004518D5">
            <w:pPr>
              <w:pStyle w:val="tabletext1"/>
              <w:spacing w:before="60" w:after="60"/>
              <w:ind w:left="-48"/>
              <w:jc w:val="center"/>
              <w:rPr>
                <w:rFonts w:ascii="Cambria" w:hAnsi="Cambria"/>
                <w:b/>
                <w:bCs/>
                <w:szCs w:val="22"/>
              </w:rPr>
            </w:pPr>
            <w:r w:rsidRPr="004A5AA8">
              <w:rPr>
                <w:rFonts w:ascii="Cambria" w:hAnsi="Cambria"/>
                <w:b/>
                <w:bCs/>
                <w:szCs w:val="22"/>
              </w:rPr>
              <w:t>EPBC</w:t>
            </w:r>
            <w:r>
              <w:rPr>
                <w:rFonts w:ascii="Cambria" w:hAnsi="Cambria"/>
                <w:szCs w:val="22"/>
                <w:vertAlign w:val="superscript"/>
              </w:rPr>
              <w:t>2</w:t>
            </w:r>
          </w:p>
        </w:tc>
      </w:tr>
      <w:tr w:rsidR="00414E9C" w14:paraId="29ACCE79" w14:textId="77777777" w:rsidTr="00E94F85">
        <w:tc>
          <w:tcPr>
            <w:tcW w:w="1947" w:type="pct"/>
            <w:tcBorders>
              <w:right w:val="nil"/>
            </w:tcBorders>
            <w:shd w:val="clear" w:color="auto" w:fill="FBE4D5" w:themeFill="accent2" w:themeFillTint="33"/>
          </w:tcPr>
          <w:p w14:paraId="250100A7" w14:textId="77777777" w:rsidR="00414E9C" w:rsidRPr="004A5AA8" w:rsidRDefault="00414E9C" w:rsidP="004518D5">
            <w:pPr>
              <w:pStyle w:val="tabletext1"/>
              <w:spacing w:before="60" w:after="60"/>
              <w:rPr>
                <w:rFonts w:ascii="Cambria" w:hAnsi="Cambria"/>
                <w:b/>
                <w:bCs/>
                <w:szCs w:val="22"/>
              </w:rPr>
            </w:pPr>
            <w:r w:rsidRPr="004A5AA8">
              <w:rPr>
                <w:rFonts w:ascii="Cambria" w:hAnsi="Cambria"/>
                <w:b/>
                <w:bCs/>
                <w:szCs w:val="22"/>
              </w:rPr>
              <w:t>Birds</w:t>
            </w:r>
          </w:p>
        </w:tc>
        <w:tc>
          <w:tcPr>
            <w:tcW w:w="1792" w:type="pct"/>
            <w:tcBorders>
              <w:left w:val="nil"/>
              <w:right w:val="nil"/>
            </w:tcBorders>
            <w:shd w:val="clear" w:color="auto" w:fill="FBE4D5" w:themeFill="accent2" w:themeFillTint="33"/>
          </w:tcPr>
          <w:p w14:paraId="3282C8FB" w14:textId="77777777" w:rsidR="00414E9C" w:rsidRPr="001614DF" w:rsidRDefault="00414E9C" w:rsidP="004518D5">
            <w:pPr>
              <w:pStyle w:val="tabletext1"/>
              <w:spacing w:before="60" w:after="60"/>
              <w:rPr>
                <w:rFonts w:ascii="Cambria" w:hAnsi="Cambria"/>
                <w:szCs w:val="22"/>
              </w:rPr>
            </w:pPr>
          </w:p>
        </w:tc>
        <w:tc>
          <w:tcPr>
            <w:tcW w:w="626" w:type="pct"/>
            <w:tcBorders>
              <w:left w:val="nil"/>
              <w:right w:val="nil"/>
            </w:tcBorders>
            <w:shd w:val="clear" w:color="auto" w:fill="FBE4D5" w:themeFill="accent2" w:themeFillTint="33"/>
          </w:tcPr>
          <w:p w14:paraId="5E651581" w14:textId="77777777" w:rsidR="00414E9C" w:rsidRPr="001614DF" w:rsidRDefault="00414E9C" w:rsidP="004518D5">
            <w:pPr>
              <w:pStyle w:val="tabletext1"/>
              <w:spacing w:before="60" w:after="60"/>
              <w:ind w:left="-50"/>
              <w:rPr>
                <w:rFonts w:ascii="Cambria" w:hAnsi="Cambria"/>
                <w:szCs w:val="22"/>
              </w:rPr>
            </w:pPr>
          </w:p>
        </w:tc>
        <w:tc>
          <w:tcPr>
            <w:tcW w:w="635" w:type="pct"/>
            <w:tcBorders>
              <w:left w:val="nil"/>
            </w:tcBorders>
            <w:shd w:val="clear" w:color="auto" w:fill="FBE4D5" w:themeFill="accent2" w:themeFillTint="33"/>
          </w:tcPr>
          <w:p w14:paraId="66F6EB46" w14:textId="77777777" w:rsidR="00414E9C" w:rsidRPr="001614DF" w:rsidRDefault="00414E9C" w:rsidP="004518D5">
            <w:pPr>
              <w:pStyle w:val="tabletext1"/>
              <w:spacing w:before="60" w:after="60"/>
              <w:ind w:left="-48"/>
              <w:rPr>
                <w:rFonts w:ascii="Cambria" w:hAnsi="Cambria"/>
                <w:b/>
                <w:bCs/>
                <w:szCs w:val="22"/>
              </w:rPr>
            </w:pPr>
          </w:p>
        </w:tc>
      </w:tr>
      <w:tr w:rsidR="00414E9C" w14:paraId="0907C9AB" w14:textId="77777777" w:rsidTr="00E94F85">
        <w:tc>
          <w:tcPr>
            <w:tcW w:w="1947" w:type="pct"/>
          </w:tcPr>
          <w:p w14:paraId="6579BCF7" w14:textId="77777777" w:rsidR="00414E9C" w:rsidRPr="00C46269" w:rsidRDefault="00414E9C" w:rsidP="004518D5">
            <w:pPr>
              <w:pStyle w:val="tabletext1"/>
              <w:spacing w:before="60" w:after="60"/>
              <w:ind w:left="272"/>
              <w:rPr>
                <w:rFonts w:ascii="Cambria" w:hAnsi="Cambria"/>
                <w:i/>
                <w:iCs/>
                <w:sz w:val="20"/>
                <w:szCs w:val="20"/>
              </w:rPr>
            </w:pPr>
            <w:r w:rsidRPr="00C46269">
              <w:rPr>
                <w:rFonts w:ascii="Cambria" w:hAnsi="Cambria"/>
                <w:i/>
                <w:iCs/>
                <w:sz w:val="20"/>
                <w:szCs w:val="20"/>
              </w:rPr>
              <w:t>Anthochaera</w:t>
            </w:r>
            <w:r>
              <w:rPr>
                <w:rFonts w:ascii="Cambria" w:hAnsi="Cambria"/>
                <w:i/>
                <w:iCs/>
                <w:sz w:val="20"/>
                <w:szCs w:val="20"/>
                <w:vertAlign w:val="superscript"/>
              </w:rPr>
              <w:t>3</w:t>
            </w:r>
            <w:r w:rsidRPr="00C46269">
              <w:rPr>
                <w:rFonts w:ascii="Cambria" w:hAnsi="Cambria"/>
                <w:i/>
                <w:iCs/>
                <w:sz w:val="20"/>
                <w:szCs w:val="20"/>
              </w:rPr>
              <w:t xml:space="preserve"> </w:t>
            </w:r>
            <w:r w:rsidRPr="001614DF">
              <w:rPr>
                <w:rFonts w:ascii="Cambria" w:hAnsi="Cambria"/>
                <w:i/>
                <w:iCs/>
                <w:sz w:val="20"/>
                <w:szCs w:val="20"/>
              </w:rPr>
              <w:t>phrygia</w:t>
            </w:r>
          </w:p>
        </w:tc>
        <w:tc>
          <w:tcPr>
            <w:tcW w:w="1792" w:type="pct"/>
          </w:tcPr>
          <w:p w14:paraId="0A5334BD" w14:textId="77777777" w:rsidR="00414E9C" w:rsidRPr="00C46269" w:rsidRDefault="00414E9C" w:rsidP="004518D5">
            <w:pPr>
              <w:pStyle w:val="tabletext1"/>
              <w:spacing w:before="60" w:after="60"/>
              <w:ind w:left="272"/>
              <w:rPr>
                <w:rFonts w:ascii="Cambria" w:hAnsi="Cambria"/>
                <w:sz w:val="20"/>
                <w:szCs w:val="20"/>
              </w:rPr>
            </w:pPr>
            <w:r w:rsidRPr="001614DF">
              <w:rPr>
                <w:rFonts w:ascii="Cambria" w:hAnsi="Cambria"/>
                <w:sz w:val="20"/>
                <w:szCs w:val="20"/>
              </w:rPr>
              <w:t>regent honeyeater</w:t>
            </w:r>
          </w:p>
        </w:tc>
        <w:tc>
          <w:tcPr>
            <w:tcW w:w="626" w:type="pct"/>
          </w:tcPr>
          <w:p w14:paraId="351AE471" w14:textId="77777777" w:rsidR="00414E9C" w:rsidRPr="00C46269" w:rsidRDefault="00414E9C" w:rsidP="004518D5">
            <w:pPr>
              <w:pStyle w:val="tabletext1"/>
              <w:spacing w:before="60" w:after="60"/>
              <w:ind w:left="-50"/>
              <w:jc w:val="center"/>
              <w:rPr>
                <w:rFonts w:ascii="Cambria" w:hAnsi="Cambria"/>
                <w:sz w:val="20"/>
                <w:szCs w:val="20"/>
              </w:rPr>
            </w:pPr>
            <w:r w:rsidRPr="00C46269">
              <w:rPr>
                <w:rFonts w:ascii="Cambria" w:hAnsi="Cambria"/>
                <w:sz w:val="20"/>
                <w:szCs w:val="20"/>
              </w:rPr>
              <w:t>E</w:t>
            </w:r>
          </w:p>
        </w:tc>
        <w:tc>
          <w:tcPr>
            <w:tcW w:w="635" w:type="pct"/>
          </w:tcPr>
          <w:p w14:paraId="63BA9C37" w14:textId="77777777" w:rsidR="00414E9C" w:rsidRPr="00C46269" w:rsidRDefault="00414E9C" w:rsidP="004518D5">
            <w:pPr>
              <w:pStyle w:val="tabletext1"/>
              <w:spacing w:before="60" w:after="60"/>
              <w:ind w:left="-48"/>
              <w:jc w:val="center"/>
              <w:rPr>
                <w:rFonts w:ascii="Cambria" w:hAnsi="Cambria"/>
                <w:sz w:val="20"/>
                <w:szCs w:val="20"/>
              </w:rPr>
            </w:pPr>
            <w:r w:rsidRPr="001614DF">
              <w:rPr>
                <w:rFonts w:ascii="Cambria" w:hAnsi="Cambria"/>
                <w:sz w:val="20"/>
                <w:szCs w:val="20"/>
              </w:rPr>
              <w:t>CE</w:t>
            </w:r>
          </w:p>
        </w:tc>
      </w:tr>
      <w:tr w:rsidR="00414E9C" w14:paraId="674498DC" w14:textId="77777777" w:rsidTr="00E94F85">
        <w:tc>
          <w:tcPr>
            <w:tcW w:w="1947" w:type="pct"/>
          </w:tcPr>
          <w:p w14:paraId="0AD056E1" w14:textId="77777777" w:rsidR="00414E9C" w:rsidRPr="001614DF" w:rsidRDefault="00414E9C" w:rsidP="004518D5">
            <w:pPr>
              <w:pStyle w:val="tabletext1"/>
              <w:spacing w:before="60" w:after="60"/>
              <w:ind w:left="272"/>
              <w:rPr>
                <w:rFonts w:ascii="Cambria" w:hAnsi="Cambria"/>
                <w:i/>
                <w:iCs/>
                <w:sz w:val="20"/>
                <w:szCs w:val="20"/>
              </w:rPr>
            </w:pPr>
            <w:r w:rsidRPr="001614DF">
              <w:rPr>
                <w:rFonts w:ascii="Cambria" w:hAnsi="Cambria"/>
                <w:i/>
                <w:iCs/>
                <w:sz w:val="20"/>
                <w:szCs w:val="20"/>
              </w:rPr>
              <w:t>Botaurus poiciloptilus</w:t>
            </w:r>
          </w:p>
        </w:tc>
        <w:tc>
          <w:tcPr>
            <w:tcW w:w="1792" w:type="pct"/>
          </w:tcPr>
          <w:p w14:paraId="75A19A3A" w14:textId="77777777" w:rsidR="00414E9C" w:rsidRPr="001614DF" w:rsidRDefault="00414E9C" w:rsidP="004518D5">
            <w:pPr>
              <w:pStyle w:val="tabletext1"/>
              <w:spacing w:before="60" w:after="60"/>
              <w:ind w:left="272"/>
              <w:rPr>
                <w:rFonts w:ascii="Cambria" w:hAnsi="Cambria"/>
                <w:sz w:val="20"/>
                <w:szCs w:val="20"/>
              </w:rPr>
            </w:pPr>
            <w:r w:rsidRPr="001614DF">
              <w:rPr>
                <w:rFonts w:ascii="Cambria" w:hAnsi="Cambria"/>
                <w:sz w:val="20"/>
                <w:szCs w:val="20"/>
              </w:rPr>
              <w:t>Australasian bittern</w:t>
            </w:r>
          </w:p>
        </w:tc>
        <w:tc>
          <w:tcPr>
            <w:tcW w:w="626" w:type="pct"/>
            <w:vAlign w:val="center"/>
          </w:tcPr>
          <w:p w14:paraId="53A68E84" w14:textId="77777777" w:rsidR="00414E9C" w:rsidRPr="001614DF" w:rsidRDefault="00414E9C" w:rsidP="004518D5">
            <w:pPr>
              <w:pStyle w:val="tabletext1"/>
              <w:spacing w:before="60" w:after="60"/>
              <w:ind w:left="-50"/>
              <w:jc w:val="center"/>
              <w:rPr>
                <w:rFonts w:ascii="Cambria" w:hAnsi="Cambria"/>
                <w:sz w:val="20"/>
                <w:szCs w:val="20"/>
              </w:rPr>
            </w:pPr>
            <w:r w:rsidRPr="001614DF">
              <w:rPr>
                <w:rFonts w:ascii="Cambria" w:hAnsi="Cambria"/>
                <w:sz w:val="20"/>
                <w:szCs w:val="20"/>
              </w:rPr>
              <w:t>E</w:t>
            </w:r>
          </w:p>
        </w:tc>
        <w:tc>
          <w:tcPr>
            <w:tcW w:w="635" w:type="pct"/>
            <w:vAlign w:val="center"/>
          </w:tcPr>
          <w:p w14:paraId="37B64A13" w14:textId="77777777" w:rsidR="00414E9C" w:rsidRPr="001614DF" w:rsidRDefault="00414E9C" w:rsidP="004518D5">
            <w:pPr>
              <w:pStyle w:val="tabletext1"/>
              <w:spacing w:before="60" w:after="60"/>
              <w:ind w:left="-48"/>
              <w:jc w:val="center"/>
              <w:rPr>
                <w:sz w:val="20"/>
                <w:szCs w:val="20"/>
              </w:rPr>
            </w:pPr>
            <w:r w:rsidRPr="001614DF">
              <w:rPr>
                <w:rFonts w:ascii="Cambria" w:hAnsi="Cambria"/>
                <w:sz w:val="20"/>
                <w:szCs w:val="20"/>
              </w:rPr>
              <w:t>E</w:t>
            </w:r>
          </w:p>
        </w:tc>
      </w:tr>
      <w:tr w:rsidR="00414E9C" w14:paraId="3A3470A1" w14:textId="77777777" w:rsidTr="00E94F85">
        <w:tc>
          <w:tcPr>
            <w:tcW w:w="1947" w:type="pct"/>
          </w:tcPr>
          <w:p w14:paraId="4DA92795" w14:textId="77777777" w:rsidR="00414E9C" w:rsidRPr="001614DF" w:rsidRDefault="00414E9C" w:rsidP="004518D5">
            <w:pPr>
              <w:pStyle w:val="tabletext1"/>
              <w:spacing w:before="60" w:after="60"/>
              <w:ind w:left="272"/>
              <w:rPr>
                <w:rFonts w:ascii="Cambria" w:hAnsi="Cambria"/>
                <w:i/>
                <w:iCs/>
                <w:sz w:val="20"/>
                <w:szCs w:val="20"/>
              </w:rPr>
            </w:pPr>
            <w:r w:rsidRPr="001614DF">
              <w:rPr>
                <w:rFonts w:ascii="Cambria" w:hAnsi="Cambria"/>
                <w:i/>
                <w:iCs/>
                <w:sz w:val="20"/>
                <w:szCs w:val="20"/>
              </w:rPr>
              <w:t>Entomyzon cyanotis</w:t>
            </w:r>
          </w:p>
        </w:tc>
        <w:tc>
          <w:tcPr>
            <w:tcW w:w="1792" w:type="pct"/>
          </w:tcPr>
          <w:p w14:paraId="6D605C0A" w14:textId="77777777" w:rsidR="00414E9C" w:rsidRPr="001614DF" w:rsidRDefault="00414E9C" w:rsidP="004518D5">
            <w:pPr>
              <w:pStyle w:val="tabletext1"/>
              <w:spacing w:before="60" w:after="60"/>
              <w:ind w:left="272"/>
              <w:rPr>
                <w:rFonts w:ascii="Cambria" w:hAnsi="Cambria"/>
                <w:sz w:val="20"/>
                <w:szCs w:val="20"/>
              </w:rPr>
            </w:pPr>
            <w:r w:rsidRPr="001614DF">
              <w:rPr>
                <w:rFonts w:ascii="Cambria" w:hAnsi="Cambria"/>
                <w:sz w:val="20"/>
                <w:szCs w:val="20"/>
              </w:rPr>
              <w:t>blue-faced honeyeater</w:t>
            </w:r>
          </w:p>
        </w:tc>
        <w:tc>
          <w:tcPr>
            <w:tcW w:w="626" w:type="pct"/>
            <w:vAlign w:val="center"/>
          </w:tcPr>
          <w:p w14:paraId="24B7CE77" w14:textId="77777777" w:rsidR="00414E9C" w:rsidRPr="001614DF" w:rsidRDefault="00414E9C" w:rsidP="004518D5">
            <w:pPr>
              <w:pStyle w:val="tabletext1"/>
              <w:spacing w:before="60" w:after="60"/>
              <w:ind w:left="-50"/>
              <w:jc w:val="center"/>
              <w:rPr>
                <w:rFonts w:ascii="Cambria" w:hAnsi="Cambria"/>
                <w:sz w:val="20"/>
                <w:szCs w:val="20"/>
              </w:rPr>
            </w:pPr>
            <w:r w:rsidRPr="001614DF">
              <w:rPr>
                <w:rFonts w:ascii="Cambria" w:hAnsi="Cambria"/>
                <w:sz w:val="20"/>
                <w:szCs w:val="20"/>
              </w:rPr>
              <w:t>R</w:t>
            </w:r>
          </w:p>
        </w:tc>
        <w:tc>
          <w:tcPr>
            <w:tcW w:w="635" w:type="pct"/>
            <w:vAlign w:val="center"/>
          </w:tcPr>
          <w:p w14:paraId="3A78752F" w14:textId="77777777" w:rsidR="00414E9C" w:rsidRPr="002443A4" w:rsidRDefault="00414E9C" w:rsidP="004518D5">
            <w:pPr>
              <w:pStyle w:val="tabletext1"/>
              <w:spacing w:before="60" w:after="60"/>
              <w:ind w:left="-48"/>
              <w:jc w:val="center"/>
              <w:rPr>
                <w:rFonts w:ascii="Cambria" w:hAnsi="Cambria"/>
                <w:sz w:val="20"/>
                <w:szCs w:val="20"/>
              </w:rPr>
            </w:pPr>
            <w:r w:rsidRPr="001614DF">
              <w:rPr>
                <w:rFonts w:ascii="Cambria" w:hAnsi="Cambria"/>
                <w:sz w:val="20"/>
                <w:szCs w:val="20"/>
              </w:rPr>
              <w:t>-</w:t>
            </w:r>
          </w:p>
        </w:tc>
      </w:tr>
      <w:tr w:rsidR="00414E9C" w14:paraId="5AE46621" w14:textId="77777777" w:rsidTr="00E94F85">
        <w:tc>
          <w:tcPr>
            <w:tcW w:w="1947" w:type="pct"/>
          </w:tcPr>
          <w:p w14:paraId="08D1A131" w14:textId="77777777" w:rsidR="00414E9C" w:rsidRPr="00C46269" w:rsidRDefault="00414E9C" w:rsidP="004518D5">
            <w:pPr>
              <w:pStyle w:val="tabletext1"/>
              <w:spacing w:before="60" w:after="60"/>
              <w:ind w:left="272"/>
              <w:rPr>
                <w:rFonts w:ascii="Cambria" w:hAnsi="Cambria"/>
                <w:i/>
                <w:iCs/>
                <w:sz w:val="20"/>
                <w:szCs w:val="20"/>
              </w:rPr>
            </w:pPr>
            <w:r w:rsidRPr="002443A4">
              <w:rPr>
                <w:rFonts w:ascii="Cambria" w:hAnsi="Cambria"/>
                <w:i/>
                <w:iCs/>
                <w:sz w:val="20"/>
                <w:szCs w:val="20"/>
              </w:rPr>
              <w:t>Haliaeetus leucogaster</w:t>
            </w:r>
          </w:p>
        </w:tc>
        <w:tc>
          <w:tcPr>
            <w:tcW w:w="1792" w:type="pct"/>
          </w:tcPr>
          <w:p w14:paraId="6D2179F6" w14:textId="77777777" w:rsidR="00414E9C" w:rsidRPr="00C46269" w:rsidRDefault="00414E9C" w:rsidP="004518D5">
            <w:pPr>
              <w:pStyle w:val="tabletext1"/>
              <w:spacing w:before="60" w:after="60"/>
              <w:ind w:left="272"/>
              <w:rPr>
                <w:rFonts w:ascii="Cambria" w:hAnsi="Cambria"/>
                <w:sz w:val="20"/>
                <w:szCs w:val="20"/>
              </w:rPr>
            </w:pPr>
            <w:r w:rsidRPr="002443A4">
              <w:rPr>
                <w:rFonts w:ascii="Cambria" w:hAnsi="Cambria"/>
                <w:sz w:val="20"/>
                <w:szCs w:val="20"/>
              </w:rPr>
              <w:t>white-bellied sea eagle</w:t>
            </w:r>
          </w:p>
        </w:tc>
        <w:tc>
          <w:tcPr>
            <w:tcW w:w="626" w:type="pct"/>
          </w:tcPr>
          <w:p w14:paraId="3850D62B" w14:textId="77777777" w:rsidR="00414E9C" w:rsidRPr="00C46269" w:rsidRDefault="00414E9C" w:rsidP="004518D5">
            <w:pPr>
              <w:pStyle w:val="tabletext1"/>
              <w:spacing w:before="60" w:after="60"/>
              <w:ind w:left="-50"/>
              <w:jc w:val="center"/>
              <w:rPr>
                <w:rFonts w:ascii="Cambria" w:hAnsi="Cambria"/>
                <w:sz w:val="20"/>
                <w:szCs w:val="20"/>
              </w:rPr>
            </w:pPr>
            <w:r w:rsidRPr="002443A4">
              <w:rPr>
                <w:rFonts w:ascii="Cambria" w:hAnsi="Cambria"/>
                <w:sz w:val="20"/>
                <w:szCs w:val="20"/>
              </w:rPr>
              <w:t>E</w:t>
            </w:r>
          </w:p>
        </w:tc>
        <w:tc>
          <w:tcPr>
            <w:tcW w:w="635" w:type="pct"/>
          </w:tcPr>
          <w:p w14:paraId="1034F695" w14:textId="77777777" w:rsidR="00414E9C" w:rsidRPr="00C46269" w:rsidRDefault="00414E9C" w:rsidP="004518D5">
            <w:pPr>
              <w:pStyle w:val="tabletext1"/>
              <w:spacing w:before="60" w:after="60"/>
              <w:ind w:left="-48"/>
              <w:jc w:val="center"/>
              <w:rPr>
                <w:rFonts w:ascii="Cambria" w:hAnsi="Cambria"/>
                <w:sz w:val="20"/>
                <w:szCs w:val="20"/>
              </w:rPr>
            </w:pPr>
            <w:r w:rsidRPr="002443A4">
              <w:rPr>
                <w:rFonts w:ascii="Cambria" w:hAnsi="Cambria"/>
                <w:sz w:val="20"/>
                <w:szCs w:val="20"/>
              </w:rPr>
              <w:t>M</w:t>
            </w:r>
          </w:p>
        </w:tc>
      </w:tr>
      <w:tr w:rsidR="00414E9C" w14:paraId="2291ADD9" w14:textId="77777777" w:rsidTr="00E94F85">
        <w:tc>
          <w:tcPr>
            <w:tcW w:w="1947" w:type="pct"/>
          </w:tcPr>
          <w:p w14:paraId="072EDC14" w14:textId="77777777" w:rsidR="00414E9C" w:rsidRPr="00C46269" w:rsidRDefault="00414E9C" w:rsidP="004518D5">
            <w:pPr>
              <w:pStyle w:val="tabletext1"/>
              <w:spacing w:before="60" w:after="60"/>
              <w:ind w:left="272"/>
              <w:rPr>
                <w:rFonts w:ascii="Cambria" w:hAnsi="Cambria"/>
                <w:i/>
                <w:iCs/>
                <w:sz w:val="20"/>
                <w:szCs w:val="20"/>
              </w:rPr>
            </w:pPr>
            <w:r w:rsidRPr="00C46269">
              <w:rPr>
                <w:rFonts w:ascii="Cambria" w:hAnsi="Cambria"/>
                <w:i/>
                <w:iCs/>
                <w:sz w:val="20"/>
                <w:szCs w:val="20"/>
              </w:rPr>
              <w:t>Philemon citreogularis</w:t>
            </w:r>
          </w:p>
        </w:tc>
        <w:tc>
          <w:tcPr>
            <w:tcW w:w="1792" w:type="pct"/>
          </w:tcPr>
          <w:p w14:paraId="2BBDA7CF" w14:textId="77777777" w:rsidR="00414E9C" w:rsidRPr="00C46269" w:rsidRDefault="00414E9C" w:rsidP="004518D5">
            <w:pPr>
              <w:pStyle w:val="tabletext1"/>
              <w:spacing w:before="60" w:after="60"/>
              <w:ind w:left="272"/>
              <w:rPr>
                <w:rFonts w:ascii="Cambria" w:hAnsi="Cambria"/>
                <w:sz w:val="20"/>
                <w:szCs w:val="20"/>
              </w:rPr>
            </w:pPr>
            <w:r w:rsidRPr="00C46269">
              <w:rPr>
                <w:rFonts w:ascii="Cambria" w:hAnsi="Cambria"/>
                <w:sz w:val="20"/>
                <w:szCs w:val="20"/>
              </w:rPr>
              <w:t>little friarbird</w:t>
            </w:r>
          </w:p>
        </w:tc>
        <w:tc>
          <w:tcPr>
            <w:tcW w:w="626" w:type="pct"/>
            <w:vAlign w:val="center"/>
          </w:tcPr>
          <w:p w14:paraId="25DB810C" w14:textId="77777777" w:rsidR="00414E9C" w:rsidRPr="00C46269" w:rsidRDefault="00414E9C" w:rsidP="004518D5">
            <w:pPr>
              <w:pStyle w:val="tabletext1"/>
              <w:spacing w:before="60" w:after="60"/>
              <w:ind w:left="-50"/>
              <w:jc w:val="center"/>
              <w:rPr>
                <w:rFonts w:ascii="Cambria" w:hAnsi="Cambria"/>
                <w:sz w:val="20"/>
                <w:szCs w:val="20"/>
              </w:rPr>
            </w:pPr>
            <w:r w:rsidRPr="00C46269">
              <w:rPr>
                <w:rFonts w:ascii="Cambria" w:hAnsi="Cambria"/>
                <w:sz w:val="20"/>
                <w:szCs w:val="20"/>
              </w:rPr>
              <w:t>-</w:t>
            </w:r>
          </w:p>
        </w:tc>
        <w:tc>
          <w:tcPr>
            <w:tcW w:w="635" w:type="pct"/>
            <w:vAlign w:val="center"/>
          </w:tcPr>
          <w:p w14:paraId="70F282D2" w14:textId="77777777" w:rsidR="00414E9C" w:rsidRPr="00C46269" w:rsidRDefault="00414E9C" w:rsidP="004518D5">
            <w:pPr>
              <w:pStyle w:val="tabletext1"/>
              <w:spacing w:before="60" w:after="60"/>
              <w:ind w:left="-48"/>
              <w:jc w:val="center"/>
              <w:rPr>
                <w:rFonts w:ascii="Cambria" w:hAnsi="Cambria"/>
                <w:sz w:val="20"/>
                <w:szCs w:val="20"/>
              </w:rPr>
            </w:pPr>
            <w:r w:rsidRPr="00C46269">
              <w:rPr>
                <w:rFonts w:ascii="Cambria" w:hAnsi="Cambria"/>
                <w:sz w:val="20"/>
                <w:szCs w:val="20"/>
              </w:rPr>
              <w:t>-</w:t>
            </w:r>
          </w:p>
        </w:tc>
      </w:tr>
      <w:tr w:rsidR="00414E9C" w14:paraId="2AD63EC5" w14:textId="77777777" w:rsidTr="00E94F85">
        <w:tc>
          <w:tcPr>
            <w:tcW w:w="1947" w:type="pct"/>
          </w:tcPr>
          <w:p w14:paraId="49C7258A" w14:textId="77777777" w:rsidR="00414E9C" w:rsidRPr="002443A4" w:rsidRDefault="00414E9C" w:rsidP="004518D5">
            <w:pPr>
              <w:pStyle w:val="tabletext1"/>
              <w:spacing w:before="60" w:after="60"/>
              <w:ind w:left="272"/>
              <w:rPr>
                <w:rFonts w:ascii="Cambria" w:hAnsi="Cambria"/>
                <w:i/>
                <w:iCs/>
                <w:sz w:val="20"/>
                <w:szCs w:val="20"/>
              </w:rPr>
            </w:pPr>
            <w:r w:rsidRPr="002443A4">
              <w:rPr>
                <w:rFonts w:ascii="Cambria" w:hAnsi="Cambria"/>
                <w:i/>
                <w:iCs/>
                <w:sz w:val="20"/>
                <w:szCs w:val="20"/>
              </w:rPr>
              <w:t>Plectorhyncha lanceolata</w:t>
            </w:r>
          </w:p>
        </w:tc>
        <w:tc>
          <w:tcPr>
            <w:tcW w:w="1792" w:type="pct"/>
          </w:tcPr>
          <w:p w14:paraId="77F7F273" w14:textId="77777777" w:rsidR="00414E9C" w:rsidRPr="002443A4" w:rsidRDefault="00414E9C" w:rsidP="004518D5">
            <w:pPr>
              <w:pStyle w:val="tabletext1"/>
              <w:spacing w:before="60" w:after="60"/>
              <w:ind w:left="272"/>
              <w:rPr>
                <w:rFonts w:ascii="Cambria" w:hAnsi="Cambria"/>
                <w:sz w:val="20"/>
                <w:szCs w:val="20"/>
              </w:rPr>
            </w:pPr>
            <w:r w:rsidRPr="002443A4">
              <w:rPr>
                <w:rFonts w:ascii="Cambria" w:hAnsi="Cambria"/>
                <w:sz w:val="20"/>
                <w:szCs w:val="20"/>
              </w:rPr>
              <w:t>striped honeyeater</w:t>
            </w:r>
          </w:p>
        </w:tc>
        <w:tc>
          <w:tcPr>
            <w:tcW w:w="626" w:type="pct"/>
            <w:vAlign w:val="center"/>
          </w:tcPr>
          <w:p w14:paraId="7E1D2560" w14:textId="77777777" w:rsidR="00414E9C" w:rsidRPr="002443A4" w:rsidRDefault="00414E9C" w:rsidP="004518D5">
            <w:pPr>
              <w:pStyle w:val="tabletext1"/>
              <w:spacing w:before="60" w:after="60"/>
              <w:ind w:left="-50"/>
              <w:jc w:val="center"/>
              <w:rPr>
                <w:rFonts w:ascii="Cambria" w:hAnsi="Cambria"/>
                <w:sz w:val="20"/>
                <w:szCs w:val="20"/>
              </w:rPr>
            </w:pPr>
            <w:r w:rsidRPr="002443A4">
              <w:rPr>
                <w:rFonts w:ascii="Cambria" w:hAnsi="Cambria"/>
                <w:sz w:val="20"/>
                <w:szCs w:val="20"/>
              </w:rPr>
              <w:t>R</w:t>
            </w:r>
          </w:p>
        </w:tc>
        <w:tc>
          <w:tcPr>
            <w:tcW w:w="635" w:type="pct"/>
            <w:vAlign w:val="center"/>
          </w:tcPr>
          <w:p w14:paraId="3F2FE0F7" w14:textId="77777777" w:rsidR="00414E9C" w:rsidRPr="002443A4" w:rsidRDefault="00414E9C" w:rsidP="004518D5">
            <w:pPr>
              <w:pStyle w:val="tabletext1"/>
              <w:spacing w:before="60" w:after="60"/>
              <w:ind w:left="-48"/>
              <w:jc w:val="center"/>
              <w:rPr>
                <w:rFonts w:ascii="Cambria" w:hAnsi="Cambria"/>
                <w:sz w:val="20"/>
                <w:szCs w:val="20"/>
              </w:rPr>
            </w:pPr>
            <w:r w:rsidRPr="002443A4">
              <w:rPr>
                <w:rFonts w:ascii="Cambria" w:hAnsi="Cambria"/>
                <w:sz w:val="20"/>
                <w:szCs w:val="20"/>
              </w:rPr>
              <w:t>-</w:t>
            </w:r>
          </w:p>
        </w:tc>
      </w:tr>
      <w:tr w:rsidR="00414E9C" w14:paraId="3AD0C590" w14:textId="77777777" w:rsidTr="00E94F85">
        <w:tc>
          <w:tcPr>
            <w:tcW w:w="1947" w:type="pct"/>
          </w:tcPr>
          <w:p w14:paraId="7832D9A3" w14:textId="77777777" w:rsidR="00414E9C" w:rsidRPr="008A04C9" w:rsidRDefault="00414E9C" w:rsidP="004518D5">
            <w:pPr>
              <w:pStyle w:val="tabletext1"/>
              <w:spacing w:before="60" w:after="60"/>
              <w:ind w:left="272"/>
              <w:rPr>
                <w:rFonts w:ascii="Cambria" w:hAnsi="Cambria"/>
                <w:i/>
                <w:iCs/>
                <w:sz w:val="20"/>
                <w:szCs w:val="20"/>
              </w:rPr>
            </w:pPr>
            <w:r w:rsidRPr="002443A4">
              <w:rPr>
                <w:rFonts w:ascii="Cambria" w:hAnsi="Cambria"/>
                <w:i/>
                <w:iCs/>
                <w:sz w:val="20"/>
                <w:szCs w:val="20"/>
              </w:rPr>
              <w:t>Podiceps cristatus</w:t>
            </w:r>
          </w:p>
        </w:tc>
        <w:tc>
          <w:tcPr>
            <w:tcW w:w="1792" w:type="pct"/>
          </w:tcPr>
          <w:p w14:paraId="51D44CC2" w14:textId="77777777" w:rsidR="00414E9C" w:rsidRPr="008A04C9" w:rsidRDefault="00414E9C" w:rsidP="004518D5">
            <w:pPr>
              <w:pStyle w:val="tabletext1"/>
              <w:spacing w:before="60" w:after="60"/>
              <w:ind w:left="272"/>
              <w:rPr>
                <w:rFonts w:ascii="Cambria" w:hAnsi="Cambria"/>
                <w:sz w:val="20"/>
                <w:szCs w:val="20"/>
              </w:rPr>
            </w:pPr>
            <w:r w:rsidRPr="008A04C9">
              <w:rPr>
                <w:rFonts w:ascii="Cambria" w:hAnsi="Cambria"/>
                <w:sz w:val="20"/>
                <w:szCs w:val="20"/>
              </w:rPr>
              <w:t>greater crested grebe</w:t>
            </w:r>
          </w:p>
        </w:tc>
        <w:tc>
          <w:tcPr>
            <w:tcW w:w="626" w:type="pct"/>
            <w:vAlign w:val="center"/>
          </w:tcPr>
          <w:p w14:paraId="589182C5"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R</w:t>
            </w:r>
          </w:p>
        </w:tc>
        <w:tc>
          <w:tcPr>
            <w:tcW w:w="635" w:type="pct"/>
            <w:vAlign w:val="center"/>
          </w:tcPr>
          <w:p w14:paraId="6152A6AB"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642FC8A1" w14:textId="77777777" w:rsidTr="00E94F85">
        <w:tc>
          <w:tcPr>
            <w:tcW w:w="1947" w:type="pct"/>
          </w:tcPr>
          <w:p w14:paraId="7637FE2D" w14:textId="77777777" w:rsidR="00414E9C" w:rsidRPr="008A04C9" w:rsidRDefault="00414E9C" w:rsidP="004518D5">
            <w:pPr>
              <w:pStyle w:val="tabletext1"/>
              <w:spacing w:before="60" w:after="60"/>
              <w:ind w:left="272"/>
              <w:rPr>
                <w:rFonts w:ascii="Cambria" w:hAnsi="Cambria"/>
                <w:i/>
                <w:iCs/>
                <w:sz w:val="20"/>
                <w:szCs w:val="20"/>
              </w:rPr>
            </w:pPr>
            <w:r w:rsidRPr="008A04C9">
              <w:rPr>
                <w:rFonts w:ascii="Cambria" w:hAnsi="Cambria"/>
                <w:i/>
                <w:iCs/>
                <w:sz w:val="20"/>
                <w:szCs w:val="20"/>
              </w:rPr>
              <w:t>Stictonetta naevosa</w:t>
            </w:r>
          </w:p>
        </w:tc>
        <w:tc>
          <w:tcPr>
            <w:tcW w:w="1792" w:type="pct"/>
          </w:tcPr>
          <w:p w14:paraId="5D1EEE85" w14:textId="77777777" w:rsidR="00414E9C" w:rsidRPr="008A04C9" w:rsidRDefault="00414E9C" w:rsidP="004518D5">
            <w:pPr>
              <w:pStyle w:val="tabletext1"/>
              <w:tabs>
                <w:tab w:val="left" w:pos="778"/>
              </w:tabs>
              <w:spacing w:before="60" w:after="60"/>
              <w:ind w:left="272"/>
              <w:rPr>
                <w:rFonts w:ascii="Cambria" w:hAnsi="Cambria"/>
                <w:sz w:val="20"/>
                <w:szCs w:val="20"/>
              </w:rPr>
            </w:pPr>
            <w:r w:rsidRPr="008A04C9">
              <w:rPr>
                <w:rFonts w:ascii="Cambria" w:hAnsi="Cambria"/>
                <w:sz w:val="20"/>
                <w:szCs w:val="20"/>
              </w:rPr>
              <w:t>freckled duck</w:t>
            </w:r>
          </w:p>
        </w:tc>
        <w:tc>
          <w:tcPr>
            <w:tcW w:w="626" w:type="pct"/>
          </w:tcPr>
          <w:p w14:paraId="06B14CFF"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V</w:t>
            </w:r>
          </w:p>
        </w:tc>
        <w:tc>
          <w:tcPr>
            <w:tcW w:w="635" w:type="pct"/>
          </w:tcPr>
          <w:p w14:paraId="5AE37C98"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22C85D77" w14:textId="77777777" w:rsidTr="00E94F85">
        <w:tc>
          <w:tcPr>
            <w:tcW w:w="1947" w:type="pct"/>
            <w:tcBorders>
              <w:right w:val="nil"/>
            </w:tcBorders>
            <w:shd w:val="clear" w:color="auto" w:fill="D9D9D9" w:themeFill="background1" w:themeFillShade="D9"/>
          </w:tcPr>
          <w:p w14:paraId="1830BA88" w14:textId="77777777" w:rsidR="00414E9C" w:rsidRPr="008A04C9" w:rsidRDefault="00414E9C" w:rsidP="004518D5">
            <w:pPr>
              <w:pStyle w:val="tabletext1"/>
              <w:spacing w:before="60" w:after="60"/>
              <w:ind w:left="272"/>
              <w:rPr>
                <w:rFonts w:ascii="Cambria" w:hAnsi="Cambria"/>
                <w:b/>
                <w:bCs/>
                <w:szCs w:val="22"/>
              </w:rPr>
            </w:pPr>
            <w:r w:rsidRPr="008A04C9">
              <w:rPr>
                <w:rFonts w:ascii="Cambria" w:hAnsi="Cambria"/>
                <w:b/>
                <w:bCs/>
                <w:szCs w:val="22"/>
              </w:rPr>
              <w:t>Mammals</w:t>
            </w:r>
          </w:p>
        </w:tc>
        <w:tc>
          <w:tcPr>
            <w:tcW w:w="1792" w:type="pct"/>
            <w:tcBorders>
              <w:left w:val="nil"/>
              <w:right w:val="nil"/>
            </w:tcBorders>
            <w:shd w:val="clear" w:color="auto" w:fill="D9D9D9" w:themeFill="background1" w:themeFillShade="D9"/>
          </w:tcPr>
          <w:p w14:paraId="2070B86B" w14:textId="77777777" w:rsidR="00414E9C" w:rsidRPr="008A04C9" w:rsidRDefault="00414E9C" w:rsidP="004518D5">
            <w:pPr>
              <w:pStyle w:val="tabletext1"/>
              <w:spacing w:before="60" w:after="60"/>
              <w:ind w:left="272"/>
              <w:rPr>
                <w:rFonts w:ascii="Cambria" w:hAnsi="Cambria"/>
                <w:sz w:val="20"/>
                <w:szCs w:val="20"/>
              </w:rPr>
            </w:pPr>
          </w:p>
        </w:tc>
        <w:tc>
          <w:tcPr>
            <w:tcW w:w="626" w:type="pct"/>
            <w:tcBorders>
              <w:left w:val="nil"/>
              <w:right w:val="nil"/>
            </w:tcBorders>
            <w:shd w:val="clear" w:color="auto" w:fill="D9D9D9" w:themeFill="background1" w:themeFillShade="D9"/>
            <w:vAlign w:val="center"/>
          </w:tcPr>
          <w:p w14:paraId="1F5F9F83" w14:textId="77777777" w:rsidR="00414E9C" w:rsidRPr="008A04C9" w:rsidRDefault="00414E9C" w:rsidP="004518D5">
            <w:pPr>
              <w:pStyle w:val="tabletext1"/>
              <w:spacing w:before="60" w:after="60"/>
              <w:ind w:left="-50"/>
              <w:jc w:val="center"/>
              <w:rPr>
                <w:rFonts w:ascii="Cambria" w:hAnsi="Cambria"/>
                <w:sz w:val="20"/>
                <w:szCs w:val="20"/>
              </w:rPr>
            </w:pPr>
          </w:p>
        </w:tc>
        <w:tc>
          <w:tcPr>
            <w:tcW w:w="635" w:type="pct"/>
            <w:tcBorders>
              <w:left w:val="nil"/>
            </w:tcBorders>
            <w:shd w:val="clear" w:color="auto" w:fill="D9D9D9" w:themeFill="background1" w:themeFillShade="D9"/>
            <w:vAlign w:val="center"/>
          </w:tcPr>
          <w:p w14:paraId="327738BC" w14:textId="77777777" w:rsidR="00414E9C" w:rsidRPr="008A04C9" w:rsidRDefault="00414E9C" w:rsidP="004518D5">
            <w:pPr>
              <w:pStyle w:val="tabletext1"/>
              <w:spacing w:before="60" w:after="60"/>
              <w:ind w:left="-48"/>
              <w:jc w:val="center"/>
              <w:rPr>
                <w:rFonts w:ascii="Cambria" w:hAnsi="Cambria"/>
                <w:b/>
                <w:bCs/>
                <w:sz w:val="20"/>
                <w:szCs w:val="20"/>
              </w:rPr>
            </w:pPr>
          </w:p>
        </w:tc>
      </w:tr>
      <w:tr w:rsidR="00414E9C" w14:paraId="092E7541" w14:textId="77777777" w:rsidTr="00E94F85">
        <w:tc>
          <w:tcPr>
            <w:tcW w:w="1947" w:type="pct"/>
          </w:tcPr>
          <w:p w14:paraId="7BB6578C"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Acrobates pygmaeus</w:t>
            </w:r>
          </w:p>
        </w:tc>
        <w:tc>
          <w:tcPr>
            <w:tcW w:w="1792" w:type="pct"/>
          </w:tcPr>
          <w:p w14:paraId="1D499457" w14:textId="77777777" w:rsidR="00414E9C" w:rsidRPr="008A04C9" w:rsidRDefault="00414E9C" w:rsidP="004518D5">
            <w:pPr>
              <w:pStyle w:val="tabletext1"/>
              <w:spacing w:before="60" w:after="60"/>
              <w:ind w:left="272"/>
              <w:rPr>
                <w:rFonts w:ascii="Cambria" w:hAnsi="Cambria"/>
                <w:sz w:val="20"/>
                <w:szCs w:val="20"/>
              </w:rPr>
            </w:pPr>
            <w:r w:rsidRPr="00B5161A">
              <w:rPr>
                <w:rFonts w:ascii="Cambria" w:hAnsi="Cambria"/>
                <w:sz w:val="20"/>
                <w:szCs w:val="20"/>
              </w:rPr>
              <w:t>feathertail glider</w:t>
            </w:r>
          </w:p>
        </w:tc>
        <w:tc>
          <w:tcPr>
            <w:tcW w:w="626" w:type="pct"/>
            <w:vAlign w:val="center"/>
          </w:tcPr>
          <w:p w14:paraId="2ACC9876"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E</w:t>
            </w:r>
          </w:p>
        </w:tc>
        <w:tc>
          <w:tcPr>
            <w:tcW w:w="635" w:type="pct"/>
            <w:vAlign w:val="center"/>
          </w:tcPr>
          <w:p w14:paraId="0601ABF4"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5B26FF36" w14:textId="77777777" w:rsidTr="00E94F85">
        <w:tc>
          <w:tcPr>
            <w:tcW w:w="1947" w:type="pct"/>
          </w:tcPr>
          <w:p w14:paraId="5654E846" w14:textId="77777777" w:rsidR="00414E9C" w:rsidRPr="008A04C9" w:rsidRDefault="00414E9C" w:rsidP="004518D5">
            <w:pPr>
              <w:pStyle w:val="tabletext1"/>
              <w:spacing w:before="60" w:after="60"/>
              <w:ind w:left="272"/>
              <w:rPr>
                <w:rFonts w:ascii="Cambria" w:hAnsi="Cambria"/>
                <w:i/>
                <w:iCs/>
                <w:sz w:val="20"/>
                <w:szCs w:val="20"/>
              </w:rPr>
            </w:pPr>
            <w:r w:rsidRPr="008A04C9">
              <w:rPr>
                <w:rFonts w:ascii="Cambria" w:hAnsi="Cambria"/>
                <w:i/>
                <w:iCs/>
                <w:sz w:val="20"/>
                <w:szCs w:val="20"/>
              </w:rPr>
              <w:t xml:space="preserve">Mormopterus </w:t>
            </w:r>
            <w:r w:rsidRPr="00253B0F">
              <w:rPr>
                <w:rFonts w:ascii="Cambria" w:hAnsi="Cambria"/>
                <w:sz w:val="20"/>
                <w:szCs w:val="20"/>
              </w:rPr>
              <w:t>sp.2</w:t>
            </w:r>
          </w:p>
        </w:tc>
        <w:tc>
          <w:tcPr>
            <w:tcW w:w="1792" w:type="pct"/>
          </w:tcPr>
          <w:p w14:paraId="125F9EF9" w14:textId="77777777" w:rsidR="00414E9C" w:rsidRPr="008A04C9" w:rsidRDefault="00414E9C" w:rsidP="004518D5">
            <w:pPr>
              <w:pStyle w:val="tabletext1"/>
              <w:spacing w:before="60" w:after="60"/>
              <w:ind w:left="272"/>
              <w:rPr>
                <w:rFonts w:ascii="Cambria" w:hAnsi="Cambria"/>
                <w:sz w:val="20"/>
                <w:szCs w:val="20"/>
              </w:rPr>
            </w:pPr>
            <w:r w:rsidRPr="00B5161A">
              <w:rPr>
                <w:rFonts w:ascii="Cambria" w:hAnsi="Cambria"/>
                <w:sz w:val="20"/>
                <w:szCs w:val="20"/>
              </w:rPr>
              <w:t>eastern freetail-bat</w:t>
            </w:r>
          </w:p>
        </w:tc>
        <w:tc>
          <w:tcPr>
            <w:tcW w:w="626" w:type="pct"/>
            <w:vAlign w:val="center"/>
          </w:tcPr>
          <w:p w14:paraId="79626C41"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b/>
                <w:bCs/>
                <w:sz w:val="20"/>
                <w:szCs w:val="20"/>
              </w:rPr>
              <w:t>-</w:t>
            </w:r>
          </w:p>
        </w:tc>
        <w:tc>
          <w:tcPr>
            <w:tcW w:w="635" w:type="pct"/>
            <w:vAlign w:val="center"/>
          </w:tcPr>
          <w:p w14:paraId="4FDFE37C"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4EF24AD5" w14:textId="77777777" w:rsidTr="00E94F85">
        <w:tc>
          <w:tcPr>
            <w:tcW w:w="1947" w:type="pct"/>
          </w:tcPr>
          <w:p w14:paraId="02199B6E" w14:textId="77777777" w:rsidR="00414E9C" w:rsidRPr="008A04C9" w:rsidRDefault="00414E9C" w:rsidP="004518D5">
            <w:pPr>
              <w:pStyle w:val="tabletext1"/>
              <w:spacing w:before="60" w:after="60"/>
              <w:rPr>
                <w:rFonts w:ascii="Cambria" w:hAnsi="Cambria"/>
                <w:b/>
                <w:bCs/>
                <w:sz w:val="20"/>
                <w:szCs w:val="20"/>
              </w:rPr>
            </w:pPr>
            <w:r w:rsidRPr="008A04C9">
              <w:rPr>
                <w:rFonts w:ascii="Cambria" w:hAnsi="Cambria"/>
                <w:i/>
                <w:iCs/>
                <w:sz w:val="20"/>
                <w:szCs w:val="20"/>
              </w:rPr>
              <w:t>Myotis macropus</w:t>
            </w:r>
          </w:p>
        </w:tc>
        <w:tc>
          <w:tcPr>
            <w:tcW w:w="1792" w:type="pct"/>
          </w:tcPr>
          <w:p w14:paraId="2B6C7226" w14:textId="77777777" w:rsidR="00414E9C" w:rsidRPr="008A04C9" w:rsidRDefault="00414E9C" w:rsidP="004518D5">
            <w:pPr>
              <w:pStyle w:val="tabletext1"/>
              <w:spacing w:before="60" w:after="60"/>
              <w:ind w:left="272"/>
              <w:rPr>
                <w:rFonts w:ascii="Cambria" w:hAnsi="Cambria"/>
                <w:sz w:val="20"/>
                <w:szCs w:val="20"/>
              </w:rPr>
            </w:pPr>
            <w:r w:rsidRPr="00B5161A">
              <w:rPr>
                <w:rFonts w:ascii="Cambria" w:hAnsi="Cambria"/>
                <w:sz w:val="20"/>
                <w:szCs w:val="20"/>
              </w:rPr>
              <w:t>southern myotis</w:t>
            </w:r>
          </w:p>
        </w:tc>
        <w:tc>
          <w:tcPr>
            <w:tcW w:w="626" w:type="pct"/>
            <w:vAlign w:val="center"/>
          </w:tcPr>
          <w:p w14:paraId="7A63F591"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E</w:t>
            </w:r>
          </w:p>
        </w:tc>
        <w:tc>
          <w:tcPr>
            <w:tcW w:w="635" w:type="pct"/>
            <w:vAlign w:val="center"/>
          </w:tcPr>
          <w:p w14:paraId="67D0C3BE"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4B440170" w14:textId="77777777" w:rsidTr="00E94F85">
        <w:tc>
          <w:tcPr>
            <w:tcW w:w="1947" w:type="pct"/>
          </w:tcPr>
          <w:p w14:paraId="402D9C0E" w14:textId="77777777" w:rsidR="00414E9C" w:rsidRPr="008A04C9" w:rsidRDefault="00414E9C" w:rsidP="004518D5">
            <w:pPr>
              <w:pStyle w:val="tabletext1"/>
              <w:spacing w:before="60" w:after="60"/>
              <w:ind w:left="272"/>
              <w:rPr>
                <w:rFonts w:ascii="Cambria" w:hAnsi="Cambria"/>
                <w:b/>
                <w:bCs/>
                <w:sz w:val="20"/>
                <w:szCs w:val="20"/>
              </w:rPr>
            </w:pPr>
            <w:r w:rsidRPr="008A04C9">
              <w:rPr>
                <w:rFonts w:ascii="Cambria" w:hAnsi="Cambria"/>
                <w:i/>
                <w:iCs/>
                <w:sz w:val="20"/>
                <w:szCs w:val="20"/>
              </w:rPr>
              <w:t>Planigale gilesi</w:t>
            </w:r>
          </w:p>
        </w:tc>
        <w:tc>
          <w:tcPr>
            <w:tcW w:w="1792" w:type="pct"/>
          </w:tcPr>
          <w:p w14:paraId="30C89449"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Giles planigale</w:t>
            </w:r>
          </w:p>
        </w:tc>
        <w:tc>
          <w:tcPr>
            <w:tcW w:w="626" w:type="pct"/>
            <w:vAlign w:val="center"/>
          </w:tcPr>
          <w:p w14:paraId="19ED8E23"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w:t>
            </w:r>
          </w:p>
        </w:tc>
        <w:tc>
          <w:tcPr>
            <w:tcW w:w="635" w:type="pct"/>
            <w:vAlign w:val="center"/>
          </w:tcPr>
          <w:p w14:paraId="4972917B"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522C382F" w14:textId="77777777" w:rsidTr="00E94F85">
        <w:tc>
          <w:tcPr>
            <w:tcW w:w="1947" w:type="pct"/>
            <w:tcBorders>
              <w:bottom w:val="single" w:sz="4" w:space="0" w:color="auto"/>
            </w:tcBorders>
          </w:tcPr>
          <w:p w14:paraId="0AF7F2CB" w14:textId="77777777" w:rsidR="00414E9C" w:rsidRPr="008A04C9" w:rsidRDefault="00414E9C" w:rsidP="004518D5">
            <w:pPr>
              <w:pStyle w:val="tabletext1"/>
              <w:spacing w:before="60" w:after="60"/>
              <w:ind w:left="272"/>
              <w:rPr>
                <w:rFonts w:ascii="Cambria" w:hAnsi="Cambria"/>
                <w:i/>
                <w:iCs/>
                <w:sz w:val="20"/>
                <w:szCs w:val="20"/>
              </w:rPr>
            </w:pPr>
            <w:r w:rsidRPr="008A04C9">
              <w:rPr>
                <w:rFonts w:ascii="Cambria" w:hAnsi="Cambria"/>
                <w:i/>
                <w:iCs/>
                <w:sz w:val="20"/>
                <w:szCs w:val="20"/>
              </w:rPr>
              <w:t>Trichosurus vulpecula</w:t>
            </w:r>
          </w:p>
        </w:tc>
        <w:tc>
          <w:tcPr>
            <w:tcW w:w="1792" w:type="pct"/>
            <w:tcBorders>
              <w:bottom w:val="single" w:sz="4" w:space="0" w:color="auto"/>
            </w:tcBorders>
          </w:tcPr>
          <w:p w14:paraId="652A05B3" w14:textId="77777777" w:rsidR="00414E9C" w:rsidRPr="008A04C9" w:rsidRDefault="00414E9C" w:rsidP="004518D5">
            <w:pPr>
              <w:pStyle w:val="tabletext1"/>
              <w:spacing w:before="60" w:after="60"/>
              <w:ind w:left="272"/>
              <w:rPr>
                <w:rFonts w:ascii="Cambria" w:hAnsi="Cambria"/>
                <w:sz w:val="20"/>
                <w:szCs w:val="20"/>
              </w:rPr>
            </w:pPr>
            <w:r w:rsidRPr="008A04C9">
              <w:rPr>
                <w:rFonts w:ascii="Cambria" w:hAnsi="Cambria"/>
                <w:sz w:val="20"/>
                <w:szCs w:val="20"/>
              </w:rPr>
              <w:t>common brushtail possum</w:t>
            </w:r>
          </w:p>
        </w:tc>
        <w:tc>
          <w:tcPr>
            <w:tcW w:w="626" w:type="pct"/>
            <w:tcBorders>
              <w:bottom w:val="single" w:sz="4" w:space="0" w:color="auto"/>
            </w:tcBorders>
            <w:vAlign w:val="center"/>
          </w:tcPr>
          <w:p w14:paraId="18298776"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R</w:t>
            </w:r>
          </w:p>
        </w:tc>
        <w:tc>
          <w:tcPr>
            <w:tcW w:w="635" w:type="pct"/>
            <w:tcBorders>
              <w:bottom w:val="single" w:sz="4" w:space="0" w:color="auto"/>
            </w:tcBorders>
            <w:vAlign w:val="center"/>
          </w:tcPr>
          <w:p w14:paraId="0C3E6EC5"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280578C7" w14:textId="77777777" w:rsidTr="00E94F85">
        <w:tc>
          <w:tcPr>
            <w:tcW w:w="1947" w:type="pct"/>
            <w:tcBorders>
              <w:right w:val="nil"/>
            </w:tcBorders>
            <w:shd w:val="clear" w:color="auto" w:fill="D9D9D9" w:themeFill="background1" w:themeFillShade="D9"/>
          </w:tcPr>
          <w:p w14:paraId="05743AE5" w14:textId="77777777" w:rsidR="00414E9C" w:rsidRPr="008A04C9" w:rsidRDefault="00414E9C" w:rsidP="004518D5">
            <w:pPr>
              <w:pStyle w:val="tabletext1"/>
              <w:spacing w:before="60" w:after="60"/>
              <w:ind w:left="272"/>
              <w:rPr>
                <w:rFonts w:ascii="Cambria" w:hAnsi="Cambria"/>
                <w:b/>
                <w:bCs/>
                <w:szCs w:val="22"/>
              </w:rPr>
            </w:pPr>
            <w:r w:rsidRPr="008A04C9">
              <w:rPr>
                <w:rFonts w:ascii="Cambria" w:hAnsi="Cambria"/>
                <w:b/>
                <w:bCs/>
                <w:szCs w:val="22"/>
              </w:rPr>
              <w:t>Reptiles</w:t>
            </w:r>
          </w:p>
        </w:tc>
        <w:tc>
          <w:tcPr>
            <w:tcW w:w="1792" w:type="pct"/>
            <w:tcBorders>
              <w:left w:val="nil"/>
              <w:right w:val="nil"/>
            </w:tcBorders>
            <w:shd w:val="clear" w:color="auto" w:fill="D9D9D9" w:themeFill="background1" w:themeFillShade="D9"/>
          </w:tcPr>
          <w:p w14:paraId="5704122C" w14:textId="77777777" w:rsidR="00414E9C" w:rsidRPr="008A04C9" w:rsidRDefault="00414E9C" w:rsidP="004518D5">
            <w:pPr>
              <w:pStyle w:val="tabletext1"/>
              <w:spacing w:before="60" w:after="60"/>
              <w:ind w:left="272"/>
              <w:rPr>
                <w:rFonts w:ascii="Cambria" w:hAnsi="Cambria"/>
                <w:sz w:val="20"/>
                <w:szCs w:val="20"/>
              </w:rPr>
            </w:pPr>
          </w:p>
        </w:tc>
        <w:tc>
          <w:tcPr>
            <w:tcW w:w="626" w:type="pct"/>
            <w:tcBorders>
              <w:left w:val="nil"/>
              <w:right w:val="nil"/>
            </w:tcBorders>
            <w:shd w:val="clear" w:color="auto" w:fill="D9D9D9" w:themeFill="background1" w:themeFillShade="D9"/>
            <w:vAlign w:val="center"/>
          </w:tcPr>
          <w:p w14:paraId="5239F78D" w14:textId="77777777" w:rsidR="00414E9C" w:rsidRPr="008A04C9" w:rsidRDefault="00414E9C" w:rsidP="004518D5">
            <w:pPr>
              <w:pStyle w:val="tabletext1"/>
              <w:spacing w:before="60" w:after="60"/>
              <w:ind w:left="-50"/>
              <w:jc w:val="center"/>
              <w:rPr>
                <w:rFonts w:ascii="Cambria" w:hAnsi="Cambria"/>
                <w:sz w:val="20"/>
                <w:szCs w:val="20"/>
              </w:rPr>
            </w:pPr>
          </w:p>
        </w:tc>
        <w:tc>
          <w:tcPr>
            <w:tcW w:w="635" w:type="pct"/>
            <w:tcBorders>
              <w:left w:val="nil"/>
            </w:tcBorders>
            <w:shd w:val="clear" w:color="auto" w:fill="D9D9D9" w:themeFill="background1" w:themeFillShade="D9"/>
            <w:vAlign w:val="center"/>
          </w:tcPr>
          <w:p w14:paraId="14DAC6B3" w14:textId="77777777" w:rsidR="00414E9C" w:rsidRPr="008A04C9" w:rsidRDefault="00414E9C" w:rsidP="004518D5">
            <w:pPr>
              <w:pStyle w:val="tabletext1"/>
              <w:spacing w:before="60" w:after="60"/>
              <w:ind w:left="-48"/>
              <w:jc w:val="center"/>
              <w:rPr>
                <w:rFonts w:ascii="Cambria" w:hAnsi="Cambria"/>
                <w:b/>
                <w:bCs/>
                <w:sz w:val="20"/>
                <w:szCs w:val="20"/>
              </w:rPr>
            </w:pPr>
          </w:p>
        </w:tc>
      </w:tr>
      <w:tr w:rsidR="00414E9C" w14:paraId="57F745E1" w14:textId="77777777" w:rsidTr="00E94F85">
        <w:tc>
          <w:tcPr>
            <w:tcW w:w="1947" w:type="pct"/>
          </w:tcPr>
          <w:p w14:paraId="74F72329"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Chelodina expansa</w:t>
            </w:r>
          </w:p>
        </w:tc>
        <w:tc>
          <w:tcPr>
            <w:tcW w:w="1792" w:type="pct"/>
          </w:tcPr>
          <w:p w14:paraId="480CD6ED"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broad-shelled tortoise</w:t>
            </w:r>
          </w:p>
        </w:tc>
        <w:tc>
          <w:tcPr>
            <w:tcW w:w="626" w:type="pct"/>
            <w:vAlign w:val="center"/>
          </w:tcPr>
          <w:p w14:paraId="2F9E25D4"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V</w:t>
            </w:r>
          </w:p>
        </w:tc>
        <w:tc>
          <w:tcPr>
            <w:tcW w:w="635" w:type="pct"/>
            <w:vAlign w:val="center"/>
          </w:tcPr>
          <w:p w14:paraId="611E06C9"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28A271B0" w14:textId="77777777" w:rsidTr="00E94F85">
        <w:tc>
          <w:tcPr>
            <w:tcW w:w="1947" w:type="pct"/>
          </w:tcPr>
          <w:p w14:paraId="4440A20E"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Chelodina longicollis</w:t>
            </w:r>
          </w:p>
        </w:tc>
        <w:tc>
          <w:tcPr>
            <w:tcW w:w="1792" w:type="pct"/>
          </w:tcPr>
          <w:p w14:paraId="7E95BA57"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common long-necked tortoise</w:t>
            </w:r>
          </w:p>
        </w:tc>
        <w:tc>
          <w:tcPr>
            <w:tcW w:w="626" w:type="pct"/>
            <w:vAlign w:val="center"/>
          </w:tcPr>
          <w:p w14:paraId="511A91D7"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w:t>
            </w:r>
          </w:p>
        </w:tc>
        <w:tc>
          <w:tcPr>
            <w:tcW w:w="635" w:type="pct"/>
            <w:vAlign w:val="center"/>
          </w:tcPr>
          <w:p w14:paraId="0359D73A"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3CB87FEC" w14:textId="77777777" w:rsidTr="00E94F85">
        <w:tc>
          <w:tcPr>
            <w:tcW w:w="1947" w:type="pct"/>
          </w:tcPr>
          <w:p w14:paraId="7AF02774"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Emydura macquarii</w:t>
            </w:r>
          </w:p>
        </w:tc>
        <w:tc>
          <w:tcPr>
            <w:tcW w:w="1792" w:type="pct"/>
          </w:tcPr>
          <w:p w14:paraId="6A268805"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Macquarie tortoise</w:t>
            </w:r>
          </w:p>
        </w:tc>
        <w:tc>
          <w:tcPr>
            <w:tcW w:w="626" w:type="pct"/>
            <w:vAlign w:val="center"/>
          </w:tcPr>
          <w:p w14:paraId="633D23D2"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w:t>
            </w:r>
          </w:p>
        </w:tc>
        <w:tc>
          <w:tcPr>
            <w:tcW w:w="635" w:type="pct"/>
            <w:vAlign w:val="center"/>
          </w:tcPr>
          <w:p w14:paraId="3B9420BB"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41602D1F" w14:textId="77777777" w:rsidTr="00E94F85">
        <w:tc>
          <w:tcPr>
            <w:tcW w:w="1947" w:type="pct"/>
          </w:tcPr>
          <w:p w14:paraId="0D106059"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Eulamprus quoyii</w:t>
            </w:r>
          </w:p>
        </w:tc>
        <w:tc>
          <w:tcPr>
            <w:tcW w:w="1792" w:type="pct"/>
          </w:tcPr>
          <w:p w14:paraId="484CE11E"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eastern water skink</w:t>
            </w:r>
          </w:p>
        </w:tc>
        <w:tc>
          <w:tcPr>
            <w:tcW w:w="626" w:type="pct"/>
          </w:tcPr>
          <w:p w14:paraId="48650ADF"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w:t>
            </w:r>
          </w:p>
        </w:tc>
        <w:tc>
          <w:tcPr>
            <w:tcW w:w="635" w:type="pct"/>
          </w:tcPr>
          <w:p w14:paraId="675EF815"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1B9236EF" w14:textId="77777777" w:rsidTr="00E94F85">
        <w:tc>
          <w:tcPr>
            <w:tcW w:w="1947" w:type="pct"/>
          </w:tcPr>
          <w:p w14:paraId="21AFE2E5"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Morelia spilota</w:t>
            </w:r>
          </w:p>
        </w:tc>
        <w:tc>
          <w:tcPr>
            <w:tcW w:w="1792" w:type="pct"/>
          </w:tcPr>
          <w:p w14:paraId="73A01C7E" w14:textId="77777777" w:rsidR="00414E9C" w:rsidRPr="008A04C9" w:rsidRDefault="00414E9C" w:rsidP="004518D5">
            <w:pPr>
              <w:pStyle w:val="tabletext1"/>
              <w:spacing w:before="60" w:after="60"/>
              <w:rPr>
                <w:rFonts w:ascii="Cambria" w:hAnsi="Cambria"/>
                <w:sz w:val="20"/>
                <w:szCs w:val="20"/>
              </w:rPr>
            </w:pPr>
            <w:r w:rsidRPr="008A04C9">
              <w:rPr>
                <w:rFonts w:ascii="Cambria" w:hAnsi="Cambria"/>
                <w:sz w:val="20"/>
                <w:szCs w:val="20"/>
              </w:rPr>
              <w:t>carpet python</w:t>
            </w:r>
          </w:p>
        </w:tc>
        <w:tc>
          <w:tcPr>
            <w:tcW w:w="626" w:type="pct"/>
            <w:vAlign w:val="center"/>
          </w:tcPr>
          <w:p w14:paraId="6071FB8B"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V</w:t>
            </w:r>
          </w:p>
        </w:tc>
        <w:tc>
          <w:tcPr>
            <w:tcW w:w="635" w:type="pct"/>
            <w:vAlign w:val="center"/>
          </w:tcPr>
          <w:p w14:paraId="0FCBE162" w14:textId="77777777" w:rsidR="00414E9C" w:rsidRPr="008A04C9"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56A00DFC" w14:textId="77777777" w:rsidTr="00E94F85">
        <w:tc>
          <w:tcPr>
            <w:tcW w:w="1947" w:type="pct"/>
          </w:tcPr>
          <w:p w14:paraId="5352297E" w14:textId="77777777" w:rsidR="00414E9C" w:rsidRPr="008A04C9" w:rsidRDefault="00414E9C" w:rsidP="004518D5">
            <w:pPr>
              <w:pStyle w:val="tabletext1"/>
              <w:spacing w:before="60" w:after="60"/>
              <w:rPr>
                <w:rFonts w:ascii="Cambria" w:hAnsi="Cambria"/>
                <w:i/>
                <w:iCs/>
                <w:sz w:val="20"/>
                <w:szCs w:val="20"/>
              </w:rPr>
            </w:pPr>
            <w:r w:rsidRPr="008A04C9">
              <w:rPr>
                <w:rFonts w:ascii="Cambria" w:hAnsi="Cambria"/>
                <w:i/>
                <w:iCs/>
                <w:sz w:val="20"/>
                <w:szCs w:val="20"/>
              </w:rPr>
              <w:t>Notechis scutatus</w:t>
            </w:r>
          </w:p>
        </w:tc>
        <w:tc>
          <w:tcPr>
            <w:tcW w:w="1792" w:type="pct"/>
          </w:tcPr>
          <w:p w14:paraId="120EA93B" w14:textId="77777777" w:rsidR="00414E9C" w:rsidRPr="008A04C9" w:rsidRDefault="00414E9C" w:rsidP="004518D5">
            <w:pPr>
              <w:pStyle w:val="tabletext1"/>
              <w:spacing w:before="60" w:after="60"/>
              <w:rPr>
                <w:rFonts w:ascii="Cambria" w:hAnsi="Cambria"/>
                <w:sz w:val="20"/>
                <w:szCs w:val="20"/>
              </w:rPr>
            </w:pPr>
            <w:r w:rsidRPr="00F66E06">
              <w:rPr>
                <w:rFonts w:ascii="Cambria" w:hAnsi="Cambria"/>
                <w:sz w:val="20"/>
                <w:szCs w:val="20"/>
              </w:rPr>
              <w:t>eastern tiger snake</w:t>
            </w:r>
          </w:p>
        </w:tc>
        <w:tc>
          <w:tcPr>
            <w:tcW w:w="626" w:type="pct"/>
          </w:tcPr>
          <w:p w14:paraId="577F09D5" w14:textId="77777777" w:rsidR="00414E9C" w:rsidRPr="008A04C9" w:rsidRDefault="00414E9C" w:rsidP="004518D5">
            <w:pPr>
              <w:pStyle w:val="tabletext1"/>
              <w:spacing w:before="60" w:after="60"/>
              <w:ind w:left="-50"/>
              <w:jc w:val="center"/>
              <w:rPr>
                <w:rFonts w:ascii="Cambria" w:hAnsi="Cambria"/>
                <w:sz w:val="20"/>
                <w:szCs w:val="20"/>
              </w:rPr>
            </w:pPr>
            <w:r w:rsidRPr="008A04C9">
              <w:rPr>
                <w:rFonts w:ascii="Cambria" w:hAnsi="Cambria"/>
                <w:sz w:val="20"/>
                <w:szCs w:val="20"/>
              </w:rPr>
              <w:t>-</w:t>
            </w:r>
          </w:p>
        </w:tc>
        <w:tc>
          <w:tcPr>
            <w:tcW w:w="635" w:type="pct"/>
          </w:tcPr>
          <w:p w14:paraId="3FA92292" w14:textId="77777777" w:rsidR="00414E9C" w:rsidRPr="001F7C07" w:rsidRDefault="00414E9C" w:rsidP="004518D5">
            <w:pPr>
              <w:pStyle w:val="tabletext1"/>
              <w:spacing w:before="60" w:after="60"/>
              <w:ind w:left="-48"/>
              <w:jc w:val="center"/>
              <w:rPr>
                <w:rFonts w:ascii="Cambria" w:hAnsi="Cambria"/>
                <w:sz w:val="20"/>
                <w:szCs w:val="20"/>
              </w:rPr>
            </w:pPr>
            <w:r w:rsidRPr="008A04C9">
              <w:rPr>
                <w:rFonts w:ascii="Cambria" w:hAnsi="Cambria"/>
                <w:sz w:val="20"/>
                <w:szCs w:val="20"/>
              </w:rPr>
              <w:t>-</w:t>
            </w:r>
          </w:p>
        </w:tc>
      </w:tr>
      <w:tr w:rsidR="00414E9C" w14:paraId="6C1279E9" w14:textId="77777777" w:rsidTr="00E94F85">
        <w:tc>
          <w:tcPr>
            <w:tcW w:w="1947" w:type="pct"/>
            <w:tcBorders>
              <w:bottom w:val="single" w:sz="4" w:space="0" w:color="auto"/>
            </w:tcBorders>
          </w:tcPr>
          <w:p w14:paraId="5545594F" w14:textId="77777777" w:rsidR="00414E9C" w:rsidRPr="001F7C07" w:rsidRDefault="00414E9C" w:rsidP="004518D5">
            <w:pPr>
              <w:pStyle w:val="tabletext1"/>
              <w:spacing w:before="60" w:after="60"/>
              <w:rPr>
                <w:rFonts w:ascii="Cambria" w:hAnsi="Cambria"/>
                <w:i/>
                <w:iCs/>
                <w:sz w:val="20"/>
                <w:szCs w:val="20"/>
              </w:rPr>
            </w:pPr>
            <w:r w:rsidRPr="001F7C07">
              <w:rPr>
                <w:rFonts w:ascii="Cambria" w:hAnsi="Cambria"/>
                <w:i/>
                <w:iCs/>
                <w:sz w:val="20"/>
                <w:szCs w:val="20"/>
              </w:rPr>
              <w:t>Varanus varius</w:t>
            </w:r>
          </w:p>
        </w:tc>
        <w:tc>
          <w:tcPr>
            <w:tcW w:w="1792" w:type="pct"/>
            <w:tcBorders>
              <w:bottom w:val="single" w:sz="4" w:space="0" w:color="auto"/>
            </w:tcBorders>
          </w:tcPr>
          <w:p w14:paraId="60800097" w14:textId="77777777" w:rsidR="00414E9C" w:rsidRPr="001F7C07" w:rsidRDefault="00414E9C" w:rsidP="004518D5">
            <w:pPr>
              <w:pStyle w:val="tabletext1"/>
              <w:spacing w:before="60" w:after="60"/>
              <w:rPr>
                <w:rFonts w:ascii="Cambria" w:hAnsi="Cambria"/>
                <w:sz w:val="20"/>
                <w:szCs w:val="20"/>
              </w:rPr>
            </w:pPr>
            <w:r w:rsidRPr="00F66E06">
              <w:rPr>
                <w:rFonts w:ascii="Cambria" w:hAnsi="Cambria"/>
                <w:sz w:val="20"/>
                <w:szCs w:val="20"/>
              </w:rPr>
              <w:t>tree goanna</w:t>
            </w:r>
          </w:p>
        </w:tc>
        <w:tc>
          <w:tcPr>
            <w:tcW w:w="626" w:type="pct"/>
            <w:tcBorders>
              <w:bottom w:val="single" w:sz="4" w:space="0" w:color="auto"/>
            </w:tcBorders>
            <w:vAlign w:val="center"/>
          </w:tcPr>
          <w:p w14:paraId="29A39958" w14:textId="77777777" w:rsidR="00414E9C" w:rsidRPr="001F7C07" w:rsidRDefault="00414E9C" w:rsidP="004518D5">
            <w:pPr>
              <w:pStyle w:val="tabletext1"/>
              <w:spacing w:before="60" w:after="60"/>
              <w:ind w:left="-50"/>
              <w:jc w:val="center"/>
              <w:rPr>
                <w:rFonts w:ascii="Cambria" w:hAnsi="Cambria"/>
                <w:sz w:val="20"/>
                <w:szCs w:val="20"/>
              </w:rPr>
            </w:pPr>
            <w:r w:rsidRPr="001F7C07">
              <w:rPr>
                <w:rFonts w:ascii="Cambria" w:hAnsi="Cambria"/>
                <w:sz w:val="20"/>
                <w:szCs w:val="20"/>
              </w:rPr>
              <w:t>R</w:t>
            </w:r>
          </w:p>
        </w:tc>
        <w:tc>
          <w:tcPr>
            <w:tcW w:w="635" w:type="pct"/>
            <w:tcBorders>
              <w:bottom w:val="single" w:sz="4" w:space="0" w:color="auto"/>
            </w:tcBorders>
            <w:vAlign w:val="center"/>
          </w:tcPr>
          <w:p w14:paraId="043E7B72" w14:textId="77777777" w:rsidR="00414E9C" w:rsidRPr="001F7C07" w:rsidRDefault="00414E9C" w:rsidP="004518D5">
            <w:pPr>
              <w:pStyle w:val="tabletext1"/>
              <w:spacing w:before="60" w:after="60"/>
              <w:ind w:left="-48"/>
              <w:jc w:val="center"/>
              <w:rPr>
                <w:rFonts w:ascii="Cambria" w:hAnsi="Cambria"/>
                <w:sz w:val="20"/>
                <w:szCs w:val="20"/>
              </w:rPr>
            </w:pPr>
            <w:r w:rsidRPr="001F7C07">
              <w:rPr>
                <w:rFonts w:ascii="Cambria" w:hAnsi="Cambria"/>
                <w:sz w:val="20"/>
                <w:szCs w:val="20"/>
              </w:rPr>
              <w:t>-</w:t>
            </w:r>
          </w:p>
        </w:tc>
      </w:tr>
      <w:tr w:rsidR="00414E9C" w14:paraId="018DC1C3" w14:textId="77777777" w:rsidTr="00E94F85">
        <w:tc>
          <w:tcPr>
            <w:tcW w:w="1947" w:type="pct"/>
            <w:tcBorders>
              <w:right w:val="nil"/>
            </w:tcBorders>
            <w:shd w:val="clear" w:color="auto" w:fill="D9D9D9" w:themeFill="background1" w:themeFillShade="D9"/>
          </w:tcPr>
          <w:p w14:paraId="1BDBD403" w14:textId="77777777" w:rsidR="00414E9C" w:rsidRPr="001F7C07" w:rsidRDefault="00414E9C" w:rsidP="004518D5">
            <w:pPr>
              <w:pStyle w:val="tabletext1"/>
              <w:spacing w:before="60" w:after="60"/>
              <w:rPr>
                <w:rFonts w:ascii="Cambria" w:hAnsi="Cambria"/>
                <w:b/>
                <w:bCs/>
              </w:rPr>
            </w:pPr>
            <w:r w:rsidRPr="001F7C07">
              <w:rPr>
                <w:rFonts w:ascii="Cambria" w:hAnsi="Cambria"/>
                <w:b/>
                <w:bCs/>
              </w:rPr>
              <w:t>Frogs</w:t>
            </w:r>
          </w:p>
        </w:tc>
        <w:tc>
          <w:tcPr>
            <w:tcW w:w="1792" w:type="pct"/>
            <w:tcBorders>
              <w:left w:val="nil"/>
              <w:right w:val="nil"/>
            </w:tcBorders>
            <w:shd w:val="clear" w:color="auto" w:fill="D9D9D9" w:themeFill="background1" w:themeFillShade="D9"/>
          </w:tcPr>
          <w:p w14:paraId="5B612E03" w14:textId="77777777" w:rsidR="00414E9C" w:rsidRPr="00FB4FDD" w:rsidRDefault="00414E9C" w:rsidP="004518D5">
            <w:pPr>
              <w:pStyle w:val="tabletext1"/>
              <w:spacing w:before="60" w:after="60"/>
            </w:pPr>
          </w:p>
        </w:tc>
        <w:tc>
          <w:tcPr>
            <w:tcW w:w="626" w:type="pct"/>
            <w:tcBorders>
              <w:left w:val="nil"/>
              <w:right w:val="nil"/>
            </w:tcBorders>
            <w:shd w:val="clear" w:color="auto" w:fill="D9D9D9" w:themeFill="background1" w:themeFillShade="D9"/>
            <w:vAlign w:val="center"/>
          </w:tcPr>
          <w:p w14:paraId="3A2F0866" w14:textId="77777777" w:rsidR="00414E9C" w:rsidRPr="00FB4FDD" w:rsidRDefault="00414E9C" w:rsidP="004518D5">
            <w:pPr>
              <w:pStyle w:val="tabletext1"/>
              <w:spacing w:before="60" w:after="60"/>
              <w:ind w:left="-50"/>
              <w:jc w:val="center"/>
            </w:pPr>
          </w:p>
        </w:tc>
        <w:tc>
          <w:tcPr>
            <w:tcW w:w="635" w:type="pct"/>
            <w:tcBorders>
              <w:left w:val="nil"/>
            </w:tcBorders>
            <w:shd w:val="clear" w:color="auto" w:fill="D9D9D9" w:themeFill="background1" w:themeFillShade="D9"/>
            <w:vAlign w:val="center"/>
          </w:tcPr>
          <w:p w14:paraId="39620CB1" w14:textId="77777777" w:rsidR="00414E9C" w:rsidRPr="001F7C07" w:rsidRDefault="00414E9C" w:rsidP="004518D5">
            <w:pPr>
              <w:pStyle w:val="tabletext1"/>
              <w:spacing w:before="60" w:after="60"/>
              <w:ind w:left="-48"/>
              <w:jc w:val="center"/>
            </w:pPr>
          </w:p>
        </w:tc>
      </w:tr>
      <w:tr w:rsidR="00414E9C" w14:paraId="06407597" w14:textId="77777777" w:rsidTr="00E94F85">
        <w:tc>
          <w:tcPr>
            <w:tcW w:w="1947" w:type="pct"/>
          </w:tcPr>
          <w:p w14:paraId="364F190D" w14:textId="77777777" w:rsidR="00414E9C" w:rsidRPr="001F7C07" w:rsidRDefault="00414E9C" w:rsidP="004518D5">
            <w:pPr>
              <w:pStyle w:val="tabletext1"/>
              <w:spacing w:before="60" w:after="60"/>
              <w:rPr>
                <w:rFonts w:ascii="Cambria" w:hAnsi="Cambria"/>
                <w:i/>
                <w:iCs/>
                <w:sz w:val="20"/>
                <w:szCs w:val="20"/>
              </w:rPr>
            </w:pPr>
            <w:r w:rsidRPr="001F7C07">
              <w:rPr>
                <w:rFonts w:ascii="Cambria" w:hAnsi="Cambria"/>
                <w:i/>
                <w:iCs/>
                <w:sz w:val="20"/>
                <w:szCs w:val="20"/>
              </w:rPr>
              <w:t>Crinia parinsignifera</w:t>
            </w:r>
          </w:p>
        </w:tc>
        <w:tc>
          <w:tcPr>
            <w:tcW w:w="1792" w:type="pct"/>
          </w:tcPr>
          <w:p w14:paraId="1380DEF2" w14:textId="77777777" w:rsidR="00414E9C" w:rsidRPr="001F7C07" w:rsidRDefault="00414E9C" w:rsidP="004518D5">
            <w:pPr>
              <w:pStyle w:val="tabletext1"/>
              <w:spacing w:before="60" w:after="60"/>
              <w:rPr>
                <w:rFonts w:ascii="Cambria" w:hAnsi="Cambria"/>
                <w:sz w:val="20"/>
                <w:szCs w:val="20"/>
              </w:rPr>
            </w:pPr>
            <w:r w:rsidRPr="00F66E06">
              <w:rPr>
                <w:rFonts w:ascii="Cambria" w:hAnsi="Cambria"/>
                <w:sz w:val="20"/>
                <w:szCs w:val="20"/>
              </w:rPr>
              <w:t>eastern sign bearing froglet</w:t>
            </w:r>
          </w:p>
        </w:tc>
        <w:tc>
          <w:tcPr>
            <w:tcW w:w="626" w:type="pct"/>
          </w:tcPr>
          <w:p w14:paraId="51F592F9" w14:textId="77777777" w:rsidR="00414E9C" w:rsidRPr="001F7C07" w:rsidRDefault="00414E9C" w:rsidP="004518D5">
            <w:pPr>
              <w:pStyle w:val="tabletext1"/>
              <w:spacing w:before="60" w:after="60"/>
              <w:ind w:left="-50"/>
              <w:jc w:val="center"/>
              <w:rPr>
                <w:rFonts w:ascii="Cambria" w:hAnsi="Cambria"/>
                <w:sz w:val="20"/>
                <w:szCs w:val="20"/>
              </w:rPr>
            </w:pPr>
            <w:r w:rsidRPr="001F7C07">
              <w:rPr>
                <w:rFonts w:ascii="Cambria" w:hAnsi="Cambria"/>
                <w:sz w:val="20"/>
                <w:szCs w:val="20"/>
              </w:rPr>
              <w:t>-</w:t>
            </w:r>
          </w:p>
        </w:tc>
        <w:tc>
          <w:tcPr>
            <w:tcW w:w="635" w:type="pct"/>
          </w:tcPr>
          <w:p w14:paraId="551448FA" w14:textId="77777777" w:rsidR="00414E9C" w:rsidRPr="001F7C07" w:rsidRDefault="00414E9C" w:rsidP="004518D5">
            <w:pPr>
              <w:pStyle w:val="tabletext1"/>
              <w:spacing w:before="60" w:after="60"/>
              <w:ind w:left="-48"/>
              <w:jc w:val="center"/>
              <w:rPr>
                <w:rFonts w:ascii="Cambria" w:hAnsi="Cambria"/>
                <w:sz w:val="20"/>
                <w:szCs w:val="20"/>
              </w:rPr>
            </w:pPr>
            <w:r w:rsidRPr="001F7C07">
              <w:rPr>
                <w:rFonts w:ascii="Cambria" w:hAnsi="Cambria"/>
                <w:sz w:val="20"/>
                <w:szCs w:val="20"/>
              </w:rPr>
              <w:t>-</w:t>
            </w:r>
          </w:p>
        </w:tc>
      </w:tr>
      <w:tr w:rsidR="00414E9C" w14:paraId="532519CC" w14:textId="77777777" w:rsidTr="00E94F85">
        <w:tc>
          <w:tcPr>
            <w:tcW w:w="1947" w:type="pct"/>
          </w:tcPr>
          <w:p w14:paraId="71EBE25E" w14:textId="77777777" w:rsidR="00414E9C" w:rsidRPr="001F7C07" w:rsidRDefault="00414E9C" w:rsidP="004518D5">
            <w:pPr>
              <w:pStyle w:val="tabletext1"/>
              <w:spacing w:before="60" w:after="60"/>
              <w:rPr>
                <w:rFonts w:ascii="Cambria" w:hAnsi="Cambria"/>
                <w:i/>
                <w:iCs/>
                <w:sz w:val="20"/>
                <w:szCs w:val="20"/>
              </w:rPr>
            </w:pPr>
            <w:r w:rsidRPr="001F7C07">
              <w:rPr>
                <w:rFonts w:ascii="Cambria" w:hAnsi="Cambria"/>
                <w:i/>
                <w:iCs/>
                <w:sz w:val="20"/>
                <w:szCs w:val="20"/>
              </w:rPr>
              <w:t>Limnodynastes fletcheri</w:t>
            </w:r>
          </w:p>
        </w:tc>
        <w:tc>
          <w:tcPr>
            <w:tcW w:w="1792" w:type="pct"/>
          </w:tcPr>
          <w:p w14:paraId="0158190D" w14:textId="77777777" w:rsidR="00414E9C" w:rsidRPr="001F7C07" w:rsidRDefault="00414E9C" w:rsidP="004518D5">
            <w:pPr>
              <w:pStyle w:val="tabletext1"/>
              <w:spacing w:before="60" w:after="60"/>
              <w:rPr>
                <w:rFonts w:ascii="Cambria" w:hAnsi="Cambria"/>
                <w:sz w:val="20"/>
                <w:szCs w:val="20"/>
              </w:rPr>
            </w:pPr>
            <w:r w:rsidRPr="00F66E06">
              <w:rPr>
                <w:rFonts w:ascii="Cambria" w:hAnsi="Cambria"/>
                <w:sz w:val="20"/>
                <w:szCs w:val="20"/>
              </w:rPr>
              <w:t>long-thumbed frog</w:t>
            </w:r>
          </w:p>
        </w:tc>
        <w:tc>
          <w:tcPr>
            <w:tcW w:w="626" w:type="pct"/>
          </w:tcPr>
          <w:p w14:paraId="2BC5C697" w14:textId="77777777" w:rsidR="00414E9C" w:rsidRPr="001F7C07" w:rsidRDefault="00414E9C" w:rsidP="004518D5">
            <w:pPr>
              <w:pStyle w:val="tabletext1"/>
              <w:spacing w:before="60" w:after="60"/>
              <w:ind w:left="-50"/>
              <w:jc w:val="center"/>
              <w:rPr>
                <w:rFonts w:ascii="Cambria" w:hAnsi="Cambria"/>
                <w:sz w:val="20"/>
                <w:szCs w:val="20"/>
              </w:rPr>
            </w:pPr>
            <w:r w:rsidRPr="001F7C07">
              <w:rPr>
                <w:rFonts w:ascii="Cambria" w:hAnsi="Cambria"/>
                <w:sz w:val="20"/>
                <w:szCs w:val="20"/>
              </w:rPr>
              <w:t>-</w:t>
            </w:r>
          </w:p>
        </w:tc>
        <w:tc>
          <w:tcPr>
            <w:tcW w:w="635" w:type="pct"/>
          </w:tcPr>
          <w:p w14:paraId="5D60518B" w14:textId="77777777" w:rsidR="00414E9C" w:rsidRPr="001F7C07" w:rsidRDefault="00414E9C" w:rsidP="004518D5">
            <w:pPr>
              <w:pStyle w:val="tabletext1"/>
              <w:spacing w:before="60" w:after="60"/>
              <w:ind w:left="-48"/>
              <w:jc w:val="center"/>
              <w:rPr>
                <w:rFonts w:ascii="Cambria" w:hAnsi="Cambria"/>
                <w:sz w:val="20"/>
                <w:szCs w:val="20"/>
              </w:rPr>
            </w:pPr>
            <w:r w:rsidRPr="001F7C07">
              <w:rPr>
                <w:rFonts w:ascii="Cambria" w:hAnsi="Cambria"/>
                <w:sz w:val="20"/>
                <w:szCs w:val="20"/>
              </w:rPr>
              <w:t>-</w:t>
            </w:r>
          </w:p>
        </w:tc>
      </w:tr>
      <w:tr w:rsidR="00414E9C" w14:paraId="385D7BBA" w14:textId="77777777" w:rsidTr="00E94F85">
        <w:tc>
          <w:tcPr>
            <w:tcW w:w="1947" w:type="pct"/>
          </w:tcPr>
          <w:p w14:paraId="515B969A" w14:textId="77777777" w:rsidR="00414E9C" w:rsidRPr="001F7C07" w:rsidRDefault="00414E9C" w:rsidP="004518D5">
            <w:pPr>
              <w:pStyle w:val="tabletext1"/>
              <w:spacing w:before="60" w:after="60"/>
              <w:rPr>
                <w:rFonts w:ascii="Cambria" w:hAnsi="Cambria"/>
                <w:i/>
                <w:iCs/>
                <w:sz w:val="20"/>
                <w:szCs w:val="20"/>
              </w:rPr>
            </w:pPr>
            <w:r w:rsidRPr="001F7C07">
              <w:rPr>
                <w:rFonts w:ascii="Cambria" w:hAnsi="Cambria"/>
                <w:i/>
                <w:iCs/>
                <w:sz w:val="20"/>
                <w:szCs w:val="20"/>
              </w:rPr>
              <w:t>Litoria peronii</w:t>
            </w:r>
          </w:p>
        </w:tc>
        <w:tc>
          <w:tcPr>
            <w:tcW w:w="1792" w:type="pct"/>
          </w:tcPr>
          <w:p w14:paraId="41AD7693" w14:textId="77777777" w:rsidR="00414E9C" w:rsidRPr="001F7C07" w:rsidRDefault="00414E9C" w:rsidP="004518D5">
            <w:pPr>
              <w:pStyle w:val="tabletext1"/>
              <w:spacing w:before="60" w:after="60"/>
              <w:rPr>
                <w:rFonts w:ascii="Cambria" w:hAnsi="Cambria"/>
                <w:sz w:val="20"/>
                <w:szCs w:val="20"/>
              </w:rPr>
            </w:pPr>
            <w:r w:rsidRPr="00F66E06">
              <w:rPr>
                <w:rFonts w:ascii="Cambria" w:hAnsi="Cambria"/>
                <w:sz w:val="20"/>
                <w:szCs w:val="20"/>
              </w:rPr>
              <w:t>Peron's tree frog</w:t>
            </w:r>
          </w:p>
        </w:tc>
        <w:tc>
          <w:tcPr>
            <w:tcW w:w="626" w:type="pct"/>
          </w:tcPr>
          <w:p w14:paraId="36AABD12" w14:textId="77777777" w:rsidR="00414E9C" w:rsidRPr="001F7C07" w:rsidRDefault="00414E9C" w:rsidP="004518D5">
            <w:pPr>
              <w:pStyle w:val="tabletext1"/>
              <w:spacing w:before="60" w:after="60"/>
              <w:ind w:left="-50"/>
              <w:jc w:val="center"/>
              <w:rPr>
                <w:rFonts w:ascii="Cambria" w:hAnsi="Cambria"/>
                <w:sz w:val="20"/>
                <w:szCs w:val="20"/>
              </w:rPr>
            </w:pPr>
            <w:r w:rsidRPr="001F7C07">
              <w:rPr>
                <w:rFonts w:ascii="Cambria" w:hAnsi="Cambria"/>
                <w:sz w:val="20"/>
                <w:szCs w:val="20"/>
              </w:rPr>
              <w:t>-</w:t>
            </w:r>
          </w:p>
        </w:tc>
        <w:tc>
          <w:tcPr>
            <w:tcW w:w="635" w:type="pct"/>
          </w:tcPr>
          <w:p w14:paraId="4F2422F2" w14:textId="77777777" w:rsidR="00414E9C" w:rsidRPr="001F7C07" w:rsidRDefault="00414E9C" w:rsidP="004518D5">
            <w:pPr>
              <w:pStyle w:val="tabletext1"/>
              <w:spacing w:before="60" w:after="60"/>
              <w:ind w:left="-48"/>
              <w:jc w:val="center"/>
              <w:rPr>
                <w:rFonts w:ascii="Cambria" w:hAnsi="Cambria"/>
                <w:sz w:val="20"/>
                <w:szCs w:val="20"/>
              </w:rPr>
            </w:pPr>
            <w:r w:rsidRPr="001F7C07">
              <w:rPr>
                <w:rFonts w:ascii="Cambria" w:hAnsi="Cambria"/>
                <w:sz w:val="20"/>
                <w:szCs w:val="20"/>
              </w:rPr>
              <w:t>-</w:t>
            </w:r>
          </w:p>
        </w:tc>
      </w:tr>
      <w:tr w:rsidR="00414E9C" w14:paraId="6FBC3C80" w14:textId="77777777" w:rsidTr="00E94F85">
        <w:tc>
          <w:tcPr>
            <w:tcW w:w="1947" w:type="pct"/>
          </w:tcPr>
          <w:p w14:paraId="756051EE" w14:textId="77777777" w:rsidR="00414E9C" w:rsidRPr="001F7C07" w:rsidRDefault="00414E9C" w:rsidP="004518D5">
            <w:pPr>
              <w:pStyle w:val="tabletext1"/>
              <w:spacing w:before="60" w:after="60"/>
              <w:rPr>
                <w:rFonts w:ascii="Cambria" w:hAnsi="Cambria"/>
                <w:i/>
                <w:iCs/>
                <w:sz w:val="20"/>
                <w:szCs w:val="20"/>
              </w:rPr>
            </w:pPr>
            <w:r w:rsidRPr="001F7C07">
              <w:rPr>
                <w:rFonts w:ascii="Cambria" w:hAnsi="Cambria"/>
                <w:i/>
                <w:iCs/>
                <w:sz w:val="20"/>
                <w:szCs w:val="20"/>
              </w:rPr>
              <w:t>Litoria raniformis</w:t>
            </w:r>
          </w:p>
        </w:tc>
        <w:tc>
          <w:tcPr>
            <w:tcW w:w="1792" w:type="pct"/>
          </w:tcPr>
          <w:p w14:paraId="0B33FC9E" w14:textId="77777777" w:rsidR="00414E9C" w:rsidRPr="001F7C07" w:rsidRDefault="00414E9C" w:rsidP="004518D5">
            <w:pPr>
              <w:pStyle w:val="tabletext1"/>
              <w:spacing w:before="60" w:after="60"/>
              <w:rPr>
                <w:rFonts w:ascii="Cambria" w:hAnsi="Cambria"/>
                <w:sz w:val="20"/>
                <w:szCs w:val="20"/>
              </w:rPr>
            </w:pPr>
            <w:r w:rsidRPr="00F66E06">
              <w:rPr>
                <w:rFonts w:ascii="Cambria" w:hAnsi="Cambria"/>
                <w:sz w:val="20"/>
                <w:szCs w:val="20"/>
              </w:rPr>
              <w:t>golden bell frog</w:t>
            </w:r>
          </w:p>
        </w:tc>
        <w:tc>
          <w:tcPr>
            <w:tcW w:w="626" w:type="pct"/>
            <w:vAlign w:val="center"/>
          </w:tcPr>
          <w:p w14:paraId="646EF544" w14:textId="77777777" w:rsidR="00414E9C" w:rsidRPr="001F7C07" w:rsidRDefault="00414E9C" w:rsidP="004518D5">
            <w:pPr>
              <w:pStyle w:val="tabletext1"/>
              <w:spacing w:before="60" w:after="60"/>
              <w:ind w:left="-50"/>
              <w:jc w:val="center"/>
              <w:rPr>
                <w:rFonts w:ascii="Cambria" w:hAnsi="Cambria"/>
                <w:sz w:val="20"/>
                <w:szCs w:val="20"/>
              </w:rPr>
            </w:pPr>
            <w:r w:rsidRPr="001F7C07">
              <w:rPr>
                <w:rFonts w:ascii="Cambria" w:hAnsi="Cambria"/>
                <w:sz w:val="20"/>
                <w:szCs w:val="20"/>
              </w:rPr>
              <w:t>V</w:t>
            </w:r>
          </w:p>
        </w:tc>
        <w:tc>
          <w:tcPr>
            <w:tcW w:w="635" w:type="pct"/>
            <w:vAlign w:val="center"/>
          </w:tcPr>
          <w:p w14:paraId="0FC41091" w14:textId="77777777" w:rsidR="00414E9C" w:rsidRPr="001F7C07" w:rsidRDefault="00414E9C" w:rsidP="004518D5">
            <w:pPr>
              <w:pStyle w:val="tabletext1"/>
              <w:spacing w:before="60" w:after="60"/>
              <w:ind w:left="-48"/>
              <w:jc w:val="center"/>
              <w:rPr>
                <w:rFonts w:ascii="Cambria" w:hAnsi="Cambria"/>
                <w:sz w:val="20"/>
                <w:szCs w:val="20"/>
              </w:rPr>
            </w:pPr>
            <w:r w:rsidRPr="001F7C07">
              <w:rPr>
                <w:rFonts w:ascii="Cambria" w:hAnsi="Cambria"/>
                <w:sz w:val="20"/>
                <w:szCs w:val="20"/>
              </w:rPr>
              <w:t>V</w:t>
            </w:r>
          </w:p>
        </w:tc>
      </w:tr>
      <w:tr w:rsidR="00414E9C" w:rsidRPr="005B75C7" w14:paraId="32900AE7" w14:textId="77777777" w:rsidTr="00E94F85">
        <w:tc>
          <w:tcPr>
            <w:tcW w:w="5000" w:type="pct"/>
            <w:gridSpan w:val="4"/>
          </w:tcPr>
          <w:p w14:paraId="2369F2B0" w14:textId="77777777" w:rsidR="00414E9C" w:rsidRPr="001F7C07" w:rsidRDefault="00414E9C" w:rsidP="004518D5">
            <w:pPr>
              <w:pStyle w:val="FootnoteText"/>
            </w:pPr>
            <w:r w:rsidRPr="0075303B">
              <w:t>Notes:</w:t>
            </w:r>
            <w:r>
              <w:rPr>
                <w:vertAlign w:val="superscript"/>
              </w:rPr>
              <w:t>1</w:t>
            </w:r>
            <w:r w:rsidRPr="0075303B">
              <w:t>National Parks and Wildlife Act 1972 (SA) Jan 2020 list Status: V = Vulnerable; R = Rare.</w:t>
            </w:r>
            <w:r>
              <w:t xml:space="preserve"> </w:t>
            </w:r>
            <w:r>
              <w:rPr>
                <w:vertAlign w:val="superscript"/>
              </w:rPr>
              <w:t>2</w:t>
            </w:r>
            <w:r w:rsidRPr="0075303B">
              <w:t>Environment Protection and Biodiversity Conservation Act 1999 Status: V = Vulnerable; E = Endangered</w:t>
            </w:r>
            <w:r>
              <w:t>; M= Marine</w:t>
            </w:r>
            <w:r w:rsidRPr="0075303B">
              <w:t>.</w:t>
            </w:r>
            <w:r>
              <w:t xml:space="preserve"> </w:t>
            </w:r>
            <w:r>
              <w:rPr>
                <w:vertAlign w:val="superscript"/>
              </w:rPr>
              <w:t>3</w:t>
            </w:r>
            <w:r>
              <w:t>Fo</w:t>
            </w:r>
            <w:r w:rsidRPr="0002367D">
              <w:t xml:space="preserve">rmerly known as </w:t>
            </w:r>
            <w:r w:rsidRPr="001F7C07">
              <w:rPr>
                <w:i/>
                <w:iCs/>
              </w:rPr>
              <w:t>Xanthomyza Phrygia</w:t>
            </w:r>
            <w:r>
              <w:t>.</w:t>
            </w:r>
          </w:p>
        </w:tc>
      </w:tr>
    </w:tbl>
    <w:p w14:paraId="1FF08652" w14:textId="77777777" w:rsidR="00D32F69" w:rsidRDefault="00D32F69" w:rsidP="00806336"/>
    <w:p w14:paraId="34FB850D" w14:textId="77777777" w:rsidR="00A86FAF" w:rsidRDefault="00A86FAF" w:rsidP="00763C7B"/>
    <w:p w14:paraId="35174A55" w14:textId="09E524D6" w:rsidR="006058E4" w:rsidRDefault="00A86FAF" w:rsidP="00806336">
      <w:r w:rsidRPr="005B4F74">
        <w:lastRenderedPageBreak/>
        <w:t xml:space="preserve">management basins </w:t>
      </w:r>
      <w:r w:rsidRPr="00A12AF1">
        <w:t>also contribute. For example, the Salinity Management Measures project aims to reduce the amount of salt that enters the Pike Floodplain. A series of groundwater pumping wells, connected by a pipeline, move saline</w:t>
      </w:r>
      <w:r w:rsidRPr="00A10BC4">
        <w:t xml:space="preserve"> groundwater away from the floodplain.</w:t>
      </w:r>
      <w:r w:rsidRPr="00465B95">
        <w:t xml:space="preserve"> </w:t>
      </w:r>
      <w:r>
        <w:t xml:space="preserve">This </w:t>
      </w:r>
      <w:r w:rsidRPr="00465B95">
        <w:t>prevents up to 120</w:t>
      </w:r>
      <w:r>
        <w:t> t/d</w:t>
      </w:r>
      <w:r w:rsidRPr="00465B95">
        <w:t xml:space="preserve"> of salt e</w:t>
      </w:r>
      <w:r w:rsidRPr="005B4F74">
        <w:t xml:space="preserve">ntering the Pike Floodplain from groundwater in the </w:t>
      </w:r>
      <w:r w:rsidR="00B74C15" w:rsidRPr="005B4F74">
        <w:t>highland and around the floodplain (DEW 2024b). Groundwater production bores also lower the floodplain water table and draw low salinity river water</w:t>
      </w:r>
      <w:r w:rsidR="00B74C15" w:rsidRPr="00DC2900">
        <w:t xml:space="preserve"> into the floodplain aquifer to improve tree water availability</w:t>
      </w:r>
      <w:r w:rsidR="00B74C15">
        <w:t xml:space="preserve"> (Holland et al. 2013)</w:t>
      </w:r>
      <w:r w:rsidR="00B74C15" w:rsidRPr="00DC2900">
        <w:t>.</w:t>
      </w:r>
      <w:r w:rsidR="00B74C15" w:rsidRPr="000F2703">
        <w:rPr>
          <w:lang w:val="en-US"/>
        </w:rPr>
        <w:t xml:space="preserve"> </w:t>
      </w:r>
      <w:r w:rsidR="00B74C15" w:rsidRPr="002B76DF">
        <w:rPr>
          <w:lang w:val="en-US"/>
        </w:rPr>
        <w:t>T</w:t>
      </w:r>
      <w:r w:rsidR="00B74C15">
        <w:rPr>
          <w:lang w:val="en-US"/>
        </w:rPr>
        <w:t>he</w:t>
      </w:r>
      <w:r w:rsidR="00B74C15" w:rsidRPr="002B76DF">
        <w:rPr>
          <w:lang w:val="en-US"/>
        </w:rPr>
        <w:t xml:space="preserve"> </w:t>
      </w:r>
      <w:r w:rsidR="00B74C15">
        <w:rPr>
          <w:lang w:val="en-US"/>
        </w:rPr>
        <w:t>t</w:t>
      </w:r>
      <w:r w:rsidR="00B74C15" w:rsidRPr="002B76DF">
        <w:rPr>
          <w:lang w:val="en-US"/>
        </w:rPr>
        <w:t xml:space="preserve">otal salt load diverted from the River Murray and adjacent landscapes </w:t>
      </w:r>
      <w:r w:rsidR="00B74C15">
        <w:rPr>
          <w:lang w:val="en-US"/>
        </w:rPr>
        <w:t xml:space="preserve">is in </w:t>
      </w:r>
      <w:r w:rsidR="00B74C15" w:rsidRPr="00B94C06">
        <w:rPr>
          <w:u w:val="single"/>
          <w:lang w:val="en-US"/>
        </w:rPr>
        <w:t xml:space="preserve">Table </w:t>
      </w:r>
      <w:r w:rsidR="00B74C15">
        <w:rPr>
          <w:u w:val="single"/>
          <w:lang w:val="en-US"/>
        </w:rPr>
        <w:t>42</w:t>
      </w:r>
      <w:r w:rsidR="00B74C15">
        <w:rPr>
          <w:lang w:val="en-US"/>
        </w:rPr>
        <w:t xml:space="preserve">. </w:t>
      </w:r>
      <w:r w:rsidR="00B74C15" w:rsidRPr="00C92804">
        <w:t>In addition to the salt load diverted away from the river system and nearby landscapes by the SIS</w:t>
      </w:r>
      <w:r w:rsidR="00B74C15">
        <w:rPr>
          <w:lang w:val="en-US"/>
        </w:rPr>
        <w:t xml:space="preserve">, for the three years </w:t>
      </w:r>
      <w:r w:rsidR="00B74C15" w:rsidRPr="00C92804">
        <w:t xml:space="preserve">July 2018 to June 2021 an </w:t>
      </w:r>
      <w:r w:rsidR="00B74C15">
        <w:t xml:space="preserve">estimated </w:t>
      </w:r>
      <w:r w:rsidR="00B74C15" w:rsidRPr="00C92804">
        <w:t>annual average of 470,000 tonnes of salt was exported over barrages in SA (MDBA 2022).</w:t>
      </w:r>
    </w:p>
    <w:bookmarkEnd w:id="297"/>
    <w:p w14:paraId="64F663E6" w14:textId="3A046F8C" w:rsidR="00804F0B" w:rsidRPr="00B8505A" w:rsidRDefault="004719C6" w:rsidP="004719C6">
      <w:pPr>
        <w:pStyle w:val="Caption"/>
        <w:rPr>
          <w:b w:val="0"/>
          <w:bCs/>
          <w:kern w:val="2"/>
          <w:sz w:val="21"/>
          <w:szCs w:val="21"/>
          <w:lang w:val="en-US"/>
          <w14:ligatures w14:val="standardContextual"/>
        </w:rPr>
      </w:pPr>
      <w:r>
        <w:t xml:space="preserve">Table </w:t>
      </w:r>
      <w:r>
        <w:fldChar w:fldCharType="begin"/>
      </w:r>
      <w:r>
        <w:instrText xml:space="preserve"> SEQ Table \* ARABIC </w:instrText>
      </w:r>
      <w:r>
        <w:fldChar w:fldCharType="separate"/>
      </w:r>
      <w:r w:rsidR="006D35C5">
        <w:rPr>
          <w:noProof/>
        </w:rPr>
        <w:t>42</w:t>
      </w:r>
      <w:r>
        <w:fldChar w:fldCharType="end"/>
      </w:r>
      <w:r w:rsidR="00F61D3C" w:rsidRPr="00B94C06">
        <w:rPr>
          <w:bCs/>
          <w:kern w:val="2"/>
          <w:lang w:val="en-US"/>
          <w14:ligatures w14:val="standardContextual"/>
        </w:rPr>
        <w:t>:</w:t>
      </w:r>
      <w:r w:rsidR="00F61D3C" w:rsidRPr="001B3CD6">
        <w:rPr>
          <w:bCs/>
          <w:kern w:val="2"/>
          <w:lang w:val="en-US"/>
          <w14:ligatures w14:val="standardContextual"/>
        </w:rPr>
        <w:t xml:space="preserve"> </w:t>
      </w:r>
      <w:r w:rsidR="00F61D3C" w:rsidRPr="00B8505A">
        <w:rPr>
          <w:bCs/>
          <w:kern w:val="2"/>
          <w:sz w:val="21"/>
          <w:szCs w:val="21"/>
          <w:lang w:val="en-US"/>
          <w14:ligatures w14:val="standardContextual"/>
        </w:rPr>
        <w:t>Total salt load diverted from the River Murray and adjacent landscapes from</w:t>
      </w:r>
      <w:r w:rsidR="00804F0B" w:rsidRPr="00B8505A">
        <w:rPr>
          <w:bCs/>
          <w:kern w:val="2"/>
          <w:sz w:val="21"/>
          <w:szCs w:val="21"/>
          <w:lang w:val="en-US"/>
          <w14:ligatures w14:val="standardContextual"/>
        </w:rPr>
        <w:t xml:space="preserve"> 2009</w:t>
      </w:r>
      <w:r w:rsidR="00804F0B" w:rsidRPr="00B8505A">
        <w:rPr>
          <w:bCs/>
          <w:kern w:val="2"/>
          <w:sz w:val="21"/>
          <w:szCs w:val="21"/>
          <w:lang w:val="en-US"/>
          <w14:ligatures w14:val="standardContextual"/>
        </w:rPr>
        <w:noBreakHyphen/>
        <w:t>10 to 2020–21 Source: MDBA (2018, 2022). Note, this includes SIS and other measures.</w:t>
      </w:r>
    </w:p>
    <w:tbl>
      <w:tblPr>
        <w:tblW w:w="44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0"/>
        <w:gridCol w:w="1486"/>
        <w:gridCol w:w="1559"/>
      </w:tblGrid>
      <w:tr w:rsidR="00ED73D2" w:rsidRPr="00657FD2" w14:paraId="35632065" w14:textId="77777777" w:rsidTr="00470CC9">
        <w:trPr>
          <w:trHeight w:val="864"/>
          <w:jc w:val="center"/>
        </w:trPr>
        <w:tc>
          <w:tcPr>
            <w:tcW w:w="1440" w:type="dxa"/>
            <w:tcBorders>
              <w:top w:val="single" w:sz="8" w:space="0" w:color="auto"/>
              <w:left w:val="single" w:sz="8" w:space="0" w:color="auto"/>
              <w:bottom w:val="single" w:sz="6" w:space="0" w:color="auto"/>
              <w:right w:val="nil"/>
            </w:tcBorders>
            <w:shd w:val="clear" w:color="auto" w:fill="auto"/>
            <w:vAlign w:val="center"/>
            <w:hideMark/>
          </w:tcPr>
          <w:p w14:paraId="1D6D9B7C" w14:textId="77777777" w:rsidR="00ED73D2" w:rsidRPr="00657FD2" w:rsidRDefault="00ED73D2" w:rsidP="004518D5">
            <w:pPr>
              <w:keepNext/>
              <w:spacing w:after="0" w:line="240" w:lineRule="auto"/>
              <w:jc w:val="center"/>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Reporting year</w:t>
            </w:r>
          </w:p>
        </w:tc>
        <w:tc>
          <w:tcPr>
            <w:tcW w:w="1486" w:type="dxa"/>
            <w:tcBorders>
              <w:top w:val="single" w:sz="8" w:space="0" w:color="auto"/>
              <w:left w:val="nil"/>
              <w:bottom w:val="single" w:sz="6" w:space="0" w:color="auto"/>
              <w:right w:val="nil"/>
            </w:tcBorders>
            <w:shd w:val="clear" w:color="auto" w:fill="auto"/>
            <w:vAlign w:val="center"/>
            <w:hideMark/>
          </w:tcPr>
          <w:p w14:paraId="10F2ADEE" w14:textId="77777777" w:rsidR="00ED73D2" w:rsidRPr="00657FD2" w:rsidRDefault="00ED73D2" w:rsidP="004518D5">
            <w:pPr>
              <w:keepNext/>
              <w:spacing w:after="0" w:line="240" w:lineRule="auto"/>
              <w:jc w:val="center"/>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Salt load diverted (t/yr.)</w:t>
            </w:r>
          </w:p>
        </w:tc>
        <w:tc>
          <w:tcPr>
            <w:tcW w:w="1559" w:type="dxa"/>
            <w:tcBorders>
              <w:top w:val="single" w:sz="8" w:space="0" w:color="auto"/>
              <w:left w:val="nil"/>
              <w:bottom w:val="single" w:sz="6" w:space="0" w:color="auto"/>
              <w:right w:val="single" w:sz="8" w:space="0" w:color="auto"/>
            </w:tcBorders>
            <w:shd w:val="clear" w:color="auto" w:fill="auto"/>
            <w:vAlign w:val="center"/>
            <w:hideMark/>
          </w:tcPr>
          <w:p w14:paraId="49073AAF" w14:textId="77777777" w:rsidR="00ED73D2" w:rsidRPr="00657FD2" w:rsidRDefault="00ED73D2" w:rsidP="004518D5">
            <w:pPr>
              <w:keepNext/>
              <w:spacing w:after="0" w:line="240" w:lineRule="auto"/>
              <w:jc w:val="center"/>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Salt load diverted Avg (t/d)</w:t>
            </w:r>
          </w:p>
        </w:tc>
      </w:tr>
      <w:tr w:rsidR="00ED73D2" w:rsidRPr="00657FD2" w14:paraId="307B2284" w14:textId="77777777" w:rsidTr="00470CC9">
        <w:trPr>
          <w:trHeight w:val="288"/>
          <w:jc w:val="center"/>
        </w:trPr>
        <w:tc>
          <w:tcPr>
            <w:tcW w:w="1440" w:type="dxa"/>
            <w:tcBorders>
              <w:left w:val="single" w:sz="8" w:space="0" w:color="auto"/>
            </w:tcBorders>
            <w:shd w:val="clear" w:color="auto" w:fill="auto"/>
            <w:noWrap/>
            <w:vAlign w:val="bottom"/>
            <w:hideMark/>
          </w:tcPr>
          <w:p w14:paraId="36DE8DD8"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2009–10</w:t>
            </w:r>
          </w:p>
        </w:tc>
        <w:tc>
          <w:tcPr>
            <w:tcW w:w="1486" w:type="dxa"/>
            <w:shd w:val="clear" w:color="auto" w:fill="auto"/>
            <w:noWrap/>
            <w:vAlign w:val="center"/>
            <w:hideMark/>
          </w:tcPr>
          <w:p w14:paraId="12F4786E"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490 000</w:t>
            </w:r>
          </w:p>
        </w:tc>
        <w:tc>
          <w:tcPr>
            <w:tcW w:w="1559" w:type="dxa"/>
            <w:tcBorders>
              <w:right w:val="single" w:sz="8" w:space="0" w:color="auto"/>
            </w:tcBorders>
            <w:shd w:val="clear" w:color="auto" w:fill="auto"/>
            <w:noWrap/>
            <w:vAlign w:val="bottom"/>
            <w:hideMark/>
          </w:tcPr>
          <w:p w14:paraId="47BCC916"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1342</w:t>
            </w:r>
          </w:p>
        </w:tc>
      </w:tr>
      <w:tr w:rsidR="00ED73D2" w:rsidRPr="00657FD2" w14:paraId="20865761" w14:textId="77777777" w:rsidTr="00470CC9">
        <w:trPr>
          <w:trHeight w:val="288"/>
          <w:jc w:val="center"/>
        </w:trPr>
        <w:tc>
          <w:tcPr>
            <w:tcW w:w="1440" w:type="dxa"/>
            <w:tcBorders>
              <w:left w:val="single" w:sz="8" w:space="0" w:color="auto"/>
            </w:tcBorders>
            <w:shd w:val="clear" w:color="auto" w:fill="auto"/>
            <w:noWrap/>
            <w:vAlign w:val="bottom"/>
            <w:hideMark/>
          </w:tcPr>
          <w:p w14:paraId="7EE7ED67"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2010–11</w:t>
            </w:r>
          </w:p>
        </w:tc>
        <w:tc>
          <w:tcPr>
            <w:tcW w:w="1486" w:type="dxa"/>
            <w:shd w:val="clear" w:color="auto" w:fill="auto"/>
            <w:noWrap/>
            <w:vAlign w:val="center"/>
            <w:hideMark/>
          </w:tcPr>
          <w:p w14:paraId="228B8540"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324 164</w:t>
            </w:r>
          </w:p>
        </w:tc>
        <w:tc>
          <w:tcPr>
            <w:tcW w:w="1559" w:type="dxa"/>
            <w:tcBorders>
              <w:right w:val="single" w:sz="8" w:space="0" w:color="auto"/>
            </w:tcBorders>
            <w:shd w:val="clear" w:color="auto" w:fill="auto"/>
            <w:noWrap/>
            <w:vAlign w:val="bottom"/>
            <w:hideMark/>
          </w:tcPr>
          <w:p w14:paraId="5D83B367"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888</w:t>
            </w:r>
          </w:p>
        </w:tc>
      </w:tr>
      <w:tr w:rsidR="00ED73D2" w:rsidRPr="00657FD2" w14:paraId="07364EA4" w14:textId="77777777" w:rsidTr="00470CC9">
        <w:trPr>
          <w:trHeight w:val="288"/>
          <w:jc w:val="center"/>
        </w:trPr>
        <w:tc>
          <w:tcPr>
            <w:tcW w:w="1440" w:type="dxa"/>
            <w:tcBorders>
              <w:left w:val="single" w:sz="8" w:space="0" w:color="auto"/>
            </w:tcBorders>
            <w:shd w:val="clear" w:color="auto" w:fill="auto"/>
            <w:noWrap/>
            <w:vAlign w:val="bottom"/>
            <w:hideMark/>
          </w:tcPr>
          <w:p w14:paraId="5CD2D95C"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2011–12</w:t>
            </w:r>
          </w:p>
        </w:tc>
        <w:tc>
          <w:tcPr>
            <w:tcW w:w="1486" w:type="dxa"/>
            <w:shd w:val="clear" w:color="auto" w:fill="auto"/>
            <w:noWrap/>
            <w:vAlign w:val="bottom"/>
            <w:hideMark/>
          </w:tcPr>
          <w:p w14:paraId="1FE9964F"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362 508</w:t>
            </w:r>
          </w:p>
        </w:tc>
        <w:tc>
          <w:tcPr>
            <w:tcW w:w="1559" w:type="dxa"/>
            <w:tcBorders>
              <w:right w:val="single" w:sz="8" w:space="0" w:color="auto"/>
            </w:tcBorders>
            <w:shd w:val="clear" w:color="auto" w:fill="auto"/>
            <w:noWrap/>
            <w:vAlign w:val="bottom"/>
            <w:hideMark/>
          </w:tcPr>
          <w:p w14:paraId="5F382027"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990</w:t>
            </w:r>
          </w:p>
        </w:tc>
      </w:tr>
      <w:tr w:rsidR="00ED73D2" w:rsidRPr="00657FD2" w14:paraId="25A634CD" w14:textId="77777777" w:rsidTr="00470CC9">
        <w:trPr>
          <w:trHeight w:val="288"/>
          <w:jc w:val="center"/>
        </w:trPr>
        <w:tc>
          <w:tcPr>
            <w:tcW w:w="1440" w:type="dxa"/>
            <w:tcBorders>
              <w:left w:val="single" w:sz="8" w:space="0" w:color="auto"/>
            </w:tcBorders>
            <w:shd w:val="clear" w:color="auto" w:fill="auto"/>
            <w:noWrap/>
            <w:vAlign w:val="bottom"/>
            <w:hideMark/>
          </w:tcPr>
          <w:p w14:paraId="49738E38"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2012–13</w:t>
            </w:r>
          </w:p>
        </w:tc>
        <w:tc>
          <w:tcPr>
            <w:tcW w:w="1486" w:type="dxa"/>
            <w:shd w:val="clear" w:color="auto" w:fill="auto"/>
            <w:noWrap/>
            <w:vAlign w:val="bottom"/>
            <w:hideMark/>
          </w:tcPr>
          <w:p w14:paraId="7123CD5D"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322 686</w:t>
            </w:r>
          </w:p>
        </w:tc>
        <w:tc>
          <w:tcPr>
            <w:tcW w:w="1559" w:type="dxa"/>
            <w:tcBorders>
              <w:right w:val="single" w:sz="8" w:space="0" w:color="auto"/>
            </w:tcBorders>
            <w:shd w:val="clear" w:color="auto" w:fill="auto"/>
            <w:noWrap/>
            <w:vAlign w:val="bottom"/>
            <w:hideMark/>
          </w:tcPr>
          <w:p w14:paraId="058A4C85"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884</w:t>
            </w:r>
          </w:p>
        </w:tc>
      </w:tr>
      <w:tr w:rsidR="00ED73D2" w:rsidRPr="00657FD2" w14:paraId="4B675A05" w14:textId="77777777" w:rsidTr="00470CC9">
        <w:trPr>
          <w:trHeight w:val="288"/>
          <w:jc w:val="center"/>
        </w:trPr>
        <w:tc>
          <w:tcPr>
            <w:tcW w:w="1440" w:type="dxa"/>
            <w:tcBorders>
              <w:left w:val="single" w:sz="8" w:space="0" w:color="auto"/>
            </w:tcBorders>
            <w:shd w:val="clear" w:color="auto" w:fill="auto"/>
            <w:noWrap/>
            <w:vAlign w:val="bottom"/>
            <w:hideMark/>
          </w:tcPr>
          <w:p w14:paraId="744475EF"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2013–14</w:t>
            </w:r>
          </w:p>
        </w:tc>
        <w:tc>
          <w:tcPr>
            <w:tcW w:w="1486" w:type="dxa"/>
            <w:shd w:val="clear" w:color="auto" w:fill="auto"/>
            <w:noWrap/>
            <w:vAlign w:val="bottom"/>
            <w:hideMark/>
          </w:tcPr>
          <w:p w14:paraId="016D4D63"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397 739</w:t>
            </w:r>
          </w:p>
        </w:tc>
        <w:tc>
          <w:tcPr>
            <w:tcW w:w="1559" w:type="dxa"/>
            <w:tcBorders>
              <w:right w:val="single" w:sz="8" w:space="0" w:color="auto"/>
            </w:tcBorders>
            <w:shd w:val="clear" w:color="auto" w:fill="auto"/>
            <w:noWrap/>
            <w:vAlign w:val="bottom"/>
            <w:hideMark/>
          </w:tcPr>
          <w:p w14:paraId="593E704F"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1090</w:t>
            </w:r>
          </w:p>
        </w:tc>
      </w:tr>
      <w:tr w:rsidR="00ED73D2" w:rsidRPr="00657FD2" w14:paraId="45C46348" w14:textId="77777777" w:rsidTr="00470CC9">
        <w:trPr>
          <w:trHeight w:val="288"/>
          <w:jc w:val="center"/>
        </w:trPr>
        <w:tc>
          <w:tcPr>
            <w:tcW w:w="1440" w:type="dxa"/>
            <w:tcBorders>
              <w:left w:val="single" w:sz="8" w:space="0" w:color="auto"/>
            </w:tcBorders>
            <w:shd w:val="clear" w:color="auto" w:fill="auto"/>
            <w:noWrap/>
            <w:vAlign w:val="bottom"/>
            <w:hideMark/>
          </w:tcPr>
          <w:p w14:paraId="56F55685"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2014–15</w:t>
            </w:r>
          </w:p>
        </w:tc>
        <w:tc>
          <w:tcPr>
            <w:tcW w:w="1486" w:type="dxa"/>
            <w:shd w:val="clear" w:color="auto" w:fill="auto"/>
            <w:noWrap/>
            <w:vAlign w:val="bottom"/>
            <w:hideMark/>
          </w:tcPr>
          <w:p w14:paraId="1D050AF4"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432 454</w:t>
            </w:r>
          </w:p>
        </w:tc>
        <w:tc>
          <w:tcPr>
            <w:tcW w:w="1559" w:type="dxa"/>
            <w:tcBorders>
              <w:right w:val="single" w:sz="8" w:space="0" w:color="auto"/>
            </w:tcBorders>
            <w:shd w:val="clear" w:color="auto" w:fill="auto"/>
            <w:noWrap/>
            <w:vAlign w:val="bottom"/>
            <w:hideMark/>
          </w:tcPr>
          <w:p w14:paraId="6581F5ED"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1185</w:t>
            </w:r>
          </w:p>
        </w:tc>
      </w:tr>
      <w:tr w:rsidR="00ED73D2" w:rsidRPr="00657FD2" w14:paraId="6E492C09" w14:textId="77777777" w:rsidTr="00470CC9">
        <w:trPr>
          <w:trHeight w:val="288"/>
          <w:jc w:val="center"/>
        </w:trPr>
        <w:tc>
          <w:tcPr>
            <w:tcW w:w="1440" w:type="dxa"/>
            <w:tcBorders>
              <w:left w:val="single" w:sz="8" w:space="0" w:color="auto"/>
            </w:tcBorders>
            <w:shd w:val="clear" w:color="auto" w:fill="auto"/>
            <w:noWrap/>
            <w:vAlign w:val="bottom"/>
            <w:hideMark/>
          </w:tcPr>
          <w:p w14:paraId="1A21A75C"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2015–16</w:t>
            </w:r>
          </w:p>
        </w:tc>
        <w:tc>
          <w:tcPr>
            <w:tcW w:w="1486" w:type="dxa"/>
            <w:shd w:val="clear" w:color="auto" w:fill="auto"/>
            <w:noWrap/>
            <w:vAlign w:val="bottom"/>
            <w:hideMark/>
          </w:tcPr>
          <w:p w14:paraId="181E44F9"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524 728</w:t>
            </w:r>
          </w:p>
        </w:tc>
        <w:tc>
          <w:tcPr>
            <w:tcW w:w="1559" w:type="dxa"/>
            <w:tcBorders>
              <w:right w:val="single" w:sz="8" w:space="0" w:color="auto"/>
            </w:tcBorders>
            <w:shd w:val="clear" w:color="auto" w:fill="auto"/>
            <w:noWrap/>
            <w:vAlign w:val="bottom"/>
            <w:hideMark/>
          </w:tcPr>
          <w:p w14:paraId="5C48C20C"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1434</w:t>
            </w:r>
          </w:p>
        </w:tc>
      </w:tr>
      <w:tr w:rsidR="00ED73D2" w:rsidRPr="00657FD2" w14:paraId="152109CA" w14:textId="77777777" w:rsidTr="00470CC9">
        <w:trPr>
          <w:trHeight w:val="288"/>
          <w:jc w:val="center"/>
        </w:trPr>
        <w:tc>
          <w:tcPr>
            <w:tcW w:w="1440" w:type="dxa"/>
            <w:tcBorders>
              <w:left w:val="single" w:sz="8" w:space="0" w:color="auto"/>
            </w:tcBorders>
            <w:shd w:val="clear" w:color="auto" w:fill="auto"/>
            <w:noWrap/>
            <w:vAlign w:val="bottom"/>
            <w:hideMark/>
          </w:tcPr>
          <w:p w14:paraId="082B41C5"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2016–17</w:t>
            </w:r>
          </w:p>
        </w:tc>
        <w:tc>
          <w:tcPr>
            <w:tcW w:w="1486" w:type="dxa"/>
            <w:shd w:val="clear" w:color="auto" w:fill="auto"/>
            <w:noWrap/>
            <w:vAlign w:val="bottom"/>
            <w:hideMark/>
          </w:tcPr>
          <w:p w14:paraId="7E86D6A3"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395 388</w:t>
            </w:r>
          </w:p>
        </w:tc>
        <w:tc>
          <w:tcPr>
            <w:tcW w:w="1559" w:type="dxa"/>
            <w:tcBorders>
              <w:right w:val="single" w:sz="8" w:space="0" w:color="auto"/>
            </w:tcBorders>
            <w:shd w:val="clear" w:color="auto" w:fill="auto"/>
            <w:noWrap/>
            <w:vAlign w:val="bottom"/>
            <w:hideMark/>
          </w:tcPr>
          <w:p w14:paraId="15E534A3"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1083</w:t>
            </w:r>
          </w:p>
        </w:tc>
      </w:tr>
      <w:tr w:rsidR="00ED73D2" w:rsidRPr="00657FD2" w14:paraId="72858F4A" w14:textId="77777777" w:rsidTr="00470CC9">
        <w:trPr>
          <w:trHeight w:val="288"/>
          <w:jc w:val="center"/>
        </w:trPr>
        <w:tc>
          <w:tcPr>
            <w:tcW w:w="1440" w:type="dxa"/>
            <w:tcBorders>
              <w:left w:val="single" w:sz="8" w:space="0" w:color="auto"/>
            </w:tcBorders>
            <w:shd w:val="clear" w:color="auto" w:fill="auto"/>
            <w:noWrap/>
            <w:vAlign w:val="bottom"/>
            <w:hideMark/>
          </w:tcPr>
          <w:p w14:paraId="2F81432E"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2017–18</w:t>
            </w:r>
          </w:p>
        </w:tc>
        <w:tc>
          <w:tcPr>
            <w:tcW w:w="1486" w:type="dxa"/>
            <w:shd w:val="clear" w:color="auto" w:fill="auto"/>
            <w:noWrap/>
            <w:vAlign w:val="bottom"/>
            <w:hideMark/>
          </w:tcPr>
          <w:p w14:paraId="0CFB096A"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484 586</w:t>
            </w:r>
          </w:p>
        </w:tc>
        <w:tc>
          <w:tcPr>
            <w:tcW w:w="1559" w:type="dxa"/>
            <w:tcBorders>
              <w:right w:val="single" w:sz="8" w:space="0" w:color="auto"/>
            </w:tcBorders>
            <w:shd w:val="clear" w:color="auto" w:fill="auto"/>
            <w:noWrap/>
            <w:vAlign w:val="bottom"/>
            <w:hideMark/>
          </w:tcPr>
          <w:p w14:paraId="15A4E8D9"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1328</w:t>
            </w:r>
          </w:p>
        </w:tc>
      </w:tr>
      <w:tr w:rsidR="00ED73D2" w:rsidRPr="00657FD2" w14:paraId="7986EDC5" w14:textId="77777777" w:rsidTr="00470CC9">
        <w:trPr>
          <w:trHeight w:val="288"/>
          <w:jc w:val="center"/>
        </w:trPr>
        <w:tc>
          <w:tcPr>
            <w:tcW w:w="1440" w:type="dxa"/>
            <w:tcBorders>
              <w:left w:val="single" w:sz="8" w:space="0" w:color="auto"/>
            </w:tcBorders>
            <w:shd w:val="clear" w:color="auto" w:fill="auto"/>
            <w:noWrap/>
            <w:vAlign w:val="bottom"/>
            <w:hideMark/>
          </w:tcPr>
          <w:p w14:paraId="08D70E82"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2018–19</w:t>
            </w:r>
          </w:p>
        </w:tc>
        <w:tc>
          <w:tcPr>
            <w:tcW w:w="1486" w:type="dxa"/>
            <w:shd w:val="clear" w:color="auto" w:fill="auto"/>
            <w:noWrap/>
            <w:vAlign w:val="bottom"/>
            <w:hideMark/>
          </w:tcPr>
          <w:p w14:paraId="3D54582F"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474 201</w:t>
            </w:r>
          </w:p>
        </w:tc>
        <w:tc>
          <w:tcPr>
            <w:tcW w:w="1559" w:type="dxa"/>
            <w:tcBorders>
              <w:right w:val="single" w:sz="8" w:space="0" w:color="auto"/>
            </w:tcBorders>
            <w:shd w:val="clear" w:color="auto" w:fill="auto"/>
            <w:noWrap/>
            <w:vAlign w:val="bottom"/>
            <w:hideMark/>
          </w:tcPr>
          <w:p w14:paraId="67C7DD70"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1299</w:t>
            </w:r>
          </w:p>
        </w:tc>
      </w:tr>
      <w:tr w:rsidR="00ED73D2" w:rsidRPr="00657FD2" w14:paraId="437725FC" w14:textId="77777777" w:rsidTr="00470CC9">
        <w:trPr>
          <w:trHeight w:val="288"/>
          <w:jc w:val="center"/>
        </w:trPr>
        <w:tc>
          <w:tcPr>
            <w:tcW w:w="1440" w:type="dxa"/>
            <w:tcBorders>
              <w:left w:val="single" w:sz="8" w:space="0" w:color="auto"/>
            </w:tcBorders>
            <w:shd w:val="clear" w:color="auto" w:fill="auto"/>
            <w:noWrap/>
            <w:vAlign w:val="bottom"/>
            <w:hideMark/>
          </w:tcPr>
          <w:p w14:paraId="485CA7D6"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2019–20</w:t>
            </w:r>
          </w:p>
        </w:tc>
        <w:tc>
          <w:tcPr>
            <w:tcW w:w="1486" w:type="dxa"/>
            <w:shd w:val="clear" w:color="auto" w:fill="auto"/>
            <w:noWrap/>
            <w:vAlign w:val="bottom"/>
            <w:hideMark/>
          </w:tcPr>
          <w:p w14:paraId="259F8D97"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471 471</w:t>
            </w:r>
          </w:p>
        </w:tc>
        <w:tc>
          <w:tcPr>
            <w:tcW w:w="1559" w:type="dxa"/>
            <w:tcBorders>
              <w:right w:val="single" w:sz="8" w:space="0" w:color="auto"/>
            </w:tcBorders>
            <w:shd w:val="clear" w:color="auto" w:fill="auto"/>
            <w:noWrap/>
            <w:vAlign w:val="bottom"/>
            <w:hideMark/>
          </w:tcPr>
          <w:p w14:paraId="7507B351"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1288</w:t>
            </w:r>
          </w:p>
        </w:tc>
      </w:tr>
      <w:tr w:rsidR="00ED73D2" w:rsidRPr="00657FD2" w14:paraId="4BBD0A77" w14:textId="77777777" w:rsidTr="00470CC9">
        <w:trPr>
          <w:trHeight w:val="288"/>
          <w:jc w:val="center"/>
        </w:trPr>
        <w:tc>
          <w:tcPr>
            <w:tcW w:w="1440" w:type="dxa"/>
            <w:tcBorders>
              <w:left w:val="single" w:sz="8" w:space="0" w:color="auto"/>
            </w:tcBorders>
            <w:shd w:val="clear" w:color="auto" w:fill="auto"/>
            <w:noWrap/>
            <w:vAlign w:val="bottom"/>
            <w:hideMark/>
          </w:tcPr>
          <w:p w14:paraId="4CF8FC41" w14:textId="77777777" w:rsidR="00ED73D2" w:rsidRPr="00657FD2" w:rsidRDefault="00ED73D2" w:rsidP="004518D5">
            <w:pPr>
              <w:spacing w:after="0" w:line="240" w:lineRule="auto"/>
              <w:ind w:left="264"/>
              <w:rPr>
                <w:rFonts w:eastAsia="Times New Roman" w:cs="Times New Roman"/>
                <w:b/>
                <w:bCs/>
                <w:color w:val="000000"/>
                <w:sz w:val="20"/>
                <w:szCs w:val="20"/>
                <w:lang w:eastAsia="en-AU"/>
              </w:rPr>
            </w:pPr>
            <w:r w:rsidRPr="00657FD2">
              <w:rPr>
                <w:rFonts w:eastAsia="Times New Roman" w:cs="Times New Roman"/>
                <w:b/>
                <w:bCs/>
                <w:color w:val="000000"/>
                <w:sz w:val="20"/>
                <w:szCs w:val="20"/>
                <w:lang w:eastAsia="en-AU"/>
              </w:rPr>
              <w:t>2020–21</w:t>
            </w:r>
          </w:p>
        </w:tc>
        <w:tc>
          <w:tcPr>
            <w:tcW w:w="1486" w:type="dxa"/>
            <w:shd w:val="clear" w:color="auto" w:fill="auto"/>
            <w:noWrap/>
            <w:vAlign w:val="bottom"/>
            <w:hideMark/>
          </w:tcPr>
          <w:p w14:paraId="06F21CF0" w14:textId="77777777" w:rsidR="00ED73D2" w:rsidRPr="00657FD2" w:rsidRDefault="00ED73D2" w:rsidP="004518D5">
            <w:pPr>
              <w:spacing w:after="0" w:line="240" w:lineRule="auto"/>
              <w:ind w:right="178"/>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452 430</w:t>
            </w:r>
          </w:p>
        </w:tc>
        <w:tc>
          <w:tcPr>
            <w:tcW w:w="1559" w:type="dxa"/>
            <w:tcBorders>
              <w:right w:val="single" w:sz="8" w:space="0" w:color="auto"/>
            </w:tcBorders>
            <w:shd w:val="clear" w:color="auto" w:fill="auto"/>
            <w:noWrap/>
            <w:vAlign w:val="bottom"/>
            <w:hideMark/>
          </w:tcPr>
          <w:p w14:paraId="114CD611" w14:textId="77777777" w:rsidR="00ED73D2" w:rsidRPr="00657FD2" w:rsidRDefault="00ED73D2" w:rsidP="004518D5">
            <w:pPr>
              <w:spacing w:after="0" w:line="240" w:lineRule="auto"/>
              <w:ind w:right="181"/>
              <w:jc w:val="right"/>
              <w:rPr>
                <w:rFonts w:eastAsia="Times New Roman" w:cs="Times New Roman"/>
                <w:color w:val="000000"/>
                <w:sz w:val="20"/>
                <w:szCs w:val="20"/>
                <w:lang w:eastAsia="en-AU"/>
              </w:rPr>
            </w:pPr>
            <w:r w:rsidRPr="00657FD2">
              <w:rPr>
                <w:rFonts w:eastAsia="Times New Roman" w:cs="Times New Roman"/>
                <w:color w:val="000000"/>
                <w:sz w:val="20"/>
                <w:szCs w:val="20"/>
                <w:lang w:eastAsia="en-AU"/>
              </w:rPr>
              <w:t>1240</w:t>
            </w:r>
          </w:p>
        </w:tc>
      </w:tr>
    </w:tbl>
    <w:p w14:paraId="41D85F57" w14:textId="5B634A1E" w:rsidR="00440D7F" w:rsidRPr="00E94C94" w:rsidRDefault="00440D7F" w:rsidP="004A6496"/>
    <w:p w14:paraId="003B7D82" w14:textId="77777777" w:rsidR="00FB5E71" w:rsidRPr="00D60912" w:rsidRDefault="004A6496" w:rsidP="00FB5E71">
      <w:r>
        <w:t>Although</w:t>
      </w:r>
      <w:r w:rsidRPr="00D60912">
        <w:t xml:space="preserve"> management measures (such as salt interception schemes and irrigation management improvements) have reduced the regional sources</w:t>
      </w:r>
      <w:r>
        <w:t xml:space="preserve"> of salt to the floodplain (MDB</w:t>
      </w:r>
      <w:r w:rsidRPr="00D60912">
        <w:t>C 2001)</w:t>
      </w:r>
      <w:r>
        <w:t xml:space="preserve"> —</w:t>
      </w:r>
      <w:r w:rsidRPr="00D60912">
        <w:t xml:space="preserve"> river regulation has </w:t>
      </w:r>
      <w:r>
        <w:t xml:space="preserve">also </w:t>
      </w:r>
      <w:r w:rsidRPr="00D60912">
        <w:t>reduced the frequency and duration of the floods that can leach salt from the plant root zone and supply fresh water for transpiration (Jolly</w:t>
      </w:r>
      <w:r>
        <w:t> </w:t>
      </w:r>
      <w:r w:rsidRPr="00D60912">
        <w:t>1996; Overton et al. 2006).</w:t>
      </w:r>
      <w:r>
        <w:t xml:space="preserve"> Modelling indicates that, over the long term, salt interception could be highly beneficial in reducing the salinity risk to floodplains and wetlands; however, large amounts of salt stored in the floodplain would need</w:t>
      </w:r>
      <w:r w:rsidR="00FB5E71">
        <w:t xml:space="preserve"> to be removed before the benefits to vegetation and wetlands would be realised (Holland et al. 2005, 2009).</w:t>
      </w:r>
      <w:r w:rsidR="00FB5E71" w:rsidRPr="00C0338A">
        <w:t xml:space="preserve"> And, as noted previously, an estimated 1.5 million tons of new salt is deposited in the M</w:t>
      </w:r>
      <w:r w:rsidR="00FB5E71">
        <w:t>DB</w:t>
      </w:r>
      <w:r w:rsidR="00FB5E71" w:rsidRPr="00C0338A">
        <w:t xml:space="preserve"> each year by rainfall (4110 t/d) (Herczeg et</w:t>
      </w:r>
      <w:r w:rsidR="00FB5E71">
        <w:t> </w:t>
      </w:r>
      <w:r w:rsidR="00FB5E71" w:rsidRPr="00C0338A">
        <w:t>al.</w:t>
      </w:r>
      <w:r w:rsidR="00FB5E71">
        <w:t> </w:t>
      </w:r>
      <w:r w:rsidR="00FB5E71" w:rsidRPr="00C0338A">
        <w:t>2001</w:t>
      </w:r>
      <w:r w:rsidR="00FB5E71">
        <w:t>).</w:t>
      </w:r>
    </w:p>
    <w:p w14:paraId="5337BABC" w14:textId="77777777" w:rsidR="005D16E1" w:rsidRDefault="005D16E1" w:rsidP="00A2521C">
      <w:pPr>
        <w:pStyle w:val="Heading5"/>
      </w:pPr>
      <w:r>
        <w:t xml:space="preserve">E-water v </w:t>
      </w:r>
      <w:r w:rsidRPr="00197671">
        <w:t>Flood</w:t>
      </w:r>
    </w:p>
    <w:p w14:paraId="1777D582" w14:textId="0E919794" w:rsidR="005D16E1" w:rsidRDefault="005D16E1" w:rsidP="005D16E1">
      <w:pPr>
        <w:spacing w:before="120" w:after="120"/>
      </w:pPr>
      <w:r>
        <w:t>A</w:t>
      </w:r>
      <w:r w:rsidRPr="0071328F">
        <w:t xml:space="preserve">rtificial watering does not inundate </w:t>
      </w:r>
      <w:r>
        <w:t>as great</w:t>
      </w:r>
      <w:r w:rsidRPr="0071328F">
        <w:t xml:space="preserve"> </w:t>
      </w:r>
      <w:r>
        <w:t xml:space="preserve">an </w:t>
      </w:r>
      <w:r w:rsidRPr="0071328F">
        <w:t xml:space="preserve">area </w:t>
      </w:r>
      <w:r>
        <w:t>as</w:t>
      </w:r>
      <w:r w:rsidRPr="0071328F">
        <w:t xml:space="preserve"> a natural flood (e.g. the Chowilla floodplain where 2,175 ha was artificially watered between 2005/06 and 2011/12 compared with &gt;11,000 ha inundated by the 2010/11 flood)</w:t>
      </w:r>
      <w:r>
        <w:t>. However</w:t>
      </w:r>
      <w:r w:rsidRPr="0071328F">
        <w:t xml:space="preserve">, it </w:t>
      </w:r>
      <w:r w:rsidR="009673E3">
        <w:t xml:space="preserve">can </w:t>
      </w:r>
      <w:r w:rsidRPr="0071328F">
        <w:t xml:space="preserve">be </w:t>
      </w:r>
      <w:r>
        <w:t xml:space="preserve">an </w:t>
      </w:r>
      <w:r w:rsidRPr="0071328F">
        <w:t xml:space="preserve">important </w:t>
      </w:r>
      <w:r>
        <w:t xml:space="preserve">way </w:t>
      </w:r>
      <w:r w:rsidRPr="0071328F">
        <w:t>to maintain floodplain function at a reduced level</w:t>
      </w:r>
      <w:r>
        <w:t xml:space="preserve"> —and</w:t>
      </w:r>
      <w:r w:rsidRPr="0071328F">
        <w:t xml:space="preserve"> to enable the floodplain to partially fulfil some of the ecosystem services it provided prior to river regulation</w:t>
      </w:r>
      <w:r>
        <w:t>;</w:t>
      </w:r>
      <w:r w:rsidRPr="0071328F">
        <w:t xml:space="preserve"> and </w:t>
      </w:r>
      <w:r>
        <w:t xml:space="preserve">to enable </w:t>
      </w:r>
      <w:r w:rsidRPr="00EE03DD">
        <w:t xml:space="preserve">the floodplain </w:t>
      </w:r>
      <w:r>
        <w:t xml:space="preserve">to </w:t>
      </w:r>
      <w:r w:rsidRPr="0071328F">
        <w:t>function at a higher level during the next flood (Holland et al. 2013).</w:t>
      </w:r>
      <w:r>
        <w:t xml:space="preserve"> </w:t>
      </w:r>
    </w:p>
    <w:p w14:paraId="2D865FA6" w14:textId="77777777" w:rsidR="00550F0F" w:rsidRDefault="005D16E1" w:rsidP="00D23C11">
      <w:pPr>
        <w:contextualSpacing/>
      </w:pPr>
      <w:r>
        <w:lastRenderedPageBreak/>
        <w:t xml:space="preserve">The massive flood of November 2022 to </w:t>
      </w:r>
      <w:r w:rsidRPr="00185E48">
        <w:t>February 2023 (the third largest on record in South Australia) inundated almost the entire South Australian River Murray floodplain; and it reached areas that had not received water in decades (DEW 2024a). This flushed and freshened large areas of floodplain soils and gave a boost to native vegetation (DEW 2024a). However, such floods can also contribute to erosion, siltation, and introduce pollutants and pests. And although they represent an ’ecological reset’ to some extent, they cannot on their own reverse the long-term decline of the ecological community</w:t>
      </w:r>
      <w:r w:rsidR="009673E3">
        <w:t xml:space="preserve">, and they can exacerbate salinity impacts and thus ongoing declines in RMDS integrity (as outlined here in </w:t>
      </w:r>
      <w:r w:rsidR="009673E3" w:rsidRPr="00550F0F">
        <w:rPr>
          <w:u w:val="single"/>
        </w:rPr>
        <w:t>Criteri</w:t>
      </w:r>
      <w:r w:rsidR="00550F0F" w:rsidRPr="00550F0F">
        <w:rPr>
          <w:u w:val="single"/>
        </w:rPr>
        <w:t>a 3 and 4</w:t>
      </w:r>
      <w:r w:rsidR="00550F0F">
        <w:t xml:space="preserve"> analysis)</w:t>
      </w:r>
      <w:r w:rsidRPr="00185E48">
        <w:t xml:space="preserve">. </w:t>
      </w:r>
    </w:p>
    <w:p w14:paraId="624C058A" w14:textId="77777777" w:rsidR="00550F0F" w:rsidRDefault="00550F0F" w:rsidP="00D23C11">
      <w:pPr>
        <w:contextualSpacing/>
      </w:pPr>
    </w:p>
    <w:p w14:paraId="7148A176" w14:textId="02E9117C" w:rsidR="00CA0EEA" w:rsidRDefault="005D16E1" w:rsidP="00D23C11">
      <w:pPr>
        <w:contextualSpacing/>
      </w:pPr>
      <w:r w:rsidRPr="00185E48">
        <w:t>Floodplain harvesting (the diversion and storage of overland flows into on-farm dams) is</w:t>
      </w:r>
      <w:r w:rsidR="00D23C11">
        <w:t xml:space="preserve"> </w:t>
      </w:r>
      <w:r w:rsidR="00D23C11" w:rsidRPr="00185E48">
        <w:t>a widespread practise in the MDB which is likely to exacerbate salinity issues (Clark et al. 2007).</w:t>
      </w:r>
      <w:r w:rsidR="00D23C11">
        <w:t xml:space="preserve"> It is not known if this is a major issue in the </w:t>
      </w:r>
      <w:r w:rsidR="00550F0F">
        <w:t>RMDS based on existing data</w:t>
      </w:r>
      <w:r w:rsidR="00D23C11">
        <w:t>.</w:t>
      </w:r>
    </w:p>
    <w:p w14:paraId="337CDB6D" w14:textId="77777777" w:rsidR="00CA0EEA" w:rsidRDefault="00CA0EEA" w:rsidP="007930F2">
      <w:pPr>
        <w:spacing w:before="120" w:after="120"/>
      </w:pPr>
    </w:p>
    <w:p w14:paraId="7AF25610" w14:textId="77777777" w:rsidR="00476A7A" w:rsidRPr="00185E48" w:rsidRDefault="00476A7A" w:rsidP="006E2204">
      <w:pPr>
        <w:pStyle w:val="Heading4"/>
      </w:pPr>
      <w:r w:rsidRPr="00185E48">
        <w:t>Conclusion Criterion 5</w:t>
      </w:r>
    </w:p>
    <w:p w14:paraId="3DDC8EA9" w14:textId="758225F3" w:rsidR="00476A7A" w:rsidRDefault="00476A7A" w:rsidP="00476A7A">
      <w:r w:rsidRPr="00185E48">
        <w:t>Notwithstanding uncertainty about patterns of floodplain salinisation and the varying responses of floodplain trees in different area</w:t>
      </w:r>
      <w:r>
        <w:t>s,</w:t>
      </w:r>
      <w:r w:rsidRPr="00185E48">
        <w:t xml:space="preserve"> evidence indicates an </w:t>
      </w:r>
      <w:r w:rsidR="00CA1E75">
        <w:t xml:space="preserve">intensifying </w:t>
      </w:r>
      <w:r w:rsidRPr="00185E48">
        <w:t xml:space="preserve">and continuing trend of floodplain salinisation, </w:t>
      </w:r>
      <w:r w:rsidR="00CA1E75">
        <w:t xml:space="preserve">contributing to </w:t>
      </w:r>
      <w:r w:rsidRPr="00185E48">
        <w:t>tree dieback across large areas of the ecological community. This trend represents a severe to very severe</w:t>
      </w:r>
      <w:r w:rsidRPr="00E93784">
        <w:t xml:space="preserve"> </w:t>
      </w:r>
      <w:r w:rsidRPr="0081599A">
        <w:t>intensification in degradation</w:t>
      </w:r>
      <w:r w:rsidRPr="00D60912">
        <w:t xml:space="preserve"> across most of the geographic distribution of the floodplain of the ecological</w:t>
      </w:r>
      <w:r>
        <w:t xml:space="preserve"> community</w:t>
      </w:r>
      <w:r w:rsidRPr="00D60912">
        <w:t xml:space="preserve">. It indicates a </w:t>
      </w:r>
      <w:r w:rsidRPr="0081599A">
        <w:t>severe rate of continuing detrimental change</w:t>
      </w:r>
      <w:r w:rsidRPr="00D60912">
        <w:t xml:space="preserve"> </w:t>
      </w:r>
      <w:r w:rsidR="00D94E51">
        <w:t xml:space="preserve">(immediate past and immediate future) in </w:t>
      </w:r>
      <w:r w:rsidRPr="00D60912">
        <w:t>the health and recruitment of keystone floodplain tree species</w:t>
      </w:r>
      <w:r w:rsidR="00AA7D9C">
        <w:t>, which play a major role in the RMDS (3 generations is at least 60 years for these trees)</w:t>
      </w:r>
      <w:r w:rsidRPr="00D60912">
        <w:t xml:space="preserve">. </w:t>
      </w:r>
      <w:r>
        <w:t xml:space="preserve">Following </w:t>
      </w:r>
      <w:r w:rsidRPr="00DD2A39">
        <w:t xml:space="preserve">preliminary assessment the ecological community </w:t>
      </w:r>
      <w:r w:rsidR="00AA7D9C">
        <w:t xml:space="preserve">may </w:t>
      </w:r>
      <w:r w:rsidRPr="00DD2A39">
        <w:t xml:space="preserve">be eligible for listing as at least </w:t>
      </w:r>
      <w:r w:rsidRPr="00DD2A39">
        <w:rPr>
          <w:b/>
          <w:bCs/>
        </w:rPr>
        <w:t>Endangered</w:t>
      </w:r>
      <w:r w:rsidRPr="00DD2A39">
        <w:t xml:space="preserve"> under this criterion.</w:t>
      </w:r>
    </w:p>
    <w:p w14:paraId="20ED7C6F" w14:textId="36C2DE04" w:rsidR="00096C8B" w:rsidRDefault="00096C8B">
      <w:pPr>
        <w:spacing w:after="160" w:line="259" w:lineRule="auto"/>
      </w:pPr>
    </w:p>
    <w:p w14:paraId="4F5F73E4" w14:textId="77777777" w:rsidR="00DC0F1D" w:rsidRDefault="00DC0F1D" w:rsidP="00096C8B">
      <w:pPr>
        <w:keepNext/>
        <w:keepLines/>
        <w:pBdr>
          <w:top w:val="single" w:sz="4" w:space="1" w:color="auto"/>
          <w:left w:val="single" w:sz="4" w:space="4" w:color="auto"/>
          <w:bottom w:val="single" w:sz="4" w:space="1" w:color="auto"/>
          <w:right w:val="single" w:sz="4" w:space="4" w:color="auto"/>
        </w:pBdr>
        <w:shd w:val="clear" w:color="auto" w:fill="FFF2CC" w:themeFill="accent4" w:themeFillTint="33"/>
        <w:spacing w:after="80"/>
      </w:pPr>
      <w:r w:rsidRPr="00DF09D1">
        <w:t>Consultation Questions</w:t>
      </w:r>
      <w:r>
        <w:t xml:space="preserve"> on Criterion 5</w:t>
      </w:r>
    </w:p>
    <w:p w14:paraId="1BEDDFC0" w14:textId="77777777" w:rsidR="00DC0F1D" w:rsidRPr="00DD2A39" w:rsidRDefault="00DC0F1D" w:rsidP="00DC0F1D">
      <w:pPr>
        <w:pStyle w:val="Consultationquestions"/>
        <w:shd w:val="clear" w:color="auto" w:fill="FFF2CC" w:themeFill="accent4" w:themeFillTint="33"/>
        <w:spacing w:after="80"/>
        <w:ind w:left="425" w:hanging="425"/>
        <w:contextualSpacing w:val="0"/>
        <w:rPr>
          <w:color w:val="auto"/>
        </w:rPr>
      </w:pPr>
      <w:r w:rsidRPr="002A2AC8">
        <w:rPr>
          <w:color w:val="auto"/>
        </w:rPr>
        <w:t>Do you have any feedback on the preliminary assessment under Criterion 5</w:t>
      </w:r>
      <w:r>
        <w:rPr>
          <w:color w:val="auto"/>
        </w:rPr>
        <w:t xml:space="preserve">, </w:t>
      </w:r>
      <w:r w:rsidRPr="002A2AC8">
        <w:rPr>
          <w:color w:val="auto"/>
        </w:rPr>
        <w:t xml:space="preserve">or further data </w:t>
      </w:r>
      <w:r>
        <w:rPr>
          <w:color w:val="auto"/>
        </w:rPr>
        <w:t>and/</w:t>
      </w:r>
      <w:r w:rsidRPr="002A2AC8">
        <w:rPr>
          <w:color w:val="auto"/>
        </w:rPr>
        <w:t>or information that would support or update the assessment?</w:t>
      </w:r>
      <w:r>
        <w:rPr>
          <w:color w:val="auto"/>
        </w:rPr>
        <w:t xml:space="preserve"> For example, how accurately does it reflect the current </w:t>
      </w:r>
      <w:r w:rsidRPr="00DD2A39">
        <w:rPr>
          <w:color w:val="auto"/>
        </w:rPr>
        <w:t>situation.</w:t>
      </w:r>
    </w:p>
    <w:p w14:paraId="0FAD8E23" w14:textId="3A34DA6E" w:rsidR="00DC0F1D" w:rsidRDefault="00DC0F1D" w:rsidP="00DC0F1D">
      <w:pPr>
        <w:pStyle w:val="Consultationquestions"/>
        <w:shd w:val="clear" w:color="auto" w:fill="FFF2CC" w:themeFill="accent4" w:themeFillTint="33"/>
        <w:spacing w:after="80"/>
        <w:ind w:left="425" w:hanging="425"/>
        <w:contextualSpacing w:val="0"/>
        <w:rPr>
          <w:color w:val="000000" w:themeColor="text1"/>
        </w:rPr>
      </w:pPr>
      <w:r w:rsidRPr="00DD2A39">
        <w:rPr>
          <w:color w:val="auto"/>
        </w:rPr>
        <w:t xml:space="preserve">Most particularly, please provide updated </w:t>
      </w:r>
      <w:r>
        <w:rPr>
          <w:color w:val="000000" w:themeColor="text1"/>
        </w:rPr>
        <w:t xml:space="preserve">data/information for </w:t>
      </w:r>
      <w:r w:rsidRPr="000D1D77">
        <w:rPr>
          <w:color w:val="000000" w:themeColor="text1"/>
        </w:rPr>
        <w:t xml:space="preserve">Table </w:t>
      </w:r>
      <w:r>
        <w:rPr>
          <w:color w:val="000000" w:themeColor="text1"/>
        </w:rPr>
        <w:t xml:space="preserve">40: </w:t>
      </w:r>
      <w:r w:rsidRPr="000D1D77">
        <w:rPr>
          <w:color w:val="000000" w:themeColor="text1"/>
        </w:rPr>
        <w:t>Estimated quantity of salt mobilised to the land surface, 1998–2100</w:t>
      </w:r>
      <w:r>
        <w:rPr>
          <w:color w:val="000000" w:themeColor="text1"/>
        </w:rPr>
        <w:t>.</w:t>
      </w:r>
    </w:p>
    <w:p w14:paraId="10328FD6" w14:textId="49974CAA" w:rsidR="00DC0F1D" w:rsidRDefault="00DC0F1D" w:rsidP="00DC0F1D">
      <w:pPr>
        <w:pStyle w:val="Consultationquestions"/>
        <w:shd w:val="clear" w:color="auto" w:fill="FFF2CC" w:themeFill="accent4" w:themeFillTint="33"/>
        <w:spacing w:after="80"/>
        <w:ind w:left="425" w:hanging="425"/>
        <w:contextualSpacing w:val="0"/>
        <w:rPr>
          <w:color w:val="000000" w:themeColor="text1"/>
        </w:rPr>
      </w:pPr>
      <w:r>
        <w:rPr>
          <w:color w:val="000000" w:themeColor="text1"/>
        </w:rPr>
        <w:t>Please provide information on (any new) schemes that have a particular impact on soil salinity. Please provide details/evidence of specific impacts, where possible.</w:t>
      </w:r>
    </w:p>
    <w:p w14:paraId="7EC4C447" w14:textId="77777777" w:rsidR="00DC0F1D" w:rsidRPr="00354EFF" w:rsidRDefault="00DC0F1D" w:rsidP="00DC0F1D">
      <w:pPr>
        <w:pStyle w:val="Consultationquestions"/>
        <w:shd w:val="clear" w:color="auto" w:fill="FFF2CC" w:themeFill="accent4" w:themeFillTint="33"/>
        <w:ind w:left="425" w:hanging="425"/>
        <w:contextualSpacing w:val="0"/>
        <w:rPr>
          <w:color w:val="000000" w:themeColor="text1"/>
        </w:rPr>
      </w:pPr>
      <w:r w:rsidRPr="00354EFF">
        <w:rPr>
          <w:color w:val="000000" w:themeColor="text1"/>
        </w:rPr>
        <w:t xml:space="preserve">Please provide information on </w:t>
      </w:r>
      <w:r>
        <w:rPr>
          <w:color w:val="000000" w:themeColor="text1"/>
        </w:rPr>
        <w:t xml:space="preserve">how/if “floodplain harvesting” </w:t>
      </w:r>
      <w:r w:rsidRPr="00354EFF">
        <w:rPr>
          <w:color w:val="000000" w:themeColor="text1"/>
        </w:rPr>
        <w:t>ha</w:t>
      </w:r>
      <w:r>
        <w:rPr>
          <w:color w:val="000000" w:themeColor="text1"/>
        </w:rPr>
        <w:t>s</w:t>
      </w:r>
      <w:r w:rsidRPr="00354EFF">
        <w:rPr>
          <w:color w:val="000000" w:themeColor="text1"/>
        </w:rPr>
        <w:t xml:space="preserve"> a particular impact on soil salinity. Please provide details/evidence of specific impacts, where possible.</w:t>
      </w:r>
    </w:p>
    <w:p w14:paraId="45FD59A2" w14:textId="1DFD9E48" w:rsidR="00CA0EEA" w:rsidRPr="00DC0F1D" w:rsidRDefault="00DC0F1D" w:rsidP="00DC0F1D">
      <w:pPr>
        <w:pStyle w:val="Consultationquestions"/>
        <w:numPr>
          <w:ilvl w:val="0"/>
          <w:numId w:val="0"/>
        </w:numPr>
        <w:shd w:val="clear" w:color="auto" w:fill="FFF2CC" w:themeFill="accent4" w:themeFillTint="33"/>
        <w:rPr>
          <w:color w:val="auto"/>
        </w:rPr>
      </w:pPr>
      <w:r w:rsidRPr="00DB4934">
        <w:rPr>
          <w:color w:val="000000" w:themeColor="text1"/>
        </w:rPr>
        <w:t>Please provide any supporting evidence or references you have.</w:t>
      </w:r>
    </w:p>
    <w:p w14:paraId="53AD0950" w14:textId="77777777" w:rsidR="00CA0EEA" w:rsidRDefault="00CA0EEA" w:rsidP="007930F2">
      <w:pPr>
        <w:spacing w:before="120" w:after="120"/>
      </w:pPr>
    </w:p>
    <w:p w14:paraId="39A4FA86" w14:textId="77777777" w:rsidR="00096C8B" w:rsidRDefault="00096C8B">
      <w:pPr>
        <w:spacing w:after="160" w:line="259" w:lineRule="auto"/>
        <w:rPr>
          <w:rFonts w:asciiTheme="minorHAnsi" w:eastAsiaTheme="majorEastAsia" w:hAnsiTheme="minorHAnsi" w:cstheme="majorBidi"/>
          <w:b/>
          <w:i/>
          <w:szCs w:val="24"/>
        </w:rPr>
      </w:pPr>
      <w:bookmarkStart w:id="298" w:name="_Toc175317106"/>
      <w:r>
        <w:br w:type="page"/>
      </w:r>
    </w:p>
    <w:p w14:paraId="516BCC86" w14:textId="6C5FFE20" w:rsidR="00F26D3D" w:rsidRDefault="00313767" w:rsidP="00550384">
      <w:pPr>
        <w:pStyle w:val="Heading3"/>
      </w:pPr>
      <w:r>
        <w:lastRenderedPageBreak/>
        <w:t xml:space="preserve">6.2.6 </w:t>
      </w:r>
      <w:r w:rsidR="00F26D3D">
        <w:t>Criterion 6 – quantitative analysis showing probability of extinction</w:t>
      </w:r>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64"/>
        <w:gridCol w:w="1698"/>
        <w:gridCol w:w="1698"/>
        <w:gridCol w:w="1700"/>
      </w:tblGrid>
      <w:tr w:rsidR="00B7495D" w:rsidRPr="00051D51" w14:paraId="6513FA48" w14:textId="77777777" w:rsidTr="00293454">
        <w:trPr>
          <w:cantSplit/>
          <w:tblHeader/>
          <w:jc w:val="center"/>
        </w:trPr>
        <w:tc>
          <w:tcPr>
            <w:tcW w:w="2188" w:type="pct"/>
            <w:vMerge w:val="restart"/>
            <w:vAlign w:val="center"/>
          </w:tcPr>
          <w:p w14:paraId="3057B53A" w14:textId="77777777" w:rsidR="00B7495D" w:rsidRPr="00051D51" w:rsidRDefault="00B7495D" w:rsidP="00293454">
            <w:pPr>
              <w:pStyle w:val="Tabletext"/>
            </w:pPr>
          </w:p>
        </w:tc>
        <w:tc>
          <w:tcPr>
            <w:tcW w:w="2812" w:type="pct"/>
            <w:gridSpan w:val="3"/>
            <w:vAlign w:val="center"/>
          </w:tcPr>
          <w:p w14:paraId="2FD04C83" w14:textId="77777777" w:rsidR="00B7495D" w:rsidRPr="00153204" w:rsidRDefault="00B7495D" w:rsidP="00293454">
            <w:pPr>
              <w:pStyle w:val="Tabletext"/>
              <w:jc w:val="center"/>
              <w:rPr>
                <w:b/>
                <w:bCs/>
              </w:rPr>
            </w:pPr>
            <w:r w:rsidRPr="00153204">
              <w:rPr>
                <w:b/>
                <w:bCs/>
              </w:rPr>
              <w:t>Category</w:t>
            </w:r>
          </w:p>
        </w:tc>
      </w:tr>
      <w:tr w:rsidR="00B7495D" w:rsidRPr="00051D51" w14:paraId="098AC363" w14:textId="77777777" w:rsidTr="00293454">
        <w:trPr>
          <w:cantSplit/>
          <w:tblHeader/>
          <w:jc w:val="center"/>
        </w:trPr>
        <w:tc>
          <w:tcPr>
            <w:tcW w:w="2188" w:type="pct"/>
            <w:vMerge/>
            <w:vAlign w:val="center"/>
          </w:tcPr>
          <w:p w14:paraId="4A757AF1" w14:textId="77777777" w:rsidR="00B7495D" w:rsidRPr="00051D51" w:rsidRDefault="00B7495D" w:rsidP="00293454">
            <w:pPr>
              <w:pStyle w:val="Tabletext"/>
            </w:pPr>
          </w:p>
        </w:tc>
        <w:tc>
          <w:tcPr>
            <w:tcW w:w="937" w:type="pct"/>
            <w:vAlign w:val="center"/>
          </w:tcPr>
          <w:p w14:paraId="17FA40C7" w14:textId="77777777" w:rsidR="00B7495D" w:rsidRPr="00153204" w:rsidRDefault="00B7495D" w:rsidP="00293454">
            <w:pPr>
              <w:pStyle w:val="Tabletext"/>
              <w:jc w:val="center"/>
              <w:rPr>
                <w:b/>
                <w:bCs/>
              </w:rPr>
            </w:pPr>
            <w:r w:rsidRPr="00153204">
              <w:rPr>
                <w:b/>
                <w:bCs/>
              </w:rPr>
              <w:t>Critically Endangered</w:t>
            </w:r>
          </w:p>
        </w:tc>
        <w:tc>
          <w:tcPr>
            <w:tcW w:w="937" w:type="pct"/>
            <w:vAlign w:val="center"/>
          </w:tcPr>
          <w:p w14:paraId="7693C1DF" w14:textId="77777777" w:rsidR="00B7495D" w:rsidRPr="00153204" w:rsidRDefault="00B7495D" w:rsidP="00293454">
            <w:pPr>
              <w:pStyle w:val="Tabletext"/>
              <w:jc w:val="center"/>
              <w:rPr>
                <w:b/>
                <w:bCs/>
              </w:rPr>
            </w:pPr>
            <w:r w:rsidRPr="00153204">
              <w:rPr>
                <w:b/>
                <w:bCs/>
              </w:rPr>
              <w:t>Endangered</w:t>
            </w:r>
          </w:p>
        </w:tc>
        <w:tc>
          <w:tcPr>
            <w:tcW w:w="938" w:type="pct"/>
            <w:vAlign w:val="center"/>
          </w:tcPr>
          <w:p w14:paraId="1D816EF7" w14:textId="77777777" w:rsidR="00B7495D" w:rsidRPr="00153204" w:rsidRDefault="00B7495D" w:rsidP="00293454">
            <w:pPr>
              <w:pStyle w:val="Tabletext"/>
              <w:jc w:val="center"/>
              <w:rPr>
                <w:b/>
                <w:bCs/>
              </w:rPr>
            </w:pPr>
            <w:r w:rsidRPr="00153204">
              <w:rPr>
                <w:b/>
                <w:bCs/>
              </w:rPr>
              <w:t>Vulnerable</w:t>
            </w:r>
          </w:p>
        </w:tc>
      </w:tr>
      <w:tr w:rsidR="00B7495D" w:rsidRPr="00051D51" w14:paraId="6F349773" w14:textId="77777777" w:rsidTr="00293454">
        <w:trPr>
          <w:cantSplit/>
          <w:jc w:val="center"/>
        </w:trPr>
        <w:tc>
          <w:tcPr>
            <w:tcW w:w="2188" w:type="pct"/>
            <w:shd w:val="clear" w:color="auto" w:fill="F2F2F2" w:themeFill="background1" w:themeFillShade="F2"/>
            <w:vAlign w:val="center"/>
          </w:tcPr>
          <w:p w14:paraId="2B7675A6" w14:textId="77777777" w:rsidR="00B7495D" w:rsidRPr="00051D51" w:rsidRDefault="00B7495D" w:rsidP="00293454">
            <w:pPr>
              <w:pStyle w:val="Tabletext"/>
            </w:pPr>
            <w:r w:rsidRPr="00051D51">
              <w:t>A quantitative analysis shows that its probability of extinction, or extreme degradation over all of its geographic distribution, is:</w:t>
            </w:r>
          </w:p>
        </w:tc>
        <w:tc>
          <w:tcPr>
            <w:tcW w:w="937" w:type="pct"/>
            <w:shd w:val="clear" w:color="auto" w:fill="F2F2F2" w:themeFill="background1" w:themeFillShade="F2"/>
            <w:vAlign w:val="center"/>
          </w:tcPr>
          <w:p w14:paraId="7A8C1C1F" w14:textId="77777777" w:rsidR="00B7495D" w:rsidRPr="00051D51" w:rsidRDefault="00B7495D" w:rsidP="00293454">
            <w:pPr>
              <w:pStyle w:val="Tabletext"/>
              <w:jc w:val="center"/>
            </w:pPr>
            <w:r w:rsidRPr="00051D51">
              <w:t>at least 50% in the immediate future</w:t>
            </w:r>
          </w:p>
        </w:tc>
        <w:tc>
          <w:tcPr>
            <w:tcW w:w="937" w:type="pct"/>
            <w:shd w:val="clear" w:color="auto" w:fill="F2F2F2" w:themeFill="background1" w:themeFillShade="F2"/>
            <w:vAlign w:val="center"/>
          </w:tcPr>
          <w:p w14:paraId="6C1FC1A7" w14:textId="77777777" w:rsidR="00B7495D" w:rsidRPr="00051D51" w:rsidRDefault="00B7495D" w:rsidP="00293454">
            <w:pPr>
              <w:pStyle w:val="Tabletext"/>
              <w:jc w:val="center"/>
            </w:pPr>
            <w:r w:rsidRPr="00051D51">
              <w:t>at least 20% in the near future</w:t>
            </w:r>
          </w:p>
        </w:tc>
        <w:tc>
          <w:tcPr>
            <w:tcW w:w="938" w:type="pct"/>
            <w:shd w:val="clear" w:color="auto" w:fill="F2F2F2" w:themeFill="background1" w:themeFillShade="F2"/>
            <w:vAlign w:val="center"/>
          </w:tcPr>
          <w:p w14:paraId="19550F31" w14:textId="77777777" w:rsidR="00B7495D" w:rsidRPr="00051D51" w:rsidRDefault="00B7495D" w:rsidP="00293454">
            <w:pPr>
              <w:pStyle w:val="Tabletext"/>
              <w:jc w:val="center"/>
            </w:pPr>
            <w:r w:rsidRPr="00051D51">
              <w:t>at least 10% in the medium-term future</w:t>
            </w:r>
          </w:p>
        </w:tc>
      </w:tr>
      <w:tr w:rsidR="00B7495D" w:rsidRPr="00051D51" w14:paraId="45C371B4" w14:textId="77777777" w:rsidTr="00293454">
        <w:trPr>
          <w:cantSplit/>
          <w:jc w:val="center"/>
        </w:trPr>
        <w:tc>
          <w:tcPr>
            <w:tcW w:w="2188" w:type="pct"/>
            <w:shd w:val="clear" w:color="auto" w:fill="auto"/>
          </w:tcPr>
          <w:p w14:paraId="4FA31003" w14:textId="77777777" w:rsidR="00B7495D" w:rsidRPr="00051D51" w:rsidRDefault="00B7495D" w:rsidP="00293454">
            <w:pPr>
              <w:pStyle w:val="Tabletext"/>
              <w:rPr>
                <w:i/>
              </w:rPr>
            </w:pPr>
            <w:r w:rsidRPr="00051D51">
              <w:rPr>
                <w:i/>
              </w:rPr>
              <w:t>timeframes</w:t>
            </w:r>
          </w:p>
        </w:tc>
        <w:tc>
          <w:tcPr>
            <w:tcW w:w="937" w:type="pct"/>
            <w:shd w:val="clear" w:color="auto" w:fill="auto"/>
          </w:tcPr>
          <w:p w14:paraId="3DAA1908" w14:textId="77777777" w:rsidR="00B7495D" w:rsidRPr="00051D51" w:rsidRDefault="00B7495D" w:rsidP="00293454">
            <w:pPr>
              <w:pStyle w:val="Tabletext"/>
              <w:jc w:val="center"/>
              <w:rPr>
                <w:i/>
              </w:rPr>
            </w:pPr>
            <w:r w:rsidRPr="00051D51">
              <w:rPr>
                <w:i/>
              </w:rPr>
              <w:t>10 years or</w:t>
            </w:r>
            <w:r>
              <w:rPr>
                <w:i/>
              </w:rPr>
              <w:t xml:space="preserve"> </w:t>
            </w:r>
            <w:r w:rsidRPr="00051D51">
              <w:rPr>
                <w:i/>
              </w:rPr>
              <w:t>3 generations</w:t>
            </w:r>
            <w:r>
              <w:rPr>
                <w:i/>
              </w:rPr>
              <w:t xml:space="preserve"> (up to a maximum of 60 years)</w:t>
            </w:r>
          </w:p>
        </w:tc>
        <w:tc>
          <w:tcPr>
            <w:tcW w:w="937" w:type="pct"/>
            <w:shd w:val="clear" w:color="auto" w:fill="auto"/>
          </w:tcPr>
          <w:p w14:paraId="418F2EDC" w14:textId="77777777" w:rsidR="00B7495D" w:rsidRPr="00051D51" w:rsidRDefault="00B7495D" w:rsidP="00293454">
            <w:pPr>
              <w:pStyle w:val="Tabletext"/>
              <w:jc w:val="center"/>
              <w:rPr>
                <w:i/>
              </w:rPr>
            </w:pPr>
            <w:r w:rsidRPr="00051D51">
              <w:rPr>
                <w:i/>
              </w:rPr>
              <w:t>20 years or</w:t>
            </w:r>
            <w:r>
              <w:rPr>
                <w:i/>
              </w:rPr>
              <w:t xml:space="preserve"> </w:t>
            </w:r>
            <w:r w:rsidRPr="00051D51">
              <w:rPr>
                <w:i/>
              </w:rPr>
              <w:t>5 generations</w:t>
            </w:r>
            <w:r>
              <w:rPr>
                <w:i/>
              </w:rPr>
              <w:t xml:space="preserve"> (up to a maximum of 100 years)</w:t>
            </w:r>
          </w:p>
        </w:tc>
        <w:tc>
          <w:tcPr>
            <w:tcW w:w="938" w:type="pct"/>
            <w:shd w:val="clear" w:color="auto" w:fill="auto"/>
          </w:tcPr>
          <w:p w14:paraId="2D05776E" w14:textId="77777777" w:rsidR="00B7495D" w:rsidRPr="00051D51" w:rsidRDefault="00B7495D" w:rsidP="00293454">
            <w:pPr>
              <w:pStyle w:val="Tabletext"/>
              <w:jc w:val="center"/>
              <w:rPr>
                <w:i/>
              </w:rPr>
            </w:pPr>
            <w:r w:rsidRPr="00051D51">
              <w:rPr>
                <w:i/>
              </w:rPr>
              <w:t>50 years or</w:t>
            </w:r>
            <w:r>
              <w:rPr>
                <w:i/>
              </w:rPr>
              <w:t xml:space="preserve"> </w:t>
            </w:r>
            <w:r w:rsidRPr="00051D51">
              <w:rPr>
                <w:i/>
              </w:rPr>
              <w:t>10 generations</w:t>
            </w:r>
            <w:r>
              <w:rPr>
                <w:i/>
              </w:rPr>
              <w:t xml:space="preserve"> (up to a maximum of 100 years)</w:t>
            </w:r>
          </w:p>
        </w:tc>
      </w:tr>
    </w:tbl>
    <w:p w14:paraId="535F3E11" w14:textId="77777777" w:rsidR="00B7495D" w:rsidRDefault="00B7495D" w:rsidP="00B7495D"/>
    <w:p w14:paraId="331AECCC" w14:textId="77777777" w:rsidR="00220A96" w:rsidRDefault="00A4403E" w:rsidP="00A4403E">
      <w:r w:rsidRPr="005B7AA3">
        <w:t>There are no quantitative data available to assess th</w:t>
      </w:r>
      <w:r>
        <w:t>e</w:t>
      </w:r>
      <w:r w:rsidRPr="005B7AA3">
        <w:t xml:space="preserve"> ecological community under this criterion. </w:t>
      </w:r>
    </w:p>
    <w:p w14:paraId="34EDBAE1" w14:textId="646FE116" w:rsidR="00A4403E" w:rsidRPr="00DA1F77" w:rsidRDefault="00A4403E" w:rsidP="00A4403E">
      <w:r w:rsidRPr="005B7AA3">
        <w:t xml:space="preserve">Therefore, it is </w:t>
      </w:r>
      <w:r w:rsidRPr="005B7AA3">
        <w:rPr>
          <w:b/>
          <w:bCs/>
        </w:rPr>
        <w:t xml:space="preserve">not eligible </w:t>
      </w:r>
      <w:r w:rsidRPr="005B7AA3">
        <w:t>for listing under this criterion.</w:t>
      </w:r>
      <w:r>
        <w:t xml:space="preserve"> </w:t>
      </w:r>
    </w:p>
    <w:p w14:paraId="26278673" w14:textId="2F577A13" w:rsidR="00DB129A" w:rsidRPr="005C672D" w:rsidRDefault="00DB129A" w:rsidP="005C672D">
      <w:pPr>
        <w:spacing w:after="160" w:line="259" w:lineRule="auto"/>
      </w:pPr>
    </w:p>
    <w:p w14:paraId="73D0B892" w14:textId="77777777" w:rsidR="00CD649F" w:rsidRDefault="00CD649F" w:rsidP="00CD649F">
      <w:pPr>
        <w:pStyle w:val="Heading1"/>
        <w:numPr>
          <w:ilvl w:val="0"/>
          <w:numId w:val="0"/>
        </w:numPr>
      </w:pPr>
      <w:bookmarkStart w:id="299" w:name="_Ref17974956"/>
      <w:bookmarkStart w:id="300" w:name="_Ref17975023"/>
      <w:bookmarkStart w:id="301" w:name="_Ref17975079"/>
      <w:bookmarkStart w:id="302" w:name="_Ref17975136"/>
      <w:bookmarkStart w:id="303" w:name="_Toc158825499"/>
      <w:bookmarkStart w:id="304" w:name="_Toc175572793"/>
      <w:r>
        <w:t xml:space="preserve">Appendix A – </w:t>
      </w:r>
      <w:r w:rsidRPr="00DF0E17">
        <w:t>Additional information on ‘area in nature’</w:t>
      </w:r>
    </w:p>
    <w:p w14:paraId="2945A89C" w14:textId="77777777" w:rsidR="00CD649F" w:rsidRDefault="00CD649F" w:rsidP="00CD649F">
      <w:pPr>
        <w:pStyle w:val="Heading1"/>
        <w:numPr>
          <w:ilvl w:val="0"/>
          <w:numId w:val="0"/>
        </w:numPr>
        <w:ind w:left="431" w:hanging="431"/>
      </w:pPr>
      <w:bookmarkStart w:id="305" w:name="_Toc158683496"/>
      <w:bookmarkStart w:id="306" w:name="_Toc158825498"/>
      <w:bookmarkStart w:id="307" w:name="_Toc175317109"/>
      <w:bookmarkStart w:id="308" w:name="_Toc175572794"/>
      <w:r>
        <w:t xml:space="preserve">Appendix B – </w:t>
      </w:r>
      <w:bookmarkEnd w:id="305"/>
      <w:r>
        <w:t xml:space="preserve">Additional information on </w:t>
      </w:r>
      <w:bookmarkEnd w:id="306"/>
      <w:r>
        <w:t>‘assemblage of species’ (i.e. Flora and Fauna)</w:t>
      </w:r>
      <w:bookmarkEnd w:id="307"/>
      <w:bookmarkEnd w:id="308"/>
    </w:p>
    <w:p w14:paraId="5D3AAEF9" w14:textId="77777777" w:rsidR="00C756FD" w:rsidRDefault="00C756FD" w:rsidP="00C756FD">
      <w:pPr>
        <w:pStyle w:val="Heading1"/>
        <w:numPr>
          <w:ilvl w:val="0"/>
          <w:numId w:val="0"/>
        </w:numPr>
        <w:ind w:left="431" w:hanging="431"/>
      </w:pPr>
      <w:bookmarkStart w:id="309" w:name="_Toc175572795"/>
      <w:r>
        <w:t>References</w:t>
      </w:r>
      <w:bookmarkEnd w:id="309"/>
    </w:p>
    <w:p w14:paraId="41B82D94" w14:textId="49F2E8CB" w:rsidR="00467FB3" w:rsidRDefault="00467FB3" w:rsidP="00467FB3">
      <w:pPr>
        <w:spacing w:after="160" w:line="259" w:lineRule="auto"/>
      </w:pPr>
    </w:p>
    <w:p w14:paraId="51B961CE" w14:textId="77777777" w:rsidR="00467FB3" w:rsidRPr="00B34340" w:rsidRDefault="00467FB3" w:rsidP="00467FB3">
      <w:pPr>
        <w:rPr>
          <w:sz w:val="18"/>
          <w:szCs w:val="18"/>
        </w:rPr>
      </w:pPr>
      <w:r w:rsidRPr="00EC48DC">
        <w:t>© Commonwealth of Australia 2024</w:t>
      </w:r>
      <w:r w:rsidRPr="00B34340">
        <w:rPr>
          <w:sz w:val="18"/>
          <w:szCs w:val="18"/>
        </w:rPr>
        <w:t xml:space="preserve"> </w:t>
      </w:r>
      <w:r w:rsidRPr="00B34340">
        <w:rPr>
          <w:noProof/>
          <w:sz w:val="18"/>
          <w:szCs w:val="18"/>
        </w:rPr>
        <w:drawing>
          <wp:inline distT="0" distB="0" distL="0" distR="0" wp14:anchorId="7D1DFB31" wp14:editId="023A8AE7">
            <wp:extent cx="600075" cy="20995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8"/>
                    <a:stretch>
                      <a:fillRect/>
                    </a:stretch>
                  </pic:blipFill>
                  <pic:spPr>
                    <a:xfrm>
                      <a:off x="0" y="0"/>
                      <a:ext cx="625166" cy="218731"/>
                    </a:xfrm>
                    <a:prstGeom prst="rect">
                      <a:avLst/>
                    </a:prstGeom>
                  </pic:spPr>
                </pic:pic>
              </a:graphicData>
            </a:graphic>
          </wp:inline>
        </w:drawing>
      </w:r>
    </w:p>
    <w:p w14:paraId="4FE9E9E9" w14:textId="77777777" w:rsidR="00467FB3" w:rsidRPr="002F0FB5" w:rsidRDefault="00467FB3" w:rsidP="00467FB3">
      <w:pPr>
        <w:pStyle w:val="Endpagetext"/>
        <w:rPr>
          <w:b/>
          <w:bCs/>
        </w:rPr>
      </w:pPr>
      <w:r w:rsidRPr="002F0FB5">
        <w:rPr>
          <w:b/>
          <w:bCs/>
        </w:rPr>
        <w:t>Ownership of intellectual property rights</w:t>
      </w:r>
    </w:p>
    <w:p w14:paraId="5BBF73D3" w14:textId="77777777" w:rsidR="00467FB3" w:rsidRPr="004A269D" w:rsidRDefault="00467FB3" w:rsidP="00467FB3">
      <w:pPr>
        <w:pStyle w:val="Endpagetext"/>
      </w:pPr>
      <w:r w:rsidRPr="004A269D">
        <w:t>Unless otherwise noted, copyright (and any other intellectual property rights) in this publication is owned by the Commonwealth of Australia (referred to as the Commonwealth).</w:t>
      </w:r>
    </w:p>
    <w:p w14:paraId="5ACB39DF" w14:textId="77777777" w:rsidR="00467FB3" w:rsidRPr="002F0FB5" w:rsidRDefault="00467FB3" w:rsidP="00467FB3">
      <w:pPr>
        <w:pStyle w:val="Endpagetext"/>
        <w:rPr>
          <w:b/>
          <w:bCs/>
        </w:rPr>
      </w:pPr>
      <w:r w:rsidRPr="002F0FB5">
        <w:rPr>
          <w:b/>
          <w:bCs/>
        </w:rPr>
        <w:t>Creative Commons licence</w:t>
      </w:r>
    </w:p>
    <w:p w14:paraId="41780025" w14:textId="77777777" w:rsidR="00467FB3" w:rsidRPr="004A269D" w:rsidRDefault="00467FB3" w:rsidP="00467FB3">
      <w:pPr>
        <w:pStyle w:val="Endpagetext"/>
      </w:pPr>
      <w:r w:rsidRPr="004A269D">
        <w:t xml:space="preserve">All material in this publication is licensed under a </w:t>
      </w:r>
      <w:hyperlink r:id="rId49" w:history="1">
        <w:r w:rsidRPr="004A269D">
          <w:rPr>
            <w:rStyle w:val="Hyperlink"/>
            <w:sz w:val="18"/>
          </w:rPr>
          <w:t>Creative Commons Attribution 4.0 International Licence</w:t>
        </w:r>
      </w:hyperlink>
      <w:r w:rsidRPr="004A269D">
        <w:t xml:space="preserve"> except content supplied by third parties, logos and the Commonwealth Coat of Arms.</w:t>
      </w:r>
    </w:p>
    <w:p w14:paraId="33AA6701" w14:textId="77777777" w:rsidR="00467FB3" w:rsidRPr="004A269D" w:rsidRDefault="00467FB3" w:rsidP="00467FB3">
      <w:pPr>
        <w:pStyle w:val="Endpagetext"/>
      </w:pPr>
      <w:r w:rsidRPr="004A269D">
        <w:t xml:space="preserve">Inquiries about the licence and any use of this document should be emailed to </w:t>
      </w:r>
      <w:hyperlink r:id="rId50" w:history="1">
        <w:r w:rsidRPr="004A269D">
          <w:rPr>
            <w:rStyle w:val="Hyperlink"/>
            <w:sz w:val="18"/>
          </w:rPr>
          <w:t>copyright@awe.gov.au</w:t>
        </w:r>
      </w:hyperlink>
      <w:r w:rsidRPr="004A269D">
        <w:t>.</w:t>
      </w:r>
    </w:p>
    <w:p w14:paraId="2B3E69DB" w14:textId="77777777" w:rsidR="00467FB3" w:rsidRPr="002F0FB5" w:rsidRDefault="00467FB3" w:rsidP="00467FB3">
      <w:pPr>
        <w:pStyle w:val="Endpagetext"/>
        <w:rPr>
          <w:b/>
          <w:bCs/>
        </w:rPr>
      </w:pPr>
      <w:r w:rsidRPr="002F0FB5">
        <w:rPr>
          <w:b/>
          <w:bCs/>
        </w:rPr>
        <w:t>Cataloguing data</w:t>
      </w:r>
    </w:p>
    <w:p w14:paraId="146FBDE5" w14:textId="70622DFA" w:rsidR="00467FB3" w:rsidRPr="004A269D" w:rsidRDefault="00467FB3" w:rsidP="00467FB3">
      <w:pPr>
        <w:pStyle w:val="Endpagetext"/>
      </w:pPr>
      <w:r w:rsidRPr="004A269D">
        <w:t xml:space="preserve">This publication (and any material sourced from it) should be attributed as: Department of </w:t>
      </w:r>
      <w:r>
        <w:t>Climate Change, Energy, the Environment and Water</w:t>
      </w:r>
      <w:r w:rsidRPr="004A269D">
        <w:t xml:space="preserve"> 20</w:t>
      </w:r>
      <w:r w:rsidRPr="004744A6">
        <w:t>24</w:t>
      </w:r>
      <w:r w:rsidRPr="004A269D">
        <w:t xml:space="preserve">, </w:t>
      </w:r>
      <w:r w:rsidRPr="00E07430">
        <w:t xml:space="preserve">Draft </w:t>
      </w:r>
      <w:r w:rsidRPr="004A269D">
        <w:rPr>
          <w:i/>
        </w:rPr>
        <w:t xml:space="preserve">Conservation </w:t>
      </w:r>
      <w:r>
        <w:rPr>
          <w:i/>
        </w:rPr>
        <w:t>A</w:t>
      </w:r>
      <w:r w:rsidRPr="004A269D">
        <w:rPr>
          <w:i/>
        </w:rPr>
        <w:t xml:space="preserve">dvice for </w:t>
      </w:r>
      <w:r w:rsidRPr="005927A4">
        <w:rPr>
          <w:i/>
          <w:iCs/>
        </w:rPr>
        <w:t>River Murray downstream of the Darling River, and associated aquatic and floodplain systems</w:t>
      </w:r>
      <w:r w:rsidRPr="005927A4">
        <w:rPr>
          <w:i/>
        </w:rPr>
        <w:t xml:space="preserve"> </w:t>
      </w:r>
      <w:r w:rsidRPr="00E07430">
        <w:t>T</w:t>
      </w:r>
      <w:r>
        <w:t xml:space="preserve">hreatened </w:t>
      </w:r>
      <w:r w:rsidRPr="00E07430">
        <w:t>E</w:t>
      </w:r>
      <w:r>
        <w:t xml:space="preserve">cological </w:t>
      </w:r>
      <w:r w:rsidRPr="00E07430">
        <w:t>C</w:t>
      </w:r>
      <w:r>
        <w:t>ommunity</w:t>
      </w:r>
      <w:r w:rsidRPr="004A269D">
        <w:t xml:space="preserve">, Canberra. </w:t>
      </w:r>
    </w:p>
    <w:p w14:paraId="1DD4AAAC" w14:textId="77777777" w:rsidR="00467FB3" w:rsidRPr="00B860C1" w:rsidRDefault="00467FB3" w:rsidP="00467FB3">
      <w:pPr>
        <w:pStyle w:val="Endpagetext"/>
        <w:rPr>
          <w:iCs/>
          <w:color w:val="808080" w:themeColor="background1" w:themeShade="80"/>
        </w:rPr>
      </w:pPr>
      <w:r w:rsidRPr="004A269D">
        <w:t xml:space="preserve">This publication is available at the </w:t>
      </w:r>
      <w:hyperlink r:id="rId51" w:history="1">
        <w:r w:rsidRPr="000D6662">
          <w:rPr>
            <w:rStyle w:val="Hyperlink"/>
            <w:color w:val="auto"/>
            <w:sz w:val="18"/>
          </w:rPr>
          <w:t>SPRAT profile for River Murray downstream of the Darling River, and associated aquatic and floodplain systems</w:t>
        </w:r>
        <w:r>
          <w:rPr>
            <w:rStyle w:val="Hyperlink"/>
            <w:color w:val="auto"/>
            <w:sz w:val="18"/>
          </w:rPr>
          <w:t>.</w:t>
        </w:r>
        <w:r w:rsidRPr="000D6662">
          <w:rPr>
            <w:rStyle w:val="Hyperlink"/>
            <w:color w:val="auto"/>
            <w:sz w:val="18"/>
          </w:rPr>
          <w:t xml:space="preserve"> </w:t>
        </w:r>
      </w:hyperlink>
    </w:p>
    <w:p w14:paraId="02A44FF8" w14:textId="77777777" w:rsidR="00467FB3" w:rsidRPr="004A269D" w:rsidRDefault="00467FB3" w:rsidP="00467FB3">
      <w:pPr>
        <w:pStyle w:val="Endpagetext"/>
        <w:spacing w:after="0"/>
      </w:pPr>
      <w:r w:rsidRPr="004A269D">
        <w:t xml:space="preserve">Department of </w:t>
      </w:r>
      <w:r>
        <w:t>Climate Change, Energy, the Environment and Water</w:t>
      </w:r>
    </w:p>
    <w:p w14:paraId="749C9B82" w14:textId="77777777" w:rsidR="00467FB3" w:rsidRDefault="00467FB3" w:rsidP="00467FB3">
      <w:pPr>
        <w:pStyle w:val="Endpagetext"/>
        <w:spacing w:after="0"/>
      </w:pPr>
      <w:r w:rsidRPr="004A269D">
        <w:t>GPO Box 858, Canberra ACT 2601</w:t>
      </w:r>
    </w:p>
    <w:p w14:paraId="3706AFD5" w14:textId="77777777" w:rsidR="00467FB3" w:rsidRDefault="00467FB3" w:rsidP="00467FB3">
      <w:pPr>
        <w:pStyle w:val="Endpagetext"/>
        <w:spacing w:after="0"/>
      </w:pPr>
      <w:r>
        <w:t xml:space="preserve">Telephone </w:t>
      </w:r>
      <w:r w:rsidRPr="00773056">
        <w:t>1800 900 090</w:t>
      </w:r>
    </w:p>
    <w:p w14:paraId="169454A0" w14:textId="77777777" w:rsidR="00467FB3" w:rsidRDefault="00467FB3" w:rsidP="00467FB3">
      <w:pPr>
        <w:pStyle w:val="Endpagetext"/>
      </w:pPr>
      <w:r w:rsidRPr="00E20810">
        <w:t xml:space="preserve">Web </w:t>
      </w:r>
      <w:hyperlink r:id="rId52" w:history="1">
        <w:r>
          <w:rPr>
            <w:rStyle w:val="Hyperlink"/>
          </w:rPr>
          <w:t>dcceew</w:t>
        </w:r>
        <w:r w:rsidRPr="00E20810">
          <w:rPr>
            <w:rStyle w:val="Hyperlink"/>
          </w:rPr>
          <w:t>.gov.au</w:t>
        </w:r>
      </w:hyperlink>
    </w:p>
    <w:p w14:paraId="537F3439" w14:textId="77777777" w:rsidR="00467FB3" w:rsidRDefault="00467FB3" w:rsidP="00467FB3">
      <w:pPr>
        <w:pStyle w:val="Endpagetext"/>
      </w:pPr>
      <w:r>
        <w:lastRenderedPageBreak/>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2034E17" w14:textId="77777777" w:rsidR="00467FB3" w:rsidRPr="002F0FB5" w:rsidRDefault="00467FB3" w:rsidP="00467FB3">
      <w:pPr>
        <w:pStyle w:val="Endpagetext"/>
        <w:rPr>
          <w:b/>
          <w:bCs/>
        </w:rPr>
      </w:pPr>
      <w:r w:rsidRPr="002F0FB5">
        <w:rPr>
          <w:b/>
          <w:bCs/>
        </w:rP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467FB3" w:rsidRPr="00B860C1" w14:paraId="49311E4D" w14:textId="77777777" w:rsidTr="00223D0E">
        <w:trPr>
          <w:cantSplit/>
          <w:tblHeader/>
        </w:trPr>
        <w:tc>
          <w:tcPr>
            <w:tcW w:w="3020" w:type="dxa"/>
            <w:tcBorders>
              <w:top w:val="single" w:sz="4" w:space="0" w:color="auto"/>
              <w:bottom w:val="single" w:sz="4" w:space="0" w:color="auto"/>
            </w:tcBorders>
          </w:tcPr>
          <w:p w14:paraId="63D7AAF6" w14:textId="77777777" w:rsidR="00467FB3" w:rsidRPr="00B860C1" w:rsidRDefault="00467FB3" w:rsidP="00223D0E">
            <w:pPr>
              <w:pStyle w:val="TableText0"/>
              <w:rPr>
                <w:b/>
                <w:bCs/>
              </w:rPr>
            </w:pPr>
            <w:r w:rsidRPr="00B860C1">
              <w:rPr>
                <w:b/>
                <w:bCs/>
              </w:rPr>
              <w:t>Document type</w:t>
            </w:r>
          </w:p>
        </w:tc>
        <w:tc>
          <w:tcPr>
            <w:tcW w:w="3020" w:type="dxa"/>
            <w:tcBorders>
              <w:top w:val="single" w:sz="4" w:space="0" w:color="auto"/>
              <w:bottom w:val="single" w:sz="4" w:space="0" w:color="auto"/>
            </w:tcBorders>
          </w:tcPr>
          <w:p w14:paraId="63C67AB4" w14:textId="77777777" w:rsidR="00467FB3" w:rsidRPr="00B860C1" w:rsidRDefault="00467FB3" w:rsidP="00223D0E">
            <w:pPr>
              <w:pStyle w:val="TableText0"/>
              <w:rPr>
                <w:b/>
                <w:bCs/>
              </w:rPr>
            </w:pPr>
            <w:r w:rsidRPr="00B860C1">
              <w:rPr>
                <w:b/>
                <w:bCs/>
              </w:rPr>
              <w:t>Title</w:t>
            </w:r>
          </w:p>
        </w:tc>
        <w:tc>
          <w:tcPr>
            <w:tcW w:w="3020" w:type="dxa"/>
            <w:tcBorders>
              <w:top w:val="single" w:sz="4" w:space="0" w:color="auto"/>
              <w:bottom w:val="single" w:sz="4" w:space="0" w:color="auto"/>
            </w:tcBorders>
          </w:tcPr>
          <w:p w14:paraId="505E3557" w14:textId="77777777" w:rsidR="00467FB3" w:rsidRPr="00B860C1" w:rsidRDefault="00467FB3" w:rsidP="00223D0E">
            <w:pPr>
              <w:pStyle w:val="TableText0"/>
              <w:rPr>
                <w:b/>
                <w:bCs/>
              </w:rPr>
            </w:pPr>
            <w:r w:rsidRPr="00B860C1">
              <w:rPr>
                <w:b/>
                <w:bCs/>
              </w:rPr>
              <w:t>Date [dd mm yyyy]</w:t>
            </w:r>
          </w:p>
        </w:tc>
      </w:tr>
      <w:tr w:rsidR="00467FB3" w14:paraId="7EDAD161" w14:textId="77777777" w:rsidTr="00223D0E">
        <w:tc>
          <w:tcPr>
            <w:tcW w:w="3020" w:type="dxa"/>
            <w:tcBorders>
              <w:top w:val="single" w:sz="4" w:space="0" w:color="auto"/>
            </w:tcBorders>
          </w:tcPr>
          <w:p w14:paraId="7C6445B0" w14:textId="77777777" w:rsidR="00467FB3" w:rsidRDefault="00467FB3" w:rsidP="00223D0E">
            <w:pPr>
              <w:pStyle w:val="TableText0"/>
            </w:pPr>
            <w:r w:rsidRPr="005A7DB6">
              <w:t>Consultation draft</w:t>
            </w:r>
          </w:p>
        </w:tc>
        <w:tc>
          <w:tcPr>
            <w:tcW w:w="3020" w:type="dxa"/>
            <w:tcBorders>
              <w:top w:val="single" w:sz="4" w:space="0" w:color="auto"/>
            </w:tcBorders>
          </w:tcPr>
          <w:p w14:paraId="2DD26959" w14:textId="4D39C4EB" w:rsidR="00467FB3" w:rsidRDefault="00467FB3" w:rsidP="00223D0E">
            <w:pPr>
              <w:pStyle w:val="TableText0"/>
            </w:pPr>
            <w:r w:rsidRPr="005A7DB6">
              <w:t>Draft Conservation Advice for the River Murray downstream of the Darling River, and associated aquatic and floodplain systems</w:t>
            </w:r>
          </w:p>
        </w:tc>
        <w:tc>
          <w:tcPr>
            <w:tcW w:w="3020" w:type="dxa"/>
            <w:tcBorders>
              <w:top w:val="single" w:sz="4" w:space="0" w:color="auto"/>
            </w:tcBorders>
          </w:tcPr>
          <w:p w14:paraId="7C205145" w14:textId="54E5A38C" w:rsidR="00467FB3" w:rsidRDefault="008B3CF5" w:rsidP="00223D0E">
            <w:pPr>
              <w:pStyle w:val="TableText0"/>
            </w:pPr>
            <w:r>
              <w:t>0</w:t>
            </w:r>
            <w:r w:rsidR="00467FB3">
              <w:t>2</w:t>
            </w:r>
            <w:r>
              <w:t xml:space="preserve"> </w:t>
            </w:r>
            <w:r w:rsidR="00467FB3">
              <w:t>0</w:t>
            </w:r>
            <w:r>
              <w:t xml:space="preserve">9 </w:t>
            </w:r>
            <w:r w:rsidR="00467FB3">
              <w:t>2024</w:t>
            </w:r>
          </w:p>
        </w:tc>
      </w:tr>
      <w:tr w:rsidR="00467FB3" w14:paraId="55D891E6" w14:textId="77777777" w:rsidTr="00223D0E">
        <w:tc>
          <w:tcPr>
            <w:tcW w:w="3020" w:type="dxa"/>
          </w:tcPr>
          <w:p w14:paraId="2B9F6642" w14:textId="77777777" w:rsidR="00467FB3" w:rsidRDefault="00467FB3" w:rsidP="00223D0E">
            <w:pPr>
              <w:pStyle w:val="TableText0"/>
            </w:pPr>
            <w:r>
              <w:t>–</w:t>
            </w:r>
          </w:p>
        </w:tc>
        <w:tc>
          <w:tcPr>
            <w:tcW w:w="3020" w:type="dxa"/>
          </w:tcPr>
          <w:p w14:paraId="1D22BABC" w14:textId="77777777" w:rsidR="00467FB3" w:rsidRDefault="00467FB3" w:rsidP="00223D0E">
            <w:pPr>
              <w:pStyle w:val="TableText0"/>
            </w:pPr>
            <w:r>
              <w:t>–</w:t>
            </w:r>
          </w:p>
        </w:tc>
        <w:tc>
          <w:tcPr>
            <w:tcW w:w="3020" w:type="dxa"/>
          </w:tcPr>
          <w:p w14:paraId="58628015" w14:textId="77777777" w:rsidR="00467FB3" w:rsidRDefault="00467FB3" w:rsidP="00223D0E">
            <w:pPr>
              <w:pStyle w:val="TableText0"/>
            </w:pPr>
            <w:r>
              <w:t>–</w:t>
            </w:r>
          </w:p>
        </w:tc>
      </w:tr>
      <w:bookmarkEnd w:id="296"/>
      <w:bookmarkEnd w:id="299"/>
      <w:bookmarkEnd w:id="300"/>
      <w:bookmarkEnd w:id="301"/>
      <w:bookmarkEnd w:id="302"/>
      <w:bookmarkEnd w:id="303"/>
      <w:bookmarkEnd w:id="304"/>
    </w:tbl>
    <w:p w14:paraId="70621073" w14:textId="77777777" w:rsidR="00467FB3" w:rsidRPr="0062456E" w:rsidRDefault="00467FB3" w:rsidP="00467FB3">
      <w:pPr>
        <w:pStyle w:val="Endpagetext"/>
        <w:rPr>
          <w:lang w:val="en-US"/>
        </w:rPr>
      </w:pPr>
    </w:p>
    <w:sectPr w:rsidR="00467FB3" w:rsidRPr="0062456E" w:rsidSect="00143D3C">
      <w:pgSz w:w="11906" w:h="16838"/>
      <w:pgMar w:top="1134" w:right="1418" w:bottom="1134"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11F75" w14:textId="77777777" w:rsidR="00DA29B3" w:rsidRDefault="00DA29B3" w:rsidP="00DE4E39">
      <w:pPr>
        <w:spacing w:after="0"/>
      </w:pPr>
      <w:r>
        <w:separator/>
      </w:r>
    </w:p>
    <w:p w14:paraId="19109037" w14:textId="77777777" w:rsidR="00DA29B3" w:rsidRDefault="00DA29B3"/>
  </w:endnote>
  <w:endnote w:type="continuationSeparator" w:id="0">
    <w:p w14:paraId="690FB1CC" w14:textId="77777777" w:rsidR="00DA29B3" w:rsidRDefault="00DA29B3" w:rsidP="00DE4E39">
      <w:pPr>
        <w:spacing w:after="0"/>
      </w:pPr>
      <w:r>
        <w:continuationSeparator/>
      </w:r>
    </w:p>
    <w:p w14:paraId="1A24DD24" w14:textId="77777777" w:rsidR="00DA29B3" w:rsidRDefault="00DA29B3"/>
  </w:endnote>
  <w:endnote w:type="continuationNotice" w:id="1">
    <w:p w14:paraId="445BF3DB" w14:textId="77777777" w:rsidR="00DA29B3" w:rsidRDefault="00DA29B3">
      <w:pPr>
        <w:spacing w:after="0"/>
      </w:pPr>
    </w:p>
    <w:p w14:paraId="16A70249" w14:textId="77777777" w:rsidR="00DA29B3" w:rsidRDefault="00DA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ork Sans">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GoudyOlSt BT">
    <w:altName w:val="GoudyOlS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8651" w14:textId="64CAC79B" w:rsidR="00491498" w:rsidRDefault="00491498">
    <w:pPr>
      <w:pStyle w:val="Footer"/>
    </w:pPr>
    <w:r>
      <w:rPr>
        <w:noProof/>
      </w:rPr>
      <mc:AlternateContent>
        <mc:Choice Requires="wps">
          <w:drawing>
            <wp:anchor distT="0" distB="0" distL="0" distR="0" simplePos="0" relativeHeight="251683840" behindDoc="0" locked="0" layoutInCell="1" allowOverlap="1" wp14:anchorId="525860DF" wp14:editId="442CE860">
              <wp:simplePos x="635" y="635"/>
              <wp:positionH relativeFrom="page">
                <wp:align>center</wp:align>
              </wp:positionH>
              <wp:positionV relativeFrom="page">
                <wp:align>bottom</wp:align>
              </wp:positionV>
              <wp:extent cx="551815" cy="404495"/>
              <wp:effectExtent l="0" t="0" r="635" b="0"/>
              <wp:wrapNone/>
              <wp:docPr id="45125662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69FC01" w14:textId="08F5A036"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860DF" id="_x0000_t202" coordsize="21600,21600" o:spt="202" path="m,l,21600r21600,l21600,xe">
              <v:stroke joinstyle="miter"/>
              <v:path gradientshapeok="t" o:connecttype="rect"/>
            </v:shapetype>
            <v:shape id="Text Box 8" o:spid="_x0000_s1028" type="#_x0000_t202" alt="OFFICIAL" style="position:absolute;margin-left:0;margin-top:0;width:43.45pt;height:31.8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C69FC01" w14:textId="08F5A036"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48961"/>
      <w:docPartObj>
        <w:docPartGallery w:val="Page Numbers (Bottom of Page)"/>
        <w:docPartUnique/>
      </w:docPartObj>
    </w:sdtPr>
    <w:sdtEndPr>
      <w:rPr>
        <w:noProof/>
      </w:rPr>
    </w:sdtEndPr>
    <w:sdtContent>
      <w:p w14:paraId="2E32E1D7" w14:textId="77777777" w:rsidR="007C4711" w:rsidRDefault="007C4711" w:rsidP="007C4711">
        <w:pPr>
          <w:pStyle w:val="Footer"/>
          <w:jc w:val="center"/>
          <w:rPr>
            <w:noProof/>
            <w:sz w:val="18"/>
            <w:szCs w:val="18"/>
            <w:lang w:val="en-US"/>
          </w:rPr>
        </w:pPr>
        <w:r>
          <w:rPr>
            <w:sz w:val="18"/>
            <w:szCs w:val="18"/>
            <w:lang w:val="en-US"/>
          </w:rPr>
          <w:t>Department of Climate Change, Energy, the Environment and Water</w:t>
        </w:r>
        <w:r>
          <w:rPr>
            <w:noProof/>
            <w:sz w:val="18"/>
            <w:szCs w:val="18"/>
            <w:lang w:val="en-US"/>
          </w:rPr>
          <w:t xml:space="preserve"> </w:t>
        </w:r>
      </w:p>
      <w:p w14:paraId="59AD64C4" w14:textId="77777777" w:rsidR="007C4711" w:rsidRDefault="007C4711" w:rsidP="007C4711">
        <w:pPr>
          <w:pStyle w:val="Footer"/>
          <w:jc w:val="center"/>
          <w:rPr>
            <w:noProof/>
          </w:rPr>
        </w:pPr>
        <w:r>
          <w:fldChar w:fldCharType="begin"/>
        </w:r>
        <w:r>
          <w:instrText xml:space="preserve"> PAGE   \* MERGEFORMAT </w:instrText>
        </w:r>
        <w:r>
          <w:fldChar w:fldCharType="separate"/>
        </w:r>
        <w:r>
          <w:t>i</w:t>
        </w:r>
        <w:r>
          <w:rPr>
            <w:noProof/>
          </w:rPr>
          <w:fldChar w:fldCharType="end"/>
        </w:r>
      </w:p>
    </w:sdtContent>
  </w:sdt>
  <w:p w14:paraId="1B577E2B" w14:textId="5B229B51" w:rsidR="00463EF8" w:rsidRPr="007C4711" w:rsidRDefault="00491498" w:rsidP="007C4711">
    <w:pPr>
      <w:pStyle w:val="Footer"/>
      <w:jc w:val="center"/>
      <w:rPr>
        <w:noProof/>
      </w:rPr>
    </w:pPr>
    <w:r>
      <w:rPr>
        <w:noProof/>
        <w:sz w:val="18"/>
        <w:szCs w:val="18"/>
        <w:lang w:val="en-US"/>
      </w:rPr>
      <mc:AlternateContent>
        <mc:Choice Requires="wps">
          <w:drawing>
            <wp:anchor distT="0" distB="0" distL="0" distR="0" simplePos="0" relativeHeight="251648000" behindDoc="0" locked="0" layoutInCell="1" allowOverlap="1" wp14:anchorId="3176B899" wp14:editId="4EF02195">
              <wp:simplePos x="0" y="0"/>
              <wp:positionH relativeFrom="page">
                <wp:posOffset>3503930</wp:posOffset>
              </wp:positionH>
              <wp:positionV relativeFrom="page">
                <wp:align>bottom</wp:align>
              </wp:positionV>
              <wp:extent cx="551815" cy="404495"/>
              <wp:effectExtent l="0" t="0" r="635" b="0"/>
              <wp:wrapNone/>
              <wp:docPr id="124858443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25118C6" w14:textId="3C304E8E"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76B899" id="_x0000_t202" coordsize="21600,21600" o:spt="202" path="m,l,21600r21600,l21600,xe">
              <v:stroke joinstyle="miter"/>
              <v:path gradientshapeok="t" o:connecttype="rect"/>
            </v:shapetype>
            <v:shape id="_x0000_s1029" type="#_x0000_t202" alt="OFFICIAL" style="position:absolute;left:0;text-align:left;margin-left:275.9pt;margin-top:0;width:43.45pt;height:31.85pt;z-index:251648000;visibility:visible;mso-wrap-style:none;mso-wrap-distance-left:0;mso-wrap-distance-top:0;mso-wrap-distance-right:0;mso-wrap-distance-bottom:0;mso-position-horizontal:absolute;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" filled="f" stroked="f">
              <v:textbox style="mso-fit-shape-to-text:t" inset="0,0,0,15pt">
                <w:txbxContent>
                  <w:p w14:paraId="425118C6" w14:textId="3C304E8E"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p>
  <w:p w14:paraId="37B45502" w14:textId="77777777" w:rsidR="007C4711" w:rsidRDefault="007C47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705251"/>
      <w:docPartObj>
        <w:docPartGallery w:val="Page Numbers (Bottom of Page)"/>
        <w:docPartUnique/>
      </w:docPartObj>
    </w:sdtPr>
    <w:sdtEndPr>
      <w:rPr>
        <w:noProof/>
      </w:rPr>
    </w:sdtEndPr>
    <w:sdtContent>
      <w:p w14:paraId="091219BE" w14:textId="77777777" w:rsidR="005D5814" w:rsidRDefault="005D5814">
        <w:pPr>
          <w:pStyle w:val="Footer"/>
          <w:jc w:val="center"/>
          <w:rPr>
            <w:noProof/>
            <w:sz w:val="18"/>
            <w:szCs w:val="18"/>
            <w:lang w:val="en-US"/>
          </w:rPr>
        </w:pPr>
        <w:r>
          <w:rPr>
            <w:sz w:val="18"/>
            <w:szCs w:val="18"/>
            <w:lang w:val="en-US"/>
          </w:rPr>
          <w:t>Department of Climate Change, Energy, the Environment and Water</w:t>
        </w:r>
        <w:r>
          <w:rPr>
            <w:noProof/>
            <w:sz w:val="18"/>
            <w:szCs w:val="18"/>
            <w:lang w:val="en-US"/>
          </w:rPr>
          <w:t xml:space="preserve"> </w:t>
        </w:r>
      </w:p>
      <w:p w14:paraId="0B3C5349" w14:textId="344D0052" w:rsidR="00787878" w:rsidRDefault="007878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7B2A1" w14:textId="65808B11" w:rsidR="002A26D2" w:rsidRPr="000914C3" w:rsidRDefault="005D5814" w:rsidP="000914C3">
    <w:pPr>
      <w:pStyle w:val="Footer"/>
      <w:jc w:val="center"/>
      <w:rPr>
        <w:noProof/>
        <w:sz w:val="18"/>
        <w:szCs w:val="18"/>
      </w:rPr>
    </w:pPr>
    <w:r>
      <w:rPr>
        <w:noProof/>
        <w:sz w:val="18"/>
        <w:szCs w:val="18"/>
        <w:lang w:val="en-US"/>
      </w:rPr>
      <mc:AlternateContent>
        <mc:Choice Requires="wps">
          <w:drawing>
            <wp:inline distT="0" distB="0" distL="0" distR="0" wp14:anchorId="0F63FECB" wp14:editId="1C57C46E">
              <wp:extent cx="551815" cy="357736"/>
              <wp:effectExtent l="0" t="0" r="635" b="0"/>
              <wp:docPr id="169363946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57736"/>
                      </a:xfrm>
                      <a:prstGeom prst="rect">
                        <a:avLst/>
                      </a:prstGeom>
                      <a:noFill/>
                      <a:ln>
                        <a:noFill/>
                      </a:ln>
                    </wps:spPr>
                    <wps:txbx>
                      <w:txbxContent>
                        <w:p w14:paraId="6BE90563" w14:textId="77777777" w:rsidR="005D5814" w:rsidRPr="00491498" w:rsidRDefault="005D5814" w:rsidP="005D5814">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inline>
          </w:drawing>
        </mc:Choice>
        <mc:Fallback>
          <w:pict>
            <v:shapetype w14:anchorId="0F63FECB" id="_x0000_t202" coordsize="21600,21600" o:spt="202" path="m,l,21600r21600,l21600,xe">
              <v:stroke joinstyle="miter"/>
              <v:path gradientshapeok="t" o:connecttype="rect"/>
            </v:shapetype>
            <v:shape id="Text Box 9" o:spid="_x0000_s1030" type="#_x0000_t202" alt="OFFICIAL" style="width:43.45pt;height:28.1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" filled="f" stroked="f">
              <v:textbox inset="0,0,0,15pt">
                <w:txbxContent>
                  <w:p w14:paraId="6BE90563" w14:textId="77777777" w:rsidR="005D5814" w:rsidRPr="00491498" w:rsidRDefault="005D5814" w:rsidP="005D5814">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91592" w14:textId="0290CA22" w:rsidR="00491498" w:rsidRDefault="00491498">
    <w:pPr>
      <w:pStyle w:val="Footer"/>
    </w:pPr>
    <w:r>
      <w:rPr>
        <w:noProof/>
      </w:rPr>
      <mc:AlternateContent>
        <mc:Choice Requires="wps">
          <w:drawing>
            <wp:anchor distT="0" distB="0" distL="0" distR="0" simplePos="0" relativeHeight="251681792" behindDoc="0" locked="0" layoutInCell="1" allowOverlap="1" wp14:anchorId="07A72284" wp14:editId="4A1B2CD7">
              <wp:simplePos x="635" y="635"/>
              <wp:positionH relativeFrom="page">
                <wp:align>center</wp:align>
              </wp:positionH>
              <wp:positionV relativeFrom="page">
                <wp:align>bottom</wp:align>
              </wp:positionV>
              <wp:extent cx="551815" cy="404495"/>
              <wp:effectExtent l="0" t="0" r="635" b="0"/>
              <wp:wrapNone/>
              <wp:docPr id="24361881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698E72" w14:textId="6F8A873C"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72284" id="_x0000_t202" coordsize="21600,21600" o:spt="202" path="m,l,21600r21600,l21600,xe">
              <v:stroke joinstyle="miter"/>
              <v:path gradientshapeok="t" o:connecttype="rect"/>
            </v:shapetype>
            <v:shape id="Text Box 11" o:spid="_x0000_s1032" type="#_x0000_t202" alt="OFFICIAL" style="position:absolute;margin-left:0;margin-top:0;width:43.45pt;height:31.8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5F698E72" w14:textId="6F8A873C"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5E92E" w14:textId="4568D512" w:rsidR="008B298D" w:rsidRDefault="008B298D" w:rsidP="00B7092D">
    <w:pPr>
      <w:pStyle w:val="Footer"/>
      <w:jc w:val="center"/>
      <w:rPr>
        <w:sz w:val="18"/>
        <w:szCs w:val="18"/>
      </w:rPr>
    </w:pPr>
    <w:r>
      <w:rPr>
        <w:sz w:val="18"/>
        <w:szCs w:val="18"/>
      </w:rPr>
      <w:t>Threatened Species Scientific Committee</w:t>
    </w:r>
  </w:p>
  <w:p w14:paraId="05A8F65D" w14:textId="1F1F7091" w:rsidR="008B298D" w:rsidRPr="00086F2C" w:rsidRDefault="008B298D"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BE3D9" w14:textId="60006C01" w:rsidR="008B298D" w:rsidRPr="006A65AB" w:rsidRDefault="008B298D" w:rsidP="006A65AB">
    <w:pPr>
      <w:pStyle w:val="Footer"/>
      <w:jc w:val="center"/>
      <w:rPr>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B412F" w14:textId="77777777" w:rsidR="00DA29B3" w:rsidRDefault="00DA29B3" w:rsidP="00D6052F">
      <w:pPr>
        <w:spacing w:after="0"/>
      </w:pPr>
      <w:r>
        <w:separator/>
      </w:r>
    </w:p>
  </w:footnote>
  <w:footnote w:type="continuationSeparator" w:id="0">
    <w:p w14:paraId="33DB9D9D" w14:textId="77777777" w:rsidR="00DA29B3" w:rsidRDefault="00DA29B3" w:rsidP="00DE4E39">
      <w:pPr>
        <w:spacing w:after="0"/>
      </w:pPr>
      <w:r>
        <w:continuationSeparator/>
      </w:r>
    </w:p>
    <w:p w14:paraId="0B3A629C" w14:textId="77777777" w:rsidR="00DA29B3" w:rsidRDefault="00DA29B3"/>
  </w:footnote>
  <w:footnote w:type="continuationNotice" w:id="1">
    <w:p w14:paraId="5C4DEE5A" w14:textId="77777777" w:rsidR="00DA29B3" w:rsidRDefault="00DA29B3">
      <w:pPr>
        <w:spacing w:after="0"/>
      </w:pPr>
    </w:p>
    <w:p w14:paraId="34BDE94F" w14:textId="77777777" w:rsidR="00DA29B3" w:rsidRDefault="00DA29B3"/>
  </w:footnote>
  <w:footnote w:id="2">
    <w:p w14:paraId="6FD778D2" w14:textId="33185AF6" w:rsidR="002F6C0A" w:rsidRDefault="002F6C0A" w:rsidP="002F6C0A">
      <w:pPr>
        <w:pStyle w:val="FootnoteText"/>
      </w:pPr>
      <w:r>
        <w:rPr>
          <w:rStyle w:val="FootnoteReference"/>
        </w:rPr>
        <w:footnoteRef/>
      </w:r>
      <w:r>
        <w:t xml:space="preserve"> </w:t>
      </w:r>
      <w:r w:rsidR="00E123AB" w:rsidRPr="00DB138A">
        <w:t xml:space="preserve">Littoral </w:t>
      </w:r>
      <w:r w:rsidR="00E123AB" w:rsidRPr="004A5E3B">
        <w:t>(‘edge’)</w:t>
      </w:r>
      <w:r w:rsidRPr="004A5E3B">
        <w:t xml:space="preserve"> relates to the zone at the margins of a river, lake or other waterbody</w:t>
      </w:r>
      <w:r>
        <w:t>.</w:t>
      </w:r>
    </w:p>
  </w:footnote>
  <w:footnote w:id="3">
    <w:p w14:paraId="420C0679" w14:textId="77777777" w:rsidR="00A80362" w:rsidRPr="003D12F1" w:rsidRDefault="00A80362" w:rsidP="00A80362">
      <w:pPr>
        <w:pStyle w:val="FootnoteText"/>
      </w:pPr>
      <w:r>
        <w:rPr>
          <w:rStyle w:val="FootnoteReference"/>
        </w:rPr>
        <w:footnoteRef/>
      </w:r>
      <w:r>
        <w:t xml:space="preserve"> Biofilm</w:t>
      </w:r>
      <w:r w:rsidRPr="003D12F1">
        <w:t xml:space="preserve"> - </w:t>
      </w:r>
      <w:r>
        <w:t xml:space="preserve">a </w:t>
      </w:r>
      <w:r w:rsidRPr="003D12F1">
        <w:t>layer of</w:t>
      </w:r>
      <w:r>
        <w:t xml:space="preserve"> living microorganism including </w:t>
      </w:r>
      <w:r w:rsidRPr="003D12F1">
        <w:t>alga</w:t>
      </w:r>
      <w:r>
        <w:t>e</w:t>
      </w:r>
      <w:r w:rsidRPr="003D12F1">
        <w:t xml:space="preserve">, </w:t>
      </w:r>
      <w:r>
        <w:t xml:space="preserve">fungi </w:t>
      </w:r>
      <w:r w:rsidRPr="003D12F1">
        <w:t xml:space="preserve">and </w:t>
      </w:r>
      <w:r>
        <w:t xml:space="preserve">bacteria, in a polysaccharide matrix coating submerged </w:t>
      </w:r>
      <w:r w:rsidRPr="003D12F1">
        <w:t>gravel, roc</w:t>
      </w:r>
      <w:r>
        <w:t>ks, plant, leaves, wood, etc. (also called epilith</w:t>
      </w:r>
      <w:r w:rsidRPr="003D12F1">
        <w:t>on, Aufwuchs, epiphyton, periphyton).</w:t>
      </w:r>
    </w:p>
    <w:p w14:paraId="6261211A" w14:textId="77777777" w:rsidR="00A80362" w:rsidRDefault="00A80362" w:rsidP="00A80362">
      <w:pPr>
        <w:pStyle w:val="FootnoteText"/>
      </w:pPr>
    </w:p>
  </w:footnote>
  <w:footnote w:id="4">
    <w:p w14:paraId="3B6F2A35" w14:textId="77777777" w:rsidR="00894A62" w:rsidRDefault="00894A62" w:rsidP="00894A62">
      <w:pPr>
        <w:pStyle w:val="FootnoteText"/>
      </w:pPr>
      <w:r>
        <w:rPr>
          <w:rStyle w:val="FootnoteReference"/>
        </w:rPr>
        <w:footnoteRef/>
      </w:r>
      <w:r>
        <w:t xml:space="preserve"> </w:t>
      </w:r>
      <w:r w:rsidRPr="00B84F20">
        <w:t xml:space="preserve">Phenological - relating to periodic biological or behavioural phenomena such as flowering, breeding, migration, especially in relation to climate </w:t>
      </w:r>
      <w:r>
        <w:t xml:space="preserve">or other environmental factors </w:t>
      </w:r>
      <w:r w:rsidRPr="00B84F20">
        <w:t>(Park, 2007</w:t>
      </w:r>
      <w:r>
        <w:t>).</w:t>
      </w:r>
    </w:p>
  </w:footnote>
  <w:footnote w:id="5">
    <w:p w14:paraId="5C53D7F1" w14:textId="77777777" w:rsidR="000C3820" w:rsidRPr="00586214" w:rsidRDefault="000C3820" w:rsidP="000C3820">
      <w:pPr>
        <w:pStyle w:val="FootnoteText"/>
      </w:pPr>
      <w:r>
        <w:rPr>
          <w:rStyle w:val="FootnoteReference"/>
        </w:rPr>
        <w:footnoteRef/>
      </w:r>
      <w:r>
        <w:t xml:space="preserve"> </w:t>
      </w:r>
      <w:r w:rsidRPr="00586214">
        <w:t>Heterogeneity relates to variety or diversity, or lack of uniformity, of aspects of the environment (Park, 2007).</w:t>
      </w:r>
    </w:p>
  </w:footnote>
  <w:footnote w:id="6">
    <w:p w14:paraId="4E087C27" w14:textId="77777777" w:rsidR="00F1585F" w:rsidRPr="00927EFD" w:rsidRDefault="00F1585F" w:rsidP="00F1585F">
      <w:pPr>
        <w:pStyle w:val="FootnoteText"/>
      </w:pPr>
      <w:r>
        <w:rPr>
          <w:rStyle w:val="FootnoteReference"/>
        </w:rPr>
        <w:footnoteRef/>
      </w:r>
      <w:r>
        <w:t xml:space="preserve"> </w:t>
      </w:r>
      <w:r w:rsidRPr="006404D8">
        <w:t>Examp</w:t>
      </w:r>
      <w:r>
        <w:t>le of trophic cascade concept: W</w:t>
      </w:r>
      <w:r w:rsidRPr="006404D8">
        <w:t>hen fish-eating (piscivorous) fish are reduced, their prey – zooplankton-eating (zooplanktivorous) fish should increase. In turn, th</w:t>
      </w:r>
      <w:r>
        <w:t>eir</w:t>
      </w:r>
      <w:r w:rsidRPr="006404D8">
        <w:t xml:space="preserve"> predation on herbivorous zooplankton </w:t>
      </w:r>
      <w:r w:rsidRPr="00927EFD">
        <w:t>would lead to an increase in phytoplankton. Ultimately, available nutrients decrease as they are taken up by the algae.</w:t>
      </w:r>
    </w:p>
  </w:footnote>
  <w:footnote w:id="7">
    <w:p w14:paraId="17821CA2" w14:textId="77777777" w:rsidR="00E373B9" w:rsidRDefault="00E373B9" w:rsidP="00E373B9">
      <w:pPr>
        <w:pStyle w:val="FootnoteText"/>
      </w:pPr>
      <w:r>
        <w:rPr>
          <w:rStyle w:val="FootnoteReference"/>
        </w:rPr>
        <w:footnoteRef/>
      </w:r>
      <w:r>
        <w:t xml:space="preserve"> </w:t>
      </w:r>
      <w:r w:rsidRPr="006404D8">
        <w:t xml:space="preserve">pelagic - </w:t>
      </w:r>
      <w:r>
        <w:t xml:space="preserve">in open water, </w:t>
      </w:r>
      <w:r w:rsidRPr="006404D8">
        <w:t>within the water-colu</w:t>
      </w:r>
      <w:r>
        <w:t xml:space="preserve">mn of a waterbody (cf. </w:t>
      </w:r>
      <w:r w:rsidRPr="006404D8">
        <w:t>benthic which</w:t>
      </w:r>
      <w:r>
        <w:t xml:space="preserve"> relates to the bottom</w:t>
      </w:r>
      <w:r w:rsidRPr="006404D8">
        <w:t>).</w:t>
      </w:r>
    </w:p>
  </w:footnote>
  <w:footnote w:id="8">
    <w:p w14:paraId="2325478E" w14:textId="1688FBE0" w:rsidR="0063171F" w:rsidRPr="00075EE1" w:rsidRDefault="0063171F" w:rsidP="0063171F">
      <w:pPr>
        <w:rPr>
          <w:sz w:val="20"/>
          <w:szCs w:val="20"/>
        </w:rPr>
      </w:pPr>
      <w:r>
        <w:rPr>
          <w:rStyle w:val="FootnoteReference"/>
        </w:rPr>
        <w:footnoteRef/>
      </w:r>
      <w:r>
        <w:t xml:space="preserve"> </w:t>
      </w:r>
      <w:r w:rsidRPr="00075EE1">
        <w:rPr>
          <w:sz w:val="20"/>
          <w:szCs w:val="20"/>
        </w:rPr>
        <w:t>A salinity of 3 g/L is often regarded as the upper limit for fresh water (Williams</w:t>
      </w:r>
      <w:r w:rsidR="00813465">
        <w:rPr>
          <w:sz w:val="20"/>
          <w:szCs w:val="20"/>
        </w:rPr>
        <w:t xml:space="preserve"> </w:t>
      </w:r>
      <w:r w:rsidRPr="00075EE1">
        <w:rPr>
          <w:sz w:val="20"/>
          <w:szCs w:val="20"/>
        </w:rPr>
        <w:t>1987</w:t>
      </w:r>
      <w:r w:rsidR="00813465">
        <w:rPr>
          <w:sz w:val="20"/>
          <w:szCs w:val="20"/>
        </w:rPr>
        <w:t xml:space="preserve"> </w:t>
      </w:r>
      <w:r w:rsidRPr="00075EE1">
        <w:rPr>
          <w:sz w:val="20"/>
          <w:szCs w:val="20"/>
        </w:rPr>
        <w:t>in Hart et al. 1991; AWRC 1987 in Hart et al. 1991).</w:t>
      </w:r>
    </w:p>
    <w:p w14:paraId="6836D173" w14:textId="77777777" w:rsidR="0063171F" w:rsidRDefault="0063171F" w:rsidP="0063171F">
      <w:pPr>
        <w:pStyle w:val="FootnoteText"/>
      </w:pPr>
    </w:p>
  </w:footnote>
  <w:footnote w:id="9">
    <w:p w14:paraId="626440B7" w14:textId="77777777" w:rsidR="001F1CEB" w:rsidRPr="00E36F15" w:rsidRDefault="001F1CEB" w:rsidP="001F1CEB">
      <w:pPr>
        <w:pStyle w:val="FootnoteText"/>
        <w:spacing w:after="120"/>
      </w:pPr>
      <w:r>
        <w:rPr>
          <w:rStyle w:val="FootnoteReference"/>
        </w:rPr>
        <w:footnoteRef/>
      </w:r>
      <w:r>
        <w:t xml:space="preserve"> </w:t>
      </w:r>
      <w:r w:rsidRPr="00E36F15">
        <w:t>Diapause is a period of dormancy in insects and other invertebrates during which growth or development is suspended (Park, 2007).</w:t>
      </w:r>
    </w:p>
  </w:footnote>
  <w:footnote w:id="10">
    <w:p w14:paraId="3B13A62A" w14:textId="77777777" w:rsidR="001F1CEB" w:rsidRPr="00E36F15" w:rsidRDefault="001F1CEB" w:rsidP="00643197">
      <w:pPr>
        <w:pStyle w:val="FootnoteText"/>
      </w:pPr>
      <w:r w:rsidRPr="00E36F15">
        <w:rPr>
          <w:rStyle w:val="FootnoteReference"/>
        </w:rPr>
        <w:footnoteRef/>
      </w:r>
      <w:r w:rsidRPr="00E36F15">
        <w:t xml:space="preserve"> Aestivation is a state of animal dormancy characterised by inactivity and lowered metabolic rate. It assists the animal to avoid damage from high temperatures or the risk of desiccation.</w:t>
      </w:r>
    </w:p>
  </w:footnote>
  <w:footnote w:id="11">
    <w:p w14:paraId="35394821" w14:textId="77777777" w:rsidR="002370FB" w:rsidRPr="00E36F15" w:rsidRDefault="002370FB" w:rsidP="00643197">
      <w:pPr>
        <w:pStyle w:val="FootnoteText"/>
      </w:pPr>
      <w:r w:rsidRPr="00E36F15">
        <w:rPr>
          <w:rStyle w:val="FootnoteReference"/>
        </w:rPr>
        <w:footnoteRef/>
      </w:r>
      <w:r w:rsidRPr="00E36F15">
        <w:t xml:space="preserve"> </w:t>
      </w:r>
      <w:r w:rsidRPr="0007074B">
        <w:t xml:space="preserve">Refugia </w:t>
      </w:r>
      <w:r>
        <w:t>- A refuge (pl. refuges or refugia) is a shelter from predators or disturbance of some kind.</w:t>
      </w:r>
    </w:p>
  </w:footnote>
  <w:footnote w:id="12">
    <w:p w14:paraId="7190EECE" w14:textId="77777777" w:rsidR="002370FB" w:rsidRDefault="002370FB" w:rsidP="002370FB">
      <w:pPr>
        <w:pStyle w:val="FootnoteText"/>
      </w:pPr>
      <w:r>
        <w:rPr>
          <w:rStyle w:val="FootnoteReference"/>
        </w:rPr>
        <w:footnoteRef/>
      </w:r>
      <w:r>
        <w:t xml:space="preserve"> </w:t>
      </w:r>
      <w:r w:rsidRPr="00A07D97">
        <w:t>Hyporheic zone is the saturated sediment environment below a stream that exchanges water, nutrients, and fauna with surface flowing waters.</w:t>
      </w:r>
    </w:p>
  </w:footnote>
  <w:footnote w:id="13">
    <w:p w14:paraId="7430D393" w14:textId="236D04FC" w:rsidR="009E7CDF" w:rsidRDefault="009E7CDF" w:rsidP="00F04655">
      <w:pPr>
        <w:pStyle w:val="FootnoteText"/>
        <w:spacing w:after="120" w:line="240" w:lineRule="auto"/>
        <w:ind w:left="272"/>
      </w:pPr>
      <w:r>
        <w:rPr>
          <w:rStyle w:val="FootnoteReference"/>
        </w:rPr>
        <w:footnoteRef/>
      </w:r>
      <w:r>
        <w:t xml:space="preserve">  </w:t>
      </w:r>
      <w:r w:rsidRPr="00CE3E3B">
        <w:rPr>
          <w:i/>
        </w:rPr>
        <w:t>Lotic</w:t>
      </w:r>
      <w:r>
        <w:t xml:space="preserve"> - relating to flowing waters such as rivers and streams.</w:t>
      </w:r>
    </w:p>
  </w:footnote>
  <w:footnote w:id="14">
    <w:p w14:paraId="1031A791" w14:textId="77777777" w:rsidR="009E7CDF" w:rsidRDefault="009E7CDF" w:rsidP="009E7CDF">
      <w:pPr>
        <w:pStyle w:val="FootnoteText"/>
        <w:spacing w:after="120"/>
        <w:ind w:left="272"/>
      </w:pPr>
      <w:r>
        <w:rPr>
          <w:rStyle w:val="FootnoteReference"/>
        </w:rPr>
        <w:footnoteRef/>
      </w:r>
      <w:r>
        <w:t xml:space="preserve">  </w:t>
      </w:r>
      <w:r w:rsidRPr="00CE3E3B">
        <w:rPr>
          <w:i/>
        </w:rPr>
        <w:t>Lentic</w:t>
      </w:r>
      <w:r>
        <w:t xml:space="preserve"> - relating to standing or non-flowing body of water such as a lake or swamp.</w:t>
      </w:r>
    </w:p>
  </w:footnote>
  <w:footnote w:id="15">
    <w:p w14:paraId="11A14C46" w14:textId="77777777" w:rsidR="008E50E4" w:rsidRDefault="008E50E4" w:rsidP="008E50E4">
      <w:pPr>
        <w:pStyle w:val="FootnoteText"/>
      </w:pPr>
      <w:r>
        <w:rPr>
          <w:rStyle w:val="FootnoteReference"/>
        </w:rPr>
        <w:footnoteRef/>
      </w:r>
      <w:r>
        <w:t xml:space="preserve"> And </w:t>
      </w:r>
      <w:r w:rsidRPr="00D92E33">
        <w:t xml:space="preserve">Herczeg et al. </w:t>
      </w:r>
      <w:r>
        <w:t>(</w:t>
      </w:r>
      <w:r w:rsidRPr="00D92E33">
        <w:t>2001</w:t>
      </w:r>
      <w:r>
        <w:t>) gave an estimate, that 1.5 million tons of new salt is deposited in the MDB each year by rainfall (4110 t/d). The groundwater chemistry has evolved by a combination of atmospheric fallout of marine and continentally derived solutes and removal of water by evapo-transpiration over tens of thousands of years of relative aridity. Carbonate dissolution/ precipitation, cation exchange and reconstitution of secondary clay minerals in the aquifers results in a groundwater chemistry that retains a ‘sea-water-like’ character. Knowing the sources of salt, and its transport mechanisms through the hydrosphere, is necessary for long-term management and protection of water resources that salt can affect.</w:t>
      </w:r>
    </w:p>
  </w:footnote>
  <w:footnote w:id="16">
    <w:p w14:paraId="4061F904" w14:textId="77777777" w:rsidR="0088283F" w:rsidRDefault="0088283F" w:rsidP="0088283F">
      <w:pPr>
        <w:pStyle w:val="FootnoteText"/>
      </w:pPr>
      <w:r w:rsidRPr="00487496">
        <w:rPr>
          <w:rStyle w:val="FootnoteReference"/>
        </w:rPr>
        <w:footnoteRef/>
      </w:r>
      <w:r>
        <w:t xml:space="preserve"> </w:t>
      </w:r>
      <w:r w:rsidRPr="00844AF1">
        <w:t>4</w:t>
      </w:r>
      <w:r>
        <w:t>0</w:t>
      </w:r>
      <w:r w:rsidRPr="00844AF1">
        <w:t xml:space="preserve">% of the </w:t>
      </w:r>
      <w:r>
        <w:t xml:space="preserve">SA DEH </w:t>
      </w:r>
      <w:r w:rsidRPr="00844AF1">
        <w:t>vegetation</w:t>
      </w:r>
      <w:r>
        <w:t xml:space="preserve"> </w:t>
      </w:r>
      <w:r w:rsidRPr="00844AF1">
        <w:t>mapping</w:t>
      </w:r>
      <w:r>
        <w:t xml:space="preserve"> (for the L</w:t>
      </w:r>
      <w:r w:rsidRPr="008D1C88">
        <w:t>ower River Murray floodplain from</w:t>
      </w:r>
      <w:r>
        <w:t xml:space="preserve"> </w:t>
      </w:r>
      <w:r w:rsidRPr="008D1C88">
        <w:t>Wellington to</w:t>
      </w:r>
      <w:r>
        <w:t xml:space="preserve"> the</w:t>
      </w:r>
      <w:r w:rsidRPr="008D1C88">
        <w:t xml:space="preserve"> SA/NSW/Vic border</w:t>
      </w:r>
      <w:r>
        <w:t xml:space="preserve">) </w:t>
      </w:r>
      <w:r w:rsidRPr="00844AF1">
        <w:t>was classed as unhealthy trees, dead trees</w:t>
      </w:r>
      <w:r>
        <w:t>,</w:t>
      </w:r>
      <w:r w:rsidRPr="00844AF1">
        <w:t xml:space="preserve"> or halophytes, which are</w:t>
      </w:r>
      <w:r>
        <w:t xml:space="preserve"> </w:t>
      </w:r>
      <w:r w:rsidRPr="00844AF1">
        <w:t>indicative of floodplain salinisation.</w:t>
      </w:r>
    </w:p>
  </w:footnote>
  <w:footnote w:id="17">
    <w:p w14:paraId="69008C11" w14:textId="77777777" w:rsidR="006058E4" w:rsidRDefault="006058E4" w:rsidP="006058E4">
      <w:pPr>
        <w:pStyle w:val="FootnoteText"/>
      </w:pPr>
      <w:r w:rsidRPr="00965C1E">
        <w:rPr>
          <w:rStyle w:val="FootnoteReference"/>
        </w:rPr>
        <w:footnoteRef/>
      </w:r>
      <w:r w:rsidRPr="00965C1E">
        <w:t xml:space="preserve"> However, when intercepted saline groundwater is deposited in evaporation basins it eventually creates sufficient hydraulic gradient to force more saline groundwater back into the river (Connor 2008). An analysis concluded that the operation of salt interception basins is likely to lead to returns of salt to the river at rates of between three and 30% of the total salt pumped to the interception basins (Collingham &amp; Forward 2005 in Connor 2008), beginning 30 to 100 years after the basins start operating.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708D2" w14:textId="24092A51" w:rsidR="00491498" w:rsidRDefault="00491498">
    <w:pPr>
      <w:pStyle w:val="Header"/>
    </w:pPr>
    <w:r>
      <w:rPr>
        <w:noProof/>
      </w:rPr>
      <mc:AlternateContent>
        <mc:Choice Requires="wps">
          <w:drawing>
            <wp:anchor distT="0" distB="0" distL="0" distR="0" simplePos="0" relativeHeight="251665408" behindDoc="0" locked="0" layoutInCell="1" allowOverlap="1" wp14:anchorId="0EA928DD" wp14:editId="5F61DF2F">
              <wp:simplePos x="635" y="635"/>
              <wp:positionH relativeFrom="page">
                <wp:align>center</wp:align>
              </wp:positionH>
              <wp:positionV relativeFrom="page">
                <wp:align>top</wp:align>
              </wp:positionV>
              <wp:extent cx="551815" cy="404495"/>
              <wp:effectExtent l="0" t="0" r="635" b="14605"/>
              <wp:wrapNone/>
              <wp:docPr id="7668161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D2EB4D" w14:textId="5D99C5E2"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A928DD"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3D2EB4D" w14:textId="5D99C5E2"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E6B3F" w14:textId="27E41DED" w:rsidR="00197A65" w:rsidRDefault="00491498">
    <w:pPr>
      <w:pStyle w:val="Header"/>
    </w:pPr>
    <w:r>
      <w:rPr>
        <w:noProof/>
      </w:rPr>
      <mc:AlternateContent>
        <mc:Choice Requires="wps">
          <w:drawing>
            <wp:anchor distT="0" distB="0" distL="0" distR="0" simplePos="0" relativeHeight="251682816" behindDoc="0" locked="0" layoutInCell="1" allowOverlap="1" wp14:anchorId="759176F1" wp14:editId="48D92E07">
              <wp:simplePos x="904875" y="361950"/>
              <wp:positionH relativeFrom="page">
                <wp:align>center</wp:align>
              </wp:positionH>
              <wp:positionV relativeFrom="page">
                <wp:align>top</wp:align>
              </wp:positionV>
              <wp:extent cx="551815" cy="404495"/>
              <wp:effectExtent l="0" t="0" r="635" b="14605"/>
              <wp:wrapNone/>
              <wp:docPr id="1781160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FF81A7" w14:textId="4F1DDD20"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9176F1"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2FF81A7" w14:textId="4F1DDD20"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r w:rsidR="00197A65">
      <w:tab/>
    </w:r>
    <w:r w:rsidR="00197A6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33E9" w14:textId="7DE291A8" w:rsidR="008B298D" w:rsidRDefault="000011C0" w:rsidP="000011C0">
    <w:pPr>
      <w:pStyle w:val="Header"/>
      <w:jc w:val="both"/>
    </w:pPr>
    <w:bookmarkStart w:id="3" w:name="_Hlk40359092"/>
    <w:r>
      <w:rPr>
        <w:noProof/>
      </w:rPr>
      <w:drawing>
        <wp:inline distT="0" distB="0" distL="0" distR="0" wp14:anchorId="692C67A5" wp14:editId="1098DCFF">
          <wp:extent cx="2542061" cy="533400"/>
          <wp:effectExtent l="0" t="0" r="0" b="0"/>
          <wp:docPr id="84832008" name="Picture 84832008" descr="Logo for Australian Government 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2008" name="Picture 84832008" descr="Logo for Australian Government 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2783805" cy="584125"/>
                  </a:xfrm>
                  <a:prstGeom prst="rect">
                    <a:avLst/>
                  </a:prstGeom>
                </pic:spPr>
              </pic:pic>
            </a:graphicData>
          </a:graphic>
        </wp:inline>
      </w:drawing>
    </w:r>
    <w:r>
      <w:tab/>
    </w:r>
    <w:r>
      <w:tab/>
    </w:r>
  </w:p>
  <w:p w14:paraId="59692565" w14:textId="77777777" w:rsidR="002A26D2" w:rsidRPr="000011C0" w:rsidRDefault="002A26D2" w:rsidP="000011C0">
    <w:pPr>
      <w:pStyle w:val="Header"/>
      <w:jc w:val="both"/>
    </w:pPr>
  </w:p>
  <w:bookmarkEnd w:i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B15E" w14:textId="679D9F52" w:rsidR="00491498" w:rsidRDefault="00491498">
    <w:pPr>
      <w:pStyle w:val="Header"/>
    </w:pPr>
    <w:r>
      <w:rPr>
        <w:noProof/>
      </w:rPr>
      <mc:AlternateContent>
        <mc:Choice Requires="wps">
          <w:drawing>
            <wp:anchor distT="0" distB="0" distL="0" distR="0" simplePos="0" relativeHeight="251664384" behindDoc="0" locked="0" layoutInCell="1" allowOverlap="1" wp14:anchorId="24F5F1A5" wp14:editId="739571CC">
              <wp:simplePos x="635" y="635"/>
              <wp:positionH relativeFrom="page">
                <wp:align>center</wp:align>
              </wp:positionH>
              <wp:positionV relativeFrom="page">
                <wp:align>top</wp:align>
              </wp:positionV>
              <wp:extent cx="551815" cy="404495"/>
              <wp:effectExtent l="0" t="0" r="635" b="14605"/>
              <wp:wrapNone/>
              <wp:docPr id="139188907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AD928D" w14:textId="47DC0A75"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5F1A5" id="_x0000_t202" coordsize="21600,21600" o:spt="202" path="m,l,21600r21600,l21600,xe">
              <v:stroke joinstyle="miter"/>
              <v:path gradientshapeok="t" o:connecttype="rect"/>
            </v:shapetype>
            <v:shape id="Text Box 5" o:spid="_x0000_s1031" type="#_x0000_t202" alt="OFFICIAL" style="position:absolute;margin-left:0;margin-top:0;width:43.45pt;height:31.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32AD928D" w14:textId="47DC0A75"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79F24" w14:textId="34FDB0A6" w:rsidR="008B298D" w:rsidRPr="00643DA0" w:rsidRDefault="008B298D" w:rsidP="002371B3">
    <w:pPr>
      <w:pStyle w:val="Footer"/>
      <w:jc w:val="center"/>
      <w:rPr>
        <w:sz w:val="28"/>
        <w:szCs w:val="28"/>
        <w:lang w:val="en-US"/>
      </w:rPr>
    </w:pPr>
    <w:r w:rsidRPr="00826C82">
      <w:rPr>
        <w:i/>
        <w:iCs/>
        <w:sz w:val="18"/>
        <w:szCs w:val="18"/>
        <w:lang w:val="en-US"/>
      </w:rPr>
      <w:t xml:space="preserve">Draft </w:t>
    </w:r>
    <w:r w:rsidR="001A1B8B" w:rsidRPr="00826C82">
      <w:rPr>
        <w:i/>
        <w:iCs/>
        <w:sz w:val="18"/>
        <w:szCs w:val="18"/>
        <w:lang w:val="en-US"/>
      </w:rPr>
      <w:t>River Murray—Darling to Sea</w:t>
    </w:r>
    <w:r w:rsidR="001A1B8B" w:rsidRPr="00826C82">
      <w:rPr>
        <w:sz w:val="18"/>
        <w:szCs w:val="18"/>
        <w:lang w:val="en-US"/>
      </w:rPr>
      <w:t xml:space="preserve"> </w:t>
    </w:r>
    <w:r w:rsidRPr="004C5527">
      <w:rPr>
        <w:sz w:val="18"/>
        <w:szCs w:val="18"/>
        <w:lang w:val="en-US"/>
      </w:rPr>
      <w:t>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4BA0E" w14:textId="5C091ECA" w:rsidR="008B298D" w:rsidRDefault="00491498" w:rsidP="006A65AB">
    <w:pPr>
      <w:pStyle w:val="Footer"/>
      <w:jc w:val="center"/>
      <w:rPr>
        <w:sz w:val="18"/>
        <w:szCs w:val="18"/>
        <w:lang w:val="en-US"/>
      </w:rPr>
    </w:pPr>
    <w:r>
      <w:rPr>
        <w:noProof/>
        <w:color w:val="FF0000"/>
        <w:sz w:val="18"/>
        <w:szCs w:val="18"/>
        <w:lang w:val="en-US"/>
      </w:rPr>
      <mc:AlternateContent>
        <mc:Choice Requires="wps">
          <w:drawing>
            <wp:anchor distT="0" distB="0" distL="0" distR="0" simplePos="0" relativeHeight="251646976" behindDoc="0" locked="0" layoutInCell="1" allowOverlap="1" wp14:anchorId="64EF0392" wp14:editId="1F0FE415">
              <wp:simplePos x="635" y="635"/>
              <wp:positionH relativeFrom="page">
                <wp:align>center</wp:align>
              </wp:positionH>
              <wp:positionV relativeFrom="page">
                <wp:align>top</wp:align>
              </wp:positionV>
              <wp:extent cx="551815" cy="404495"/>
              <wp:effectExtent l="0" t="0" r="635" b="14605"/>
              <wp:wrapNone/>
              <wp:docPr id="142983828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C58F941" w14:textId="3C5EFF1E"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F0392" id="_x0000_t202" coordsize="21600,21600" o:spt="202" path="m,l,21600r21600,l21600,xe">
              <v:stroke joinstyle="miter"/>
              <v:path gradientshapeok="t" o:connecttype="rect"/>
            </v:shapetype>
            <v:shape id="Text Box 4" o:spid="_x0000_s1033" type="#_x0000_t202" alt="OFFICIAL" style="position:absolute;left:0;text-align:left;margin-left:0;margin-top:0;width:43.45pt;height:31.8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3C58F941" w14:textId="3C5EFF1E" w:rsidR="00491498" w:rsidRPr="00491498" w:rsidRDefault="00491498" w:rsidP="00491498">
                    <w:pPr>
                      <w:spacing w:after="0"/>
                      <w:rPr>
                        <w:rFonts w:ascii="Calibri" w:eastAsia="Calibri" w:hAnsi="Calibri" w:cs="Calibri"/>
                        <w:noProof/>
                        <w:color w:val="FF0000"/>
                        <w:sz w:val="24"/>
                        <w:szCs w:val="24"/>
                      </w:rPr>
                    </w:pPr>
                    <w:r w:rsidRPr="00491498">
                      <w:rPr>
                        <w:rFonts w:ascii="Calibri" w:eastAsia="Calibri" w:hAnsi="Calibri" w:cs="Calibri"/>
                        <w:noProof/>
                        <w:color w:val="FF0000"/>
                        <w:sz w:val="24"/>
                        <w:szCs w:val="24"/>
                      </w:rPr>
                      <w:t>OFFICIAL</w:t>
                    </w:r>
                  </w:p>
                </w:txbxContent>
              </v:textbox>
              <w10:wrap anchorx="page" anchory="page"/>
            </v:shape>
          </w:pict>
        </mc:Fallback>
      </mc:AlternateContent>
    </w:r>
    <w:r w:rsidR="008B298D" w:rsidRPr="006948F3">
      <w:rPr>
        <w:sz w:val="18"/>
        <w:szCs w:val="18"/>
        <w:lang w:val="en-US"/>
      </w:rPr>
      <w:t xml:space="preserve">TEC Name </w:t>
    </w:r>
    <w:r w:rsidR="008B298D" w:rsidRPr="004C5527">
      <w:rPr>
        <w:sz w:val="18"/>
        <w:szCs w:val="18"/>
        <w:lang w:val="en-US"/>
      </w:rPr>
      <w:t>Conservation Advice</w:t>
    </w:r>
  </w:p>
  <w:p w14:paraId="7D627483" w14:textId="515D3A38" w:rsidR="008B298D" w:rsidRPr="003E68AE" w:rsidRDefault="008B298D" w:rsidP="006A65AB">
    <w:pPr>
      <w:pStyle w:val="Footer"/>
      <w:jc w:val="center"/>
      <w:rPr>
        <w:sz w:val="18"/>
        <w:szCs w:val="18"/>
        <w:lang w:val="en-US"/>
      </w:rPr>
    </w:pPr>
    <w:r w:rsidRPr="006948F3">
      <w:rPr>
        <w:sz w:val="18"/>
        <w:szCs w:val="18"/>
        <w:lang w:val="en-US"/>
      </w:rPr>
      <w:t>Working Draft version as at 31 March 2021/Consultation Draft</w:t>
    </w:r>
    <w:r w:rsidRPr="003E68AE">
      <w:rPr>
        <w:sz w:val="18"/>
        <w:szCs w:val="18"/>
        <w:lang w:val="en-US"/>
      </w:rPr>
      <w:t xml:space="preserve"> [delete this line in the final version]</w:t>
    </w:r>
  </w:p>
  <w:p w14:paraId="16C178B4" w14:textId="77777777" w:rsidR="008B298D" w:rsidRDefault="008B298D" w:rsidP="00086F2C">
    <w:pPr>
      <w:pStyle w:val="Footer"/>
      <w:jc w:val="center"/>
      <w:rPr>
        <w:sz w:val="18"/>
        <w:szCs w:val="18"/>
      </w:rPr>
    </w:pPr>
    <w:r>
      <w:rPr>
        <w:sz w:val="18"/>
        <w:szCs w:val="18"/>
      </w:rPr>
      <w:t>Threatened Species Scientific Committee</w:t>
    </w:r>
  </w:p>
  <w:p w14:paraId="174051D5" w14:textId="77777777" w:rsidR="008B298D" w:rsidRPr="006A65AB" w:rsidRDefault="008B298D"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8B298D" w:rsidRPr="006A65AB" w:rsidRDefault="008B298D" w:rsidP="006A65AB">
    <w:pPr>
      <w:pStyle w:val="Footer"/>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11CA8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38797F"/>
    <w:multiLevelType w:val="hybridMultilevel"/>
    <w:tmpl w:val="7CBE2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900A5D"/>
    <w:multiLevelType w:val="hybridMultilevel"/>
    <w:tmpl w:val="50D67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86FA3"/>
    <w:multiLevelType w:val="hybridMultilevel"/>
    <w:tmpl w:val="96C80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06729A"/>
    <w:multiLevelType w:val="hybridMultilevel"/>
    <w:tmpl w:val="7CB6DD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194E1A"/>
    <w:multiLevelType w:val="hybridMultilevel"/>
    <w:tmpl w:val="18BEA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CB2D1B"/>
    <w:multiLevelType w:val="hybridMultilevel"/>
    <w:tmpl w:val="5CE66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715F19"/>
    <w:multiLevelType w:val="hybridMultilevel"/>
    <w:tmpl w:val="FB28F964"/>
    <w:lvl w:ilvl="0" w:tplc="01B283FE">
      <w:start w:val="1"/>
      <w:numFmt w:val="decimal"/>
      <w:pStyle w:val="AppendixCHeading2"/>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DC4438"/>
    <w:multiLevelType w:val="hybridMultilevel"/>
    <w:tmpl w:val="A2A4E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B00E72"/>
    <w:multiLevelType w:val="hybridMultilevel"/>
    <w:tmpl w:val="55062AF2"/>
    <w:lvl w:ilvl="0" w:tplc="05D62F16">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D34975"/>
    <w:multiLevelType w:val="hybridMultilevel"/>
    <w:tmpl w:val="ECE6F4A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2E7BB9"/>
    <w:multiLevelType w:val="hybridMultilevel"/>
    <w:tmpl w:val="61A8C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EB575F"/>
    <w:multiLevelType w:val="hybridMultilevel"/>
    <w:tmpl w:val="3EBC1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2F3831"/>
    <w:multiLevelType w:val="hybridMultilevel"/>
    <w:tmpl w:val="CE00792A"/>
    <w:lvl w:ilvl="0" w:tplc="AF2A5C8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2439C9"/>
    <w:multiLevelType w:val="hybridMultilevel"/>
    <w:tmpl w:val="8BAA8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F05FC1"/>
    <w:multiLevelType w:val="hybridMultilevel"/>
    <w:tmpl w:val="5526006E"/>
    <w:lvl w:ilvl="0" w:tplc="B6D6C454">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3F01E3F"/>
    <w:multiLevelType w:val="hybridMultilevel"/>
    <w:tmpl w:val="18B66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092E40"/>
    <w:multiLevelType w:val="hybridMultilevel"/>
    <w:tmpl w:val="F2AAF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5EE0720"/>
    <w:multiLevelType w:val="hybridMultilevel"/>
    <w:tmpl w:val="23A02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6370302"/>
    <w:multiLevelType w:val="hybridMultilevel"/>
    <w:tmpl w:val="4080E7CA"/>
    <w:lvl w:ilvl="0" w:tplc="D01A2C36">
      <w:start w:val="1"/>
      <w:numFmt w:val="decimal"/>
      <w:pStyle w:val="AppendixA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7F38AA"/>
    <w:multiLevelType w:val="hybridMultilevel"/>
    <w:tmpl w:val="012C5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0D4A59"/>
    <w:multiLevelType w:val="hybridMultilevel"/>
    <w:tmpl w:val="D4882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272C15"/>
    <w:multiLevelType w:val="hybridMultilevel"/>
    <w:tmpl w:val="4E76932A"/>
    <w:lvl w:ilvl="0" w:tplc="9DC0451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D19037D"/>
    <w:multiLevelType w:val="hybridMultilevel"/>
    <w:tmpl w:val="0DE08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D521CE1"/>
    <w:multiLevelType w:val="hybridMultilevel"/>
    <w:tmpl w:val="2902B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C2557E"/>
    <w:multiLevelType w:val="hybridMultilevel"/>
    <w:tmpl w:val="095C5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0D25A10"/>
    <w:multiLevelType w:val="hybridMultilevel"/>
    <w:tmpl w:val="A606AD6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20F92617"/>
    <w:multiLevelType w:val="hybridMultilevel"/>
    <w:tmpl w:val="9FB42992"/>
    <w:lvl w:ilvl="0" w:tplc="0C090003">
      <w:start w:val="1"/>
      <w:numFmt w:val="bullet"/>
      <w:lvlText w:val="o"/>
      <w:lvlJc w:val="left"/>
      <w:pPr>
        <w:ind w:left="948" w:hanging="360"/>
      </w:pPr>
      <w:rPr>
        <w:rFonts w:ascii="Courier New" w:hAnsi="Courier New" w:cs="Courier New" w:hint="default"/>
      </w:rPr>
    </w:lvl>
    <w:lvl w:ilvl="1" w:tplc="FFFFFFFF" w:tentative="1">
      <w:start w:val="1"/>
      <w:numFmt w:val="bullet"/>
      <w:lvlText w:val="o"/>
      <w:lvlJc w:val="left"/>
      <w:pPr>
        <w:ind w:left="1668" w:hanging="360"/>
      </w:pPr>
      <w:rPr>
        <w:rFonts w:ascii="Courier New" w:hAnsi="Courier New" w:cs="Courier New" w:hint="default"/>
      </w:rPr>
    </w:lvl>
    <w:lvl w:ilvl="2" w:tplc="FFFFFFFF" w:tentative="1">
      <w:start w:val="1"/>
      <w:numFmt w:val="bullet"/>
      <w:lvlText w:val=""/>
      <w:lvlJc w:val="left"/>
      <w:pPr>
        <w:ind w:left="2388" w:hanging="360"/>
      </w:pPr>
      <w:rPr>
        <w:rFonts w:ascii="Wingdings" w:hAnsi="Wingdings" w:hint="default"/>
      </w:rPr>
    </w:lvl>
    <w:lvl w:ilvl="3" w:tplc="FFFFFFFF" w:tentative="1">
      <w:start w:val="1"/>
      <w:numFmt w:val="bullet"/>
      <w:lvlText w:val=""/>
      <w:lvlJc w:val="left"/>
      <w:pPr>
        <w:ind w:left="3108" w:hanging="360"/>
      </w:pPr>
      <w:rPr>
        <w:rFonts w:ascii="Symbol" w:hAnsi="Symbol" w:hint="default"/>
      </w:rPr>
    </w:lvl>
    <w:lvl w:ilvl="4" w:tplc="FFFFFFFF" w:tentative="1">
      <w:start w:val="1"/>
      <w:numFmt w:val="bullet"/>
      <w:lvlText w:val="o"/>
      <w:lvlJc w:val="left"/>
      <w:pPr>
        <w:ind w:left="3828" w:hanging="360"/>
      </w:pPr>
      <w:rPr>
        <w:rFonts w:ascii="Courier New" w:hAnsi="Courier New" w:cs="Courier New" w:hint="default"/>
      </w:rPr>
    </w:lvl>
    <w:lvl w:ilvl="5" w:tplc="FFFFFFFF" w:tentative="1">
      <w:start w:val="1"/>
      <w:numFmt w:val="bullet"/>
      <w:lvlText w:val=""/>
      <w:lvlJc w:val="left"/>
      <w:pPr>
        <w:ind w:left="4548" w:hanging="360"/>
      </w:pPr>
      <w:rPr>
        <w:rFonts w:ascii="Wingdings" w:hAnsi="Wingdings" w:hint="default"/>
      </w:rPr>
    </w:lvl>
    <w:lvl w:ilvl="6" w:tplc="FFFFFFFF" w:tentative="1">
      <w:start w:val="1"/>
      <w:numFmt w:val="bullet"/>
      <w:lvlText w:val=""/>
      <w:lvlJc w:val="left"/>
      <w:pPr>
        <w:ind w:left="5268" w:hanging="360"/>
      </w:pPr>
      <w:rPr>
        <w:rFonts w:ascii="Symbol" w:hAnsi="Symbol" w:hint="default"/>
      </w:rPr>
    </w:lvl>
    <w:lvl w:ilvl="7" w:tplc="FFFFFFFF" w:tentative="1">
      <w:start w:val="1"/>
      <w:numFmt w:val="bullet"/>
      <w:lvlText w:val="o"/>
      <w:lvlJc w:val="left"/>
      <w:pPr>
        <w:ind w:left="5988" w:hanging="360"/>
      </w:pPr>
      <w:rPr>
        <w:rFonts w:ascii="Courier New" w:hAnsi="Courier New" w:cs="Courier New" w:hint="default"/>
      </w:rPr>
    </w:lvl>
    <w:lvl w:ilvl="8" w:tplc="FFFFFFFF" w:tentative="1">
      <w:start w:val="1"/>
      <w:numFmt w:val="bullet"/>
      <w:lvlText w:val=""/>
      <w:lvlJc w:val="left"/>
      <w:pPr>
        <w:ind w:left="6708" w:hanging="360"/>
      </w:pPr>
      <w:rPr>
        <w:rFonts w:ascii="Wingdings" w:hAnsi="Wingdings" w:hint="default"/>
      </w:rPr>
    </w:lvl>
  </w:abstractNum>
  <w:abstractNum w:abstractNumId="28" w15:restartNumberingAfterBreak="0">
    <w:nsid w:val="21A577F2"/>
    <w:multiLevelType w:val="hybridMultilevel"/>
    <w:tmpl w:val="A7E8E73A"/>
    <w:lvl w:ilvl="0" w:tplc="299CAB0C">
      <w:start w:val="1"/>
      <w:numFmt w:val="bullet"/>
      <w:lvlText w:val=""/>
      <w:lvlJc w:val="left"/>
      <w:pPr>
        <w:ind w:left="227"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06637F"/>
    <w:multiLevelType w:val="hybridMultilevel"/>
    <w:tmpl w:val="6DB4F070"/>
    <w:lvl w:ilvl="0" w:tplc="A52C079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1C1FC7"/>
    <w:multiLevelType w:val="hybridMultilevel"/>
    <w:tmpl w:val="AFF27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4976D28"/>
    <w:multiLevelType w:val="hybridMultilevel"/>
    <w:tmpl w:val="DAEC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9F2250"/>
    <w:multiLevelType w:val="hybridMultilevel"/>
    <w:tmpl w:val="2CD09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50A1F1C"/>
    <w:multiLevelType w:val="hybridMultilevel"/>
    <w:tmpl w:val="0212E73E"/>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3571E8"/>
    <w:multiLevelType w:val="hybridMultilevel"/>
    <w:tmpl w:val="1E5AC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72C75B3"/>
    <w:multiLevelType w:val="hybridMultilevel"/>
    <w:tmpl w:val="F90255CA"/>
    <w:lvl w:ilvl="0" w:tplc="1090EBDC">
      <w:start w:val="1"/>
      <w:numFmt w:val="bullet"/>
      <w:lvlText w:val=""/>
      <w:lvlJc w:val="left"/>
      <w:pPr>
        <w:ind w:left="227" w:hanging="227"/>
      </w:pPr>
      <w:rPr>
        <w:rFonts w:ascii="Wingdings" w:hAnsi="Wingding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74372EC"/>
    <w:multiLevelType w:val="hybridMultilevel"/>
    <w:tmpl w:val="0EE02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7BD3127"/>
    <w:multiLevelType w:val="hybridMultilevel"/>
    <w:tmpl w:val="D3365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C84DA8"/>
    <w:multiLevelType w:val="hybridMultilevel"/>
    <w:tmpl w:val="D0D89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6662B1"/>
    <w:multiLevelType w:val="hybridMultilevel"/>
    <w:tmpl w:val="F9EA4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9A60414"/>
    <w:multiLevelType w:val="hybridMultilevel"/>
    <w:tmpl w:val="23E45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A500407"/>
    <w:multiLevelType w:val="hybridMultilevel"/>
    <w:tmpl w:val="7DA6C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036855"/>
    <w:multiLevelType w:val="hybridMultilevel"/>
    <w:tmpl w:val="C1987820"/>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13E634D"/>
    <w:multiLevelType w:val="hybridMultilevel"/>
    <w:tmpl w:val="74EC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6A5F1F"/>
    <w:multiLevelType w:val="hybridMultilevel"/>
    <w:tmpl w:val="8AA0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A75ED3"/>
    <w:multiLevelType w:val="hybridMultilevel"/>
    <w:tmpl w:val="3F308F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2D55A07"/>
    <w:multiLevelType w:val="hybridMultilevel"/>
    <w:tmpl w:val="CA8AA85A"/>
    <w:lvl w:ilvl="0" w:tplc="108E6D06">
      <w:start w:val="1"/>
      <w:numFmt w:val="decimal"/>
      <w:pStyle w:val="AppendixBHeading2"/>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3545D0B"/>
    <w:multiLevelType w:val="hybridMultilevel"/>
    <w:tmpl w:val="45CE5D6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3592871"/>
    <w:multiLevelType w:val="hybridMultilevel"/>
    <w:tmpl w:val="60647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5B39B1"/>
    <w:multiLevelType w:val="hybridMultilevel"/>
    <w:tmpl w:val="D78C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5EC6B77"/>
    <w:multiLevelType w:val="hybridMultilevel"/>
    <w:tmpl w:val="F53EDCC4"/>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716112C"/>
    <w:multiLevelType w:val="hybridMultilevel"/>
    <w:tmpl w:val="E6BE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76E304B"/>
    <w:multiLevelType w:val="hybridMultilevel"/>
    <w:tmpl w:val="E8908CA2"/>
    <w:lvl w:ilvl="0" w:tplc="9DC04512">
      <w:start w:val="1"/>
      <w:numFmt w:val="bullet"/>
      <w:lvlText w:val=""/>
      <w:lvlJc w:val="left"/>
      <w:pPr>
        <w:ind w:left="360"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37AB661B"/>
    <w:multiLevelType w:val="hybridMultilevel"/>
    <w:tmpl w:val="DFFC431C"/>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99E1251"/>
    <w:multiLevelType w:val="hybridMultilevel"/>
    <w:tmpl w:val="9CE8E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BBB3D91"/>
    <w:multiLevelType w:val="hybridMultilevel"/>
    <w:tmpl w:val="73981E9C"/>
    <w:lvl w:ilvl="0" w:tplc="0C090003">
      <w:start w:val="1"/>
      <w:numFmt w:val="bullet"/>
      <w:lvlText w:val="o"/>
      <w:lvlJc w:val="left"/>
      <w:pPr>
        <w:ind w:left="227" w:firstLine="133"/>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C100205"/>
    <w:multiLevelType w:val="hybridMultilevel"/>
    <w:tmpl w:val="6B54E872"/>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58" w15:restartNumberingAfterBreak="0">
    <w:nsid w:val="3C666310"/>
    <w:multiLevelType w:val="hybridMultilevel"/>
    <w:tmpl w:val="2CAC3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F630172"/>
    <w:multiLevelType w:val="hybridMultilevel"/>
    <w:tmpl w:val="24A89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05E21FB"/>
    <w:multiLevelType w:val="hybridMultilevel"/>
    <w:tmpl w:val="ABFA2988"/>
    <w:lvl w:ilvl="0" w:tplc="0C090001">
      <w:start w:val="1"/>
      <w:numFmt w:val="bullet"/>
      <w:lvlText w:val=""/>
      <w:lvlJc w:val="left"/>
      <w:pPr>
        <w:ind w:left="720" w:hanging="360"/>
      </w:pPr>
      <w:rPr>
        <w:rFonts w:ascii="Symbol" w:hAnsi="Symbol" w:hint="default"/>
      </w:rPr>
    </w:lvl>
    <w:lvl w:ilvl="1" w:tplc="802C85BA">
      <w:start w:val="1"/>
      <w:numFmt w:val="bullet"/>
      <w:lvlText w:val="o"/>
      <w:lvlJc w:val="left"/>
      <w:pPr>
        <w:ind w:left="1440" w:hanging="360"/>
      </w:pPr>
      <w:rPr>
        <w:rFonts w:ascii="Courier New" w:hAnsi="Courier New" w:cs="Courier New" w:hint="default"/>
        <w:sz w:val="22"/>
        <w:szCs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0D870A0"/>
    <w:multiLevelType w:val="hybridMultilevel"/>
    <w:tmpl w:val="D6D2C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DA0D85"/>
    <w:multiLevelType w:val="hybridMultilevel"/>
    <w:tmpl w:val="AF9C9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3D64BE"/>
    <w:multiLevelType w:val="hybridMultilevel"/>
    <w:tmpl w:val="549A1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2D70701"/>
    <w:multiLevelType w:val="hybridMultilevel"/>
    <w:tmpl w:val="B1B4DF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42F045E5"/>
    <w:multiLevelType w:val="hybridMultilevel"/>
    <w:tmpl w:val="53DEF5A4"/>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3F84BEF"/>
    <w:multiLevelType w:val="hybridMultilevel"/>
    <w:tmpl w:val="B2EA5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831992"/>
    <w:multiLevelType w:val="hybridMultilevel"/>
    <w:tmpl w:val="B70A953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45C01B9D"/>
    <w:multiLevelType w:val="hybridMultilevel"/>
    <w:tmpl w:val="08422500"/>
    <w:lvl w:ilvl="0" w:tplc="2AB49A40">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9" w15:restartNumberingAfterBreak="0">
    <w:nsid w:val="47147BC3"/>
    <w:multiLevelType w:val="hybridMultilevel"/>
    <w:tmpl w:val="5B74C3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84C5339"/>
    <w:multiLevelType w:val="hybridMultilevel"/>
    <w:tmpl w:val="BC2C6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AA29B4">
      <w:numFmt w:val="bullet"/>
      <w:lvlText w:val="•"/>
      <w:lvlJc w:val="left"/>
      <w:pPr>
        <w:ind w:left="2520" w:hanging="720"/>
      </w:pPr>
      <w:rPr>
        <w:rFonts w:ascii="Cambria" w:eastAsiaTheme="minorHAnsi" w:hAnsi="Cambria"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85A7578"/>
    <w:multiLevelType w:val="hybridMultilevel"/>
    <w:tmpl w:val="9B98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063D3B"/>
    <w:multiLevelType w:val="hybridMultilevel"/>
    <w:tmpl w:val="7A0CBA20"/>
    <w:lvl w:ilvl="0" w:tplc="1812BE12">
      <w:start w:val="1"/>
      <w:numFmt w:val="bullet"/>
      <w:lvlText w:val=""/>
      <w:lvlJc w:val="left"/>
      <w:pPr>
        <w:ind w:left="720" w:hanging="493"/>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A3E780D"/>
    <w:multiLevelType w:val="hybridMultilevel"/>
    <w:tmpl w:val="D340EDC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AF018CC"/>
    <w:multiLevelType w:val="hybridMultilevel"/>
    <w:tmpl w:val="A4783FCE"/>
    <w:lvl w:ilvl="0" w:tplc="299CAB0C">
      <w:start w:val="1"/>
      <w:numFmt w:val="bullet"/>
      <w:lvlText w:val=""/>
      <w:lvlJc w:val="left"/>
      <w:pPr>
        <w:ind w:left="227" w:hanging="22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D4A5689"/>
    <w:multiLevelType w:val="multilevel"/>
    <w:tmpl w:val="DF1018A0"/>
    <w:lvl w:ilvl="0">
      <w:start w:val="1"/>
      <w:numFmt w:val="decimal"/>
      <w:pStyle w:val="Heading1"/>
      <w:lvlText w:val="%1"/>
      <w:lvlJc w:val="left"/>
      <w:pPr>
        <w:ind w:left="573" w:hanging="432"/>
      </w:pPr>
    </w:lvl>
    <w:lvl w:ilvl="1">
      <w:start w:val="1"/>
      <w:numFmt w:val="decimal"/>
      <w:pStyle w:val="Heading2"/>
      <w:lvlText w:val="%1.%2"/>
      <w:lvlJc w:val="left"/>
      <w:pPr>
        <w:ind w:left="964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4E6A06C6"/>
    <w:multiLevelType w:val="hybridMultilevel"/>
    <w:tmpl w:val="FF8A1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F425420"/>
    <w:multiLevelType w:val="hybridMultilevel"/>
    <w:tmpl w:val="38DA59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5F0EB0"/>
    <w:multiLevelType w:val="hybridMultilevel"/>
    <w:tmpl w:val="7E2E0D0C"/>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5B46CB"/>
    <w:multiLevelType w:val="hybridMultilevel"/>
    <w:tmpl w:val="8C424764"/>
    <w:lvl w:ilvl="0" w:tplc="0C09000B">
      <w:start w:val="1"/>
      <w:numFmt w:val="bullet"/>
      <w:lvlText w:val=""/>
      <w:lvlJc w:val="left"/>
      <w:pPr>
        <w:ind w:left="227" w:hanging="227"/>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1C82C34"/>
    <w:multiLevelType w:val="hybridMultilevel"/>
    <w:tmpl w:val="9B7EAF26"/>
    <w:lvl w:ilvl="0" w:tplc="E924D140">
      <w:start w:val="1"/>
      <w:numFmt w:val="bullet"/>
      <w:lvlText w:val=""/>
      <w:lvlJc w:val="left"/>
      <w:pPr>
        <w:ind w:left="227" w:hanging="227"/>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6F24E76"/>
    <w:multiLevelType w:val="hybridMultilevel"/>
    <w:tmpl w:val="060E8604"/>
    <w:lvl w:ilvl="0" w:tplc="0CA4752C">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7F11355"/>
    <w:multiLevelType w:val="hybridMultilevel"/>
    <w:tmpl w:val="C42A0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FE612A"/>
    <w:multiLevelType w:val="hybridMultilevel"/>
    <w:tmpl w:val="AF8C44A4"/>
    <w:lvl w:ilvl="0" w:tplc="DE9A584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9487102"/>
    <w:multiLevelType w:val="hybridMultilevel"/>
    <w:tmpl w:val="30F24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9D80170"/>
    <w:multiLevelType w:val="hybridMultilevel"/>
    <w:tmpl w:val="A40E386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A583620"/>
    <w:multiLevelType w:val="hybridMultilevel"/>
    <w:tmpl w:val="43326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A7163AF"/>
    <w:multiLevelType w:val="hybridMultilevel"/>
    <w:tmpl w:val="DCEE4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CA023E8"/>
    <w:multiLevelType w:val="hybridMultilevel"/>
    <w:tmpl w:val="6396EEC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1" w15:restartNumberingAfterBreak="0">
    <w:nsid w:val="5D74016F"/>
    <w:multiLevelType w:val="hybridMultilevel"/>
    <w:tmpl w:val="74206A8A"/>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E633B58"/>
    <w:multiLevelType w:val="hybridMultilevel"/>
    <w:tmpl w:val="BACEE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FD121E7"/>
    <w:multiLevelType w:val="hybridMultilevel"/>
    <w:tmpl w:val="828A4724"/>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0F156B8"/>
    <w:multiLevelType w:val="hybridMultilevel"/>
    <w:tmpl w:val="745A1F3C"/>
    <w:lvl w:ilvl="0" w:tplc="2F7C2B58">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3021FCA"/>
    <w:multiLevelType w:val="hybridMultilevel"/>
    <w:tmpl w:val="B85876F4"/>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47D60A6"/>
    <w:multiLevelType w:val="hybridMultilevel"/>
    <w:tmpl w:val="152CBA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7" w15:restartNumberingAfterBreak="0">
    <w:nsid w:val="67502A7C"/>
    <w:multiLevelType w:val="hybridMultilevel"/>
    <w:tmpl w:val="317CB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87E7AB5"/>
    <w:multiLevelType w:val="hybridMultilevel"/>
    <w:tmpl w:val="66705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8957CC5"/>
    <w:multiLevelType w:val="hybridMultilevel"/>
    <w:tmpl w:val="D48C937E"/>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95F41B1"/>
    <w:multiLevelType w:val="hybridMultilevel"/>
    <w:tmpl w:val="DD6C1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A150256"/>
    <w:multiLevelType w:val="hybridMultilevel"/>
    <w:tmpl w:val="781C5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E003608"/>
    <w:multiLevelType w:val="hybridMultilevel"/>
    <w:tmpl w:val="27B48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E3A7F94"/>
    <w:multiLevelType w:val="hybridMultilevel"/>
    <w:tmpl w:val="33C8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0D97421"/>
    <w:multiLevelType w:val="hybridMultilevel"/>
    <w:tmpl w:val="6338C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1470CE2"/>
    <w:multiLevelType w:val="hybridMultilevel"/>
    <w:tmpl w:val="8EEEC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3304968"/>
    <w:multiLevelType w:val="hybridMultilevel"/>
    <w:tmpl w:val="DFB01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6961AB8"/>
    <w:multiLevelType w:val="hybridMultilevel"/>
    <w:tmpl w:val="8244D3BE"/>
    <w:lvl w:ilvl="0" w:tplc="C3D43D1A">
      <w:start w:val="1"/>
      <w:numFmt w:val="bullet"/>
      <w:lvlText w:val=""/>
      <w:lvlJc w:val="left"/>
      <w:pPr>
        <w:ind w:left="284" w:hanging="28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75A19DD"/>
    <w:multiLevelType w:val="hybridMultilevel"/>
    <w:tmpl w:val="4ED6F946"/>
    <w:lvl w:ilvl="0" w:tplc="7518BC2E">
      <w:start w:val="1"/>
      <w:numFmt w:val="bulle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9CE1629"/>
    <w:multiLevelType w:val="hybridMultilevel"/>
    <w:tmpl w:val="57B2A7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7C936F81"/>
    <w:multiLevelType w:val="hybridMultilevel"/>
    <w:tmpl w:val="F4483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D3370BD"/>
    <w:multiLevelType w:val="hybridMultilevel"/>
    <w:tmpl w:val="BD840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D546079"/>
    <w:multiLevelType w:val="hybridMultilevel"/>
    <w:tmpl w:val="866C8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DC07E8D"/>
    <w:multiLevelType w:val="hybridMultilevel"/>
    <w:tmpl w:val="95D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FA3630A"/>
    <w:multiLevelType w:val="hybridMultilevel"/>
    <w:tmpl w:val="1E90043E"/>
    <w:lvl w:ilvl="0" w:tplc="3A08BDE0">
      <w:start w:val="1"/>
      <w:numFmt w:val="bullet"/>
      <w:pStyle w:val="Consultationquestion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6774660">
    <w:abstractNumId w:val="76"/>
  </w:num>
  <w:num w:numId="2" w16cid:durableId="1561095174">
    <w:abstractNumId w:val="74"/>
  </w:num>
  <w:num w:numId="3" w16cid:durableId="34040724">
    <w:abstractNumId w:val="89"/>
  </w:num>
  <w:num w:numId="4" w16cid:durableId="91630126">
    <w:abstractNumId w:val="39"/>
  </w:num>
  <w:num w:numId="5" w16cid:durableId="2117820061">
    <w:abstractNumId w:val="19"/>
  </w:num>
  <w:num w:numId="6" w16cid:durableId="187448836">
    <w:abstractNumId w:val="47"/>
  </w:num>
  <w:num w:numId="7" w16cid:durableId="1573158134">
    <w:abstractNumId w:val="7"/>
  </w:num>
  <w:num w:numId="8" w16cid:durableId="1995184546">
    <w:abstractNumId w:val="114"/>
  </w:num>
  <w:num w:numId="9" w16cid:durableId="2029990013">
    <w:abstractNumId w:val="83"/>
  </w:num>
  <w:num w:numId="10" w16cid:durableId="192349665">
    <w:abstractNumId w:val="80"/>
  </w:num>
  <w:num w:numId="11" w16cid:durableId="680863044">
    <w:abstractNumId w:val="87"/>
  </w:num>
  <w:num w:numId="12" w16cid:durableId="303701038">
    <w:abstractNumId w:val="81"/>
  </w:num>
  <w:num w:numId="13" w16cid:durableId="104934416">
    <w:abstractNumId w:val="76"/>
    <w:lvlOverride w:ilvl="0">
      <w:startOverride w:val="1"/>
    </w:lvlOverride>
    <w:lvlOverride w:ilvl="1">
      <w:startOverride w:val="2"/>
    </w:lvlOverride>
    <w:lvlOverride w:ilvl="2">
      <w:startOverride w:val="2"/>
    </w:lvlOverride>
  </w:num>
  <w:num w:numId="14" w16cid:durableId="601301738">
    <w:abstractNumId w:val="46"/>
  </w:num>
  <w:num w:numId="15" w16cid:durableId="1239904666">
    <w:abstractNumId w:val="98"/>
  </w:num>
  <w:num w:numId="16" w16cid:durableId="1106577375">
    <w:abstractNumId w:val="4"/>
  </w:num>
  <w:num w:numId="17" w16cid:durableId="1834098335">
    <w:abstractNumId w:val="22"/>
  </w:num>
  <w:num w:numId="18" w16cid:durableId="1145007777">
    <w:abstractNumId w:val="99"/>
  </w:num>
  <w:num w:numId="19" w16cid:durableId="1140728845">
    <w:abstractNumId w:val="43"/>
  </w:num>
  <w:num w:numId="20" w16cid:durableId="1736510276">
    <w:abstractNumId w:val="94"/>
  </w:num>
  <w:num w:numId="21" w16cid:durableId="1048913129">
    <w:abstractNumId w:val="40"/>
  </w:num>
  <w:num w:numId="22" w16cid:durableId="844713218">
    <w:abstractNumId w:val="59"/>
  </w:num>
  <w:num w:numId="23" w16cid:durableId="1910000852">
    <w:abstractNumId w:val="42"/>
  </w:num>
  <w:num w:numId="24" w16cid:durableId="1299533612">
    <w:abstractNumId w:val="49"/>
  </w:num>
  <w:num w:numId="25" w16cid:durableId="50470473">
    <w:abstractNumId w:val="57"/>
  </w:num>
  <w:num w:numId="26" w16cid:durableId="308629413">
    <w:abstractNumId w:val="31"/>
  </w:num>
  <w:num w:numId="27" w16cid:durableId="1096828136">
    <w:abstractNumId w:val="17"/>
  </w:num>
  <w:num w:numId="28" w16cid:durableId="28998855">
    <w:abstractNumId w:val="95"/>
  </w:num>
  <w:num w:numId="29" w16cid:durableId="2012753491">
    <w:abstractNumId w:val="97"/>
  </w:num>
  <w:num w:numId="30" w16cid:durableId="307517113">
    <w:abstractNumId w:val="62"/>
  </w:num>
  <w:num w:numId="31" w16cid:durableId="653489072">
    <w:abstractNumId w:val="103"/>
  </w:num>
  <w:num w:numId="32" w16cid:durableId="662315010">
    <w:abstractNumId w:val="32"/>
  </w:num>
  <w:num w:numId="33" w16cid:durableId="1788156119">
    <w:abstractNumId w:val="34"/>
  </w:num>
  <w:num w:numId="34" w16cid:durableId="1942714061">
    <w:abstractNumId w:val="92"/>
  </w:num>
  <w:num w:numId="35" w16cid:durableId="645746950">
    <w:abstractNumId w:val="21"/>
  </w:num>
  <w:num w:numId="36" w16cid:durableId="1012798831">
    <w:abstractNumId w:val="78"/>
  </w:num>
  <w:num w:numId="37" w16cid:durableId="810833061">
    <w:abstractNumId w:val="13"/>
  </w:num>
  <w:num w:numId="38" w16cid:durableId="1754626827">
    <w:abstractNumId w:val="73"/>
  </w:num>
  <w:num w:numId="39" w16cid:durableId="1070924578">
    <w:abstractNumId w:val="11"/>
  </w:num>
  <w:num w:numId="40" w16cid:durableId="1755080643">
    <w:abstractNumId w:val="76"/>
    <w:lvlOverride w:ilvl="0">
      <w:startOverride w:val="5"/>
    </w:lvlOverride>
  </w:num>
  <w:num w:numId="41" w16cid:durableId="1302465486">
    <w:abstractNumId w:val="88"/>
  </w:num>
  <w:num w:numId="42" w16cid:durableId="1989703866">
    <w:abstractNumId w:val="64"/>
  </w:num>
  <w:num w:numId="43" w16cid:durableId="1507868553">
    <w:abstractNumId w:val="110"/>
  </w:num>
  <w:num w:numId="44" w16cid:durableId="2043743471">
    <w:abstractNumId w:val="69"/>
  </w:num>
  <w:num w:numId="45" w16cid:durableId="2090231051">
    <w:abstractNumId w:val="113"/>
  </w:num>
  <w:num w:numId="46" w16cid:durableId="807823301">
    <w:abstractNumId w:val="6"/>
  </w:num>
  <w:num w:numId="47" w16cid:durableId="721710850">
    <w:abstractNumId w:val="85"/>
  </w:num>
  <w:num w:numId="48" w16cid:durableId="1982226523">
    <w:abstractNumId w:val="101"/>
  </w:num>
  <w:num w:numId="49" w16cid:durableId="1942571279">
    <w:abstractNumId w:val="8"/>
  </w:num>
  <w:num w:numId="50" w16cid:durableId="2062173050">
    <w:abstractNumId w:val="77"/>
  </w:num>
  <w:num w:numId="51" w16cid:durableId="1014115773">
    <w:abstractNumId w:val="12"/>
  </w:num>
  <w:num w:numId="52" w16cid:durableId="407770722">
    <w:abstractNumId w:val="86"/>
  </w:num>
  <w:num w:numId="53" w16cid:durableId="224802253">
    <w:abstractNumId w:val="5"/>
  </w:num>
  <w:num w:numId="54" w16cid:durableId="1644311558">
    <w:abstractNumId w:val="38"/>
  </w:num>
  <w:num w:numId="55" w16cid:durableId="1512331609">
    <w:abstractNumId w:val="3"/>
  </w:num>
  <w:num w:numId="56" w16cid:durableId="89931176">
    <w:abstractNumId w:val="25"/>
  </w:num>
  <w:num w:numId="57" w16cid:durableId="441875366">
    <w:abstractNumId w:val="58"/>
  </w:num>
  <w:num w:numId="58" w16cid:durableId="1393191332">
    <w:abstractNumId w:val="9"/>
  </w:num>
  <w:num w:numId="59" w16cid:durableId="357317019">
    <w:abstractNumId w:val="104"/>
  </w:num>
  <w:num w:numId="60" w16cid:durableId="928123086">
    <w:abstractNumId w:val="105"/>
  </w:num>
  <w:num w:numId="61" w16cid:durableId="1280187041">
    <w:abstractNumId w:val="48"/>
  </w:num>
  <w:num w:numId="62" w16cid:durableId="1693409125">
    <w:abstractNumId w:val="112"/>
  </w:num>
  <w:num w:numId="63" w16cid:durableId="1463231000">
    <w:abstractNumId w:val="24"/>
  </w:num>
  <w:num w:numId="64" w16cid:durableId="626080896">
    <w:abstractNumId w:val="41"/>
  </w:num>
  <w:num w:numId="65" w16cid:durableId="562720347">
    <w:abstractNumId w:val="1"/>
  </w:num>
  <w:num w:numId="66" w16cid:durableId="1318076174">
    <w:abstractNumId w:val="66"/>
  </w:num>
  <w:num w:numId="67" w16cid:durableId="1421175895">
    <w:abstractNumId w:val="71"/>
  </w:num>
  <w:num w:numId="68" w16cid:durableId="618731218">
    <w:abstractNumId w:val="37"/>
  </w:num>
  <w:num w:numId="69" w16cid:durableId="1700861702">
    <w:abstractNumId w:val="106"/>
  </w:num>
  <w:num w:numId="70" w16cid:durableId="1413234966">
    <w:abstractNumId w:val="26"/>
  </w:num>
  <w:num w:numId="71" w16cid:durableId="651637778">
    <w:abstractNumId w:val="75"/>
  </w:num>
  <w:num w:numId="72" w16cid:durableId="1859074352">
    <w:abstractNumId w:val="28"/>
  </w:num>
  <w:num w:numId="73" w16cid:durableId="184056557">
    <w:abstractNumId w:val="35"/>
  </w:num>
  <w:num w:numId="74" w16cid:durableId="1500921108">
    <w:abstractNumId w:val="107"/>
  </w:num>
  <w:num w:numId="75" w16cid:durableId="1387030329">
    <w:abstractNumId w:val="53"/>
  </w:num>
  <w:num w:numId="76" w16cid:durableId="668750811">
    <w:abstractNumId w:val="72"/>
  </w:num>
  <w:num w:numId="77" w16cid:durableId="166987981">
    <w:abstractNumId w:val="90"/>
  </w:num>
  <w:num w:numId="78" w16cid:durableId="400564207">
    <w:abstractNumId w:val="82"/>
  </w:num>
  <w:num w:numId="79" w16cid:durableId="1223953443">
    <w:abstractNumId w:val="67"/>
  </w:num>
  <w:num w:numId="80" w16cid:durableId="1597251127">
    <w:abstractNumId w:val="23"/>
  </w:num>
  <w:num w:numId="81" w16cid:durableId="1679382617">
    <w:abstractNumId w:val="29"/>
  </w:num>
  <w:num w:numId="82" w16cid:durableId="749817526">
    <w:abstractNumId w:val="100"/>
  </w:num>
  <w:num w:numId="83" w16cid:durableId="936207073">
    <w:abstractNumId w:val="18"/>
  </w:num>
  <w:num w:numId="84" w16cid:durableId="2017418801">
    <w:abstractNumId w:val="0"/>
  </w:num>
  <w:num w:numId="85" w16cid:durableId="1750928005">
    <w:abstractNumId w:val="56"/>
  </w:num>
  <w:num w:numId="86" w16cid:durableId="723874087">
    <w:abstractNumId w:val="30"/>
  </w:num>
  <w:num w:numId="87" w16cid:durableId="1905020360">
    <w:abstractNumId w:val="55"/>
  </w:num>
  <w:num w:numId="88" w16cid:durableId="551617977">
    <w:abstractNumId w:val="65"/>
  </w:num>
  <w:num w:numId="89" w16cid:durableId="1362197210">
    <w:abstractNumId w:val="91"/>
  </w:num>
  <w:num w:numId="90" w16cid:durableId="2014911858">
    <w:abstractNumId w:val="93"/>
  </w:num>
  <w:num w:numId="91" w16cid:durableId="790780004">
    <w:abstractNumId w:val="51"/>
  </w:num>
  <w:num w:numId="92" w16cid:durableId="1648509930">
    <w:abstractNumId w:val="33"/>
  </w:num>
  <w:num w:numId="93" w16cid:durableId="1743798117">
    <w:abstractNumId w:val="54"/>
  </w:num>
  <w:num w:numId="94" w16cid:durableId="458424354">
    <w:abstractNumId w:val="79"/>
  </w:num>
  <w:num w:numId="95" w16cid:durableId="520120219">
    <w:abstractNumId w:val="108"/>
  </w:num>
  <w:num w:numId="96" w16cid:durableId="2136410833">
    <w:abstractNumId w:val="20"/>
  </w:num>
  <w:num w:numId="97" w16cid:durableId="1120490659">
    <w:abstractNumId w:val="36"/>
  </w:num>
  <w:num w:numId="98" w16cid:durableId="1936666514">
    <w:abstractNumId w:val="44"/>
  </w:num>
  <w:num w:numId="99" w16cid:durableId="393310005">
    <w:abstractNumId w:val="68"/>
  </w:num>
  <w:num w:numId="100" w16cid:durableId="11877500">
    <w:abstractNumId w:val="45"/>
  </w:num>
  <w:num w:numId="101" w16cid:durableId="114369376">
    <w:abstractNumId w:val="61"/>
  </w:num>
  <w:num w:numId="102" w16cid:durableId="1371610014">
    <w:abstractNumId w:val="63"/>
  </w:num>
  <w:num w:numId="103" w16cid:durableId="872183555">
    <w:abstractNumId w:val="60"/>
  </w:num>
  <w:num w:numId="104" w16cid:durableId="198587648">
    <w:abstractNumId w:val="2"/>
  </w:num>
  <w:num w:numId="105" w16cid:durableId="819156566">
    <w:abstractNumId w:val="84"/>
  </w:num>
  <w:num w:numId="106" w16cid:durableId="172036264">
    <w:abstractNumId w:val="16"/>
  </w:num>
  <w:num w:numId="107" w16cid:durableId="828713225">
    <w:abstractNumId w:val="70"/>
  </w:num>
  <w:num w:numId="108" w16cid:durableId="1881476560">
    <w:abstractNumId w:val="96"/>
  </w:num>
  <w:num w:numId="109" w16cid:durableId="545530653">
    <w:abstractNumId w:val="50"/>
  </w:num>
  <w:num w:numId="110" w16cid:durableId="1654479852">
    <w:abstractNumId w:val="52"/>
  </w:num>
  <w:num w:numId="111" w16cid:durableId="1744795616">
    <w:abstractNumId w:val="14"/>
  </w:num>
  <w:num w:numId="112" w16cid:durableId="756948606">
    <w:abstractNumId w:val="111"/>
  </w:num>
  <w:num w:numId="113" w16cid:durableId="378164832">
    <w:abstractNumId w:val="102"/>
  </w:num>
  <w:num w:numId="114" w16cid:durableId="1967736841">
    <w:abstractNumId w:val="27"/>
  </w:num>
  <w:num w:numId="115" w16cid:durableId="1068187865">
    <w:abstractNumId w:val="10"/>
  </w:num>
  <w:num w:numId="116" w16cid:durableId="733816291">
    <w:abstractNumId w:val="76"/>
  </w:num>
  <w:num w:numId="117" w16cid:durableId="943459782">
    <w:abstractNumId w:val="76"/>
  </w:num>
  <w:num w:numId="118" w16cid:durableId="1348558824">
    <w:abstractNumId w:val="76"/>
  </w:num>
  <w:num w:numId="119" w16cid:durableId="1192307379">
    <w:abstractNumId w:val="76"/>
  </w:num>
  <w:num w:numId="120" w16cid:durableId="1435401559">
    <w:abstractNumId w:val="76"/>
  </w:num>
  <w:num w:numId="121" w16cid:durableId="732001338">
    <w:abstractNumId w:val="15"/>
  </w:num>
  <w:num w:numId="122" w16cid:durableId="375618422">
    <w:abstractNumId w:val="10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3B4F5DA-627A-43C0-A6C3-35535F792754}"/>
    <w:docVar w:name="dgnword-eventsink" w:val="2504766227904"/>
  </w:docVars>
  <w:rsids>
    <w:rsidRoot w:val="002D6AB0"/>
    <w:rsid w:val="00000140"/>
    <w:rsid w:val="00000464"/>
    <w:rsid w:val="00000799"/>
    <w:rsid w:val="00000853"/>
    <w:rsid w:val="00000986"/>
    <w:rsid w:val="00000BEC"/>
    <w:rsid w:val="00001090"/>
    <w:rsid w:val="000011C0"/>
    <w:rsid w:val="000012AD"/>
    <w:rsid w:val="000013C1"/>
    <w:rsid w:val="000014A6"/>
    <w:rsid w:val="000015C0"/>
    <w:rsid w:val="00001674"/>
    <w:rsid w:val="000019BA"/>
    <w:rsid w:val="00001D02"/>
    <w:rsid w:val="00001EB6"/>
    <w:rsid w:val="00001F28"/>
    <w:rsid w:val="000024DF"/>
    <w:rsid w:val="000027BE"/>
    <w:rsid w:val="0000281A"/>
    <w:rsid w:val="000028F1"/>
    <w:rsid w:val="000029D2"/>
    <w:rsid w:val="000030AC"/>
    <w:rsid w:val="000032A6"/>
    <w:rsid w:val="00003850"/>
    <w:rsid w:val="000039AB"/>
    <w:rsid w:val="00003C63"/>
    <w:rsid w:val="00003F72"/>
    <w:rsid w:val="00003F8E"/>
    <w:rsid w:val="000040AE"/>
    <w:rsid w:val="000040ED"/>
    <w:rsid w:val="00004118"/>
    <w:rsid w:val="0000423A"/>
    <w:rsid w:val="000042F1"/>
    <w:rsid w:val="0000472F"/>
    <w:rsid w:val="0000489B"/>
    <w:rsid w:val="00004A2E"/>
    <w:rsid w:val="00004C6F"/>
    <w:rsid w:val="00005026"/>
    <w:rsid w:val="000051D2"/>
    <w:rsid w:val="0000527F"/>
    <w:rsid w:val="000054B4"/>
    <w:rsid w:val="000056D1"/>
    <w:rsid w:val="000059BF"/>
    <w:rsid w:val="00005F74"/>
    <w:rsid w:val="00006041"/>
    <w:rsid w:val="0000611D"/>
    <w:rsid w:val="00006AF0"/>
    <w:rsid w:val="00006C70"/>
    <w:rsid w:val="00006D04"/>
    <w:rsid w:val="00006E3C"/>
    <w:rsid w:val="000071DC"/>
    <w:rsid w:val="0000779A"/>
    <w:rsid w:val="000078DE"/>
    <w:rsid w:val="00007922"/>
    <w:rsid w:val="00007962"/>
    <w:rsid w:val="00007B54"/>
    <w:rsid w:val="00007F4A"/>
    <w:rsid w:val="00007FB6"/>
    <w:rsid w:val="000100CB"/>
    <w:rsid w:val="0001020C"/>
    <w:rsid w:val="0001045A"/>
    <w:rsid w:val="00010811"/>
    <w:rsid w:val="00010CF7"/>
    <w:rsid w:val="00010E25"/>
    <w:rsid w:val="00010E99"/>
    <w:rsid w:val="00010F13"/>
    <w:rsid w:val="00010F75"/>
    <w:rsid w:val="0001108A"/>
    <w:rsid w:val="000113F1"/>
    <w:rsid w:val="00011597"/>
    <w:rsid w:val="0001178A"/>
    <w:rsid w:val="000117C5"/>
    <w:rsid w:val="00011F83"/>
    <w:rsid w:val="00012131"/>
    <w:rsid w:val="00012149"/>
    <w:rsid w:val="00012179"/>
    <w:rsid w:val="00012359"/>
    <w:rsid w:val="00012554"/>
    <w:rsid w:val="000125E3"/>
    <w:rsid w:val="00012BF8"/>
    <w:rsid w:val="00012C9A"/>
    <w:rsid w:val="00012F18"/>
    <w:rsid w:val="0001306F"/>
    <w:rsid w:val="00013172"/>
    <w:rsid w:val="000135AC"/>
    <w:rsid w:val="000137B7"/>
    <w:rsid w:val="00013C90"/>
    <w:rsid w:val="00013F8C"/>
    <w:rsid w:val="00014361"/>
    <w:rsid w:val="00014551"/>
    <w:rsid w:val="00014F81"/>
    <w:rsid w:val="00015046"/>
    <w:rsid w:val="00015096"/>
    <w:rsid w:val="000152DE"/>
    <w:rsid w:val="0001581C"/>
    <w:rsid w:val="00015BA6"/>
    <w:rsid w:val="00015E26"/>
    <w:rsid w:val="00015FED"/>
    <w:rsid w:val="000165DF"/>
    <w:rsid w:val="0001686C"/>
    <w:rsid w:val="00016AE1"/>
    <w:rsid w:val="00016F8F"/>
    <w:rsid w:val="00017066"/>
    <w:rsid w:val="000173EA"/>
    <w:rsid w:val="0001771A"/>
    <w:rsid w:val="00017766"/>
    <w:rsid w:val="00017DF4"/>
    <w:rsid w:val="000200AD"/>
    <w:rsid w:val="0002021B"/>
    <w:rsid w:val="000203EA"/>
    <w:rsid w:val="00020479"/>
    <w:rsid w:val="0002069B"/>
    <w:rsid w:val="00020A09"/>
    <w:rsid w:val="00020AEC"/>
    <w:rsid w:val="00020C5D"/>
    <w:rsid w:val="00020F48"/>
    <w:rsid w:val="000211C9"/>
    <w:rsid w:val="00021425"/>
    <w:rsid w:val="0002161E"/>
    <w:rsid w:val="00021663"/>
    <w:rsid w:val="000219AD"/>
    <w:rsid w:val="00021B21"/>
    <w:rsid w:val="00021B52"/>
    <w:rsid w:val="00021FCC"/>
    <w:rsid w:val="00022161"/>
    <w:rsid w:val="000224B8"/>
    <w:rsid w:val="000224D7"/>
    <w:rsid w:val="00022598"/>
    <w:rsid w:val="000225D5"/>
    <w:rsid w:val="000227F4"/>
    <w:rsid w:val="0002281A"/>
    <w:rsid w:val="00022957"/>
    <w:rsid w:val="00022B00"/>
    <w:rsid w:val="00022C68"/>
    <w:rsid w:val="0002318A"/>
    <w:rsid w:val="000231EC"/>
    <w:rsid w:val="00023476"/>
    <w:rsid w:val="00023534"/>
    <w:rsid w:val="00023642"/>
    <w:rsid w:val="0002377A"/>
    <w:rsid w:val="00023A0A"/>
    <w:rsid w:val="00023B05"/>
    <w:rsid w:val="00023D85"/>
    <w:rsid w:val="00024165"/>
    <w:rsid w:val="000242CF"/>
    <w:rsid w:val="00024BE3"/>
    <w:rsid w:val="00024BFD"/>
    <w:rsid w:val="0002504E"/>
    <w:rsid w:val="000251E1"/>
    <w:rsid w:val="00025371"/>
    <w:rsid w:val="00025378"/>
    <w:rsid w:val="0002589D"/>
    <w:rsid w:val="00026214"/>
    <w:rsid w:val="00026494"/>
    <w:rsid w:val="0002668E"/>
    <w:rsid w:val="00026886"/>
    <w:rsid w:val="000269AC"/>
    <w:rsid w:val="00026ABF"/>
    <w:rsid w:val="000270F7"/>
    <w:rsid w:val="0002720D"/>
    <w:rsid w:val="0002767B"/>
    <w:rsid w:val="00027ADA"/>
    <w:rsid w:val="00027E80"/>
    <w:rsid w:val="00027EBD"/>
    <w:rsid w:val="00027F7F"/>
    <w:rsid w:val="00030087"/>
    <w:rsid w:val="000301B2"/>
    <w:rsid w:val="0003047F"/>
    <w:rsid w:val="0003095D"/>
    <w:rsid w:val="00030AE5"/>
    <w:rsid w:val="00030B5E"/>
    <w:rsid w:val="00030C0D"/>
    <w:rsid w:val="00030D1C"/>
    <w:rsid w:val="00031006"/>
    <w:rsid w:val="000312AC"/>
    <w:rsid w:val="00031448"/>
    <w:rsid w:val="000314F7"/>
    <w:rsid w:val="000316E9"/>
    <w:rsid w:val="000319B3"/>
    <w:rsid w:val="00031E15"/>
    <w:rsid w:val="00031E6A"/>
    <w:rsid w:val="000321A0"/>
    <w:rsid w:val="0003252A"/>
    <w:rsid w:val="00032554"/>
    <w:rsid w:val="00032723"/>
    <w:rsid w:val="000327A5"/>
    <w:rsid w:val="000327E8"/>
    <w:rsid w:val="00032A44"/>
    <w:rsid w:val="00032A84"/>
    <w:rsid w:val="00032D03"/>
    <w:rsid w:val="00032DB9"/>
    <w:rsid w:val="00033128"/>
    <w:rsid w:val="000333A8"/>
    <w:rsid w:val="000333BC"/>
    <w:rsid w:val="00033672"/>
    <w:rsid w:val="00033677"/>
    <w:rsid w:val="00033849"/>
    <w:rsid w:val="00033D42"/>
    <w:rsid w:val="000341B2"/>
    <w:rsid w:val="00034382"/>
    <w:rsid w:val="0003496C"/>
    <w:rsid w:val="00034AF0"/>
    <w:rsid w:val="00034C3F"/>
    <w:rsid w:val="00034F1E"/>
    <w:rsid w:val="00034F7D"/>
    <w:rsid w:val="00035031"/>
    <w:rsid w:val="000352ED"/>
    <w:rsid w:val="00035541"/>
    <w:rsid w:val="00035727"/>
    <w:rsid w:val="00035F53"/>
    <w:rsid w:val="00035F77"/>
    <w:rsid w:val="0003600F"/>
    <w:rsid w:val="000363D0"/>
    <w:rsid w:val="0003676F"/>
    <w:rsid w:val="000368DD"/>
    <w:rsid w:val="000369F3"/>
    <w:rsid w:val="00036C64"/>
    <w:rsid w:val="00036FC5"/>
    <w:rsid w:val="000371B6"/>
    <w:rsid w:val="0003769E"/>
    <w:rsid w:val="00037745"/>
    <w:rsid w:val="00037997"/>
    <w:rsid w:val="00037CFE"/>
    <w:rsid w:val="00040FAF"/>
    <w:rsid w:val="00041205"/>
    <w:rsid w:val="0004152E"/>
    <w:rsid w:val="0004156D"/>
    <w:rsid w:val="0004186D"/>
    <w:rsid w:val="000419AE"/>
    <w:rsid w:val="00041A7B"/>
    <w:rsid w:val="00041B3D"/>
    <w:rsid w:val="00041C4C"/>
    <w:rsid w:val="00041EEB"/>
    <w:rsid w:val="0004219F"/>
    <w:rsid w:val="00042B15"/>
    <w:rsid w:val="00042C4D"/>
    <w:rsid w:val="00042C70"/>
    <w:rsid w:val="00042E45"/>
    <w:rsid w:val="00043755"/>
    <w:rsid w:val="000438A2"/>
    <w:rsid w:val="00043910"/>
    <w:rsid w:val="00043A0D"/>
    <w:rsid w:val="00043A67"/>
    <w:rsid w:val="00043DEC"/>
    <w:rsid w:val="00043E65"/>
    <w:rsid w:val="0004429B"/>
    <w:rsid w:val="00044438"/>
    <w:rsid w:val="00044570"/>
    <w:rsid w:val="0004460F"/>
    <w:rsid w:val="00044BB2"/>
    <w:rsid w:val="00044D00"/>
    <w:rsid w:val="00045429"/>
    <w:rsid w:val="00045656"/>
    <w:rsid w:val="000458B2"/>
    <w:rsid w:val="000459F4"/>
    <w:rsid w:val="00045AD9"/>
    <w:rsid w:val="00045D47"/>
    <w:rsid w:val="00045ED2"/>
    <w:rsid w:val="00045EFA"/>
    <w:rsid w:val="0004601A"/>
    <w:rsid w:val="000460EA"/>
    <w:rsid w:val="0004625C"/>
    <w:rsid w:val="00046372"/>
    <w:rsid w:val="0004646C"/>
    <w:rsid w:val="0004655A"/>
    <w:rsid w:val="000468D2"/>
    <w:rsid w:val="0004698B"/>
    <w:rsid w:val="00046D1E"/>
    <w:rsid w:val="00046DB7"/>
    <w:rsid w:val="0004737A"/>
    <w:rsid w:val="00047464"/>
    <w:rsid w:val="000475EA"/>
    <w:rsid w:val="000476E9"/>
    <w:rsid w:val="00047897"/>
    <w:rsid w:val="00047B22"/>
    <w:rsid w:val="00047B4D"/>
    <w:rsid w:val="00050291"/>
    <w:rsid w:val="0005055C"/>
    <w:rsid w:val="000509C2"/>
    <w:rsid w:val="00050D9A"/>
    <w:rsid w:val="000511A1"/>
    <w:rsid w:val="00051210"/>
    <w:rsid w:val="00051368"/>
    <w:rsid w:val="000513D4"/>
    <w:rsid w:val="0005159B"/>
    <w:rsid w:val="00051C4A"/>
    <w:rsid w:val="00051D51"/>
    <w:rsid w:val="00051D85"/>
    <w:rsid w:val="00051E6A"/>
    <w:rsid w:val="00051EC9"/>
    <w:rsid w:val="00052172"/>
    <w:rsid w:val="00052184"/>
    <w:rsid w:val="000524AF"/>
    <w:rsid w:val="00052602"/>
    <w:rsid w:val="00052634"/>
    <w:rsid w:val="0005289D"/>
    <w:rsid w:val="00052D1A"/>
    <w:rsid w:val="00052DAA"/>
    <w:rsid w:val="000530A1"/>
    <w:rsid w:val="0005330C"/>
    <w:rsid w:val="00053315"/>
    <w:rsid w:val="00053536"/>
    <w:rsid w:val="00053AF8"/>
    <w:rsid w:val="0005464D"/>
    <w:rsid w:val="000547D7"/>
    <w:rsid w:val="000548EC"/>
    <w:rsid w:val="00054959"/>
    <w:rsid w:val="000549C9"/>
    <w:rsid w:val="00054B8E"/>
    <w:rsid w:val="00054D8B"/>
    <w:rsid w:val="00054E75"/>
    <w:rsid w:val="00055104"/>
    <w:rsid w:val="00055382"/>
    <w:rsid w:val="000554E8"/>
    <w:rsid w:val="0005552A"/>
    <w:rsid w:val="0005561E"/>
    <w:rsid w:val="00055882"/>
    <w:rsid w:val="000559FE"/>
    <w:rsid w:val="00055AED"/>
    <w:rsid w:val="00055BD4"/>
    <w:rsid w:val="00055C79"/>
    <w:rsid w:val="00056543"/>
    <w:rsid w:val="0005661C"/>
    <w:rsid w:val="00056881"/>
    <w:rsid w:val="00056B52"/>
    <w:rsid w:val="00056C81"/>
    <w:rsid w:val="00056DAE"/>
    <w:rsid w:val="00056F2E"/>
    <w:rsid w:val="0005720E"/>
    <w:rsid w:val="000573BA"/>
    <w:rsid w:val="000573BF"/>
    <w:rsid w:val="000576CB"/>
    <w:rsid w:val="00057715"/>
    <w:rsid w:val="000579F9"/>
    <w:rsid w:val="00057DBE"/>
    <w:rsid w:val="000601A4"/>
    <w:rsid w:val="000602E1"/>
    <w:rsid w:val="00060494"/>
    <w:rsid w:val="000605E3"/>
    <w:rsid w:val="0006068C"/>
    <w:rsid w:val="000608D5"/>
    <w:rsid w:val="00060982"/>
    <w:rsid w:val="00060D2C"/>
    <w:rsid w:val="00060E23"/>
    <w:rsid w:val="00060F03"/>
    <w:rsid w:val="0006120F"/>
    <w:rsid w:val="000612CE"/>
    <w:rsid w:val="000613E6"/>
    <w:rsid w:val="00061881"/>
    <w:rsid w:val="00061BAE"/>
    <w:rsid w:val="00061BBE"/>
    <w:rsid w:val="00061F61"/>
    <w:rsid w:val="00062B51"/>
    <w:rsid w:val="00062C41"/>
    <w:rsid w:val="00062DD7"/>
    <w:rsid w:val="000631E7"/>
    <w:rsid w:val="00063972"/>
    <w:rsid w:val="00063AA4"/>
    <w:rsid w:val="00063C56"/>
    <w:rsid w:val="00063D5E"/>
    <w:rsid w:val="000645DC"/>
    <w:rsid w:val="000648DF"/>
    <w:rsid w:val="00064A0E"/>
    <w:rsid w:val="00064C06"/>
    <w:rsid w:val="00064E43"/>
    <w:rsid w:val="00064E8B"/>
    <w:rsid w:val="00064EA0"/>
    <w:rsid w:val="00064EC8"/>
    <w:rsid w:val="00064FD8"/>
    <w:rsid w:val="00065447"/>
    <w:rsid w:val="00065E61"/>
    <w:rsid w:val="000660FA"/>
    <w:rsid w:val="0006637C"/>
    <w:rsid w:val="0006648F"/>
    <w:rsid w:val="00066662"/>
    <w:rsid w:val="000666E0"/>
    <w:rsid w:val="00066A51"/>
    <w:rsid w:val="00066A78"/>
    <w:rsid w:val="00066CF5"/>
    <w:rsid w:val="000670AC"/>
    <w:rsid w:val="000670EE"/>
    <w:rsid w:val="000672DE"/>
    <w:rsid w:val="000674C8"/>
    <w:rsid w:val="00067631"/>
    <w:rsid w:val="00067959"/>
    <w:rsid w:val="00067AC5"/>
    <w:rsid w:val="00067E73"/>
    <w:rsid w:val="00067F2B"/>
    <w:rsid w:val="00070033"/>
    <w:rsid w:val="000700DC"/>
    <w:rsid w:val="00070736"/>
    <w:rsid w:val="00070838"/>
    <w:rsid w:val="00070840"/>
    <w:rsid w:val="00070BDD"/>
    <w:rsid w:val="00070EDF"/>
    <w:rsid w:val="00070F4D"/>
    <w:rsid w:val="0007123C"/>
    <w:rsid w:val="00071451"/>
    <w:rsid w:val="000714B3"/>
    <w:rsid w:val="00071581"/>
    <w:rsid w:val="0007183B"/>
    <w:rsid w:val="00071A7E"/>
    <w:rsid w:val="00071B91"/>
    <w:rsid w:val="00071DC9"/>
    <w:rsid w:val="00071E0E"/>
    <w:rsid w:val="00072104"/>
    <w:rsid w:val="00072502"/>
    <w:rsid w:val="000728B6"/>
    <w:rsid w:val="000728F7"/>
    <w:rsid w:val="0007292E"/>
    <w:rsid w:val="00072A35"/>
    <w:rsid w:val="00072A92"/>
    <w:rsid w:val="00072CCA"/>
    <w:rsid w:val="00072DD7"/>
    <w:rsid w:val="00072EB4"/>
    <w:rsid w:val="00072FDB"/>
    <w:rsid w:val="000730D0"/>
    <w:rsid w:val="0007311C"/>
    <w:rsid w:val="00073449"/>
    <w:rsid w:val="0007368F"/>
    <w:rsid w:val="00073794"/>
    <w:rsid w:val="00073A2F"/>
    <w:rsid w:val="00073AA2"/>
    <w:rsid w:val="00073C89"/>
    <w:rsid w:val="00073D73"/>
    <w:rsid w:val="00074797"/>
    <w:rsid w:val="00074A3F"/>
    <w:rsid w:val="00074E7D"/>
    <w:rsid w:val="00075383"/>
    <w:rsid w:val="00075ACE"/>
    <w:rsid w:val="00075BEC"/>
    <w:rsid w:val="00075CB9"/>
    <w:rsid w:val="00075D20"/>
    <w:rsid w:val="00075D38"/>
    <w:rsid w:val="00076106"/>
    <w:rsid w:val="000763DE"/>
    <w:rsid w:val="000766FF"/>
    <w:rsid w:val="00076839"/>
    <w:rsid w:val="00076CCE"/>
    <w:rsid w:val="0007732F"/>
    <w:rsid w:val="000775D4"/>
    <w:rsid w:val="0007761E"/>
    <w:rsid w:val="0007778E"/>
    <w:rsid w:val="0007793F"/>
    <w:rsid w:val="00077A2E"/>
    <w:rsid w:val="00077CF9"/>
    <w:rsid w:val="00077FE4"/>
    <w:rsid w:val="000802C5"/>
    <w:rsid w:val="00080372"/>
    <w:rsid w:val="0008042F"/>
    <w:rsid w:val="00080438"/>
    <w:rsid w:val="00080472"/>
    <w:rsid w:val="0008067E"/>
    <w:rsid w:val="00080A39"/>
    <w:rsid w:val="000810D5"/>
    <w:rsid w:val="000810EA"/>
    <w:rsid w:val="000813EE"/>
    <w:rsid w:val="00081764"/>
    <w:rsid w:val="0008196A"/>
    <w:rsid w:val="00081DB8"/>
    <w:rsid w:val="00081E3D"/>
    <w:rsid w:val="00081E95"/>
    <w:rsid w:val="00082021"/>
    <w:rsid w:val="0008253D"/>
    <w:rsid w:val="00082565"/>
    <w:rsid w:val="00082612"/>
    <w:rsid w:val="000827E0"/>
    <w:rsid w:val="00082BAD"/>
    <w:rsid w:val="00082CF6"/>
    <w:rsid w:val="00083141"/>
    <w:rsid w:val="00083319"/>
    <w:rsid w:val="00083535"/>
    <w:rsid w:val="000836E1"/>
    <w:rsid w:val="0008370F"/>
    <w:rsid w:val="000839D1"/>
    <w:rsid w:val="00083C4D"/>
    <w:rsid w:val="00084655"/>
    <w:rsid w:val="00084685"/>
    <w:rsid w:val="00084999"/>
    <w:rsid w:val="00084E01"/>
    <w:rsid w:val="00085393"/>
    <w:rsid w:val="000854A1"/>
    <w:rsid w:val="00085515"/>
    <w:rsid w:val="00085AB9"/>
    <w:rsid w:val="00085BBE"/>
    <w:rsid w:val="00085C7C"/>
    <w:rsid w:val="00086208"/>
    <w:rsid w:val="00086509"/>
    <w:rsid w:val="000865C2"/>
    <w:rsid w:val="00086816"/>
    <w:rsid w:val="000868E8"/>
    <w:rsid w:val="00086BE0"/>
    <w:rsid w:val="00086C1C"/>
    <w:rsid w:val="00086F2C"/>
    <w:rsid w:val="00086F36"/>
    <w:rsid w:val="000870A5"/>
    <w:rsid w:val="000870C0"/>
    <w:rsid w:val="0008717E"/>
    <w:rsid w:val="000871D6"/>
    <w:rsid w:val="00087379"/>
    <w:rsid w:val="0008745A"/>
    <w:rsid w:val="00087AA6"/>
    <w:rsid w:val="00087B33"/>
    <w:rsid w:val="00087DFF"/>
    <w:rsid w:val="00087E5E"/>
    <w:rsid w:val="0009024C"/>
    <w:rsid w:val="00090478"/>
    <w:rsid w:val="00090752"/>
    <w:rsid w:val="000908E3"/>
    <w:rsid w:val="00090A2C"/>
    <w:rsid w:val="000912F4"/>
    <w:rsid w:val="000914C3"/>
    <w:rsid w:val="0009161D"/>
    <w:rsid w:val="00091EBC"/>
    <w:rsid w:val="00091EC4"/>
    <w:rsid w:val="00091FEC"/>
    <w:rsid w:val="000923D9"/>
    <w:rsid w:val="000928E0"/>
    <w:rsid w:val="00092BD8"/>
    <w:rsid w:val="000932E5"/>
    <w:rsid w:val="0009357E"/>
    <w:rsid w:val="00093A41"/>
    <w:rsid w:val="00093D93"/>
    <w:rsid w:val="00093DB6"/>
    <w:rsid w:val="00093F0C"/>
    <w:rsid w:val="000945A2"/>
    <w:rsid w:val="00094619"/>
    <w:rsid w:val="00094717"/>
    <w:rsid w:val="0009471A"/>
    <w:rsid w:val="000948A3"/>
    <w:rsid w:val="00094908"/>
    <w:rsid w:val="000949D5"/>
    <w:rsid w:val="00094A0E"/>
    <w:rsid w:val="00094CD4"/>
    <w:rsid w:val="00095334"/>
    <w:rsid w:val="00095391"/>
    <w:rsid w:val="00095429"/>
    <w:rsid w:val="00095454"/>
    <w:rsid w:val="0009548B"/>
    <w:rsid w:val="00095745"/>
    <w:rsid w:val="00095A93"/>
    <w:rsid w:val="00095D99"/>
    <w:rsid w:val="00095EB7"/>
    <w:rsid w:val="0009609C"/>
    <w:rsid w:val="000966E6"/>
    <w:rsid w:val="00096A30"/>
    <w:rsid w:val="00096A99"/>
    <w:rsid w:val="00096C8B"/>
    <w:rsid w:val="00096CFB"/>
    <w:rsid w:val="000970A0"/>
    <w:rsid w:val="0009719D"/>
    <w:rsid w:val="000975E1"/>
    <w:rsid w:val="00097898"/>
    <w:rsid w:val="00097B23"/>
    <w:rsid w:val="00097DDD"/>
    <w:rsid w:val="000A039E"/>
    <w:rsid w:val="000A03A9"/>
    <w:rsid w:val="000A074F"/>
    <w:rsid w:val="000A08E8"/>
    <w:rsid w:val="000A0BDD"/>
    <w:rsid w:val="000A0C52"/>
    <w:rsid w:val="000A139C"/>
    <w:rsid w:val="000A1509"/>
    <w:rsid w:val="000A17F0"/>
    <w:rsid w:val="000A1B9B"/>
    <w:rsid w:val="000A1E98"/>
    <w:rsid w:val="000A24E2"/>
    <w:rsid w:val="000A2681"/>
    <w:rsid w:val="000A2999"/>
    <w:rsid w:val="000A2C07"/>
    <w:rsid w:val="000A2F2E"/>
    <w:rsid w:val="000A2F7B"/>
    <w:rsid w:val="000A301A"/>
    <w:rsid w:val="000A303A"/>
    <w:rsid w:val="000A3237"/>
    <w:rsid w:val="000A3268"/>
    <w:rsid w:val="000A32C2"/>
    <w:rsid w:val="000A3300"/>
    <w:rsid w:val="000A330D"/>
    <w:rsid w:val="000A3781"/>
    <w:rsid w:val="000A39AA"/>
    <w:rsid w:val="000A402C"/>
    <w:rsid w:val="000A4080"/>
    <w:rsid w:val="000A427B"/>
    <w:rsid w:val="000A480E"/>
    <w:rsid w:val="000A505D"/>
    <w:rsid w:val="000A5648"/>
    <w:rsid w:val="000A564C"/>
    <w:rsid w:val="000A56B3"/>
    <w:rsid w:val="000A576E"/>
    <w:rsid w:val="000A5C7A"/>
    <w:rsid w:val="000A667D"/>
    <w:rsid w:val="000A6691"/>
    <w:rsid w:val="000A6736"/>
    <w:rsid w:val="000A680F"/>
    <w:rsid w:val="000A6894"/>
    <w:rsid w:val="000A7251"/>
    <w:rsid w:val="000A75BF"/>
    <w:rsid w:val="000A79DF"/>
    <w:rsid w:val="000A7AFE"/>
    <w:rsid w:val="000B0456"/>
    <w:rsid w:val="000B07AD"/>
    <w:rsid w:val="000B0857"/>
    <w:rsid w:val="000B0901"/>
    <w:rsid w:val="000B0A52"/>
    <w:rsid w:val="000B0CE2"/>
    <w:rsid w:val="000B0D0B"/>
    <w:rsid w:val="000B0DB5"/>
    <w:rsid w:val="000B1413"/>
    <w:rsid w:val="000B1604"/>
    <w:rsid w:val="000B1883"/>
    <w:rsid w:val="000B1A85"/>
    <w:rsid w:val="000B1B17"/>
    <w:rsid w:val="000B217E"/>
    <w:rsid w:val="000B2246"/>
    <w:rsid w:val="000B24C0"/>
    <w:rsid w:val="000B2608"/>
    <w:rsid w:val="000B2E86"/>
    <w:rsid w:val="000B328E"/>
    <w:rsid w:val="000B374E"/>
    <w:rsid w:val="000B38F0"/>
    <w:rsid w:val="000B394B"/>
    <w:rsid w:val="000B444C"/>
    <w:rsid w:val="000B4978"/>
    <w:rsid w:val="000B4AD2"/>
    <w:rsid w:val="000B4B72"/>
    <w:rsid w:val="000B4CE0"/>
    <w:rsid w:val="000B4D29"/>
    <w:rsid w:val="000B508D"/>
    <w:rsid w:val="000B51D6"/>
    <w:rsid w:val="000B55B5"/>
    <w:rsid w:val="000B55CB"/>
    <w:rsid w:val="000B5978"/>
    <w:rsid w:val="000B5B76"/>
    <w:rsid w:val="000B6145"/>
    <w:rsid w:val="000B61BD"/>
    <w:rsid w:val="000B6294"/>
    <w:rsid w:val="000B6AA5"/>
    <w:rsid w:val="000B6F54"/>
    <w:rsid w:val="000B70B0"/>
    <w:rsid w:val="000B72C0"/>
    <w:rsid w:val="000B7325"/>
    <w:rsid w:val="000B7356"/>
    <w:rsid w:val="000B7593"/>
    <w:rsid w:val="000B7933"/>
    <w:rsid w:val="000B7B42"/>
    <w:rsid w:val="000B7C8B"/>
    <w:rsid w:val="000B7CB9"/>
    <w:rsid w:val="000C00CE"/>
    <w:rsid w:val="000C033F"/>
    <w:rsid w:val="000C04D1"/>
    <w:rsid w:val="000C04D6"/>
    <w:rsid w:val="000C0830"/>
    <w:rsid w:val="000C0940"/>
    <w:rsid w:val="000C0B3A"/>
    <w:rsid w:val="000C0D15"/>
    <w:rsid w:val="000C0E25"/>
    <w:rsid w:val="000C10AE"/>
    <w:rsid w:val="000C136A"/>
    <w:rsid w:val="000C13F0"/>
    <w:rsid w:val="000C1435"/>
    <w:rsid w:val="000C15AD"/>
    <w:rsid w:val="000C16FB"/>
    <w:rsid w:val="000C1E23"/>
    <w:rsid w:val="000C1F71"/>
    <w:rsid w:val="000C1F89"/>
    <w:rsid w:val="000C1FE9"/>
    <w:rsid w:val="000C25C6"/>
    <w:rsid w:val="000C26C8"/>
    <w:rsid w:val="000C26CB"/>
    <w:rsid w:val="000C2A6D"/>
    <w:rsid w:val="000C3520"/>
    <w:rsid w:val="000C36E1"/>
    <w:rsid w:val="000C3706"/>
    <w:rsid w:val="000C3820"/>
    <w:rsid w:val="000C3828"/>
    <w:rsid w:val="000C3A76"/>
    <w:rsid w:val="000C3B73"/>
    <w:rsid w:val="000C3D5B"/>
    <w:rsid w:val="000C4654"/>
    <w:rsid w:val="000C4861"/>
    <w:rsid w:val="000C4B9F"/>
    <w:rsid w:val="000C4D2F"/>
    <w:rsid w:val="000C4F24"/>
    <w:rsid w:val="000C507D"/>
    <w:rsid w:val="000C5854"/>
    <w:rsid w:val="000C589D"/>
    <w:rsid w:val="000C5E0D"/>
    <w:rsid w:val="000C5EB4"/>
    <w:rsid w:val="000C60F1"/>
    <w:rsid w:val="000C64BD"/>
    <w:rsid w:val="000C66B2"/>
    <w:rsid w:val="000C6A7B"/>
    <w:rsid w:val="000C6C10"/>
    <w:rsid w:val="000C6EE4"/>
    <w:rsid w:val="000C6F2E"/>
    <w:rsid w:val="000C6FE0"/>
    <w:rsid w:val="000C7536"/>
    <w:rsid w:val="000C7914"/>
    <w:rsid w:val="000C7964"/>
    <w:rsid w:val="000C79E1"/>
    <w:rsid w:val="000C7CDF"/>
    <w:rsid w:val="000C7D0B"/>
    <w:rsid w:val="000D0078"/>
    <w:rsid w:val="000D022E"/>
    <w:rsid w:val="000D061B"/>
    <w:rsid w:val="000D0682"/>
    <w:rsid w:val="000D0795"/>
    <w:rsid w:val="000D0911"/>
    <w:rsid w:val="000D11A8"/>
    <w:rsid w:val="000D1222"/>
    <w:rsid w:val="000D13E2"/>
    <w:rsid w:val="000D1D7A"/>
    <w:rsid w:val="000D1ED1"/>
    <w:rsid w:val="000D1F1B"/>
    <w:rsid w:val="000D1F38"/>
    <w:rsid w:val="000D1F60"/>
    <w:rsid w:val="000D204A"/>
    <w:rsid w:val="000D20CD"/>
    <w:rsid w:val="000D2329"/>
    <w:rsid w:val="000D23B4"/>
    <w:rsid w:val="000D2622"/>
    <w:rsid w:val="000D2A57"/>
    <w:rsid w:val="000D2BC0"/>
    <w:rsid w:val="000D2D29"/>
    <w:rsid w:val="000D2EA3"/>
    <w:rsid w:val="000D317D"/>
    <w:rsid w:val="000D321F"/>
    <w:rsid w:val="000D32A5"/>
    <w:rsid w:val="000D3379"/>
    <w:rsid w:val="000D34EF"/>
    <w:rsid w:val="000D365D"/>
    <w:rsid w:val="000D3737"/>
    <w:rsid w:val="000D3851"/>
    <w:rsid w:val="000D389D"/>
    <w:rsid w:val="000D459B"/>
    <w:rsid w:val="000D468E"/>
    <w:rsid w:val="000D46DE"/>
    <w:rsid w:val="000D4911"/>
    <w:rsid w:val="000D49A7"/>
    <w:rsid w:val="000D54F2"/>
    <w:rsid w:val="000D55AE"/>
    <w:rsid w:val="000D562E"/>
    <w:rsid w:val="000D56D1"/>
    <w:rsid w:val="000D590B"/>
    <w:rsid w:val="000D5A34"/>
    <w:rsid w:val="000D5AFC"/>
    <w:rsid w:val="000D5B3E"/>
    <w:rsid w:val="000D5C24"/>
    <w:rsid w:val="000D5DDC"/>
    <w:rsid w:val="000D6086"/>
    <w:rsid w:val="000D617D"/>
    <w:rsid w:val="000D61E4"/>
    <w:rsid w:val="000D6251"/>
    <w:rsid w:val="000D6364"/>
    <w:rsid w:val="000D65D0"/>
    <w:rsid w:val="000D6662"/>
    <w:rsid w:val="000D6C2C"/>
    <w:rsid w:val="000D6D39"/>
    <w:rsid w:val="000D7503"/>
    <w:rsid w:val="000D7727"/>
    <w:rsid w:val="000D77EB"/>
    <w:rsid w:val="000D78AA"/>
    <w:rsid w:val="000D78B3"/>
    <w:rsid w:val="000D7E20"/>
    <w:rsid w:val="000E0070"/>
    <w:rsid w:val="000E00B8"/>
    <w:rsid w:val="000E023D"/>
    <w:rsid w:val="000E02EF"/>
    <w:rsid w:val="000E0386"/>
    <w:rsid w:val="000E03F8"/>
    <w:rsid w:val="000E0427"/>
    <w:rsid w:val="000E07D6"/>
    <w:rsid w:val="000E087D"/>
    <w:rsid w:val="000E0B84"/>
    <w:rsid w:val="000E0EEB"/>
    <w:rsid w:val="000E12C5"/>
    <w:rsid w:val="000E13DA"/>
    <w:rsid w:val="000E1A19"/>
    <w:rsid w:val="000E1FA7"/>
    <w:rsid w:val="000E206A"/>
    <w:rsid w:val="000E208E"/>
    <w:rsid w:val="000E20C5"/>
    <w:rsid w:val="000E238B"/>
    <w:rsid w:val="000E2523"/>
    <w:rsid w:val="000E2EE0"/>
    <w:rsid w:val="000E2F82"/>
    <w:rsid w:val="000E2FBA"/>
    <w:rsid w:val="000E31AC"/>
    <w:rsid w:val="000E32CC"/>
    <w:rsid w:val="000E3447"/>
    <w:rsid w:val="000E345A"/>
    <w:rsid w:val="000E36A1"/>
    <w:rsid w:val="000E3868"/>
    <w:rsid w:val="000E3D39"/>
    <w:rsid w:val="000E3ED9"/>
    <w:rsid w:val="000E3F24"/>
    <w:rsid w:val="000E4192"/>
    <w:rsid w:val="000E43D3"/>
    <w:rsid w:val="000E43E0"/>
    <w:rsid w:val="000E43F0"/>
    <w:rsid w:val="000E4405"/>
    <w:rsid w:val="000E4636"/>
    <w:rsid w:val="000E4679"/>
    <w:rsid w:val="000E46B6"/>
    <w:rsid w:val="000E486B"/>
    <w:rsid w:val="000E48A2"/>
    <w:rsid w:val="000E4982"/>
    <w:rsid w:val="000E5565"/>
    <w:rsid w:val="000E55C4"/>
    <w:rsid w:val="000E594C"/>
    <w:rsid w:val="000E5D34"/>
    <w:rsid w:val="000E6354"/>
    <w:rsid w:val="000E6497"/>
    <w:rsid w:val="000E6677"/>
    <w:rsid w:val="000E6894"/>
    <w:rsid w:val="000E6942"/>
    <w:rsid w:val="000E6B55"/>
    <w:rsid w:val="000E6D5F"/>
    <w:rsid w:val="000E6EB1"/>
    <w:rsid w:val="000E6EF0"/>
    <w:rsid w:val="000E6F45"/>
    <w:rsid w:val="000E7088"/>
    <w:rsid w:val="000E7357"/>
    <w:rsid w:val="000E762C"/>
    <w:rsid w:val="000E7959"/>
    <w:rsid w:val="000E7D60"/>
    <w:rsid w:val="000F0019"/>
    <w:rsid w:val="000F04DB"/>
    <w:rsid w:val="000F05DF"/>
    <w:rsid w:val="000F06FA"/>
    <w:rsid w:val="000F0BB0"/>
    <w:rsid w:val="000F0D24"/>
    <w:rsid w:val="000F129F"/>
    <w:rsid w:val="000F1638"/>
    <w:rsid w:val="000F179D"/>
    <w:rsid w:val="000F1BD0"/>
    <w:rsid w:val="000F1C3A"/>
    <w:rsid w:val="000F1CAB"/>
    <w:rsid w:val="000F1FED"/>
    <w:rsid w:val="000F2061"/>
    <w:rsid w:val="000F2170"/>
    <w:rsid w:val="000F24E6"/>
    <w:rsid w:val="000F26CD"/>
    <w:rsid w:val="000F27D0"/>
    <w:rsid w:val="000F298F"/>
    <w:rsid w:val="000F2F98"/>
    <w:rsid w:val="000F3057"/>
    <w:rsid w:val="000F3167"/>
    <w:rsid w:val="000F31C8"/>
    <w:rsid w:val="000F3580"/>
    <w:rsid w:val="000F35D2"/>
    <w:rsid w:val="000F365D"/>
    <w:rsid w:val="000F381A"/>
    <w:rsid w:val="000F388B"/>
    <w:rsid w:val="000F3C37"/>
    <w:rsid w:val="000F3E12"/>
    <w:rsid w:val="000F45E5"/>
    <w:rsid w:val="000F47FE"/>
    <w:rsid w:val="000F48AC"/>
    <w:rsid w:val="000F4A4D"/>
    <w:rsid w:val="000F4C3E"/>
    <w:rsid w:val="000F4C64"/>
    <w:rsid w:val="000F4CF9"/>
    <w:rsid w:val="000F4F59"/>
    <w:rsid w:val="000F5092"/>
    <w:rsid w:val="000F5496"/>
    <w:rsid w:val="000F551A"/>
    <w:rsid w:val="000F5629"/>
    <w:rsid w:val="000F56DE"/>
    <w:rsid w:val="000F5BDD"/>
    <w:rsid w:val="000F5DDB"/>
    <w:rsid w:val="000F5DE3"/>
    <w:rsid w:val="000F5E54"/>
    <w:rsid w:val="000F601D"/>
    <w:rsid w:val="000F62F3"/>
    <w:rsid w:val="000F6371"/>
    <w:rsid w:val="000F6720"/>
    <w:rsid w:val="000F6C4A"/>
    <w:rsid w:val="000F73CC"/>
    <w:rsid w:val="000F759F"/>
    <w:rsid w:val="000F7629"/>
    <w:rsid w:val="000F7660"/>
    <w:rsid w:val="000F7A57"/>
    <w:rsid w:val="000F7E82"/>
    <w:rsid w:val="00100325"/>
    <w:rsid w:val="0010067D"/>
    <w:rsid w:val="001006CD"/>
    <w:rsid w:val="00100CE8"/>
    <w:rsid w:val="001010E4"/>
    <w:rsid w:val="001011A4"/>
    <w:rsid w:val="00101235"/>
    <w:rsid w:val="001017FA"/>
    <w:rsid w:val="001018E5"/>
    <w:rsid w:val="00101B89"/>
    <w:rsid w:val="00101D3F"/>
    <w:rsid w:val="00101F20"/>
    <w:rsid w:val="00101F2B"/>
    <w:rsid w:val="001020A4"/>
    <w:rsid w:val="001025D6"/>
    <w:rsid w:val="00102688"/>
    <w:rsid w:val="00102804"/>
    <w:rsid w:val="00102B24"/>
    <w:rsid w:val="00102C0F"/>
    <w:rsid w:val="00102D7A"/>
    <w:rsid w:val="00102DF6"/>
    <w:rsid w:val="0010333C"/>
    <w:rsid w:val="00103AA1"/>
    <w:rsid w:val="00103CD0"/>
    <w:rsid w:val="0010413B"/>
    <w:rsid w:val="00104623"/>
    <w:rsid w:val="00104EBC"/>
    <w:rsid w:val="00105005"/>
    <w:rsid w:val="001051BC"/>
    <w:rsid w:val="00105A84"/>
    <w:rsid w:val="00105AEC"/>
    <w:rsid w:val="00105C92"/>
    <w:rsid w:val="00105F07"/>
    <w:rsid w:val="001061BB"/>
    <w:rsid w:val="00106339"/>
    <w:rsid w:val="001065CE"/>
    <w:rsid w:val="001066A3"/>
    <w:rsid w:val="0010690F"/>
    <w:rsid w:val="00106997"/>
    <w:rsid w:val="00106ACC"/>
    <w:rsid w:val="00106D62"/>
    <w:rsid w:val="00106F24"/>
    <w:rsid w:val="0010718E"/>
    <w:rsid w:val="00107C53"/>
    <w:rsid w:val="0011008A"/>
    <w:rsid w:val="001100A5"/>
    <w:rsid w:val="001101F9"/>
    <w:rsid w:val="00110200"/>
    <w:rsid w:val="0011059F"/>
    <w:rsid w:val="0011070E"/>
    <w:rsid w:val="00110B42"/>
    <w:rsid w:val="00110CE7"/>
    <w:rsid w:val="001113CA"/>
    <w:rsid w:val="001113CB"/>
    <w:rsid w:val="0011149F"/>
    <w:rsid w:val="0011155A"/>
    <w:rsid w:val="00111593"/>
    <w:rsid w:val="001116F9"/>
    <w:rsid w:val="00111BE5"/>
    <w:rsid w:val="00111C59"/>
    <w:rsid w:val="00112DAE"/>
    <w:rsid w:val="001130A2"/>
    <w:rsid w:val="00113640"/>
    <w:rsid w:val="001136DF"/>
    <w:rsid w:val="00113969"/>
    <w:rsid w:val="001139F8"/>
    <w:rsid w:val="00113F19"/>
    <w:rsid w:val="00113F4E"/>
    <w:rsid w:val="001142BD"/>
    <w:rsid w:val="00114362"/>
    <w:rsid w:val="0011453E"/>
    <w:rsid w:val="00114612"/>
    <w:rsid w:val="00114991"/>
    <w:rsid w:val="00114AF6"/>
    <w:rsid w:val="00114EF4"/>
    <w:rsid w:val="00115246"/>
    <w:rsid w:val="001154CB"/>
    <w:rsid w:val="001158AD"/>
    <w:rsid w:val="0011590F"/>
    <w:rsid w:val="00115C79"/>
    <w:rsid w:val="00116105"/>
    <w:rsid w:val="00116243"/>
    <w:rsid w:val="00116685"/>
    <w:rsid w:val="00116A68"/>
    <w:rsid w:val="00116CBE"/>
    <w:rsid w:val="00116CF9"/>
    <w:rsid w:val="0011767E"/>
    <w:rsid w:val="0011772A"/>
    <w:rsid w:val="0011798A"/>
    <w:rsid w:val="001179E9"/>
    <w:rsid w:val="00117DBF"/>
    <w:rsid w:val="00120378"/>
    <w:rsid w:val="00120632"/>
    <w:rsid w:val="001209DA"/>
    <w:rsid w:val="00120B6B"/>
    <w:rsid w:val="00120E33"/>
    <w:rsid w:val="0012104E"/>
    <w:rsid w:val="001212C5"/>
    <w:rsid w:val="001215B7"/>
    <w:rsid w:val="00121839"/>
    <w:rsid w:val="001218BA"/>
    <w:rsid w:val="00121989"/>
    <w:rsid w:val="00121CC1"/>
    <w:rsid w:val="00121DE0"/>
    <w:rsid w:val="00121FB6"/>
    <w:rsid w:val="00122283"/>
    <w:rsid w:val="00122796"/>
    <w:rsid w:val="001229F0"/>
    <w:rsid w:val="00122BF7"/>
    <w:rsid w:val="00122CBC"/>
    <w:rsid w:val="00122CEE"/>
    <w:rsid w:val="001235B9"/>
    <w:rsid w:val="00123671"/>
    <w:rsid w:val="0012380F"/>
    <w:rsid w:val="00123882"/>
    <w:rsid w:val="00123ABE"/>
    <w:rsid w:val="00123EC3"/>
    <w:rsid w:val="001248EB"/>
    <w:rsid w:val="001249BA"/>
    <w:rsid w:val="00124EE9"/>
    <w:rsid w:val="00124FD3"/>
    <w:rsid w:val="001255A8"/>
    <w:rsid w:val="00125805"/>
    <w:rsid w:val="001259DF"/>
    <w:rsid w:val="00125B13"/>
    <w:rsid w:val="00125BA5"/>
    <w:rsid w:val="0012602B"/>
    <w:rsid w:val="001263C8"/>
    <w:rsid w:val="00126438"/>
    <w:rsid w:val="001264FB"/>
    <w:rsid w:val="00126704"/>
    <w:rsid w:val="00126755"/>
    <w:rsid w:val="001267F7"/>
    <w:rsid w:val="00126B2F"/>
    <w:rsid w:val="00126BB1"/>
    <w:rsid w:val="00126C37"/>
    <w:rsid w:val="00126E69"/>
    <w:rsid w:val="00127168"/>
    <w:rsid w:val="00127192"/>
    <w:rsid w:val="0012750E"/>
    <w:rsid w:val="001300B9"/>
    <w:rsid w:val="001310A4"/>
    <w:rsid w:val="001315D5"/>
    <w:rsid w:val="0013175E"/>
    <w:rsid w:val="0013195F"/>
    <w:rsid w:val="00131E5E"/>
    <w:rsid w:val="00131ED9"/>
    <w:rsid w:val="00131F17"/>
    <w:rsid w:val="001321DC"/>
    <w:rsid w:val="00132780"/>
    <w:rsid w:val="001328D1"/>
    <w:rsid w:val="0013295D"/>
    <w:rsid w:val="001329EE"/>
    <w:rsid w:val="00132F98"/>
    <w:rsid w:val="0013343A"/>
    <w:rsid w:val="001334F3"/>
    <w:rsid w:val="001338C5"/>
    <w:rsid w:val="00133D33"/>
    <w:rsid w:val="00133D46"/>
    <w:rsid w:val="00133EFC"/>
    <w:rsid w:val="00133F76"/>
    <w:rsid w:val="00133FAF"/>
    <w:rsid w:val="00133FB3"/>
    <w:rsid w:val="00133FC2"/>
    <w:rsid w:val="00134538"/>
    <w:rsid w:val="00134A59"/>
    <w:rsid w:val="001351B7"/>
    <w:rsid w:val="001352F7"/>
    <w:rsid w:val="0013550E"/>
    <w:rsid w:val="00135577"/>
    <w:rsid w:val="0013562C"/>
    <w:rsid w:val="0013591C"/>
    <w:rsid w:val="00135A65"/>
    <w:rsid w:val="00135F3B"/>
    <w:rsid w:val="0013601A"/>
    <w:rsid w:val="001363BD"/>
    <w:rsid w:val="001363D5"/>
    <w:rsid w:val="00136453"/>
    <w:rsid w:val="001364A6"/>
    <w:rsid w:val="001366C0"/>
    <w:rsid w:val="00136C58"/>
    <w:rsid w:val="00136C5C"/>
    <w:rsid w:val="00136ED9"/>
    <w:rsid w:val="00136EE0"/>
    <w:rsid w:val="00136FFA"/>
    <w:rsid w:val="001375D3"/>
    <w:rsid w:val="001375EC"/>
    <w:rsid w:val="001376D1"/>
    <w:rsid w:val="001377CE"/>
    <w:rsid w:val="00137A24"/>
    <w:rsid w:val="00137FF6"/>
    <w:rsid w:val="00140405"/>
    <w:rsid w:val="00140683"/>
    <w:rsid w:val="00140908"/>
    <w:rsid w:val="00140D17"/>
    <w:rsid w:val="0014116F"/>
    <w:rsid w:val="0014134E"/>
    <w:rsid w:val="001413D2"/>
    <w:rsid w:val="00141486"/>
    <w:rsid w:val="00141E46"/>
    <w:rsid w:val="001420EB"/>
    <w:rsid w:val="00142765"/>
    <w:rsid w:val="00142B39"/>
    <w:rsid w:val="00142BC5"/>
    <w:rsid w:val="00142BE0"/>
    <w:rsid w:val="00142D40"/>
    <w:rsid w:val="00142EF0"/>
    <w:rsid w:val="00142F26"/>
    <w:rsid w:val="00143354"/>
    <w:rsid w:val="001436DB"/>
    <w:rsid w:val="001437F0"/>
    <w:rsid w:val="00143D3C"/>
    <w:rsid w:val="00143F11"/>
    <w:rsid w:val="00143FEF"/>
    <w:rsid w:val="001442BC"/>
    <w:rsid w:val="00144F80"/>
    <w:rsid w:val="00145426"/>
    <w:rsid w:val="0014548E"/>
    <w:rsid w:val="001454D2"/>
    <w:rsid w:val="00145733"/>
    <w:rsid w:val="00145C42"/>
    <w:rsid w:val="00146086"/>
    <w:rsid w:val="001463A0"/>
    <w:rsid w:val="00146552"/>
    <w:rsid w:val="00146596"/>
    <w:rsid w:val="00146812"/>
    <w:rsid w:val="00146BE8"/>
    <w:rsid w:val="001475F1"/>
    <w:rsid w:val="001477A1"/>
    <w:rsid w:val="001477D2"/>
    <w:rsid w:val="00147E44"/>
    <w:rsid w:val="00147EBF"/>
    <w:rsid w:val="0015004C"/>
    <w:rsid w:val="001502EC"/>
    <w:rsid w:val="001502FC"/>
    <w:rsid w:val="001505EC"/>
    <w:rsid w:val="00150CC3"/>
    <w:rsid w:val="00150EA9"/>
    <w:rsid w:val="0015139B"/>
    <w:rsid w:val="001513B1"/>
    <w:rsid w:val="001517E5"/>
    <w:rsid w:val="001518CD"/>
    <w:rsid w:val="00151C9B"/>
    <w:rsid w:val="00151CCB"/>
    <w:rsid w:val="00151E57"/>
    <w:rsid w:val="00151FA3"/>
    <w:rsid w:val="001521E6"/>
    <w:rsid w:val="0015229B"/>
    <w:rsid w:val="001523BA"/>
    <w:rsid w:val="00152A99"/>
    <w:rsid w:val="00153064"/>
    <w:rsid w:val="00153100"/>
    <w:rsid w:val="00153204"/>
    <w:rsid w:val="0015353B"/>
    <w:rsid w:val="00153685"/>
    <w:rsid w:val="001537F3"/>
    <w:rsid w:val="00153A23"/>
    <w:rsid w:val="00153B00"/>
    <w:rsid w:val="00153D72"/>
    <w:rsid w:val="00154072"/>
    <w:rsid w:val="00154165"/>
    <w:rsid w:val="00154177"/>
    <w:rsid w:val="0015453E"/>
    <w:rsid w:val="00154632"/>
    <w:rsid w:val="001549D4"/>
    <w:rsid w:val="00154A37"/>
    <w:rsid w:val="00154CA0"/>
    <w:rsid w:val="00154D81"/>
    <w:rsid w:val="001550E9"/>
    <w:rsid w:val="001551BF"/>
    <w:rsid w:val="001551E9"/>
    <w:rsid w:val="0015588E"/>
    <w:rsid w:val="001558B6"/>
    <w:rsid w:val="00155BA8"/>
    <w:rsid w:val="00155F79"/>
    <w:rsid w:val="0015628B"/>
    <w:rsid w:val="0015681F"/>
    <w:rsid w:val="00156923"/>
    <w:rsid w:val="00156D0C"/>
    <w:rsid w:val="00156D79"/>
    <w:rsid w:val="00157095"/>
    <w:rsid w:val="001570C7"/>
    <w:rsid w:val="001571F5"/>
    <w:rsid w:val="001576CB"/>
    <w:rsid w:val="00157A29"/>
    <w:rsid w:val="00157B7F"/>
    <w:rsid w:val="00157E9E"/>
    <w:rsid w:val="001601F2"/>
    <w:rsid w:val="001604B0"/>
    <w:rsid w:val="001605F5"/>
    <w:rsid w:val="00160C74"/>
    <w:rsid w:val="00160E61"/>
    <w:rsid w:val="00160F6F"/>
    <w:rsid w:val="00160FC4"/>
    <w:rsid w:val="00161973"/>
    <w:rsid w:val="001619E8"/>
    <w:rsid w:val="001619EF"/>
    <w:rsid w:val="00161BC4"/>
    <w:rsid w:val="00161FA4"/>
    <w:rsid w:val="00161FEC"/>
    <w:rsid w:val="00162233"/>
    <w:rsid w:val="001624E2"/>
    <w:rsid w:val="001624E5"/>
    <w:rsid w:val="001625B6"/>
    <w:rsid w:val="0016261B"/>
    <w:rsid w:val="00162626"/>
    <w:rsid w:val="0016279D"/>
    <w:rsid w:val="00162D35"/>
    <w:rsid w:val="00162FE8"/>
    <w:rsid w:val="001630FE"/>
    <w:rsid w:val="0016313E"/>
    <w:rsid w:val="001631E9"/>
    <w:rsid w:val="00163374"/>
    <w:rsid w:val="00163380"/>
    <w:rsid w:val="0016339F"/>
    <w:rsid w:val="00163575"/>
    <w:rsid w:val="00163727"/>
    <w:rsid w:val="0016399D"/>
    <w:rsid w:val="001639F5"/>
    <w:rsid w:val="0016400F"/>
    <w:rsid w:val="0016447D"/>
    <w:rsid w:val="001645A7"/>
    <w:rsid w:val="00164614"/>
    <w:rsid w:val="001648AD"/>
    <w:rsid w:val="00164B23"/>
    <w:rsid w:val="00164B5A"/>
    <w:rsid w:val="00165405"/>
    <w:rsid w:val="00165A5A"/>
    <w:rsid w:val="00165BE5"/>
    <w:rsid w:val="0016627E"/>
    <w:rsid w:val="0016628A"/>
    <w:rsid w:val="001662B0"/>
    <w:rsid w:val="001662EE"/>
    <w:rsid w:val="0016661B"/>
    <w:rsid w:val="001666EF"/>
    <w:rsid w:val="00166A54"/>
    <w:rsid w:val="00166B34"/>
    <w:rsid w:val="00166C94"/>
    <w:rsid w:val="00166EC6"/>
    <w:rsid w:val="00166F4A"/>
    <w:rsid w:val="00167031"/>
    <w:rsid w:val="00167199"/>
    <w:rsid w:val="001674CB"/>
    <w:rsid w:val="00167786"/>
    <w:rsid w:val="00167847"/>
    <w:rsid w:val="0017007A"/>
    <w:rsid w:val="001700FC"/>
    <w:rsid w:val="001706F6"/>
    <w:rsid w:val="00170867"/>
    <w:rsid w:val="00170DD8"/>
    <w:rsid w:val="00170DDC"/>
    <w:rsid w:val="00170E64"/>
    <w:rsid w:val="00170FD2"/>
    <w:rsid w:val="001714B4"/>
    <w:rsid w:val="0017150A"/>
    <w:rsid w:val="00171575"/>
    <w:rsid w:val="0017168F"/>
    <w:rsid w:val="00171698"/>
    <w:rsid w:val="0017172D"/>
    <w:rsid w:val="00171978"/>
    <w:rsid w:val="00171B15"/>
    <w:rsid w:val="00171B67"/>
    <w:rsid w:val="00171BE0"/>
    <w:rsid w:val="00172117"/>
    <w:rsid w:val="00172157"/>
    <w:rsid w:val="00172277"/>
    <w:rsid w:val="00172638"/>
    <w:rsid w:val="00172820"/>
    <w:rsid w:val="00172C85"/>
    <w:rsid w:val="00172D57"/>
    <w:rsid w:val="00173217"/>
    <w:rsid w:val="0017341D"/>
    <w:rsid w:val="00173618"/>
    <w:rsid w:val="00173968"/>
    <w:rsid w:val="00173CAD"/>
    <w:rsid w:val="00173E41"/>
    <w:rsid w:val="00173F73"/>
    <w:rsid w:val="00174303"/>
    <w:rsid w:val="0017459D"/>
    <w:rsid w:val="00174648"/>
    <w:rsid w:val="001746F5"/>
    <w:rsid w:val="0017478A"/>
    <w:rsid w:val="001747F4"/>
    <w:rsid w:val="00174929"/>
    <w:rsid w:val="00174A24"/>
    <w:rsid w:val="00174CAB"/>
    <w:rsid w:val="00174D5B"/>
    <w:rsid w:val="0017527D"/>
    <w:rsid w:val="0017530D"/>
    <w:rsid w:val="001753F5"/>
    <w:rsid w:val="00175584"/>
    <w:rsid w:val="001757FA"/>
    <w:rsid w:val="00175951"/>
    <w:rsid w:val="00175998"/>
    <w:rsid w:val="00175B60"/>
    <w:rsid w:val="00175ECF"/>
    <w:rsid w:val="00175F22"/>
    <w:rsid w:val="001760D0"/>
    <w:rsid w:val="00176453"/>
    <w:rsid w:val="001764BA"/>
    <w:rsid w:val="00176A71"/>
    <w:rsid w:val="00176B74"/>
    <w:rsid w:val="00176C3E"/>
    <w:rsid w:val="00176E84"/>
    <w:rsid w:val="00177326"/>
    <w:rsid w:val="0017737C"/>
    <w:rsid w:val="0017739E"/>
    <w:rsid w:val="00177637"/>
    <w:rsid w:val="001777A2"/>
    <w:rsid w:val="001778ED"/>
    <w:rsid w:val="00177AF5"/>
    <w:rsid w:val="00177B35"/>
    <w:rsid w:val="00177BA9"/>
    <w:rsid w:val="00177FEE"/>
    <w:rsid w:val="0018005A"/>
    <w:rsid w:val="001802CC"/>
    <w:rsid w:val="00180ABC"/>
    <w:rsid w:val="00180BC9"/>
    <w:rsid w:val="00180D02"/>
    <w:rsid w:val="00180E04"/>
    <w:rsid w:val="00181176"/>
    <w:rsid w:val="001817A9"/>
    <w:rsid w:val="00181AA4"/>
    <w:rsid w:val="00181ABF"/>
    <w:rsid w:val="00181AD2"/>
    <w:rsid w:val="00181C21"/>
    <w:rsid w:val="00181C44"/>
    <w:rsid w:val="00181DC3"/>
    <w:rsid w:val="00181F87"/>
    <w:rsid w:val="0018206A"/>
    <w:rsid w:val="001821F8"/>
    <w:rsid w:val="0018247D"/>
    <w:rsid w:val="001828DE"/>
    <w:rsid w:val="00182B80"/>
    <w:rsid w:val="00182DBE"/>
    <w:rsid w:val="00182F4D"/>
    <w:rsid w:val="00183243"/>
    <w:rsid w:val="00183534"/>
    <w:rsid w:val="0018353A"/>
    <w:rsid w:val="001835B9"/>
    <w:rsid w:val="001836E8"/>
    <w:rsid w:val="00183881"/>
    <w:rsid w:val="00183BA0"/>
    <w:rsid w:val="00183CF2"/>
    <w:rsid w:val="00183D7B"/>
    <w:rsid w:val="00183D9F"/>
    <w:rsid w:val="00183E67"/>
    <w:rsid w:val="001841C5"/>
    <w:rsid w:val="00184336"/>
    <w:rsid w:val="001846BE"/>
    <w:rsid w:val="001847EA"/>
    <w:rsid w:val="00184951"/>
    <w:rsid w:val="00184CBD"/>
    <w:rsid w:val="00184E0D"/>
    <w:rsid w:val="00184E65"/>
    <w:rsid w:val="00184E94"/>
    <w:rsid w:val="001852F0"/>
    <w:rsid w:val="00185491"/>
    <w:rsid w:val="0018578A"/>
    <w:rsid w:val="0018593B"/>
    <w:rsid w:val="00185A67"/>
    <w:rsid w:val="00185B6A"/>
    <w:rsid w:val="00185D77"/>
    <w:rsid w:val="00186436"/>
    <w:rsid w:val="001866F2"/>
    <w:rsid w:val="0018671E"/>
    <w:rsid w:val="00186798"/>
    <w:rsid w:val="00186939"/>
    <w:rsid w:val="00186EA8"/>
    <w:rsid w:val="001870B0"/>
    <w:rsid w:val="001872E2"/>
    <w:rsid w:val="00187404"/>
    <w:rsid w:val="001877E6"/>
    <w:rsid w:val="00190640"/>
    <w:rsid w:val="00190910"/>
    <w:rsid w:val="00190A86"/>
    <w:rsid w:val="00190B1C"/>
    <w:rsid w:val="00190C96"/>
    <w:rsid w:val="00190DED"/>
    <w:rsid w:val="00190E12"/>
    <w:rsid w:val="00190F9B"/>
    <w:rsid w:val="00191381"/>
    <w:rsid w:val="00191672"/>
    <w:rsid w:val="00191713"/>
    <w:rsid w:val="00191BC4"/>
    <w:rsid w:val="00191E76"/>
    <w:rsid w:val="00192224"/>
    <w:rsid w:val="0019236B"/>
    <w:rsid w:val="00192799"/>
    <w:rsid w:val="00192A04"/>
    <w:rsid w:val="00192B2F"/>
    <w:rsid w:val="00192D78"/>
    <w:rsid w:val="00192F15"/>
    <w:rsid w:val="00192FD5"/>
    <w:rsid w:val="00192FEE"/>
    <w:rsid w:val="00193125"/>
    <w:rsid w:val="0019337F"/>
    <w:rsid w:val="001934BD"/>
    <w:rsid w:val="0019385F"/>
    <w:rsid w:val="0019395F"/>
    <w:rsid w:val="00193A8D"/>
    <w:rsid w:val="00193CBD"/>
    <w:rsid w:val="00193FF1"/>
    <w:rsid w:val="00194E61"/>
    <w:rsid w:val="00194E8D"/>
    <w:rsid w:val="00194FB1"/>
    <w:rsid w:val="00195564"/>
    <w:rsid w:val="001957C6"/>
    <w:rsid w:val="001957D7"/>
    <w:rsid w:val="00195B91"/>
    <w:rsid w:val="00195C00"/>
    <w:rsid w:val="00195E4E"/>
    <w:rsid w:val="00196455"/>
    <w:rsid w:val="001964B3"/>
    <w:rsid w:val="00196708"/>
    <w:rsid w:val="001968A7"/>
    <w:rsid w:val="00196C22"/>
    <w:rsid w:val="00196E9E"/>
    <w:rsid w:val="00197101"/>
    <w:rsid w:val="0019726A"/>
    <w:rsid w:val="001979BF"/>
    <w:rsid w:val="00197A65"/>
    <w:rsid w:val="00197AA1"/>
    <w:rsid w:val="00197AD7"/>
    <w:rsid w:val="001A03FE"/>
    <w:rsid w:val="001A0A26"/>
    <w:rsid w:val="001A0B4C"/>
    <w:rsid w:val="001A0BB1"/>
    <w:rsid w:val="001A0CA1"/>
    <w:rsid w:val="001A0CCD"/>
    <w:rsid w:val="001A0D8A"/>
    <w:rsid w:val="001A0FC6"/>
    <w:rsid w:val="001A1214"/>
    <w:rsid w:val="001A1745"/>
    <w:rsid w:val="001A19E7"/>
    <w:rsid w:val="001A1B82"/>
    <w:rsid w:val="001A1B8B"/>
    <w:rsid w:val="001A1D5C"/>
    <w:rsid w:val="001A223D"/>
    <w:rsid w:val="001A22F4"/>
    <w:rsid w:val="001A2426"/>
    <w:rsid w:val="001A25A6"/>
    <w:rsid w:val="001A262E"/>
    <w:rsid w:val="001A2664"/>
    <w:rsid w:val="001A2AD7"/>
    <w:rsid w:val="001A2BC8"/>
    <w:rsid w:val="001A3273"/>
    <w:rsid w:val="001A40BB"/>
    <w:rsid w:val="001A4219"/>
    <w:rsid w:val="001A4573"/>
    <w:rsid w:val="001A45F8"/>
    <w:rsid w:val="001A4682"/>
    <w:rsid w:val="001A4987"/>
    <w:rsid w:val="001A49B4"/>
    <w:rsid w:val="001A4BD0"/>
    <w:rsid w:val="001A4C90"/>
    <w:rsid w:val="001A4F75"/>
    <w:rsid w:val="001A50D7"/>
    <w:rsid w:val="001A5416"/>
    <w:rsid w:val="001A553D"/>
    <w:rsid w:val="001A5C1D"/>
    <w:rsid w:val="001A5FD6"/>
    <w:rsid w:val="001A60E8"/>
    <w:rsid w:val="001A6116"/>
    <w:rsid w:val="001A6407"/>
    <w:rsid w:val="001A642F"/>
    <w:rsid w:val="001A6497"/>
    <w:rsid w:val="001A6923"/>
    <w:rsid w:val="001A697B"/>
    <w:rsid w:val="001A6A0D"/>
    <w:rsid w:val="001A6C1A"/>
    <w:rsid w:val="001A6C35"/>
    <w:rsid w:val="001A6D06"/>
    <w:rsid w:val="001A7468"/>
    <w:rsid w:val="001A79A5"/>
    <w:rsid w:val="001A7ACA"/>
    <w:rsid w:val="001A7F0C"/>
    <w:rsid w:val="001A7F9F"/>
    <w:rsid w:val="001B0187"/>
    <w:rsid w:val="001B0384"/>
    <w:rsid w:val="001B03B1"/>
    <w:rsid w:val="001B0768"/>
    <w:rsid w:val="001B08D9"/>
    <w:rsid w:val="001B0B11"/>
    <w:rsid w:val="001B0BA0"/>
    <w:rsid w:val="001B0D77"/>
    <w:rsid w:val="001B0DE7"/>
    <w:rsid w:val="001B15F2"/>
    <w:rsid w:val="001B1750"/>
    <w:rsid w:val="001B179C"/>
    <w:rsid w:val="001B179E"/>
    <w:rsid w:val="001B18B1"/>
    <w:rsid w:val="001B1B39"/>
    <w:rsid w:val="001B1EC9"/>
    <w:rsid w:val="001B23DB"/>
    <w:rsid w:val="001B23EC"/>
    <w:rsid w:val="001B2687"/>
    <w:rsid w:val="001B272D"/>
    <w:rsid w:val="001B27D6"/>
    <w:rsid w:val="001B28CF"/>
    <w:rsid w:val="001B2A78"/>
    <w:rsid w:val="001B2CC8"/>
    <w:rsid w:val="001B3CB2"/>
    <w:rsid w:val="001B42EF"/>
    <w:rsid w:val="001B430A"/>
    <w:rsid w:val="001B4459"/>
    <w:rsid w:val="001B4874"/>
    <w:rsid w:val="001B49B0"/>
    <w:rsid w:val="001B4B26"/>
    <w:rsid w:val="001B4C39"/>
    <w:rsid w:val="001B4C61"/>
    <w:rsid w:val="001B4E32"/>
    <w:rsid w:val="001B4EE9"/>
    <w:rsid w:val="001B519A"/>
    <w:rsid w:val="001B53A1"/>
    <w:rsid w:val="001B58EF"/>
    <w:rsid w:val="001B597C"/>
    <w:rsid w:val="001B63B7"/>
    <w:rsid w:val="001B6485"/>
    <w:rsid w:val="001B68BE"/>
    <w:rsid w:val="001B6A9F"/>
    <w:rsid w:val="001B70D0"/>
    <w:rsid w:val="001B71C4"/>
    <w:rsid w:val="001B727E"/>
    <w:rsid w:val="001B7679"/>
    <w:rsid w:val="001B7A4B"/>
    <w:rsid w:val="001B7D7D"/>
    <w:rsid w:val="001C00F9"/>
    <w:rsid w:val="001C0221"/>
    <w:rsid w:val="001C029C"/>
    <w:rsid w:val="001C04AE"/>
    <w:rsid w:val="001C056C"/>
    <w:rsid w:val="001C09A0"/>
    <w:rsid w:val="001C09DA"/>
    <w:rsid w:val="001C0A38"/>
    <w:rsid w:val="001C0EF1"/>
    <w:rsid w:val="001C107D"/>
    <w:rsid w:val="001C1308"/>
    <w:rsid w:val="001C157E"/>
    <w:rsid w:val="001C1A08"/>
    <w:rsid w:val="001C1BCE"/>
    <w:rsid w:val="001C20D0"/>
    <w:rsid w:val="001C20E6"/>
    <w:rsid w:val="001C216F"/>
    <w:rsid w:val="001C22A0"/>
    <w:rsid w:val="001C239E"/>
    <w:rsid w:val="001C2760"/>
    <w:rsid w:val="001C277F"/>
    <w:rsid w:val="001C35C1"/>
    <w:rsid w:val="001C36E5"/>
    <w:rsid w:val="001C3787"/>
    <w:rsid w:val="001C3D2C"/>
    <w:rsid w:val="001C3F3A"/>
    <w:rsid w:val="001C3FA1"/>
    <w:rsid w:val="001C4234"/>
    <w:rsid w:val="001C42E1"/>
    <w:rsid w:val="001C465D"/>
    <w:rsid w:val="001C4BA6"/>
    <w:rsid w:val="001C5051"/>
    <w:rsid w:val="001C5644"/>
    <w:rsid w:val="001C5875"/>
    <w:rsid w:val="001C5A07"/>
    <w:rsid w:val="001C5CC0"/>
    <w:rsid w:val="001C5E2C"/>
    <w:rsid w:val="001C6088"/>
    <w:rsid w:val="001C6111"/>
    <w:rsid w:val="001C64AB"/>
    <w:rsid w:val="001C6637"/>
    <w:rsid w:val="001C6A8B"/>
    <w:rsid w:val="001C6AAA"/>
    <w:rsid w:val="001C6C61"/>
    <w:rsid w:val="001C6C82"/>
    <w:rsid w:val="001C73C6"/>
    <w:rsid w:val="001C7540"/>
    <w:rsid w:val="001C77CC"/>
    <w:rsid w:val="001C7824"/>
    <w:rsid w:val="001C78A6"/>
    <w:rsid w:val="001C7AC2"/>
    <w:rsid w:val="001C7AF2"/>
    <w:rsid w:val="001C7C4A"/>
    <w:rsid w:val="001D0087"/>
    <w:rsid w:val="001D00DE"/>
    <w:rsid w:val="001D010A"/>
    <w:rsid w:val="001D0127"/>
    <w:rsid w:val="001D0250"/>
    <w:rsid w:val="001D02D8"/>
    <w:rsid w:val="001D06A5"/>
    <w:rsid w:val="001D0E06"/>
    <w:rsid w:val="001D0E61"/>
    <w:rsid w:val="001D1012"/>
    <w:rsid w:val="001D129A"/>
    <w:rsid w:val="001D1999"/>
    <w:rsid w:val="001D199B"/>
    <w:rsid w:val="001D1EA9"/>
    <w:rsid w:val="001D1F04"/>
    <w:rsid w:val="001D2514"/>
    <w:rsid w:val="001D25A2"/>
    <w:rsid w:val="001D26B2"/>
    <w:rsid w:val="001D26BA"/>
    <w:rsid w:val="001D2892"/>
    <w:rsid w:val="001D2916"/>
    <w:rsid w:val="001D2A1E"/>
    <w:rsid w:val="001D2A28"/>
    <w:rsid w:val="001D2BF3"/>
    <w:rsid w:val="001D2C4A"/>
    <w:rsid w:val="001D2DE7"/>
    <w:rsid w:val="001D2EBA"/>
    <w:rsid w:val="001D3E63"/>
    <w:rsid w:val="001D3F2C"/>
    <w:rsid w:val="001D3FC4"/>
    <w:rsid w:val="001D4363"/>
    <w:rsid w:val="001D453C"/>
    <w:rsid w:val="001D47CD"/>
    <w:rsid w:val="001D492F"/>
    <w:rsid w:val="001D4C2D"/>
    <w:rsid w:val="001D4D15"/>
    <w:rsid w:val="001D521D"/>
    <w:rsid w:val="001D5283"/>
    <w:rsid w:val="001D5319"/>
    <w:rsid w:val="001D53F5"/>
    <w:rsid w:val="001D5631"/>
    <w:rsid w:val="001D56F6"/>
    <w:rsid w:val="001D5939"/>
    <w:rsid w:val="001D5CA9"/>
    <w:rsid w:val="001D5D40"/>
    <w:rsid w:val="001D5FE6"/>
    <w:rsid w:val="001D67DF"/>
    <w:rsid w:val="001D6866"/>
    <w:rsid w:val="001D6874"/>
    <w:rsid w:val="001D6A57"/>
    <w:rsid w:val="001D6B4D"/>
    <w:rsid w:val="001D6E15"/>
    <w:rsid w:val="001D743B"/>
    <w:rsid w:val="001D76F0"/>
    <w:rsid w:val="001D7A58"/>
    <w:rsid w:val="001D7AF7"/>
    <w:rsid w:val="001E00C5"/>
    <w:rsid w:val="001E0430"/>
    <w:rsid w:val="001E0482"/>
    <w:rsid w:val="001E04F7"/>
    <w:rsid w:val="001E067C"/>
    <w:rsid w:val="001E07C7"/>
    <w:rsid w:val="001E0A85"/>
    <w:rsid w:val="001E0E0A"/>
    <w:rsid w:val="001E0FBD"/>
    <w:rsid w:val="001E11BB"/>
    <w:rsid w:val="001E15D0"/>
    <w:rsid w:val="001E1BBF"/>
    <w:rsid w:val="001E1E51"/>
    <w:rsid w:val="001E2013"/>
    <w:rsid w:val="001E24E6"/>
    <w:rsid w:val="001E28D7"/>
    <w:rsid w:val="001E2A13"/>
    <w:rsid w:val="001E322A"/>
    <w:rsid w:val="001E3534"/>
    <w:rsid w:val="001E371D"/>
    <w:rsid w:val="001E3A21"/>
    <w:rsid w:val="001E3AB7"/>
    <w:rsid w:val="001E3DC2"/>
    <w:rsid w:val="001E41A6"/>
    <w:rsid w:val="001E446C"/>
    <w:rsid w:val="001E4899"/>
    <w:rsid w:val="001E4B13"/>
    <w:rsid w:val="001E4D04"/>
    <w:rsid w:val="001E4D0F"/>
    <w:rsid w:val="001E4D24"/>
    <w:rsid w:val="001E4F73"/>
    <w:rsid w:val="001E50DD"/>
    <w:rsid w:val="001E54D7"/>
    <w:rsid w:val="001E5BD2"/>
    <w:rsid w:val="001E5EBF"/>
    <w:rsid w:val="001E6169"/>
    <w:rsid w:val="001E6725"/>
    <w:rsid w:val="001E67AD"/>
    <w:rsid w:val="001E6A13"/>
    <w:rsid w:val="001E6C4C"/>
    <w:rsid w:val="001E6C70"/>
    <w:rsid w:val="001E6C95"/>
    <w:rsid w:val="001E717C"/>
    <w:rsid w:val="001E765D"/>
    <w:rsid w:val="001E77C1"/>
    <w:rsid w:val="001E78C0"/>
    <w:rsid w:val="001F00A4"/>
    <w:rsid w:val="001F0117"/>
    <w:rsid w:val="001F06E3"/>
    <w:rsid w:val="001F0854"/>
    <w:rsid w:val="001F0B5B"/>
    <w:rsid w:val="001F0E2A"/>
    <w:rsid w:val="001F110B"/>
    <w:rsid w:val="001F1197"/>
    <w:rsid w:val="001F11E3"/>
    <w:rsid w:val="001F148D"/>
    <w:rsid w:val="001F14DF"/>
    <w:rsid w:val="001F15C2"/>
    <w:rsid w:val="001F16D2"/>
    <w:rsid w:val="001F1825"/>
    <w:rsid w:val="001F1A6D"/>
    <w:rsid w:val="001F1C49"/>
    <w:rsid w:val="001F1CEB"/>
    <w:rsid w:val="001F1FFC"/>
    <w:rsid w:val="001F2039"/>
    <w:rsid w:val="001F2428"/>
    <w:rsid w:val="001F25FC"/>
    <w:rsid w:val="001F269E"/>
    <w:rsid w:val="001F2A30"/>
    <w:rsid w:val="001F2AC6"/>
    <w:rsid w:val="001F2CE0"/>
    <w:rsid w:val="001F3211"/>
    <w:rsid w:val="001F3255"/>
    <w:rsid w:val="001F3317"/>
    <w:rsid w:val="001F34B9"/>
    <w:rsid w:val="001F37BA"/>
    <w:rsid w:val="001F3B0A"/>
    <w:rsid w:val="001F3DB8"/>
    <w:rsid w:val="001F434A"/>
    <w:rsid w:val="001F4689"/>
    <w:rsid w:val="001F4941"/>
    <w:rsid w:val="001F4D26"/>
    <w:rsid w:val="001F574D"/>
    <w:rsid w:val="001F5E60"/>
    <w:rsid w:val="001F645F"/>
    <w:rsid w:val="001F6542"/>
    <w:rsid w:val="001F6727"/>
    <w:rsid w:val="001F6E58"/>
    <w:rsid w:val="001F6E65"/>
    <w:rsid w:val="001F7075"/>
    <w:rsid w:val="001F760C"/>
    <w:rsid w:val="001F7849"/>
    <w:rsid w:val="001F79DE"/>
    <w:rsid w:val="001F7AEF"/>
    <w:rsid w:val="002000CF"/>
    <w:rsid w:val="002000D3"/>
    <w:rsid w:val="00200397"/>
    <w:rsid w:val="0020067B"/>
    <w:rsid w:val="002006BA"/>
    <w:rsid w:val="00200721"/>
    <w:rsid w:val="00201849"/>
    <w:rsid w:val="00201B78"/>
    <w:rsid w:val="00201CF7"/>
    <w:rsid w:val="00201EB2"/>
    <w:rsid w:val="002020DD"/>
    <w:rsid w:val="0020220B"/>
    <w:rsid w:val="00202437"/>
    <w:rsid w:val="00202641"/>
    <w:rsid w:val="00202756"/>
    <w:rsid w:val="00202858"/>
    <w:rsid w:val="00202C59"/>
    <w:rsid w:val="00203126"/>
    <w:rsid w:val="00203276"/>
    <w:rsid w:val="002034DE"/>
    <w:rsid w:val="00203ECC"/>
    <w:rsid w:val="002042A0"/>
    <w:rsid w:val="002044CF"/>
    <w:rsid w:val="002046E7"/>
    <w:rsid w:val="0020487F"/>
    <w:rsid w:val="0020489A"/>
    <w:rsid w:val="00204981"/>
    <w:rsid w:val="002049AC"/>
    <w:rsid w:val="00204C98"/>
    <w:rsid w:val="00205038"/>
    <w:rsid w:val="0020538C"/>
    <w:rsid w:val="002053E2"/>
    <w:rsid w:val="00205589"/>
    <w:rsid w:val="002056CD"/>
    <w:rsid w:val="00205710"/>
    <w:rsid w:val="00205AEA"/>
    <w:rsid w:val="00205C5E"/>
    <w:rsid w:val="002060DF"/>
    <w:rsid w:val="00206446"/>
    <w:rsid w:val="00206517"/>
    <w:rsid w:val="002074D5"/>
    <w:rsid w:val="002079C6"/>
    <w:rsid w:val="00207DB8"/>
    <w:rsid w:val="00207E25"/>
    <w:rsid w:val="00210184"/>
    <w:rsid w:val="002101BE"/>
    <w:rsid w:val="00210281"/>
    <w:rsid w:val="00210E62"/>
    <w:rsid w:val="00211231"/>
    <w:rsid w:val="0021159A"/>
    <w:rsid w:val="00211A02"/>
    <w:rsid w:val="00211AD3"/>
    <w:rsid w:val="00211B07"/>
    <w:rsid w:val="00211C8D"/>
    <w:rsid w:val="00211D61"/>
    <w:rsid w:val="00212222"/>
    <w:rsid w:val="00212436"/>
    <w:rsid w:val="00212467"/>
    <w:rsid w:val="00212736"/>
    <w:rsid w:val="00212AAC"/>
    <w:rsid w:val="002130F3"/>
    <w:rsid w:val="0021356F"/>
    <w:rsid w:val="00213623"/>
    <w:rsid w:val="002136A9"/>
    <w:rsid w:val="002136C3"/>
    <w:rsid w:val="002137DA"/>
    <w:rsid w:val="00213935"/>
    <w:rsid w:val="00213E88"/>
    <w:rsid w:val="00214024"/>
    <w:rsid w:val="00214220"/>
    <w:rsid w:val="002143A4"/>
    <w:rsid w:val="002143E3"/>
    <w:rsid w:val="00214512"/>
    <w:rsid w:val="00214558"/>
    <w:rsid w:val="002147F1"/>
    <w:rsid w:val="002148C5"/>
    <w:rsid w:val="00214F9A"/>
    <w:rsid w:val="00215126"/>
    <w:rsid w:val="0021535B"/>
    <w:rsid w:val="0021553F"/>
    <w:rsid w:val="002156B4"/>
    <w:rsid w:val="002157AD"/>
    <w:rsid w:val="002158B9"/>
    <w:rsid w:val="002159A0"/>
    <w:rsid w:val="00215B5D"/>
    <w:rsid w:val="00215BFE"/>
    <w:rsid w:val="00215CD3"/>
    <w:rsid w:val="00215D7E"/>
    <w:rsid w:val="00216559"/>
    <w:rsid w:val="002169E4"/>
    <w:rsid w:val="00216A5C"/>
    <w:rsid w:val="00216BB7"/>
    <w:rsid w:val="00216C04"/>
    <w:rsid w:val="00217001"/>
    <w:rsid w:val="0021755F"/>
    <w:rsid w:val="00217A74"/>
    <w:rsid w:val="00217B7A"/>
    <w:rsid w:val="00220358"/>
    <w:rsid w:val="00220371"/>
    <w:rsid w:val="0022050A"/>
    <w:rsid w:val="0022055E"/>
    <w:rsid w:val="002206E8"/>
    <w:rsid w:val="00220A96"/>
    <w:rsid w:val="00220B35"/>
    <w:rsid w:val="00220C44"/>
    <w:rsid w:val="00220C4A"/>
    <w:rsid w:val="00220DF4"/>
    <w:rsid w:val="00220FCD"/>
    <w:rsid w:val="00221322"/>
    <w:rsid w:val="00221738"/>
    <w:rsid w:val="0022177A"/>
    <w:rsid w:val="00221D5F"/>
    <w:rsid w:val="00221D6B"/>
    <w:rsid w:val="00221EB6"/>
    <w:rsid w:val="00221F80"/>
    <w:rsid w:val="0022216E"/>
    <w:rsid w:val="00222368"/>
    <w:rsid w:val="0022242D"/>
    <w:rsid w:val="00222902"/>
    <w:rsid w:val="0022292A"/>
    <w:rsid w:val="0022297A"/>
    <w:rsid w:val="00222BF8"/>
    <w:rsid w:val="00222CCA"/>
    <w:rsid w:val="00222D83"/>
    <w:rsid w:val="00222DC4"/>
    <w:rsid w:val="00223049"/>
    <w:rsid w:val="00223074"/>
    <w:rsid w:val="00223085"/>
    <w:rsid w:val="00223169"/>
    <w:rsid w:val="002231E6"/>
    <w:rsid w:val="0022325A"/>
    <w:rsid w:val="002232D9"/>
    <w:rsid w:val="00223341"/>
    <w:rsid w:val="00223AAF"/>
    <w:rsid w:val="00223D3E"/>
    <w:rsid w:val="002240AA"/>
    <w:rsid w:val="002245FE"/>
    <w:rsid w:val="0022475D"/>
    <w:rsid w:val="00224D59"/>
    <w:rsid w:val="00224E11"/>
    <w:rsid w:val="00224F3E"/>
    <w:rsid w:val="00225296"/>
    <w:rsid w:val="002252C3"/>
    <w:rsid w:val="0022541E"/>
    <w:rsid w:val="002254E9"/>
    <w:rsid w:val="00225B0C"/>
    <w:rsid w:val="00225EBF"/>
    <w:rsid w:val="002263F2"/>
    <w:rsid w:val="002266FD"/>
    <w:rsid w:val="00226D40"/>
    <w:rsid w:val="0022720B"/>
    <w:rsid w:val="00227342"/>
    <w:rsid w:val="0022744E"/>
    <w:rsid w:val="00227963"/>
    <w:rsid w:val="00227BAF"/>
    <w:rsid w:val="00227BD6"/>
    <w:rsid w:val="00227EDD"/>
    <w:rsid w:val="00227FC6"/>
    <w:rsid w:val="0023041A"/>
    <w:rsid w:val="002306A2"/>
    <w:rsid w:val="0023089A"/>
    <w:rsid w:val="0023097F"/>
    <w:rsid w:val="00230AC2"/>
    <w:rsid w:val="002310CA"/>
    <w:rsid w:val="002311E6"/>
    <w:rsid w:val="0023145F"/>
    <w:rsid w:val="002315F6"/>
    <w:rsid w:val="00231997"/>
    <w:rsid w:val="00231B68"/>
    <w:rsid w:val="00231C96"/>
    <w:rsid w:val="00231D46"/>
    <w:rsid w:val="00232034"/>
    <w:rsid w:val="002323A3"/>
    <w:rsid w:val="00232493"/>
    <w:rsid w:val="00232688"/>
    <w:rsid w:val="002329B1"/>
    <w:rsid w:val="00232D28"/>
    <w:rsid w:val="00232F72"/>
    <w:rsid w:val="00233054"/>
    <w:rsid w:val="00233340"/>
    <w:rsid w:val="002335A2"/>
    <w:rsid w:val="00233602"/>
    <w:rsid w:val="0023361A"/>
    <w:rsid w:val="00233803"/>
    <w:rsid w:val="00233B91"/>
    <w:rsid w:val="00233CE0"/>
    <w:rsid w:val="00233F43"/>
    <w:rsid w:val="002340DF"/>
    <w:rsid w:val="0023419F"/>
    <w:rsid w:val="002341C3"/>
    <w:rsid w:val="0023428F"/>
    <w:rsid w:val="002345D0"/>
    <w:rsid w:val="00234980"/>
    <w:rsid w:val="00234D3C"/>
    <w:rsid w:val="0023513F"/>
    <w:rsid w:val="0023561F"/>
    <w:rsid w:val="00235720"/>
    <w:rsid w:val="00235D8A"/>
    <w:rsid w:val="00235E8D"/>
    <w:rsid w:val="002360CB"/>
    <w:rsid w:val="00236158"/>
    <w:rsid w:val="002367C5"/>
    <w:rsid w:val="00236A38"/>
    <w:rsid w:val="00236A8B"/>
    <w:rsid w:val="00236B4A"/>
    <w:rsid w:val="00236D31"/>
    <w:rsid w:val="00236D6F"/>
    <w:rsid w:val="002370FB"/>
    <w:rsid w:val="0023710C"/>
    <w:rsid w:val="002371B3"/>
    <w:rsid w:val="0023730F"/>
    <w:rsid w:val="00237324"/>
    <w:rsid w:val="00237357"/>
    <w:rsid w:val="0023738F"/>
    <w:rsid w:val="0023778C"/>
    <w:rsid w:val="00237ABB"/>
    <w:rsid w:val="00237C48"/>
    <w:rsid w:val="00237CA9"/>
    <w:rsid w:val="0024018A"/>
    <w:rsid w:val="002402AC"/>
    <w:rsid w:val="00240610"/>
    <w:rsid w:val="00240778"/>
    <w:rsid w:val="00240A5C"/>
    <w:rsid w:val="00240BBA"/>
    <w:rsid w:val="00240CD9"/>
    <w:rsid w:val="00240E93"/>
    <w:rsid w:val="00241048"/>
    <w:rsid w:val="002410F0"/>
    <w:rsid w:val="00241164"/>
    <w:rsid w:val="002412E7"/>
    <w:rsid w:val="00241A0D"/>
    <w:rsid w:val="00241EBE"/>
    <w:rsid w:val="00241F40"/>
    <w:rsid w:val="00241F8D"/>
    <w:rsid w:val="00242E38"/>
    <w:rsid w:val="00242FDA"/>
    <w:rsid w:val="00243096"/>
    <w:rsid w:val="002431F8"/>
    <w:rsid w:val="002431F9"/>
    <w:rsid w:val="00243373"/>
    <w:rsid w:val="002435C0"/>
    <w:rsid w:val="0024368A"/>
    <w:rsid w:val="00243A83"/>
    <w:rsid w:val="00243EAB"/>
    <w:rsid w:val="0024415B"/>
    <w:rsid w:val="0024423E"/>
    <w:rsid w:val="00244382"/>
    <w:rsid w:val="00244691"/>
    <w:rsid w:val="0024470F"/>
    <w:rsid w:val="0024478A"/>
    <w:rsid w:val="00244870"/>
    <w:rsid w:val="00244B01"/>
    <w:rsid w:val="00244D27"/>
    <w:rsid w:val="00244EE0"/>
    <w:rsid w:val="0024538F"/>
    <w:rsid w:val="002453D9"/>
    <w:rsid w:val="00245652"/>
    <w:rsid w:val="00245759"/>
    <w:rsid w:val="00245B33"/>
    <w:rsid w:val="00245BC5"/>
    <w:rsid w:val="00245CDB"/>
    <w:rsid w:val="00245CF7"/>
    <w:rsid w:val="00245D8A"/>
    <w:rsid w:val="0024620B"/>
    <w:rsid w:val="00246BDA"/>
    <w:rsid w:val="00247398"/>
    <w:rsid w:val="00247415"/>
    <w:rsid w:val="00247449"/>
    <w:rsid w:val="002474DA"/>
    <w:rsid w:val="00247510"/>
    <w:rsid w:val="002476C6"/>
    <w:rsid w:val="00247819"/>
    <w:rsid w:val="00247969"/>
    <w:rsid w:val="00250062"/>
    <w:rsid w:val="0025037C"/>
    <w:rsid w:val="00250552"/>
    <w:rsid w:val="00250969"/>
    <w:rsid w:val="00250C89"/>
    <w:rsid w:val="00250D8A"/>
    <w:rsid w:val="00251391"/>
    <w:rsid w:val="0025194B"/>
    <w:rsid w:val="00251B77"/>
    <w:rsid w:val="00251C13"/>
    <w:rsid w:val="00251CB0"/>
    <w:rsid w:val="00251E1F"/>
    <w:rsid w:val="00251F8C"/>
    <w:rsid w:val="0025219D"/>
    <w:rsid w:val="002521CF"/>
    <w:rsid w:val="002523EE"/>
    <w:rsid w:val="00252427"/>
    <w:rsid w:val="002525C5"/>
    <w:rsid w:val="0025262F"/>
    <w:rsid w:val="00252697"/>
    <w:rsid w:val="00252B5D"/>
    <w:rsid w:val="00252F25"/>
    <w:rsid w:val="00253105"/>
    <w:rsid w:val="00253891"/>
    <w:rsid w:val="002539F2"/>
    <w:rsid w:val="002541E1"/>
    <w:rsid w:val="0025451C"/>
    <w:rsid w:val="00254B6A"/>
    <w:rsid w:val="00254CF3"/>
    <w:rsid w:val="00255121"/>
    <w:rsid w:val="0025512F"/>
    <w:rsid w:val="00255139"/>
    <w:rsid w:val="00255255"/>
    <w:rsid w:val="002552CD"/>
    <w:rsid w:val="0025536B"/>
    <w:rsid w:val="00255A35"/>
    <w:rsid w:val="00255AE7"/>
    <w:rsid w:val="00255C06"/>
    <w:rsid w:val="002566EB"/>
    <w:rsid w:val="002567E4"/>
    <w:rsid w:val="00256D4D"/>
    <w:rsid w:val="0025711A"/>
    <w:rsid w:val="0025718F"/>
    <w:rsid w:val="0025787B"/>
    <w:rsid w:val="00257B8C"/>
    <w:rsid w:val="0026007B"/>
    <w:rsid w:val="002605BA"/>
    <w:rsid w:val="00260604"/>
    <w:rsid w:val="00260668"/>
    <w:rsid w:val="00260923"/>
    <w:rsid w:val="002612B3"/>
    <w:rsid w:val="0026159D"/>
    <w:rsid w:val="00261603"/>
    <w:rsid w:val="0026180C"/>
    <w:rsid w:val="00261919"/>
    <w:rsid w:val="002619F3"/>
    <w:rsid w:val="00261B0C"/>
    <w:rsid w:val="00261BEB"/>
    <w:rsid w:val="002625DB"/>
    <w:rsid w:val="00262785"/>
    <w:rsid w:val="002631DF"/>
    <w:rsid w:val="0026345B"/>
    <w:rsid w:val="002636C7"/>
    <w:rsid w:val="002639A2"/>
    <w:rsid w:val="00263D16"/>
    <w:rsid w:val="00263DFE"/>
    <w:rsid w:val="00263E0F"/>
    <w:rsid w:val="002640C6"/>
    <w:rsid w:val="0026420D"/>
    <w:rsid w:val="00264802"/>
    <w:rsid w:val="002648D8"/>
    <w:rsid w:val="00264B3B"/>
    <w:rsid w:val="00264D59"/>
    <w:rsid w:val="00264DC0"/>
    <w:rsid w:val="00264F5E"/>
    <w:rsid w:val="00264F90"/>
    <w:rsid w:val="00265423"/>
    <w:rsid w:val="002656CF"/>
    <w:rsid w:val="00265710"/>
    <w:rsid w:val="00265878"/>
    <w:rsid w:val="002666C2"/>
    <w:rsid w:val="00266998"/>
    <w:rsid w:val="00266AD2"/>
    <w:rsid w:val="002679F6"/>
    <w:rsid w:val="00267A17"/>
    <w:rsid w:val="00267ABC"/>
    <w:rsid w:val="00267DED"/>
    <w:rsid w:val="0027021E"/>
    <w:rsid w:val="002703EF"/>
    <w:rsid w:val="002704A8"/>
    <w:rsid w:val="002707B4"/>
    <w:rsid w:val="00270A9B"/>
    <w:rsid w:val="00270EFA"/>
    <w:rsid w:val="00271060"/>
    <w:rsid w:val="00271839"/>
    <w:rsid w:val="00271A6C"/>
    <w:rsid w:val="00271E97"/>
    <w:rsid w:val="00272073"/>
    <w:rsid w:val="00272168"/>
    <w:rsid w:val="0027232B"/>
    <w:rsid w:val="00272356"/>
    <w:rsid w:val="002723EA"/>
    <w:rsid w:val="002727D8"/>
    <w:rsid w:val="00272AF6"/>
    <w:rsid w:val="00272B78"/>
    <w:rsid w:val="0027300B"/>
    <w:rsid w:val="002730BD"/>
    <w:rsid w:val="002738E0"/>
    <w:rsid w:val="00273AA6"/>
    <w:rsid w:val="00273C06"/>
    <w:rsid w:val="0027405E"/>
    <w:rsid w:val="002740CB"/>
    <w:rsid w:val="00274233"/>
    <w:rsid w:val="002742F5"/>
    <w:rsid w:val="00274393"/>
    <w:rsid w:val="00274C2F"/>
    <w:rsid w:val="0027572F"/>
    <w:rsid w:val="0027591F"/>
    <w:rsid w:val="0027593F"/>
    <w:rsid w:val="00275BF9"/>
    <w:rsid w:val="00275F36"/>
    <w:rsid w:val="002763CE"/>
    <w:rsid w:val="002763EE"/>
    <w:rsid w:val="00276411"/>
    <w:rsid w:val="002766E3"/>
    <w:rsid w:val="00276A61"/>
    <w:rsid w:val="00276CFB"/>
    <w:rsid w:val="00276F06"/>
    <w:rsid w:val="00277306"/>
    <w:rsid w:val="002774D2"/>
    <w:rsid w:val="0027761B"/>
    <w:rsid w:val="00277779"/>
    <w:rsid w:val="002777C8"/>
    <w:rsid w:val="00277D97"/>
    <w:rsid w:val="0028014F"/>
    <w:rsid w:val="00280273"/>
    <w:rsid w:val="0028054E"/>
    <w:rsid w:val="00280688"/>
    <w:rsid w:val="00280B0E"/>
    <w:rsid w:val="00280CC4"/>
    <w:rsid w:val="00280DD2"/>
    <w:rsid w:val="00281553"/>
    <w:rsid w:val="0028180D"/>
    <w:rsid w:val="00281B0B"/>
    <w:rsid w:val="00281C59"/>
    <w:rsid w:val="00281CF6"/>
    <w:rsid w:val="002823F0"/>
    <w:rsid w:val="0028244C"/>
    <w:rsid w:val="0028298D"/>
    <w:rsid w:val="002829FD"/>
    <w:rsid w:val="00282C2F"/>
    <w:rsid w:val="00282E0D"/>
    <w:rsid w:val="00282EAA"/>
    <w:rsid w:val="0028304B"/>
    <w:rsid w:val="002830A7"/>
    <w:rsid w:val="0028373B"/>
    <w:rsid w:val="0028393F"/>
    <w:rsid w:val="002848B0"/>
    <w:rsid w:val="0028491C"/>
    <w:rsid w:val="00285155"/>
    <w:rsid w:val="00285297"/>
    <w:rsid w:val="002853D9"/>
    <w:rsid w:val="00285421"/>
    <w:rsid w:val="00285748"/>
    <w:rsid w:val="00285E53"/>
    <w:rsid w:val="0028697C"/>
    <w:rsid w:val="00286986"/>
    <w:rsid w:val="00286D1B"/>
    <w:rsid w:val="00286EE4"/>
    <w:rsid w:val="002870F1"/>
    <w:rsid w:val="002871A5"/>
    <w:rsid w:val="002877F8"/>
    <w:rsid w:val="002878C7"/>
    <w:rsid w:val="002878FD"/>
    <w:rsid w:val="002879A0"/>
    <w:rsid w:val="00287AAD"/>
    <w:rsid w:val="00287E91"/>
    <w:rsid w:val="00287F0F"/>
    <w:rsid w:val="00287F3A"/>
    <w:rsid w:val="00290028"/>
    <w:rsid w:val="002901EC"/>
    <w:rsid w:val="00290705"/>
    <w:rsid w:val="0029074B"/>
    <w:rsid w:val="00290FA7"/>
    <w:rsid w:val="00291045"/>
    <w:rsid w:val="002912B4"/>
    <w:rsid w:val="002915A3"/>
    <w:rsid w:val="002918BE"/>
    <w:rsid w:val="00291ECC"/>
    <w:rsid w:val="00291FA2"/>
    <w:rsid w:val="00292091"/>
    <w:rsid w:val="0029277B"/>
    <w:rsid w:val="00292835"/>
    <w:rsid w:val="00292AAD"/>
    <w:rsid w:val="00292B30"/>
    <w:rsid w:val="00292D84"/>
    <w:rsid w:val="0029395E"/>
    <w:rsid w:val="00293FAC"/>
    <w:rsid w:val="00294275"/>
    <w:rsid w:val="002947E3"/>
    <w:rsid w:val="002948D4"/>
    <w:rsid w:val="002949A0"/>
    <w:rsid w:val="002949B8"/>
    <w:rsid w:val="00294D7C"/>
    <w:rsid w:val="00294E22"/>
    <w:rsid w:val="00294E56"/>
    <w:rsid w:val="0029515B"/>
    <w:rsid w:val="00295162"/>
    <w:rsid w:val="0029555E"/>
    <w:rsid w:val="00295744"/>
    <w:rsid w:val="002957C6"/>
    <w:rsid w:val="00295C55"/>
    <w:rsid w:val="00295D51"/>
    <w:rsid w:val="00295DFA"/>
    <w:rsid w:val="00295FDA"/>
    <w:rsid w:val="00296371"/>
    <w:rsid w:val="0029663A"/>
    <w:rsid w:val="00296D14"/>
    <w:rsid w:val="00296F0E"/>
    <w:rsid w:val="0029758A"/>
    <w:rsid w:val="0029761F"/>
    <w:rsid w:val="00297A28"/>
    <w:rsid w:val="00297DCC"/>
    <w:rsid w:val="00297FA7"/>
    <w:rsid w:val="002A01AF"/>
    <w:rsid w:val="002A02E7"/>
    <w:rsid w:val="002A0504"/>
    <w:rsid w:val="002A06B3"/>
    <w:rsid w:val="002A0718"/>
    <w:rsid w:val="002A0B92"/>
    <w:rsid w:val="002A0D28"/>
    <w:rsid w:val="002A0E82"/>
    <w:rsid w:val="002A0FC0"/>
    <w:rsid w:val="002A1347"/>
    <w:rsid w:val="002A1487"/>
    <w:rsid w:val="002A1820"/>
    <w:rsid w:val="002A197C"/>
    <w:rsid w:val="002A1AF5"/>
    <w:rsid w:val="002A1B1F"/>
    <w:rsid w:val="002A1B35"/>
    <w:rsid w:val="002A1EF6"/>
    <w:rsid w:val="002A1FD6"/>
    <w:rsid w:val="002A2011"/>
    <w:rsid w:val="002A2252"/>
    <w:rsid w:val="002A2540"/>
    <w:rsid w:val="002A2636"/>
    <w:rsid w:val="002A26D2"/>
    <w:rsid w:val="002A29F3"/>
    <w:rsid w:val="002A2AC8"/>
    <w:rsid w:val="002A2C85"/>
    <w:rsid w:val="002A2D6F"/>
    <w:rsid w:val="002A2E0B"/>
    <w:rsid w:val="002A2F7E"/>
    <w:rsid w:val="002A3320"/>
    <w:rsid w:val="002A356B"/>
    <w:rsid w:val="002A373D"/>
    <w:rsid w:val="002A3866"/>
    <w:rsid w:val="002A3B53"/>
    <w:rsid w:val="002A3DDA"/>
    <w:rsid w:val="002A3DDE"/>
    <w:rsid w:val="002A46E7"/>
    <w:rsid w:val="002A47EC"/>
    <w:rsid w:val="002A48D6"/>
    <w:rsid w:val="002A4917"/>
    <w:rsid w:val="002A4A56"/>
    <w:rsid w:val="002A4ACF"/>
    <w:rsid w:val="002A4E08"/>
    <w:rsid w:val="002A51C4"/>
    <w:rsid w:val="002A5303"/>
    <w:rsid w:val="002A5517"/>
    <w:rsid w:val="002A570B"/>
    <w:rsid w:val="002A59F9"/>
    <w:rsid w:val="002A5AF7"/>
    <w:rsid w:val="002A5E09"/>
    <w:rsid w:val="002A5EDA"/>
    <w:rsid w:val="002A60CC"/>
    <w:rsid w:val="002A6412"/>
    <w:rsid w:val="002A653A"/>
    <w:rsid w:val="002A68C6"/>
    <w:rsid w:val="002A6C6B"/>
    <w:rsid w:val="002A6CEB"/>
    <w:rsid w:val="002A6D9A"/>
    <w:rsid w:val="002A6DE3"/>
    <w:rsid w:val="002A72DC"/>
    <w:rsid w:val="002A760E"/>
    <w:rsid w:val="002A76F0"/>
    <w:rsid w:val="002A774B"/>
    <w:rsid w:val="002A799E"/>
    <w:rsid w:val="002A7A2A"/>
    <w:rsid w:val="002A7AC4"/>
    <w:rsid w:val="002A7E48"/>
    <w:rsid w:val="002A7F18"/>
    <w:rsid w:val="002A7F51"/>
    <w:rsid w:val="002B02A0"/>
    <w:rsid w:val="002B0500"/>
    <w:rsid w:val="002B06E0"/>
    <w:rsid w:val="002B08BA"/>
    <w:rsid w:val="002B097A"/>
    <w:rsid w:val="002B1371"/>
    <w:rsid w:val="002B1472"/>
    <w:rsid w:val="002B158D"/>
    <w:rsid w:val="002B18EA"/>
    <w:rsid w:val="002B1CCF"/>
    <w:rsid w:val="002B224B"/>
    <w:rsid w:val="002B2394"/>
    <w:rsid w:val="002B29B0"/>
    <w:rsid w:val="002B2C87"/>
    <w:rsid w:val="002B2DB1"/>
    <w:rsid w:val="002B2E1E"/>
    <w:rsid w:val="002B2EA8"/>
    <w:rsid w:val="002B33D2"/>
    <w:rsid w:val="002B3676"/>
    <w:rsid w:val="002B37CA"/>
    <w:rsid w:val="002B42A4"/>
    <w:rsid w:val="002B42CD"/>
    <w:rsid w:val="002B46F5"/>
    <w:rsid w:val="002B4746"/>
    <w:rsid w:val="002B49F3"/>
    <w:rsid w:val="002B4B5B"/>
    <w:rsid w:val="002B4CF9"/>
    <w:rsid w:val="002B4F68"/>
    <w:rsid w:val="002B52E1"/>
    <w:rsid w:val="002B55B9"/>
    <w:rsid w:val="002B566F"/>
    <w:rsid w:val="002B5835"/>
    <w:rsid w:val="002B5A32"/>
    <w:rsid w:val="002B5B2D"/>
    <w:rsid w:val="002B61D9"/>
    <w:rsid w:val="002B63BE"/>
    <w:rsid w:val="002B654F"/>
    <w:rsid w:val="002B6C7E"/>
    <w:rsid w:val="002B6CDD"/>
    <w:rsid w:val="002B6CF7"/>
    <w:rsid w:val="002B6EF6"/>
    <w:rsid w:val="002B6F3A"/>
    <w:rsid w:val="002B7558"/>
    <w:rsid w:val="002B756E"/>
    <w:rsid w:val="002B7B23"/>
    <w:rsid w:val="002B7C11"/>
    <w:rsid w:val="002B7DF7"/>
    <w:rsid w:val="002B7F70"/>
    <w:rsid w:val="002C00BA"/>
    <w:rsid w:val="002C0165"/>
    <w:rsid w:val="002C04F5"/>
    <w:rsid w:val="002C07C1"/>
    <w:rsid w:val="002C084A"/>
    <w:rsid w:val="002C099B"/>
    <w:rsid w:val="002C0A30"/>
    <w:rsid w:val="002C0B3D"/>
    <w:rsid w:val="002C0BB9"/>
    <w:rsid w:val="002C0E20"/>
    <w:rsid w:val="002C0FA6"/>
    <w:rsid w:val="002C1000"/>
    <w:rsid w:val="002C10E2"/>
    <w:rsid w:val="002C11CB"/>
    <w:rsid w:val="002C1242"/>
    <w:rsid w:val="002C1710"/>
    <w:rsid w:val="002C178B"/>
    <w:rsid w:val="002C1C29"/>
    <w:rsid w:val="002C1E3F"/>
    <w:rsid w:val="002C256D"/>
    <w:rsid w:val="002C2967"/>
    <w:rsid w:val="002C29E6"/>
    <w:rsid w:val="002C2A89"/>
    <w:rsid w:val="002C2A9C"/>
    <w:rsid w:val="002C2C38"/>
    <w:rsid w:val="002C30FF"/>
    <w:rsid w:val="002C314A"/>
    <w:rsid w:val="002C3270"/>
    <w:rsid w:val="002C339D"/>
    <w:rsid w:val="002C33E0"/>
    <w:rsid w:val="002C3519"/>
    <w:rsid w:val="002C3623"/>
    <w:rsid w:val="002C38EF"/>
    <w:rsid w:val="002C39BB"/>
    <w:rsid w:val="002C3D3C"/>
    <w:rsid w:val="002C3E31"/>
    <w:rsid w:val="002C3F68"/>
    <w:rsid w:val="002C42FA"/>
    <w:rsid w:val="002C4731"/>
    <w:rsid w:val="002C497B"/>
    <w:rsid w:val="002C4C78"/>
    <w:rsid w:val="002C4D65"/>
    <w:rsid w:val="002C51B2"/>
    <w:rsid w:val="002C5348"/>
    <w:rsid w:val="002C5761"/>
    <w:rsid w:val="002C5A68"/>
    <w:rsid w:val="002C5B41"/>
    <w:rsid w:val="002C5C59"/>
    <w:rsid w:val="002C6099"/>
    <w:rsid w:val="002C640B"/>
    <w:rsid w:val="002C671C"/>
    <w:rsid w:val="002C676E"/>
    <w:rsid w:val="002C67C8"/>
    <w:rsid w:val="002C6CBD"/>
    <w:rsid w:val="002C6D9B"/>
    <w:rsid w:val="002C7092"/>
    <w:rsid w:val="002C723A"/>
    <w:rsid w:val="002C735A"/>
    <w:rsid w:val="002C7A5D"/>
    <w:rsid w:val="002C7AB3"/>
    <w:rsid w:val="002C7C99"/>
    <w:rsid w:val="002D011E"/>
    <w:rsid w:val="002D019E"/>
    <w:rsid w:val="002D01C2"/>
    <w:rsid w:val="002D063D"/>
    <w:rsid w:val="002D07F2"/>
    <w:rsid w:val="002D08A2"/>
    <w:rsid w:val="002D0A34"/>
    <w:rsid w:val="002D0AA6"/>
    <w:rsid w:val="002D0C62"/>
    <w:rsid w:val="002D0DDB"/>
    <w:rsid w:val="002D0EFE"/>
    <w:rsid w:val="002D13CB"/>
    <w:rsid w:val="002D1726"/>
    <w:rsid w:val="002D1BC2"/>
    <w:rsid w:val="002D1E21"/>
    <w:rsid w:val="002D210B"/>
    <w:rsid w:val="002D25BD"/>
    <w:rsid w:val="002D28E8"/>
    <w:rsid w:val="002D2B49"/>
    <w:rsid w:val="002D2BF5"/>
    <w:rsid w:val="002D2E1F"/>
    <w:rsid w:val="002D2FB7"/>
    <w:rsid w:val="002D30AD"/>
    <w:rsid w:val="002D3727"/>
    <w:rsid w:val="002D4183"/>
    <w:rsid w:val="002D4247"/>
    <w:rsid w:val="002D42D8"/>
    <w:rsid w:val="002D44DA"/>
    <w:rsid w:val="002D45AA"/>
    <w:rsid w:val="002D47D5"/>
    <w:rsid w:val="002D4B31"/>
    <w:rsid w:val="002D4F76"/>
    <w:rsid w:val="002D52A0"/>
    <w:rsid w:val="002D5388"/>
    <w:rsid w:val="002D5633"/>
    <w:rsid w:val="002D5E0C"/>
    <w:rsid w:val="002D5EC5"/>
    <w:rsid w:val="002D62E0"/>
    <w:rsid w:val="002D684F"/>
    <w:rsid w:val="002D6AB0"/>
    <w:rsid w:val="002D7012"/>
    <w:rsid w:val="002D737B"/>
    <w:rsid w:val="002D73D8"/>
    <w:rsid w:val="002D764B"/>
    <w:rsid w:val="002D78A9"/>
    <w:rsid w:val="002D7B22"/>
    <w:rsid w:val="002D7BDE"/>
    <w:rsid w:val="002D7DC4"/>
    <w:rsid w:val="002D7E27"/>
    <w:rsid w:val="002D7F77"/>
    <w:rsid w:val="002D7FB1"/>
    <w:rsid w:val="002E005A"/>
    <w:rsid w:val="002E016C"/>
    <w:rsid w:val="002E02AD"/>
    <w:rsid w:val="002E032A"/>
    <w:rsid w:val="002E036C"/>
    <w:rsid w:val="002E04EA"/>
    <w:rsid w:val="002E06C8"/>
    <w:rsid w:val="002E0B63"/>
    <w:rsid w:val="002E0C3B"/>
    <w:rsid w:val="002E13F7"/>
    <w:rsid w:val="002E15D1"/>
    <w:rsid w:val="002E1877"/>
    <w:rsid w:val="002E1A2E"/>
    <w:rsid w:val="002E1A60"/>
    <w:rsid w:val="002E1D64"/>
    <w:rsid w:val="002E1F5C"/>
    <w:rsid w:val="002E2038"/>
    <w:rsid w:val="002E258F"/>
    <w:rsid w:val="002E25AD"/>
    <w:rsid w:val="002E2968"/>
    <w:rsid w:val="002E2A38"/>
    <w:rsid w:val="002E2B3C"/>
    <w:rsid w:val="002E2D3B"/>
    <w:rsid w:val="002E2E2C"/>
    <w:rsid w:val="002E2E48"/>
    <w:rsid w:val="002E2EC3"/>
    <w:rsid w:val="002E3168"/>
    <w:rsid w:val="002E33DB"/>
    <w:rsid w:val="002E3597"/>
    <w:rsid w:val="002E37C8"/>
    <w:rsid w:val="002E395D"/>
    <w:rsid w:val="002E40AE"/>
    <w:rsid w:val="002E4307"/>
    <w:rsid w:val="002E4511"/>
    <w:rsid w:val="002E4567"/>
    <w:rsid w:val="002E46C8"/>
    <w:rsid w:val="002E46CD"/>
    <w:rsid w:val="002E4801"/>
    <w:rsid w:val="002E4911"/>
    <w:rsid w:val="002E49C7"/>
    <w:rsid w:val="002E4C67"/>
    <w:rsid w:val="002E4DDE"/>
    <w:rsid w:val="002E4DF5"/>
    <w:rsid w:val="002E528B"/>
    <w:rsid w:val="002E5596"/>
    <w:rsid w:val="002E5840"/>
    <w:rsid w:val="002E59C8"/>
    <w:rsid w:val="002E59E4"/>
    <w:rsid w:val="002E5A15"/>
    <w:rsid w:val="002E5E36"/>
    <w:rsid w:val="002E603B"/>
    <w:rsid w:val="002E60EB"/>
    <w:rsid w:val="002E60FE"/>
    <w:rsid w:val="002E61CE"/>
    <w:rsid w:val="002E62F7"/>
    <w:rsid w:val="002E65D5"/>
    <w:rsid w:val="002E6803"/>
    <w:rsid w:val="002E6A56"/>
    <w:rsid w:val="002E73A1"/>
    <w:rsid w:val="002E75C0"/>
    <w:rsid w:val="002E78CF"/>
    <w:rsid w:val="002E7A9D"/>
    <w:rsid w:val="002E7ADD"/>
    <w:rsid w:val="002E7C7F"/>
    <w:rsid w:val="002E7C9A"/>
    <w:rsid w:val="002E7EF7"/>
    <w:rsid w:val="002F0455"/>
    <w:rsid w:val="002F045E"/>
    <w:rsid w:val="002F052E"/>
    <w:rsid w:val="002F058D"/>
    <w:rsid w:val="002F0ACE"/>
    <w:rsid w:val="002F0CFB"/>
    <w:rsid w:val="002F0EE5"/>
    <w:rsid w:val="002F0FB5"/>
    <w:rsid w:val="002F1444"/>
    <w:rsid w:val="002F1CAA"/>
    <w:rsid w:val="002F223B"/>
    <w:rsid w:val="002F2292"/>
    <w:rsid w:val="002F2486"/>
    <w:rsid w:val="002F25C6"/>
    <w:rsid w:val="002F2947"/>
    <w:rsid w:val="002F2D40"/>
    <w:rsid w:val="002F2EBC"/>
    <w:rsid w:val="002F2F55"/>
    <w:rsid w:val="002F3265"/>
    <w:rsid w:val="002F344D"/>
    <w:rsid w:val="002F39F3"/>
    <w:rsid w:val="002F3A28"/>
    <w:rsid w:val="002F3C53"/>
    <w:rsid w:val="002F3DD5"/>
    <w:rsid w:val="002F3F06"/>
    <w:rsid w:val="002F41AF"/>
    <w:rsid w:val="002F4236"/>
    <w:rsid w:val="002F42DB"/>
    <w:rsid w:val="002F47CC"/>
    <w:rsid w:val="002F4CAD"/>
    <w:rsid w:val="002F4D17"/>
    <w:rsid w:val="002F4D94"/>
    <w:rsid w:val="002F4E32"/>
    <w:rsid w:val="002F50B5"/>
    <w:rsid w:val="002F51BB"/>
    <w:rsid w:val="002F6084"/>
    <w:rsid w:val="002F608B"/>
    <w:rsid w:val="002F63B3"/>
    <w:rsid w:val="002F63DE"/>
    <w:rsid w:val="002F6656"/>
    <w:rsid w:val="002F676D"/>
    <w:rsid w:val="002F6A4B"/>
    <w:rsid w:val="002F6C0A"/>
    <w:rsid w:val="002F6CCE"/>
    <w:rsid w:val="002F6F87"/>
    <w:rsid w:val="002F70BF"/>
    <w:rsid w:val="002F715F"/>
    <w:rsid w:val="002F73CA"/>
    <w:rsid w:val="002F7442"/>
    <w:rsid w:val="002F7762"/>
    <w:rsid w:val="002F7F61"/>
    <w:rsid w:val="0030003F"/>
    <w:rsid w:val="00300075"/>
    <w:rsid w:val="003002DF"/>
    <w:rsid w:val="003006F8"/>
    <w:rsid w:val="0030073A"/>
    <w:rsid w:val="003008A1"/>
    <w:rsid w:val="00300FF2"/>
    <w:rsid w:val="0030127F"/>
    <w:rsid w:val="003013D8"/>
    <w:rsid w:val="00301696"/>
    <w:rsid w:val="00301721"/>
    <w:rsid w:val="003019BC"/>
    <w:rsid w:val="003019FF"/>
    <w:rsid w:val="00301C59"/>
    <w:rsid w:val="00301E46"/>
    <w:rsid w:val="0030232C"/>
    <w:rsid w:val="0030257E"/>
    <w:rsid w:val="0030301A"/>
    <w:rsid w:val="00303053"/>
    <w:rsid w:val="003033E5"/>
    <w:rsid w:val="00303516"/>
    <w:rsid w:val="00303526"/>
    <w:rsid w:val="00303822"/>
    <w:rsid w:val="003039D8"/>
    <w:rsid w:val="00303B9B"/>
    <w:rsid w:val="00303FD6"/>
    <w:rsid w:val="00303FF8"/>
    <w:rsid w:val="0030404C"/>
    <w:rsid w:val="003040C1"/>
    <w:rsid w:val="00304223"/>
    <w:rsid w:val="0030442B"/>
    <w:rsid w:val="00304A4C"/>
    <w:rsid w:val="00304B7A"/>
    <w:rsid w:val="0030505B"/>
    <w:rsid w:val="00305431"/>
    <w:rsid w:val="003054B6"/>
    <w:rsid w:val="00305608"/>
    <w:rsid w:val="0030589B"/>
    <w:rsid w:val="00305CC1"/>
    <w:rsid w:val="00305D44"/>
    <w:rsid w:val="00305DE7"/>
    <w:rsid w:val="00305E96"/>
    <w:rsid w:val="003061D8"/>
    <w:rsid w:val="003063E3"/>
    <w:rsid w:val="003066B1"/>
    <w:rsid w:val="00306725"/>
    <w:rsid w:val="00306818"/>
    <w:rsid w:val="00306956"/>
    <w:rsid w:val="00306D3B"/>
    <w:rsid w:val="003071D1"/>
    <w:rsid w:val="00307441"/>
    <w:rsid w:val="00307546"/>
    <w:rsid w:val="00307650"/>
    <w:rsid w:val="00307773"/>
    <w:rsid w:val="003078E3"/>
    <w:rsid w:val="00307C6F"/>
    <w:rsid w:val="00307D58"/>
    <w:rsid w:val="00307EEA"/>
    <w:rsid w:val="0031099B"/>
    <w:rsid w:val="00310A85"/>
    <w:rsid w:val="00310D2E"/>
    <w:rsid w:val="003113D6"/>
    <w:rsid w:val="0031179B"/>
    <w:rsid w:val="00311BAD"/>
    <w:rsid w:val="00311E3B"/>
    <w:rsid w:val="003121F7"/>
    <w:rsid w:val="00312667"/>
    <w:rsid w:val="00312825"/>
    <w:rsid w:val="00312DF1"/>
    <w:rsid w:val="00313098"/>
    <w:rsid w:val="00313458"/>
    <w:rsid w:val="00313767"/>
    <w:rsid w:val="003139CB"/>
    <w:rsid w:val="00313E5F"/>
    <w:rsid w:val="0031443E"/>
    <w:rsid w:val="00314448"/>
    <w:rsid w:val="003148E5"/>
    <w:rsid w:val="00314C2C"/>
    <w:rsid w:val="00314CF7"/>
    <w:rsid w:val="00314DFB"/>
    <w:rsid w:val="003154A1"/>
    <w:rsid w:val="0031567E"/>
    <w:rsid w:val="0031574E"/>
    <w:rsid w:val="0031581C"/>
    <w:rsid w:val="00315AA9"/>
    <w:rsid w:val="00316A46"/>
    <w:rsid w:val="00316D0E"/>
    <w:rsid w:val="00316E08"/>
    <w:rsid w:val="0031767E"/>
    <w:rsid w:val="0031791B"/>
    <w:rsid w:val="0031795E"/>
    <w:rsid w:val="00317987"/>
    <w:rsid w:val="00317F76"/>
    <w:rsid w:val="003200EC"/>
    <w:rsid w:val="0032055F"/>
    <w:rsid w:val="003206F9"/>
    <w:rsid w:val="003208C5"/>
    <w:rsid w:val="003208F8"/>
    <w:rsid w:val="00320995"/>
    <w:rsid w:val="00320BB2"/>
    <w:rsid w:val="00320C05"/>
    <w:rsid w:val="00320EBE"/>
    <w:rsid w:val="00321193"/>
    <w:rsid w:val="003211BD"/>
    <w:rsid w:val="0032126F"/>
    <w:rsid w:val="0032133B"/>
    <w:rsid w:val="0032154B"/>
    <w:rsid w:val="00321585"/>
    <w:rsid w:val="003216FE"/>
    <w:rsid w:val="00321742"/>
    <w:rsid w:val="00321753"/>
    <w:rsid w:val="003218D3"/>
    <w:rsid w:val="003219AB"/>
    <w:rsid w:val="00322042"/>
    <w:rsid w:val="003223A3"/>
    <w:rsid w:val="003223E8"/>
    <w:rsid w:val="00322417"/>
    <w:rsid w:val="003225A0"/>
    <w:rsid w:val="003225B1"/>
    <w:rsid w:val="00322712"/>
    <w:rsid w:val="00322D1F"/>
    <w:rsid w:val="00322E6F"/>
    <w:rsid w:val="00322F05"/>
    <w:rsid w:val="003234B2"/>
    <w:rsid w:val="003236AA"/>
    <w:rsid w:val="003239A5"/>
    <w:rsid w:val="00323B0B"/>
    <w:rsid w:val="00323D79"/>
    <w:rsid w:val="00323EBF"/>
    <w:rsid w:val="00324360"/>
    <w:rsid w:val="00324647"/>
    <w:rsid w:val="0032464B"/>
    <w:rsid w:val="00324740"/>
    <w:rsid w:val="00324871"/>
    <w:rsid w:val="00324E00"/>
    <w:rsid w:val="00325014"/>
    <w:rsid w:val="00325096"/>
    <w:rsid w:val="00325160"/>
    <w:rsid w:val="003254CD"/>
    <w:rsid w:val="003255C8"/>
    <w:rsid w:val="0032592C"/>
    <w:rsid w:val="0032595B"/>
    <w:rsid w:val="003259FD"/>
    <w:rsid w:val="00325B31"/>
    <w:rsid w:val="00325B55"/>
    <w:rsid w:val="00325FF1"/>
    <w:rsid w:val="0032615B"/>
    <w:rsid w:val="003261C9"/>
    <w:rsid w:val="00326251"/>
    <w:rsid w:val="003263D2"/>
    <w:rsid w:val="003268F6"/>
    <w:rsid w:val="00326EB8"/>
    <w:rsid w:val="00327070"/>
    <w:rsid w:val="0032736B"/>
    <w:rsid w:val="00327751"/>
    <w:rsid w:val="0032781B"/>
    <w:rsid w:val="0032790E"/>
    <w:rsid w:val="00327B7F"/>
    <w:rsid w:val="00327CE8"/>
    <w:rsid w:val="00327E05"/>
    <w:rsid w:val="00327F5E"/>
    <w:rsid w:val="00330CA3"/>
    <w:rsid w:val="00330F2F"/>
    <w:rsid w:val="003313A2"/>
    <w:rsid w:val="00331570"/>
    <w:rsid w:val="00331754"/>
    <w:rsid w:val="00331761"/>
    <w:rsid w:val="00331A8A"/>
    <w:rsid w:val="00331BF9"/>
    <w:rsid w:val="00331D9D"/>
    <w:rsid w:val="003320B7"/>
    <w:rsid w:val="00332170"/>
    <w:rsid w:val="00332250"/>
    <w:rsid w:val="0033225D"/>
    <w:rsid w:val="003322FB"/>
    <w:rsid w:val="0033239F"/>
    <w:rsid w:val="003327A5"/>
    <w:rsid w:val="0033283F"/>
    <w:rsid w:val="00332A0A"/>
    <w:rsid w:val="00332C6D"/>
    <w:rsid w:val="00332CDE"/>
    <w:rsid w:val="00332D91"/>
    <w:rsid w:val="00332E35"/>
    <w:rsid w:val="003330CD"/>
    <w:rsid w:val="00333B34"/>
    <w:rsid w:val="00333B84"/>
    <w:rsid w:val="00333F82"/>
    <w:rsid w:val="00333FED"/>
    <w:rsid w:val="0033403C"/>
    <w:rsid w:val="003340B4"/>
    <w:rsid w:val="003340C7"/>
    <w:rsid w:val="0033428B"/>
    <w:rsid w:val="00334BA5"/>
    <w:rsid w:val="003353BE"/>
    <w:rsid w:val="003353DC"/>
    <w:rsid w:val="00335416"/>
    <w:rsid w:val="0033541A"/>
    <w:rsid w:val="00335BEF"/>
    <w:rsid w:val="00335DE9"/>
    <w:rsid w:val="0033606F"/>
    <w:rsid w:val="00336223"/>
    <w:rsid w:val="0033627E"/>
    <w:rsid w:val="0033638A"/>
    <w:rsid w:val="0033698F"/>
    <w:rsid w:val="003369CA"/>
    <w:rsid w:val="00336A17"/>
    <w:rsid w:val="00336D6D"/>
    <w:rsid w:val="00336DDB"/>
    <w:rsid w:val="00336E30"/>
    <w:rsid w:val="00336F9A"/>
    <w:rsid w:val="00336FC1"/>
    <w:rsid w:val="00337113"/>
    <w:rsid w:val="00337125"/>
    <w:rsid w:val="003375FA"/>
    <w:rsid w:val="00337652"/>
    <w:rsid w:val="00337E3F"/>
    <w:rsid w:val="003401B5"/>
    <w:rsid w:val="0034043D"/>
    <w:rsid w:val="0034056D"/>
    <w:rsid w:val="003406F1"/>
    <w:rsid w:val="00340724"/>
    <w:rsid w:val="00340799"/>
    <w:rsid w:val="00340902"/>
    <w:rsid w:val="00340922"/>
    <w:rsid w:val="00340947"/>
    <w:rsid w:val="00340BEA"/>
    <w:rsid w:val="00340F10"/>
    <w:rsid w:val="00340FC1"/>
    <w:rsid w:val="00340FE3"/>
    <w:rsid w:val="0034107F"/>
    <w:rsid w:val="00341488"/>
    <w:rsid w:val="0034192F"/>
    <w:rsid w:val="00341993"/>
    <w:rsid w:val="00341BD4"/>
    <w:rsid w:val="00341C5F"/>
    <w:rsid w:val="00341CE5"/>
    <w:rsid w:val="00341F4B"/>
    <w:rsid w:val="00342772"/>
    <w:rsid w:val="00342C15"/>
    <w:rsid w:val="00343032"/>
    <w:rsid w:val="0034318F"/>
    <w:rsid w:val="003431BE"/>
    <w:rsid w:val="0034321A"/>
    <w:rsid w:val="00343777"/>
    <w:rsid w:val="00343976"/>
    <w:rsid w:val="003439E9"/>
    <w:rsid w:val="00343C12"/>
    <w:rsid w:val="00343CB7"/>
    <w:rsid w:val="00343E9B"/>
    <w:rsid w:val="00343F34"/>
    <w:rsid w:val="00344032"/>
    <w:rsid w:val="0034418C"/>
    <w:rsid w:val="003446E4"/>
    <w:rsid w:val="00344868"/>
    <w:rsid w:val="00344B9B"/>
    <w:rsid w:val="00344D97"/>
    <w:rsid w:val="003452A8"/>
    <w:rsid w:val="00345381"/>
    <w:rsid w:val="00345462"/>
    <w:rsid w:val="0034586D"/>
    <w:rsid w:val="00345B08"/>
    <w:rsid w:val="0034616A"/>
    <w:rsid w:val="0034649B"/>
    <w:rsid w:val="00346AE0"/>
    <w:rsid w:val="00346BD2"/>
    <w:rsid w:val="00346ECE"/>
    <w:rsid w:val="003472E4"/>
    <w:rsid w:val="00347338"/>
    <w:rsid w:val="00347768"/>
    <w:rsid w:val="003479A6"/>
    <w:rsid w:val="00347C60"/>
    <w:rsid w:val="00347C9F"/>
    <w:rsid w:val="0035011A"/>
    <w:rsid w:val="00350143"/>
    <w:rsid w:val="0035021E"/>
    <w:rsid w:val="003502FC"/>
    <w:rsid w:val="00350384"/>
    <w:rsid w:val="00350392"/>
    <w:rsid w:val="003503C7"/>
    <w:rsid w:val="003506AD"/>
    <w:rsid w:val="0035072E"/>
    <w:rsid w:val="0035087E"/>
    <w:rsid w:val="003508B8"/>
    <w:rsid w:val="00351576"/>
    <w:rsid w:val="0035157B"/>
    <w:rsid w:val="0035166B"/>
    <w:rsid w:val="00351BC0"/>
    <w:rsid w:val="003521F5"/>
    <w:rsid w:val="003524F6"/>
    <w:rsid w:val="0035290B"/>
    <w:rsid w:val="00352E2B"/>
    <w:rsid w:val="00352F60"/>
    <w:rsid w:val="0035371F"/>
    <w:rsid w:val="0035373E"/>
    <w:rsid w:val="00353942"/>
    <w:rsid w:val="00353CB1"/>
    <w:rsid w:val="00353CDB"/>
    <w:rsid w:val="00353E26"/>
    <w:rsid w:val="00353FFE"/>
    <w:rsid w:val="00354592"/>
    <w:rsid w:val="003546C7"/>
    <w:rsid w:val="003547F4"/>
    <w:rsid w:val="0035484A"/>
    <w:rsid w:val="00354A83"/>
    <w:rsid w:val="00354BC5"/>
    <w:rsid w:val="003550B9"/>
    <w:rsid w:val="00355224"/>
    <w:rsid w:val="00355254"/>
    <w:rsid w:val="003554F4"/>
    <w:rsid w:val="00355576"/>
    <w:rsid w:val="00355756"/>
    <w:rsid w:val="00355B3D"/>
    <w:rsid w:val="00355B78"/>
    <w:rsid w:val="00355CE4"/>
    <w:rsid w:val="00355EC4"/>
    <w:rsid w:val="00355F54"/>
    <w:rsid w:val="003560DD"/>
    <w:rsid w:val="003560F2"/>
    <w:rsid w:val="00356360"/>
    <w:rsid w:val="00356543"/>
    <w:rsid w:val="00356590"/>
    <w:rsid w:val="00356729"/>
    <w:rsid w:val="00356C78"/>
    <w:rsid w:val="00357151"/>
    <w:rsid w:val="003571B5"/>
    <w:rsid w:val="003572F3"/>
    <w:rsid w:val="003575E4"/>
    <w:rsid w:val="003576FD"/>
    <w:rsid w:val="00357B7D"/>
    <w:rsid w:val="00357CA6"/>
    <w:rsid w:val="00357D62"/>
    <w:rsid w:val="00357DB1"/>
    <w:rsid w:val="003600C3"/>
    <w:rsid w:val="003608AC"/>
    <w:rsid w:val="00360C90"/>
    <w:rsid w:val="003612FA"/>
    <w:rsid w:val="00361E3C"/>
    <w:rsid w:val="00362078"/>
    <w:rsid w:val="003620F8"/>
    <w:rsid w:val="003623E1"/>
    <w:rsid w:val="00362886"/>
    <w:rsid w:val="003629D3"/>
    <w:rsid w:val="00362D48"/>
    <w:rsid w:val="003630A3"/>
    <w:rsid w:val="00363220"/>
    <w:rsid w:val="00363364"/>
    <w:rsid w:val="003635C3"/>
    <w:rsid w:val="003636AA"/>
    <w:rsid w:val="00363D3C"/>
    <w:rsid w:val="00363E12"/>
    <w:rsid w:val="003642D1"/>
    <w:rsid w:val="003650F3"/>
    <w:rsid w:val="00365473"/>
    <w:rsid w:val="00365746"/>
    <w:rsid w:val="003657BC"/>
    <w:rsid w:val="00365F12"/>
    <w:rsid w:val="00366152"/>
    <w:rsid w:val="003661F9"/>
    <w:rsid w:val="0036646F"/>
    <w:rsid w:val="00366470"/>
    <w:rsid w:val="0036689E"/>
    <w:rsid w:val="00366E05"/>
    <w:rsid w:val="00367127"/>
    <w:rsid w:val="003674A8"/>
    <w:rsid w:val="00367981"/>
    <w:rsid w:val="00367A1B"/>
    <w:rsid w:val="00367A80"/>
    <w:rsid w:val="00367E02"/>
    <w:rsid w:val="003701F2"/>
    <w:rsid w:val="003707CF"/>
    <w:rsid w:val="00370B59"/>
    <w:rsid w:val="00370B9F"/>
    <w:rsid w:val="00370CAC"/>
    <w:rsid w:val="00370E5D"/>
    <w:rsid w:val="00371173"/>
    <w:rsid w:val="003712AD"/>
    <w:rsid w:val="003712DE"/>
    <w:rsid w:val="00371AD8"/>
    <w:rsid w:val="00371F14"/>
    <w:rsid w:val="00372391"/>
    <w:rsid w:val="003723BC"/>
    <w:rsid w:val="0037245C"/>
    <w:rsid w:val="00372939"/>
    <w:rsid w:val="00372969"/>
    <w:rsid w:val="00372BD7"/>
    <w:rsid w:val="00372E3F"/>
    <w:rsid w:val="003730C6"/>
    <w:rsid w:val="00373922"/>
    <w:rsid w:val="0037393E"/>
    <w:rsid w:val="00373983"/>
    <w:rsid w:val="00373A5D"/>
    <w:rsid w:val="00373D77"/>
    <w:rsid w:val="00373F05"/>
    <w:rsid w:val="00373F78"/>
    <w:rsid w:val="00374325"/>
    <w:rsid w:val="003749D6"/>
    <w:rsid w:val="00374BBF"/>
    <w:rsid w:val="00374CB0"/>
    <w:rsid w:val="00374CE2"/>
    <w:rsid w:val="00374E33"/>
    <w:rsid w:val="00374FAB"/>
    <w:rsid w:val="00375010"/>
    <w:rsid w:val="00375312"/>
    <w:rsid w:val="003756F6"/>
    <w:rsid w:val="00375E90"/>
    <w:rsid w:val="00375F8B"/>
    <w:rsid w:val="00376062"/>
    <w:rsid w:val="00376455"/>
    <w:rsid w:val="00376510"/>
    <w:rsid w:val="0037685E"/>
    <w:rsid w:val="003768D3"/>
    <w:rsid w:val="00376A19"/>
    <w:rsid w:val="00376B63"/>
    <w:rsid w:val="00376BFC"/>
    <w:rsid w:val="00376D7C"/>
    <w:rsid w:val="00376DA6"/>
    <w:rsid w:val="00377294"/>
    <w:rsid w:val="00377677"/>
    <w:rsid w:val="0037769B"/>
    <w:rsid w:val="003809E2"/>
    <w:rsid w:val="00380BDC"/>
    <w:rsid w:val="00381397"/>
    <w:rsid w:val="0038161D"/>
    <w:rsid w:val="00381636"/>
    <w:rsid w:val="00381B5A"/>
    <w:rsid w:val="00381F7D"/>
    <w:rsid w:val="00381F91"/>
    <w:rsid w:val="003820D7"/>
    <w:rsid w:val="00382163"/>
    <w:rsid w:val="00382331"/>
    <w:rsid w:val="00382452"/>
    <w:rsid w:val="00382489"/>
    <w:rsid w:val="003826BA"/>
    <w:rsid w:val="0038292A"/>
    <w:rsid w:val="00382CBA"/>
    <w:rsid w:val="00382D2C"/>
    <w:rsid w:val="0038325C"/>
    <w:rsid w:val="003835B3"/>
    <w:rsid w:val="00384004"/>
    <w:rsid w:val="00384149"/>
    <w:rsid w:val="003841CF"/>
    <w:rsid w:val="00384417"/>
    <w:rsid w:val="00384679"/>
    <w:rsid w:val="00384747"/>
    <w:rsid w:val="003848EC"/>
    <w:rsid w:val="0038496F"/>
    <w:rsid w:val="0038507E"/>
    <w:rsid w:val="003853C6"/>
    <w:rsid w:val="00385497"/>
    <w:rsid w:val="003855A2"/>
    <w:rsid w:val="00385733"/>
    <w:rsid w:val="00385789"/>
    <w:rsid w:val="00385AF1"/>
    <w:rsid w:val="00385DD0"/>
    <w:rsid w:val="003860CD"/>
    <w:rsid w:val="003860F6"/>
    <w:rsid w:val="0038627E"/>
    <w:rsid w:val="003862F3"/>
    <w:rsid w:val="00386493"/>
    <w:rsid w:val="00386933"/>
    <w:rsid w:val="00386BF0"/>
    <w:rsid w:val="00386CAC"/>
    <w:rsid w:val="00386CB0"/>
    <w:rsid w:val="00386FDC"/>
    <w:rsid w:val="00387720"/>
    <w:rsid w:val="003877AE"/>
    <w:rsid w:val="00387C03"/>
    <w:rsid w:val="00387DEB"/>
    <w:rsid w:val="00387DFE"/>
    <w:rsid w:val="00387E39"/>
    <w:rsid w:val="00387FDE"/>
    <w:rsid w:val="00390003"/>
    <w:rsid w:val="0039003B"/>
    <w:rsid w:val="00390278"/>
    <w:rsid w:val="0039031E"/>
    <w:rsid w:val="003906CC"/>
    <w:rsid w:val="0039078C"/>
    <w:rsid w:val="0039079D"/>
    <w:rsid w:val="00390950"/>
    <w:rsid w:val="003910CC"/>
    <w:rsid w:val="00391136"/>
    <w:rsid w:val="003911AD"/>
    <w:rsid w:val="00391214"/>
    <w:rsid w:val="003915E9"/>
    <w:rsid w:val="00391C81"/>
    <w:rsid w:val="00391D76"/>
    <w:rsid w:val="00392194"/>
    <w:rsid w:val="00392264"/>
    <w:rsid w:val="003925A4"/>
    <w:rsid w:val="003926C4"/>
    <w:rsid w:val="00393276"/>
    <w:rsid w:val="003932C4"/>
    <w:rsid w:val="003933BE"/>
    <w:rsid w:val="003936AE"/>
    <w:rsid w:val="003936D7"/>
    <w:rsid w:val="00393CD4"/>
    <w:rsid w:val="00393CF3"/>
    <w:rsid w:val="00393D1B"/>
    <w:rsid w:val="00393DA7"/>
    <w:rsid w:val="0039450B"/>
    <w:rsid w:val="00394C96"/>
    <w:rsid w:val="00394E87"/>
    <w:rsid w:val="003952ED"/>
    <w:rsid w:val="0039542B"/>
    <w:rsid w:val="003956B0"/>
    <w:rsid w:val="00395BD9"/>
    <w:rsid w:val="00395CED"/>
    <w:rsid w:val="00395E9B"/>
    <w:rsid w:val="00395FA9"/>
    <w:rsid w:val="00396151"/>
    <w:rsid w:val="003963D5"/>
    <w:rsid w:val="003964F5"/>
    <w:rsid w:val="003966B1"/>
    <w:rsid w:val="00396B15"/>
    <w:rsid w:val="00396E0B"/>
    <w:rsid w:val="00397253"/>
    <w:rsid w:val="00397DCC"/>
    <w:rsid w:val="00397FFC"/>
    <w:rsid w:val="003A0194"/>
    <w:rsid w:val="003A0284"/>
    <w:rsid w:val="003A0348"/>
    <w:rsid w:val="003A071B"/>
    <w:rsid w:val="003A0837"/>
    <w:rsid w:val="003A0844"/>
    <w:rsid w:val="003A0E7B"/>
    <w:rsid w:val="003A10E9"/>
    <w:rsid w:val="003A1702"/>
    <w:rsid w:val="003A1AE5"/>
    <w:rsid w:val="003A1CA9"/>
    <w:rsid w:val="003A1F6D"/>
    <w:rsid w:val="003A20D3"/>
    <w:rsid w:val="003A26CA"/>
    <w:rsid w:val="003A2C26"/>
    <w:rsid w:val="003A2C87"/>
    <w:rsid w:val="003A2D1D"/>
    <w:rsid w:val="003A2D93"/>
    <w:rsid w:val="003A2DE5"/>
    <w:rsid w:val="003A2E02"/>
    <w:rsid w:val="003A2E27"/>
    <w:rsid w:val="003A3330"/>
    <w:rsid w:val="003A34CD"/>
    <w:rsid w:val="003A34D3"/>
    <w:rsid w:val="003A3A4B"/>
    <w:rsid w:val="003A3AA7"/>
    <w:rsid w:val="003A435E"/>
    <w:rsid w:val="003A4730"/>
    <w:rsid w:val="003A4836"/>
    <w:rsid w:val="003A4857"/>
    <w:rsid w:val="003A4AAE"/>
    <w:rsid w:val="003A4DD1"/>
    <w:rsid w:val="003A4E35"/>
    <w:rsid w:val="003A4F59"/>
    <w:rsid w:val="003A52A3"/>
    <w:rsid w:val="003A5340"/>
    <w:rsid w:val="003A54E9"/>
    <w:rsid w:val="003A559B"/>
    <w:rsid w:val="003A560F"/>
    <w:rsid w:val="003A59E4"/>
    <w:rsid w:val="003A5AA4"/>
    <w:rsid w:val="003A5CC8"/>
    <w:rsid w:val="003A5D37"/>
    <w:rsid w:val="003A630A"/>
    <w:rsid w:val="003A666F"/>
    <w:rsid w:val="003A689F"/>
    <w:rsid w:val="003A69B1"/>
    <w:rsid w:val="003A6A18"/>
    <w:rsid w:val="003A6A84"/>
    <w:rsid w:val="003A6BFC"/>
    <w:rsid w:val="003A6CF5"/>
    <w:rsid w:val="003A6EA8"/>
    <w:rsid w:val="003A6F78"/>
    <w:rsid w:val="003A6F84"/>
    <w:rsid w:val="003A7065"/>
    <w:rsid w:val="003A7182"/>
    <w:rsid w:val="003A71AB"/>
    <w:rsid w:val="003A72E3"/>
    <w:rsid w:val="003A739C"/>
    <w:rsid w:val="003A741A"/>
    <w:rsid w:val="003A7AA8"/>
    <w:rsid w:val="003A7B72"/>
    <w:rsid w:val="003A7CCC"/>
    <w:rsid w:val="003A7F16"/>
    <w:rsid w:val="003B0075"/>
    <w:rsid w:val="003B0207"/>
    <w:rsid w:val="003B0261"/>
    <w:rsid w:val="003B0304"/>
    <w:rsid w:val="003B0345"/>
    <w:rsid w:val="003B0992"/>
    <w:rsid w:val="003B0CA2"/>
    <w:rsid w:val="003B0D45"/>
    <w:rsid w:val="003B0F3B"/>
    <w:rsid w:val="003B11EF"/>
    <w:rsid w:val="003B134A"/>
    <w:rsid w:val="003B1958"/>
    <w:rsid w:val="003B19FD"/>
    <w:rsid w:val="003B1B68"/>
    <w:rsid w:val="003B1E35"/>
    <w:rsid w:val="003B2203"/>
    <w:rsid w:val="003B247D"/>
    <w:rsid w:val="003B2622"/>
    <w:rsid w:val="003B28B9"/>
    <w:rsid w:val="003B28F7"/>
    <w:rsid w:val="003B29A6"/>
    <w:rsid w:val="003B2A96"/>
    <w:rsid w:val="003B2AD8"/>
    <w:rsid w:val="003B3464"/>
    <w:rsid w:val="003B34DB"/>
    <w:rsid w:val="003B37FB"/>
    <w:rsid w:val="003B3B5E"/>
    <w:rsid w:val="003B3BA2"/>
    <w:rsid w:val="003B3C8E"/>
    <w:rsid w:val="003B3E1B"/>
    <w:rsid w:val="003B3E39"/>
    <w:rsid w:val="003B3F9C"/>
    <w:rsid w:val="003B4078"/>
    <w:rsid w:val="003B41D6"/>
    <w:rsid w:val="003B458F"/>
    <w:rsid w:val="003B4AEC"/>
    <w:rsid w:val="003B4C05"/>
    <w:rsid w:val="003B4C90"/>
    <w:rsid w:val="003B4D70"/>
    <w:rsid w:val="003B51A7"/>
    <w:rsid w:val="003B51BC"/>
    <w:rsid w:val="003B5684"/>
    <w:rsid w:val="003B57EB"/>
    <w:rsid w:val="003B584A"/>
    <w:rsid w:val="003B58EC"/>
    <w:rsid w:val="003B593C"/>
    <w:rsid w:val="003B5EB3"/>
    <w:rsid w:val="003B5EFC"/>
    <w:rsid w:val="003B5F3A"/>
    <w:rsid w:val="003B5F80"/>
    <w:rsid w:val="003B6213"/>
    <w:rsid w:val="003B63DC"/>
    <w:rsid w:val="003B63F7"/>
    <w:rsid w:val="003B6D3B"/>
    <w:rsid w:val="003B70F4"/>
    <w:rsid w:val="003B7197"/>
    <w:rsid w:val="003B7382"/>
    <w:rsid w:val="003B7404"/>
    <w:rsid w:val="003B747A"/>
    <w:rsid w:val="003B759D"/>
    <w:rsid w:val="003B7812"/>
    <w:rsid w:val="003B7B3B"/>
    <w:rsid w:val="003B7E09"/>
    <w:rsid w:val="003C01DB"/>
    <w:rsid w:val="003C0278"/>
    <w:rsid w:val="003C0BDD"/>
    <w:rsid w:val="003C0D48"/>
    <w:rsid w:val="003C0E08"/>
    <w:rsid w:val="003C0F17"/>
    <w:rsid w:val="003C0F36"/>
    <w:rsid w:val="003C1200"/>
    <w:rsid w:val="003C1585"/>
    <w:rsid w:val="003C165E"/>
    <w:rsid w:val="003C20F6"/>
    <w:rsid w:val="003C21D2"/>
    <w:rsid w:val="003C238B"/>
    <w:rsid w:val="003C2526"/>
    <w:rsid w:val="003C27AF"/>
    <w:rsid w:val="003C2875"/>
    <w:rsid w:val="003C2AC7"/>
    <w:rsid w:val="003C2F9B"/>
    <w:rsid w:val="003C311A"/>
    <w:rsid w:val="003C3599"/>
    <w:rsid w:val="003C3670"/>
    <w:rsid w:val="003C36FE"/>
    <w:rsid w:val="003C3AC5"/>
    <w:rsid w:val="003C3BF5"/>
    <w:rsid w:val="003C3E8F"/>
    <w:rsid w:val="003C42AA"/>
    <w:rsid w:val="003C4560"/>
    <w:rsid w:val="003C4573"/>
    <w:rsid w:val="003C49AD"/>
    <w:rsid w:val="003C49BA"/>
    <w:rsid w:val="003C4C14"/>
    <w:rsid w:val="003C4C1B"/>
    <w:rsid w:val="003C4FE2"/>
    <w:rsid w:val="003C5408"/>
    <w:rsid w:val="003C5B54"/>
    <w:rsid w:val="003C5BC8"/>
    <w:rsid w:val="003C655D"/>
    <w:rsid w:val="003C6618"/>
    <w:rsid w:val="003C67AD"/>
    <w:rsid w:val="003C6AD1"/>
    <w:rsid w:val="003C6B19"/>
    <w:rsid w:val="003C6B88"/>
    <w:rsid w:val="003C6BC5"/>
    <w:rsid w:val="003C6EB7"/>
    <w:rsid w:val="003C7EDA"/>
    <w:rsid w:val="003C7F6A"/>
    <w:rsid w:val="003D00DB"/>
    <w:rsid w:val="003D0393"/>
    <w:rsid w:val="003D0AFE"/>
    <w:rsid w:val="003D0C65"/>
    <w:rsid w:val="003D0FF8"/>
    <w:rsid w:val="003D120A"/>
    <w:rsid w:val="003D152C"/>
    <w:rsid w:val="003D17CC"/>
    <w:rsid w:val="003D1A45"/>
    <w:rsid w:val="003D1C31"/>
    <w:rsid w:val="003D1FB1"/>
    <w:rsid w:val="003D1FD2"/>
    <w:rsid w:val="003D2135"/>
    <w:rsid w:val="003D214F"/>
    <w:rsid w:val="003D2355"/>
    <w:rsid w:val="003D23E0"/>
    <w:rsid w:val="003D2489"/>
    <w:rsid w:val="003D2C79"/>
    <w:rsid w:val="003D3016"/>
    <w:rsid w:val="003D3130"/>
    <w:rsid w:val="003D3DA3"/>
    <w:rsid w:val="003D3E1C"/>
    <w:rsid w:val="003D3E43"/>
    <w:rsid w:val="003D3F9F"/>
    <w:rsid w:val="003D419D"/>
    <w:rsid w:val="003D41EA"/>
    <w:rsid w:val="003D41F3"/>
    <w:rsid w:val="003D4282"/>
    <w:rsid w:val="003D4675"/>
    <w:rsid w:val="003D4938"/>
    <w:rsid w:val="003D4A66"/>
    <w:rsid w:val="003D4BFE"/>
    <w:rsid w:val="003D4CD8"/>
    <w:rsid w:val="003D4EBA"/>
    <w:rsid w:val="003D4FE1"/>
    <w:rsid w:val="003D5490"/>
    <w:rsid w:val="003D5937"/>
    <w:rsid w:val="003D5B3A"/>
    <w:rsid w:val="003D5CE8"/>
    <w:rsid w:val="003D5D0A"/>
    <w:rsid w:val="003D5D7A"/>
    <w:rsid w:val="003D5DA2"/>
    <w:rsid w:val="003D5EF2"/>
    <w:rsid w:val="003D5FE4"/>
    <w:rsid w:val="003D64CD"/>
    <w:rsid w:val="003D65B2"/>
    <w:rsid w:val="003D6C63"/>
    <w:rsid w:val="003D73EA"/>
    <w:rsid w:val="003D7645"/>
    <w:rsid w:val="003D7A73"/>
    <w:rsid w:val="003D7BD9"/>
    <w:rsid w:val="003D7D56"/>
    <w:rsid w:val="003E0278"/>
    <w:rsid w:val="003E02F1"/>
    <w:rsid w:val="003E0B62"/>
    <w:rsid w:val="003E0CDB"/>
    <w:rsid w:val="003E1321"/>
    <w:rsid w:val="003E1356"/>
    <w:rsid w:val="003E1A03"/>
    <w:rsid w:val="003E1B23"/>
    <w:rsid w:val="003E1CFE"/>
    <w:rsid w:val="003E1EB0"/>
    <w:rsid w:val="003E1EFE"/>
    <w:rsid w:val="003E211C"/>
    <w:rsid w:val="003E2301"/>
    <w:rsid w:val="003E23E8"/>
    <w:rsid w:val="003E28BF"/>
    <w:rsid w:val="003E2A2D"/>
    <w:rsid w:val="003E2D3E"/>
    <w:rsid w:val="003E3098"/>
    <w:rsid w:val="003E3494"/>
    <w:rsid w:val="003E3606"/>
    <w:rsid w:val="003E39D9"/>
    <w:rsid w:val="003E3D87"/>
    <w:rsid w:val="003E4351"/>
    <w:rsid w:val="003E4382"/>
    <w:rsid w:val="003E43FE"/>
    <w:rsid w:val="003E48DB"/>
    <w:rsid w:val="003E512A"/>
    <w:rsid w:val="003E540D"/>
    <w:rsid w:val="003E579B"/>
    <w:rsid w:val="003E5844"/>
    <w:rsid w:val="003E590B"/>
    <w:rsid w:val="003E5E77"/>
    <w:rsid w:val="003E61BD"/>
    <w:rsid w:val="003E629A"/>
    <w:rsid w:val="003E66B0"/>
    <w:rsid w:val="003E683C"/>
    <w:rsid w:val="003E68AE"/>
    <w:rsid w:val="003E6ACD"/>
    <w:rsid w:val="003E6DDF"/>
    <w:rsid w:val="003E7429"/>
    <w:rsid w:val="003E7A1E"/>
    <w:rsid w:val="003E7A80"/>
    <w:rsid w:val="003E7F78"/>
    <w:rsid w:val="003F0540"/>
    <w:rsid w:val="003F0683"/>
    <w:rsid w:val="003F0CE1"/>
    <w:rsid w:val="003F0FC5"/>
    <w:rsid w:val="003F12ED"/>
    <w:rsid w:val="003F1913"/>
    <w:rsid w:val="003F1A04"/>
    <w:rsid w:val="003F1A13"/>
    <w:rsid w:val="003F1B00"/>
    <w:rsid w:val="003F1B6C"/>
    <w:rsid w:val="003F1CBA"/>
    <w:rsid w:val="003F1E87"/>
    <w:rsid w:val="003F1FA5"/>
    <w:rsid w:val="003F22FE"/>
    <w:rsid w:val="003F26E5"/>
    <w:rsid w:val="003F2745"/>
    <w:rsid w:val="003F2816"/>
    <w:rsid w:val="003F2867"/>
    <w:rsid w:val="003F28F1"/>
    <w:rsid w:val="003F2C25"/>
    <w:rsid w:val="003F2C2D"/>
    <w:rsid w:val="003F2CA1"/>
    <w:rsid w:val="003F2E87"/>
    <w:rsid w:val="003F305C"/>
    <w:rsid w:val="003F3194"/>
    <w:rsid w:val="003F34AF"/>
    <w:rsid w:val="003F3559"/>
    <w:rsid w:val="003F362D"/>
    <w:rsid w:val="003F393E"/>
    <w:rsid w:val="003F3A0D"/>
    <w:rsid w:val="003F3A48"/>
    <w:rsid w:val="003F4077"/>
    <w:rsid w:val="003F4146"/>
    <w:rsid w:val="003F4164"/>
    <w:rsid w:val="003F42E3"/>
    <w:rsid w:val="003F4551"/>
    <w:rsid w:val="003F4730"/>
    <w:rsid w:val="003F483E"/>
    <w:rsid w:val="003F4B26"/>
    <w:rsid w:val="003F4C11"/>
    <w:rsid w:val="003F4D68"/>
    <w:rsid w:val="003F55B6"/>
    <w:rsid w:val="003F55DE"/>
    <w:rsid w:val="003F562C"/>
    <w:rsid w:val="003F56B1"/>
    <w:rsid w:val="003F5709"/>
    <w:rsid w:val="003F5AA2"/>
    <w:rsid w:val="003F5BC0"/>
    <w:rsid w:val="003F5D09"/>
    <w:rsid w:val="003F5DDB"/>
    <w:rsid w:val="003F5E76"/>
    <w:rsid w:val="003F5F1B"/>
    <w:rsid w:val="003F625D"/>
    <w:rsid w:val="003F635D"/>
    <w:rsid w:val="003F66DE"/>
    <w:rsid w:val="003F6BCC"/>
    <w:rsid w:val="003F6F8A"/>
    <w:rsid w:val="003F7091"/>
    <w:rsid w:val="003F71FA"/>
    <w:rsid w:val="003F7287"/>
    <w:rsid w:val="003F7434"/>
    <w:rsid w:val="003F7550"/>
    <w:rsid w:val="003F79EB"/>
    <w:rsid w:val="003F7B07"/>
    <w:rsid w:val="003F7C31"/>
    <w:rsid w:val="004007EB"/>
    <w:rsid w:val="00400968"/>
    <w:rsid w:val="00400D2A"/>
    <w:rsid w:val="00400E37"/>
    <w:rsid w:val="00401CE0"/>
    <w:rsid w:val="00401EB2"/>
    <w:rsid w:val="00401F7D"/>
    <w:rsid w:val="004025F0"/>
    <w:rsid w:val="00402679"/>
    <w:rsid w:val="0040277A"/>
    <w:rsid w:val="004028BA"/>
    <w:rsid w:val="004029BF"/>
    <w:rsid w:val="00402A35"/>
    <w:rsid w:val="00402AA3"/>
    <w:rsid w:val="00403F6A"/>
    <w:rsid w:val="0040410E"/>
    <w:rsid w:val="004044DD"/>
    <w:rsid w:val="0040455B"/>
    <w:rsid w:val="00404927"/>
    <w:rsid w:val="004049D7"/>
    <w:rsid w:val="00404B46"/>
    <w:rsid w:val="00404D3E"/>
    <w:rsid w:val="00404D60"/>
    <w:rsid w:val="004050B0"/>
    <w:rsid w:val="004053B1"/>
    <w:rsid w:val="004053B6"/>
    <w:rsid w:val="004054A2"/>
    <w:rsid w:val="00405789"/>
    <w:rsid w:val="004057B1"/>
    <w:rsid w:val="00405883"/>
    <w:rsid w:val="00405A9F"/>
    <w:rsid w:val="00405EE1"/>
    <w:rsid w:val="00406499"/>
    <w:rsid w:val="00406596"/>
    <w:rsid w:val="0040686A"/>
    <w:rsid w:val="00406AB4"/>
    <w:rsid w:val="00406BBA"/>
    <w:rsid w:val="00406BC9"/>
    <w:rsid w:val="00406EE0"/>
    <w:rsid w:val="00406F8A"/>
    <w:rsid w:val="00407078"/>
    <w:rsid w:val="004073F9"/>
    <w:rsid w:val="00407506"/>
    <w:rsid w:val="004077E0"/>
    <w:rsid w:val="004078BD"/>
    <w:rsid w:val="00407B40"/>
    <w:rsid w:val="00407C8B"/>
    <w:rsid w:val="00407D98"/>
    <w:rsid w:val="00407E72"/>
    <w:rsid w:val="00407EA9"/>
    <w:rsid w:val="00407FD7"/>
    <w:rsid w:val="0041007E"/>
    <w:rsid w:val="0041054E"/>
    <w:rsid w:val="00410BDC"/>
    <w:rsid w:val="00410C53"/>
    <w:rsid w:val="00410EFE"/>
    <w:rsid w:val="00410F5A"/>
    <w:rsid w:val="004111A4"/>
    <w:rsid w:val="004111F2"/>
    <w:rsid w:val="00411383"/>
    <w:rsid w:val="004117A7"/>
    <w:rsid w:val="00411953"/>
    <w:rsid w:val="00411985"/>
    <w:rsid w:val="00411BF2"/>
    <w:rsid w:val="00411DCE"/>
    <w:rsid w:val="00411E7B"/>
    <w:rsid w:val="00411EA0"/>
    <w:rsid w:val="0041257B"/>
    <w:rsid w:val="004127AA"/>
    <w:rsid w:val="00412C8C"/>
    <w:rsid w:val="00412D01"/>
    <w:rsid w:val="00412DDB"/>
    <w:rsid w:val="004134AE"/>
    <w:rsid w:val="004136B6"/>
    <w:rsid w:val="00413862"/>
    <w:rsid w:val="004143F5"/>
    <w:rsid w:val="00414696"/>
    <w:rsid w:val="00414E9C"/>
    <w:rsid w:val="0041518F"/>
    <w:rsid w:val="00415276"/>
    <w:rsid w:val="004152CA"/>
    <w:rsid w:val="004153C7"/>
    <w:rsid w:val="00415493"/>
    <w:rsid w:val="00415500"/>
    <w:rsid w:val="00415E5E"/>
    <w:rsid w:val="00415FB6"/>
    <w:rsid w:val="004162AC"/>
    <w:rsid w:val="004162B5"/>
    <w:rsid w:val="00417412"/>
    <w:rsid w:val="0041756B"/>
    <w:rsid w:val="00417984"/>
    <w:rsid w:val="004179D9"/>
    <w:rsid w:val="004179E8"/>
    <w:rsid w:val="00417D00"/>
    <w:rsid w:val="004203B1"/>
    <w:rsid w:val="00420ABE"/>
    <w:rsid w:val="00420D7B"/>
    <w:rsid w:val="00420E10"/>
    <w:rsid w:val="00421148"/>
    <w:rsid w:val="00421599"/>
    <w:rsid w:val="00421795"/>
    <w:rsid w:val="00421D69"/>
    <w:rsid w:val="00421EAB"/>
    <w:rsid w:val="00421FDE"/>
    <w:rsid w:val="00422091"/>
    <w:rsid w:val="004220F1"/>
    <w:rsid w:val="00422285"/>
    <w:rsid w:val="00422491"/>
    <w:rsid w:val="00422805"/>
    <w:rsid w:val="004229A3"/>
    <w:rsid w:val="00422BE8"/>
    <w:rsid w:val="0042306C"/>
    <w:rsid w:val="00423463"/>
    <w:rsid w:val="0042369B"/>
    <w:rsid w:val="00423768"/>
    <w:rsid w:val="00423B96"/>
    <w:rsid w:val="00423CB9"/>
    <w:rsid w:val="00423E7D"/>
    <w:rsid w:val="00423E9C"/>
    <w:rsid w:val="00423FC8"/>
    <w:rsid w:val="004240BA"/>
    <w:rsid w:val="004242B0"/>
    <w:rsid w:val="0042432F"/>
    <w:rsid w:val="0042439A"/>
    <w:rsid w:val="00424C69"/>
    <w:rsid w:val="00424EE3"/>
    <w:rsid w:val="00424F6C"/>
    <w:rsid w:val="00424F80"/>
    <w:rsid w:val="00425177"/>
    <w:rsid w:val="00425533"/>
    <w:rsid w:val="00425782"/>
    <w:rsid w:val="00425951"/>
    <w:rsid w:val="004259BC"/>
    <w:rsid w:val="00425C33"/>
    <w:rsid w:val="00426507"/>
    <w:rsid w:val="00426515"/>
    <w:rsid w:val="004267D5"/>
    <w:rsid w:val="0042682E"/>
    <w:rsid w:val="00426A40"/>
    <w:rsid w:val="00426AAC"/>
    <w:rsid w:val="00426C75"/>
    <w:rsid w:val="00426F10"/>
    <w:rsid w:val="00426F62"/>
    <w:rsid w:val="00427985"/>
    <w:rsid w:val="00427B49"/>
    <w:rsid w:val="00427DAE"/>
    <w:rsid w:val="0043023F"/>
    <w:rsid w:val="00430281"/>
    <w:rsid w:val="00430357"/>
    <w:rsid w:val="004305B8"/>
    <w:rsid w:val="00431111"/>
    <w:rsid w:val="00431233"/>
    <w:rsid w:val="00431858"/>
    <w:rsid w:val="00431C3D"/>
    <w:rsid w:val="00431C89"/>
    <w:rsid w:val="00431D15"/>
    <w:rsid w:val="00431EDB"/>
    <w:rsid w:val="00431F91"/>
    <w:rsid w:val="00432097"/>
    <w:rsid w:val="00432148"/>
    <w:rsid w:val="004321B7"/>
    <w:rsid w:val="0043225F"/>
    <w:rsid w:val="00432993"/>
    <w:rsid w:val="00432B51"/>
    <w:rsid w:val="00432C00"/>
    <w:rsid w:val="00432ED1"/>
    <w:rsid w:val="00432F1F"/>
    <w:rsid w:val="00432F81"/>
    <w:rsid w:val="00432FFA"/>
    <w:rsid w:val="00433073"/>
    <w:rsid w:val="00433159"/>
    <w:rsid w:val="004331C8"/>
    <w:rsid w:val="00433266"/>
    <w:rsid w:val="00433443"/>
    <w:rsid w:val="00433AD1"/>
    <w:rsid w:val="00433DB6"/>
    <w:rsid w:val="00433ED4"/>
    <w:rsid w:val="00433FA0"/>
    <w:rsid w:val="004343E4"/>
    <w:rsid w:val="00434F42"/>
    <w:rsid w:val="00435215"/>
    <w:rsid w:val="00435249"/>
    <w:rsid w:val="004353F8"/>
    <w:rsid w:val="0043563C"/>
    <w:rsid w:val="00435822"/>
    <w:rsid w:val="00435840"/>
    <w:rsid w:val="00435BA4"/>
    <w:rsid w:val="00435EBA"/>
    <w:rsid w:val="00436302"/>
    <w:rsid w:val="00436496"/>
    <w:rsid w:val="0043665F"/>
    <w:rsid w:val="0043670C"/>
    <w:rsid w:val="00437279"/>
    <w:rsid w:val="0043757C"/>
    <w:rsid w:val="0043757D"/>
    <w:rsid w:val="0043761A"/>
    <w:rsid w:val="004376D5"/>
    <w:rsid w:val="004376FB"/>
    <w:rsid w:val="00437B35"/>
    <w:rsid w:val="00437CA8"/>
    <w:rsid w:val="00437DD2"/>
    <w:rsid w:val="00437E1D"/>
    <w:rsid w:val="0044026D"/>
    <w:rsid w:val="0044059F"/>
    <w:rsid w:val="00440670"/>
    <w:rsid w:val="004406B6"/>
    <w:rsid w:val="00440903"/>
    <w:rsid w:val="00440A87"/>
    <w:rsid w:val="00440BB7"/>
    <w:rsid w:val="00440CF9"/>
    <w:rsid w:val="00440D7F"/>
    <w:rsid w:val="00440F52"/>
    <w:rsid w:val="00441080"/>
    <w:rsid w:val="0044141B"/>
    <w:rsid w:val="004416EA"/>
    <w:rsid w:val="00441775"/>
    <w:rsid w:val="004418C2"/>
    <w:rsid w:val="0044198F"/>
    <w:rsid w:val="00441FB7"/>
    <w:rsid w:val="00442008"/>
    <w:rsid w:val="004425F7"/>
    <w:rsid w:val="00442659"/>
    <w:rsid w:val="00442664"/>
    <w:rsid w:val="00442823"/>
    <w:rsid w:val="004429B0"/>
    <w:rsid w:val="00442A25"/>
    <w:rsid w:val="00442FD8"/>
    <w:rsid w:val="004430B9"/>
    <w:rsid w:val="00443182"/>
    <w:rsid w:val="00443258"/>
    <w:rsid w:val="00443310"/>
    <w:rsid w:val="00443775"/>
    <w:rsid w:val="0044379B"/>
    <w:rsid w:val="0044393D"/>
    <w:rsid w:val="0044395A"/>
    <w:rsid w:val="00443A03"/>
    <w:rsid w:val="00443A38"/>
    <w:rsid w:val="00443A7C"/>
    <w:rsid w:val="00443DFD"/>
    <w:rsid w:val="004443C8"/>
    <w:rsid w:val="004445C8"/>
    <w:rsid w:val="004446B4"/>
    <w:rsid w:val="004446DB"/>
    <w:rsid w:val="004449E2"/>
    <w:rsid w:val="00444B17"/>
    <w:rsid w:val="0044500E"/>
    <w:rsid w:val="00445024"/>
    <w:rsid w:val="00445659"/>
    <w:rsid w:val="00445C90"/>
    <w:rsid w:val="00445CFC"/>
    <w:rsid w:val="00445D54"/>
    <w:rsid w:val="00445FC0"/>
    <w:rsid w:val="004460BE"/>
    <w:rsid w:val="0044641B"/>
    <w:rsid w:val="004468B9"/>
    <w:rsid w:val="004468E9"/>
    <w:rsid w:val="00446E5B"/>
    <w:rsid w:val="00446FC8"/>
    <w:rsid w:val="004471FA"/>
    <w:rsid w:val="0044733E"/>
    <w:rsid w:val="0044738A"/>
    <w:rsid w:val="004478F8"/>
    <w:rsid w:val="00447B58"/>
    <w:rsid w:val="00447CAA"/>
    <w:rsid w:val="00447CD6"/>
    <w:rsid w:val="00447FC6"/>
    <w:rsid w:val="0045009D"/>
    <w:rsid w:val="004501E6"/>
    <w:rsid w:val="004506C8"/>
    <w:rsid w:val="004509C5"/>
    <w:rsid w:val="00450D2B"/>
    <w:rsid w:val="00450D8E"/>
    <w:rsid w:val="004510E1"/>
    <w:rsid w:val="00451291"/>
    <w:rsid w:val="004513C5"/>
    <w:rsid w:val="00451599"/>
    <w:rsid w:val="004515B4"/>
    <w:rsid w:val="00451B05"/>
    <w:rsid w:val="00451BA0"/>
    <w:rsid w:val="00451EDE"/>
    <w:rsid w:val="004525B2"/>
    <w:rsid w:val="004525B7"/>
    <w:rsid w:val="0045285F"/>
    <w:rsid w:val="004528BE"/>
    <w:rsid w:val="00452DB9"/>
    <w:rsid w:val="0045305D"/>
    <w:rsid w:val="004530C2"/>
    <w:rsid w:val="00453103"/>
    <w:rsid w:val="00453438"/>
    <w:rsid w:val="0045388C"/>
    <w:rsid w:val="00453A31"/>
    <w:rsid w:val="00453B76"/>
    <w:rsid w:val="00453C27"/>
    <w:rsid w:val="00453C83"/>
    <w:rsid w:val="0045407D"/>
    <w:rsid w:val="004542C1"/>
    <w:rsid w:val="0045431F"/>
    <w:rsid w:val="004543EF"/>
    <w:rsid w:val="00454467"/>
    <w:rsid w:val="00454632"/>
    <w:rsid w:val="00454BDD"/>
    <w:rsid w:val="00454E25"/>
    <w:rsid w:val="00455138"/>
    <w:rsid w:val="004552E2"/>
    <w:rsid w:val="004557FE"/>
    <w:rsid w:val="0045582A"/>
    <w:rsid w:val="004558D5"/>
    <w:rsid w:val="00455DB9"/>
    <w:rsid w:val="00455E74"/>
    <w:rsid w:val="00455E8C"/>
    <w:rsid w:val="00455EF2"/>
    <w:rsid w:val="00456036"/>
    <w:rsid w:val="0045635B"/>
    <w:rsid w:val="00456436"/>
    <w:rsid w:val="00456731"/>
    <w:rsid w:val="00456848"/>
    <w:rsid w:val="00456A3F"/>
    <w:rsid w:val="00456A7E"/>
    <w:rsid w:val="00456FF8"/>
    <w:rsid w:val="004570AA"/>
    <w:rsid w:val="00457126"/>
    <w:rsid w:val="004571C5"/>
    <w:rsid w:val="004571EA"/>
    <w:rsid w:val="004574AF"/>
    <w:rsid w:val="004574F4"/>
    <w:rsid w:val="00457583"/>
    <w:rsid w:val="004577DD"/>
    <w:rsid w:val="00457857"/>
    <w:rsid w:val="004604C3"/>
    <w:rsid w:val="00460965"/>
    <w:rsid w:val="00460CBB"/>
    <w:rsid w:val="004615A8"/>
    <w:rsid w:val="00461704"/>
    <w:rsid w:val="00461AB2"/>
    <w:rsid w:val="00461C5F"/>
    <w:rsid w:val="00461C76"/>
    <w:rsid w:val="00461CC9"/>
    <w:rsid w:val="00461CE3"/>
    <w:rsid w:val="00461DB5"/>
    <w:rsid w:val="004623B4"/>
    <w:rsid w:val="0046243D"/>
    <w:rsid w:val="0046244D"/>
    <w:rsid w:val="00462582"/>
    <w:rsid w:val="00462756"/>
    <w:rsid w:val="00462BEA"/>
    <w:rsid w:val="00462FC5"/>
    <w:rsid w:val="00463004"/>
    <w:rsid w:val="0046328E"/>
    <w:rsid w:val="0046366C"/>
    <w:rsid w:val="004637D4"/>
    <w:rsid w:val="00463800"/>
    <w:rsid w:val="0046399C"/>
    <w:rsid w:val="00463A24"/>
    <w:rsid w:val="00463B5A"/>
    <w:rsid w:val="00463E0E"/>
    <w:rsid w:val="00463EF8"/>
    <w:rsid w:val="00463FBE"/>
    <w:rsid w:val="004644AA"/>
    <w:rsid w:val="004648E2"/>
    <w:rsid w:val="00464D34"/>
    <w:rsid w:val="00464ED0"/>
    <w:rsid w:val="00464EFE"/>
    <w:rsid w:val="004651D7"/>
    <w:rsid w:val="00465738"/>
    <w:rsid w:val="00465F99"/>
    <w:rsid w:val="004660FE"/>
    <w:rsid w:val="00466150"/>
    <w:rsid w:val="00466428"/>
    <w:rsid w:val="004664A9"/>
    <w:rsid w:val="00466619"/>
    <w:rsid w:val="00466637"/>
    <w:rsid w:val="00466709"/>
    <w:rsid w:val="00466791"/>
    <w:rsid w:val="00466954"/>
    <w:rsid w:val="00466B4F"/>
    <w:rsid w:val="00466C5D"/>
    <w:rsid w:val="00466CC9"/>
    <w:rsid w:val="004674EC"/>
    <w:rsid w:val="004679E2"/>
    <w:rsid w:val="00467FB3"/>
    <w:rsid w:val="004702B3"/>
    <w:rsid w:val="004703B5"/>
    <w:rsid w:val="00470421"/>
    <w:rsid w:val="004706F2"/>
    <w:rsid w:val="00470837"/>
    <w:rsid w:val="0047089F"/>
    <w:rsid w:val="004708BD"/>
    <w:rsid w:val="00470CC9"/>
    <w:rsid w:val="00470F76"/>
    <w:rsid w:val="00471161"/>
    <w:rsid w:val="004713B8"/>
    <w:rsid w:val="0047156E"/>
    <w:rsid w:val="0047171A"/>
    <w:rsid w:val="00471835"/>
    <w:rsid w:val="004719C6"/>
    <w:rsid w:val="00471E71"/>
    <w:rsid w:val="004725B6"/>
    <w:rsid w:val="004726AE"/>
    <w:rsid w:val="004728E5"/>
    <w:rsid w:val="00472C6B"/>
    <w:rsid w:val="00472CB6"/>
    <w:rsid w:val="00472E3D"/>
    <w:rsid w:val="004732AD"/>
    <w:rsid w:val="00473485"/>
    <w:rsid w:val="00473528"/>
    <w:rsid w:val="00473559"/>
    <w:rsid w:val="0047376B"/>
    <w:rsid w:val="0047382C"/>
    <w:rsid w:val="0047387A"/>
    <w:rsid w:val="00473E56"/>
    <w:rsid w:val="00473F17"/>
    <w:rsid w:val="00474224"/>
    <w:rsid w:val="004744A6"/>
    <w:rsid w:val="004745F3"/>
    <w:rsid w:val="0047468D"/>
    <w:rsid w:val="004746EC"/>
    <w:rsid w:val="00474B81"/>
    <w:rsid w:val="00474E29"/>
    <w:rsid w:val="00474E4C"/>
    <w:rsid w:val="0047565D"/>
    <w:rsid w:val="004758EE"/>
    <w:rsid w:val="0047599F"/>
    <w:rsid w:val="00475A18"/>
    <w:rsid w:val="00475DEE"/>
    <w:rsid w:val="00475F4E"/>
    <w:rsid w:val="004763E0"/>
    <w:rsid w:val="00476621"/>
    <w:rsid w:val="00476700"/>
    <w:rsid w:val="00476737"/>
    <w:rsid w:val="00476955"/>
    <w:rsid w:val="00476A7A"/>
    <w:rsid w:val="00476D88"/>
    <w:rsid w:val="00476D8F"/>
    <w:rsid w:val="00477025"/>
    <w:rsid w:val="0047728F"/>
    <w:rsid w:val="0047731F"/>
    <w:rsid w:val="00477497"/>
    <w:rsid w:val="004777D5"/>
    <w:rsid w:val="00477B7D"/>
    <w:rsid w:val="00477B8D"/>
    <w:rsid w:val="00477DDB"/>
    <w:rsid w:val="00477E4B"/>
    <w:rsid w:val="00477E71"/>
    <w:rsid w:val="00477F96"/>
    <w:rsid w:val="00480133"/>
    <w:rsid w:val="00480439"/>
    <w:rsid w:val="004809DA"/>
    <w:rsid w:val="00480EAA"/>
    <w:rsid w:val="0048135D"/>
    <w:rsid w:val="00481597"/>
    <w:rsid w:val="004815A0"/>
    <w:rsid w:val="0048162F"/>
    <w:rsid w:val="00481658"/>
    <w:rsid w:val="0048183C"/>
    <w:rsid w:val="00481998"/>
    <w:rsid w:val="00481E4C"/>
    <w:rsid w:val="00481E97"/>
    <w:rsid w:val="00482735"/>
    <w:rsid w:val="004830BE"/>
    <w:rsid w:val="0048344A"/>
    <w:rsid w:val="004834BF"/>
    <w:rsid w:val="00483E42"/>
    <w:rsid w:val="00483FFA"/>
    <w:rsid w:val="00484025"/>
    <w:rsid w:val="0048404C"/>
    <w:rsid w:val="004841D1"/>
    <w:rsid w:val="00484533"/>
    <w:rsid w:val="00484EA0"/>
    <w:rsid w:val="00484F89"/>
    <w:rsid w:val="0048517C"/>
    <w:rsid w:val="004851D8"/>
    <w:rsid w:val="00485BBF"/>
    <w:rsid w:val="00485C09"/>
    <w:rsid w:val="00485C24"/>
    <w:rsid w:val="00485E88"/>
    <w:rsid w:val="00485EA3"/>
    <w:rsid w:val="004860F4"/>
    <w:rsid w:val="0048680A"/>
    <w:rsid w:val="004868CC"/>
    <w:rsid w:val="0048690D"/>
    <w:rsid w:val="00486E14"/>
    <w:rsid w:val="0048701B"/>
    <w:rsid w:val="0048749F"/>
    <w:rsid w:val="004874D3"/>
    <w:rsid w:val="00487F9C"/>
    <w:rsid w:val="0049008C"/>
    <w:rsid w:val="00490198"/>
    <w:rsid w:val="004902F0"/>
    <w:rsid w:val="00490499"/>
    <w:rsid w:val="004906DF"/>
    <w:rsid w:val="00490810"/>
    <w:rsid w:val="004909A7"/>
    <w:rsid w:val="00490D77"/>
    <w:rsid w:val="004911BD"/>
    <w:rsid w:val="0049129C"/>
    <w:rsid w:val="00491498"/>
    <w:rsid w:val="004918BD"/>
    <w:rsid w:val="004918EE"/>
    <w:rsid w:val="00491C56"/>
    <w:rsid w:val="00491DBB"/>
    <w:rsid w:val="004921DD"/>
    <w:rsid w:val="00492704"/>
    <w:rsid w:val="00492977"/>
    <w:rsid w:val="00492C52"/>
    <w:rsid w:val="00493035"/>
    <w:rsid w:val="0049303C"/>
    <w:rsid w:val="004931B0"/>
    <w:rsid w:val="004932C0"/>
    <w:rsid w:val="0049332D"/>
    <w:rsid w:val="0049343D"/>
    <w:rsid w:val="0049366E"/>
    <w:rsid w:val="004938BC"/>
    <w:rsid w:val="00493CFF"/>
    <w:rsid w:val="00494526"/>
    <w:rsid w:val="004945E0"/>
    <w:rsid w:val="00494A96"/>
    <w:rsid w:val="00495072"/>
    <w:rsid w:val="00495489"/>
    <w:rsid w:val="00495634"/>
    <w:rsid w:val="004957DB"/>
    <w:rsid w:val="00495945"/>
    <w:rsid w:val="004961B8"/>
    <w:rsid w:val="004961FB"/>
    <w:rsid w:val="00496226"/>
    <w:rsid w:val="00496309"/>
    <w:rsid w:val="00496455"/>
    <w:rsid w:val="00496A39"/>
    <w:rsid w:val="00496B65"/>
    <w:rsid w:val="00496EA0"/>
    <w:rsid w:val="00497395"/>
    <w:rsid w:val="004975E0"/>
    <w:rsid w:val="004A002A"/>
    <w:rsid w:val="004A05AB"/>
    <w:rsid w:val="004A0873"/>
    <w:rsid w:val="004A149D"/>
    <w:rsid w:val="004A1D1B"/>
    <w:rsid w:val="004A1E28"/>
    <w:rsid w:val="004A24C2"/>
    <w:rsid w:val="004A269D"/>
    <w:rsid w:val="004A2E18"/>
    <w:rsid w:val="004A3610"/>
    <w:rsid w:val="004A3783"/>
    <w:rsid w:val="004A378B"/>
    <w:rsid w:val="004A3868"/>
    <w:rsid w:val="004A3D6E"/>
    <w:rsid w:val="004A3F08"/>
    <w:rsid w:val="004A40EB"/>
    <w:rsid w:val="004A4257"/>
    <w:rsid w:val="004A468D"/>
    <w:rsid w:val="004A47B4"/>
    <w:rsid w:val="004A4D90"/>
    <w:rsid w:val="004A53D7"/>
    <w:rsid w:val="004A5406"/>
    <w:rsid w:val="004A5A4C"/>
    <w:rsid w:val="004A5A77"/>
    <w:rsid w:val="004A5BF8"/>
    <w:rsid w:val="004A5FC8"/>
    <w:rsid w:val="004A615A"/>
    <w:rsid w:val="004A62BF"/>
    <w:rsid w:val="004A6496"/>
    <w:rsid w:val="004A653A"/>
    <w:rsid w:val="004A6896"/>
    <w:rsid w:val="004A6B37"/>
    <w:rsid w:val="004A6DF9"/>
    <w:rsid w:val="004A7188"/>
    <w:rsid w:val="004A77E7"/>
    <w:rsid w:val="004A7938"/>
    <w:rsid w:val="004A794F"/>
    <w:rsid w:val="004A7AE8"/>
    <w:rsid w:val="004A7BA7"/>
    <w:rsid w:val="004B0145"/>
    <w:rsid w:val="004B0623"/>
    <w:rsid w:val="004B0656"/>
    <w:rsid w:val="004B0703"/>
    <w:rsid w:val="004B07A5"/>
    <w:rsid w:val="004B0B0C"/>
    <w:rsid w:val="004B0BF0"/>
    <w:rsid w:val="004B0E7F"/>
    <w:rsid w:val="004B0E91"/>
    <w:rsid w:val="004B1411"/>
    <w:rsid w:val="004B1612"/>
    <w:rsid w:val="004B172C"/>
    <w:rsid w:val="004B173D"/>
    <w:rsid w:val="004B1A6A"/>
    <w:rsid w:val="004B24A5"/>
    <w:rsid w:val="004B259A"/>
    <w:rsid w:val="004B2C65"/>
    <w:rsid w:val="004B2C7E"/>
    <w:rsid w:val="004B30CA"/>
    <w:rsid w:val="004B32C7"/>
    <w:rsid w:val="004B3991"/>
    <w:rsid w:val="004B3B52"/>
    <w:rsid w:val="004B4089"/>
    <w:rsid w:val="004B411C"/>
    <w:rsid w:val="004B41E6"/>
    <w:rsid w:val="004B42ED"/>
    <w:rsid w:val="004B44B5"/>
    <w:rsid w:val="004B45D9"/>
    <w:rsid w:val="004B49D1"/>
    <w:rsid w:val="004B4BD6"/>
    <w:rsid w:val="004B4FA8"/>
    <w:rsid w:val="004B520A"/>
    <w:rsid w:val="004B545D"/>
    <w:rsid w:val="004B57B0"/>
    <w:rsid w:val="004B5930"/>
    <w:rsid w:val="004B5A1E"/>
    <w:rsid w:val="004B5AC7"/>
    <w:rsid w:val="004B62B1"/>
    <w:rsid w:val="004B667F"/>
    <w:rsid w:val="004B66D4"/>
    <w:rsid w:val="004B6A1E"/>
    <w:rsid w:val="004B6C06"/>
    <w:rsid w:val="004B6DBD"/>
    <w:rsid w:val="004B71E6"/>
    <w:rsid w:val="004B72BB"/>
    <w:rsid w:val="004B7531"/>
    <w:rsid w:val="004B792A"/>
    <w:rsid w:val="004B7A06"/>
    <w:rsid w:val="004B7B8C"/>
    <w:rsid w:val="004B7EE9"/>
    <w:rsid w:val="004C0132"/>
    <w:rsid w:val="004C01A5"/>
    <w:rsid w:val="004C03A2"/>
    <w:rsid w:val="004C04EF"/>
    <w:rsid w:val="004C09F6"/>
    <w:rsid w:val="004C0AD9"/>
    <w:rsid w:val="004C0D0E"/>
    <w:rsid w:val="004C0DBE"/>
    <w:rsid w:val="004C0EC0"/>
    <w:rsid w:val="004C0F44"/>
    <w:rsid w:val="004C0F60"/>
    <w:rsid w:val="004C0FE3"/>
    <w:rsid w:val="004C1349"/>
    <w:rsid w:val="004C1548"/>
    <w:rsid w:val="004C1B9D"/>
    <w:rsid w:val="004C2283"/>
    <w:rsid w:val="004C237C"/>
    <w:rsid w:val="004C23A2"/>
    <w:rsid w:val="004C25A1"/>
    <w:rsid w:val="004C2744"/>
    <w:rsid w:val="004C2753"/>
    <w:rsid w:val="004C277C"/>
    <w:rsid w:val="004C2929"/>
    <w:rsid w:val="004C2A08"/>
    <w:rsid w:val="004C2AB9"/>
    <w:rsid w:val="004C2C7F"/>
    <w:rsid w:val="004C2CA2"/>
    <w:rsid w:val="004C3035"/>
    <w:rsid w:val="004C346E"/>
    <w:rsid w:val="004C3563"/>
    <w:rsid w:val="004C35A8"/>
    <w:rsid w:val="004C3686"/>
    <w:rsid w:val="004C3694"/>
    <w:rsid w:val="004C36F0"/>
    <w:rsid w:val="004C379C"/>
    <w:rsid w:val="004C37AF"/>
    <w:rsid w:val="004C38E9"/>
    <w:rsid w:val="004C3A9D"/>
    <w:rsid w:val="004C3AD3"/>
    <w:rsid w:val="004C3CB1"/>
    <w:rsid w:val="004C3DB3"/>
    <w:rsid w:val="004C3E7E"/>
    <w:rsid w:val="004C3E8A"/>
    <w:rsid w:val="004C3EE1"/>
    <w:rsid w:val="004C4356"/>
    <w:rsid w:val="004C43A4"/>
    <w:rsid w:val="004C47C0"/>
    <w:rsid w:val="004C48D5"/>
    <w:rsid w:val="004C48E8"/>
    <w:rsid w:val="004C49AD"/>
    <w:rsid w:val="004C4A83"/>
    <w:rsid w:val="004C4DEF"/>
    <w:rsid w:val="004C4E77"/>
    <w:rsid w:val="004C524F"/>
    <w:rsid w:val="004C52D0"/>
    <w:rsid w:val="004C5459"/>
    <w:rsid w:val="004C5527"/>
    <w:rsid w:val="004C5814"/>
    <w:rsid w:val="004C5BA6"/>
    <w:rsid w:val="004C5C4A"/>
    <w:rsid w:val="004C5DBF"/>
    <w:rsid w:val="004C64F5"/>
    <w:rsid w:val="004C6A8B"/>
    <w:rsid w:val="004C6E2C"/>
    <w:rsid w:val="004C70F6"/>
    <w:rsid w:val="004C7131"/>
    <w:rsid w:val="004C7661"/>
    <w:rsid w:val="004C7723"/>
    <w:rsid w:val="004C781E"/>
    <w:rsid w:val="004C7A8E"/>
    <w:rsid w:val="004C7AC8"/>
    <w:rsid w:val="004C7B57"/>
    <w:rsid w:val="004D0383"/>
    <w:rsid w:val="004D0395"/>
    <w:rsid w:val="004D046D"/>
    <w:rsid w:val="004D065F"/>
    <w:rsid w:val="004D096B"/>
    <w:rsid w:val="004D0B06"/>
    <w:rsid w:val="004D0BE7"/>
    <w:rsid w:val="004D0BF2"/>
    <w:rsid w:val="004D0D65"/>
    <w:rsid w:val="004D0F85"/>
    <w:rsid w:val="004D105B"/>
    <w:rsid w:val="004D1238"/>
    <w:rsid w:val="004D1616"/>
    <w:rsid w:val="004D169D"/>
    <w:rsid w:val="004D1932"/>
    <w:rsid w:val="004D1B38"/>
    <w:rsid w:val="004D1CE5"/>
    <w:rsid w:val="004D1DE2"/>
    <w:rsid w:val="004D1E63"/>
    <w:rsid w:val="004D1ECA"/>
    <w:rsid w:val="004D21CC"/>
    <w:rsid w:val="004D2317"/>
    <w:rsid w:val="004D23F6"/>
    <w:rsid w:val="004D2845"/>
    <w:rsid w:val="004D28AD"/>
    <w:rsid w:val="004D28F2"/>
    <w:rsid w:val="004D2C96"/>
    <w:rsid w:val="004D2DBA"/>
    <w:rsid w:val="004D2EFA"/>
    <w:rsid w:val="004D31BC"/>
    <w:rsid w:val="004D32EF"/>
    <w:rsid w:val="004D3576"/>
    <w:rsid w:val="004D3A50"/>
    <w:rsid w:val="004D3A97"/>
    <w:rsid w:val="004D43CF"/>
    <w:rsid w:val="004D456A"/>
    <w:rsid w:val="004D48FD"/>
    <w:rsid w:val="004D4A26"/>
    <w:rsid w:val="004D4FD1"/>
    <w:rsid w:val="004D54BE"/>
    <w:rsid w:val="004D562A"/>
    <w:rsid w:val="004D5DFF"/>
    <w:rsid w:val="004D61F4"/>
    <w:rsid w:val="004D620A"/>
    <w:rsid w:val="004D6925"/>
    <w:rsid w:val="004D6A05"/>
    <w:rsid w:val="004D734C"/>
    <w:rsid w:val="004D736D"/>
    <w:rsid w:val="004D7566"/>
    <w:rsid w:val="004D76EE"/>
    <w:rsid w:val="004D78F8"/>
    <w:rsid w:val="004D7BFA"/>
    <w:rsid w:val="004D7C88"/>
    <w:rsid w:val="004D7DD4"/>
    <w:rsid w:val="004E048A"/>
    <w:rsid w:val="004E0844"/>
    <w:rsid w:val="004E08EF"/>
    <w:rsid w:val="004E0A09"/>
    <w:rsid w:val="004E0A51"/>
    <w:rsid w:val="004E0BB8"/>
    <w:rsid w:val="004E0C4F"/>
    <w:rsid w:val="004E0F1A"/>
    <w:rsid w:val="004E0F8E"/>
    <w:rsid w:val="004E0FC1"/>
    <w:rsid w:val="004E0FD5"/>
    <w:rsid w:val="004E1033"/>
    <w:rsid w:val="004E10EF"/>
    <w:rsid w:val="004E14E6"/>
    <w:rsid w:val="004E1671"/>
    <w:rsid w:val="004E1967"/>
    <w:rsid w:val="004E1DA7"/>
    <w:rsid w:val="004E2021"/>
    <w:rsid w:val="004E2090"/>
    <w:rsid w:val="004E2B4E"/>
    <w:rsid w:val="004E2B7B"/>
    <w:rsid w:val="004E2E1E"/>
    <w:rsid w:val="004E3365"/>
    <w:rsid w:val="004E3390"/>
    <w:rsid w:val="004E34CB"/>
    <w:rsid w:val="004E390B"/>
    <w:rsid w:val="004E3AFF"/>
    <w:rsid w:val="004E3C51"/>
    <w:rsid w:val="004E3CB5"/>
    <w:rsid w:val="004E413A"/>
    <w:rsid w:val="004E4516"/>
    <w:rsid w:val="004E46E5"/>
    <w:rsid w:val="004E4A6D"/>
    <w:rsid w:val="004E4F59"/>
    <w:rsid w:val="004E50A0"/>
    <w:rsid w:val="004E518E"/>
    <w:rsid w:val="004E519F"/>
    <w:rsid w:val="004E5683"/>
    <w:rsid w:val="004E5700"/>
    <w:rsid w:val="004E5794"/>
    <w:rsid w:val="004E5AEB"/>
    <w:rsid w:val="004E5D98"/>
    <w:rsid w:val="004E5E0C"/>
    <w:rsid w:val="004E630E"/>
    <w:rsid w:val="004E64C6"/>
    <w:rsid w:val="004E6510"/>
    <w:rsid w:val="004E6520"/>
    <w:rsid w:val="004E6734"/>
    <w:rsid w:val="004E6900"/>
    <w:rsid w:val="004E6B53"/>
    <w:rsid w:val="004E6DFC"/>
    <w:rsid w:val="004E6E74"/>
    <w:rsid w:val="004E6F80"/>
    <w:rsid w:val="004E7047"/>
    <w:rsid w:val="004E71B5"/>
    <w:rsid w:val="004E7A0D"/>
    <w:rsid w:val="004E7A97"/>
    <w:rsid w:val="004E7B79"/>
    <w:rsid w:val="004E7CBF"/>
    <w:rsid w:val="004E7E21"/>
    <w:rsid w:val="004F003C"/>
    <w:rsid w:val="004F03B3"/>
    <w:rsid w:val="004F069D"/>
    <w:rsid w:val="004F0CB3"/>
    <w:rsid w:val="004F1092"/>
    <w:rsid w:val="004F13A4"/>
    <w:rsid w:val="004F19E6"/>
    <w:rsid w:val="004F1A0E"/>
    <w:rsid w:val="004F1C67"/>
    <w:rsid w:val="004F1EB4"/>
    <w:rsid w:val="004F203E"/>
    <w:rsid w:val="004F22DE"/>
    <w:rsid w:val="004F2370"/>
    <w:rsid w:val="004F24B9"/>
    <w:rsid w:val="004F2512"/>
    <w:rsid w:val="004F25F3"/>
    <w:rsid w:val="004F2634"/>
    <w:rsid w:val="004F27E0"/>
    <w:rsid w:val="004F286E"/>
    <w:rsid w:val="004F293C"/>
    <w:rsid w:val="004F2A97"/>
    <w:rsid w:val="004F2DE8"/>
    <w:rsid w:val="004F2EB0"/>
    <w:rsid w:val="004F2ECE"/>
    <w:rsid w:val="004F30EA"/>
    <w:rsid w:val="004F32BD"/>
    <w:rsid w:val="004F32E3"/>
    <w:rsid w:val="004F35E6"/>
    <w:rsid w:val="004F35F0"/>
    <w:rsid w:val="004F36B7"/>
    <w:rsid w:val="004F3853"/>
    <w:rsid w:val="004F387F"/>
    <w:rsid w:val="004F3A6D"/>
    <w:rsid w:val="004F3ADE"/>
    <w:rsid w:val="004F3C83"/>
    <w:rsid w:val="004F4154"/>
    <w:rsid w:val="004F4575"/>
    <w:rsid w:val="004F491C"/>
    <w:rsid w:val="004F4C22"/>
    <w:rsid w:val="004F506E"/>
    <w:rsid w:val="004F5076"/>
    <w:rsid w:val="004F5351"/>
    <w:rsid w:val="004F5363"/>
    <w:rsid w:val="004F5BD6"/>
    <w:rsid w:val="004F5D73"/>
    <w:rsid w:val="004F601D"/>
    <w:rsid w:val="004F606E"/>
    <w:rsid w:val="004F622D"/>
    <w:rsid w:val="004F6235"/>
    <w:rsid w:val="004F6681"/>
    <w:rsid w:val="004F69AD"/>
    <w:rsid w:val="004F6CF8"/>
    <w:rsid w:val="004F6E07"/>
    <w:rsid w:val="004F70D4"/>
    <w:rsid w:val="004F780C"/>
    <w:rsid w:val="004F7C15"/>
    <w:rsid w:val="004F7C1E"/>
    <w:rsid w:val="0050010A"/>
    <w:rsid w:val="00500212"/>
    <w:rsid w:val="0050022F"/>
    <w:rsid w:val="005003A8"/>
    <w:rsid w:val="005005F8"/>
    <w:rsid w:val="00500700"/>
    <w:rsid w:val="00500A66"/>
    <w:rsid w:val="00500C46"/>
    <w:rsid w:val="00500E51"/>
    <w:rsid w:val="00500F6D"/>
    <w:rsid w:val="0050118C"/>
    <w:rsid w:val="005011B6"/>
    <w:rsid w:val="005012B3"/>
    <w:rsid w:val="0050135F"/>
    <w:rsid w:val="005017DB"/>
    <w:rsid w:val="00501904"/>
    <w:rsid w:val="005019B9"/>
    <w:rsid w:val="00501AD8"/>
    <w:rsid w:val="00501AFD"/>
    <w:rsid w:val="005020E9"/>
    <w:rsid w:val="0050229B"/>
    <w:rsid w:val="00502562"/>
    <w:rsid w:val="005026AF"/>
    <w:rsid w:val="00502C42"/>
    <w:rsid w:val="00502CBD"/>
    <w:rsid w:val="00502F3B"/>
    <w:rsid w:val="00503196"/>
    <w:rsid w:val="00503364"/>
    <w:rsid w:val="005034EE"/>
    <w:rsid w:val="005039CA"/>
    <w:rsid w:val="00503A03"/>
    <w:rsid w:val="00504355"/>
    <w:rsid w:val="00504D2C"/>
    <w:rsid w:val="00504EB6"/>
    <w:rsid w:val="005058B5"/>
    <w:rsid w:val="00505A9E"/>
    <w:rsid w:val="00505AAA"/>
    <w:rsid w:val="005061E6"/>
    <w:rsid w:val="0050670D"/>
    <w:rsid w:val="00506A8E"/>
    <w:rsid w:val="00506B81"/>
    <w:rsid w:val="00506DE1"/>
    <w:rsid w:val="0050728F"/>
    <w:rsid w:val="005074C1"/>
    <w:rsid w:val="005079A7"/>
    <w:rsid w:val="00510426"/>
    <w:rsid w:val="00510BCC"/>
    <w:rsid w:val="0051110B"/>
    <w:rsid w:val="00511398"/>
    <w:rsid w:val="00511639"/>
    <w:rsid w:val="00511EF2"/>
    <w:rsid w:val="0051267B"/>
    <w:rsid w:val="0051303B"/>
    <w:rsid w:val="00513103"/>
    <w:rsid w:val="00513435"/>
    <w:rsid w:val="0051348D"/>
    <w:rsid w:val="0051355B"/>
    <w:rsid w:val="0051384B"/>
    <w:rsid w:val="00513C6D"/>
    <w:rsid w:val="005143FB"/>
    <w:rsid w:val="00514426"/>
    <w:rsid w:val="005147E3"/>
    <w:rsid w:val="00514D15"/>
    <w:rsid w:val="00515870"/>
    <w:rsid w:val="00515B12"/>
    <w:rsid w:val="00515C5A"/>
    <w:rsid w:val="00515FCB"/>
    <w:rsid w:val="0051650E"/>
    <w:rsid w:val="00516666"/>
    <w:rsid w:val="005166F6"/>
    <w:rsid w:val="0051671D"/>
    <w:rsid w:val="00516E5C"/>
    <w:rsid w:val="00516F38"/>
    <w:rsid w:val="0051719A"/>
    <w:rsid w:val="00517302"/>
    <w:rsid w:val="00517671"/>
    <w:rsid w:val="00517989"/>
    <w:rsid w:val="00517C3B"/>
    <w:rsid w:val="00517E7B"/>
    <w:rsid w:val="00517EAC"/>
    <w:rsid w:val="00520064"/>
    <w:rsid w:val="005202C2"/>
    <w:rsid w:val="00520715"/>
    <w:rsid w:val="00520727"/>
    <w:rsid w:val="0052083A"/>
    <w:rsid w:val="00520A09"/>
    <w:rsid w:val="00520A8D"/>
    <w:rsid w:val="00520D16"/>
    <w:rsid w:val="005212C1"/>
    <w:rsid w:val="0052131B"/>
    <w:rsid w:val="00521510"/>
    <w:rsid w:val="0052178C"/>
    <w:rsid w:val="0052196F"/>
    <w:rsid w:val="00521A42"/>
    <w:rsid w:val="00521F0C"/>
    <w:rsid w:val="00521FD0"/>
    <w:rsid w:val="00521FD7"/>
    <w:rsid w:val="0052205D"/>
    <w:rsid w:val="0052215B"/>
    <w:rsid w:val="005222F0"/>
    <w:rsid w:val="00522392"/>
    <w:rsid w:val="00522405"/>
    <w:rsid w:val="005228D3"/>
    <w:rsid w:val="00522A79"/>
    <w:rsid w:val="00522AB4"/>
    <w:rsid w:val="00522CCE"/>
    <w:rsid w:val="00522DC1"/>
    <w:rsid w:val="00522FF9"/>
    <w:rsid w:val="005230DA"/>
    <w:rsid w:val="005236B5"/>
    <w:rsid w:val="00523796"/>
    <w:rsid w:val="005239CE"/>
    <w:rsid w:val="00523D2A"/>
    <w:rsid w:val="00524522"/>
    <w:rsid w:val="005246B9"/>
    <w:rsid w:val="00524848"/>
    <w:rsid w:val="00524D46"/>
    <w:rsid w:val="00524DD9"/>
    <w:rsid w:val="005250BC"/>
    <w:rsid w:val="0052536B"/>
    <w:rsid w:val="005253AA"/>
    <w:rsid w:val="00525650"/>
    <w:rsid w:val="005259CA"/>
    <w:rsid w:val="00525DDC"/>
    <w:rsid w:val="00525E64"/>
    <w:rsid w:val="0052663E"/>
    <w:rsid w:val="0052668E"/>
    <w:rsid w:val="005266A3"/>
    <w:rsid w:val="00526711"/>
    <w:rsid w:val="00526925"/>
    <w:rsid w:val="00526DF4"/>
    <w:rsid w:val="0052744F"/>
    <w:rsid w:val="00527462"/>
    <w:rsid w:val="00527C8F"/>
    <w:rsid w:val="00527D90"/>
    <w:rsid w:val="00527DFE"/>
    <w:rsid w:val="00527EE2"/>
    <w:rsid w:val="00530049"/>
    <w:rsid w:val="0053005A"/>
    <w:rsid w:val="00530081"/>
    <w:rsid w:val="00530679"/>
    <w:rsid w:val="005306C1"/>
    <w:rsid w:val="005308D4"/>
    <w:rsid w:val="00530CB2"/>
    <w:rsid w:val="00530D01"/>
    <w:rsid w:val="00530E09"/>
    <w:rsid w:val="00530E1C"/>
    <w:rsid w:val="00530EA7"/>
    <w:rsid w:val="0053112F"/>
    <w:rsid w:val="00531277"/>
    <w:rsid w:val="00531362"/>
    <w:rsid w:val="00531555"/>
    <w:rsid w:val="0053196C"/>
    <w:rsid w:val="0053205A"/>
    <w:rsid w:val="005320B0"/>
    <w:rsid w:val="005320EB"/>
    <w:rsid w:val="00532258"/>
    <w:rsid w:val="005325DC"/>
    <w:rsid w:val="00532934"/>
    <w:rsid w:val="00532A40"/>
    <w:rsid w:val="00532CF3"/>
    <w:rsid w:val="0053301A"/>
    <w:rsid w:val="005331F8"/>
    <w:rsid w:val="00533385"/>
    <w:rsid w:val="005337F5"/>
    <w:rsid w:val="005339F2"/>
    <w:rsid w:val="00533B72"/>
    <w:rsid w:val="00533F61"/>
    <w:rsid w:val="0053513F"/>
    <w:rsid w:val="005351F5"/>
    <w:rsid w:val="00535253"/>
    <w:rsid w:val="0053528C"/>
    <w:rsid w:val="00535578"/>
    <w:rsid w:val="00535591"/>
    <w:rsid w:val="00535784"/>
    <w:rsid w:val="005357B7"/>
    <w:rsid w:val="00535912"/>
    <w:rsid w:val="00535A8F"/>
    <w:rsid w:val="00535E2E"/>
    <w:rsid w:val="005361DC"/>
    <w:rsid w:val="005361F1"/>
    <w:rsid w:val="005368D7"/>
    <w:rsid w:val="00536A18"/>
    <w:rsid w:val="00536B23"/>
    <w:rsid w:val="0053718E"/>
    <w:rsid w:val="005371CB"/>
    <w:rsid w:val="00537353"/>
    <w:rsid w:val="00537F5B"/>
    <w:rsid w:val="00540207"/>
    <w:rsid w:val="005404BF"/>
    <w:rsid w:val="005406A6"/>
    <w:rsid w:val="005407A7"/>
    <w:rsid w:val="00540906"/>
    <w:rsid w:val="00540A26"/>
    <w:rsid w:val="00540A5A"/>
    <w:rsid w:val="00540BD3"/>
    <w:rsid w:val="0054145A"/>
    <w:rsid w:val="00541499"/>
    <w:rsid w:val="00541762"/>
    <w:rsid w:val="00541862"/>
    <w:rsid w:val="005419D4"/>
    <w:rsid w:val="00541D30"/>
    <w:rsid w:val="00541D44"/>
    <w:rsid w:val="005422BD"/>
    <w:rsid w:val="005425BF"/>
    <w:rsid w:val="005426B4"/>
    <w:rsid w:val="0054274C"/>
    <w:rsid w:val="005428E2"/>
    <w:rsid w:val="00542B02"/>
    <w:rsid w:val="00542B15"/>
    <w:rsid w:val="00542F8C"/>
    <w:rsid w:val="00543239"/>
    <w:rsid w:val="00543324"/>
    <w:rsid w:val="005433EB"/>
    <w:rsid w:val="00543477"/>
    <w:rsid w:val="00543866"/>
    <w:rsid w:val="005439AF"/>
    <w:rsid w:val="00543BB8"/>
    <w:rsid w:val="005440E1"/>
    <w:rsid w:val="00544132"/>
    <w:rsid w:val="005446D0"/>
    <w:rsid w:val="005447AF"/>
    <w:rsid w:val="0054482B"/>
    <w:rsid w:val="00544DD9"/>
    <w:rsid w:val="00544E74"/>
    <w:rsid w:val="005451AF"/>
    <w:rsid w:val="005451DD"/>
    <w:rsid w:val="00545265"/>
    <w:rsid w:val="00545844"/>
    <w:rsid w:val="005458E3"/>
    <w:rsid w:val="00545DC5"/>
    <w:rsid w:val="00545E3C"/>
    <w:rsid w:val="00545F32"/>
    <w:rsid w:val="00546092"/>
    <w:rsid w:val="00546141"/>
    <w:rsid w:val="0054633A"/>
    <w:rsid w:val="005463FA"/>
    <w:rsid w:val="00546749"/>
    <w:rsid w:val="005468A5"/>
    <w:rsid w:val="00546A28"/>
    <w:rsid w:val="00546C5F"/>
    <w:rsid w:val="0054710C"/>
    <w:rsid w:val="005475D5"/>
    <w:rsid w:val="00547A79"/>
    <w:rsid w:val="00547C86"/>
    <w:rsid w:val="00547D61"/>
    <w:rsid w:val="0055008F"/>
    <w:rsid w:val="00550180"/>
    <w:rsid w:val="00550277"/>
    <w:rsid w:val="005502F7"/>
    <w:rsid w:val="00550384"/>
    <w:rsid w:val="0055050B"/>
    <w:rsid w:val="00550588"/>
    <w:rsid w:val="005509B2"/>
    <w:rsid w:val="00550D7B"/>
    <w:rsid w:val="00550F0F"/>
    <w:rsid w:val="00550F4A"/>
    <w:rsid w:val="00551201"/>
    <w:rsid w:val="005512F8"/>
    <w:rsid w:val="0055155D"/>
    <w:rsid w:val="005518C5"/>
    <w:rsid w:val="0055193C"/>
    <w:rsid w:val="00551A98"/>
    <w:rsid w:val="00551E42"/>
    <w:rsid w:val="0055206A"/>
    <w:rsid w:val="0055287E"/>
    <w:rsid w:val="005529DC"/>
    <w:rsid w:val="00552AC9"/>
    <w:rsid w:val="00552C07"/>
    <w:rsid w:val="00552C70"/>
    <w:rsid w:val="00552CA9"/>
    <w:rsid w:val="00552D6A"/>
    <w:rsid w:val="00552DC8"/>
    <w:rsid w:val="00552DEE"/>
    <w:rsid w:val="00552E5F"/>
    <w:rsid w:val="00553055"/>
    <w:rsid w:val="005533E3"/>
    <w:rsid w:val="00553516"/>
    <w:rsid w:val="005535E0"/>
    <w:rsid w:val="00553A48"/>
    <w:rsid w:val="00553D71"/>
    <w:rsid w:val="0055419A"/>
    <w:rsid w:val="005549A2"/>
    <w:rsid w:val="00554CBD"/>
    <w:rsid w:val="005553E1"/>
    <w:rsid w:val="005554E0"/>
    <w:rsid w:val="005556FC"/>
    <w:rsid w:val="00555BA9"/>
    <w:rsid w:val="00555D60"/>
    <w:rsid w:val="00555D8F"/>
    <w:rsid w:val="005561CE"/>
    <w:rsid w:val="005563D1"/>
    <w:rsid w:val="00556434"/>
    <w:rsid w:val="0055659B"/>
    <w:rsid w:val="0055694A"/>
    <w:rsid w:val="00556960"/>
    <w:rsid w:val="00556962"/>
    <w:rsid w:val="00556985"/>
    <w:rsid w:val="005569E3"/>
    <w:rsid w:val="00556B2B"/>
    <w:rsid w:val="00556C5F"/>
    <w:rsid w:val="00556D9B"/>
    <w:rsid w:val="0055737E"/>
    <w:rsid w:val="0055753D"/>
    <w:rsid w:val="00557740"/>
    <w:rsid w:val="00557EC1"/>
    <w:rsid w:val="0056008F"/>
    <w:rsid w:val="00560235"/>
    <w:rsid w:val="00560328"/>
    <w:rsid w:val="005604E7"/>
    <w:rsid w:val="005605FA"/>
    <w:rsid w:val="005609D4"/>
    <w:rsid w:val="00560A3F"/>
    <w:rsid w:val="00560C50"/>
    <w:rsid w:val="00560F33"/>
    <w:rsid w:val="00561424"/>
    <w:rsid w:val="0056164B"/>
    <w:rsid w:val="005617CF"/>
    <w:rsid w:val="00561A13"/>
    <w:rsid w:val="00561A22"/>
    <w:rsid w:val="00561BA2"/>
    <w:rsid w:val="00561DA9"/>
    <w:rsid w:val="00561E31"/>
    <w:rsid w:val="00561FAE"/>
    <w:rsid w:val="0056201D"/>
    <w:rsid w:val="00562292"/>
    <w:rsid w:val="005625CD"/>
    <w:rsid w:val="005626A7"/>
    <w:rsid w:val="005626F3"/>
    <w:rsid w:val="00562ABB"/>
    <w:rsid w:val="00562B41"/>
    <w:rsid w:val="00562B64"/>
    <w:rsid w:val="00562DCD"/>
    <w:rsid w:val="00562E08"/>
    <w:rsid w:val="005631B4"/>
    <w:rsid w:val="00563523"/>
    <w:rsid w:val="0056366C"/>
    <w:rsid w:val="005637E5"/>
    <w:rsid w:val="00563903"/>
    <w:rsid w:val="005641FD"/>
    <w:rsid w:val="00564242"/>
    <w:rsid w:val="005642EB"/>
    <w:rsid w:val="00564415"/>
    <w:rsid w:val="005649B4"/>
    <w:rsid w:val="00564BBF"/>
    <w:rsid w:val="00564CD9"/>
    <w:rsid w:val="00564E14"/>
    <w:rsid w:val="0056501C"/>
    <w:rsid w:val="0056511C"/>
    <w:rsid w:val="00565391"/>
    <w:rsid w:val="005653B4"/>
    <w:rsid w:val="0056564E"/>
    <w:rsid w:val="005656FA"/>
    <w:rsid w:val="00565896"/>
    <w:rsid w:val="005659BD"/>
    <w:rsid w:val="005659F6"/>
    <w:rsid w:val="00565AB3"/>
    <w:rsid w:val="00565CDF"/>
    <w:rsid w:val="00565FE9"/>
    <w:rsid w:val="00566123"/>
    <w:rsid w:val="0056617E"/>
    <w:rsid w:val="005661AD"/>
    <w:rsid w:val="00566354"/>
    <w:rsid w:val="005669AD"/>
    <w:rsid w:val="00566E11"/>
    <w:rsid w:val="00566E2E"/>
    <w:rsid w:val="00567026"/>
    <w:rsid w:val="005670A1"/>
    <w:rsid w:val="00567285"/>
    <w:rsid w:val="005674D9"/>
    <w:rsid w:val="00567F06"/>
    <w:rsid w:val="00570363"/>
    <w:rsid w:val="00570380"/>
    <w:rsid w:val="005706BF"/>
    <w:rsid w:val="00570AB6"/>
    <w:rsid w:val="00570C3C"/>
    <w:rsid w:val="00570DCD"/>
    <w:rsid w:val="00570F20"/>
    <w:rsid w:val="00571239"/>
    <w:rsid w:val="005715D0"/>
    <w:rsid w:val="0057173A"/>
    <w:rsid w:val="005717B8"/>
    <w:rsid w:val="0057199C"/>
    <w:rsid w:val="00571C18"/>
    <w:rsid w:val="00571D67"/>
    <w:rsid w:val="00571E22"/>
    <w:rsid w:val="00571F1C"/>
    <w:rsid w:val="005720E3"/>
    <w:rsid w:val="00572221"/>
    <w:rsid w:val="005724AE"/>
    <w:rsid w:val="005726B2"/>
    <w:rsid w:val="005727D2"/>
    <w:rsid w:val="00572AAC"/>
    <w:rsid w:val="00572D91"/>
    <w:rsid w:val="00572DF8"/>
    <w:rsid w:val="0057328E"/>
    <w:rsid w:val="00573809"/>
    <w:rsid w:val="00573BF2"/>
    <w:rsid w:val="00574332"/>
    <w:rsid w:val="00574954"/>
    <w:rsid w:val="0057495F"/>
    <w:rsid w:val="005749AD"/>
    <w:rsid w:val="00574C37"/>
    <w:rsid w:val="00574CEC"/>
    <w:rsid w:val="00574D33"/>
    <w:rsid w:val="00574DBD"/>
    <w:rsid w:val="00574DC2"/>
    <w:rsid w:val="00574F87"/>
    <w:rsid w:val="00575151"/>
    <w:rsid w:val="0057559A"/>
    <w:rsid w:val="0057567C"/>
    <w:rsid w:val="00575903"/>
    <w:rsid w:val="00575C31"/>
    <w:rsid w:val="00575EA5"/>
    <w:rsid w:val="00576316"/>
    <w:rsid w:val="0057645F"/>
    <w:rsid w:val="00576A64"/>
    <w:rsid w:val="00576CAF"/>
    <w:rsid w:val="00576D1F"/>
    <w:rsid w:val="00576E4A"/>
    <w:rsid w:val="005770D4"/>
    <w:rsid w:val="00577108"/>
    <w:rsid w:val="0057750C"/>
    <w:rsid w:val="00577577"/>
    <w:rsid w:val="00577658"/>
    <w:rsid w:val="005778D0"/>
    <w:rsid w:val="005778D9"/>
    <w:rsid w:val="0057796B"/>
    <w:rsid w:val="00577AB6"/>
    <w:rsid w:val="00577ACD"/>
    <w:rsid w:val="00577F73"/>
    <w:rsid w:val="0058011D"/>
    <w:rsid w:val="00580175"/>
    <w:rsid w:val="0058034E"/>
    <w:rsid w:val="005803D8"/>
    <w:rsid w:val="005804F5"/>
    <w:rsid w:val="00580B1C"/>
    <w:rsid w:val="00580FD7"/>
    <w:rsid w:val="0058117F"/>
    <w:rsid w:val="005811A3"/>
    <w:rsid w:val="005814FF"/>
    <w:rsid w:val="0058177D"/>
    <w:rsid w:val="00581D16"/>
    <w:rsid w:val="005820B1"/>
    <w:rsid w:val="00582759"/>
    <w:rsid w:val="00582986"/>
    <w:rsid w:val="00582C29"/>
    <w:rsid w:val="00582C9F"/>
    <w:rsid w:val="00582F44"/>
    <w:rsid w:val="00582FC3"/>
    <w:rsid w:val="0058334E"/>
    <w:rsid w:val="0058341A"/>
    <w:rsid w:val="0058388F"/>
    <w:rsid w:val="005838E0"/>
    <w:rsid w:val="005839E6"/>
    <w:rsid w:val="00583C3F"/>
    <w:rsid w:val="00583F85"/>
    <w:rsid w:val="0058402C"/>
    <w:rsid w:val="0058408B"/>
    <w:rsid w:val="005841E5"/>
    <w:rsid w:val="00584405"/>
    <w:rsid w:val="00584BF0"/>
    <w:rsid w:val="00584D16"/>
    <w:rsid w:val="00584D7B"/>
    <w:rsid w:val="00584E47"/>
    <w:rsid w:val="00584E79"/>
    <w:rsid w:val="00585051"/>
    <w:rsid w:val="005851E6"/>
    <w:rsid w:val="005854AF"/>
    <w:rsid w:val="0058564D"/>
    <w:rsid w:val="00585734"/>
    <w:rsid w:val="00585DA5"/>
    <w:rsid w:val="005860E4"/>
    <w:rsid w:val="005863E0"/>
    <w:rsid w:val="00586B35"/>
    <w:rsid w:val="00586EE4"/>
    <w:rsid w:val="005873A0"/>
    <w:rsid w:val="005877D6"/>
    <w:rsid w:val="005879E0"/>
    <w:rsid w:val="00587E4B"/>
    <w:rsid w:val="00590000"/>
    <w:rsid w:val="005900DC"/>
    <w:rsid w:val="0059029C"/>
    <w:rsid w:val="0059045B"/>
    <w:rsid w:val="005909FF"/>
    <w:rsid w:val="00590E0D"/>
    <w:rsid w:val="00590F0A"/>
    <w:rsid w:val="005911B5"/>
    <w:rsid w:val="00591215"/>
    <w:rsid w:val="00591523"/>
    <w:rsid w:val="00591723"/>
    <w:rsid w:val="005918D3"/>
    <w:rsid w:val="00591E75"/>
    <w:rsid w:val="005921A2"/>
    <w:rsid w:val="005927A4"/>
    <w:rsid w:val="0059285D"/>
    <w:rsid w:val="00592999"/>
    <w:rsid w:val="005929F6"/>
    <w:rsid w:val="00592C67"/>
    <w:rsid w:val="00592FC0"/>
    <w:rsid w:val="0059300F"/>
    <w:rsid w:val="0059328F"/>
    <w:rsid w:val="00593374"/>
    <w:rsid w:val="005933A0"/>
    <w:rsid w:val="00593469"/>
    <w:rsid w:val="0059348F"/>
    <w:rsid w:val="00593FF9"/>
    <w:rsid w:val="00594038"/>
    <w:rsid w:val="00594096"/>
    <w:rsid w:val="00594485"/>
    <w:rsid w:val="00594A94"/>
    <w:rsid w:val="00594F58"/>
    <w:rsid w:val="005951C3"/>
    <w:rsid w:val="005951FF"/>
    <w:rsid w:val="00595439"/>
    <w:rsid w:val="00595501"/>
    <w:rsid w:val="00595811"/>
    <w:rsid w:val="00595A53"/>
    <w:rsid w:val="00595CC1"/>
    <w:rsid w:val="00595E9D"/>
    <w:rsid w:val="005965ED"/>
    <w:rsid w:val="00596796"/>
    <w:rsid w:val="0059689A"/>
    <w:rsid w:val="00596F68"/>
    <w:rsid w:val="00597273"/>
    <w:rsid w:val="00597311"/>
    <w:rsid w:val="00597496"/>
    <w:rsid w:val="00597588"/>
    <w:rsid w:val="00597D18"/>
    <w:rsid w:val="00597DCC"/>
    <w:rsid w:val="00597E7E"/>
    <w:rsid w:val="005A0230"/>
    <w:rsid w:val="005A028A"/>
    <w:rsid w:val="005A036C"/>
    <w:rsid w:val="005A0392"/>
    <w:rsid w:val="005A0A37"/>
    <w:rsid w:val="005A0F05"/>
    <w:rsid w:val="005A0F7B"/>
    <w:rsid w:val="005A0F94"/>
    <w:rsid w:val="005A115D"/>
    <w:rsid w:val="005A1382"/>
    <w:rsid w:val="005A17FE"/>
    <w:rsid w:val="005A1959"/>
    <w:rsid w:val="005A19A1"/>
    <w:rsid w:val="005A1D83"/>
    <w:rsid w:val="005A1ED6"/>
    <w:rsid w:val="005A1F26"/>
    <w:rsid w:val="005A2091"/>
    <w:rsid w:val="005A2160"/>
    <w:rsid w:val="005A2264"/>
    <w:rsid w:val="005A2585"/>
    <w:rsid w:val="005A25CE"/>
    <w:rsid w:val="005A262B"/>
    <w:rsid w:val="005A28D3"/>
    <w:rsid w:val="005A2A22"/>
    <w:rsid w:val="005A2B63"/>
    <w:rsid w:val="005A2E54"/>
    <w:rsid w:val="005A2F1C"/>
    <w:rsid w:val="005A30C2"/>
    <w:rsid w:val="005A38DB"/>
    <w:rsid w:val="005A38F5"/>
    <w:rsid w:val="005A3B39"/>
    <w:rsid w:val="005A3BC0"/>
    <w:rsid w:val="005A3BEB"/>
    <w:rsid w:val="005A3CB9"/>
    <w:rsid w:val="005A41BE"/>
    <w:rsid w:val="005A42E9"/>
    <w:rsid w:val="005A47BE"/>
    <w:rsid w:val="005A4836"/>
    <w:rsid w:val="005A547D"/>
    <w:rsid w:val="005A59DB"/>
    <w:rsid w:val="005A5FEF"/>
    <w:rsid w:val="005A687A"/>
    <w:rsid w:val="005A68B6"/>
    <w:rsid w:val="005A691C"/>
    <w:rsid w:val="005A6A19"/>
    <w:rsid w:val="005A7307"/>
    <w:rsid w:val="005A73EE"/>
    <w:rsid w:val="005A74F3"/>
    <w:rsid w:val="005A7799"/>
    <w:rsid w:val="005A7936"/>
    <w:rsid w:val="005A7DB6"/>
    <w:rsid w:val="005B067A"/>
    <w:rsid w:val="005B0A9C"/>
    <w:rsid w:val="005B0BF1"/>
    <w:rsid w:val="005B0D4E"/>
    <w:rsid w:val="005B11BA"/>
    <w:rsid w:val="005B1448"/>
    <w:rsid w:val="005B1864"/>
    <w:rsid w:val="005B1AFB"/>
    <w:rsid w:val="005B1B8F"/>
    <w:rsid w:val="005B1DBA"/>
    <w:rsid w:val="005B1F83"/>
    <w:rsid w:val="005B27CA"/>
    <w:rsid w:val="005B29BD"/>
    <w:rsid w:val="005B2A38"/>
    <w:rsid w:val="005B2DCC"/>
    <w:rsid w:val="005B302E"/>
    <w:rsid w:val="005B3086"/>
    <w:rsid w:val="005B3A86"/>
    <w:rsid w:val="005B4366"/>
    <w:rsid w:val="005B4391"/>
    <w:rsid w:val="005B44BF"/>
    <w:rsid w:val="005B47CB"/>
    <w:rsid w:val="005B487B"/>
    <w:rsid w:val="005B4D38"/>
    <w:rsid w:val="005B50F2"/>
    <w:rsid w:val="005B5A9B"/>
    <w:rsid w:val="005B5CAE"/>
    <w:rsid w:val="005B5E2D"/>
    <w:rsid w:val="005B5FA3"/>
    <w:rsid w:val="005B69D7"/>
    <w:rsid w:val="005B6BC1"/>
    <w:rsid w:val="005B6E57"/>
    <w:rsid w:val="005B7020"/>
    <w:rsid w:val="005B722A"/>
    <w:rsid w:val="005B7397"/>
    <w:rsid w:val="005B766C"/>
    <w:rsid w:val="005B7DEF"/>
    <w:rsid w:val="005B7F55"/>
    <w:rsid w:val="005C0392"/>
    <w:rsid w:val="005C0537"/>
    <w:rsid w:val="005C0740"/>
    <w:rsid w:val="005C0A54"/>
    <w:rsid w:val="005C1237"/>
    <w:rsid w:val="005C124E"/>
    <w:rsid w:val="005C1344"/>
    <w:rsid w:val="005C13FA"/>
    <w:rsid w:val="005C2073"/>
    <w:rsid w:val="005C2127"/>
    <w:rsid w:val="005C2500"/>
    <w:rsid w:val="005C276F"/>
    <w:rsid w:val="005C2BE2"/>
    <w:rsid w:val="005C32AB"/>
    <w:rsid w:val="005C3874"/>
    <w:rsid w:val="005C3911"/>
    <w:rsid w:val="005C39C3"/>
    <w:rsid w:val="005C3B2D"/>
    <w:rsid w:val="005C3D95"/>
    <w:rsid w:val="005C3DA7"/>
    <w:rsid w:val="005C3DE2"/>
    <w:rsid w:val="005C3E24"/>
    <w:rsid w:val="005C3E33"/>
    <w:rsid w:val="005C3FAE"/>
    <w:rsid w:val="005C4181"/>
    <w:rsid w:val="005C4A22"/>
    <w:rsid w:val="005C4A44"/>
    <w:rsid w:val="005C4B2E"/>
    <w:rsid w:val="005C4BAC"/>
    <w:rsid w:val="005C4BD0"/>
    <w:rsid w:val="005C50EC"/>
    <w:rsid w:val="005C5103"/>
    <w:rsid w:val="005C5227"/>
    <w:rsid w:val="005C52A6"/>
    <w:rsid w:val="005C53A1"/>
    <w:rsid w:val="005C57CB"/>
    <w:rsid w:val="005C5C64"/>
    <w:rsid w:val="005C5CFD"/>
    <w:rsid w:val="005C5E5B"/>
    <w:rsid w:val="005C5EDB"/>
    <w:rsid w:val="005C5EDF"/>
    <w:rsid w:val="005C6199"/>
    <w:rsid w:val="005C633E"/>
    <w:rsid w:val="005C654F"/>
    <w:rsid w:val="005C66A3"/>
    <w:rsid w:val="005C672D"/>
    <w:rsid w:val="005C6739"/>
    <w:rsid w:val="005C69C7"/>
    <w:rsid w:val="005C6B19"/>
    <w:rsid w:val="005C6D3B"/>
    <w:rsid w:val="005C7744"/>
    <w:rsid w:val="005C7AAB"/>
    <w:rsid w:val="005D01B3"/>
    <w:rsid w:val="005D0567"/>
    <w:rsid w:val="005D072A"/>
    <w:rsid w:val="005D0732"/>
    <w:rsid w:val="005D0D6C"/>
    <w:rsid w:val="005D0E90"/>
    <w:rsid w:val="005D12F1"/>
    <w:rsid w:val="005D16E1"/>
    <w:rsid w:val="005D1851"/>
    <w:rsid w:val="005D1864"/>
    <w:rsid w:val="005D1A70"/>
    <w:rsid w:val="005D1CA2"/>
    <w:rsid w:val="005D2047"/>
    <w:rsid w:val="005D22B6"/>
    <w:rsid w:val="005D2349"/>
    <w:rsid w:val="005D24A4"/>
    <w:rsid w:val="005D25F9"/>
    <w:rsid w:val="005D27AD"/>
    <w:rsid w:val="005D2868"/>
    <w:rsid w:val="005D29A0"/>
    <w:rsid w:val="005D2B00"/>
    <w:rsid w:val="005D2E3D"/>
    <w:rsid w:val="005D2F9A"/>
    <w:rsid w:val="005D30BD"/>
    <w:rsid w:val="005D31DC"/>
    <w:rsid w:val="005D329F"/>
    <w:rsid w:val="005D32D1"/>
    <w:rsid w:val="005D3AE3"/>
    <w:rsid w:val="005D3C2C"/>
    <w:rsid w:val="005D3D19"/>
    <w:rsid w:val="005D4088"/>
    <w:rsid w:val="005D439F"/>
    <w:rsid w:val="005D4A0D"/>
    <w:rsid w:val="005D4A4B"/>
    <w:rsid w:val="005D4ABA"/>
    <w:rsid w:val="005D4C23"/>
    <w:rsid w:val="005D4C9B"/>
    <w:rsid w:val="005D4F59"/>
    <w:rsid w:val="005D5168"/>
    <w:rsid w:val="005D54F7"/>
    <w:rsid w:val="005D5814"/>
    <w:rsid w:val="005D583B"/>
    <w:rsid w:val="005D5AA3"/>
    <w:rsid w:val="005D5B47"/>
    <w:rsid w:val="005D63E0"/>
    <w:rsid w:val="005D6455"/>
    <w:rsid w:val="005D66BC"/>
    <w:rsid w:val="005D6742"/>
    <w:rsid w:val="005D6D03"/>
    <w:rsid w:val="005D6EFE"/>
    <w:rsid w:val="005D718C"/>
    <w:rsid w:val="005D71A4"/>
    <w:rsid w:val="005D73DB"/>
    <w:rsid w:val="005D7A5B"/>
    <w:rsid w:val="005D7B1F"/>
    <w:rsid w:val="005D7C69"/>
    <w:rsid w:val="005D7D7A"/>
    <w:rsid w:val="005D7D9E"/>
    <w:rsid w:val="005E028B"/>
    <w:rsid w:val="005E0505"/>
    <w:rsid w:val="005E074A"/>
    <w:rsid w:val="005E0790"/>
    <w:rsid w:val="005E0B4C"/>
    <w:rsid w:val="005E0BC3"/>
    <w:rsid w:val="005E1063"/>
    <w:rsid w:val="005E10B4"/>
    <w:rsid w:val="005E10DE"/>
    <w:rsid w:val="005E124F"/>
    <w:rsid w:val="005E1270"/>
    <w:rsid w:val="005E13C8"/>
    <w:rsid w:val="005E14F8"/>
    <w:rsid w:val="005E17D9"/>
    <w:rsid w:val="005E1988"/>
    <w:rsid w:val="005E1DC2"/>
    <w:rsid w:val="005E21D9"/>
    <w:rsid w:val="005E22BB"/>
    <w:rsid w:val="005E24CE"/>
    <w:rsid w:val="005E274A"/>
    <w:rsid w:val="005E28FC"/>
    <w:rsid w:val="005E2998"/>
    <w:rsid w:val="005E2A67"/>
    <w:rsid w:val="005E2C9F"/>
    <w:rsid w:val="005E2D38"/>
    <w:rsid w:val="005E2FBF"/>
    <w:rsid w:val="005E3123"/>
    <w:rsid w:val="005E3757"/>
    <w:rsid w:val="005E394D"/>
    <w:rsid w:val="005E3B59"/>
    <w:rsid w:val="005E3DBC"/>
    <w:rsid w:val="005E429C"/>
    <w:rsid w:val="005E44B3"/>
    <w:rsid w:val="005E466D"/>
    <w:rsid w:val="005E4954"/>
    <w:rsid w:val="005E4DCD"/>
    <w:rsid w:val="005E514F"/>
    <w:rsid w:val="005E5436"/>
    <w:rsid w:val="005E57DB"/>
    <w:rsid w:val="005E5E9B"/>
    <w:rsid w:val="005E5F42"/>
    <w:rsid w:val="005E62CB"/>
    <w:rsid w:val="005E6585"/>
    <w:rsid w:val="005E65BD"/>
    <w:rsid w:val="005E6630"/>
    <w:rsid w:val="005E6633"/>
    <w:rsid w:val="005E6A90"/>
    <w:rsid w:val="005E6C6F"/>
    <w:rsid w:val="005E6E9C"/>
    <w:rsid w:val="005E71CA"/>
    <w:rsid w:val="005E732B"/>
    <w:rsid w:val="005E733A"/>
    <w:rsid w:val="005E7873"/>
    <w:rsid w:val="005E7952"/>
    <w:rsid w:val="005E79CB"/>
    <w:rsid w:val="005E7A06"/>
    <w:rsid w:val="005E7C11"/>
    <w:rsid w:val="005E7C59"/>
    <w:rsid w:val="005E7CC2"/>
    <w:rsid w:val="005F04A4"/>
    <w:rsid w:val="005F0630"/>
    <w:rsid w:val="005F0659"/>
    <w:rsid w:val="005F0890"/>
    <w:rsid w:val="005F096E"/>
    <w:rsid w:val="005F1541"/>
    <w:rsid w:val="005F1560"/>
    <w:rsid w:val="005F19DD"/>
    <w:rsid w:val="005F1A16"/>
    <w:rsid w:val="005F1D50"/>
    <w:rsid w:val="005F236B"/>
    <w:rsid w:val="005F23B6"/>
    <w:rsid w:val="005F2536"/>
    <w:rsid w:val="005F254E"/>
    <w:rsid w:val="005F290D"/>
    <w:rsid w:val="005F29DC"/>
    <w:rsid w:val="005F2CFA"/>
    <w:rsid w:val="005F2D35"/>
    <w:rsid w:val="005F2D6C"/>
    <w:rsid w:val="005F30CB"/>
    <w:rsid w:val="005F3192"/>
    <w:rsid w:val="005F3433"/>
    <w:rsid w:val="005F36EF"/>
    <w:rsid w:val="005F381A"/>
    <w:rsid w:val="005F39B7"/>
    <w:rsid w:val="005F3F13"/>
    <w:rsid w:val="005F4386"/>
    <w:rsid w:val="005F4429"/>
    <w:rsid w:val="005F461C"/>
    <w:rsid w:val="005F4921"/>
    <w:rsid w:val="005F4F5B"/>
    <w:rsid w:val="005F4FB5"/>
    <w:rsid w:val="005F55B2"/>
    <w:rsid w:val="005F56EF"/>
    <w:rsid w:val="005F5748"/>
    <w:rsid w:val="005F5781"/>
    <w:rsid w:val="005F58BD"/>
    <w:rsid w:val="005F5B99"/>
    <w:rsid w:val="005F5EC0"/>
    <w:rsid w:val="005F5F49"/>
    <w:rsid w:val="005F601B"/>
    <w:rsid w:val="005F624C"/>
    <w:rsid w:val="005F648E"/>
    <w:rsid w:val="005F6556"/>
    <w:rsid w:val="005F65DD"/>
    <w:rsid w:val="005F6C6B"/>
    <w:rsid w:val="005F6E7F"/>
    <w:rsid w:val="005F6EA7"/>
    <w:rsid w:val="005F6F07"/>
    <w:rsid w:val="005F7642"/>
    <w:rsid w:val="005F7862"/>
    <w:rsid w:val="005F7A6F"/>
    <w:rsid w:val="005F7B2D"/>
    <w:rsid w:val="005F7B76"/>
    <w:rsid w:val="005F7B8B"/>
    <w:rsid w:val="005F7C30"/>
    <w:rsid w:val="005F7DB1"/>
    <w:rsid w:val="00600205"/>
    <w:rsid w:val="00600630"/>
    <w:rsid w:val="006008E6"/>
    <w:rsid w:val="00600A71"/>
    <w:rsid w:val="00600BD4"/>
    <w:rsid w:val="00600C6C"/>
    <w:rsid w:val="00600F84"/>
    <w:rsid w:val="0060111A"/>
    <w:rsid w:val="0060138B"/>
    <w:rsid w:val="0060146C"/>
    <w:rsid w:val="006014B4"/>
    <w:rsid w:val="006017EF"/>
    <w:rsid w:val="006019F5"/>
    <w:rsid w:val="00601D31"/>
    <w:rsid w:val="00602282"/>
    <w:rsid w:val="00602733"/>
    <w:rsid w:val="00602772"/>
    <w:rsid w:val="00602AE2"/>
    <w:rsid w:val="00602D1D"/>
    <w:rsid w:val="0060311D"/>
    <w:rsid w:val="00603556"/>
    <w:rsid w:val="00603944"/>
    <w:rsid w:val="006039C7"/>
    <w:rsid w:val="00603C9C"/>
    <w:rsid w:val="00603D2E"/>
    <w:rsid w:val="00603FD8"/>
    <w:rsid w:val="00604305"/>
    <w:rsid w:val="006044EF"/>
    <w:rsid w:val="00604706"/>
    <w:rsid w:val="00604873"/>
    <w:rsid w:val="006048BD"/>
    <w:rsid w:val="00604946"/>
    <w:rsid w:val="00604ED3"/>
    <w:rsid w:val="006051B5"/>
    <w:rsid w:val="00605265"/>
    <w:rsid w:val="00605419"/>
    <w:rsid w:val="0060589B"/>
    <w:rsid w:val="006058E4"/>
    <w:rsid w:val="00605B72"/>
    <w:rsid w:val="00605BC4"/>
    <w:rsid w:val="00605C6A"/>
    <w:rsid w:val="00605CF5"/>
    <w:rsid w:val="00605FD0"/>
    <w:rsid w:val="00606098"/>
    <w:rsid w:val="0060609F"/>
    <w:rsid w:val="00606A3C"/>
    <w:rsid w:val="00606D51"/>
    <w:rsid w:val="00606E31"/>
    <w:rsid w:val="00606FB1"/>
    <w:rsid w:val="006072B1"/>
    <w:rsid w:val="00607744"/>
    <w:rsid w:val="006077B2"/>
    <w:rsid w:val="00607C50"/>
    <w:rsid w:val="00607EBF"/>
    <w:rsid w:val="00610564"/>
    <w:rsid w:val="006107A2"/>
    <w:rsid w:val="006108E0"/>
    <w:rsid w:val="00610A04"/>
    <w:rsid w:val="00610A32"/>
    <w:rsid w:val="00611214"/>
    <w:rsid w:val="00611557"/>
    <w:rsid w:val="006115FA"/>
    <w:rsid w:val="006116DC"/>
    <w:rsid w:val="00611944"/>
    <w:rsid w:val="00611C93"/>
    <w:rsid w:val="00611CD5"/>
    <w:rsid w:val="00611F53"/>
    <w:rsid w:val="0061219E"/>
    <w:rsid w:val="006121E8"/>
    <w:rsid w:val="006124FF"/>
    <w:rsid w:val="00612619"/>
    <w:rsid w:val="00612874"/>
    <w:rsid w:val="00612F5B"/>
    <w:rsid w:val="006132D7"/>
    <w:rsid w:val="00613370"/>
    <w:rsid w:val="006136A1"/>
    <w:rsid w:val="00613732"/>
    <w:rsid w:val="006137D3"/>
    <w:rsid w:val="00613AE6"/>
    <w:rsid w:val="00613B55"/>
    <w:rsid w:val="00613B77"/>
    <w:rsid w:val="00613C43"/>
    <w:rsid w:val="00614763"/>
    <w:rsid w:val="00614ADF"/>
    <w:rsid w:val="00614B47"/>
    <w:rsid w:val="00614F99"/>
    <w:rsid w:val="00615144"/>
    <w:rsid w:val="0061519D"/>
    <w:rsid w:val="0061520F"/>
    <w:rsid w:val="0061558A"/>
    <w:rsid w:val="006155F6"/>
    <w:rsid w:val="00615889"/>
    <w:rsid w:val="006158EB"/>
    <w:rsid w:val="006159FB"/>
    <w:rsid w:val="00615CCF"/>
    <w:rsid w:val="00615E8D"/>
    <w:rsid w:val="0061676B"/>
    <w:rsid w:val="00616A21"/>
    <w:rsid w:val="00616D5F"/>
    <w:rsid w:val="00616FA8"/>
    <w:rsid w:val="006171F0"/>
    <w:rsid w:val="0061740F"/>
    <w:rsid w:val="006174B7"/>
    <w:rsid w:val="006177E0"/>
    <w:rsid w:val="006177F3"/>
    <w:rsid w:val="006178C3"/>
    <w:rsid w:val="00617B07"/>
    <w:rsid w:val="00617C93"/>
    <w:rsid w:val="00617CB6"/>
    <w:rsid w:val="00617E38"/>
    <w:rsid w:val="00620C24"/>
    <w:rsid w:val="00620C6D"/>
    <w:rsid w:val="00620F20"/>
    <w:rsid w:val="00620FF1"/>
    <w:rsid w:val="00621262"/>
    <w:rsid w:val="00621741"/>
    <w:rsid w:val="00621872"/>
    <w:rsid w:val="00621929"/>
    <w:rsid w:val="00621C13"/>
    <w:rsid w:val="00621C68"/>
    <w:rsid w:val="00621E09"/>
    <w:rsid w:val="00622327"/>
    <w:rsid w:val="006224A9"/>
    <w:rsid w:val="00622600"/>
    <w:rsid w:val="006227E8"/>
    <w:rsid w:val="00622E21"/>
    <w:rsid w:val="006233EA"/>
    <w:rsid w:val="00623529"/>
    <w:rsid w:val="00623581"/>
    <w:rsid w:val="0062359D"/>
    <w:rsid w:val="006236E5"/>
    <w:rsid w:val="0062375D"/>
    <w:rsid w:val="00623822"/>
    <w:rsid w:val="00623CB1"/>
    <w:rsid w:val="00623E3D"/>
    <w:rsid w:val="00623E56"/>
    <w:rsid w:val="0062417B"/>
    <w:rsid w:val="0062456E"/>
    <w:rsid w:val="00624A28"/>
    <w:rsid w:val="00624B30"/>
    <w:rsid w:val="00624D0A"/>
    <w:rsid w:val="00624E6A"/>
    <w:rsid w:val="00624F30"/>
    <w:rsid w:val="00624FA0"/>
    <w:rsid w:val="0062526B"/>
    <w:rsid w:val="00625388"/>
    <w:rsid w:val="006253FD"/>
    <w:rsid w:val="0062552E"/>
    <w:rsid w:val="00625811"/>
    <w:rsid w:val="006258EC"/>
    <w:rsid w:val="00625B96"/>
    <w:rsid w:val="00625EF1"/>
    <w:rsid w:val="006263D4"/>
    <w:rsid w:val="006266BD"/>
    <w:rsid w:val="0062673E"/>
    <w:rsid w:val="00626AB4"/>
    <w:rsid w:val="00626CF3"/>
    <w:rsid w:val="006271D9"/>
    <w:rsid w:val="0062749B"/>
    <w:rsid w:val="006277F1"/>
    <w:rsid w:val="00627860"/>
    <w:rsid w:val="006278AA"/>
    <w:rsid w:val="0062794D"/>
    <w:rsid w:val="00627983"/>
    <w:rsid w:val="00627EBB"/>
    <w:rsid w:val="006300F0"/>
    <w:rsid w:val="00630270"/>
    <w:rsid w:val="00630379"/>
    <w:rsid w:val="006305B4"/>
    <w:rsid w:val="0063079B"/>
    <w:rsid w:val="006309DC"/>
    <w:rsid w:val="00630C38"/>
    <w:rsid w:val="00630DA7"/>
    <w:rsid w:val="00630EBA"/>
    <w:rsid w:val="00630F84"/>
    <w:rsid w:val="006310C4"/>
    <w:rsid w:val="006313BD"/>
    <w:rsid w:val="0063150B"/>
    <w:rsid w:val="0063171F"/>
    <w:rsid w:val="006318A5"/>
    <w:rsid w:val="00631B29"/>
    <w:rsid w:val="00631B64"/>
    <w:rsid w:val="0063204E"/>
    <w:rsid w:val="006321A0"/>
    <w:rsid w:val="0063253E"/>
    <w:rsid w:val="006327DC"/>
    <w:rsid w:val="00632C96"/>
    <w:rsid w:val="00632CFF"/>
    <w:rsid w:val="00632DC9"/>
    <w:rsid w:val="00632F3A"/>
    <w:rsid w:val="00632FF5"/>
    <w:rsid w:val="00633282"/>
    <w:rsid w:val="006332BC"/>
    <w:rsid w:val="006333C7"/>
    <w:rsid w:val="00633883"/>
    <w:rsid w:val="00633A63"/>
    <w:rsid w:val="00633B03"/>
    <w:rsid w:val="006344A4"/>
    <w:rsid w:val="00634BC1"/>
    <w:rsid w:val="00634BFC"/>
    <w:rsid w:val="00635135"/>
    <w:rsid w:val="00635162"/>
    <w:rsid w:val="006351AB"/>
    <w:rsid w:val="006353DD"/>
    <w:rsid w:val="0063577B"/>
    <w:rsid w:val="00635DD4"/>
    <w:rsid w:val="00635E26"/>
    <w:rsid w:val="006363A0"/>
    <w:rsid w:val="00636B31"/>
    <w:rsid w:val="00636CD1"/>
    <w:rsid w:val="00636E63"/>
    <w:rsid w:val="00636E8F"/>
    <w:rsid w:val="00636EBA"/>
    <w:rsid w:val="00637297"/>
    <w:rsid w:val="006374E2"/>
    <w:rsid w:val="00637A50"/>
    <w:rsid w:val="00637E58"/>
    <w:rsid w:val="0064000C"/>
    <w:rsid w:val="0064003A"/>
    <w:rsid w:val="00640521"/>
    <w:rsid w:val="00640AE9"/>
    <w:rsid w:val="00640C30"/>
    <w:rsid w:val="0064113A"/>
    <w:rsid w:val="006411D8"/>
    <w:rsid w:val="00641438"/>
    <w:rsid w:val="006415B2"/>
    <w:rsid w:val="006415F8"/>
    <w:rsid w:val="006418BF"/>
    <w:rsid w:val="00641913"/>
    <w:rsid w:val="0064218C"/>
    <w:rsid w:val="0064227F"/>
    <w:rsid w:val="006423CC"/>
    <w:rsid w:val="00642420"/>
    <w:rsid w:val="006427BC"/>
    <w:rsid w:val="006429D7"/>
    <w:rsid w:val="00642BB1"/>
    <w:rsid w:val="00642C23"/>
    <w:rsid w:val="00642C94"/>
    <w:rsid w:val="00643197"/>
    <w:rsid w:val="006434A1"/>
    <w:rsid w:val="00643687"/>
    <w:rsid w:val="0064396A"/>
    <w:rsid w:val="00643DA0"/>
    <w:rsid w:val="00643EED"/>
    <w:rsid w:val="006445EC"/>
    <w:rsid w:val="0064489A"/>
    <w:rsid w:val="00644EC7"/>
    <w:rsid w:val="00645397"/>
    <w:rsid w:val="00645513"/>
    <w:rsid w:val="00645514"/>
    <w:rsid w:val="0064564B"/>
    <w:rsid w:val="006457B0"/>
    <w:rsid w:val="006457EB"/>
    <w:rsid w:val="00645941"/>
    <w:rsid w:val="00645A76"/>
    <w:rsid w:val="00645C07"/>
    <w:rsid w:val="00645CBC"/>
    <w:rsid w:val="00646261"/>
    <w:rsid w:val="0064645D"/>
    <w:rsid w:val="006464DC"/>
    <w:rsid w:val="0064667C"/>
    <w:rsid w:val="00646C70"/>
    <w:rsid w:val="00646CFA"/>
    <w:rsid w:val="00646DE7"/>
    <w:rsid w:val="00646F73"/>
    <w:rsid w:val="00647291"/>
    <w:rsid w:val="006478D4"/>
    <w:rsid w:val="00647B0D"/>
    <w:rsid w:val="00647B8F"/>
    <w:rsid w:val="00647C18"/>
    <w:rsid w:val="00647CC1"/>
    <w:rsid w:val="00650116"/>
    <w:rsid w:val="00650399"/>
    <w:rsid w:val="006506C0"/>
    <w:rsid w:val="00650B24"/>
    <w:rsid w:val="00650C52"/>
    <w:rsid w:val="006511FC"/>
    <w:rsid w:val="00651368"/>
    <w:rsid w:val="0065150E"/>
    <w:rsid w:val="00651A48"/>
    <w:rsid w:val="00651B36"/>
    <w:rsid w:val="00651CDD"/>
    <w:rsid w:val="006520D6"/>
    <w:rsid w:val="006521CC"/>
    <w:rsid w:val="006523DD"/>
    <w:rsid w:val="00652420"/>
    <w:rsid w:val="006524F0"/>
    <w:rsid w:val="006525FC"/>
    <w:rsid w:val="00652D3F"/>
    <w:rsid w:val="006532D1"/>
    <w:rsid w:val="00653932"/>
    <w:rsid w:val="00653D4F"/>
    <w:rsid w:val="00653F67"/>
    <w:rsid w:val="00654050"/>
    <w:rsid w:val="0065425B"/>
    <w:rsid w:val="00654294"/>
    <w:rsid w:val="00654532"/>
    <w:rsid w:val="00654680"/>
    <w:rsid w:val="00654823"/>
    <w:rsid w:val="00654924"/>
    <w:rsid w:val="00654A3F"/>
    <w:rsid w:val="00654F5E"/>
    <w:rsid w:val="00654FE3"/>
    <w:rsid w:val="0065504F"/>
    <w:rsid w:val="00655054"/>
    <w:rsid w:val="006551A0"/>
    <w:rsid w:val="00655890"/>
    <w:rsid w:val="00655E2B"/>
    <w:rsid w:val="006560B3"/>
    <w:rsid w:val="006560DA"/>
    <w:rsid w:val="006563B3"/>
    <w:rsid w:val="00656834"/>
    <w:rsid w:val="0065696F"/>
    <w:rsid w:val="006573B6"/>
    <w:rsid w:val="0065777B"/>
    <w:rsid w:val="006577DB"/>
    <w:rsid w:val="00657982"/>
    <w:rsid w:val="00657A0B"/>
    <w:rsid w:val="00657C53"/>
    <w:rsid w:val="00657C67"/>
    <w:rsid w:val="00657D87"/>
    <w:rsid w:val="00657DEE"/>
    <w:rsid w:val="00657F81"/>
    <w:rsid w:val="00657FD2"/>
    <w:rsid w:val="00660374"/>
    <w:rsid w:val="006612A4"/>
    <w:rsid w:val="006613E7"/>
    <w:rsid w:val="00661563"/>
    <w:rsid w:val="00661588"/>
    <w:rsid w:val="00661A4A"/>
    <w:rsid w:val="00661F49"/>
    <w:rsid w:val="0066218D"/>
    <w:rsid w:val="0066233B"/>
    <w:rsid w:val="00662532"/>
    <w:rsid w:val="00662563"/>
    <w:rsid w:val="00662B33"/>
    <w:rsid w:val="0066328C"/>
    <w:rsid w:val="006634DE"/>
    <w:rsid w:val="006638A2"/>
    <w:rsid w:val="00663BA7"/>
    <w:rsid w:val="00663DE3"/>
    <w:rsid w:val="006643F7"/>
    <w:rsid w:val="0066487A"/>
    <w:rsid w:val="00664909"/>
    <w:rsid w:val="0066490F"/>
    <w:rsid w:val="00664BC6"/>
    <w:rsid w:val="00664E00"/>
    <w:rsid w:val="006657FA"/>
    <w:rsid w:val="00665987"/>
    <w:rsid w:val="00665B6C"/>
    <w:rsid w:val="00665BD3"/>
    <w:rsid w:val="00665C59"/>
    <w:rsid w:val="00666032"/>
    <w:rsid w:val="00666058"/>
    <w:rsid w:val="0066608C"/>
    <w:rsid w:val="0066634A"/>
    <w:rsid w:val="0066687A"/>
    <w:rsid w:val="00666AF6"/>
    <w:rsid w:val="00666D99"/>
    <w:rsid w:val="00667270"/>
    <w:rsid w:val="006672FC"/>
    <w:rsid w:val="00667538"/>
    <w:rsid w:val="0066775E"/>
    <w:rsid w:val="00667E71"/>
    <w:rsid w:val="00667FDB"/>
    <w:rsid w:val="00670594"/>
    <w:rsid w:val="0067061C"/>
    <w:rsid w:val="0067064E"/>
    <w:rsid w:val="0067084C"/>
    <w:rsid w:val="00670983"/>
    <w:rsid w:val="00670B0B"/>
    <w:rsid w:val="00670EE1"/>
    <w:rsid w:val="00670F7F"/>
    <w:rsid w:val="00671126"/>
    <w:rsid w:val="00671129"/>
    <w:rsid w:val="0067117C"/>
    <w:rsid w:val="00671270"/>
    <w:rsid w:val="00671290"/>
    <w:rsid w:val="00671326"/>
    <w:rsid w:val="00671414"/>
    <w:rsid w:val="00671582"/>
    <w:rsid w:val="006715A8"/>
    <w:rsid w:val="006718B2"/>
    <w:rsid w:val="00671B3F"/>
    <w:rsid w:val="006724D0"/>
    <w:rsid w:val="00672511"/>
    <w:rsid w:val="0067294F"/>
    <w:rsid w:val="00672B84"/>
    <w:rsid w:val="00672F89"/>
    <w:rsid w:val="006731FE"/>
    <w:rsid w:val="006732EC"/>
    <w:rsid w:val="0067336B"/>
    <w:rsid w:val="0067344A"/>
    <w:rsid w:val="00673A44"/>
    <w:rsid w:val="00673C26"/>
    <w:rsid w:val="006744C5"/>
    <w:rsid w:val="00674AC8"/>
    <w:rsid w:val="00674BA6"/>
    <w:rsid w:val="00674E13"/>
    <w:rsid w:val="00674E29"/>
    <w:rsid w:val="00674E3B"/>
    <w:rsid w:val="00675270"/>
    <w:rsid w:val="006753AE"/>
    <w:rsid w:val="006754B7"/>
    <w:rsid w:val="00675506"/>
    <w:rsid w:val="0067569C"/>
    <w:rsid w:val="00675979"/>
    <w:rsid w:val="00675B50"/>
    <w:rsid w:val="00675C45"/>
    <w:rsid w:val="00675DA3"/>
    <w:rsid w:val="00675ED3"/>
    <w:rsid w:val="00675F39"/>
    <w:rsid w:val="00675F64"/>
    <w:rsid w:val="0067600E"/>
    <w:rsid w:val="006760FC"/>
    <w:rsid w:val="00676676"/>
    <w:rsid w:val="00676862"/>
    <w:rsid w:val="0067692A"/>
    <w:rsid w:val="006769B7"/>
    <w:rsid w:val="00676AFB"/>
    <w:rsid w:val="00676C76"/>
    <w:rsid w:val="00676C78"/>
    <w:rsid w:val="00676CC5"/>
    <w:rsid w:val="00677149"/>
    <w:rsid w:val="00677850"/>
    <w:rsid w:val="00677851"/>
    <w:rsid w:val="006778B1"/>
    <w:rsid w:val="00677C02"/>
    <w:rsid w:val="00677C96"/>
    <w:rsid w:val="00677CC2"/>
    <w:rsid w:val="00677FE0"/>
    <w:rsid w:val="00680874"/>
    <w:rsid w:val="00680C70"/>
    <w:rsid w:val="00680E97"/>
    <w:rsid w:val="006810F9"/>
    <w:rsid w:val="00681220"/>
    <w:rsid w:val="0068135E"/>
    <w:rsid w:val="006818D2"/>
    <w:rsid w:val="00681E26"/>
    <w:rsid w:val="00682371"/>
    <w:rsid w:val="00682459"/>
    <w:rsid w:val="006824DA"/>
    <w:rsid w:val="00682A87"/>
    <w:rsid w:val="00682E1B"/>
    <w:rsid w:val="0068309E"/>
    <w:rsid w:val="0068338B"/>
    <w:rsid w:val="006835AD"/>
    <w:rsid w:val="006836D6"/>
    <w:rsid w:val="00683814"/>
    <w:rsid w:val="00683AD6"/>
    <w:rsid w:val="006845EB"/>
    <w:rsid w:val="00684958"/>
    <w:rsid w:val="00684992"/>
    <w:rsid w:val="006849BC"/>
    <w:rsid w:val="00684B2F"/>
    <w:rsid w:val="00684CE3"/>
    <w:rsid w:val="00684E02"/>
    <w:rsid w:val="00684E29"/>
    <w:rsid w:val="00685060"/>
    <w:rsid w:val="00685139"/>
    <w:rsid w:val="006856B0"/>
    <w:rsid w:val="0068580D"/>
    <w:rsid w:val="00685977"/>
    <w:rsid w:val="006861F0"/>
    <w:rsid w:val="006862B0"/>
    <w:rsid w:val="006866A3"/>
    <w:rsid w:val="00686756"/>
    <w:rsid w:val="0068679D"/>
    <w:rsid w:val="00686A22"/>
    <w:rsid w:val="00686E02"/>
    <w:rsid w:val="0068741E"/>
    <w:rsid w:val="006876D2"/>
    <w:rsid w:val="006877D4"/>
    <w:rsid w:val="006879EA"/>
    <w:rsid w:val="00687DD0"/>
    <w:rsid w:val="0069045C"/>
    <w:rsid w:val="00690FA7"/>
    <w:rsid w:val="00691145"/>
    <w:rsid w:val="006915A2"/>
    <w:rsid w:val="006916AB"/>
    <w:rsid w:val="006918CD"/>
    <w:rsid w:val="006919B2"/>
    <w:rsid w:val="00692054"/>
    <w:rsid w:val="006921FB"/>
    <w:rsid w:val="0069268F"/>
    <w:rsid w:val="006927F8"/>
    <w:rsid w:val="00692D51"/>
    <w:rsid w:val="00692DF7"/>
    <w:rsid w:val="00692E9F"/>
    <w:rsid w:val="006935B1"/>
    <w:rsid w:val="00693854"/>
    <w:rsid w:val="006939BB"/>
    <w:rsid w:val="00693DD0"/>
    <w:rsid w:val="00693F81"/>
    <w:rsid w:val="00694044"/>
    <w:rsid w:val="00694200"/>
    <w:rsid w:val="0069442C"/>
    <w:rsid w:val="0069480F"/>
    <w:rsid w:val="006948F3"/>
    <w:rsid w:val="00694BD6"/>
    <w:rsid w:val="00694D6C"/>
    <w:rsid w:val="006954A0"/>
    <w:rsid w:val="00695579"/>
    <w:rsid w:val="00695883"/>
    <w:rsid w:val="0069598B"/>
    <w:rsid w:val="006959E1"/>
    <w:rsid w:val="00695B73"/>
    <w:rsid w:val="00695C9B"/>
    <w:rsid w:val="00695D8E"/>
    <w:rsid w:val="00695E32"/>
    <w:rsid w:val="00696166"/>
    <w:rsid w:val="006962F6"/>
    <w:rsid w:val="00696715"/>
    <w:rsid w:val="00696AD3"/>
    <w:rsid w:val="00696DD5"/>
    <w:rsid w:val="00697055"/>
    <w:rsid w:val="0069733E"/>
    <w:rsid w:val="006978E8"/>
    <w:rsid w:val="006979FC"/>
    <w:rsid w:val="00697A4E"/>
    <w:rsid w:val="00697BE5"/>
    <w:rsid w:val="006A0F54"/>
    <w:rsid w:val="006A1242"/>
    <w:rsid w:val="006A13D1"/>
    <w:rsid w:val="006A1470"/>
    <w:rsid w:val="006A171C"/>
    <w:rsid w:val="006A1BEA"/>
    <w:rsid w:val="006A1DE4"/>
    <w:rsid w:val="006A1E6B"/>
    <w:rsid w:val="006A1F67"/>
    <w:rsid w:val="006A20A6"/>
    <w:rsid w:val="006A2636"/>
    <w:rsid w:val="006A2659"/>
    <w:rsid w:val="006A268F"/>
    <w:rsid w:val="006A28FB"/>
    <w:rsid w:val="006A2923"/>
    <w:rsid w:val="006A325E"/>
    <w:rsid w:val="006A33F5"/>
    <w:rsid w:val="006A36CF"/>
    <w:rsid w:val="006A3A76"/>
    <w:rsid w:val="006A3C22"/>
    <w:rsid w:val="006A4910"/>
    <w:rsid w:val="006A5065"/>
    <w:rsid w:val="006A5C91"/>
    <w:rsid w:val="006A5D8C"/>
    <w:rsid w:val="006A5DFE"/>
    <w:rsid w:val="006A6090"/>
    <w:rsid w:val="006A61C9"/>
    <w:rsid w:val="006A6225"/>
    <w:rsid w:val="006A62C6"/>
    <w:rsid w:val="006A6433"/>
    <w:rsid w:val="006A65AB"/>
    <w:rsid w:val="006A65BD"/>
    <w:rsid w:val="006A68E4"/>
    <w:rsid w:val="006A6A06"/>
    <w:rsid w:val="006A6AAA"/>
    <w:rsid w:val="006A6E24"/>
    <w:rsid w:val="006A7033"/>
    <w:rsid w:val="006A721D"/>
    <w:rsid w:val="006A770A"/>
    <w:rsid w:val="006A7C41"/>
    <w:rsid w:val="006A7E7B"/>
    <w:rsid w:val="006B01E4"/>
    <w:rsid w:val="006B045A"/>
    <w:rsid w:val="006B04CB"/>
    <w:rsid w:val="006B08EA"/>
    <w:rsid w:val="006B0AC7"/>
    <w:rsid w:val="006B0ADA"/>
    <w:rsid w:val="006B10AB"/>
    <w:rsid w:val="006B123E"/>
    <w:rsid w:val="006B128B"/>
    <w:rsid w:val="006B1962"/>
    <w:rsid w:val="006B1DAD"/>
    <w:rsid w:val="006B1DD1"/>
    <w:rsid w:val="006B1E6A"/>
    <w:rsid w:val="006B1EEB"/>
    <w:rsid w:val="006B2021"/>
    <w:rsid w:val="006B237E"/>
    <w:rsid w:val="006B2380"/>
    <w:rsid w:val="006B24FD"/>
    <w:rsid w:val="006B2542"/>
    <w:rsid w:val="006B2F30"/>
    <w:rsid w:val="006B3205"/>
    <w:rsid w:val="006B331F"/>
    <w:rsid w:val="006B34A8"/>
    <w:rsid w:val="006B3A73"/>
    <w:rsid w:val="006B3BFB"/>
    <w:rsid w:val="006B3C3D"/>
    <w:rsid w:val="006B3E29"/>
    <w:rsid w:val="006B3E57"/>
    <w:rsid w:val="006B3EC9"/>
    <w:rsid w:val="006B3EF0"/>
    <w:rsid w:val="006B437E"/>
    <w:rsid w:val="006B4579"/>
    <w:rsid w:val="006B465B"/>
    <w:rsid w:val="006B48C7"/>
    <w:rsid w:val="006B4BF3"/>
    <w:rsid w:val="006B4D46"/>
    <w:rsid w:val="006B4D5C"/>
    <w:rsid w:val="006B564C"/>
    <w:rsid w:val="006B5694"/>
    <w:rsid w:val="006B5D17"/>
    <w:rsid w:val="006B5FC0"/>
    <w:rsid w:val="006B60EE"/>
    <w:rsid w:val="006B631D"/>
    <w:rsid w:val="006B65A9"/>
    <w:rsid w:val="006B6964"/>
    <w:rsid w:val="006B6F18"/>
    <w:rsid w:val="006B6FAF"/>
    <w:rsid w:val="006B75CB"/>
    <w:rsid w:val="006B75E8"/>
    <w:rsid w:val="006B7983"/>
    <w:rsid w:val="006B7BDF"/>
    <w:rsid w:val="006B7CB5"/>
    <w:rsid w:val="006B7CF2"/>
    <w:rsid w:val="006B7E09"/>
    <w:rsid w:val="006C0779"/>
    <w:rsid w:val="006C09FA"/>
    <w:rsid w:val="006C0CBC"/>
    <w:rsid w:val="006C1189"/>
    <w:rsid w:val="006C1198"/>
    <w:rsid w:val="006C1319"/>
    <w:rsid w:val="006C1343"/>
    <w:rsid w:val="006C1444"/>
    <w:rsid w:val="006C1A90"/>
    <w:rsid w:val="006C1C48"/>
    <w:rsid w:val="006C219C"/>
    <w:rsid w:val="006C23AE"/>
    <w:rsid w:val="006C2ADA"/>
    <w:rsid w:val="006C3073"/>
    <w:rsid w:val="006C314F"/>
    <w:rsid w:val="006C3261"/>
    <w:rsid w:val="006C32A5"/>
    <w:rsid w:val="006C3574"/>
    <w:rsid w:val="006C3BA4"/>
    <w:rsid w:val="006C3BB6"/>
    <w:rsid w:val="006C3D97"/>
    <w:rsid w:val="006C3E3B"/>
    <w:rsid w:val="006C3F01"/>
    <w:rsid w:val="006C3FD4"/>
    <w:rsid w:val="006C4039"/>
    <w:rsid w:val="006C422B"/>
    <w:rsid w:val="006C43B5"/>
    <w:rsid w:val="006C445E"/>
    <w:rsid w:val="006C464B"/>
    <w:rsid w:val="006C4712"/>
    <w:rsid w:val="006C477D"/>
    <w:rsid w:val="006C4793"/>
    <w:rsid w:val="006C4C4D"/>
    <w:rsid w:val="006C4D02"/>
    <w:rsid w:val="006C4DD8"/>
    <w:rsid w:val="006C5198"/>
    <w:rsid w:val="006C535A"/>
    <w:rsid w:val="006C558E"/>
    <w:rsid w:val="006C5BA4"/>
    <w:rsid w:val="006C5C4D"/>
    <w:rsid w:val="006C5E05"/>
    <w:rsid w:val="006C607B"/>
    <w:rsid w:val="006C609F"/>
    <w:rsid w:val="006C6C85"/>
    <w:rsid w:val="006C6DC4"/>
    <w:rsid w:val="006C6E50"/>
    <w:rsid w:val="006C6E82"/>
    <w:rsid w:val="006C6EC0"/>
    <w:rsid w:val="006C6F46"/>
    <w:rsid w:val="006C70C8"/>
    <w:rsid w:val="006C70F4"/>
    <w:rsid w:val="006C71AF"/>
    <w:rsid w:val="006C730B"/>
    <w:rsid w:val="006C7442"/>
    <w:rsid w:val="006C7910"/>
    <w:rsid w:val="006C7B3B"/>
    <w:rsid w:val="006C7C7F"/>
    <w:rsid w:val="006C7D17"/>
    <w:rsid w:val="006D0342"/>
    <w:rsid w:val="006D05DB"/>
    <w:rsid w:val="006D0684"/>
    <w:rsid w:val="006D0730"/>
    <w:rsid w:val="006D0A65"/>
    <w:rsid w:val="006D0B3B"/>
    <w:rsid w:val="006D14BF"/>
    <w:rsid w:val="006D227B"/>
    <w:rsid w:val="006D22D6"/>
    <w:rsid w:val="006D2355"/>
    <w:rsid w:val="006D2388"/>
    <w:rsid w:val="006D242B"/>
    <w:rsid w:val="006D2566"/>
    <w:rsid w:val="006D2AD5"/>
    <w:rsid w:val="006D2B3B"/>
    <w:rsid w:val="006D2C26"/>
    <w:rsid w:val="006D30F2"/>
    <w:rsid w:val="006D3491"/>
    <w:rsid w:val="006D35C5"/>
    <w:rsid w:val="006D3675"/>
    <w:rsid w:val="006D3A16"/>
    <w:rsid w:val="006D3C89"/>
    <w:rsid w:val="006D3CEF"/>
    <w:rsid w:val="006D40C3"/>
    <w:rsid w:val="006D4153"/>
    <w:rsid w:val="006D43DF"/>
    <w:rsid w:val="006D45E8"/>
    <w:rsid w:val="006D4606"/>
    <w:rsid w:val="006D46C6"/>
    <w:rsid w:val="006D4771"/>
    <w:rsid w:val="006D47B7"/>
    <w:rsid w:val="006D48F7"/>
    <w:rsid w:val="006D4A26"/>
    <w:rsid w:val="006D4B2B"/>
    <w:rsid w:val="006D53A1"/>
    <w:rsid w:val="006D5702"/>
    <w:rsid w:val="006D5C93"/>
    <w:rsid w:val="006D5FB2"/>
    <w:rsid w:val="006D61B1"/>
    <w:rsid w:val="006D645B"/>
    <w:rsid w:val="006D6507"/>
    <w:rsid w:val="006D6584"/>
    <w:rsid w:val="006D6610"/>
    <w:rsid w:val="006D67FE"/>
    <w:rsid w:val="006D692E"/>
    <w:rsid w:val="006D6C58"/>
    <w:rsid w:val="006D6DA5"/>
    <w:rsid w:val="006D71F3"/>
    <w:rsid w:val="006D76BD"/>
    <w:rsid w:val="006D76F2"/>
    <w:rsid w:val="006D7742"/>
    <w:rsid w:val="006D7743"/>
    <w:rsid w:val="006D7791"/>
    <w:rsid w:val="006E03AE"/>
    <w:rsid w:val="006E0AE2"/>
    <w:rsid w:val="006E0BD2"/>
    <w:rsid w:val="006E1022"/>
    <w:rsid w:val="006E10DA"/>
    <w:rsid w:val="006E15DF"/>
    <w:rsid w:val="006E16C4"/>
    <w:rsid w:val="006E176E"/>
    <w:rsid w:val="006E1AA5"/>
    <w:rsid w:val="006E1AC9"/>
    <w:rsid w:val="006E1DF7"/>
    <w:rsid w:val="006E1FFC"/>
    <w:rsid w:val="006E2204"/>
    <w:rsid w:val="006E255E"/>
    <w:rsid w:val="006E26D4"/>
    <w:rsid w:val="006E2814"/>
    <w:rsid w:val="006E2D0D"/>
    <w:rsid w:val="006E2D3C"/>
    <w:rsid w:val="006E32D7"/>
    <w:rsid w:val="006E34D9"/>
    <w:rsid w:val="006E3E14"/>
    <w:rsid w:val="006E3FB0"/>
    <w:rsid w:val="006E402E"/>
    <w:rsid w:val="006E4267"/>
    <w:rsid w:val="006E44BE"/>
    <w:rsid w:val="006E462D"/>
    <w:rsid w:val="006E4824"/>
    <w:rsid w:val="006E4877"/>
    <w:rsid w:val="006E4A11"/>
    <w:rsid w:val="006E4A93"/>
    <w:rsid w:val="006E4BB9"/>
    <w:rsid w:val="006E4C1F"/>
    <w:rsid w:val="006E4CB3"/>
    <w:rsid w:val="006E4F84"/>
    <w:rsid w:val="006E4FF7"/>
    <w:rsid w:val="006E504D"/>
    <w:rsid w:val="006E552B"/>
    <w:rsid w:val="006E5554"/>
    <w:rsid w:val="006E583D"/>
    <w:rsid w:val="006E5A44"/>
    <w:rsid w:val="006E6408"/>
    <w:rsid w:val="006E665D"/>
    <w:rsid w:val="006E6AB5"/>
    <w:rsid w:val="006E6DA3"/>
    <w:rsid w:val="006E71C7"/>
    <w:rsid w:val="006E742C"/>
    <w:rsid w:val="006E7802"/>
    <w:rsid w:val="006E7870"/>
    <w:rsid w:val="006E78E8"/>
    <w:rsid w:val="006E7EA8"/>
    <w:rsid w:val="006F00EC"/>
    <w:rsid w:val="006F023A"/>
    <w:rsid w:val="006F0560"/>
    <w:rsid w:val="006F0663"/>
    <w:rsid w:val="006F0B19"/>
    <w:rsid w:val="006F10E1"/>
    <w:rsid w:val="006F1440"/>
    <w:rsid w:val="006F167B"/>
    <w:rsid w:val="006F189B"/>
    <w:rsid w:val="006F1C71"/>
    <w:rsid w:val="006F1D50"/>
    <w:rsid w:val="006F1E22"/>
    <w:rsid w:val="006F22E0"/>
    <w:rsid w:val="006F22F8"/>
    <w:rsid w:val="006F2372"/>
    <w:rsid w:val="006F23CA"/>
    <w:rsid w:val="006F2684"/>
    <w:rsid w:val="006F26C7"/>
    <w:rsid w:val="006F2735"/>
    <w:rsid w:val="006F2815"/>
    <w:rsid w:val="006F2929"/>
    <w:rsid w:val="006F388D"/>
    <w:rsid w:val="006F3C1C"/>
    <w:rsid w:val="006F3C8F"/>
    <w:rsid w:val="006F42E3"/>
    <w:rsid w:val="006F4362"/>
    <w:rsid w:val="006F44AD"/>
    <w:rsid w:val="006F47DB"/>
    <w:rsid w:val="006F4824"/>
    <w:rsid w:val="006F48D5"/>
    <w:rsid w:val="006F494A"/>
    <w:rsid w:val="006F4BC3"/>
    <w:rsid w:val="006F4C49"/>
    <w:rsid w:val="006F4F92"/>
    <w:rsid w:val="006F50F7"/>
    <w:rsid w:val="006F52B3"/>
    <w:rsid w:val="006F538C"/>
    <w:rsid w:val="006F5737"/>
    <w:rsid w:val="006F58C4"/>
    <w:rsid w:val="006F59AD"/>
    <w:rsid w:val="006F5E9A"/>
    <w:rsid w:val="006F609B"/>
    <w:rsid w:val="006F62AE"/>
    <w:rsid w:val="006F637B"/>
    <w:rsid w:val="006F647D"/>
    <w:rsid w:val="006F6614"/>
    <w:rsid w:val="006F66FA"/>
    <w:rsid w:val="006F69C2"/>
    <w:rsid w:val="006F6D06"/>
    <w:rsid w:val="006F6E37"/>
    <w:rsid w:val="006F7294"/>
    <w:rsid w:val="006F7490"/>
    <w:rsid w:val="006F79B2"/>
    <w:rsid w:val="006F7AEC"/>
    <w:rsid w:val="006F7B92"/>
    <w:rsid w:val="006F7C3B"/>
    <w:rsid w:val="006F7DD0"/>
    <w:rsid w:val="007000D4"/>
    <w:rsid w:val="00700178"/>
    <w:rsid w:val="00700194"/>
    <w:rsid w:val="007001B2"/>
    <w:rsid w:val="007004A9"/>
    <w:rsid w:val="00700586"/>
    <w:rsid w:val="007008F3"/>
    <w:rsid w:val="00700A90"/>
    <w:rsid w:val="00700B6A"/>
    <w:rsid w:val="0070136D"/>
    <w:rsid w:val="007018B2"/>
    <w:rsid w:val="00701D45"/>
    <w:rsid w:val="00701E9C"/>
    <w:rsid w:val="00701F72"/>
    <w:rsid w:val="00702168"/>
    <w:rsid w:val="00702214"/>
    <w:rsid w:val="007025AD"/>
    <w:rsid w:val="0070287A"/>
    <w:rsid w:val="0070322C"/>
    <w:rsid w:val="007034B0"/>
    <w:rsid w:val="007034FE"/>
    <w:rsid w:val="00703801"/>
    <w:rsid w:val="00703C89"/>
    <w:rsid w:val="007041C8"/>
    <w:rsid w:val="00704277"/>
    <w:rsid w:val="007043A7"/>
    <w:rsid w:val="007045A9"/>
    <w:rsid w:val="00704C8C"/>
    <w:rsid w:val="00704D15"/>
    <w:rsid w:val="00704E2A"/>
    <w:rsid w:val="00704F5E"/>
    <w:rsid w:val="007053A4"/>
    <w:rsid w:val="00705C0A"/>
    <w:rsid w:val="00705D2D"/>
    <w:rsid w:val="00705F41"/>
    <w:rsid w:val="00705F7F"/>
    <w:rsid w:val="007060ED"/>
    <w:rsid w:val="00706192"/>
    <w:rsid w:val="00706386"/>
    <w:rsid w:val="007064EF"/>
    <w:rsid w:val="00706807"/>
    <w:rsid w:val="00706928"/>
    <w:rsid w:val="0070698D"/>
    <w:rsid w:val="00706A73"/>
    <w:rsid w:val="00706ECF"/>
    <w:rsid w:val="00706F2B"/>
    <w:rsid w:val="0070716D"/>
    <w:rsid w:val="0070720A"/>
    <w:rsid w:val="007077E1"/>
    <w:rsid w:val="00707B6F"/>
    <w:rsid w:val="00707CBD"/>
    <w:rsid w:val="00707CFC"/>
    <w:rsid w:val="00707DEA"/>
    <w:rsid w:val="007100EA"/>
    <w:rsid w:val="007101E9"/>
    <w:rsid w:val="007104B0"/>
    <w:rsid w:val="00710653"/>
    <w:rsid w:val="007106A4"/>
    <w:rsid w:val="00711772"/>
    <w:rsid w:val="0071178B"/>
    <w:rsid w:val="007117A8"/>
    <w:rsid w:val="0071183A"/>
    <w:rsid w:val="007119B1"/>
    <w:rsid w:val="00711BF3"/>
    <w:rsid w:val="00711EE9"/>
    <w:rsid w:val="00712416"/>
    <w:rsid w:val="007129AC"/>
    <w:rsid w:val="00712A9E"/>
    <w:rsid w:val="00713115"/>
    <w:rsid w:val="007133CC"/>
    <w:rsid w:val="00713537"/>
    <w:rsid w:val="00713569"/>
    <w:rsid w:val="00713B9A"/>
    <w:rsid w:val="00714106"/>
    <w:rsid w:val="007142BB"/>
    <w:rsid w:val="007142CC"/>
    <w:rsid w:val="007144AE"/>
    <w:rsid w:val="00714688"/>
    <w:rsid w:val="00714AD7"/>
    <w:rsid w:val="00714F27"/>
    <w:rsid w:val="007152CE"/>
    <w:rsid w:val="007155FC"/>
    <w:rsid w:val="00715A19"/>
    <w:rsid w:val="00715A25"/>
    <w:rsid w:val="0071621E"/>
    <w:rsid w:val="00716641"/>
    <w:rsid w:val="0071677B"/>
    <w:rsid w:val="007167F4"/>
    <w:rsid w:val="007168AF"/>
    <w:rsid w:val="00716C43"/>
    <w:rsid w:val="00716C7B"/>
    <w:rsid w:val="00716E01"/>
    <w:rsid w:val="007171E5"/>
    <w:rsid w:val="00717A1B"/>
    <w:rsid w:val="00717BBB"/>
    <w:rsid w:val="00717BCD"/>
    <w:rsid w:val="00717F80"/>
    <w:rsid w:val="0072010D"/>
    <w:rsid w:val="00720168"/>
    <w:rsid w:val="007203A8"/>
    <w:rsid w:val="0072069C"/>
    <w:rsid w:val="007209AD"/>
    <w:rsid w:val="00720A01"/>
    <w:rsid w:val="00720B9F"/>
    <w:rsid w:val="0072148C"/>
    <w:rsid w:val="007215F1"/>
    <w:rsid w:val="00721B2F"/>
    <w:rsid w:val="00721D2B"/>
    <w:rsid w:val="00722146"/>
    <w:rsid w:val="00722418"/>
    <w:rsid w:val="00722787"/>
    <w:rsid w:val="00722E62"/>
    <w:rsid w:val="00722F6F"/>
    <w:rsid w:val="00722FF3"/>
    <w:rsid w:val="00723162"/>
    <w:rsid w:val="007231C4"/>
    <w:rsid w:val="007232C3"/>
    <w:rsid w:val="0072373C"/>
    <w:rsid w:val="007237AB"/>
    <w:rsid w:val="0072383E"/>
    <w:rsid w:val="0072389F"/>
    <w:rsid w:val="00723E0B"/>
    <w:rsid w:val="00724BB7"/>
    <w:rsid w:val="00724D2F"/>
    <w:rsid w:val="0072524F"/>
    <w:rsid w:val="007252E9"/>
    <w:rsid w:val="00725780"/>
    <w:rsid w:val="007258D5"/>
    <w:rsid w:val="007258E7"/>
    <w:rsid w:val="00725E65"/>
    <w:rsid w:val="007260A1"/>
    <w:rsid w:val="007261C1"/>
    <w:rsid w:val="007261D0"/>
    <w:rsid w:val="00726291"/>
    <w:rsid w:val="00726910"/>
    <w:rsid w:val="0072691F"/>
    <w:rsid w:val="00726AE6"/>
    <w:rsid w:val="00726EC0"/>
    <w:rsid w:val="007274C3"/>
    <w:rsid w:val="007275AD"/>
    <w:rsid w:val="00727D06"/>
    <w:rsid w:val="00727FE9"/>
    <w:rsid w:val="007301BD"/>
    <w:rsid w:val="0073068D"/>
    <w:rsid w:val="00730D28"/>
    <w:rsid w:val="00730FCD"/>
    <w:rsid w:val="00731262"/>
    <w:rsid w:val="007312AF"/>
    <w:rsid w:val="00731308"/>
    <w:rsid w:val="00731A1B"/>
    <w:rsid w:val="00731C54"/>
    <w:rsid w:val="007321D3"/>
    <w:rsid w:val="0073220E"/>
    <w:rsid w:val="00732571"/>
    <w:rsid w:val="007329C5"/>
    <w:rsid w:val="00732BC9"/>
    <w:rsid w:val="00732E68"/>
    <w:rsid w:val="007330B2"/>
    <w:rsid w:val="007331B7"/>
    <w:rsid w:val="007333E4"/>
    <w:rsid w:val="007335EA"/>
    <w:rsid w:val="007339E0"/>
    <w:rsid w:val="00733C0E"/>
    <w:rsid w:val="00733F76"/>
    <w:rsid w:val="00733FA6"/>
    <w:rsid w:val="00734BAC"/>
    <w:rsid w:val="007350ED"/>
    <w:rsid w:val="007351BB"/>
    <w:rsid w:val="007352D9"/>
    <w:rsid w:val="00735324"/>
    <w:rsid w:val="007355FD"/>
    <w:rsid w:val="0073577F"/>
    <w:rsid w:val="0073578E"/>
    <w:rsid w:val="007359B8"/>
    <w:rsid w:val="00735A76"/>
    <w:rsid w:val="00735BEC"/>
    <w:rsid w:val="00735BFC"/>
    <w:rsid w:val="00735D09"/>
    <w:rsid w:val="00735D89"/>
    <w:rsid w:val="00735DC3"/>
    <w:rsid w:val="00736213"/>
    <w:rsid w:val="00736477"/>
    <w:rsid w:val="00736479"/>
    <w:rsid w:val="00736498"/>
    <w:rsid w:val="007364E3"/>
    <w:rsid w:val="007365AB"/>
    <w:rsid w:val="007366C9"/>
    <w:rsid w:val="00736A33"/>
    <w:rsid w:val="00736EFC"/>
    <w:rsid w:val="007370A5"/>
    <w:rsid w:val="00737456"/>
    <w:rsid w:val="007379F5"/>
    <w:rsid w:val="007403DB"/>
    <w:rsid w:val="00740419"/>
    <w:rsid w:val="0074078C"/>
    <w:rsid w:val="0074098E"/>
    <w:rsid w:val="007411EC"/>
    <w:rsid w:val="0074128E"/>
    <w:rsid w:val="00741CEB"/>
    <w:rsid w:val="00741CFD"/>
    <w:rsid w:val="00741E96"/>
    <w:rsid w:val="00741F00"/>
    <w:rsid w:val="00742288"/>
    <w:rsid w:val="00742334"/>
    <w:rsid w:val="0074244E"/>
    <w:rsid w:val="0074270E"/>
    <w:rsid w:val="0074278F"/>
    <w:rsid w:val="0074297A"/>
    <w:rsid w:val="00743999"/>
    <w:rsid w:val="00743A7B"/>
    <w:rsid w:val="00743C09"/>
    <w:rsid w:val="00743D66"/>
    <w:rsid w:val="007440AC"/>
    <w:rsid w:val="00744841"/>
    <w:rsid w:val="00744FA8"/>
    <w:rsid w:val="00744FB9"/>
    <w:rsid w:val="007452C7"/>
    <w:rsid w:val="007455B6"/>
    <w:rsid w:val="00745714"/>
    <w:rsid w:val="007459E6"/>
    <w:rsid w:val="00745A4B"/>
    <w:rsid w:val="00745AEF"/>
    <w:rsid w:val="00745C18"/>
    <w:rsid w:val="00745D89"/>
    <w:rsid w:val="00745EE2"/>
    <w:rsid w:val="00745F6B"/>
    <w:rsid w:val="00746248"/>
    <w:rsid w:val="00746258"/>
    <w:rsid w:val="007469B7"/>
    <w:rsid w:val="00746A1D"/>
    <w:rsid w:val="00746AC8"/>
    <w:rsid w:val="00746B84"/>
    <w:rsid w:val="00746C19"/>
    <w:rsid w:val="007475C7"/>
    <w:rsid w:val="0074788C"/>
    <w:rsid w:val="00747A65"/>
    <w:rsid w:val="00747B1E"/>
    <w:rsid w:val="0075037E"/>
    <w:rsid w:val="00750F4C"/>
    <w:rsid w:val="00751045"/>
    <w:rsid w:val="007511E3"/>
    <w:rsid w:val="0075189B"/>
    <w:rsid w:val="007518A2"/>
    <w:rsid w:val="007518F3"/>
    <w:rsid w:val="00751B7D"/>
    <w:rsid w:val="00752307"/>
    <w:rsid w:val="00752617"/>
    <w:rsid w:val="007528AC"/>
    <w:rsid w:val="007529DB"/>
    <w:rsid w:val="00752A27"/>
    <w:rsid w:val="00752CBF"/>
    <w:rsid w:val="00752D44"/>
    <w:rsid w:val="00752D86"/>
    <w:rsid w:val="00752E30"/>
    <w:rsid w:val="00752EE4"/>
    <w:rsid w:val="00753277"/>
    <w:rsid w:val="00753384"/>
    <w:rsid w:val="007533C3"/>
    <w:rsid w:val="00753862"/>
    <w:rsid w:val="00753ADD"/>
    <w:rsid w:val="00753B70"/>
    <w:rsid w:val="00753BDD"/>
    <w:rsid w:val="00753DDC"/>
    <w:rsid w:val="0075430F"/>
    <w:rsid w:val="00754514"/>
    <w:rsid w:val="00754516"/>
    <w:rsid w:val="00754573"/>
    <w:rsid w:val="00754579"/>
    <w:rsid w:val="0075458F"/>
    <w:rsid w:val="00754619"/>
    <w:rsid w:val="007547E6"/>
    <w:rsid w:val="007548F1"/>
    <w:rsid w:val="00754933"/>
    <w:rsid w:val="007549C9"/>
    <w:rsid w:val="00754D32"/>
    <w:rsid w:val="00755594"/>
    <w:rsid w:val="007558FE"/>
    <w:rsid w:val="00755AA6"/>
    <w:rsid w:val="00755BF0"/>
    <w:rsid w:val="00755F8D"/>
    <w:rsid w:val="007560F5"/>
    <w:rsid w:val="0075658E"/>
    <w:rsid w:val="00756A82"/>
    <w:rsid w:val="00756AFD"/>
    <w:rsid w:val="00756B1F"/>
    <w:rsid w:val="00756F32"/>
    <w:rsid w:val="00757173"/>
    <w:rsid w:val="00757507"/>
    <w:rsid w:val="00757656"/>
    <w:rsid w:val="00757832"/>
    <w:rsid w:val="007578CA"/>
    <w:rsid w:val="00757964"/>
    <w:rsid w:val="00757AB7"/>
    <w:rsid w:val="00757ACB"/>
    <w:rsid w:val="00757E0E"/>
    <w:rsid w:val="00757EB7"/>
    <w:rsid w:val="00757FC1"/>
    <w:rsid w:val="0076001D"/>
    <w:rsid w:val="0076029B"/>
    <w:rsid w:val="007604EC"/>
    <w:rsid w:val="007604FB"/>
    <w:rsid w:val="007606D8"/>
    <w:rsid w:val="00760A52"/>
    <w:rsid w:val="00760F45"/>
    <w:rsid w:val="00761290"/>
    <w:rsid w:val="007612A8"/>
    <w:rsid w:val="00761315"/>
    <w:rsid w:val="00761670"/>
    <w:rsid w:val="00761719"/>
    <w:rsid w:val="00761A5A"/>
    <w:rsid w:val="00761A90"/>
    <w:rsid w:val="00761EAE"/>
    <w:rsid w:val="00762233"/>
    <w:rsid w:val="00762788"/>
    <w:rsid w:val="00762AFA"/>
    <w:rsid w:val="007630AD"/>
    <w:rsid w:val="00763437"/>
    <w:rsid w:val="0076351D"/>
    <w:rsid w:val="0076373D"/>
    <w:rsid w:val="00763791"/>
    <w:rsid w:val="0076389D"/>
    <w:rsid w:val="007639AD"/>
    <w:rsid w:val="00763A46"/>
    <w:rsid w:val="00763ACE"/>
    <w:rsid w:val="00763ADA"/>
    <w:rsid w:val="00763C73"/>
    <w:rsid w:val="00763C7B"/>
    <w:rsid w:val="00763E7F"/>
    <w:rsid w:val="00763EBB"/>
    <w:rsid w:val="007642A3"/>
    <w:rsid w:val="00764426"/>
    <w:rsid w:val="007644A9"/>
    <w:rsid w:val="007648C2"/>
    <w:rsid w:val="00764E5D"/>
    <w:rsid w:val="00764EA4"/>
    <w:rsid w:val="00764EAD"/>
    <w:rsid w:val="007650AF"/>
    <w:rsid w:val="0076513A"/>
    <w:rsid w:val="00765245"/>
    <w:rsid w:val="0076542E"/>
    <w:rsid w:val="007655BD"/>
    <w:rsid w:val="00765986"/>
    <w:rsid w:val="00765B3C"/>
    <w:rsid w:val="00765FD8"/>
    <w:rsid w:val="007660F5"/>
    <w:rsid w:val="007661C5"/>
    <w:rsid w:val="007665E1"/>
    <w:rsid w:val="007666EF"/>
    <w:rsid w:val="00766A74"/>
    <w:rsid w:val="00766B45"/>
    <w:rsid w:val="00766E59"/>
    <w:rsid w:val="00766E9E"/>
    <w:rsid w:val="00767187"/>
    <w:rsid w:val="007674E0"/>
    <w:rsid w:val="0076773D"/>
    <w:rsid w:val="00767A92"/>
    <w:rsid w:val="00767D82"/>
    <w:rsid w:val="00767E67"/>
    <w:rsid w:val="00767E92"/>
    <w:rsid w:val="00770354"/>
    <w:rsid w:val="00770712"/>
    <w:rsid w:val="00770736"/>
    <w:rsid w:val="0077076E"/>
    <w:rsid w:val="007707E4"/>
    <w:rsid w:val="007708D1"/>
    <w:rsid w:val="00770919"/>
    <w:rsid w:val="00770F6A"/>
    <w:rsid w:val="007710A0"/>
    <w:rsid w:val="0077133B"/>
    <w:rsid w:val="00771635"/>
    <w:rsid w:val="00771636"/>
    <w:rsid w:val="0077179B"/>
    <w:rsid w:val="0077187F"/>
    <w:rsid w:val="007718B0"/>
    <w:rsid w:val="0077190E"/>
    <w:rsid w:val="00771945"/>
    <w:rsid w:val="00771BD1"/>
    <w:rsid w:val="00771E9E"/>
    <w:rsid w:val="00771FD3"/>
    <w:rsid w:val="00772020"/>
    <w:rsid w:val="007722B6"/>
    <w:rsid w:val="007722C0"/>
    <w:rsid w:val="00772B24"/>
    <w:rsid w:val="00772D38"/>
    <w:rsid w:val="00772EB2"/>
    <w:rsid w:val="00772F9B"/>
    <w:rsid w:val="00773204"/>
    <w:rsid w:val="0077342F"/>
    <w:rsid w:val="00773BB5"/>
    <w:rsid w:val="00773F14"/>
    <w:rsid w:val="00773F84"/>
    <w:rsid w:val="00774153"/>
    <w:rsid w:val="00774180"/>
    <w:rsid w:val="0077439A"/>
    <w:rsid w:val="00774442"/>
    <w:rsid w:val="007746EC"/>
    <w:rsid w:val="00774C16"/>
    <w:rsid w:val="0077510C"/>
    <w:rsid w:val="007755EB"/>
    <w:rsid w:val="007759CD"/>
    <w:rsid w:val="00775C48"/>
    <w:rsid w:val="00775E70"/>
    <w:rsid w:val="00775F21"/>
    <w:rsid w:val="00775F48"/>
    <w:rsid w:val="0077631F"/>
    <w:rsid w:val="007767A1"/>
    <w:rsid w:val="0077725A"/>
    <w:rsid w:val="00777FB7"/>
    <w:rsid w:val="00780017"/>
    <w:rsid w:val="007802C7"/>
    <w:rsid w:val="00780393"/>
    <w:rsid w:val="007803D6"/>
    <w:rsid w:val="00780C45"/>
    <w:rsid w:val="0078132C"/>
    <w:rsid w:val="007813EE"/>
    <w:rsid w:val="0078152C"/>
    <w:rsid w:val="00781610"/>
    <w:rsid w:val="007816B7"/>
    <w:rsid w:val="00781885"/>
    <w:rsid w:val="00781B55"/>
    <w:rsid w:val="00781DFA"/>
    <w:rsid w:val="00782553"/>
    <w:rsid w:val="007826A0"/>
    <w:rsid w:val="007828C0"/>
    <w:rsid w:val="00782CD9"/>
    <w:rsid w:val="007830B2"/>
    <w:rsid w:val="00783840"/>
    <w:rsid w:val="00783A97"/>
    <w:rsid w:val="00783AAD"/>
    <w:rsid w:val="00783BFB"/>
    <w:rsid w:val="00783C3F"/>
    <w:rsid w:val="00784174"/>
    <w:rsid w:val="00784361"/>
    <w:rsid w:val="007847BD"/>
    <w:rsid w:val="007850F6"/>
    <w:rsid w:val="0078545F"/>
    <w:rsid w:val="00785577"/>
    <w:rsid w:val="0078570A"/>
    <w:rsid w:val="00785719"/>
    <w:rsid w:val="007859AA"/>
    <w:rsid w:val="00785A70"/>
    <w:rsid w:val="00785C0A"/>
    <w:rsid w:val="00785D7D"/>
    <w:rsid w:val="00785DC2"/>
    <w:rsid w:val="007860D7"/>
    <w:rsid w:val="00786295"/>
    <w:rsid w:val="0078645E"/>
    <w:rsid w:val="007869D6"/>
    <w:rsid w:val="00786A5F"/>
    <w:rsid w:val="00786B4C"/>
    <w:rsid w:val="0078709A"/>
    <w:rsid w:val="007871AF"/>
    <w:rsid w:val="00787310"/>
    <w:rsid w:val="00787595"/>
    <w:rsid w:val="00787630"/>
    <w:rsid w:val="00787676"/>
    <w:rsid w:val="00787878"/>
    <w:rsid w:val="007878FD"/>
    <w:rsid w:val="00787DAA"/>
    <w:rsid w:val="00790576"/>
    <w:rsid w:val="007909C8"/>
    <w:rsid w:val="0079111B"/>
    <w:rsid w:val="0079146C"/>
    <w:rsid w:val="00791A6A"/>
    <w:rsid w:val="00791DF4"/>
    <w:rsid w:val="007923E6"/>
    <w:rsid w:val="00792696"/>
    <w:rsid w:val="007926A9"/>
    <w:rsid w:val="00792B8E"/>
    <w:rsid w:val="00792C5F"/>
    <w:rsid w:val="00792C8A"/>
    <w:rsid w:val="00792E29"/>
    <w:rsid w:val="0079301F"/>
    <w:rsid w:val="007930F2"/>
    <w:rsid w:val="00793BEA"/>
    <w:rsid w:val="00793CB7"/>
    <w:rsid w:val="00793E1B"/>
    <w:rsid w:val="007941E2"/>
    <w:rsid w:val="007942B0"/>
    <w:rsid w:val="007942C1"/>
    <w:rsid w:val="00794473"/>
    <w:rsid w:val="00794691"/>
    <w:rsid w:val="00794996"/>
    <w:rsid w:val="007949A5"/>
    <w:rsid w:val="00794A43"/>
    <w:rsid w:val="00794A66"/>
    <w:rsid w:val="007953B8"/>
    <w:rsid w:val="007955AB"/>
    <w:rsid w:val="0079575F"/>
    <w:rsid w:val="00795876"/>
    <w:rsid w:val="0079593E"/>
    <w:rsid w:val="00795A84"/>
    <w:rsid w:val="00795AD3"/>
    <w:rsid w:val="00795BBB"/>
    <w:rsid w:val="00795E72"/>
    <w:rsid w:val="00795F26"/>
    <w:rsid w:val="00796002"/>
    <w:rsid w:val="00796D21"/>
    <w:rsid w:val="00796F53"/>
    <w:rsid w:val="0079734E"/>
    <w:rsid w:val="00797483"/>
    <w:rsid w:val="00797744"/>
    <w:rsid w:val="00797796"/>
    <w:rsid w:val="00797F79"/>
    <w:rsid w:val="00797FA0"/>
    <w:rsid w:val="007A0270"/>
    <w:rsid w:val="007A02D1"/>
    <w:rsid w:val="007A0AFC"/>
    <w:rsid w:val="007A0E11"/>
    <w:rsid w:val="007A1203"/>
    <w:rsid w:val="007A146D"/>
    <w:rsid w:val="007A14A0"/>
    <w:rsid w:val="007A1557"/>
    <w:rsid w:val="007A1FC9"/>
    <w:rsid w:val="007A2037"/>
    <w:rsid w:val="007A2259"/>
    <w:rsid w:val="007A2334"/>
    <w:rsid w:val="007A23F9"/>
    <w:rsid w:val="007A29E3"/>
    <w:rsid w:val="007A315F"/>
    <w:rsid w:val="007A3367"/>
    <w:rsid w:val="007A33E0"/>
    <w:rsid w:val="007A3F35"/>
    <w:rsid w:val="007A4051"/>
    <w:rsid w:val="007A4296"/>
    <w:rsid w:val="007A43CF"/>
    <w:rsid w:val="007A43E2"/>
    <w:rsid w:val="007A449C"/>
    <w:rsid w:val="007A4836"/>
    <w:rsid w:val="007A4ADA"/>
    <w:rsid w:val="007A4B1E"/>
    <w:rsid w:val="007A4BB6"/>
    <w:rsid w:val="007A4C92"/>
    <w:rsid w:val="007A4E60"/>
    <w:rsid w:val="007A524B"/>
    <w:rsid w:val="007A55B8"/>
    <w:rsid w:val="007A55E2"/>
    <w:rsid w:val="007A5707"/>
    <w:rsid w:val="007A618F"/>
    <w:rsid w:val="007A6813"/>
    <w:rsid w:val="007A6CAC"/>
    <w:rsid w:val="007A6E3F"/>
    <w:rsid w:val="007A7352"/>
    <w:rsid w:val="007A795A"/>
    <w:rsid w:val="007A7B4E"/>
    <w:rsid w:val="007A7E9E"/>
    <w:rsid w:val="007A7EAC"/>
    <w:rsid w:val="007B03E0"/>
    <w:rsid w:val="007B03F9"/>
    <w:rsid w:val="007B0432"/>
    <w:rsid w:val="007B0477"/>
    <w:rsid w:val="007B06CF"/>
    <w:rsid w:val="007B072B"/>
    <w:rsid w:val="007B095C"/>
    <w:rsid w:val="007B0A0E"/>
    <w:rsid w:val="007B0A70"/>
    <w:rsid w:val="007B0C22"/>
    <w:rsid w:val="007B107B"/>
    <w:rsid w:val="007B108E"/>
    <w:rsid w:val="007B10B4"/>
    <w:rsid w:val="007B1126"/>
    <w:rsid w:val="007B1361"/>
    <w:rsid w:val="007B13ED"/>
    <w:rsid w:val="007B1916"/>
    <w:rsid w:val="007B1B1D"/>
    <w:rsid w:val="007B1CB4"/>
    <w:rsid w:val="007B1E57"/>
    <w:rsid w:val="007B26BE"/>
    <w:rsid w:val="007B27B9"/>
    <w:rsid w:val="007B2AE2"/>
    <w:rsid w:val="007B2B55"/>
    <w:rsid w:val="007B2C6D"/>
    <w:rsid w:val="007B2D5E"/>
    <w:rsid w:val="007B2DB7"/>
    <w:rsid w:val="007B2E3D"/>
    <w:rsid w:val="007B2E46"/>
    <w:rsid w:val="007B37CC"/>
    <w:rsid w:val="007B3975"/>
    <w:rsid w:val="007B397F"/>
    <w:rsid w:val="007B3A80"/>
    <w:rsid w:val="007B3ABF"/>
    <w:rsid w:val="007B3EC1"/>
    <w:rsid w:val="007B3FA7"/>
    <w:rsid w:val="007B407D"/>
    <w:rsid w:val="007B4B7A"/>
    <w:rsid w:val="007B4B86"/>
    <w:rsid w:val="007B4D46"/>
    <w:rsid w:val="007B4DF1"/>
    <w:rsid w:val="007B4E6B"/>
    <w:rsid w:val="007B53F3"/>
    <w:rsid w:val="007B5AAA"/>
    <w:rsid w:val="007B5B6A"/>
    <w:rsid w:val="007B5BEA"/>
    <w:rsid w:val="007B5F1C"/>
    <w:rsid w:val="007B6032"/>
    <w:rsid w:val="007B641C"/>
    <w:rsid w:val="007B64F4"/>
    <w:rsid w:val="007B6708"/>
    <w:rsid w:val="007B688A"/>
    <w:rsid w:val="007B6F48"/>
    <w:rsid w:val="007B760F"/>
    <w:rsid w:val="007B76A4"/>
    <w:rsid w:val="007B78A4"/>
    <w:rsid w:val="007B79AE"/>
    <w:rsid w:val="007B7CFE"/>
    <w:rsid w:val="007B7E35"/>
    <w:rsid w:val="007B7EC4"/>
    <w:rsid w:val="007B7FA7"/>
    <w:rsid w:val="007C0567"/>
    <w:rsid w:val="007C0ADC"/>
    <w:rsid w:val="007C0E80"/>
    <w:rsid w:val="007C0E8F"/>
    <w:rsid w:val="007C11DB"/>
    <w:rsid w:val="007C14E6"/>
    <w:rsid w:val="007C1BF6"/>
    <w:rsid w:val="007C1C33"/>
    <w:rsid w:val="007C1D2E"/>
    <w:rsid w:val="007C1E2C"/>
    <w:rsid w:val="007C1F06"/>
    <w:rsid w:val="007C1F4D"/>
    <w:rsid w:val="007C2422"/>
    <w:rsid w:val="007C2B6C"/>
    <w:rsid w:val="007C2C8B"/>
    <w:rsid w:val="007C30B9"/>
    <w:rsid w:val="007C3574"/>
    <w:rsid w:val="007C357B"/>
    <w:rsid w:val="007C374B"/>
    <w:rsid w:val="007C3810"/>
    <w:rsid w:val="007C3950"/>
    <w:rsid w:val="007C425A"/>
    <w:rsid w:val="007C43DC"/>
    <w:rsid w:val="007C4430"/>
    <w:rsid w:val="007C4703"/>
    <w:rsid w:val="007C4711"/>
    <w:rsid w:val="007C4906"/>
    <w:rsid w:val="007C4993"/>
    <w:rsid w:val="007C49B8"/>
    <w:rsid w:val="007C4B18"/>
    <w:rsid w:val="007C4DF0"/>
    <w:rsid w:val="007C505A"/>
    <w:rsid w:val="007C529D"/>
    <w:rsid w:val="007C53E4"/>
    <w:rsid w:val="007C56FB"/>
    <w:rsid w:val="007C5870"/>
    <w:rsid w:val="007C59D9"/>
    <w:rsid w:val="007C5B57"/>
    <w:rsid w:val="007C5ED6"/>
    <w:rsid w:val="007C5F74"/>
    <w:rsid w:val="007C6063"/>
    <w:rsid w:val="007C60EA"/>
    <w:rsid w:val="007C6874"/>
    <w:rsid w:val="007C68E7"/>
    <w:rsid w:val="007C6A2A"/>
    <w:rsid w:val="007C6C35"/>
    <w:rsid w:val="007C6E45"/>
    <w:rsid w:val="007C6FB8"/>
    <w:rsid w:val="007C70BA"/>
    <w:rsid w:val="007C70D2"/>
    <w:rsid w:val="007C7A23"/>
    <w:rsid w:val="007C7A31"/>
    <w:rsid w:val="007C7D1A"/>
    <w:rsid w:val="007C7D5B"/>
    <w:rsid w:val="007D0047"/>
    <w:rsid w:val="007D01B4"/>
    <w:rsid w:val="007D071A"/>
    <w:rsid w:val="007D0C67"/>
    <w:rsid w:val="007D0EA2"/>
    <w:rsid w:val="007D0EF7"/>
    <w:rsid w:val="007D0F32"/>
    <w:rsid w:val="007D13CB"/>
    <w:rsid w:val="007D1A5D"/>
    <w:rsid w:val="007D2118"/>
    <w:rsid w:val="007D2149"/>
    <w:rsid w:val="007D270C"/>
    <w:rsid w:val="007D29FB"/>
    <w:rsid w:val="007D2DCC"/>
    <w:rsid w:val="007D2EC0"/>
    <w:rsid w:val="007D3214"/>
    <w:rsid w:val="007D37DD"/>
    <w:rsid w:val="007D3865"/>
    <w:rsid w:val="007D3CF7"/>
    <w:rsid w:val="007D3DDE"/>
    <w:rsid w:val="007D43AE"/>
    <w:rsid w:val="007D445E"/>
    <w:rsid w:val="007D45B8"/>
    <w:rsid w:val="007D461B"/>
    <w:rsid w:val="007D4621"/>
    <w:rsid w:val="007D482C"/>
    <w:rsid w:val="007D4B33"/>
    <w:rsid w:val="007D4CAA"/>
    <w:rsid w:val="007D4E99"/>
    <w:rsid w:val="007D506D"/>
    <w:rsid w:val="007D5194"/>
    <w:rsid w:val="007D5683"/>
    <w:rsid w:val="007D589F"/>
    <w:rsid w:val="007D59FD"/>
    <w:rsid w:val="007D5D54"/>
    <w:rsid w:val="007D5DD4"/>
    <w:rsid w:val="007D6519"/>
    <w:rsid w:val="007D65E2"/>
    <w:rsid w:val="007D69A5"/>
    <w:rsid w:val="007D6A4F"/>
    <w:rsid w:val="007D7033"/>
    <w:rsid w:val="007D7582"/>
    <w:rsid w:val="007D75DC"/>
    <w:rsid w:val="007D7830"/>
    <w:rsid w:val="007D79F0"/>
    <w:rsid w:val="007D7A5D"/>
    <w:rsid w:val="007D7B65"/>
    <w:rsid w:val="007D7D02"/>
    <w:rsid w:val="007D7E24"/>
    <w:rsid w:val="007D7E8F"/>
    <w:rsid w:val="007E003E"/>
    <w:rsid w:val="007E00A7"/>
    <w:rsid w:val="007E0358"/>
    <w:rsid w:val="007E0528"/>
    <w:rsid w:val="007E05C7"/>
    <w:rsid w:val="007E0B64"/>
    <w:rsid w:val="007E0C46"/>
    <w:rsid w:val="007E0EC9"/>
    <w:rsid w:val="007E17AD"/>
    <w:rsid w:val="007E1801"/>
    <w:rsid w:val="007E1A39"/>
    <w:rsid w:val="007E1BE8"/>
    <w:rsid w:val="007E1C65"/>
    <w:rsid w:val="007E24E0"/>
    <w:rsid w:val="007E24E2"/>
    <w:rsid w:val="007E2512"/>
    <w:rsid w:val="007E2989"/>
    <w:rsid w:val="007E3094"/>
    <w:rsid w:val="007E30B0"/>
    <w:rsid w:val="007E3456"/>
    <w:rsid w:val="007E36C7"/>
    <w:rsid w:val="007E3731"/>
    <w:rsid w:val="007E37B9"/>
    <w:rsid w:val="007E38AA"/>
    <w:rsid w:val="007E3912"/>
    <w:rsid w:val="007E3A75"/>
    <w:rsid w:val="007E3C1B"/>
    <w:rsid w:val="007E3D58"/>
    <w:rsid w:val="007E47A9"/>
    <w:rsid w:val="007E48D4"/>
    <w:rsid w:val="007E49A9"/>
    <w:rsid w:val="007E5C87"/>
    <w:rsid w:val="007E5CE6"/>
    <w:rsid w:val="007E5D02"/>
    <w:rsid w:val="007E5D24"/>
    <w:rsid w:val="007E5F50"/>
    <w:rsid w:val="007E6172"/>
    <w:rsid w:val="007E6254"/>
    <w:rsid w:val="007E63A7"/>
    <w:rsid w:val="007E6420"/>
    <w:rsid w:val="007E6BE4"/>
    <w:rsid w:val="007E6C41"/>
    <w:rsid w:val="007E71E1"/>
    <w:rsid w:val="007E78A2"/>
    <w:rsid w:val="007E792B"/>
    <w:rsid w:val="007E799B"/>
    <w:rsid w:val="007E7D0D"/>
    <w:rsid w:val="007E7DD9"/>
    <w:rsid w:val="007E7FE9"/>
    <w:rsid w:val="007F007F"/>
    <w:rsid w:val="007F02AF"/>
    <w:rsid w:val="007F0971"/>
    <w:rsid w:val="007F0B65"/>
    <w:rsid w:val="007F0C52"/>
    <w:rsid w:val="007F0C84"/>
    <w:rsid w:val="007F0D4A"/>
    <w:rsid w:val="007F17B0"/>
    <w:rsid w:val="007F18FA"/>
    <w:rsid w:val="007F2163"/>
    <w:rsid w:val="007F2404"/>
    <w:rsid w:val="007F29B6"/>
    <w:rsid w:val="007F2B59"/>
    <w:rsid w:val="007F2C87"/>
    <w:rsid w:val="007F2E20"/>
    <w:rsid w:val="007F2FF9"/>
    <w:rsid w:val="007F3C73"/>
    <w:rsid w:val="007F3D18"/>
    <w:rsid w:val="007F3D65"/>
    <w:rsid w:val="007F405D"/>
    <w:rsid w:val="007F429C"/>
    <w:rsid w:val="007F43FD"/>
    <w:rsid w:val="007F4432"/>
    <w:rsid w:val="007F44A5"/>
    <w:rsid w:val="007F4A93"/>
    <w:rsid w:val="007F4A95"/>
    <w:rsid w:val="007F4B06"/>
    <w:rsid w:val="007F4B33"/>
    <w:rsid w:val="007F4BA3"/>
    <w:rsid w:val="007F4CDB"/>
    <w:rsid w:val="007F4E06"/>
    <w:rsid w:val="007F5343"/>
    <w:rsid w:val="007F5482"/>
    <w:rsid w:val="007F548D"/>
    <w:rsid w:val="007F559A"/>
    <w:rsid w:val="007F5643"/>
    <w:rsid w:val="007F57F5"/>
    <w:rsid w:val="007F5B55"/>
    <w:rsid w:val="007F5B99"/>
    <w:rsid w:val="007F5EB1"/>
    <w:rsid w:val="007F5EC1"/>
    <w:rsid w:val="007F6220"/>
    <w:rsid w:val="007F6547"/>
    <w:rsid w:val="007F6B8B"/>
    <w:rsid w:val="007F6DB7"/>
    <w:rsid w:val="007F6E06"/>
    <w:rsid w:val="007F7001"/>
    <w:rsid w:val="007F70D4"/>
    <w:rsid w:val="007F776B"/>
    <w:rsid w:val="007F7D2A"/>
    <w:rsid w:val="008000F2"/>
    <w:rsid w:val="00800345"/>
    <w:rsid w:val="0080058C"/>
    <w:rsid w:val="008009B0"/>
    <w:rsid w:val="00800BCF"/>
    <w:rsid w:val="0080110D"/>
    <w:rsid w:val="00801508"/>
    <w:rsid w:val="008015CA"/>
    <w:rsid w:val="00801B89"/>
    <w:rsid w:val="00801C46"/>
    <w:rsid w:val="00801C72"/>
    <w:rsid w:val="00801C8F"/>
    <w:rsid w:val="00801D12"/>
    <w:rsid w:val="00801E6A"/>
    <w:rsid w:val="008022C2"/>
    <w:rsid w:val="008026AF"/>
    <w:rsid w:val="00802711"/>
    <w:rsid w:val="008027C8"/>
    <w:rsid w:val="00802B2D"/>
    <w:rsid w:val="00802F50"/>
    <w:rsid w:val="00803106"/>
    <w:rsid w:val="00803124"/>
    <w:rsid w:val="00803189"/>
    <w:rsid w:val="00803192"/>
    <w:rsid w:val="00803320"/>
    <w:rsid w:val="008036CC"/>
    <w:rsid w:val="00803BD4"/>
    <w:rsid w:val="00803FEB"/>
    <w:rsid w:val="0080407C"/>
    <w:rsid w:val="008045CC"/>
    <w:rsid w:val="008045EA"/>
    <w:rsid w:val="00804669"/>
    <w:rsid w:val="0080466A"/>
    <w:rsid w:val="00804789"/>
    <w:rsid w:val="008048BE"/>
    <w:rsid w:val="00804AFB"/>
    <w:rsid w:val="00804F0B"/>
    <w:rsid w:val="008051FD"/>
    <w:rsid w:val="00805457"/>
    <w:rsid w:val="00805942"/>
    <w:rsid w:val="00805B06"/>
    <w:rsid w:val="00806023"/>
    <w:rsid w:val="0080608C"/>
    <w:rsid w:val="00806174"/>
    <w:rsid w:val="00806336"/>
    <w:rsid w:val="00806454"/>
    <w:rsid w:val="0080652D"/>
    <w:rsid w:val="00806656"/>
    <w:rsid w:val="00806CA3"/>
    <w:rsid w:val="00806CAB"/>
    <w:rsid w:val="00806EAE"/>
    <w:rsid w:val="008070D8"/>
    <w:rsid w:val="0080716B"/>
    <w:rsid w:val="008072C2"/>
    <w:rsid w:val="008074CC"/>
    <w:rsid w:val="00807616"/>
    <w:rsid w:val="00807855"/>
    <w:rsid w:val="008078B2"/>
    <w:rsid w:val="00807B4B"/>
    <w:rsid w:val="00807C64"/>
    <w:rsid w:val="00807D30"/>
    <w:rsid w:val="0081010D"/>
    <w:rsid w:val="0081019D"/>
    <w:rsid w:val="00810369"/>
    <w:rsid w:val="0081040A"/>
    <w:rsid w:val="0081067C"/>
    <w:rsid w:val="00810C5B"/>
    <w:rsid w:val="00810DFB"/>
    <w:rsid w:val="00811214"/>
    <w:rsid w:val="00811440"/>
    <w:rsid w:val="008115AC"/>
    <w:rsid w:val="0081218D"/>
    <w:rsid w:val="008121EB"/>
    <w:rsid w:val="008122A9"/>
    <w:rsid w:val="008122BA"/>
    <w:rsid w:val="00812441"/>
    <w:rsid w:val="008124A8"/>
    <w:rsid w:val="008127B5"/>
    <w:rsid w:val="0081289C"/>
    <w:rsid w:val="008128E4"/>
    <w:rsid w:val="00812D73"/>
    <w:rsid w:val="008131FA"/>
    <w:rsid w:val="00813465"/>
    <w:rsid w:val="008135F3"/>
    <w:rsid w:val="008136B0"/>
    <w:rsid w:val="008137AC"/>
    <w:rsid w:val="008137B2"/>
    <w:rsid w:val="00813962"/>
    <w:rsid w:val="008139CE"/>
    <w:rsid w:val="00813BC6"/>
    <w:rsid w:val="00813D6E"/>
    <w:rsid w:val="008144F3"/>
    <w:rsid w:val="0081464D"/>
    <w:rsid w:val="00814D3F"/>
    <w:rsid w:val="00814E7B"/>
    <w:rsid w:val="00814F56"/>
    <w:rsid w:val="00814FD7"/>
    <w:rsid w:val="00814FE2"/>
    <w:rsid w:val="00815044"/>
    <w:rsid w:val="00815106"/>
    <w:rsid w:val="00815272"/>
    <w:rsid w:val="00815345"/>
    <w:rsid w:val="00815C0D"/>
    <w:rsid w:val="00815C43"/>
    <w:rsid w:val="00815F90"/>
    <w:rsid w:val="00816673"/>
    <w:rsid w:val="00816BA6"/>
    <w:rsid w:val="008178EB"/>
    <w:rsid w:val="00817FAB"/>
    <w:rsid w:val="00820041"/>
    <w:rsid w:val="008200F7"/>
    <w:rsid w:val="0082011E"/>
    <w:rsid w:val="00820561"/>
    <w:rsid w:val="00820B25"/>
    <w:rsid w:val="0082100A"/>
    <w:rsid w:val="00821032"/>
    <w:rsid w:val="00821936"/>
    <w:rsid w:val="00821986"/>
    <w:rsid w:val="00821C0F"/>
    <w:rsid w:val="00821C11"/>
    <w:rsid w:val="00821C58"/>
    <w:rsid w:val="00821EB7"/>
    <w:rsid w:val="00821F23"/>
    <w:rsid w:val="008221CE"/>
    <w:rsid w:val="00822FC4"/>
    <w:rsid w:val="00823208"/>
    <w:rsid w:val="008236B0"/>
    <w:rsid w:val="00823AF9"/>
    <w:rsid w:val="00823F90"/>
    <w:rsid w:val="00824143"/>
    <w:rsid w:val="00824634"/>
    <w:rsid w:val="00824736"/>
    <w:rsid w:val="0082482C"/>
    <w:rsid w:val="00824BDA"/>
    <w:rsid w:val="00824BF7"/>
    <w:rsid w:val="00824FDA"/>
    <w:rsid w:val="00825258"/>
    <w:rsid w:val="0082527D"/>
    <w:rsid w:val="00825293"/>
    <w:rsid w:val="00825451"/>
    <w:rsid w:val="0082584F"/>
    <w:rsid w:val="008258C7"/>
    <w:rsid w:val="0082592C"/>
    <w:rsid w:val="00825B6F"/>
    <w:rsid w:val="00825D8A"/>
    <w:rsid w:val="00825E43"/>
    <w:rsid w:val="00825EF6"/>
    <w:rsid w:val="00825F40"/>
    <w:rsid w:val="00825F50"/>
    <w:rsid w:val="00825F6D"/>
    <w:rsid w:val="00825F92"/>
    <w:rsid w:val="00826129"/>
    <w:rsid w:val="00826138"/>
    <w:rsid w:val="008262F4"/>
    <w:rsid w:val="0082659B"/>
    <w:rsid w:val="0082682F"/>
    <w:rsid w:val="00826A14"/>
    <w:rsid w:val="00826C14"/>
    <w:rsid w:val="00826C82"/>
    <w:rsid w:val="008271EF"/>
    <w:rsid w:val="00827241"/>
    <w:rsid w:val="00827433"/>
    <w:rsid w:val="008274BD"/>
    <w:rsid w:val="00827A3E"/>
    <w:rsid w:val="00827FA5"/>
    <w:rsid w:val="0083001F"/>
    <w:rsid w:val="0083021C"/>
    <w:rsid w:val="00830357"/>
    <w:rsid w:val="00830707"/>
    <w:rsid w:val="008309AF"/>
    <w:rsid w:val="00830AB8"/>
    <w:rsid w:val="00830AFA"/>
    <w:rsid w:val="00830C7B"/>
    <w:rsid w:val="00830CBF"/>
    <w:rsid w:val="0083158F"/>
    <w:rsid w:val="008315DD"/>
    <w:rsid w:val="008316E7"/>
    <w:rsid w:val="008316FF"/>
    <w:rsid w:val="00831EAF"/>
    <w:rsid w:val="00831F5D"/>
    <w:rsid w:val="00831F7A"/>
    <w:rsid w:val="00831F94"/>
    <w:rsid w:val="00832026"/>
    <w:rsid w:val="008323DB"/>
    <w:rsid w:val="008324C1"/>
    <w:rsid w:val="00832A48"/>
    <w:rsid w:val="00832CE7"/>
    <w:rsid w:val="00832EA8"/>
    <w:rsid w:val="00833148"/>
    <w:rsid w:val="008334FF"/>
    <w:rsid w:val="00833825"/>
    <w:rsid w:val="008339F9"/>
    <w:rsid w:val="00834157"/>
    <w:rsid w:val="00834171"/>
    <w:rsid w:val="00834472"/>
    <w:rsid w:val="0083470B"/>
    <w:rsid w:val="0083517F"/>
    <w:rsid w:val="00835652"/>
    <w:rsid w:val="00835928"/>
    <w:rsid w:val="00835A86"/>
    <w:rsid w:val="00835E00"/>
    <w:rsid w:val="00835E3E"/>
    <w:rsid w:val="00835FDD"/>
    <w:rsid w:val="008360EE"/>
    <w:rsid w:val="008363A2"/>
    <w:rsid w:val="00836407"/>
    <w:rsid w:val="0083649F"/>
    <w:rsid w:val="00836BEE"/>
    <w:rsid w:val="00836FDC"/>
    <w:rsid w:val="0083703A"/>
    <w:rsid w:val="00837467"/>
    <w:rsid w:val="00837567"/>
    <w:rsid w:val="008375FA"/>
    <w:rsid w:val="008377B3"/>
    <w:rsid w:val="00837B02"/>
    <w:rsid w:val="00837DC0"/>
    <w:rsid w:val="00837EFB"/>
    <w:rsid w:val="0084023A"/>
    <w:rsid w:val="0084081B"/>
    <w:rsid w:val="008408AF"/>
    <w:rsid w:val="00840968"/>
    <w:rsid w:val="00840D6D"/>
    <w:rsid w:val="00841539"/>
    <w:rsid w:val="008415A4"/>
    <w:rsid w:val="00841647"/>
    <w:rsid w:val="00841A7F"/>
    <w:rsid w:val="00841CA9"/>
    <w:rsid w:val="00841FE4"/>
    <w:rsid w:val="008424B8"/>
    <w:rsid w:val="00842573"/>
    <w:rsid w:val="00842862"/>
    <w:rsid w:val="00842B67"/>
    <w:rsid w:val="00842C5C"/>
    <w:rsid w:val="00843163"/>
    <w:rsid w:val="00843AA3"/>
    <w:rsid w:val="00843B81"/>
    <w:rsid w:val="00843D5C"/>
    <w:rsid w:val="00843E74"/>
    <w:rsid w:val="00844098"/>
    <w:rsid w:val="008441F0"/>
    <w:rsid w:val="008446E3"/>
    <w:rsid w:val="00844792"/>
    <w:rsid w:val="00844A23"/>
    <w:rsid w:val="00844F8F"/>
    <w:rsid w:val="00845047"/>
    <w:rsid w:val="00845129"/>
    <w:rsid w:val="008453E5"/>
    <w:rsid w:val="00845923"/>
    <w:rsid w:val="00845B43"/>
    <w:rsid w:val="00845FFE"/>
    <w:rsid w:val="008460F5"/>
    <w:rsid w:val="008462CF"/>
    <w:rsid w:val="00846488"/>
    <w:rsid w:val="00846652"/>
    <w:rsid w:val="008466E7"/>
    <w:rsid w:val="008467A1"/>
    <w:rsid w:val="008468E6"/>
    <w:rsid w:val="0084714B"/>
    <w:rsid w:val="008471A8"/>
    <w:rsid w:val="00847648"/>
    <w:rsid w:val="0084779D"/>
    <w:rsid w:val="0085004B"/>
    <w:rsid w:val="00850206"/>
    <w:rsid w:val="00850265"/>
    <w:rsid w:val="0085032A"/>
    <w:rsid w:val="0085034C"/>
    <w:rsid w:val="00850395"/>
    <w:rsid w:val="0085089F"/>
    <w:rsid w:val="00850959"/>
    <w:rsid w:val="00850CC4"/>
    <w:rsid w:val="00851089"/>
    <w:rsid w:val="0085133F"/>
    <w:rsid w:val="00851737"/>
    <w:rsid w:val="0085185F"/>
    <w:rsid w:val="008518FF"/>
    <w:rsid w:val="00852301"/>
    <w:rsid w:val="0085239B"/>
    <w:rsid w:val="008524E7"/>
    <w:rsid w:val="0085293E"/>
    <w:rsid w:val="00852E01"/>
    <w:rsid w:val="00852EAA"/>
    <w:rsid w:val="00852F05"/>
    <w:rsid w:val="00853211"/>
    <w:rsid w:val="00853DD6"/>
    <w:rsid w:val="00853E0B"/>
    <w:rsid w:val="00854198"/>
    <w:rsid w:val="008541F9"/>
    <w:rsid w:val="00854362"/>
    <w:rsid w:val="00854578"/>
    <w:rsid w:val="008545B6"/>
    <w:rsid w:val="00854932"/>
    <w:rsid w:val="00855016"/>
    <w:rsid w:val="0085520F"/>
    <w:rsid w:val="00855303"/>
    <w:rsid w:val="0085544C"/>
    <w:rsid w:val="0085564B"/>
    <w:rsid w:val="0085574A"/>
    <w:rsid w:val="008557B8"/>
    <w:rsid w:val="00855988"/>
    <w:rsid w:val="00855CD7"/>
    <w:rsid w:val="00855D0B"/>
    <w:rsid w:val="00855DC6"/>
    <w:rsid w:val="00856010"/>
    <w:rsid w:val="008562A6"/>
    <w:rsid w:val="008566D1"/>
    <w:rsid w:val="008566E7"/>
    <w:rsid w:val="0085696F"/>
    <w:rsid w:val="008571C4"/>
    <w:rsid w:val="00857261"/>
    <w:rsid w:val="00857561"/>
    <w:rsid w:val="00857600"/>
    <w:rsid w:val="00857689"/>
    <w:rsid w:val="00857F60"/>
    <w:rsid w:val="008602C7"/>
    <w:rsid w:val="00860300"/>
    <w:rsid w:val="008603E3"/>
    <w:rsid w:val="0086059B"/>
    <w:rsid w:val="008607CE"/>
    <w:rsid w:val="0086080D"/>
    <w:rsid w:val="0086092D"/>
    <w:rsid w:val="00861458"/>
    <w:rsid w:val="00861542"/>
    <w:rsid w:val="00861821"/>
    <w:rsid w:val="008619D3"/>
    <w:rsid w:val="00861A09"/>
    <w:rsid w:val="00861E03"/>
    <w:rsid w:val="00862350"/>
    <w:rsid w:val="00862435"/>
    <w:rsid w:val="00862551"/>
    <w:rsid w:val="00862602"/>
    <w:rsid w:val="00862610"/>
    <w:rsid w:val="00862735"/>
    <w:rsid w:val="00862A66"/>
    <w:rsid w:val="00862C1D"/>
    <w:rsid w:val="00862D87"/>
    <w:rsid w:val="00862E51"/>
    <w:rsid w:val="008632E5"/>
    <w:rsid w:val="0086335A"/>
    <w:rsid w:val="008634F2"/>
    <w:rsid w:val="00863553"/>
    <w:rsid w:val="00863AAE"/>
    <w:rsid w:val="00863C2E"/>
    <w:rsid w:val="00863EEE"/>
    <w:rsid w:val="00863F04"/>
    <w:rsid w:val="0086453F"/>
    <w:rsid w:val="0086471C"/>
    <w:rsid w:val="00864ABB"/>
    <w:rsid w:val="00864B63"/>
    <w:rsid w:val="00864BAE"/>
    <w:rsid w:val="00864BD3"/>
    <w:rsid w:val="00864D92"/>
    <w:rsid w:val="00864F36"/>
    <w:rsid w:val="008657D2"/>
    <w:rsid w:val="008658C4"/>
    <w:rsid w:val="00865D1B"/>
    <w:rsid w:val="00865FAF"/>
    <w:rsid w:val="00866101"/>
    <w:rsid w:val="00866341"/>
    <w:rsid w:val="0086644C"/>
    <w:rsid w:val="0086646F"/>
    <w:rsid w:val="00866975"/>
    <w:rsid w:val="00866F88"/>
    <w:rsid w:val="00867029"/>
    <w:rsid w:val="0086732C"/>
    <w:rsid w:val="008673A4"/>
    <w:rsid w:val="00867964"/>
    <w:rsid w:val="00867998"/>
    <w:rsid w:val="008679D3"/>
    <w:rsid w:val="00867A43"/>
    <w:rsid w:val="00867EAD"/>
    <w:rsid w:val="00867F17"/>
    <w:rsid w:val="00870013"/>
    <w:rsid w:val="0087004E"/>
    <w:rsid w:val="008701CA"/>
    <w:rsid w:val="008706E4"/>
    <w:rsid w:val="008709A2"/>
    <w:rsid w:val="00870AF1"/>
    <w:rsid w:val="00870BCC"/>
    <w:rsid w:val="008712DD"/>
    <w:rsid w:val="0087163A"/>
    <w:rsid w:val="008718B8"/>
    <w:rsid w:val="00871D69"/>
    <w:rsid w:val="00871F31"/>
    <w:rsid w:val="0087234E"/>
    <w:rsid w:val="008723DE"/>
    <w:rsid w:val="008728B8"/>
    <w:rsid w:val="00872F93"/>
    <w:rsid w:val="00873202"/>
    <w:rsid w:val="008733A3"/>
    <w:rsid w:val="00873419"/>
    <w:rsid w:val="0087350F"/>
    <w:rsid w:val="00873670"/>
    <w:rsid w:val="008737CC"/>
    <w:rsid w:val="00873886"/>
    <w:rsid w:val="00873D7B"/>
    <w:rsid w:val="00873F83"/>
    <w:rsid w:val="00874159"/>
    <w:rsid w:val="008747F0"/>
    <w:rsid w:val="00874C46"/>
    <w:rsid w:val="00874FF2"/>
    <w:rsid w:val="008752A1"/>
    <w:rsid w:val="0087541F"/>
    <w:rsid w:val="008756E7"/>
    <w:rsid w:val="008759F5"/>
    <w:rsid w:val="00875B42"/>
    <w:rsid w:val="00875C61"/>
    <w:rsid w:val="008760BF"/>
    <w:rsid w:val="00876307"/>
    <w:rsid w:val="008768DF"/>
    <w:rsid w:val="00876DE0"/>
    <w:rsid w:val="00877088"/>
    <w:rsid w:val="008770C8"/>
    <w:rsid w:val="00877573"/>
    <w:rsid w:val="00877742"/>
    <w:rsid w:val="00877A9E"/>
    <w:rsid w:val="00880061"/>
    <w:rsid w:val="008807B8"/>
    <w:rsid w:val="00880A93"/>
    <w:rsid w:val="00880F94"/>
    <w:rsid w:val="00881629"/>
    <w:rsid w:val="00881D4D"/>
    <w:rsid w:val="00881F9E"/>
    <w:rsid w:val="00881FE3"/>
    <w:rsid w:val="0088283F"/>
    <w:rsid w:val="008828BA"/>
    <w:rsid w:val="00882A57"/>
    <w:rsid w:val="00882AA8"/>
    <w:rsid w:val="00882C68"/>
    <w:rsid w:val="00882D28"/>
    <w:rsid w:val="00882D6E"/>
    <w:rsid w:val="00882E5B"/>
    <w:rsid w:val="00882F35"/>
    <w:rsid w:val="00882F78"/>
    <w:rsid w:val="00882FFB"/>
    <w:rsid w:val="00883348"/>
    <w:rsid w:val="00883667"/>
    <w:rsid w:val="008837D0"/>
    <w:rsid w:val="00883A16"/>
    <w:rsid w:val="00883BBC"/>
    <w:rsid w:val="00883C55"/>
    <w:rsid w:val="00883D09"/>
    <w:rsid w:val="00883D6B"/>
    <w:rsid w:val="00884506"/>
    <w:rsid w:val="008846AC"/>
    <w:rsid w:val="00884ADB"/>
    <w:rsid w:val="00884BA0"/>
    <w:rsid w:val="00884EB7"/>
    <w:rsid w:val="00884FF0"/>
    <w:rsid w:val="008852FE"/>
    <w:rsid w:val="00885636"/>
    <w:rsid w:val="00885A02"/>
    <w:rsid w:val="00885BAE"/>
    <w:rsid w:val="00885CEC"/>
    <w:rsid w:val="00885EC6"/>
    <w:rsid w:val="00885FDF"/>
    <w:rsid w:val="008860BC"/>
    <w:rsid w:val="0088639A"/>
    <w:rsid w:val="00886629"/>
    <w:rsid w:val="00886840"/>
    <w:rsid w:val="008868F8"/>
    <w:rsid w:val="00886BE3"/>
    <w:rsid w:val="00887319"/>
    <w:rsid w:val="00887477"/>
    <w:rsid w:val="00887546"/>
    <w:rsid w:val="00887678"/>
    <w:rsid w:val="00887CE2"/>
    <w:rsid w:val="00887D8D"/>
    <w:rsid w:val="00887E26"/>
    <w:rsid w:val="00887E88"/>
    <w:rsid w:val="00887FE2"/>
    <w:rsid w:val="00890473"/>
    <w:rsid w:val="00890662"/>
    <w:rsid w:val="00890902"/>
    <w:rsid w:val="00890941"/>
    <w:rsid w:val="00890963"/>
    <w:rsid w:val="00890A96"/>
    <w:rsid w:val="00891119"/>
    <w:rsid w:val="008913FE"/>
    <w:rsid w:val="008914A1"/>
    <w:rsid w:val="00891952"/>
    <w:rsid w:val="008919D5"/>
    <w:rsid w:val="00891DF6"/>
    <w:rsid w:val="00891F02"/>
    <w:rsid w:val="008920D2"/>
    <w:rsid w:val="00892145"/>
    <w:rsid w:val="008922BA"/>
    <w:rsid w:val="00892475"/>
    <w:rsid w:val="008925D8"/>
    <w:rsid w:val="0089272B"/>
    <w:rsid w:val="00892B72"/>
    <w:rsid w:val="00892FD8"/>
    <w:rsid w:val="00893075"/>
    <w:rsid w:val="008935D1"/>
    <w:rsid w:val="00893731"/>
    <w:rsid w:val="00893A11"/>
    <w:rsid w:val="00893A95"/>
    <w:rsid w:val="00893AD8"/>
    <w:rsid w:val="00893D64"/>
    <w:rsid w:val="00893D94"/>
    <w:rsid w:val="00893E9F"/>
    <w:rsid w:val="008940DF"/>
    <w:rsid w:val="00894461"/>
    <w:rsid w:val="00894640"/>
    <w:rsid w:val="008946C8"/>
    <w:rsid w:val="008949F2"/>
    <w:rsid w:val="00894A62"/>
    <w:rsid w:val="00894E50"/>
    <w:rsid w:val="00894EEB"/>
    <w:rsid w:val="00895159"/>
    <w:rsid w:val="00895160"/>
    <w:rsid w:val="008953D9"/>
    <w:rsid w:val="008959D1"/>
    <w:rsid w:val="00895D39"/>
    <w:rsid w:val="0089612D"/>
    <w:rsid w:val="008962EC"/>
    <w:rsid w:val="00896489"/>
    <w:rsid w:val="008966F2"/>
    <w:rsid w:val="0089677B"/>
    <w:rsid w:val="008969CD"/>
    <w:rsid w:val="00896AB3"/>
    <w:rsid w:val="00896F59"/>
    <w:rsid w:val="00896F5B"/>
    <w:rsid w:val="008973FF"/>
    <w:rsid w:val="00897628"/>
    <w:rsid w:val="0089768D"/>
    <w:rsid w:val="00897C8F"/>
    <w:rsid w:val="008A0168"/>
    <w:rsid w:val="008A02A4"/>
    <w:rsid w:val="008A0A22"/>
    <w:rsid w:val="008A0B29"/>
    <w:rsid w:val="008A0ED3"/>
    <w:rsid w:val="008A18FE"/>
    <w:rsid w:val="008A1A0E"/>
    <w:rsid w:val="008A1C3B"/>
    <w:rsid w:val="008A1C6E"/>
    <w:rsid w:val="008A1D13"/>
    <w:rsid w:val="008A1DCA"/>
    <w:rsid w:val="008A1F31"/>
    <w:rsid w:val="008A20A4"/>
    <w:rsid w:val="008A20A5"/>
    <w:rsid w:val="008A22EE"/>
    <w:rsid w:val="008A2561"/>
    <w:rsid w:val="008A2B52"/>
    <w:rsid w:val="008A2D89"/>
    <w:rsid w:val="008A31F7"/>
    <w:rsid w:val="008A33FB"/>
    <w:rsid w:val="008A349F"/>
    <w:rsid w:val="008A3BDC"/>
    <w:rsid w:val="008A489E"/>
    <w:rsid w:val="008A4B7F"/>
    <w:rsid w:val="008A4DF5"/>
    <w:rsid w:val="008A4FB9"/>
    <w:rsid w:val="008A50CC"/>
    <w:rsid w:val="008A5286"/>
    <w:rsid w:val="008A55E3"/>
    <w:rsid w:val="008A5641"/>
    <w:rsid w:val="008A57FB"/>
    <w:rsid w:val="008A586B"/>
    <w:rsid w:val="008A5A33"/>
    <w:rsid w:val="008A5B44"/>
    <w:rsid w:val="008A6336"/>
    <w:rsid w:val="008A63F2"/>
    <w:rsid w:val="008A659B"/>
    <w:rsid w:val="008A6613"/>
    <w:rsid w:val="008A6732"/>
    <w:rsid w:val="008A673F"/>
    <w:rsid w:val="008A6873"/>
    <w:rsid w:val="008A6BE7"/>
    <w:rsid w:val="008A6CC6"/>
    <w:rsid w:val="008A6FEB"/>
    <w:rsid w:val="008A706B"/>
    <w:rsid w:val="008A7356"/>
    <w:rsid w:val="008A7637"/>
    <w:rsid w:val="008A7B59"/>
    <w:rsid w:val="008A7C34"/>
    <w:rsid w:val="008A7C47"/>
    <w:rsid w:val="008B0127"/>
    <w:rsid w:val="008B01DD"/>
    <w:rsid w:val="008B0307"/>
    <w:rsid w:val="008B0309"/>
    <w:rsid w:val="008B042C"/>
    <w:rsid w:val="008B0449"/>
    <w:rsid w:val="008B0462"/>
    <w:rsid w:val="008B0640"/>
    <w:rsid w:val="008B0A7F"/>
    <w:rsid w:val="008B0CA1"/>
    <w:rsid w:val="008B13BA"/>
    <w:rsid w:val="008B18FB"/>
    <w:rsid w:val="008B1EFD"/>
    <w:rsid w:val="008B2796"/>
    <w:rsid w:val="008B287C"/>
    <w:rsid w:val="008B28E7"/>
    <w:rsid w:val="008B2961"/>
    <w:rsid w:val="008B298D"/>
    <w:rsid w:val="008B2A94"/>
    <w:rsid w:val="008B3166"/>
    <w:rsid w:val="008B3743"/>
    <w:rsid w:val="008B3790"/>
    <w:rsid w:val="008B37E4"/>
    <w:rsid w:val="008B3B5A"/>
    <w:rsid w:val="008B3CF5"/>
    <w:rsid w:val="008B3DA3"/>
    <w:rsid w:val="008B3E10"/>
    <w:rsid w:val="008B3E66"/>
    <w:rsid w:val="008B3F95"/>
    <w:rsid w:val="008B4057"/>
    <w:rsid w:val="008B4406"/>
    <w:rsid w:val="008B475F"/>
    <w:rsid w:val="008B4ABB"/>
    <w:rsid w:val="008B4B3A"/>
    <w:rsid w:val="008B4E75"/>
    <w:rsid w:val="008B4EB8"/>
    <w:rsid w:val="008B4F89"/>
    <w:rsid w:val="008B4FE8"/>
    <w:rsid w:val="008B5530"/>
    <w:rsid w:val="008B56C4"/>
    <w:rsid w:val="008B587F"/>
    <w:rsid w:val="008B5E5F"/>
    <w:rsid w:val="008B6007"/>
    <w:rsid w:val="008B6590"/>
    <w:rsid w:val="008B66D4"/>
    <w:rsid w:val="008B6910"/>
    <w:rsid w:val="008B6C4A"/>
    <w:rsid w:val="008B6E95"/>
    <w:rsid w:val="008B6F1D"/>
    <w:rsid w:val="008B7234"/>
    <w:rsid w:val="008B7325"/>
    <w:rsid w:val="008B7343"/>
    <w:rsid w:val="008B7397"/>
    <w:rsid w:val="008B7704"/>
    <w:rsid w:val="008B7AF7"/>
    <w:rsid w:val="008B7B15"/>
    <w:rsid w:val="008B7D39"/>
    <w:rsid w:val="008B7D46"/>
    <w:rsid w:val="008B7DC9"/>
    <w:rsid w:val="008C02CE"/>
    <w:rsid w:val="008C04B7"/>
    <w:rsid w:val="008C054D"/>
    <w:rsid w:val="008C0658"/>
    <w:rsid w:val="008C07C9"/>
    <w:rsid w:val="008C0AD1"/>
    <w:rsid w:val="008C0CF1"/>
    <w:rsid w:val="008C0EE3"/>
    <w:rsid w:val="008C0FA8"/>
    <w:rsid w:val="008C0FCD"/>
    <w:rsid w:val="008C1255"/>
    <w:rsid w:val="008C1256"/>
    <w:rsid w:val="008C16E0"/>
    <w:rsid w:val="008C186A"/>
    <w:rsid w:val="008C1F41"/>
    <w:rsid w:val="008C26EE"/>
    <w:rsid w:val="008C2764"/>
    <w:rsid w:val="008C27B5"/>
    <w:rsid w:val="008C2947"/>
    <w:rsid w:val="008C2E48"/>
    <w:rsid w:val="008C2F99"/>
    <w:rsid w:val="008C328C"/>
    <w:rsid w:val="008C398B"/>
    <w:rsid w:val="008C3A24"/>
    <w:rsid w:val="008C3ACE"/>
    <w:rsid w:val="008C3C19"/>
    <w:rsid w:val="008C3D55"/>
    <w:rsid w:val="008C3F26"/>
    <w:rsid w:val="008C3F67"/>
    <w:rsid w:val="008C41F5"/>
    <w:rsid w:val="008C4391"/>
    <w:rsid w:val="008C4A06"/>
    <w:rsid w:val="008C4AA5"/>
    <w:rsid w:val="008C538E"/>
    <w:rsid w:val="008C5838"/>
    <w:rsid w:val="008C5995"/>
    <w:rsid w:val="008C5A44"/>
    <w:rsid w:val="008C5A7B"/>
    <w:rsid w:val="008C5BCD"/>
    <w:rsid w:val="008C5C02"/>
    <w:rsid w:val="008C5CD1"/>
    <w:rsid w:val="008C5D0A"/>
    <w:rsid w:val="008C5D83"/>
    <w:rsid w:val="008C5E43"/>
    <w:rsid w:val="008C61D3"/>
    <w:rsid w:val="008C6494"/>
    <w:rsid w:val="008C675E"/>
    <w:rsid w:val="008C6996"/>
    <w:rsid w:val="008C6D51"/>
    <w:rsid w:val="008C71E5"/>
    <w:rsid w:val="008C742B"/>
    <w:rsid w:val="008C76E0"/>
    <w:rsid w:val="008C7B0F"/>
    <w:rsid w:val="008C7B25"/>
    <w:rsid w:val="008C7BDF"/>
    <w:rsid w:val="008D0007"/>
    <w:rsid w:val="008D07FB"/>
    <w:rsid w:val="008D0B46"/>
    <w:rsid w:val="008D0B75"/>
    <w:rsid w:val="008D0D5E"/>
    <w:rsid w:val="008D0D95"/>
    <w:rsid w:val="008D0FFB"/>
    <w:rsid w:val="008D16A0"/>
    <w:rsid w:val="008D16EA"/>
    <w:rsid w:val="008D173A"/>
    <w:rsid w:val="008D174C"/>
    <w:rsid w:val="008D1D67"/>
    <w:rsid w:val="008D1D6A"/>
    <w:rsid w:val="008D1E2D"/>
    <w:rsid w:val="008D2086"/>
    <w:rsid w:val="008D208F"/>
    <w:rsid w:val="008D214F"/>
    <w:rsid w:val="008D223F"/>
    <w:rsid w:val="008D235F"/>
    <w:rsid w:val="008D24EA"/>
    <w:rsid w:val="008D250A"/>
    <w:rsid w:val="008D25CA"/>
    <w:rsid w:val="008D27EF"/>
    <w:rsid w:val="008D289E"/>
    <w:rsid w:val="008D2A7F"/>
    <w:rsid w:val="008D2A83"/>
    <w:rsid w:val="008D2AFC"/>
    <w:rsid w:val="008D2D1C"/>
    <w:rsid w:val="008D2DA4"/>
    <w:rsid w:val="008D30E2"/>
    <w:rsid w:val="008D31DF"/>
    <w:rsid w:val="008D32ED"/>
    <w:rsid w:val="008D35FE"/>
    <w:rsid w:val="008D3891"/>
    <w:rsid w:val="008D3A3B"/>
    <w:rsid w:val="008D3A5F"/>
    <w:rsid w:val="008D3D9C"/>
    <w:rsid w:val="008D40A2"/>
    <w:rsid w:val="008D4209"/>
    <w:rsid w:val="008D4875"/>
    <w:rsid w:val="008D4ABE"/>
    <w:rsid w:val="008D4ED9"/>
    <w:rsid w:val="008D51D4"/>
    <w:rsid w:val="008D54C3"/>
    <w:rsid w:val="008D5E4F"/>
    <w:rsid w:val="008D5EEB"/>
    <w:rsid w:val="008D5FA0"/>
    <w:rsid w:val="008D654E"/>
    <w:rsid w:val="008D69CE"/>
    <w:rsid w:val="008D6B0A"/>
    <w:rsid w:val="008D6B34"/>
    <w:rsid w:val="008D6C40"/>
    <w:rsid w:val="008D6C74"/>
    <w:rsid w:val="008D6C7C"/>
    <w:rsid w:val="008D6D3F"/>
    <w:rsid w:val="008D6D63"/>
    <w:rsid w:val="008D6DB3"/>
    <w:rsid w:val="008D6F3D"/>
    <w:rsid w:val="008D72B9"/>
    <w:rsid w:val="008D776D"/>
    <w:rsid w:val="008D7C6A"/>
    <w:rsid w:val="008D7D8B"/>
    <w:rsid w:val="008D7F17"/>
    <w:rsid w:val="008E07ED"/>
    <w:rsid w:val="008E084C"/>
    <w:rsid w:val="008E0911"/>
    <w:rsid w:val="008E09F2"/>
    <w:rsid w:val="008E0A84"/>
    <w:rsid w:val="008E0D37"/>
    <w:rsid w:val="008E1234"/>
    <w:rsid w:val="008E138A"/>
    <w:rsid w:val="008E13F6"/>
    <w:rsid w:val="008E151D"/>
    <w:rsid w:val="008E18D5"/>
    <w:rsid w:val="008E1F3B"/>
    <w:rsid w:val="008E22EE"/>
    <w:rsid w:val="008E2791"/>
    <w:rsid w:val="008E2852"/>
    <w:rsid w:val="008E2AAA"/>
    <w:rsid w:val="008E2B5A"/>
    <w:rsid w:val="008E2DE7"/>
    <w:rsid w:val="008E2FEF"/>
    <w:rsid w:val="008E3131"/>
    <w:rsid w:val="008E3263"/>
    <w:rsid w:val="008E3BA5"/>
    <w:rsid w:val="008E3F36"/>
    <w:rsid w:val="008E40C2"/>
    <w:rsid w:val="008E4136"/>
    <w:rsid w:val="008E4244"/>
    <w:rsid w:val="008E42A6"/>
    <w:rsid w:val="008E4687"/>
    <w:rsid w:val="008E480D"/>
    <w:rsid w:val="008E4B42"/>
    <w:rsid w:val="008E4F36"/>
    <w:rsid w:val="008E5062"/>
    <w:rsid w:val="008E50E4"/>
    <w:rsid w:val="008E5147"/>
    <w:rsid w:val="008E51C3"/>
    <w:rsid w:val="008E530B"/>
    <w:rsid w:val="008E5433"/>
    <w:rsid w:val="008E59EA"/>
    <w:rsid w:val="008E5AB3"/>
    <w:rsid w:val="008E5C3F"/>
    <w:rsid w:val="008E6C56"/>
    <w:rsid w:val="008E7107"/>
    <w:rsid w:val="008E7150"/>
    <w:rsid w:val="008E73F3"/>
    <w:rsid w:val="008E74C6"/>
    <w:rsid w:val="008E7A5C"/>
    <w:rsid w:val="008E7D12"/>
    <w:rsid w:val="008E7E56"/>
    <w:rsid w:val="008E7EBA"/>
    <w:rsid w:val="008F01DF"/>
    <w:rsid w:val="008F032B"/>
    <w:rsid w:val="008F0432"/>
    <w:rsid w:val="008F04A0"/>
    <w:rsid w:val="008F0735"/>
    <w:rsid w:val="008F0779"/>
    <w:rsid w:val="008F09DE"/>
    <w:rsid w:val="008F0CDF"/>
    <w:rsid w:val="008F0F4D"/>
    <w:rsid w:val="008F0F94"/>
    <w:rsid w:val="008F1260"/>
    <w:rsid w:val="008F1266"/>
    <w:rsid w:val="008F1342"/>
    <w:rsid w:val="008F15D9"/>
    <w:rsid w:val="008F16AA"/>
    <w:rsid w:val="008F1A97"/>
    <w:rsid w:val="008F1AF2"/>
    <w:rsid w:val="008F1B4A"/>
    <w:rsid w:val="008F22D5"/>
    <w:rsid w:val="008F238F"/>
    <w:rsid w:val="008F247C"/>
    <w:rsid w:val="008F295B"/>
    <w:rsid w:val="008F2A87"/>
    <w:rsid w:val="008F2DBE"/>
    <w:rsid w:val="008F3289"/>
    <w:rsid w:val="008F32FE"/>
    <w:rsid w:val="008F34F9"/>
    <w:rsid w:val="008F3569"/>
    <w:rsid w:val="008F3B0B"/>
    <w:rsid w:val="008F3D7D"/>
    <w:rsid w:val="008F3FE4"/>
    <w:rsid w:val="008F3FF2"/>
    <w:rsid w:val="008F42F0"/>
    <w:rsid w:val="008F4772"/>
    <w:rsid w:val="008F4CE6"/>
    <w:rsid w:val="008F4D18"/>
    <w:rsid w:val="008F504B"/>
    <w:rsid w:val="008F5207"/>
    <w:rsid w:val="008F541C"/>
    <w:rsid w:val="008F5A5A"/>
    <w:rsid w:val="008F5AED"/>
    <w:rsid w:val="008F5BB7"/>
    <w:rsid w:val="008F5EBE"/>
    <w:rsid w:val="008F5F99"/>
    <w:rsid w:val="008F60BF"/>
    <w:rsid w:val="008F617F"/>
    <w:rsid w:val="008F63C5"/>
    <w:rsid w:val="008F684E"/>
    <w:rsid w:val="008F68E7"/>
    <w:rsid w:val="008F6A3F"/>
    <w:rsid w:val="008F7256"/>
    <w:rsid w:val="008F7296"/>
    <w:rsid w:val="008F7B19"/>
    <w:rsid w:val="008F7B5B"/>
    <w:rsid w:val="008F7C2F"/>
    <w:rsid w:val="008F7C56"/>
    <w:rsid w:val="00900330"/>
    <w:rsid w:val="009005B4"/>
    <w:rsid w:val="00900E61"/>
    <w:rsid w:val="00901515"/>
    <w:rsid w:val="00901627"/>
    <w:rsid w:val="009017DB"/>
    <w:rsid w:val="00901C4B"/>
    <w:rsid w:val="00901DFA"/>
    <w:rsid w:val="0090214F"/>
    <w:rsid w:val="00902159"/>
    <w:rsid w:val="00902396"/>
    <w:rsid w:val="00902586"/>
    <w:rsid w:val="00902651"/>
    <w:rsid w:val="0090266D"/>
    <w:rsid w:val="00902A5F"/>
    <w:rsid w:val="00902D31"/>
    <w:rsid w:val="00902DBD"/>
    <w:rsid w:val="00902FC6"/>
    <w:rsid w:val="0090320A"/>
    <w:rsid w:val="00903325"/>
    <w:rsid w:val="0090350A"/>
    <w:rsid w:val="00903525"/>
    <w:rsid w:val="00903526"/>
    <w:rsid w:val="00903BCD"/>
    <w:rsid w:val="0090406F"/>
    <w:rsid w:val="009040CD"/>
    <w:rsid w:val="0090411D"/>
    <w:rsid w:val="009043B5"/>
    <w:rsid w:val="0090457B"/>
    <w:rsid w:val="009045ED"/>
    <w:rsid w:val="009045F3"/>
    <w:rsid w:val="009046B1"/>
    <w:rsid w:val="00904921"/>
    <w:rsid w:val="0090495F"/>
    <w:rsid w:val="00904C11"/>
    <w:rsid w:val="009050CA"/>
    <w:rsid w:val="0090568A"/>
    <w:rsid w:val="00905702"/>
    <w:rsid w:val="00905ED3"/>
    <w:rsid w:val="0090620F"/>
    <w:rsid w:val="00906638"/>
    <w:rsid w:val="0090672E"/>
    <w:rsid w:val="009068A7"/>
    <w:rsid w:val="00906A9A"/>
    <w:rsid w:val="00906F44"/>
    <w:rsid w:val="00907233"/>
    <w:rsid w:val="009077DD"/>
    <w:rsid w:val="009077DF"/>
    <w:rsid w:val="00907D1E"/>
    <w:rsid w:val="00907F08"/>
    <w:rsid w:val="00907F87"/>
    <w:rsid w:val="00907FD1"/>
    <w:rsid w:val="009103F9"/>
    <w:rsid w:val="00910620"/>
    <w:rsid w:val="00910952"/>
    <w:rsid w:val="00910FC1"/>
    <w:rsid w:val="00911763"/>
    <w:rsid w:val="00911862"/>
    <w:rsid w:val="00911863"/>
    <w:rsid w:val="00911949"/>
    <w:rsid w:val="00911DE5"/>
    <w:rsid w:val="00911EAE"/>
    <w:rsid w:val="00912472"/>
    <w:rsid w:val="00912696"/>
    <w:rsid w:val="00912799"/>
    <w:rsid w:val="00912825"/>
    <w:rsid w:val="00912ACF"/>
    <w:rsid w:val="00912D82"/>
    <w:rsid w:val="009132BE"/>
    <w:rsid w:val="00913504"/>
    <w:rsid w:val="0091365E"/>
    <w:rsid w:val="0091366E"/>
    <w:rsid w:val="00913694"/>
    <w:rsid w:val="0091375F"/>
    <w:rsid w:val="00913AD0"/>
    <w:rsid w:val="00913B5D"/>
    <w:rsid w:val="00913DD9"/>
    <w:rsid w:val="00913E23"/>
    <w:rsid w:val="00914259"/>
    <w:rsid w:val="009151B9"/>
    <w:rsid w:val="00915273"/>
    <w:rsid w:val="009152CC"/>
    <w:rsid w:val="009156B2"/>
    <w:rsid w:val="0091575A"/>
    <w:rsid w:val="00915BE3"/>
    <w:rsid w:val="00915C64"/>
    <w:rsid w:val="0091630E"/>
    <w:rsid w:val="009169E7"/>
    <w:rsid w:val="00917024"/>
    <w:rsid w:val="00917237"/>
    <w:rsid w:val="00917403"/>
    <w:rsid w:val="0091754F"/>
    <w:rsid w:val="0091776A"/>
    <w:rsid w:val="009177B9"/>
    <w:rsid w:val="00917BD8"/>
    <w:rsid w:val="00917CB5"/>
    <w:rsid w:val="00917FF5"/>
    <w:rsid w:val="0092037B"/>
    <w:rsid w:val="00920766"/>
    <w:rsid w:val="0092081E"/>
    <w:rsid w:val="00920958"/>
    <w:rsid w:val="009209E2"/>
    <w:rsid w:val="00920DF6"/>
    <w:rsid w:val="009211B0"/>
    <w:rsid w:val="0092139D"/>
    <w:rsid w:val="009213B0"/>
    <w:rsid w:val="0092158C"/>
    <w:rsid w:val="009217F3"/>
    <w:rsid w:val="00921AD3"/>
    <w:rsid w:val="00921B43"/>
    <w:rsid w:val="00921D70"/>
    <w:rsid w:val="0092203A"/>
    <w:rsid w:val="00922367"/>
    <w:rsid w:val="009229B1"/>
    <w:rsid w:val="00922B7E"/>
    <w:rsid w:val="00922F63"/>
    <w:rsid w:val="009232C6"/>
    <w:rsid w:val="00923410"/>
    <w:rsid w:val="0092345B"/>
    <w:rsid w:val="00923479"/>
    <w:rsid w:val="009236BA"/>
    <w:rsid w:val="00923D9E"/>
    <w:rsid w:val="00923E28"/>
    <w:rsid w:val="00923FD8"/>
    <w:rsid w:val="00924126"/>
    <w:rsid w:val="0092415B"/>
    <w:rsid w:val="00924191"/>
    <w:rsid w:val="0092436E"/>
    <w:rsid w:val="009244AD"/>
    <w:rsid w:val="009244C6"/>
    <w:rsid w:val="00924650"/>
    <w:rsid w:val="009247D7"/>
    <w:rsid w:val="0092498A"/>
    <w:rsid w:val="009249DE"/>
    <w:rsid w:val="00924D4A"/>
    <w:rsid w:val="00924E16"/>
    <w:rsid w:val="00924F35"/>
    <w:rsid w:val="00924F84"/>
    <w:rsid w:val="00924FAB"/>
    <w:rsid w:val="009250AC"/>
    <w:rsid w:val="00925148"/>
    <w:rsid w:val="00925457"/>
    <w:rsid w:val="009259DA"/>
    <w:rsid w:val="009259E3"/>
    <w:rsid w:val="00925C9B"/>
    <w:rsid w:val="00926700"/>
    <w:rsid w:val="0092677F"/>
    <w:rsid w:val="00926993"/>
    <w:rsid w:val="00926F27"/>
    <w:rsid w:val="0092702C"/>
    <w:rsid w:val="0092710D"/>
    <w:rsid w:val="009273EF"/>
    <w:rsid w:val="00927481"/>
    <w:rsid w:val="00927717"/>
    <w:rsid w:val="009300EE"/>
    <w:rsid w:val="009307FF"/>
    <w:rsid w:val="009308C3"/>
    <w:rsid w:val="00930C2A"/>
    <w:rsid w:val="009311D1"/>
    <w:rsid w:val="009311E3"/>
    <w:rsid w:val="00931344"/>
    <w:rsid w:val="0093138D"/>
    <w:rsid w:val="00931532"/>
    <w:rsid w:val="0093157E"/>
    <w:rsid w:val="009316ED"/>
    <w:rsid w:val="00931CCA"/>
    <w:rsid w:val="00931D8A"/>
    <w:rsid w:val="00931F17"/>
    <w:rsid w:val="00932327"/>
    <w:rsid w:val="00932374"/>
    <w:rsid w:val="009328F4"/>
    <w:rsid w:val="00932AC9"/>
    <w:rsid w:val="00932B5A"/>
    <w:rsid w:val="00933011"/>
    <w:rsid w:val="00933247"/>
    <w:rsid w:val="0093331E"/>
    <w:rsid w:val="00933366"/>
    <w:rsid w:val="0093346D"/>
    <w:rsid w:val="00933557"/>
    <w:rsid w:val="00933A34"/>
    <w:rsid w:val="00933BE2"/>
    <w:rsid w:val="00933FCC"/>
    <w:rsid w:val="009344DE"/>
    <w:rsid w:val="00934EEB"/>
    <w:rsid w:val="00935144"/>
    <w:rsid w:val="00935183"/>
    <w:rsid w:val="0093621C"/>
    <w:rsid w:val="00936415"/>
    <w:rsid w:val="009364CD"/>
    <w:rsid w:val="0093660D"/>
    <w:rsid w:val="00936651"/>
    <w:rsid w:val="00936776"/>
    <w:rsid w:val="00936988"/>
    <w:rsid w:val="00936F0C"/>
    <w:rsid w:val="009371CF"/>
    <w:rsid w:val="009376B0"/>
    <w:rsid w:val="009376BB"/>
    <w:rsid w:val="0093794C"/>
    <w:rsid w:val="00937DB1"/>
    <w:rsid w:val="00937DD2"/>
    <w:rsid w:val="00940455"/>
    <w:rsid w:val="0094054C"/>
    <w:rsid w:val="0094058E"/>
    <w:rsid w:val="009405D3"/>
    <w:rsid w:val="0094068B"/>
    <w:rsid w:val="00940783"/>
    <w:rsid w:val="0094083F"/>
    <w:rsid w:val="00940D60"/>
    <w:rsid w:val="0094102C"/>
    <w:rsid w:val="00941130"/>
    <w:rsid w:val="0094164C"/>
    <w:rsid w:val="00941741"/>
    <w:rsid w:val="00941814"/>
    <w:rsid w:val="0094189D"/>
    <w:rsid w:val="00941A73"/>
    <w:rsid w:val="00942108"/>
    <w:rsid w:val="0094227C"/>
    <w:rsid w:val="009423C1"/>
    <w:rsid w:val="009424CF"/>
    <w:rsid w:val="0094255B"/>
    <w:rsid w:val="00942727"/>
    <w:rsid w:val="009428A9"/>
    <w:rsid w:val="0094292A"/>
    <w:rsid w:val="00942CEE"/>
    <w:rsid w:val="00942E3F"/>
    <w:rsid w:val="009433E2"/>
    <w:rsid w:val="009436C8"/>
    <w:rsid w:val="009437A2"/>
    <w:rsid w:val="0094383C"/>
    <w:rsid w:val="00943882"/>
    <w:rsid w:val="00943B17"/>
    <w:rsid w:val="00943FBD"/>
    <w:rsid w:val="00943FE3"/>
    <w:rsid w:val="009441C7"/>
    <w:rsid w:val="009445F6"/>
    <w:rsid w:val="00944621"/>
    <w:rsid w:val="0094475D"/>
    <w:rsid w:val="00944897"/>
    <w:rsid w:val="00944B66"/>
    <w:rsid w:val="00944E39"/>
    <w:rsid w:val="009454E1"/>
    <w:rsid w:val="009456EA"/>
    <w:rsid w:val="0094576E"/>
    <w:rsid w:val="009457A0"/>
    <w:rsid w:val="009457C1"/>
    <w:rsid w:val="00945841"/>
    <w:rsid w:val="009459C1"/>
    <w:rsid w:val="00945AF4"/>
    <w:rsid w:val="00945B5F"/>
    <w:rsid w:val="00945C36"/>
    <w:rsid w:val="00945D73"/>
    <w:rsid w:val="00945E64"/>
    <w:rsid w:val="00945F19"/>
    <w:rsid w:val="00946099"/>
    <w:rsid w:val="0094611D"/>
    <w:rsid w:val="0094669C"/>
    <w:rsid w:val="00946710"/>
    <w:rsid w:val="00946A8D"/>
    <w:rsid w:val="00947BB8"/>
    <w:rsid w:val="00947BDD"/>
    <w:rsid w:val="00947C48"/>
    <w:rsid w:val="00947D27"/>
    <w:rsid w:val="00950457"/>
    <w:rsid w:val="00950981"/>
    <w:rsid w:val="00950EB9"/>
    <w:rsid w:val="00950F21"/>
    <w:rsid w:val="009510C6"/>
    <w:rsid w:val="009514C3"/>
    <w:rsid w:val="009519CD"/>
    <w:rsid w:val="00951A96"/>
    <w:rsid w:val="00951ED8"/>
    <w:rsid w:val="00951F30"/>
    <w:rsid w:val="00952165"/>
    <w:rsid w:val="00952170"/>
    <w:rsid w:val="0095238C"/>
    <w:rsid w:val="00952808"/>
    <w:rsid w:val="0095281B"/>
    <w:rsid w:val="0095285A"/>
    <w:rsid w:val="00952952"/>
    <w:rsid w:val="009529C4"/>
    <w:rsid w:val="00952CD1"/>
    <w:rsid w:val="00952D3A"/>
    <w:rsid w:val="00952DCB"/>
    <w:rsid w:val="009533A1"/>
    <w:rsid w:val="009533FE"/>
    <w:rsid w:val="009536B7"/>
    <w:rsid w:val="0095393F"/>
    <w:rsid w:val="00953986"/>
    <w:rsid w:val="009539BE"/>
    <w:rsid w:val="00953BDC"/>
    <w:rsid w:val="00953EBF"/>
    <w:rsid w:val="00953FC0"/>
    <w:rsid w:val="00954110"/>
    <w:rsid w:val="00954426"/>
    <w:rsid w:val="009545B1"/>
    <w:rsid w:val="009546BB"/>
    <w:rsid w:val="009548FE"/>
    <w:rsid w:val="009549AD"/>
    <w:rsid w:val="00954C34"/>
    <w:rsid w:val="00954D0A"/>
    <w:rsid w:val="009550A7"/>
    <w:rsid w:val="009550D4"/>
    <w:rsid w:val="009552D9"/>
    <w:rsid w:val="00955565"/>
    <w:rsid w:val="0095569E"/>
    <w:rsid w:val="00955912"/>
    <w:rsid w:val="00955990"/>
    <w:rsid w:val="00955AD0"/>
    <w:rsid w:val="00956120"/>
    <w:rsid w:val="00956287"/>
    <w:rsid w:val="009562B2"/>
    <w:rsid w:val="00956386"/>
    <w:rsid w:val="0095642E"/>
    <w:rsid w:val="009564D5"/>
    <w:rsid w:val="009567BA"/>
    <w:rsid w:val="009568A7"/>
    <w:rsid w:val="00956BCD"/>
    <w:rsid w:val="00957395"/>
    <w:rsid w:val="00957770"/>
    <w:rsid w:val="00957AA9"/>
    <w:rsid w:val="00957C42"/>
    <w:rsid w:val="00957CF8"/>
    <w:rsid w:val="00957CFC"/>
    <w:rsid w:val="00960364"/>
    <w:rsid w:val="0096071B"/>
    <w:rsid w:val="009609C9"/>
    <w:rsid w:val="00960A78"/>
    <w:rsid w:val="00960C5A"/>
    <w:rsid w:val="009610C1"/>
    <w:rsid w:val="0096180F"/>
    <w:rsid w:val="00961945"/>
    <w:rsid w:val="0096197A"/>
    <w:rsid w:val="00961A0B"/>
    <w:rsid w:val="00961A60"/>
    <w:rsid w:val="0096212C"/>
    <w:rsid w:val="00962212"/>
    <w:rsid w:val="0096235A"/>
    <w:rsid w:val="00962562"/>
    <w:rsid w:val="0096277C"/>
    <w:rsid w:val="00962C8C"/>
    <w:rsid w:val="009630EE"/>
    <w:rsid w:val="00963263"/>
    <w:rsid w:val="009637E2"/>
    <w:rsid w:val="00963D33"/>
    <w:rsid w:val="00964036"/>
    <w:rsid w:val="00964116"/>
    <w:rsid w:val="0096427A"/>
    <w:rsid w:val="0096442E"/>
    <w:rsid w:val="00964A46"/>
    <w:rsid w:val="00964A4F"/>
    <w:rsid w:val="00964A89"/>
    <w:rsid w:val="00964E14"/>
    <w:rsid w:val="00964EA1"/>
    <w:rsid w:val="00965502"/>
    <w:rsid w:val="009655EE"/>
    <w:rsid w:val="0096583F"/>
    <w:rsid w:val="00965A00"/>
    <w:rsid w:val="00965FDF"/>
    <w:rsid w:val="00966353"/>
    <w:rsid w:val="0096697B"/>
    <w:rsid w:val="009669A6"/>
    <w:rsid w:val="00966AAE"/>
    <w:rsid w:val="00966DFC"/>
    <w:rsid w:val="00966E85"/>
    <w:rsid w:val="00967138"/>
    <w:rsid w:val="00967225"/>
    <w:rsid w:val="009673E3"/>
    <w:rsid w:val="0096779C"/>
    <w:rsid w:val="009678EA"/>
    <w:rsid w:val="0096799F"/>
    <w:rsid w:val="00967ED8"/>
    <w:rsid w:val="0097045B"/>
    <w:rsid w:val="00970582"/>
    <w:rsid w:val="009705C1"/>
    <w:rsid w:val="00970A57"/>
    <w:rsid w:val="00970D59"/>
    <w:rsid w:val="00970F48"/>
    <w:rsid w:val="009711A1"/>
    <w:rsid w:val="00971408"/>
    <w:rsid w:val="00971821"/>
    <w:rsid w:val="0097199A"/>
    <w:rsid w:val="00971B74"/>
    <w:rsid w:val="00971BE2"/>
    <w:rsid w:val="00971D5A"/>
    <w:rsid w:val="00971DB2"/>
    <w:rsid w:val="00971E50"/>
    <w:rsid w:val="00971F2B"/>
    <w:rsid w:val="009726BC"/>
    <w:rsid w:val="009726CE"/>
    <w:rsid w:val="00972791"/>
    <w:rsid w:val="009728DA"/>
    <w:rsid w:val="009728F4"/>
    <w:rsid w:val="00972A1A"/>
    <w:rsid w:val="00972A54"/>
    <w:rsid w:val="00972CB9"/>
    <w:rsid w:val="00972FF0"/>
    <w:rsid w:val="00973604"/>
    <w:rsid w:val="009738F9"/>
    <w:rsid w:val="00973925"/>
    <w:rsid w:val="00973D15"/>
    <w:rsid w:val="00974050"/>
    <w:rsid w:val="00974117"/>
    <w:rsid w:val="0097411B"/>
    <w:rsid w:val="0097419A"/>
    <w:rsid w:val="009741D7"/>
    <w:rsid w:val="0097454F"/>
    <w:rsid w:val="009745DD"/>
    <w:rsid w:val="00974731"/>
    <w:rsid w:val="00974884"/>
    <w:rsid w:val="00974925"/>
    <w:rsid w:val="00974BE2"/>
    <w:rsid w:val="00974D68"/>
    <w:rsid w:val="00974DE4"/>
    <w:rsid w:val="0097507C"/>
    <w:rsid w:val="009752BC"/>
    <w:rsid w:val="00975599"/>
    <w:rsid w:val="00975BB0"/>
    <w:rsid w:val="00975EC2"/>
    <w:rsid w:val="00975EC9"/>
    <w:rsid w:val="00976136"/>
    <w:rsid w:val="009761E8"/>
    <w:rsid w:val="00976353"/>
    <w:rsid w:val="00976406"/>
    <w:rsid w:val="00976918"/>
    <w:rsid w:val="00976D9C"/>
    <w:rsid w:val="0097706C"/>
    <w:rsid w:val="0097778E"/>
    <w:rsid w:val="00977829"/>
    <w:rsid w:val="00977BB5"/>
    <w:rsid w:val="00977BC6"/>
    <w:rsid w:val="00977BE8"/>
    <w:rsid w:val="00977FA8"/>
    <w:rsid w:val="00980190"/>
    <w:rsid w:val="009802E2"/>
    <w:rsid w:val="009803EA"/>
    <w:rsid w:val="00980917"/>
    <w:rsid w:val="009810A7"/>
    <w:rsid w:val="009811F4"/>
    <w:rsid w:val="0098145B"/>
    <w:rsid w:val="009814CC"/>
    <w:rsid w:val="00981A9F"/>
    <w:rsid w:val="00981B2D"/>
    <w:rsid w:val="00981C60"/>
    <w:rsid w:val="00982013"/>
    <w:rsid w:val="0098203D"/>
    <w:rsid w:val="00982525"/>
    <w:rsid w:val="00982839"/>
    <w:rsid w:val="00982851"/>
    <w:rsid w:val="009828DB"/>
    <w:rsid w:val="009828EE"/>
    <w:rsid w:val="00982CC7"/>
    <w:rsid w:val="00983426"/>
    <w:rsid w:val="009835F6"/>
    <w:rsid w:val="0098372A"/>
    <w:rsid w:val="009838BE"/>
    <w:rsid w:val="0098394E"/>
    <w:rsid w:val="00983A44"/>
    <w:rsid w:val="00983DDF"/>
    <w:rsid w:val="00984022"/>
    <w:rsid w:val="00984029"/>
    <w:rsid w:val="00984131"/>
    <w:rsid w:val="00984379"/>
    <w:rsid w:val="009847B0"/>
    <w:rsid w:val="00984A29"/>
    <w:rsid w:val="0098551D"/>
    <w:rsid w:val="0098552B"/>
    <w:rsid w:val="00985911"/>
    <w:rsid w:val="009860C5"/>
    <w:rsid w:val="00986CBC"/>
    <w:rsid w:val="00986D83"/>
    <w:rsid w:val="00986F77"/>
    <w:rsid w:val="00986FF5"/>
    <w:rsid w:val="009872DE"/>
    <w:rsid w:val="00987619"/>
    <w:rsid w:val="009876EE"/>
    <w:rsid w:val="00987C2A"/>
    <w:rsid w:val="00987D0F"/>
    <w:rsid w:val="00987EB8"/>
    <w:rsid w:val="00990060"/>
    <w:rsid w:val="00990105"/>
    <w:rsid w:val="00990458"/>
    <w:rsid w:val="009906AD"/>
    <w:rsid w:val="009906BA"/>
    <w:rsid w:val="00990702"/>
    <w:rsid w:val="009909E5"/>
    <w:rsid w:val="00990A27"/>
    <w:rsid w:val="00990DB0"/>
    <w:rsid w:val="00990E47"/>
    <w:rsid w:val="00990EB2"/>
    <w:rsid w:val="009911BC"/>
    <w:rsid w:val="00991281"/>
    <w:rsid w:val="0099130F"/>
    <w:rsid w:val="00991511"/>
    <w:rsid w:val="00991631"/>
    <w:rsid w:val="00991777"/>
    <w:rsid w:val="00991BE1"/>
    <w:rsid w:val="00991DE1"/>
    <w:rsid w:val="0099210B"/>
    <w:rsid w:val="009921C3"/>
    <w:rsid w:val="009926A6"/>
    <w:rsid w:val="009926E3"/>
    <w:rsid w:val="009926EE"/>
    <w:rsid w:val="0099292A"/>
    <w:rsid w:val="00992DD1"/>
    <w:rsid w:val="00992EFE"/>
    <w:rsid w:val="00993141"/>
    <w:rsid w:val="009937F8"/>
    <w:rsid w:val="00993951"/>
    <w:rsid w:val="00993967"/>
    <w:rsid w:val="00993ACA"/>
    <w:rsid w:val="009940A3"/>
    <w:rsid w:val="00994253"/>
    <w:rsid w:val="009944BB"/>
    <w:rsid w:val="00994A61"/>
    <w:rsid w:val="00994C1E"/>
    <w:rsid w:val="00994F67"/>
    <w:rsid w:val="00995021"/>
    <w:rsid w:val="00995669"/>
    <w:rsid w:val="00995AA6"/>
    <w:rsid w:val="00995B2B"/>
    <w:rsid w:val="00995CE5"/>
    <w:rsid w:val="00995DBF"/>
    <w:rsid w:val="0099603B"/>
    <w:rsid w:val="009960DD"/>
    <w:rsid w:val="0099638E"/>
    <w:rsid w:val="009964BA"/>
    <w:rsid w:val="00996512"/>
    <w:rsid w:val="00996902"/>
    <w:rsid w:val="00996994"/>
    <w:rsid w:val="009971B7"/>
    <w:rsid w:val="0099729E"/>
    <w:rsid w:val="0099746F"/>
    <w:rsid w:val="009975BE"/>
    <w:rsid w:val="00997637"/>
    <w:rsid w:val="00997AAE"/>
    <w:rsid w:val="00997DD2"/>
    <w:rsid w:val="00997F21"/>
    <w:rsid w:val="009A012E"/>
    <w:rsid w:val="009A04C8"/>
    <w:rsid w:val="009A0790"/>
    <w:rsid w:val="009A09CB"/>
    <w:rsid w:val="009A0AB9"/>
    <w:rsid w:val="009A0B12"/>
    <w:rsid w:val="009A0D62"/>
    <w:rsid w:val="009A1563"/>
    <w:rsid w:val="009A1619"/>
    <w:rsid w:val="009A16DB"/>
    <w:rsid w:val="009A1FE8"/>
    <w:rsid w:val="009A21DB"/>
    <w:rsid w:val="009A25FD"/>
    <w:rsid w:val="009A27AB"/>
    <w:rsid w:val="009A2C11"/>
    <w:rsid w:val="009A3025"/>
    <w:rsid w:val="009A30D4"/>
    <w:rsid w:val="009A3271"/>
    <w:rsid w:val="009A32F7"/>
    <w:rsid w:val="009A357C"/>
    <w:rsid w:val="009A3A1A"/>
    <w:rsid w:val="009A3E85"/>
    <w:rsid w:val="009A40DB"/>
    <w:rsid w:val="009A423C"/>
    <w:rsid w:val="009A4317"/>
    <w:rsid w:val="009A4450"/>
    <w:rsid w:val="009A446B"/>
    <w:rsid w:val="009A45CA"/>
    <w:rsid w:val="009A4636"/>
    <w:rsid w:val="009A4CB1"/>
    <w:rsid w:val="009A508D"/>
    <w:rsid w:val="009A5130"/>
    <w:rsid w:val="009A526A"/>
    <w:rsid w:val="009A5388"/>
    <w:rsid w:val="009A54B1"/>
    <w:rsid w:val="009A5746"/>
    <w:rsid w:val="009A5797"/>
    <w:rsid w:val="009A5819"/>
    <w:rsid w:val="009A5A95"/>
    <w:rsid w:val="009A5D05"/>
    <w:rsid w:val="009A6071"/>
    <w:rsid w:val="009A6399"/>
    <w:rsid w:val="009A6496"/>
    <w:rsid w:val="009A64CF"/>
    <w:rsid w:val="009A6582"/>
    <w:rsid w:val="009A660B"/>
    <w:rsid w:val="009A66E8"/>
    <w:rsid w:val="009A69AE"/>
    <w:rsid w:val="009A6D12"/>
    <w:rsid w:val="009A6D6B"/>
    <w:rsid w:val="009A6E03"/>
    <w:rsid w:val="009A6EB7"/>
    <w:rsid w:val="009A7685"/>
    <w:rsid w:val="009A7848"/>
    <w:rsid w:val="009A7930"/>
    <w:rsid w:val="009A794F"/>
    <w:rsid w:val="009A7B1D"/>
    <w:rsid w:val="009B0015"/>
    <w:rsid w:val="009B05F2"/>
    <w:rsid w:val="009B07E9"/>
    <w:rsid w:val="009B0ECE"/>
    <w:rsid w:val="009B10EB"/>
    <w:rsid w:val="009B10FF"/>
    <w:rsid w:val="009B1320"/>
    <w:rsid w:val="009B15C1"/>
    <w:rsid w:val="009B17DA"/>
    <w:rsid w:val="009B1B21"/>
    <w:rsid w:val="009B1B5A"/>
    <w:rsid w:val="009B1BE5"/>
    <w:rsid w:val="009B1E31"/>
    <w:rsid w:val="009B1EA1"/>
    <w:rsid w:val="009B2246"/>
    <w:rsid w:val="009B2607"/>
    <w:rsid w:val="009B283F"/>
    <w:rsid w:val="009B28E3"/>
    <w:rsid w:val="009B29DC"/>
    <w:rsid w:val="009B2A0C"/>
    <w:rsid w:val="009B2A1F"/>
    <w:rsid w:val="009B2AEF"/>
    <w:rsid w:val="009B306C"/>
    <w:rsid w:val="009B343D"/>
    <w:rsid w:val="009B35E4"/>
    <w:rsid w:val="009B38AE"/>
    <w:rsid w:val="009B3B39"/>
    <w:rsid w:val="009B3D0B"/>
    <w:rsid w:val="009B3E65"/>
    <w:rsid w:val="009B451C"/>
    <w:rsid w:val="009B460A"/>
    <w:rsid w:val="009B4828"/>
    <w:rsid w:val="009B4E73"/>
    <w:rsid w:val="009B4EC0"/>
    <w:rsid w:val="009B4F2D"/>
    <w:rsid w:val="009B5023"/>
    <w:rsid w:val="009B5867"/>
    <w:rsid w:val="009B59EB"/>
    <w:rsid w:val="009B5A6C"/>
    <w:rsid w:val="009B5A72"/>
    <w:rsid w:val="009B5D24"/>
    <w:rsid w:val="009B60DF"/>
    <w:rsid w:val="009B6130"/>
    <w:rsid w:val="009B6191"/>
    <w:rsid w:val="009B62C9"/>
    <w:rsid w:val="009B660E"/>
    <w:rsid w:val="009B6762"/>
    <w:rsid w:val="009B682A"/>
    <w:rsid w:val="009B6933"/>
    <w:rsid w:val="009B6AA8"/>
    <w:rsid w:val="009B6AE3"/>
    <w:rsid w:val="009B6E79"/>
    <w:rsid w:val="009B7016"/>
    <w:rsid w:val="009B741D"/>
    <w:rsid w:val="009B752F"/>
    <w:rsid w:val="009B7739"/>
    <w:rsid w:val="009B775F"/>
    <w:rsid w:val="009B7A9A"/>
    <w:rsid w:val="009B7D98"/>
    <w:rsid w:val="009B7DD2"/>
    <w:rsid w:val="009B7DFB"/>
    <w:rsid w:val="009C0201"/>
    <w:rsid w:val="009C086A"/>
    <w:rsid w:val="009C088C"/>
    <w:rsid w:val="009C0B3B"/>
    <w:rsid w:val="009C0B98"/>
    <w:rsid w:val="009C0C00"/>
    <w:rsid w:val="009C0DF1"/>
    <w:rsid w:val="009C0EB2"/>
    <w:rsid w:val="009C1047"/>
    <w:rsid w:val="009C10DC"/>
    <w:rsid w:val="009C1455"/>
    <w:rsid w:val="009C1D13"/>
    <w:rsid w:val="009C1EA2"/>
    <w:rsid w:val="009C1EF1"/>
    <w:rsid w:val="009C1F09"/>
    <w:rsid w:val="009C22EE"/>
    <w:rsid w:val="009C25E1"/>
    <w:rsid w:val="009C265C"/>
    <w:rsid w:val="009C2BD8"/>
    <w:rsid w:val="009C30E6"/>
    <w:rsid w:val="009C33F2"/>
    <w:rsid w:val="009C363B"/>
    <w:rsid w:val="009C36D8"/>
    <w:rsid w:val="009C41D4"/>
    <w:rsid w:val="009C4367"/>
    <w:rsid w:val="009C44F2"/>
    <w:rsid w:val="009C4BA2"/>
    <w:rsid w:val="009C4CE9"/>
    <w:rsid w:val="009C536C"/>
    <w:rsid w:val="009C56BA"/>
    <w:rsid w:val="009C587C"/>
    <w:rsid w:val="009C59B6"/>
    <w:rsid w:val="009C5A96"/>
    <w:rsid w:val="009C5E60"/>
    <w:rsid w:val="009C5EC5"/>
    <w:rsid w:val="009C6334"/>
    <w:rsid w:val="009C67B8"/>
    <w:rsid w:val="009C6A08"/>
    <w:rsid w:val="009C6CB7"/>
    <w:rsid w:val="009C6CF7"/>
    <w:rsid w:val="009C70F0"/>
    <w:rsid w:val="009C7117"/>
    <w:rsid w:val="009C713F"/>
    <w:rsid w:val="009C7140"/>
    <w:rsid w:val="009C7379"/>
    <w:rsid w:val="009C7E08"/>
    <w:rsid w:val="009C7E20"/>
    <w:rsid w:val="009C7E66"/>
    <w:rsid w:val="009D02EC"/>
    <w:rsid w:val="009D030F"/>
    <w:rsid w:val="009D060E"/>
    <w:rsid w:val="009D0654"/>
    <w:rsid w:val="009D06E6"/>
    <w:rsid w:val="009D070A"/>
    <w:rsid w:val="009D0920"/>
    <w:rsid w:val="009D0A37"/>
    <w:rsid w:val="009D0F69"/>
    <w:rsid w:val="009D136B"/>
    <w:rsid w:val="009D165E"/>
    <w:rsid w:val="009D16C2"/>
    <w:rsid w:val="009D17B3"/>
    <w:rsid w:val="009D1886"/>
    <w:rsid w:val="009D1A16"/>
    <w:rsid w:val="009D1AD3"/>
    <w:rsid w:val="009D1F99"/>
    <w:rsid w:val="009D2019"/>
    <w:rsid w:val="009D217B"/>
    <w:rsid w:val="009D232A"/>
    <w:rsid w:val="009D2336"/>
    <w:rsid w:val="009D2378"/>
    <w:rsid w:val="009D238B"/>
    <w:rsid w:val="009D2432"/>
    <w:rsid w:val="009D25DA"/>
    <w:rsid w:val="009D2834"/>
    <w:rsid w:val="009D2870"/>
    <w:rsid w:val="009D2B41"/>
    <w:rsid w:val="009D2F45"/>
    <w:rsid w:val="009D3175"/>
    <w:rsid w:val="009D3531"/>
    <w:rsid w:val="009D389C"/>
    <w:rsid w:val="009D39F0"/>
    <w:rsid w:val="009D3D59"/>
    <w:rsid w:val="009D429F"/>
    <w:rsid w:val="009D4721"/>
    <w:rsid w:val="009D4933"/>
    <w:rsid w:val="009D4A96"/>
    <w:rsid w:val="009D4C33"/>
    <w:rsid w:val="009D4C60"/>
    <w:rsid w:val="009D4DB2"/>
    <w:rsid w:val="009D5149"/>
    <w:rsid w:val="009D5199"/>
    <w:rsid w:val="009D51C6"/>
    <w:rsid w:val="009D641E"/>
    <w:rsid w:val="009D6785"/>
    <w:rsid w:val="009D685C"/>
    <w:rsid w:val="009D69C6"/>
    <w:rsid w:val="009D6B85"/>
    <w:rsid w:val="009D6D97"/>
    <w:rsid w:val="009D78E4"/>
    <w:rsid w:val="009D7BF3"/>
    <w:rsid w:val="009D7E54"/>
    <w:rsid w:val="009D7E61"/>
    <w:rsid w:val="009E0169"/>
    <w:rsid w:val="009E0181"/>
    <w:rsid w:val="009E03D4"/>
    <w:rsid w:val="009E041E"/>
    <w:rsid w:val="009E06EB"/>
    <w:rsid w:val="009E1000"/>
    <w:rsid w:val="009E114A"/>
    <w:rsid w:val="009E1314"/>
    <w:rsid w:val="009E1368"/>
    <w:rsid w:val="009E183A"/>
    <w:rsid w:val="009E1C66"/>
    <w:rsid w:val="009E255D"/>
    <w:rsid w:val="009E2988"/>
    <w:rsid w:val="009E29A5"/>
    <w:rsid w:val="009E29C9"/>
    <w:rsid w:val="009E2AF0"/>
    <w:rsid w:val="009E2ECB"/>
    <w:rsid w:val="009E2F70"/>
    <w:rsid w:val="009E325D"/>
    <w:rsid w:val="009E32B5"/>
    <w:rsid w:val="009E356D"/>
    <w:rsid w:val="009E3863"/>
    <w:rsid w:val="009E390C"/>
    <w:rsid w:val="009E39EF"/>
    <w:rsid w:val="009E3A28"/>
    <w:rsid w:val="009E3AFC"/>
    <w:rsid w:val="009E3D2F"/>
    <w:rsid w:val="009E3F0E"/>
    <w:rsid w:val="009E4AA1"/>
    <w:rsid w:val="009E4C02"/>
    <w:rsid w:val="009E4D86"/>
    <w:rsid w:val="009E4F80"/>
    <w:rsid w:val="009E5111"/>
    <w:rsid w:val="009E5160"/>
    <w:rsid w:val="009E5483"/>
    <w:rsid w:val="009E5530"/>
    <w:rsid w:val="009E5680"/>
    <w:rsid w:val="009E56A7"/>
    <w:rsid w:val="009E57BE"/>
    <w:rsid w:val="009E584E"/>
    <w:rsid w:val="009E5E9E"/>
    <w:rsid w:val="009E6119"/>
    <w:rsid w:val="009E6639"/>
    <w:rsid w:val="009E6D17"/>
    <w:rsid w:val="009E6F95"/>
    <w:rsid w:val="009E7025"/>
    <w:rsid w:val="009E73EA"/>
    <w:rsid w:val="009E77A6"/>
    <w:rsid w:val="009E77D3"/>
    <w:rsid w:val="009E7800"/>
    <w:rsid w:val="009E7B6D"/>
    <w:rsid w:val="009E7CDF"/>
    <w:rsid w:val="009E7E9F"/>
    <w:rsid w:val="009E7F69"/>
    <w:rsid w:val="009E7F82"/>
    <w:rsid w:val="009F0335"/>
    <w:rsid w:val="009F03DC"/>
    <w:rsid w:val="009F066B"/>
    <w:rsid w:val="009F0817"/>
    <w:rsid w:val="009F0870"/>
    <w:rsid w:val="009F089B"/>
    <w:rsid w:val="009F0916"/>
    <w:rsid w:val="009F0F89"/>
    <w:rsid w:val="009F11FF"/>
    <w:rsid w:val="009F12FC"/>
    <w:rsid w:val="009F1352"/>
    <w:rsid w:val="009F1503"/>
    <w:rsid w:val="009F17F0"/>
    <w:rsid w:val="009F1D2F"/>
    <w:rsid w:val="009F2030"/>
    <w:rsid w:val="009F2153"/>
    <w:rsid w:val="009F26D1"/>
    <w:rsid w:val="009F2AE6"/>
    <w:rsid w:val="009F31C0"/>
    <w:rsid w:val="009F34F2"/>
    <w:rsid w:val="009F39FF"/>
    <w:rsid w:val="009F3A2B"/>
    <w:rsid w:val="009F3DA1"/>
    <w:rsid w:val="009F3ECC"/>
    <w:rsid w:val="009F3FCC"/>
    <w:rsid w:val="009F42F7"/>
    <w:rsid w:val="009F45AA"/>
    <w:rsid w:val="009F49A7"/>
    <w:rsid w:val="009F513D"/>
    <w:rsid w:val="009F51A9"/>
    <w:rsid w:val="009F51CD"/>
    <w:rsid w:val="009F590E"/>
    <w:rsid w:val="009F5A32"/>
    <w:rsid w:val="009F5FB5"/>
    <w:rsid w:val="009F6133"/>
    <w:rsid w:val="009F614B"/>
    <w:rsid w:val="009F648C"/>
    <w:rsid w:val="009F6E55"/>
    <w:rsid w:val="009F7007"/>
    <w:rsid w:val="009F74C9"/>
    <w:rsid w:val="009F773D"/>
    <w:rsid w:val="009F7798"/>
    <w:rsid w:val="009F7B78"/>
    <w:rsid w:val="009F7BB4"/>
    <w:rsid w:val="009F7D9D"/>
    <w:rsid w:val="00A000A8"/>
    <w:rsid w:val="00A0023E"/>
    <w:rsid w:val="00A00356"/>
    <w:rsid w:val="00A0043B"/>
    <w:rsid w:val="00A00454"/>
    <w:rsid w:val="00A004BB"/>
    <w:rsid w:val="00A00A39"/>
    <w:rsid w:val="00A00F65"/>
    <w:rsid w:val="00A012DA"/>
    <w:rsid w:val="00A01C5D"/>
    <w:rsid w:val="00A01CE9"/>
    <w:rsid w:val="00A0209E"/>
    <w:rsid w:val="00A0232F"/>
    <w:rsid w:val="00A0240A"/>
    <w:rsid w:val="00A02583"/>
    <w:rsid w:val="00A030E3"/>
    <w:rsid w:val="00A032E7"/>
    <w:rsid w:val="00A036F8"/>
    <w:rsid w:val="00A038E0"/>
    <w:rsid w:val="00A03A5B"/>
    <w:rsid w:val="00A04007"/>
    <w:rsid w:val="00A0428F"/>
    <w:rsid w:val="00A044EE"/>
    <w:rsid w:val="00A04517"/>
    <w:rsid w:val="00A04529"/>
    <w:rsid w:val="00A045E1"/>
    <w:rsid w:val="00A05301"/>
    <w:rsid w:val="00A054C8"/>
    <w:rsid w:val="00A05553"/>
    <w:rsid w:val="00A0581D"/>
    <w:rsid w:val="00A05B36"/>
    <w:rsid w:val="00A05B83"/>
    <w:rsid w:val="00A05F27"/>
    <w:rsid w:val="00A05F7F"/>
    <w:rsid w:val="00A05FE0"/>
    <w:rsid w:val="00A06228"/>
    <w:rsid w:val="00A06753"/>
    <w:rsid w:val="00A06B0E"/>
    <w:rsid w:val="00A06B35"/>
    <w:rsid w:val="00A06F3D"/>
    <w:rsid w:val="00A073FA"/>
    <w:rsid w:val="00A078DA"/>
    <w:rsid w:val="00A079BA"/>
    <w:rsid w:val="00A07A0B"/>
    <w:rsid w:val="00A07D83"/>
    <w:rsid w:val="00A07E44"/>
    <w:rsid w:val="00A07E6A"/>
    <w:rsid w:val="00A07E7B"/>
    <w:rsid w:val="00A07E83"/>
    <w:rsid w:val="00A07EBD"/>
    <w:rsid w:val="00A07FE0"/>
    <w:rsid w:val="00A102B9"/>
    <w:rsid w:val="00A108EE"/>
    <w:rsid w:val="00A10A9C"/>
    <w:rsid w:val="00A10C87"/>
    <w:rsid w:val="00A10DB3"/>
    <w:rsid w:val="00A10DE3"/>
    <w:rsid w:val="00A10FF6"/>
    <w:rsid w:val="00A110C3"/>
    <w:rsid w:val="00A117DE"/>
    <w:rsid w:val="00A11A63"/>
    <w:rsid w:val="00A11C2F"/>
    <w:rsid w:val="00A11C54"/>
    <w:rsid w:val="00A11CFA"/>
    <w:rsid w:val="00A124AA"/>
    <w:rsid w:val="00A12599"/>
    <w:rsid w:val="00A12900"/>
    <w:rsid w:val="00A12A7B"/>
    <w:rsid w:val="00A12B6A"/>
    <w:rsid w:val="00A12C4D"/>
    <w:rsid w:val="00A12F45"/>
    <w:rsid w:val="00A134D8"/>
    <w:rsid w:val="00A13C6F"/>
    <w:rsid w:val="00A13CB8"/>
    <w:rsid w:val="00A13DB4"/>
    <w:rsid w:val="00A14052"/>
    <w:rsid w:val="00A1412B"/>
    <w:rsid w:val="00A14253"/>
    <w:rsid w:val="00A14340"/>
    <w:rsid w:val="00A144CD"/>
    <w:rsid w:val="00A147EF"/>
    <w:rsid w:val="00A14A54"/>
    <w:rsid w:val="00A15083"/>
    <w:rsid w:val="00A1513A"/>
    <w:rsid w:val="00A1569C"/>
    <w:rsid w:val="00A156F5"/>
    <w:rsid w:val="00A15A35"/>
    <w:rsid w:val="00A15B56"/>
    <w:rsid w:val="00A15EB6"/>
    <w:rsid w:val="00A15F2E"/>
    <w:rsid w:val="00A16391"/>
    <w:rsid w:val="00A169F5"/>
    <w:rsid w:val="00A16ADC"/>
    <w:rsid w:val="00A17994"/>
    <w:rsid w:val="00A20409"/>
    <w:rsid w:val="00A20790"/>
    <w:rsid w:val="00A208D3"/>
    <w:rsid w:val="00A209F6"/>
    <w:rsid w:val="00A20AD7"/>
    <w:rsid w:val="00A20B1D"/>
    <w:rsid w:val="00A20B2D"/>
    <w:rsid w:val="00A20EA4"/>
    <w:rsid w:val="00A20F92"/>
    <w:rsid w:val="00A21AF1"/>
    <w:rsid w:val="00A21C09"/>
    <w:rsid w:val="00A21C2D"/>
    <w:rsid w:val="00A22313"/>
    <w:rsid w:val="00A22346"/>
    <w:rsid w:val="00A228C3"/>
    <w:rsid w:val="00A22D00"/>
    <w:rsid w:val="00A22F2F"/>
    <w:rsid w:val="00A23039"/>
    <w:rsid w:val="00A2309E"/>
    <w:rsid w:val="00A23AD7"/>
    <w:rsid w:val="00A23B84"/>
    <w:rsid w:val="00A23B9D"/>
    <w:rsid w:val="00A23BC1"/>
    <w:rsid w:val="00A2414A"/>
    <w:rsid w:val="00A244B2"/>
    <w:rsid w:val="00A245B5"/>
    <w:rsid w:val="00A247A4"/>
    <w:rsid w:val="00A24ACF"/>
    <w:rsid w:val="00A24E24"/>
    <w:rsid w:val="00A24FF7"/>
    <w:rsid w:val="00A2521C"/>
    <w:rsid w:val="00A25888"/>
    <w:rsid w:val="00A25977"/>
    <w:rsid w:val="00A259BD"/>
    <w:rsid w:val="00A259F5"/>
    <w:rsid w:val="00A25F42"/>
    <w:rsid w:val="00A26111"/>
    <w:rsid w:val="00A26227"/>
    <w:rsid w:val="00A264EF"/>
    <w:rsid w:val="00A2652B"/>
    <w:rsid w:val="00A26D58"/>
    <w:rsid w:val="00A26ECF"/>
    <w:rsid w:val="00A27A13"/>
    <w:rsid w:val="00A27AC5"/>
    <w:rsid w:val="00A27C0A"/>
    <w:rsid w:val="00A27C4A"/>
    <w:rsid w:val="00A27DCE"/>
    <w:rsid w:val="00A27E38"/>
    <w:rsid w:val="00A300CD"/>
    <w:rsid w:val="00A300E7"/>
    <w:rsid w:val="00A30157"/>
    <w:rsid w:val="00A303AA"/>
    <w:rsid w:val="00A30491"/>
    <w:rsid w:val="00A3064F"/>
    <w:rsid w:val="00A30F08"/>
    <w:rsid w:val="00A30F68"/>
    <w:rsid w:val="00A31022"/>
    <w:rsid w:val="00A3105E"/>
    <w:rsid w:val="00A313A0"/>
    <w:rsid w:val="00A3181B"/>
    <w:rsid w:val="00A31A36"/>
    <w:rsid w:val="00A32210"/>
    <w:rsid w:val="00A322E6"/>
    <w:rsid w:val="00A323F3"/>
    <w:rsid w:val="00A324A6"/>
    <w:rsid w:val="00A32667"/>
    <w:rsid w:val="00A32B1A"/>
    <w:rsid w:val="00A32D69"/>
    <w:rsid w:val="00A33277"/>
    <w:rsid w:val="00A332C6"/>
    <w:rsid w:val="00A33356"/>
    <w:rsid w:val="00A33372"/>
    <w:rsid w:val="00A3359B"/>
    <w:rsid w:val="00A33E7D"/>
    <w:rsid w:val="00A34137"/>
    <w:rsid w:val="00A3443C"/>
    <w:rsid w:val="00A346A3"/>
    <w:rsid w:val="00A34BE6"/>
    <w:rsid w:val="00A3538D"/>
    <w:rsid w:val="00A3552A"/>
    <w:rsid w:val="00A3572B"/>
    <w:rsid w:val="00A35890"/>
    <w:rsid w:val="00A3597A"/>
    <w:rsid w:val="00A35AC6"/>
    <w:rsid w:val="00A35E2E"/>
    <w:rsid w:val="00A35EBE"/>
    <w:rsid w:val="00A35F8C"/>
    <w:rsid w:val="00A360D6"/>
    <w:rsid w:val="00A363C1"/>
    <w:rsid w:val="00A36761"/>
    <w:rsid w:val="00A367AD"/>
    <w:rsid w:val="00A36906"/>
    <w:rsid w:val="00A36A72"/>
    <w:rsid w:val="00A36DA5"/>
    <w:rsid w:val="00A370D0"/>
    <w:rsid w:val="00A374D9"/>
    <w:rsid w:val="00A3764B"/>
    <w:rsid w:val="00A376EF"/>
    <w:rsid w:val="00A37AE5"/>
    <w:rsid w:val="00A40695"/>
    <w:rsid w:val="00A406A0"/>
    <w:rsid w:val="00A40D0C"/>
    <w:rsid w:val="00A40D88"/>
    <w:rsid w:val="00A410EA"/>
    <w:rsid w:val="00A4160C"/>
    <w:rsid w:val="00A41A7A"/>
    <w:rsid w:val="00A41A93"/>
    <w:rsid w:val="00A41BD1"/>
    <w:rsid w:val="00A41D0E"/>
    <w:rsid w:val="00A41DA1"/>
    <w:rsid w:val="00A42112"/>
    <w:rsid w:val="00A4243A"/>
    <w:rsid w:val="00A4317D"/>
    <w:rsid w:val="00A437BC"/>
    <w:rsid w:val="00A43C11"/>
    <w:rsid w:val="00A43CE0"/>
    <w:rsid w:val="00A43E33"/>
    <w:rsid w:val="00A43FB5"/>
    <w:rsid w:val="00A4403E"/>
    <w:rsid w:val="00A442EB"/>
    <w:rsid w:val="00A44538"/>
    <w:rsid w:val="00A447F2"/>
    <w:rsid w:val="00A44AB5"/>
    <w:rsid w:val="00A4523E"/>
    <w:rsid w:val="00A45489"/>
    <w:rsid w:val="00A454DE"/>
    <w:rsid w:val="00A4553C"/>
    <w:rsid w:val="00A459E3"/>
    <w:rsid w:val="00A45E50"/>
    <w:rsid w:val="00A45E9C"/>
    <w:rsid w:val="00A45ECD"/>
    <w:rsid w:val="00A45F76"/>
    <w:rsid w:val="00A45FD5"/>
    <w:rsid w:val="00A460F3"/>
    <w:rsid w:val="00A460FC"/>
    <w:rsid w:val="00A46135"/>
    <w:rsid w:val="00A463FA"/>
    <w:rsid w:val="00A466A2"/>
    <w:rsid w:val="00A46C03"/>
    <w:rsid w:val="00A46D36"/>
    <w:rsid w:val="00A46EC3"/>
    <w:rsid w:val="00A472DC"/>
    <w:rsid w:val="00A47439"/>
    <w:rsid w:val="00A47455"/>
    <w:rsid w:val="00A4780A"/>
    <w:rsid w:val="00A47C55"/>
    <w:rsid w:val="00A47F50"/>
    <w:rsid w:val="00A5012D"/>
    <w:rsid w:val="00A50172"/>
    <w:rsid w:val="00A508BB"/>
    <w:rsid w:val="00A50FB2"/>
    <w:rsid w:val="00A51091"/>
    <w:rsid w:val="00A510FA"/>
    <w:rsid w:val="00A5139F"/>
    <w:rsid w:val="00A514EE"/>
    <w:rsid w:val="00A51557"/>
    <w:rsid w:val="00A51945"/>
    <w:rsid w:val="00A520E7"/>
    <w:rsid w:val="00A5231D"/>
    <w:rsid w:val="00A525BD"/>
    <w:rsid w:val="00A5273F"/>
    <w:rsid w:val="00A527A3"/>
    <w:rsid w:val="00A528A5"/>
    <w:rsid w:val="00A528FF"/>
    <w:rsid w:val="00A52A28"/>
    <w:rsid w:val="00A52B9C"/>
    <w:rsid w:val="00A52D67"/>
    <w:rsid w:val="00A52DB6"/>
    <w:rsid w:val="00A53498"/>
    <w:rsid w:val="00A5396A"/>
    <w:rsid w:val="00A53B61"/>
    <w:rsid w:val="00A53B93"/>
    <w:rsid w:val="00A540AA"/>
    <w:rsid w:val="00A5458B"/>
    <w:rsid w:val="00A546EF"/>
    <w:rsid w:val="00A54737"/>
    <w:rsid w:val="00A54A4D"/>
    <w:rsid w:val="00A54AB9"/>
    <w:rsid w:val="00A54B63"/>
    <w:rsid w:val="00A54C29"/>
    <w:rsid w:val="00A54EFC"/>
    <w:rsid w:val="00A54F50"/>
    <w:rsid w:val="00A551F2"/>
    <w:rsid w:val="00A55358"/>
    <w:rsid w:val="00A55463"/>
    <w:rsid w:val="00A5561B"/>
    <w:rsid w:val="00A5596B"/>
    <w:rsid w:val="00A55AE4"/>
    <w:rsid w:val="00A55B7B"/>
    <w:rsid w:val="00A55F1F"/>
    <w:rsid w:val="00A55F71"/>
    <w:rsid w:val="00A56042"/>
    <w:rsid w:val="00A56327"/>
    <w:rsid w:val="00A564FD"/>
    <w:rsid w:val="00A565C4"/>
    <w:rsid w:val="00A567AF"/>
    <w:rsid w:val="00A57088"/>
    <w:rsid w:val="00A57393"/>
    <w:rsid w:val="00A573F0"/>
    <w:rsid w:val="00A57896"/>
    <w:rsid w:val="00A57B2C"/>
    <w:rsid w:val="00A57DD7"/>
    <w:rsid w:val="00A6005A"/>
    <w:rsid w:val="00A604EC"/>
    <w:rsid w:val="00A60977"/>
    <w:rsid w:val="00A60F31"/>
    <w:rsid w:val="00A6140B"/>
    <w:rsid w:val="00A614BE"/>
    <w:rsid w:val="00A61512"/>
    <w:rsid w:val="00A6159E"/>
    <w:rsid w:val="00A61D5A"/>
    <w:rsid w:val="00A6222A"/>
    <w:rsid w:val="00A626AB"/>
    <w:rsid w:val="00A62A3C"/>
    <w:rsid w:val="00A62AFA"/>
    <w:rsid w:val="00A62B44"/>
    <w:rsid w:val="00A62CF1"/>
    <w:rsid w:val="00A62D8B"/>
    <w:rsid w:val="00A62DEE"/>
    <w:rsid w:val="00A631F1"/>
    <w:rsid w:val="00A6390F"/>
    <w:rsid w:val="00A639C1"/>
    <w:rsid w:val="00A63A75"/>
    <w:rsid w:val="00A63AB5"/>
    <w:rsid w:val="00A63C6A"/>
    <w:rsid w:val="00A640B3"/>
    <w:rsid w:val="00A646E0"/>
    <w:rsid w:val="00A647E3"/>
    <w:rsid w:val="00A647EE"/>
    <w:rsid w:val="00A6486C"/>
    <w:rsid w:val="00A649BD"/>
    <w:rsid w:val="00A64BD5"/>
    <w:rsid w:val="00A6570A"/>
    <w:rsid w:val="00A657DF"/>
    <w:rsid w:val="00A65937"/>
    <w:rsid w:val="00A65954"/>
    <w:rsid w:val="00A65B9E"/>
    <w:rsid w:val="00A65BC4"/>
    <w:rsid w:val="00A65C21"/>
    <w:rsid w:val="00A65D88"/>
    <w:rsid w:val="00A661A0"/>
    <w:rsid w:val="00A66573"/>
    <w:rsid w:val="00A6693E"/>
    <w:rsid w:val="00A66A1E"/>
    <w:rsid w:val="00A66AC2"/>
    <w:rsid w:val="00A66C2F"/>
    <w:rsid w:val="00A66D32"/>
    <w:rsid w:val="00A66D3D"/>
    <w:rsid w:val="00A66D75"/>
    <w:rsid w:val="00A66F97"/>
    <w:rsid w:val="00A6718A"/>
    <w:rsid w:val="00A673B4"/>
    <w:rsid w:val="00A67672"/>
    <w:rsid w:val="00A6778B"/>
    <w:rsid w:val="00A678CF"/>
    <w:rsid w:val="00A7040C"/>
    <w:rsid w:val="00A70B4B"/>
    <w:rsid w:val="00A70C5C"/>
    <w:rsid w:val="00A7105D"/>
    <w:rsid w:val="00A7143D"/>
    <w:rsid w:val="00A71599"/>
    <w:rsid w:val="00A7178D"/>
    <w:rsid w:val="00A719A8"/>
    <w:rsid w:val="00A71BE7"/>
    <w:rsid w:val="00A71D14"/>
    <w:rsid w:val="00A7263C"/>
    <w:rsid w:val="00A728B2"/>
    <w:rsid w:val="00A72A34"/>
    <w:rsid w:val="00A731FD"/>
    <w:rsid w:val="00A73230"/>
    <w:rsid w:val="00A737B1"/>
    <w:rsid w:val="00A73947"/>
    <w:rsid w:val="00A73A02"/>
    <w:rsid w:val="00A73B9F"/>
    <w:rsid w:val="00A73D54"/>
    <w:rsid w:val="00A74088"/>
    <w:rsid w:val="00A74354"/>
    <w:rsid w:val="00A74390"/>
    <w:rsid w:val="00A7488C"/>
    <w:rsid w:val="00A75479"/>
    <w:rsid w:val="00A75938"/>
    <w:rsid w:val="00A7597C"/>
    <w:rsid w:val="00A75DAB"/>
    <w:rsid w:val="00A75DE0"/>
    <w:rsid w:val="00A75E4F"/>
    <w:rsid w:val="00A75ED4"/>
    <w:rsid w:val="00A75EDB"/>
    <w:rsid w:val="00A760BB"/>
    <w:rsid w:val="00A76117"/>
    <w:rsid w:val="00A76769"/>
    <w:rsid w:val="00A76843"/>
    <w:rsid w:val="00A76A19"/>
    <w:rsid w:val="00A76AE1"/>
    <w:rsid w:val="00A76BC9"/>
    <w:rsid w:val="00A76D46"/>
    <w:rsid w:val="00A76E29"/>
    <w:rsid w:val="00A7703F"/>
    <w:rsid w:val="00A77065"/>
    <w:rsid w:val="00A77267"/>
    <w:rsid w:val="00A772EA"/>
    <w:rsid w:val="00A7759B"/>
    <w:rsid w:val="00A7787D"/>
    <w:rsid w:val="00A77D6F"/>
    <w:rsid w:val="00A77EC1"/>
    <w:rsid w:val="00A77FA8"/>
    <w:rsid w:val="00A80173"/>
    <w:rsid w:val="00A80362"/>
    <w:rsid w:val="00A80694"/>
    <w:rsid w:val="00A807C8"/>
    <w:rsid w:val="00A80820"/>
    <w:rsid w:val="00A80EFB"/>
    <w:rsid w:val="00A80F2D"/>
    <w:rsid w:val="00A81091"/>
    <w:rsid w:val="00A811AA"/>
    <w:rsid w:val="00A8127D"/>
    <w:rsid w:val="00A81332"/>
    <w:rsid w:val="00A813A6"/>
    <w:rsid w:val="00A814C7"/>
    <w:rsid w:val="00A81627"/>
    <w:rsid w:val="00A81810"/>
    <w:rsid w:val="00A81B30"/>
    <w:rsid w:val="00A81FC5"/>
    <w:rsid w:val="00A82356"/>
    <w:rsid w:val="00A82534"/>
    <w:rsid w:val="00A82B93"/>
    <w:rsid w:val="00A83031"/>
    <w:rsid w:val="00A83D4B"/>
    <w:rsid w:val="00A83E0A"/>
    <w:rsid w:val="00A83FD0"/>
    <w:rsid w:val="00A8429A"/>
    <w:rsid w:val="00A84604"/>
    <w:rsid w:val="00A8476D"/>
    <w:rsid w:val="00A8496E"/>
    <w:rsid w:val="00A84A16"/>
    <w:rsid w:val="00A84AEA"/>
    <w:rsid w:val="00A84B29"/>
    <w:rsid w:val="00A84BD5"/>
    <w:rsid w:val="00A84D1C"/>
    <w:rsid w:val="00A84F6E"/>
    <w:rsid w:val="00A851FD"/>
    <w:rsid w:val="00A853A9"/>
    <w:rsid w:val="00A853E0"/>
    <w:rsid w:val="00A8540A"/>
    <w:rsid w:val="00A8549B"/>
    <w:rsid w:val="00A85880"/>
    <w:rsid w:val="00A8589F"/>
    <w:rsid w:val="00A85A7E"/>
    <w:rsid w:val="00A85B6C"/>
    <w:rsid w:val="00A85DFF"/>
    <w:rsid w:val="00A8604C"/>
    <w:rsid w:val="00A86058"/>
    <w:rsid w:val="00A860BE"/>
    <w:rsid w:val="00A86440"/>
    <w:rsid w:val="00A86650"/>
    <w:rsid w:val="00A86897"/>
    <w:rsid w:val="00A86947"/>
    <w:rsid w:val="00A86EC8"/>
    <w:rsid w:val="00A86FAF"/>
    <w:rsid w:val="00A87364"/>
    <w:rsid w:val="00A8751C"/>
    <w:rsid w:val="00A87619"/>
    <w:rsid w:val="00A87836"/>
    <w:rsid w:val="00A879A8"/>
    <w:rsid w:val="00A87C7A"/>
    <w:rsid w:val="00A87CAD"/>
    <w:rsid w:val="00A90D9A"/>
    <w:rsid w:val="00A90EEF"/>
    <w:rsid w:val="00A9107F"/>
    <w:rsid w:val="00A9135F"/>
    <w:rsid w:val="00A917E6"/>
    <w:rsid w:val="00A91855"/>
    <w:rsid w:val="00A91B11"/>
    <w:rsid w:val="00A91E52"/>
    <w:rsid w:val="00A91E60"/>
    <w:rsid w:val="00A91F08"/>
    <w:rsid w:val="00A92011"/>
    <w:rsid w:val="00A923A6"/>
    <w:rsid w:val="00A9244F"/>
    <w:rsid w:val="00A924C7"/>
    <w:rsid w:val="00A925CD"/>
    <w:rsid w:val="00A925EA"/>
    <w:rsid w:val="00A92670"/>
    <w:rsid w:val="00A92697"/>
    <w:rsid w:val="00A927F8"/>
    <w:rsid w:val="00A92A33"/>
    <w:rsid w:val="00A92B3E"/>
    <w:rsid w:val="00A92C3F"/>
    <w:rsid w:val="00A931EF"/>
    <w:rsid w:val="00A933BB"/>
    <w:rsid w:val="00A934C2"/>
    <w:rsid w:val="00A93560"/>
    <w:rsid w:val="00A935CE"/>
    <w:rsid w:val="00A93A14"/>
    <w:rsid w:val="00A93C78"/>
    <w:rsid w:val="00A93CB9"/>
    <w:rsid w:val="00A9401D"/>
    <w:rsid w:val="00A94176"/>
    <w:rsid w:val="00A944D7"/>
    <w:rsid w:val="00A9464C"/>
    <w:rsid w:val="00A94990"/>
    <w:rsid w:val="00A94D4B"/>
    <w:rsid w:val="00A952BD"/>
    <w:rsid w:val="00A955D5"/>
    <w:rsid w:val="00A95D37"/>
    <w:rsid w:val="00A95D8B"/>
    <w:rsid w:val="00A95FA7"/>
    <w:rsid w:val="00A95FC3"/>
    <w:rsid w:val="00A966EC"/>
    <w:rsid w:val="00A968B9"/>
    <w:rsid w:val="00A96983"/>
    <w:rsid w:val="00A96ADB"/>
    <w:rsid w:val="00A96B26"/>
    <w:rsid w:val="00A96C79"/>
    <w:rsid w:val="00A96CAD"/>
    <w:rsid w:val="00A96CDB"/>
    <w:rsid w:val="00A96CE4"/>
    <w:rsid w:val="00A977B6"/>
    <w:rsid w:val="00A97E24"/>
    <w:rsid w:val="00A97EE1"/>
    <w:rsid w:val="00A97F6E"/>
    <w:rsid w:val="00AA03F5"/>
    <w:rsid w:val="00AA08C8"/>
    <w:rsid w:val="00AA08FB"/>
    <w:rsid w:val="00AA090F"/>
    <w:rsid w:val="00AA0D7C"/>
    <w:rsid w:val="00AA1714"/>
    <w:rsid w:val="00AA184C"/>
    <w:rsid w:val="00AA20BD"/>
    <w:rsid w:val="00AA20E0"/>
    <w:rsid w:val="00AA2178"/>
    <w:rsid w:val="00AA240A"/>
    <w:rsid w:val="00AA2455"/>
    <w:rsid w:val="00AA247B"/>
    <w:rsid w:val="00AA24FD"/>
    <w:rsid w:val="00AA260F"/>
    <w:rsid w:val="00AA285F"/>
    <w:rsid w:val="00AA2B78"/>
    <w:rsid w:val="00AA2C10"/>
    <w:rsid w:val="00AA2CD0"/>
    <w:rsid w:val="00AA2EE4"/>
    <w:rsid w:val="00AA301D"/>
    <w:rsid w:val="00AA3109"/>
    <w:rsid w:val="00AA3838"/>
    <w:rsid w:val="00AA38F9"/>
    <w:rsid w:val="00AA3BA2"/>
    <w:rsid w:val="00AA3BB4"/>
    <w:rsid w:val="00AA3C19"/>
    <w:rsid w:val="00AA3CEF"/>
    <w:rsid w:val="00AA3D09"/>
    <w:rsid w:val="00AA3E0D"/>
    <w:rsid w:val="00AA3E37"/>
    <w:rsid w:val="00AA40D7"/>
    <w:rsid w:val="00AA4104"/>
    <w:rsid w:val="00AA4444"/>
    <w:rsid w:val="00AA4612"/>
    <w:rsid w:val="00AA47AE"/>
    <w:rsid w:val="00AA47C4"/>
    <w:rsid w:val="00AA4A08"/>
    <w:rsid w:val="00AA50F6"/>
    <w:rsid w:val="00AA51AD"/>
    <w:rsid w:val="00AA523E"/>
    <w:rsid w:val="00AA52A2"/>
    <w:rsid w:val="00AA54AB"/>
    <w:rsid w:val="00AA567A"/>
    <w:rsid w:val="00AA57DD"/>
    <w:rsid w:val="00AA5E4D"/>
    <w:rsid w:val="00AA5E6A"/>
    <w:rsid w:val="00AA627C"/>
    <w:rsid w:val="00AA66B8"/>
    <w:rsid w:val="00AA69E2"/>
    <w:rsid w:val="00AA6A02"/>
    <w:rsid w:val="00AA6A39"/>
    <w:rsid w:val="00AA6ECE"/>
    <w:rsid w:val="00AA6F73"/>
    <w:rsid w:val="00AA7225"/>
    <w:rsid w:val="00AA7375"/>
    <w:rsid w:val="00AA792C"/>
    <w:rsid w:val="00AA7BB5"/>
    <w:rsid w:val="00AA7D9C"/>
    <w:rsid w:val="00AA7DA4"/>
    <w:rsid w:val="00AB0074"/>
    <w:rsid w:val="00AB007E"/>
    <w:rsid w:val="00AB00A1"/>
    <w:rsid w:val="00AB0113"/>
    <w:rsid w:val="00AB01AE"/>
    <w:rsid w:val="00AB023B"/>
    <w:rsid w:val="00AB069A"/>
    <w:rsid w:val="00AB0B27"/>
    <w:rsid w:val="00AB0BE9"/>
    <w:rsid w:val="00AB0C8A"/>
    <w:rsid w:val="00AB0FFC"/>
    <w:rsid w:val="00AB1001"/>
    <w:rsid w:val="00AB107B"/>
    <w:rsid w:val="00AB142B"/>
    <w:rsid w:val="00AB1735"/>
    <w:rsid w:val="00AB1928"/>
    <w:rsid w:val="00AB1BD8"/>
    <w:rsid w:val="00AB1C1F"/>
    <w:rsid w:val="00AB1E91"/>
    <w:rsid w:val="00AB1FEF"/>
    <w:rsid w:val="00AB230F"/>
    <w:rsid w:val="00AB2365"/>
    <w:rsid w:val="00AB24D9"/>
    <w:rsid w:val="00AB2944"/>
    <w:rsid w:val="00AB29AA"/>
    <w:rsid w:val="00AB2AD0"/>
    <w:rsid w:val="00AB2D42"/>
    <w:rsid w:val="00AB315C"/>
    <w:rsid w:val="00AB3C0C"/>
    <w:rsid w:val="00AB3F63"/>
    <w:rsid w:val="00AB3F89"/>
    <w:rsid w:val="00AB406C"/>
    <w:rsid w:val="00AB4822"/>
    <w:rsid w:val="00AB487B"/>
    <w:rsid w:val="00AB4D6E"/>
    <w:rsid w:val="00AB531E"/>
    <w:rsid w:val="00AB548A"/>
    <w:rsid w:val="00AB5794"/>
    <w:rsid w:val="00AB57A9"/>
    <w:rsid w:val="00AB59D5"/>
    <w:rsid w:val="00AB5D8E"/>
    <w:rsid w:val="00AB5DDD"/>
    <w:rsid w:val="00AB6369"/>
    <w:rsid w:val="00AB655D"/>
    <w:rsid w:val="00AB6996"/>
    <w:rsid w:val="00AB6AC1"/>
    <w:rsid w:val="00AB6C10"/>
    <w:rsid w:val="00AB6C8B"/>
    <w:rsid w:val="00AB6CCF"/>
    <w:rsid w:val="00AB6DB4"/>
    <w:rsid w:val="00AB715D"/>
    <w:rsid w:val="00AB7193"/>
    <w:rsid w:val="00AB749E"/>
    <w:rsid w:val="00AB7619"/>
    <w:rsid w:val="00AB7981"/>
    <w:rsid w:val="00AB79E5"/>
    <w:rsid w:val="00AC008C"/>
    <w:rsid w:val="00AC00B8"/>
    <w:rsid w:val="00AC00D8"/>
    <w:rsid w:val="00AC014E"/>
    <w:rsid w:val="00AC03D1"/>
    <w:rsid w:val="00AC06DD"/>
    <w:rsid w:val="00AC102D"/>
    <w:rsid w:val="00AC1729"/>
    <w:rsid w:val="00AC1745"/>
    <w:rsid w:val="00AC1A52"/>
    <w:rsid w:val="00AC1C30"/>
    <w:rsid w:val="00AC2581"/>
    <w:rsid w:val="00AC2D4D"/>
    <w:rsid w:val="00AC2E47"/>
    <w:rsid w:val="00AC2E94"/>
    <w:rsid w:val="00AC312C"/>
    <w:rsid w:val="00AC32F4"/>
    <w:rsid w:val="00AC332E"/>
    <w:rsid w:val="00AC3542"/>
    <w:rsid w:val="00AC35DE"/>
    <w:rsid w:val="00AC36E8"/>
    <w:rsid w:val="00AC387A"/>
    <w:rsid w:val="00AC3AEA"/>
    <w:rsid w:val="00AC3F6F"/>
    <w:rsid w:val="00AC3F93"/>
    <w:rsid w:val="00AC402E"/>
    <w:rsid w:val="00AC4236"/>
    <w:rsid w:val="00AC437C"/>
    <w:rsid w:val="00AC44B4"/>
    <w:rsid w:val="00AC48C5"/>
    <w:rsid w:val="00AC4B3C"/>
    <w:rsid w:val="00AC4DB9"/>
    <w:rsid w:val="00AC4E6F"/>
    <w:rsid w:val="00AC5094"/>
    <w:rsid w:val="00AC53E7"/>
    <w:rsid w:val="00AC55DA"/>
    <w:rsid w:val="00AC565B"/>
    <w:rsid w:val="00AC5D7A"/>
    <w:rsid w:val="00AC5E8D"/>
    <w:rsid w:val="00AC60B7"/>
    <w:rsid w:val="00AC63D6"/>
    <w:rsid w:val="00AC6425"/>
    <w:rsid w:val="00AC67B2"/>
    <w:rsid w:val="00AC685F"/>
    <w:rsid w:val="00AC6A4B"/>
    <w:rsid w:val="00AC6ADB"/>
    <w:rsid w:val="00AC6CB4"/>
    <w:rsid w:val="00AC7CA9"/>
    <w:rsid w:val="00AC7CC2"/>
    <w:rsid w:val="00AC7E51"/>
    <w:rsid w:val="00AD019F"/>
    <w:rsid w:val="00AD0664"/>
    <w:rsid w:val="00AD093B"/>
    <w:rsid w:val="00AD093F"/>
    <w:rsid w:val="00AD0AF7"/>
    <w:rsid w:val="00AD0BA2"/>
    <w:rsid w:val="00AD0BA9"/>
    <w:rsid w:val="00AD0C83"/>
    <w:rsid w:val="00AD1036"/>
    <w:rsid w:val="00AD110A"/>
    <w:rsid w:val="00AD1129"/>
    <w:rsid w:val="00AD120C"/>
    <w:rsid w:val="00AD13EF"/>
    <w:rsid w:val="00AD146D"/>
    <w:rsid w:val="00AD1568"/>
    <w:rsid w:val="00AD1880"/>
    <w:rsid w:val="00AD1E77"/>
    <w:rsid w:val="00AD208C"/>
    <w:rsid w:val="00AD2ACA"/>
    <w:rsid w:val="00AD2D62"/>
    <w:rsid w:val="00AD2ECE"/>
    <w:rsid w:val="00AD3183"/>
    <w:rsid w:val="00AD31E1"/>
    <w:rsid w:val="00AD31EF"/>
    <w:rsid w:val="00AD32F0"/>
    <w:rsid w:val="00AD3616"/>
    <w:rsid w:val="00AD3758"/>
    <w:rsid w:val="00AD3B90"/>
    <w:rsid w:val="00AD3D93"/>
    <w:rsid w:val="00AD40F0"/>
    <w:rsid w:val="00AD413F"/>
    <w:rsid w:val="00AD41C5"/>
    <w:rsid w:val="00AD437E"/>
    <w:rsid w:val="00AD4454"/>
    <w:rsid w:val="00AD4A8E"/>
    <w:rsid w:val="00AD4AF8"/>
    <w:rsid w:val="00AD4E55"/>
    <w:rsid w:val="00AD55F5"/>
    <w:rsid w:val="00AD580C"/>
    <w:rsid w:val="00AD5AA8"/>
    <w:rsid w:val="00AD5FC4"/>
    <w:rsid w:val="00AD6055"/>
    <w:rsid w:val="00AD6057"/>
    <w:rsid w:val="00AD61FA"/>
    <w:rsid w:val="00AD636D"/>
    <w:rsid w:val="00AD6809"/>
    <w:rsid w:val="00AD6B84"/>
    <w:rsid w:val="00AD73DA"/>
    <w:rsid w:val="00AD73E0"/>
    <w:rsid w:val="00AD7690"/>
    <w:rsid w:val="00AD7A82"/>
    <w:rsid w:val="00AD7D9A"/>
    <w:rsid w:val="00AE0162"/>
    <w:rsid w:val="00AE0431"/>
    <w:rsid w:val="00AE0477"/>
    <w:rsid w:val="00AE04EF"/>
    <w:rsid w:val="00AE09A1"/>
    <w:rsid w:val="00AE0B41"/>
    <w:rsid w:val="00AE0C69"/>
    <w:rsid w:val="00AE0EC1"/>
    <w:rsid w:val="00AE0F38"/>
    <w:rsid w:val="00AE1038"/>
    <w:rsid w:val="00AE10F4"/>
    <w:rsid w:val="00AE1186"/>
    <w:rsid w:val="00AE137F"/>
    <w:rsid w:val="00AE1480"/>
    <w:rsid w:val="00AE171C"/>
    <w:rsid w:val="00AE17B6"/>
    <w:rsid w:val="00AE19BB"/>
    <w:rsid w:val="00AE1CE7"/>
    <w:rsid w:val="00AE1F21"/>
    <w:rsid w:val="00AE21D8"/>
    <w:rsid w:val="00AE26ED"/>
    <w:rsid w:val="00AE2AE6"/>
    <w:rsid w:val="00AE2D4F"/>
    <w:rsid w:val="00AE2FFC"/>
    <w:rsid w:val="00AE301B"/>
    <w:rsid w:val="00AE31F9"/>
    <w:rsid w:val="00AE3B70"/>
    <w:rsid w:val="00AE43C3"/>
    <w:rsid w:val="00AE4672"/>
    <w:rsid w:val="00AE481A"/>
    <w:rsid w:val="00AE4C35"/>
    <w:rsid w:val="00AE4E6B"/>
    <w:rsid w:val="00AE52A1"/>
    <w:rsid w:val="00AE5344"/>
    <w:rsid w:val="00AE5355"/>
    <w:rsid w:val="00AE5456"/>
    <w:rsid w:val="00AE55E2"/>
    <w:rsid w:val="00AE565D"/>
    <w:rsid w:val="00AE59A7"/>
    <w:rsid w:val="00AE60A3"/>
    <w:rsid w:val="00AE6180"/>
    <w:rsid w:val="00AE62FD"/>
    <w:rsid w:val="00AE630A"/>
    <w:rsid w:val="00AE649F"/>
    <w:rsid w:val="00AE64CE"/>
    <w:rsid w:val="00AE6A57"/>
    <w:rsid w:val="00AE6AA2"/>
    <w:rsid w:val="00AE6B88"/>
    <w:rsid w:val="00AE6C2B"/>
    <w:rsid w:val="00AE7040"/>
    <w:rsid w:val="00AE704C"/>
    <w:rsid w:val="00AE7095"/>
    <w:rsid w:val="00AE755A"/>
    <w:rsid w:val="00AF006B"/>
    <w:rsid w:val="00AF03B7"/>
    <w:rsid w:val="00AF050C"/>
    <w:rsid w:val="00AF0563"/>
    <w:rsid w:val="00AF0B01"/>
    <w:rsid w:val="00AF0D0D"/>
    <w:rsid w:val="00AF0F64"/>
    <w:rsid w:val="00AF10C1"/>
    <w:rsid w:val="00AF10FB"/>
    <w:rsid w:val="00AF1A0B"/>
    <w:rsid w:val="00AF20C2"/>
    <w:rsid w:val="00AF2343"/>
    <w:rsid w:val="00AF23FD"/>
    <w:rsid w:val="00AF2500"/>
    <w:rsid w:val="00AF25CC"/>
    <w:rsid w:val="00AF2A89"/>
    <w:rsid w:val="00AF2CD0"/>
    <w:rsid w:val="00AF2DE0"/>
    <w:rsid w:val="00AF31FC"/>
    <w:rsid w:val="00AF3433"/>
    <w:rsid w:val="00AF36C8"/>
    <w:rsid w:val="00AF3788"/>
    <w:rsid w:val="00AF3BCB"/>
    <w:rsid w:val="00AF3C87"/>
    <w:rsid w:val="00AF3CF7"/>
    <w:rsid w:val="00AF3EDD"/>
    <w:rsid w:val="00AF41F4"/>
    <w:rsid w:val="00AF4500"/>
    <w:rsid w:val="00AF4506"/>
    <w:rsid w:val="00AF4693"/>
    <w:rsid w:val="00AF47EB"/>
    <w:rsid w:val="00AF4CCD"/>
    <w:rsid w:val="00AF5048"/>
    <w:rsid w:val="00AF5412"/>
    <w:rsid w:val="00AF56B7"/>
    <w:rsid w:val="00AF5938"/>
    <w:rsid w:val="00AF593A"/>
    <w:rsid w:val="00AF6082"/>
    <w:rsid w:val="00AF63B6"/>
    <w:rsid w:val="00AF658A"/>
    <w:rsid w:val="00AF667D"/>
    <w:rsid w:val="00AF683E"/>
    <w:rsid w:val="00AF6C8D"/>
    <w:rsid w:val="00AF70C3"/>
    <w:rsid w:val="00AF71BD"/>
    <w:rsid w:val="00AF7448"/>
    <w:rsid w:val="00AF7488"/>
    <w:rsid w:val="00AF7553"/>
    <w:rsid w:val="00AF75D2"/>
    <w:rsid w:val="00AF7834"/>
    <w:rsid w:val="00B0007E"/>
    <w:rsid w:val="00B00816"/>
    <w:rsid w:val="00B00AEA"/>
    <w:rsid w:val="00B00C75"/>
    <w:rsid w:val="00B00D1C"/>
    <w:rsid w:val="00B00D7C"/>
    <w:rsid w:val="00B00E86"/>
    <w:rsid w:val="00B00EC1"/>
    <w:rsid w:val="00B0125F"/>
    <w:rsid w:val="00B013BE"/>
    <w:rsid w:val="00B014B6"/>
    <w:rsid w:val="00B01677"/>
    <w:rsid w:val="00B01C40"/>
    <w:rsid w:val="00B01CD1"/>
    <w:rsid w:val="00B02169"/>
    <w:rsid w:val="00B02176"/>
    <w:rsid w:val="00B022A9"/>
    <w:rsid w:val="00B02652"/>
    <w:rsid w:val="00B0278F"/>
    <w:rsid w:val="00B028F7"/>
    <w:rsid w:val="00B02F5A"/>
    <w:rsid w:val="00B031F2"/>
    <w:rsid w:val="00B033A6"/>
    <w:rsid w:val="00B037C1"/>
    <w:rsid w:val="00B039C2"/>
    <w:rsid w:val="00B03EDB"/>
    <w:rsid w:val="00B0448E"/>
    <w:rsid w:val="00B04651"/>
    <w:rsid w:val="00B0477E"/>
    <w:rsid w:val="00B047AE"/>
    <w:rsid w:val="00B04ADC"/>
    <w:rsid w:val="00B05493"/>
    <w:rsid w:val="00B0563D"/>
    <w:rsid w:val="00B05777"/>
    <w:rsid w:val="00B05A6E"/>
    <w:rsid w:val="00B05B63"/>
    <w:rsid w:val="00B05C91"/>
    <w:rsid w:val="00B05F03"/>
    <w:rsid w:val="00B061C8"/>
    <w:rsid w:val="00B061F6"/>
    <w:rsid w:val="00B0653B"/>
    <w:rsid w:val="00B065BF"/>
    <w:rsid w:val="00B06A31"/>
    <w:rsid w:val="00B06DD7"/>
    <w:rsid w:val="00B06E20"/>
    <w:rsid w:val="00B06E8D"/>
    <w:rsid w:val="00B0702A"/>
    <w:rsid w:val="00B070B6"/>
    <w:rsid w:val="00B0755E"/>
    <w:rsid w:val="00B0796A"/>
    <w:rsid w:val="00B07B53"/>
    <w:rsid w:val="00B07B67"/>
    <w:rsid w:val="00B07E38"/>
    <w:rsid w:val="00B1026F"/>
    <w:rsid w:val="00B102D7"/>
    <w:rsid w:val="00B10917"/>
    <w:rsid w:val="00B10AB8"/>
    <w:rsid w:val="00B11172"/>
    <w:rsid w:val="00B111FE"/>
    <w:rsid w:val="00B11399"/>
    <w:rsid w:val="00B11506"/>
    <w:rsid w:val="00B115FD"/>
    <w:rsid w:val="00B11604"/>
    <w:rsid w:val="00B11626"/>
    <w:rsid w:val="00B117BA"/>
    <w:rsid w:val="00B118E2"/>
    <w:rsid w:val="00B11A32"/>
    <w:rsid w:val="00B12006"/>
    <w:rsid w:val="00B122E9"/>
    <w:rsid w:val="00B1237C"/>
    <w:rsid w:val="00B12544"/>
    <w:rsid w:val="00B12720"/>
    <w:rsid w:val="00B12795"/>
    <w:rsid w:val="00B127BF"/>
    <w:rsid w:val="00B12949"/>
    <w:rsid w:val="00B129BE"/>
    <w:rsid w:val="00B12EF0"/>
    <w:rsid w:val="00B12F0D"/>
    <w:rsid w:val="00B12F84"/>
    <w:rsid w:val="00B12FA6"/>
    <w:rsid w:val="00B13367"/>
    <w:rsid w:val="00B13650"/>
    <w:rsid w:val="00B1367E"/>
    <w:rsid w:val="00B13680"/>
    <w:rsid w:val="00B1370C"/>
    <w:rsid w:val="00B13B97"/>
    <w:rsid w:val="00B143E1"/>
    <w:rsid w:val="00B143F0"/>
    <w:rsid w:val="00B14703"/>
    <w:rsid w:val="00B1484F"/>
    <w:rsid w:val="00B14C8E"/>
    <w:rsid w:val="00B151A9"/>
    <w:rsid w:val="00B152F7"/>
    <w:rsid w:val="00B15794"/>
    <w:rsid w:val="00B15F54"/>
    <w:rsid w:val="00B16A3C"/>
    <w:rsid w:val="00B16CC5"/>
    <w:rsid w:val="00B16E08"/>
    <w:rsid w:val="00B17017"/>
    <w:rsid w:val="00B1703C"/>
    <w:rsid w:val="00B17065"/>
    <w:rsid w:val="00B17150"/>
    <w:rsid w:val="00B1740B"/>
    <w:rsid w:val="00B17556"/>
    <w:rsid w:val="00B20058"/>
    <w:rsid w:val="00B20275"/>
    <w:rsid w:val="00B20489"/>
    <w:rsid w:val="00B205ED"/>
    <w:rsid w:val="00B2065A"/>
    <w:rsid w:val="00B20769"/>
    <w:rsid w:val="00B20AE9"/>
    <w:rsid w:val="00B20FBC"/>
    <w:rsid w:val="00B210EB"/>
    <w:rsid w:val="00B2131D"/>
    <w:rsid w:val="00B2195B"/>
    <w:rsid w:val="00B219DA"/>
    <w:rsid w:val="00B219DD"/>
    <w:rsid w:val="00B21CB2"/>
    <w:rsid w:val="00B21D82"/>
    <w:rsid w:val="00B22164"/>
    <w:rsid w:val="00B2219B"/>
    <w:rsid w:val="00B2250D"/>
    <w:rsid w:val="00B2269E"/>
    <w:rsid w:val="00B226AA"/>
    <w:rsid w:val="00B228B1"/>
    <w:rsid w:val="00B2293C"/>
    <w:rsid w:val="00B22B61"/>
    <w:rsid w:val="00B233C1"/>
    <w:rsid w:val="00B237C9"/>
    <w:rsid w:val="00B23C02"/>
    <w:rsid w:val="00B23CD9"/>
    <w:rsid w:val="00B23D8D"/>
    <w:rsid w:val="00B23E27"/>
    <w:rsid w:val="00B23F5B"/>
    <w:rsid w:val="00B24189"/>
    <w:rsid w:val="00B24518"/>
    <w:rsid w:val="00B2457A"/>
    <w:rsid w:val="00B24BEE"/>
    <w:rsid w:val="00B24C78"/>
    <w:rsid w:val="00B24E95"/>
    <w:rsid w:val="00B24ECD"/>
    <w:rsid w:val="00B25014"/>
    <w:rsid w:val="00B253F3"/>
    <w:rsid w:val="00B254FC"/>
    <w:rsid w:val="00B255CC"/>
    <w:rsid w:val="00B255F5"/>
    <w:rsid w:val="00B25677"/>
    <w:rsid w:val="00B25A67"/>
    <w:rsid w:val="00B25A9B"/>
    <w:rsid w:val="00B25BF2"/>
    <w:rsid w:val="00B25CA2"/>
    <w:rsid w:val="00B25DE4"/>
    <w:rsid w:val="00B25E90"/>
    <w:rsid w:val="00B26173"/>
    <w:rsid w:val="00B264F1"/>
    <w:rsid w:val="00B266A8"/>
    <w:rsid w:val="00B26A0E"/>
    <w:rsid w:val="00B26C74"/>
    <w:rsid w:val="00B26EDB"/>
    <w:rsid w:val="00B26F8C"/>
    <w:rsid w:val="00B26FA3"/>
    <w:rsid w:val="00B270C3"/>
    <w:rsid w:val="00B270FE"/>
    <w:rsid w:val="00B27363"/>
    <w:rsid w:val="00B27702"/>
    <w:rsid w:val="00B2790D"/>
    <w:rsid w:val="00B27915"/>
    <w:rsid w:val="00B27AC7"/>
    <w:rsid w:val="00B27BAD"/>
    <w:rsid w:val="00B27C70"/>
    <w:rsid w:val="00B27CD3"/>
    <w:rsid w:val="00B27D31"/>
    <w:rsid w:val="00B27D45"/>
    <w:rsid w:val="00B27E4C"/>
    <w:rsid w:val="00B27FAF"/>
    <w:rsid w:val="00B301A0"/>
    <w:rsid w:val="00B304E2"/>
    <w:rsid w:val="00B30695"/>
    <w:rsid w:val="00B307E4"/>
    <w:rsid w:val="00B308EA"/>
    <w:rsid w:val="00B309CC"/>
    <w:rsid w:val="00B30FDB"/>
    <w:rsid w:val="00B310C4"/>
    <w:rsid w:val="00B311F7"/>
    <w:rsid w:val="00B3134F"/>
    <w:rsid w:val="00B316F2"/>
    <w:rsid w:val="00B319C3"/>
    <w:rsid w:val="00B31A71"/>
    <w:rsid w:val="00B31AC6"/>
    <w:rsid w:val="00B31C33"/>
    <w:rsid w:val="00B31C8E"/>
    <w:rsid w:val="00B31E35"/>
    <w:rsid w:val="00B32122"/>
    <w:rsid w:val="00B32385"/>
    <w:rsid w:val="00B32449"/>
    <w:rsid w:val="00B32626"/>
    <w:rsid w:val="00B328B5"/>
    <w:rsid w:val="00B328E9"/>
    <w:rsid w:val="00B32A99"/>
    <w:rsid w:val="00B32DE8"/>
    <w:rsid w:val="00B32E1A"/>
    <w:rsid w:val="00B32F3C"/>
    <w:rsid w:val="00B32FA8"/>
    <w:rsid w:val="00B330A9"/>
    <w:rsid w:val="00B3340E"/>
    <w:rsid w:val="00B33590"/>
    <w:rsid w:val="00B3367C"/>
    <w:rsid w:val="00B338BC"/>
    <w:rsid w:val="00B338DC"/>
    <w:rsid w:val="00B33B19"/>
    <w:rsid w:val="00B33C59"/>
    <w:rsid w:val="00B33D62"/>
    <w:rsid w:val="00B33D92"/>
    <w:rsid w:val="00B33DBC"/>
    <w:rsid w:val="00B33DD4"/>
    <w:rsid w:val="00B33EE9"/>
    <w:rsid w:val="00B342B7"/>
    <w:rsid w:val="00B34340"/>
    <w:rsid w:val="00B34672"/>
    <w:rsid w:val="00B34967"/>
    <w:rsid w:val="00B34A67"/>
    <w:rsid w:val="00B34AB1"/>
    <w:rsid w:val="00B34C7C"/>
    <w:rsid w:val="00B34F5E"/>
    <w:rsid w:val="00B354EB"/>
    <w:rsid w:val="00B35C00"/>
    <w:rsid w:val="00B365EA"/>
    <w:rsid w:val="00B36867"/>
    <w:rsid w:val="00B370D5"/>
    <w:rsid w:val="00B371DA"/>
    <w:rsid w:val="00B37586"/>
    <w:rsid w:val="00B375BF"/>
    <w:rsid w:val="00B375D1"/>
    <w:rsid w:val="00B3769F"/>
    <w:rsid w:val="00B3788C"/>
    <w:rsid w:val="00B37899"/>
    <w:rsid w:val="00B37950"/>
    <w:rsid w:val="00B37C0A"/>
    <w:rsid w:val="00B4007C"/>
    <w:rsid w:val="00B40250"/>
    <w:rsid w:val="00B402F7"/>
    <w:rsid w:val="00B40373"/>
    <w:rsid w:val="00B40B17"/>
    <w:rsid w:val="00B40FD2"/>
    <w:rsid w:val="00B40FE8"/>
    <w:rsid w:val="00B41350"/>
    <w:rsid w:val="00B416C1"/>
    <w:rsid w:val="00B41936"/>
    <w:rsid w:val="00B41D3B"/>
    <w:rsid w:val="00B41D9D"/>
    <w:rsid w:val="00B42254"/>
    <w:rsid w:val="00B423AE"/>
    <w:rsid w:val="00B42404"/>
    <w:rsid w:val="00B4273D"/>
    <w:rsid w:val="00B42C09"/>
    <w:rsid w:val="00B42ED3"/>
    <w:rsid w:val="00B4302F"/>
    <w:rsid w:val="00B4316D"/>
    <w:rsid w:val="00B431CF"/>
    <w:rsid w:val="00B434B7"/>
    <w:rsid w:val="00B43C8F"/>
    <w:rsid w:val="00B43EBA"/>
    <w:rsid w:val="00B44382"/>
    <w:rsid w:val="00B4455C"/>
    <w:rsid w:val="00B44738"/>
    <w:rsid w:val="00B44842"/>
    <w:rsid w:val="00B44949"/>
    <w:rsid w:val="00B44997"/>
    <w:rsid w:val="00B44CB8"/>
    <w:rsid w:val="00B44E56"/>
    <w:rsid w:val="00B44F03"/>
    <w:rsid w:val="00B450CF"/>
    <w:rsid w:val="00B45280"/>
    <w:rsid w:val="00B4536D"/>
    <w:rsid w:val="00B45518"/>
    <w:rsid w:val="00B4566D"/>
    <w:rsid w:val="00B456D0"/>
    <w:rsid w:val="00B45742"/>
    <w:rsid w:val="00B4598E"/>
    <w:rsid w:val="00B45B44"/>
    <w:rsid w:val="00B460B0"/>
    <w:rsid w:val="00B46223"/>
    <w:rsid w:val="00B46558"/>
    <w:rsid w:val="00B46772"/>
    <w:rsid w:val="00B46870"/>
    <w:rsid w:val="00B46885"/>
    <w:rsid w:val="00B468A8"/>
    <w:rsid w:val="00B47084"/>
    <w:rsid w:val="00B4763F"/>
    <w:rsid w:val="00B47CD5"/>
    <w:rsid w:val="00B47DBF"/>
    <w:rsid w:val="00B50007"/>
    <w:rsid w:val="00B5023E"/>
    <w:rsid w:val="00B50252"/>
    <w:rsid w:val="00B50459"/>
    <w:rsid w:val="00B504E8"/>
    <w:rsid w:val="00B506A3"/>
    <w:rsid w:val="00B50CD5"/>
    <w:rsid w:val="00B50E26"/>
    <w:rsid w:val="00B50E96"/>
    <w:rsid w:val="00B50F6F"/>
    <w:rsid w:val="00B515BB"/>
    <w:rsid w:val="00B5180E"/>
    <w:rsid w:val="00B51A19"/>
    <w:rsid w:val="00B51AE7"/>
    <w:rsid w:val="00B51B02"/>
    <w:rsid w:val="00B51B87"/>
    <w:rsid w:val="00B51BED"/>
    <w:rsid w:val="00B51BF3"/>
    <w:rsid w:val="00B51DB4"/>
    <w:rsid w:val="00B523EC"/>
    <w:rsid w:val="00B5252A"/>
    <w:rsid w:val="00B52661"/>
    <w:rsid w:val="00B526AD"/>
    <w:rsid w:val="00B527BC"/>
    <w:rsid w:val="00B52E0D"/>
    <w:rsid w:val="00B52E67"/>
    <w:rsid w:val="00B52F08"/>
    <w:rsid w:val="00B52F94"/>
    <w:rsid w:val="00B531B3"/>
    <w:rsid w:val="00B53243"/>
    <w:rsid w:val="00B53364"/>
    <w:rsid w:val="00B5394F"/>
    <w:rsid w:val="00B53B41"/>
    <w:rsid w:val="00B53CCA"/>
    <w:rsid w:val="00B541BF"/>
    <w:rsid w:val="00B5450B"/>
    <w:rsid w:val="00B54AEF"/>
    <w:rsid w:val="00B54B35"/>
    <w:rsid w:val="00B54E0B"/>
    <w:rsid w:val="00B5510D"/>
    <w:rsid w:val="00B55AFA"/>
    <w:rsid w:val="00B55C8D"/>
    <w:rsid w:val="00B55E99"/>
    <w:rsid w:val="00B561BC"/>
    <w:rsid w:val="00B56312"/>
    <w:rsid w:val="00B564E8"/>
    <w:rsid w:val="00B56B00"/>
    <w:rsid w:val="00B56E5C"/>
    <w:rsid w:val="00B571C8"/>
    <w:rsid w:val="00B5739E"/>
    <w:rsid w:val="00B576FE"/>
    <w:rsid w:val="00B577A1"/>
    <w:rsid w:val="00B57CA2"/>
    <w:rsid w:val="00B601AF"/>
    <w:rsid w:val="00B6078F"/>
    <w:rsid w:val="00B608D2"/>
    <w:rsid w:val="00B60CE5"/>
    <w:rsid w:val="00B60DB3"/>
    <w:rsid w:val="00B60E79"/>
    <w:rsid w:val="00B61001"/>
    <w:rsid w:val="00B612F4"/>
    <w:rsid w:val="00B61732"/>
    <w:rsid w:val="00B617EA"/>
    <w:rsid w:val="00B61C46"/>
    <w:rsid w:val="00B61D41"/>
    <w:rsid w:val="00B61EBF"/>
    <w:rsid w:val="00B62436"/>
    <w:rsid w:val="00B6268B"/>
    <w:rsid w:val="00B62AC6"/>
    <w:rsid w:val="00B62D4F"/>
    <w:rsid w:val="00B62E02"/>
    <w:rsid w:val="00B62E9B"/>
    <w:rsid w:val="00B6306F"/>
    <w:rsid w:val="00B6317A"/>
    <w:rsid w:val="00B631AF"/>
    <w:rsid w:val="00B6364F"/>
    <w:rsid w:val="00B63658"/>
    <w:rsid w:val="00B6369A"/>
    <w:rsid w:val="00B63E64"/>
    <w:rsid w:val="00B64263"/>
    <w:rsid w:val="00B64592"/>
    <w:rsid w:val="00B645A9"/>
    <w:rsid w:val="00B645F2"/>
    <w:rsid w:val="00B64ADA"/>
    <w:rsid w:val="00B64B4B"/>
    <w:rsid w:val="00B64CD4"/>
    <w:rsid w:val="00B64FBE"/>
    <w:rsid w:val="00B656BB"/>
    <w:rsid w:val="00B658A6"/>
    <w:rsid w:val="00B658FE"/>
    <w:rsid w:val="00B65DB2"/>
    <w:rsid w:val="00B660AF"/>
    <w:rsid w:val="00B66177"/>
    <w:rsid w:val="00B66765"/>
    <w:rsid w:val="00B6679E"/>
    <w:rsid w:val="00B6694C"/>
    <w:rsid w:val="00B669AB"/>
    <w:rsid w:val="00B66BDB"/>
    <w:rsid w:val="00B66C8A"/>
    <w:rsid w:val="00B66D0D"/>
    <w:rsid w:val="00B67201"/>
    <w:rsid w:val="00B67450"/>
    <w:rsid w:val="00B676DB"/>
    <w:rsid w:val="00B67811"/>
    <w:rsid w:val="00B67838"/>
    <w:rsid w:val="00B6788A"/>
    <w:rsid w:val="00B678C2"/>
    <w:rsid w:val="00B7030D"/>
    <w:rsid w:val="00B705F4"/>
    <w:rsid w:val="00B70624"/>
    <w:rsid w:val="00B70655"/>
    <w:rsid w:val="00B7092D"/>
    <w:rsid w:val="00B70A58"/>
    <w:rsid w:val="00B70BC6"/>
    <w:rsid w:val="00B70CD1"/>
    <w:rsid w:val="00B70D2D"/>
    <w:rsid w:val="00B70D91"/>
    <w:rsid w:val="00B70E6E"/>
    <w:rsid w:val="00B710AD"/>
    <w:rsid w:val="00B711F2"/>
    <w:rsid w:val="00B71748"/>
    <w:rsid w:val="00B71AFD"/>
    <w:rsid w:val="00B71BA6"/>
    <w:rsid w:val="00B71F34"/>
    <w:rsid w:val="00B71F3A"/>
    <w:rsid w:val="00B720F8"/>
    <w:rsid w:val="00B727F5"/>
    <w:rsid w:val="00B72871"/>
    <w:rsid w:val="00B7293F"/>
    <w:rsid w:val="00B72B4D"/>
    <w:rsid w:val="00B72FD7"/>
    <w:rsid w:val="00B7309D"/>
    <w:rsid w:val="00B7343B"/>
    <w:rsid w:val="00B7350C"/>
    <w:rsid w:val="00B7373A"/>
    <w:rsid w:val="00B73877"/>
    <w:rsid w:val="00B73C45"/>
    <w:rsid w:val="00B740AD"/>
    <w:rsid w:val="00B741DF"/>
    <w:rsid w:val="00B747C3"/>
    <w:rsid w:val="00B7495D"/>
    <w:rsid w:val="00B74974"/>
    <w:rsid w:val="00B74C15"/>
    <w:rsid w:val="00B750A1"/>
    <w:rsid w:val="00B7550C"/>
    <w:rsid w:val="00B75B07"/>
    <w:rsid w:val="00B75E9D"/>
    <w:rsid w:val="00B7664D"/>
    <w:rsid w:val="00B7698E"/>
    <w:rsid w:val="00B769AF"/>
    <w:rsid w:val="00B769F5"/>
    <w:rsid w:val="00B76BF1"/>
    <w:rsid w:val="00B76D25"/>
    <w:rsid w:val="00B76FED"/>
    <w:rsid w:val="00B77085"/>
    <w:rsid w:val="00B77ED5"/>
    <w:rsid w:val="00B77FFA"/>
    <w:rsid w:val="00B800F1"/>
    <w:rsid w:val="00B80357"/>
    <w:rsid w:val="00B806B9"/>
    <w:rsid w:val="00B8186E"/>
    <w:rsid w:val="00B81930"/>
    <w:rsid w:val="00B81CD7"/>
    <w:rsid w:val="00B82014"/>
    <w:rsid w:val="00B82281"/>
    <w:rsid w:val="00B82653"/>
    <w:rsid w:val="00B82955"/>
    <w:rsid w:val="00B82A17"/>
    <w:rsid w:val="00B82AAA"/>
    <w:rsid w:val="00B82DF1"/>
    <w:rsid w:val="00B82F1E"/>
    <w:rsid w:val="00B83032"/>
    <w:rsid w:val="00B830E0"/>
    <w:rsid w:val="00B8389F"/>
    <w:rsid w:val="00B83992"/>
    <w:rsid w:val="00B83AA2"/>
    <w:rsid w:val="00B83AA5"/>
    <w:rsid w:val="00B83AEC"/>
    <w:rsid w:val="00B83CF1"/>
    <w:rsid w:val="00B83FAA"/>
    <w:rsid w:val="00B843A0"/>
    <w:rsid w:val="00B84734"/>
    <w:rsid w:val="00B84743"/>
    <w:rsid w:val="00B847B8"/>
    <w:rsid w:val="00B847D7"/>
    <w:rsid w:val="00B84841"/>
    <w:rsid w:val="00B84911"/>
    <w:rsid w:val="00B84A30"/>
    <w:rsid w:val="00B84B9A"/>
    <w:rsid w:val="00B84CEE"/>
    <w:rsid w:val="00B84E7B"/>
    <w:rsid w:val="00B8505A"/>
    <w:rsid w:val="00B850A2"/>
    <w:rsid w:val="00B850FB"/>
    <w:rsid w:val="00B852E4"/>
    <w:rsid w:val="00B8568D"/>
    <w:rsid w:val="00B8594F"/>
    <w:rsid w:val="00B85CB3"/>
    <w:rsid w:val="00B85E17"/>
    <w:rsid w:val="00B85E74"/>
    <w:rsid w:val="00B860C1"/>
    <w:rsid w:val="00B863FB"/>
    <w:rsid w:val="00B8685A"/>
    <w:rsid w:val="00B8696D"/>
    <w:rsid w:val="00B86A66"/>
    <w:rsid w:val="00B86E54"/>
    <w:rsid w:val="00B86EAC"/>
    <w:rsid w:val="00B86F45"/>
    <w:rsid w:val="00B8717F"/>
    <w:rsid w:val="00B87758"/>
    <w:rsid w:val="00B877B7"/>
    <w:rsid w:val="00B879D2"/>
    <w:rsid w:val="00B87A54"/>
    <w:rsid w:val="00B87A8E"/>
    <w:rsid w:val="00B87D3C"/>
    <w:rsid w:val="00B87D51"/>
    <w:rsid w:val="00B904C7"/>
    <w:rsid w:val="00B9060A"/>
    <w:rsid w:val="00B906B4"/>
    <w:rsid w:val="00B909DA"/>
    <w:rsid w:val="00B90E0E"/>
    <w:rsid w:val="00B90FCB"/>
    <w:rsid w:val="00B914DC"/>
    <w:rsid w:val="00B91901"/>
    <w:rsid w:val="00B919C1"/>
    <w:rsid w:val="00B91F4B"/>
    <w:rsid w:val="00B91FB4"/>
    <w:rsid w:val="00B92513"/>
    <w:rsid w:val="00B92889"/>
    <w:rsid w:val="00B928A0"/>
    <w:rsid w:val="00B9297F"/>
    <w:rsid w:val="00B92BF0"/>
    <w:rsid w:val="00B93313"/>
    <w:rsid w:val="00B934A3"/>
    <w:rsid w:val="00B93750"/>
    <w:rsid w:val="00B937D9"/>
    <w:rsid w:val="00B9396C"/>
    <w:rsid w:val="00B9396E"/>
    <w:rsid w:val="00B9454B"/>
    <w:rsid w:val="00B94613"/>
    <w:rsid w:val="00B9461C"/>
    <w:rsid w:val="00B947BB"/>
    <w:rsid w:val="00B947F9"/>
    <w:rsid w:val="00B94C22"/>
    <w:rsid w:val="00B94D77"/>
    <w:rsid w:val="00B95049"/>
    <w:rsid w:val="00B95232"/>
    <w:rsid w:val="00B9671A"/>
    <w:rsid w:val="00B96758"/>
    <w:rsid w:val="00B96EC1"/>
    <w:rsid w:val="00B96F1B"/>
    <w:rsid w:val="00B97128"/>
    <w:rsid w:val="00B9776E"/>
    <w:rsid w:val="00B97BA8"/>
    <w:rsid w:val="00BA05A1"/>
    <w:rsid w:val="00BA0A05"/>
    <w:rsid w:val="00BA0D51"/>
    <w:rsid w:val="00BA0E85"/>
    <w:rsid w:val="00BA1218"/>
    <w:rsid w:val="00BA194E"/>
    <w:rsid w:val="00BA28F4"/>
    <w:rsid w:val="00BA2BEC"/>
    <w:rsid w:val="00BA2D67"/>
    <w:rsid w:val="00BA2E93"/>
    <w:rsid w:val="00BA3063"/>
    <w:rsid w:val="00BA322D"/>
    <w:rsid w:val="00BA3315"/>
    <w:rsid w:val="00BA3327"/>
    <w:rsid w:val="00BA343D"/>
    <w:rsid w:val="00BA3AD4"/>
    <w:rsid w:val="00BA3BAD"/>
    <w:rsid w:val="00BA3CA4"/>
    <w:rsid w:val="00BA3F7A"/>
    <w:rsid w:val="00BA451B"/>
    <w:rsid w:val="00BA4751"/>
    <w:rsid w:val="00BA48A5"/>
    <w:rsid w:val="00BA4DA1"/>
    <w:rsid w:val="00BA5073"/>
    <w:rsid w:val="00BA5079"/>
    <w:rsid w:val="00BA51A4"/>
    <w:rsid w:val="00BA561C"/>
    <w:rsid w:val="00BA5DF7"/>
    <w:rsid w:val="00BA5F03"/>
    <w:rsid w:val="00BA60D1"/>
    <w:rsid w:val="00BA628D"/>
    <w:rsid w:val="00BA6692"/>
    <w:rsid w:val="00BA6F43"/>
    <w:rsid w:val="00BA7102"/>
    <w:rsid w:val="00BA720B"/>
    <w:rsid w:val="00BA722B"/>
    <w:rsid w:val="00BA73D0"/>
    <w:rsid w:val="00BA74B5"/>
    <w:rsid w:val="00BA75B9"/>
    <w:rsid w:val="00BA75C3"/>
    <w:rsid w:val="00BA75DC"/>
    <w:rsid w:val="00BA78A1"/>
    <w:rsid w:val="00BA7A29"/>
    <w:rsid w:val="00BA7E6D"/>
    <w:rsid w:val="00BB01B5"/>
    <w:rsid w:val="00BB03D0"/>
    <w:rsid w:val="00BB0795"/>
    <w:rsid w:val="00BB0AA1"/>
    <w:rsid w:val="00BB11A9"/>
    <w:rsid w:val="00BB13A7"/>
    <w:rsid w:val="00BB1738"/>
    <w:rsid w:val="00BB1F74"/>
    <w:rsid w:val="00BB20E4"/>
    <w:rsid w:val="00BB2341"/>
    <w:rsid w:val="00BB23C9"/>
    <w:rsid w:val="00BB2422"/>
    <w:rsid w:val="00BB25C1"/>
    <w:rsid w:val="00BB2621"/>
    <w:rsid w:val="00BB28B0"/>
    <w:rsid w:val="00BB29F2"/>
    <w:rsid w:val="00BB2FFA"/>
    <w:rsid w:val="00BB31EA"/>
    <w:rsid w:val="00BB328E"/>
    <w:rsid w:val="00BB336C"/>
    <w:rsid w:val="00BB340E"/>
    <w:rsid w:val="00BB34F1"/>
    <w:rsid w:val="00BB367E"/>
    <w:rsid w:val="00BB371F"/>
    <w:rsid w:val="00BB372E"/>
    <w:rsid w:val="00BB3BDC"/>
    <w:rsid w:val="00BB4444"/>
    <w:rsid w:val="00BB44DA"/>
    <w:rsid w:val="00BB4520"/>
    <w:rsid w:val="00BB4650"/>
    <w:rsid w:val="00BB4729"/>
    <w:rsid w:val="00BB472F"/>
    <w:rsid w:val="00BB525A"/>
    <w:rsid w:val="00BB52A7"/>
    <w:rsid w:val="00BB572C"/>
    <w:rsid w:val="00BB579C"/>
    <w:rsid w:val="00BB57B1"/>
    <w:rsid w:val="00BB5CE9"/>
    <w:rsid w:val="00BB6AE8"/>
    <w:rsid w:val="00BB6C4A"/>
    <w:rsid w:val="00BB6E1E"/>
    <w:rsid w:val="00BB6E42"/>
    <w:rsid w:val="00BB787B"/>
    <w:rsid w:val="00BB796E"/>
    <w:rsid w:val="00BB7BED"/>
    <w:rsid w:val="00BC012C"/>
    <w:rsid w:val="00BC0457"/>
    <w:rsid w:val="00BC09BF"/>
    <w:rsid w:val="00BC0D29"/>
    <w:rsid w:val="00BC0D49"/>
    <w:rsid w:val="00BC1136"/>
    <w:rsid w:val="00BC13EB"/>
    <w:rsid w:val="00BC140B"/>
    <w:rsid w:val="00BC1B85"/>
    <w:rsid w:val="00BC1C82"/>
    <w:rsid w:val="00BC1CB5"/>
    <w:rsid w:val="00BC1EF4"/>
    <w:rsid w:val="00BC200B"/>
    <w:rsid w:val="00BC21E5"/>
    <w:rsid w:val="00BC23AC"/>
    <w:rsid w:val="00BC23C6"/>
    <w:rsid w:val="00BC2796"/>
    <w:rsid w:val="00BC27B1"/>
    <w:rsid w:val="00BC2963"/>
    <w:rsid w:val="00BC2B2A"/>
    <w:rsid w:val="00BC2D10"/>
    <w:rsid w:val="00BC304E"/>
    <w:rsid w:val="00BC3050"/>
    <w:rsid w:val="00BC3321"/>
    <w:rsid w:val="00BC346F"/>
    <w:rsid w:val="00BC3767"/>
    <w:rsid w:val="00BC3ABE"/>
    <w:rsid w:val="00BC41EF"/>
    <w:rsid w:val="00BC43C4"/>
    <w:rsid w:val="00BC4904"/>
    <w:rsid w:val="00BC4AC5"/>
    <w:rsid w:val="00BC4C2F"/>
    <w:rsid w:val="00BC51C5"/>
    <w:rsid w:val="00BC5543"/>
    <w:rsid w:val="00BC5550"/>
    <w:rsid w:val="00BC5638"/>
    <w:rsid w:val="00BC5DB4"/>
    <w:rsid w:val="00BC5E82"/>
    <w:rsid w:val="00BC64C0"/>
    <w:rsid w:val="00BC66C3"/>
    <w:rsid w:val="00BC6982"/>
    <w:rsid w:val="00BC6D6A"/>
    <w:rsid w:val="00BC73E6"/>
    <w:rsid w:val="00BC75A2"/>
    <w:rsid w:val="00BC7680"/>
    <w:rsid w:val="00BC7BE8"/>
    <w:rsid w:val="00BD033C"/>
    <w:rsid w:val="00BD0633"/>
    <w:rsid w:val="00BD09E8"/>
    <w:rsid w:val="00BD0DAE"/>
    <w:rsid w:val="00BD0E3B"/>
    <w:rsid w:val="00BD0F18"/>
    <w:rsid w:val="00BD14BB"/>
    <w:rsid w:val="00BD157C"/>
    <w:rsid w:val="00BD1644"/>
    <w:rsid w:val="00BD19F7"/>
    <w:rsid w:val="00BD1B4F"/>
    <w:rsid w:val="00BD1B99"/>
    <w:rsid w:val="00BD2310"/>
    <w:rsid w:val="00BD2345"/>
    <w:rsid w:val="00BD2441"/>
    <w:rsid w:val="00BD2542"/>
    <w:rsid w:val="00BD2A86"/>
    <w:rsid w:val="00BD2C0C"/>
    <w:rsid w:val="00BD3023"/>
    <w:rsid w:val="00BD3074"/>
    <w:rsid w:val="00BD30BF"/>
    <w:rsid w:val="00BD3392"/>
    <w:rsid w:val="00BD37B9"/>
    <w:rsid w:val="00BD3811"/>
    <w:rsid w:val="00BD3C29"/>
    <w:rsid w:val="00BD3D77"/>
    <w:rsid w:val="00BD3DCA"/>
    <w:rsid w:val="00BD3F20"/>
    <w:rsid w:val="00BD40C5"/>
    <w:rsid w:val="00BD4381"/>
    <w:rsid w:val="00BD48AD"/>
    <w:rsid w:val="00BD493B"/>
    <w:rsid w:val="00BD4EF8"/>
    <w:rsid w:val="00BD4F90"/>
    <w:rsid w:val="00BD534D"/>
    <w:rsid w:val="00BD59A3"/>
    <w:rsid w:val="00BD5EF4"/>
    <w:rsid w:val="00BD621F"/>
    <w:rsid w:val="00BD6384"/>
    <w:rsid w:val="00BD64B9"/>
    <w:rsid w:val="00BD66D4"/>
    <w:rsid w:val="00BD68AA"/>
    <w:rsid w:val="00BD6D81"/>
    <w:rsid w:val="00BD6D99"/>
    <w:rsid w:val="00BD6DD0"/>
    <w:rsid w:val="00BD6FCF"/>
    <w:rsid w:val="00BD7089"/>
    <w:rsid w:val="00BD709C"/>
    <w:rsid w:val="00BD7148"/>
    <w:rsid w:val="00BD757E"/>
    <w:rsid w:val="00BD76B5"/>
    <w:rsid w:val="00BD7A00"/>
    <w:rsid w:val="00BD7B6F"/>
    <w:rsid w:val="00BD7F26"/>
    <w:rsid w:val="00BE03E6"/>
    <w:rsid w:val="00BE06E2"/>
    <w:rsid w:val="00BE132D"/>
    <w:rsid w:val="00BE1620"/>
    <w:rsid w:val="00BE1814"/>
    <w:rsid w:val="00BE1C54"/>
    <w:rsid w:val="00BE1D3A"/>
    <w:rsid w:val="00BE1F8E"/>
    <w:rsid w:val="00BE21D6"/>
    <w:rsid w:val="00BE22E7"/>
    <w:rsid w:val="00BE23C6"/>
    <w:rsid w:val="00BE260D"/>
    <w:rsid w:val="00BE2C76"/>
    <w:rsid w:val="00BE2DC5"/>
    <w:rsid w:val="00BE2F28"/>
    <w:rsid w:val="00BE308A"/>
    <w:rsid w:val="00BE3140"/>
    <w:rsid w:val="00BE382F"/>
    <w:rsid w:val="00BE3C38"/>
    <w:rsid w:val="00BE3FF2"/>
    <w:rsid w:val="00BE40E0"/>
    <w:rsid w:val="00BE431A"/>
    <w:rsid w:val="00BE435F"/>
    <w:rsid w:val="00BE43A7"/>
    <w:rsid w:val="00BE45B7"/>
    <w:rsid w:val="00BE4990"/>
    <w:rsid w:val="00BE4A42"/>
    <w:rsid w:val="00BE4B45"/>
    <w:rsid w:val="00BE5113"/>
    <w:rsid w:val="00BE51DB"/>
    <w:rsid w:val="00BE51F9"/>
    <w:rsid w:val="00BE56B7"/>
    <w:rsid w:val="00BE5D82"/>
    <w:rsid w:val="00BE604E"/>
    <w:rsid w:val="00BE6087"/>
    <w:rsid w:val="00BE629C"/>
    <w:rsid w:val="00BE64C3"/>
    <w:rsid w:val="00BE702B"/>
    <w:rsid w:val="00BE72B8"/>
    <w:rsid w:val="00BE7401"/>
    <w:rsid w:val="00BE753E"/>
    <w:rsid w:val="00BE758E"/>
    <w:rsid w:val="00BE7694"/>
    <w:rsid w:val="00BE7AC9"/>
    <w:rsid w:val="00BE7BE6"/>
    <w:rsid w:val="00BE7D5A"/>
    <w:rsid w:val="00BF0188"/>
    <w:rsid w:val="00BF0498"/>
    <w:rsid w:val="00BF06D7"/>
    <w:rsid w:val="00BF0833"/>
    <w:rsid w:val="00BF089B"/>
    <w:rsid w:val="00BF0B06"/>
    <w:rsid w:val="00BF118E"/>
    <w:rsid w:val="00BF1190"/>
    <w:rsid w:val="00BF1296"/>
    <w:rsid w:val="00BF13C1"/>
    <w:rsid w:val="00BF141F"/>
    <w:rsid w:val="00BF15BC"/>
    <w:rsid w:val="00BF17D3"/>
    <w:rsid w:val="00BF1919"/>
    <w:rsid w:val="00BF1A2B"/>
    <w:rsid w:val="00BF1B2A"/>
    <w:rsid w:val="00BF1F07"/>
    <w:rsid w:val="00BF2026"/>
    <w:rsid w:val="00BF208F"/>
    <w:rsid w:val="00BF21AF"/>
    <w:rsid w:val="00BF240C"/>
    <w:rsid w:val="00BF275D"/>
    <w:rsid w:val="00BF2D24"/>
    <w:rsid w:val="00BF30B2"/>
    <w:rsid w:val="00BF31F7"/>
    <w:rsid w:val="00BF3277"/>
    <w:rsid w:val="00BF382D"/>
    <w:rsid w:val="00BF3869"/>
    <w:rsid w:val="00BF3C2B"/>
    <w:rsid w:val="00BF3CFE"/>
    <w:rsid w:val="00BF3E55"/>
    <w:rsid w:val="00BF3EAD"/>
    <w:rsid w:val="00BF3F4C"/>
    <w:rsid w:val="00BF3F65"/>
    <w:rsid w:val="00BF4039"/>
    <w:rsid w:val="00BF42A0"/>
    <w:rsid w:val="00BF47EC"/>
    <w:rsid w:val="00BF486B"/>
    <w:rsid w:val="00BF4886"/>
    <w:rsid w:val="00BF48B8"/>
    <w:rsid w:val="00BF5136"/>
    <w:rsid w:val="00BF56AC"/>
    <w:rsid w:val="00BF5878"/>
    <w:rsid w:val="00BF588C"/>
    <w:rsid w:val="00BF5A54"/>
    <w:rsid w:val="00BF5A56"/>
    <w:rsid w:val="00BF5BEC"/>
    <w:rsid w:val="00BF6016"/>
    <w:rsid w:val="00BF64C2"/>
    <w:rsid w:val="00BF6569"/>
    <w:rsid w:val="00BF671E"/>
    <w:rsid w:val="00BF6CF0"/>
    <w:rsid w:val="00BF727E"/>
    <w:rsid w:val="00BF777F"/>
    <w:rsid w:val="00BF782A"/>
    <w:rsid w:val="00BF7F7A"/>
    <w:rsid w:val="00C000DF"/>
    <w:rsid w:val="00C0014B"/>
    <w:rsid w:val="00C00442"/>
    <w:rsid w:val="00C00554"/>
    <w:rsid w:val="00C00605"/>
    <w:rsid w:val="00C0068C"/>
    <w:rsid w:val="00C00C86"/>
    <w:rsid w:val="00C00EC4"/>
    <w:rsid w:val="00C01196"/>
    <w:rsid w:val="00C0156A"/>
    <w:rsid w:val="00C0188F"/>
    <w:rsid w:val="00C018E5"/>
    <w:rsid w:val="00C01AF3"/>
    <w:rsid w:val="00C01E26"/>
    <w:rsid w:val="00C0254D"/>
    <w:rsid w:val="00C02824"/>
    <w:rsid w:val="00C02C54"/>
    <w:rsid w:val="00C02EE6"/>
    <w:rsid w:val="00C0312B"/>
    <w:rsid w:val="00C035C4"/>
    <w:rsid w:val="00C03759"/>
    <w:rsid w:val="00C03FC3"/>
    <w:rsid w:val="00C04172"/>
    <w:rsid w:val="00C0428C"/>
    <w:rsid w:val="00C0490B"/>
    <w:rsid w:val="00C04BCE"/>
    <w:rsid w:val="00C04F41"/>
    <w:rsid w:val="00C0516A"/>
    <w:rsid w:val="00C051B7"/>
    <w:rsid w:val="00C0571D"/>
    <w:rsid w:val="00C057CA"/>
    <w:rsid w:val="00C05ABC"/>
    <w:rsid w:val="00C05CA4"/>
    <w:rsid w:val="00C05ED9"/>
    <w:rsid w:val="00C05EE7"/>
    <w:rsid w:val="00C06117"/>
    <w:rsid w:val="00C06123"/>
    <w:rsid w:val="00C0633B"/>
    <w:rsid w:val="00C06404"/>
    <w:rsid w:val="00C06CC0"/>
    <w:rsid w:val="00C07029"/>
    <w:rsid w:val="00C07406"/>
    <w:rsid w:val="00C074C6"/>
    <w:rsid w:val="00C0761E"/>
    <w:rsid w:val="00C07B37"/>
    <w:rsid w:val="00C07DE5"/>
    <w:rsid w:val="00C1001F"/>
    <w:rsid w:val="00C10907"/>
    <w:rsid w:val="00C1101B"/>
    <w:rsid w:val="00C115AF"/>
    <w:rsid w:val="00C117AB"/>
    <w:rsid w:val="00C11B4B"/>
    <w:rsid w:val="00C12435"/>
    <w:rsid w:val="00C12CF1"/>
    <w:rsid w:val="00C133F7"/>
    <w:rsid w:val="00C1352F"/>
    <w:rsid w:val="00C135C9"/>
    <w:rsid w:val="00C13751"/>
    <w:rsid w:val="00C13822"/>
    <w:rsid w:val="00C138B8"/>
    <w:rsid w:val="00C13BCC"/>
    <w:rsid w:val="00C13C29"/>
    <w:rsid w:val="00C13E73"/>
    <w:rsid w:val="00C140FC"/>
    <w:rsid w:val="00C141FE"/>
    <w:rsid w:val="00C144E4"/>
    <w:rsid w:val="00C145FD"/>
    <w:rsid w:val="00C1472A"/>
    <w:rsid w:val="00C14759"/>
    <w:rsid w:val="00C147AC"/>
    <w:rsid w:val="00C147BE"/>
    <w:rsid w:val="00C1497C"/>
    <w:rsid w:val="00C14A57"/>
    <w:rsid w:val="00C14C35"/>
    <w:rsid w:val="00C14F56"/>
    <w:rsid w:val="00C14FDB"/>
    <w:rsid w:val="00C150D8"/>
    <w:rsid w:val="00C15712"/>
    <w:rsid w:val="00C158C0"/>
    <w:rsid w:val="00C15A18"/>
    <w:rsid w:val="00C15A4B"/>
    <w:rsid w:val="00C15D01"/>
    <w:rsid w:val="00C161A0"/>
    <w:rsid w:val="00C166BF"/>
    <w:rsid w:val="00C16752"/>
    <w:rsid w:val="00C168F5"/>
    <w:rsid w:val="00C16934"/>
    <w:rsid w:val="00C16BEA"/>
    <w:rsid w:val="00C16FE7"/>
    <w:rsid w:val="00C17202"/>
    <w:rsid w:val="00C173DD"/>
    <w:rsid w:val="00C17842"/>
    <w:rsid w:val="00C17D9B"/>
    <w:rsid w:val="00C20400"/>
    <w:rsid w:val="00C205BF"/>
    <w:rsid w:val="00C21CFE"/>
    <w:rsid w:val="00C21DF7"/>
    <w:rsid w:val="00C21E7F"/>
    <w:rsid w:val="00C21E85"/>
    <w:rsid w:val="00C22153"/>
    <w:rsid w:val="00C2257C"/>
    <w:rsid w:val="00C22D95"/>
    <w:rsid w:val="00C22E47"/>
    <w:rsid w:val="00C22FD3"/>
    <w:rsid w:val="00C22FEB"/>
    <w:rsid w:val="00C2363C"/>
    <w:rsid w:val="00C23796"/>
    <w:rsid w:val="00C237DD"/>
    <w:rsid w:val="00C23831"/>
    <w:rsid w:val="00C2398C"/>
    <w:rsid w:val="00C23FB3"/>
    <w:rsid w:val="00C24175"/>
    <w:rsid w:val="00C241E8"/>
    <w:rsid w:val="00C244ED"/>
    <w:rsid w:val="00C247D7"/>
    <w:rsid w:val="00C2484D"/>
    <w:rsid w:val="00C24854"/>
    <w:rsid w:val="00C24BD7"/>
    <w:rsid w:val="00C24F5B"/>
    <w:rsid w:val="00C250DE"/>
    <w:rsid w:val="00C253E9"/>
    <w:rsid w:val="00C2545D"/>
    <w:rsid w:val="00C25643"/>
    <w:rsid w:val="00C25C22"/>
    <w:rsid w:val="00C25FA7"/>
    <w:rsid w:val="00C261E0"/>
    <w:rsid w:val="00C26226"/>
    <w:rsid w:val="00C26288"/>
    <w:rsid w:val="00C263B7"/>
    <w:rsid w:val="00C26A3D"/>
    <w:rsid w:val="00C26D1E"/>
    <w:rsid w:val="00C270AC"/>
    <w:rsid w:val="00C270E4"/>
    <w:rsid w:val="00C27276"/>
    <w:rsid w:val="00C272C9"/>
    <w:rsid w:val="00C2742E"/>
    <w:rsid w:val="00C2765A"/>
    <w:rsid w:val="00C27698"/>
    <w:rsid w:val="00C3038C"/>
    <w:rsid w:val="00C308E6"/>
    <w:rsid w:val="00C30977"/>
    <w:rsid w:val="00C30E1D"/>
    <w:rsid w:val="00C30FF5"/>
    <w:rsid w:val="00C31122"/>
    <w:rsid w:val="00C3144E"/>
    <w:rsid w:val="00C31926"/>
    <w:rsid w:val="00C31C0E"/>
    <w:rsid w:val="00C31C9D"/>
    <w:rsid w:val="00C31CDB"/>
    <w:rsid w:val="00C32272"/>
    <w:rsid w:val="00C32409"/>
    <w:rsid w:val="00C32454"/>
    <w:rsid w:val="00C3249D"/>
    <w:rsid w:val="00C325C9"/>
    <w:rsid w:val="00C326A1"/>
    <w:rsid w:val="00C328DC"/>
    <w:rsid w:val="00C32976"/>
    <w:rsid w:val="00C32BF3"/>
    <w:rsid w:val="00C33012"/>
    <w:rsid w:val="00C3348D"/>
    <w:rsid w:val="00C334AB"/>
    <w:rsid w:val="00C339BF"/>
    <w:rsid w:val="00C33A73"/>
    <w:rsid w:val="00C3408F"/>
    <w:rsid w:val="00C340E5"/>
    <w:rsid w:val="00C34111"/>
    <w:rsid w:val="00C34433"/>
    <w:rsid w:val="00C34568"/>
    <w:rsid w:val="00C345DF"/>
    <w:rsid w:val="00C34916"/>
    <w:rsid w:val="00C34F3C"/>
    <w:rsid w:val="00C35383"/>
    <w:rsid w:val="00C3575B"/>
    <w:rsid w:val="00C35786"/>
    <w:rsid w:val="00C35E7A"/>
    <w:rsid w:val="00C3611F"/>
    <w:rsid w:val="00C36361"/>
    <w:rsid w:val="00C363F0"/>
    <w:rsid w:val="00C367ED"/>
    <w:rsid w:val="00C3689B"/>
    <w:rsid w:val="00C36D5A"/>
    <w:rsid w:val="00C3743A"/>
    <w:rsid w:val="00C3747F"/>
    <w:rsid w:val="00C374B0"/>
    <w:rsid w:val="00C37598"/>
    <w:rsid w:val="00C37723"/>
    <w:rsid w:val="00C37B7D"/>
    <w:rsid w:val="00C37F00"/>
    <w:rsid w:val="00C4025F"/>
    <w:rsid w:val="00C402C8"/>
    <w:rsid w:val="00C403F7"/>
    <w:rsid w:val="00C405D9"/>
    <w:rsid w:val="00C40735"/>
    <w:rsid w:val="00C4082B"/>
    <w:rsid w:val="00C40C86"/>
    <w:rsid w:val="00C4146B"/>
    <w:rsid w:val="00C41473"/>
    <w:rsid w:val="00C4153D"/>
    <w:rsid w:val="00C418D5"/>
    <w:rsid w:val="00C41934"/>
    <w:rsid w:val="00C42159"/>
    <w:rsid w:val="00C425EE"/>
    <w:rsid w:val="00C42FF7"/>
    <w:rsid w:val="00C43DA9"/>
    <w:rsid w:val="00C43F52"/>
    <w:rsid w:val="00C43FAB"/>
    <w:rsid w:val="00C44340"/>
    <w:rsid w:val="00C4445A"/>
    <w:rsid w:val="00C44649"/>
    <w:rsid w:val="00C44839"/>
    <w:rsid w:val="00C44A42"/>
    <w:rsid w:val="00C44B03"/>
    <w:rsid w:val="00C44D6D"/>
    <w:rsid w:val="00C44E5A"/>
    <w:rsid w:val="00C44EE0"/>
    <w:rsid w:val="00C4520D"/>
    <w:rsid w:val="00C45B66"/>
    <w:rsid w:val="00C45DD6"/>
    <w:rsid w:val="00C4661B"/>
    <w:rsid w:val="00C4670A"/>
    <w:rsid w:val="00C4672A"/>
    <w:rsid w:val="00C46792"/>
    <w:rsid w:val="00C469C0"/>
    <w:rsid w:val="00C46B97"/>
    <w:rsid w:val="00C46FA8"/>
    <w:rsid w:val="00C47050"/>
    <w:rsid w:val="00C47599"/>
    <w:rsid w:val="00C4765D"/>
    <w:rsid w:val="00C4769C"/>
    <w:rsid w:val="00C4790B"/>
    <w:rsid w:val="00C479B9"/>
    <w:rsid w:val="00C47B1B"/>
    <w:rsid w:val="00C47E1B"/>
    <w:rsid w:val="00C500E4"/>
    <w:rsid w:val="00C50A28"/>
    <w:rsid w:val="00C50C04"/>
    <w:rsid w:val="00C5126F"/>
    <w:rsid w:val="00C513A4"/>
    <w:rsid w:val="00C51479"/>
    <w:rsid w:val="00C514DB"/>
    <w:rsid w:val="00C517CC"/>
    <w:rsid w:val="00C5188F"/>
    <w:rsid w:val="00C51988"/>
    <w:rsid w:val="00C51A40"/>
    <w:rsid w:val="00C51DFC"/>
    <w:rsid w:val="00C51F04"/>
    <w:rsid w:val="00C51FF3"/>
    <w:rsid w:val="00C52292"/>
    <w:rsid w:val="00C522BA"/>
    <w:rsid w:val="00C52696"/>
    <w:rsid w:val="00C526E2"/>
    <w:rsid w:val="00C52EFB"/>
    <w:rsid w:val="00C53132"/>
    <w:rsid w:val="00C53405"/>
    <w:rsid w:val="00C535E5"/>
    <w:rsid w:val="00C53616"/>
    <w:rsid w:val="00C53935"/>
    <w:rsid w:val="00C53BA5"/>
    <w:rsid w:val="00C53BC5"/>
    <w:rsid w:val="00C53C7E"/>
    <w:rsid w:val="00C5430F"/>
    <w:rsid w:val="00C5470D"/>
    <w:rsid w:val="00C54AF7"/>
    <w:rsid w:val="00C54CC0"/>
    <w:rsid w:val="00C55207"/>
    <w:rsid w:val="00C552B1"/>
    <w:rsid w:val="00C554CD"/>
    <w:rsid w:val="00C55BF2"/>
    <w:rsid w:val="00C560DA"/>
    <w:rsid w:val="00C56348"/>
    <w:rsid w:val="00C5634F"/>
    <w:rsid w:val="00C563B8"/>
    <w:rsid w:val="00C56551"/>
    <w:rsid w:val="00C5656A"/>
    <w:rsid w:val="00C5665C"/>
    <w:rsid w:val="00C566EC"/>
    <w:rsid w:val="00C56894"/>
    <w:rsid w:val="00C56AF4"/>
    <w:rsid w:val="00C56EC3"/>
    <w:rsid w:val="00C57430"/>
    <w:rsid w:val="00C57444"/>
    <w:rsid w:val="00C57465"/>
    <w:rsid w:val="00C574CD"/>
    <w:rsid w:val="00C579F0"/>
    <w:rsid w:val="00C57A3F"/>
    <w:rsid w:val="00C57CF8"/>
    <w:rsid w:val="00C57F0B"/>
    <w:rsid w:val="00C600D4"/>
    <w:rsid w:val="00C60134"/>
    <w:rsid w:val="00C60300"/>
    <w:rsid w:val="00C60359"/>
    <w:rsid w:val="00C60536"/>
    <w:rsid w:val="00C60544"/>
    <w:rsid w:val="00C605B9"/>
    <w:rsid w:val="00C60619"/>
    <w:rsid w:val="00C606E5"/>
    <w:rsid w:val="00C607E3"/>
    <w:rsid w:val="00C608C9"/>
    <w:rsid w:val="00C609FF"/>
    <w:rsid w:val="00C60E55"/>
    <w:rsid w:val="00C61129"/>
    <w:rsid w:val="00C611CE"/>
    <w:rsid w:val="00C6131F"/>
    <w:rsid w:val="00C61323"/>
    <w:rsid w:val="00C61389"/>
    <w:rsid w:val="00C61530"/>
    <w:rsid w:val="00C618CE"/>
    <w:rsid w:val="00C619B3"/>
    <w:rsid w:val="00C62400"/>
    <w:rsid w:val="00C62A73"/>
    <w:rsid w:val="00C62B0F"/>
    <w:rsid w:val="00C62D55"/>
    <w:rsid w:val="00C630A7"/>
    <w:rsid w:val="00C6315E"/>
    <w:rsid w:val="00C63490"/>
    <w:rsid w:val="00C637BD"/>
    <w:rsid w:val="00C638DE"/>
    <w:rsid w:val="00C639FC"/>
    <w:rsid w:val="00C6423C"/>
    <w:rsid w:val="00C64AD0"/>
    <w:rsid w:val="00C64DB4"/>
    <w:rsid w:val="00C6541B"/>
    <w:rsid w:val="00C6542C"/>
    <w:rsid w:val="00C65EA4"/>
    <w:rsid w:val="00C65EBB"/>
    <w:rsid w:val="00C662BC"/>
    <w:rsid w:val="00C666D7"/>
    <w:rsid w:val="00C66B1A"/>
    <w:rsid w:val="00C66E38"/>
    <w:rsid w:val="00C66F02"/>
    <w:rsid w:val="00C67461"/>
    <w:rsid w:val="00C67797"/>
    <w:rsid w:val="00C70243"/>
    <w:rsid w:val="00C704C5"/>
    <w:rsid w:val="00C704DC"/>
    <w:rsid w:val="00C70768"/>
    <w:rsid w:val="00C70F67"/>
    <w:rsid w:val="00C71160"/>
    <w:rsid w:val="00C71282"/>
    <w:rsid w:val="00C71595"/>
    <w:rsid w:val="00C71643"/>
    <w:rsid w:val="00C71882"/>
    <w:rsid w:val="00C71930"/>
    <w:rsid w:val="00C71ABA"/>
    <w:rsid w:val="00C71ABE"/>
    <w:rsid w:val="00C71F41"/>
    <w:rsid w:val="00C72227"/>
    <w:rsid w:val="00C72795"/>
    <w:rsid w:val="00C72A3E"/>
    <w:rsid w:val="00C72C2D"/>
    <w:rsid w:val="00C73486"/>
    <w:rsid w:val="00C734EA"/>
    <w:rsid w:val="00C73669"/>
    <w:rsid w:val="00C73BE2"/>
    <w:rsid w:val="00C741D0"/>
    <w:rsid w:val="00C74431"/>
    <w:rsid w:val="00C7446C"/>
    <w:rsid w:val="00C7447A"/>
    <w:rsid w:val="00C744DC"/>
    <w:rsid w:val="00C7457F"/>
    <w:rsid w:val="00C74591"/>
    <w:rsid w:val="00C749E8"/>
    <w:rsid w:val="00C74AF4"/>
    <w:rsid w:val="00C74DDC"/>
    <w:rsid w:val="00C74FFE"/>
    <w:rsid w:val="00C75001"/>
    <w:rsid w:val="00C7550C"/>
    <w:rsid w:val="00C756FD"/>
    <w:rsid w:val="00C7598F"/>
    <w:rsid w:val="00C75D26"/>
    <w:rsid w:val="00C75F76"/>
    <w:rsid w:val="00C76B4C"/>
    <w:rsid w:val="00C770BB"/>
    <w:rsid w:val="00C770F6"/>
    <w:rsid w:val="00C77180"/>
    <w:rsid w:val="00C77415"/>
    <w:rsid w:val="00C77597"/>
    <w:rsid w:val="00C77871"/>
    <w:rsid w:val="00C77941"/>
    <w:rsid w:val="00C80212"/>
    <w:rsid w:val="00C80760"/>
    <w:rsid w:val="00C807B4"/>
    <w:rsid w:val="00C80933"/>
    <w:rsid w:val="00C8094A"/>
    <w:rsid w:val="00C80CD3"/>
    <w:rsid w:val="00C80FDF"/>
    <w:rsid w:val="00C811AA"/>
    <w:rsid w:val="00C81327"/>
    <w:rsid w:val="00C81341"/>
    <w:rsid w:val="00C81635"/>
    <w:rsid w:val="00C81676"/>
    <w:rsid w:val="00C817FD"/>
    <w:rsid w:val="00C81A19"/>
    <w:rsid w:val="00C81B87"/>
    <w:rsid w:val="00C81FCD"/>
    <w:rsid w:val="00C82053"/>
    <w:rsid w:val="00C82138"/>
    <w:rsid w:val="00C8229E"/>
    <w:rsid w:val="00C8235A"/>
    <w:rsid w:val="00C82697"/>
    <w:rsid w:val="00C827BE"/>
    <w:rsid w:val="00C828DA"/>
    <w:rsid w:val="00C82EA8"/>
    <w:rsid w:val="00C83486"/>
    <w:rsid w:val="00C83680"/>
    <w:rsid w:val="00C839CC"/>
    <w:rsid w:val="00C83F98"/>
    <w:rsid w:val="00C84137"/>
    <w:rsid w:val="00C844E5"/>
    <w:rsid w:val="00C8454D"/>
    <w:rsid w:val="00C84746"/>
    <w:rsid w:val="00C84A0A"/>
    <w:rsid w:val="00C84E50"/>
    <w:rsid w:val="00C85010"/>
    <w:rsid w:val="00C8534F"/>
    <w:rsid w:val="00C85430"/>
    <w:rsid w:val="00C85537"/>
    <w:rsid w:val="00C85642"/>
    <w:rsid w:val="00C859CF"/>
    <w:rsid w:val="00C85C9D"/>
    <w:rsid w:val="00C85D07"/>
    <w:rsid w:val="00C85D09"/>
    <w:rsid w:val="00C85D0C"/>
    <w:rsid w:val="00C85D3D"/>
    <w:rsid w:val="00C85D46"/>
    <w:rsid w:val="00C85D4B"/>
    <w:rsid w:val="00C85DB2"/>
    <w:rsid w:val="00C860EC"/>
    <w:rsid w:val="00C8610D"/>
    <w:rsid w:val="00C86219"/>
    <w:rsid w:val="00C862B7"/>
    <w:rsid w:val="00C8637C"/>
    <w:rsid w:val="00C86572"/>
    <w:rsid w:val="00C86792"/>
    <w:rsid w:val="00C869AD"/>
    <w:rsid w:val="00C86A03"/>
    <w:rsid w:val="00C86A14"/>
    <w:rsid w:val="00C86A25"/>
    <w:rsid w:val="00C8718F"/>
    <w:rsid w:val="00C8724C"/>
    <w:rsid w:val="00C876FC"/>
    <w:rsid w:val="00C87702"/>
    <w:rsid w:val="00C87762"/>
    <w:rsid w:val="00C87B5B"/>
    <w:rsid w:val="00C87BF3"/>
    <w:rsid w:val="00C87C89"/>
    <w:rsid w:val="00C87EC0"/>
    <w:rsid w:val="00C908A0"/>
    <w:rsid w:val="00C90ADA"/>
    <w:rsid w:val="00C90B4C"/>
    <w:rsid w:val="00C90D00"/>
    <w:rsid w:val="00C90D73"/>
    <w:rsid w:val="00C910B9"/>
    <w:rsid w:val="00C9154A"/>
    <w:rsid w:val="00C91629"/>
    <w:rsid w:val="00C916EE"/>
    <w:rsid w:val="00C9190E"/>
    <w:rsid w:val="00C91C4A"/>
    <w:rsid w:val="00C91DC3"/>
    <w:rsid w:val="00C91FA5"/>
    <w:rsid w:val="00C921DF"/>
    <w:rsid w:val="00C92377"/>
    <w:rsid w:val="00C9262F"/>
    <w:rsid w:val="00C926F0"/>
    <w:rsid w:val="00C927A2"/>
    <w:rsid w:val="00C92840"/>
    <w:rsid w:val="00C928BA"/>
    <w:rsid w:val="00C92969"/>
    <w:rsid w:val="00C92D12"/>
    <w:rsid w:val="00C92D67"/>
    <w:rsid w:val="00C92E34"/>
    <w:rsid w:val="00C9308D"/>
    <w:rsid w:val="00C9316D"/>
    <w:rsid w:val="00C93289"/>
    <w:rsid w:val="00C93634"/>
    <w:rsid w:val="00C9411C"/>
    <w:rsid w:val="00C94129"/>
    <w:rsid w:val="00C94136"/>
    <w:rsid w:val="00C94484"/>
    <w:rsid w:val="00C944AA"/>
    <w:rsid w:val="00C94DCF"/>
    <w:rsid w:val="00C95076"/>
    <w:rsid w:val="00C957B1"/>
    <w:rsid w:val="00C95800"/>
    <w:rsid w:val="00C9580C"/>
    <w:rsid w:val="00C95B30"/>
    <w:rsid w:val="00C96978"/>
    <w:rsid w:val="00C9767F"/>
    <w:rsid w:val="00C978F9"/>
    <w:rsid w:val="00C97987"/>
    <w:rsid w:val="00C97D57"/>
    <w:rsid w:val="00CA010A"/>
    <w:rsid w:val="00CA0281"/>
    <w:rsid w:val="00CA03A6"/>
    <w:rsid w:val="00CA0544"/>
    <w:rsid w:val="00CA058D"/>
    <w:rsid w:val="00CA05BD"/>
    <w:rsid w:val="00CA0677"/>
    <w:rsid w:val="00CA083A"/>
    <w:rsid w:val="00CA089F"/>
    <w:rsid w:val="00CA098F"/>
    <w:rsid w:val="00CA0D8C"/>
    <w:rsid w:val="00CA0DE2"/>
    <w:rsid w:val="00CA0EEA"/>
    <w:rsid w:val="00CA10F1"/>
    <w:rsid w:val="00CA11D1"/>
    <w:rsid w:val="00CA1267"/>
    <w:rsid w:val="00CA1687"/>
    <w:rsid w:val="00CA188F"/>
    <w:rsid w:val="00CA18A7"/>
    <w:rsid w:val="00CA193A"/>
    <w:rsid w:val="00CA1E75"/>
    <w:rsid w:val="00CA2106"/>
    <w:rsid w:val="00CA248F"/>
    <w:rsid w:val="00CA261F"/>
    <w:rsid w:val="00CA2810"/>
    <w:rsid w:val="00CA2A4E"/>
    <w:rsid w:val="00CA2E30"/>
    <w:rsid w:val="00CA2F19"/>
    <w:rsid w:val="00CA3063"/>
    <w:rsid w:val="00CA39D4"/>
    <w:rsid w:val="00CA39D5"/>
    <w:rsid w:val="00CA3C19"/>
    <w:rsid w:val="00CA3FF0"/>
    <w:rsid w:val="00CA40F6"/>
    <w:rsid w:val="00CA4104"/>
    <w:rsid w:val="00CA41F9"/>
    <w:rsid w:val="00CA4381"/>
    <w:rsid w:val="00CA4481"/>
    <w:rsid w:val="00CA454C"/>
    <w:rsid w:val="00CA465E"/>
    <w:rsid w:val="00CA4740"/>
    <w:rsid w:val="00CA4947"/>
    <w:rsid w:val="00CA4AD6"/>
    <w:rsid w:val="00CA4C10"/>
    <w:rsid w:val="00CA4EB0"/>
    <w:rsid w:val="00CA4FA1"/>
    <w:rsid w:val="00CA524C"/>
    <w:rsid w:val="00CA52DF"/>
    <w:rsid w:val="00CA5321"/>
    <w:rsid w:val="00CA5EAF"/>
    <w:rsid w:val="00CA5EF3"/>
    <w:rsid w:val="00CA5F70"/>
    <w:rsid w:val="00CA61B9"/>
    <w:rsid w:val="00CA61EE"/>
    <w:rsid w:val="00CA62BE"/>
    <w:rsid w:val="00CA6378"/>
    <w:rsid w:val="00CA659B"/>
    <w:rsid w:val="00CA671E"/>
    <w:rsid w:val="00CA6BCA"/>
    <w:rsid w:val="00CA6C32"/>
    <w:rsid w:val="00CA7032"/>
    <w:rsid w:val="00CA71B4"/>
    <w:rsid w:val="00CA724B"/>
    <w:rsid w:val="00CA732B"/>
    <w:rsid w:val="00CA756D"/>
    <w:rsid w:val="00CA7750"/>
    <w:rsid w:val="00CA776B"/>
    <w:rsid w:val="00CA7780"/>
    <w:rsid w:val="00CA7C55"/>
    <w:rsid w:val="00CA7CF2"/>
    <w:rsid w:val="00CA7FA8"/>
    <w:rsid w:val="00CA7FBF"/>
    <w:rsid w:val="00CB01AD"/>
    <w:rsid w:val="00CB0518"/>
    <w:rsid w:val="00CB06CF"/>
    <w:rsid w:val="00CB0733"/>
    <w:rsid w:val="00CB075D"/>
    <w:rsid w:val="00CB084F"/>
    <w:rsid w:val="00CB0B9A"/>
    <w:rsid w:val="00CB0D9B"/>
    <w:rsid w:val="00CB106A"/>
    <w:rsid w:val="00CB1080"/>
    <w:rsid w:val="00CB177B"/>
    <w:rsid w:val="00CB17B7"/>
    <w:rsid w:val="00CB215F"/>
    <w:rsid w:val="00CB28FA"/>
    <w:rsid w:val="00CB29E4"/>
    <w:rsid w:val="00CB2B43"/>
    <w:rsid w:val="00CB2FD4"/>
    <w:rsid w:val="00CB2FF7"/>
    <w:rsid w:val="00CB305F"/>
    <w:rsid w:val="00CB31D6"/>
    <w:rsid w:val="00CB3231"/>
    <w:rsid w:val="00CB358C"/>
    <w:rsid w:val="00CB364A"/>
    <w:rsid w:val="00CB3961"/>
    <w:rsid w:val="00CB3993"/>
    <w:rsid w:val="00CB3B08"/>
    <w:rsid w:val="00CB3C1E"/>
    <w:rsid w:val="00CB3DEF"/>
    <w:rsid w:val="00CB3E98"/>
    <w:rsid w:val="00CB3EFE"/>
    <w:rsid w:val="00CB3F45"/>
    <w:rsid w:val="00CB43B2"/>
    <w:rsid w:val="00CB4927"/>
    <w:rsid w:val="00CB49A5"/>
    <w:rsid w:val="00CB4D87"/>
    <w:rsid w:val="00CB4DD4"/>
    <w:rsid w:val="00CB508D"/>
    <w:rsid w:val="00CB58FD"/>
    <w:rsid w:val="00CB5C3F"/>
    <w:rsid w:val="00CB60C8"/>
    <w:rsid w:val="00CB6A25"/>
    <w:rsid w:val="00CB6B55"/>
    <w:rsid w:val="00CB6C8B"/>
    <w:rsid w:val="00CB6DE3"/>
    <w:rsid w:val="00CB71D9"/>
    <w:rsid w:val="00CB729C"/>
    <w:rsid w:val="00CB72C8"/>
    <w:rsid w:val="00CB755F"/>
    <w:rsid w:val="00CB759D"/>
    <w:rsid w:val="00CB78A4"/>
    <w:rsid w:val="00CB795E"/>
    <w:rsid w:val="00CB7BDD"/>
    <w:rsid w:val="00CC00A2"/>
    <w:rsid w:val="00CC00E4"/>
    <w:rsid w:val="00CC00F0"/>
    <w:rsid w:val="00CC0195"/>
    <w:rsid w:val="00CC0250"/>
    <w:rsid w:val="00CC03C8"/>
    <w:rsid w:val="00CC0871"/>
    <w:rsid w:val="00CC0A51"/>
    <w:rsid w:val="00CC0B63"/>
    <w:rsid w:val="00CC0C20"/>
    <w:rsid w:val="00CC142B"/>
    <w:rsid w:val="00CC1859"/>
    <w:rsid w:val="00CC1A07"/>
    <w:rsid w:val="00CC1AE1"/>
    <w:rsid w:val="00CC1BE1"/>
    <w:rsid w:val="00CC2318"/>
    <w:rsid w:val="00CC236E"/>
    <w:rsid w:val="00CC2832"/>
    <w:rsid w:val="00CC2890"/>
    <w:rsid w:val="00CC2A5E"/>
    <w:rsid w:val="00CC2E15"/>
    <w:rsid w:val="00CC3075"/>
    <w:rsid w:val="00CC31A8"/>
    <w:rsid w:val="00CC31C7"/>
    <w:rsid w:val="00CC3461"/>
    <w:rsid w:val="00CC386E"/>
    <w:rsid w:val="00CC38F5"/>
    <w:rsid w:val="00CC3C87"/>
    <w:rsid w:val="00CC41BA"/>
    <w:rsid w:val="00CC46B7"/>
    <w:rsid w:val="00CC48C9"/>
    <w:rsid w:val="00CC48D2"/>
    <w:rsid w:val="00CC4AE5"/>
    <w:rsid w:val="00CC4BFA"/>
    <w:rsid w:val="00CC4DD7"/>
    <w:rsid w:val="00CC5391"/>
    <w:rsid w:val="00CC5532"/>
    <w:rsid w:val="00CC560F"/>
    <w:rsid w:val="00CC5700"/>
    <w:rsid w:val="00CC57FF"/>
    <w:rsid w:val="00CC58CA"/>
    <w:rsid w:val="00CC5E94"/>
    <w:rsid w:val="00CC5FC3"/>
    <w:rsid w:val="00CC6345"/>
    <w:rsid w:val="00CC698F"/>
    <w:rsid w:val="00CC722A"/>
    <w:rsid w:val="00CC7697"/>
    <w:rsid w:val="00CC78CD"/>
    <w:rsid w:val="00CC7BA4"/>
    <w:rsid w:val="00CC7E88"/>
    <w:rsid w:val="00CD00BF"/>
    <w:rsid w:val="00CD03B6"/>
    <w:rsid w:val="00CD071C"/>
    <w:rsid w:val="00CD0BDA"/>
    <w:rsid w:val="00CD0C83"/>
    <w:rsid w:val="00CD0D9F"/>
    <w:rsid w:val="00CD0DD4"/>
    <w:rsid w:val="00CD0E0D"/>
    <w:rsid w:val="00CD10BE"/>
    <w:rsid w:val="00CD1169"/>
    <w:rsid w:val="00CD125A"/>
    <w:rsid w:val="00CD129D"/>
    <w:rsid w:val="00CD16DA"/>
    <w:rsid w:val="00CD1820"/>
    <w:rsid w:val="00CD1884"/>
    <w:rsid w:val="00CD1A94"/>
    <w:rsid w:val="00CD1FF2"/>
    <w:rsid w:val="00CD2297"/>
    <w:rsid w:val="00CD2597"/>
    <w:rsid w:val="00CD2A24"/>
    <w:rsid w:val="00CD2A7A"/>
    <w:rsid w:val="00CD2E05"/>
    <w:rsid w:val="00CD2F3E"/>
    <w:rsid w:val="00CD2FD5"/>
    <w:rsid w:val="00CD33AE"/>
    <w:rsid w:val="00CD34AC"/>
    <w:rsid w:val="00CD3548"/>
    <w:rsid w:val="00CD35D5"/>
    <w:rsid w:val="00CD3C5C"/>
    <w:rsid w:val="00CD3D38"/>
    <w:rsid w:val="00CD3F27"/>
    <w:rsid w:val="00CD43F5"/>
    <w:rsid w:val="00CD444B"/>
    <w:rsid w:val="00CD4541"/>
    <w:rsid w:val="00CD4B73"/>
    <w:rsid w:val="00CD5739"/>
    <w:rsid w:val="00CD5853"/>
    <w:rsid w:val="00CD5901"/>
    <w:rsid w:val="00CD596A"/>
    <w:rsid w:val="00CD5A2D"/>
    <w:rsid w:val="00CD5AF0"/>
    <w:rsid w:val="00CD5C51"/>
    <w:rsid w:val="00CD5D01"/>
    <w:rsid w:val="00CD6272"/>
    <w:rsid w:val="00CD649F"/>
    <w:rsid w:val="00CD65EB"/>
    <w:rsid w:val="00CD685C"/>
    <w:rsid w:val="00CD6F79"/>
    <w:rsid w:val="00CD7063"/>
    <w:rsid w:val="00CD71F8"/>
    <w:rsid w:val="00CD739E"/>
    <w:rsid w:val="00CD767D"/>
    <w:rsid w:val="00CD76D5"/>
    <w:rsid w:val="00CD7744"/>
    <w:rsid w:val="00CD79F5"/>
    <w:rsid w:val="00CD7C77"/>
    <w:rsid w:val="00CD7D5E"/>
    <w:rsid w:val="00CE019D"/>
    <w:rsid w:val="00CE069E"/>
    <w:rsid w:val="00CE0776"/>
    <w:rsid w:val="00CE0863"/>
    <w:rsid w:val="00CE094E"/>
    <w:rsid w:val="00CE0D1D"/>
    <w:rsid w:val="00CE17C0"/>
    <w:rsid w:val="00CE19AB"/>
    <w:rsid w:val="00CE2176"/>
    <w:rsid w:val="00CE26D1"/>
    <w:rsid w:val="00CE2804"/>
    <w:rsid w:val="00CE2F66"/>
    <w:rsid w:val="00CE2FD5"/>
    <w:rsid w:val="00CE3034"/>
    <w:rsid w:val="00CE30E8"/>
    <w:rsid w:val="00CE32F5"/>
    <w:rsid w:val="00CE335E"/>
    <w:rsid w:val="00CE3578"/>
    <w:rsid w:val="00CE3846"/>
    <w:rsid w:val="00CE388A"/>
    <w:rsid w:val="00CE3967"/>
    <w:rsid w:val="00CE3D36"/>
    <w:rsid w:val="00CE439A"/>
    <w:rsid w:val="00CE45EA"/>
    <w:rsid w:val="00CE4673"/>
    <w:rsid w:val="00CE487E"/>
    <w:rsid w:val="00CE4B4C"/>
    <w:rsid w:val="00CE4BFD"/>
    <w:rsid w:val="00CE4DF7"/>
    <w:rsid w:val="00CE4F87"/>
    <w:rsid w:val="00CE51C2"/>
    <w:rsid w:val="00CE52D4"/>
    <w:rsid w:val="00CE5667"/>
    <w:rsid w:val="00CE56BC"/>
    <w:rsid w:val="00CE56F6"/>
    <w:rsid w:val="00CE581A"/>
    <w:rsid w:val="00CE5A78"/>
    <w:rsid w:val="00CE5C3A"/>
    <w:rsid w:val="00CE5FDC"/>
    <w:rsid w:val="00CE63CC"/>
    <w:rsid w:val="00CE6457"/>
    <w:rsid w:val="00CE6596"/>
    <w:rsid w:val="00CE65E5"/>
    <w:rsid w:val="00CE6611"/>
    <w:rsid w:val="00CE69AC"/>
    <w:rsid w:val="00CE6B7B"/>
    <w:rsid w:val="00CE6DC1"/>
    <w:rsid w:val="00CE6F4C"/>
    <w:rsid w:val="00CE736E"/>
    <w:rsid w:val="00CE7550"/>
    <w:rsid w:val="00CE7B41"/>
    <w:rsid w:val="00CE7E1F"/>
    <w:rsid w:val="00CE7FEA"/>
    <w:rsid w:val="00CF0345"/>
    <w:rsid w:val="00CF050B"/>
    <w:rsid w:val="00CF06FC"/>
    <w:rsid w:val="00CF07B6"/>
    <w:rsid w:val="00CF0AA9"/>
    <w:rsid w:val="00CF0B91"/>
    <w:rsid w:val="00CF0BC1"/>
    <w:rsid w:val="00CF0E52"/>
    <w:rsid w:val="00CF0EF1"/>
    <w:rsid w:val="00CF0F26"/>
    <w:rsid w:val="00CF114E"/>
    <w:rsid w:val="00CF119E"/>
    <w:rsid w:val="00CF156A"/>
    <w:rsid w:val="00CF161C"/>
    <w:rsid w:val="00CF1621"/>
    <w:rsid w:val="00CF172D"/>
    <w:rsid w:val="00CF189F"/>
    <w:rsid w:val="00CF1A60"/>
    <w:rsid w:val="00CF1E93"/>
    <w:rsid w:val="00CF1F0E"/>
    <w:rsid w:val="00CF1FD8"/>
    <w:rsid w:val="00CF22AB"/>
    <w:rsid w:val="00CF234A"/>
    <w:rsid w:val="00CF26A1"/>
    <w:rsid w:val="00CF287F"/>
    <w:rsid w:val="00CF2A3B"/>
    <w:rsid w:val="00CF2AFB"/>
    <w:rsid w:val="00CF2BA5"/>
    <w:rsid w:val="00CF2D62"/>
    <w:rsid w:val="00CF2DEB"/>
    <w:rsid w:val="00CF2EB0"/>
    <w:rsid w:val="00CF2EE1"/>
    <w:rsid w:val="00CF3040"/>
    <w:rsid w:val="00CF33BA"/>
    <w:rsid w:val="00CF350D"/>
    <w:rsid w:val="00CF361D"/>
    <w:rsid w:val="00CF3C8C"/>
    <w:rsid w:val="00CF40DB"/>
    <w:rsid w:val="00CF4239"/>
    <w:rsid w:val="00CF44DC"/>
    <w:rsid w:val="00CF457B"/>
    <w:rsid w:val="00CF464B"/>
    <w:rsid w:val="00CF481B"/>
    <w:rsid w:val="00CF4995"/>
    <w:rsid w:val="00CF4A3C"/>
    <w:rsid w:val="00CF4BDD"/>
    <w:rsid w:val="00CF4DB6"/>
    <w:rsid w:val="00CF4E21"/>
    <w:rsid w:val="00CF52DF"/>
    <w:rsid w:val="00CF5407"/>
    <w:rsid w:val="00CF550E"/>
    <w:rsid w:val="00CF55D7"/>
    <w:rsid w:val="00CF55ED"/>
    <w:rsid w:val="00CF563C"/>
    <w:rsid w:val="00CF57D2"/>
    <w:rsid w:val="00CF5850"/>
    <w:rsid w:val="00CF597D"/>
    <w:rsid w:val="00CF5AA2"/>
    <w:rsid w:val="00CF5B87"/>
    <w:rsid w:val="00CF5CDA"/>
    <w:rsid w:val="00CF6496"/>
    <w:rsid w:val="00CF65A5"/>
    <w:rsid w:val="00CF68D3"/>
    <w:rsid w:val="00CF6F57"/>
    <w:rsid w:val="00CF6F8D"/>
    <w:rsid w:val="00CF72B0"/>
    <w:rsid w:val="00CF738E"/>
    <w:rsid w:val="00CF76D5"/>
    <w:rsid w:val="00CF77A3"/>
    <w:rsid w:val="00CF78E2"/>
    <w:rsid w:val="00CF79C2"/>
    <w:rsid w:val="00CF7AC7"/>
    <w:rsid w:val="00D002FD"/>
    <w:rsid w:val="00D00404"/>
    <w:rsid w:val="00D00550"/>
    <w:rsid w:val="00D005B8"/>
    <w:rsid w:val="00D005BE"/>
    <w:rsid w:val="00D0075F"/>
    <w:rsid w:val="00D00861"/>
    <w:rsid w:val="00D00C54"/>
    <w:rsid w:val="00D00CA3"/>
    <w:rsid w:val="00D00CE7"/>
    <w:rsid w:val="00D00F4A"/>
    <w:rsid w:val="00D0105D"/>
    <w:rsid w:val="00D01309"/>
    <w:rsid w:val="00D0145B"/>
    <w:rsid w:val="00D01A24"/>
    <w:rsid w:val="00D01B2F"/>
    <w:rsid w:val="00D01CC0"/>
    <w:rsid w:val="00D01CF0"/>
    <w:rsid w:val="00D021F6"/>
    <w:rsid w:val="00D025D2"/>
    <w:rsid w:val="00D025D5"/>
    <w:rsid w:val="00D02DF6"/>
    <w:rsid w:val="00D02E1E"/>
    <w:rsid w:val="00D02E90"/>
    <w:rsid w:val="00D0323E"/>
    <w:rsid w:val="00D0364B"/>
    <w:rsid w:val="00D0381E"/>
    <w:rsid w:val="00D03BAB"/>
    <w:rsid w:val="00D03C36"/>
    <w:rsid w:val="00D03F7C"/>
    <w:rsid w:val="00D041DA"/>
    <w:rsid w:val="00D044F0"/>
    <w:rsid w:val="00D0459C"/>
    <w:rsid w:val="00D04CDF"/>
    <w:rsid w:val="00D04EF3"/>
    <w:rsid w:val="00D0553D"/>
    <w:rsid w:val="00D05DF8"/>
    <w:rsid w:val="00D05F0D"/>
    <w:rsid w:val="00D062F0"/>
    <w:rsid w:val="00D0638D"/>
    <w:rsid w:val="00D0663A"/>
    <w:rsid w:val="00D06818"/>
    <w:rsid w:val="00D0684A"/>
    <w:rsid w:val="00D06912"/>
    <w:rsid w:val="00D06C51"/>
    <w:rsid w:val="00D07016"/>
    <w:rsid w:val="00D07065"/>
    <w:rsid w:val="00D07213"/>
    <w:rsid w:val="00D07450"/>
    <w:rsid w:val="00D074F6"/>
    <w:rsid w:val="00D076BA"/>
    <w:rsid w:val="00D076CF"/>
    <w:rsid w:val="00D07C7B"/>
    <w:rsid w:val="00D07D28"/>
    <w:rsid w:val="00D07D96"/>
    <w:rsid w:val="00D07FED"/>
    <w:rsid w:val="00D10150"/>
    <w:rsid w:val="00D104A9"/>
    <w:rsid w:val="00D10825"/>
    <w:rsid w:val="00D10899"/>
    <w:rsid w:val="00D10B26"/>
    <w:rsid w:val="00D10DB7"/>
    <w:rsid w:val="00D10EA1"/>
    <w:rsid w:val="00D11336"/>
    <w:rsid w:val="00D11482"/>
    <w:rsid w:val="00D11510"/>
    <w:rsid w:val="00D1159C"/>
    <w:rsid w:val="00D11974"/>
    <w:rsid w:val="00D11E0C"/>
    <w:rsid w:val="00D11F58"/>
    <w:rsid w:val="00D12052"/>
    <w:rsid w:val="00D12082"/>
    <w:rsid w:val="00D120E4"/>
    <w:rsid w:val="00D12117"/>
    <w:rsid w:val="00D121AE"/>
    <w:rsid w:val="00D125F8"/>
    <w:rsid w:val="00D12A08"/>
    <w:rsid w:val="00D12B8F"/>
    <w:rsid w:val="00D12B97"/>
    <w:rsid w:val="00D12D22"/>
    <w:rsid w:val="00D13204"/>
    <w:rsid w:val="00D13B27"/>
    <w:rsid w:val="00D13FFD"/>
    <w:rsid w:val="00D14708"/>
    <w:rsid w:val="00D14A51"/>
    <w:rsid w:val="00D1501D"/>
    <w:rsid w:val="00D1524B"/>
    <w:rsid w:val="00D15577"/>
    <w:rsid w:val="00D1565A"/>
    <w:rsid w:val="00D15998"/>
    <w:rsid w:val="00D15AA8"/>
    <w:rsid w:val="00D15BBA"/>
    <w:rsid w:val="00D15D6E"/>
    <w:rsid w:val="00D16120"/>
    <w:rsid w:val="00D16849"/>
    <w:rsid w:val="00D16C05"/>
    <w:rsid w:val="00D16DBB"/>
    <w:rsid w:val="00D16E4C"/>
    <w:rsid w:val="00D16F12"/>
    <w:rsid w:val="00D16F21"/>
    <w:rsid w:val="00D175FD"/>
    <w:rsid w:val="00D1781B"/>
    <w:rsid w:val="00D17B08"/>
    <w:rsid w:val="00D17C37"/>
    <w:rsid w:val="00D17CC5"/>
    <w:rsid w:val="00D17D8D"/>
    <w:rsid w:val="00D17F33"/>
    <w:rsid w:val="00D17FDC"/>
    <w:rsid w:val="00D203A9"/>
    <w:rsid w:val="00D204B1"/>
    <w:rsid w:val="00D206D7"/>
    <w:rsid w:val="00D20788"/>
    <w:rsid w:val="00D20A13"/>
    <w:rsid w:val="00D20E69"/>
    <w:rsid w:val="00D21118"/>
    <w:rsid w:val="00D21216"/>
    <w:rsid w:val="00D213BC"/>
    <w:rsid w:val="00D21718"/>
    <w:rsid w:val="00D217BD"/>
    <w:rsid w:val="00D218D6"/>
    <w:rsid w:val="00D219C2"/>
    <w:rsid w:val="00D21A8E"/>
    <w:rsid w:val="00D21FBB"/>
    <w:rsid w:val="00D22283"/>
    <w:rsid w:val="00D222D9"/>
    <w:rsid w:val="00D2241C"/>
    <w:rsid w:val="00D2245A"/>
    <w:rsid w:val="00D229FA"/>
    <w:rsid w:val="00D22F07"/>
    <w:rsid w:val="00D22FC8"/>
    <w:rsid w:val="00D23353"/>
    <w:rsid w:val="00D23767"/>
    <w:rsid w:val="00D23A36"/>
    <w:rsid w:val="00D23A4E"/>
    <w:rsid w:val="00D23B98"/>
    <w:rsid w:val="00D23C11"/>
    <w:rsid w:val="00D23E25"/>
    <w:rsid w:val="00D23ECF"/>
    <w:rsid w:val="00D23F12"/>
    <w:rsid w:val="00D23FA9"/>
    <w:rsid w:val="00D24159"/>
    <w:rsid w:val="00D2432E"/>
    <w:rsid w:val="00D2461F"/>
    <w:rsid w:val="00D24946"/>
    <w:rsid w:val="00D2495E"/>
    <w:rsid w:val="00D24DF9"/>
    <w:rsid w:val="00D25246"/>
    <w:rsid w:val="00D25248"/>
    <w:rsid w:val="00D25583"/>
    <w:rsid w:val="00D25666"/>
    <w:rsid w:val="00D25739"/>
    <w:rsid w:val="00D25985"/>
    <w:rsid w:val="00D25D29"/>
    <w:rsid w:val="00D2634D"/>
    <w:rsid w:val="00D26384"/>
    <w:rsid w:val="00D26689"/>
    <w:rsid w:val="00D266AB"/>
    <w:rsid w:val="00D2675D"/>
    <w:rsid w:val="00D2696B"/>
    <w:rsid w:val="00D26CFB"/>
    <w:rsid w:val="00D26D6F"/>
    <w:rsid w:val="00D26E9F"/>
    <w:rsid w:val="00D26F0E"/>
    <w:rsid w:val="00D27563"/>
    <w:rsid w:val="00D279AB"/>
    <w:rsid w:val="00D27A86"/>
    <w:rsid w:val="00D27CCB"/>
    <w:rsid w:val="00D27FCA"/>
    <w:rsid w:val="00D30296"/>
    <w:rsid w:val="00D302E9"/>
    <w:rsid w:val="00D30570"/>
    <w:rsid w:val="00D30647"/>
    <w:rsid w:val="00D3081E"/>
    <w:rsid w:val="00D30A20"/>
    <w:rsid w:val="00D30AA5"/>
    <w:rsid w:val="00D311C7"/>
    <w:rsid w:val="00D312C4"/>
    <w:rsid w:val="00D315B7"/>
    <w:rsid w:val="00D315C0"/>
    <w:rsid w:val="00D31640"/>
    <w:rsid w:val="00D31726"/>
    <w:rsid w:val="00D31748"/>
    <w:rsid w:val="00D31D64"/>
    <w:rsid w:val="00D3276A"/>
    <w:rsid w:val="00D329A6"/>
    <w:rsid w:val="00D329EE"/>
    <w:rsid w:val="00D32C18"/>
    <w:rsid w:val="00D32C37"/>
    <w:rsid w:val="00D32F39"/>
    <w:rsid w:val="00D32F69"/>
    <w:rsid w:val="00D330B1"/>
    <w:rsid w:val="00D33288"/>
    <w:rsid w:val="00D333F1"/>
    <w:rsid w:val="00D337EE"/>
    <w:rsid w:val="00D338C5"/>
    <w:rsid w:val="00D3390B"/>
    <w:rsid w:val="00D339CD"/>
    <w:rsid w:val="00D33FA0"/>
    <w:rsid w:val="00D34063"/>
    <w:rsid w:val="00D34627"/>
    <w:rsid w:val="00D34673"/>
    <w:rsid w:val="00D34840"/>
    <w:rsid w:val="00D34854"/>
    <w:rsid w:val="00D34AA0"/>
    <w:rsid w:val="00D34E60"/>
    <w:rsid w:val="00D35161"/>
    <w:rsid w:val="00D3528A"/>
    <w:rsid w:val="00D35505"/>
    <w:rsid w:val="00D35792"/>
    <w:rsid w:val="00D358A6"/>
    <w:rsid w:val="00D35A01"/>
    <w:rsid w:val="00D35BF0"/>
    <w:rsid w:val="00D35CB1"/>
    <w:rsid w:val="00D35E35"/>
    <w:rsid w:val="00D35E67"/>
    <w:rsid w:val="00D36387"/>
    <w:rsid w:val="00D36410"/>
    <w:rsid w:val="00D3671A"/>
    <w:rsid w:val="00D368B6"/>
    <w:rsid w:val="00D3755C"/>
    <w:rsid w:val="00D37703"/>
    <w:rsid w:val="00D37740"/>
    <w:rsid w:val="00D37C85"/>
    <w:rsid w:val="00D37E39"/>
    <w:rsid w:val="00D37FD5"/>
    <w:rsid w:val="00D400DE"/>
    <w:rsid w:val="00D402A2"/>
    <w:rsid w:val="00D40312"/>
    <w:rsid w:val="00D4068F"/>
    <w:rsid w:val="00D408DB"/>
    <w:rsid w:val="00D40BCB"/>
    <w:rsid w:val="00D40BE9"/>
    <w:rsid w:val="00D40D52"/>
    <w:rsid w:val="00D40FE9"/>
    <w:rsid w:val="00D4150D"/>
    <w:rsid w:val="00D4165D"/>
    <w:rsid w:val="00D41BF3"/>
    <w:rsid w:val="00D41CCC"/>
    <w:rsid w:val="00D41ED7"/>
    <w:rsid w:val="00D42012"/>
    <w:rsid w:val="00D422F6"/>
    <w:rsid w:val="00D423D0"/>
    <w:rsid w:val="00D423D5"/>
    <w:rsid w:val="00D428CE"/>
    <w:rsid w:val="00D42AF9"/>
    <w:rsid w:val="00D42BC3"/>
    <w:rsid w:val="00D42D8B"/>
    <w:rsid w:val="00D42F45"/>
    <w:rsid w:val="00D42F9E"/>
    <w:rsid w:val="00D436E4"/>
    <w:rsid w:val="00D437F8"/>
    <w:rsid w:val="00D43A2D"/>
    <w:rsid w:val="00D43ACB"/>
    <w:rsid w:val="00D43DDB"/>
    <w:rsid w:val="00D44133"/>
    <w:rsid w:val="00D442E2"/>
    <w:rsid w:val="00D4432C"/>
    <w:rsid w:val="00D446BD"/>
    <w:rsid w:val="00D45A22"/>
    <w:rsid w:val="00D45C3E"/>
    <w:rsid w:val="00D45CB0"/>
    <w:rsid w:val="00D4612A"/>
    <w:rsid w:val="00D46134"/>
    <w:rsid w:val="00D461B9"/>
    <w:rsid w:val="00D46271"/>
    <w:rsid w:val="00D46309"/>
    <w:rsid w:val="00D46460"/>
    <w:rsid w:val="00D465FB"/>
    <w:rsid w:val="00D4663A"/>
    <w:rsid w:val="00D46671"/>
    <w:rsid w:val="00D467B9"/>
    <w:rsid w:val="00D46A01"/>
    <w:rsid w:val="00D46D27"/>
    <w:rsid w:val="00D47236"/>
    <w:rsid w:val="00D4723F"/>
    <w:rsid w:val="00D47505"/>
    <w:rsid w:val="00D476D8"/>
    <w:rsid w:val="00D478DA"/>
    <w:rsid w:val="00D47986"/>
    <w:rsid w:val="00D47D11"/>
    <w:rsid w:val="00D47DA0"/>
    <w:rsid w:val="00D47DE9"/>
    <w:rsid w:val="00D5033F"/>
    <w:rsid w:val="00D50378"/>
    <w:rsid w:val="00D50DAD"/>
    <w:rsid w:val="00D50E22"/>
    <w:rsid w:val="00D51464"/>
    <w:rsid w:val="00D51470"/>
    <w:rsid w:val="00D5165A"/>
    <w:rsid w:val="00D51726"/>
    <w:rsid w:val="00D518A9"/>
    <w:rsid w:val="00D5191C"/>
    <w:rsid w:val="00D51B45"/>
    <w:rsid w:val="00D51BE8"/>
    <w:rsid w:val="00D51BE9"/>
    <w:rsid w:val="00D51F75"/>
    <w:rsid w:val="00D521DB"/>
    <w:rsid w:val="00D5225D"/>
    <w:rsid w:val="00D5235D"/>
    <w:rsid w:val="00D524F6"/>
    <w:rsid w:val="00D52529"/>
    <w:rsid w:val="00D52C0B"/>
    <w:rsid w:val="00D52DDF"/>
    <w:rsid w:val="00D534A4"/>
    <w:rsid w:val="00D53A37"/>
    <w:rsid w:val="00D53C6D"/>
    <w:rsid w:val="00D54044"/>
    <w:rsid w:val="00D54056"/>
    <w:rsid w:val="00D5414D"/>
    <w:rsid w:val="00D543A2"/>
    <w:rsid w:val="00D544E7"/>
    <w:rsid w:val="00D546A6"/>
    <w:rsid w:val="00D549F2"/>
    <w:rsid w:val="00D54A06"/>
    <w:rsid w:val="00D55579"/>
    <w:rsid w:val="00D557E7"/>
    <w:rsid w:val="00D55B7F"/>
    <w:rsid w:val="00D55D82"/>
    <w:rsid w:val="00D56122"/>
    <w:rsid w:val="00D5661F"/>
    <w:rsid w:val="00D56971"/>
    <w:rsid w:val="00D569B4"/>
    <w:rsid w:val="00D56DF3"/>
    <w:rsid w:val="00D5711C"/>
    <w:rsid w:val="00D5730E"/>
    <w:rsid w:val="00D5762D"/>
    <w:rsid w:val="00D577F4"/>
    <w:rsid w:val="00D57F86"/>
    <w:rsid w:val="00D600E0"/>
    <w:rsid w:val="00D6052F"/>
    <w:rsid w:val="00D606E5"/>
    <w:rsid w:val="00D60EDA"/>
    <w:rsid w:val="00D616DD"/>
    <w:rsid w:val="00D6177D"/>
    <w:rsid w:val="00D61AF3"/>
    <w:rsid w:val="00D61B0F"/>
    <w:rsid w:val="00D61D25"/>
    <w:rsid w:val="00D61DF8"/>
    <w:rsid w:val="00D61E30"/>
    <w:rsid w:val="00D61EA8"/>
    <w:rsid w:val="00D61EC5"/>
    <w:rsid w:val="00D61EEF"/>
    <w:rsid w:val="00D61F03"/>
    <w:rsid w:val="00D622BD"/>
    <w:rsid w:val="00D622E9"/>
    <w:rsid w:val="00D6244E"/>
    <w:rsid w:val="00D62A13"/>
    <w:rsid w:val="00D63374"/>
    <w:rsid w:val="00D634F6"/>
    <w:rsid w:val="00D63881"/>
    <w:rsid w:val="00D63D0B"/>
    <w:rsid w:val="00D64438"/>
    <w:rsid w:val="00D64ADB"/>
    <w:rsid w:val="00D64C95"/>
    <w:rsid w:val="00D64FC0"/>
    <w:rsid w:val="00D65243"/>
    <w:rsid w:val="00D65996"/>
    <w:rsid w:val="00D65C49"/>
    <w:rsid w:val="00D65D03"/>
    <w:rsid w:val="00D65E44"/>
    <w:rsid w:val="00D65E5B"/>
    <w:rsid w:val="00D65F7A"/>
    <w:rsid w:val="00D66330"/>
    <w:rsid w:val="00D665F3"/>
    <w:rsid w:val="00D6675E"/>
    <w:rsid w:val="00D670A0"/>
    <w:rsid w:val="00D676D5"/>
    <w:rsid w:val="00D676E5"/>
    <w:rsid w:val="00D676EF"/>
    <w:rsid w:val="00D679B7"/>
    <w:rsid w:val="00D70414"/>
    <w:rsid w:val="00D706C4"/>
    <w:rsid w:val="00D706EC"/>
    <w:rsid w:val="00D707B3"/>
    <w:rsid w:val="00D707C4"/>
    <w:rsid w:val="00D7099D"/>
    <w:rsid w:val="00D71529"/>
    <w:rsid w:val="00D7161D"/>
    <w:rsid w:val="00D71647"/>
    <w:rsid w:val="00D71BAA"/>
    <w:rsid w:val="00D71BF1"/>
    <w:rsid w:val="00D71FD4"/>
    <w:rsid w:val="00D72285"/>
    <w:rsid w:val="00D7242B"/>
    <w:rsid w:val="00D72519"/>
    <w:rsid w:val="00D725C0"/>
    <w:rsid w:val="00D7273D"/>
    <w:rsid w:val="00D72B81"/>
    <w:rsid w:val="00D734CF"/>
    <w:rsid w:val="00D73540"/>
    <w:rsid w:val="00D73542"/>
    <w:rsid w:val="00D739A1"/>
    <w:rsid w:val="00D73E2B"/>
    <w:rsid w:val="00D73E58"/>
    <w:rsid w:val="00D73F4A"/>
    <w:rsid w:val="00D73FBD"/>
    <w:rsid w:val="00D74155"/>
    <w:rsid w:val="00D7435E"/>
    <w:rsid w:val="00D744FF"/>
    <w:rsid w:val="00D748B9"/>
    <w:rsid w:val="00D74ED4"/>
    <w:rsid w:val="00D750A5"/>
    <w:rsid w:val="00D750B0"/>
    <w:rsid w:val="00D75374"/>
    <w:rsid w:val="00D7581B"/>
    <w:rsid w:val="00D75836"/>
    <w:rsid w:val="00D75CBF"/>
    <w:rsid w:val="00D75DF3"/>
    <w:rsid w:val="00D75F4E"/>
    <w:rsid w:val="00D763CF"/>
    <w:rsid w:val="00D765EE"/>
    <w:rsid w:val="00D76653"/>
    <w:rsid w:val="00D768E6"/>
    <w:rsid w:val="00D76928"/>
    <w:rsid w:val="00D76C97"/>
    <w:rsid w:val="00D76D0D"/>
    <w:rsid w:val="00D76D31"/>
    <w:rsid w:val="00D772D1"/>
    <w:rsid w:val="00D77473"/>
    <w:rsid w:val="00D77706"/>
    <w:rsid w:val="00D7793A"/>
    <w:rsid w:val="00D77C9C"/>
    <w:rsid w:val="00D77CC6"/>
    <w:rsid w:val="00D77D18"/>
    <w:rsid w:val="00D800A0"/>
    <w:rsid w:val="00D80335"/>
    <w:rsid w:val="00D80481"/>
    <w:rsid w:val="00D80630"/>
    <w:rsid w:val="00D80824"/>
    <w:rsid w:val="00D80F05"/>
    <w:rsid w:val="00D813B3"/>
    <w:rsid w:val="00D813D0"/>
    <w:rsid w:val="00D81431"/>
    <w:rsid w:val="00D818D3"/>
    <w:rsid w:val="00D819AA"/>
    <w:rsid w:val="00D819D8"/>
    <w:rsid w:val="00D81A08"/>
    <w:rsid w:val="00D81A98"/>
    <w:rsid w:val="00D81B7F"/>
    <w:rsid w:val="00D81C9F"/>
    <w:rsid w:val="00D8206A"/>
    <w:rsid w:val="00D820F5"/>
    <w:rsid w:val="00D823BF"/>
    <w:rsid w:val="00D82BD0"/>
    <w:rsid w:val="00D82BE0"/>
    <w:rsid w:val="00D82DED"/>
    <w:rsid w:val="00D82F97"/>
    <w:rsid w:val="00D8317A"/>
    <w:rsid w:val="00D832C6"/>
    <w:rsid w:val="00D833DE"/>
    <w:rsid w:val="00D83555"/>
    <w:rsid w:val="00D83742"/>
    <w:rsid w:val="00D83BA6"/>
    <w:rsid w:val="00D83C4E"/>
    <w:rsid w:val="00D83CBF"/>
    <w:rsid w:val="00D83E8A"/>
    <w:rsid w:val="00D83E8C"/>
    <w:rsid w:val="00D84486"/>
    <w:rsid w:val="00D847B6"/>
    <w:rsid w:val="00D84AC0"/>
    <w:rsid w:val="00D84DFD"/>
    <w:rsid w:val="00D84FEE"/>
    <w:rsid w:val="00D851B6"/>
    <w:rsid w:val="00D85766"/>
    <w:rsid w:val="00D859DF"/>
    <w:rsid w:val="00D85CA0"/>
    <w:rsid w:val="00D85E46"/>
    <w:rsid w:val="00D860A7"/>
    <w:rsid w:val="00D862F7"/>
    <w:rsid w:val="00D86328"/>
    <w:rsid w:val="00D8645E"/>
    <w:rsid w:val="00D86775"/>
    <w:rsid w:val="00D8695C"/>
    <w:rsid w:val="00D86968"/>
    <w:rsid w:val="00D86B60"/>
    <w:rsid w:val="00D86E4D"/>
    <w:rsid w:val="00D872CE"/>
    <w:rsid w:val="00D873F5"/>
    <w:rsid w:val="00D874B4"/>
    <w:rsid w:val="00D87599"/>
    <w:rsid w:val="00D8767B"/>
    <w:rsid w:val="00D878EA"/>
    <w:rsid w:val="00D90115"/>
    <w:rsid w:val="00D90127"/>
    <w:rsid w:val="00D90314"/>
    <w:rsid w:val="00D90876"/>
    <w:rsid w:val="00D90C83"/>
    <w:rsid w:val="00D910C4"/>
    <w:rsid w:val="00D910DD"/>
    <w:rsid w:val="00D911D4"/>
    <w:rsid w:val="00D911DD"/>
    <w:rsid w:val="00D91732"/>
    <w:rsid w:val="00D91780"/>
    <w:rsid w:val="00D918D0"/>
    <w:rsid w:val="00D91BF9"/>
    <w:rsid w:val="00D91EE0"/>
    <w:rsid w:val="00D91F7D"/>
    <w:rsid w:val="00D927EE"/>
    <w:rsid w:val="00D92C54"/>
    <w:rsid w:val="00D92DEB"/>
    <w:rsid w:val="00D92F5F"/>
    <w:rsid w:val="00D9333A"/>
    <w:rsid w:val="00D934B6"/>
    <w:rsid w:val="00D9360A"/>
    <w:rsid w:val="00D93927"/>
    <w:rsid w:val="00D93D5A"/>
    <w:rsid w:val="00D93E1D"/>
    <w:rsid w:val="00D940E1"/>
    <w:rsid w:val="00D941D3"/>
    <w:rsid w:val="00D94785"/>
    <w:rsid w:val="00D94A56"/>
    <w:rsid w:val="00D94C86"/>
    <w:rsid w:val="00D94E51"/>
    <w:rsid w:val="00D94E98"/>
    <w:rsid w:val="00D94EE0"/>
    <w:rsid w:val="00D94FEA"/>
    <w:rsid w:val="00D95359"/>
    <w:rsid w:val="00D95440"/>
    <w:rsid w:val="00D958B2"/>
    <w:rsid w:val="00D959BB"/>
    <w:rsid w:val="00D95AA5"/>
    <w:rsid w:val="00D95AC1"/>
    <w:rsid w:val="00D95D41"/>
    <w:rsid w:val="00D960AE"/>
    <w:rsid w:val="00D965BC"/>
    <w:rsid w:val="00D9668E"/>
    <w:rsid w:val="00D9712E"/>
    <w:rsid w:val="00D9714F"/>
    <w:rsid w:val="00D97388"/>
    <w:rsid w:val="00D973E2"/>
    <w:rsid w:val="00D97691"/>
    <w:rsid w:val="00D977DD"/>
    <w:rsid w:val="00D9790C"/>
    <w:rsid w:val="00D97930"/>
    <w:rsid w:val="00D97FCD"/>
    <w:rsid w:val="00DA001A"/>
    <w:rsid w:val="00DA0301"/>
    <w:rsid w:val="00DA06F8"/>
    <w:rsid w:val="00DA070F"/>
    <w:rsid w:val="00DA0B8B"/>
    <w:rsid w:val="00DA0BA0"/>
    <w:rsid w:val="00DA0CEA"/>
    <w:rsid w:val="00DA1039"/>
    <w:rsid w:val="00DA1B0E"/>
    <w:rsid w:val="00DA2110"/>
    <w:rsid w:val="00DA2474"/>
    <w:rsid w:val="00DA270D"/>
    <w:rsid w:val="00DA27F4"/>
    <w:rsid w:val="00DA29B3"/>
    <w:rsid w:val="00DA2B23"/>
    <w:rsid w:val="00DA2FA1"/>
    <w:rsid w:val="00DA302A"/>
    <w:rsid w:val="00DA352E"/>
    <w:rsid w:val="00DA3918"/>
    <w:rsid w:val="00DA3CB9"/>
    <w:rsid w:val="00DA3E6B"/>
    <w:rsid w:val="00DA4086"/>
    <w:rsid w:val="00DA42DD"/>
    <w:rsid w:val="00DA4AE2"/>
    <w:rsid w:val="00DA4AE5"/>
    <w:rsid w:val="00DA50B6"/>
    <w:rsid w:val="00DA5AB7"/>
    <w:rsid w:val="00DA5EFE"/>
    <w:rsid w:val="00DA6389"/>
    <w:rsid w:val="00DA65EE"/>
    <w:rsid w:val="00DA6766"/>
    <w:rsid w:val="00DA677F"/>
    <w:rsid w:val="00DA6ACA"/>
    <w:rsid w:val="00DA6B1A"/>
    <w:rsid w:val="00DA6EA0"/>
    <w:rsid w:val="00DA6EE6"/>
    <w:rsid w:val="00DA709C"/>
    <w:rsid w:val="00DA7299"/>
    <w:rsid w:val="00DA76EC"/>
    <w:rsid w:val="00DA7D21"/>
    <w:rsid w:val="00DA7E6D"/>
    <w:rsid w:val="00DA7ED7"/>
    <w:rsid w:val="00DA7EDE"/>
    <w:rsid w:val="00DB002D"/>
    <w:rsid w:val="00DB04A1"/>
    <w:rsid w:val="00DB050E"/>
    <w:rsid w:val="00DB05EC"/>
    <w:rsid w:val="00DB08B8"/>
    <w:rsid w:val="00DB0F76"/>
    <w:rsid w:val="00DB104D"/>
    <w:rsid w:val="00DB111E"/>
    <w:rsid w:val="00DB128C"/>
    <w:rsid w:val="00DB129A"/>
    <w:rsid w:val="00DB14AA"/>
    <w:rsid w:val="00DB1914"/>
    <w:rsid w:val="00DB1A53"/>
    <w:rsid w:val="00DB1AE7"/>
    <w:rsid w:val="00DB1C62"/>
    <w:rsid w:val="00DB1D35"/>
    <w:rsid w:val="00DB2009"/>
    <w:rsid w:val="00DB21AA"/>
    <w:rsid w:val="00DB2353"/>
    <w:rsid w:val="00DB2394"/>
    <w:rsid w:val="00DB270A"/>
    <w:rsid w:val="00DB2C53"/>
    <w:rsid w:val="00DB30E5"/>
    <w:rsid w:val="00DB3308"/>
    <w:rsid w:val="00DB38F1"/>
    <w:rsid w:val="00DB39C9"/>
    <w:rsid w:val="00DB3C01"/>
    <w:rsid w:val="00DB4011"/>
    <w:rsid w:val="00DB44C4"/>
    <w:rsid w:val="00DB44EF"/>
    <w:rsid w:val="00DB48C9"/>
    <w:rsid w:val="00DB4C3B"/>
    <w:rsid w:val="00DB4C72"/>
    <w:rsid w:val="00DB4CE6"/>
    <w:rsid w:val="00DB4D46"/>
    <w:rsid w:val="00DB53F9"/>
    <w:rsid w:val="00DB5498"/>
    <w:rsid w:val="00DB55C9"/>
    <w:rsid w:val="00DB5755"/>
    <w:rsid w:val="00DB59AB"/>
    <w:rsid w:val="00DB5A23"/>
    <w:rsid w:val="00DB5AF1"/>
    <w:rsid w:val="00DB5D90"/>
    <w:rsid w:val="00DB6414"/>
    <w:rsid w:val="00DB6720"/>
    <w:rsid w:val="00DB6822"/>
    <w:rsid w:val="00DB6938"/>
    <w:rsid w:val="00DB69F3"/>
    <w:rsid w:val="00DB6CC8"/>
    <w:rsid w:val="00DB6CE5"/>
    <w:rsid w:val="00DB6D68"/>
    <w:rsid w:val="00DB6E5E"/>
    <w:rsid w:val="00DB78E5"/>
    <w:rsid w:val="00DB7AAB"/>
    <w:rsid w:val="00DB7C57"/>
    <w:rsid w:val="00DB7C62"/>
    <w:rsid w:val="00DC012A"/>
    <w:rsid w:val="00DC014D"/>
    <w:rsid w:val="00DC08CC"/>
    <w:rsid w:val="00DC0F1D"/>
    <w:rsid w:val="00DC13B1"/>
    <w:rsid w:val="00DC14BE"/>
    <w:rsid w:val="00DC1789"/>
    <w:rsid w:val="00DC18DB"/>
    <w:rsid w:val="00DC1D9F"/>
    <w:rsid w:val="00DC2024"/>
    <w:rsid w:val="00DC23C7"/>
    <w:rsid w:val="00DC295F"/>
    <w:rsid w:val="00DC2A73"/>
    <w:rsid w:val="00DC2F0B"/>
    <w:rsid w:val="00DC31AC"/>
    <w:rsid w:val="00DC3303"/>
    <w:rsid w:val="00DC36DB"/>
    <w:rsid w:val="00DC3808"/>
    <w:rsid w:val="00DC3CF2"/>
    <w:rsid w:val="00DC4000"/>
    <w:rsid w:val="00DC4490"/>
    <w:rsid w:val="00DC4791"/>
    <w:rsid w:val="00DC47AD"/>
    <w:rsid w:val="00DC4938"/>
    <w:rsid w:val="00DC4D47"/>
    <w:rsid w:val="00DC56B6"/>
    <w:rsid w:val="00DC5766"/>
    <w:rsid w:val="00DC5EDB"/>
    <w:rsid w:val="00DC60FC"/>
    <w:rsid w:val="00DC65C3"/>
    <w:rsid w:val="00DC67B3"/>
    <w:rsid w:val="00DC6976"/>
    <w:rsid w:val="00DC69E6"/>
    <w:rsid w:val="00DC6A72"/>
    <w:rsid w:val="00DC6A76"/>
    <w:rsid w:val="00DC6CAA"/>
    <w:rsid w:val="00DC712D"/>
    <w:rsid w:val="00DC72B7"/>
    <w:rsid w:val="00DC7390"/>
    <w:rsid w:val="00DC75AE"/>
    <w:rsid w:val="00DC76B1"/>
    <w:rsid w:val="00DC77BF"/>
    <w:rsid w:val="00DC78D0"/>
    <w:rsid w:val="00DC7D32"/>
    <w:rsid w:val="00DC7E2A"/>
    <w:rsid w:val="00DC7E5A"/>
    <w:rsid w:val="00DC7F87"/>
    <w:rsid w:val="00DD008C"/>
    <w:rsid w:val="00DD0515"/>
    <w:rsid w:val="00DD066E"/>
    <w:rsid w:val="00DD0CF5"/>
    <w:rsid w:val="00DD0E5D"/>
    <w:rsid w:val="00DD0F9C"/>
    <w:rsid w:val="00DD0FAE"/>
    <w:rsid w:val="00DD0FB3"/>
    <w:rsid w:val="00DD1535"/>
    <w:rsid w:val="00DD1AAD"/>
    <w:rsid w:val="00DD1B5B"/>
    <w:rsid w:val="00DD1E4D"/>
    <w:rsid w:val="00DD1F75"/>
    <w:rsid w:val="00DD23C1"/>
    <w:rsid w:val="00DD253A"/>
    <w:rsid w:val="00DD28DD"/>
    <w:rsid w:val="00DD2D8B"/>
    <w:rsid w:val="00DD2DAC"/>
    <w:rsid w:val="00DD334A"/>
    <w:rsid w:val="00DD344F"/>
    <w:rsid w:val="00DD35AA"/>
    <w:rsid w:val="00DD3818"/>
    <w:rsid w:val="00DD3B16"/>
    <w:rsid w:val="00DD3E42"/>
    <w:rsid w:val="00DD3E66"/>
    <w:rsid w:val="00DD3F61"/>
    <w:rsid w:val="00DD43AB"/>
    <w:rsid w:val="00DD43D8"/>
    <w:rsid w:val="00DD4409"/>
    <w:rsid w:val="00DD4414"/>
    <w:rsid w:val="00DD44D6"/>
    <w:rsid w:val="00DD483B"/>
    <w:rsid w:val="00DD4900"/>
    <w:rsid w:val="00DD49CA"/>
    <w:rsid w:val="00DD4AAD"/>
    <w:rsid w:val="00DD4C39"/>
    <w:rsid w:val="00DD4D4F"/>
    <w:rsid w:val="00DD502C"/>
    <w:rsid w:val="00DD56E1"/>
    <w:rsid w:val="00DD5B77"/>
    <w:rsid w:val="00DD5CDF"/>
    <w:rsid w:val="00DD5F17"/>
    <w:rsid w:val="00DD62B5"/>
    <w:rsid w:val="00DD66D9"/>
    <w:rsid w:val="00DD67A3"/>
    <w:rsid w:val="00DD69E2"/>
    <w:rsid w:val="00DD6D41"/>
    <w:rsid w:val="00DD7258"/>
    <w:rsid w:val="00DD72BF"/>
    <w:rsid w:val="00DD7352"/>
    <w:rsid w:val="00DD748B"/>
    <w:rsid w:val="00DD75FE"/>
    <w:rsid w:val="00DD76C4"/>
    <w:rsid w:val="00DD7765"/>
    <w:rsid w:val="00DD77DB"/>
    <w:rsid w:val="00DD7E8D"/>
    <w:rsid w:val="00DE00C8"/>
    <w:rsid w:val="00DE01BE"/>
    <w:rsid w:val="00DE035E"/>
    <w:rsid w:val="00DE0380"/>
    <w:rsid w:val="00DE043A"/>
    <w:rsid w:val="00DE0EDD"/>
    <w:rsid w:val="00DE1818"/>
    <w:rsid w:val="00DE1819"/>
    <w:rsid w:val="00DE1B60"/>
    <w:rsid w:val="00DE1D78"/>
    <w:rsid w:val="00DE2503"/>
    <w:rsid w:val="00DE258E"/>
    <w:rsid w:val="00DE270D"/>
    <w:rsid w:val="00DE2CC8"/>
    <w:rsid w:val="00DE2F5D"/>
    <w:rsid w:val="00DE3328"/>
    <w:rsid w:val="00DE3559"/>
    <w:rsid w:val="00DE3794"/>
    <w:rsid w:val="00DE37D1"/>
    <w:rsid w:val="00DE38DA"/>
    <w:rsid w:val="00DE3B0B"/>
    <w:rsid w:val="00DE4087"/>
    <w:rsid w:val="00DE466A"/>
    <w:rsid w:val="00DE4E39"/>
    <w:rsid w:val="00DE4EA0"/>
    <w:rsid w:val="00DE5011"/>
    <w:rsid w:val="00DE52E5"/>
    <w:rsid w:val="00DE530F"/>
    <w:rsid w:val="00DE54F0"/>
    <w:rsid w:val="00DE57BE"/>
    <w:rsid w:val="00DE5909"/>
    <w:rsid w:val="00DE5937"/>
    <w:rsid w:val="00DE59B5"/>
    <w:rsid w:val="00DE6693"/>
    <w:rsid w:val="00DE6734"/>
    <w:rsid w:val="00DE69DC"/>
    <w:rsid w:val="00DE69E1"/>
    <w:rsid w:val="00DE6AD8"/>
    <w:rsid w:val="00DE6D1E"/>
    <w:rsid w:val="00DE6FC3"/>
    <w:rsid w:val="00DE7286"/>
    <w:rsid w:val="00DE785B"/>
    <w:rsid w:val="00DE78A5"/>
    <w:rsid w:val="00DE7C9E"/>
    <w:rsid w:val="00DE7CDF"/>
    <w:rsid w:val="00DF0133"/>
    <w:rsid w:val="00DF017D"/>
    <w:rsid w:val="00DF0260"/>
    <w:rsid w:val="00DF02B6"/>
    <w:rsid w:val="00DF055E"/>
    <w:rsid w:val="00DF09D1"/>
    <w:rsid w:val="00DF0E17"/>
    <w:rsid w:val="00DF0E32"/>
    <w:rsid w:val="00DF12C3"/>
    <w:rsid w:val="00DF159E"/>
    <w:rsid w:val="00DF185B"/>
    <w:rsid w:val="00DF1E54"/>
    <w:rsid w:val="00DF1FC8"/>
    <w:rsid w:val="00DF21F2"/>
    <w:rsid w:val="00DF230D"/>
    <w:rsid w:val="00DF2418"/>
    <w:rsid w:val="00DF243D"/>
    <w:rsid w:val="00DF28B8"/>
    <w:rsid w:val="00DF2915"/>
    <w:rsid w:val="00DF2A34"/>
    <w:rsid w:val="00DF2EFD"/>
    <w:rsid w:val="00DF3013"/>
    <w:rsid w:val="00DF3098"/>
    <w:rsid w:val="00DF3362"/>
    <w:rsid w:val="00DF3570"/>
    <w:rsid w:val="00DF363D"/>
    <w:rsid w:val="00DF3A3F"/>
    <w:rsid w:val="00DF3EB3"/>
    <w:rsid w:val="00DF419C"/>
    <w:rsid w:val="00DF4246"/>
    <w:rsid w:val="00DF42F5"/>
    <w:rsid w:val="00DF4688"/>
    <w:rsid w:val="00DF4B85"/>
    <w:rsid w:val="00DF4E00"/>
    <w:rsid w:val="00DF4EC0"/>
    <w:rsid w:val="00DF4F24"/>
    <w:rsid w:val="00DF5671"/>
    <w:rsid w:val="00DF6241"/>
    <w:rsid w:val="00DF6349"/>
    <w:rsid w:val="00DF65B8"/>
    <w:rsid w:val="00DF679E"/>
    <w:rsid w:val="00DF6A8D"/>
    <w:rsid w:val="00DF70BC"/>
    <w:rsid w:val="00DF710A"/>
    <w:rsid w:val="00DF73B9"/>
    <w:rsid w:val="00DF744A"/>
    <w:rsid w:val="00DF7522"/>
    <w:rsid w:val="00DF7641"/>
    <w:rsid w:val="00DF775F"/>
    <w:rsid w:val="00DF7794"/>
    <w:rsid w:val="00DF7AFD"/>
    <w:rsid w:val="00DF7CF6"/>
    <w:rsid w:val="00DF7F73"/>
    <w:rsid w:val="00E006C2"/>
    <w:rsid w:val="00E00917"/>
    <w:rsid w:val="00E00A28"/>
    <w:rsid w:val="00E00A61"/>
    <w:rsid w:val="00E00A92"/>
    <w:rsid w:val="00E00E07"/>
    <w:rsid w:val="00E00E3C"/>
    <w:rsid w:val="00E00F00"/>
    <w:rsid w:val="00E013A8"/>
    <w:rsid w:val="00E016C5"/>
    <w:rsid w:val="00E01DA3"/>
    <w:rsid w:val="00E0210D"/>
    <w:rsid w:val="00E02209"/>
    <w:rsid w:val="00E02426"/>
    <w:rsid w:val="00E02517"/>
    <w:rsid w:val="00E029AC"/>
    <w:rsid w:val="00E02DE2"/>
    <w:rsid w:val="00E02EDA"/>
    <w:rsid w:val="00E03193"/>
    <w:rsid w:val="00E032EF"/>
    <w:rsid w:val="00E034CC"/>
    <w:rsid w:val="00E03643"/>
    <w:rsid w:val="00E03839"/>
    <w:rsid w:val="00E03886"/>
    <w:rsid w:val="00E03D0F"/>
    <w:rsid w:val="00E04255"/>
    <w:rsid w:val="00E04263"/>
    <w:rsid w:val="00E0502C"/>
    <w:rsid w:val="00E050AC"/>
    <w:rsid w:val="00E05204"/>
    <w:rsid w:val="00E05BB6"/>
    <w:rsid w:val="00E0617B"/>
    <w:rsid w:val="00E0632E"/>
    <w:rsid w:val="00E06632"/>
    <w:rsid w:val="00E067C1"/>
    <w:rsid w:val="00E068D3"/>
    <w:rsid w:val="00E06C96"/>
    <w:rsid w:val="00E06CAC"/>
    <w:rsid w:val="00E0717C"/>
    <w:rsid w:val="00E07430"/>
    <w:rsid w:val="00E07771"/>
    <w:rsid w:val="00E07899"/>
    <w:rsid w:val="00E07996"/>
    <w:rsid w:val="00E0799E"/>
    <w:rsid w:val="00E07A50"/>
    <w:rsid w:val="00E07D71"/>
    <w:rsid w:val="00E07E3E"/>
    <w:rsid w:val="00E07EC6"/>
    <w:rsid w:val="00E100A1"/>
    <w:rsid w:val="00E101F2"/>
    <w:rsid w:val="00E1027E"/>
    <w:rsid w:val="00E1072E"/>
    <w:rsid w:val="00E10768"/>
    <w:rsid w:val="00E10AC5"/>
    <w:rsid w:val="00E10B9B"/>
    <w:rsid w:val="00E10BB2"/>
    <w:rsid w:val="00E10DEE"/>
    <w:rsid w:val="00E10F3E"/>
    <w:rsid w:val="00E11617"/>
    <w:rsid w:val="00E118DB"/>
    <w:rsid w:val="00E11A73"/>
    <w:rsid w:val="00E11C67"/>
    <w:rsid w:val="00E123AB"/>
    <w:rsid w:val="00E1248D"/>
    <w:rsid w:val="00E125C0"/>
    <w:rsid w:val="00E12625"/>
    <w:rsid w:val="00E12951"/>
    <w:rsid w:val="00E129A2"/>
    <w:rsid w:val="00E12A21"/>
    <w:rsid w:val="00E12AA7"/>
    <w:rsid w:val="00E12B43"/>
    <w:rsid w:val="00E12B65"/>
    <w:rsid w:val="00E1328C"/>
    <w:rsid w:val="00E13590"/>
    <w:rsid w:val="00E13927"/>
    <w:rsid w:val="00E139AD"/>
    <w:rsid w:val="00E13A7E"/>
    <w:rsid w:val="00E13BF6"/>
    <w:rsid w:val="00E13DE5"/>
    <w:rsid w:val="00E1413A"/>
    <w:rsid w:val="00E1430E"/>
    <w:rsid w:val="00E14C53"/>
    <w:rsid w:val="00E14F39"/>
    <w:rsid w:val="00E15599"/>
    <w:rsid w:val="00E15C6E"/>
    <w:rsid w:val="00E15D7F"/>
    <w:rsid w:val="00E165FE"/>
    <w:rsid w:val="00E16689"/>
    <w:rsid w:val="00E167E4"/>
    <w:rsid w:val="00E16CDD"/>
    <w:rsid w:val="00E16E07"/>
    <w:rsid w:val="00E17127"/>
    <w:rsid w:val="00E17258"/>
    <w:rsid w:val="00E172A7"/>
    <w:rsid w:val="00E1746E"/>
    <w:rsid w:val="00E17AC9"/>
    <w:rsid w:val="00E17C1F"/>
    <w:rsid w:val="00E17D8F"/>
    <w:rsid w:val="00E17F85"/>
    <w:rsid w:val="00E202C7"/>
    <w:rsid w:val="00E20322"/>
    <w:rsid w:val="00E203A6"/>
    <w:rsid w:val="00E20576"/>
    <w:rsid w:val="00E2074E"/>
    <w:rsid w:val="00E2079C"/>
    <w:rsid w:val="00E20817"/>
    <w:rsid w:val="00E20CFB"/>
    <w:rsid w:val="00E20D88"/>
    <w:rsid w:val="00E20FAF"/>
    <w:rsid w:val="00E21272"/>
    <w:rsid w:val="00E21463"/>
    <w:rsid w:val="00E21679"/>
    <w:rsid w:val="00E21B64"/>
    <w:rsid w:val="00E2208B"/>
    <w:rsid w:val="00E22525"/>
    <w:rsid w:val="00E22ACF"/>
    <w:rsid w:val="00E22E35"/>
    <w:rsid w:val="00E2309E"/>
    <w:rsid w:val="00E236D8"/>
    <w:rsid w:val="00E23947"/>
    <w:rsid w:val="00E239E1"/>
    <w:rsid w:val="00E23A45"/>
    <w:rsid w:val="00E23DF8"/>
    <w:rsid w:val="00E23E16"/>
    <w:rsid w:val="00E23E17"/>
    <w:rsid w:val="00E2420A"/>
    <w:rsid w:val="00E2429D"/>
    <w:rsid w:val="00E246B0"/>
    <w:rsid w:val="00E248EE"/>
    <w:rsid w:val="00E24BB9"/>
    <w:rsid w:val="00E24BD3"/>
    <w:rsid w:val="00E24FE3"/>
    <w:rsid w:val="00E2503A"/>
    <w:rsid w:val="00E25075"/>
    <w:rsid w:val="00E2557A"/>
    <w:rsid w:val="00E2574D"/>
    <w:rsid w:val="00E25750"/>
    <w:rsid w:val="00E2578F"/>
    <w:rsid w:val="00E258EB"/>
    <w:rsid w:val="00E25D9B"/>
    <w:rsid w:val="00E25E3B"/>
    <w:rsid w:val="00E25FF7"/>
    <w:rsid w:val="00E26119"/>
    <w:rsid w:val="00E262E5"/>
    <w:rsid w:val="00E2642A"/>
    <w:rsid w:val="00E264AE"/>
    <w:rsid w:val="00E265FD"/>
    <w:rsid w:val="00E26801"/>
    <w:rsid w:val="00E26948"/>
    <w:rsid w:val="00E2725B"/>
    <w:rsid w:val="00E275A9"/>
    <w:rsid w:val="00E27C94"/>
    <w:rsid w:val="00E27D0F"/>
    <w:rsid w:val="00E27D67"/>
    <w:rsid w:val="00E304EB"/>
    <w:rsid w:val="00E308A4"/>
    <w:rsid w:val="00E30915"/>
    <w:rsid w:val="00E30955"/>
    <w:rsid w:val="00E30F53"/>
    <w:rsid w:val="00E3103E"/>
    <w:rsid w:val="00E31108"/>
    <w:rsid w:val="00E31432"/>
    <w:rsid w:val="00E316E1"/>
    <w:rsid w:val="00E319E1"/>
    <w:rsid w:val="00E319EE"/>
    <w:rsid w:val="00E31E4D"/>
    <w:rsid w:val="00E3243B"/>
    <w:rsid w:val="00E324F7"/>
    <w:rsid w:val="00E328FB"/>
    <w:rsid w:val="00E32FBA"/>
    <w:rsid w:val="00E33480"/>
    <w:rsid w:val="00E335D0"/>
    <w:rsid w:val="00E33695"/>
    <w:rsid w:val="00E33B88"/>
    <w:rsid w:val="00E33D6C"/>
    <w:rsid w:val="00E33DEF"/>
    <w:rsid w:val="00E344F3"/>
    <w:rsid w:val="00E348CC"/>
    <w:rsid w:val="00E35360"/>
    <w:rsid w:val="00E3541D"/>
    <w:rsid w:val="00E354F9"/>
    <w:rsid w:val="00E3576E"/>
    <w:rsid w:val="00E35866"/>
    <w:rsid w:val="00E358EC"/>
    <w:rsid w:val="00E35D7B"/>
    <w:rsid w:val="00E35DF4"/>
    <w:rsid w:val="00E35FF6"/>
    <w:rsid w:val="00E3626B"/>
    <w:rsid w:val="00E36346"/>
    <w:rsid w:val="00E3635D"/>
    <w:rsid w:val="00E3685E"/>
    <w:rsid w:val="00E36952"/>
    <w:rsid w:val="00E36C69"/>
    <w:rsid w:val="00E36CE0"/>
    <w:rsid w:val="00E36DA3"/>
    <w:rsid w:val="00E36FD6"/>
    <w:rsid w:val="00E37081"/>
    <w:rsid w:val="00E370D3"/>
    <w:rsid w:val="00E373B9"/>
    <w:rsid w:val="00E375B2"/>
    <w:rsid w:val="00E376AA"/>
    <w:rsid w:val="00E37AB6"/>
    <w:rsid w:val="00E37ACF"/>
    <w:rsid w:val="00E37D0C"/>
    <w:rsid w:val="00E400F1"/>
    <w:rsid w:val="00E40153"/>
    <w:rsid w:val="00E4025D"/>
    <w:rsid w:val="00E402AA"/>
    <w:rsid w:val="00E40319"/>
    <w:rsid w:val="00E40479"/>
    <w:rsid w:val="00E40DAC"/>
    <w:rsid w:val="00E40E56"/>
    <w:rsid w:val="00E40E5C"/>
    <w:rsid w:val="00E4121B"/>
    <w:rsid w:val="00E41AF4"/>
    <w:rsid w:val="00E41BDF"/>
    <w:rsid w:val="00E41C1D"/>
    <w:rsid w:val="00E41CFE"/>
    <w:rsid w:val="00E41DA1"/>
    <w:rsid w:val="00E41E1D"/>
    <w:rsid w:val="00E41FDB"/>
    <w:rsid w:val="00E42527"/>
    <w:rsid w:val="00E42788"/>
    <w:rsid w:val="00E42A01"/>
    <w:rsid w:val="00E42C0C"/>
    <w:rsid w:val="00E42CFF"/>
    <w:rsid w:val="00E42F0D"/>
    <w:rsid w:val="00E431CD"/>
    <w:rsid w:val="00E432EE"/>
    <w:rsid w:val="00E435C9"/>
    <w:rsid w:val="00E43644"/>
    <w:rsid w:val="00E43756"/>
    <w:rsid w:val="00E439D8"/>
    <w:rsid w:val="00E43CD7"/>
    <w:rsid w:val="00E43CE0"/>
    <w:rsid w:val="00E43D8D"/>
    <w:rsid w:val="00E43F81"/>
    <w:rsid w:val="00E440D8"/>
    <w:rsid w:val="00E4411C"/>
    <w:rsid w:val="00E44737"/>
    <w:rsid w:val="00E44B6E"/>
    <w:rsid w:val="00E44C48"/>
    <w:rsid w:val="00E44EBB"/>
    <w:rsid w:val="00E45FD8"/>
    <w:rsid w:val="00E46130"/>
    <w:rsid w:val="00E4660B"/>
    <w:rsid w:val="00E46847"/>
    <w:rsid w:val="00E468C8"/>
    <w:rsid w:val="00E46974"/>
    <w:rsid w:val="00E46CE9"/>
    <w:rsid w:val="00E46EC5"/>
    <w:rsid w:val="00E47346"/>
    <w:rsid w:val="00E474C4"/>
    <w:rsid w:val="00E5002C"/>
    <w:rsid w:val="00E5019C"/>
    <w:rsid w:val="00E503E7"/>
    <w:rsid w:val="00E503FC"/>
    <w:rsid w:val="00E5061F"/>
    <w:rsid w:val="00E50989"/>
    <w:rsid w:val="00E509CD"/>
    <w:rsid w:val="00E50D69"/>
    <w:rsid w:val="00E50DE1"/>
    <w:rsid w:val="00E50FDE"/>
    <w:rsid w:val="00E5107C"/>
    <w:rsid w:val="00E5124D"/>
    <w:rsid w:val="00E517B8"/>
    <w:rsid w:val="00E51811"/>
    <w:rsid w:val="00E51992"/>
    <w:rsid w:val="00E519B2"/>
    <w:rsid w:val="00E519D0"/>
    <w:rsid w:val="00E51A51"/>
    <w:rsid w:val="00E51B99"/>
    <w:rsid w:val="00E51EFA"/>
    <w:rsid w:val="00E5223E"/>
    <w:rsid w:val="00E52317"/>
    <w:rsid w:val="00E52383"/>
    <w:rsid w:val="00E52B14"/>
    <w:rsid w:val="00E53033"/>
    <w:rsid w:val="00E530EA"/>
    <w:rsid w:val="00E53166"/>
    <w:rsid w:val="00E5321C"/>
    <w:rsid w:val="00E53232"/>
    <w:rsid w:val="00E5365B"/>
    <w:rsid w:val="00E538DC"/>
    <w:rsid w:val="00E538E6"/>
    <w:rsid w:val="00E53AB1"/>
    <w:rsid w:val="00E53ACE"/>
    <w:rsid w:val="00E5433B"/>
    <w:rsid w:val="00E54495"/>
    <w:rsid w:val="00E54574"/>
    <w:rsid w:val="00E545B5"/>
    <w:rsid w:val="00E545FE"/>
    <w:rsid w:val="00E548CE"/>
    <w:rsid w:val="00E54AA3"/>
    <w:rsid w:val="00E54BF6"/>
    <w:rsid w:val="00E54DD8"/>
    <w:rsid w:val="00E553F2"/>
    <w:rsid w:val="00E553F7"/>
    <w:rsid w:val="00E55D2C"/>
    <w:rsid w:val="00E5604A"/>
    <w:rsid w:val="00E560DB"/>
    <w:rsid w:val="00E5653F"/>
    <w:rsid w:val="00E565F6"/>
    <w:rsid w:val="00E570B2"/>
    <w:rsid w:val="00E573F4"/>
    <w:rsid w:val="00E5741A"/>
    <w:rsid w:val="00E5755C"/>
    <w:rsid w:val="00E57AB0"/>
    <w:rsid w:val="00E57E2D"/>
    <w:rsid w:val="00E6053C"/>
    <w:rsid w:val="00E60562"/>
    <w:rsid w:val="00E6078B"/>
    <w:rsid w:val="00E607C8"/>
    <w:rsid w:val="00E6091A"/>
    <w:rsid w:val="00E60A16"/>
    <w:rsid w:val="00E60D7F"/>
    <w:rsid w:val="00E60E6B"/>
    <w:rsid w:val="00E614F9"/>
    <w:rsid w:val="00E61529"/>
    <w:rsid w:val="00E6154B"/>
    <w:rsid w:val="00E615F3"/>
    <w:rsid w:val="00E62287"/>
    <w:rsid w:val="00E62507"/>
    <w:rsid w:val="00E627E2"/>
    <w:rsid w:val="00E62BEA"/>
    <w:rsid w:val="00E62C69"/>
    <w:rsid w:val="00E62CF3"/>
    <w:rsid w:val="00E62CF5"/>
    <w:rsid w:val="00E630E0"/>
    <w:rsid w:val="00E6334F"/>
    <w:rsid w:val="00E633DB"/>
    <w:rsid w:val="00E6360E"/>
    <w:rsid w:val="00E6380C"/>
    <w:rsid w:val="00E6390B"/>
    <w:rsid w:val="00E63D00"/>
    <w:rsid w:val="00E63E46"/>
    <w:rsid w:val="00E64129"/>
    <w:rsid w:val="00E64163"/>
    <w:rsid w:val="00E64317"/>
    <w:rsid w:val="00E6436C"/>
    <w:rsid w:val="00E64385"/>
    <w:rsid w:val="00E6439A"/>
    <w:rsid w:val="00E648F8"/>
    <w:rsid w:val="00E64C1E"/>
    <w:rsid w:val="00E64C81"/>
    <w:rsid w:val="00E64E1A"/>
    <w:rsid w:val="00E64E4A"/>
    <w:rsid w:val="00E64F38"/>
    <w:rsid w:val="00E64FFB"/>
    <w:rsid w:val="00E65386"/>
    <w:rsid w:val="00E6539F"/>
    <w:rsid w:val="00E65751"/>
    <w:rsid w:val="00E658D3"/>
    <w:rsid w:val="00E65B85"/>
    <w:rsid w:val="00E65BEB"/>
    <w:rsid w:val="00E65E48"/>
    <w:rsid w:val="00E66247"/>
    <w:rsid w:val="00E66862"/>
    <w:rsid w:val="00E66A2C"/>
    <w:rsid w:val="00E66BEA"/>
    <w:rsid w:val="00E66E3B"/>
    <w:rsid w:val="00E66E53"/>
    <w:rsid w:val="00E66FF7"/>
    <w:rsid w:val="00E676E5"/>
    <w:rsid w:val="00E67A18"/>
    <w:rsid w:val="00E67A82"/>
    <w:rsid w:val="00E67F78"/>
    <w:rsid w:val="00E67FD2"/>
    <w:rsid w:val="00E701F0"/>
    <w:rsid w:val="00E70388"/>
    <w:rsid w:val="00E707EB"/>
    <w:rsid w:val="00E70CA7"/>
    <w:rsid w:val="00E711CD"/>
    <w:rsid w:val="00E71392"/>
    <w:rsid w:val="00E71639"/>
    <w:rsid w:val="00E71785"/>
    <w:rsid w:val="00E71BA3"/>
    <w:rsid w:val="00E71C0C"/>
    <w:rsid w:val="00E71C41"/>
    <w:rsid w:val="00E71F3F"/>
    <w:rsid w:val="00E71F99"/>
    <w:rsid w:val="00E72585"/>
    <w:rsid w:val="00E72867"/>
    <w:rsid w:val="00E72A45"/>
    <w:rsid w:val="00E72E5C"/>
    <w:rsid w:val="00E72EC9"/>
    <w:rsid w:val="00E72F68"/>
    <w:rsid w:val="00E733BF"/>
    <w:rsid w:val="00E734BC"/>
    <w:rsid w:val="00E736D9"/>
    <w:rsid w:val="00E73BCA"/>
    <w:rsid w:val="00E73D8D"/>
    <w:rsid w:val="00E73E32"/>
    <w:rsid w:val="00E74179"/>
    <w:rsid w:val="00E74672"/>
    <w:rsid w:val="00E747F6"/>
    <w:rsid w:val="00E74886"/>
    <w:rsid w:val="00E748C4"/>
    <w:rsid w:val="00E74AC2"/>
    <w:rsid w:val="00E74C52"/>
    <w:rsid w:val="00E7509B"/>
    <w:rsid w:val="00E750DE"/>
    <w:rsid w:val="00E75485"/>
    <w:rsid w:val="00E7555E"/>
    <w:rsid w:val="00E75689"/>
    <w:rsid w:val="00E7571C"/>
    <w:rsid w:val="00E75818"/>
    <w:rsid w:val="00E7592F"/>
    <w:rsid w:val="00E75C0E"/>
    <w:rsid w:val="00E75D59"/>
    <w:rsid w:val="00E75D65"/>
    <w:rsid w:val="00E75DA5"/>
    <w:rsid w:val="00E75EA5"/>
    <w:rsid w:val="00E75FA3"/>
    <w:rsid w:val="00E75FF5"/>
    <w:rsid w:val="00E76A40"/>
    <w:rsid w:val="00E76B57"/>
    <w:rsid w:val="00E76F06"/>
    <w:rsid w:val="00E7714C"/>
    <w:rsid w:val="00E771C8"/>
    <w:rsid w:val="00E771F7"/>
    <w:rsid w:val="00E77493"/>
    <w:rsid w:val="00E77813"/>
    <w:rsid w:val="00E77B81"/>
    <w:rsid w:val="00E80164"/>
    <w:rsid w:val="00E8036F"/>
    <w:rsid w:val="00E804D7"/>
    <w:rsid w:val="00E809FC"/>
    <w:rsid w:val="00E80B7C"/>
    <w:rsid w:val="00E80BB3"/>
    <w:rsid w:val="00E80CAE"/>
    <w:rsid w:val="00E80D0C"/>
    <w:rsid w:val="00E80E21"/>
    <w:rsid w:val="00E810A5"/>
    <w:rsid w:val="00E8142E"/>
    <w:rsid w:val="00E817C9"/>
    <w:rsid w:val="00E81A9A"/>
    <w:rsid w:val="00E81B68"/>
    <w:rsid w:val="00E82009"/>
    <w:rsid w:val="00E82503"/>
    <w:rsid w:val="00E825DF"/>
    <w:rsid w:val="00E828B4"/>
    <w:rsid w:val="00E82961"/>
    <w:rsid w:val="00E82CEC"/>
    <w:rsid w:val="00E82F98"/>
    <w:rsid w:val="00E83059"/>
    <w:rsid w:val="00E831AD"/>
    <w:rsid w:val="00E835E0"/>
    <w:rsid w:val="00E83E89"/>
    <w:rsid w:val="00E8421F"/>
    <w:rsid w:val="00E8422E"/>
    <w:rsid w:val="00E843EF"/>
    <w:rsid w:val="00E847B6"/>
    <w:rsid w:val="00E8481E"/>
    <w:rsid w:val="00E84B51"/>
    <w:rsid w:val="00E84CFB"/>
    <w:rsid w:val="00E84D44"/>
    <w:rsid w:val="00E84DAD"/>
    <w:rsid w:val="00E85039"/>
    <w:rsid w:val="00E851C4"/>
    <w:rsid w:val="00E85695"/>
    <w:rsid w:val="00E85696"/>
    <w:rsid w:val="00E856E9"/>
    <w:rsid w:val="00E8582E"/>
    <w:rsid w:val="00E85DBA"/>
    <w:rsid w:val="00E85E64"/>
    <w:rsid w:val="00E8602F"/>
    <w:rsid w:val="00E865C6"/>
    <w:rsid w:val="00E866EC"/>
    <w:rsid w:val="00E86797"/>
    <w:rsid w:val="00E86A6D"/>
    <w:rsid w:val="00E86E45"/>
    <w:rsid w:val="00E86F77"/>
    <w:rsid w:val="00E87028"/>
    <w:rsid w:val="00E871F7"/>
    <w:rsid w:val="00E872A8"/>
    <w:rsid w:val="00E872D2"/>
    <w:rsid w:val="00E873CE"/>
    <w:rsid w:val="00E877C3"/>
    <w:rsid w:val="00E87A0D"/>
    <w:rsid w:val="00E87A8F"/>
    <w:rsid w:val="00E9044E"/>
    <w:rsid w:val="00E90CDD"/>
    <w:rsid w:val="00E90E09"/>
    <w:rsid w:val="00E9151B"/>
    <w:rsid w:val="00E91861"/>
    <w:rsid w:val="00E91987"/>
    <w:rsid w:val="00E919E4"/>
    <w:rsid w:val="00E91ABA"/>
    <w:rsid w:val="00E923BB"/>
    <w:rsid w:val="00E92A28"/>
    <w:rsid w:val="00E92A81"/>
    <w:rsid w:val="00E92AB8"/>
    <w:rsid w:val="00E92D0C"/>
    <w:rsid w:val="00E9315B"/>
    <w:rsid w:val="00E933AA"/>
    <w:rsid w:val="00E93518"/>
    <w:rsid w:val="00E93A8D"/>
    <w:rsid w:val="00E93BEF"/>
    <w:rsid w:val="00E93FAB"/>
    <w:rsid w:val="00E94415"/>
    <w:rsid w:val="00E94429"/>
    <w:rsid w:val="00E94443"/>
    <w:rsid w:val="00E94744"/>
    <w:rsid w:val="00E94AFE"/>
    <w:rsid w:val="00E94B4E"/>
    <w:rsid w:val="00E94C7B"/>
    <w:rsid w:val="00E94C94"/>
    <w:rsid w:val="00E94CD2"/>
    <w:rsid w:val="00E94F85"/>
    <w:rsid w:val="00E95116"/>
    <w:rsid w:val="00E95448"/>
    <w:rsid w:val="00E9568B"/>
    <w:rsid w:val="00E95DD8"/>
    <w:rsid w:val="00E95DF8"/>
    <w:rsid w:val="00E95EB5"/>
    <w:rsid w:val="00E9629E"/>
    <w:rsid w:val="00E9643A"/>
    <w:rsid w:val="00E96448"/>
    <w:rsid w:val="00E9683C"/>
    <w:rsid w:val="00E96BB4"/>
    <w:rsid w:val="00E96C69"/>
    <w:rsid w:val="00E96F46"/>
    <w:rsid w:val="00E96F83"/>
    <w:rsid w:val="00E97135"/>
    <w:rsid w:val="00E97143"/>
    <w:rsid w:val="00E97209"/>
    <w:rsid w:val="00E973E3"/>
    <w:rsid w:val="00E97481"/>
    <w:rsid w:val="00E97585"/>
    <w:rsid w:val="00E9764B"/>
    <w:rsid w:val="00E977CA"/>
    <w:rsid w:val="00E97F57"/>
    <w:rsid w:val="00EA0205"/>
    <w:rsid w:val="00EA026A"/>
    <w:rsid w:val="00EA035A"/>
    <w:rsid w:val="00EA05A7"/>
    <w:rsid w:val="00EA07AB"/>
    <w:rsid w:val="00EA08D7"/>
    <w:rsid w:val="00EA09D5"/>
    <w:rsid w:val="00EA0CDF"/>
    <w:rsid w:val="00EA0E26"/>
    <w:rsid w:val="00EA0E81"/>
    <w:rsid w:val="00EA161B"/>
    <w:rsid w:val="00EA172A"/>
    <w:rsid w:val="00EA1831"/>
    <w:rsid w:val="00EA1911"/>
    <w:rsid w:val="00EA1A3B"/>
    <w:rsid w:val="00EA1B22"/>
    <w:rsid w:val="00EA1DA7"/>
    <w:rsid w:val="00EA1E6C"/>
    <w:rsid w:val="00EA2026"/>
    <w:rsid w:val="00EA20A0"/>
    <w:rsid w:val="00EA2737"/>
    <w:rsid w:val="00EA2C67"/>
    <w:rsid w:val="00EA2CAB"/>
    <w:rsid w:val="00EA2FC2"/>
    <w:rsid w:val="00EA31CA"/>
    <w:rsid w:val="00EA3267"/>
    <w:rsid w:val="00EA3449"/>
    <w:rsid w:val="00EA357D"/>
    <w:rsid w:val="00EA3596"/>
    <w:rsid w:val="00EA3680"/>
    <w:rsid w:val="00EA3C08"/>
    <w:rsid w:val="00EA3DC2"/>
    <w:rsid w:val="00EA3F86"/>
    <w:rsid w:val="00EA44BD"/>
    <w:rsid w:val="00EA458C"/>
    <w:rsid w:val="00EA4B9C"/>
    <w:rsid w:val="00EA4E50"/>
    <w:rsid w:val="00EA505B"/>
    <w:rsid w:val="00EA5184"/>
    <w:rsid w:val="00EA563C"/>
    <w:rsid w:val="00EA5A1E"/>
    <w:rsid w:val="00EA5BE3"/>
    <w:rsid w:val="00EA5F94"/>
    <w:rsid w:val="00EA692C"/>
    <w:rsid w:val="00EA6C1D"/>
    <w:rsid w:val="00EA6C5F"/>
    <w:rsid w:val="00EA6F87"/>
    <w:rsid w:val="00EA70FE"/>
    <w:rsid w:val="00EA74B9"/>
    <w:rsid w:val="00EA7A92"/>
    <w:rsid w:val="00EB0595"/>
    <w:rsid w:val="00EB0814"/>
    <w:rsid w:val="00EB0F8B"/>
    <w:rsid w:val="00EB10D2"/>
    <w:rsid w:val="00EB11EA"/>
    <w:rsid w:val="00EB13EF"/>
    <w:rsid w:val="00EB1BC4"/>
    <w:rsid w:val="00EB2499"/>
    <w:rsid w:val="00EB2BCB"/>
    <w:rsid w:val="00EB2C29"/>
    <w:rsid w:val="00EB2F2F"/>
    <w:rsid w:val="00EB3AA4"/>
    <w:rsid w:val="00EB3BBD"/>
    <w:rsid w:val="00EB3CD1"/>
    <w:rsid w:val="00EB3D6F"/>
    <w:rsid w:val="00EB4425"/>
    <w:rsid w:val="00EB4ACE"/>
    <w:rsid w:val="00EB4B39"/>
    <w:rsid w:val="00EB4DC9"/>
    <w:rsid w:val="00EB573F"/>
    <w:rsid w:val="00EB57DD"/>
    <w:rsid w:val="00EB62D0"/>
    <w:rsid w:val="00EB65DA"/>
    <w:rsid w:val="00EB6962"/>
    <w:rsid w:val="00EB6BE7"/>
    <w:rsid w:val="00EB7200"/>
    <w:rsid w:val="00EB739F"/>
    <w:rsid w:val="00EB75DF"/>
    <w:rsid w:val="00EB7817"/>
    <w:rsid w:val="00EB7F54"/>
    <w:rsid w:val="00EC0D6D"/>
    <w:rsid w:val="00EC0E75"/>
    <w:rsid w:val="00EC10DF"/>
    <w:rsid w:val="00EC11DD"/>
    <w:rsid w:val="00EC16D3"/>
    <w:rsid w:val="00EC17EC"/>
    <w:rsid w:val="00EC1861"/>
    <w:rsid w:val="00EC1970"/>
    <w:rsid w:val="00EC1F33"/>
    <w:rsid w:val="00EC2078"/>
    <w:rsid w:val="00EC2506"/>
    <w:rsid w:val="00EC254C"/>
    <w:rsid w:val="00EC25D2"/>
    <w:rsid w:val="00EC262F"/>
    <w:rsid w:val="00EC2B13"/>
    <w:rsid w:val="00EC2C14"/>
    <w:rsid w:val="00EC2E50"/>
    <w:rsid w:val="00EC3222"/>
    <w:rsid w:val="00EC3334"/>
    <w:rsid w:val="00EC3347"/>
    <w:rsid w:val="00EC37B4"/>
    <w:rsid w:val="00EC3C80"/>
    <w:rsid w:val="00EC3D24"/>
    <w:rsid w:val="00EC3D4F"/>
    <w:rsid w:val="00EC3E02"/>
    <w:rsid w:val="00EC45C1"/>
    <w:rsid w:val="00EC4854"/>
    <w:rsid w:val="00EC48DC"/>
    <w:rsid w:val="00EC4AAB"/>
    <w:rsid w:val="00EC4AB3"/>
    <w:rsid w:val="00EC518C"/>
    <w:rsid w:val="00EC52A9"/>
    <w:rsid w:val="00EC54FF"/>
    <w:rsid w:val="00EC552F"/>
    <w:rsid w:val="00EC575D"/>
    <w:rsid w:val="00EC58A7"/>
    <w:rsid w:val="00EC5B2E"/>
    <w:rsid w:val="00EC5FCA"/>
    <w:rsid w:val="00EC638C"/>
    <w:rsid w:val="00EC6566"/>
    <w:rsid w:val="00EC681F"/>
    <w:rsid w:val="00EC691A"/>
    <w:rsid w:val="00EC6A40"/>
    <w:rsid w:val="00EC6B88"/>
    <w:rsid w:val="00EC6C37"/>
    <w:rsid w:val="00EC7154"/>
    <w:rsid w:val="00EC733E"/>
    <w:rsid w:val="00EC73EF"/>
    <w:rsid w:val="00EC7439"/>
    <w:rsid w:val="00EC7956"/>
    <w:rsid w:val="00EC7B0A"/>
    <w:rsid w:val="00EC7B75"/>
    <w:rsid w:val="00EC7CF2"/>
    <w:rsid w:val="00EC7DC6"/>
    <w:rsid w:val="00ED0208"/>
    <w:rsid w:val="00ED03C5"/>
    <w:rsid w:val="00ED04FF"/>
    <w:rsid w:val="00ED0608"/>
    <w:rsid w:val="00ED0BC5"/>
    <w:rsid w:val="00ED0F5B"/>
    <w:rsid w:val="00ED1008"/>
    <w:rsid w:val="00ED1569"/>
    <w:rsid w:val="00ED15D0"/>
    <w:rsid w:val="00ED1715"/>
    <w:rsid w:val="00ED1F8C"/>
    <w:rsid w:val="00ED1FEC"/>
    <w:rsid w:val="00ED2057"/>
    <w:rsid w:val="00ED20F0"/>
    <w:rsid w:val="00ED227B"/>
    <w:rsid w:val="00ED2948"/>
    <w:rsid w:val="00ED295C"/>
    <w:rsid w:val="00ED2BCB"/>
    <w:rsid w:val="00ED2DDF"/>
    <w:rsid w:val="00ED2DFC"/>
    <w:rsid w:val="00ED2F29"/>
    <w:rsid w:val="00ED2F9D"/>
    <w:rsid w:val="00ED3046"/>
    <w:rsid w:val="00ED310E"/>
    <w:rsid w:val="00ED3183"/>
    <w:rsid w:val="00ED35FF"/>
    <w:rsid w:val="00ED366D"/>
    <w:rsid w:val="00ED383B"/>
    <w:rsid w:val="00ED392A"/>
    <w:rsid w:val="00ED3A0D"/>
    <w:rsid w:val="00ED3BB5"/>
    <w:rsid w:val="00ED3BFC"/>
    <w:rsid w:val="00ED3F13"/>
    <w:rsid w:val="00ED3F56"/>
    <w:rsid w:val="00ED3FB3"/>
    <w:rsid w:val="00ED43B5"/>
    <w:rsid w:val="00ED43D2"/>
    <w:rsid w:val="00ED45D7"/>
    <w:rsid w:val="00ED46E8"/>
    <w:rsid w:val="00ED49DE"/>
    <w:rsid w:val="00ED4CE2"/>
    <w:rsid w:val="00ED506F"/>
    <w:rsid w:val="00ED5072"/>
    <w:rsid w:val="00ED51C2"/>
    <w:rsid w:val="00ED51E7"/>
    <w:rsid w:val="00ED523E"/>
    <w:rsid w:val="00ED54F1"/>
    <w:rsid w:val="00ED5D96"/>
    <w:rsid w:val="00ED6050"/>
    <w:rsid w:val="00ED654A"/>
    <w:rsid w:val="00ED690C"/>
    <w:rsid w:val="00ED6A5E"/>
    <w:rsid w:val="00ED6B72"/>
    <w:rsid w:val="00ED6CAF"/>
    <w:rsid w:val="00ED6DC0"/>
    <w:rsid w:val="00ED72A8"/>
    <w:rsid w:val="00ED73C6"/>
    <w:rsid w:val="00ED73D2"/>
    <w:rsid w:val="00ED754C"/>
    <w:rsid w:val="00ED7554"/>
    <w:rsid w:val="00ED75C4"/>
    <w:rsid w:val="00ED7D4E"/>
    <w:rsid w:val="00ED7F99"/>
    <w:rsid w:val="00EE0103"/>
    <w:rsid w:val="00EE0268"/>
    <w:rsid w:val="00EE047E"/>
    <w:rsid w:val="00EE0BB2"/>
    <w:rsid w:val="00EE0C7B"/>
    <w:rsid w:val="00EE0EEA"/>
    <w:rsid w:val="00EE0F18"/>
    <w:rsid w:val="00EE133A"/>
    <w:rsid w:val="00EE138F"/>
    <w:rsid w:val="00EE1466"/>
    <w:rsid w:val="00EE151B"/>
    <w:rsid w:val="00EE1549"/>
    <w:rsid w:val="00EE185B"/>
    <w:rsid w:val="00EE1A73"/>
    <w:rsid w:val="00EE1F6B"/>
    <w:rsid w:val="00EE20F8"/>
    <w:rsid w:val="00EE2160"/>
    <w:rsid w:val="00EE228B"/>
    <w:rsid w:val="00EE2544"/>
    <w:rsid w:val="00EE272F"/>
    <w:rsid w:val="00EE280B"/>
    <w:rsid w:val="00EE284D"/>
    <w:rsid w:val="00EE2963"/>
    <w:rsid w:val="00EE29E6"/>
    <w:rsid w:val="00EE2D17"/>
    <w:rsid w:val="00EE2D58"/>
    <w:rsid w:val="00EE342C"/>
    <w:rsid w:val="00EE36A5"/>
    <w:rsid w:val="00EE3899"/>
    <w:rsid w:val="00EE3A41"/>
    <w:rsid w:val="00EE3EB1"/>
    <w:rsid w:val="00EE3F28"/>
    <w:rsid w:val="00EE3F72"/>
    <w:rsid w:val="00EE3F88"/>
    <w:rsid w:val="00EE4128"/>
    <w:rsid w:val="00EE4168"/>
    <w:rsid w:val="00EE440D"/>
    <w:rsid w:val="00EE452C"/>
    <w:rsid w:val="00EE480B"/>
    <w:rsid w:val="00EE481A"/>
    <w:rsid w:val="00EE4845"/>
    <w:rsid w:val="00EE4898"/>
    <w:rsid w:val="00EE50F5"/>
    <w:rsid w:val="00EE5113"/>
    <w:rsid w:val="00EE5371"/>
    <w:rsid w:val="00EE57E7"/>
    <w:rsid w:val="00EE5AB3"/>
    <w:rsid w:val="00EE5AFE"/>
    <w:rsid w:val="00EE6052"/>
    <w:rsid w:val="00EE6057"/>
    <w:rsid w:val="00EE60D5"/>
    <w:rsid w:val="00EE6254"/>
    <w:rsid w:val="00EE65DE"/>
    <w:rsid w:val="00EE775D"/>
    <w:rsid w:val="00EE7919"/>
    <w:rsid w:val="00EE7A40"/>
    <w:rsid w:val="00EE7C08"/>
    <w:rsid w:val="00EF02FA"/>
    <w:rsid w:val="00EF030E"/>
    <w:rsid w:val="00EF0392"/>
    <w:rsid w:val="00EF050D"/>
    <w:rsid w:val="00EF0905"/>
    <w:rsid w:val="00EF09D8"/>
    <w:rsid w:val="00EF0A36"/>
    <w:rsid w:val="00EF1003"/>
    <w:rsid w:val="00EF1165"/>
    <w:rsid w:val="00EF15FC"/>
    <w:rsid w:val="00EF1804"/>
    <w:rsid w:val="00EF1A38"/>
    <w:rsid w:val="00EF1A94"/>
    <w:rsid w:val="00EF1B57"/>
    <w:rsid w:val="00EF1B7E"/>
    <w:rsid w:val="00EF1C62"/>
    <w:rsid w:val="00EF1F0A"/>
    <w:rsid w:val="00EF20BF"/>
    <w:rsid w:val="00EF23AB"/>
    <w:rsid w:val="00EF25D3"/>
    <w:rsid w:val="00EF2BD5"/>
    <w:rsid w:val="00EF3535"/>
    <w:rsid w:val="00EF35AB"/>
    <w:rsid w:val="00EF36A6"/>
    <w:rsid w:val="00EF39BD"/>
    <w:rsid w:val="00EF3AE6"/>
    <w:rsid w:val="00EF3B4F"/>
    <w:rsid w:val="00EF3C5A"/>
    <w:rsid w:val="00EF4169"/>
    <w:rsid w:val="00EF4394"/>
    <w:rsid w:val="00EF4485"/>
    <w:rsid w:val="00EF4487"/>
    <w:rsid w:val="00EF4684"/>
    <w:rsid w:val="00EF4CF3"/>
    <w:rsid w:val="00EF4D85"/>
    <w:rsid w:val="00EF4F95"/>
    <w:rsid w:val="00EF515A"/>
    <w:rsid w:val="00EF51E0"/>
    <w:rsid w:val="00EF5286"/>
    <w:rsid w:val="00EF5427"/>
    <w:rsid w:val="00EF5457"/>
    <w:rsid w:val="00EF54D6"/>
    <w:rsid w:val="00EF55D2"/>
    <w:rsid w:val="00EF59DF"/>
    <w:rsid w:val="00EF620B"/>
    <w:rsid w:val="00EF65AA"/>
    <w:rsid w:val="00EF689A"/>
    <w:rsid w:val="00EF6A9C"/>
    <w:rsid w:val="00EF6DBB"/>
    <w:rsid w:val="00EF7280"/>
    <w:rsid w:val="00EF731A"/>
    <w:rsid w:val="00EF7961"/>
    <w:rsid w:val="00EF7D80"/>
    <w:rsid w:val="00F005C4"/>
    <w:rsid w:val="00F007B9"/>
    <w:rsid w:val="00F007F4"/>
    <w:rsid w:val="00F0096D"/>
    <w:rsid w:val="00F0099A"/>
    <w:rsid w:val="00F00B9A"/>
    <w:rsid w:val="00F00D36"/>
    <w:rsid w:val="00F00D3E"/>
    <w:rsid w:val="00F00DA4"/>
    <w:rsid w:val="00F00F72"/>
    <w:rsid w:val="00F01D66"/>
    <w:rsid w:val="00F01ED8"/>
    <w:rsid w:val="00F02822"/>
    <w:rsid w:val="00F02866"/>
    <w:rsid w:val="00F0292D"/>
    <w:rsid w:val="00F02D3D"/>
    <w:rsid w:val="00F02D44"/>
    <w:rsid w:val="00F02FBC"/>
    <w:rsid w:val="00F03587"/>
    <w:rsid w:val="00F0379C"/>
    <w:rsid w:val="00F038A3"/>
    <w:rsid w:val="00F038D0"/>
    <w:rsid w:val="00F03B4E"/>
    <w:rsid w:val="00F03C93"/>
    <w:rsid w:val="00F0421E"/>
    <w:rsid w:val="00F04655"/>
    <w:rsid w:val="00F0470E"/>
    <w:rsid w:val="00F04C34"/>
    <w:rsid w:val="00F04FE1"/>
    <w:rsid w:val="00F05224"/>
    <w:rsid w:val="00F05638"/>
    <w:rsid w:val="00F05647"/>
    <w:rsid w:val="00F058BF"/>
    <w:rsid w:val="00F05A77"/>
    <w:rsid w:val="00F05BB5"/>
    <w:rsid w:val="00F05BCA"/>
    <w:rsid w:val="00F05D31"/>
    <w:rsid w:val="00F05EE9"/>
    <w:rsid w:val="00F0617F"/>
    <w:rsid w:val="00F063E4"/>
    <w:rsid w:val="00F066AD"/>
    <w:rsid w:val="00F0675C"/>
    <w:rsid w:val="00F067DE"/>
    <w:rsid w:val="00F06A5E"/>
    <w:rsid w:val="00F06F5C"/>
    <w:rsid w:val="00F070D9"/>
    <w:rsid w:val="00F075BB"/>
    <w:rsid w:val="00F07A11"/>
    <w:rsid w:val="00F07A23"/>
    <w:rsid w:val="00F07BC8"/>
    <w:rsid w:val="00F07BCE"/>
    <w:rsid w:val="00F07C8A"/>
    <w:rsid w:val="00F07E7A"/>
    <w:rsid w:val="00F10116"/>
    <w:rsid w:val="00F10984"/>
    <w:rsid w:val="00F10AE8"/>
    <w:rsid w:val="00F10B6C"/>
    <w:rsid w:val="00F10CFE"/>
    <w:rsid w:val="00F10D83"/>
    <w:rsid w:val="00F10FFE"/>
    <w:rsid w:val="00F113A1"/>
    <w:rsid w:val="00F114D4"/>
    <w:rsid w:val="00F11577"/>
    <w:rsid w:val="00F116B4"/>
    <w:rsid w:val="00F11832"/>
    <w:rsid w:val="00F11844"/>
    <w:rsid w:val="00F1191B"/>
    <w:rsid w:val="00F11B2E"/>
    <w:rsid w:val="00F11B58"/>
    <w:rsid w:val="00F11B96"/>
    <w:rsid w:val="00F11F43"/>
    <w:rsid w:val="00F12025"/>
    <w:rsid w:val="00F1212F"/>
    <w:rsid w:val="00F1220D"/>
    <w:rsid w:val="00F12602"/>
    <w:rsid w:val="00F1260A"/>
    <w:rsid w:val="00F12882"/>
    <w:rsid w:val="00F12A0E"/>
    <w:rsid w:val="00F12D31"/>
    <w:rsid w:val="00F1342B"/>
    <w:rsid w:val="00F135BF"/>
    <w:rsid w:val="00F13620"/>
    <w:rsid w:val="00F13658"/>
    <w:rsid w:val="00F13809"/>
    <w:rsid w:val="00F14055"/>
    <w:rsid w:val="00F1409D"/>
    <w:rsid w:val="00F14B30"/>
    <w:rsid w:val="00F15008"/>
    <w:rsid w:val="00F1555A"/>
    <w:rsid w:val="00F156E3"/>
    <w:rsid w:val="00F1585F"/>
    <w:rsid w:val="00F15917"/>
    <w:rsid w:val="00F1598D"/>
    <w:rsid w:val="00F16718"/>
    <w:rsid w:val="00F16916"/>
    <w:rsid w:val="00F16996"/>
    <w:rsid w:val="00F169D1"/>
    <w:rsid w:val="00F16E1E"/>
    <w:rsid w:val="00F16F60"/>
    <w:rsid w:val="00F173E3"/>
    <w:rsid w:val="00F1754F"/>
    <w:rsid w:val="00F17773"/>
    <w:rsid w:val="00F17C6E"/>
    <w:rsid w:val="00F17D32"/>
    <w:rsid w:val="00F17F10"/>
    <w:rsid w:val="00F20116"/>
    <w:rsid w:val="00F202CA"/>
    <w:rsid w:val="00F20522"/>
    <w:rsid w:val="00F20640"/>
    <w:rsid w:val="00F2074E"/>
    <w:rsid w:val="00F209BF"/>
    <w:rsid w:val="00F20C3A"/>
    <w:rsid w:val="00F20C73"/>
    <w:rsid w:val="00F20C91"/>
    <w:rsid w:val="00F20F71"/>
    <w:rsid w:val="00F213C5"/>
    <w:rsid w:val="00F216DD"/>
    <w:rsid w:val="00F21926"/>
    <w:rsid w:val="00F21A77"/>
    <w:rsid w:val="00F21DB9"/>
    <w:rsid w:val="00F21DBC"/>
    <w:rsid w:val="00F22210"/>
    <w:rsid w:val="00F222ED"/>
    <w:rsid w:val="00F22453"/>
    <w:rsid w:val="00F22489"/>
    <w:rsid w:val="00F22707"/>
    <w:rsid w:val="00F22E8F"/>
    <w:rsid w:val="00F23270"/>
    <w:rsid w:val="00F23ABB"/>
    <w:rsid w:val="00F242A3"/>
    <w:rsid w:val="00F24301"/>
    <w:rsid w:val="00F244C9"/>
    <w:rsid w:val="00F24914"/>
    <w:rsid w:val="00F24987"/>
    <w:rsid w:val="00F249C0"/>
    <w:rsid w:val="00F24B35"/>
    <w:rsid w:val="00F24EBC"/>
    <w:rsid w:val="00F250F0"/>
    <w:rsid w:val="00F253BD"/>
    <w:rsid w:val="00F2552F"/>
    <w:rsid w:val="00F255FD"/>
    <w:rsid w:val="00F2573C"/>
    <w:rsid w:val="00F25A04"/>
    <w:rsid w:val="00F25C45"/>
    <w:rsid w:val="00F25C8E"/>
    <w:rsid w:val="00F25F9C"/>
    <w:rsid w:val="00F261C9"/>
    <w:rsid w:val="00F266D2"/>
    <w:rsid w:val="00F26BAA"/>
    <w:rsid w:val="00F26D3D"/>
    <w:rsid w:val="00F26DD3"/>
    <w:rsid w:val="00F270EB"/>
    <w:rsid w:val="00F27240"/>
    <w:rsid w:val="00F279A2"/>
    <w:rsid w:val="00F27E69"/>
    <w:rsid w:val="00F27E86"/>
    <w:rsid w:val="00F27E93"/>
    <w:rsid w:val="00F30228"/>
    <w:rsid w:val="00F3048E"/>
    <w:rsid w:val="00F30627"/>
    <w:rsid w:val="00F306FF"/>
    <w:rsid w:val="00F3087C"/>
    <w:rsid w:val="00F30A71"/>
    <w:rsid w:val="00F30DFF"/>
    <w:rsid w:val="00F30E8C"/>
    <w:rsid w:val="00F30FA9"/>
    <w:rsid w:val="00F316D7"/>
    <w:rsid w:val="00F318A0"/>
    <w:rsid w:val="00F319D3"/>
    <w:rsid w:val="00F31C27"/>
    <w:rsid w:val="00F3208D"/>
    <w:rsid w:val="00F3217B"/>
    <w:rsid w:val="00F321D3"/>
    <w:rsid w:val="00F32212"/>
    <w:rsid w:val="00F32791"/>
    <w:rsid w:val="00F3279D"/>
    <w:rsid w:val="00F32875"/>
    <w:rsid w:val="00F32879"/>
    <w:rsid w:val="00F32ECC"/>
    <w:rsid w:val="00F32FEC"/>
    <w:rsid w:val="00F33152"/>
    <w:rsid w:val="00F33428"/>
    <w:rsid w:val="00F335C1"/>
    <w:rsid w:val="00F335D8"/>
    <w:rsid w:val="00F337EA"/>
    <w:rsid w:val="00F33ACC"/>
    <w:rsid w:val="00F33DDE"/>
    <w:rsid w:val="00F33E50"/>
    <w:rsid w:val="00F340DC"/>
    <w:rsid w:val="00F34696"/>
    <w:rsid w:val="00F34E1A"/>
    <w:rsid w:val="00F34E9A"/>
    <w:rsid w:val="00F34ED6"/>
    <w:rsid w:val="00F35149"/>
    <w:rsid w:val="00F35382"/>
    <w:rsid w:val="00F355C3"/>
    <w:rsid w:val="00F356B3"/>
    <w:rsid w:val="00F35A37"/>
    <w:rsid w:val="00F35A5B"/>
    <w:rsid w:val="00F35B9F"/>
    <w:rsid w:val="00F35E1F"/>
    <w:rsid w:val="00F35F96"/>
    <w:rsid w:val="00F363DB"/>
    <w:rsid w:val="00F365B0"/>
    <w:rsid w:val="00F36777"/>
    <w:rsid w:val="00F367E6"/>
    <w:rsid w:val="00F36A18"/>
    <w:rsid w:val="00F36A91"/>
    <w:rsid w:val="00F36E42"/>
    <w:rsid w:val="00F37295"/>
    <w:rsid w:val="00F37446"/>
    <w:rsid w:val="00F374C5"/>
    <w:rsid w:val="00F3769A"/>
    <w:rsid w:val="00F376DA"/>
    <w:rsid w:val="00F37959"/>
    <w:rsid w:val="00F379E4"/>
    <w:rsid w:val="00F37B1A"/>
    <w:rsid w:val="00F37C01"/>
    <w:rsid w:val="00F37C06"/>
    <w:rsid w:val="00F37C1D"/>
    <w:rsid w:val="00F4069D"/>
    <w:rsid w:val="00F40963"/>
    <w:rsid w:val="00F40C2E"/>
    <w:rsid w:val="00F40CC7"/>
    <w:rsid w:val="00F40CE1"/>
    <w:rsid w:val="00F41063"/>
    <w:rsid w:val="00F41391"/>
    <w:rsid w:val="00F4155E"/>
    <w:rsid w:val="00F41752"/>
    <w:rsid w:val="00F417E7"/>
    <w:rsid w:val="00F418F4"/>
    <w:rsid w:val="00F41CA7"/>
    <w:rsid w:val="00F41E64"/>
    <w:rsid w:val="00F4223A"/>
    <w:rsid w:val="00F42B14"/>
    <w:rsid w:val="00F43258"/>
    <w:rsid w:val="00F43654"/>
    <w:rsid w:val="00F43965"/>
    <w:rsid w:val="00F439CA"/>
    <w:rsid w:val="00F43C38"/>
    <w:rsid w:val="00F43D2B"/>
    <w:rsid w:val="00F443DB"/>
    <w:rsid w:val="00F44533"/>
    <w:rsid w:val="00F44600"/>
    <w:rsid w:val="00F44769"/>
    <w:rsid w:val="00F44998"/>
    <w:rsid w:val="00F45079"/>
    <w:rsid w:val="00F45089"/>
    <w:rsid w:val="00F451A3"/>
    <w:rsid w:val="00F451A9"/>
    <w:rsid w:val="00F457AF"/>
    <w:rsid w:val="00F457D9"/>
    <w:rsid w:val="00F4580B"/>
    <w:rsid w:val="00F45903"/>
    <w:rsid w:val="00F460C4"/>
    <w:rsid w:val="00F46237"/>
    <w:rsid w:val="00F46452"/>
    <w:rsid w:val="00F469DA"/>
    <w:rsid w:val="00F46A4D"/>
    <w:rsid w:val="00F46BA4"/>
    <w:rsid w:val="00F46CF0"/>
    <w:rsid w:val="00F46F76"/>
    <w:rsid w:val="00F472EB"/>
    <w:rsid w:val="00F47390"/>
    <w:rsid w:val="00F477E6"/>
    <w:rsid w:val="00F47854"/>
    <w:rsid w:val="00F4790A"/>
    <w:rsid w:val="00F50339"/>
    <w:rsid w:val="00F50463"/>
    <w:rsid w:val="00F50467"/>
    <w:rsid w:val="00F506CB"/>
    <w:rsid w:val="00F50961"/>
    <w:rsid w:val="00F50E6A"/>
    <w:rsid w:val="00F50F3D"/>
    <w:rsid w:val="00F51473"/>
    <w:rsid w:val="00F51492"/>
    <w:rsid w:val="00F515F8"/>
    <w:rsid w:val="00F5197C"/>
    <w:rsid w:val="00F51D15"/>
    <w:rsid w:val="00F5256B"/>
    <w:rsid w:val="00F525ED"/>
    <w:rsid w:val="00F52E8E"/>
    <w:rsid w:val="00F53019"/>
    <w:rsid w:val="00F53261"/>
    <w:rsid w:val="00F532F1"/>
    <w:rsid w:val="00F53441"/>
    <w:rsid w:val="00F534BD"/>
    <w:rsid w:val="00F53500"/>
    <w:rsid w:val="00F535D6"/>
    <w:rsid w:val="00F536C6"/>
    <w:rsid w:val="00F53731"/>
    <w:rsid w:val="00F53A01"/>
    <w:rsid w:val="00F53D75"/>
    <w:rsid w:val="00F54229"/>
    <w:rsid w:val="00F54441"/>
    <w:rsid w:val="00F54589"/>
    <w:rsid w:val="00F54690"/>
    <w:rsid w:val="00F54845"/>
    <w:rsid w:val="00F54CE6"/>
    <w:rsid w:val="00F55115"/>
    <w:rsid w:val="00F551A0"/>
    <w:rsid w:val="00F5529C"/>
    <w:rsid w:val="00F5531D"/>
    <w:rsid w:val="00F55818"/>
    <w:rsid w:val="00F56439"/>
    <w:rsid w:val="00F564E2"/>
    <w:rsid w:val="00F569F8"/>
    <w:rsid w:val="00F56AA4"/>
    <w:rsid w:val="00F56B4D"/>
    <w:rsid w:val="00F56ED1"/>
    <w:rsid w:val="00F5714C"/>
    <w:rsid w:val="00F5728E"/>
    <w:rsid w:val="00F57D06"/>
    <w:rsid w:val="00F57F40"/>
    <w:rsid w:val="00F6053D"/>
    <w:rsid w:val="00F60590"/>
    <w:rsid w:val="00F605E4"/>
    <w:rsid w:val="00F60716"/>
    <w:rsid w:val="00F60920"/>
    <w:rsid w:val="00F60C24"/>
    <w:rsid w:val="00F60F5B"/>
    <w:rsid w:val="00F61628"/>
    <w:rsid w:val="00F61961"/>
    <w:rsid w:val="00F61BBC"/>
    <w:rsid w:val="00F61D3C"/>
    <w:rsid w:val="00F61D56"/>
    <w:rsid w:val="00F6202D"/>
    <w:rsid w:val="00F624DD"/>
    <w:rsid w:val="00F62666"/>
    <w:rsid w:val="00F628A4"/>
    <w:rsid w:val="00F62975"/>
    <w:rsid w:val="00F62A41"/>
    <w:rsid w:val="00F62ACE"/>
    <w:rsid w:val="00F6317A"/>
    <w:rsid w:val="00F633A7"/>
    <w:rsid w:val="00F6354C"/>
    <w:rsid w:val="00F6393E"/>
    <w:rsid w:val="00F639B1"/>
    <w:rsid w:val="00F63A72"/>
    <w:rsid w:val="00F63BE3"/>
    <w:rsid w:val="00F63C1A"/>
    <w:rsid w:val="00F63D98"/>
    <w:rsid w:val="00F640C9"/>
    <w:rsid w:val="00F64121"/>
    <w:rsid w:val="00F6454F"/>
    <w:rsid w:val="00F646F5"/>
    <w:rsid w:val="00F64815"/>
    <w:rsid w:val="00F64867"/>
    <w:rsid w:val="00F64E60"/>
    <w:rsid w:val="00F65103"/>
    <w:rsid w:val="00F651F4"/>
    <w:rsid w:val="00F6555D"/>
    <w:rsid w:val="00F65AEC"/>
    <w:rsid w:val="00F660B4"/>
    <w:rsid w:val="00F6641A"/>
    <w:rsid w:val="00F66448"/>
    <w:rsid w:val="00F66B7D"/>
    <w:rsid w:val="00F66C49"/>
    <w:rsid w:val="00F66D10"/>
    <w:rsid w:val="00F66D41"/>
    <w:rsid w:val="00F66EF1"/>
    <w:rsid w:val="00F66F1D"/>
    <w:rsid w:val="00F671F6"/>
    <w:rsid w:val="00F674A5"/>
    <w:rsid w:val="00F6797B"/>
    <w:rsid w:val="00F67A8E"/>
    <w:rsid w:val="00F67EDF"/>
    <w:rsid w:val="00F67EF3"/>
    <w:rsid w:val="00F67F63"/>
    <w:rsid w:val="00F67FA8"/>
    <w:rsid w:val="00F702AC"/>
    <w:rsid w:val="00F70308"/>
    <w:rsid w:val="00F705D6"/>
    <w:rsid w:val="00F70754"/>
    <w:rsid w:val="00F70AE1"/>
    <w:rsid w:val="00F70B1B"/>
    <w:rsid w:val="00F70E50"/>
    <w:rsid w:val="00F71375"/>
    <w:rsid w:val="00F7140D"/>
    <w:rsid w:val="00F7198F"/>
    <w:rsid w:val="00F71C3E"/>
    <w:rsid w:val="00F71CCE"/>
    <w:rsid w:val="00F71D3F"/>
    <w:rsid w:val="00F71EE3"/>
    <w:rsid w:val="00F7203F"/>
    <w:rsid w:val="00F72251"/>
    <w:rsid w:val="00F7230D"/>
    <w:rsid w:val="00F72353"/>
    <w:rsid w:val="00F723D7"/>
    <w:rsid w:val="00F724CD"/>
    <w:rsid w:val="00F72CDD"/>
    <w:rsid w:val="00F72DD7"/>
    <w:rsid w:val="00F731E3"/>
    <w:rsid w:val="00F73596"/>
    <w:rsid w:val="00F735FC"/>
    <w:rsid w:val="00F73613"/>
    <w:rsid w:val="00F739AB"/>
    <w:rsid w:val="00F7441D"/>
    <w:rsid w:val="00F74579"/>
    <w:rsid w:val="00F746A0"/>
    <w:rsid w:val="00F74720"/>
    <w:rsid w:val="00F74AF6"/>
    <w:rsid w:val="00F74B71"/>
    <w:rsid w:val="00F74D1B"/>
    <w:rsid w:val="00F74D6B"/>
    <w:rsid w:val="00F74DF1"/>
    <w:rsid w:val="00F74F0D"/>
    <w:rsid w:val="00F7508E"/>
    <w:rsid w:val="00F75206"/>
    <w:rsid w:val="00F757CD"/>
    <w:rsid w:val="00F75BFC"/>
    <w:rsid w:val="00F75C76"/>
    <w:rsid w:val="00F75CC4"/>
    <w:rsid w:val="00F75EAD"/>
    <w:rsid w:val="00F760E8"/>
    <w:rsid w:val="00F76513"/>
    <w:rsid w:val="00F76629"/>
    <w:rsid w:val="00F7666D"/>
    <w:rsid w:val="00F76C9F"/>
    <w:rsid w:val="00F76D2F"/>
    <w:rsid w:val="00F76D68"/>
    <w:rsid w:val="00F76E3A"/>
    <w:rsid w:val="00F77020"/>
    <w:rsid w:val="00F7736F"/>
    <w:rsid w:val="00F77792"/>
    <w:rsid w:val="00F77CA9"/>
    <w:rsid w:val="00F77DD1"/>
    <w:rsid w:val="00F800F7"/>
    <w:rsid w:val="00F80233"/>
    <w:rsid w:val="00F80609"/>
    <w:rsid w:val="00F80B2D"/>
    <w:rsid w:val="00F80F94"/>
    <w:rsid w:val="00F811E6"/>
    <w:rsid w:val="00F81E73"/>
    <w:rsid w:val="00F820BF"/>
    <w:rsid w:val="00F8276C"/>
    <w:rsid w:val="00F82B68"/>
    <w:rsid w:val="00F82C3B"/>
    <w:rsid w:val="00F8355D"/>
    <w:rsid w:val="00F835A6"/>
    <w:rsid w:val="00F835BE"/>
    <w:rsid w:val="00F83794"/>
    <w:rsid w:val="00F83D5B"/>
    <w:rsid w:val="00F83D8C"/>
    <w:rsid w:val="00F83F69"/>
    <w:rsid w:val="00F84086"/>
    <w:rsid w:val="00F84128"/>
    <w:rsid w:val="00F843F8"/>
    <w:rsid w:val="00F846D9"/>
    <w:rsid w:val="00F8471F"/>
    <w:rsid w:val="00F848DC"/>
    <w:rsid w:val="00F850BE"/>
    <w:rsid w:val="00F851C8"/>
    <w:rsid w:val="00F852E5"/>
    <w:rsid w:val="00F85593"/>
    <w:rsid w:val="00F8566E"/>
    <w:rsid w:val="00F8588C"/>
    <w:rsid w:val="00F85896"/>
    <w:rsid w:val="00F8591A"/>
    <w:rsid w:val="00F861DD"/>
    <w:rsid w:val="00F86B19"/>
    <w:rsid w:val="00F86B40"/>
    <w:rsid w:val="00F86E3C"/>
    <w:rsid w:val="00F86FEA"/>
    <w:rsid w:val="00F87118"/>
    <w:rsid w:val="00F8714C"/>
    <w:rsid w:val="00F87951"/>
    <w:rsid w:val="00F87A0C"/>
    <w:rsid w:val="00F87D00"/>
    <w:rsid w:val="00F87EC2"/>
    <w:rsid w:val="00F903CC"/>
    <w:rsid w:val="00F90541"/>
    <w:rsid w:val="00F90775"/>
    <w:rsid w:val="00F907EE"/>
    <w:rsid w:val="00F90C8F"/>
    <w:rsid w:val="00F90E20"/>
    <w:rsid w:val="00F90E38"/>
    <w:rsid w:val="00F90E8D"/>
    <w:rsid w:val="00F91168"/>
    <w:rsid w:val="00F91190"/>
    <w:rsid w:val="00F91317"/>
    <w:rsid w:val="00F913CC"/>
    <w:rsid w:val="00F913DB"/>
    <w:rsid w:val="00F9141E"/>
    <w:rsid w:val="00F91590"/>
    <w:rsid w:val="00F919DD"/>
    <w:rsid w:val="00F91BFD"/>
    <w:rsid w:val="00F921E2"/>
    <w:rsid w:val="00F92363"/>
    <w:rsid w:val="00F92756"/>
    <w:rsid w:val="00F92B98"/>
    <w:rsid w:val="00F92D9E"/>
    <w:rsid w:val="00F92ED1"/>
    <w:rsid w:val="00F930C6"/>
    <w:rsid w:val="00F931AC"/>
    <w:rsid w:val="00F933BF"/>
    <w:rsid w:val="00F936BA"/>
    <w:rsid w:val="00F93CDF"/>
    <w:rsid w:val="00F93CE7"/>
    <w:rsid w:val="00F940F7"/>
    <w:rsid w:val="00F944AC"/>
    <w:rsid w:val="00F9462D"/>
    <w:rsid w:val="00F9463A"/>
    <w:rsid w:val="00F9470F"/>
    <w:rsid w:val="00F947A7"/>
    <w:rsid w:val="00F94807"/>
    <w:rsid w:val="00F94991"/>
    <w:rsid w:val="00F949C9"/>
    <w:rsid w:val="00F94D94"/>
    <w:rsid w:val="00F9507B"/>
    <w:rsid w:val="00F9578A"/>
    <w:rsid w:val="00F95836"/>
    <w:rsid w:val="00F95A0A"/>
    <w:rsid w:val="00F95B16"/>
    <w:rsid w:val="00F96240"/>
    <w:rsid w:val="00F965F7"/>
    <w:rsid w:val="00F96799"/>
    <w:rsid w:val="00F967BA"/>
    <w:rsid w:val="00F9694D"/>
    <w:rsid w:val="00F96AA8"/>
    <w:rsid w:val="00F96D06"/>
    <w:rsid w:val="00F97145"/>
    <w:rsid w:val="00F971C4"/>
    <w:rsid w:val="00F97486"/>
    <w:rsid w:val="00F97632"/>
    <w:rsid w:val="00F97713"/>
    <w:rsid w:val="00F9777F"/>
    <w:rsid w:val="00F9782C"/>
    <w:rsid w:val="00F97DFF"/>
    <w:rsid w:val="00F97E7E"/>
    <w:rsid w:val="00F97EE0"/>
    <w:rsid w:val="00F97F3D"/>
    <w:rsid w:val="00FA00C1"/>
    <w:rsid w:val="00FA02FA"/>
    <w:rsid w:val="00FA0519"/>
    <w:rsid w:val="00FA0C33"/>
    <w:rsid w:val="00FA0E8C"/>
    <w:rsid w:val="00FA1468"/>
    <w:rsid w:val="00FA148B"/>
    <w:rsid w:val="00FA15AD"/>
    <w:rsid w:val="00FA17CB"/>
    <w:rsid w:val="00FA188C"/>
    <w:rsid w:val="00FA1A95"/>
    <w:rsid w:val="00FA1DDC"/>
    <w:rsid w:val="00FA1F1F"/>
    <w:rsid w:val="00FA1F7D"/>
    <w:rsid w:val="00FA2370"/>
    <w:rsid w:val="00FA23FB"/>
    <w:rsid w:val="00FA251E"/>
    <w:rsid w:val="00FA2967"/>
    <w:rsid w:val="00FA2BDE"/>
    <w:rsid w:val="00FA2CE1"/>
    <w:rsid w:val="00FA2DFB"/>
    <w:rsid w:val="00FA2E0A"/>
    <w:rsid w:val="00FA3039"/>
    <w:rsid w:val="00FA30B7"/>
    <w:rsid w:val="00FA30F7"/>
    <w:rsid w:val="00FA3205"/>
    <w:rsid w:val="00FA3571"/>
    <w:rsid w:val="00FA3C65"/>
    <w:rsid w:val="00FA4403"/>
    <w:rsid w:val="00FA44FD"/>
    <w:rsid w:val="00FA46DF"/>
    <w:rsid w:val="00FA46E8"/>
    <w:rsid w:val="00FA477E"/>
    <w:rsid w:val="00FA485F"/>
    <w:rsid w:val="00FA4897"/>
    <w:rsid w:val="00FA4EA9"/>
    <w:rsid w:val="00FA4F88"/>
    <w:rsid w:val="00FA51FA"/>
    <w:rsid w:val="00FA51FE"/>
    <w:rsid w:val="00FA5445"/>
    <w:rsid w:val="00FA5B44"/>
    <w:rsid w:val="00FA5C31"/>
    <w:rsid w:val="00FA5C88"/>
    <w:rsid w:val="00FA608A"/>
    <w:rsid w:val="00FA62D2"/>
    <w:rsid w:val="00FA62F8"/>
    <w:rsid w:val="00FA639E"/>
    <w:rsid w:val="00FA6705"/>
    <w:rsid w:val="00FA69F8"/>
    <w:rsid w:val="00FA6A21"/>
    <w:rsid w:val="00FA6C76"/>
    <w:rsid w:val="00FA6E82"/>
    <w:rsid w:val="00FA6EC2"/>
    <w:rsid w:val="00FA6FA0"/>
    <w:rsid w:val="00FA7282"/>
    <w:rsid w:val="00FA7425"/>
    <w:rsid w:val="00FA742D"/>
    <w:rsid w:val="00FA7717"/>
    <w:rsid w:val="00FA78B1"/>
    <w:rsid w:val="00FA79BC"/>
    <w:rsid w:val="00FA7ECC"/>
    <w:rsid w:val="00FA7F97"/>
    <w:rsid w:val="00FB01AB"/>
    <w:rsid w:val="00FB03B0"/>
    <w:rsid w:val="00FB1411"/>
    <w:rsid w:val="00FB1476"/>
    <w:rsid w:val="00FB166A"/>
    <w:rsid w:val="00FB16A9"/>
    <w:rsid w:val="00FB177C"/>
    <w:rsid w:val="00FB1918"/>
    <w:rsid w:val="00FB1935"/>
    <w:rsid w:val="00FB1DE2"/>
    <w:rsid w:val="00FB1F60"/>
    <w:rsid w:val="00FB2680"/>
    <w:rsid w:val="00FB290B"/>
    <w:rsid w:val="00FB2AB6"/>
    <w:rsid w:val="00FB2AFB"/>
    <w:rsid w:val="00FB2AFD"/>
    <w:rsid w:val="00FB2DE8"/>
    <w:rsid w:val="00FB2E8C"/>
    <w:rsid w:val="00FB3175"/>
    <w:rsid w:val="00FB33E8"/>
    <w:rsid w:val="00FB3503"/>
    <w:rsid w:val="00FB3525"/>
    <w:rsid w:val="00FB363A"/>
    <w:rsid w:val="00FB3692"/>
    <w:rsid w:val="00FB3893"/>
    <w:rsid w:val="00FB3DF0"/>
    <w:rsid w:val="00FB40AF"/>
    <w:rsid w:val="00FB47BB"/>
    <w:rsid w:val="00FB5436"/>
    <w:rsid w:val="00FB557C"/>
    <w:rsid w:val="00FB55B9"/>
    <w:rsid w:val="00FB585C"/>
    <w:rsid w:val="00FB5A2E"/>
    <w:rsid w:val="00FB5AC9"/>
    <w:rsid w:val="00FB5C7E"/>
    <w:rsid w:val="00FB5DA2"/>
    <w:rsid w:val="00FB5E71"/>
    <w:rsid w:val="00FB5FF4"/>
    <w:rsid w:val="00FB661E"/>
    <w:rsid w:val="00FB6917"/>
    <w:rsid w:val="00FB69E5"/>
    <w:rsid w:val="00FB6A8C"/>
    <w:rsid w:val="00FB6B1F"/>
    <w:rsid w:val="00FB6C46"/>
    <w:rsid w:val="00FB6E02"/>
    <w:rsid w:val="00FB6E15"/>
    <w:rsid w:val="00FB71F5"/>
    <w:rsid w:val="00FB77D9"/>
    <w:rsid w:val="00FB7E30"/>
    <w:rsid w:val="00FB7F0B"/>
    <w:rsid w:val="00FC014C"/>
    <w:rsid w:val="00FC0241"/>
    <w:rsid w:val="00FC040A"/>
    <w:rsid w:val="00FC043C"/>
    <w:rsid w:val="00FC06DC"/>
    <w:rsid w:val="00FC0DF6"/>
    <w:rsid w:val="00FC10E1"/>
    <w:rsid w:val="00FC13C5"/>
    <w:rsid w:val="00FC1570"/>
    <w:rsid w:val="00FC15CE"/>
    <w:rsid w:val="00FC1C42"/>
    <w:rsid w:val="00FC1D90"/>
    <w:rsid w:val="00FC228A"/>
    <w:rsid w:val="00FC261E"/>
    <w:rsid w:val="00FC2646"/>
    <w:rsid w:val="00FC29E0"/>
    <w:rsid w:val="00FC2B76"/>
    <w:rsid w:val="00FC30EA"/>
    <w:rsid w:val="00FC3208"/>
    <w:rsid w:val="00FC3245"/>
    <w:rsid w:val="00FC34B4"/>
    <w:rsid w:val="00FC3730"/>
    <w:rsid w:val="00FC3732"/>
    <w:rsid w:val="00FC3B47"/>
    <w:rsid w:val="00FC3D6E"/>
    <w:rsid w:val="00FC40F7"/>
    <w:rsid w:val="00FC410B"/>
    <w:rsid w:val="00FC411F"/>
    <w:rsid w:val="00FC412D"/>
    <w:rsid w:val="00FC45FA"/>
    <w:rsid w:val="00FC4655"/>
    <w:rsid w:val="00FC47C8"/>
    <w:rsid w:val="00FC528C"/>
    <w:rsid w:val="00FC5B08"/>
    <w:rsid w:val="00FC5C73"/>
    <w:rsid w:val="00FC5D4E"/>
    <w:rsid w:val="00FC5EBA"/>
    <w:rsid w:val="00FC617D"/>
    <w:rsid w:val="00FC6511"/>
    <w:rsid w:val="00FC655C"/>
    <w:rsid w:val="00FC67BD"/>
    <w:rsid w:val="00FC6993"/>
    <w:rsid w:val="00FC6B8A"/>
    <w:rsid w:val="00FC6B99"/>
    <w:rsid w:val="00FC70F1"/>
    <w:rsid w:val="00FC7860"/>
    <w:rsid w:val="00FC791E"/>
    <w:rsid w:val="00FC7C8C"/>
    <w:rsid w:val="00FD0196"/>
    <w:rsid w:val="00FD0292"/>
    <w:rsid w:val="00FD04B8"/>
    <w:rsid w:val="00FD08F8"/>
    <w:rsid w:val="00FD0AE6"/>
    <w:rsid w:val="00FD0B81"/>
    <w:rsid w:val="00FD1035"/>
    <w:rsid w:val="00FD12E5"/>
    <w:rsid w:val="00FD18BE"/>
    <w:rsid w:val="00FD1AE9"/>
    <w:rsid w:val="00FD1C38"/>
    <w:rsid w:val="00FD1E9F"/>
    <w:rsid w:val="00FD210D"/>
    <w:rsid w:val="00FD223F"/>
    <w:rsid w:val="00FD241D"/>
    <w:rsid w:val="00FD26BE"/>
    <w:rsid w:val="00FD2750"/>
    <w:rsid w:val="00FD27C6"/>
    <w:rsid w:val="00FD2B4F"/>
    <w:rsid w:val="00FD2DFB"/>
    <w:rsid w:val="00FD2E10"/>
    <w:rsid w:val="00FD3101"/>
    <w:rsid w:val="00FD3224"/>
    <w:rsid w:val="00FD377C"/>
    <w:rsid w:val="00FD3810"/>
    <w:rsid w:val="00FD3818"/>
    <w:rsid w:val="00FD385C"/>
    <w:rsid w:val="00FD3A9A"/>
    <w:rsid w:val="00FD3B9A"/>
    <w:rsid w:val="00FD3ED8"/>
    <w:rsid w:val="00FD3FD2"/>
    <w:rsid w:val="00FD4004"/>
    <w:rsid w:val="00FD43C0"/>
    <w:rsid w:val="00FD4839"/>
    <w:rsid w:val="00FD4A0B"/>
    <w:rsid w:val="00FD4D14"/>
    <w:rsid w:val="00FD51C6"/>
    <w:rsid w:val="00FD5295"/>
    <w:rsid w:val="00FD565F"/>
    <w:rsid w:val="00FD56C1"/>
    <w:rsid w:val="00FD5A35"/>
    <w:rsid w:val="00FD5BBC"/>
    <w:rsid w:val="00FD6222"/>
    <w:rsid w:val="00FD67E3"/>
    <w:rsid w:val="00FD6856"/>
    <w:rsid w:val="00FD68FE"/>
    <w:rsid w:val="00FD6D0F"/>
    <w:rsid w:val="00FD6FCD"/>
    <w:rsid w:val="00FD717E"/>
    <w:rsid w:val="00FD765B"/>
    <w:rsid w:val="00FD76DB"/>
    <w:rsid w:val="00FD7899"/>
    <w:rsid w:val="00FD7A98"/>
    <w:rsid w:val="00FD7AD7"/>
    <w:rsid w:val="00FD7AF3"/>
    <w:rsid w:val="00FD7C36"/>
    <w:rsid w:val="00FD7E84"/>
    <w:rsid w:val="00FE01F0"/>
    <w:rsid w:val="00FE0229"/>
    <w:rsid w:val="00FE03F9"/>
    <w:rsid w:val="00FE0819"/>
    <w:rsid w:val="00FE0923"/>
    <w:rsid w:val="00FE0C8F"/>
    <w:rsid w:val="00FE106F"/>
    <w:rsid w:val="00FE11C8"/>
    <w:rsid w:val="00FE12E3"/>
    <w:rsid w:val="00FE152A"/>
    <w:rsid w:val="00FE1708"/>
    <w:rsid w:val="00FE1753"/>
    <w:rsid w:val="00FE194F"/>
    <w:rsid w:val="00FE1A94"/>
    <w:rsid w:val="00FE1ABD"/>
    <w:rsid w:val="00FE1ADF"/>
    <w:rsid w:val="00FE1C70"/>
    <w:rsid w:val="00FE1E28"/>
    <w:rsid w:val="00FE1F8C"/>
    <w:rsid w:val="00FE2030"/>
    <w:rsid w:val="00FE2307"/>
    <w:rsid w:val="00FE2513"/>
    <w:rsid w:val="00FE29BA"/>
    <w:rsid w:val="00FE2A29"/>
    <w:rsid w:val="00FE2B4E"/>
    <w:rsid w:val="00FE2D34"/>
    <w:rsid w:val="00FE2E10"/>
    <w:rsid w:val="00FE348E"/>
    <w:rsid w:val="00FE35AD"/>
    <w:rsid w:val="00FE3759"/>
    <w:rsid w:val="00FE3782"/>
    <w:rsid w:val="00FE38B4"/>
    <w:rsid w:val="00FE3933"/>
    <w:rsid w:val="00FE3AF1"/>
    <w:rsid w:val="00FE3BEB"/>
    <w:rsid w:val="00FE3DD8"/>
    <w:rsid w:val="00FE4B73"/>
    <w:rsid w:val="00FE4FF4"/>
    <w:rsid w:val="00FE522C"/>
    <w:rsid w:val="00FE5242"/>
    <w:rsid w:val="00FE542B"/>
    <w:rsid w:val="00FE5A69"/>
    <w:rsid w:val="00FE5B1D"/>
    <w:rsid w:val="00FE65A3"/>
    <w:rsid w:val="00FE67E6"/>
    <w:rsid w:val="00FE6843"/>
    <w:rsid w:val="00FE6953"/>
    <w:rsid w:val="00FE6956"/>
    <w:rsid w:val="00FE6CDA"/>
    <w:rsid w:val="00FE6D13"/>
    <w:rsid w:val="00FE6E77"/>
    <w:rsid w:val="00FE739E"/>
    <w:rsid w:val="00FE73A0"/>
    <w:rsid w:val="00FE742C"/>
    <w:rsid w:val="00FE7600"/>
    <w:rsid w:val="00FE77F5"/>
    <w:rsid w:val="00FE7822"/>
    <w:rsid w:val="00FE7903"/>
    <w:rsid w:val="00FE7908"/>
    <w:rsid w:val="00FE7D16"/>
    <w:rsid w:val="00FE7FFD"/>
    <w:rsid w:val="00FF00AC"/>
    <w:rsid w:val="00FF0770"/>
    <w:rsid w:val="00FF0A2C"/>
    <w:rsid w:val="00FF0EDA"/>
    <w:rsid w:val="00FF127D"/>
    <w:rsid w:val="00FF1523"/>
    <w:rsid w:val="00FF15C1"/>
    <w:rsid w:val="00FF1B7C"/>
    <w:rsid w:val="00FF1CC6"/>
    <w:rsid w:val="00FF1CD7"/>
    <w:rsid w:val="00FF1D31"/>
    <w:rsid w:val="00FF1EAC"/>
    <w:rsid w:val="00FF201D"/>
    <w:rsid w:val="00FF2619"/>
    <w:rsid w:val="00FF28FA"/>
    <w:rsid w:val="00FF2CAE"/>
    <w:rsid w:val="00FF2DA9"/>
    <w:rsid w:val="00FF2FD5"/>
    <w:rsid w:val="00FF3193"/>
    <w:rsid w:val="00FF336B"/>
    <w:rsid w:val="00FF35E2"/>
    <w:rsid w:val="00FF366C"/>
    <w:rsid w:val="00FF36BC"/>
    <w:rsid w:val="00FF3A7F"/>
    <w:rsid w:val="00FF3B49"/>
    <w:rsid w:val="00FF3C76"/>
    <w:rsid w:val="00FF477E"/>
    <w:rsid w:val="00FF522A"/>
    <w:rsid w:val="00FF5523"/>
    <w:rsid w:val="00FF5727"/>
    <w:rsid w:val="00FF5911"/>
    <w:rsid w:val="00FF5D9A"/>
    <w:rsid w:val="00FF5EFC"/>
    <w:rsid w:val="00FF6505"/>
    <w:rsid w:val="00FF661A"/>
    <w:rsid w:val="00FF6A39"/>
    <w:rsid w:val="00FF6C54"/>
    <w:rsid w:val="00FF6EB4"/>
    <w:rsid w:val="00FF6ED4"/>
    <w:rsid w:val="00FF6EEC"/>
    <w:rsid w:val="00FF6FD6"/>
    <w:rsid w:val="00FF74A5"/>
    <w:rsid w:val="00FF76F7"/>
    <w:rsid w:val="00FF7831"/>
    <w:rsid w:val="00FF7845"/>
    <w:rsid w:val="00FF7CF0"/>
    <w:rsid w:val="00FF7F0D"/>
    <w:rsid w:val="014B2C7E"/>
    <w:rsid w:val="017630EC"/>
    <w:rsid w:val="0189B0D4"/>
    <w:rsid w:val="01C29FD5"/>
    <w:rsid w:val="02209CC4"/>
    <w:rsid w:val="0232AAFD"/>
    <w:rsid w:val="0232B648"/>
    <w:rsid w:val="02859C0C"/>
    <w:rsid w:val="02E0A164"/>
    <w:rsid w:val="02EF3095"/>
    <w:rsid w:val="03104C09"/>
    <w:rsid w:val="03511B71"/>
    <w:rsid w:val="03F901C5"/>
    <w:rsid w:val="0411C84B"/>
    <w:rsid w:val="041B5178"/>
    <w:rsid w:val="047A8997"/>
    <w:rsid w:val="049F3932"/>
    <w:rsid w:val="04A2D8A3"/>
    <w:rsid w:val="04A38CF1"/>
    <w:rsid w:val="05569880"/>
    <w:rsid w:val="05583D86"/>
    <w:rsid w:val="0576B566"/>
    <w:rsid w:val="05B325C9"/>
    <w:rsid w:val="05BA1D27"/>
    <w:rsid w:val="05FC8672"/>
    <w:rsid w:val="06532EED"/>
    <w:rsid w:val="06986FC9"/>
    <w:rsid w:val="06B025AA"/>
    <w:rsid w:val="06C9BCFC"/>
    <w:rsid w:val="06CC8F18"/>
    <w:rsid w:val="06D53EF5"/>
    <w:rsid w:val="0712467F"/>
    <w:rsid w:val="0713CE5C"/>
    <w:rsid w:val="07236534"/>
    <w:rsid w:val="07E7B75F"/>
    <w:rsid w:val="088215F0"/>
    <w:rsid w:val="08BCC34A"/>
    <w:rsid w:val="09024816"/>
    <w:rsid w:val="092FD116"/>
    <w:rsid w:val="095F5333"/>
    <w:rsid w:val="096994E6"/>
    <w:rsid w:val="097CAC7C"/>
    <w:rsid w:val="09AB6DE2"/>
    <w:rsid w:val="09AD5852"/>
    <w:rsid w:val="09D1A66A"/>
    <w:rsid w:val="09ED0457"/>
    <w:rsid w:val="0A56A4F2"/>
    <w:rsid w:val="0A761260"/>
    <w:rsid w:val="0AB3851F"/>
    <w:rsid w:val="0B21C22A"/>
    <w:rsid w:val="0B50FBCE"/>
    <w:rsid w:val="0B63C3C1"/>
    <w:rsid w:val="0B6C959F"/>
    <w:rsid w:val="0BE54376"/>
    <w:rsid w:val="0BF9DE1D"/>
    <w:rsid w:val="0CE84580"/>
    <w:rsid w:val="0D9F1E38"/>
    <w:rsid w:val="0DCB2382"/>
    <w:rsid w:val="0DDC513C"/>
    <w:rsid w:val="0DDEA2E4"/>
    <w:rsid w:val="0DEAD182"/>
    <w:rsid w:val="0E00CF29"/>
    <w:rsid w:val="0E14AA4F"/>
    <w:rsid w:val="0E2BAFE9"/>
    <w:rsid w:val="0E6D54B7"/>
    <w:rsid w:val="0E7CCC97"/>
    <w:rsid w:val="0ECB41F6"/>
    <w:rsid w:val="0EE2EF58"/>
    <w:rsid w:val="0F84CC33"/>
    <w:rsid w:val="1035320E"/>
    <w:rsid w:val="10369D6C"/>
    <w:rsid w:val="106436F8"/>
    <w:rsid w:val="109C6142"/>
    <w:rsid w:val="10EBC269"/>
    <w:rsid w:val="10F2AAF2"/>
    <w:rsid w:val="1126F0AA"/>
    <w:rsid w:val="112888BE"/>
    <w:rsid w:val="112F50AD"/>
    <w:rsid w:val="115FE9D8"/>
    <w:rsid w:val="116083DA"/>
    <w:rsid w:val="11978F73"/>
    <w:rsid w:val="11A59E6F"/>
    <w:rsid w:val="11D85D39"/>
    <w:rsid w:val="11DC2836"/>
    <w:rsid w:val="128E7B53"/>
    <w:rsid w:val="12F0B09A"/>
    <w:rsid w:val="1315A9E9"/>
    <w:rsid w:val="133F8602"/>
    <w:rsid w:val="13519406"/>
    <w:rsid w:val="1360A4AC"/>
    <w:rsid w:val="1381A166"/>
    <w:rsid w:val="139A99A0"/>
    <w:rsid w:val="139AD52F"/>
    <w:rsid w:val="139B4326"/>
    <w:rsid w:val="13BD215C"/>
    <w:rsid w:val="13D40204"/>
    <w:rsid w:val="1403FD44"/>
    <w:rsid w:val="14139FB0"/>
    <w:rsid w:val="14482223"/>
    <w:rsid w:val="14650A70"/>
    <w:rsid w:val="14837671"/>
    <w:rsid w:val="148B884E"/>
    <w:rsid w:val="14A345FD"/>
    <w:rsid w:val="14B6A9DF"/>
    <w:rsid w:val="14CE6216"/>
    <w:rsid w:val="151380A7"/>
    <w:rsid w:val="15371387"/>
    <w:rsid w:val="1539E1D8"/>
    <w:rsid w:val="153FE03F"/>
    <w:rsid w:val="157B3B50"/>
    <w:rsid w:val="15A64D0B"/>
    <w:rsid w:val="15A885BF"/>
    <w:rsid w:val="15B5F315"/>
    <w:rsid w:val="15C61C15"/>
    <w:rsid w:val="1625F674"/>
    <w:rsid w:val="163040C5"/>
    <w:rsid w:val="168E25A6"/>
    <w:rsid w:val="16E954DC"/>
    <w:rsid w:val="170C863D"/>
    <w:rsid w:val="17286190"/>
    <w:rsid w:val="1751BAB4"/>
    <w:rsid w:val="1754E777"/>
    <w:rsid w:val="177C7775"/>
    <w:rsid w:val="179A395B"/>
    <w:rsid w:val="17DBC0E6"/>
    <w:rsid w:val="185FFD95"/>
    <w:rsid w:val="188A815A"/>
    <w:rsid w:val="18ADEF98"/>
    <w:rsid w:val="19075A84"/>
    <w:rsid w:val="1939141B"/>
    <w:rsid w:val="194217B2"/>
    <w:rsid w:val="194288ED"/>
    <w:rsid w:val="19587846"/>
    <w:rsid w:val="195EA23C"/>
    <w:rsid w:val="1989EB93"/>
    <w:rsid w:val="1991D689"/>
    <w:rsid w:val="19CE6B24"/>
    <w:rsid w:val="19E9ECF9"/>
    <w:rsid w:val="19FD799F"/>
    <w:rsid w:val="1A09F8F3"/>
    <w:rsid w:val="1A201A8E"/>
    <w:rsid w:val="1A573533"/>
    <w:rsid w:val="1A9233FF"/>
    <w:rsid w:val="1AC6A670"/>
    <w:rsid w:val="1AD1DA1D"/>
    <w:rsid w:val="1AD8B4FD"/>
    <w:rsid w:val="1B581BB4"/>
    <w:rsid w:val="1C1191BD"/>
    <w:rsid w:val="1C74855E"/>
    <w:rsid w:val="1CBD6D6A"/>
    <w:rsid w:val="1CF1828F"/>
    <w:rsid w:val="1D362798"/>
    <w:rsid w:val="1D5EDBB7"/>
    <w:rsid w:val="1D87FA43"/>
    <w:rsid w:val="1DB27C9E"/>
    <w:rsid w:val="1DB8A425"/>
    <w:rsid w:val="1DBD01D7"/>
    <w:rsid w:val="1DC81EEF"/>
    <w:rsid w:val="1DD204B3"/>
    <w:rsid w:val="1DDADFCD"/>
    <w:rsid w:val="1DF813B2"/>
    <w:rsid w:val="1DFD3C53"/>
    <w:rsid w:val="1E0022ED"/>
    <w:rsid w:val="1E139EB9"/>
    <w:rsid w:val="1E66CFE2"/>
    <w:rsid w:val="1F083FA6"/>
    <w:rsid w:val="1F19B560"/>
    <w:rsid w:val="1F84CFA4"/>
    <w:rsid w:val="1FA53A35"/>
    <w:rsid w:val="1FB94BCA"/>
    <w:rsid w:val="1FDCB992"/>
    <w:rsid w:val="1FE5626E"/>
    <w:rsid w:val="200CC78D"/>
    <w:rsid w:val="20496831"/>
    <w:rsid w:val="20620026"/>
    <w:rsid w:val="20942718"/>
    <w:rsid w:val="20D53BF8"/>
    <w:rsid w:val="219494AF"/>
    <w:rsid w:val="21DE4EA2"/>
    <w:rsid w:val="21F8E7CA"/>
    <w:rsid w:val="21FA2D3C"/>
    <w:rsid w:val="22033776"/>
    <w:rsid w:val="22552860"/>
    <w:rsid w:val="22579A5B"/>
    <w:rsid w:val="22B60055"/>
    <w:rsid w:val="22BBE0A5"/>
    <w:rsid w:val="234B2F62"/>
    <w:rsid w:val="23A0896A"/>
    <w:rsid w:val="23CFED18"/>
    <w:rsid w:val="2456B2D4"/>
    <w:rsid w:val="24767441"/>
    <w:rsid w:val="248C0186"/>
    <w:rsid w:val="24D4265E"/>
    <w:rsid w:val="2531D90A"/>
    <w:rsid w:val="25524DA1"/>
    <w:rsid w:val="25607B47"/>
    <w:rsid w:val="2560CF0D"/>
    <w:rsid w:val="256B3215"/>
    <w:rsid w:val="259BB7B9"/>
    <w:rsid w:val="25B592FB"/>
    <w:rsid w:val="25EBC735"/>
    <w:rsid w:val="2614FD54"/>
    <w:rsid w:val="26CB6298"/>
    <w:rsid w:val="26E02D7F"/>
    <w:rsid w:val="2783CAC5"/>
    <w:rsid w:val="279BF703"/>
    <w:rsid w:val="27F489CB"/>
    <w:rsid w:val="27F9AEF5"/>
    <w:rsid w:val="282E61B2"/>
    <w:rsid w:val="28515680"/>
    <w:rsid w:val="2856C7DF"/>
    <w:rsid w:val="288BDCA7"/>
    <w:rsid w:val="289E332F"/>
    <w:rsid w:val="28B56B51"/>
    <w:rsid w:val="28CE9B79"/>
    <w:rsid w:val="2937C764"/>
    <w:rsid w:val="293A4362"/>
    <w:rsid w:val="293D7780"/>
    <w:rsid w:val="29903685"/>
    <w:rsid w:val="29AB7D02"/>
    <w:rsid w:val="29CE18AE"/>
    <w:rsid w:val="2A071FCE"/>
    <w:rsid w:val="2A247A5D"/>
    <w:rsid w:val="2A4B72A3"/>
    <w:rsid w:val="2A82D3E7"/>
    <w:rsid w:val="2A8F63A9"/>
    <w:rsid w:val="2AA7D16D"/>
    <w:rsid w:val="2AB561AE"/>
    <w:rsid w:val="2AFB430A"/>
    <w:rsid w:val="2B0B16A0"/>
    <w:rsid w:val="2B3A3A01"/>
    <w:rsid w:val="2B7341F3"/>
    <w:rsid w:val="2B85F4E7"/>
    <w:rsid w:val="2BD53FAD"/>
    <w:rsid w:val="2BF251BB"/>
    <w:rsid w:val="2C0FA35C"/>
    <w:rsid w:val="2C155388"/>
    <w:rsid w:val="2C386D44"/>
    <w:rsid w:val="2C512AF5"/>
    <w:rsid w:val="2C6B7E15"/>
    <w:rsid w:val="2C789A1D"/>
    <w:rsid w:val="2C7B4B15"/>
    <w:rsid w:val="2CA12B05"/>
    <w:rsid w:val="2CAEE39A"/>
    <w:rsid w:val="2CAFE1B9"/>
    <w:rsid w:val="2CBC218B"/>
    <w:rsid w:val="2CE043A2"/>
    <w:rsid w:val="2E32FDE5"/>
    <w:rsid w:val="2EE87E1D"/>
    <w:rsid w:val="2EFABE34"/>
    <w:rsid w:val="2F6FAA74"/>
    <w:rsid w:val="2F98BC84"/>
    <w:rsid w:val="2FAD10A6"/>
    <w:rsid w:val="2FED0D09"/>
    <w:rsid w:val="300C4A76"/>
    <w:rsid w:val="304E75C2"/>
    <w:rsid w:val="3085FC71"/>
    <w:rsid w:val="30B5FDA9"/>
    <w:rsid w:val="30D07FFF"/>
    <w:rsid w:val="30EEB2C6"/>
    <w:rsid w:val="30F3FD35"/>
    <w:rsid w:val="310ECEAC"/>
    <w:rsid w:val="313F2318"/>
    <w:rsid w:val="31831C45"/>
    <w:rsid w:val="322C2E95"/>
    <w:rsid w:val="32967F26"/>
    <w:rsid w:val="332BAB60"/>
    <w:rsid w:val="33541398"/>
    <w:rsid w:val="33861684"/>
    <w:rsid w:val="3390694C"/>
    <w:rsid w:val="33BBD4F4"/>
    <w:rsid w:val="34156227"/>
    <w:rsid w:val="341816AF"/>
    <w:rsid w:val="345112F6"/>
    <w:rsid w:val="34DFBB99"/>
    <w:rsid w:val="34F39354"/>
    <w:rsid w:val="3506CF60"/>
    <w:rsid w:val="35281ED3"/>
    <w:rsid w:val="355E885B"/>
    <w:rsid w:val="356DE058"/>
    <w:rsid w:val="359E6765"/>
    <w:rsid w:val="35CB968A"/>
    <w:rsid w:val="35FCE50E"/>
    <w:rsid w:val="3608FDA9"/>
    <w:rsid w:val="362136E7"/>
    <w:rsid w:val="3656E7DC"/>
    <w:rsid w:val="370A8922"/>
    <w:rsid w:val="3735DDEF"/>
    <w:rsid w:val="378A3D09"/>
    <w:rsid w:val="37B0FF4C"/>
    <w:rsid w:val="37B4EDC8"/>
    <w:rsid w:val="37BA8B23"/>
    <w:rsid w:val="37CD884A"/>
    <w:rsid w:val="37EA9EE6"/>
    <w:rsid w:val="380B0033"/>
    <w:rsid w:val="381376D6"/>
    <w:rsid w:val="38461342"/>
    <w:rsid w:val="387B1ED4"/>
    <w:rsid w:val="387FED33"/>
    <w:rsid w:val="389D58C2"/>
    <w:rsid w:val="38A83399"/>
    <w:rsid w:val="38B6811F"/>
    <w:rsid w:val="38E3547F"/>
    <w:rsid w:val="38E36DBF"/>
    <w:rsid w:val="391D30F3"/>
    <w:rsid w:val="39805F3E"/>
    <w:rsid w:val="39BCE806"/>
    <w:rsid w:val="39E07681"/>
    <w:rsid w:val="3A01116D"/>
    <w:rsid w:val="3A58593E"/>
    <w:rsid w:val="3AE20B72"/>
    <w:rsid w:val="3B2C14D9"/>
    <w:rsid w:val="3BB058D7"/>
    <w:rsid w:val="3BDFBAA4"/>
    <w:rsid w:val="3BF874B3"/>
    <w:rsid w:val="3C5AC523"/>
    <w:rsid w:val="3C69EA08"/>
    <w:rsid w:val="3CAA92D0"/>
    <w:rsid w:val="3CC7016D"/>
    <w:rsid w:val="3CC72101"/>
    <w:rsid w:val="3CD87E62"/>
    <w:rsid w:val="3CEFB1E4"/>
    <w:rsid w:val="3D1716EB"/>
    <w:rsid w:val="3D3DF673"/>
    <w:rsid w:val="3D709796"/>
    <w:rsid w:val="3D7DB14B"/>
    <w:rsid w:val="3D85AF22"/>
    <w:rsid w:val="3DAC5FF0"/>
    <w:rsid w:val="3DFCC62C"/>
    <w:rsid w:val="3E70EEE5"/>
    <w:rsid w:val="3E9D9D28"/>
    <w:rsid w:val="3EF7AAAD"/>
    <w:rsid w:val="3F1E1901"/>
    <w:rsid w:val="3F23A22C"/>
    <w:rsid w:val="3FB15664"/>
    <w:rsid w:val="3FB6C9D6"/>
    <w:rsid w:val="3FD830A7"/>
    <w:rsid w:val="3FE21424"/>
    <w:rsid w:val="40079AAC"/>
    <w:rsid w:val="401159FE"/>
    <w:rsid w:val="401524DE"/>
    <w:rsid w:val="405B8EE1"/>
    <w:rsid w:val="4068799E"/>
    <w:rsid w:val="4110BECF"/>
    <w:rsid w:val="4120BD24"/>
    <w:rsid w:val="4133A8D9"/>
    <w:rsid w:val="4167F6D0"/>
    <w:rsid w:val="418BE90E"/>
    <w:rsid w:val="41C5FCE5"/>
    <w:rsid w:val="42334356"/>
    <w:rsid w:val="4253B3EC"/>
    <w:rsid w:val="425B42EE"/>
    <w:rsid w:val="429CCECB"/>
    <w:rsid w:val="42B3B5EE"/>
    <w:rsid w:val="42C0CE4D"/>
    <w:rsid w:val="42C55C86"/>
    <w:rsid w:val="42E7308D"/>
    <w:rsid w:val="430D1BE5"/>
    <w:rsid w:val="439ECC8D"/>
    <w:rsid w:val="43CE7ECB"/>
    <w:rsid w:val="43D4525B"/>
    <w:rsid w:val="43EBBBB2"/>
    <w:rsid w:val="442AC8EC"/>
    <w:rsid w:val="4483025F"/>
    <w:rsid w:val="44F58948"/>
    <w:rsid w:val="45143C02"/>
    <w:rsid w:val="451B9411"/>
    <w:rsid w:val="45463023"/>
    <w:rsid w:val="45D5A465"/>
    <w:rsid w:val="4621C238"/>
    <w:rsid w:val="468A1A03"/>
    <w:rsid w:val="46A7F62C"/>
    <w:rsid w:val="46B736D1"/>
    <w:rsid w:val="47044C6E"/>
    <w:rsid w:val="47092ABF"/>
    <w:rsid w:val="471272CD"/>
    <w:rsid w:val="4748CF49"/>
    <w:rsid w:val="4774952F"/>
    <w:rsid w:val="4780B177"/>
    <w:rsid w:val="47CD1E9E"/>
    <w:rsid w:val="47DCA566"/>
    <w:rsid w:val="486925B4"/>
    <w:rsid w:val="48745729"/>
    <w:rsid w:val="487DD0E5"/>
    <w:rsid w:val="49BA5172"/>
    <w:rsid w:val="49D1F913"/>
    <w:rsid w:val="49EED793"/>
    <w:rsid w:val="4A258131"/>
    <w:rsid w:val="4A499609"/>
    <w:rsid w:val="4A515739"/>
    <w:rsid w:val="4A70FD47"/>
    <w:rsid w:val="4A84ADAF"/>
    <w:rsid w:val="4A8E621E"/>
    <w:rsid w:val="4AA25296"/>
    <w:rsid w:val="4AA3EB1C"/>
    <w:rsid w:val="4ABBD27B"/>
    <w:rsid w:val="4AF0A05F"/>
    <w:rsid w:val="4B260719"/>
    <w:rsid w:val="4B3A3391"/>
    <w:rsid w:val="4B40E64B"/>
    <w:rsid w:val="4B49D90E"/>
    <w:rsid w:val="4B6424C8"/>
    <w:rsid w:val="4B75EF57"/>
    <w:rsid w:val="4B847567"/>
    <w:rsid w:val="4B8CE589"/>
    <w:rsid w:val="4BB56541"/>
    <w:rsid w:val="4C10B84A"/>
    <w:rsid w:val="4C207E10"/>
    <w:rsid w:val="4C65E37E"/>
    <w:rsid w:val="4C6C3ECC"/>
    <w:rsid w:val="4CBDFE2A"/>
    <w:rsid w:val="4CDA2504"/>
    <w:rsid w:val="4CEE1E8A"/>
    <w:rsid w:val="4D1A69BF"/>
    <w:rsid w:val="4D1D5C7E"/>
    <w:rsid w:val="4D734AEC"/>
    <w:rsid w:val="4D8C57AC"/>
    <w:rsid w:val="4D9AC7FB"/>
    <w:rsid w:val="4DAE9FCB"/>
    <w:rsid w:val="4DBBFC95"/>
    <w:rsid w:val="4E1286D6"/>
    <w:rsid w:val="4E673588"/>
    <w:rsid w:val="4EC63C40"/>
    <w:rsid w:val="4EC9651C"/>
    <w:rsid w:val="4ED33CBD"/>
    <w:rsid w:val="4EDC9BF4"/>
    <w:rsid w:val="4EFBD220"/>
    <w:rsid w:val="4F0559F4"/>
    <w:rsid w:val="4F7E1EF2"/>
    <w:rsid w:val="4FBAC642"/>
    <w:rsid w:val="4FBE1BB5"/>
    <w:rsid w:val="4FD8A895"/>
    <w:rsid w:val="5014BE63"/>
    <w:rsid w:val="5084B6D8"/>
    <w:rsid w:val="50A63CE2"/>
    <w:rsid w:val="50ABE34B"/>
    <w:rsid w:val="50E17175"/>
    <w:rsid w:val="51611151"/>
    <w:rsid w:val="517478F6"/>
    <w:rsid w:val="51D95614"/>
    <w:rsid w:val="5230DE10"/>
    <w:rsid w:val="5237F060"/>
    <w:rsid w:val="524B9DA9"/>
    <w:rsid w:val="527D1FAD"/>
    <w:rsid w:val="5297C5E7"/>
    <w:rsid w:val="52CC73BF"/>
    <w:rsid w:val="53AA142F"/>
    <w:rsid w:val="53CF4343"/>
    <w:rsid w:val="5485B991"/>
    <w:rsid w:val="54CD840E"/>
    <w:rsid w:val="54FDCF78"/>
    <w:rsid w:val="551FCBBD"/>
    <w:rsid w:val="557914A9"/>
    <w:rsid w:val="558B43DE"/>
    <w:rsid w:val="55B97EDF"/>
    <w:rsid w:val="55EACFCA"/>
    <w:rsid w:val="560B992E"/>
    <w:rsid w:val="5650F8E1"/>
    <w:rsid w:val="56546675"/>
    <w:rsid w:val="566C9A2A"/>
    <w:rsid w:val="567898EF"/>
    <w:rsid w:val="56ADA09D"/>
    <w:rsid w:val="56B61E6E"/>
    <w:rsid w:val="56D6C061"/>
    <w:rsid w:val="5703A269"/>
    <w:rsid w:val="5706E405"/>
    <w:rsid w:val="5707245E"/>
    <w:rsid w:val="571C951E"/>
    <w:rsid w:val="5728D2C1"/>
    <w:rsid w:val="5735BD7B"/>
    <w:rsid w:val="57840189"/>
    <w:rsid w:val="579DE96E"/>
    <w:rsid w:val="579F92F3"/>
    <w:rsid w:val="57A8B228"/>
    <w:rsid w:val="57ECC942"/>
    <w:rsid w:val="585D85C4"/>
    <w:rsid w:val="58BB7F7F"/>
    <w:rsid w:val="58D79243"/>
    <w:rsid w:val="599CDFE7"/>
    <w:rsid w:val="5A29E8D7"/>
    <w:rsid w:val="5A3A3726"/>
    <w:rsid w:val="5A5435E0"/>
    <w:rsid w:val="5A77E34C"/>
    <w:rsid w:val="5B033CCE"/>
    <w:rsid w:val="5B14B802"/>
    <w:rsid w:val="5B3EF3F4"/>
    <w:rsid w:val="5B6513C1"/>
    <w:rsid w:val="5BE070B3"/>
    <w:rsid w:val="5BED1151"/>
    <w:rsid w:val="5BF73CEF"/>
    <w:rsid w:val="5C42B22C"/>
    <w:rsid w:val="5CA01A59"/>
    <w:rsid w:val="5D394D57"/>
    <w:rsid w:val="5D610E49"/>
    <w:rsid w:val="5D776A05"/>
    <w:rsid w:val="5DBC06E5"/>
    <w:rsid w:val="5DCC4700"/>
    <w:rsid w:val="5E3E70A5"/>
    <w:rsid w:val="5E7D6B9D"/>
    <w:rsid w:val="5EA47F6F"/>
    <w:rsid w:val="5F6A32AE"/>
    <w:rsid w:val="5F80EAF8"/>
    <w:rsid w:val="5F9D2680"/>
    <w:rsid w:val="5FB3DA32"/>
    <w:rsid w:val="5FF24F30"/>
    <w:rsid w:val="6079EEFA"/>
    <w:rsid w:val="60892D82"/>
    <w:rsid w:val="60DA7F4A"/>
    <w:rsid w:val="610D1492"/>
    <w:rsid w:val="6113576C"/>
    <w:rsid w:val="61969428"/>
    <w:rsid w:val="6196D47E"/>
    <w:rsid w:val="61C3C49E"/>
    <w:rsid w:val="61E03E69"/>
    <w:rsid w:val="6222DE0E"/>
    <w:rsid w:val="6237EAA2"/>
    <w:rsid w:val="624C2C53"/>
    <w:rsid w:val="626DF703"/>
    <w:rsid w:val="629D0840"/>
    <w:rsid w:val="62AA0548"/>
    <w:rsid w:val="62CEB357"/>
    <w:rsid w:val="62D74233"/>
    <w:rsid w:val="630F399D"/>
    <w:rsid w:val="6329A5FC"/>
    <w:rsid w:val="632C799B"/>
    <w:rsid w:val="63A139C8"/>
    <w:rsid w:val="646962A6"/>
    <w:rsid w:val="64B9E3CD"/>
    <w:rsid w:val="64E1547A"/>
    <w:rsid w:val="651311D1"/>
    <w:rsid w:val="65138591"/>
    <w:rsid w:val="65A4163C"/>
    <w:rsid w:val="65B8CC82"/>
    <w:rsid w:val="65D63189"/>
    <w:rsid w:val="65DF7146"/>
    <w:rsid w:val="666640F4"/>
    <w:rsid w:val="66747A16"/>
    <w:rsid w:val="667D0710"/>
    <w:rsid w:val="669E9426"/>
    <w:rsid w:val="66A6F87B"/>
    <w:rsid w:val="66CC82EF"/>
    <w:rsid w:val="670CE585"/>
    <w:rsid w:val="67875717"/>
    <w:rsid w:val="67CD807E"/>
    <w:rsid w:val="67ED787D"/>
    <w:rsid w:val="681C915B"/>
    <w:rsid w:val="6874C8CA"/>
    <w:rsid w:val="68AC29C6"/>
    <w:rsid w:val="68C4C934"/>
    <w:rsid w:val="68CA902F"/>
    <w:rsid w:val="690B5A97"/>
    <w:rsid w:val="69894FF5"/>
    <w:rsid w:val="69C24C3C"/>
    <w:rsid w:val="69C8D533"/>
    <w:rsid w:val="69CF066F"/>
    <w:rsid w:val="69FCAF7F"/>
    <w:rsid w:val="6A3CC4B0"/>
    <w:rsid w:val="6A558D31"/>
    <w:rsid w:val="6A615F52"/>
    <w:rsid w:val="6B86DD34"/>
    <w:rsid w:val="6B98647A"/>
    <w:rsid w:val="6BD12968"/>
    <w:rsid w:val="6CF9ECFE"/>
    <w:rsid w:val="6D0C268B"/>
    <w:rsid w:val="6D948258"/>
    <w:rsid w:val="6DC5A327"/>
    <w:rsid w:val="6E14A4CB"/>
    <w:rsid w:val="6E168CE2"/>
    <w:rsid w:val="6E30C5B3"/>
    <w:rsid w:val="6E345622"/>
    <w:rsid w:val="6E776D0D"/>
    <w:rsid w:val="6E78104F"/>
    <w:rsid w:val="6E95BD5F"/>
    <w:rsid w:val="6E9CA25B"/>
    <w:rsid w:val="6ED21C2D"/>
    <w:rsid w:val="6ED4399C"/>
    <w:rsid w:val="6F8DDE66"/>
    <w:rsid w:val="6FA5B23C"/>
    <w:rsid w:val="70104163"/>
    <w:rsid w:val="703A94C9"/>
    <w:rsid w:val="7056A8A0"/>
    <w:rsid w:val="70AE9460"/>
    <w:rsid w:val="70B95B27"/>
    <w:rsid w:val="70C0021E"/>
    <w:rsid w:val="70D649DE"/>
    <w:rsid w:val="7121373C"/>
    <w:rsid w:val="7196D50D"/>
    <w:rsid w:val="719F1191"/>
    <w:rsid w:val="71AD5E7A"/>
    <w:rsid w:val="71EDDB91"/>
    <w:rsid w:val="71F9BE06"/>
    <w:rsid w:val="7252FFC9"/>
    <w:rsid w:val="7257AA31"/>
    <w:rsid w:val="72672A2E"/>
    <w:rsid w:val="727F291A"/>
    <w:rsid w:val="728C1966"/>
    <w:rsid w:val="72FD7CDA"/>
    <w:rsid w:val="734FDB05"/>
    <w:rsid w:val="7365CE74"/>
    <w:rsid w:val="738E1961"/>
    <w:rsid w:val="73ABB491"/>
    <w:rsid w:val="73E73E5E"/>
    <w:rsid w:val="73FFAFD1"/>
    <w:rsid w:val="740F3EF6"/>
    <w:rsid w:val="74210492"/>
    <w:rsid w:val="74460908"/>
    <w:rsid w:val="74994D3B"/>
    <w:rsid w:val="74CE9C05"/>
    <w:rsid w:val="74FDE44D"/>
    <w:rsid w:val="754B8DDF"/>
    <w:rsid w:val="757A6340"/>
    <w:rsid w:val="757B46A8"/>
    <w:rsid w:val="75C0D875"/>
    <w:rsid w:val="75DC8E42"/>
    <w:rsid w:val="764059EA"/>
    <w:rsid w:val="769AD6F4"/>
    <w:rsid w:val="76BF617A"/>
    <w:rsid w:val="77055B1B"/>
    <w:rsid w:val="773EE41C"/>
    <w:rsid w:val="77423F7E"/>
    <w:rsid w:val="774DA421"/>
    <w:rsid w:val="77672898"/>
    <w:rsid w:val="776D75EE"/>
    <w:rsid w:val="77C8BF28"/>
    <w:rsid w:val="787AFC3D"/>
    <w:rsid w:val="78BF7620"/>
    <w:rsid w:val="78C63C42"/>
    <w:rsid w:val="78D36920"/>
    <w:rsid w:val="78D69D87"/>
    <w:rsid w:val="78DA9E15"/>
    <w:rsid w:val="793427A2"/>
    <w:rsid w:val="79906E33"/>
    <w:rsid w:val="79AADB0C"/>
    <w:rsid w:val="79E9A571"/>
    <w:rsid w:val="7A03521F"/>
    <w:rsid w:val="7A5C5130"/>
    <w:rsid w:val="7A901D08"/>
    <w:rsid w:val="7ABCBAB7"/>
    <w:rsid w:val="7ACC199D"/>
    <w:rsid w:val="7B142262"/>
    <w:rsid w:val="7B7F7E17"/>
    <w:rsid w:val="7BD54550"/>
    <w:rsid w:val="7BE0B9B2"/>
    <w:rsid w:val="7BF98F00"/>
    <w:rsid w:val="7C07B739"/>
    <w:rsid w:val="7C109191"/>
    <w:rsid w:val="7C560FF1"/>
    <w:rsid w:val="7C74021F"/>
    <w:rsid w:val="7CC0C5C0"/>
    <w:rsid w:val="7CF008E3"/>
    <w:rsid w:val="7D2CF458"/>
    <w:rsid w:val="7D3DC803"/>
    <w:rsid w:val="7D4E4347"/>
    <w:rsid w:val="7DE35EEA"/>
    <w:rsid w:val="7DF586D2"/>
    <w:rsid w:val="7E20C46C"/>
    <w:rsid w:val="7E3D8809"/>
    <w:rsid w:val="7E41EF6E"/>
    <w:rsid w:val="7E76A2E9"/>
    <w:rsid w:val="7E9D8662"/>
    <w:rsid w:val="7EE66EF7"/>
    <w:rsid w:val="7F2554B0"/>
    <w:rsid w:val="7F3A002A"/>
    <w:rsid w:val="7F66DA17"/>
    <w:rsid w:val="7F8146E2"/>
    <w:rsid w:val="7FB5B3CB"/>
    <w:rsid w:val="7FC5997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55470"/>
  <w15:docId w15:val="{9696AFB3-EE38-477B-9C0A-744D2CD4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EBE"/>
    <w:pPr>
      <w:spacing w:after="200" w:line="276" w:lineRule="auto"/>
    </w:pPr>
    <w:rPr>
      <w:rFonts w:ascii="Cambria" w:hAnsi="Cambria"/>
    </w:rPr>
  </w:style>
  <w:style w:type="paragraph" w:styleId="Heading1">
    <w:name w:val="heading 1"/>
    <w:basedOn w:val="Normal"/>
    <w:next w:val="Normal"/>
    <w:link w:val="Heading1Char"/>
    <w:autoRedefine/>
    <w:uiPriority w:val="9"/>
    <w:qFormat/>
    <w:rsid w:val="001F760C"/>
    <w:pPr>
      <w:keepNext/>
      <w:keepLines/>
      <w:numPr>
        <w:numId w:val="1"/>
      </w:numPr>
      <w:spacing w:before="360"/>
      <w:ind w:left="431" w:hanging="431"/>
      <w:outlineLvl w:val="0"/>
    </w:pPr>
    <w:rPr>
      <w:rFonts w:asciiTheme="minorHAnsi" w:eastAsiaTheme="majorEastAsia" w:hAnsiTheme="minorHAnsi" w:cstheme="majorBidi"/>
      <w:b/>
      <w:bCs/>
      <w:sz w:val="36"/>
      <w:szCs w:val="32"/>
    </w:rPr>
  </w:style>
  <w:style w:type="paragraph" w:styleId="Heading2">
    <w:name w:val="heading 2"/>
    <w:aliases w:val="h2,p"/>
    <w:basedOn w:val="Normal"/>
    <w:next w:val="Normal"/>
    <w:link w:val="Heading2Char"/>
    <w:uiPriority w:val="9"/>
    <w:unhideWhenUsed/>
    <w:qFormat/>
    <w:rsid w:val="008E4F36"/>
    <w:pPr>
      <w:keepNext/>
      <w:keepLines/>
      <w:numPr>
        <w:ilvl w:val="1"/>
        <w:numId w:val="1"/>
      </w:numPr>
      <w:spacing w:before="120"/>
      <w:ind w:left="576"/>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autoRedefine/>
    <w:uiPriority w:val="9"/>
    <w:unhideWhenUsed/>
    <w:qFormat/>
    <w:rsid w:val="00550384"/>
    <w:pPr>
      <w:spacing w:before="120"/>
      <w:ind w:left="720" w:hanging="720"/>
      <w:outlineLvl w:val="2"/>
    </w:pPr>
    <w:rPr>
      <w:rFonts w:asciiTheme="minorHAnsi" w:eastAsiaTheme="majorEastAsia" w:hAnsiTheme="minorHAnsi" w:cstheme="majorBidi"/>
      <w:b/>
      <w:i/>
      <w:sz w:val="24"/>
      <w:szCs w:val="24"/>
    </w:rPr>
  </w:style>
  <w:style w:type="paragraph" w:styleId="Heading4">
    <w:name w:val="heading 4"/>
    <w:basedOn w:val="Normal"/>
    <w:next w:val="Normal"/>
    <w:link w:val="Heading4Char"/>
    <w:autoRedefine/>
    <w:uiPriority w:val="9"/>
    <w:unhideWhenUsed/>
    <w:qFormat/>
    <w:rsid w:val="006E2204"/>
    <w:pPr>
      <w:spacing w:before="120" w:after="0"/>
      <w:outlineLvl w:val="3"/>
    </w:pPr>
    <w:rPr>
      <w:rFonts w:asciiTheme="minorHAnsi" w:eastAsiaTheme="majorEastAsia" w:hAnsiTheme="minorHAnsi" w:cs="Arial"/>
      <w:b/>
      <w:i/>
      <w:iCs/>
      <w:smallCaps/>
      <w:sz w:val="24"/>
      <w:szCs w:val="24"/>
      <w:lang w:val="en-US"/>
    </w:rPr>
  </w:style>
  <w:style w:type="paragraph" w:styleId="Heading5">
    <w:name w:val="heading 5"/>
    <w:basedOn w:val="Normal"/>
    <w:next w:val="Normal"/>
    <w:link w:val="Heading5Char"/>
    <w:autoRedefine/>
    <w:uiPriority w:val="9"/>
    <w:unhideWhenUsed/>
    <w:qFormat/>
    <w:rsid w:val="00A2521C"/>
    <w:pPr>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autoRedefine/>
    <w:uiPriority w:val="9"/>
    <w:unhideWhenUsed/>
    <w:qFormat/>
    <w:rsid w:val="00AD4454"/>
    <w:pPr>
      <w:spacing w:before="40" w:after="0"/>
      <w:ind w:left="1321" w:hanging="1151"/>
      <w:outlineLvl w:val="5"/>
    </w:pPr>
    <w:rPr>
      <w:rFonts w:asciiTheme="majorHAnsi" w:eastAsiaTheme="majorEastAsia" w:hAnsiTheme="majorHAnsi" w:cstheme="majorBidi"/>
      <w:b/>
      <w:i/>
      <w:szCs w:val="24"/>
    </w:rPr>
  </w:style>
  <w:style w:type="paragraph" w:styleId="Heading7">
    <w:name w:val="heading 7"/>
    <w:basedOn w:val="Normal"/>
    <w:next w:val="Normal"/>
    <w:link w:val="Heading7Char"/>
    <w:autoRedefine/>
    <w:uiPriority w:val="9"/>
    <w:unhideWhenUsed/>
    <w:qFormat/>
    <w:rsid w:val="00974731"/>
    <w:pPr>
      <w:keepNext/>
      <w:keepLines/>
      <w:spacing w:before="40" w:after="0"/>
      <w:ind w:left="284"/>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C7222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7222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60C"/>
    <w:rPr>
      <w:rFonts w:eastAsiaTheme="majorEastAsia" w:cstheme="majorBidi"/>
      <w:b/>
      <w:bCs/>
      <w:sz w:val="36"/>
      <w:szCs w:val="32"/>
    </w:rPr>
  </w:style>
  <w:style w:type="character" w:customStyle="1" w:styleId="Heading2Char">
    <w:name w:val="Heading 2 Char"/>
    <w:aliases w:val="h2 Char,p Char"/>
    <w:basedOn w:val="DefaultParagraphFont"/>
    <w:link w:val="Heading2"/>
    <w:uiPriority w:val="9"/>
    <w:rsid w:val="008E4F36"/>
    <w:rPr>
      <w:rFonts w:eastAsiaTheme="majorEastAsia" w:cstheme="majorBidi"/>
      <w:b/>
      <w:sz w:val="28"/>
      <w:szCs w:val="26"/>
    </w:rPr>
  </w:style>
  <w:style w:type="character" w:customStyle="1" w:styleId="Heading3Char">
    <w:name w:val="Heading 3 Char"/>
    <w:basedOn w:val="DefaultParagraphFont"/>
    <w:link w:val="Heading3"/>
    <w:uiPriority w:val="9"/>
    <w:rsid w:val="00550384"/>
    <w:rPr>
      <w:rFonts w:eastAsiaTheme="majorEastAsia" w:cstheme="majorBidi"/>
      <w:b/>
      <w:i/>
      <w:sz w:val="24"/>
      <w:szCs w:val="24"/>
    </w:rPr>
  </w:style>
  <w:style w:type="character" w:customStyle="1" w:styleId="Heading4Char">
    <w:name w:val="Heading 4 Char"/>
    <w:basedOn w:val="DefaultParagraphFont"/>
    <w:link w:val="Heading4"/>
    <w:uiPriority w:val="9"/>
    <w:rsid w:val="006E2204"/>
    <w:rPr>
      <w:rFonts w:eastAsiaTheme="majorEastAsia" w:cs="Arial"/>
      <w:b/>
      <w:i/>
      <w:iCs/>
      <w:smallCaps/>
      <w:sz w:val="24"/>
      <w:szCs w:val="24"/>
      <w:lang w:val="en-US"/>
    </w:rPr>
  </w:style>
  <w:style w:type="character" w:customStyle="1" w:styleId="Heading5Char">
    <w:name w:val="Heading 5 Char"/>
    <w:basedOn w:val="DefaultParagraphFont"/>
    <w:link w:val="Heading5"/>
    <w:uiPriority w:val="9"/>
    <w:rsid w:val="00A2521C"/>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AD4454"/>
    <w:rPr>
      <w:rFonts w:asciiTheme="majorHAnsi" w:eastAsiaTheme="majorEastAsia" w:hAnsiTheme="majorHAnsi" w:cstheme="majorBidi"/>
      <w:b/>
      <w:i/>
      <w:szCs w:val="24"/>
    </w:rPr>
  </w:style>
  <w:style w:type="character" w:customStyle="1" w:styleId="Heading7Char">
    <w:name w:val="Heading 7 Char"/>
    <w:basedOn w:val="DefaultParagraphFont"/>
    <w:link w:val="Heading7"/>
    <w:uiPriority w:val="9"/>
    <w:rsid w:val="00974731"/>
    <w:rPr>
      <w:rFonts w:asciiTheme="majorHAnsi" w:eastAsiaTheme="majorEastAsia" w:hAnsiTheme="majorHAnsi" w:cstheme="majorBidi"/>
      <w:b/>
      <w:iCs/>
    </w:rPr>
  </w:style>
  <w:style w:type="character" w:customStyle="1" w:styleId="Heading8Char">
    <w:name w:val="Heading 8 Char"/>
    <w:basedOn w:val="DefaultParagraphFont"/>
    <w:link w:val="Heading8"/>
    <w:uiPriority w:val="9"/>
    <w:rsid w:val="00C722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72227"/>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C26D1E"/>
    <w:pPr>
      <w:spacing w:before="240" w:after="240"/>
      <w:contextualSpacing/>
      <w:jc w:val="center"/>
    </w:pPr>
    <w:rPr>
      <w:rFonts w:asciiTheme="minorHAnsi" w:eastAsiaTheme="majorEastAsia" w:hAnsiTheme="minorHAnsi" w:cstheme="majorBidi"/>
      <w:b/>
      <w:sz w:val="36"/>
      <w:szCs w:val="56"/>
    </w:rPr>
  </w:style>
  <w:style w:type="character" w:customStyle="1" w:styleId="TitleChar">
    <w:name w:val="Title Char"/>
    <w:basedOn w:val="DefaultParagraphFont"/>
    <w:link w:val="Title"/>
    <w:uiPriority w:val="10"/>
    <w:rsid w:val="00C26D1E"/>
    <w:rPr>
      <w:rFonts w:eastAsiaTheme="majorEastAsia" w:cstheme="majorBidi"/>
      <w:b/>
      <w:sz w:val="36"/>
      <w:szCs w:val="56"/>
    </w:rPr>
  </w:style>
  <w:style w:type="table" w:styleId="TableGrid">
    <w:name w:val="Table Grid"/>
    <w:basedOn w:val="TableNormal"/>
    <w:uiPriority w:val="39"/>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after="0"/>
    </w:pPr>
    <w:rPr>
      <w:b/>
      <w:iCs/>
      <w:szCs w:val="18"/>
    </w:rPr>
  </w:style>
  <w:style w:type="paragraph" w:styleId="TOCHeading">
    <w:name w:val="TOC Heading"/>
    <w:basedOn w:val="Heading1"/>
    <w:next w:val="Normal"/>
    <w:uiPriority w:val="39"/>
    <w:unhideWhenUsed/>
    <w:qFormat/>
    <w:rsid w:val="00761A5A"/>
    <w:pPr>
      <w:keepLines w:val="0"/>
      <w:numPr>
        <w:numId w:val="0"/>
      </w:numPr>
      <w:spacing w:after="0"/>
      <w:outlineLvl w:val="9"/>
    </w:pPr>
    <w:rPr>
      <w:lang w:val="en-US"/>
    </w:rPr>
  </w:style>
  <w:style w:type="paragraph" w:styleId="TOC1">
    <w:name w:val="toc 1"/>
    <w:basedOn w:val="Normal"/>
    <w:next w:val="Normal"/>
    <w:autoRedefine/>
    <w:uiPriority w:val="39"/>
    <w:unhideWhenUsed/>
    <w:rsid w:val="000D49A7"/>
    <w:pPr>
      <w:tabs>
        <w:tab w:val="left" w:pos="482"/>
        <w:tab w:val="right" w:leader="dot" w:pos="9060"/>
      </w:tabs>
      <w:spacing w:after="120"/>
      <w:jc w:val="both"/>
    </w:pPr>
    <w:rPr>
      <w:b/>
      <w:bCs/>
      <w:noProof/>
      <w:sz w:val="20"/>
    </w:rPr>
  </w:style>
  <w:style w:type="paragraph" w:styleId="TOC2">
    <w:name w:val="toc 2"/>
    <w:basedOn w:val="Normal"/>
    <w:next w:val="Normal"/>
    <w:autoRedefine/>
    <w:uiPriority w:val="39"/>
    <w:unhideWhenUsed/>
    <w:rsid w:val="00453C27"/>
    <w:pPr>
      <w:spacing w:after="0"/>
      <w:ind w:left="238"/>
    </w:pPr>
    <w:rPr>
      <w:sz w:val="20"/>
    </w:rPr>
  </w:style>
  <w:style w:type="paragraph" w:styleId="TOC3">
    <w:name w:val="toc 3"/>
    <w:basedOn w:val="Normal"/>
    <w:next w:val="Normal"/>
    <w:autoRedefine/>
    <w:uiPriority w:val="39"/>
    <w:unhideWhenUsed/>
    <w:rsid w:val="00453C27"/>
    <w:pPr>
      <w:spacing w:after="0"/>
      <w:ind w:left="482"/>
    </w:pPr>
    <w:rPr>
      <w:sz w:val="20"/>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2"/>
      </w:numPr>
      <w:spacing w:after="0"/>
    </w:pPr>
    <w:rPr>
      <w:rFonts w:ascii="Times New Roman" w:eastAsia="Times New Roman" w:hAnsi="Times New Roman" w:cs="Times New Roman"/>
      <w:sz w:val="20"/>
      <w:szCs w:val="20"/>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paragraph" w:styleId="Quote">
    <w:name w:val="Quote"/>
    <w:basedOn w:val="Normal"/>
    <w:next w:val="Normal"/>
    <w:link w:val="QuoteChar"/>
    <w:uiPriority w:val="29"/>
    <w:rsid w:val="00DE4E39"/>
    <w:pPr>
      <w:keepLines/>
      <w:ind w:left="567" w:right="624"/>
    </w:pPr>
    <w:rPr>
      <w:i/>
      <w:iC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autoRedefine/>
    <w:uiPriority w:val="99"/>
    <w:unhideWhenUsed/>
    <w:rsid w:val="001836E8"/>
    <w:pPr>
      <w:spacing w:after="0"/>
    </w:pPr>
    <w:rPr>
      <w:sz w:val="20"/>
      <w:szCs w:val="20"/>
    </w:rPr>
  </w:style>
  <w:style w:type="character" w:customStyle="1" w:styleId="FootnoteTextChar">
    <w:name w:val="Footnote Text Char"/>
    <w:basedOn w:val="DefaultParagraphFont"/>
    <w:link w:val="FootnoteText"/>
    <w:uiPriority w:val="99"/>
    <w:rsid w:val="001836E8"/>
    <w:rPr>
      <w:rFonts w:ascii="Cambria" w:hAnsi="Cambria"/>
      <w:sz w:val="20"/>
      <w:szCs w:val="20"/>
    </w:rPr>
  </w:style>
  <w:style w:type="character" w:styleId="FootnoteReference">
    <w:name w:val="footnote reference"/>
    <w:basedOn w:val="DefaultParagraphFont"/>
    <w:uiPriority w:val="99"/>
    <w:semiHidden/>
    <w:unhideWhenUsed/>
    <w:rsid w:val="00DE4E39"/>
    <w:rPr>
      <w:vertAlign w:val="superscript"/>
    </w:rPr>
  </w:style>
  <w:style w:type="paragraph" w:styleId="EndnoteText">
    <w:name w:val="endnote text"/>
    <w:basedOn w:val="Normal"/>
    <w:link w:val="EndnoteTextChar"/>
    <w:uiPriority w:val="99"/>
    <w:semiHidden/>
    <w:unhideWhenUsed/>
    <w:rsid w:val="00327CE8"/>
    <w:pPr>
      <w:spacing w:after="0"/>
    </w:pPr>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qFormat/>
    <w:rsid w:val="003D1FB1"/>
    <w:pPr>
      <w:spacing w:after="0"/>
    </w:pPr>
    <w:rPr>
      <w:sz w:val="18"/>
    </w:rPr>
  </w:style>
  <w:style w:type="paragraph" w:styleId="TableofFigures">
    <w:name w:val="table of figures"/>
    <w:basedOn w:val="Normal"/>
    <w:next w:val="Normal"/>
    <w:uiPriority w:val="99"/>
    <w:unhideWhenUsed/>
    <w:rsid w:val="00453C27"/>
    <w:pPr>
      <w:spacing w:after="0"/>
    </w:pPr>
    <w:rPr>
      <w:sz w:val="20"/>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rPr>
      <w:rFonts w:eastAsia="Times New Roman" w:cs="Times New Roman"/>
    </w:rPr>
  </w:style>
  <w:style w:type="paragraph" w:styleId="BalloonText">
    <w:name w:val="Balloon Text"/>
    <w:basedOn w:val="Normal"/>
    <w:link w:val="BalloonTextChar"/>
    <w:uiPriority w:val="99"/>
    <w:semiHidden/>
    <w:unhideWhenUsed/>
    <w:rsid w:val="00C908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rPr>
      <w:sz w:val="20"/>
      <w:szCs w:val="20"/>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spacing w:after="0"/>
    </w:p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99"/>
    <w:unhideWhenUsed/>
    <w:rsid w:val="00046372"/>
    <w:pPr>
      <w:tabs>
        <w:tab w:val="center" w:pos="4513"/>
        <w:tab w:val="right" w:pos="9026"/>
      </w:tabs>
      <w:spacing w:after="0"/>
    </w:pPr>
  </w:style>
  <w:style w:type="character" w:customStyle="1" w:styleId="FooterChar">
    <w:name w:val="Footer Char"/>
    <w:basedOn w:val="DefaultParagraphFont"/>
    <w:link w:val="Footer"/>
    <w:uiPriority w:val="99"/>
    <w:rsid w:val="00046372"/>
    <w:rPr>
      <w:rFonts w:ascii="Arial" w:hAnsi="Arial"/>
      <w:sz w:val="24"/>
    </w:rPr>
  </w:style>
  <w:style w:type="paragraph" w:customStyle="1" w:styleId="Tablesource">
    <w:name w:val="Table source"/>
    <w:basedOn w:val="Tabletext"/>
    <w:next w:val="Normal"/>
    <w:qFormat/>
    <w:rsid w:val="003D1FB1"/>
    <w:pPr>
      <w:spacing w:after="120"/>
    </w:pPr>
    <w:rPr>
      <w:rFonts w:asciiTheme="minorHAnsi" w:hAnsiTheme="minorHAnsi"/>
    </w:rPr>
  </w:style>
  <w:style w:type="paragraph" w:styleId="NormalWeb">
    <w:name w:val="Normal (Web)"/>
    <w:basedOn w:val="Normal"/>
    <w:uiPriority w:val="99"/>
    <w:semiHidden/>
    <w:unhideWhenUsed/>
    <w:rsid w:val="000D6251"/>
    <w:rPr>
      <w:rFonts w:ascii="Times New Roman" w:hAnsi="Times New Roman" w:cs="Times New Roman"/>
      <w:szCs w:val="24"/>
    </w:rPr>
  </w:style>
  <w:style w:type="paragraph" w:customStyle="1" w:styleId="CAtext">
    <w:name w:val="CA text"/>
    <w:basedOn w:val="Normal"/>
    <w:link w:val="CAtextChar"/>
    <w:qFormat/>
    <w:rsid w:val="00F96AA8"/>
    <w:pPr>
      <w:spacing w:after="160" w:line="264" w:lineRule="auto"/>
    </w:pPr>
    <w:rPr>
      <w:rFonts w:eastAsia="Times New Roman" w:cs="Arial"/>
      <w:bCs/>
    </w:rPr>
  </w:style>
  <w:style w:type="character" w:customStyle="1" w:styleId="CAtextChar">
    <w:name w:val="CA text Char"/>
    <w:basedOn w:val="DefaultParagraphFont"/>
    <w:link w:val="CAtext"/>
    <w:rsid w:val="00F96AA8"/>
    <w:rPr>
      <w:rFonts w:ascii="Arial" w:eastAsia="Times New Roman" w:hAnsi="Arial" w:cs="Arial"/>
      <w:bCs/>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B87A54"/>
    <w:pPr>
      <w:keepNext/>
      <w:spacing w:before="120" w:after="120"/>
      <w:jc w:val="left"/>
    </w:pPr>
    <w:rPr>
      <w:rFonts w:ascii="Calibri" w:hAnsi="Calibri" w:cs="Calibri"/>
      <w:b w:val="0"/>
      <w:bCs/>
      <w:sz w:val="28"/>
    </w:rPr>
  </w:style>
  <w:style w:type="paragraph" w:customStyle="1" w:styleId="Endpagetext">
    <w:name w:val="End page text"/>
    <w:qFormat/>
    <w:rsid w:val="003D1FB1"/>
    <w:pPr>
      <w:spacing w:after="120" w:line="276" w:lineRule="auto"/>
    </w:pPr>
    <w:rPr>
      <w:rFonts w:ascii="Cambria" w:hAnsi="Cambria"/>
      <w:sz w:val="18"/>
      <w:szCs w:val="18"/>
    </w:rPr>
  </w:style>
  <w:style w:type="paragraph" w:customStyle="1" w:styleId="Instructiontext">
    <w:name w:val="Instruction text"/>
    <w:basedOn w:val="Normal"/>
    <w:next w:val="Normal"/>
    <w:qFormat/>
    <w:rsid w:val="003D1FB1"/>
    <w:rPr>
      <w:color w:val="44546A" w:themeColor="text2"/>
      <w:shd w:val="clear" w:color="auto" w:fill="DEEAF6" w:themeFill="accent1" w:themeFillTint="33"/>
    </w:rPr>
  </w:style>
  <w:style w:type="paragraph" w:customStyle="1" w:styleId="Author">
    <w:name w:val="Author"/>
    <w:basedOn w:val="Normal"/>
    <w:next w:val="Normal"/>
    <w:uiPriority w:val="24"/>
    <w:qFormat/>
    <w:rsid w:val="004A269D"/>
    <w:pPr>
      <w:spacing w:after="60"/>
    </w:pPr>
    <w:rPr>
      <w:b/>
      <w:sz w:val="24"/>
      <w:szCs w:val="28"/>
    </w:rPr>
  </w:style>
  <w:style w:type="character" w:customStyle="1" w:styleId="Crossreference">
    <w:name w:val="Cross reference"/>
    <w:basedOn w:val="DefaultParagraphFont"/>
    <w:uiPriority w:val="1"/>
    <w:qFormat/>
    <w:rsid w:val="006E4C1F"/>
    <w:rPr>
      <w:u w:val="single"/>
    </w:rPr>
  </w:style>
  <w:style w:type="paragraph" w:customStyle="1" w:styleId="Boxedtext">
    <w:name w:val="Boxed text"/>
    <w:basedOn w:val="Normal"/>
    <w:next w:val="Normal"/>
    <w:qFormat/>
    <w:rsid w:val="00B860C1"/>
    <w:pPr>
      <w:pBdr>
        <w:top w:val="single" w:sz="4" w:space="1" w:color="auto"/>
        <w:left w:val="single" w:sz="4" w:space="1" w:color="auto"/>
        <w:bottom w:val="single" w:sz="4" w:space="1" w:color="auto"/>
        <w:right w:val="single" w:sz="4" w:space="1" w:color="auto"/>
      </w:pBdr>
      <w:jc w:val="center"/>
    </w:p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251CB0"/>
    <w:pPr>
      <w:spacing w:before="60" w:after="60" w:line="240" w:lineRule="auto"/>
    </w:pPr>
    <w:rPr>
      <w:sz w:val="18"/>
    </w:rPr>
  </w:style>
  <w:style w:type="paragraph" w:customStyle="1" w:styleId="TableHeading">
    <w:name w:val="Table Heading"/>
    <w:basedOn w:val="TableText0"/>
    <w:uiPriority w:val="14"/>
    <w:qFormat/>
    <w:rsid w:val="00251CB0"/>
    <w:pPr>
      <w:keepNext/>
    </w:pPr>
    <w:rPr>
      <w:b/>
    </w:rPr>
  </w:style>
  <w:style w:type="paragraph" w:customStyle="1" w:styleId="AppendixHeading1">
    <w:name w:val="Appendix Heading 1"/>
    <w:basedOn w:val="Heading1"/>
    <w:qFormat/>
    <w:rsid w:val="001639F5"/>
    <w:pPr>
      <w:pageBreakBefore/>
      <w:numPr>
        <w:numId w:val="0"/>
      </w:numPr>
      <w:spacing w:before="0"/>
    </w:pPr>
  </w:style>
  <w:style w:type="paragraph" w:customStyle="1" w:styleId="AppendixAHeading2">
    <w:name w:val="Appendix A Heading 2"/>
    <w:basedOn w:val="Heading2"/>
    <w:qFormat/>
    <w:rsid w:val="003D419D"/>
    <w:pPr>
      <w:numPr>
        <w:ilvl w:val="0"/>
        <w:numId w:val="5"/>
      </w:numPr>
      <w:ind w:left="0" w:firstLine="0"/>
    </w:pPr>
  </w:style>
  <w:style w:type="paragraph" w:customStyle="1" w:styleId="AppendixBHeading2">
    <w:name w:val="Appendix B Heading 2"/>
    <w:basedOn w:val="AppendixAHeading2"/>
    <w:qFormat/>
    <w:rsid w:val="001639F5"/>
    <w:pPr>
      <w:numPr>
        <w:numId w:val="6"/>
      </w:numPr>
      <w:ind w:left="0" w:firstLine="0"/>
    </w:pPr>
  </w:style>
  <w:style w:type="paragraph" w:customStyle="1" w:styleId="AppendixCHeading2">
    <w:name w:val="Appendix C Heading 2"/>
    <w:basedOn w:val="AppendixBHeading2"/>
    <w:qFormat/>
    <w:rsid w:val="001639F5"/>
    <w:pPr>
      <w:numPr>
        <w:numId w:val="7"/>
      </w:numPr>
      <w:ind w:left="0" w:firstLine="0"/>
    </w:pPr>
  </w:style>
  <w:style w:type="paragraph" w:styleId="ListParagraph">
    <w:name w:val="List Paragraph"/>
    <w:aliases w:val="DDM Gen Text,List Paragraph1,NFP GP Bulleted List,Recommendation,List Paragraph11,1 heading,Contents List Paragraph,M1M2 Heading 2,List 1 Paragraph,List paragraph"/>
    <w:basedOn w:val="Normal"/>
    <w:link w:val="ListParagraphChar"/>
    <w:uiPriority w:val="34"/>
    <w:qFormat/>
    <w:rsid w:val="00DF09D1"/>
    <w:pPr>
      <w:ind w:left="720"/>
      <w:contextualSpacing/>
    </w:pPr>
  </w:style>
  <w:style w:type="paragraph" w:customStyle="1" w:styleId="Consultationquestions">
    <w:name w:val="Consultation questions"/>
    <w:basedOn w:val="ListParagraph"/>
    <w:qFormat/>
    <w:rsid w:val="00DF09D1"/>
    <w:pPr>
      <w:numPr>
        <w:numId w:val="8"/>
      </w:numPr>
      <w:pBdr>
        <w:top w:val="single" w:sz="4" w:space="1" w:color="auto"/>
        <w:left w:val="single" w:sz="4" w:space="4" w:color="auto"/>
        <w:bottom w:val="single" w:sz="4" w:space="1" w:color="auto"/>
        <w:right w:val="single" w:sz="4" w:space="4" w:color="auto"/>
      </w:pBdr>
    </w:pPr>
    <w:rPr>
      <w:color w:val="808080" w:themeColor="background1" w:themeShade="80"/>
    </w:rPr>
  </w:style>
  <w:style w:type="character" w:customStyle="1" w:styleId="ListParagraphChar">
    <w:name w:val="List Paragraph Char"/>
    <w:aliases w:val="DDM Gen Text Char,List Paragraph1 Char,NFP GP Bulleted List Char,Recommendation Char,List Paragraph11 Char,1 heading Char,Contents List Paragraph Char,M1M2 Heading 2 Char,List 1 Paragraph Char,List paragraph Char"/>
    <w:basedOn w:val="DefaultParagraphFont"/>
    <w:link w:val="ListParagraph"/>
    <w:uiPriority w:val="34"/>
    <w:rsid w:val="006B75CB"/>
    <w:rPr>
      <w:rFonts w:ascii="Cambria" w:hAnsi="Cambria"/>
    </w:rPr>
  </w:style>
  <w:style w:type="paragraph" w:customStyle="1" w:styleId="tabletext1">
    <w:name w:val="table text"/>
    <w:basedOn w:val="Normal"/>
    <w:qFormat/>
    <w:rsid w:val="00D4612A"/>
    <w:pPr>
      <w:spacing w:after="100"/>
      <w:ind w:left="274"/>
    </w:pPr>
    <w:rPr>
      <w:rFonts w:ascii="Times New Roman" w:eastAsia="Times New Roman" w:hAnsi="Times New Roman" w:cs="Times New Roman"/>
      <w:szCs w:val="24"/>
      <w:lang w:eastAsia="en-AU"/>
    </w:rPr>
  </w:style>
  <w:style w:type="paragraph" w:customStyle="1" w:styleId="twentypointnormal">
    <w:name w:val="twenty point normal"/>
    <w:basedOn w:val="Normal"/>
    <w:qFormat/>
    <w:rsid w:val="0057796B"/>
    <w:pPr>
      <w:spacing w:after="400"/>
      <w:ind w:left="274"/>
    </w:pPr>
    <w:rPr>
      <w:rFonts w:ascii="Times New Roman" w:eastAsia="Times New Roman" w:hAnsi="Times New Roman" w:cs="Times New Roman"/>
      <w:sz w:val="24"/>
      <w:szCs w:val="24"/>
      <w:lang w:eastAsia="en-AU"/>
    </w:rPr>
  </w:style>
  <w:style w:type="paragraph" w:customStyle="1" w:styleId="Figuretitle">
    <w:name w:val="Figure title"/>
    <w:basedOn w:val="Normal"/>
    <w:qFormat/>
    <w:rsid w:val="008D7D8B"/>
    <w:pPr>
      <w:ind w:left="274"/>
    </w:pPr>
    <w:rPr>
      <w:rFonts w:ascii="Times New Roman" w:eastAsia="Times New Roman" w:hAnsi="Times New Roman" w:cs="Times New Roman"/>
      <w:b/>
      <w:sz w:val="24"/>
      <w:szCs w:val="24"/>
      <w:lang w:eastAsia="en-AU"/>
    </w:rPr>
  </w:style>
  <w:style w:type="paragraph" w:customStyle="1" w:styleId="HeadingNew3">
    <w:name w:val="HeadingNew3"/>
    <w:basedOn w:val="Normal"/>
    <w:link w:val="HeadingNew3Char"/>
    <w:qFormat/>
    <w:rsid w:val="004A7AE8"/>
    <w:pPr>
      <w:keepNext/>
      <w:spacing w:before="300"/>
      <w:ind w:left="274" w:hanging="58"/>
    </w:pPr>
    <w:rPr>
      <w:rFonts w:ascii="Times New Roman" w:eastAsia="Times New Roman" w:hAnsi="Times New Roman" w:cs="Times New Roman"/>
      <w:b/>
      <w:i/>
      <w:sz w:val="24"/>
      <w:szCs w:val="24"/>
      <w:lang w:eastAsia="en-AU"/>
    </w:rPr>
  </w:style>
  <w:style w:type="character" w:customStyle="1" w:styleId="HeadingNew3Char">
    <w:name w:val="HeadingNew3 Char"/>
    <w:basedOn w:val="DefaultParagraphFont"/>
    <w:link w:val="HeadingNew3"/>
    <w:rsid w:val="004A7AE8"/>
    <w:rPr>
      <w:rFonts w:ascii="Times New Roman" w:eastAsia="Times New Roman" w:hAnsi="Times New Roman" w:cs="Times New Roman"/>
      <w:b/>
      <w:i/>
      <w:sz w:val="24"/>
      <w:szCs w:val="24"/>
      <w:lang w:eastAsia="en-AU"/>
    </w:rPr>
  </w:style>
  <w:style w:type="paragraph" w:customStyle="1" w:styleId="HeadingNew4">
    <w:name w:val="HeadingNew4"/>
    <w:basedOn w:val="HeadingNew3"/>
    <w:next w:val="Normal"/>
    <w:autoRedefine/>
    <w:qFormat/>
    <w:rsid w:val="008634F2"/>
    <w:pPr>
      <w:ind w:left="0" w:firstLine="0"/>
    </w:pPr>
    <w:rPr>
      <w:rFonts w:ascii="Cambria" w:hAnsi="Cambria"/>
      <w:bCs/>
      <w:i w:val="0"/>
      <w:iCs/>
    </w:rPr>
  </w:style>
  <w:style w:type="paragraph" w:customStyle="1" w:styleId="tabletitle">
    <w:name w:val="table title"/>
    <w:basedOn w:val="Normal"/>
    <w:qFormat/>
    <w:rsid w:val="00ED43B5"/>
    <w:pPr>
      <w:keepNext/>
      <w:spacing w:before="200"/>
      <w:ind w:left="274"/>
    </w:pPr>
    <w:rPr>
      <w:rFonts w:ascii="Times New Roman" w:eastAsia="Times New Roman" w:hAnsi="Times New Roman" w:cs="Times New Roman"/>
      <w:b/>
      <w:sz w:val="24"/>
      <w:szCs w:val="24"/>
      <w:lang w:val="en-US" w:eastAsia="en-AU"/>
    </w:rPr>
  </w:style>
  <w:style w:type="character" w:styleId="Strong">
    <w:name w:val="Strong"/>
    <w:uiPriority w:val="22"/>
    <w:qFormat/>
    <w:rsid w:val="00B32DE8"/>
    <w:rPr>
      <w:b/>
      <w:bCs/>
    </w:rPr>
  </w:style>
  <w:style w:type="paragraph" w:customStyle="1" w:styleId="tableheadertext">
    <w:name w:val="table header text"/>
    <w:basedOn w:val="Normal"/>
    <w:autoRedefine/>
    <w:qFormat/>
    <w:rsid w:val="00CD5901"/>
    <w:pPr>
      <w:keepNext/>
      <w:spacing w:after="0"/>
    </w:pPr>
    <w:rPr>
      <w:rFonts w:eastAsia="Times New Roman" w:cs="Times New Roman"/>
      <w:b/>
      <w:lang w:val="en-US" w:eastAsia="en-AU"/>
    </w:rPr>
  </w:style>
  <w:style w:type="character" w:styleId="Emphasis">
    <w:name w:val="Emphasis"/>
    <w:qFormat/>
    <w:rsid w:val="00052172"/>
    <w:rPr>
      <w:i/>
      <w:iCs/>
    </w:rPr>
  </w:style>
  <w:style w:type="character" w:customStyle="1" w:styleId="apple-style-span">
    <w:name w:val="apple-style-span"/>
    <w:uiPriority w:val="99"/>
    <w:rsid w:val="00795AD3"/>
  </w:style>
  <w:style w:type="paragraph" w:customStyle="1" w:styleId="HeadingNew2">
    <w:name w:val="HeadingNew2"/>
    <w:basedOn w:val="Normal"/>
    <w:link w:val="HeadingNew2Char"/>
    <w:qFormat/>
    <w:rsid w:val="004E3390"/>
    <w:pPr>
      <w:keepNext/>
      <w:spacing w:before="300"/>
      <w:ind w:left="274"/>
    </w:pPr>
    <w:rPr>
      <w:rFonts w:ascii="Times New Roman" w:eastAsia="Times New Roman" w:hAnsi="Times New Roman" w:cs="Times New Roman"/>
      <w:b/>
      <w:sz w:val="24"/>
      <w:szCs w:val="24"/>
      <w:lang w:eastAsia="en-AU"/>
    </w:rPr>
  </w:style>
  <w:style w:type="character" w:customStyle="1" w:styleId="HeadingNew2Char">
    <w:name w:val="HeadingNew2 Char"/>
    <w:basedOn w:val="DefaultParagraphFont"/>
    <w:link w:val="HeadingNew2"/>
    <w:rsid w:val="004E3390"/>
    <w:rPr>
      <w:rFonts w:ascii="Times New Roman" w:eastAsia="Times New Roman" w:hAnsi="Times New Roman" w:cs="Times New Roman"/>
      <w:b/>
      <w:sz w:val="24"/>
      <w:szCs w:val="24"/>
      <w:lang w:eastAsia="en-AU"/>
    </w:rPr>
  </w:style>
  <w:style w:type="paragraph" w:customStyle="1" w:styleId="minoritalics">
    <w:name w:val="minor italics"/>
    <w:basedOn w:val="Normal"/>
    <w:qFormat/>
    <w:rsid w:val="00894EEB"/>
    <w:pPr>
      <w:keepNext/>
      <w:spacing w:before="400"/>
      <w:ind w:left="274"/>
    </w:pPr>
    <w:rPr>
      <w:rFonts w:ascii="Times New Roman" w:eastAsia="Times New Roman" w:hAnsi="Times New Roman" w:cs="Times New Roman"/>
      <w:i/>
      <w:sz w:val="24"/>
      <w:szCs w:val="24"/>
      <w:lang w:eastAsia="en-AU"/>
    </w:rPr>
  </w:style>
  <w:style w:type="paragraph" w:customStyle="1" w:styleId="singlespacebodytext">
    <w:name w:val="single space body text"/>
    <w:basedOn w:val="Normal"/>
    <w:qFormat/>
    <w:rsid w:val="006C70F4"/>
    <w:pPr>
      <w:spacing w:after="0"/>
      <w:ind w:left="274"/>
    </w:pPr>
    <w:rPr>
      <w:rFonts w:ascii="Times New Roman" w:eastAsia="Times New Roman" w:hAnsi="Times New Roman" w:cs="Times New Roman"/>
      <w:sz w:val="20"/>
      <w:szCs w:val="24"/>
      <w:lang w:eastAsia="en-AU"/>
    </w:rPr>
  </w:style>
  <w:style w:type="character" w:customStyle="1" w:styleId="afdprefcommonname">
    <w:name w:val="afdprefcommonname"/>
    <w:basedOn w:val="DefaultParagraphFont"/>
    <w:rsid w:val="00913E23"/>
  </w:style>
  <w:style w:type="paragraph" w:customStyle="1" w:styleId="body">
    <w:name w:val="body"/>
    <w:basedOn w:val="Default"/>
    <w:next w:val="Default"/>
    <w:uiPriority w:val="99"/>
    <w:rsid w:val="00AA792C"/>
    <w:rPr>
      <w:rFonts w:ascii="Arial" w:eastAsia="Calibri" w:hAnsi="Arial" w:cs="Arial"/>
      <w:color w:val="auto"/>
      <w:lang w:eastAsia="en-AU"/>
    </w:rPr>
  </w:style>
  <w:style w:type="paragraph" w:styleId="Revision">
    <w:name w:val="Revision"/>
    <w:hidden/>
    <w:uiPriority w:val="99"/>
    <w:semiHidden/>
    <w:rsid w:val="00395E9B"/>
    <w:pPr>
      <w:spacing w:after="0" w:line="240" w:lineRule="auto"/>
    </w:pPr>
    <w:rPr>
      <w:rFonts w:ascii="Cambria" w:hAnsi="Cambria"/>
    </w:rPr>
  </w:style>
  <w:style w:type="paragraph" w:customStyle="1" w:styleId="pf0">
    <w:name w:val="pf0"/>
    <w:basedOn w:val="Normal"/>
    <w:rsid w:val="00921D7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76001D"/>
    <w:rPr>
      <w:rFonts w:ascii="Segoe UI" w:hAnsi="Segoe UI" w:cs="Segoe UI" w:hint="default"/>
      <w:sz w:val="18"/>
      <w:szCs w:val="18"/>
    </w:rPr>
  </w:style>
  <w:style w:type="paragraph" w:styleId="ListBullet2">
    <w:name w:val="List Bullet 2"/>
    <w:basedOn w:val="Normal"/>
    <w:uiPriority w:val="99"/>
    <w:semiHidden/>
    <w:unhideWhenUsed/>
    <w:rsid w:val="005371CB"/>
    <w:pPr>
      <w:numPr>
        <w:numId w:val="84"/>
      </w:numPr>
      <w:contextualSpacing/>
    </w:pPr>
  </w:style>
  <w:style w:type="table" w:customStyle="1" w:styleId="TableGrid1">
    <w:name w:val="Table Grid1"/>
    <w:basedOn w:val="TableNormal"/>
    <w:next w:val="TableGrid"/>
    <w:uiPriority w:val="39"/>
    <w:rsid w:val="00601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96559679">
      <w:bodyDiv w:val="1"/>
      <w:marLeft w:val="0"/>
      <w:marRight w:val="0"/>
      <w:marTop w:val="0"/>
      <w:marBottom w:val="0"/>
      <w:divBdr>
        <w:top w:val="none" w:sz="0" w:space="0" w:color="auto"/>
        <w:left w:val="none" w:sz="0" w:space="0" w:color="auto"/>
        <w:bottom w:val="none" w:sz="0" w:space="0" w:color="auto"/>
        <w:right w:val="none" w:sz="0" w:space="0" w:color="auto"/>
      </w:divBdr>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9557">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27494">
      <w:bodyDiv w:val="1"/>
      <w:marLeft w:val="0"/>
      <w:marRight w:val="0"/>
      <w:marTop w:val="0"/>
      <w:marBottom w:val="0"/>
      <w:divBdr>
        <w:top w:val="none" w:sz="0" w:space="0" w:color="auto"/>
        <w:left w:val="none" w:sz="0" w:space="0" w:color="auto"/>
        <w:bottom w:val="none" w:sz="0" w:space="0" w:color="auto"/>
        <w:right w:val="none" w:sz="0" w:space="0" w:color="auto"/>
      </w:divBdr>
    </w:div>
    <w:div w:id="1520049881">
      <w:bodyDiv w:val="1"/>
      <w:marLeft w:val="0"/>
      <w:marRight w:val="0"/>
      <w:marTop w:val="0"/>
      <w:marBottom w:val="0"/>
      <w:divBdr>
        <w:top w:val="none" w:sz="0" w:space="0" w:color="auto"/>
        <w:left w:val="none" w:sz="0" w:space="0" w:color="auto"/>
        <w:bottom w:val="none" w:sz="0" w:space="0" w:color="auto"/>
        <w:right w:val="none" w:sz="0" w:space="0" w:color="auto"/>
      </w:divBdr>
    </w:div>
    <w:div w:id="1638342998">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13498">
      <w:bodyDiv w:val="1"/>
      <w:marLeft w:val="0"/>
      <w:marRight w:val="0"/>
      <w:marTop w:val="0"/>
      <w:marBottom w:val="0"/>
      <w:divBdr>
        <w:top w:val="none" w:sz="0" w:space="0" w:color="auto"/>
        <w:left w:val="none" w:sz="0" w:space="0" w:color="auto"/>
        <w:bottom w:val="none" w:sz="0" w:space="0" w:color="auto"/>
        <w:right w:val="none" w:sz="0" w:space="0" w:color="auto"/>
      </w:divBdr>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846579">
      <w:bodyDiv w:val="1"/>
      <w:marLeft w:val="0"/>
      <w:marRight w:val="0"/>
      <w:marTop w:val="0"/>
      <w:marBottom w:val="0"/>
      <w:divBdr>
        <w:top w:val="none" w:sz="0" w:space="0" w:color="auto"/>
        <w:left w:val="none" w:sz="0" w:space="0" w:color="auto"/>
        <w:bottom w:val="none" w:sz="0" w:space="0" w:color="auto"/>
        <w:right w:val="none" w:sz="0" w:space="0" w:color="auto"/>
      </w:divBdr>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47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mailto:copyright@awe.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legislation.gov.au/Details/F2020C00778"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cdn.environment.sa.gov.au/landscape/images/2023-Macro-GUIDE.pdf" TargetMode="External"/><Relationship Id="rId31" Type="http://schemas.openxmlformats.org/officeDocument/2006/relationships/hyperlink" Target="http://www.environment.gov.au/system/files/pages/d72dfd1a-f0d8-4699-8d43-5d95bbb02428/files/guidelines-ecological-communities.pdf" TargetMode="External"/><Relationship Id="rId44" Type="http://schemas.openxmlformats.org/officeDocument/2006/relationships/image" Target="media/image20.png"/><Relationship Id="rId52" Type="http://schemas.openxmlformats.org/officeDocument/2006/relationships/hyperlink" Target="http://agriculture.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7.wmf"/><Relationship Id="rId30" Type="http://schemas.openxmlformats.org/officeDocument/2006/relationships/hyperlink" Target="https://www.legislation.gov.au/Details/F2020C00778" TargetMode="External"/><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hyperlink" Target="http://www.environment.gov.au/cgi-bin/sprat/public/sprat.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svg"/><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s://cdn.environment.sa.gov.au/landscape/images/2023-Macro-GUIDE.pdf" TargetMode="External"/><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yperlink" Target="http://www.environment.gov.au/cgi-bin/sprat/public/publicgetkeythreats.pl" TargetMode="External"/><Relationship Id="rId36" Type="http://schemas.openxmlformats.org/officeDocument/2006/relationships/image" Target="media/image12.png"/><Relationship Id="rId49"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30</TotalTime>
  <Pages>212</Pages>
  <Words>89680</Words>
  <Characters>511181</Characters>
  <Application>Microsoft Office Word</Application>
  <DocSecurity>0</DocSecurity>
  <Lines>4259</Lines>
  <Paragraphs>1199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NEWTON</dc:creator>
  <cp:keywords/>
  <dc:description/>
  <cp:lastModifiedBy>Gina NEWTON</cp:lastModifiedBy>
  <cp:revision>7</cp:revision>
  <cp:lastPrinted>2024-09-11T04:55:00Z</cp:lastPrinted>
  <dcterms:created xsi:type="dcterms:W3CDTF">2024-09-05T05:45:00Z</dcterms:created>
  <dcterms:modified xsi:type="dcterms:W3CDTF">2024-09-11T04:55:00Z</dcterms:modified>
</cp:coreProperties>
</file>