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E3E98" w14:textId="7EFFB38C" w:rsidR="00764D6A" w:rsidRPr="00DA7545" w:rsidRDefault="00F14B93" w:rsidP="00A4349F">
      <w:pPr>
        <w:pStyle w:val="Heading1"/>
        <w:spacing w:before="1300"/>
        <w:rPr>
          <w:sz w:val="56"/>
          <w:szCs w:val="56"/>
        </w:rPr>
      </w:pPr>
      <w:r w:rsidRPr="00DA7545">
        <w:rPr>
          <w:noProof/>
          <w:sz w:val="56"/>
          <w:szCs w:val="56"/>
        </w:rPr>
        <w:drawing>
          <wp:anchor distT="0" distB="0" distL="114300" distR="114300" simplePos="0" relativeHeight="251658240" behindDoc="1" locked="0" layoutInCell="1" allowOverlap="1" wp14:anchorId="6BD028EA" wp14:editId="2F9EBF3A">
            <wp:simplePos x="0" y="0"/>
            <wp:positionH relativeFrom="page">
              <wp:align>left</wp:align>
            </wp:positionH>
            <wp:positionV relativeFrom="paragraph">
              <wp:posOffset>-877852</wp:posOffset>
            </wp:positionV>
            <wp:extent cx="7573645" cy="10713085"/>
            <wp:effectExtent l="0" t="0" r="8255" b="0"/>
            <wp:wrapNone/>
            <wp:docPr id="215967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67834"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4038" cy="10713600"/>
                    </a:xfrm>
                    <a:prstGeom prst="rect">
                      <a:avLst/>
                    </a:prstGeom>
                  </pic:spPr>
                </pic:pic>
              </a:graphicData>
            </a:graphic>
            <wp14:sizeRelH relativeFrom="margin">
              <wp14:pctWidth>0</wp14:pctWidth>
            </wp14:sizeRelH>
            <wp14:sizeRelV relativeFrom="margin">
              <wp14:pctHeight>0</wp14:pctHeight>
            </wp14:sizeRelV>
          </wp:anchor>
        </w:drawing>
      </w:r>
      <w:r w:rsidR="009944BD" w:rsidRPr="00DA7545">
        <w:rPr>
          <w:sz w:val="56"/>
          <w:szCs w:val="56"/>
        </w:rPr>
        <w:t>Amendment</w:t>
      </w:r>
      <w:r w:rsidR="0078412C">
        <w:rPr>
          <w:sz w:val="56"/>
          <w:szCs w:val="56"/>
        </w:rPr>
        <w:t>s</w:t>
      </w:r>
      <w:r w:rsidR="009944BD" w:rsidRPr="00DA7545">
        <w:rPr>
          <w:noProof/>
          <w:sz w:val="56"/>
          <w:szCs w:val="56"/>
        </w:rPr>
        <w:t xml:space="preserve"> to the </w:t>
      </w:r>
      <w:r w:rsidR="009944BD" w:rsidRPr="00DA7545">
        <w:rPr>
          <w:sz w:val="56"/>
          <w:szCs w:val="56"/>
        </w:rPr>
        <w:t>Water Efficiency Labelling and Standards Determination 2013 (No. 2)</w:t>
      </w:r>
    </w:p>
    <w:p w14:paraId="60D43298" w14:textId="79DBC41E" w:rsidR="00764D6A" w:rsidRPr="00DA7545" w:rsidRDefault="009944BD">
      <w:pPr>
        <w:pStyle w:val="Subtitle"/>
        <w:rPr>
          <w:sz w:val="48"/>
          <w:szCs w:val="48"/>
        </w:rPr>
      </w:pPr>
      <w:r w:rsidRPr="00DA7545">
        <w:rPr>
          <w:sz w:val="48"/>
          <w:szCs w:val="48"/>
        </w:rPr>
        <w:t xml:space="preserve">Consultation </w:t>
      </w:r>
      <w:r w:rsidR="0078412C">
        <w:rPr>
          <w:sz w:val="48"/>
          <w:szCs w:val="48"/>
        </w:rPr>
        <w:t>p</w:t>
      </w:r>
      <w:r w:rsidRPr="00DA7545">
        <w:rPr>
          <w:sz w:val="48"/>
          <w:szCs w:val="48"/>
        </w:rPr>
        <w:t>aper</w:t>
      </w:r>
    </w:p>
    <w:p w14:paraId="5A1AF61E" w14:textId="41855FF9" w:rsidR="00764D6A" w:rsidRPr="005D3790" w:rsidRDefault="009944BD" w:rsidP="001334E6">
      <w:pPr>
        <w:pStyle w:val="AuthorOrganisationAffiliation"/>
        <w:tabs>
          <w:tab w:val="left" w:pos="7995"/>
        </w:tabs>
        <w:spacing w:after="500"/>
        <w:ind w:left="42"/>
      </w:pPr>
      <w:r>
        <w:t>Department of Climate Change, Energy</w:t>
      </w:r>
      <w:r w:rsidR="00150E0C">
        <w:t>,</w:t>
      </w:r>
      <w:r>
        <w:t xml:space="preserve"> the Environment and Water</w:t>
      </w:r>
    </w:p>
    <w:p w14:paraId="5760C9C5" w14:textId="77777777" w:rsidR="00764D6A" w:rsidRDefault="00E91D72">
      <w:pPr>
        <w:pStyle w:val="Normalsmall"/>
      </w:pPr>
      <w:r>
        <w:br w:type="page"/>
      </w:r>
      <w:r>
        <w:lastRenderedPageBreak/>
        <w:t xml:space="preserve">© Commonwealth of Australia </w:t>
      </w:r>
      <w:r w:rsidR="00B97E61">
        <w:t>202</w:t>
      </w:r>
      <w:r w:rsidR="00A32152">
        <w:t>4</w:t>
      </w:r>
    </w:p>
    <w:p w14:paraId="3729617C" w14:textId="77777777" w:rsidR="00764D6A" w:rsidRDefault="00E91D72">
      <w:pPr>
        <w:pStyle w:val="Normalsmall"/>
        <w:rPr>
          <w:rStyle w:val="Strong"/>
        </w:rPr>
      </w:pPr>
      <w:r>
        <w:rPr>
          <w:rStyle w:val="Strong"/>
        </w:rPr>
        <w:t>Ownership of intellectual property rights</w:t>
      </w:r>
    </w:p>
    <w:p w14:paraId="498DA07F"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95308CB" w14:textId="77777777" w:rsidR="00764D6A" w:rsidRDefault="00E91D72">
      <w:pPr>
        <w:pStyle w:val="Normalsmall"/>
        <w:rPr>
          <w:rStyle w:val="Strong"/>
        </w:rPr>
      </w:pPr>
      <w:r>
        <w:rPr>
          <w:rStyle w:val="Strong"/>
        </w:rPr>
        <w:t>Creative Commons licence</w:t>
      </w:r>
    </w:p>
    <w:p w14:paraId="618539B9" w14:textId="77777777" w:rsidR="00764D6A" w:rsidRDefault="00E91D72">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4F045036" w14:textId="77777777" w:rsidR="00764D6A" w:rsidRPr="00364A4A" w:rsidRDefault="00E91D72">
      <w:pPr>
        <w:pStyle w:val="Normalsmall"/>
      </w:pPr>
      <w:r>
        <w:t xml:space="preserve">Inquiries about the licence and any use of this document should be </w:t>
      </w:r>
      <w:r w:rsidRPr="00364A4A">
        <w:t xml:space="preserve">emailed to </w:t>
      </w:r>
      <w:hyperlink r:id="rId13" w:history="1">
        <w:r w:rsidR="00D86640">
          <w:rPr>
            <w:rStyle w:val="Hyperlink"/>
          </w:rPr>
          <w:t>copyright@dcceew.gov.au</w:t>
        </w:r>
      </w:hyperlink>
      <w:r w:rsidRPr="00364A4A">
        <w:t>.</w:t>
      </w:r>
    </w:p>
    <w:p w14:paraId="738617EF" w14:textId="77777777" w:rsidR="00764D6A" w:rsidRPr="00364A4A" w:rsidRDefault="00E91D72">
      <w:pPr>
        <w:pStyle w:val="Normalsmall"/>
      </w:pPr>
      <w:r w:rsidRPr="00364A4A">
        <w:rPr>
          <w:noProof/>
          <w:lang w:eastAsia="en-AU"/>
        </w:rPr>
        <w:drawing>
          <wp:inline distT="0" distB="0" distL="0" distR="0" wp14:anchorId="49C66143" wp14:editId="5A8E32C9">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4"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7A511060" w14:textId="77777777" w:rsidR="00764D6A" w:rsidRPr="00364A4A" w:rsidRDefault="00E91D72">
      <w:pPr>
        <w:pStyle w:val="Normalsmall"/>
        <w:rPr>
          <w:rStyle w:val="Strong"/>
        </w:rPr>
      </w:pPr>
      <w:r w:rsidRPr="00364A4A">
        <w:rPr>
          <w:rStyle w:val="Strong"/>
        </w:rPr>
        <w:t>Cataloguing data</w:t>
      </w:r>
    </w:p>
    <w:p w14:paraId="12EE2A17" w14:textId="584E5F07" w:rsidR="00764D6A" w:rsidRDefault="00E91D72">
      <w:pPr>
        <w:pStyle w:val="Normalsmall"/>
      </w:pPr>
      <w:r w:rsidRPr="00364A4A">
        <w:t xml:space="preserve">This publication (and any material sourced from it) should be attributed as: </w:t>
      </w:r>
      <w:r w:rsidR="009D5007" w:rsidRPr="009944BD">
        <w:t>D</w:t>
      </w:r>
      <w:r w:rsidR="000F2194" w:rsidRPr="009944BD">
        <w:t>CCEEW</w:t>
      </w:r>
      <w:r w:rsidR="00B97E61" w:rsidRPr="009944BD">
        <w:t xml:space="preserve"> 202</w:t>
      </w:r>
      <w:r w:rsidR="009944BD" w:rsidRPr="009944BD">
        <w:t>4</w:t>
      </w:r>
      <w:r w:rsidRPr="009944BD">
        <w:t xml:space="preserve">, </w:t>
      </w:r>
      <w:r w:rsidR="009944BD" w:rsidRPr="009944BD">
        <w:t>Amendment</w:t>
      </w:r>
      <w:r w:rsidR="0078412C">
        <w:t>s</w:t>
      </w:r>
      <w:r w:rsidR="009944BD" w:rsidRPr="009944BD">
        <w:t xml:space="preserve"> to the Water Efficiency Labelling and Standards Determination 2013 (No. 2)</w:t>
      </w:r>
      <w:r>
        <w:t xml:space="preserve">, </w:t>
      </w:r>
      <w:r w:rsidR="006F065B" w:rsidRPr="006F065B">
        <w:t>Department of Climate Change, Energy, the Environment and Water</w:t>
      </w:r>
      <w:r>
        <w:t xml:space="preserve">, Canberra, </w:t>
      </w:r>
      <w:r w:rsidR="00E02732">
        <w:t>June</w:t>
      </w:r>
      <w:r>
        <w:t>. CC BY 4.0.</w:t>
      </w:r>
    </w:p>
    <w:p w14:paraId="55D16788" w14:textId="0F36F2BA" w:rsidR="00764D6A" w:rsidRDefault="00E91D72" w:rsidP="00C11857">
      <w:pPr>
        <w:pStyle w:val="Normalsmall"/>
        <w:ind w:right="-144"/>
      </w:pPr>
      <w:r>
        <w:t xml:space="preserve">This </w:t>
      </w:r>
      <w:r w:rsidRPr="00364A4A">
        <w:t xml:space="preserve">publication is available at </w:t>
      </w:r>
      <w:hyperlink r:id="rId15" w:history="1">
        <w:r w:rsidR="00B23444" w:rsidRPr="00B23444">
          <w:rPr>
            <w:rStyle w:val="Hyperlink"/>
          </w:rPr>
          <w:t>https://consult.dcceew.gov.au/proposed-legislative-changes-to-the-wels-determination-2013</w:t>
        </w:r>
      </w:hyperlink>
      <w:r w:rsidR="00B23444">
        <w:t xml:space="preserve">. </w:t>
      </w:r>
    </w:p>
    <w:p w14:paraId="5D7DA891" w14:textId="77777777" w:rsidR="00DE0AAE" w:rsidRDefault="00D86640">
      <w:pPr>
        <w:pStyle w:val="Normalsmall"/>
        <w:spacing w:after="0"/>
      </w:pPr>
      <w:r w:rsidRPr="00D86640">
        <w:t>Department of Climate Change, Energy, the Environment and Water</w:t>
      </w:r>
    </w:p>
    <w:p w14:paraId="38B8AC8D" w14:textId="77777777" w:rsidR="00764D6A" w:rsidRPr="00364A4A" w:rsidRDefault="00E91D72">
      <w:pPr>
        <w:pStyle w:val="Normalsmall"/>
        <w:spacing w:after="0"/>
      </w:pPr>
      <w:r w:rsidRPr="00364A4A">
        <w:t xml:space="preserve">GPO Box </w:t>
      </w:r>
      <w:r w:rsidR="008E2377">
        <w:t>3090</w:t>
      </w:r>
      <w:r w:rsidRPr="00364A4A">
        <w:t xml:space="preserve"> Canberra ACT 2601</w:t>
      </w:r>
    </w:p>
    <w:p w14:paraId="1FC069F4" w14:textId="77777777" w:rsidR="00764D6A" w:rsidRPr="00364A4A" w:rsidRDefault="00E91D72">
      <w:pPr>
        <w:pStyle w:val="Normalsmall"/>
        <w:spacing w:after="0"/>
      </w:pPr>
      <w:r w:rsidRPr="00364A4A">
        <w:t xml:space="preserve">Telephone </w:t>
      </w:r>
      <w:r w:rsidR="0089087A" w:rsidRPr="0089087A">
        <w:t>1800 920 528</w:t>
      </w:r>
    </w:p>
    <w:p w14:paraId="33AD691E" w14:textId="77777777" w:rsidR="00764D6A" w:rsidRPr="00364A4A" w:rsidRDefault="00E91D72">
      <w:pPr>
        <w:pStyle w:val="Normalsmall"/>
      </w:pPr>
      <w:bookmarkStart w:id="0" w:name="_Hlk108621036"/>
      <w:r w:rsidRPr="00364A4A">
        <w:t xml:space="preserve">Web </w:t>
      </w:r>
      <w:hyperlink r:id="rId16" w:history="1">
        <w:r w:rsidR="00D86640">
          <w:rPr>
            <w:rStyle w:val="Hyperlink"/>
          </w:rPr>
          <w:t>dcceew.gov.au</w:t>
        </w:r>
      </w:hyperlink>
    </w:p>
    <w:bookmarkEnd w:id="0"/>
    <w:p w14:paraId="1EA67593" w14:textId="77777777" w:rsidR="007C358A" w:rsidRDefault="007C358A">
      <w:pPr>
        <w:pStyle w:val="Normalsmall"/>
      </w:pPr>
      <w:r w:rsidRPr="00364A4A">
        <w:rPr>
          <w:rStyle w:val="Strong"/>
        </w:rPr>
        <w:t>Disclaimer</w:t>
      </w:r>
    </w:p>
    <w:p w14:paraId="72F93B6D" w14:textId="77777777" w:rsidR="00764D6A" w:rsidRDefault="00E91D72">
      <w:pPr>
        <w:pStyle w:val="Normalsmall"/>
      </w:pPr>
      <w:r>
        <w:t xml:space="preserve">The Australian Government acting through the </w:t>
      </w:r>
      <w:r w:rsidR="00D86640" w:rsidRPr="00D86640">
        <w:t>Department of Climate Change, Energy, the Environment and Water</w:t>
      </w:r>
      <w:r>
        <w:t xml:space="preserve"> has exercised due care and skill in preparing and compiling the information and data in this publication. Notwithstanding, the </w:t>
      </w:r>
      <w:r w:rsidR="00D86640" w:rsidRPr="00D86640">
        <w:t>Department of Climate Change, Energy, the Environment and Water</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1E7C4DC8" w14:textId="77777777" w:rsidR="00B02B9B" w:rsidRDefault="00B02B9B" w:rsidP="00B02B9B">
      <w:pPr>
        <w:pStyle w:val="Normalsmall"/>
      </w:pPr>
      <w:r>
        <w:rPr>
          <w:rStyle w:val="Strong"/>
        </w:rPr>
        <w:t>Acknowledgement of Country</w:t>
      </w:r>
    </w:p>
    <w:p w14:paraId="21C0AC2D" w14:textId="77777777" w:rsidR="00FC0B39" w:rsidRDefault="00B8745D" w:rsidP="00F448C4">
      <w:pPr>
        <w:pStyle w:val="Normalsmall"/>
      </w:pPr>
      <w:r w:rsidRPr="00B8745D">
        <w:t>We acknowledge the Traditional Owners of Country throughout Australia and recognise their continuing connection to land, waters and culture. We pay our respects to their Elders past and present</w:t>
      </w:r>
      <w:r w:rsidR="00FC0B39" w:rsidRPr="00FC0B39">
        <w:t>.</w:t>
      </w:r>
    </w:p>
    <w:p w14:paraId="779A0EDD" w14:textId="77777777" w:rsidR="00A32152" w:rsidRDefault="00A32152" w:rsidP="00CB2439">
      <w:pPr>
        <w:pStyle w:val="Heading2"/>
        <w:ind w:left="720" w:hanging="720"/>
      </w:pPr>
      <w:bookmarkStart w:id="1" w:name="_Toc430782148"/>
      <w:r>
        <w:br w:type="page"/>
      </w:r>
    </w:p>
    <w:bookmarkEnd w:id="1" w:displacedByCustomXml="next"/>
    <w:sdt>
      <w:sdtPr>
        <w:rPr>
          <w:rFonts w:ascii="Cambria" w:eastAsiaTheme="minorHAnsi" w:hAnsi="Cambria"/>
          <w:bCs w:val="0"/>
          <w:noProof/>
          <w:color w:val="auto"/>
          <w:sz w:val="22"/>
          <w:szCs w:val="22"/>
          <w:lang w:eastAsia="en-US"/>
        </w:rPr>
        <w:id w:val="-760297017"/>
        <w:docPartObj>
          <w:docPartGallery w:val="Table of Contents"/>
          <w:docPartUnique/>
        </w:docPartObj>
      </w:sdtPr>
      <w:sdtEndPr>
        <w:rPr>
          <w:rFonts w:asciiTheme="minorHAnsi" w:hAnsiTheme="minorHAnsi"/>
          <w:b/>
        </w:rPr>
      </w:sdtEndPr>
      <w:sdtContent>
        <w:p w14:paraId="6BA7A7EA" w14:textId="42C22D21" w:rsidR="00764D6A" w:rsidRDefault="00E91D72">
          <w:pPr>
            <w:pStyle w:val="TOCHeading"/>
          </w:pPr>
          <w:r>
            <w:t>Contents</w:t>
          </w:r>
        </w:p>
        <w:p w14:paraId="40E26448" w14:textId="1B914BD9" w:rsidR="00C11857"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71419286" w:history="1">
            <w:r w:rsidR="00C11857" w:rsidRPr="00C22813">
              <w:rPr>
                <w:rStyle w:val="Hyperlink"/>
              </w:rPr>
              <w:t>Summary</w:t>
            </w:r>
            <w:r w:rsidR="00C11857">
              <w:rPr>
                <w:webHidden/>
              </w:rPr>
              <w:tab/>
            </w:r>
            <w:r w:rsidR="00C11857">
              <w:rPr>
                <w:webHidden/>
              </w:rPr>
              <w:fldChar w:fldCharType="begin"/>
            </w:r>
            <w:r w:rsidR="00C11857">
              <w:rPr>
                <w:webHidden/>
              </w:rPr>
              <w:instrText xml:space="preserve"> PAGEREF _Toc171419286 \h </w:instrText>
            </w:r>
            <w:r w:rsidR="00C11857">
              <w:rPr>
                <w:webHidden/>
              </w:rPr>
            </w:r>
            <w:r w:rsidR="00C11857">
              <w:rPr>
                <w:webHidden/>
              </w:rPr>
              <w:fldChar w:fldCharType="separate"/>
            </w:r>
            <w:r w:rsidR="005A0E0E">
              <w:rPr>
                <w:webHidden/>
              </w:rPr>
              <w:t>iv</w:t>
            </w:r>
            <w:r w:rsidR="00C11857">
              <w:rPr>
                <w:webHidden/>
              </w:rPr>
              <w:fldChar w:fldCharType="end"/>
            </w:r>
          </w:hyperlink>
        </w:p>
        <w:p w14:paraId="482E07A8" w14:textId="0D58431D" w:rsidR="00C11857" w:rsidRDefault="00000000">
          <w:pPr>
            <w:pStyle w:val="TOC1"/>
            <w:rPr>
              <w:rFonts w:eastAsiaTheme="minorEastAsia"/>
              <w:b w:val="0"/>
              <w:kern w:val="2"/>
              <w:sz w:val="24"/>
              <w:szCs w:val="24"/>
              <w:lang w:eastAsia="en-AU"/>
              <w14:ligatures w14:val="standardContextual"/>
            </w:rPr>
          </w:pPr>
          <w:hyperlink w:anchor="_Toc171419287" w:history="1">
            <w:r w:rsidR="00C11857" w:rsidRPr="00C22813">
              <w:rPr>
                <w:rStyle w:val="Hyperlink"/>
              </w:rPr>
              <w:t>Introduction</w:t>
            </w:r>
            <w:r w:rsidR="00C11857">
              <w:rPr>
                <w:webHidden/>
              </w:rPr>
              <w:tab/>
            </w:r>
            <w:r w:rsidR="00C11857">
              <w:rPr>
                <w:webHidden/>
              </w:rPr>
              <w:fldChar w:fldCharType="begin"/>
            </w:r>
            <w:r w:rsidR="00C11857">
              <w:rPr>
                <w:webHidden/>
              </w:rPr>
              <w:instrText xml:space="preserve"> PAGEREF _Toc171419287 \h </w:instrText>
            </w:r>
            <w:r w:rsidR="00C11857">
              <w:rPr>
                <w:webHidden/>
              </w:rPr>
            </w:r>
            <w:r w:rsidR="00C11857">
              <w:rPr>
                <w:webHidden/>
              </w:rPr>
              <w:fldChar w:fldCharType="separate"/>
            </w:r>
            <w:r w:rsidR="005A0E0E">
              <w:rPr>
                <w:webHidden/>
              </w:rPr>
              <w:t>1</w:t>
            </w:r>
            <w:r w:rsidR="00C11857">
              <w:rPr>
                <w:webHidden/>
              </w:rPr>
              <w:fldChar w:fldCharType="end"/>
            </w:r>
          </w:hyperlink>
        </w:p>
        <w:p w14:paraId="28E88848" w14:textId="1B179841" w:rsidR="00C11857" w:rsidRDefault="00000000">
          <w:pPr>
            <w:pStyle w:val="TOC1"/>
            <w:rPr>
              <w:rFonts w:eastAsiaTheme="minorEastAsia"/>
              <w:b w:val="0"/>
              <w:kern w:val="2"/>
              <w:sz w:val="24"/>
              <w:szCs w:val="24"/>
              <w:lang w:eastAsia="en-AU"/>
              <w14:ligatures w14:val="standardContextual"/>
            </w:rPr>
          </w:pPr>
          <w:hyperlink w:anchor="_Toc171419288" w:history="1">
            <w:r w:rsidR="00C11857" w:rsidRPr="00C22813">
              <w:rPr>
                <w:rStyle w:val="Hyperlink"/>
              </w:rPr>
              <w:t>Government impacts</w:t>
            </w:r>
            <w:r w:rsidR="00C11857">
              <w:rPr>
                <w:webHidden/>
              </w:rPr>
              <w:tab/>
            </w:r>
            <w:r w:rsidR="00C11857">
              <w:rPr>
                <w:webHidden/>
              </w:rPr>
              <w:fldChar w:fldCharType="begin"/>
            </w:r>
            <w:r w:rsidR="00C11857">
              <w:rPr>
                <w:webHidden/>
              </w:rPr>
              <w:instrText xml:space="preserve"> PAGEREF _Toc171419288 \h </w:instrText>
            </w:r>
            <w:r w:rsidR="00C11857">
              <w:rPr>
                <w:webHidden/>
              </w:rPr>
            </w:r>
            <w:r w:rsidR="00C11857">
              <w:rPr>
                <w:webHidden/>
              </w:rPr>
              <w:fldChar w:fldCharType="separate"/>
            </w:r>
            <w:r w:rsidR="005A0E0E">
              <w:rPr>
                <w:webHidden/>
              </w:rPr>
              <w:t>2</w:t>
            </w:r>
            <w:r w:rsidR="00C11857">
              <w:rPr>
                <w:webHidden/>
              </w:rPr>
              <w:fldChar w:fldCharType="end"/>
            </w:r>
          </w:hyperlink>
        </w:p>
        <w:p w14:paraId="7BC0FA3C" w14:textId="63EEB8A8" w:rsidR="00C11857" w:rsidRDefault="00000000">
          <w:pPr>
            <w:pStyle w:val="TOC1"/>
            <w:rPr>
              <w:rFonts w:eastAsiaTheme="minorEastAsia"/>
              <w:b w:val="0"/>
              <w:kern w:val="2"/>
              <w:sz w:val="24"/>
              <w:szCs w:val="24"/>
              <w:lang w:eastAsia="en-AU"/>
              <w14:ligatures w14:val="standardContextual"/>
            </w:rPr>
          </w:pPr>
          <w:hyperlink w:anchor="_Toc171419289" w:history="1">
            <w:r w:rsidR="00C11857" w:rsidRPr="00C22813">
              <w:rPr>
                <w:rStyle w:val="Hyperlink"/>
              </w:rPr>
              <w:t>Industry impacts</w:t>
            </w:r>
            <w:r w:rsidR="00C11857">
              <w:rPr>
                <w:webHidden/>
              </w:rPr>
              <w:tab/>
            </w:r>
            <w:r w:rsidR="00C11857">
              <w:rPr>
                <w:webHidden/>
              </w:rPr>
              <w:fldChar w:fldCharType="begin"/>
            </w:r>
            <w:r w:rsidR="00C11857">
              <w:rPr>
                <w:webHidden/>
              </w:rPr>
              <w:instrText xml:space="preserve"> PAGEREF _Toc171419289 \h </w:instrText>
            </w:r>
            <w:r w:rsidR="00C11857">
              <w:rPr>
                <w:webHidden/>
              </w:rPr>
            </w:r>
            <w:r w:rsidR="00C11857">
              <w:rPr>
                <w:webHidden/>
              </w:rPr>
              <w:fldChar w:fldCharType="separate"/>
            </w:r>
            <w:r w:rsidR="005A0E0E">
              <w:rPr>
                <w:webHidden/>
              </w:rPr>
              <w:t>2</w:t>
            </w:r>
            <w:r w:rsidR="00C11857">
              <w:rPr>
                <w:webHidden/>
              </w:rPr>
              <w:fldChar w:fldCharType="end"/>
            </w:r>
          </w:hyperlink>
        </w:p>
        <w:p w14:paraId="354CC5F6" w14:textId="1DD4ACE3" w:rsidR="00C11857" w:rsidRDefault="00000000">
          <w:pPr>
            <w:pStyle w:val="TOC1"/>
            <w:rPr>
              <w:rFonts w:eastAsiaTheme="minorEastAsia"/>
              <w:b w:val="0"/>
              <w:kern w:val="2"/>
              <w:sz w:val="24"/>
              <w:szCs w:val="24"/>
              <w:lang w:eastAsia="en-AU"/>
              <w14:ligatures w14:val="standardContextual"/>
            </w:rPr>
          </w:pPr>
          <w:hyperlink w:anchor="_Toc171419290" w:history="1">
            <w:r w:rsidR="00C11857" w:rsidRPr="00C22813">
              <w:rPr>
                <w:rStyle w:val="Hyperlink"/>
              </w:rPr>
              <w:t>Feedback</w:t>
            </w:r>
            <w:r w:rsidR="00C11857">
              <w:rPr>
                <w:webHidden/>
              </w:rPr>
              <w:tab/>
            </w:r>
            <w:r w:rsidR="00C11857">
              <w:rPr>
                <w:webHidden/>
              </w:rPr>
              <w:fldChar w:fldCharType="begin"/>
            </w:r>
            <w:r w:rsidR="00C11857">
              <w:rPr>
                <w:webHidden/>
              </w:rPr>
              <w:instrText xml:space="preserve"> PAGEREF _Toc171419290 \h </w:instrText>
            </w:r>
            <w:r w:rsidR="00C11857">
              <w:rPr>
                <w:webHidden/>
              </w:rPr>
            </w:r>
            <w:r w:rsidR="00C11857">
              <w:rPr>
                <w:webHidden/>
              </w:rPr>
              <w:fldChar w:fldCharType="separate"/>
            </w:r>
            <w:r w:rsidR="005A0E0E">
              <w:rPr>
                <w:webHidden/>
              </w:rPr>
              <w:t>4</w:t>
            </w:r>
            <w:r w:rsidR="00C11857">
              <w:rPr>
                <w:webHidden/>
              </w:rPr>
              <w:fldChar w:fldCharType="end"/>
            </w:r>
          </w:hyperlink>
        </w:p>
        <w:p w14:paraId="5D533313" w14:textId="2F05224F" w:rsidR="00C11857" w:rsidRDefault="00000000">
          <w:pPr>
            <w:pStyle w:val="TOC1"/>
            <w:rPr>
              <w:rFonts w:eastAsiaTheme="minorEastAsia"/>
              <w:b w:val="0"/>
              <w:kern w:val="2"/>
              <w:sz w:val="24"/>
              <w:szCs w:val="24"/>
              <w:lang w:eastAsia="en-AU"/>
              <w14:ligatures w14:val="standardContextual"/>
            </w:rPr>
          </w:pPr>
          <w:hyperlink w:anchor="_Toc171419291" w:history="1">
            <w:r w:rsidR="00C11857" w:rsidRPr="00C22813">
              <w:rPr>
                <w:rStyle w:val="Hyperlink"/>
              </w:rPr>
              <w:t>Proposed changes</w:t>
            </w:r>
            <w:r w:rsidR="00C11857">
              <w:rPr>
                <w:webHidden/>
              </w:rPr>
              <w:tab/>
            </w:r>
            <w:r w:rsidR="00C11857">
              <w:rPr>
                <w:webHidden/>
              </w:rPr>
              <w:fldChar w:fldCharType="begin"/>
            </w:r>
            <w:r w:rsidR="00C11857">
              <w:rPr>
                <w:webHidden/>
              </w:rPr>
              <w:instrText xml:space="preserve"> PAGEREF _Toc171419291 \h </w:instrText>
            </w:r>
            <w:r w:rsidR="00C11857">
              <w:rPr>
                <w:webHidden/>
              </w:rPr>
            </w:r>
            <w:r w:rsidR="00C11857">
              <w:rPr>
                <w:webHidden/>
              </w:rPr>
              <w:fldChar w:fldCharType="separate"/>
            </w:r>
            <w:r w:rsidR="005A0E0E">
              <w:rPr>
                <w:webHidden/>
              </w:rPr>
              <w:t>5</w:t>
            </w:r>
            <w:r w:rsidR="00C11857">
              <w:rPr>
                <w:webHidden/>
              </w:rPr>
              <w:fldChar w:fldCharType="end"/>
            </w:r>
          </w:hyperlink>
        </w:p>
        <w:p w14:paraId="5BDB4F65" w14:textId="2D2ADD8A" w:rsidR="00C11857" w:rsidRDefault="00000000">
          <w:pPr>
            <w:pStyle w:val="TOC2"/>
            <w:tabs>
              <w:tab w:val="left" w:pos="1200"/>
            </w:tabs>
            <w:rPr>
              <w:rFonts w:eastAsiaTheme="minorEastAsia"/>
              <w:kern w:val="2"/>
              <w:sz w:val="24"/>
              <w:szCs w:val="24"/>
              <w:lang w:eastAsia="en-AU"/>
              <w14:ligatures w14:val="standardContextual"/>
            </w:rPr>
          </w:pPr>
          <w:hyperlink w:anchor="_Toc171419292" w:history="1">
            <w:r w:rsidR="00C11857" w:rsidRPr="00C22813">
              <w:rPr>
                <w:rStyle w:val="Hyperlink"/>
                <w:lang w:eastAsia="ja-JP"/>
              </w:rPr>
              <w:t>1.1</w:t>
            </w:r>
            <w:r w:rsidR="00C11857">
              <w:rPr>
                <w:rFonts w:eastAsiaTheme="minorEastAsia"/>
                <w:kern w:val="2"/>
                <w:sz w:val="24"/>
                <w:szCs w:val="24"/>
                <w:lang w:eastAsia="en-AU"/>
                <w14:ligatures w14:val="standardContextual"/>
              </w:rPr>
              <w:tab/>
            </w:r>
            <w:r w:rsidR="00C11857" w:rsidRPr="00C22813">
              <w:rPr>
                <w:rStyle w:val="Hyperlink"/>
                <w:lang w:eastAsia="ja-JP"/>
              </w:rPr>
              <w:t>Amendments to definitions and references</w:t>
            </w:r>
            <w:r w:rsidR="00C11857">
              <w:rPr>
                <w:webHidden/>
              </w:rPr>
              <w:tab/>
            </w:r>
            <w:r w:rsidR="00C11857">
              <w:rPr>
                <w:webHidden/>
              </w:rPr>
              <w:fldChar w:fldCharType="begin"/>
            </w:r>
            <w:r w:rsidR="00C11857">
              <w:rPr>
                <w:webHidden/>
              </w:rPr>
              <w:instrText xml:space="preserve"> PAGEREF _Toc171419292 \h </w:instrText>
            </w:r>
            <w:r w:rsidR="00C11857">
              <w:rPr>
                <w:webHidden/>
              </w:rPr>
            </w:r>
            <w:r w:rsidR="00C11857">
              <w:rPr>
                <w:webHidden/>
              </w:rPr>
              <w:fldChar w:fldCharType="separate"/>
            </w:r>
            <w:r w:rsidR="005A0E0E">
              <w:rPr>
                <w:webHidden/>
              </w:rPr>
              <w:t>5</w:t>
            </w:r>
            <w:r w:rsidR="00C11857">
              <w:rPr>
                <w:webHidden/>
              </w:rPr>
              <w:fldChar w:fldCharType="end"/>
            </w:r>
          </w:hyperlink>
        </w:p>
        <w:p w14:paraId="0781BA53" w14:textId="6AFC2303" w:rsidR="00C11857" w:rsidRDefault="00000000">
          <w:pPr>
            <w:pStyle w:val="TOC2"/>
            <w:tabs>
              <w:tab w:val="left" w:pos="1200"/>
            </w:tabs>
            <w:rPr>
              <w:rFonts w:eastAsiaTheme="minorEastAsia"/>
              <w:kern w:val="2"/>
              <w:sz w:val="24"/>
              <w:szCs w:val="24"/>
              <w:lang w:eastAsia="en-AU"/>
              <w14:ligatures w14:val="standardContextual"/>
            </w:rPr>
          </w:pPr>
          <w:hyperlink w:anchor="_Toc171419293" w:history="1">
            <w:r w:rsidR="00C11857" w:rsidRPr="00C22813">
              <w:rPr>
                <w:rStyle w:val="Hyperlink"/>
                <w:lang w:eastAsia="ja-JP"/>
              </w:rPr>
              <w:t>1.2</w:t>
            </w:r>
            <w:r w:rsidR="00C11857">
              <w:rPr>
                <w:rFonts w:eastAsiaTheme="minorEastAsia"/>
                <w:kern w:val="2"/>
                <w:sz w:val="24"/>
                <w:szCs w:val="24"/>
                <w:lang w:eastAsia="en-AU"/>
                <w14:ligatures w14:val="standardContextual"/>
              </w:rPr>
              <w:tab/>
            </w:r>
            <w:r w:rsidR="00C11857" w:rsidRPr="00C22813">
              <w:rPr>
                <w:rStyle w:val="Hyperlink"/>
                <w:lang w:eastAsia="ja-JP"/>
              </w:rPr>
              <w:t>Amendments to Section 5B</w:t>
            </w:r>
            <w:r w:rsidR="00C11857">
              <w:rPr>
                <w:webHidden/>
              </w:rPr>
              <w:tab/>
            </w:r>
            <w:r w:rsidR="00C11857">
              <w:rPr>
                <w:webHidden/>
              </w:rPr>
              <w:fldChar w:fldCharType="begin"/>
            </w:r>
            <w:r w:rsidR="00C11857">
              <w:rPr>
                <w:webHidden/>
              </w:rPr>
              <w:instrText xml:space="preserve"> PAGEREF _Toc171419293 \h </w:instrText>
            </w:r>
            <w:r w:rsidR="00C11857">
              <w:rPr>
                <w:webHidden/>
              </w:rPr>
            </w:r>
            <w:r w:rsidR="00C11857">
              <w:rPr>
                <w:webHidden/>
              </w:rPr>
              <w:fldChar w:fldCharType="separate"/>
            </w:r>
            <w:r w:rsidR="005A0E0E">
              <w:rPr>
                <w:webHidden/>
              </w:rPr>
              <w:t>9</w:t>
            </w:r>
            <w:r w:rsidR="00C11857">
              <w:rPr>
                <w:webHidden/>
              </w:rPr>
              <w:fldChar w:fldCharType="end"/>
            </w:r>
          </w:hyperlink>
        </w:p>
        <w:p w14:paraId="16D5B375" w14:textId="2E856BE5" w:rsidR="00C11857" w:rsidRDefault="00000000">
          <w:pPr>
            <w:pStyle w:val="TOC2"/>
            <w:tabs>
              <w:tab w:val="left" w:pos="1200"/>
            </w:tabs>
            <w:rPr>
              <w:rFonts w:eastAsiaTheme="minorEastAsia"/>
              <w:kern w:val="2"/>
              <w:sz w:val="24"/>
              <w:szCs w:val="24"/>
              <w:lang w:eastAsia="en-AU"/>
              <w14:ligatures w14:val="standardContextual"/>
            </w:rPr>
          </w:pPr>
          <w:hyperlink w:anchor="_Toc171419294" w:history="1">
            <w:r w:rsidR="00C11857" w:rsidRPr="00C22813">
              <w:rPr>
                <w:rStyle w:val="Hyperlink"/>
                <w:lang w:eastAsia="ja-JP"/>
              </w:rPr>
              <w:t>1.3</w:t>
            </w:r>
            <w:r w:rsidR="00C11857">
              <w:rPr>
                <w:rFonts w:eastAsiaTheme="minorEastAsia"/>
                <w:kern w:val="2"/>
                <w:sz w:val="24"/>
                <w:szCs w:val="24"/>
                <w:lang w:eastAsia="en-AU"/>
                <w14:ligatures w14:val="standardContextual"/>
              </w:rPr>
              <w:tab/>
            </w:r>
            <w:r w:rsidR="00C11857" w:rsidRPr="00C22813">
              <w:rPr>
                <w:rStyle w:val="Hyperlink"/>
                <w:lang w:eastAsia="ja-JP"/>
              </w:rPr>
              <w:t>Amendments relating to Section 6</w:t>
            </w:r>
            <w:r w:rsidR="00C11857">
              <w:rPr>
                <w:webHidden/>
              </w:rPr>
              <w:tab/>
            </w:r>
            <w:r w:rsidR="00C11857">
              <w:rPr>
                <w:webHidden/>
              </w:rPr>
              <w:fldChar w:fldCharType="begin"/>
            </w:r>
            <w:r w:rsidR="00C11857">
              <w:rPr>
                <w:webHidden/>
              </w:rPr>
              <w:instrText xml:space="preserve"> PAGEREF _Toc171419294 \h </w:instrText>
            </w:r>
            <w:r w:rsidR="00C11857">
              <w:rPr>
                <w:webHidden/>
              </w:rPr>
            </w:r>
            <w:r w:rsidR="00C11857">
              <w:rPr>
                <w:webHidden/>
              </w:rPr>
              <w:fldChar w:fldCharType="separate"/>
            </w:r>
            <w:r w:rsidR="005A0E0E">
              <w:rPr>
                <w:webHidden/>
              </w:rPr>
              <w:t>10</w:t>
            </w:r>
            <w:r w:rsidR="00C11857">
              <w:rPr>
                <w:webHidden/>
              </w:rPr>
              <w:fldChar w:fldCharType="end"/>
            </w:r>
          </w:hyperlink>
        </w:p>
        <w:p w14:paraId="1F5256EA" w14:textId="5486E6C8" w:rsidR="00C11857" w:rsidRDefault="00000000">
          <w:pPr>
            <w:pStyle w:val="TOC2"/>
            <w:tabs>
              <w:tab w:val="left" w:pos="1200"/>
            </w:tabs>
            <w:rPr>
              <w:rFonts w:eastAsiaTheme="minorEastAsia"/>
              <w:kern w:val="2"/>
              <w:sz w:val="24"/>
              <w:szCs w:val="24"/>
              <w:lang w:eastAsia="en-AU"/>
              <w14:ligatures w14:val="standardContextual"/>
            </w:rPr>
          </w:pPr>
          <w:hyperlink w:anchor="_Toc171419295" w:history="1">
            <w:r w:rsidR="00C11857" w:rsidRPr="00C22813">
              <w:rPr>
                <w:rStyle w:val="Hyperlink"/>
              </w:rPr>
              <w:t>1.4</w:t>
            </w:r>
            <w:r w:rsidR="00C11857">
              <w:rPr>
                <w:rFonts w:eastAsiaTheme="minorEastAsia"/>
                <w:kern w:val="2"/>
                <w:sz w:val="24"/>
                <w:szCs w:val="24"/>
                <w:lang w:eastAsia="en-AU"/>
                <w14:ligatures w14:val="standardContextual"/>
              </w:rPr>
              <w:tab/>
            </w:r>
            <w:r w:rsidR="00C11857" w:rsidRPr="00C22813">
              <w:rPr>
                <w:rStyle w:val="Hyperlink"/>
              </w:rPr>
              <w:t>Amendments to Section 7</w:t>
            </w:r>
            <w:r w:rsidR="00C11857">
              <w:rPr>
                <w:webHidden/>
              </w:rPr>
              <w:tab/>
            </w:r>
            <w:r w:rsidR="00C11857">
              <w:rPr>
                <w:webHidden/>
              </w:rPr>
              <w:fldChar w:fldCharType="begin"/>
            </w:r>
            <w:r w:rsidR="00C11857">
              <w:rPr>
                <w:webHidden/>
              </w:rPr>
              <w:instrText xml:space="preserve"> PAGEREF _Toc171419295 \h </w:instrText>
            </w:r>
            <w:r w:rsidR="00C11857">
              <w:rPr>
                <w:webHidden/>
              </w:rPr>
            </w:r>
            <w:r w:rsidR="00C11857">
              <w:rPr>
                <w:webHidden/>
              </w:rPr>
              <w:fldChar w:fldCharType="separate"/>
            </w:r>
            <w:r w:rsidR="005A0E0E">
              <w:rPr>
                <w:webHidden/>
              </w:rPr>
              <w:t>15</w:t>
            </w:r>
            <w:r w:rsidR="00C11857">
              <w:rPr>
                <w:webHidden/>
              </w:rPr>
              <w:fldChar w:fldCharType="end"/>
            </w:r>
          </w:hyperlink>
        </w:p>
        <w:p w14:paraId="34DD0675" w14:textId="630EAB44" w:rsidR="00C11857" w:rsidRDefault="00000000">
          <w:pPr>
            <w:pStyle w:val="TOC2"/>
            <w:tabs>
              <w:tab w:val="left" w:pos="1200"/>
            </w:tabs>
            <w:rPr>
              <w:rFonts w:eastAsiaTheme="minorEastAsia"/>
              <w:kern w:val="2"/>
              <w:sz w:val="24"/>
              <w:szCs w:val="24"/>
              <w:lang w:eastAsia="en-AU"/>
              <w14:ligatures w14:val="standardContextual"/>
            </w:rPr>
          </w:pPr>
          <w:hyperlink w:anchor="_Toc171419296" w:history="1">
            <w:r w:rsidR="00C11857" w:rsidRPr="00C22813">
              <w:rPr>
                <w:rStyle w:val="Hyperlink"/>
              </w:rPr>
              <w:t>1.5</w:t>
            </w:r>
            <w:r w:rsidR="00C11857">
              <w:rPr>
                <w:rFonts w:eastAsiaTheme="minorEastAsia"/>
                <w:kern w:val="2"/>
                <w:sz w:val="24"/>
                <w:szCs w:val="24"/>
                <w:lang w:eastAsia="en-AU"/>
                <w14:ligatures w14:val="standardContextual"/>
              </w:rPr>
              <w:tab/>
            </w:r>
            <w:r w:rsidR="00C11857" w:rsidRPr="00C22813">
              <w:rPr>
                <w:rStyle w:val="Hyperlink"/>
              </w:rPr>
              <w:t>Amendments relating to Section 8</w:t>
            </w:r>
            <w:r w:rsidR="00C11857">
              <w:rPr>
                <w:webHidden/>
              </w:rPr>
              <w:tab/>
            </w:r>
            <w:r w:rsidR="00C11857">
              <w:rPr>
                <w:webHidden/>
              </w:rPr>
              <w:fldChar w:fldCharType="begin"/>
            </w:r>
            <w:r w:rsidR="00C11857">
              <w:rPr>
                <w:webHidden/>
              </w:rPr>
              <w:instrText xml:space="preserve"> PAGEREF _Toc171419296 \h </w:instrText>
            </w:r>
            <w:r w:rsidR="00C11857">
              <w:rPr>
                <w:webHidden/>
              </w:rPr>
            </w:r>
            <w:r w:rsidR="00C11857">
              <w:rPr>
                <w:webHidden/>
              </w:rPr>
              <w:fldChar w:fldCharType="separate"/>
            </w:r>
            <w:r w:rsidR="005A0E0E">
              <w:rPr>
                <w:webHidden/>
              </w:rPr>
              <w:t>16</w:t>
            </w:r>
            <w:r w:rsidR="00C11857">
              <w:rPr>
                <w:webHidden/>
              </w:rPr>
              <w:fldChar w:fldCharType="end"/>
            </w:r>
          </w:hyperlink>
        </w:p>
        <w:p w14:paraId="1E4D79DE" w14:textId="10910AB6" w:rsidR="00C11857" w:rsidRDefault="00000000">
          <w:pPr>
            <w:pStyle w:val="TOC2"/>
            <w:tabs>
              <w:tab w:val="left" w:pos="1200"/>
            </w:tabs>
            <w:rPr>
              <w:rFonts w:eastAsiaTheme="minorEastAsia"/>
              <w:kern w:val="2"/>
              <w:sz w:val="24"/>
              <w:szCs w:val="24"/>
              <w:lang w:eastAsia="en-AU"/>
              <w14:ligatures w14:val="standardContextual"/>
            </w:rPr>
          </w:pPr>
          <w:hyperlink w:anchor="_Toc171419297" w:history="1">
            <w:r w:rsidR="00C11857" w:rsidRPr="00C22813">
              <w:rPr>
                <w:rStyle w:val="Hyperlink"/>
              </w:rPr>
              <w:t>1.6</w:t>
            </w:r>
            <w:r w:rsidR="00C11857">
              <w:rPr>
                <w:rFonts w:eastAsiaTheme="minorEastAsia"/>
                <w:kern w:val="2"/>
                <w:sz w:val="24"/>
                <w:szCs w:val="24"/>
                <w:lang w:eastAsia="en-AU"/>
                <w14:ligatures w14:val="standardContextual"/>
              </w:rPr>
              <w:tab/>
            </w:r>
            <w:r w:rsidR="00C11857" w:rsidRPr="00C22813">
              <w:rPr>
                <w:rStyle w:val="Hyperlink"/>
              </w:rPr>
              <w:t>Amendments relating to Section 14</w:t>
            </w:r>
            <w:r w:rsidR="00C11857">
              <w:rPr>
                <w:webHidden/>
              </w:rPr>
              <w:tab/>
            </w:r>
            <w:r w:rsidR="00C11857">
              <w:rPr>
                <w:webHidden/>
              </w:rPr>
              <w:fldChar w:fldCharType="begin"/>
            </w:r>
            <w:r w:rsidR="00C11857">
              <w:rPr>
                <w:webHidden/>
              </w:rPr>
              <w:instrText xml:space="preserve"> PAGEREF _Toc171419297 \h </w:instrText>
            </w:r>
            <w:r w:rsidR="00C11857">
              <w:rPr>
                <w:webHidden/>
              </w:rPr>
            </w:r>
            <w:r w:rsidR="00C11857">
              <w:rPr>
                <w:webHidden/>
              </w:rPr>
              <w:fldChar w:fldCharType="separate"/>
            </w:r>
            <w:r w:rsidR="005A0E0E">
              <w:rPr>
                <w:webHidden/>
              </w:rPr>
              <w:t>17</w:t>
            </w:r>
            <w:r w:rsidR="00C11857">
              <w:rPr>
                <w:webHidden/>
              </w:rPr>
              <w:fldChar w:fldCharType="end"/>
            </w:r>
          </w:hyperlink>
        </w:p>
        <w:p w14:paraId="1D48F871" w14:textId="74074635" w:rsidR="00C11857" w:rsidRDefault="00000000">
          <w:pPr>
            <w:pStyle w:val="TOC2"/>
            <w:tabs>
              <w:tab w:val="left" w:pos="1200"/>
            </w:tabs>
            <w:rPr>
              <w:rFonts w:eastAsiaTheme="minorEastAsia"/>
              <w:kern w:val="2"/>
              <w:sz w:val="24"/>
              <w:szCs w:val="24"/>
              <w:lang w:eastAsia="en-AU"/>
              <w14:ligatures w14:val="standardContextual"/>
            </w:rPr>
          </w:pPr>
          <w:hyperlink w:anchor="_Toc171419298" w:history="1">
            <w:r w:rsidR="00C11857" w:rsidRPr="00C22813">
              <w:rPr>
                <w:rStyle w:val="Hyperlink"/>
              </w:rPr>
              <w:t>1.7</w:t>
            </w:r>
            <w:r w:rsidR="00C11857">
              <w:rPr>
                <w:rFonts w:eastAsiaTheme="minorEastAsia"/>
                <w:kern w:val="2"/>
                <w:sz w:val="24"/>
                <w:szCs w:val="24"/>
                <w:lang w:eastAsia="en-AU"/>
                <w14:ligatures w14:val="standardContextual"/>
              </w:rPr>
              <w:tab/>
            </w:r>
            <w:r w:rsidR="00C11857" w:rsidRPr="00C22813">
              <w:rPr>
                <w:rStyle w:val="Hyperlink"/>
              </w:rPr>
              <w:t>Amendments relating to Section 15</w:t>
            </w:r>
            <w:r w:rsidR="00C11857">
              <w:rPr>
                <w:webHidden/>
              </w:rPr>
              <w:tab/>
            </w:r>
            <w:r w:rsidR="00C11857">
              <w:rPr>
                <w:webHidden/>
              </w:rPr>
              <w:fldChar w:fldCharType="begin"/>
            </w:r>
            <w:r w:rsidR="00C11857">
              <w:rPr>
                <w:webHidden/>
              </w:rPr>
              <w:instrText xml:space="preserve"> PAGEREF _Toc171419298 \h </w:instrText>
            </w:r>
            <w:r w:rsidR="00C11857">
              <w:rPr>
                <w:webHidden/>
              </w:rPr>
            </w:r>
            <w:r w:rsidR="00C11857">
              <w:rPr>
                <w:webHidden/>
              </w:rPr>
              <w:fldChar w:fldCharType="separate"/>
            </w:r>
            <w:r w:rsidR="005A0E0E">
              <w:rPr>
                <w:webHidden/>
              </w:rPr>
              <w:t>18</w:t>
            </w:r>
            <w:r w:rsidR="00C11857">
              <w:rPr>
                <w:webHidden/>
              </w:rPr>
              <w:fldChar w:fldCharType="end"/>
            </w:r>
          </w:hyperlink>
        </w:p>
        <w:p w14:paraId="2A7EC13E" w14:textId="136FC2C6" w:rsidR="00764D6A" w:rsidRDefault="00E91D72" w:rsidP="00706163">
          <w:pPr>
            <w:pStyle w:val="TOC2"/>
            <w:tabs>
              <w:tab w:val="left" w:pos="1200"/>
            </w:tabs>
          </w:pPr>
          <w:r>
            <w:rPr>
              <w:b/>
            </w:rPr>
            <w:fldChar w:fldCharType="end"/>
          </w:r>
        </w:p>
      </w:sdtContent>
    </w:sdt>
    <w:p w14:paraId="6CA328ED" w14:textId="186573B3" w:rsidR="00706163" w:rsidRDefault="00706163" w:rsidP="00706163">
      <w:pPr>
        <w:pStyle w:val="TOCHeading"/>
      </w:pPr>
      <w:bookmarkStart w:id="2" w:name="_Toc430782149"/>
      <w:r>
        <w:t>Tables</w:t>
      </w:r>
    </w:p>
    <w:p w14:paraId="624D109F" w14:textId="7E201C80" w:rsidR="00C11857" w:rsidRDefault="00706163">
      <w:pPr>
        <w:pStyle w:val="TableofFigures"/>
        <w:tabs>
          <w:tab w:val="right" w:leader="dot" w:pos="9060"/>
        </w:tabs>
        <w:rPr>
          <w:rFonts w:eastAsiaTheme="minorEastAsia"/>
          <w:noProof/>
          <w:kern w:val="2"/>
          <w:sz w:val="24"/>
          <w:szCs w:val="24"/>
          <w:lang w:eastAsia="en-AU"/>
          <w14:ligatures w14:val="standardContextual"/>
        </w:rPr>
      </w:pPr>
      <w:r>
        <w:fldChar w:fldCharType="begin"/>
      </w:r>
      <w:r>
        <w:instrText xml:space="preserve"> TOC \f A \t "Caption" \c </w:instrText>
      </w:r>
      <w:r>
        <w:fldChar w:fldCharType="separate"/>
      </w:r>
      <w:r w:rsidR="00C11857">
        <w:rPr>
          <w:noProof/>
          <w:lang w:eastAsia="ja-JP"/>
        </w:rPr>
        <w:t>Table 1. Definition and reference amendments</w:t>
      </w:r>
      <w:r w:rsidR="00C11857">
        <w:rPr>
          <w:noProof/>
        </w:rPr>
        <w:tab/>
      </w:r>
      <w:r w:rsidR="00C11857">
        <w:rPr>
          <w:noProof/>
        </w:rPr>
        <w:fldChar w:fldCharType="begin"/>
      </w:r>
      <w:r w:rsidR="00C11857">
        <w:rPr>
          <w:noProof/>
        </w:rPr>
        <w:instrText xml:space="preserve"> PAGEREF _Toc171419299 \h </w:instrText>
      </w:r>
      <w:r w:rsidR="00C11857">
        <w:rPr>
          <w:noProof/>
        </w:rPr>
      </w:r>
      <w:r w:rsidR="00C11857">
        <w:rPr>
          <w:noProof/>
        </w:rPr>
        <w:fldChar w:fldCharType="separate"/>
      </w:r>
      <w:r w:rsidR="005A0E0E">
        <w:rPr>
          <w:noProof/>
        </w:rPr>
        <w:t>5</w:t>
      </w:r>
      <w:r w:rsidR="00C11857">
        <w:rPr>
          <w:noProof/>
        </w:rPr>
        <w:fldChar w:fldCharType="end"/>
      </w:r>
    </w:p>
    <w:p w14:paraId="41839CC5" w14:textId="5AE51047" w:rsidR="00C11857" w:rsidRDefault="00C11857">
      <w:pPr>
        <w:pStyle w:val="TableofFigures"/>
        <w:tabs>
          <w:tab w:val="right" w:leader="dot" w:pos="9060"/>
        </w:tabs>
        <w:rPr>
          <w:rFonts w:eastAsiaTheme="minorEastAsia"/>
          <w:noProof/>
          <w:kern w:val="2"/>
          <w:sz w:val="24"/>
          <w:szCs w:val="24"/>
          <w:lang w:eastAsia="en-AU"/>
          <w14:ligatures w14:val="standardContextual"/>
        </w:rPr>
      </w:pPr>
      <w:r>
        <w:rPr>
          <w:noProof/>
          <w:lang w:eastAsia="ja-JP"/>
        </w:rPr>
        <w:t>Table 2. Amendments to Section 5B Modifications of AS/NZS 6400: 2016 and AS 3662</w:t>
      </w:r>
      <w:r>
        <w:rPr>
          <w:noProof/>
        </w:rPr>
        <w:tab/>
      </w:r>
      <w:r>
        <w:rPr>
          <w:noProof/>
        </w:rPr>
        <w:fldChar w:fldCharType="begin"/>
      </w:r>
      <w:r>
        <w:rPr>
          <w:noProof/>
        </w:rPr>
        <w:instrText xml:space="preserve"> PAGEREF _Toc171419300 \h </w:instrText>
      </w:r>
      <w:r>
        <w:rPr>
          <w:noProof/>
        </w:rPr>
      </w:r>
      <w:r>
        <w:rPr>
          <w:noProof/>
        </w:rPr>
        <w:fldChar w:fldCharType="separate"/>
      </w:r>
      <w:r w:rsidR="005A0E0E">
        <w:rPr>
          <w:noProof/>
        </w:rPr>
        <w:t>9</w:t>
      </w:r>
      <w:r>
        <w:rPr>
          <w:noProof/>
        </w:rPr>
        <w:fldChar w:fldCharType="end"/>
      </w:r>
    </w:p>
    <w:p w14:paraId="712218D1" w14:textId="5A49ACFF" w:rsidR="00C11857" w:rsidRDefault="00C11857">
      <w:pPr>
        <w:pStyle w:val="TableofFigures"/>
        <w:tabs>
          <w:tab w:val="right" w:leader="dot" w:pos="9060"/>
        </w:tabs>
        <w:rPr>
          <w:rFonts w:eastAsiaTheme="minorEastAsia"/>
          <w:noProof/>
          <w:kern w:val="2"/>
          <w:sz w:val="24"/>
          <w:szCs w:val="24"/>
          <w:lang w:eastAsia="en-AU"/>
          <w14:ligatures w14:val="standardContextual"/>
        </w:rPr>
      </w:pPr>
      <w:r>
        <w:rPr>
          <w:noProof/>
          <w:lang w:eastAsia="ja-JP"/>
        </w:rPr>
        <w:t>Table 3. Tap equipment - taps used exclusively over a pot sink</w:t>
      </w:r>
      <w:r>
        <w:rPr>
          <w:noProof/>
        </w:rPr>
        <w:tab/>
      </w:r>
      <w:r>
        <w:rPr>
          <w:noProof/>
        </w:rPr>
        <w:fldChar w:fldCharType="begin"/>
      </w:r>
      <w:r>
        <w:rPr>
          <w:noProof/>
        </w:rPr>
        <w:instrText xml:space="preserve"> PAGEREF _Toc171419301 \h </w:instrText>
      </w:r>
      <w:r>
        <w:rPr>
          <w:noProof/>
        </w:rPr>
      </w:r>
      <w:r>
        <w:rPr>
          <w:noProof/>
        </w:rPr>
        <w:fldChar w:fldCharType="separate"/>
      </w:r>
      <w:r w:rsidR="005A0E0E">
        <w:rPr>
          <w:noProof/>
        </w:rPr>
        <w:t>10</w:t>
      </w:r>
      <w:r>
        <w:rPr>
          <w:noProof/>
        </w:rPr>
        <w:fldChar w:fldCharType="end"/>
      </w:r>
    </w:p>
    <w:p w14:paraId="441EEF4E" w14:textId="2E3046DD" w:rsidR="00C11857" w:rsidRDefault="00C11857">
      <w:pPr>
        <w:pStyle w:val="TableofFigures"/>
        <w:tabs>
          <w:tab w:val="right" w:leader="dot" w:pos="9060"/>
        </w:tabs>
        <w:rPr>
          <w:rFonts w:eastAsiaTheme="minorEastAsia"/>
          <w:noProof/>
          <w:kern w:val="2"/>
          <w:sz w:val="24"/>
          <w:szCs w:val="24"/>
          <w:lang w:eastAsia="en-AU"/>
          <w14:ligatures w14:val="standardContextual"/>
        </w:rPr>
      </w:pPr>
      <w:r>
        <w:rPr>
          <w:noProof/>
          <w:lang w:eastAsia="ja-JP"/>
        </w:rPr>
        <w:t>Table 3a. Registered taps that may be used exclusively over a pot sink</w:t>
      </w:r>
      <w:r>
        <w:rPr>
          <w:noProof/>
        </w:rPr>
        <w:tab/>
      </w:r>
      <w:r>
        <w:rPr>
          <w:noProof/>
        </w:rPr>
        <w:fldChar w:fldCharType="begin"/>
      </w:r>
      <w:r>
        <w:rPr>
          <w:noProof/>
        </w:rPr>
        <w:instrText xml:space="preserve"> PAGEREF _Toc171419302 \h </w:instrText>
      </w:r>
      <w:r>
        <w:rPr>
          <w:noProof/>
        </w:rPr>
      </w:r>
      <w:r>
        <w:rPr>
          <w:noProof/>
        </w:rPr>
        <w:fldChar w:fldCharType="separate"/>
      </w:r>
      <w:r w:rsidR="005A0E0E">
        <w:rPr>
          <w:noProof/>
        </w:rPr>
        <w:t>11</w:t>
      </w:r>
      <w:r>
        <w:rPr>
          <w:noProof/>
        </w:rPr>
        <w:fldChar w:fldCharType="end"/>
      </w:r>
    </w:p>
    <w:p w14:paraId="71CF5408" w14:textId="6BD3F1B4" w:rsidR="00C11857" w:rsidRDefault="00C11857">
      <w:pPr>
        <w:pStyle w:val="TableofFigures"/>
        <w:tabs>
          <w:tab w:val="right" w:leader="dot" w:pos="9060"/>
        </w:tabs>
        <w:rPr>
          <w:rFonts w:eastAsiaTheme="minorEastAsia"/>
          <w:noProof/>
          <w:kern w:val="2"/>
          <w:sz w:val="24"/>
          <w:szCs w:val="24"/>
          <w:lang w:eastAsia="en-AU"/>
          <w14:ligatures w14:val="standardContextual"/>
        </w:rPr>
      </w:pPr>
      <w:r>
        <w:rPr>
          <w:noProof/>
          <w:lang w:eastAsia="ja-JP"/>
        </w:rPr>
        <w:t>Tabel 4. Tap equipment – drinking fountains</w:t>
      </w:r>
      <w:r>
        <w:rPr>
          <w:noProof/>
        </w:rPr>
        <w:tab/>
      </w:r>
      <w:r>
        <w:rPr>
          <w:noProof/>
        </w:rPr>
        <w:fldChar w:fldCharType="begin"/>
      </w:r>
      <w:r>
        <w:rPr>
          <w:noProof/>
        </w:rPr>
        <w:instrText xml:space="preserve"> PAGEREF _Toc171419303 \h </w:instrText>
      </w:r>
      <w:r>
        <w:rPr>
          <w:noProof/>
        </w:rPr>
      </w:r>
      <w:r>
        <w:rPr>
          <w:noProof/>
        </w:rPr>
        <w:fldChar w:fldCharType="separate"/>
      </w:r>
      <w:r w:rsidR="005A0E0E">
        <w:rPr>
          <w:noProof/>
        </w:rPr>
        <w:t>11</w:t>
      </w:r>
      <w:r>
        <w:rPr>
          <w:noProof/>
        </w:rPr>
        <w:fldChar w:fldCharType="end"/>
      </w:r>
    </w:p>
    <w:p w14:paraId="39D7A8CC" w14:textId="58562E01" w:rsidR="00C11857" w:rsidRDefault="00C11857">
      <w:pPr>
        <w:pStyle w:val="TableofFigures"/>
        <w:tabs>
          <w:tab w:val="right" w:leader="dot" w:pos="9060"/>
        </w:tabs>
        <w:rPr>
          <w:rFonts w:eastAsiaTheme="minorEastAsia"/>
          <w:noProof/>
          <w:kern w:val="2"/>
          <w:sz w:val="24"/>
          <w:szCs w:val="24"/>
          <w:lang w:eastAsia="en-AU"/>
          <w14:ligatures w14:val="standardContextual"/>
        </w:rPr>
      </w:pPr>
      <w:r>
        <w:rPr>
          <w:noProof/>
          <w:lang w:eastAsia="ja-JP"/>
        </w:rPr>
        <w:t>Table 4a. Registered taps that are likely to be drinking fountains or drinking fountain/bottle filler combinations</w:t>
      </w:r>
      <w:r>
        <w:rPr>
          <w:noProof/>
        </w:rPr>
        <w:tab/>
      </w:r>
      <w:r>
        <w:rPr>
          <w:noProof/>
        </w:rPr>
        <w:fldChar w:fldCharType="begin"/>
      </w:r>
      <w:r>
        <w:rPr>
          <w:noProof/>
        </w:rPr>
        <w:instrText xml:space="preserve"> PAGEREF _Toc171419304 \h </w:instrText>
      </w:r>
      <w:r>
        <w:rPr>
          <w:noProof/>
        </w:rPr>
      </w:r>
      <w:r>
        <w:rPr>
          <w:noProof/>
        </w:rPr>
        <w:fldChar w:fldCharType="separate"/>
      </w:r>
      <w:r w:rsidR="005A0E0E">
        <w:rPr>
          <w:noProof/>
        </w:rPr>
        <w:t>12</w:t>
      </w:r>
      <w:r>
        <w:rPr>
          <w:noProof/>
        </w:rPr>
        <w:fldChar w:fldCharType="end"/>
      </w:r>
    </w:p>
    <w:p w14:paraId="2173778C" w14:textId="29D5616B" w:rsidR="00C11857" w:rsidRDefault="00C11857">
      <w:pPr>
        <w:pStyle w:val="TableofFigures"/>
        <w:tabs>
          <w:tab w:val="right" w:leader="dot" w:pos="9060"/>
        </w:tabs>
        <w:rPr>
          <w:rFonts w:eastAsiaTheme="minorEastAsia"/>
          <w:noProof/>
          <w:kern w:val="2"/>
          <w:sz w:val="24"/>
          <w:szCs w:val="24"/>
          <w:lang w:eastAsia="en-AU"/>
          <w14:ligatures w14:val="standardContextual"/>
        </w:rPr>
      </w:pPr>
      <w:r>
        <w:rPr>
          <w:noProof/>
          <w:lang w:eastAsia="ja-JP"/>
        </w:rPr>
        <w:t>Table 5. Tap equipment - bottle fillers</w:t>
      </w:r>
      <w:r>
        <w:rPr>
          <w:noProof/>
        </w:rPr>
        <w:tab/>
      </w:r>
      <w:r>
        <w:rPr>
          <w:noProof/>
        </w:rPr>
        <w:fldChar w:fldCharType="begin"/>
      </w:r>
      <w:r>
        <w:rPr>
          <w:noProof/>
        </w:rPr>
        <w:instrText xml:space="preserve"> PAGEREF _Toc171419305 \h </w:instrText>
      </w:r>
      <w:r>
        <w:rPr>
          <w:noProof/>
        </w:rPr>
      </w:r>
      <w:r>
        <w:rPr>
          <w:noProof/>
        </w:rPr>
        <w:fldChar w:fldCharType="separate"/>
      </w:r>
      <w:r w:rsidR="005A0E0E">
        <w:rPr>
          <w:noProof/>
        </w:rPr>
        <w:t>12</w:t>
      </w:r>
      <w:r>
        <w:rPr>
          <w:noProof/>
        </w:rPr>
        <w:fldChar w:fldCharType="end"/>
      </w:r>
    </w:p>
    <w:p w14:paraId="65BDFCBD" w14:textId="7C86AFBD" w:rsidR="00C11857" w:rsidRDefault="00C11857">
      <w:pPr>
        <w:pStyle w:val="TableofFigures"/>
        <w:tabs>
          <w:tab w:val="right" w:leader="dot" w:pos="9060"/>
        </w:tabs>
        <w:rPr>
          <w:rFonts w:eastAsiaTheme="minorEastAsia"/>
          <w:noProof/>
          <w:kern w:val="2"/>
          <w:sz w:val="24"/>
          <w:szCs w:val="24"/>
          <w:lang w:eastAsia="en-AU"/>
          <w14:ligatures w14:val="standardContextual"/>
        </w:rPr>
      </w:pPr>
      <w:r>
        <w:rPr>
          <w:noProof/>
          <w:lang w:eastAsia="ja-JP"/>
        </w:rPr>
        <w:t>Table 5a. Registered taps that are likely to be bottle fillers or drinking fountain/bottle filler combinations</w:t>
      </w:r>
      <w:r>
        <w:rPr>
          <w:noProof/>
        </w:rPr>
        <w:tab/>
      </w:r>
      <w:r>
        <w:rPr>
          <w:noProof/>
        </w:rPr>
        <w:fldChar w:fldCharType="begin"/>
      </w:r>
      <w:r>
        <w:rPr>
          <w:noProof/>
        </w:rPr>
        <w:instrText xml:space="preserve"> PAGEREF _Toc171419306 \h </w:instrText>
      </w:r>
      <w:r>
        <w:rPr>
          <w:noProof/>
        </w:rPr>
      </w:r>
      <w:r>
        <w:rPr>
          <w:noProof/>
        </w:rPr>
        <w:fldChar w:fldCharType="separate"/>
      </w:r>
      <w:r w:rsidR="005A0E0E">
        <w:rPr>
          <w:noProof/>
        </w:rPr>
        <w:t>13</w:t>
      </w:r>
      <w:r>
        <w:rPr>
          <w:noProof/>
        </w:rPr>
        <w:fldChar w:fldCharType="end"/>
      </w:r>
    </w:p>
    <w:p w14:paraId="4495D86B" w14:textId="5DCE4961" w:rsidR="00C11857" w:rsidRDefault="00C11857">
      <w:pPr>
        <w:pStyle w:val="TableofFigures"/>
        <w:tabs>
          <w:tab w:val="right" w:leader="dot" w:pos="9060"/>
        </w:tabs>
        <w:rPr>
          <w:rFonts w:eastAsiaTheme="minorEastAsia"/>
          <w:noProof/>
          <w:kern w:val="2"/>
          <w:sz w:val="24"/>
          <w:szCs w:val="24"/>
          <w:lang w:eastAsia="en-AU"/>
          <w14:ligatures w14:val="standardContextual"/>
        </w:rPr>
      </w:pPr>
      <w:r>
        <w:rPr>
          <w:noProof/>
          <w:lang w:eastAsia="ja-JP"/>
        </w:rPr>
        <w:t>Table 6. Tap equipment – taps delivering filtered, chilled or boiled water</w:t>
      </w:r>
      <w:r>
        <w:rPr>
          <w:noProof/>
        </w:rPr>
        <w:tab/>
      </w:r>
      <w:r>
        <w:rPr>
          <w:noProof/>
        </w:rPr>
        <w:fldChar w:fldCharType="begin"/>
      </w:r>
      <w:r>
        <w:rPr>
          <w:noProof/>
        </w:rPr>
        <w:instrText xml:space="preserve"> PAGEREF _Toc171419307 \h </w:instrText>
      </w:r>
      <w:r>
        <w:rPr>
          <w:noProof/>
        </w:rPr>
      </w:r>
      <w:r>
        <w:rPr>
          <w:noProof/>
        </w:rPr>
        <w:fldChar w:fldCharType="separate"/>
      </w:r>
      <w:r w:rsidR="005A0E0E">
        <w:rPr>
          <w:noProof/>
        </w:rPr>
        <w:t>13</w:t>
      </w:r>
      <w:r>
        <w:rPr>
          <w:noProof/>
        </w:rPr>
        <w:fldChar w:fldCharType="end"/>
      </w:r>
    </w:p>
    <w:p w14:paraId="439C6114" w14:textId="72820B8B" w:rsidR="00C11857" w:rsidRDefault="00C11857">
      <w:pPr>
        <w:pStyle w:val="TableofFigures"/>
        <w:tabs>
          <w:tab w:val="right" w:leader="dot" w:pos="9060"/>
        </w:tabs>
        <w:rPr>
          <w:rFonts w:eastAsiaTheme="minorEastAsia"/>
          <w:noProof/>
          <w:kern w:val="2"/>
          <w:sz w:val="24"/>
          <w:szCs w:val="24"/>
          <w:lang w:eastAsia="en-AU"/>
          <w14:ligatures w14:val="standardContextual"/>
        </w:rPr>
      </w:pPr>
      <w:r>
        <w:rPr>
          <w:noProof/>
          <w:lang w:eastAsia="ja-JP"/>
        </w:rPr>
        <w:t>Table 7. Dishwashers</w:t>
      </w:r>
      <w:r>
        <w:rPr>
          <w:noProof/>
        </w:rPr>
        <w:tab/>
      </w:r>
      <w:r>
        <w:rPr>
          <w:noProof/>
        </w:rPr>
        <w:fldChar w:fldCharType="begin"/>
      </w:r>
      <w:r>
        <w:rPr>
          <w:noProof/>
        </w:rPr>
        <w:instrText xml:space="preserve"> PAGEREF _Toc171419308 \h </w:instrText>
      </w:r>
      <w:r>
        <w:rPr>
          <w:noProof/>
        </w:rPr>
      </w:r>
      <w:r>
        <w:rPr>
          <w:noProof/>
        </w:rPr>
        <w:fldChar w:fldCharType="separate"/>
      </w:r>
      <w:r w:rsidR="005A0E0E">
        <w:rPr>
          <w:noProof/>
        </w:rPr>
        <w:t>14</w:t>
      </w:r>
      <w:r>
        <w:rPr>
          <w:noProof/>
        </w:rPr>
        <w:fldChar w:fldCharType="end"/>
      </w:r>
    </w:p>
    <w:p w14:paraId="61451ECB" w14:textId="17045B2A" w:rsidR="00C11857" w:rsidRDefault="00C11857">
      <w:pPr>
        <w:pStyle w:val="TableofFigures"/>
        <w:tabs>
          <w:tab w:val="right" w:leader="dot" w:pos="9060"/>
        </w:tabs>
        <w:rPr>
          <w:rFonts w:eastAsiaTheme="minorEastAsia"/>
          <w:noProof/>
          <w:kern w:val="2"/>
          <w:sz w:val="24"/>
          <w:szCs w:val="24"/>
          <w:lang w:eastAsia="en-AU"/>
          <w14:ligatures w14:val="standardContextual"/>
        </w:rPr>
      </w:pPr>
      <w:r>
        <w:rPr>
          <w:noProof/>
          <w:lang w:eastAsia="ja-JP"/>
        </w:rPr>
        <w:t>Table 8. Clothes washing machines</w:t>
      </w:r>
      <w:r>
        <w:rPr>
          <w:noProof/>
        </w:rPr>
        <w:tab/>
      </w:r>
      <w:r>
        <w:rPr>
          <w:noProof/>
        </w:rPr>
        <w:fldChar w:fldCharType="begin"/>
      </w:r>
      <w:r>
        <w:rPr>
          <w:noProof/>
        </w:rPr>
        <w:instrText xml:space="preserve"> PAGEREF _Toc171419309 \h </w:instrText>
      </w:r>
      <w:r>
        <w:rPr>
          <w:noProof/>
        </w:rPr>
      </w:r>
      <w:r>
        <w:rPr>
          <w:noProof/>
        </w:rPr>
        <w:fldChar w:fldCharType="separate"/>
      </w:r>
      <w:r w:rsidR="005A0E0E">
        <w:rPr>
          <w:noProof/>
        </w:rPr>
        <w:t>14</w:t>
      </w:r>
      <w:r>
        <w:rPr>
          <w:noProof/>
        </w:rPr>
        <w:fldChar w:fldCharType="end"/>
      </w:r>
    </w:p>
    <w:p w14:paraId="33BB4C7B" w14:textId="73BC52AE" w:rsidR="00C11857" w:rsidRDefault="00C11857">
      <w:pPr>
        <w:pStyle w:val="TableofFigures"/>
        <w:tabs>
          <w:tab w:val="right" w:leader="dot" w:pos="9060"/>
        </w:tabs>
        <w:rPr>
          <w:rFonts w:eastAsiaTheme="minorEastAsia"/>
          <w:noProof/>
          <w:kern w:val="2"/>
          <w:sz w:val="24"/>
          <w:szCs w:val="24"/>
          <w:lang w:eastAsia="en-AU"/>
          <w14:ligatures w14:val="standardContextual"/>
        </w:rPr>
      </w:pPr>
      <w:r>
        <w:rPr>
          <w:noProof/>
          <w:lang w:eastAsia="ja-JP"/>
        </w:rPr>
        <w:t>Table 9. Removal of grandfathering provisions</w:t>
      </w:r>
      <w:r>
        <w:rPr>
          <w:noProof/>
        </w:rPr>
        <w:tab/>
      </w:r>
      <w:r>
        <w:rPr>
          <w:noProof/>
        </w:rPr>
        <w:fldChar w:fldCharType="begin"/>
      </w:r>
      <w:r>
        <w:rPr>
          <w:noProof/>
        </w:rPr>
        <w:instrText xml:space="preserve"> PAGEREF _Toc171419310 \h </w:instrText>
      </w:r>
      <w:r>
        <w:rPr>
          <w:noProof/>
        </w:rPr>
      </w:r>
      <w:r>
        <w:rPr>
          <w:noProof/>
        </w:rPr>
        <w:fldChar w:fldCharType="separate"/>
      </w:r>
      <w:r w:rsidR="005A0E0E">
        <w:rPr>
          <w:noProof/>
        </w:rPr>
        <w:t>15</w:t>
      </w:r>
      <w:r>
        <w:rPr>
          <w:noProof/>
        </w:rPr>
        <w:fldChar w:fldCharType="end"/>
      </w:r>
    </w:p>
    <w:p w14:paraId="3371D264" w14:textId="5B057790" w:rsidR="00C11857" w:rsidRDefault="00C11857">
      <w:pPr>
        <w:pStyle w:val="TableofFigures"/>
        <w:tabs>
          <w:tab w:val="right" w:leader="dot" w:pos="9060"/>
        </w:tabs>
        <w:rPr>
          <w:rFonts w:eastAsiaTheme="minorEastAsia"/>
          <w:noProof/>
          <w:kern w:val="2"/>
          <w:sz w:val="24"/>
          <w:szCs w:val="24"/>
          <w:lang w:eastAsia="en-AU"/>
          <w14:ligatures w14:val="standardContextual"/>
        </w:rPr>
      </w:pPr>
      <w:r>
        <w:rPr>
          <w:noProof/>
          <w:lang w:eastAsia="ja-JP"/>
        </w:rPr>
        <w:t>Table 10. Amendments to Section 8 WELS standard requirements</w:t>
      </w:r>
      <w:r>
        <w:rPr>
          <w:noProof/>
        </w:rPr>
        <w:tab/>
      </w:r>
      <w:r>
        <w:rPr>
          <w:noProof/>
        </w:rPr>
        <w:fldChar w:fldCharType="begin"/>
      </w:r>
      <w:r>
        <w:rPr>
          <w:noProof/>
        </w:rPr>
        <w:instrText xml:space="preserve"> PAGEREF _Toc171419311 \h </w:instrText>
      </w:r>
      <w:r>
        <w:rPr>
          <w:noProof/>
        </w:rPr>
      </w:r>
      <w:r>
        <w:rPr>
          <w:noProof/>
        </w:rPr>
        <w:fldChar w:fldCharType="separate"/>
      </w:r>
      <w:r w:rsidR="005A0E0E">
        <w:rPr>
          <w:noProof/>
        </w:rPr>
        <w:t>16</w:t>
      </w:r>
      <w:r>
        <w:rPr>
          <w:noProof/>
        </w:rPr>
        <w:fldChar w:fldCharType="end"/>
      </w:r>
    </w:p>
    <w:p w14:paraId="30A119A6" w14:textId="5E9A917B" w:rsidR="00C11857" w:rsidRDefault="00C11857">
      <w:pPr>
        <w:pStyle w:val="TableofFigures"/>
        <w:tabs>
          <w:tab w:val="right" w:leader="dot" w:pos="9060"/>
        </w:tabs>
        <w:rPr>
          <w:rFonts w:eastAsiaTheme="minorEastAsia"/>
          <w:noProof/>
          <w:kern w:val="2"/>
          <w:sz w:val="24"/>
          <w:szCs w:val="24"/>
          <w:lang w:eastAsia="en-AU"/>
          <w14:ligatures w14:val="standardContextual"/>
        </w:rPr>
      </w:pPr>
      <w:r>
        <w:rPr>
          <w:noProof/>
          <w:lang w:eastAsia="ja-JP"/>
        </w:rPr>
        <w:t>Table 11. Amendment to Section 14 recordkeeping requirements</w:t>
      </w:r>
      <w:r>
        <w:rPr>
          <w:noProof/>
        </w:rPr>
        <w:tab/>
      </w:r>
      <w:r>
        <w:rPr>
          <w:noProof/>
        </w:rPr>
        <w:fldChar w:fldCharType="begin"/>
      </w:r>
      <w:r>
        <w:rPr>
          <w:noProof/>
        </w:rPr>
        <w:instrText xml:space="preserve"> PAGEREF _Toc171419312 \h </w:instrText>
      </w:r>
      <w:r>
        <w:rPr>
          <w:noProof/>
        </w:rPr>
      </w:r>
      <w:r>
        <w:rPr>
          <w:noProof/>
        </w:rPr>
        <w:fldChar w:fldCharType="separate"/>
      </w:r>
      <w:r w:rsidR="005A0E0E">
        <w:rPr>
          <w:noProof/>
        </w:rPr>
        <w:t>17</w:t>
      </w:r>
      <w:r>
        <w:rPr>
          <w:noProof/>
        </w:rPr>
        <w:fldChar w:fldCharType="end"/>
      </w:r>
    </w:p>
    <w:p w14:paraId="7609E850" w14:textId="3111FF43" w:rsidR="00A32152" w:rsidRDefault="00C11857" w:rsidP="000C6A20">
      <w:pPr>
        <w:pStyle w:val="TableofFigures"/>
        <w:tabs>
          <w:tab w:val="right" w:leader="dot" w:pos="9060"/>
        </w:tabs>
      </w:pPr>
      <w:r>
        <w:rPr>
          <w:noProof/>
          <w:lang w:eastAsia="ja-JP"/>
        </w:rPr>
        <w:t>Table 12. Amendments to registration cancellation and suspension</w:t>
      </w:r>
      <w:r>
        <w:rPr>
          <w:noProof/>
        </w:rPr>
        <w:tab/>
      </w:r>
      <w:r>
        <w:rPr>
          <w:noProof/>
        </w:rPr>
        <w:fldChar w:fldCharType="begin"/>
      </w:r>
      <w:r>
        <w:rPr>
          <w:noProof/>
        </w:rPr>
        <w:instrText xml:space="preserve"> PAGEREF _Toc171419313 \h </w:instrText>
      </w:r>
      <w:r>
        <w:rPr>
          <w:noProof/>
        </w:rPr>
      </w:r>
      <w:r>
        <w:rPr>
          <w:noProof/>
        </w:rPr>
        <w:fldChar w:fldCharType="separate"/>
      </w:r>
      <w:r w:rsidR="005A0E0E">
        <w:rPr>
          <w:noProof/>
        </w:rPr>
        <w:t>18</w:t>
      </w:r>
      <w:r>
        <w:rPr>
          <w:noProof/>
        </w:rPr>
        <w:fldChar w:fldCharType="end"/>
      </w:r>
      <w:r w:rsidR="00706163">
        <w:fldChar w:fldCharType="end"/>
      </w:r>
      <w:r w:rsidR="00A32152">
        <w:br w:type="page"/>
      </w:r>
    </w:p>
    <w:p w14:paraId="75224928" w14:textId="3611BE32" w:rsidR="00764D6A" w:rsidRDefault="00E91D72" w:rsidP="00CB2439">
      <w:pPr>
        <w:pStyle w:val="Heading2"/>
        <w:ind w:left="720" w:hanging="720"/>
      </w:pPr>
      <w:bookmarkStart w:id="3" w:name="_Toc171419286"/>
      <w:r>
        <w:lastRenderedPageBreak/>
        <w:t>Summary</w:t>
      </w:r>
      <w:bookmarkEnd w:id="2"/>
      <w:bookmarkEnd w:id="3"/>
    </w:p>
    <w:p w14:paraId="65D8C261" w14:textId="4446777E" w:rsidR="002B7D2A" w:rsidRPr="009F3C50" w:rsidRDefault="002B7D2A" w:rsidP="002B7D2A">
      <w:pPr>
        <w:rPr>
          <w:lang w:eastAsia="ja-JP"/>
        </w:rPr>
      </w:pPr>
      <w:r w:rsidRPr="009F3C50">
        <w:rPr>
          <w:lang w:eastAsia="ja-JP"/>
        </w:rPr>
        <w:t xml:space="preserve">The </w:t>
      </w:r>
      <w:r>
        <w:rPr>
          <w:lang w:eastAsia="ja-JP"/>
        </w:rPr>
        <w:t xml:space="preserve">Department of Climate Change, Energy, the Environment and Water is seeking </w:t>
      </w:r>
      <w:r w:rsidR="00454E19">
        <w:t xml:space="preserve">stakeholder views on proposed amendments to the </w:t>
      </w:r>
      <w:r w:rsidR="00454E19" w:rsidRPr="009F3C50">
        <w:rPr>
          <w:i/>
          <w:iCs/>
        </w:rPr>
        <w:t>Water Efficiency Labelling and Standards Determination 2013 (No.2)</w:t>
      </w:r>
      <w:r w:rsidR="00454E19">
        <w:t xml:space="preserve"> (WELS Determination). </w:t>
      </w:r>
      <w:r w:rsidR="000D1DA5">
        <w:t xml:space="preserve">We are seeking stakeholder views on </w:t>
      </w:r>
      <w:r>
        <w:rPr>
          <w:lang w:eastAsia="ja-JP"/>
        </w:rPr>
        <w:t>amend</w:t>
      </w:r>
      <w:r w:rsidR="000D1DA5">
        <w:rPr>
          <w:lang w:eastAsia="ja-JP"/>
        </w:rPr>
        <w:t>ing</w:t>
      </w:r>
      <w:r>
        <w:rPr>
          <w:lang w:eastAsia="ja-JP"/>
        </w:rPr>
        <w:t xml:space="preserve"> the </w:t>
      </w:r>
      <w:r w:rsidRPr="009F3C50">
        <w:rPr>
          <w:lang w:eastAsia="ja-JP"/>
        </w:rPr>
        <w:t xml:space="preserve">WELS Determination </w:t>
      </w:r>
      <w:r w:rsidR="00AB607A">
        <w:rPr>
          <w:lang w:eastAsia="ja-JP"/>
        </w:rPr>
        <w:t>to provide clearer regulation for industry, ensure enforceability of</w:t>
      </w:r>
      <w:r w:rsidR="00AB607A" w:rsidRPr="009F3C50">
        <w:rPr>
          <w:lang w:eastAsia="ja-JP"/>
        </w:rPr>
        <w:t xml:space="preserve"> </w:t>
      </w:r>
      <w:r w:rsidR="00AB607A">
        <w:rPr>
          <w:lang w:eastAsia="ja-JP"/>
        </w:rPr>
        <w:t xml:space="preserve">requirements and </w:t>
      </w:r>
      <w:r w:rsidRPr="009F3C50">
        <w:rPr>
          <w:lang w:eastAsia="ja-JP"/>
        </w:rPr>
        <w:t xml:space="preserve">to </w:t>
      </w:r>
      <w:r w:rsidR="00AB607A">
        <w:rPr>
          <w:lang w:eastAsia="ja-JP"/>
        </w:rPr>
        <w:t xml:space="preserve">further </w:t>
      </w:r>
      <w:r>
        <w:rPr>
          <w:lang w:eastAsia="ja-JP"/>
        </w:rPr>
        <w:t>clarify the regulator</w:t>
      </w:r>
      <w:r w:rsidR="00F42F7E">
        <w:rPr>
          <w:lang w:eastAsia="ja-JP"/>
        </w:rPr>
        <w:t>y</w:t>
      </w:r>
      <w:r>
        <w:rPr>
          <w:lang w:eastAsia="ja-JP"/>
        </w:rPr>
        <w:t xml:space="preserve"> scope of the </w:t>
      </w:r>
      <w:r w:rsidR="00BD4A2B">
        <w:rPr>
          <w:lang w:eastAsia="ja-JP"/>
        </w:rPr>
        <w:t>Water Efficiency Labelling and Standards (</w:t>
      </w:r>
      <w:r>
        <w:rPr>
          <w:lang w:eastAsia="ja-JP"/>
        </w:rPr>
        <w:t>WELS</w:t>
      </w:r>
      <w:r w:rsidR="00BD4A2B">
        <w:rPr>
          <w:lang w:eastAsia="ja-JP"/>
        </w:rPr>
        <w:t>)</w:t>
      </w:r>
      <w:r>
        <w:rPr>
          <w:lang w:eastAsia="ja-JP"/>
        </w:rPr>
        <w:t xml:space="preserve"> scheme</w:t>
      </w:r>
      <w:r w:rsidRPr="009F3C50">
        <w:rPr>
          <w:lang w:eastAsia="ja-JP"/>
        </w:rPr>
        <w:t>.</w:t>
      </w:r>
    </w:p>
    <w:p w14:paraId="3FE3159A" w14:textId="77777777" w:rsidR="009F3C50" w:rsidRDefault="009F3C50"/>
    <w:p w14:paraId="3F5D8CBA" w14:textId="61F9E084" w:rsidR="009F3C50" w:rsidRDefault="009F3C50">
      <w:pPr>
        <w:sectPr w:rsidR="009F3C50" w:rsidSect="009944BD">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567" w:footer="283" w:gutter="0"/>
          <w:pgNumType w:fmt="lowerRoman" w:start="1"/>
          <w:cols w:space="708"/>
          <w:titlePg/>
          <w:docGrid w:linePitch="360"/>
        </w:sectPr>
      </w:pPr>
    </w:p>
    <w:p w14:paraId="02EC8587" w14:textId="77777777" w:rsidR="00764D6A" w:rsidRDefault="00E91D72" w:rsidP="00CB2439">
      <w:pPr>
        <w:pStyle w:val="Heading2"/>
        <w:ind w:left="720" w:hanging="720"/>
      </w:pPr>
      <w:bookmarkStart w:id="4" w:name="_Toc430782150"/>
      <w:bookmarkStart w:id="5" w:name="_Toc171419287"/>
      <w:r>
        <w:lastRenderedPageBreak/>
        <w:t>Introduction</w:t>
      </w:r>
      <w:bookmarkEnd w:id="4"/>
      <w:bookmarkEnd w:id="5"/>
    </w:p>
    <w:p w14:paraId="14C3A3B6" w14:textId="1993F929" w:rsidR="005366D2" w:rsidRDefault="009F3C50" w:rsidP="009F3C50">
      <w:pPr>
        <w:rPr>
          <w:lang w:eastAsia="ja-JP"/>
        </w:rPr>
      </w:pPr>
      <w:r w:rsidRPr="000C1FBC">
        <w:rPr>
          <w:lang w:eastAsia="ja-JP"/>
        </w:rPr>
        <w:t xml:space="preserve">The </w:t>
      </w:r>
      <w:r w:rsidR="00BD4A2B">
        <w:rPr>
          <w:lang w:eastAsia="ja-JP"/>
        </w:rPr>
        <w:t xml:space="preserve">WELS </w:t>
      </w:r>
      <w:r w:rsidRPr="000C1FBC">
        <w:rPr>
          <w:lang w:eastAsia="ja-JP"/>
        </w:rPr>
        <w:t xml:space="preserve">scheme is Australia’s urban water saving scheme. </w:t>
      </w:r>
      <w:r w:rsidR="00BD4A2B">
        <w:rPr>
          <w:lang w:eastAsia="ja-JP"/>
        </w:rPr>
        <w:t xml:space="preserve">Its aims to </w:t>
      </w:r>
      <w:r w:rsidRPr="000C1FBC">
        <w:rPr>
          <w:lang w:eastAsia="ja-JP"/>
        </w:rPr>
        <w:t>reduce demand for drinking water by informing consumers about water efficiency at the point of sale</w:t>
      </w:r>
      <w:r w:rsidR="005366D2">
        <w:rPr>
          <w:lang w:eastAsia="ja-JP"/>
        </w:rPr>
        <w:t>.</w:t>
      </w:r>
      <w:r>
        <w:rPr>
          <w:lang w:eastAsia="ja-JP"/>
        </w:rPr>
        <w:t xml:space="preserve"> </w:t>
      </w:r>
      <w:r w:rsidR="00BD4A2B">
        <w:rPr>
          <w:lang w:eastAsia="ja-JP"/>
        </w:rPr>
        <w:t>This</w:t>
      </w:r>
      <w:r w:rsidRPr="000C1FBC">
        <w:rPr>
          <w:lang w:eastAsia="ja-JP"/>
        </w:rPr>
        <w:t xml:space="preserve"> provides a national approach to apply</w:t>
      </w:r>
      <w:r w:rsidR="00B45930">
        <w:rPr>
          <w:lang w:eastAsia="ja-JP"/>
        </w:rPr>
        <w:t>ing</w:t>
      </w:r>
      <w:r w:rsidRPr="000C1FBC">
        <w:rPr>
          <w:lang w:eastAsia="ja-JP"/>
        </w:rPr>
        <w:t xml:space="preserve"> a mandatory water efficiency star rating to plumbing products and appliances. </w:t>
      </w:r>
    </w:p>
    <w:p w14:paraId="6B521C39" w14:textId="462F0445" w:rsidR="009F3C50" w:rsidRDefault="009F3C50" w:rsidP="009F3C50">
      <w:pPr>
        <w:rPr>
          <w:lang w:eastAsia="ja-JP"/>
        </w:rPr>
      </w:pPr>
      <w:r w:rsidRPr="000C1FBC">
        <w:rPr>
          <w:lang w:eastAsia="ja-JP"/>
        </w:rPr>
        <w:t xml:space="preserve">Products within scope of the scheme </w:t>
      </w:r>
      <w:r>
        <w:rPr>
          <w:lang w:eastAsia="ja-JP"/>
        </w:rPr>
        <w:t>are</w:t>
      </w:r>
      <w:r w:rsidRPr="000C1FBC">
        <w:rPr>
          <w:lang w:eastAsia="ja-JP"/>
        </w:rPr>
        <w:t xml:space="preserve"> dishwashers, washing machines</w:t>
      </w:r>
      <w:r>
        <w:rPr>
          <w:lang w:eastAsia="ja-JP"/>
        </w:rPr>
        <w:t xml:space="preserve">, washer-dryers </w:t>
      </w:r>
      <w:r w:rsidRPr="000C1FBC">
        <w:rPr>
          <w:lang w:eastAsia="ja-JP"/>
        </w:rPr>
        <w:t>and most taps, showers, toilets, urinals and flow controllers.</w:t>
      </w:r>
    </w:p>
    <w:p w14:paraId="1EFBE0CB" w14:textId="622359EF" w:rsidR="001D7F2D" w:rsidRDefault="009F3C50" w:rsidP="008E2272">
      <w:pPr>
        <w:rPr>
          <w:lang w:eastAsia="ja-JP"/>
        </w:rPr>
      </w:pPr>
      <w:r>
        <w:rPr>
          <w:lang w:eastAsia="ja-JP"/>
        </w:rPr>
        <w:t xml:space="preserve">The WELS scheme is enabled under a </w:t>
      </w:r>
      <w:r w:rsidR="00B21C6E">
        <w:rPr>
          <w:lang w:eastAsia="ja-JP"/>
        </w:rPr>
        <w:t xml:space="preserve">framework </w:t>
      </w:r>
      <w:r>
        <w:rPr>
          <w:lang w:eastAsia="ja-JP"/>
        </w:rPr>
        <w:t>of primary legislation</w:t>
      </w:r>
      <w:r w:rsidR="007F4F69">
        <w:rPr>
          <w:lang w:eastAsia="ja-JP"/>
        </w:rPr>
        <w:t xml:space="preserve"> - the </w:t>
      </w:r>
      <w:r w:rsidR="007F4F69" w:rsidRPr="004D18A8">
        <w:rPr>
          <w:i/>
          <w:iCs/>
          <w:lang w:eastAsia="ja-JP"/>
        </w:rPr>
        <w:t>Water Efficiency Labelling and Standards Act 2005</w:t>
      </w:r>
      <w:r w:rsidR="007F4F69">
        <w:rPr>
          <w:lang w:eastAsia="ja-JP"/>
        </w:rPr>
        <w:t xml:space="preserve"> </w:t>
      </w:r>
      <w:r w:rsidR="00661809">
        <w:rPr>
          <w:lang w:eastAsia="ja-JP"/>
        </w:rPr>
        <w:t xml:space="preserve">(WELS Act) </w:t>
      </w:r>
      <w:r w:rsidR="007F4F69">
        <w:rPr>
          <w:lang w:eastAsia="ja-JP"/>
        </w:rPr>
        <w:t xml:space="preserve">and </w:t>
      </w:r>
      <w:r w:rsidR="005366D2">
        <w:rPr>
          <w:lang w:eastAsia="ja-JP"/>
        </w:rPr>
        <w:t>delegated</w:t>
      </w:r>
      <w:r w:rsidR="007F4F69">
        <w:rPr>
          <w:lang w:eastAsia="ja-JP"/>
        </w:rPr>
        <w:t xml:space="preserve"> legislation including instruments</w:t>
      </w:r>
      <w:r>
        <w:rPr>
          <w:lang w:eastAsia="ja-JP"/>
        </w:rPr>
        <w:t>.</w:t>
      </w:r>
      <w:r w:rsidR="007F4F69">
        <w:rPr>
          <w:lang w:eastAsia="ja-JP"/>
        </w:rPr>
        <w:t xml:space="preserve"> A key instrument under the WEL</w:t>
      </w:r>
      <w:r w:rsidR="00661809">
        <w:rPr>
          <w:lang w:eastAsia="ja-JP"/>
        </w:rPr>
        <w:t>S</w:t>
      </w:r>
      <w:r w:rsidR="007F4F69">
        <w:rPr>
          <w:lang w:eastAsia="ja-JP"/>
        </w:rPr>
        <w:t xml:space="preserve"> Act </w:t>
      </w:r>
      <w:r>
        <w:rPr>
          <w:lang w:eastAsia="ja-JP"/>
        </w:rPr>
        <w:t xml:space="preserve">is the </w:t>
      </w:r>
      <w:r w:rsidRPr="009F3C50">
        <w:rPr>
          <w:i/>
          <w:iCs/>
          <w:lang w:eastAsia="ja-JP"/>
        </w:rPr>
        <w:t>Water Efficiency Labelling and Standards Determination 2013 (No. 2)</w:t>
      </w:r>
      <w:r>
        <w:rPr>
          <w:lang w:eastAsia="ja-JP"/>
        </w:rPr>
        <w:t xml:space="preserve"> (WELS Determination). </w:t>
      </w:r>
      <w:r w:rsidR="001D7F2D">
        <w:rPr>
          <w:lang w:eastAsia="ja-JP"/>
        </w:rPr>
        <w:t xml:space="preserve">The WELS Determination is available on the Federal Register of Legislation at </w:t>
      </w:r>
      <w:hyperlink r:id="rId23" w:history="1">
        <w:r w:rsidR="00661809">
          <w:rPr>
            <w:rStyle w:val="Hyperlink"/>
          </w:rPr>
          <w:t>www.legislation.gov.au/F2013L01574/latest/text</w:t>
        </w:r>
      </w:hyperlink>
      <w:r w:rsidR="00661809">
        <w:t>.</w:t>
      </w:r>
    </w:p>
    <w:p w14:paraId="266DCC30" w14:textId="306C377D" w:rsidR="003656C1" w:rsidRDefault="00643774" w:rsidP="008E2272">
      <w:pPr>
        <w:rPr>
          <w:lang w:eastAsia="ja-JP"/>
        </w:rPr>
      </w:pPr>
      <w:r>
        <w:rPr>
          <w:lang w:eastAsia="ja-JP"/>
        </w:rPr>
        <w:t xml:space="preserve">The WELS Determination </w:t>
      </w:r>
      <w:r w:rsidR="001213D0">
        <w:t xml:space="preserve">outlines </w:t>
      </w:r>
      <w:r w:rsidR="00BD4A2B">
        <w:t xml:space="preserve">the </w:t>
      </w:r>
      <w:r w:rsidR="00CA3707">
        <w:t xml:space="preserve">scheme </w:t>
      </w:r>
      <w:r w:rsidR="001213D0">
        <w:t xml:space="preserve">specifics </w:t>
      </w:r>
      <w:r w:rsidR="00CA3707">
        <w:t>relating to the registration of WELS products including product determination, registration application requirements, application of fees, and designation of registration and registration renewal periods</w:t>
      </w:r>
      <w:r w:rsidR="00125550">
        <w:rPr>
          <w:iCs/>
        </w:rPr>
        <w:t>.</w:t>
      </w:r>
    </w:p>
    <w:p w14:paraId="43DCFA3A" w14:textId="40C81FAD" w:rsidR="00DB1F2B" w:rsidRDefault="00DB1F2B" w:rsidP="008E2272">
      <w:pPr>
        <w:rPr>
          <w:lang w:eastAsia="ja-JP"/>
        </w:rPr>
      </w:pPr>
      <w:r>
        <w:rPr>
          <w:lang w:eastAsia="ja-JP"/>
        </w:rPr>
        <w:t xml:space="preserve">Ensuring that legislation is </w:t>
      </w:r>
      <w:r w:rsidR="000E0764">
        <w:rPr>
          <w:lang w:eastAsia="ja-JP"/>
        </w:rPr>
        <w:t xml:space="preserve">current </w:t>
      </w:r>
      <w:r>
        <w:rPr>
          <w:lang w:eastAsia="ja-JP"/>
        </w:rPr>
        <w:t>and fit for purpose</w:t>
      </w:r>
      <w:r w:rsidR="007F4F69">
        <w:rPr>
          <w:lang w:eastAsia="ja-JP"/>
        </w:rPr>
        <w:t xml:space="preserve"> is an important part of </w:t>
      </w:r>
      <w:r w:rsidR="000E0764">
        <w:rPr>
          <w:lang w:eastAsia="ja-JP"/>
        </w:rPr>
        <w:t xml:space="preserve">our </w:t>
      </w:r>
      <w:r w:rsidR="007F4F69">
        <w:rPr>
          <w:lang w:eastAsia="ja-JP"/>
        </w:rPr>
        <w:t xml:space="preserve">regulatory </w:t>
      </w:r>
      <w:r w:rsidR="000A5D20">
        <w:rPr>
          <w:lang w:eastAsia="ja-JP"/>
        </w:rPr>
        <w:t>stewardship and</w:t>
      </w:r>
      <w:r w:rsidR="007F4F69">
        <w:rPr>
          <w:lang w:eastAsia="ja-JP"/>
        </w:rPr>
        <w:t xml:space="preserve"> acts to provide certainty and clarity for regulated industries and the </w:t>
      </w:r>
      <w:r w:rsidR="00661809">
        <w:rPr>
          <w:lang w:eastAsia="ja-JP"/>
        </w:rPr>
        <w:t xml:space="preserve">WELS </w:t>
      </w:r>
      <w:r w:rsidR="007F4F69">
        <w:rPr>
          <w:lang w:eastAsia="ja-JP"/>
        </w:rPr>
        <w:t>Regulator.</w:t>
      </w:r>
    </w:p>
    <w:p w14:paraId="0440AD6D" w14:textId="314B7205" w:rsidR="00DB1F2B" w:rsidRDefault="001D7F2D" w:rsidP="008E2272">
      <w:pPr>
        <w:rPr>
          <w:lang w:eastAsia="ja-JP"/>
        </w:rPr>
      </w:pPr>
      <w:r>
        <w:rPr>
          <w:lang w:eastAsia="ja-JP"/>
        </w:rPr>
        <w:t>Since t</w:t>
      </w:r>
      <w:r w:rsidR="009F3C50" w:rsidRPr="009F3C50">
        <w:rPr>
          <w:lang w:eastAsia="ja-JP"/>
        </w:rPr>
        <w:t xml:space="preserve">he WELS Determination </w:t>
      </w:r>
      <w:r w:rsidR="00F64B19">
        <w:rPr>
          <w:lang w:eastAsia="ja-JP"/>
        </w:rPr>
        <w:t>was last amended in</w:t>
      </w:r>
      <w:r w:rsidR="009F3C50" w:rsidRPr="009F3C50">
        <w:rPr>
          <w:lang w:eastAsia="ja-JP"/>
        </w:rPr>
        <w:t xml:space="preserve"> 2016</w:t>
      </w:r>
      <w:r w:rsidR="00DB1F2B">
        <w:rPr>
          <w:lang w:eastAsia="ja-JP"/>
        </w:rPr>
        <w:t xml:space="preserve">, the standards referenced in the document have been amended or revised through standards and code setting committees and their references are not up to date. </w:t>
      </w:r>
    </w:p>
    <w:p w14:paraId="5EE8950F" w14:textId="3F825E9D" w:rsidR="00D80C81" w:rsidRDefault="00DB1F2B" w:rsidP="008E2272">
      <w:pPr>
        <w:rPr>
          <w:lang w:eastAsia="ja-JP"/>
        </w:rPr>
      </w:pPr>
      <w:r>
        <w:rPr>
          <w:lang w:eastAsia="ja-JP"/>
        </w:rPr>
        <w:t xml:space="preserve">In addition, there is opportunity to deregulate certain miscellaneous products that fall within the current definition of WELS products, </w:t>
      </w:r>
      <w:r w:rsidR="00D80C81">
        <w:rPr>
          <w:lang w:eastAsia="ja-JP"/>
        </w:rPr>
        <w:t>and which</w:t>
      </w:r>
      <w:r>
        <w:rPr>
          <w:lang w:eastAsia="ja-JP"/>
        </w:rPr>
        <w:t xml:space="preserve"> do not serve the objects of the </w:t>
      </w:r>
      <w:r w:rsidR="00D80C81" w:rsidRPr="000A5D20">
        <w:rPr>
          <w:lang w:eastAsia="ja-JP"/>
        </w:rPr>
        <w:t>WELS Act</w:t>
      </w:r>
      <w:r w:rsidRPr="00D80C81">
        <w:rPr>
          <w:lang w:eastAsia="ja-JP"/>
        </w:rPr>
        <w:t>.</w:t>
      </w:r>
      <w:r w:rsidR="007F4F69">
        <w:rPr>
          <w:lang w:eastAsia="ja-JP"/>
        </w:rPr>
        <w:t xml:space="preserve"> These </w:t>
      </w:r>
      <w:r w:rsidR="00D80C81">
        <w:rPr>
          <w:lang w:eastAsia="ja-JP"/>
        </w:rPr>
        <w:t>miscellaneous</w:t>
      </w:r>
      <w:r w:rsidR="007F4F69">
        <w:rPr>
          <w:lang w:eastAsia="ja-JP"/>
        </w:rPr>
        <w:t xml:space="preserve"> products </w:t>
      </w:r>
      <w:r w:rsidR="00D80C81">
        <w:rPr>
          <w:lang w:eastAsia="ja-JP"/>
        </w:rPr>
        <w:t xml:space="preserve">primarily use </w:t>
      </w:r>
      <w:r w:rsidR="007F4F69">
        <w:rPr>
          <w:lang w:eastAsia="ja-JP"/>
        </w:rPr>
        <w:t xml:space="preserve">a fixed volume of water. The products are </w:t>
      </w:r>
      <w:r w:rsidR="000A5D20">
        <w:rPr>
          <w:lang w:eastAsia="ja-JP"/>
        </w:rPr>
        <w:t xml:space="preserve">drinking fountains, </w:t>
      </w:r>
      <w:r w:rsidR="007F4F69">
        <w:rPr>
          <w:lang w:eastAsia="ja-JP"/>
        </w:rPr>
        <w:t xml:space="preserve">bottle fillers, taps over a pot sink, </w:t>
      </w:r>
      <w:r w:rsidR="000A5D20">
        <w:rPr>
          <w:lang w:eastAsia="ja-JP"/>
        </w:rPr>
        <w:t xml:space="preserve">and </w:t>
      </w:r>
      <w:r w:rsidR="007F4F69">
        <w:rPr>
          <w:lang w:eastAsia="ja-JP"/>
        </w:rPr>
        <w:t xml:space="preserve">small portable </w:t>
      </w:r>
      <w:r w:rsidR="000A5D20">
        <w:rPr>
          <w:lang w:eastAsia="ja-JP"/>
        </w:rPr>
        <w:t xml:space="preserve">washing machines and </w:t>
      </w:r>
      <w:r w:rsidR="007F4F69">
        <w:rPr>
          <w:lang w:eastAsia="ja-JP"/>
        </w:rPr>
        <w:t>dishwashers</w:t>
      </w:r>
      <w:r w:rsidR="000A5D20">
        <w:rPr>
          <w:lang w:eastAsia="ja-JP"/>
        </w:rPr>
        <w:t>.</w:t>
      </w:r>
    </w:p>
    <w:p w14:paraId="7A6ED079" w14:textId="58740C02" w:rsidR="002B7D2A" w:rsidRDefault="00B21C6E" w:rsidP="009F3C50">
      <w:pPr>
        <w:rPr>
          <w:lang w:eastAsia="ja-JP"/>
        </w:rPr>
      </w:pPr>
      <w:r>
        <w:rPr>
          <w:lang w:eastAsia="ja-JP"/>
        </w:rPr>
        <w:t xml:space="preserve">To ensure the WELS Determination remains fit for purpose, </w:t>
      </w:r>
      <w:r w:rsidR="000E0764">
        <w:rPr>
          <w:lang w:eastAsia="ja-JP"/>
        </w:rPr>
        <w:t>several</w:t>
      </w:r>
      <w:r>
        <w:rPr>
          <w:lang w:eastAsia="ja-JP"/>
        </w:rPr>
        <w:t xml:space="preserve"> amendments are being proposed. </w:t>
      </w:r>
      <w:r w:rsidR="009F3C50" w:rsidRPr="00CA3CD8">
        <w:rPr>
          <w:lang w:eastAsia="ja-JP"/>
        </w:rPr>
        <w:t>The</w:t>
      </w:r>
      <w:r w:rsidR="00F42F7E">
        <w:rPr>
          <w:lang w:eastAsia="ja-JP"/>
        </w:rPr>
        <w:t xml:space="preserve"> key</w:t>
      </w:r>
      <w:r w:rsidR="009F3C50" w:rsidRPr="00CA3CD8">
        <w:rPr>
          <w:lang w:eastAsia="ja-JP"/>
        </w:rPr>
        <w:t xml:space="preserve"> amendments relate </w:t>
      </w:r>
      <w:r w:rsidR="009F3C50">
        <w:rPr>
          <w:lang w:eastAsia="ja-JP"/>
        </w:rPr>
        <w:t>to</w:t>
      </w:r>
      <w:r w:rsidR="002B7D2A">
        <w:rPr>
          <w:lang w:eastAsia="ja-JP"/>
        </w:rPr>
        <w:t>:</w:t>
      </w:r>
    </w:p>
    <w:p w14:paraId="339FA26F" w14:textId="14650F36" w:rsidR="00205A3B" w:rsidRDefault="00D80C81" w:rsidP="009F3C50">
      <w:pPr>
        <w:pStyle w:val="ListBullet"/>
      </w:pPr>
      <w:r>
        <w:t xml:space="preserve">updating and clarifying </w:t>
      </w:r>
      <w:r w:rsidR="00205A3B">
        <w:t>definitions and references</w:t>
      </w:r>
    </w:p>
    <w:p w14:paraId="410D5825" w14:textId="666AE641" w:rsidR="00537DAB" w:rsidRDefault="00537DAB" w:rsidP="00537DAB">
      <w:pPr>
        <w:pStyle w:val="ListBullet"/>
        <w:rPr>
          <w:lang w:eastAsia="ja-JP"/>
        </w:rPr>
      </w:pPr>
      <w:r>
        <w:rPr>
          <w:lang w:eastAsia="ja-JP"/>
        </w:rPr>
        <w:t>deregulating miscellaneous products.</w:t>
      </w:r>
    </w:p>
    <w:p w14:paraId="2D045701" w14:textId="77777777" w:rsidR="00B21C6E" w:rsidRDefault="00B21C6E">
      <w:pPr>
        <w:spacing w:after="0" w:line="240" w:lineRule="auto"/>
      </w:pPr>
      <w:r>
        <w:br w:type="page"/>
      </w:r>
    </w:p>
    <w:p w14:paraId="5B107D2F" w14:textId="178AD361" w:rsidR="00B21C6E" w:rsidRDefault="007767D1" w:rsidP="00B21C6E">
      <w:pPr>
        <w:pStyle w:val="Heading2"/>
        <w:ind w:left="720" w:hanging="720"/>
      </w:pPr>
      <w:bookmarkStart w:id="6" w:name="_Toc171419288"/>
      <w:bookmarkStart w:id="7" w:name="_Ref445985033"/>
      <w:bookmarkStart w:id="8" w:name="_Toc409769171"/>
      <w:r>
        <w:lastRenderedPageBreak/>
        <w:t xml:space="preserve">Government </w:t>
      </w:r>
      <w:r w:rsidR="00B21C6E">
        <w:t>impacts</w:t>
      </w:r>
      <w:bookmarkEnd w:id="6"/>
    </w:p>
    <w:p w14:paraId="5D0AF038" w14:textId="1FC5D612" w:rsidR="00B21C6E" w:rsidRDefault="00B21C6E" w:rsidP="00B21C6E">
      <w:pPr>
        <w:rPr>
          <w:lang w:eastAsia="ja-JP"/>
        </w:rPr>
      </w:pPr>
      <w:r>
        <w:rPr>
          <w:lang w:eastAsia="ja-JP"/>
        </w:rPr>
        <w:t>The WELS scheme is a cooperative legislative scheme, with some jurisdictions having mirror</w:t>
      </w:r>
      <w:r w:rsidR="005D11DB">
        <w:rPr>
          <w:lang w:eastAsia="ja-JP"/>
        </w:rPr>
        <w:t>ed</w:t>
      </w:r>
      <w:r>
        <w:rPr>
          <w:lang w:eastAsia="ja-JP"/>
        </w:rPr>
        <w:t xml:space="preserve"> </w:t>
      </w:r>
      <w:r w:rsidR="007E1256">
        <w:rPr>
          <w:lang w:eastAsia="ja-JP"/>
        </w:rPr>
        <w:t xml:space="preserve">primary </w:t>
      </w:r>
      <w:r>
        <w:rPr>
          <w:lang w:eastAsia="ja-JP"/>
        </w:rPr>
        <w:t xml:space="preserve">legislation (Vic and WA) and others having applied </w:t>
      </w:r>
      <w:r w:rsidR="007E1256">
        <w:rPr>
          <w:lang w:eastAsia="ja-JP"/>
        </w:rPr>
        <w:t xml:space="preserve">primary </w:t>
      </w:r>
      <w:r>
        <w:rPr>
          <w:lang w:eastAsia="ja-JP"/>
        </w:rPr>
        <w:t xml:space="preserve">legislation (NSW, Qld, SA, </w:t>
      </w:r>
      <w:r w:rsidR="00461F5A">
        <w:rPr>
          <w:lang w:eastAsia="ja-JP"/>
        </w:rPr>
        <w:t xml:space="preserve">Tas, </w:t>
      </w:r>
      <w:r>
        <w:rPr>
          <w:lang w:eastAsia="ja-JP"/>
        </w:rPr>
        <w:t>ACT</w:t>
      </w:r>
      <w:r w:rsidR="00461F5A">
        <w:rPr>
          <w:lang w:eastAsia="ja-JP"/>
        </w:rPr>
        <w:t xml:space="preserve"> and </w:t>
      </w:r>
      <w:r>
        <w:rPr>
          <w:lang w:eastAsia="ja-JP"/>
        </w:rPr>
        <w:t>NT).</w:t>
      </w:r>
      <w:r w:rsidRPr="00B21C6E">
        <w:rPr>
          <w:lang w:eastAsia="ja-JP"/>
        </w:rPr>
        <w:t xml:space="preserve"> </w:t>
      </w:r>
      <w:r w:rsidR="00D32CDD">
        <w:rPr>
          <w:lang w:eastAsia="ja-JP"/>
        </w:rPr>
        <w:t>Amendment to the WELS Determination will not cause the WELS legislation in a state or territory to be</w:t>
      </w:r>
      <w:r w:rsidR="00C96293">
        <w:rPr>
          <w:lang w:eastAsia="ja-JP"/>
        </w:rPr>
        <w:t>come</w:t>
      </w:r>
      <w:r w:rsidR="00D32CDD">
        <w:rPr>
          <w:lang w:eastAsia="ja-JP"/>
        </w:rPr>
        <w:t xml:space="preserve"> inconsistent. The WELS Determination is made under sections 18, 19 and 26 of the </w:t>
      </w:r>
      <w:r w:rsidR="00D32CDD" w:rsidRPr="00D32CDD">
        <w:rPr>
          <w:i/>
          <w:iCs/>
          <w:lang w:eastAsia="ja-JP"/>
        </w:rPr>
        <w:t>Water Efficiency Labelling and Standards Act 2005</w:t>
      </w:r>
      <w:r w:rsidR="00D32CDD">
        <w:rPr>
          <w:lang w:eastAsia="ja-JP"/>
        </w:rPr>
        <w:t xml:space="preserve"> (</w:t>
      </w:r>
      <w:proofErr w:type="spellStart"/>
      <w:r w:rsidR="00D32CDD">
        <w:rPr>
          <w:lang w:eastAsia="ja-JP"/>
        </w:rPr>
        <w:t>Cth</w:t>
      </w:r>
      <w:proofErr w:type="spellEnd"/>
      <w:r w:rsidR="00D32CDD">
        <w:rPr>
          <w:lang w:eastAsia="ja-JP"/>
        </w:rPr>
        <w:t>).</w:t>
      </w:r>
    </w:p>
    <w:p w14:paraId="229CB1ED" w14:textId="61F48BF2" w:rsidR="00C96293" w:rsidRPr="00C96293" w:rsidRDefault="00C96293" w:rsidP="00C96293">
      <w:pPr>
        <w:rPr>
          <w:lang w:eastAsia="ja-JP"/>
        </w:rPr>
      </w:pPr>
      <w:r w:rsidRPr="00C96293">
        <w:rPr>
          <w:lang w:eastAsia="ja-JP"/>
        </w:rPr>
        <w:t>The impact on the Australia</w:t>
      </w:r>
      <w:r w:rsidR="004C2845">
        <w:rPr>
          <w:lang w:eastAsia="ja-JP"/>
        </w:rPr>
        <w:t>n</w:t>
      </w:r>
      <w:r w:rsidRPr="00C96293">
        <w:rPr>
          <w:lang w:eastAsia="ja-JP"/>
        </w:rPr>
        <w:t xml:space="preserve"> Government will be </w:t>
      </w:r>
      <w:r w:rsidR="000E0764">
        <w:rPr>
          <w:lang w:eastAsia="ja-JP"/>
        </w:rPr>
        <w:t xml:space="preserve">to </w:t>
      </w:r>
      <w:r w:rsidRPr="00C96293">
        <w:rPr>
          <w:lang w:eastAsia="ja-JP"/>
        </w:rPr>
        <w:t>enabl</w:t>
      </w:r>
      <w:r w:rsidR="000E0764">
        <w:rPr>
          <w:lang w:eastAsia="ja-JP"/>
        </w:rPr>
        <w:t>e</w:t>
      </w:r>
      <w:r w:rsidRPr="00C96293">
        <w:rPr>
          <w:lang w:eastAsia="ja-JP"/>
        </w:rPr>
        <w:t xml:space="preserve"> the WELS Regulator to enforce compliance with contemporary standards and codes, to support strong governance and sound regulatory stewardship.</w:t>
      </w:r>
      <w:r w:rsidR="005366D2">
        <w:rPr>
          <w:lang w:eastAsia="ja-JP"/>
        </w:rPr>
        <w:t xml:space="preserve"> There will also be a very small reduction in administration associated with the products that would no longer require registration.</w:t>
      </w:r>
    </w:p>
    <w:p w14:paraId="6573D862" w14:textId="6B184757" w:rsidR="007767D1" w:rsidRDefault="007767D1" w:rsidP="00F42F7E">
      <w:pPr>
        <w:pStyle w:val="Heading2"/>
        <w:ind w:left="720" w:hanging="720"/>
      </w:pPr>
      <w:bookmarkStart w:id="9" w:name="_Toc171419289"/>
      <w:r>
        <w:t>Industry impacts</w:t>
      </w:r>
      <w:bookmarkEnd w:id="9"/>
    </w:p>
    <w:p w14:paraId="62C9983B" w14:textId="738037AA" w:rsidR="00F325ED" w:rsidRDefault="007767D1" w:rsidP="00DB142C">
      <w:r>
        <w:rPr>
          <w:lang w:eastAsia="ja-JP"/>
        </w:rPr>
        <w:t xml:space="preserve">The </w:t>
      </w:r>
      <w:r w:rsidRPr="00C96293">
        <w:rPr>
          <w:lang w:eastAsia="ja-JP"/>
        </w:rPr>
        <w:t xml:space="preserve">proposed changes to the WELS Determination </w:t>
      </w:r>
      <w:r w:rsidR="00C96293">
        <w:rPr>
          <w:lang w:eastAsia="ja-JP"/>
        </w:rPr>
        <w:t xml:space="preserve">are expected to </w:t>
      </w:r>
      <w:r w:rsidR="004C2845">
        <w:rPr>
          <w:lang w:eastAsia="ja-JP"/>
        </w:rPr>
        <w:t xml:space="preserve">provide clarity to </w:t>
      </w:r>
      <w:r w:rsidR="00580016">
        <w:rPr>
          <w:lang w:eastAsia="ja-JP"/>
        </w:rPr>
        <w:t xml:space="preserve">regulated businesses </w:t>
      </w:r>
      <w:r w:rsidR="00580016" w:rsidRPr="00C96293">
        <w:rPr>
          <w:lang w:eastAsia="ja-JP"/>
        </w:rPr>
        <w:t>(i.e. organisations that register WELS products)</w:t>
      </w:r>
      <w:r w:rsidR="00580016">
        <w:rPr>
          <w:lang w:eastAsia="ja-JP"/>
        </w:rPr>
        <w:t xml:space="preserve"> </w:t>
      </w:r>
      <w:r w:rsidR="004C2845">
        <w:rPr>
          <w:lang w:eastAsia="ja-JP"/>
        </w:rPr>
        <w:t xml:space="preserve">and </w:t>
      </w:r>
      <w:r w:rsidR="00580016">
        <w:rPr>
          <w:lang w:eastAsia="ja-JP"/>
        </w:rPr>
        <w:t>reduce administrative burden through the deregulation of a limited number of products</w:t>
      </w:r>
      <w:r w:rsidR="001C4554">
        <w:rPr>
          <w:lang w:eastAsia="ja-JP"/>
        </w:rPr>
        <w:t>.</w:t>
      </w:r>
    </w:p>
    <w:p w14:paraId="30CD3E72" w14:textId="06089F3D" w:rsidR="00DB142C" w:rsidRPr="00DB142C" w:rsidRDefault="00A24841" w:rsidP="00DB142C">
      <w:pPr>
        <w:rPr>
          <w:lang w:eastAsia="ja-JP"/>
        </w:rPr>
      </w:pPr>
      <w:r w:rsidRPr="00DB142C">
        <w:rPr>
          <w:lang w:eastAsia="ja-JP"/>
        </w:rPr>
        <w:t xml:space="preserve">In amending references to standards and codes, </w:t>
      </w:r>
      <w:r w:rsidR="00C712FC">
        <w:rPr>
          <w:lang w:eastAsia="ja-JP"/>
        </w:rPr>
        <w:t>a</w:t>
      </w:r>
      <w:r w:rsidRPr="00DB142C">
        <w:rPr>
          <w:lang w:eastAsia="ja-JP"/>
        </w:rPr>
        <w:t xml:space="preserve">ll current standards and codes </w:t>
      </w:r>
      <w:r w:rsidR="00DB142C">
        <w:rPr>
          <w:lang w:eastAsia="ja-JP"/>
        </w:rPr>
        <w:t xml:space="preserve">have been </w:t>
      </w:r>
      <w:r w:rsidRPr="00DB142C">
        <w:rPr>
          <w:lang w:eastAsia="ja-JP"/>
        </w:rPr>
        <w:t>codesigned with industry through standards setting committees</w:t>
      </w:r>
      <w:r w:rsidR="00DB142C">
        <w:rPr>
          <w:lang w:eastAsia="ja-JP"/>
        </w:rPr>
        <w:t xml:space="preserve">, with industry </w:t>
      </w:r>
      <w:r w:rsidR="00DB142C" w:rsidRPr="00DB142C">
        <w:rPr>
          <w:lang w:eastAsia="ja-JP"/>
        </w:rPr>
        <w:t xml:space="preserve">operating under these revised standards for several years. Making the standards enforceable </w:t>
      </w:r>
      <w:r w:rsidR="00DB142C">
        <w:rPr>
          <w:lang w:eastAsia="ja-JP"/>
        </w:rPr>
        <w:t xml:space="preserve">within the WELS Determination </w:t>
      </w:r>
      <w:r w:rsidR="00DB142C" w:rsidRPr="00DB142C">
        <w:rPr>
          <w:lang w:eastAsia="ja-JP"/>
        </w:rPr>
        <w:t>will assist in providing clearer and consistent regulation for industry.</w:t>
      </w:r>
    </w:p>
    <w:p w14:paraId="78F355E2" w14:textId="1F421E38" w:rsidR="00DB142C" w:rsidRPr="00DB142C" w:rsidRDefault="0055082F" w:rsidP="00DB142C">
      <w:pPr>
        <w:rPr>
          <w:lang w:eastAsia="ja-JP"/>
        </w:rPr>
      </w:pPr>
      <w:r>
        <w:rPr>
          <w:lang w:eastAsia="ja-JP"/>
        </w:rPr>
        <w:t>A</w:t>
      </w:r>
      <w:r w:rsidR="00A24841" w:rsidRPr="00DB142C">
        <w:rPr>
          <w:lang w:eastAsia="ja-JP"/>
        </w:rPr>
        <w:t>mending the reference to the current WELS standard (AS/NZS 6400:2016) will serve to make enforceable changes to product labelling for the benefit of consumers and industry.</w:t>
      </w:r>
      <w:r w:rsidR="00DB142C">
        <w:rPr>
          <w:lang w:eastAsia="ja-JP"/>
        </w:rPr>
        <w:t xml:space="preserve"> </w:t>
      </w:r>
      <w:r w:rsidR="00DB142C" w:rsidRPr="00DB142C">
        <w:rPr>
          <w:lang w:eastAsia="ja-JP"/>
        </w:rPr>
        <w:t>For example, changes in the current WELS standard included introducing a new upper band of 5-stars for shower</w:t>
      </w:r>
      <w:r>
        <w:rPr>
          <w:lang w:eastAsia="ja-JP"/>
        </w:rPr>
        <w:t>s</w:t>
      </w:r>
      <w:r w:rsidR="00DB142C" w:rsidRPr="00DB142C">
        <w:rPr>
          <w:lang w:eastAsia="ja-JP"/>
        </w:rPr>
        <w:t>. This supports both consumers who are looking for more water efficient products and industry who are looking to promote their water efficient product ranges to customers.</w:t>
      </w:r>
    </w:p>
    <w:p w14:paraId="78EA592E" w14:textId="45954F2B" w:rsidR="00DB142C" w:rsidRPr="00DB142C" w:rsidRDefault="00DB142C" w:rsidP="00DB142C">
      <w:pPr>
        <w:rPr>
          <w:lang w:eastAsia="ja-JP"/>
        </w:rPr>
      </w:pPr>
      <w:r w:rsidRPr="00DB142C">
        <w:rPr>
          <w:lang w:eastAsia="ja-JP"/>
        </w:rPr>
        <w:t>Additionally, the current</w:t>
      </w:r>
      <w:r w:rsidR="00F93B42">
        <w:rPr>
          <w:lang w:eastAsia="ja-JP"/>
        </w:rPr>
        <w:t xml:space="preserve"> amended</w:t>
      </w:r>
      <w:r w:rsidRPr="00DB142C">
        <w:rPr>
          <w:lang w:eastAsia="ja-JP"/>
        </w:rPr>
        <w:t xml:space="preserve"> WELS standard also set</w:t>
      </w:r>
      <w:r w:rsidR="00F93B42">
        <w:rPr>
          <w:lang w:eastAsia="ja-JP"/>
        </w:rPr>
        <w:t>s</w:t>
      </w:r>
      <w:r w:rsidRPr="00DB142C">
        <w:rPr>
          <w:lang w:eastAsia="ja-JP"/>
        </w:rPr>
        <w:t xml:space="preserve"> minimum water efficiencies for certain regulated product categories, resulting in the removal of inefficient products from the market. </w:t>
      </w:r>
      <w:r w:rsidR="0055082F">
        <w:rPr>
          <w:lang w:eastAsia="ja-JP"/>
        </w:rPr>
        <w:t>This</w:t>
      </w:r>
      <w:r w:rsidRPr="00DB142C">
        <w:rPr>
          <w:lang w:eastAsia="ja-JP"/>
        </w:rPr>
        <w:t xml:space="preserve"> saves consumers water, energy and </w:t>
      </w:r>
      <w:r w:rsidR="0055082F">
        <w:rPr>
          <w:lang w:eastAsia="ja-JP"/>
        </w:rPr>
        <w:t xml:space="preserve">money off their </w:t>
      </w:r>
      <w:r w:rsidRPr="00DB142C">
        <w:rPr>
          <w:lang w:eastAsia="ja-JP"/>
        </w:rPr>
        <w:t>utility bill</w:t>
      </w:r>
      <w:r w:rsidR="0055082F">
        <w:rPr>
          <w:lang w:eastAsia="ja-JP"/>
        </w:rPr>
        <w:t>s</w:t>
      </w:r>
      <w:r w:rsidRPr="00DB142C">
        <w:rPr>
          <w:lang w:eastAsia="ja-JP"/>
        </w:rPr>
        <w:t xml:space="preserve">. </w:t>
      </w:r>
      <w:r w:rsidR="004C2845">
        <w:rPr>
          <w:lang w:eastAsia="ja-JP"/>
        </w:rPr>
        <w:t xml:space="preserve">Industry </w:t>
      </w:r>
      <w:r w:rsidR="001C4554">
        <w:rPr>
          <w:lang w:eastAsia="ja-JP"/>
        </w:rPr>
        <w:t xml:space="preserve">codesigned and </w:t>
      </w:r>
      <w:r w:rsidR="004C2845">
        <w:rPr>
          <w:lang w:eastAsia="ja-JP"/>
        </w:rPr>
        <w:t>supported these changes through participation in relevant standard</w:t>
      </w:r>
      <w:r w:rsidR="001C4554">
        <w:rPr>
          <w:lang w:eastAsia="ja-JP"/>
        </w:rPr>
        <w:t xml:space="preserve">s and codes </w:t>
      </w:r>
      <w:r w:rsidR="004C2845">
        <w:rPr>
          <w:lang w:eastAsia="ja-JP"/>
        </w:rPr>
        <w:t xml:space="preserve">setting </w:t>
      </w:r>
      <w:proofErr w:type="gramStart"/>
      <w:r w:rsidR="004C2845">
        <w:rPr>
          <w:lang w:eastAsia="ja-JP"/>
        </w:rPr>
        <w:t>committee</w:t>
      </w:r>
      <w:r w:rsidR="00580016">
        <w:rPr>
          <w:lang w:eastAsia="ja-JP"/>
        </w:rPr>
        <w:t>s</w:t>
      </w:r>
      <w:r w:rsidR="004C2845">
        <w:rPr>
          <w:lang w:eastAsia="ja-JP"/>
        </w:rPr>
        <w:t>, and</w:t>
      </w:r>
      <w:proofErr w:type="gramEnd"/>
      <w:r w:rsidRPr="00DB142C">
        <w:rPr>
          <w:lang w:eastAsia="ja-JP"/>
        </w:rPr>
        <w:t xml:space="preserve"> had requested for many years that the WELS standard be amended to not allow inefficient products to be registered with WELS, which under </w:t>
      </w:r>
      <w:r w:rsidR="001C4554">
        <w:rPr>
          <w:lang w:eastAsia="ja-JP"/>
        </w:rPr>
        <w:t xml:space="preserve">the </w:t>
      </w:r>
      <w:r w:rsidRPr="00DB142C">
        <w:rPr>
          <w:lang w:eastAsia="ja-JP"/>
        </w:rPr>
        <w:t xml:space="preserve">National Construction Code (NCC) could not be installed. For example, showers with a flow rate exceeding 9 litres per minute are not able to be installed under the NCC, and now under the current WELS standard </w:t>
      </w:r>
      <w:r w:rsidR="00F93B42">
        <w:rPr>
          <w:lang w:eastAsia="ja-JP"/>
        </w:rPr>
        <w:t>are</w:t>
      </w:r>
      <w:r w:rsidR="00F93B42" w:rsidRPr="00DB142C">
        <w:rPr>
          <w:lang w:eastAsia="ja-JP"/>
        </w:rPr>
        <w:t xml:space="preserve"> </w:t>
      </w:r>
      <w:r w:rsidRPr="00DB142C">
        <w:rPr>
          <w:lang w:eastAsia="ja-JP"/>
        </w:rPr>
        <w:t>not allowed to be registered and supplied to the market. The current WELS standard assists with aligning regulation and clarifying requirements for industry.</w:t>
      </w:r>
    </w:p>
    <w:p w14:paraId="2CC7641F" w14:textId="0C65612F" w:rsidR="00C96293" w:rsidRPr="00C712FC" w:rsidRDefault="00DB142C" w:rsidP="00C712FC">
      <w:pPr>
        <w:rPr>
          <w:lang w:eastAsia="ja-JP"/>
        </w:rPr>
      </w:pPr>
      <w:r w:rsidRPr="00DB142C">
        <w:rPr>
          <w:lang w:eastAsia="ja-JP"/>
        </w:rPr>
        <w:t xml:space="preserve">The impact on industry of deregulating several miscellaneous products will not change the products that can be supplied to the market – these products will simply no longer require registration under the WELS scheme or attract a registration charge. The WELS scheme operates under a tiered charging structure for product registrations, which means that an amount is charged to register up to </w:t>
      </w:r>
      <w:r w:rsidRPr="00DB142C">
        <w:rPr>
          <w:lang w:eastAsia="ja-JP"/>
        </w:rPr>
        <w:lastRenderedPageBreak/>
        <w:t xml:space="preserve">a particular number of WELS products. The deregulatory measures may result in some businesses having a reduced tier charge for their range of products. </w:t>
      </w:r>
      <w:r w:rsidRPr="0050276A">
        <w:rPr>
          <w:lang w:eastAsia="ja-JP"/>
        </w:rPr>
        <w:t>Irrespective of whether a business saves on registration charges, they will have a reduced administrative burden and an associated cost saving from not having to submit registration applications, and not having to make or apply a label on the products.</w:t>
      </w:r>
    </w:p>
    <w:p w14:paraId="0AAE092A" w14:textId="51A25724" w:rsidR="007767D1" w:rsidRDefault="007767D1">
      <w:pPr>
        <w:spacing w:after="0" w:line="240" w:lineRule="auto"/>
        <w:rPr>
          <w:lang w:eastAsia="ja-JP"/>
        </w:rPr>
      </w:pPr>
      <w:r>
        <w:rPr>
          <w:lang w:eastAsia="ja-JP"/>
        </w:rPr>
        <w:br w:type="page"/>
      </w:r>
    </w:p>
    <w:p w14:paraId="1AFB4B09" w14:textId="3EB48C24" w:rsidR="00C8409C" w:rsidRDefault="00C8409C" w:rsidP="00C8409C">
      <w:pPr>
        <w:pStyle w:val="Heading2"/>
        <w:ind w:left="720" w:hanging="720"/>
      </w:pPr>
      <w:bookmarkStart w:id="10" w:name="_Toc171419290"/>
      <w:r>
        <w:lastRenderedPageBreak/>
        <w:t>Feedback</w:t>
      </w:r>
      <w:bookmarkEnd w:id="10"/>
    </w:p>
    <w:p w14:paraId="18383A19" w14:textId="5CD7EA6B" w:rsidR="00603A1D" w:rsidRDefault="000D1DA5" w:rsidP="00C8409C">
      <w:pPr>
        <w:rPr>
          <w:lang w:eastAsia="ja-JP"/>
        </w:rPr>
      </w:pPr>
      <w:r>
        <w:rPr>
          <w:lang w:eastAsia="ja-JP"/>
        </w:rPr>
        <w:t xml:space="preserve">We are </w:t>
      </w:r>
      <w:r w:rsidR="00C8409C">
        <w:rPr>
          <w:lang w:eastAsia="ja-JP"/>
        </w:rPr>
        <w:t xml:space="preserve">seeking </w:t>
      </w:r>
      <w:r w:rsidR="00F93B42">
        <w:rPr>
          <w:lang w:eastAsia="ja-JP"/>
        </w:rPr>
        <w:t xml:space="preserve">public </w:t>
      </w:r>
      <w:r w:rsidR="00C8409C">
        <w:rPr>
          <w:lang w:eastAsia="ja-JP"/>
        </w:rPr>
        <w:t xml:space="preserve">feedback on the proposed amendments to the WELS Determination. </w:t>
      </w:r>
      <w:r w:rsidR="00603A1D">
        <w:rPr>
          <w:lang w:eastAsia="ja-JP"/>
        </w:rPr>
        <w:t xml:space="preserve">Stakeholders </w:t>
      </w:r>
      <w:r w:rsidR="00F93B42">
        <w:rPr>
          <w:lang w:eastAsia="ja-JP"/>
        </w:rPr>
        <w:t xml:space="preserve">who will be </w:t>
      </w:r>
      <w:r w:rsidR="00603A1D">
        <w:rPr>
          <w:lang w:eastAsia="ja-JP"/>
        </w:rPr>
        <w:t>directly invited to provide feedback include:</w:t>
      </w:r>
    </w:p>
    <w:p w14:paraId="3E3C130D" w14:textId="77777777" w:rsidR="00603A1D" w:rsidRDefault="00C8409C" w:rsidP="00603A1D">
      <w:pPr>
        <w:pStyle w:val="ListParagraph"/>
        <w:numPr>
          <w:ilvl w:val="0"/>
          <w:numId w:val="47"/>
        </w:numPr>
        <w:rPr>
          <w:lang w:eastAsia="ja-JP"/>
        </w:rPr>
      </w:pPr>
      <w:r>
        <w:rPr>
          <w:lang w:eastAsia="ja-JP"/>
        </w:rPr>
        <w:t xml:space="preserve">all WELS organisations </w:t>
      </w:r>
      <w:r w:rsidR="00603A1D">
        <w:rPr>
          <w:lang w:eastAsia="ja-JP"/>
        </w:rPr>
        <w:t xml:space="preserve">(registrants) </w:t>
      </w:r>
      <w:r>
        <w:rPr>
          <w:lang w:eastAsia="ja-JP"/>
        </w:rPr>
        <w:t>wh</w:t>
      </w:r>
      <w:r w:rsidR="00603A1D">
        <w:rPr>
          <w:lang w:eastAsia="ja-JP"/>
        </w:rPr>
        <w:t>o</w:t>
      </w:r>
      <w:r>
        <w:rPr>
          <w:lang w:eastAsia="ja-JP"/>
        </w:rPr>
        <w:t xml:space="preserve"> currently have products</w:t>
      </w:r>
      <w:r w:rsidR="00603A1D">
        <w:rPr>
          <w:lang w:eastAsia="ja-JP"/>
        </w:rPr>
        <w:t xml:space="preserve"> registered with the WELS scheme</w:t>
      </w:r>
    </w:p>
    <w:p w14:paraId="5838B13A" w14:textId="77777777" w:rsidR="00603A1D" w:rsidRDefault="00603A1D" w:rsidP="00603A1D">
      <w:pPr>
        <w:pStyle w:val="ListParagraph"/>
        <w:numPr>
          <w:ilvl w:val="0"/>
          <w:numId w:val="47"/>
        </w:numPr>
        <w:rPr>
          <w:lang w:eastAsia="ja-JP"/>
        </w:rPr>
      </w:pPr>
      <w:r>
        <w:rPr>
          <w:lang w:eastAsia="ja-JP"/>
        </w:rPr>
        <w:t>Plumbing Products Industry Group</w:t>
      </w:r>
    </w:p>
    <w:p w14:paraId="44186936" w14:textId="1538A456" w:rsidR="00277078" w:rsidRDefault="00277078" w:rsidP="00603A1D">
      <w:pPr>
        <w:pStyle w:val="ListParagraph"/>
        <w:numPr>
          <w:ilvl w:val="0"/>
          <w:numId w:val="47"/>
        </w:numPr>
        <w:rPr>
          <w:lang w:eastAsia="ja-JP"/>
        </w:rPr>
      </w:pPr>
      <w:r>
        <w:rPr>
          <w:lang w:eastAsia="ja-JP"/>
        </w:rPr>
        <w:t>Australian Plumbing Manufacturers Association</w:t>
      </w:r>
    </w:p>
    <w:p w14:paraId="07684D0D" w14:textId="77777777" w:rsidR="00603A1D" w:rsidRDefault="00603A1D" w:rsidP="00603A1D">
      <w:pPr>
        <w:pStyle w:val="ListParagraph"/>
        <w:numPr>
          <w:ilvl w:val="0"/>
          <w:numId w:val="47"/>
        </w:numPr>
        <w:rPr>
          <w:lang w:eastAsia="ja-JP"/>
        </w:rPr>
      </w:pPr>
      <w:r>
        <w:rPr>
          <w:lang w:eastAsia="ja-JP"/>
        </w:rPr>
        <w:t>Australian Industry Group</w:t>
      </w:r>
    </w:p>
    <w:p w14:paraId="326F3D07" w14:textId="48B60A53" w:rsidR="00F93B42" w:rsidRDefault="00F93B42" w:rsidP="00603A1D">
      <w:pPr>
        <w:pStyle w:val="ListParagraph"/>
        <w:numPr>
          <w:ilvl w:val="0"/>
          <w:numId w:val="47"/>
        </w:numPr>
        <w:rPr>
          <w:lang w:eastAsia="ja-JP"/>
        </w:rPr>
      </w:pPr>
      <w:r>
        <w:rPr>
          <w:lang w:eastAsia="ja-JP"/>
        </w:rPr>
        <w:t>Consumer</w:t>
      </w:r>
      <w:r w:rsidR="00277078">
        <w:rPr>
          <w:lang w:eastAsia="ja-JP"/>
        </w:rPr>
        <w:t xml:space="preserve"> Electronics Suppliers Association</w:t>
      </w:r>
    </w:p>
    <w:p w14:paraId="28798A93" w14:textId="691F7B89" w:rsidR="00277078" w:rsidRDefault="00277078" w:rsidP="00603A1D">
      <w:pPr>
        <w:pStyle w:val="ListParagraph"/>
        <w:numPr>
          <w:ilvl w:val="0"/>
          <w:numId w:val="47"/>
        </w:numPr>
        <w:rPr>
          <w:lang w:eastAsia="ja-JP"/>
        </w:rPr>
      </w:pPr>
      <w:r>
        <w:rPr>
          <w:lang w:eastAsia="ja-JP"/>
        </w:rPr>
        <w:t>Water Services Association of Australia</w:t>
      </w:r>
    </w:p>
    <w:p w14:paraId="7A2D9FF1" w14:textId="09518367" w:rsidR="00277078" w:rsidRDefault="00277078" w:rsidP="00603A1D">
      <w:pPr>
        <w:pStyle w:val="ListParagraph"/>
        <w:numPr>
          <w:ilvl w:val="0"/>
          <w:numId w:val="47"/>
        </w:numPr>
        <w:rPr>
          <w:lang w:eastAsia="ja-JP"/>
        </w:rPr>
      </w:pPr>
      <w:r>
        <w:rPr>
          <w:lang w:eastAsia="ja-JP"/>
        </w:rPr>
        <w:t>Plumbing Industry Climate Action Centre</w:t>
      </w:r>
    </w:p>
    <w:p w14:paraId="5E04CE08" w14:textId="4ECC522C" w:rsidR="00277078" w:rsidRDefault="00277078" w:rsidP="00603A1D">
      <w:pPr>
        <w:pStyle w:val="ListParagraph"/>
        <w:numPr>
          <w:ilvl w:val="0"/>
          <w:numId w:val="47"/>
        </w:numPr>
        <w:rPr>
          <w:lang w:eastAsia="ja-JP"/>
        </w:rPr>
      </w:pPr>
      <w:r>
        <w:rPr>
          <w:lang w:eastAsia="ja-JP"/>
        </w:rPr>
        <w:t>Australian Building Codes Board</w:t>
      </w:r>
    </w:p>
    <w:p w14:paraId="38FBBF32" w14:textId="07E7DFA4" w:rsidR="00277078" w:rsidRDefault="00277078" w:rsidP="00603A1D">
      <w:pPr>
        <w:pStyle w:val="ListParagraph"/>
        <w:numPr>
          <w:ilvl w:val="0"/>
          <w:numId w:val="47"/>
        </w:numPr>
        <w:rPr>
          <w:lang w:eastAsia="ja-JP"/>
        </w:rPr>
      </w:pPr>
      <w:r>
        <w:rPr>
          <w:lang w:eastAsia="ja-JP"/>
        </w:rPr>
        <w:t>CHOICE</w:t>
      </w:r>
    </w:p>
    <w:p w14:paraId="47029F2E" w14:textId="47D1745F" w:rsidR="00277078" w:rsidRDefault="00277078" w:rsidP="00603A1D">
      <w:pPr>
        <w:pStyle w:val="ListParagraph"/>
        <w:numPr>
          <w:ilvl w:val="0"/>
          <w:numId w:val="47"/>
        </w:numPr>
        <w:rPr>
          <w:lang w:eastAsia="ja-JP"/>
        </w:rPr>
      </w:pPr>
      <w:r>
        <w:rPr>
          <w:lang w:eastAsia="ja-JP"/>
        </w:rPr>
        <w:t>Greenhouse and Energy Minimum Standards Regulator</w:t>
      </w:r>
    </w:p>
    <w:p w14:paraId="617075F3" w14:textId="7768F670" w:rsidR="00C8409C" w:rsidRDefault="00603A1D" w:rsidP="00603A1D">
      <w:pPr>
        <w:pStyle w:val="ListParagraph"/>
        <w:numPr>
          <w:ilvl w:val="0"/>
          <w:numId w:val="47"/>
        </w:numPr>
        <w:rPr>
          <w:lang w:eastAsia="ja-JP"/>
        </w:rPr>
      </w:pPr>
      <w:r>
        <w:rPr>
          <w:lang w:eastAsia="ja-JP"/>
        </w:rPr>
        <w:t>state and territory government representatives.</w:t>
      </w:r>
    </w:p>
    <w:p w14:paraId="5ADFFB4B" w14:textId="43DD0482" w:rsidR="00603A1D" w:rsidRDefault="00461F5A" w:rsidP="00603A1D">
      <w:pPr>
        <w:spacing w:before="200"/>
        <w:rPr>
          <w:lang w:eastAsia="ja-JP"/>
        </w:rPr>
      </w:pPr>
      <w:r>
        <w:rPr>
          <w:lang w:eastAsia="ja-JP"/>
        </w:rPr>
        <w:t xml:space="preserve">You can provide feedback </w:t>
      </w:r>
      <w:r w:rsidR="00C8409C">
        <w:rPr>
          <w:lang w:eastAsia="ja-JP"/>
        </w:rPr>
        <w:t>through the department</w:t>
      </w:r>
      <w:r w:rsidR="00603A1D">
        <w:rPr>
          <w:lang w:eastAsia="ja-JP"/>
        </w:rPr>
        <w:t>’s</w:t>
      </w:r>
      <w:r w:rsidR="00C8409C">
        <w:rPr>
          <w:lang w:eastAsia="ja-JP"/>
        </w:rPr>
        <w:t xml:space="preserve"> </w:t>
      </w:r>
      <w:r>
        <w:rPr>
          <w:lang w:eastAsia="ja-JP"/>
        </w:rPr>
        <w:t xml:space="preserve">online </w:t>
      </w:r>
      <w:r w:rsidR="00C8409C">
        <w:rPr>
          <w:lang w:eastAsia="ja-JP"/>
        </w:rPr>
        <w:t xml:space="preserve">consultation platform – </w:t>
      </w:r>
      <w:hyperlink r:id="rId24" w:history="1">
        <w:r w:rsidR="00C8409C" w:rsidRPr="003B039F">
          <w:rPr>
            <w:rStyle w:val="Hyperlink"/>
            <w:lang w:eastAsia="ja-JP"/>
          </w:rPr>
          <w:t>Have Your Say</w:t>
        </w:r>
      </w:hyperlink>
      <w:r w:rsidR="00C8409C">
        <w:rPr>
          <w:lang w:eastAsia="ja-JP"/>
        </w:rPr>
        <w:t xml:space="preserve">. </w:t>
      </w:r>
      <w:r w:rsidR="000D1DA5">
        <w:rPr>
          <w:lang w:eastAsia="ja-JP"/>
        </w:rPr>
        <w:t xml:space="preserve">This </w:t>
      </w:r>
      <w:r w:rsidR="00C8409C">
        <w:rPr>
          <w:lang w:eastAsia="ja-JP"/>
        </w:rPr>
        <w:t xml:space="preserve">consultation paper </w:t>
      </w:r>
      <w:r w:rsidR="009A27B8">
        <w:rPr>
          <w:lang w:eastAsia="ja-JP"/>
        </w:rPr>
        <w:t xml:space="preserve">is available there </w:t>
      </w:r>
      <w:r w:rsidR="00C8409C">
        <w:rPr>
          <w:lang w:eastAsia="ja-JP"/>
        </w:rPr>
        <w:t>and a link to the current WELS Determination</w:t>
      </w:r>
      <w:r w:rsidR="00603A1D">
        <w:rPr>
          <w:lang w:eastAsia="ja-JP"/>
        </w:rPr>
        <w:t xml:space="preserve"> for reference</w:t>
      </w:r>
      <w:r w:rsidR="00C8409C">
        <w:rPr>
          <w:lang w:eastAsia="ja-JP"/>
        </w:rPr>
        <w:t>.</w:t>
      </w:r>
    </w:p>
    <w:p w14:paraId="296829F7" w14:textId="15004FEB" w:rsidR="00C8409C" w:rsidRDefault="00C8409C" w:rsidP="00603A1D">
      <w:pPr>
        <w:spacing w:before="200"/>
        <w:rPr>
          <w:lang w:eastAsia="ja-JP"/>
        </w:rPr>
      </w:pPr>
      <w:r>
        <w:rPr>
          <w:lang w:eastAsia="ja-JP"/>
        </w:rPr>
        <w:t xml:space="preserve">You can provide </w:t>
      </w:r>
      <w:r w:rsidR="00603A1D">
        <w:rPr>
          <w:lang w:eastAsia="ja-JP"/>
        </w:rPr>
        <w:t xml:space="preserve">your </w:t>
      </w:r>
      <w:r>
        <w:rPr>
          <w:lang w:eastAsia="ja-JP"/>
        </w:rPr>
        <w:t xml:space="preserve">feedback by completing the </w:t>
      </w:r>
      <w:r w:rsidR="009A27B8">
        <w:rPr>
          <w:lang w:eastAsia="ja-JP"/>
        </w:rPr>
        <w:t xml:space="preserve">online </w:t>
      </w:r>
      <w:r>
        <w:rPr>
          <w:lang w:eastAsia="ja-JP"/>
        </w:rPr>
        <w:t xml:space="preserve">survey </w:t>
      </w:r>
      <w:r w:rsidR="009A27B8">
        <w:rPr>
          <w:lang w:eastAsia="ja-JP"/>
        </w:rPr>
        <w:t>(</w:t>
      </w:r>
      <w:r>
        <w:rPr>
          <w:lang w:eastAsia="ja-JP"/>
        </w:rPr>
        <w:t>Have Your Say</w:t>
      </w:r>
      <w:r w:rsidR="009A27B8">
        <w:rPr>
          <w:lang w:eastAsia="ja-JP"/>
        </w:rPr>
        <w:t>)</w:t>
      </w:r>
      <w:r>
        <w:rPr>
          <w:lang w:eastAsia="ja-JP"/>
        </w:rPr>
        <w:t xml:space="preserve"> and/or uploading a written submission.</w:t>
      </w:r>
    </w:p>
    <w:p w14:paraId="138AEB7A" w14:textId="758CDB11" w:rsidR="00C8409C" w:rsidRDefault="00C8409C" w:rsidP="00C8409C">
      <w:pPr>
        <w:rPr>
          <w:lang w:eastAsia="ja-JP"/>
        </w:rPr>
      </w:pPr>
      <w:r>
        <w:rPr>
          <w:lang w:eastAsia="ja-JP"/>
        </w:rPr>
        <w:t>Targeted feedback on the proposed amendments is being sought</w:t>
      </w:r>
      <w:r w:rsidR="006877BF">
        <w:rPr>
          <w:lang w:eastAsia="ja-JP"/>
        </w:rPr>
        <w:t xml:space="preserve"> to identify any unintended impacts or implementation issues</w:t>
      </w:r>
      <w:r>
        <w:rPr>
          <w:lang w:eastAsia="ja-JP"/>
        </w:rPr>
        <w:t xml:space="preserve">. The survey questions have been tailored to assist participants in providing targeted feedback. If you chose to provide a written submission, please ensure that commentary </w:t>
      </w:r>
      <w:r w:rsidR="00F93B42">
        <w:rPr>
          <w:lang w:eastAsia="ja-JP"/>
        </w:rPr>
        <w:t xml:space="preserve">only </w:t>
      </w:r>
      <w:r>
        <w:rPr>
          <w:lang w:eastAsia="ja-JP"/>
        </w:rPr>
        <w:t>relates to the proposed amendments listed in this consultation paper.</w:t>
      </w:r>
    </w:p>
    <w:p w14:paraId="77F33D23" w14:textId="4659E9F8" w:rsidR="00603A1D" w:rsidRDefault="009A27B8" w:rsidP="00603A1D">
      <w:pPr>
        <w:rPr>
          <w:lang w:eastAsia="ja-JP"/>
        </w:rPr>
      </w:pPr>
      <w:r>
        <w:rPr>
          <w:lang w:eastAsia="ja-JP"/>
        </w:rPr>
        <w:t>You can</w:t>
      </w:r>
      <w:r w:rsidR="00603A1D">
        <w:rPr>
          <w:lang w:eastAsia="ja-JP"/>
        </w:rPr>
        <w:t xml:space="preserve"> provide feedback </w:t>
      </w:r>
      <w:r w:rsidRPr="003731E3">
        <w:rPr>
          <w:lang w:eastAsia="ja-JP"/>
        </w:rPr>
        <w:t>from</w:t>
      </w:r>
      <w:r w:rsidR="00603A1D" w:rsidRPr="003731E3">
        <w:rPr>
          <w:lang w:eastAsia="ja-JP"/>
        </w:rPr>
        <w:t xml:space="preserve"> </w:t>
      </w:r>
      <w:r w:rsidR="009D53B3" w:rsidRPr="003731E3">
        <w:rPr>
          <w:lang w:eastAsia="ja-JP"/>
        </w:rPr>
        <w:t>10 July</w:t>
      </w:r>
      <w:r w:rsidR="00603A1D" w:rsidRPr="003731E3">
        <w:rPr>
          <w:lang w:eastAsia="ja-JP"/>
        </w:rPr>
        <w:t xml:space="preserve"> </w:t>
      </w:r>
      <w:r w:rsidR="009D53B3" w:rsidRPr="003731E3">
        <w:rPr>
          <w:lang w:eastAsia="ja-JP"/>
        </w:rPr>
        <w:t>2024</w:t>
      </w:r>
      <w:r w:rsidR="00603A1D" w:rsidRPr="003731E3">
        <w:rPr>
          <w:lang w:eastAsia="ja-JP"/>
        </w:rPr>
        <w:t xml:space="preserve"> </w:t>
      </w:r>
      <w:r w:rsidRPr="003731E3">
        <w:rPr>
          <w:lang w:eastAsia="ja-JP"/>
        </w:rPr>
        <w:t>until</w:t>
      </w:r>
      <w:r w:rsidR="00603A1D" w:rsidRPr="003731E3">
        <w:rPr>
          <w:lang w:eastAsia="ja-JP"/>
        </w:rPr>
        <w:t xml:space="preserve"> </w:t>
      </w:r>
      <w:r w:rsidR="00603A1D" w:rsidRPr="003731E3">
        <w:rPr>
          <w:b/>
          <w:bCs/>
          <w:lang w:eastAsia="ja-JP"/>
        </w:rPr>
        <w:t xml:space="preserve">5pm </w:t>
      </w:r>
      <w:r w:rsidR="003731E3" w:rsidRPr="003731E3">
        <w:rPr>
          <w:b/>
          <w:bCs/>
          <w:lang w:eastAsia="ja-JP"/>
        </w:rPr>
        <w:t xml:space="preserve">AEST </w:t>
      </w:r>
      <w:r w:rsidR="00603A1D" w:rsidRPr="003731E3">
        <w:rPr>
          <w:b/>
          <w:bCs/>
          <w:lang w:eastAsia="ja-JP"/>
        </w:rPr>
        <w:t xml:space="preserve">on </w:t>
      </w:r>
      <w:r w:rsidR="003731E3" w:rsidRPr="003731E3">
        <w:rPr>
          <w:b/>
          <w:bCs/>
          <w:lang w:eastAsia="ja-JP"/>
        </w:rPr>
        <w:t>31</w:t>
      </w:r>
      <w:r w:rsidR="00603A1D" w:rsidRPr="003731E3">
        <w:rPr>
          <w:b/>
          <w:bCs/>
          <w:lang w:eastAsia="ja-JP"/>
        </w:rPr>
        <w:t xml:space="preserve"> </w:t>
      </w:r>
      <w:r w:rsidR="003731E3" w:rsidRPr="003731E3">
        <w:rPr>
          <w:b/>
          <w:bCs/>
          <w:lang w:eastAsia="ja-JP"/>
        </w:rPr>
        <w:t>July</w:t>
      </w:r>
      <w:r w:rsidR="00603A1D" w:rsidRPr="003731E3">
        <w:rPr>
          <w:b/>
          <w:bCs/>
          <w:lang w:eastAsia="ja-JP"/>
        </w:rPr>
        <w:t xml:space="preserve"> </w:t>
      </w:r>
      <w:r w:rsidR="003731E3" w:rsidRPr="003731E3">
        <w:rPr>
          <w:b/>
          <w:bCs/>
          <w:lang w:eastAsia="ja-JP"/>
        </w:rPr>
        <w:t>2024</w:t>
      </w:r>
      <w:r w:rsidRPr="003731E3">
        <w:rPr>
          <w:lang w:eastAsia="ja-JP"/>
        </w:rPr>
        <w:t>, when</w:t>
      </w:r>
      <w:r>
        <w:rPr>
          <w:lang w:eastAsia="ja-JP"/>
        </w:rPr>
        <w:t xml:space="preserve"> the online survey will close</w:t>
      </w:r>
      <w:r w:rsidR="00603A1D">
        <w:rPr>
          <w:lang w:eastAsia="ja-JP"/>
        </w:rPr>
        <w:t>.</w:t>
      </w:r>
    </w:p>
    <w:p w14:paraId="1F3E1041" w14:textId="3FE8E0CE" w:rsidR="006877BF" w:rsidRPr="006877BF" w:rsidRDefault="006877BF" w:rsidP="00603A1D">
      <w:pPr>
        <w:rPr>
          <w:lang w:eastAsia="ja-JP"/>
        </w:rPr>
      </w:pPr>
      <w:r>
        <w:rPr>
          <w:lang w:eastAsia="ja-JP"/>
        </w:rPr>
        <w:t xml:space="preserve">You can access Have Your Say at the following link – </w:t>
      </w:r>
      <w:hyperlink r:id="rId25" w:history="1">
        <w:r w:rsidR="003B039F">
          <w:rPr>
            <w:rStyle w:val="Hyperlink"/>
            <w:rFonts w:ascii="Calibri" w:hAnsi="Calibri" w:cs="Calibri"/>
          </w:rPr>
          <w:t>https://consult.dcceew.gov.au/proposed-legislative-changes-to-the-wels-determination-2013</w:t>
        </w:r>
      </w:hyperlink>
      <w:r>
        <w:rPr>
          <w:lang w:eastAsia="ja-JP"/>
        </w:rPr>
        <w:t>.</w:t>
      </w:r>
    </w:p>
    <w:p w14:paraId="7D2DEB1A" w14:textId="0743CB85" w:rsidR="00C8409C" w:rsidRDefault="00C8409C">
      <w:pPr>
        <w:spacing w:after="0" w:line="240" w:lineRule="auto"/>
        <w:rPr>
          <w:lang w:eastAsia="ja-JP"/>
        </w:rPr>
      </w:pPr>
      <w:r>
        <w:rPr>
          <w:lang w:eastAsia="ja-JP"/>
        </w:rPr>
        <w:br w:type="page"/>
      </w:r>
    </w:p>
    <w:p w14:paraId="3D7DEFF8" w14:textId="43DBE1D7" w:rsidR="00F42F7E" w:rsidRDefault="00F42F7E" w:rsidP="00F42F7E">
      <w:pPr>
        <w:pStyle w:val="Heading2"/>
        <w:ind w:left="720" w:hanging="720"/>
      </w:pPr>
      <w:bookmarkStart w:id="11" w:name="_Toc171419291"/>
      <w:r>
        <w:lastRenderedPageBreak/>
        <w:t>Proposed changes</w:t>
      </w:r>
      <w:bookmarkEnd w:id="11"/>
    </w:p>
    <w:p w14:paraId="4E412A84" w14:textId="4DA26048" w:rsidR="00537DAB" w:rsidRDefault="00537DAB" w:rsidP="00EB3454">
      <w:r>
        <w:t xml:space="preserve">The amendments should be read in conjunction with the current </w:t>
      </w:r>
      <w:hyperlink r:id="rId26" w:history="1">
        <w:r w:rsidRPr="005D11DB">
          <w:rPr>
            <w:rStyle w:val="Hyperlink"/>
          </w:rPr>
          <w:t>WELS Determination</w:t>
        </w:r>
      </w:hyperlink>
      <w:r w:rsidR="00F93B42">
        <w:t>. The amendments</w:t>
      </w:r>
      <w:r w:rsidR="003A030A">
        <w:t xml:space="preserve"> are</w:t>
      </w:r>
      <w:r w:rsidR="00F93B42">
        <w:t xml:space="preserve"> to the following parts of the </w:t>
      </w:r>
      <w:r w:rsidR="003A030A">
        <w:t>D</w:t>
      </w:r>
      <w:r w:rsidR="00F93B42">
        <w:t>etermination:</w:t>
      </w:r>
    </w:p>
    <w:p w14:paraId="15F3D599" w14:textId="6EF7D579" w:rsidR="00F93B42" w:rsidRDefault="003A030A" w:rsidP="0050276A">
      <w:pPr>
        <w:pStyle w:val="ListBullet"/>
        <w:numPr>
          <w:ilvl w:val="0"/>
          <w:numId w:val="48"/>
        </w:numPr>
        <w:spacing w:before="0" w:after="0"/>
        <w:ind w:left="714" w:hanging="357"/>
      </w:pPr>
      <w:r>
        <w:t>D</w:t>
      </w:r>
      <w:r w:rsidR="00F93B42">
        <w:t xml:space="preserve">efinitions and references </w:t>
      </w:r>
    </w:p>
    <w:p w14:paraId="3D0EABA2" w14:textId="6BA4943D" w:rsidR="00F93B42" w:rsidRDefault="00F93B42" w:rsidP="0050276A">
      <w:pPr>
        <w:pStyle w:val="ListBullet"/>
        <w:numPr>
          <w:ilvl w:val="0"/>
          <w:numId w:val="48"/>
        </w:numPr>
        <w:spacing w:before="0" w:after="0"/>
        <w:ind w:left="714" w:hanging="357"/>
      </w:pPr>
      <w:r>
        <w:t>Section 5B</w:t>
      </w:r>
    </w:p>
    <w:p w14:paraId="6A230AEA" w14:textId="013C963B" w:rsidR="00F93B42" w:rsidRDefault="00F93B42" w:rsidP="0050276A">
      <w:pPr>
        <w:pStyle w:val="ListBullet"/>
        <w:numPr>
          <w:ilvl w:val="0"/>
          <w:numId w:val="48"/>
        </w:numPr>
        <w:spacing w:before="0" w:after="0"/>
        <w:ind w:left="714" w:hanging="357"/>
      </w:pPr>
      <w:r>
        <w:t>Section 6</w:t>
      </w:r>
    </w:p>
    <w:p w14:paraId="7DC83E2F" w14:textId="05146F67" w:rsidR="00F93B42" w:rsidRDefault="00F93B42" w:rsidP="0050276A">
      <w:pPr>
        <w:pStyle w:val="ListBullet"/>
        <w:numPr>
          <w:ilvl w:val="0"/>
          <w:numId w:val="48"/>
        </w:numPr>
        <w:spacing w:before="0" w:after="0"/>
        <w:ind w:left="714" w:hanging="357"/>
      </w:pPr>
      <w:r>
        <w:t>Section 7</w:t>
      </w:r>
    </w:p>
    <w:p w14:paraId="440328D3" w14:textId="788C121B" w:rsidR="00F93B42" w:rsidRDefault="00F93B42" w:rsidP="0050276A">
      <w:pPr>
        <w:pStyle w:val="ListBullet"/>
        <w:numPr>
          <w:ilvl w:val="0"/>
          <w:numId w:val="48"/>
        </w:numPr>
        <w:spacing w:before="0" w:after="0"/>
        <w:ind w:left="714" w:hanging="357"/>
      </w:pPr>
      <w:r>
        <w:t>Section 8</w:t>
      </w:r>
    </w:p>
    <w:p w14:paraId="573EB3F0" w14:textId="158FAF6C" w:rsidR="00F71339" w:rsidRDefault="00F93B42" w:rsidP="0050276A">
      <w:pPr>
        <w:pStyle w:val="ListBullet"/>
        <w:numPr>
          <w:ilvl w:val="0"/>
          <w:numId w:val="48"/>
        </w:numPr>
        <w:spacing w:before="0" w:after="0"/>
        <w:ind w:left="714" w:hanging="357"/>
      </w:pPr>
      <w:r>
        <w:t>Section 1</w:t>
      </w:r>
      <w:r w:rsidR="00F71339">
        <w:t>4</w:t>
      </w:r>
    </w:p>
    <w:p w14:paraId="28D8D9EB" w14:textId="70310CE2" w:rsidR="00F93B42" w:rsidRDefault="00F71339" w:rsidP="0050276A">
      <w:pPr>
        <w:pStyle w:val="ListBullet"/>
        <w:numPr>
          <w:ilvl w:val="0"/>
          <w:numId w:val="48"/>
        </w:numPr>
        <w:spacing w:before="0" w:after="0"/>
        <w:ind w:left="714" w:hanging="357"/>
      </w:pPr>
      <w:r>
        <w:t>Section 15</w:t>
      </w:r>
      <w:r w:rsidR="00F93B42">
        <w:t>.</w:t>
      </w:r>
    </w:p>
    <w:p w14:paraId="75B1CDC9" w14:textId="5A747498" w:rsidR="00537DAB" w:rsidRDefault="00537DAB" w:rsidP="000A5D20">
      <w:pPr>
        <w:pStyle w:val="Heading3"/>
        <w:rPr>
          <w:lang w:eastAsia="ja-JP"/>
        </w:rPr>
      </w:pPr>
      <w:bookmarkStart w:id="12" w:name="_Toc171419292"/>
      <w:r w:rsidRPr="00850F34">
        <w:rPr>
          <w:lang w:eastAsia="ja-JP"/>
        </w:rPr>
        <w:t>Amendments to definitions and references</w:t>
      </w:r>
      <w:bookmarkEnd w:id="12"/>
    </w:p>
    <w:p w14:paraId="5AC9DA87" w14:textId="3AC01351" w:rsidR="00C06936" w:rsidRPr="003C09AB" w:rsidRDefault="00C06936" w:rsidP="00EB3454">
      <w:pPr>
        <w:rPr>
          <w:lang w:eastAsia="ja-JP"/>
        </w:rPr>
      </w:pPr>
      <w:r w:rsidRPr="003C09AB">
        <w:rPr>
          <w:lang w:eastAsia="ja-JP"/>
        </w:rPr>
        <w:t xml:space="preserve">Section 5 </w:t>
      </w:r>
      <w:r w:rsidR="003C09AB" w:rsidRPr="003C09AB">
        <w:rPr>
          <w:lang w:eastAsia="ja-JP"/>
        </w:rPr>
        <w:t xml:space="preserve">of the WELS Determination </w:t>
      </w:r>
      <w:r w:rsidR="006A5FD2" w:rsidRPr="003C09AB">
        <w:rPr>
          <w:lang w:eastAsia="ja-JP"/>
        </w:rPr>
        <w:t>contains definitions</w:t>
      </w:r>
      <w:r w:rsidRPr="003C09AB">
        <w:rPr>
          <w:lang w:eastAsia="ja-JP"/>
        </w:rPr>
        <w:t xml:space="preserve"> for several Australian Standards</w:t>
      </w:r>
      <w:r w:rsidR="00EF428B" w:rsidRPr="003C09AB">
        <w:rPr>
          <w:lang w:eastAsia="ja-JP"/>
        </w:rPr>
        <w:t xml:space="preserve">, </w:t>
      </w:r>
      <w:r w:rsidR="003C09AB" w:rsidRPr="003C09AB">
        <w:rPr>
          <w:lang w:eastAsia="ja-JP"/>
        </w:rPr>
        <w:t xml:space="preserve">the </w:t>
      </w:r>
      <w:r w:rsidR="00EF428B" w:rsidRPr="003C09AB">
        <w:rPr>
          <w:lang w:eastAsia="ja-JP"/>
        </w:rPr>
        <w:t>Plumbing Code</w:t>
      </w:r>
      <w:r w:rsidRPr="003C09AB">
        <w:rPr>
          <w:lang w:eastAsia="ja-JP"/>
        </w:rPr>
        <w:t xml:space="preserve"> and terms that are referred to in the WELS Determination.</w:t>
      </w:r>
    </w:p>
    <w:p w14:paraId="64156C7F" w14:textId="350BD474" w:rsidR="001E12E5" w:rsidRPr="003C09AB" w:rsidRDefault="00C06936" w:rsidP="00EB3454">
      <w:pPr>
        <w:rPr>
          <w:lang w:eastAsia="ja-JP"/>
        </w:rPr>
      </w:pPr>
      <w:r w:rsidRPr="003C09AB">
        <w:rPr>
          <w:lang w:eastAsia="ja-JP"/>
        </w:rPr>
        <w:t xml:space="preserve">Amendments to certain </w:t>
      </w:r>
      <w:r w:rsidR="00FA2ED1" w:rsidRPr="003C09AB">
        <w:rPr>
          <w:lang w:eastAsia="ja-JP"/>
        </w:rPr>
        <w:t>terms</w:t>
      </w:r>
      <w:r w:rsidR="00EF428B" w:rsidRPr="003C09AB">
        <w:rPr>
          <w:lang w:eastAsia="ja-JP"/>
        </w:rPr>
        <w:t xml:space="preserve">, </w:t>
      </w:r>
      <w:r w:rsidR="003C09AB" w:rsidRPr="003C09AB">
        <w:rPr>
          <w:lang w:eastAsia="ja-JP"/>
        </w:rPr>
        <w:t xml:space="preserve">the </w:t>
      </w:r>
      <w:r w:rsidR="00EF428B" w:rsidRPr="003C09AB">
        <w:rPr>
          <w:lang w:eastAsia="ja-JP"/>
        </w:rPr>
        <w:t>Plumbing Code</w:t>
      </w:r>
      <w:r w:rsidR="00FA2ED1" w:rsidRPr="003C09AB">
        <w:rPr>
          <w:lang w:eastAsia="ja-JP"/>
        </w:rPr>
        <w:t xml:space="preserve"> and Australian Standard </w:t>
      </w:r>
      <w:r w:rsidRPr="003C09AB">
        <w:rPr>
          <w:lang w:eastAsia="ja-JP"/>
        </w:rPr>
        <w:t>definitions</w:t>
      </w:r>
      <w:r w:rsidR="00FA2ED1" w:rsidRPr="003C09AB">
        <w:rPr>
          <w:lang w:eastAsia="ja-JP"/>
        </w:rPr>
        <w:t xml:space="preserve"> are </w:t>
      </w:r>
      <w:r w:rsidR="00F32BCC" w:rsidRPr="003C09AB">
        <w:rPr>
          <w:lang w:eastAsia="ja-JP"/>
        </w:rPr>
        <w:t>proposed</w:t>
      </w:r>
      <w:r w:rsidR="00FA2ED1" w:rsidRPr="003C09AB">
        <w:rPr>
          <w:lang w:eastAsia="ja-JP"/>
        </w:rPr>
        <w:t xml:space="preserve"> to</w:t>
      </w:r>
      <w:r w:rsidRPr="003C09AB">
        <w:rPr>
          <w:lang w:eastAsia="ja-JP"/>
        </w:rPr>
        <w:t xml:space="preserve"> bring into effect </w:t>
      </w:r>
      <w:r w:rsidR="00FA2ED1" w:rsidRPr="003C09AB">
        <w:rPr>
          <w:lang w:eastAsia="ja-JP"/>
        </w:rPr>
        <w:t xml:space="preserve">the currently applied publication of </w:t>
      </w:r>
      <w:r w:rsidR="00EF428B" w:rsidRPr="003C09AB">
        <w:rPr>
          <w:lang w:eastAsia="ja-JP"/>
        </w:rPr>
        <w:t>these documents. This enable</w:t>
      </w:r>
      <w:r w:rsidR="00F05FC6" w:rsidRPr="003C09AB">
        <w:rPr>
          <w:lang w:eastAsia="ja-JP"/>
        </w:rPr>
        <w:t>s</w:t>
      </w:r>
      <w:r w:rsidR="00EF428B" w:rsidRPr="003C09AB">
        <w:rPr>
          <w:lang w:eastAsia="ja-JP"/>
        </w:rPr>
        <w:t xml:space="preserve"> the removal or amendment of several subsections that simplify the WELS Determination. </w:t>
      </w:r>
    </w:p>
    <w:p w14:paraId="7815CBE5" w14:textId="2404035E" w:rsidR="000C6A20" w:rsidRPr="003C09AB" w:rsidRDefault="001E12E5" w:rsidP="00EB3454">
      <w:pPr>
        <w:rPr>
          <w:lang w:eastAsia="ja-JP"/>
        </w:rPr>
      </w:pPr>
      <w:r w:rsidRPr="003C09AB">
        <w:rPr>
          <w:lang w:eastAsia="ja-JP"/>
        </w:rPr>
        <w:t xml:space="preserve">Addition of new definitions </w:t>
      </w:r>
      <w:r w:rsidR="004224AE" w:rsidRPr="003C09AB">
        <w:rPr>
          <w:lang w:eastAsia="ja-JP"/>
        </w:rPr>
        <w:t xml:space="preserve">are required </w:t>
      </w:r>
      <w:r w:rsidRPr="003C09AB">
        <w:rPr>
          <w:lang w:eastAsia="ja-JP"/>
        </w:rPr>
        <w:t xml:space="preserve">to support changes proposed </w:t>
      </w:r>
      <w:r w:rsidR="004224AE" w:rsidRPr="003C09AB">
        <w:rPr>
          <w:lang w:eastAsia="ja-JP"/>
        </w:rPr>
        <w:t xml:space="preserve">in Section 6 of the WELS Determination that determines what is a WELS product. </w:t>
      </w:r>
    </w:p>
    <w:p w14:paraId="1DFBE562" w14:textId="0608468D" w:rsidR="000C6A20" w:rsidRPr="0050276A" w:rsidRDefault="000C6A20" w:rsidP="00EB3454">
      <w:pPr>
        <w:pStyle w:val="Caption"/>
        <w:rPr>
          <w:lang w:eastAsia="ja-JP"/>
        </w:rPr>
      </w:pPr>
      <w:bookmarkStart w:id="13" w:name="_Toc170479592"/>
      <w:bookmarkStart w:id="14" w:name="_Toc171419299"/>
      <w:r w:rsidRPr="0050276A">
        <w:rPr>
          <w:lang w:eastAsia="ja-JP"/>
        </w:rPr>
        <w:t>Table 1. De</w:t>
      </w:r>
      <w:r w:rsidR="003C09AB" w:rsidRPr="0050276A">
        <w:rPr>
          <w:lang w:eastAsia="ja-JP"/>
        </w:rPr>
        <w:t>finition and reference amendments</w:t>
      </w:r>
      <w:bookmarkEnd w:id="13"/>
      <w:bookmarkEnd w:id="14"/>
    </w:p>
    <w:tbl>
      <w:tblPr>
        <w:tblStyle w:val="ListTable3-Accent1"/>
        <w:tblW w:w="0" w:type="auto"/>
        <w:tblLayout w:type="fixed"/>
        <w:tblLook w:val="04A0" w:firstRow="1" w:lastRow="0" w:firstColumn="1" w:lastColumn="0" w:noHBand="0" w:noVBand="1"/>
      </w:tblPr>
      <w:tblGrid>
        <w:gridCol w:w="2122"/>
        <w:gridCol w:w="5244"/>
        <w:gridCol w:w="1644"/>
      </w:tblGrid>
      <w:tr w:rsidR="000C6A20" w14:paraId="1830EA94" w14:textId="77777777" w:rsidTr="00DA7545">
        <w:trPr>
          <w:cnfStyle w:val="100000000000" w:firstRow="1" w:lastRow="0" w:firstColumn="0" w:lastColumn="0" w:oddVBand="0" w:evenVBand="0" w:oddHBand="0" w:evenHBand="0" w:firstRowFirstColumn="0" w:firstRowLastColumn="0" w:lastRowFirstColumn="0" w:lastRowLastColumn="0"/>
          <w:trHeight w:val="70"/>
          <w:tblHeader/>
        </w:trPr>
        <w:tc>
          <w:tcPr>
            <w:cnfStyle w:val="001000000100" w:firstRow="0" w:lastRow="0" w:firstColumn="1" w:lastColumn="0" w:oddVBand="0" w:evenVBand="0" w:oddHBand="0" w:evenHBand="0" w:firstRowFirstColumn="1" w:firstRowLastColumn="0" w:lastRowFirstColumn="0" w:lastRowLastColumn="0"/>
            <w:tcW w:w="2122" w:type="dxa"/>
          </w:tcPr>
          <w:p w14:paraId="6367DBFF" w14:textId="77777777" w:rsidR="000C6A20" w:rsidRPr="00B12AC2" w:rsidRDefault="000C6A20" w:rsidP="00305604">
            <w:pPr>
              <w:rPr>
                <w:b w:val="0"/>
                <w:bCs w:val="0"/>
              </w:rPr>
            </w:pPr>
            <w:bookmarkStart w:id="15" w:name="_Hlk166592114"/>
            <w:r w:rsidRPr="00B12AC2">
              <w:t>Amendment</w:t>
            </w:r>
          </w:p>
        </w:tc>
        <w:tc>
          <w:tcPr>
            <w:tcW w:w="5244" w:type="dxa"/>
          </w:tcPr>
          <w:p w14:paraId="226FA9D1" w14:textId="77777777" w:rsidR="000C6A20" w:rsidRPr="00B12AC2" w:rsidRDefault="000C6A20" w:rsidP="00305604">
            <w:pPr>
              <w:contextualSpacing/>
              <w:cnfStyle w:val="100000000000" w:firstRow="1" w:lastRow="0" w:firstColumn="0" w:lastColumn="0" w:oddVBand="0" w:evenVBand="0" w:oddHBand="0" w:evenHBand="0" w:firstRowFirstColumn="0" w:firstRowLastColumn="0" w:lastRowFirstColumn="0" w:lastRowLastColumn="0"/>
              <w:rPr>
                <w:b w:val="0"/>
                <w:bCs w:val="0"/>
              </w:rPr>
            </w:pPr>
            <w:r w:rsidRPr="00B12AC2">
              <w:t>Description</w:t>
            </w:r>
          </w:p>
        </w:tc>
        <w:tc>
          <w:tcPr>
            <w:tcW w:w="1644" w:type="dxa"/>
          </w:tcPr>
          <w:p w14:paraId="30D28B25" w14:textId="77777777" w:rsidR="000C6A20" w:rsidRPr="00B12AC2" w:rsidRDefault="000C6A20" w:rsidP="00305604">
            <w:pPr>
              <w:cnfStyle w:val="100000000000" w:firstRow="1" w:lastRow="0" w:firstColumn="0" w:lastColumn="0" w:oddVBand="0" w:evenVBand="0" w:oddHBand="0" w:evenHBand="0" w:firstRowFirstColumn="0" w:firstRowLastColumn="0" w:lastRowFirstColumn="0" w:lastRowLastColumn="0"/>
              <w:rPr>
                <w:b w:val="0"/>
                <w:bCs w:val="0"/>
              </w:rPr>
            </w:pPr>
            <w:r w:rsidRPr="00B12AC2">
              <w:t>Legislative reference</w:t>
            </w:r>
          </w:p>
        </w:tc>
      </w:tr>
      <w:bookmarkEnd w:id="15"/>
      <w:tr w:rsidR="000C6A20" w14:paraId="0F654765" w14:textId="77777777" w:rsidTr="002C695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22" w:type="dxa"/>
          </w:tcPr>
          <w:p w14:paraId="27A3E4F7" w14:textId="25C0790E" w:rsidR="000C6A20" w:rsidRDefault="00217187" w:rsidP="00305604">
            <w:r>
              <w:t>Amend</w:t>
            </w:r>
            <w:r w:rsidR="00523110">
              <w:t xml:space="preserve"> definition </w:t>
            </w:r>
            <w:r w:rsidR="00062D49">
              <w:t>of</w:t>
            </w:r>
            <w:r w:rsidR="00523110">
              <w:t xml:space="preserve"> ‘AS 3662’</w:t>
            </w:r>
          </w:p>
        </w:tc>
        <w:tc>
          <w:tcPr>
            <w:tcW w:w="5244" w:type="dxa"/>
          </w:tcPr>
          <w:p w14:paraId="76BF769C" w14:textId="6DEFF2D8" w:rsidR="004946A9" w:rsidRDefault="004946A9" w:rsidP="003C09AB">
            <w:pPr>
              <w:cnfStyle w:val="000000100000" w:firstRow="0" w:lastRow="0" w:firstColumn="0" w:lastColumn="0" w:oddVBand="0" w:evenVBand="0" w:oddHBand="1" w:evenHBand="0" w:firstRowFirstColumn="0" w:firstRowLastColumn="0" w:lastRowFirstColumn="0" w:lastRowLastColumn="0"/>
            </w:pPr>
            <w:r>
              <w:t>This amendment is to bring the updated standard into effect in the WELS Determination.</w:t>
            </w:r>
          </w:p>
          <w:p w14:paraId="2A362E3E" w14:textId="67B0E30D" w:rsidR="004946A9" w:rsidRDefault="004946A9" w:rsidP="003C09AB">
            <w:pPr>
              <w:cnfStyle w:val="000000100000" w:firstRow="0" w:lastRow="0" w:firstColumn="0" w:lastColumn="0" w:oddVBand="0" w:evenVBand="0" w:oddHBand="1" w:evenHBand="0" w:firstRowFirstColumn="0" w:firstRowLastColumn="0" w:lastRowFirstColumn="0" w:lastRowLastColumn="0"/>
            </w:pPr>
            <w:r>
              <w:t>This amendment involves updating the definition and references of AS 3662 to the correct designation of AS/NZS 3662.</w:t>
            </w:r>
          </w:p>
          <w:p w14:paraId="7B98C5D4" w14:textId="6C2BC94F" w:rsidR="004946A9" w:rsidRDefault="004946A9" w:rsidP="003C09AB">
            <w:pPr>
              <w:cnfStyle w:val="000000100000" w:firstRow="0" w:lastRow="0" w:firstColumn="0" w:lastColumn="0" w:oddVBand="0" w:evenVBand="0" w:oddHBand="1" w:evenHBand="0" w:firstRowFirstColumn="0" w:firstRowLastColumn="0" w:lastRowFirstColumn="0" w:lastRowLastColumn="0"/>
            </w:pPr>
            <w:r>
              <w:t xml:space="preserve">AS 3662 was updated in 2017 to the now joint Australian and New Zealand standard: </w:t>
            </w:r>
            <w:r w:rsidRPr="00E310FA">
              <w:rPr>
                <w:i/>
                <w:iCs/>
              </w:rPr>
              <w:t>AS/NZS 3662: 2013 Performance of showers for bathing</w:t>
            </w:r>
            <w:r>
              <w:t>.</w:t>
            </w:r>
          </w:p>
          <w:p w14:paraId="10FA7909" w14:textId="0925E1AF" w:rsidR="00DE3EAE" w:rsidRDefault="004946A9" w:rsidP="00EB3454">
            <w:pPr>
              <w:cnfStyle w:val="000000100000" w:firstRow="0" w:lastRow="0" w:firstColumn="0" w:lastColumn="0" w:oddVBand="0" w:evenVBand="0" w:oddHBand="1" w:evenHBand="0" w:firstRowFirstColumn="0" w:firstRowLastColumn="0" w:lastRowFirstColumn="0" w:lastRowLastColumn="0"/>
            </w:pPr>
            <w:r>
              <w:t>Amending the definition will also enable the removal of s</w:t>
            </w:r>
            <w:r w:rsidR="00A10779">
              <w:t xml:space="preserve">ection </w:t>
            </w:r>
            <w:r>
              <w:t xml:space="preserve">5B(2) (see </w:t>
            </w:r>
            <w:r w:rsidRPr="00DE3EAE">
              <w:t>1.2 Amendments to Section 5B</w:t>
            </w:r>
            <w:r>
              <w:t>)</w:t>
            </w:r>
            <w:r w:rsidRPr="003C09AB">
              <w:t>,</w:t>
            </w:r>
            <w:r>
              <w:t xml:space="preserve"> which is included in the 2017 amended standard.</w:t>
            </w:r>
          </w:p>
        </w:tc>
        <w:tc>
          <w:tcPr>
            <w:tcW w:w="1644" w:type="dxa"/>
          </w:tcPr>
          <w:p w14:paraId="74021825" w14:textId="033A5538" w:rsidR="00523110" w:rsidRDefault="00523110" w:rsidP="00305604">
            <w:pPr>
              <w:cnfStyle w:val="000000100000" w:firstRow="0" w:lastRow="0" w:firstColumn="0" w:lastColumn="0" w:oddVBand="0" w:evenVBand="0" w:oddHBand="1" w:evenHBand="0" w:firstRowFirstColumn="0" w:firstRowLastColumn="0" w:lastRowFirstColumn="0" w:lastRowLastColumn="0"/>
            </w:pPr>
            <w:r>
              <w:t>Section 5 Definitions</w:t>
            </w:r>
          </w:p>
        </w:tc>
      </w:tr>
      <w:tr w:rsidR="00614CC3" w14:paraId="553BBD92" w14:textId="77777777" w:rsidTr="002C695E">
        <w:trPr>
          <w:trHeight w:val="70"/>
        </w:trPr>
        <w:tc>
          <w:tcPr>
            <w:cnfStyle w:val="001000000000" w:firstRow="0" w:lastRow="0" w:firstColumn="1" w:lastColumn="0" w:oddVBand="0" w:evenVBand="0" w:oddHBand="0" w:evenHBand="0" w:firstRowFirstColumn="0" w:firstRowLastColumn="0" w:lastRowFirstColumn="0" w:lastRowLastColumn="0"/>
            <w:tcW w:w="2122" w:type="dxa"/>
          </w:tcPr>
          <w:p w14:paraId="533215AB" w14:textId="38B916AF" w:rsidR="00614CC3" w:rsidRDefault="00596410" w:rsidP="00305604">
            <w:r>
              <w:t>Remove definition of ‘AS/NZS 3500’</w:t>
            </w:r>
          </w:p>
        </w:tc>
        <w:tc>
          <w:tcPr>
            <w:tcW w:w="5244" w:type="dxa"/>
          </w:tcPr>
          <w:p w14:paraId="795C7D3B" w14:textId="6FF170ED" w:rsidR="004946A9" w:rsidRDefault="004946A9" w:rsidP="003C09AB">
            <w:pPr>
              <w:jc w:val="both"/>
              <w:cnfStyle w:val="000000000000" w:firstRow="0" w:lastRow="0" w:firstColumn="0" w:lastColumn="0" w:oddVBand="0" w:evenVBand="0" w:oddHBand="0" w:evenHBand="0" w:firstRowFirstColumn="0" w:firstRowLastColumn="0" w:lastRowFirstColumn="0" w:lastRowLastColumn="0"/>
            </w:pPr>
            <w:r>
              <w:t>This amendment is to remove an out-of-date reference.</w:t>
            </w:r>
          </w:p>
          <w:p w14:paraId="59E9F7CE" w14:textId="77777777" w:rsidR="00CA4535" w:rsidRDefault="004946A9" w:rsidP="004946A9">
            <w:pPr>
              <w:contextualSpacing/>
              <w:cnfStyle w:val="000000000000" w:firstRow="0" w:lastRow="0" w:firstColumn="0" w:lastColumn="0" w:oddVBand="0" w:evenVBand="0" w:oddHBand="0" w:evenHBand="0" w:firstRowFirstColumn="0" w:firstRowLastColumn="0" w:lastRowFirstColumn="0" w:lastRowLastColumn="0"/>
            </w:pPr>
            <w:r>
              <w:lastRenderedPageBreak/>
              <w:t>AS/NZS 3500</w:t>
            </w:r>
            <w:r w:rsidR="00300B60">
              <w:t>:2003</w:t>
            </w:r>
            <w:r>
              <w:t xml:space="preserve"> has been superseded by </w:t>
            </w:r>
            <w:bookmarkStart w:id="16" w:name="_Hlk164161055"/>
            <w:r>
              <w:t>AS/NZS 3500:2021</w:t>
            </w:r>
            <w:bookmarkEnd w:id="16"/>
            <w:r>
              <w:t>, with</w:t>
            </w:r>
            <w:r w:rsidR="00300B60">
              <w:t>in which there has been a</w:t>
            </w:r>
            <w:r>
              <w:t xml:space="preserve"> material change to the content. It is now more appropriate and simpler to instead refer to the Plumbing Code of Australia for the WaterMark Certification requirement in s</w:t>
            </w:r>
            <w:r w:rsidR="00A10779">
              <w:t xml:space="preserve">ection </w:t>
            </w:r>
            <w:r>
              <w:t>8 of the WELS Determination</w:t>
            </w:r>
            <w:r w:rsidR="00300B60">
              <w:t xml:space="preserve"> (</w:t>
            </w:r>
            <w:r w:rsidR="00300B60" w:rsidRPr="003C09AB">
              <w:rPr>
                <w:i/>
                <w:iCs/>
              </w:rPr>
              <w:t>see 1.5 Amendment relating to Section 8</w:t>
            </w:r>
            <w:r w:rsidR="00300B60">
              <w:t>)</w:t>
            </w:r>
            <w:r>
              <w:t>.</w:t>
            </w:r>
          </w:p>
          <w:p w14:paraId="7694B5E0" w14:textId="77777777" w:rsidR="00CA4535" w:rsidRDefault="00CA4535" w:rsidP="004946A9">
            <w:pPr>
              <w:contextualSpacing/>
              <w:cnfStyle w:val="000000000000" w:firstRow="0" w:lastRow="0" w:firstColumn="0" w:lastColumn="0" w:oddVBand="0" w:evenVBand="0" w:oddHBand="0" w:evenHBand="0" w:firstRowFirstColumn="0" w:firstRowLastColumn="0" w:lastRowFirstColumn="0" w:lastRowLastColumn="0"/>
            </w:pPr>
          </w:p>
          <w:p w14:paraId="43761F62" w14:textId="31B8C2FB" w:rsidR="00DE3EAE" w:rsidRDefault="00300B60" w:rsidP="00C8409C">
            <w:pPr>
              <w:contextualSpacing/>
              <w:cnfStyle w:val="000000000000" w:firstRow="0" w:lastRow="0" w:firstColumn="0" w:lastColumn="0" w:oddVBand="0" w:evenVBand="0" w:oddHBand="0" w:evenHBand="0" w:firstRowFirstColumn="0" w:firstRowLastColumn="0" w:lastRowFirstColumn="0" w:lastRowLastColumn="0"/>
            </w:pPr>
            <w:r>
              <w:t>Based on this proposed change</w:t>
            </w:r>
            <w:r w:rsidR="004946A9">
              <w:t xml:space="preserve"> </w:t>
            </w:r>
            <w:r w:rsidR="00CA4535">
              <w:t>there is no need to keep the definition ‘</w:t>
            </w:r>
            <w:r w:rsidR="004946A9">
              <w:t>AS/NZS 3500</w:t>
            </w:r>
            <w:r w:rsidR="00CA4535">
              <w:t>’ in section 5</w:t>
            </w:r>
            <w:r>
              <w:t>.</w:t>
            </w:r>
          </w:p>
        </w:tc>
        <w:tc>
          <w:tcPr>
            <w:tcW w:w="1644" w:type="dxa"/>
          </w:tcPr>
          <w:p w14:paraId="259EB969" w14:textId="43612302" w:rsidR="00614CC3" w:rsidRDefault="00596410" w:rsidP="00305604">
            <w:pPr>
              <w:cnfStyle w:val="000000000000" w:firstRow="0" w:lastRow="0" w:firstColumn="0" w:lastColumn="0" w:oddVBand="0" w:evenVBand="0" w:oddHBand="0" w:evenHBand="0" w:firstRowFirstColumn="0" w:firstRowLastColumn="0" w:lastRowFirstColumn="0" w:lastRowLastColumn="0"/>
            </w:pPr>
            <w:r>
              <w:lastRenderedPageBreak/>
              <w:t>Section 5 Definitions</w:t>
            </w:r>
          </w:p>
        </w:tc>
      </w:tr>
      <w:tr w:rsidR="00F05FC6" w14:paraId="09B40286" w14:textId="77777777" w:rsidTr="002C695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22" w:type="dxa"/>
          </w:tcPr>
          <w:p w14:paraId="0BDEDCBD" w14:textId="11E73442" w:rsidR="00F05FC6" w:rsidRDefault="00620F5C" w:rsidP="00305604">
            <w:r>
              <w:t>Remove definition of ‘AS/NZS 6400’</w:t>
            </w:r>
          </w:p>
        </w:tc>
        <w:tc>
          <w:tcPr>
            <w:tcW w:w="5244" w:type="dxa"/>
          </w:tcPr>
          <w:p w14:paraId="62715FED" w14:textId="77777777" w:rsidR="00911AF4" w:rsidRDefault="00911AF4" w:rsidP="00911AF4">
            <w:pPr>
              <w:contextualSpacing/>
              <w:cnfStyle w:val="000000100000" w:firstRow="0" w:lastRow="0" w:firstColumn="0" w:lastColumn="0" w:oddVBand="0" w:evenVBand="0" w:oddHBand="1" w:evenHBand="0" w:firstRowFirstColumn="0" w:firstRowLastColumn="0" w:lastRowFirstColumn="0" w:lastRowLastColumn="0"/>
            </w:pPr>
            <w:r w:rsidRPr="00911AF4">
              <w:t>This amendment is intended to remove an out-of-date reference to a standard.</w:t>
            </w:r>
          </w:p>
          <w:p w14:paraId="3ED6200B" w14:textId="77777777" w:rsidR="00AF51CF" w:rsidRPr="00911AF4" w:rsidRDefault="00AF51CF" w:rsidP="00911AF4">
            <w:pPr>
              <w:contextualSpacing/>
              <w:cnfStyle w:val="000000100000" w:firstRow="0" w:lastRow="0" w:firstColumn="0" w:lastColumn="0" w:oddVBand="0" w:evenVBand="0" w:oddHBand="1" w:evenHBand="0" w:firstRowFirstColumn="0" w:firstRowLastColumn="0" w:lastRowFirstColumn="0" w:lastRowLastColumn="0"/>
            </w:pPr>
          </w:p>
          <w:p w14:paraId="3279F1B9" w14:textId="592BBE9D" w:rsidR="00911AF4" w:rsidRPr="00911AF4" w:rsidRDefault="00911AF4" w:rsidP="00911AF4">
            <w:pPr>
              <w:contextualSpacing/>
              <w:cnfStyle w:val="000000100000" w:firstRow="0" w:lastRow="0" w:firstColumn="0" w:lastColumn="0" w:oddVBand="0" w:evenVBand="0" w:oddHBand="1" w:evenHBand="0" w:firstRowFirstColumn="0" w:firstRowLastColumn="0" w:lastRowFirstColumn="0" w:lastRowLastColumn="0"/>
            </w:pPr>
            <w:r w:rsidRPr="00911AF4">
              <w:t xml:space="preserve">References to AS/NZS 6400: 2005 </w:t>
            </w:r>
            <w:r w:rsidRPr="00911AF4">
              <w:rPr>
                <w:i/>
                <w:iCs/>
              </w:rPr>
              <w:t>Water efficient products – Rating</w:t>
            </w:r>
            <w:r w:rsidRPr="00911AF4">
              <w:t xml:space="preserve"> </w:t>
            </w:r>
            <w:r w:rsidR="00A10779">
              <w:t xml:space="preserve">in subsections of section 7 </w:t>
            </w:r>
            <w:r w:rsidR="004812DD">
              <w:t>‘</w:t>
            </w:r>
            <w:r w:rsidR="00A10779">
              <w:t>WELS standard</w:t>
            </w:r>
            <w:r w:rsidR="004812DD">
              <w:t>’</w:t>
            </w:r>
            <w:r w:rsidR="00A10779">
              <w:t xml:space="preserve"> </w:t>
            </w:r>
            <w:r w:rsidRPr="00911AF4">
              <w:t>ceased to be in force on 1 July 2020</w:t>
            </w:r>
            <w:r>
              <w:t xml:space="preserve"> and are proposed to be removed from the WELS Determination (see </w:t>
            </w:r>
            <w:r w:rsidRPr="0053719F">
              <w:rPr>
                <w:i/>
                <w:iCs/>
              </w:rPr>
              <w:t>1.4 Amendments to Section 7</w:t>
            </w:r>
            <w:r>
              <w:t>)</w:t>
            </w:r>
            <w:r w:rsidRPr="00911AF4">
              <w:t>.</w:t>
            </w:r>
          </w:p>
          <w:p w14:paraId="6135F559" w14:textId="77777777" w:rsidR="009A2E27" w:rsidRDefault="009A2E27" w:rsidP="009A2E27">
            <w:pPr>
              <w:contextualSpacing/>
              <w:cnfStyle w:val="000000100000" w:firstRow="0" w:lastRow="0" w:firstColumn="0" w:lastColumn="0" w:oddVBand="0" w:evenVBand="0" w:oddHBand="1" w:evenHBand="0" w:firstRowFirstColumn="0" w:firstRowLastColumn="0" w:lastRowFirstColumn="0" w:lastRowLastColumn="0"/>
            </w:pPr>
          </w:p>
          <w:p w14:paraId="30A25E72" w14:textId="0BF58E57" w:rsidR="009A2E27" w:rsidRDefault="009A2E27" w:rsidP="009A2E27">
            <w:pPr>
              <w:contextualSpacing/>
              <w:cnfStyle w:val="000000100000" w:firstRow="0" w:lastRow="0" w:firstColumn="0" w:lastColumn="0" w:oddVBand="0" w:evenVBand="0" w:oddHBand="1" w:evenHBand="0" w:firstRowFirstColumn="0" w:firstRowLastColumn="0" w:lastRowFirstColumn="0" w:lastRowLastColumn="0"/>
            </w:pPr>
            <w:r>
              <w:t xml:space="preserve">The only further reference to AS/NZS 6400 </w:t>
            </w:r>
            <w:r w:rsidR="004224AE">
              <w:t xml:space="preserve">in the WELS Determination, </w:t>
            </w:r>
            <w:r>
              <w:t>is in the definition of ‘conformity assessment body’</w:t>
            </w:r>
            <w:r w:rsidR="004224AE">
              <w:t xml:space="preserve">. </w:t>
            </w:r>
            <w:r w:rsidR="00614CC3">
              <w:t>A change is proposed to this definition, removing the reference to AS/NZS 6400 and replacing it with</w:t>
            </w:r>
            <w:r w:rsidR="004224AE">
              <w:t xml:space="preserve"> </w:t>
            </w:r>
            <w:r>
              <w:t>the Plumbing Code of Australia</w:t>
            </w:r>
            <w:r w:rsidR="00614CC3">
              <w:t xml:space="preserve"> (see </w:t>
            </w:r>
            <w:r w:rsidR="0053719F" w:rsidRPr="0053719F">
              <w:rPr>
                <w:i/>
                <w:iCs/>
              </w:rPr>
              <w:t xml:space="preserve">Amend definition </w:t>
            </w:r>
            <w:r w:rsidR="00072FA9" w:rsidRPr="0053719F">
              <w:rPr>
                <w:i/>
                <w:iCs/>
              </w:rPr>
              <w:t xml:space="preserve">and references </w:t>
            </w:r>
            <w:r w:rsidR="00614CC3" w:rsidRPr="0053719F">
              <w:rPr>
                <w:i/>
                <w:iCs/>
              </w:rPr>
              <w:t>to conformity assessment body</w:t>
            </w:r>
            <w:r w:rsidR="0053719F">
              <w:t xml:space="preserve"> in this table</w:t>
            </w:r>
            <w:r w:rsidR="00614CC3">
              <w:t>)</w:t>
            </w:r>
            <w:r w:rsidR="004224AE">
              <w:t>.</w:t>
            </w:r>
          </w:p>
          <w:p w14:paraId="16A36033" w14:textId="77777777" w:rsidR="00A10779" w:rsidRDefault="00A10779" w:rsidP="009A2E27">
            <w:pPr>
              <w:contextualSpacing/>
              <w:cnfStyle w:val="000000100000" w:firstRow="0" w:lastRow="0" w:firstColumn="0" w:lastColumn="0" w:oddVBand="0" w:evenVBand="0" w:oddHBand="1" w:evenHBand="0" w:firstRowFirstColumn="0" w:firstRowLastColumn="0" w:lastRowFirstColumn="0" w:lastRowLastColumn="0"/>
            </w:pPr>
          </w:p>
          <w:p w14:paraId="7BA444A7" w14:textId="40953358" w:rsidR="00A10779" w:rsidRDefault="00A10779" w:rsidP="009A2E27">
            <w:pPr>
              <w:contextualSpacing/>
              <w:cnfStyle w:val="000000100000" w:firstRow="0" w:lastRow="0" w:firstColumn="0" w:lastColumn="0" w:oddVBand="0" w:evenVBand="0" w:oddHBand="1" w:evenHBand="0" w:firstRowFirstColumn="0" w:firstRowLastColumn="0" w:lastRowFirstColumn="0" w:lastRowLastColumn="0"/>
            </w:pPr>
            <w:r>
              <w:t>Based on these proposed changes the</w:t>
            </w:r>
            <w:r w:rsidR="00CA4535">
              <w:t>re will be no need to keep the</w:t>
            </w:r>
            <w:r>
              <w:t xml:space="preserve"> definition of </w:t>
            </w:r>
            <w:r w:rsidR="00CA4535">
              <w:t>‘</w:t>
            </w:r>
            <w:r>
              <w:t>AS/NZS 6400</w:t>
            </w:r>
            <w:r w:rsidR="00CA4535">
              <w:t>’ in section 5</w:t>
            </w:r>
            <w:r>
              <w:t>.</w:t>
            </w:r>
          </w:p>
          <w:p w14:paraId="7FC708B0" w14:textId="1F894188" w:rsidR="00AF51CF" w:rsidRDefault="00AF51CF" w:rsidP="00A10779">
            <w:pPr>
              <w:contextualSpacing/>
              <w:cnfStyle w:val="000000100000" w:firstRow="0" w:lastRow="0" w:firstColumn="0" w:lastColumn="0" w:oddVBand="0" w:evenVBand="0" w:oddHBand="1" w:evenHBand="0" w:firstRowFirstColumn="0" w:firstRowLastColumn="0" w:lastRowFirstColumn="0" w:lastRowLastColumn="0"/>
            </w:pPr>
          </w:p>
        </w:tc>
        <w:tc>
          <w:tcPr>
            <w:tcW w:w="1644" w:type="dxa"/>
          </w:tcPr>
          <w:p w14:paraId="11A53376" w14:textId="4BC5B1D4" w:rsidR="00620F5C" w:rsidRDefault="00620F5C" w:rsidP="00305604">
            <w:pPr>
              <w:cnfStyle w:val="000000100000" w:firstRow="0" w:lastRow="0" w:firstColumn="0" w:lastColumn="0" w:oddVBand="0" w:evenVBand="0" w:oddHBand="1" w:evenHBand="0" w:firstRowFirstColumn="0" w:firstRowLastColumn="0" w:lastRowFirstColumn="0" w:lastRowLastColumn="0"/>
            </w:pPr>
            <w:r>
              <w:t>Section 5 Definitions</w:t>
            </w:r>
          </w:p>
        </w:tc>
      </w:tr>
      <w:tr w:rsidR="00911AF4" w14:paraId="3F792097" w14:textId="77777777" w:rsidTr="002C695E">
        <w:trPr>
          <w:trHeight w:val="70"/>
        </w:trPr>
        <w:tc>
          <w:tcPr>
            <w:cnfStyle w:val="001000000000" w:firstRow="0" w:lastRow="0" w:firstColumn="1" w:lastColumn="0" w:oddVBand="0" w:evenVBand="0" w:oddHBand="0" w:evenHBand="0" w:firstRowFirstColumn="0" w:firstRowLastColumn="0" w:lastRowFirstColumn="0" w:lastRowLastColumn="0"/>
            <w:tcW w:w="2122" w:type="dxa"/>
          </w:tcPr>
          <w:p w14:paraId="442265CD" w14:textId="4D658659" w:rsidR="00911AF4" w:rsidRDefault="00217187" w:rsidP="00305604">
            <w:r>
              <w:t>Amend</w:t>
            </w:r>
            <w:r w:rsidR="00911AF4">
              <w:t xml:space="preserve"> definition for ‘AS/NZS 6400:2016’</w:t>
            </w:r>
          </w:p>
        </w:tc>
        <w:tc>
          <w:tcPr>
            <w:tcW w:w="5244" w:type="dxa"/>
          </w:tcPr>
          <w:p w14:paraId="71DBDF8F" w14:textId="501F6852" w:rsidR="00911AF4" w:rsidRDefault="004812DD" w:rsidP="00911AF4">
            <w:pPr>
              <w:contextualSpacing/>
              <w:cnfStyle w:val="000000000000" w:firstRow="0" w:lastRow="0" w:firstColumn="0" w:lastColumn="0" w:oddVBand="0" w:evenVBand="0" w:oddHBand="0" w:evenHBand="0" w:firstRowFirstColumn="0" w:firstRowLastColumn="0" w:lastRowFirstColumn="0" w:lastRowLastColumn="0"/>
            </w:pPr>
            <w:r>
              <w:t>This a</w:t>
            </w:r>
            <w:r w:rsidR="00AF51CF">
              <w:t xml:space="preserve">mendment </w:t>
            </w:r>
            <w:r>
              <w:t>to</w:t>
            </w:r>
            <w:r w:rsidR="00AF51CF">
              <w:t xml:space="preserve"> t</w:t>
            </w:r>
            <w:r w:rsidR="00911AF4" w:rsidRPr="00911AF4">
              <w:t>he definition of AS/NZS</w:t>
            </w:r>
            <w:r w:rsidR="0053719F">
              <w:t> </w:t>
            </w:r>
            <w:r w:rsidR="00911AF4" w:rsidRPr="00911AF4">
              <w:t xml:space="preserve">6400: 2016 </w:t>
            </w:r>
            <w:r w:rsidR="00911AF4" w:rsidRPr="00911AF4">
              <w:rPr>
                <w:i/>
                <w:iCs/>
              </w:rPr>
              <w:t xml:space="preserve">Water efficient products – Rating and labelling </w:t>
            </w:r>
            <w:r w:rsidR="00AF51CF">
              <w:t xml:space="preserve">is proposed </w:t>
            </w:r>
            <w:r w:rsidR="00911AF4" w:rsidRPr="00911AF4">
              <w:t>to allow amendments to the standard made in 2022 to be incorporated into the WELS Determination.</w:t>
            </w:r>
          </w:p>
          <w:p w14:paraId="76A83F43" w14:textId="1D12B905" w:rsidR="00AF51CF" w:rsidRPr="00911AF4" w:rsidRDefault="00AF51CF" w:rsidP="00911AF4">
            <w:pPr>
              <w:contextualSpacing/>
              <w:cnfStyle w:val="000000000000" w:firstRow="0" w:lastRow="0" w:firstColumn="0" w:lastColumn="0" w:oddVBand="0" w:evenVBand="0" w:oddHBand="0" w:evenHBand="0" w:firstRowFirstColumn="0" w:firstRowLastColumn="0" w:lastRowFirstColumn="0" w:lastRowLastColumn="0"/>
            </w:pPr>
          </w:p>
        </w:tc>
        <w:tc>
          <w:tcPr>
            <w:tcW w:w="1644" w:type="dxa"/>
          </w:tcPr>
          <w:p w14:paraId="2F8FECB8" w14:textId="58C5D65D" w:rsidR="00911AF4" w:rsidRDefault="00911AF4" w:rsidP="00305604">
            <w:pPr>
              <w:cnfStyle w:val="000000000000" w:firstRow="0" w:lastRow="0" w:firstColumn="0" w:lastColumn="0" w:oddVBand="0" w:evenVBand="0" w:oddHBand="0" w:evenHBand="0" w:firstRowFirstColumn="0" w:firstRowLastColumn="0" w:lastRowFirstColumn="0" w:lastRowLastColumn="0"/>
            </w:pPr>
            <w:r>
              <w:t>Section 5 Definitions</w:t>
            </w:r>
          </w:p>
        </w:tc>
      </w:tr>
      <w:tr w:rsidR="00911AF4" w14:paraId="367E12C9" w14:textId="77777777" w:rsidTr="002C695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22" w:type="dxa"/>
          </w:tcPr>
          <w:p w14:paraId="2C4AD08D" w14:textId="64C013F7" w:rsidR="00911AF4" w:rsidRDefault="00217187" w:rsidP="00911AF4">
            <w:r>
              <w:t>Amend</w:t>
            </w:r>
            <w:r w:rsidR="00911AF4" w:rsidRPr="00AC58D1">
              <w:t xml:space="preserve"> definition and references to ‘conformity assessment body’</w:t>
            </w:r>
          </w:p>
        </w:tc>
        <w:tc>
          <w:tcPr>
            <w:tcW w:w="5244" w:type="dxa"/>
          </w:tcPr>
          <w:p w14:paraId="463C5BB7" w14:textId="6A6A973A" w:rsidR="00AF51CF" w:rsidRDefault="00AF51CF" w:rsidP="00AF51CF">
            <w:pPr>
              <w:contextualSpacing/>
              <w:cnfStyle w:val="000000100000" w:firstRow="0" w:lastRow="0" w:firstColumn="0" w:lastColumn="0" w:oddVBand="0" w:evenVBand="0" w:oddHBand="1" w:evenHBand="0" w:firstRowFirstColumn="0" w:firstRowLastColumn="0" w:lastRowFirstColumn="0" w:lastRowLastColumn="0"/>
            </w:pPr>
            <w:r w:rsidRPr="00AF51CF">
              <w:t xml:space="preserve">This amendment is intended to update the </w:t>
            </w:r>
            <w:r>
              <w:t>reference</w:t>
            </w:r>
            <w:r w:rsidRPr="00AF51CF">
              <w:t xml:space="preserve"> to ‘conformity assessment body’. It is more appropriate to reference </w:t>
            </w:r>
            <w:r w:rsidR="0053719F">
              <w:t>the</w:t>
            </w:r>
            <w:r w:rsidRPr="00AF51CF">
              <w:t xml:space="preserve"> definition of ‘WaterMark conformity assessment body’ used in the Plumbing Code of Australia. This publication is current and maintained by the Australian Building Codes Board who administer the </w:t>
            </w:r>
            <w:r w:rsidRPr="00AF51CF">
              <w:lastRenderedPageBreak/>
              <w:t>WaterMark Certification Scheme on behalf of the Australian Government.</w:t>
            </w:r>
          </w:p>
          <w:p w14:paraId="6CE6533B" w14:textId="77777777" w:rsidR="00072FA9" w:rsidRPr="00AF51CF" w:rsidRDefault="00072FA9" w:rsidP="00AF51CF">
            <w:pPr>
              <w:contextualSpacing/>
              <w:cnfStyle w:val="000000100000" w:firstRow="0" w:lastRow="0" w:firstColumn="0" w:lastColumn="0" w:oddVBand="0" w:evenVBand="0" w:oddHBand="1" w:evenHBand="0" w:firstRowFirstColumn="0" w:firstRowLastColumn="0" w:lastRowFirstColumn="0" w:lastRowLastColumn="0"/>
            </w:pPr>
          </w:p>
          <w:p w14:paraId="1497473C" w14:textId="0B101591" w:rsidR="00AF51CF" w:rsidRDefault="00AF51CF" w:rsidP="00AF51CF">
            <w:pPr>
              <w:contextualSpacing/>
              <w:cnfStyle w:val="000000100000" w:firstRow="0" w:lastRow="0" w:firstColumn="0" w:lastColumn="0" w:oddVBand="0" w:evenVBand="0" w:oddHBand="1" w:evenHBand="0" w:firstRowFirstColumn="0" w:firstRowLastColumn="0" w:lastRowFirstColumn="0" w:lastRowLastColumn="0"/>
            </w:pPr>
            <w:r w:rsidRPr="00AF51CF">
              <w:t xml:space="preserve">The intended outcome of this amendment is to update the existing </w:t>
            </w:r>
            <w:r w:rsidR="00520436">
              <w:t>definition</w:t>
            </w:r>
            <w:r w:rsidRPr="00AF51CF">
              <w:t xml:space="preserve"> to ‘conformity assessment body’ in the WELS Determination to reflect its current usage as the ‘WaterMark conformity assessment body’ in the Plumbing Code of Australia.</w:t>
            </w:r>
          </w:p>
          <w:p w14:paraId="34D82800" w14:textId="77777777" w:rsidR="00072FA9" w:rsidRPr="00AF51CF" w:rsidRDefault="00072FA9" w:rsidP="00AF51CF">
            <w:pPr>
              <w:contextualSpacing/>
              <w:cnfStyle w:val="000000100000" w:firstRow="0" w:lastRow="0" w:firstColumn="0" w:lastColumn="0" w:oddVBand="0" w:evenVBand="0" w:oddHBand="1" w:evenHBand="0" w:firstRowFirstColumn="0" w:firstRowLastColumn="0" w:lastRowFirstColumn="0" w:lastRowLastColumn="0"/>
            </w:pPr>
          </w:p>
          <w:p w14:paraId="4D2F70FD" w14:textId="081A34BC" w:rsidR="00072FA9" w:rsidRPr="00911AF4" w:rsidRDefault="00AF51CF" w:rsidP="00DE3EAE">
            <w:pPr>
              <w:contextualSpacing/>
              <w:cnfStyle w:val="000000100000" w:firstRow="0" w:lastRow="0" w:firstColumn="0" w:lastColumn="0" w:oddVBand="0" w:evenVBand="0" w:oddHBand="1" w:evenHBand="0" w:firstRowFirstColumn="0" w:firstRowLastColumn="0" w:lastRowFirstColumn="0" w:lastRowLastColumn="0"/>
            </w:pPr>
            <w:r w:rsidRPr="00AF51CF">
              <w:t xml:space="preserve">The reference in s9(3)(b) to ‘conformity assessment body’s’ </w:t>
            </w:r>
            <w:r>
              <w:t xml:space="preserve">would </w:t>
            </w:r>
            <w:r w:rsidRPr="00AF51CF">
              <w:t>be replaced with ‘WaterMark conformity assessment body’s’.</w:t>
            </w:r>
          </w:p>
        </w:tc>
        <w:tc>
          <w:tcPr>
            <w:tcW w:w="1644" w:type="dxa"/>
          </w:tcPr>
          <w:p w14:paraId="4B5E0258" w14:textId="77777777" w:rsidR="00911AF4" w:rsidRDefault="00AF51CF" w:rsidP="00911AF4">
            <w:pPr>
              <w:cnfStyle w:val="000000100000" w:firstRow="0" w:lastRow="0" w:firstColumn="0" w:lastColumn="0" w:oddVBand="0" w:evenVBand="0" w:oddHBand="1" w:evenHBand="0" w:firstRowFirstColumn="0" w:firstRowLastColumn="0" w:lastRowFirstColumn="0" w:lastRowLastColumn="0"/>
            </w:pPr>
            <w:r>
              <w:lastRenderedPageBreak/>
              <w:t>Section 5 Definitions</w:t>
            </w:r>
          </w:p>
          <w:p w14:paraId="4DC99C8F" w14:textId="75430603" w:rsidR="00AF51CF" w:rsidRDefault="004812DD" w:rsidP="00911AF4">
            <w:pPr>
              <w:cnfStyle w:val="000000100000" w:firstRow="0" w:lastRow="0" w:firstColumn="0" w:lastColumn="0" w:oddVBand="0" w:evenVBand="0" w:oddHBand="1" w:evenHBand="0" w:firstRowFirstColumn="0" w:firstRowLastColumn="0" w:lastRowFirstColumn="0" w:lastRowLastColumn="0"/>
            </w:pPr>
            <w:r>
              <w:t>a</w:t>
            </w:r>
            <w:r w:rsidR="00AF51CF">
              <w:t>nd</w:t>
            </w:r>
          </w:p>
          <w:p w14:paraId="300E7A7E" w14:textId="6B3C2FFF" w:rsidR="00AF51CF" w:rsidRDefault="00AF51CF" w:rsidP="00911AF4">
            <w:pPr>
              <w:cnfStyle w:val="000000100000" w:firstRow="0" w:lastRow="0" w:firstColumn="0" w:lastColumn="0" w:oddVBand="0" w:evenVBand="0" w:oddHBand="1" w:evenHBand="0" w:firstRowFirstColumn="0" w:firstRowLastColumn="0" w:lastRowFirstColumn="0" w:lastRowLastColumn="0"/>
            </w:pPr>
            <w:r>
              <w:t xml:space="preserve">Section 9 Application for </w:t>
            </w:r>
            <w:r>
              <w:lastRenderedPageBreak/>
              <w:t>registration of new product</w:t>
            </w:r>
          </w:p>
        </w:tc>
      </w:tr>
      <w:tr w:rsidR="00AF51CF" w14:paraId="19B85F73" w14:textId="77777777" w:rsidTr="002C695E">
        <w:trPr>
          <w:trHeight w:val="70"/>
        </w:trPr>
        <w:tc>
          <w:tcPr>
            <w:cnfStyle w:val="001000000000" w:firstRow="0" w:lastRow="0" w:firstColumn="1" w:lastColumn="0" w:oddVBand="0" w:evenVBand="0" w:oddHBand="0" w:evenHBand="0" w:firstRowFirstColumn="0" w:firstRowLastColumn="0" w:lastRowFirstColumn="0" w:lastRowLastColumn="0"/>
            <w:tcW w:w="2122" w:type="dxa"/>
          </w:tcPr>
          <w:p w14:paraId="5F1A1D07" w14:textId="57A43EF2" w:rsidR="00AF51CF" w:rsidRDefault="00217187" w:rsidP="00911AF4">
            <w:r>
              <w:lastRenderedPageBreak/>
              <w:t>Amend</w:t>
            </w:r>
            <w:r w:rsidR="00072FA9" w:rsidRPr="00072FA9">
              <w:t xml:space="preserve"> definition of ‘Plumbing Code’</w:t>
            </w:r>
          </w:p>
        </w:tc>
        <w:tc>
          <w:tcPr>
            <w:tcW w:w="5244" w:type="dxa"/>
          </w:tcPr>
          <w:p w14:paraId="3D3C0F6B" w14:textId="14D6362D" w:rsidR="00072FA9" w:rsidRDefault="00072FA9" w:rsidP="00072FA9">
            <w:pPr>
              <w:contextualSpacing/>
              <w:cnfStyle w:val="000000000000" w:firstRow="0" w:lastRow="0" w:firstColumn="0" w:lastColumn="0" w:oddVBand="0" w:evenVBand="0" w:oddHBand="0" w:evenHBand="0" w:firstRowFirstColumn="0" w:firstRowLastColumn="0" w:lastRowFirstColumn="0" w:lastRowLastColumn="0"/>
            </w:pPr>
            <w:r w:rsidRPr="00072FA9">
              <w:t xml:space="preserve">This amendment is intended to update the definition </w:t>
            </w:r>
            <w:r w:rsidR="00300880">
              <w:t>that refers to</w:t>
            </w:r>
            <w:r w:rsidRPr="00072FA9">
              <w:t xml:space="preserve"> the </w:t>
            </w:r>
            <w:r w:rsidR="00300880">
              <w:t xml:space="preserve">2013 </w:t>
            </w:r>
            <w:r w:rsidRPr="00072FA9">
              <w:t>Plumbing Code</w:t>
            </w:r>
            <w:r w:rsidR="006E6526">
              <w:t>,</w:t>
            </w:r>
            <w:r w:rsidR="006E6526" w:rsidRPr="00072FA9">
              <w:t xml:space="preserve"> so </w:t>
            </w:r>
            <w:r w:rsidR="004812DD">
              <w:t xml:space="preserve">that </w:t>
            </w:r>
            <w:r w:rsidR="006E6526" w:rsidRPr="00072FA9">
              <w:t>the WELS Determination refers to the current published and applicable document.</w:t>
            </w:r>
          </w:p>
          <w:p w14:paraId="1023F6E3" w14:textId="77777777" w:rsidR="00072FA9" w:rsidRPr="00072FA9" w:rsidRDefault="00072FA9" w:rsidP="00072FA9">
            <w:pPr>
              <w:contextualSpacing/>
              <w:cnfStyle w:val="000000000000" w:firstRow="0" w:lastRow="0" w:firstColumn="0" w:lastColumn="0" w:oddVBand="0" w:evenVBand="0" w:oddHBand="0" w:evenHBand="0" w:firstRowFirstColumn="0" w:firstRowLastColumn="0" w:lastRowFirstColumn="0" w:lastRowLastColumn="0"/>
            </w:pPr>
          </w:p>
          <w:p w14:paraId="78BB9ADE" w14:textId="08ACD9EE" w:rsidR="00AF51CF" w:rsidRDefault="00072FA9" w:rsidP="006E6526">
            <w:pPr>
              <w:contextualSpacing/>
              <w:cnfStyle w:val="000000000000" w:firstRow="0" w:lastRow="0" w:firstColumn="0" w:lastColumn="0" w:oddVBand="0" w:evenVBand="0" w:oddHBand="0" w:evenHBand="0" w:firstRowFirstColumn="0" w:firstRowLastColumn="0" w:lastRowFirstColumn="0" w:lastRowLastColumn="0"/>
            </w:pPr>
            <w:r w:rsidRPr="00072FA9">
              <w:t>The Plumbing Code of Australia was updated in 2022. The</w:t>
            </w:r>
            <w:r w:rsidR="00300880">
              <w:t xml:space="preserve"> change</w:t>
            </w:r>
            <w:r w:rsidRPr="00072FA9">
              <w:t xml:space="preserve"> </w:t>
            </w:r>
            <w:r w:rsidR="006E6526">
              <w:t xml:space="preserve">proposed </w:t>
            </w:r>
            <w:r w:rsidR="00300880">
              <w:t>w</w:t>
            </w:r>
            <w:r w:rsidRPr="00072FA9">
              <w:t xml:space="preserve">ould refer to the ‘National Construction Code Series, Volume 3, Plumbing Code of Australia 2022.’ </w:t>
            </w:r>
          </w:p>
          <w:p w14:paraId="07D8772E" w14:textId="2C1D7335" w:rsidR="006E6526" w:rsidRPr="00AF51CF" w:rsidRDefault="006E6526" w:rsidP="006E6526">
            <w:pPr>
              <w:contextualSpacing/>
              <w:cnfStyle w:val="000000000000" w:firstRow="0" w:lastRow="0" w:firstColumn="0" w:lastColumn="0" w:oddVBand="0" w:evenVBand="0" w:oddHBand="0" w:evenHBand="0" w:firstRowFirstColumn="0" w:firstRowLastColumn="0" w:lastRowFirstColumn="0" w:lastRowLastColumn="0"/>
            </w:pPr>
          </w:p>
        </w:tc>
        <w:tc>
          <w:tcPr>
            <w:tcW w:w="1644" w:type="dxa"/>
          </w:tcPr>
          <w:p w14:paraId="1660C6D4" w14:textId="60A27E53" w:rsidR="00AF51CF" w:rsidRDefault="00072FA9" w:rsidP="00911AF4">
            <w:pPr>
              <w:cnfStyle w:val="000000000000" w:firstRow="0" w:lastRow="0" w:firstColumn="0" w:lastColumn="0" w:oddVBand="0" w:evenVBand="0" w:oddHBand="0" w:evenHBand="0" w:firstRowFirstColumn="0" w:firstRowLastColumn="0" w:lastRowFirstColumn="0" w:lastRowLastColumn="0"/>
            </w:pPr>
            <w:r>
              <w:t>Section 5 Definitions</w:t>
            </w:r>
          </w:p>
        </w:tc>
      </w:tr>
      <w:tr w:rsidR="00300880" w14:paraId="091EA898" w14:textId="77777777" w:rsidTr="002C695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22" w:type="dxa"/>
          </w:tcPr>
          <w:p w14:paraId="44603AAB" w14:textId="471C69AA" w:rsidR="00300880" w:rsidRPr="00072FA9" w:rsidRDefault="00300880" w:rsidP="00911AF4">
            <w:r w:rsidRPr="00300880">
              <w:t>Remove definition for ‘registered low flow shower’</w:t>
            </w:r>
          </w:p>
        </w:tc>
        <w:tc>
          <w:tcPr>
            <w:tcW w:w="5244" w:type="dxa"/>
          </w:tcPr>
          <w:p w14:paraId="2029A6CF" w14:textId="77777777" w:rsidR="00300880" w:rsidRDefault="00300880" w:rsidP="00300880">
            <w:pPr>
              <w:contextualSpacing/>
              <w:cnfStyle w:val="000000100000" w:firstRow="0" w:lastRow="0" w:firstColumn="0" w:lastColumn="0" w:oddVBand="0" w:evenVBand="0" w:oddHBand="1" w:evenHBand="0" w:firstRowFirstColumn="0" w:firstRowLastColumn="0" w:lastRowFirstColumn="0" w:lastRowLastColumn="0"/>
            </w:pPr>
            <w:r w:rsidRPr="00300880">
              <w:t>This amendment is intended to remove the definition of ‘registered low flow shower’.</w:t>
            </w:r>
          </w:p>
          <w:p w14:paraId="1723FAD2" w14:textId="77777777" w:rsidR="00300880" w:rsidRPr="00300880" w:rsidRDefault="00300880" w:rsidP="00300880">
            <w:pPr>
              <w:contextualSpacing/>
              <w:cnfStyle w:val="000000100000" w:firstRow="0" w:lastRow="0" w:firstColumn="0" w:lastColumn="0" w:oddVBand="0" w:evenVBand="0" w:oddHBand="1" w:evenHBand="0" w:firstRowFirstColumn="0" w:firstRowLastColumn="0" w:lastRowFirstColumn="0" w:lastRowLastColumn="0"/>
            </w:pPr>
          </w:p>
          <w:p w14:paraId="78F108FF" w14:textId="212D6FB1" w:rsidR="00300880" w:rsidRDefault="00300880" w:rsidP="00300880">
            <w:pPr>
              <w:contextualSpacing/>
              <w:cnfStyle w:val="000000100000" w:firstRow="0" w:lastRow="0" w:firstColumn="0" w:lastColumn="0" w:oddVBand="0" w:evenVBand="0" w:oddHBand="1" w:evenHBand="0" w:firstRowFirstColumn="0" w:firstRowLastColumn="0" w:lastRowFirstColumn="0" w:lastRowLastColumn="0"/>
            </w:pPr>
            <w:r w:rsidRPr="00300880">
              <w:t xml:space="preserve">The term is used in </w:t>
            </w:r>
            <w:r w:rsidR="00F510B1">
              <w:t>s</w:t>
            </w:r>
            <w:r>
              <w:t xml:space="preserve">ection </w:t>
            </w:r>
            <w:r w:rsidRPr="00300880">
              <w:t xml:space="preserve">7 </w:t>
            </w:r>
            <w:r w:rsidR="004812DD">
              <w:t>‘</w:t>
            </w:r>
            <w:r w:rsidRPr="00300880">
              <w:t xml:space="preserve">WELS </w:t>
            </w:r>
            <w:r w:rsidR="004812DD">
              <w:t>s</w:t>
            </w:r>
            <w:r w:rsidRPr="00300880">
              <w:t>tandard</w:t>
            </w:r>
            <w:r w:rsidR="004812DD">
              <w:t>’</w:t>
            </w:r>
            <w:r w:rsidRPr="00300880">
              <w:t xml:space="preserve"> of the WELS Determination.</w:t>
            </w:r>
          </w:p>
          <w:p w14:paraId="7AE4B0D4" w14:textId="77777777" w:rsidR="00300880" w:rsidRPr="00300880" w:rsidRDefault="00300880" w:rsidP="00300880">
            <w:pPr>
              <w:contextualSpacing/>
              <w:cnfStyle w:val="000000100000" w:firstRow="0" w:lastRow="0" w:firstColumn="0" w:lastColumn="0" w:oddVBand="0" w:evenVBand="0" w:oddHBand="1" w:evenHBand="0" w:firstRowFirstColumn="0" w:firstRowLastColumn="0" w:lastRowFirstColumn="0" w:lastRowLastColumn="0"/>
            </w:pPr>
          </w:p>
          <w:p w14:paraId="739A5663" w14:textId="76C4946E" w:rsidR="00300880" w:rsidRPr="00300880" w:rsidRDefault="00F510B1" w:rsidP="00300880">
            <w:pPr>
              <w:contextualSpacing/>
              <w:cnfStyle w:val="000000100000" w:firstRow="0" w:lastRow="0" w:firstColumn="0" w:lastColumn="0" w:oddVBand="0" w:evenVBand="0" w:oddHBand="1" w:evenHBand="0" w:firstRowFirstColumn="0" w:firstRowLastColumn="0" w:lastRowFirstColumn="0" w:lastRowLastColumn="0"/>
            </w:pPr>
            <w:r>
              <w:t>R</w:t>
            </w:r>
            <w:r w:rsidR="00300880" w:rsidRPr="00300880">
              <w:t>emoval of sections 7(3)</w:t>
            </w:r>
            <w:r>
              <w:t xml:space="preserve"> to </w:t>
            </w:r>
            <w:r w:rsidR="00300880" w:rsidRPr="00300880">
              <w:t xml:space="preserve">7(7), of the WELS Determination is proposed </w:t>
            </w:r>
            <w:r w:rsidR="00300880">
              <w:t>(s</w:t>
            </w:r>
            <w:r w:rsidR="00300880" w:rsidRPr="00300880">
              <w:t>ee</w:t>
            </w:r>
            <w:r w:rsidR="00300880">
              <w:t xml:space="preserve"> </w:t>
            </w:r>
            <w:r w:rsidR="00300880" w:rsidRPr="004812DD">
              <w:rPr>
                <w:i/>
                <w:iCs/>
              </w:rPr>
              <w:t>1.4 Amendments to Section 7</w:t>
            </w:r>
            <w:r w:rsidR="00300880" w:rsidRPr="00300880">
              <w:t>). Because of these amendments, there will be no need to keep the definition of ‘registered low flow shower’ in s</w:t>
            </w:r>
            <w:r>
              <w:t xml:space="preserve">ection </w:t>
            </w:r>
            <w:r w:rsidR="00300880" w:rsidRPr="00300880">
              <w:t>5.</w:t>
            </w:r>
          </w:p>
          <w:p w14:paraId="3AB795DA" w14:textId="77777777" w:rsidR="00300880" w:rsidRPr="00072FA9" w:rsidRDefault="00300880" w:rsidP="00072FA9">
            <w:pPr>
              <w:contextualSpacing/>
              <w:cnfStyle w:val="000000100000" w:firstRow="0" w:lastRow="0" w:firstColumn="0" w:lastColumn="0" w:oddVBand="0" w:evenVBand="0" w:oddHBand="1" w:evenHBand="0" w:firstRowFirstColumn="0" w:firstRowLastColumn="0" w:lastRowFirstColumn="0" w:lastRowLastColumn="0"/>
            </w:pPr>
          </w:p>
        </w:tc>
        <w:tc>
          <w:tcPr>
            <w:tcW w:w="1644" w:type="dxa"/>
          </w:tcPr>
          <w:p w14:paraId="2FFC9CF8" w14:textId="3C682656" w:rsidR="00300880" w:rsidRDefault="00300880" w:rsidP="00911AF4">
            <w:pPr>
              <w:cnfStyle w:val="000000100000" w:firstRow="0" w:lastRow="0" w:firstColumn="0" w:lastColumn="0" w:oddVBand="0" w:evenVBand="0" w:oddHBand="1" w:evenHBand="0" w:firstRowFirstColumn="0" w:firstRowLastColumn="0" w:lastRowFirstColumn="0" w:lastRowLastColumn="0"/>
            </w:pPr>
            <w:r>
              <w:t>Section 5 Definitions</w:t>
            </w:r>
          </w:p>
        </w:tc>
      </w:tr>
      <w:tr w:rsidR="00F510B1" w14:paraId="4D6BE014" w14:textId="77777777" w:rsidTr="002C695E">
        <w:trPr>
          <w:trHeight w:val="70"/>
        </w:trPr>
        <w:tc>
          <w:tcPr>
            <w:cnfStyle w:val="001000000000" w:firstRow="0" w:lastRow="0" w:firstColumn="1" w:lastColumn="0" w:oddVBand="0" w:evenVBand="0" w:oddHBand="0" w:evenHBand="0" w:firstRowFirstColumn="0" w:firstRowLastColumn="0" w:lastRowFirstColumn="0" w:lastRowLastColumn="0"/>
            <w:tcW w:w="2122" w:type="dxa"/>
          </w:tcPr>
          <w:p w14:paraId="49DD02FB" w14:textId="1B0BA1A4" w:rsidR="00F510B1" w:rsidRPr="00300880" w:rsidRDefault="00217187" w:rsidP="00911AF4">
            <w:r>
              <w:t>Include</w:t>
            </w:r>
            <w:r w:rsidR="00F510B1" w:rsidRPr="00F510B1">
              <w:t xml:space="preserve"> definition of ‘WaterMark’</w:t>
            </w:r>
          </w:p>
        </w:tc>
        <w:tc>
          <w:tcPr>
            <w:tcW w:w="5244" w:type="dxa"/>
          </w:tcPr>
          <w:p w14:paraId="5ED85EA3" w14:textId="77777777" w:rsidR="00F510B1" w:rsidRDefault="00F510B1" w:rsidP="00F510B1">
            <w:pPr>
              <w:contextualSpacing/>
              <w:cnfStyle w:val="000000000000" w:firstRow="0" w:lastRow="0" w:firstColumn="0" w:lastColumn="0" w:oddVBand="0" w:evenVBand="0" w:oddHBand="0" w:evenHBand="0" w:firstRowFirstColumn="0" w:firstRowLastColumn="0" w:lastRowFirstColumn="0" w:lastRowLastColumn="0"/>
            </w:pPr>
            <w:r w:rsidRPr="00F510B1">
              <w:t>This amendment is intended to include a definition of WaterMark. A definition of WaterMark is needed to clarify its use in the WELS Determination to support the amendment to the definition of ‘conformity assessment body’ changing to ‘WaterMark conformity assessment body’.</w:t>
            </w:r>
          </w:p>
          <w:p w14:paraId="621DEE32" w14:textId="77777777" w:rsidR="00F510B1" w:rsidRPr="00F510B1" w:rsidRDefault="00F510B1" w:rsidP="00F510B1">
            <w:pPr>
              <w:contextualSpacing/>
              <w:cnfStyle w:val="000000000000" w:firstRow="0" w:lastRow="0" w:firstColumn="0" w:lastColumn="0" w:oddVBand="0" w:evenVBand="0" w:oddHBand="0" w:evenHBand="0" w:firstRowFirstColumn="0" w:firstRowLastColumn="0" w:lastRowFirstColumn="0" w:lastRowLastColumn="0"/>
            </w:pPr>
          </w:p>
          <w:p w14:paraId="2DB387A8" w14:textId="77777777" w:rsidR="00F510B1" w:rsidRDefault="00F510B1" w:rsidP="00F510B1">
            <w:pPr>
              <w:contextualSpacing/>
              <w:cnfStyle w:val="000000000000" w:firstRow="0" w:lastRow="0" w:firstColumn="0" w:lastColumn="0" w:oddVBand="0" w:evenVBand="0" w:oddHBand="0" w:evenHBand="0" w:firstRowFirstColumn="0" w:firstRowLastColumn="0" w:lastRowFirstColumn="0" w:lastRowLastColumn="0"/>
            </w:pPr>
            <w:r w:rsidRPr="00F510B1">
              <w:lastRenderedPageBreak/>
              <w:t xml:space="preserve">The plumbing products regulated under the WELS Determination are required to be WaterMark certified. </w:t>
            </w:r>
          </w:p>
          <w:p w14:paraId="63967DA6" w14:textId="77777777" w:rsidR="00F510B1" w:rsidRPr="00F510B1" w:rsidRDefault="00F510B1" w:rsidP="00F510B1">
            <w:pPr>
              <w:contextualSpacing/>
              <w:cnfStyle w:val="000000000000" w:firstRow="0" w:lastRow="0" w:firstColumn="0" w:lastColumn="0" w:oddVBand="0" w:evenVBand="0" w:oddHBand="0" w:evenHBand="0" w:firstRowFirstColumn="0" w:firstRowLastColumn="0" w:lastRowFirstColumn="0" w:lastRowLastColumn="0"/>
            </w:pPr>
          </w:p>
          <w:p w14:paraId="5B67F5D9" w14:textId="77777777" w:rsidR="00F510B1" w:rsidRPr="00F510B1" w:rsidRDefault="00F510B1" w:rsidP="00F510B1">
            <w:pPr>
              <w:contextualSpacing/>
              <w:cnfStyle w:val="000000000000" w:firstRow="0" w:lastRow="0" w:firstColumn="0" w:lastColumn="0" w:oddVBand="0" w:evenVBand="0" w:oddHBand="0" w:evenHBand="0" w:firstRowFirstColumn="0" w:firstRowLastColumn="0" w:lastRowFirstColumn="0" w:lastRowLastColumn="0"/>
            </w:pPr>
            <w:r w:rsidRPr="00F510B1">
              <w:t>WaterMark is a mandatory certification scheme for certain plumbing and drainage products, to ensure they are fit for purpose and installation.</w:t>
            </w:r>
          </w:p>
          <w:p w14:paraId="3EC845EE" w14:textId="77777777" w:rsidR="00F510B1" w:rsidRPr="00300880" w:rsidRDefault="00F510B1" w:rsidP="00300880">
            <w:pPr>
              <w:contextualSpacing/>
              <w:cnfStyle w:val="000000000000" w:firstRow="0" w:lastRow="0" w:firstColumn="0" w:lastColumn="0" w:oddVBand="0" w:evenVBand="0" w:oddHBand="0" w:evenHBand="0" w:firstRowFirstColumn="0" w:firstRowLastColumn="0" w:lastRowFirstColumn="0" w:lastRowLastColumn="0"/>
            </w:pPr>
          </w:p>
        </w:tc>
        <w:tc>
          <w:tcPr>
            <w:tcW w:w="1644" w:type="dxa"/>
          </w:tcPr>
          <w:p w14:paraId="242F80C6" w14:textId="4335AF96" w:rsidR="00F510B1" w:rsidRDefault="00F510B1" w:rsidP="00911AF4">
            <w:pPr>
              <w:cnfStyle w:val="000000000000" w:firstRow="0" w:lastRow="0" w:firstColumn="0" w:lastColumn="0" w:oddVBand="0" w:evenVBand="0" w:oddHBand="0" w:evenHBand="0" w:firstRowFirstColumn="0" w:firstRowLastColumn="0" w:lastRowFirstColumn="0" w:lastRowLastColumn="0"/>
            </w:pPr>
            <w:r>
              <w:lastRenderedPageBreak/>
              <w:t>Section 5 Definitions</w:t>
            </w:r>
          </w:p>
        </w:tc>
      </w:tr>
      <w:tr w:rsidR="00217187" w14:paraId="01C291F0" w14:textId="77777777" w:rsidTr="002C695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22" w:type="dxa"/>
          </w:tcPr>
          <w:p w14:paraId="185FC60F" w14:textId="2FF2ECA7" w:rsidR="00217187" w:rsidRDefault="00217187" w:rsidP="00911AF4">
            <w:r w:rsidRPr="00217187">
              <w:t>Include definition of ‘WMTS-105:2016’</w:t>
            </w:r>
          </w:p>
        </w:tc>
        <w:tc>
          <w:tcPr>
            <w:tcW w:w="5244" w:type="dxa"/>
          </w:tcPr>
          <w:p w14:paraId="20210695" w14:textId="0C8E7499" w:rsidR="00217187" w:rsidRDefault="00217187" w:rsidP="00217187">
            <w:pPr>
              <w:contextualSpacing/>
              <w:cnfStyle w:val="000000100000" w:firstRow="0" w:lastRow="0" w:firstColumn="0" w:lastColumn="0" w:oddVBand="0" w:evenVBand="0" w:oddHBand="1" w:evenHBand="0" w:firstRowFirstColumn="0" w:firstRowLastColumn="0" w:lastRowFirstColumn="0" w:lastRowLastColumn="0"/>
            </w:pPr>
            <w:r w:rsidRPr="00217187">
              <w:t>Th</w:t>
            </w:r>
            <w:r w:rsidR="004812DD">
              <w:t>is</w:t>
            </w:r>
            <w:r w:rsidRPr="00217187">
              <w:t xml:space="preserve"> amendment is to include a definition of ‘WMTS-105:2016’, which is the WaterMark Technical Specification 105:2016 Appliances – Beverage dispensers and icemakers.</w:t>
            </w:r>
          </w:p>
          <w:p w14:paraId="719C2716" w14:textId="77777777" w:rsidR="00217187" w:rsidRPr="00217187" w:rsidRDefault="00217187" w:rsidP="00217187">
            <w:pPr>
              <w:contextualSpacing/>
              <w:cnfStyle w:val="000000100000" w:firstRow="0" w:lastRow="0" w:firstColumn="0" w:lastColumn="0" w:oddVBand="0" w:evenVBand="0" w:oddHBand="1" w:evenHBand="0" w:firstRowFirstColumn="0" w:firstRowLastColumn="0" w:lastRowFirstColumn="0" w:lastRowLastColumn="0"/>
            </w:pPr>
          </w:p>
          <w:p w14:paraId="2E064019" w14:textId="2E406040" w:rsidR="00217187" w:rsidRDefault="00217187" w:rsidP="00217187">
            <w:pPr>
              <w:contextualSpacing/>
              <w:cnfStyle w:val="000000100000" w:firstRow="0" w:lastRow="0" w:firstColumn="0" w:lastColumn="0" w:oddVBand="0" w:evenVBand="0" w:oddHBand="1" w:evenHBand="0" w:firstRowFirstColumn="0" w:firstRowLastColumn="0" w:lastRowFirstColumn="0" w:lastRowLastColumn="0"/>
            </w:pPr>
            <w:r w:rsidRPr="00217187">
              <w:t xml:space="preserve">A </w:t>
            </w:r>
            <w:r w:rsidR="004812DD">
              <w:t xml:space="preserve">proposed </w:t>
            </w:r>
            <w:r w:rsidRPr="00217187">
              <w:t xml:space="preserve">amendment to the </w:t>
            </w:r>
            <w:r>
              <w:t xml:space="preserve">section </w:t>
            </w:r>
            <w:r w:rsidRPr="00217187">
              <w:t xml:space="preserve">6 determination of WELS products includes a reference to this WMTS specification, in relation to drinking fountain and bottle filler products that are to be excluded from being WELS products (see </w:t>
            </w:r>
            <w:r w:rsidRPr="004812DD">
              <w:rPr>
                <w:i/>
                <w:iCs/>
              </w:rPr>
              <w:t>1.</w:t>
            </w:r>
            <w:r w:rsidR="00A10779" w:rsidRPr="004812DD">
              <w:rPr>
                <w:i/>
                <w:iCs/>
              </w:rPr>
              <w:t>3</w:t>
            </w:r>
            <w:r w:rsidRPr="004812DD">
              <w:rPr>
                <w:i/>
                <w:iCs/>
              </w:rPr>
              <w:t xml:space="preserve"> Amendments to Section 6</w:t>
            </w:r>
            <w:r w:rsidRPr="00217187">
              <w:t>).</w:t>
            </w:r>
          </w:p>
          <w:p w14:paraId="6CB06DCD" w14:textId="77777777" w:rsidR="00217187" w:rsidRPr="00217187" w:rsidRDefault="00217187" w:rsidP="00217187">
            <w:pPr>
              <w:contextualSpacing/>
              <w:cnfStyle w:val="000000100000" w:firstRow="0" w:lastRow="0" w:firstColumn="0" w:lastColumn="0" w:oddVBand="0" w:evenVBand="0" w:oddHBand="1" w:evenHBand="0" w:firstRowFirstColumn="0" w:firstRowLastColumn="0" w:lastRowFirstColumn="0" w:lastRowLastColumn="0"/>
            </w:pPr>
          </w:p>
          <w:p w14:paraId="40D5BAE0" w14:textId="2FC28F77" w:rsidR="00217187" w:rsidRPr="00217187" w:rsidRDefault="00217187" w:rsidP="00217187">
            <w:pPr>
              <w:contextualSpacing/>
              <w:cnfStyle w:val="000000100000" w:firstRow="0" w:lastRow="0" w:firstColumn="0" w:lastColumn="0" w:oddVBand="0" w:evenVBand="0" w:oddHBand="1" w:evenHBand="0" w:firstRowFirstColumn="0" w:firstRowLastColumn="0" w:lastRowFirstColumn="0" w:lastRowLastColumn="0"/>
            </w:pPr>
            <w:r w:rsidRPr="00217187">
              <w:t>The intended outcome of this amendment is to support the clarification of product exclusions contained in s</w:t>
            </w:r>
            <w:r>
              <w:t xml:space="preserve">ection </w:t>
            </w:r>
            <w:r w:rsidRPr="00217187">
              <w:t>6 of the WELS Determination.</w:t>
            </w:r>
          </w:p>
          <w:p w14:paraId="2D3DF2C2" w14:textId="77777777" w:rsidR="00217187" w:rsidRPr="00F510B1" w:rsidRDefault="00217187" w:rsidP="00F510B1">
            <w:pPr>
              <w:contextualSpacing/>
              <w:cnfStyle w:val="000000100000" w:firstRow="0" w:lastRow="0" w:firstColumn="0" w:lastColumn="0" w:oddVBand="0" w:evenVBand="0" w:oddHBand="1" w:evenHBand="0" w:firstRowFirstColumn="0" w:firstRowLastColumn="0" w:lastRowFirstColumn="0" w:lastRowLastColumn="0"/>
            </w:pPr>
          </w:p>
        </w:tc>
        <w:tc>
          <w:tcPr>
            <w:tcW w:w="1644" w:type="dxa"/>
          </w:tcPr>
          <w:p w14:paraId="3C96D6FE" w14:textId="6F814FE3" w:rsidR="00217187" w:rsidRDefault="00217187" w:rsidP="00911AF4">
            <w:pPr>
              <w:cnfStyle w:val="000000100000" w:firstRow="0" w:lastRow="0" w:firstColumn="0" w:lastColumn="0" w:oddVBand="0" w:evenVBand="0" w:oddHBand="1" w:evenHBand="0" w:firstRowFirstColumn="0" w:firstRowLastColumn="0" w:lastRowFirstColumn="0" w:lastRowLastColumn="0"/>
            </w:pPr>
            <w:r>
              <w:t>Section 5 Definitions</w:t>
            </w:r>
          </w:p>
        </w:tc>
      </w:tr>
    </w:tbl>
    <w:p w14:paraId="5D98C895" w14:textId="0BCBC208" w:rsidR="00DE3EAE" w:rsidRDefault="00DE3EAE" w:rsidP="00F42F7E">
      <w:pPr>
        <w:rPr>
          <w:lang w:eastAsia="ja-JP"/>
        </w:rPr>
      </w:pPr>
    </w:p>
    <w:p w14:paraId="22DF69D3" w14:textId="77777777" w:rsidR="00DE3EAE" w:rsidRDefault="00DE3EAE">
      <w:pPr>
        <w:spacing w:after="0" w:line="240" w:lineRule="auto"/>
        <w:rPr>
          <w:lang w:eastAsia="ja-JP"/>
        </w:rPr>
      </w:pPr>
      <w:r>
        <w:rPr>
          <w:lang w:eastAsia="ja-JP"/>
        </w:rPr>
        <w:br w:type="page"/>
      </w:r>
    </w:p>
    <w:p w14:paraId="744345ED" w14:textId="05C596E7" w:rsidR="00F42F7E" w:rsidRPr="00850F34" w:rsidRDefault="00205A3B" w:rsidP="00F42F7E">
      <w:pPr>
        <w:pStyle w:val="Heading3"/>
        <w:rPr>
          <w:lang w:eastAsia="ja-JP"/>
        </w:rPr>
      </w:pPr>
      <w:bookmarkStart w:id="17" w:name="_Toc171419293"/>
      <w:r w:rsidRPr="00850F34">
        <w:rPr>
          <w:lang w:eastAsia="ja-JP"/>
        </w:rPr>
        <w:lastRenderedPageBreak/>
        <w:t xml:space="preserve">Amendments to </w:t>
      </w:r>
      <w:r w:rsidR="006664B8" w:rsidRPr="00850F34">
        <w:rPr>
          <w:lang w:eastAsia="ja-JP"/>
        </w:rPr>
        <w:t>Section 5B</w:t>
      </w:r>
      <w:bookmarkEnd w:id="17"/>
    </w:p>
    <w:p w14:paraId="6E148676" w14:textId="08BA1267" w:rsidR="00F261CD" w:rsidRDefault="006664B8" w:rsidP="000C6A20">
      <w:pPr>
        <w:pStyle w:val="ListBullet"/>
        <w:numPr>
          <w:ilvl w:val="0"/>
          <w:numId w:val="0"/>
        </w:numPr>
        <w:rPr>
          <w:lang w:eastAsia="ja-JP"/>
        </w:rPr>
      </w:pPr>
      <w:r w:rsidRPr="006664B8">
        <w:rPr>
          <w:lang w:eastAsia="ja-JP"/>
        </w:rPr>
        <w:t xml:space="preserve">Section 5B </w:t>
      </w:r>
      <w:r w:rsidR="00CD7DDA">
        <w:rPr>
          <w:lang w:eastAsia="ja-JP"/>
        </w:rPr>
        <w:t xml:space="preserve">of the WELS Determination </w:t>
      </w:r>
      <w:r w:rsidRPr="006664B8">
        <w:rPr>
          <w:lang w:eastAsia="ja-JP"/>
        </w:rPr>
        <w:t>details</w:t>
      </w:r>
      <w:r w:rsidR="00D94A84">
        <w:rPr>
          <w:lang w:eastAsia="ja-JP"/>
        </w:rPr>
        <w:t xml:space="preserve"> modifications </w:t>
      </w:r>
      <w:r w:rsidR="00F261CD">
        <w:rPr>
          <w:lang w:eastAsia="ja-JP"/>
        </w:rPr>
        <w:t xml:space="preserve">that are </w:t>
      </w:r>
      <w:r w:rsidR="00C51F4E">
        <w:rPr>
          <w:lang w:eastAsia="ja-JP"/>
        </w:rPr>
        <w:t>to be read</w:t>
      </w:r>
      <w:r w:rsidR="00F261CD">
        <w:rPr>
          <w:lang w:eastAsia="ja-JP"/>
        </w:rPr>
        <w:t xml:space="preserve"> in conjunction with the relevant standard, AS/NZS 6400:2016 or AS 3662.</w:t>
      </w:r>
    </w:p>
    <w:p w14:paraId="5DDDAB7B" w14:textId="66CCF394" w:rsidR="000C6A20" w:rsidRPr="00850F34" w:rsidRDefault="00F261CD" w:rsidP="000C6A20">
      <w:pPr>
        <w:pStyle w:val="ListBullet"/>
        <w:numPr>
          <w:ilvl w:val="0"/>
          <w:numId w:val="0"/>
        </w:numPr>
        <w:rPr>
          <w:lang w:eastAsia="ja-JP"/>
        </w:rPr>
      </w:pPr>
      <w:r>
        <w:rPr>
          <w:lang w:eastAsia="ja-JP"/>
        </w:rPr>
        <w:t xml:space="preserve">Amendments are required </w:t>
      </w:r>
      <w:r w:rsidR="009B6598">
        <w:rPr>
          <w:lang w:eastAsia="ja-JP"/>
        </w:rPr>
        <w:t xml:space="preserve">to correct </w:t>
      </w:r>
      <w:r w:rsidR="00C23CF2">
        <w:rPr>
          <w:lang w:eastAsia="ja-JP"/>
        </w:rPr>
        <w:t>sub</w:t>
      </w:r>
      <w:r w:rsidR="009B6598">
        <w:rPr>
          <w:lang w:eastAsia="ja-JP"/>
        </w:rPr>
        <w:t>section 5</w:t>
      </w:r>
      <w:proofErr w:type="gramStart"/>
      <w:r w:rsidR="009B6598">
        <w:rPr>
          <w:lang w:eastAsia="ja-JP"/>
        </w:rPr>
        <w:t>B(</w:t>
      </w:r>
      <w:proofErr w:type="gramEnd"/>
      <w:r w:rsidR="009B6598">
        <w:rPr>
          <w:lang w:eastAsia="ja-JP"/>
        </w:rPr>
        <w:t>1) and</w:t>
      </w:r>
      <w:r w:rsidR="00423229">
        <w:rPr>
          <w:lang w:eastAsia="ja-JP"/>
        </w:rPr>
        <w:t xml:space="preserve"> </w:t>
      </w:r>
      <w:r w:rsidR="00C23CF2">
        <w:rPr>
          <w:lang w:eastAsia="ja-JP"/>
        </w:rPr>
        <w:t xml:space="preserve">to propose </w:t>
      </w:r>
      <w:r w:rsidR="00423229">
        <w:rPr>
          <w:lang w:eastAsia="ja-JP"/>
        </w:rPr>
        <w:t>re</w:t>
      </w:r>
      <w:r w:rsidR="00C23CF2">
        <w:rPr>
          <w:lang w:eastAsia="ja-JP"/>
        </w:rPr>
        <w:t xml:space="preserve">moval of subsection 5B(2) </w:t>
      </w:r>
      <w:r w:rsidR="00192EE5">
        <w:rPr>
          <w:lang w:eastAsia="ja-JP"/>
        </w:rPr>
        <w:t>subsequent to a</w:t>
      </w:r>
      <w:r w:rsidR="00C23CF2">
        <w:rPr>
          <w:lang w:eastAsia="ja-JP"/>
        </w:rPr>
        <w:t xml:space="preserve"> </w:t>
      </w:r>
      <w:r w:rsidR="00192EE5">
        <w:rPr>
          <w:lang w:eastAsia="ja-JP"/>
        </w:rPr>
        <w:t xml:space="preserve">definition change for AS 3662 (see </w:t>
      </w:r>
      <w:r w:rsidR="00192EE5" w:rsidRPr="004812DD">
        <w:rPr>
          <w:i/>
          <w:iCs/>
          <w:lang w:eastAsia="ja-JP"/>
        </w:rPr>
        <w:t>1.1 Amendments to definitions and references</w:t>
      </w:r>
      <w:r w:rsidR="00192EE5">
        <w:rPr>
          <w:lang w:eastAsia="ja-JP"/>
        </w:rPr>
        <w:t>).</w:t>
      </w:r>
    </w:p>
    <w:p w14:paraId="1C08728A" w14:textId="76F8A279" w:rsidR="000C6A20" w:rsidRPr="0050276A" w:rsidRDefault="000C6A20" w:rsidP="00706163">
      <w:pPr>
        <w:pStyle w:val="Caption"/>
        <w:rPr>
          <w:lang w:eastAsia="ja-JP"/>
        </w:rPr>
      </w:pPr>
      <w:bookmarkStart w:id="18" w:name="_Toc171419300"/>
      <w:r w:rsidRPr="0050276A">
        <w:rPr>
          <w:lang w:eastAsia="ja-JP"/>
        </w:rPr>
        <w:t xml:space="preserve">Table </w:t>
      </w:r>
      <w:r w:rsidR="00D3184D" w:rsidRPr="0050276A">
        <w:rPr>
          <w:lang w:eastAsia="ja-JP"/>
        </w:rPr>
        <w:t>2</w:t>
      </w:r>
      <w:r w:rsidRPr="0050276A">
        <w:rPr>
          <w:lang w:eastAsia="ja-JP"/>
        </w:rPr>
        <w:t xml:space="preserve">. </w:t>
      </w:r>
      <w:r w:rsidR="00E50B7B" w:rsidRPr="0050276A">
        <w:rPr>
          <w:lang w:eastAsia="ja-JP"/>
        </w:rPr>
        <w:t xml:space="preserve">Amendments </w:t>
      </w:r>
      <w:r w:rsidR="00194DA1" w:rsidRPr="0050276A">
        <w:rPr>
          <w:lang w:eastAsia="ja-JP"/>
        </w:rPr>
        <w:t>to Section 5B Modifications of AS/NZS 6400: 2016 and AS 3662</w:t>
      </w:r>
      <w:bookmarkEnd w:id="18"/>
    </w:p>
    <w:tbl>
      <w:tblPr>
        <w:tblStyle w:val="ListTable3-Accent1"/>
        <w:tblW w:w="0" w:type="auto"/>
        <w:tblLayout w:type="fixed"/>
        <w:tblLook w:val="04A0" w:firstRow="1" w:lastRow="0" w:firstColumn="1" w:lastColumn="0" w:noHBand="0" w:noVBand="1"/>
      </w:tblPr>
      <w:tblGrid>
        <w:gridCol w:w="2618"/>
        <w:gridCol w:w="3969"/>
        <w:gridCol w:w="2423"/>
      </w:tblGrid>
      <w:tr w:rsidR="00850F34" w14:paraId="4D0A2826" w14:textId="77777777" w:rsidTr="002C695E">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2618" w:type="dxa"/>
          </w:tcPr>
          <w:p w14:paraId="55704866" w14:textId="77777777" w:rsidR="00850F34" w:rsidRPr="00B12AC2" w:rsidRDefault="00850F34" w:rsidP="00305604">
            <w:pPr>
              <w:rPr>
                <w:b w:val="0"/>
                <w:bCs w:val="0"/>
              </w:rPr>
            </w:pPr>
            <w:r w:rsidRPr="00B12AC2">
              <w:t>Amendment</w:t>
            </w:r>
          </w:p>
        </w:tc>
        <w:tc>
          <w:tcPr>
            <w:tcW w:w="3969" w:type="dxa"/>
          </w:tcPr>
          <w:p w14:paraId="4F965588" w14:textId="77777777" w:rsidR="00850F34" w:rsidRPr="00B12AC2" w:rsidRDefault="00850F34" w:rsidP="00305604">
            <w:pPr>
              <w:contextualSpacing/>
              <w:cnfStyle w:val="100000000000" w:firstRow="1" w:lastRow="0" w:firstColumn="0" w:lastColumn="0" w:oddVBand="0" w:evenVBand="0" w:oddHBand="0" w:evenHBand="0" w:firstRowFirstColumn="0" w:firstRowLastColumn="0" w:lastRowFirstColumn="0" w:lastRowLastColumn="0"/>
              <w:rPr>
                <w:b w:val="0"/>
                <w:bCs w:val="0"/>
              </w:rPr>
            </w:pPr>
            <w:r w:rsidRPr="00B12AC2">
              <w:t>Description</w:t>
            </w:r>
          </w:p>
        </w:tc>
        <w:tc>
          <w:tcPr>
            <w:tcW w:w="2423" w:type="dxa"/>
          </w:tcPr>
          <w:p w14:paraId="555C327F" w14:textId="77777777" w:rsidR="00850F34" w:rsidRPr="00B12AC2" w:rsidRDefault="00850F34" w:rsidP="00305604">
            <w:pPr>
              <w:cnfStyle w:val="100000000000" w:firstRow="1" w:lastRow="0" w:firstColumn="0" w:lastColumn="0" w:oddVBand="0" w:evenVBand="0" w:oddHBand="0" w:evenHBand="0" w:firstRowFirstColumn="0" w:firstRowLastColumn="0" w:lastRowFirstColumn="0" w:lastRowLastColumn="0"/>
              <w:rPr>
                <w:b w:val="0"/>
                <w:bCs w:val="0"/>
              </w:rPr>
            </w:pPr>
            <w:r w:rsidRPr="00B12AC2">
              <w:t>Legislative reference</w:t>
            </w:r>
          </w:p>
        </w:tc>
      </w:tr>
      <w:tr w:rsidR="009B6598" w14:paraId="6A794A6B" w14:textId="77777777" w:rsidTr="002C695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18" w:type="dxa"/>
          </w:tcPr>
          <w:p w14:paraId="11FCECEB" w14:textId="4E25B427" w:rsidR="009B6598" w:rsidRDefault="009B6598" w:rsidP="00305604">
            <w:r>
              <w:t xml:space="preserve">Updates to </w:t>
            </w:r>
            <w:r w:rsidR="001A3D08">
              <w:t xml:space="preserve">subsection 5B(1) </w:t>
            </w:r>
            <w:r>
              <w:t xml:space="preserve">of </w:t>
            </w:r>
            <w:r w:rsidRPr="007163C1">
              <w:t>Section 5B Modifications of AS/NZS 6400: 2016</w:t>
            </w:r>
          </w:p>
        </w:tc>
        <w:tc>
          <w:tcPr>
            <w:tcW w:w="3969" w:type="dxa"/>
          </w:tcPr>
          <w:p w14:paraId="2E1D0EE9" w14:textId="2088E6EE" w:rsidR="009B6598" w:rsidRDefault="009B6598" w:rsidP="000A5D20">
            <w:pPr>
              <w:contextualSpacing/>
              <w:cnfStyle w:val="000000100000" w:firstRow="0" w:lastRow="0" w:firstColumn="0" w:lastColumn="0" w:oddVBand="0" w:evenVBand="0" w:oddHBand="1" w:evenHBand="0" w:firstRowFirstColumn="0" w:firstRowLastColumn="0" w:lastRowFirstColumn="0" w:lastRowLastColumn="0"/>
            </w:pPr>
            <w:r w:rsidRPr="00E330E6">
              <w:t>References to flow rate ranges in section 5B(1) need to be corrected to reflect that there are two flow rate ranges E (&gt;6-7.5L</w:t>
            </w:r>
            <w:r w:rsidR="00D05BBD">
              <w:t>/min</w:t>
            </w:r>
            <w:r w:rsidRPr="00E330E6">
              <w:t>) and F (</w:t>
            </w:r>
            <w:r>
              <w:t>&gt;4.5-6L</w:t>
            </w:r>
            <w:r w:rsidR="00D05BBD">
              <w:t>/min</w:t>
            </w:r>
            <w:r>
              <w:t>)</w:t>
            </w:r>
            <w:r w:rsidR="00423229">
              <w:t xml:space="preserve"> in Table 3.1 of AS/NZS 6400:2016</w:t>
            </w:r>
            <w:r>
              <w:t xml:space="preserve"> </w:t>
            </w:r>
            <w:r w:rsidRPr="00E330E6">
              <w:t>for the approved tests for high pressure showers.</w:t>
            </w:r>
          </w:p>
          <w:p w14:paraId="2F199FE1" w14:textId="59FFF1D8" w:rsidR="00DE3EAE" w:rsidRDefault="00DE3EAE" w:rsidP="000A5D20">
            <w:pPr>
              <w:contextualSpacing/>
              <w:cnfStyle w:val="000000100000" w:firstRow="0" w:lastRow="0" w:firstColumn="0" w:lastColumn="0" w:oddVBand="0" w:evenVBand="0" w:oddHBand="1" w:evenHBand="0" w:firstRowFirstColumn="0" w:firstRowLastColumn="0" w:lastRowFirstColumn="0" w:lastRowLastColumn="0"/>
            </w:pPr>
          </w:p>
        </w:tc>
        <w:tc>
          <w:tcPr>
            <w:tcW w:w="2423" w:type="dxa"/>
          </w:tcPr>
          <w:p w14:paraId="05175089" w14:textId="6E542D1E" w:rsidR="009B6598" w:rsidRDefault="009B6598" w:rsidP="00305604">
            <w:pPr>
              <w:cnfStyle w:val="000000100000" w:firstRow="0" w:lastRow="0" w:firstColumn="0" w:lastColumn="0" w:oddVBand="0" w:evenVBand="0" w:oddHBand="1" w:evenHBand="0" w:firstRowFirstColumn="0" w:firstRowLastColumn="0" w:lastRowFirstColumn="0" w:lastRowLastColumn="0"/>
            </w:pPr>
            <w:r w:rsidRPr="007163C1">
              <w:t>Section 5B Modifications of AS/NZS 6400: 2016</w:t>
            </w:r>
            <w:r>
              <w:t xml:space="preserve"> and AS 3662</w:t>
            </w:r>
          </w:p>
        </w:tc>
      </w:tr>
      <w:tr w:rsidR="007E775E" w14:paraId="62181508" w14:textId="77777777" w:rsidTr="002C695E">
        <w:trPr>
          <w:trHeight w:val="70"/>
        </w:trPr>
        <w:tc>
          <w:tcPr>
            <w:cnfStyle w:val="001000000000" w:firstRow="0" w:lastRow="0" w:firstColumn="1" w:lastColumn="0" w:oddVBand="0" w:evenVBand="0" w:oddHBand="0" w:evenHBand="0" w:firstRowFirstColumn="0" w:firstRowLastColumn="0" w:lastRowFirstColumn="0" w:lastRowLastColumn="0"/>
            <w:tcW w:w="2618" w:type="dxa"/>
          </w:tcPr>
          <w:p w14:paraId="28DACFB1" w14:textId="142B158A" w:rsidR="007E775E" w:rsidRPr="007163C1" w:rsidRDefault="001A3D08" w:rsidP="00CF17B4">
            <w:r>
              <w:t>Removal of subsection 5B(2) and u</w:t>
            </w:r>
            <w:r w:rsidR="007E775E">
              <w:t xml:space="preserve">pdate to </w:t>
            </w:r>
            <w:r w:rsidR="00850F34">
              <w:t xml:space="preserve">the title of </w:t>
            </w:r>
            <w:r w:rsidR="00194DA1" w:rsidRPr="007163C1">
              <w:t>Section 5B Modifications of AS/NZS 6400: 2016</w:t>
            </w:r>
            <w:r w:rsidR="004F06E3">
              <w:t xml:space="preserve"> and AS 3662</w:t>
            </w:r>
          </w:p>
        </w:tc>
        <w:tc>
          <w:tcPr>
            <w:tcW w:w="3969" w:type="dxa"/>
          </w:tcPr>
          <w:p w14:paraId="1CA5774F" w14:textId="5A2832AF" w:rsidR="001A3D08" w:rsidRDefault="001A3D08" w:rsidP="001A3D08">
            <w:pPr>
              <w:cnfStyle w:val="000000000000" w:firstRow="0" w:lastRow="0" w:firstColumn="0" w:lastColumn="0" w:oddVBand="0" w:evenVBand="0" w:oddHBand="0" w:evenHBand="0" w:firstRowFirstColumn="0" w:firstRowLastColumn="0" w:lastRowFirstColumn="0" w:lastRowLastColumn="0"/>
            </w:pPr>
            <w:r>
              <w:t>The proposed u</w:t>
            </w:r>
            <w:r w:rsidR="007E775E" w:rsidRPr="00E330E6">
              <w:t>pdat</w:t>
            </w:r>
            <w:r>
              <w:t>e of</w:t>
            </w:r>
            <w:r w:rsidR="007E775E" w:rsidRPr="00E330E6">
              <w:t xml:space="preserve"> the definition </w:t>
            </w:r>
            <w:r w:rsidR="00BB4668">
              <w:t>for</w:t>
            </w:r>
            <w:r w:rsidR="007E775E" w:rsidRPr="00E330E6">
              <w:t xml:space="preserve"> AS 3662</w:t>
            </w:r>
            <w:r w:rsidR="007E775E">
              <w:t xml:space="preserve"> </w:t>
            </w:r>
            <w:r w:rsidR="007E775E" w:rsidRPr="00E330E6">
              <w:t>makes section 5B(2) unnecessary</w:t>
            </w:r>
            <w:r>
              <w:t xml:space="preserve"> </w:t>
            </w:r>
            <w:r w:rsidRPr="00E330E6">
              <w:t xml:space="preserve">as </w:t>
            </w:r>
            <w:r>
              <w:t>it</w:t>
            </w:r>
            <w:r w:rsidRPr="00E330E6">
              <w:t xml:space="preserve"> </w:t>
            </w:r>
            <w:r w:rsidR="00BB4668">
              <w:t>does</w:t>
            </w:r>
            <w:r w:rsidRPr="00E330E6">
              <w:t xml:space="preserve"> not modify the current standard AS/NZS 3662:2013 published in 2017</w:t>
            </w:r>
            <w:r w:rsidR="00BB4668">
              <w:t xml:space="preserve"> (see </w:t>
            </w:r>
            <w:r w:rsidR="00BB4668" w:rsidRPr="004F06E3">
              <w:rPr>
                <w:i/>
                <w:iCs/>
              </w:rPr>
              <w:t>1.1 Amendments to definitions and references</w:t>
            </w:r>
            <w:r w:rsidR="00BB4668">
              <w:t>)</w:t>
            </w:r>
            <w:r w:rsidR="007E775E">
              <w:t xml:space="preserve">. </w:t>
            </w:r>
            <w:r w:rsidR="00BB4668">
              <w:t xml:space="preserve">Based on this there is no need to keep </w:t>
            </w:r>
            <w:r w:rsidR="007E775E">
              <w:t>Section 5B(2)</w:t>
            </w:r>
            <w:r w:rsidR="007E775E" w:rsidRPr="00E330E6">
              <w:t>.</w:t>
            </w:r>
          </w:p>
          <w:p w14:paraId="5F71CAB3" w14:textId="77777777" w:rsidR="007E775E" w:rsidRDefault="00423229" w:rsidP="00850F34">
            <w:pPr>
              <w:contextualSpacing/>
              <w:cnfStyle w:val="000000000000" w:firstRow="0" w:lastRow="0" w:firstColumn="0" w:lastColumn="0" w:oddVBand="0" w:evenVBand="0" w:oddHBand="0" w:evenHBand="0" w:firstRowFirstColumn="0" w:firstRowLastColumn="0" w:lastRowFirstColumn="0" w:lastRowLastColumn="0"/>
            </w:pPr>
            <w:r>
              <w:t>B</w:t>
            </w:r>
            <w:r w:rsidRPr="001A3D08">
              <w:t xml:space="preserve">ased on the proposed </w:t>
            </w:r>
            <w:r>
              <w:t>removal of subsection 5B(2) t</w:t>
            </w:r>
            <w:r w:rsidR="001A3D08" w:rsidRPr="00300880">
              <w:t xml:space="preserve">here will be no need to keep </w:t>
            </w:r>
            <w:r w:rsidR="001A3D08" w:rsidRPr="001A3D08">
              <w:t>AS 3662 in the title ‘Modifications of AS/NZS 6400: 2016 and AS 3662’</w:t>
            </w:r>
            <w:r w:rsidR="00BB4668">
              <w:t>.</w:t>
            </w:r>
          </w:p>
          <w:p w14:paraId="3A8CEAB0" w14:textId="09344196" w:rsidR="00DE3EAE" w:rsidRPr="00E330E6" w:rsidRDefault="00DE3EAE" w:rsidP="00850F34">
            <w:pPr>
              <w:contextualSpacing/>
              <w:cnfStyle w:val="000000000000" w:firstRow="0" w:lastRow="0" w:firstColumn="0" w:lastColumn="0" w:oddVBand="0" w:evenVBand="0" w:oddHBand="0" w:evenHBand="0" w:firstRowFirstColumn="0" w:firstRowLastColumn="0" w:lastRowFirstColumn="0" w:lastRowLastColumn="0"/>
            </w:pPr>
          </w:p>
        </w:tc>
        <w:tc>
          <w:tcPr>
            <w:tcW w:w="2423" w:type="dxa"/>
          </w:tcPr>
          <w:p w14:paraId="4B143A94" w14:textId="08924455" w:rsidR="007E775E" w:rsidRPr="007163C1" w:rsidRDefault="007E775E" w:rsidP="00CF17B4">
            <w:pPr>
              <w:cnfStyle w:val="000000000000" w:firstRow="0" w:lastRow="0" w:firstColumn="0" w:lastColumn="0" w:oddVBand="0" w:evenVBand="0" w:oddHBand="0" w:evenHBand="0" w:firstRowFirstColumn="0" w:firstRowLastColumn="0" w:lastRowFirstColumn="0" w:lastRowLastColumn="0"/>
            </w:pPr>
            <w:r w:rsidRPr="007163C1">
              <w:t>Section 5B Modifications of AS/NZS 6400: 2016</w:t>
            </w:r>
            <w:r>
              <w:t xml:space="preserve"> and AS 3662</w:t>
            </w:r>
          </w:p>
        </w:tc>
      </w:tr>
    </w:tbl>
    <w:p w14:paraId="1D269BE4" w14:textId="40FD2E48" w:rsidR="00103B46" w:rsidRDefault="00103B46" w:rsidP="00F42F7E">
      <w:pPr>
        <w:rPr>
          <w:lang w:eastAsia="ja-JP"/>
        </w:rPr>
      </w:pPr>
    </w:p>
    <w:p w14:paraId="4BE567DB" w14:textId="77777777" w:rsidR="00103B46" w:rsidRDefault="00103B46">
      <w:pPr>
        <w:spacing w:after="0" w:line="240" w:lineRule="auto"/>
        <w:rPr>
          <w:lang w:eastAsia="ja-JP"/>
        </w:rPr>
      </w:pPr>
      <w:r>
        <w:rPr>
          <w:lang w:eastAsia="ja-JP"/>
        </w:rPr>
        <w:br w:type="page"/>
      </w:r>
    </w:p>
    <w:p w14:paraId="059A9A6E" w14:textId="4F524C33" w:rsidR="00F42F7E" w:rsidRDefault="00205A3B" w:rsidP="00F42F7E">
      <w:pPr>
        <w:pStyle w:val="Heading3"/>
        <w:rPr>
          <w:lang w:eastAsia="ja-JP"/>
        </w:rPr>
      </w:pPr>
      <w:bookmarkStart w:id="19" w:name="_Toc171419294"/>
      <w:r>
        <w:rPr>
          <w:lang w:eastAsia="ja-JP"/>
        </w:rPr>
        <w:lastRenderedPageBreak/>
        <w:t xml:space="preserve">Amendments relating to </w:t>
      </w:r>
      <w:r w:rsidR="00CD7DDA">
        <w:rPr>
          <w:lang w:eastAsia="ja-JP"/>
        </w:rPr>
        <w:t>Section 6</w:t>
      </w:r>
      <w:bookmarkEnd w:id="19"/>
    </w:p>
    <w:p w14:paraId="22058996" w14:textId="77777777" w:rsidR="00E823BC" w:rsidRDefault="00E823BC" w:rsidP="002C594C">
      <w:pPr>
        <w:rPr>
          <w:lang w:eastAsia="ja-JP"/>
        </w:rPr>
      </w:pPr>
      <w:r>
        <w:rPr>
          <w:lang w:eastAsia="ja-JP"/>
        </w:rPr>
        <w:t xml:space="preserve">Section 6 of the WELS Determinations identifies water-use or water-saving products which have been determined by the </w:t>
      </w:r>
      <w:proofErr w:type="gramStart"/>
      <w:r>
        <w:rPr>
          <w:lang w:eastAsia="ja-JP"/>
        </w:rPr>
        <w:t>Commonwealth Minister</w:t>
      </w:r>
      <w:proofErr w:type="gramEnd"/>
      <w:r>
        <w:rPr>
          <w:lang w:eastAsia="ja-JP"/>
        </w:rPr>
        <w:t xml:space="preserve"> as being WELS products.</w:t>
      </w:r>
    </w:p>
    <w:p w14:paraId="3047100E" w14:textId="74E1D7F1" w:rsidR="007E1256" w:rsidRDefault="007E1256" w:rsidP="002C594C">
      <w:pPr>
        <w:rPr>
          <w:lang w:eastAsia="ja-JP"/>
        </w:rPr>
      </w:pPr>
      <w:r>
        <w:rPr>
          <w:lang w:eastAsia="ja-JP"/>
        </w:rPr>
        <w:t xml:space="preserve">Amendments are required to </w:t>
      </w:r>
      <w:r w:rsidR="00E823BC">
        <w:rPr>
          <w:lang w:eastAsia="ja-JP"/>
        </w:rPr>
        <w:t xml:space="preserve">remove </w:t>
      </w:r>
      <w:r w:rsidR="00AB671C">
        <w:rPr>
          <w:lang w:eastAsia="ja-JP"/>
        </w:rPr>
        <w:t xml:space="preserve">certain products </w:t>
      </w:r>
      <w:r w:rsidR="00E823BC">
        <w:rPr>
          <w:lang w:eastAsia="ja-JP"/>
        </w:rPr>
        <w:t xml:space="preserve">from the WELS scheme </w:t>
      </w:r>
      <w:r w:rsidR="00AB671C">
        <w:rPr>
          <w:lang w:eastAsia="ja-JP"/>
        </w:rPr>
        <w:t xml:space="preserve">which do not contribute towards the objects of the </w:t>
      </w:r>
      <w:r w:rsidR="00AB671C" w:rsidRPr="002B7D2A">
        <w:rPr>
          <w:i/>
          <w:iCs/>
          <w:lang w:eastAsia="ja-JP"/>
        </w:rPr>
        <w:t>Water Efficiency Labelling and Standards Act 2005</w:t>
      </w:r>
      <w:r w:rsidR="00AB671C">
        <w:rPr>
          <w:lang w:eastAsia="ja-JP"/>
        </w:rPr>
        <w:t>.</w:t>
      </w:r>
    </w:p>
    <w:p w14:paraId="26F65DA1" w14:textId="2E1CD261" w:rsidR="005C7D63" w:rsidRDefault="005C7D63" w:rsidP="005C7D63">
      <w:pPr>
        <w:pStyle w:val="Heading4"/>
        <w:rPr>
          <w:lang w:eastAsia="ja-JP"/>
        </w:rPr>
      </w:pPr>
      <w:r>
        <w:rPr>
          <w:lang w:eastAsia="ja-JP"/>
        </w:rPr>
        <w:t>Tap equipment</w:t>
      </w:r>
    </w:p>
    <w:p w14:paraId="6D3046BF" w14:textId="38B84D51" w:rsidR="00AB671C" w:rsidRDefault="007E1256" w:rsidP="002C594C">
      <w:pPr>
        <w:rPr>
          <w:lang w:eastAsia="ja-JP"/>
        </w:rPr>
      </w:pPr>
      <w:r>
        <w:rPr>
          <w:lang w:eastAsia="ja-JP"/>
        </w:rPr>
        <w:t xml:space="preserve">It is proposed that </w:t>
      </w:r>
      <w:r w:rsidR="002C4408">
        <w:rPr>
          <w:lang w:eastAsia="ja-JP"/>
        </w:rPr>
        <w:t xml:space="preserve">additional types of tap equipment are excluded from the WELS scheme. </w:t>
      </w:r>
      <w:r w:rsidR="00251331">
        <w:rPr>
          <w:lang w:eastAsia="ja-JP"/>
        </w:rPr>
        <w:t xml:space="preserve">These </w:t>
      </w:r>
      <w:r w:rsidR="00251331" w:rsidRPr="00B43625">
        <w:rPr>
          <w:lang w:eastAsia="ja-JP"/>
        </w:rPr>
        <w:t>exclusions</w:t>
      </w:r>
      <w:r w:rsidR="002C4408" w:rsidRPr="00B43625">
        <w:rPr>
          <w:lang w:eastAsia="ja-JP"/>
        </w:rPr>
        <w:t xml:space="preserve"> </w:t>
      </w:r>
      <w:r w:rsidR="00DE4527" w:rsidRPr="00B43625">
        <w:rPr>
          <w:lang w:eastAsia="ja-JP"/>
        </w:rPr>
        <w:t xml:space="preserve">are </w:t>
      </w:r>
      <w:r w:rsidR="002C4408" w:rsidRPr="00B43625">
        <w:rPr>
          <w:lang w:eastAsia="ja-JP"/>
        </w:rPr>
        <w:t>include</w:t>
      </w:r>
      <w:r w:rsidR="00DE4527" w:rsidRPr="00B43625">
        <w:rPr>
          <w:lang w:eastAsia="ja-JP"/>
        </w:rPr>
        <w:t>d</w:t>
      </w:r>
      <w:r w:rsidR="002C4408" w:rsidRPr="00B43625">
        <w:rPr>
          <w:lang w:eastAsia="ja-JP"/>
        </w:rPr>
        <w:t xml:space="preserve"> </w:t>
      </w:r>
      <w:r w:rsidR="00A97B90" w:rsidRPr="00B43625">
        <w:rPr>
          <w:lang w:eastAsia="ja-JP"/>
        </w:rPr>
        <w:t>in Table</w:t>
      </w:r>
      <w:r w:rsidR="00DE4527" w:rsidRPr="00B43625">
        <w:rPr>
          <w:lang w:eastAsia="ja-JP"/>
        </w:rPr>
        <w:t>s</w:t>
      </w:r>
      <w:r w:rsidR="00A97B90" w:rsidRPr="00B43625">
        <w:rPr>
          <w:lang w:eastAsia="ja-JP"/>
        </w:rPr>
        <w:t xml:space="preserve"> </w:t>
      </w:r>
      <w:r w:rsidR="00D3184D" w:rsidRPr="00B43625">
        <w:rPr>
          <w:lang w:eastAsia="ja-JP"/>
        </w:rPr>
        <w:t>3</w:t>
      </w:r>
      <w:r w:rsidR="00A97B90" w:rsidRPr="00B43625">
        <w:rPr>
          <w:lang w:eastAsia="ja-JP"/>
        </w:rPr>
        <w:t xml:space="preserve"> to </w:t>
      </w:r>
      <w:r w:rsidR="00D3184D" w:rsidRPr="00B43625">
        <w:rPr>
          <w:lang w:eastAsia="ja-JP"/>
        </w:rPr>
        <w:t>6</w:t>
      </w:r>
      <w:r w:rsidR="002C4408" w:rsidRPr="00B43625">
        <w:rPr>
          <w:lang w:eastAsia="ja-JP"/>
        </w:rPr>
        <w:t xml:space="preserve"> below:</w:t>
      </w:r>
    </w:p>
    <w:p w14:paraId="3D938112" w14:textId="6BEBFAE1" w:rsidR="002C4408" w:rsidRPr="0050276A" w:rsidRDefault="002C4408" w:rsidP="002C594C">
      <w:pPr>
        <w:pStyle w:val="Caption"/>
        <w:rPr>
          <w:lang w:eastAsia="ja-JP"/>
        </w:rPr>
      </w:pPr>
      <w:bookmarkStart w:id="20" w:name="_Toc170479593"/>
      <w:bookmarkStart w:id="21" w:name="_Toc171419301"/>
      <w:r w:rsidRPr="0050276A">
        <w:rPr>
          <w:lang w:eastAsia="ja-JP"/>
        </w:rPr>
        <w:t xml:space="preserve">Table </w:t>
      </w:r>
      <w:r w:rsidR="00D3184D" w:rsidRPr="0050276A">
        <w:rPr>
          <w:lang w:eastAsia="ja-JP"/>
        </w:rPr>
        <w:t>3</w:t>
      </w:r>
      <w:r w:rsidR="00A97B90" w:rsidRPr="0050276A">
        <w:rPr>
          <w:lang w:eastAsia="ja-JP"/>
        </w:rPr>
        <w:t xml:space="preserve">. </w:t>
      </w:r>
      <w:r w:rsidR="0046368A" w:rsidRPr="0050276A">
        <w:rPr>
          <w:lang w:eastAsia="ja-JP"/>
        </w:rPr>
        <w:t>Tap equipment - t</w:t>
      </w:r>
      <w:r w:rsidR="00A97B90" w:rsidRPr="0050276A">
        <w:rPr>
          <w:lang w:eastAsia="ja-JP"/>
        </w:rPr>
        <w:t>aps used exclusively over a pot sink</w:t>
      </w:r>
      <w:bookmarkEnd w:id="20"/>
      <w:bookmarkEnd w:id="21"/>
    </w:p>
    <w:tbl>
      <w:tblPr>
        <w:tblStyle w:val="ListTable3-Accent1"/>
        <w:tblW w:w="0" w:type="auto"/>
        <w:tblLayout w:type="fixed"/>
        <w:tblLook w:val="04A0" w:firstRow="1" w:lastRow="0" w:firstColumn="1" w:lastColumn="0" w:noHBand="0" w:noVBand="1"/>
      </w:tblPr>
      <w:tblGrid>
        <w:gridCol w:w="1980"/>
        <w:gridCol w:w="5386"/>
        <w:gridCol w:w="1644"/>
      </w:tblGrid>
      <w:tr w:rsidR="00D73C0C" w14:paraId="2205B461" w14:textId="77777777" w:rsidTr="002C695E">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980" w:type="dxa"/>
          </w:tcPr>
          <w:p w14:paraId="79671591" w14:textId="3CD3719D" w:rsidR="00D73C0C" w:rsidRPr="00B12AC2" w:rsidRDefault="00D73C0C" w:rsidP="00CF17B4">
            <w:pPr>
              <w:rPr>
                <w:b w:val="0"/>
                <w:bCs w:val="0"/>
              </w:rPr>
            </w:pPr>
            <w:r w:rsidRPr="00B12AC2">
              <w:t>Amendment</w:t>
            </w:r>
          </w:p>
        </w:tc>
        <w:tc>
          <w:tcPr>
            <w:tcW w:w="5386" w:type="dxa"/>
          </w:tcPr>
          <w:p w14:paraId="02B35F54" w14:textId="4E5091D2" w:rsidR="00D73C0C" w:rsidRPr="00B12AC2" w:rsidRDefault="00D73C0C" w:rsidP="002C4408">
            <w:pPr>
              <w:contextualSpacing/>
              <w:cnfStyle w:val="100000000000" w:firstRow="1" w:lastRow="0" w:firstColumn="0" w:lastColumn="0" w:oddVBand="0" w:evenVBand="0" w:oddHBand="0" w:evenHBand="0" w:firstRowFirstColumn="0" w:firstRowLastColumn="0" w:lastRowFirstColumn="0" w:lastRowLastColumn="0"/>
              <w:rPr>
                <w:b w:val="0"/>
                <w:bCs w:val="0"/>
              </w:rPr>
            </w:pPr>
            <w:r w:rsidRPr="00B12AC2">
              <w:t>Description</w:t>
            </w:r>
          </w:p>
        </w:tc>
        <w:tc>
          <w:tcPr>
            <w:tcW w:w="1644" w:type="dxa"/>
          </w:tcPr>
          <w:p w14:paraId="365CD289" w14:textId="51F2AA8C" w:rsidR="00D73C0C" w:rsidRPr="00B12AC2" w:rsidRDefault="00D73C0C" w:rsidP="00CF17B4">
            <w:pPr>
              <w:cnfStyle w:val="100000000000" w:firstRow="1" w:lastRow="0" w:firstColumn="0" w:lastColumn="0" w:oddVBand="0" w:evenVBand="0" w:oddHBand="0" w:evenHBand="0" w:firstRowFirstColumn="0" w:firstRowLastColumn="0" w:lastRowFirstColumn="0" w:lastRowLastColumn="0"/>
              <w:rPr>
                <w:b w:val="0"/>
                <w:bCs w:val="0"/>
              </w:rPr>
            </w:pPr>
            <w:r w:rsidRPr="00B12AC2">
              <w:t>Legislative reference</w:t>
            </w:r>
          </w:p>
        </w:tc>
      </w:tr>
      <w:tr w:rsidR="00D73C0C" w14:paraId="3C703BDE" w14:textId="77777777" w:rsidTr="002C695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0" w:type="dxa"/>
          </w:tcPr>
          <w:p w14:paraId="3A7C8686" w14:textId="27A5ECDF" w:rsidR="00D73C0C" w:rsidRDefault="00D73C0C" w:rsidP="00CF17B4">
            <w:r>
              <w:t>Exclusion of tap equipment that is for use exclusively over a pot sink.</w:t>
            </w:r>
          </w:p>
        </w:tc>
        <w:tc>
          <w:tcPr>
            <w:tcW w:w="5386" w:type="dxa"/>
          </w:tcPr>
          <w:p w14:paraId="1E777704" w14:textId="1890F48D" w:rsidR="00D73C0C" w:rsidRDefault="00D73C0C" w:rsidP="002C4408">
            <w:pPr>
              <w:contextualSpacing/>
              <w:cnfStyle w:val="000000100000" w:firstRow="0" w:lastRow="0" w:firstColumn="0" w:lastColumn="0" w:oddVBand="0" w:evenVBand="0" w:oddHBand="1" w:evenHBand="0" w:firstRowFirstColumn="0" w:firstRowLastColumn="0" w:lastRowFirstColumn="0" w:lastRowLastColumn="0"/>
            </w:pPr>
            <w:r>
              <w:t xml:space="preserve">The intention of this amendment is to remove </w:t>
            </w:r>
            <w:r w:rsidRPr="00EC4A48">
              <w:t xml:space="preserve">taps </w:t>
            </w:r>
            <w:r>
              <w:t xml:space="preserve">used over </w:t>
            </w:r>
            <w:r w:rsidR="00E50B7B">
              <w:t xml:space="preserve">large </w:t>
            </w:r>
            <w:r>
              <w:t>sinks in a commercial environment from the WELS scheme.</w:t>
            </w:r>
          </w:p>
          <w:p w14:paraId="52A947F7" w14:textId="77777777" w:rsidR="00D73C0C" w:rsidRDefault="00D73C0C" w:rsidP="002C4408">
            <w:pPr>
              <w:contextualSpacing/>
              <w:cnfStyle w:val="000000100000" w:firstRow="0" w:lastRow="0" w:firstColumn="0" w:lastColumn="0" w:oddVBand="0" w:evenVBand="0" w:oddHBand="1" w:evenHBand="0" w:firstRowFirstColumn="0" w:firstRowLastColumn="0" w:lastRowFirstColumn="0" w:lastRowLastColumn="0"/>
            </w:pPr>
          </w:p>
          <w:p w14:paraId="3CF4541E" w14:textId="2E3F4ABB" w:rsidR="00D73C0C" w:rsidRDefault="00D73C0C" w:rsidP="002C4408">
            <w:pPr>
              <w:contextualSpacing/>
              <w:cnfStyle w:val="000000100000" w:firstRow="0" w:lastRow="0" w:firstColumn="0" w:lastColumn="0" w:oddVBand="0" w:evenVBand="0" w:oddHBand="1" w:evenHBand="0" w:firstRowFirstColumn="0" w:firstRowLastColumn="0" w:lastRowFirstColumn="0" w:lastRowLastColumn="0"/>
            </w:pPr>
            <w:r>
              <w:t xml:space="preserve">A pot sink is defined in AS/NZS 3500 as a </w:t>
            </w:r>
            <w:r w:rsidRPr="00251331">
              <w:rPr>
                <w:i/>
                <w:iCs/>
              </w:rPr>
              <w:t>large sink designed for use in commercial kitchens for the washing of cooking equipment or containers</w:t>
            </w:r>
            <w:r>
              <w:t>.</w:t>
            </w:r>
          </w:p>
          <w:p w14:paraId="6A8E90CA" w14:textId="77777777" w:rsidR="00D73C0C" w:rsidRDefault="00D73C0C" w:rsidP="002C4408">
            <w:pPr>
              <w:contextualSpacing/>
              <w:cnfStyle w:val="000000100000" w:firstRow="0" w:lastRow="0" w:firstColumn="0" w:lastColumn="0" w:oddVBand="0" w:evenVBand="0" w:oddHBand="1" w:evenHBand="0" w:firstRowFirstColumn="0" w:firstRowLastColumn="0" w:lastRowFirstColumn="0" w:lastRowLastColumn="0"/>
            </w:pPr>
          </w:p>
          <w:p w14:paraId="4C8406C1" w14:textId="77777777" w:rsidR="00E50B7B" w:rsidRDefault="00D73C0C" w:rsidP="002C4408">
            <w:pPr>
              <w:contextualSpacing/>
              <w:cnfStyle w:val="000000100000" w:firstRow="0" w:lastRow="0" w:firstColumn="0" w:lastColumn="0" w:oddVBand="0" w:evenVBand="0" w:oddHBand="1" w:evenHBand="0" w:firstRowFirstColumn="0" w:firstRowLastColumn="0" w:lastRowFirstColumn="0" w:lastRowLastColumn="0"/>
            </w:pPr>
            <w:r>
              <w:t xml:space="preserve">These types of taps </w:t>
            </w:r>
            <w:r w:rsidRPr="00EC4A48">
              <w:t>are designed to fill large commercial sinks quickly with water</w:t>
            </w:r>
            <w:r>
              <w:t xml:space="preserve">. Note that this exclusion would only apply to taps that are for use </w:t>
            </w:r>
            <w:r w:rsidRPr="00DE4527">
              <w:rPr>
                <w:b/>
                <w:bCs/>
                <w:u w:val="single"/>
              </w:rPr>
              <w:t>exclusively</w:t>
            </w:r>
            <w:r>
              <w:t xml:space="preserve"> over a pot sink.</w:t>
            </w:r>
          </w:p>
          <w:p w14:paraId="3198F5FD" w14:textId="77777777" w:rsidR="00E50B7B" w:rsidRDefault="00E50B7B" w:rsidP="002C4408">
            <w:pPr>
              <w:contextualSpacing/>
              <w:cnfStyle w:val="000000100000" w:firstRow="0" w:lastRow="0" w:firstColumn="0" w:lastColumn="0" w:oddVBand="0" w:evenVBand="0" w:oddHBand="1" w:evenHBand="0" w:firstRowFirstColumn="0" w:firstRowLastColumn="0" w:lastRowFirstColumn="0" w:lastRowLastColumn="0"/>
            </w:pPr>
          </w:p>
          <w:p w14:paraId="67FDFD29" w14:textId="7B25D7F2" w:rsidR="00D73C0C" w:rsidRDefault="00D73C0C" w:rsidP="002C4408">
            <w:pPr>
              <w:contextualSpacing/>
              <w:cnfStyle w:val="000000100000" w:firstRow="0" w:lastRow="0" w:firstColumn="0" w:lastColumn="0" w:oddVBand="0" w:evenVBand="0" w:oddHBand="1" w:evenHBand="0" w:firstRowFirstColumn="0" w:firstRowLastColumn="0" w:lastRowFirstColumn="0" w:lastRowLastColumn="0"/>
            </w:pPr>
            <w:r>
              <w:t xml:space="preserve">If a tap could </w:t>
            </w:r>
            <w:r w:rsidR="00E50B7B">
              <w:t xml:space="preserve">operate or is marketed/supplied to operate </w:t>
            </w:r>
            <w:r>
              <w:t xml:space="preserve">over </w:t>
            </w:r>
            <w:r w:rsidR="00E50B7B">
              <w:t xml:space="preserve">either </w:t>
            </w:r>
            <w:r>
              <w:t>a pot sink or another type of sink (e.g. in a residential setting), it would not be excluded from the WELS scheme and would need to be registered.</w:t>
            </w:r>
          </w:p>
          <w:p w14:paraId="3098E1BA" w14:textId="77777777" w:rsidR="00DE4527" w:rsidRDefault="00DE4527" w:rsidP="002C4408">
            <w:pPr>
              <w:contextualSpacing/>
              <w:cnfStyle w:val="000000100000" w:firstRow="0" w:lastRow="0" w:firstColumn="0" w:lastColumn="0" w:oddVBand="0" w:evenVBand="0" w:oddHBand="1" w:evenHBand="0" w:firstRowFirstColumn="0" w:firstRowLastColumn="0" w:lastRowFirstColumn="0" w:lastRowLastColumn="0"/>
            </w:pPr>
          </w:p>
          <w:p w14:paraId="03455621" w14:textId="74A4F0CA" w:rsidR="00DE4527" w:rsidRDefault="00DE4527" w:rsidP="002C4408">
            <w:pPr>
              <w:contextualSpacing/>
              <w:cnfStyle w:val="000000100000" w:firstRow="0" w:lastRow="0" w:firstColumn="0" w:lastColumn="0" w:oddVBand="0" w:evenVBand="0" w:oddHBand="1" w:evenHBand="0" w:firstRowFirstColumn="0" w:firstRowLastColumn="0" w:lastRowFirstColumn="0" w:lastRowLastColumn="0"/>
            </w:pPr>
            <w:r>
              <w:t xml:space="preserve">The WELS scheme currently </w:t>
            </w:r>
            <w:r w:rsidR="00E50B7B">
              <w:t>has</w:t>
            </w:r>
            <w:r>
              <w:t xml:space="preserve"> 75 taps identif</w:t>
            </w:r>
            <w:r w:rsidR="0033465E">
              <w:t>ied</w:t>
            </w:r>
            <w:r>
              <w:t xml:space="preserve"> as being ‘pot fillers’ or ‘commercial’</w:t>
            </w:r>
            <w:r w:rsidR="00E50B7B">
              <w:t xml:space="preserve">. These taps are </w:t>
            </w:r>
            <w:r>
              <w:t>registered</w:t>
            </w:r>
            <w:r w:rsidR="008B376A">
              <w:t xml:space="preserve"> to 10 WELS organisations</w:t>
            </w:r>
            <w:r>
              <w:t xml:space="preserve">. If these taps were being used </w:t>
            </w:r>
            <w:r w:rsidRPr="00DE4527">
              <w:rPr>
                <w:b/>
                <w:bCs/>
                <w:u w:val="single"/>
              </w:rPr>
              <w:t>exclusively</w:t>
            </w:r>
            <w:r>
              <w:t xml:space="preserve"> over a pot sink (including spray taps), they would no longer need to be registered or have a mandatory WELS label applied.</w:t>
            </w:r>
          </w:p>
          <w:p w14:paraId="2BEF8142" w14:textId="77777777" w:rsidR="00DE4527" w:rsidRDefault="00DE4527" w:rsidP="002C4408">
            <w:pPr>
              <w:contextualSpacing/>
              <w:cnfStyle w:val="000000100000" w:firstRow="0" w:lastRow="0" w:firstColumn="0" w:lastColumn="0" w:oddVBand="0" w:evenVBand="0" w:oddHBand="1" w:evenHBand="0" w:firstRowFirstColumn="0" w:firstRowLastColumn="0" w:lastRowFirstColumn="0" w:lastRowLastColumn="0"/>
            </w:pPr>
          </w:p>
          <w:p w14:paraId="5641A669" w14:textId="3A122E84" w:rsidR="00DE4527" w:rsidRDefault="009630BF" w:rsidP="002C4408">
            <w:pPr>
              <w:contextualSpacing/>
              <w:cnfStyle w:val="000000100000" w:firstRow="0" w:lastRow="0" w:firstColumn="0" w:lastColumn="0" w:oddVBand="0" w:evenVBand="0" w:oddHBand="1" w:evenHBand="0" w:firstRowFirstColumn="0" w:firstRowLastColumn="0" w:lastRowFirstColumn="0" w:lastRowLastColumn="0"/>
            </w:pPr>
            <w:r>
              <w:t>Table 1</w:t>
            </w:r>
            <w:r w:rsidR="00DE4527">
              <w:t xml:space="preserve">a shows </w:t>
            </w:r>
            <w:r w:rsidR="00E50B7B">
              <w:t xml:space="preserve">the WELS </w:t>
            </w:r>
            <w:r w:rsidR="00DE4527">
              <w:t xml:space="preserve">organisations with these types of taps registered. These taps have been identified as the term </w:t>
            </w:r>
            <w:r w:rsidR="0046368A">
              <w:t>‘</w:t>
            </w:r>
            <w:r w:rsidR="00DE4527">
              <w:t>pot filler</w:t>
            </w:r>
            <w:r w:rsidR="0046368A">
              <w:t>’</w:t>
            </w:r>
            <w:r w:rsidR="00DE4527">
              <w:t xml:space="preserve"> or </w:t>
            </w:r>
            <w:r w:rsidR="0046368A">
              <w:t>‘</w:t>
            </w:r>
            <w:r w:rsidR="00DE4527">
              <w:t>commercial</w:t>
            </w:r>
            <w:r w:rsidR="0046368A">
              <w:t>’</w:t>
            </w:r>
            <w:r w:rsidR="00DE4527">
              <w:t xml:space="preserve"> </w:t>
            </w:r>
            <w:r w:rsidR="00DE3EAE">
              <w:t xml:space="preserve">is used </w:t>
            </w:r>
            <w:r w:rsidR="00DE4527">
              <w:t xml:space="preserve">in the </w:t>
            </w:r>
            <w:proofErr w:type="gramStart"/>
            <w:r w:rsidR="00DE4527">
              <w:t>model</w:t>
            </w:r>
            <w:proofErr w:type="gramEnd"/>
            <w:r w:rsidR="00DE4527">
              <w:t xml:space="preserve"> name. They have not been confirmed as being used exclusively over a pot sink.</w:t>
            </w:r>
          </w:p>
        </w:tc>
        <w:tc>
          <w:tcPr>
            <w:tcW w:w="1644" w:type="dxa"/>
          </w:tcPr>
          <w:p w14:paraId="2F99DAEB" w14:textId="6040C3CE" w:rsidR="00D73C0C" w:rsidRDefault="00D73C0C" w:rsidP="00CF17B4">
            <w:pPr>
              <w:cnfStyle w:val="000000100000" w:firstRow="0" w:lastRow="0" w:firstColumn="0" w:lastColumn="0" w:oddVBand="0" w:evenVBand="0" w:oddHBand="1" w:evenHBand="0" w:firstRowFirstColumn="0" w:firstRowLastColumn="0" w:lastRowFirstColumn="0" w:lastRowLastColumn="0"/>
            </w:pPr>
            <w:r>
              <w:t>Section 6 of the WELS Determination 2013.</w:t>
            </w:r>
          </w:p>
        </w:tc>
      </w:tr>
    </w:tbl>
    <w:p w14:paraId="148E5597" w14:textId="1E2FDC80" w:rsidR="00DE4527" w:rsidRDefault="00DE4527" w:rsidP="002C594C">
      <w:pPr>
        <w:pStyle w:val="Caption"/>
        <w:rPr>
          <w:lang w:eastAsia="ja-JP"/>
        </w:rPr>
      </w:pPr>
      <w:bookmarkStart w:id="22" w:name="_Toc170479594"/>
      <w:bookmarkStart w:id="23" w:name="_Toc171419302"/>
      <w:r w:rsidRPr="00B43625">
        <w:rPr>
          <w:lang w:eastAsia="ja-JP"/>
        </w:rPr>
        <w:lastRenderedPageBreak/>
        <w:t xml:space="preserve">Table </w:t>
      </w:r>
      <w:r w:rsidR="00D3184D" w:rsidRPr="00B43625">
        <w:rPr>
          <w:lang w:eastAsia="ja-JP"/>
        </w:rPr>
        <w:t>3</w:t>
      </w:r>
      <w:r w:rsidRPr="00B43625">
        <w:rPr>
          <w:lang w:eastAsia="ja-JP"/>
        </w:rPr>
        <w:t xml:space="preserve">a. Registered taps that </w:t>
      </w:r>
      <w:r w:rsidR="0046368A" w:rsidRPr="00B43625">
        <w:rPr>
          <w:lang w:eastAsia="ja-JP"/>
        </w:rPr>
        <w:t xml:space="preserve">may </w:t>
      </w:r>
      <w:r w:rsidRPr="00B43625">
        <w:rPr>
          <w:lang w:eastAsia="ja-JP"/>
        </w:rPr>
        <w:t xml:space="preserve">be used </w:t>
      </w:r>
      <w:r w:rsidR="0046368A" w:rsidRPr="00B43625">
        <w:rPr>
          <w:lang w:eastAsia="ja-JP"/>
        </w:rPr>
        <w:t xml:space="preserve">exclusively </w:t>
      </w:r>
      <w:r w:rsidRPr="00B43625">
        <w:rPr>
          <w:lang w:eastAsia="ja-JP"/>
        </w:rPr>
        <w:t>over a pot sink</w:t>
      </w:r>
      <w:bookmarkEnd w:id="22"/>
      <w:bookmarkEnd w:id="23"/>
    </w:p>
    <w:tbl>
      <w:tblPr>
        <w:tblW w:w="4901" w:type="pct"/>
        <w:tblInd w:w="40" w:type="dxa"/>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2678"/>
        <w:gridCol w:w="3518"/>
        <w:gridCol w:w="2694"/>
      </w:tblGrid>
      <w:tr w:rsidR="009630BF" w14:paraId="7EC7A2B5" w14:textId="77777777" w:rsidTr="009630BF">
        <w:trPr>
          <w:cantSplit/>
          <w:tblHeader/>
        </w:trPr>
        <w:tc>
          <w:tcPr>
            <w:tcW w:w="2678" w:type="dxa"/>
            <w:tcMar>
              <w:left w:w="108" w:type="dxa"/>
              <w:right w:w="108" w:type="dxa"/>
            </w:tcMar>
          </w:tcPr>
          <w:p w14:paraId="458EF6F9" w14:textId="5BDD3806" w:rsidR="009630BF" w:rsidRDefault="0033465E" w:rsidP="00D611E0">
            <w:pPr>
              <w:pStyle w:val="TableHeading"/>
              <w:keepNext w:val="0"/>
            </w:pPr>
            <w:r>
              <w:t xml:space="preserve">WELS </w:t>
            </w:r>
            <w:r w:rsidR="009630BF">
              <w:t>Organisation</w:t>
            </w:r>
          </w:p>
        </w:tc>
        <w:tc>
          <w:tcPr>
            <w:tcW w:w="3518" w:type="dxa"/>
            <w:tcMar>
              <w:left w:w="108" w:type="dxa"/>
              <w:right w:w="108" w:type="dxa"/>
            </w:tcMar>
          </w:tcPr>
          <w:p w14:paraId="12DE53EC" w14:textId="1A395648" w:rsidR="009630BF" w:rsidRDefault="009630BF" w:rsidP="00D611E0">
            <w:pPr>
              <w:pStyle w:val="TableHeading"/>
              <w:jc w:val="right"/>
            </w:pPr>
            <w:r>
              <w:t>‘Pot fillers’</w:t>
            </w:r>
          </w:p>
        </w:tc>
        <w:tc>
          <w:tcPr>
            <w:tcW w:w="2694" w:type="dxa"/>
            <w:tcMar>
              <w:left w:w="108" w:type="dxa"/>
              <w:right w:w="108" w:type="dxa"/>
            </w:tcMar>
          </w:tcPr>
          <w:p w14:paraId="76463762" w14:textId="4A085D8E" w:rsidR="009630BF" w:rsidRDefault="009630BF" w:rsidP="00D611E0">
            <w:pPr>
              <w:pStyle w:val="TableHeading"/>
              <w:jc w:val="right"/>
            </w:pPr>
            <w:r>
              <w:t>‘Commercial’</w:t>
            </w:r>
          </w:p>
        </w:tc>
      </w:tr>
      <w:tr w:rsidR="009630BF" w14:paraId="35135AA4" w14:textId="77777777" w:rsidTr="009630BF">
        <w:tc>
          <w:tcPr>
            <w:tcW w:w="2678" w:type="dxa"/>
            <w:tcMar>
              <w:left w:w="108" w:type="dxa"/>
              <w:right w:w="108" w:type="dxa"/>
            </w:tcMar>
          </w:tcPr>
          <w:p w14:paraId="4BBA008D" w14:textId="3A4EC470" w:rsidR="009630BF" w:rsidRDefault="009630BF" w:rsidP="00D611E0">
            <w:pPr>
              <w:pStyle w:val="TableText"/>
            </w:pPr>
            <w:r>
              <w:t>WELS organisation A</w:t>
            </w:r>
          </w:p>
        </w:tc>
        <w:tc>
          <w:tcPr>
            <w:tcW w:w="3518" w:type="dxa"/>
            <w:tcMar>
              <w:left w:w="108" w:type="dxa"/>
              <w:right w:w="108" w:type="dxa"/>
            </w:tcMar>
          </w:tcPr>
          <w:p w14:paraId="5BE4D1AB" w14:textId="7A012F4B" w:rsidR="009630BF" w:rsidRDefault="009630BF" w:rsidP="00D611E0">
            <w:pPr>
              <w:pStyle w:val="TableText"/>
              <w:jc w:val="right"/>
            </w:pPr>
            <w:r>
              <w:t>5</w:t>
            </w:r>
          </w:p>
        </w:tc>
        <w:tc>
          <w:tcPr>
            <w:tcW w:w="2694" w:type="dxa"/>
            <w:tcMar>
              <w:left w:w="108" w:type="dxa"/>
              <w:right w:w="108" w:type="dxa"/>
            </w:tcMar>
          </w:tcPr>
          <w:p w14:paraId="744C7AE3" w14:textId="0995BD32" w:rsidR="009630BF" w:rsidRDefault="009630BF" w:rsidP="00D611E0">
            <w:pPr>
              <w:pStyle w:val="TableText"/>
              <w:jc w:val="right"/>
            </w:pPr>
          </w:p>
        </w:tc>
      </w:tr>
      <w:tr w:rsidR="009630BF" w14:paraId="4D1F835E" w14:textId="77777777" w:rsidTr="009630BF">
        <w:tc>
          <w:tcPr>
            <w:tcW w:w="2678" w:type="dxa"/>
            <w:tcMar>
              <w:left w:w="108" w:type="dxa"/>
              <w:right w:w="108" w:type="dxa"/>
            </w:tcMar>
          </w:tcPr>
          <w:p w14:paraId="428908F0" w14:textId="68C693F9" w:rsidR="009630BF" w:rsidRDefault="009630BF" w:rsidP="00D611E0">
            <w:pPr>
              <w:pStyle w:val="TableText"/>
            </w:pPr>
            <w:r>
              <w:t>WELS organisation B</w:t>
            </w:r>
          </w:p>
        </w:tc>
        <w:tc>
          <w:tcPr>
            <w:tcW w:w="3518" w:type="dxa"/>
            <w:tcMar>
              <w:left w:w="108" w:type="dxa"/>
              <w:right w:w="108" w:type="dxa"/>
            </w:tcMar>
          </w:tcPr>
          <w:p w14:paraId="6F03DB5B" w14:textId="721AA090" w:rsidR="009630BF" w:rsidRDefault="009630BF" w:rsidP="00D611E0">
            <w:pPr>
              <w:pStyle w:val="TableText"/>
              <w:jc w:val="right"/>
            </w:pPr>
          </w:p>
        </w:tc>
        <w:tc>
          <w:tcPr>
            <w:tcW w:w="2694" w:type="dxa"/>
            <w:tcMar>
              <w:left w:w="108" w:type="dxa"/>
              <w:right w:w="108" w:type="dxa"/>
            </w:tcMar>
          </w:tcPr>
          <w:p w14:paraId="02032142" w14:textId="2A0121D8" w:rsidR="009630BF" w:rsidRDefault="009630BF" w:rsidP="00D611E0">
            <w:pPr>
              <w:pStyle w:val="TableText"/>
              <w:jc w:val="right"/>
            </w:pPr>
            <w:r>
              <w:t>4</w:t>
            </w:r>
          </w:p>
        </w:tc>
      </w:tr>
      <w:tr w:rsidR="009630BF" w14:paraId="36B4F451" w14:textId="77777777" w:rsidTr="009630BF">
        <w:tc>
          <w:tcPr>
            <w:tcW w:w="2678" w:type="dxa"/>
            <w:tcMar>
              <w:left w:w="108" w:type="dxa"/>
              <w:right w:w="108" w:type="dxa"/>
            </w:tcMar>
          </w:tcPr>
          <w:p w14:paraId="4CFF954D" w14:textId="66922AEF" w:rsidR="009630BF" w:rsidRDefault="009630BF" w:rsidP="009630BF">
            <w:pPr>
              <w:pStyle w:val="TableBullet1"/>
              <w:numPr>
                <w:ilvl w:val="0"/>
                <w:numId w:val="0"/>
              </w:numPr>
              <w:ind w:left="284" w:hanging="284"/>
            </w:pPr>
            <w:r>
              <w:t>WELS organisation C</w:t>
            </w:r>
          </w:p>
        </w:tc>
        <w:tc>
          <w:tcPr>
            <w:tcW w:w="3518" w:type="dxa"/>
            <w:tcMar>
              <w:left w:w="108" w:type="dxa"/>
              <w:right w:w="108" w:type="dxa"/>
            </w:tcMar>
          </w:tcPr>
          <w:p w14:paraId="330360BB" w14:textId="34DB9E4B" w:rsidR="009630BF" w:rsidRDefault="009630BF" w:rsidP="00D611E0">
            <w:pPr>
              <w:pStyle w:val="TableText"/>
              <w:jc w:val="right"/>
            </w:pPr>
          </w:p>
        </w:tc>
        <w:tc>
          <w:tcPr>
            <w:tcW w:w="2694" w:type="dxa"/>
            <w:tcMar>
              <w:left w:w="108" w:type="dxa"/>
              <w:right w:w="108" w:type="dxa"/>
            </w:tcMar>
          </w:tcPr>
          <w:p w14:paraId="23A2C6E5" w14:textId="087C15B1" w:rsidR="009630BF" w:rsidRDefault="009630BF" w:rsidP="00D611E0">
            <w:pPr>
              <w:pStyle w:val="TableText"/>
              <w:jc w:val="right"/>
            </w:pPr>
            <w:r>
              <w:t>2</w:t>
            </w:r>
          </w:p>
        </w:tc>
      </w:tr>
      <w:tr w:rsidR="009630BF" w14:paraId="58543664" w14:textId="77777777" w:rsidTr="009630BF">
        <w:tc>
          <w:tcPr>
            <w:tcW w:w="2678" w:type="dxa"/>
            <w:tcMar>
              <w:left w:w="108" w:type="dxa"/>
              <w:right w:w="108" w:type="dxa"/>
            </w:tcMar>
          </w:tcPr>
          <w:p w14:paraId="570D98F2" w14:textId="7D78E00E" w:rsidR="009630BF" w:rsidRDefault="009630BF" w:rsidP="00D611E0">
            <w:pPr>
              <w:pStyle w:val="TableText"/>
            </w:pPr>
            <w:r>
              <w:t>WELS organisation D</w:t>
            </w:r>
          </w:p>
        </w:tc>
        <w:tc>
          <w:tcPr>
            <w:tcW w:w="3518" w:type="dxa"/>
            <w:tcMar>
              <w:left w:w="108" w:type="dxa"/>
              <w:right w:w="108" w:type="dxa"/>
            </w:tcMar>
          </w:tcPr>
          <w:p w14:paraId="5983B6D1" w14:textId="1A80576B" w:rsidR="009630BF" w:rsidRDefault="009630BF" w:rsidP="00D611E0">
            <w:pPr>
              <w:pStyle w:val="TableText"/>
              <w:jc w:val="right"/>
            </w:pPr>
            <w:r>
              <w:t>1</w:t>
            </w:r>
          </w:p>
        </w:tc>
        <w:tc>
          <w:tcPr>
            <w:tcW w:w="2694" w:type="dxa"/>
            <w:tcMar>
              <w:left w:w="108" w:type="dxa"/>
              <w:right w:w="108" w:type="dxa"/>
            </w:tcMar>
          </w:tcPr>
          <w:p w14:paraId="2D094977" w14:textId="68545FF0" w:rsidR="009630BF" w:rsidRDefault="009630BF" w:rsidP="00D611E0">
            <w:pPr>
              <w:pStyle w:val="TableText"/>
              <w:jc w:val="right"/>
            </w:pPr>
          </w:p>
        </w:tc>
      </w:tr>
      <w:tr w:rsidR="009630BF" w14:paraId="2C4C6255" w14:textId="77777777" w:rsidTr="009630BF">
        <w:tc>
          <w:tcPr>
            <w:tcW w:w="2678" w:type="dxa"/>
            <w:tcMar>
              <w:left w:w="108" w:type="dxa"/>
              <w:right w:w="108" w:type="dxa"/>
            </w:tcMar>
          </w:tcPr>
          <w:p w14:paraId="31B78434" w14:textId="0DCB86A2" w:rsidR="009630BF" w:rsidRDefault="009630BF" w:rsidP="009630BF">
            <w:pPr>
              <w:pStyle w:val="TableBullet1"/>
              <w:numPr>
                <w:ilvl w:val="0"/>
                <w:numId w:val="0"/>
              </w:numPr>
              <w:ind w:left="284" w:hanging="284"/>
            </w:pPr>
            <w:r>
              <w:t>WELS organisation E</w:t>
            </w:r>
          </w:p>
        </w:tc>
        <w:tc>
          <w:tcPr>
            <w:tcW w:w="3518" w:type="dxa"/>
            <w:tcMar>
              <w:left w:w="108" w:type="dxa"/>
              <w:right w:w="108" w:type="dxa"/>
            </w:tcMar>
          </w:tcPr>
          <w:p w14:paraId="18892DA6" w14:textId="345A1600" w:rsidR="009630BF" w:rsidRDefault="009630BF" w:rsidP="00D611E0">
            <w:pPr>
              <w:pStyle w:val="TableText"/>
              <w:jc w:val="right"/>
            </w:pPr>
            <w:r>
              <w:t>12</w:t>
            </w:r>
          </w:p>
        </w:tc>
        <w:tc>
          <w:tcPr>
            <w:tcW w:w="2694" w:type="dxa"/>
            <w:tcMar>
              <w:left w:w="108" w:type="dxa"/>
              <w:right w:w="108" w:type="dxa"/>
            </w:tcMar>
          </w:tcPr>
          <w:p w14:paraId="61A905B2" w14:textId="546191FA" w:rsidR="009630BF" w:rsidRDefault="009630BF" w:rsidP="00D611E0">
            <w:pPr>
              <w:pStyle w:val="TableText"/>
              <w:jc w:val="right"/>
            </w:pPr>
          </w:p>
        </w:tc>
      </w:tr>
      <w:tr w:rsidR="009630BF" w14:paraId="31071E77" w14:textId="77777777" w:rsidTr="009630BF">
        <w:tc>
          <w:tcPr>
            <w:tcW w:w="2678" w:type="dxa"/>
            <w:tcMar>
              <w:left w:w="108" w:type="dxa"/>
              <w:right w:w="108" w:type="dxa"/>
            </w:tcMar>
          </w:tcPr>
          <w:p w14:paraId="09651ED0" w14:textId="04029FD7" w:rsidR="009630BF" w:rsidRDefault="009630BF" w:rsidP="009630BF">
            <w:pPr>
              <w:pStyle w:val="TableBullet1"/>
              <w:numPr>
                <w:ilvl w:val="0"/>
                <w:numId w:val="0"/>
              </w:numPr>
              <w:ind w:left="284" w:hanging="284"/>
            </w:pPr>
            <w:r>
              <w:t>WELS organisation F</w:t>
            </w:r>
          </w:p>
        </w:tc>
        <w:tc>
          <w:tcPr>
            <w:tcW w:w="3518" w:type="dxa"/>
            <w:tcMar>
              <w:left w:w="108" w:type="dxa"/>
              <w:right w:w="108" w:type="dxa"/>
            </w:tcMar>
          </w:tcPr>
          <w:p w14:paraId="5582E54C" w14:textId="09E2860D" w:rsidR="009630BF" w:rsidRDefault="009630BF" w:rsidP="00D611E0">
            <w:pPr>
              <w:pStyle w:val="TableText"/>
              <w:jc w:val="right"/>
            </w:pPr>
          </w:p>
        </w:tc>
        <w:tc>
          <w:tcPr>
            <w:tcW w:w="2694" w:type="dxa"/>
            <w:tcMar>
              <w:left w:w="108" w:type="dxa"/>
              <w:right w:w="108" w:type="dxa"/>
            </w:tcMar>
          </w:tcPr>
          <w:p w14:paraId="19A383E1" w14:textId="1B58DFF3" w:rsidR="009630BF" w:rsidRDefault="009630BF" w:rsidP="00D611E0">
            <w:pPr>
              <w:pStyle w:val="TableText"/>
              <w:jc w:val="right"/>
            </w:pPr>
            <w:r>
              <w:t>7</w:t>
            </w:r>
          </w:p>
        </w:tc>
      </w:tr>
      <w:tr w:rsidR="009630BF" w14:paraId="0D51B113" w14:textId="77777777" w:rsidTr="009630BF">
        <w:tc>
          <w:tcPr>
            <w:tcW w:w="2678" w:type="dxa"/>
            <w:tcMar>
              <w:left w:w="108" w:type="dxa"/>
              <w:right w:w="108" w:type="dxa"/>
            </w:tcMar>
          </w:tcPr>
          <w:p w14:paraId="792878E5" w14:textId="3AF2BAF6" w:rsidR="009630BF" w:rsidRDefault="009630BF" w:rsidP="00D611E0">
            <w:pPr>
              <w:pStyle w:val="TableText"/>
            </w:pPr>
            <w:r>
              <w:t>WELS organisation G</w:t>
            </w:r>
          </w:p>
        </w:tc>
        <w:tc>
          <w:tcPr>
            <w:tcW w:w="3518" w:type="dxa"/>
            <w:tcMar>
              <w:left w:w="108" w:type="dxa"/>
              <w:right w:w="108" w:type="dxa"/>
            </w:tcMar>
          </w:tcPr>
          <w:p w14:paraId="0B09ABAB" w14:textId="7F0AC8B3" w:rsidR="009630BF" w:rsidRDefault="009630BF" w:rsidP="00D611E0">
            <w:pPr>
              <w:pStyle w:val="TableText"/>
              <w:jc w:val="right"/>
            </w:pPr>
            <w:r>
              <w:t>1</w:t>
            </w:r>
          </w:p>
        </w:tc>
        <w:tc>
          <w:tcPr>
            <w:tcW w:w="2694" w:type="dxa"/>
            <w:tcMar>
              <w:left w:w="108" w:type="dxa"/>
              <w:right w:w="108" w:type="dxa"/>
            </w:tcMar>
          </w:tcPr>
          <w:p w14:paraId="0D0B809D" w14:textId="523D5F96" w:rsidR="009630BF" w:rsidRDefault="009630BF" w:rsidP="00D611E0">
            <w:pPr>
              <w:pStyle w:val="TableText"/>
              <w:jc w:val="right"/>
            </w:pPr>
          </w:p>
        </w:tc>
      </w:tr>
      <w:tr w:rsidR="009630BF" w14:paraId="2CD445D3" w14:textId="77777777" w:rsidTr="009630BF">
        <w:tc>
          <w:tcPr>
            <w:tcW w:w="2678" w:type="dxa"/>
            <w:tcMar>
              <w:left w:w="108" w:type="dxa"/>
              <w:right w:w="108" w:type="dxa"/>
            </w:tcMar>
          </w:tcPr>
          <w:p w14:paraId="18161A00" w14:textId="4D2FBDC2" w:rsidR="009630BF" w:rsidRDefault="009630BF" w:rsidP="009630BF">
            <w:pPr>
              <w:pStyle w:val="TableText"/>
            </w:pPr>
            <w:r>
              <w:t>WELS organisation H</w:t>
            </w:r>
          </w:p>
        </w:tc>
        <w:tc>
          <w:tcPr>
            <w:tcW w:w="3518" w:type="dxa"/>
            <w:tcMar>
              <w:left w:w="108" w:type="dxa"/>
              <w:right w:w="108" w:type="dxa"/>
            </w:tcMar>
          </w:tcPr>
          <w:p w14:paraId="22F02C39" w14:textId="77777777" w:rsidR="009630BF" w:rsidRDefault="009630BF" w:rsidP="009630BF">
            <w:pPr>
              <w:pStyle w:val="TableText"/>
              <w:jc w:val="right"/>
            </w:pPr>
          </w:p>
        </w:tc>
        <w:tc>
          <w:tcPr>
            <w:tcW w:w="2694" w:type="dxa"/>
            <w:tcMar>
              <w:left w:w="108" w:type="dxa"/>
              <w:right w:w="108" w:type="dxa"/>
            </w:tcMar>
          </w:tcPr>
          <w:p w14:paraId="72DD3F5A" w14:textId="3B942D0B" w:rsidR="009630BF" w:rsidRDefault="009630BF" w:rsidP="009630BF">
            <w:pPr>
              <w:pStyle w:val="TableText"/>
              <w:jc w:val="right"/>
            </w:pPr>
            <w:r>
              <w:t>1</w:t>
            </w:r>
          </w:p>
        </w:tc>
      </w:tr>
      <w:tr w:rsidR="009630BF" w14:paraId="30E78F49" w14:textId="77777777" w:rsidTr="009630BF">
        <w:tc>
          <w:tcPr>
            <w:tcW w:w="2678" w:type="dxa"/>
            <w:tcMar>
              <w:left w:w="108" w:type="dxa"/>
              <w:right w:w="108" w:type="dxa"/>
            </w:tcMar>
          </w:tcPr>
          <w:p w14:paraId="7E49DD1C" w14:textId="0FEFA420" w:rsidR="009630BF" w:rsidRDefault="009630BF" w:rsidP="009630BF">
            <w:pPr>
              <w:pStyle w:val="TableText"/>
            </w:pPr>
            <w:r>
              <w:t>WELS organisation I</w:t>
            </w:r>
          </w:p>
        </w:tc>
        <w:tc>
          <w:tcPr>
            <w:tcW w:w="3518" w:type="dxa"/>
            <w:tcMar>
              <w:left w:w="108" w:type="dxa"/>
              <w:right w:w="108" w:type="dxa"/>
            </w:tcMar>
          </w:tcPr>
          <w:p w14:paraId="72B475D4" w14:textId="77777777" w:rsidR="009630BF" w:rsidRDefault="009630BF" w:rsidP="009630BF">
            <w:pPr>
              <w:pStyle w:val="TableText"/>
              <w:jc w:val="right"/>
            </w:pPr>
          </w:p>
        </w:tc>
        <w:tc>
          <w:tcPr>
            <w:tcW w:w="2694" w:type="dxa"/>
            <w:tcMar>
              <w:left w:w="108" w:type="dxa"/>
              <w:right w:w="108" w:type="dxa"/>
            </w:tcMar>
          </w:tcPr>
          <w:p w14:paraId="10192D32" w14:textId="3E90C893" w:rsidR="009630BF" w:rsidRDefault="009630BF" w:rsidP="009630BF">
            <w:pPr>
              <w:pStyle w:val="TableText"/>
              <w:jc w:val="right"/>
            </w:pPr>
            <w:r>
              <w:t>6</w:t>
            </w:r>
          </w:p>
        </w:tc>
      </w:tr>
      <w:tr w:rsidR="009630BF" w14:paraId="4F060464" w14:textId="77777777" w:rsidTr="009630BF">
        <w:tc>
          <w:tcPr>
            <w:tcW w:w="2678" w:type="dxa"/>
            <w:tcMar>
              <w:left w:w="108" w:type="dxa"/>
              <w:right w:w="108" w:type="dxa"/>
            </w:tcMar>
          </w:tcPr>
          <w:p w14:paraId="2CB3AF57" w14:textId="54D4FA5E" w:rsidR="009630BF" w:rsidRDefault="009630BF" w:rsidP="009630BF">
            <w:pPr>
              <w:pStyle w:val="TableText"/>
            </w:pPr>
            <w:r>
              <w:t>WELS organisation J</w:t>
            </w:r>
          </w:p>
        </w:tc>
        <w:tc>
          <w:tcPr>
            <w:tcW w:w="3518" w:type="dxa"/>
            <w:tcMar>
              <w:left w:w="108" w:type="dxa"/>
              <w:right w:w="108" w:type="dxa"/>
            </w:tcMar>
          </w:tcPr>
          <w:p w14:paraId="045A68BD" w14:textId="4F8B31C5" w:rsidR="009630BF" w:rsidRDefault="009630BF" w:rsidP="009630BF">
            <w:pPr>
              <w:pStyle w:val="TableText"/>
              <w:jc w:val="right"/>
            </w:pPr>
            <w:r>
              <w:t>36</w:t>
            </w:r>
          </w:p>
        </w:tc>
        <w:tc>
          <w:tcPr>
            <w:tcW w:w="2694" w:type="dxa"/>
            <w:tcMar>
              <w:left w:w="108" w:type="dxa"/>
              <w:right w:w="108" w:type="dxa"/>
            </w:tcMar>
          </w:tcPr>
          <w:p w14:paraId="1B70BCC1" w14:textId="77777777" w:rsidR="009630BF" w:rsidRDefault="009630BF" w:rsidP="009630BF">
            <w:pPr>
              <w:pStyle w:val="TableText"/>
              <w:jc w:val="right"/>
            </w:pPr>
          </w:p>
        </w:tc>
      </w:tr>
      <w:tr w:rsidR="009630BF" w:rsidRPr="00174D50" w14:paraId="49A7A976" w14:textId="77777777" w:rsidTr="009630BF">
        <w:tc>
          <w:tcPr>
            <w:tcW w:w="2678" w:type="dxa"/>
            <w:tcMar>
              <w:left w:w="108" w:type="dxa"/>
              <w:right w:w="108" w:type="dxa"/>
            </w:tcMar>
          </w:tcPr>
          <w:p w14:paraId="4E9C06EA" w14:textId="1272E4F3" w:rsidR="009630BF" w:rsidRPr="00174D50" w:rsidRDefault="009630BF" w:rsidP="009630BF">
            <w:pPr>
              <w:pStyle w:val="TableText"/>
              <w:rPr>
                <w:b/>
                <w:bCs/>
              </w:rPr>
            </w:pPr>
            <w:r w:rsidRPr="00174D50">
              <w:rPr>
                <w:b/>
                <w:bCs/>
              </w:rPr>
              <w:t>Total</w:t>
            </w:r>
          </w:p>
        </w:tc>
        <w:tc>
          <w:tcPr>
            <w:tcW w:w="3518" w:type="dxa"/>
            <w:tcMar>
              <w:left w:w="108" w:type="dxa"/>
              <w:right w:w="108" w:type="dxa"/>
            </w:tcMar>
          </w:tcPr>
          <w:p w14:paraId="52C2219D" w14:textId="34564291" w:rsidR="009630BF" w:rsidRPr="00174D50" w:rsidRDefault="009630BF" w:rsidP="009630BF">
            <w:pPr>
              <w:pStyle w:val="TableText"/>
              <w:jc w:val="right"/>
              <w:rPr>
                <w:b/>
                <w:bCs/>
              </w:rPr>
            </w:pPr>
            <w:r w:rsidRPr="00174D50">
              <w:rPr>
                <w:b/>
                <w:bCs/>
              </w:rPr>
              <w:t>55</w:t>
            </w:r>
          </w:p>
        </w:tc>
        <w:tc>
          <w:tcPr>
            <w:tcW w:w="2694" w:type="dxa"/>
            <w:tcMar>
              <w:left w:w="108" w:type="dxa"/>
              <w:right w:w="108" w:type="dxa"/>
            </w:tcMar>
          </w:tcPr>
          <w:p w14:paraId="7C905F5F" w14:textId="1AB22B6F" w:rsidR="009630BF" w:rsidRPr="00174D50" w:rsidRDefault="009630BF" w:rsidP="009630BF">
            <w:pPr>
              <w:pStyle w:val="TableText"/>
              <w:jc w:val="right"/>
              <w:rPr>
                <w:b/>
                <w:bCs/>
              </w:rPr>
            </w:pPr>
            <w:r w:rsidRPr="00174D50">
              <w:rPr>
                <w:b/>
                <w:bCs/>
              </w:rPr>
              <w:t>20</w:t>
            </w:r>
          </w:p>
        </w:tc>
      </w:tr>
    </w:tbl>
    <w:p w14:paraId="1BF7F522" w14:textId="77777777" w:rsidR="000C6A20" w:rsidRDefault="000C6A20" w:rsidP="000C6A20">
      <w:pPr>
        <w:pStyle w:val="FigureTableNoteSource"/>
      </w:pPr>
      <w:r>
        <w:t xml:space="preserve">Source: </w:t>
      </w:r>
      <w:r w:rsidRPr="00C9451C">
        <w:t>Department of Climate Change, Energy, the Environment and Water</w:t>
      </w:r>
    </w:p>
    <w:p w14:paraId="0B0514D8" w14:textId="1A5B6D37" w:rsidR="00A97B90" w:rsidRPr="00F71339" w:rsidRDefault="00A97B90" w:rsidP="002C594C">
      <w:pPr>
        <w:pStyle w:val="Caption"/>
        <w:rPr>
          <w:lang w:eastAsia="ja-JP"/>
        </w:rPr>
      </w:pPr>
      <w:bookmarkStart w:id="24" w:name="_Toc170479595"/>
      <w:bookmarkStart w:id="25" w:name="_Toc171419303"/>
      <w:r w:rsidRPr="00F71339">
        <w:rPr>
          <w:lang w:eastAsia="ja-JP"/>
        </w:rPr>
        <w:t xml:space="preserve">Tabel </w:t>
      </w:r>
      <w:r w:rsidR="00D3184D" w:rsidRPr="00F71339">
        <w:rPr>
          <w:lang w:eastAsia="ja-JP"/>
        </w:rPr>
        <w:t>4</w:t>
      </w:r>
      <w:r w:rsidRPr="00F71339">
        <w:rPr>
          <w:lang w:eastAsia="ja-JP"/>
        </w:rPr>
        <w:t xml:space="preserve">. </w:t>
      </w:r>
      <w:r w:rsidR="0046368A" w:rsidRPr="00F71339">
        <w:rPr>
          <w:lang w:eastAsia="ja-JP"/>
        </w:rPr>
        <w:t xml:space="preserve">Tap equipment </w:t>
      </w:r>
      <w:r w:rsidR="002C594C">
        <w:rPr>
          <w:lang w:eastAsia="ja-JP"/>
        </w:rPr>
        <w:t>–</w:t>
      </w:r>
      <w:r w:rsidR="0046368A" w:rsidRPr="00F71339">
        <w:rPr>
          <w:lang w:eastAsia="ja-JP"/>
        </w:rPr>
        <w:t xml:space="preserve"> d</w:t>
      </w:r>
      <w:r w:rsidRPr="00F71339">
        <w:rPr>
          <w:lang w:eastAsia="ja-JP"/>
        </w:rPr>
        <w:t>rinking fountains</w:t>
      </w:r>
      <w:bookmarkEnd w:id="24"/>
      <w:bookmarkEnd w:id="25"/>
    </w:p>
    <w:tbl>
      <w:tblPr>
        <w:tblStyle w:val="ListTable3-Accent1"/>
        <w:tblW w:w="0" w:type="auto"/>
        <w:tblLayout w:type="fixed"/>
        <w:tblLook w:val="04A0" w:firstRow="1" w:lastRow="0" w:firstColumn="1" w:lastColumn="0" w:noHBand="0" w:noVBand="1"/>
      </w:tblPr>
      <w:tblGrid>
        <w:gridCol w:w="1980"/>
        <w:gridCol w:w="5386"/>
        <w:gridCol w:w="1644"/>
      </w:tblGrid>
      <w:tr w:rsidR="00A97B90" w14:paraId="4448E378" w14:textId="77777777" w:rsidTr="00B860E9">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980" w:type="dxa"/>
          </w:tcPr>
          <w:p w14:paraId="4D61B8BF" w14:textId="77777777" w:rsidR="00A97B90" w:rsidRPr="00B12AC2" w:rsidRDefault="00A97B90" w:rsidP="00D611E0">
            <w:pPr>
              <w:rPr>
                <w:b w:val="0"/>
                <w:bCs w:val="0"/>
              </w:rPr>
            </w:pPr>
            <w:r w:rsidRPr="00B12AC2">
              <w:t>Amendment</w:t>
            </w:r>
          </w:p>
        </w:tc>
        <w:tc>
          <w:tcPr>
            <w:tcW w:w="5386" w:type="dxa"/>
          </w:tcPr>
          <w:p w14:paraId="38F96336" w14:textId="77777777" w:rsidR="00A97B90" w:rsidRPr="00B12AC2" w:rsidRDefault="00A97B90" w:rsidP="00D611E0">
            <w:pPr>
              <w:contextualSpacing/>
              <w:cnfStyle w:val="100000000000" w:firstRow="1" w:lastRow="0" w:firstColumn="0" w:lastColumn="0" w:oddVBand="0" w:evenVBand="0" w:oddHBand="0" w:evenHBand="0" w:firstRowFirstColumn="0" w:firstRowLastColumn="0" w:lastRowFirstColumn="0" w:lastRowLastColumn="0"/>
              <w:rPr>
                <w:b w:val="0"/>
                <w:bCs w:val="0"/>
              </w:rPr>
            </w:pPr>
            <w:r w:rsidRPr="00B12AC2">
              <w:t>Description</w:t>
            </w:r>
          </w:p>
        </w:tc>
        <w:tc>
          <w:tcPr>
            <w:tcW w:w="1644" w:type="dxa"/>
          </w:tcPr>
          <w:p w14:paraId="525FE7B5" w14:textId="77777777" w:rsidR="00A97B90" w:rsidRPr="00B12AC2" w:rsidRDefault="00A97B90" w:rsidP="00D611E0">
            <w:pPr>
              <w:cnfStyle w:val="100000000000" w:firstRow="1" w:lastRow="0" w:firstColumn="0" w:lastColumn="0" w:oddVBand="0" w:evenVBand="0" w:oddHBand="0" w:evenHBand="0" w:firstRowFirstColumn="0" w:firstRowLastColumn="0" w:lastRowFirstColumn="0" w:lastRowLastColumn="0"/>
              <w:rPr>
                <w:b w:val="0"/>
                <w:bCs w:val="0"/>
              </w:rPr>
            </w:pPr>
            <w:r w:rsidRPr="00B12AC2">
              <w:t>Legislative reference</w:t>
            </w:r>
          </w:p>
        </w:tc>
      </w:tr>
      <w:tr w:rsidR="00A97B90" w14:paraId="6E28BA4D" w14:textId="77777777" w:rsidTr="00B860E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0" w:type="dxa"/>
          </w:tcPr>
          <w:p w14:paraId="536387F7" w14:textId="77777777" w:rsidR="00A97B90" w:rsidRDefault="00A97B90" w:rsidP="00D611E0">
            <w:r>
              <w:t>Exclusion of drinking fountains</w:t>
            </w:r>
          </w:p>
        </w:tc>
        <w:tc>
          <w:tcPr>
            <w:tcW w:w="5386" w:type="dxa"/>
          </w:tcPr>
          <w:p w14:paraId="2C63F575" w14:textId="7708A082" w:rsidR="00A97B90" w:rsidRDefault="00A97B90" w:rsidP="002C594C">
            <w:pPr>
              <w:cnfStyle w:val="000000100000" w:firstRow="0" w:lastRow="0" w:firstColumn="0" w:lastColumn="0" w:oddVBand="0" w:evenVBand="0" w:oddHBand="1" w:evenHBand="0" w:firstRowFirstColumn="0" w:firstRowLastColumn="0" w:lastRowFirstColumn="0" w:lastRowLastColumn="0"/>
            </w:pPr>
            <w:r>
              <w:t>The intention of this amendment is to remove drinking fountains that are designed to satisfy a user’s thirst</w:t>
            </w:r>
            <w:r w:rsidR="007C30F0">
              <w:t xml:space="preserve"> from the WELS scheme</w:t>
            </w:r>
            <w:r>
              <w:t>.</w:t>
            </w:r>
          </w:p>
          <w:p w14:paraId="693716B3" w14:textId="2BF026CA" w:rsidR="00A97B90" w:rsidRPr="00D73C0C" w:rsidRDefault="00A97B90" w:rsidP="002C594C">
            <w:pPr>
              <w:cnfStyle w:val="000000100000" w:firstRow="0" w:lastRow="0" w:firstColumn="0" w:lastColumn="0" w:oddVBand="0" w:evenVBand="0" w:oddHBand="1" w:evenHBand="0" w:firstRowFirstColumn="0" w:firstRowLastColumn="0" w:lastRowFirstColumn="0" w:lastRowLastColumn="0"/>
            </w:pPr>
            <w:r>
              <w:t>A drinking fountain is defined in AS/NZ</w:t>
            </w:r>
            <w:r w:rsidR="0046368A">
              <w:t>S</w:t>
            </w:r>
            <w:r>
              <w:t xml:space="preserve"> 3500 as a </w:t>
            </w:r>
            <w:r w:rsidRPr="00D73C0C">
              <w:rPr>
                <w:i/>
                <w:iCs/>
              </w:rPr>
              <w:t>fixture that provides a low flow jet of water from which the user may drink directly</w:t>
            </w:r>
            <w:r w:rsidRPr="00D73C0C">
              <w:t>.</w:t>
            </w:r>
          </w:p>
          <w:p w14:paraId="0FC89F5D" w14:textId="064BB181" w:rsidR="00A97B90" w:rsidRDefault="00A97B90" w:rsidP="002C594C">
            <w:pPr>
              <w:cnfStyle w:val="000000100000" w:firstRow="0" w:lastRow="0" w:firstColumn="0" w:lastColumn="0" w:oddVBand="0" w:evenVBand="0" w:oddHBand="1" w:evenHBand="0" w:firstRowFirstColumn="0" w:firstRowLastColumn="0" w:lastRowFirstColumn="0" w:lastRowLastColumn="0"/>
            </w:pPr>
            <w:r>
              <w:t xml:space="preserve">Importantly, only drinking fountains WaterMark certified in accordance with WMTS-105:2016 </w:t>
            </w:r>
            <w:r w:rsidR="0046368A">
              <w:t xml:space="preserve">or drinking fountain outlets WaterMark certified in accordance with AS 3718:2021 </w:t>
            </w:r>
            <w:r>
              <w:t>would be excluded from the WELS scheme.</w:t>
            </w:r>
          </w:p>
          <w:p w14:paraId="095BF8E7" w14:textId="66001AEB" w:rsidR="0046368A" w:rsidRDefault="009630BF" w:rsidP="002C594C">
            <w:pPr>
              <w:cnfStyle w:val="000000100000" w:firstRow="0" w:lastRow="0" w:firstColumn="0" w:lastColumn="0" w:oddVBand="0" w:evenVBand="0" w:oddHBand="1" w:evenHBand="0" w:firstRowFirstColumn="0" w:firstRowLastColumn="0" w:lastRowFirstColumn="0" w:lastRowLastColumn="0"/>
            </w:pPr>
            <w:r>
              <w:t xml:space="preserve">The WELS scheme currently has </w:t>
            </w:r>
            <w:r w:rsidR="00C331D2">
              <w:t>56</w:t>
            </w:r>
            <w:r>
              <w:t xml:space="preserve"> taps identif</w:t>
            </w:r>
            <w:r w:rsidR="0033465E">
              <w:t>ied</w:t>
            </w:r>
            <w:r>
              <w:t xml:space="preserve"> as being drinking fountain</w:t>
            </w:r>
            <w:r w:rsidR="0046368A">
              <w:t xml:space="preserve"> outlets</w:t>
            </w:r>
            <w:r>
              <w:t xml:space="preserve"> </w:t>
            </w:r>
            <w:r w:rsidR="00C331D2">
              <w:t>and 3 taps identif</w:t>
            </w:r>
            <w:r w:rsidR="0033465E">
              <w:t xml:space="preserve">ied </w:t>
            </w:r>
            <w:r w:rsidR="00C331D2">
              <w:t xml:space="preserve">as being </w:t>
            </w:r>
            <w:r w:rsidR="0046368A">
              <w:t xml:space="preserve">dual </w:t>
            </w:r>
            <w:r w:rsidR="00C331D2">
              <w:t>drinking fountain/bottle fillers</w:t>
            </w:r>
            <w:r w:rsidR="0046368A">
              <w:t xml:space="preserve">. These taps are </w:t>
            </w:r>
            <w:r>
              <w:t>registered</w:t>
            </w:r>
            <w:r w:rsidR="008B376A">
              <w:t xml:space="preserve"> to 5 WELS organisations</w:t>
            </w:r>
            <w:r>
              <w:t>.</w:t>
            </w:r>
            <w:r w:rsidR="0046368A">
              <w:t xml:space="preserve"> These drinking fountains would no longer need to be registered or have a mandatory WELS label applied. In relation to the 3 taps identified as dual drinking fountain/bottle fillers please see </w:t>
            </w:r>
            <w:r w:rsidR="005C7D63">
              <w:t xml:space="preserve">bottle filler </w:t>
            </w:r>
            <w:r w:rsidR="0046368A">
              <w:t xml:space="preserve">exclusion conditions in Table </w:t>
            </w:r>
            <w:r w:rsidR="00613D7A">
              <w:t>5</w:t>
            </w:r>
            <w:r w:rsidR="0046368A">
              <w:t>.</w:t>
            </w:r>
          </w:p>
          <w:p w14:paraId="1E967014" w14:textId="65A62CA7" w:rsidR="00DE3EAE" w:rsidRDefault="009630BF" w:rsidP="002C594C">
            <w:pPr>
              <w:cnfStyle w:val="000000100000" w:firstRow="0" w:lastRow="0" w:firstColumn="0" w:lastColumn="0" w:oddVBand="0" w:evenVBand="0" w:oddHBand="1" w:evenHBand="0" w:firstRowFirstColumn="0" w:firstRowLastColumn="0" w:lastRowFirstColumn="0" w:lastRowLastColumn="0"/>
            </w:pPr>
            <w:r>
              <w:t xml:space="preserve">Table </w:t>
            </w:r>
            <w:r w:rsidR="00613D7A">
              <w:t>4</w:t>
            </w:r>
            <w:r>
              <w:t xml:space="preserve">a shows </w:t>
            </w:r>
            <w:r w:rsidR="0046368A">
              <w:t xml:space="preserve">WELS </w:t>
            </w:r>
            <w:r>
              <w:t xml:space="preserve">organisations with these types of taps registered. These taps have been identified </w:t>
            </w:r>
            <w:r w:rsidR="0033465E">
              <w:t xml:space="preserve">from the registration image and/or the </w:t>
            </w:r>
            <w:proofErr w:type="gramStart"/>
            <w:r>
              <w:t>model</w:t>
            </w:r>
            <w:proofErr w:type="gramEnd"/>
            <w:r>
              <w:t xml:space="preserve"> name.</w:t>
            </w:r>
          </w:p>
        </w:tc>
        <w:tc>
          <w:tcPr>
            <w:tcW w:w="1644" w:type="dxa"/>
          </w:tcPr>
          <w:p w14:paraId="0C568493" w14:textId="77777777" w:rsidR="00A97B90" w:rsidRDefault="00A97B90" w:rsidP="00D611E0">
            <w:pPr>
              <w:cnfStyle w:val="000000100000" w:firstRow="0" w:lastRow="0" w:firstColumn="0" w:lastColumn="0" w:oddVBand="0" w:evenVBand="0" w:oddHBand="1" w:evenHBand="0" w:firstRowFirstColumn="0" w:firstRowLastColumn="0" w:lastRowFirstColumn="0" w:lastRowLastColumn="0"/>
            </w:pPr>
            <w:r>
              <w:t>Section 6 of the WELS Determination 2013.</w:t>
            </w:r>
          </w:p>
        </w:tc>
      </w:tr>
    </w:tbl>
    <w:p w14:paraId="669D8911" w14:textId="77777777" w:rsidR="00A97B90" w:rsidRDefault="00A97B90" w:rsidP="00205A3B">
      <w:pPr>
        <w:rPr>
          <w:lang w:eastAsia="ja-JP"/>
        </w:rPr>
      </w:pPr>
    </w:p>
    <w:p w14:paraId="7DF30CDD" w14:textId="13E81F54" w:rsidR="0033465E" w:rsidRDefault="0033465E" w:rsidP="002C594C">
      <w:pPr>
        <w:pStyle w:val="Caption"/>
        <w:rPr>
          <w:lang w:eastAsia="ja-JP"/>
        </w:rPr>
      </w:pPr>
      <w:bookmarkStart w:id="26" w:name="_Toc170479596"/>
      <w:bookmarkStart w:id="27" w:name="_Toc171419304"/>
      <w:r w:rsidRPr="00613D7A">
        <w:rPr>
          <w:lang w:eastAsia="ja-JP"/>
        </w:rPr>
        <w:t xml:space="preserve">Table </w:t>
      </w:r>
      <w:r w:rsidR="00D3184D" w:rsidRPr="00613D7A">
        <w:rPr>
          <w:lang w:eastAsia="ja-JP"/>
        </w:rPr>
        <w:t>4</w:t>
      </w:r>
      <w:r w:rsidRPr="00613D7A">
        <w:rPr>
          <w:lang w:eastAsia="ja-JP"/>
        </w:rPr>
        <w:t>a. Registered taps that are likely to be drinking fountains or drinking fountain/bottle filler</w:t>
      </w:r>
      <w:r>
        <w:rPr>
          <w:lang w:eastAsia="ja-JP"/>
        </w:rPr>
        <w:t xml:space="preserve"> combinations</w:t>
      </w:r>
      <w:bookmarkEnd w:id="26"/>
      <w:bookmarkEnd w:id="27"/>
    </w:p>
    <w:tbl>
      <w:tblPr>
        <w:tblW w:w="4901" w:type="pct"/>
        <w:tblInd w:w="40" w:type="dxa"/>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2678"/>
        <w:gridCol w:w="3094"/>
        <w:gridCol w:w="3118"/>
      </w:tblGrid>
      <w:tr w:rsidR="0033465E" w14:paraId="21914B6B" w14:textId="77777777" w:rsidTr="0033465E">
        <w:trPr>
          <w:cantSplit/>
          <w:tblHeader/>
        </w:trPr>
        <w:tc>
          <w:tcPr>
            <w:tcW w:w="2678" w:type="dxa"/>
            <w:tcMar>
              <w:left w:w="108" w:type="dxa"/>
              <w:right w:w="108" w:type="dxa"/>
            </w:tcMar>
          </w:tcPr>
          <w:p w14:paraId="6A48D5EC" w14:textId="4FD1CBE4" w:rsidR="0033465E" w:rsidRDefault="0033465E" w:rsidP="00D611E0">
            <w:pPr>
              <w:pStyle w:val="TableHeading"/>
              <w:keepNext w:val="0"/>
            </w:pPr>
            <w:r>
              <w:t>WELS Organisation</w:t>
            </w:r>
          </w:p>
        </w:tc>
        <w:tc>
          <w:tcPr>
            <w:tcW w:w="3094" w:type="dxa"/>
            <w:tcMar>
              <w:left w:w="108" w:type="dxa"/>
              <w:right w:w="108" w:type="dxa"/>
            </w:tcMar>
          </w:tcPr>
          <w:p w14:paraId="0743B546" w14:textId="3C239D6F" w:rsidR="0033465E" w:rsidRDefault="0033465E" w:rsidP="00D611E0">
            <w:pPr>
              <w:pStyle w:val="TableHeading"/>
              <w:jc w:val="right"/>
            </w:pPr>
            <w:r>
              <w:t>Drinking fountain</w:t>
            </w:r>
          </w:p>
        </w:tc>
        <w:tc>
          <w:tcPr>
            <w:tcW w:w="3118" w:type="dxa"/>
            <w:tcMar>
              <w:left w:w="108" w:type="dxa"/>
              <w:right w:w="108" w:type="dxa"/>
            </w:tcMar>
          </w:tcPr>
          <w:p w14:paraId="4B8DFF8B" w14:textId="553963CD" w:rsidR="0033465E" w:rsidRDefault="0033465E" w:rsidP="00D611E0">
            <w:pPr>
              <w:pStyle w:val="TableHeading"/>
              <w:jc w:val="right"/>
            </w:pPr>
            <w:r>
              <w:t>Dual (drinking fountain/bottle filler</w:t>
            </w:r>
          </w:p>
        </w:tc>
      </w:tr>
      <w:tr w:rsidR="0033465E" w14:paraId="59CED9C2" w14:textId="77777777" w:rsidTr="0033465E">
        <w:tc>
          <w:tcPr>
            <w:tcW w:w="2678" w:type="dxa"/>
            <w:tcMar>
              <w:left w:w="108" w:type="dxa"/>
              <w:right w:w="108" w:type="dxa"/>
            </w:tcMar>
          </w:tcPr>
          <w:p w14:paraId="5E070C21" w14:textId="77777777" w:rsidR="0033465E" w:rsidRDefault="0033465E" w:rsidP="00D611E0">
            <w:pPr>
              <w:pStyle w:val="TableText"/>
            </w:pPr>
            <w:r>
              <w:t>WELS organisation A</w:t>
            </w:r>
          </w:p>
        </w:tc>
        <w:tc>
          <w:tcPr>
            <w:tcW w:w="3094" w:type="dxa"/>
            <w:tcMar>
              <w:left w:w="108" w:type="dxa"/>
              <w:right w:w="108" w:type="dxa"/>
            </w:tcMar>
          </w:tcPr>
          <w:p w14:paraId="4F693A09" w14:textId="2379ED46" w:rsidR="0033465E" w:rsidRDefault="0033465E" w:rsidP="00D611E0">
            <w:pPr>
              <w:pStyle w:val="TableText"/>
              <w:jc w:val="right"/>
            </w:pPr>
            <w:r>
              <w:t>2</w:t>
            </w:r>
          </w:p>
        </w:tc>
        <w:tc>
          <w:tcPr>
            <w:tcW w:w="3118" w:type="dxa"/>
            <w:tcMar>
              <w:left w:w="108" w:type="dxa"/>
              <w:right w:w="108" w:type="dxa"/>
            </w:tcMar>
          </w:tcPr>
          <w:p w14:paraId="12E44244" w14:textId="77777777" w:rsidR="0033465E" w:rsidRDefault="0033465E" w:rsidP="00D611E0">
            <w:pPr>
              <w:pStyle w:val="TableText"/>
              <w:jc w:val="right"/>
            </w:pPr>
          </w:p>
        </w:tc>
      </w:tr>
      <w:tr w:rsidR="0033465E" w14:paraId="53505139" w14:textId="77777777" w:rsidTr="0033465E">
        <w:tc>
          <w:tcPr>
            <w:tcW w:w="2678" w:type="dxa"/>
            <w:tcMar>
              <w:left w:w="108" w:type="dxa"/>
              <w:right w:w="108" w:type="dxa"/>
            </w:tcMar>
          </w:tcPr>
          <w:p w14:paraId="6F84C403" w14:textId="77777777" w:rsidR="0033465E" w:rsidRDefault="0033465E" w:rsidP="00D611E0">
            <w:pPr>
              <w:pStyle w:val="TableText"/>
            </w:pPr>
            <w:r>
              <w:t>WELS organisation B</w:t>
            </w:r>
          </w:p>
        </w:tc>
        <w:tc>
          <w:tcPr>
            <w:tcW w:w="3094" w:type="dxa"/>
            <w:tcMar>
              <w:left w:w="108" w:type="dxa"/>
              <w:right w:w="108" w:type="dxa"/>
            </w:tcMar>
          </w:tcPr>
          <w:p w14:paraId="53608D71" w14:textId="1790676E" w:rsidR="0033465E" w:rsidRDefault="0033465E" w:rsidP="00D611E0">
            <w:pPr>
              <w:pStyle w:val="TableText"/>
              <w:jc w:val="right"/>
            </w:pPr>
            <w:r>
              <w:t>1</w:t>
            </w:r>
          </w:p>
        </w:tc>
        <w:tc>
          <w:tcPr>
            <w:tcW w:w="3118" w:type="dxa"/>
            <w:tcMar>
              <w:left w:w="108" w:type="dxa"/>
              <w:right w:w="108" w:type="dxa"/>
            </w:tcMar>
          </w:tcPr>
          <w:p w14:paraId="3A1F06B0" w14:textId="52984BFA" w:rsidR="0033465E" w:rsidRDefault="0033465E" w:rsidP="00D611E0">
            <w:pPr>
              <w:pStyle w:val="TableText"/>
              <w:jc w:val="right"/>
            </w:pPr>
          </w:p>
        </w:tc>
      </w:tr>
      <w:tr w:rsidR="0033465E" w14:paraId="3320BF6E" w14:textId="77777777" w:rsidTr="0033465E">
        <w:tc>
          <w:tcPr>
            <w:tcW w:w="2678" w:type="dxa"/>
            <w:tcMar>
              <w:left w:w="108" w:type="dxa"/>
              <w:right w:w="108" w:type="dxa"/>
            </w:tcMar>
          </w:tcPr>
          <w:p w14:paraId="7B078165" w14:textId="22C31CAC" w:rsidR="0033465E" w:rsidRDefault="0033465E" w:rsidP="00D611E0">
            <w:pPr>
              <w:pStyle w:val="TableText"/>
            </w:pPr>
            <w:r>
              <w:t xml:space="preserve">WELS organisation </w:t>
            </w:r>
            <w:r w:rsidR="00174D50">
              <w:t>C</w:t>
            </w:r>
          </w:p>
        </w:tc>
        <w:tc>
          <w:tcPr>
            <w:tcW w:w="3094" w:type="dxa"/>
            <w:tcMar>
              <w:left w:w="108" w:type="dxa"/>
              <w:right w:w="108" w:type="dxa"/>
            </w:tcMar>
          </w:tcPr>
          <w:p w14:paraId="69FBEC2F" w14:textId="686E7CC1" w:rsidR="0033465E" w:rsidRDefault="0033465E" w:rsidP="00D611E0">
            <w:pPr>
              <w:pStyle w:val="TableText"/>
              <w:jc w:val="right"/>
            </w:pPr>
            <w:r>
              <w:t>11</w:t>
            </w:r>
          </w:p>
        </w:tc>
        <w:tc>
          <w:tcPr>
            <w:tcW w:w="3118" w:type="dxa"/>
            <w:tcMar>
              <w:left w:w="108" w:type="dxa"/>
              <w:right w:w="108" w:type="dxa"/>
            </w:tcMar>
          </w:tcPr>
          <w:p w14:paraId="00A0C7E1" w14:textId="77777777" w:rsidR="0033465E" w:rsidRDefault="0033465E" w:rsidP="00D611E0">
            <w:pPr>
              <w:pStyle w:val="TableText"/>
              <w:jc w:val="right"/>
            </w:pPr>
          </w:p>
        </w:tc>
      </w:tr>
      <w:tr w:rsidR="0033465E" w14:paraId="60392B34" w14:textId="77777777" w:rsidTr="0033465E">
        <w:tc>
          <w:tcPr>
            <w:tcW w:w="2678" w:type="dxa"/>
            <w:tcMar>
              <w:left w:w="108" w:type="dxa"/>
              <w:right w:w="108" w:type="dxa"/>
            </w:tcMar>
          </w:tcPr>
          <w:p w14:paraId="0A5CBDC0" w14:textId="6CECB2C6" w:rsidR="0033465E" w:rsidRDefault="0033465E" w:rsidP="00D611E0">
            <w:pPr>
              <w:pStyle w:val="TableBullet1"/>
              <w:numPr>
                <w:ilvl w:val="0"/>
                <w:numId w:val="0"/>
              </w:numPr>
              <w:ind w:left="284" w:hanging="284"/>
            </w:pPr>
            <w:r>
              <w:t xml:space="preserve">WELS organisation </w:t>
            </w:r>
            <w:r w:rsidR="00174D50">
              <w:t>D</w:t>
            </w:r>
          </w:p>
        </w:tc>
        <w:tc>
          <w:tcPr>
            <w:tcW w:w="3094" w:type="dxa"/>
            <w:tcMar>
              <w:left w:w="108" w:type="dxa"/>
              <w:right w:w="108" w:type="dxa"/>
            </w:tcMar>
          </w:tcPr>
          <w:p w14:paraId="22E8251D" w14:textId="46C6ABAD" w:rsidR="0033465E" w:rsidRDefault="0033465E" w:rsidP="00D611E0">
            <w:pPr>
              <w:pStyle w:val="TableText"/>
              <w:jc w:val="right"/>
            </w:pPr>
            <w:r>
              <w:t>40</w:t>
            </w:r>
          </w:p>
        </w:tc>
        <w:tc>
          <w:tcPr>
            <w:tcW w:w="3118" w:type="dxa"/>
            <w:tcMar>
              <w:left w:w="108" w:type="dxa"/>
              <w:right w:w="108" w:type="dxa"/>
            </w:tcMar>
          </w:tcPr>
          <w:p w14:paraId="3EE487C3" w14:textId="0000842C" w:rsidR="0033465E" w:rsidRDefault="0033465E" w:rsidP="00D611E0">
            <w:pPr>
              <w:pStyle w:val="TableText"/>
              <w:jc w:val="right"/>
            </w:pPr>
            <w:r>
              <w:t>3</w:t>
            </w:r>
          </w:p>
        </w:tc>
      </w:tr>
      <w:tr w:rsidR="0033465E" w14:paraId="71683DC1" w14:textId="77777777" w:rsidTr="0033465E">
        <w:tc>
          <w:tcPr>
            <w:tcW w:w="2678" w:type="dxa"/>
            <w:tcMar>
              <w:left w:w="108" w:type="dxa"/>
              <w:right w:w="108" w:type="dxa"/>
            </w:tcMar>
          </w:tcPr>
          <w:p w14:paraId="0C3B4681" w14:textId="5EDB5072" w:rsidR="0033465E" w:rsidRDefault="0033465E" w:rsidP="00D611E0">
            <w:pPr>
              <w:pStyle w:val="TableBullet1"/>
              <w:numPr>
                <w:ilvl w:val="0"/>
                <w:numId w:val="0"/>
              </w:numPr>
              <w:ind w:left="284" w:hanging="284"/>
            </w:pPr>
            <w:r>
              <w:t xml:space="preserve">WELS organisation </w:t>
            </w:r>
            <w:r w:rsidR="00174D50">
              <w:t>E</w:t>
            </w:r>
          </w:p>
        </w:tc>
        <w:tc>
          <w:tcPr>
            <w:tcW w:w="3094" w:type="dxa"/>
            <w:tcMar>
              <w:left w:w="108" w:type="dxa"/>
              <w:right w:w="108" w:type="dxa"/>
            </w:tcMar>
          </w:tcPr>
          <w:p w14:paraId="590C89D2" w14:textId="46CB4AC7" w:rsidR="0033465E" w:rsidRDefault="0033465E" w:rsidP="00D611E0">
            <w:pPr>
              <w:pStyle w:val="TableText"/>
              <w:jc w:val="right"/>
            </w:pPr>
            <w:r>
              <w:t>2</w:t>
            </w:r>
          </w:p>
        </w:tc>
        <w:tc>
          <w:tcPr>
            <w:tcW w:w="3118" w:type="dxa"/>
            <w:tcMar>
              <w:left w:w="108" w:type="dxa"/>
              <w:right w:w="108" w:type="dxa"/>
            </w:tcMar>
          </w:tcPr>
          <w:p w14:paraId="511017A7" w14:textId="55BACC42" w:rsidR="0033465E" w:rsidRDefault="0033465E" w:rsidP="00D611E0">
            <w:pPr>
              <w:pStyle w:val="TableText"/>
              <w:jc w:val="right"/>
            </w:pPr>
          </w:p>
        </w:tc>
      </w:tr>
      <w:tr w:rsidR="0033465E" w:rsidRPr="00174D50" w14:paraId="6235BD82" w14:textId="77777777" w:rsidTr="0033465E">
        <w:tc>
          <w:tcPr>
            <w:tcW w:w="2678" w:type="dxa"/>
            <w:tcMar>
              <w:left w:w="108" w:type="dxa"/>
              <w:right w:w="108" w:type="dxa"/>
            </w:tcMar>
          </w:tcPr>
          <w:p w14:paraId="0BA48EF6" w14:textId="77777777" w:rsidR="0033465E" w:rsidRPr="00174D50" w:rsidRDefault="0033465E" w:rsidP="00D611E0">
            <w:pPr>
              <w:pStyle w:val="TableText"/>
              <w:rPr>
                <w:b/>
                <w:bCs/>
              </w:rPr>
            </w:pPr>
            <w:r w:rsidRPr="00174D50">
              <w:rPr>
                <w:b/>
                <w:bCs/>
              </w:rPr>
              <w:t>Total</w:t>
            </w:r>
          </w:p>
        </w:tc>
        <w:tc>
          <w:tcPr>
            <w:tcW w:w="3094" w:type="dxa"/>
            <w:tcMar>
              <w:left w:w="108" w:type="dxa"/>
              <w:right w:w="108" w:type="dxa"/>
            </w:tcMar>
          </w:tcPr>
          <w:p w14:paraId="430D1F46" w14:textId="7EA324E3" w:rsidR="0033465E" w:rsidRPr="00174D50" w:rsidRDefault="00174D50" w:rsidP="00D611E0">
            <w:pPr>
              <w:pStyle w:val="TableText"/>
              <w:jc w:val="right"/>
              <w:rPr>
                <w:b/>
                <w:bCs/>
              </w:rPr>
            </w:pPr>
            <w:r w:rsidRPr="00174D50">
              <w:rPr>
                <w:b/>
                <w:bCs/>
              </w:rPr>
              <w:t>56</w:t>
            </w:r>
          </w:p>
        </w:tc>
        <w:tc>
          <w:tcPr>
            <w:tcW w:w="3118" w:type="dxa"/>
            <w:tcMar>
              <w:left w:w="108" w:type="dxa"/>
              <w:right w:w="108" w:type="dxa"/>
            </w:tcMar>
          </w:tcPr>
          <w:p w14:paraId="6975AB33" w14:textId="53CB2388" w:rsidR="0033465E" w:rsidRPr="00174D50" w:rsidRDefault="00174D50" w:rsidP="00D611E0">
            <w:pPr>
              <w:pStyle w:val="TableText"/>
              <w:jc w:val="right"/>
              <w:rPr>
                <w:b/>
                <w:bCs/>
              </w:rPr>
            </w:pPr>
            <w:r w:rsidRPr="00174D50">
              <w:rPr>
                <w:b/>
                <w:bCs/>
              </w:rPr>
              <w:t>3</w:t>
            </w:r>
          </w:p>
        </w:tc>
      </w:tr>
    </w:tbl>
    <w:p w14:paraId="1283EC60" w14:textId="77777777" w:rsidR="000C6A20" w:rsidRDefault="000C6A20" w:rsidP="000C6A20">
      <w:pPr>
        <w:pStyle w:val="FigureTableNoteSource"/>
      </w:pPr>
      <w:r>
        <w:t xml:space="preserve">Source: </w:t>
      </w:r>
      <w:r w:rsidRPr="00C9451C">
        <w:t>Department of Climate Change, Energy, the Environment and Water</w:t>
      </w:r>
    </w:p>
    <w:p w14:paraId="5B8A32B4" w14:textId="5901F3EA" w:rsidR="00A97B90" w:rsidRPr="0050276A" w:rsidRDefault="00A97B90" w:rsidP="002C594C">
      <w:pPr>
        <w:pStyle w:val="Caption"/>
        <w:rPr>
          <w:lang w:eastAsia="ja-JP"/>
        </w:rPr>
      </w:pPr>
      <w:bookmarkStart w:id="28" w:name="_Toc170479597"/>
      <w:bookmarkStart w:id="29" w:name="_Toc171419305"/>
      <w:r w:rsidRPr="0050276A">
        <w:rPr>
          <w:lang w:eastAsia="ja-JP"/>
        </w:rPr>
        <w:t xml:space="preserve">Table </w:t>
      </w:r>
      <w:r w:rsidR="00D3184D" w:rsidRPr="0050276A">
        <w:rPr>
          <w:lang w:eastAsia="ja-JP"/>
        </w:rPr>
        <w:t>5</w:t>
      </w:r>
      <w:r w:rsidRPr="0050276A">
        <w:rPr>
          <w:lang w:eastAsia="ja-JP"/>
        </w:rPr>
        <w:t xml:space="preserve">. </w:t>
      </w:r>
      <w:r w:rsidR="0046368A" w:rsidRPr="0050276A">
        <w:rPr>
          <w:lang w:eastAsia="ja-JP"/>
        </w:rPr>
        <w:t>Tap equipment - b</w:t>
      </w:r>
      <w:r w:rsidRPr="0050276A">
        <w:rPr>
          <w:lang w:eastAsia="ja-JP"/>
        </w:rPr>
        <w:t>ottle fillers</w:t>
      </w:r>
      <w:bookmarkEnd w:id="28"/>
      <w:bookmarkEnd w:id="29"/>
    </w:p>
    <w:tbl>
      <w:tblPr>
        <w:tblStyle w:val="ListTable3-Accent1"/>
        <w:tblW w:w="0" w:type="auto"/>
        <w:tblLayout w:type="fixed"/>
        <w:tblLook w:val="04A0" w:firstRow="1" w:lastRow="0" w:firstColumn="1" w:lastColumn="0" w:noHBand="0" w:noVBand="1"/>
      </w:tblPr>
      <w:tblGrid>
        <w:gridCol w:w="1980"/>
        <w:gridCol w:w="5386"/>
        <w:gridCol w:w="1644"/>
      </w:tblGrid>
      <w:tr w:rsidR="00A97B90" w14:paraId="541E1C51" w14:textId="77777777" w:rsidTr="002C594C">
        <w:trPr>
          <w:cnfStyle w:val="100000000000" w:firstRow="1" w:lastRow="0" w:firstColumn="0" w:lastColumn="0" w:oddVBand="0" w:evenVBand="0" w:oddHBand="0" w:evenHBand="0" w:firstRowFirstColumn="0" w:firstRowLastColumn="0" w:lastRowFirstColumn="0" w:lastRowLastColumn="0"/>
          <w:trHeight w:val="70"/>
          <w:tblHeader/>
        </w:trPr>
        <w:tc>
          <w:tcPr>
            <w:cnfStyle w:val="001000000100" w:firstRow="0" w:lastRow="0" w:firstColumn="1" w:lastColumn="0" w:oddVBand="0" w:evenVBand="0" w:oddHBand="0" w:evenHBand="0" w:firstRowFirstColumn="1" w:firstRowLastColumn="0" w:lastRowFirstColumn="0" w:lastRowLastColumn="0"/>
            <w:tcW w:w="1980" w:type="dxa"/>
          </w:tcPr>
          <w:p w14:paraId="6CA197FA" w14:textId="77777777" w:rsidR="00A97B90" w:rsidRPr="00B12AC2" w:rsidRDefault="00A97B90" w:rsidP="00D611E0">
            <w:pPr>
              <w:rPr>
                <w:b w:val="0"/>
                <w:bCs w:val="0"/>
              </w:rPr>
            </w:pPr>
            <w:r w:rsidRPr="00B12AC2">
              <w:t>Amendment</w:t>
            </w:r>
          </w:p>
        </w:tc>
        <w:tc>
          <w:tcPr>
            <w:tcW w:w="5386" w:type="dxa"/>
          </w:tcPr>
          <w:p w14:paraId="0E5034A7" w14:textId="77777777" w:rsidR="00A97B90" w:rsidRPr="00B12AC2" w:rsidRDefault="00A97B90" w:rsidP="00D611E0">
            <w:pPr>
              <w:contextualSpacing/>
              <w:cnfStyle w:val="100000000000" w:firstRow="1" w:lastRow="0" w:firstColumn="0" w:lastColumn="0" w:oddVBand="0" w:evenVBand="0" w:oddHBand="0" w:evenHBand="0" w:firstRowFirstColumn="0" w:firstRowLastColumn="0" w:lastRowFirstColumn="0" w:lastRowLastColumn="0"/>
              <w:rPr>
                <w:b w:val="0"/>
                <w:bCs w:val="0"/>
              </w:rPr>
            </w:pPr>
            <w:r w:rsidRPr="00B12AC2">
              <w:t>Description</w:t>
            </w:r>
          </w:p>
        </w:tc>
        <w:tc>
          <w:tcPr>
            <w:tcW w:w="1644" w:type="dxa"/>
          </w:tcPr>
          <w:p w14:paraId="3600B4A0" w14:textId="77777777" w:rsidR="00A97B90" w:rsidRPr="00B12AC2" w:rsidRDefault="00A97B90" w:rsidP="00D611E0">
            <w:pPr>
              <w:cnfStyle w:val="100000000000" w:firstRow="1" w:lastRow="0" w:firstColumn="0" w:lastColumn="0" w:oddVBand="0" w:evenVBand="0" w:oddHBand="0" w:evenHBand="0" w:firstRowFirstColumn="0" w:firstRowLastColumn="0" w:lastRowFirstColumn="0" w:lastRowLastColumn="0"/>
              <w:rPr>
                <w:b w:val="0"/>
                <w:bCs w:val="0"/>
              </w:rPr>
            </w:pPr>
            <w:r w:rsidRPr="00B12AC2">
              <w:t>Legislative reference</w:t>
            </w:r>
          </w:p>
        </w:tc>
      </w:tr>
      <w:tr w:rsidR="00A97B90" w14:paraId="2325AEA7" w14:textId="77777777" w:rsidTr="00B860E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0" w:type="dxa"/>
          </w:tcPr>
          <w:p w14:paraId="4515B2A4" w14:textId="77777777" w:rsidR="00A97B90" w:rsidRDefault="00A97B90" w:rsidP="00D611E0">
            <w:r>
              <w:t>Exclusion of bottle fillers</w:t>
            </w:r>
          </w:p>
        </w:tc>
        <w:tc>
          <w:tcPr>
            <w:tcW w:w="5386" w:type="dxa"/>
          </w:tcPr>
          <w:p w14:paraId="6C731312" w14:textId="2982F4A3" w:rsidR="00A97B90" w:rsidRDefault="004A2299" w:rsidP="002C594C">
            <w:pPr>
              <w:cnfStyle w:val="000000100000" w:firstRow="0" w:lastRow="0" w:firstColumn="0" w:lastColumn="0" w:oddVBand="0" w:evenVBand="0" w:oddHBand="1" w:evenHBand="0" w:firstRowFirstColumn="0" w:firstRowLastColumn="0" w:lastRowFirstColumn="0" w:lastRowLastColumn="0"/>
            </w:pPr>
            <w:r>
              <w:t xml:space="preserve">The intention of this amendment is to remove </w:t>
            </w:r>
            <w:r w:rsidR="00A97B90">
              <w:t>bottle filling taps designed to fill drinking bottles with a fixed volume</w:t>
            </w:r>
            <w:r w:rsidR="007C30F0">
              <w:t xml:space="preserve"> </w:t>
            </w:r>
            <w:r w:rsidR="005C7D63">
              <w:t xml:space="preserve">of water </w:t>
            </w:r>
            <w:r w:rsidR="007C30F0">
              <w:t>from the WELS scheme</w:t>
            </w:r>
            <w:r>
              <w:t>.</w:t>
            </w:r>
          </w:p>
          <w:p w14:paraId="6640CA73" w14:textId="7248D627" w:rsidR="004A2299" w:rsidRPr="00D73C0C" w:rsidRDefault="004A2299" w:rsidP="002C594C">
            <w:pPr>
              <w:cnfStyle w:val="000000100000" w:firstRow="0" w:lastRow="0" w:firstColumn="0" w:lastColumn="0" w:oddVBand="0" w:evenVBand="0" w:oddHBand="1" w:evenHBand="0" w:firstRowFirstColumn="0" w:firstRowLastColumn="0" w:lastRowFirstColumn="0" w:lastRowLastColumn="0"/>
            </w:pPr>
            <w:r>
              <w:t xml:space="preserve">A bottle filler is not defined in existing standards, however is referenced as a product within scope of the </w:t>
            </w:r>
            <w:hyperlink r:id="rId27" w:history="1">
              <w:r w:rsidRPr="005C7D63">
                <w:rPr>
                  <w:rStyle w:val="Hyperlink"/>
                </w:rPr>
                <w:t>WaterMark Schedule of Products – Appliances</w:t>
              </w:r>
            </w:hyperlink>
            <w:r>
              <w:t>.</w:t>
            </w:r>
          </w:p>
          <w:p w14:paraId="78E5180C" w14:textId="0990F6F6" w:rsidR="00DE4527" w:rsidRDefault="00DE4527" w:rsidP="002C594C">
            <w:pPr>
              <w:cnfStyle w:val="000000100000" w:firstRow="0" w:lastRow="0" w:firstColumn="0" w:lastColumn="0" w:oddVBand="0" w:evenVBand="0" w:oddHBand="1" w:evenHBand="0" w:firstRowFirstColumn="0" w:firstRowLastColumn="0" w:lastRowFirstColumn="0" w:lastRowLastColumn="0"/>
            </w:pPr>
            <w:r>
              <w:t>Importantly, only bottle fillers WaterMark certified in accordance with WMTS-105:2016 would be excluded from the WELS scheme.</w:t>
            </w:r>
          </w:p>
          <w:p w14:paraId="43E605BC" w14:textId="391950AA" w:rsidR="004A2299" w:rsidRDefault="004A2299" w:rsidP="002C594C">
            <w:pPr>
              <w:cnfStyle w:val="000000100000" w:firstRow="0" w:lastRow="0" w:firstColumn="0" w:lastColumn="0" w:oddVBand="0" w:evenVBand="0" w:oddHBand="1" w:evenHBand="0" w:firstRowFirstColumn="0" w:firstRowLastColumn="0" w:lastRowFirstColumn="0" w:lastRowLastColumn="0"/>
            </w:pPr>
            <w:r>
              <w:t>The WELS scheme currently has 6 taps identified as being bottle fillers and 3 taps identified as being drinking fountain/bottle fillers</w:t>
            </w:r>
            <w:r w:rsidR="005C7D63">
              <w:t xml:space="preserve">. These taps are </w:t>
            </w:r>
            <w:r>
              <w:t>registered</w:t>
            </w:r>
            <w:r w:rsidR="008B376A">
              <w:t xml:space="preserve"> to 2 WELS</w:t>
            </w:r>
            <w:r w:rsidR="00E823BC">
              <w:t xml:space="preserve"> </w:t>
            </w:r>
            <w:r w:rsidR="008B376A">
              <w:t>organisations</w:t>
            </w:r>
            <w:r>
              <w:t xml:space="preserve">. </w:t>
            </w:r>
            <w:r w:rsidR="005C7D63">
              <w:t>Importantly</w:t>
            </w:r>
            <w:r>
              <w:t>, these products are all WaterMark certified against either AS 3718:2021 or AS/NZS 3718:2005.</w:t>
            </w:r>
          </w:p>
          <w:p w14:paraId="6A004437" w14:textId="67F24F1A" w:rsidR="004A2299" w:rsidRDefault="004A2299" w:rsidP="002C594C">
            <w:pPr>
              <w:cnfStyle w:val="000000100000" w:firstRow="0" w:lastRow="0" w:firstColumn="0" w:lastColumn="0" w:oddVBand="0" w:evenVBand="0" w:oddHBand="1" w:evenHBand="0" w:firstRowFirstColumn="0" w:firstRowLastColumn="0" w:lastRowFirstColumn="0" w:lastRowLastColumn="0"/>
            </w:pPr>
            <w:r>
              <w:t>For these products to be excluded from the WELS scheme and no longer be registered or have a mandatory WELS label applied, they would need to be certified against the WaterMark specification – WMTS-105:2016.</w:t>
            </w:r>
          </w:p>
          <w:p w14:paraId="085CF13B" w14:textId="0FF37B32" w:rsidR="00DE3EAE" w:rsidRDefault="004A2299" w:rsidP="002C594C">
            <w:pPr>
              <w:cnfStyle w:val="000000100000" w:firstRow="0" w:lastRow="0" w:firstColumn="0" w:lastColumn="0" w:oddVBand="0" w:evenVBand="0" w:oddHBand="1" w:evenHBand="0" w:firstRowFirstColumn="0" w:firstRowLastColumn="0" w:lastRowFirstColumn="0" w:lastRowLastColumn="0"/>
            </w:pPr>
            <w:r>
              <w:t xml:space="preserve">Table </w:t>
            </w:r>
            <w:r w:rsidR="0008500D">
              <w:t>5</w:t>
            </w:r>
            <w:r>
              <w:t xml:space="preserve">a shows </w:t>
            </w:r>
            <w:r w:rsidR="005C7D63">
              <w:t xml:space="preserve">WELS </w:t>
            </w:r>
            <w:r>
              <w:t xml:space="preserve">organisations with these types of taps registered. These taps have been identified from the </w:t>
            </w:r>
            <w:proofErr w:type="gramStart"/>
            <w:r>
              <w:t>model</w:t>
            </w:r>
            <w:proofErr w:type="gramEnd"/>
            <w:r>
              <w:t xml:space="preserve"> name.</w:t>
            </w:r>
          </w:p>
        </w:tc>
        <w:tc>
          <w:tcPr>
            <w:tcW w:w="1644" w:type="dxa"/>
          </w:tcPr>
          <w:p w14:paraId="709F1CED" w14:textId="77777777" w:rsidR="00A97B90" w:rsidRDefault="00A97B90" w:rsidP="00D611E0">
            <w:pPr>
              <w:cnfStyle w:val="000000100000" w:firstRow="0" w:lastRow="0" w:firstColumn="0" w:lastColumn="0" w:oddVBand="0" w:evenVBand="0" w:oddHBand="1" w:evenHBand="0" w:firstRowFirstColumn="0" w:firstRowLastColumn="0" w:lastRowFirstColumn="0" w:lastRowLastColumn="0"/>
            </w:pPr>
            <w:r>
              <w:t>Section 6 of the WELS Determination 2013.</w:t>
            </w:r>
          </w:p>
        </w:tc>
      </w:tr>
    </w:tbl>
    <w:p w14:paraId="536D7E48" w14:textId="77777777" w:rsidR="00A97B90" w:rsidRDefault="00A97B90" w:rsidP="00205A3B">
      <w:pPr>
        <w:rPr>
          <w:lang w:eastAsia="ja-JP"/>
        </w:rPr>
      </w:pPr>
    </w:p>
    <w:p w14:paraId="421027D4" w14:textId="38B03E76" w:rsidR="004A2299" w:rsidRDefault="004A2299" w:rsidP="002C594C">
      <w:pPr>
        <w:pStyle w:val="Caption"/>
        <w:rPr>
          <w:lang w:eastAsia="ja-JP"/>
        </w:rPr>
      </w:pPr>
      <w:bookmarkStart w:id="30" w:name="_Toc170479598"/>
      <w:bookmarkStart w:id="31" w:name="_Toc171419306"/>
      <w:r w:rsidRPr="0008500D">
        <w:rPr>
          <w:lang w:eastAsia="ja-JP"/>
        </w:rPr>
        <w:lastRenderedPageBreak/>
        <w:t xml:space="preserve">Table </w:t>
      </w:r>
      <w:r w:rsidR="00D3184D" w:rsidRPr="0008500D">
        <w:rPr>
          <w:lang w:eastAsia="ja-JP"/>
        </w:rPr>
        <w:t>5</w:t>
      </w:r>
      <w:r w:rsidRPr="0008500D">
        <w:rPr>
          <w:lang w:eastAsia="ja-JP"/>
        </w:rPr>
        <w:t>a. Registered taps that are likely to be bottle fillers or drinking fountain/bottle filler</w:t>
      </w:r>
      <w:r>
        <w:rPr>
          <w:lang w:eastAsia="ja-JP"/>
        </w:rPr>
        <w:t xml:space="preserve"> combinations</w:t>
      </w:r>
      <w:bookmarkEnd w:id="30"/>
      <w:bookmarkEnd w:id="31"/>
    </w:p>
    <w:tbl>
      <w:tblPr>
        <w:tblW w:w="4901" w:type="pct"/>
        <w:tblInd w:w="40" w:type="dxa"/>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2678"/>
        <w:gridCol w:w="3094"/>
        <w:gridCol w:w="3118"/>
      </w:tblGrid>
      <w:tr w:rsidR="004A2299" w14:paraId="79F8AD02" w14:textId="77777777" w:rsidTr="00D611E0">
        <w:trPr>
          <w:cantSplit/>
          <w:tblHeader/>
        </w:trPr>
        <w:tc>
          <w:tcPr>
            <w:tcW w:w="2678" w:type="dxa"/>
            <w:tcMar>
              <w:left w:w="108" w:type="dxa"/>
              <w:right w:w="108" w:type="dxa"/>
            </w:tcMar>
          </w:tcPr>
          <w:p w14:paraId="5DF6A7FA" w14:textId="77777777" w:rsidR="004A2299" w:rsidRDefault="004A2299" w:rsidP="00D611E0">
            <w:pPr>
              <w:pStyle w:val="TableHeading"/>
              <w:keepNext w:val="0"/>
            </w:pPr>
            <w:r>
              <w:t>WELS Organisation</w:t>
            </w:r>
          </w:p>
        </w:tc>
        <w:tc>
          <w:tcPr>
            <w:tcW w:w="3094" w:type="dxa"/>
            <w:tcMar>
              <w:left w:w="108" w:type="dxa"/>
              <w:right w:w="108" w:type="dxa"/>
            </w:tcMar>
          </w:tcPr>
          <w:p w14:paraId="5A9709BF" w14:textId="361CE3A2" w:rsidR="004A2299" w:rsidRDefault="00F112E3" w:rsidP="00D611E0">
            <w:pPr>
              <w:pStyle w:val="TableHeading"/>
              <w:jc w:val="right"/>
            </w:pPr>
            <w:r>
              <w:t>Bottle filler</w:t>
            </w:r>
          </w:p>
        </w:tc>
        <w:tc>
          <w:tcPr>
            <w:tcW w:w="3118" w:type="dxa"/>
            <w:tcMar>
              <w:left w:w="108" w:type="dxa"/>
              <w:right w:w="108" w:type="dxa"/>
            </w:tcMar>
          </w:tcPr>
          <w:p w14:paraId="6F5DBBC0" w14:textId="522034B0" w:rsidR="004A2299" w:rsidRDefault="004A2299" w:rsidP="00D611E0">
            <w:pPr>
              <w:pStyle w:val="TableHeading"/>
              <w:jc w:val="right"/>
            </w:pPr>
            <w:r>
              <w:t>Dual (bottle filler</w:t>
            </w:r>
            <w:r w:rsidR="00F112E3">
              <w:t>/drinking fountain)</w:t>
            </w:r>
          </w:p>
        </w:tc>
      </w:tr>
      <w:tr w:rsidR="004A2299" w14:paraId="70A7C2E1" w14:textId="77777777" w:rsidTr="00D611E0">
        <w:tc>
          <w:tcPr>
            <w:tcW w:w="2678" w:type="dxa"/>
            <w:tcMar>
              <w:left w:w="108" w:type="dxa"/>
              <w:right w:w="108" w:type="dxa"/>
            </w:tcMar>
          </w:tcPr>
          <w:p w14:paraId="54121418" w14:textId="77777777" w:rsidR="004A2299" w:rsidRDefault="004A2299" w:rsidP="00D611E0">
            <w:pPr>
              <w:pStyle w:val="TableText"/>
            </w:pPr>
            <w:r>
              <w:t>WELS organisation A</w:t>
            </w:r>
          </w:p>
        </w:tc>
        <w:tc>
          <w:tcPr>
            <w:tcW w:w="3094" w:type="dxa"/>
            <w:tcMar>
              <w:left w:w="108" w:type="dxa"/>
              <w:right w:w="108" w:type="dxa"/>
            </w:tcMar>
          </w:tcPr>
          <w:p w14:paraId="5499CBFD" w14:textId="0C20E41C" w:rsidR="004A2299" w:rsidRDefault="004A2299" w:rsidP="00D611E0">
            <w:pPr>
              <w:pStyle w:val="TableText"/>
              <w:jc w:val="right"/>
            </w:pPr>
            <w:r>
              <w:t>1</w:t>
            </w:r>
          </w:p>
        </w:tc>
        <w:tc>
          <w:tcPr>
            <w:tcW w:w="3118" w:type="dxa"/>
            <w:tcMar>
              <w:left w:w="108" w:type="dxa"/>
              <w:right w:w="108" w:type="dxa"/>
            </w:tcMar>
          </w:tcPr>
          <w:p w14:paraId="2B3378A3" w14:textId="77777777" w:rsidR="004A2299" w:rsidRDefault="004A2299" w:rsidP="00D611E0">
            <w:pPr>
              <w:pStyle w:val="TableText"/>
              <w:jc w:val="right"/>
            </w:pPr>
          </w:p>
        </w:tc>
      </w:tr>
      <w:tr w:rsidR="004A2299" w14:paraId="4309716F" w14:textId="77777777" w:rsidTr="00D611E0">
        <w:tc>
          <w:tcPr>
            <w:tcW w:w="2678" w:type="dxa"/>
            <w:tcMar>
              <w:left w:w="108" w:type="dxa"/>
              <w:right w:w="108" w:type="dxa"/>
            </w:tcMar>
          </w:tcPr>
          <w:p w14:paraId="6A1BFFA0" w14:textId="59FFFC48" w:rsidR="004A2299" w:rsidRDefault="004A2299" w:rsidP="00D611E0">
            <w:pPr>
              <w:pStyle w:val="TableBullet1"/>
              <w:numPr>
                <w:ilvl w:val="0"/>
                <w:numId w:val="0"/>
              </w:numPr>
              <w:ind w:left="284" w:hanging="284"/>
            </w:pPr>
            <w:r>
              <w:t xml:space="preserve">WELS organisation </w:t>
            </w:r>
            <w:r w:rsidR="00F112E3">
              <w:t>B</w:t>
            </w:r>
          </w:p>
        </w:tc>
        <w:tc>
          <w:tcPr>
            <w:tcW w:w="3094" w:type="dxa"/>
            <w:tcMar>
              <w:left w:w="108" w:type="dxa"/>
              <w:right w:w="108" w:type="dxa"/>
            </w:tcMar>
          </w:tcPr>
          <w:p w14:paraId="4F2A9ADB" w14:textId="64DBC7F5" w:rsidR="004A2299" w:rsidRDefault="004A2299" w:rsidP="00D611E0">
            <w:pPr>
              <w:pStyle w:val="TableText"/>
              <w:jc w:val="right"/>
            </w:pPr>
            <w:r>
              <w:t>5</w:t>
            </w:r>
          </w:p>
        </w:tc>
        <w:tc>
          <w:tcPr>
            <w:tcW w:w="3118" w:type="dxa"/>
            <w:tcMar>
              <w:left w:w="108" w:type="dxa"/>
              <w:right w:w="108" w:type="dxa"/>
            </w:tcMar>
          </w:tcPr>
          <w:p w14:paraId="30839575" w14:textId="5E92EE46" w:rsidR="004A2299" w:rsidRDefault="004A2299" w:rsidP="00D611E0">
            <w:pPr>
              <w:pStyle w:val="TableText"/>
              <w:jc w:val="right"/>
            </w:pPr>
            <w:r>
              <w:t>3</w:t>
            </w:r>
          </w:p>
        </w:tc>
      </w:tr>
      <w:tr w:rsidR="004A2299" w:rsidRPr="00174D50" w14:paraId="55C7E05A" w14:textId="77777777" w:rsidTr="00D611E0">
        <w:tc>
          <w:tcPr>
            <w:tcW w:w="2678" w:type="dxa"/>
            <w:tcMar>
              <w:left w:w="108" w:type="dxa"/>
              <w:right w:w="108" w:type="dxa"/>
            </w:tcMar>
          </w:tcPr>
          <w:p w14:paraId="5C51978C" w14:textId="77777777" w:rsidR="004A2299" w:rsidRPr="00174D50" w:rsidRDefault="004A2299" w:rsidP="00D611E0">
            <w:pPr>
              <w:pStyle w:val="TableText"/>
              <w:rPr>
                <w:b/>
                <w:bCs/>
              </w:rPr>
            </w:pPr>
            <w:r w:rsidRPr="00174D50">
              <w:rPr>
                <w:b/>
                <w:bCs/>
              </w:rPr>
              <w:t>Total</w:t>
            </w:r>
          </w:p>
        </w:tc>
        <w:tc>
          <w:tcPr>
            <w:tcW w:w="3094" w:type="dxa"/>
            <w:tcMar>
              <w:left w:w="108" w:type="dxa"/>
              <w:right w:w="108" w:type="dxa"/>
            </w:tcMar>
          </w:tcPr>
          <w:p w14:paraId="412FC919" w14:textId="4C7E3504" w:rsidR="004A2299" w:rsidRPr="00174D50" w:rsidRDefault="00F112E3" w:rsidP="00D611E0">
            <w:pPr>
              <w:pStyle w:val="TableText"/>
              <w:jc w:val="right"/>
              <w:rPr>
                <w:b/>
                <w:bCs/>
              </w:rPr>
            </w:pPr>
            <w:r>
              <w:rPr>
                <w:b/>
                <w:bCs/>
              </w:rPr>
              <w:t>6</w:t>
            </w:r>
          </w:p>
        </w:tc>
        <w:tc>
          <w:tcPr>
            <w:tcW w:w="3118" w:type="dxa"/>
            <w:tcMar>
              <w:left w:w="108" w:type="dxa"/>
              <w:right w:w="108" w:type="dxa"/>
            </w:tcMar>
          </w:tcPr>
          <w:p w14:paraId="6142ABDB" w14:textId="20C4B2A5" w:rsidR="004A2299" w:rsidRPr="00174D50" w:rsidRDefault="00F112E3" w:rsidP="00D611E0">
            <w:pPr>
              <w:pStyle w:val="TableText"/>
              <w:jc w:val="right"/>
              <w:rPr>
                <w:b/>
                <w:bCs/>
              </w:rPr>
            </w:pPr>
            <w:r>
              <w:rPr>
                <w:b/>
                <w:bCs/>
              </w:rPr>
              <w:t>3</w:t>
            </w:r>
          </w:p>
        </w:tc>
      </w:tr>
    </w:tbl>
    <w:p w14:paraId="6A0FDC3D" w14:textId="77777777" w:rsidR="000C6A20" w:rsidRDefault="000C6A20" w:rsidP="000C6A20">
      <w:pPr>
        <w:pStyle w:val="FigureTableNoteSource"/>
      </w:pPr>
      <w:r>
        <w:t xml:space="preserve">Source: </w:t>
      </w:r>
      <w:r w:rsidRPr="00C9451C">
        <w:t>Department of Climate Change, Energy, the Environment and Water</w:t>
      </w:r>
    </w:p>
    <w:p w14:paraId="47335652" w14:textId="7ADACF30" w:rsidR="00A97B90" w:rsidRPr="0050276A" w:rsidRDefault="00A97B90" w:rsidP="002C594C">
      <w:pPr>
        <w:pStyle w:val="Caption"/>
        <w:rPr>
          <w:lang w:eastAsia="ja-JP"/>
        </w:rPr>
      </w:pPr>
      <w:bookmarkStart w:id="32" w:name="_Toc170479599"/>
      <w:bookmarkStart w:id="33" w:name="_Toc171419307"/>
      <w:r w:rsidRPr="0050276A">
        <w:rPr>
          <w:lang w:eastAsia="ja-JP"/>
        </w:rPr>
        <w:t xml:space="preserve">Table </w:t>
      </w:r>
      <w:r w:rsidR="00D3184D" w:rsidRPr="0050276A">
        <w:rPr>
          <w:lang w:eastAsia="ja-JP"/>
        </w:rPr>
        <w:t>6</w:t>
      </w:r>
      <w:r w:rsidRPr="0050276A">
        <w:rPr>
          <w:lang w:eastAsia="ja-JP"/>
        </w:rPr>
        <w:t xml:space="preserve">. </w:t>
      </w:r>
      <w:r w:rsidR="005C7D63" w:rsidRPr="0050276A">
        <w:rPr>
          <w:lang w:eastAsia="ja-JP"/>
        </w:rPr>
        <w:t xml:space="preserve">Tap equipment </w:t>
      </w:r>
      <w:r w:rsidR="002C594C">
        <w:rPr>
          <w:lang w:eastAsia="ja-JP"/>
        </w:rPr>
        <w:t>–</w:t>
      </w:r>
      <w:r w:rsidR="005C7D63" w:rsidRPr="0050276A">
        <w:rPr>
          <w:lang w:eastAsia="ja-JP"/>
        </w:rPr>
        <w:t xml:space="preserve"> t</w:t>
      </w:r>
      <w:r w:rsidRPr="0050276A">
        <w:rPr>
          <w:lang w:eastAsia="ja-JP"/>
        </w:rPr>
        <w:t xml:space="preserve">aps delivering filtered, chilled or boiled </w:t>
      </w:r>
      <w:proofErr w:type="gramStart"/>
      <w:r w:rsidRPr="0050276A">
        <w:rPr>
          <w:lang w:eastAsia="ja-JP"/>
        </w:rPr>
        <w:t>water</w:t>
      </w:r>
      <w:bookmarkEnd w:id="32"/>
      <w:bookmarkEnd w:id="33"/>
      <w:proofErr w:type="gramEnd"/>
    </w:p>
    <w:tbl>
      <w:tblPr>
        <w:tblStyle w:val="ListTable3-Accent1"/>
        <w:tblW w:w="0" w:type="auto"/>
        <w:tblLayout w:type="fixed"/>
        <w:tblLook w:val="04A0" w:firstRow="1" w:lastRow="0" w:firstColumn="1" w:lastColumn="0" w:noHBand="0" w:noVBand="1"/>
      </w:tblPr>
      <w:tblGrid>
        <w:gridCol w:w="1980"/>
        <w:gridCol w:w="5386"/>
        <w:gridCol w:w="1644"/>
      </w:tblGrid>
      <w:tr w:rsidR="00A97B90" w14:paraId="677F2986" w14:textId="77777777" w:rsidTr="003B584A">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980" w:type="dxa"/>
          </w:tcPr>
          <w:p w14:paraId="73223100" w14:textId="77777777" w:rsidR="00A97B90" w:rsidRPr="00B12AC2" w:rsidRDefault="00A97B90" w:rsidP="00D611E0">
            <w:pPr>
              <w:rPr>
                <w:b w:val="0"/>
                <w:bCs w:val="0"/>
              </w:rPr>
            </w:pPr>
            <w:r w:rsidRPr="00B12AC2">
              <w:t>Amendment</w:t>
            </w:r>
          </w:p>
        </w:tc>
        <w:tc>
          <w:tcPr>
            <w:tcW w:w="5386" w:type="dxa"/>
          </w:tcPr>
          <w:p w14:paraId="01BEBC33" w14:textId="77777777" w:rsidR="00A97B90" w:rsidRPr="00B12AC2" w:rsidRDefault="00A97B90" w:rsidP="00D611E0">
            <w:pPr>
              <w:contextualSpacing/>
              <w:cnfStyle w:val="100000000000" w:firstRow="1" w:lastRow="0" w:firstColumn="0" w:lastColumn="0" w:oddVBand="0" w:evenVBand="0" w:oddHBand="0" w:evenHBand="0" w:firstRowFirstColumn="0" w:firstRowLastColumn="0" w:lastRowFirstColumn="0" w:lastRowLastColumn="0"/>
              <w:rPr>
                <w:b w:val="0"/>
                <w:bCs w:val="0"/>
              </w:rPr>
            </w:pPr>
            <w:r w:rsidRPr="00B12AC2">
              <w:t>Description</w:t>
            </w:r>
          </w:p>
        </w:tc>
        <w:tc>
          <w:tcPr>
            <w:tcW w:w="1644" w:type="dxa"/>
          </w:tcPr>
          <w:p w14:paraId="0D4692EC" w14:textId="77777777" w:rsidR="00A97B90" w:rsidRPr="00B12AC2" w:rsidRDefault="00A97B90" w:rsidP="00D611E0">
            <w:pPr>
              <w:cnfStyle w:val="100000000000" w:firstRow="1" w:lastRow="0" w:firstColumn="0" w:lastColumn="0" w:oddVBand="0" w:evenVBand="0" w:oddHBand="0" w:evenHBand="0" w:firstRowFirstColumn="0" w:firstRowLastColumn="0" w:lastRowFirstColumn="0" w:lastRowLastColumn="0"/>
              <w:rPr>
                <w:b w:val="0"/>
                <w:bCs w:val="0"/>
              </w:rPr>
            </w:pPr>
            <w:r w:rsidRPr="00B12AC2">
              <w:t>Legislative reference</w:t>
            </w:r>
          </w:p>
        </w:tc>
      </w:tr>
      <w:tr w:rsidR="00A97B90" w14:paraId="1AF10461" w14:textId="77777777" w:rsidTr="003B584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0" w:type="dxa"/>
          </w:tcPr>
          <w:p w14:paraId="21CE9576" w14:textId="33626B96" w:rsidR="00A97B90" w:rsidRDefault="00A97B90" w:rsidP="00D611E0">
            <w:r>
              <w:t xml:space="preserve">Clarifying the current exclusion of </w:t>
            </w:r>
            <w:r w:rsidR="005C7D63">
              <w:t xml:space="preserve">taps </w:t>
            </w:r>
            <w:r>
              <w:t>used to deliver filtered, chilled or boiled water</w:t>
            </w:r>
          </w:p>
        </w:tc>
        <w:tc>
          <w:tcPr>
            <w:tcW w:w="5386" w:type="dxa"/>
          </w:tcPr>
          <w:p w14:paraId="3240B8A5" w14:textId="77777777" w:rsidR="00A97B90" w:rsidRDefault="00EC581A" w:rsidP="00EC581A">
            <w:pPr>
              <w:contextualSpacing/>
              <w:cnfStyle w:val="000000100000" w:firstRow="0" w:lastRow="0" w:firstColumn="0" w:lastColumn="0" w:oddVBand="0" w:evenVBand="0" w:oddHBand="1" w:evenHBand="0" w:firstRowFirstColumn="0" w:firstRowLastColumn="0" w:lastRowFirstColumn="0" w:lastRowLastColumn="0"/>
            </w:pPr>
            <w:r>
              <w:t xml:space="preserve">The intention of this amendment is to remove </w:t>
            </w:r>
            <w:r w:rsidR="00A97B90" w:rsidRPr="00EC4A48">
              <w:t>tap</w:t>
            </w:r>
            <w:r w:rsidR="00A97B90">
              <w:t>s</w:t>
            </w:r>
            <w:r w:rsidR="00A97B90" w:rsidRPr="00EC4A48">
              <w:t xml:space="preserve"> that </w:t>
            </w:r>
            <w:r>
              <w:t xml:space="preserve">are used </w:t>
            </w:r>
            <w:r w:rsidRPr="00EC581A">
              <w:rPr>
                <w:b/>
                <w:bCs/>
                <w:u w:val="single"/>
              </w:rPr>
              <w:t>exclusively</w:t>
            </w:r>
            <w:r>
              <w:t xml:space="preserve"> to deliver filtered, chilled or boiled water</w:t>
            </w:r>
            <w:r w:rsidR="007C30F0">
              <w:t xml:space="preserve"> from the WELS scheme</w:t>
            </w:r>
            <w:r>
              <w:t>.</w:t>
            </w:r>
          </w:p>
          <w:p w14:paraId="0D48867E" w14:textId="425E371F" w:rsidR="00DE3EAE" w:rsidRDefault="00DE3EAE" w:rsidP="00EC581A">
            <w:pPr>
              <w:contextualSpacing/>
              <w:cnfStyle w:val="000000100000" w:firstRow="0" w:lastRow="0" w:firstColumn="0" w:lastColumn="0" w:oddVBand="0" w:evenVBand="0" w:oddHBand="1" w:evenHBand="0" w:firstRowFirstColumn="0" w:firstRowLastColumn="0" w:lastRowFirstColumn="0" w:lastRowLastColumn="0"/>
            </w:pPr>
          </w:p>
        </w:tc>
        <w:tc>
          <w:tcPr>
            <w:tcW w:w="1644" w:type="dxa"/>
          </w:tcPr>
          <w:p w14:paraId="325C5336" w14:textId="77777777" w:rsidR="00A97B90" w:rsidRDefault="00A97B90" w:rsidP="00D611E0">
            <w:pPr>
              <w:cnfStyle w:val="000000100000" w:firstRow="0" w:lastRow="0" w:firstColumn="0" w:lastColumn="0" w:oddVBand="0" w:evenVBand="0" w:oddHBand="1" w:evenHBand="0" w:firstRowFirstColumn="0" w:firstRowLastColumn="0" w:lastRowFirstColumn="0" w:lastRowLastColumn="0"/>
            </w:pPr>
            <w:r>
              <w:t>Section 6 of the WELS Determination 2013.</w:t>
            </w:r>
          </w:p>
        </w:tc>
      </w:tr>
    </w:tbl>
    <w:p w14:paraId="5FEB5CFD" w14:textId="2205F092" w:rsidR="00DE3EAE" w:rsidRDefault="00DE3EAE" w:rsidP="00205A3B">
      <w:pPr>
        <w:rPr>
          <w:lang w:eastAsia="ja-JP"/>
        </w:rPr>
      </w:pPr>
    </w:p>
    <w:p w14:paraId="58EAC2A4" w14:textId="77777777" w:rsidR="00DE3EAE" w:rsidRDefault="00DE3EAE">
      <w:pPr>
        <w:spacing w:after="0" w:line="240" w:lineRule="auto"/>
        <w:rPr>
          <w:lang w:eastAsia="ja-JP"/>
        </w:rPr>
      </w:pPr>
      <w:r>
        <w:rPr>
          <w:lang w:eastAsia="ja-JP"/>
        </w:rPr>
        <w:br w:type="page"/>
      </w:r>
    </w:p>
    <w:p w14:paraId="4F31D7B0" w14:textId="44BEF81F" w:rsidR="005C7D63" w:rsidRPr="002C594C" w:rsidRDefault="005C7D63" w:rsidP="002C594C">
      <w:pPr>
        <w:pStyle w:val="Heading4"/>
      </w:pPr>
      <w:r w:rsidRPr="002C594C">
        <w:lastRenderedPageBreak/>
        <w:t>Dish washing machines and clothes washing machines</w:t>
      </w:r>
    </w:p>
    <w:p w14:paraId="30AFD080" w14:textId="2369514C" w:rsidR="00A97B90" w:rsidRDefault="00A97B90" w:rsidP="002C594C">
      <w:pPr>
        <w:rPr>
          <w:lang w:eastAsia="ja-JP"/>
        </w:rPr>
      </w:pPr>
      <w:r>
        <w:rPr>
          <w:lang w:eastAsia="ja-JP"/>
        </w:rPr>
        <w:t xml:space="preserve">It is proposed that </w:t>
      </w:r>
      <w:r w:rsidR="00DE4527">
        <w:rPr>
          <w:lang w:eastAsia="ja-JP"/>
        </w:rPr>
        <w:t xml:space="preserve">existing references in relation to dishwashing machines and clothes washing machines be clarified to ensure that </w:t>
      </w:r>
      <w:proofErr w:type="gramStart"/>
      <w:r w:rsidR="00DE4527">
        <w:rPr>
          <w:lang w:eastAsia="ja-JP"/>
        </w:rPr>
        <w:t>particular product</w:t>
      </w:r>
      <w:proofErr w:type="gramEnd"/>
      <w:r w:rsidR="00DE4527">
        <w:rPr>
          <w:lang w:eastAsia="ja-JP"/>
        </w:rPr>
        <w:t xml:space="preserve"> types are </w:t>
      </w:r>
      <w:r>
        <w:rPr>
          <w:lang w:eastAsia="ja-JP"/>
        </w:rPr>
        <w:t xml:space="preserve">excluded from the WELS scheme. </w:t>
      </w:r>
      <w:r w:rsidRPr="0008500D">
        <w:rPr>
          <w:lang w:eastAsia="ja-JP"/>
        </w:rPr>
        <w:t xml:space="preserve">These </w:t>
      </w:r>
      <w:r w:rsidR="00DE4527" w:rsidRPr="0008500D">
        <w:rPr>
          <w:lang w:eastAsia="ja-JP"/>
        </w:rPr>
        <w:t xml:space="preserve">clarifications are </w:t>
      </w:r>
      <w:r w:rsidRPr="0008500D">
        <w:rPr>
          <w:lang w:eastAsia="ja-JP"/>
        </w:rPr>
        <w:t>include</w:t>
      </w:r>
      <w:r w:rsidR="00DE4527" w:rsidRPr="0008500D">
        <w:rPr>
          <w:lang w:eastAsia="ja-JP"/>
        </w:rPr>
        <w:t>d</w:t>
      </w:r>
      <w:r w:rsidRPr="0008500D">
        <w:rPr>
          <w:lang w:eastAsia="ja-JP"/>
        </w:rPr>
        <w:t xml:space="preserve"> in Table</w:t>
      </w:r>
      <w:r w:rsidR="00DE4527" w:rsidRPr="0008500D">
        <w:rPr>
          <w:lang w:eastAsia="ja-JP"/>
        </w:rPr>
        <w:t>s</w:t>
      </w:r>
      <w:r w:rsidRPr="0008500D">
        <w:rPr>
          <w:lang w:eastAsia="ja-JP"/>
        </w:rPr>
        <w:t xml:space="preserve"> </w:t>
      </w:r>
      <w:r w:rsidR="00D3184D" w:rsidRPr="0008500D">
        <w:rPr>
          <w:lang w:eastAsia="ja-JP"/>
        </w:rPr>
        <w:t>7</w:t>
      </w:r>
      <w:r w:rsidRPr="0008500D">
        <w:rPr>
          <w:lang w:eastAsia="ja-JP"/>
        </w:rPr>
        <w:t xml:space="preserve"> to </w:t>
      </w:r>
      <w:r w:rsidR="00D3184D" w:rsidRPr="0008500D">
        <w:rPr>
          <w:lang w:eastAsia="ja-JP"/>
        </w:rPr>
        <w:t>8</w:t>
      </w:r>
      <w:r w:rsidRPr="0008500D">
        <w:rPr>
          <w:lang w:eastAsia="ja-JP"/>
        </w:rPr>
        <w:t xml:space="preserve"> below:</w:t>
      </w:r>
    </w:p>
    <w:p w14:paraId="437579CC" w14:textId="323E434B" w:rsidR="00A97B90" w:rsidRPr="0050276A" w:rsidRDefault="00A97B90" w:rsidP="00F0258E">
      <w:pPr>
        <w:pStyle w:val="Caption"/>
        <w:rPr>
          <w:lang w:eastAsia="ja-JP"/>
        </w:rPr>
      </w:pPr>
      <w:bookmarkStart w:id="34" w:name="_Toc170479600"/>
      <w:bookmarkStart w:id="35" w:name="_Toc171419308"/>
      <w:r w:rsidRPr="0050276A">
        <w:rPr>
          <w:lang w:eastAsia="ja-JP"/>
        </w:rPr>
        <w:t xml:space="preserve">Table </w:t>
      </w:r>
      <w:r w:rsidR="00D3184D" w:rsidRPr="0050276A">
        <w:rPr>
          <w:lang w:eastAsia="ja-JP"/>
        </w:rPr>
        <w:t>7</w:t>
      </w:r>
      <w:r w:rsidRPr="0050276A">
        <w:rPr>
          <w:lang w:eastAsia="ja-JP"/>
        </w:rPr>
        <w:t xml:space="preserve">. </w:t>
      </w:r>
      <w:r w:rsidR="005C7D63" w:rsidRPr="0050276A">
        <w:rPr>
          <w:lang w:eastAsia="ja-JP"/>
        </w:rPr>
        <w:t>Dishwashers</w:t>
      </w:r>
      <w:bookmarkEnd w:id="34"/>
      <w:bookmarkEnd w:id="35"/>
    </w:p>
    <w:tbl>
      <w:tblPr>
        <w:tblStyle w:val="ListTable3-Accent1"/>
        <w:tblW w:w="0" w:type="auto"/>
        <w:tblLayout w:type="fixed"/>
        <w:tblLook w:val="04A0" w:firstRow="1" w:lastRow="0" w:firstColumn="1" w:lastColumn="0" w:noHBand="0" w:noVBand="1"/>
      </w:tblPr>
      <w:tblGrid>
        <w:gridCol w:w="1969"/>
        <w:gridCol w:w="11"/>
        <w:gridCol w:w="5378"/>
        <w:gridCol w:w="8"/>
        <w:gridCol w:w="1644"/>
      </w:tblGrid>
      <w:tr w:rsidR="00A97B90" w14:paraId="36931C94" w14:textId="77777777" w:rsidTr="00F0258E">
        <w:trPr>
          <w:cnfStyle w:val="100000000000" w:firstRow="1" w:lastRow="0" w:firstColumn="0" w:lastColumn="0" w:oddVBand="0" w:evenVBand="0" w:oddHBand="0" w:evenHBand="0" w:firstRowFirstColumn="0" w:firstRowLastColumn="0" w:lastRowFirstColumn="0" w:lastRowLastColumn="0"/>
          <w:trHeight w:val="70"/>
          <w:tblHeader/>
        </w:trPr>
        <w:tc>
          <w:tcPr>
            <w:cnfStyle w:val="001000000100" w:firstRow="0" w:lastRow="0" w:firstColumn="1" w:lastColumn="0" w:oddVBand="0" w:evenVBand="0" w:oddHBand="0" w:evenHBand="0" w:firstRowFirstColumn="1" w:firstRowLastColumn="0" w:lastRowFirstColumn="0" w:lastRowLastColumn="0"/>
            <w:tcW w:w="1980" w:type="dxa"/>
            <w:gridSpan w:val="2"/>
          </w:tcPr>
          <w:p w14:paraId="0D161705" w14:textId="77777777" w:rsidR="00A97B90" w:rsidRPr="00B12AC2" w:rsidRDefault="00A97B90" w:rsidP="00D611E0">
            <w:pPr>
              <w:rPr>
                <w:b w:val="0"/>
                <w:bCs w:val="0"/>
              </w:rPr>
            </w:pPr>
            <w:r w:rsidRPr="00B12AC2">
              <w:t>Amendment</w:t>
            </w:r>
          </w:p>
        </w:tc>
        <w:tc>
          <w:tcPr>
            <w:tcW w:w="5386" w:type="dxa"/>
            <w:gridSpan w:val="2"/>
          </w:tcPr>
          <w:p w14:paraId="237DD962" w14:textId="77777777" w:rsidR="00A97B90" w:rsidRPr="00B12AC2" w:rsidRDefault="00A97B90" w:rsidP="00D611E0">
            <w:pPr>
              <w:contextualSpacing/>
              <w:cnfStyle w:val="100000000000" w:firstRow="1" w:lastRow="0" w:firstColumn="0" w:lastColumn="0" w:oddVBand="0" w:evenVBand="0" w:oddHBand="0" w:evenHBand="0" w:firstRowFirstColumn="0" w:firstRowLastColumn="0" w:lastRowFirstColumn="0" w:lastRowLastColumn="0"/>
              <w:rPr>
                <w:b w:val="0"/>
                <w:bCs w:val="0"/>
              </w:rPr>
            </w:pPr>
            <w:r w:rsidRPr="00B12AC2">
              <w:t>Description</w:t>
            </w:r>
          </w:p>
        </w:tc>
        <w:tc>
          <w:tcPr>
            <w:tcW w:w="1644" w:type="dxa"/>
          </w:tcPr>
          <w:p w14:paraId="2E0951C7" w14:textId="77777777" w:rsidR="00A97B90" w:rsidRPr="00B12AC2" w:rsidRDefault="00A97B90" w:rsidP="00D611E0">
            <w:pPr>
              <w:cnfStyle w:val="100000000000" w:firstRow="1" w:lastRow="0" w:firstColumn="0" w:lastColumn="0" w:oddVBand="0" w:evenVBand="0" w:oddHBand="0" w:evenHBand="0" w:firstRowFirstColumn="0" w:firstRowLastColumn="0" w:lastRowFirstColumn="0" w:lastRowLastColumn="0"/>
              <w:rPr>
                <w:b w:val="0"/>
                <w:bCs w:val="0"/>
              </w:rPr>
            </w:pPr>
            <w:r w:rsidRPr="00B12AC2">
              <w:t>Legislative reference</w:t>
            </w:r>
          </w:p>
        </w:tc>
      </w:tr>
      <w:tr w:rsidR="00A97B90" w14:paraId="517CF7DC" w14:textId="77777777" w:rsidTr="003B584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69" w:type="dxa"/>
          </w:tcPr>
          <w:p w14:paraId="19458D83" w14:textId="11BD78A1" w:rsidR="00A97B90" w:rsidRPr="006621B5" w:rsidRDefault="00A97B90" w:rsidP="00A97B90">
            <w:r>
              <w:t xml:space="preserve">Clarify the specification of </w:t>
            </w:r>
            <w:r w:rsidR="007C30F0">
              <w:t xml:space="preserve">included </w:t>
            </w:r>
            <w:r>
              <w:t>electric dishwashers</w:t>
            </w:r>
          </w:p>
        </w:tc>
        <w:tc>
          <w:tcPr>
            <w:tcW w:w="5389" w:type="dxa"/>
            <w:gridSpan w:val="2"/>
          </w:tcPr>
          <w:p w14:paraId="760E0AE6" w14:textId="4FAFB0F8" w:rsidR="007C30F0" w:rsidRDefault="007C30F0" w:rsidP="00F0258E">
            <w:pPr>
              <w:cnfStyle w:val="000000100000" w:firstRow="0" w:lastRow="0" w:firstColumn="0" w:lastColumn="0" w:oddVBand="0" w:evenVBand="0" w:oddHBand="1" w:evenHBand="0" w:firstRowFirstColumn="0" w:firstRowLastColumn="0" w:lastRowFirstColumn="0" w:lastRowLastColumn="0"/>
            </w:pPr>
            <w:r>
              <w:t xml:space="preserve">The intention of this amendment is to remove </w:t>
            </w:r>
            <w:proofErr w:type="gramStart"/>
            <w:r>
              <w:t>particular types</w:t>
            </w:r>
            <w:proofErr w:type="gramEnd"/>
            <w:r>
              <w:t xml:space="preserve"> of electric dishwashes from the WELS scheme. This will be achieved by clarifying the types of electric dishwashes which are include</w:t>
            </w:r>
            <w:r w:rsidR="00A37E5B">
              <w:t>d</w:t>
            </w:r>
            <w:r>
              <w:t xml:space="preserve"> in the scheme.</w:t>
            </w:r>
          </w:p>
          <w:p w14:paraId="47ACC3FA" w14:textId="17404F1C" w:rsidR="007C30F0" w:rsidRDefault="007C30F0" w:rsidP="00F0258E">
            <w:pPr>
              <w:cnfStyle w:val="000000100000" w:firstRow="0" w:lastRow="0" w:firstColumn="0" w:lastColumn="0" w:oddVBand="0" w:evenVBand="0" w:oddHBand="1" w:evenHBand="0" w:firstRowFirstColumn="0" w:firstRowLastColumn="0" w:lastRowFirstColumn="0" w:lastRowLastColumn="0"/>
            </w:pPr>
            <w:r>
              <w:t xml:space="preserve">It is proposed that electric dishwashers included in the WELS scheme must </w:t>
            </w:r>
            <w:r w:rsidR="00CF0A11">
              <w:t xml:space="preserve">be able to </w:t>
            </w:r>
            <w:r>
              <w:t>have a fixed connection to a potable water supply and be intended for household use.</w:t>
            </w:r>
          </w:p>
          <w:p w14:paraId="1C528826" w14:textId="17379654" w:rsidR="00DE3EAE" w:rsidRPr="006621B5" w:rsidRDefault="00A97B90" w:rsidP="00F0258E">
            <w:pPr>
              <w:cnfStyle w:val="000000100000" w:firstRow="0" w:lastRow="0" w:firstColumn="0" w:lastColumn="0" w:oddVBand="0" w:evenVBand="0" w:oddHBand="1" w:evenHBand="0" w:firstRowFirstColumn="0" w:firstRowLastColumn="0" w:lastRowFirstColumn="0" w:lastRowLastColumn="0"/>
            </w:pPr>
            <w:r w:rsidRPr="000013CF">
              <w:t xml:space="preserve">The intention is to </w:t>
            </w:r>
            <w:r>
              <w:t>exclude</w:t>
            </w:r>
            <w:r w:rsidRPr="000013CF">
              <w:t xml:space="preserve"> portable </w:t>
            </w:r>
            <w:r w:rsidR="00A37E5B">
              <w:t xml:space="preserve">appliances </w:t>
            </w:r>
            <w:r w:rsidRPr="000013CF">
              <w:t xml:space="preserve">from the scope of the scheme </w:t>
            </w:r>
            <w:r w:rsidR="007C30F0">
              <w:t>which</w:t>
            </w:r>
            <w:r w:rsidRPr="000013CF">
              <w:t xml:space="preserve"> </w:t>
            </w:r>
            <w:r w:rsidR="00CF0A11">
              <w:t xml:space="preserve">exclusively </w:t>
            </w:r>
            <w:r w:rsidRPr="000013CF">
              <w:t xml:space="preserve">rely on </w:t>
            </w:r>
            <w:r w:rsidR="007C30F0">
              <w:t>a</w:t>
            </w:r>
            <w:r w:rsidRPr="000013CF">
              <w:t xml:space="preserve"> user manually fill</w:t>
            </w:r>
            <w:r>
              <w:t>ing</w:t>
            </w:r>
            <w:r w:rsidRPr="000013CF">
              <w:t xml:space="preserve"> </w:t>
            </w:r>
            <w:r w:rsidR="007C30F0">
              <w:t xml:space="preserve">the appliance </w:t>
            </w:r>
            <w:r w:rsidRPr="000013CF">
              <w:t xml:space="preserve">with a fixed </w:t>
            </w:r>
            <w:r>
              <w:t>volume</w:t>
            </w:r>
            <w:r w:rsidRPr="000013CF">
              <w:t xml:space="preserve"> of water to operate.</w:t>
            </w:r>
          </w:p>
        </w:tc>
        <w:tc>
          <w:tcPr>
            <w:tcW w:w="1652" w:type="dxa"/>
            <w:gridSpan w:val="2"/>
          </w:tcPr>
          <w:p w14:paraId="253DDE11" w14:textId="4FB1A676" w:rsidR="00A97B90" w:rsidRPr="00FC5E94" w:rsidRDefault="00A97B90" w:rsidP="00A97B90">
            <w:pPr>
              <w:cnfStyle w:val="000000100000" w:firstRow="0" w:lastRow="0" w:firstColumn="0" w:lastColumn="0" w:oddVBand="0" w:evenVBand="0" w:oddHBand="1" w:evenHBand="0" w:firstRowFirstColumn="0" w:firstRowLastColumn="0" w:lastRowFirstColumn="0" w:lastRowLastColumn="0"/>
            </w:pPr>
            <w:r>
              <w:t>Section 6 of the WELS Determination 2013.</w:t>
            </w:r>
          </w:p>
        </w:tc>
      </w:tr>
    </w:tbl>
    <w:p w14:paraId="15472943" w14:textId="77777777" w:rsidR="00706163" w:rsidRDefault="00706163" w:rsidP="00706163">
      <w:pPr>
        <w:rPr>
          <w:lang w:eastAsia="ja-JP"/>
        </w:rPr>
      </w:pPr>
    </w:p>
    <w:p w14:paraId="13A10FAC" w14:textId="6036116B" w:rsidR="00A97B90" w:rsidRPr="0050276A" w:rsidRDefault="00A97B90" w:rsidP="00706163">
      <w:pPr>
        <w:pStyle w:val="Caption"/>
        <w:rPr>
          <w:lang w:eastAsia="ja-JP"/>
        </w:rPr>
      </w:pPr>
      <w:bookmarkStart w:id="36" w:name="_Toc171419309"/>
      <w:r w:rsidRPr="0050276A">
        <w:rPr>
          <w:lang w:eastAsia="ja-JP"/>
        </w:rPr>
        <w:t xml:space="preserve">Table </w:t>
      </w:r>
      <w:r w:rsidR="00D3184D" w:rsidRPr="0050276A">
        <w:rPr>
          <w:lang w:eastAsia="ja-JP"/>
        </w:rPr>
        <w:t>8</w:t>
      </w:r>
      <w:r w:rsidRPr="0050276A">
        <w:rPr>
          <w:lang w:eastAsia="ja-JP"/>
        </w:rPr>
        <w:t xml:space="preserve">. </w:t>
      </w:r>
      <w:r w:rsidR="005C7D63" w:rsidRPr="0050276A">
        <w:rPr>
          <w:lang w:eastAsia="ja-JP"/>
        </w:rPr>
        <w:t>Clothes washing machines</w:t>
      </w:r>
      <w:bookmarkEnd w:id="36"/>
    </w:p>
    <w:tbl>
      <w:tblPr>
        <w:tblStyle w:val="ListTable3-Accent1"/>
        <w:tblW w:w="0" w:type="auto"/>
        <w:tblLayout w:type="fixed"/>
        <w:tblLook w:val="04A0" w:firstRow="1" w:lastRow="0" w:firstColumn="1" w:lastColumn="0" w:noHBand="0" w:noVBand="1"/>
      </w:tblPr>
      <w:tblGrid>
        <w:gridCol w:w="1980"/>
        <w:gridCol w:w="5378"/>
        <w:gridCol w:w="8"/>
        <w:gridCol w:w="1644"/>
      </w:tblGrid>
      <w:tr w:rsidR="00A97B90" w14:paraId="5A5622B0" w14:textId="77777777" w:rsidTr="003B584A">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980" w:type="dxa"/>
          </w:tcPr>
          <w:p w14:paraId="3D852F72" w14:textId="77777777" w:rsidR="00A97B90" w:rsidRPr="00B12AC2" w:rsidRDefault="00A97B90" w:rsidP="00D611E0">
            <w:pPr>
              <w:rPr>
                <w:b w:val="0"/>
                <w:bCs w:val="0"/>
              </w:rPr>
            </w:pPr>
            <w:r w:rsidRPr="00B12AC2">
              <w:t>Amendment</w:t>
            </w:r>
          </w:p>
        </w:tc>
        <w:tc>
          <w:tcPr>
            <w:tcW w:w="5386" w:type="dxa"/>
            <w:gridSpan w:val="2"/>
          </w:tcPr>
          <w:p w14:paraId="397A0267" w14:textId="77777777" w:rsidR="00A97B90" w:rsidRPr="00B12AC2" w:rsidRDefault="00A97B90" w:rsidP="00D611E0">
            <w:pPr>
              <w:contextualSpacing/>
              <w:cnfStyle w:val="100000000000" w:firstRow="1" w:lastRow="0" w:firstColumn="0" w:lastColumn="0" w:oddVBand="0" w:evenVBand="0" w:oddHBand="0" w:evenHBand="0" w:firstRowFirstColumn="0" w:firstRowLastColumn="0" w:lastRowFirstColumn="0" w:lastRowLastColumn="0"/>
              <w:rPr>
                <w:b w:val="0"/>
                <w:bCs w:val="0"/>
              </w:rPr>
            </w:pPr>
            <w:r w:rsidRPr="00B12AC2">
              <w:t>Description</w:t>
            </w:r>
          </w:p>
        </w:tc>
        <w:tc>
          <w:tcPr>
            <w:tcW w:w="1644" w:type="dxa"/>
          </w:tcPr>
          <w:p w14:paraId="18BB0907" w14:textId="77777777" w:rsidR="00A97B90" w:rsidRPr="00B12AC2" w:rsidRDefault="00A97B90" w:rsidP="00D611E0">
            <w:pPr>
              <w:cnfStyle w:val="100000000000" w:firstRow="1" w:lastRow="0" w:firstColumn="0" w:lastColumn="0" w:oddVBand="0" w:evenVBand="0" w:oddHBand="0" w:evenHBand="0" w:firstRowFirstColumn="0" w:firstRowLastColumn="0" w:lastRowFirstColumn="0" w:lastRowLastColumn="0"/>
              <w:rPr>
                <w:b w:val="0"/>
                <w:bCs w:val="0"/>
              </w:rPr>
            </w:pPr>
            <w:r w:rsidRPr="00B12AC2">
              <w:t>Legislative reference</w:t>
            </w:r>
          </w:p>
        </w:tc>
      </w:tr>
      <w:tr w:rsidR="00A97B90" w14:paraId="5F60B76B" w14:textId="77777777" w:rsidTr="003B584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0" w:type="dxa"/>
          </w:tcPr>
          <w:p w14:paraId="6D110C61" w14:textId="551640B3" w:rsidR="00A97B90" w:rsidRDefault="007C30F0" w:rsidP="00A97B90">
            <w:r>
              <w:t>Clarify the specification of included electric clothes washing machines</w:t>
            </w:r>
          </w:p>
        </w:tc>
        <w:tc>
          <w:tcPr>
            <w:tcW w:w="5378" w:type="dxa"/>
          </w:tcPr>
          <w:p w14:paraId="5F9DF6BA" w14:textId="4FEEEC45" w:rsidR="007C30F0" w:rsidRDefault="007C30F0" w:rsidP="00F0258E">
            <w:pPr>
              <w:cnfStyle w:val="000000100000" w:firstRow="0" w:lastRow="0" w:firstColumn="0" w:lastColumn="0" w:oddVBand="0" w:evenVBand="0" w:oddHBand="1" w:evenHBand="0" w:firstRowFirstColumn="0" w:firstRowLastColumn="0" w:lastRowFirstColumn="0" w:lastRowLastColumn="0"/>
            </w:pPr>
            <w:r>
              <w:t xml:space="preserve">The intention of this amendment is to remove </w:t>
            </w:r>
            <w:proofErr w:type="gramStart"/>
            <w:r>
              <w:t>particular types</w:t>
            </w:r>
            <w:proofErr w:type="gramEnd"/>
            <w:r>
              <w:t xml:space="preserve"> of electric clothes washing machines from the WELS scheme. This will be achieved by clarifying the types of electric </w:t>
            </w:r>
            <w:r w:rsidR="00A37E5B">
              <w:t xml:space="preserve">clothes washing machines </w:t>
            </w:r>
            <w:r w:rsidR="00E748C9">
              <w:t xml:space="preserve">which </w:t>
            </w:r>
            <w:r>
              <w:t>are include</w:t>
            </w:r>
            <w:r w:rsidR="00A37E5B">
              <w:t>d</w:t>
            </w:r>
            <w:r>
              <w:t xml:space="preserve"> in the scheme.</w:t>
            </w:r>
          </w:p>
          <w:p w14:paraId="7126B228" w14:textId="4E289BBA" w:rsidR="007C30F0" w:rsidRDefault="007C30F0" w:rsidP="00F0258E">
            <w:pPr>
              <w:cnfStyle w:val="000000100000" w:firstRow="0" w:lastRow="0" w:firstColumn="0" w:lastColumn="0" w:oddVBand="0" w:evenVBand="0" w:oddHBand="1" w:evenHBand="0" w:firstRowFirstColumn="0" w:firstRowLastColumn="0" w:lastRowFirstColumn="0" w:lastRowLastColumn="0"/>
            </w:pPr>
            <w:r>
              <w:t xml:space="preserve">It is proposed that electric </w:t>
            </w:r>
            <w:r w:rsidR="00A37E5B">
              <w:t>clothes washing machines</w:t>
            </w:r>
            <w:r>
              <w:t xml:space="preserve"> included in the WELS scheme must </w:t>
            </w:r>
            <w:r w:rsidR="00CF0A11">
              <w:t xml:space="preserve">be able to </w:t>
            </w:r>
            <w:r>
              <w:t>have a fixed connection to a potable water supply and be intended for household use.</w:t>
            </w:r>
          </w:p>
          <w:p w14:paraId="4214C752" w14:textId="6D7BE80B" w:rsidR="00DE3EAE" w:rsidRDefault="007C30F0" w:rsidP="00F0258E">
            <w:pPr>
              <w:cnfStyle w:val="000000100000" w:firstRow="0" w:lastRow="0" w:firstColumn="0" w:lastColumn="0" w:oddVBand="0" w:evenVBand="0" w:oddHBand="1" w:evenHBand="0" w:firstRowFirstColumn="0" w:firstRowLastColumn="0" w:lastRowFirstColumn="0" w:lastRowLastColumn="0"/>
            </w:pPr>
            <w:r w:rsidRPr="000013CF">
              <w:t xml:space="preserve">The intention is to </w:t>
            </w:r>
            <w:r>
              <w:t>exclude</w:t>
            </w:r>
            <w:r w:rsidRPr="000013CF">
              <w:t xml:space="preserve"> portable </w:t>
            </w:r>
            <w:r w:rsidR="00A37E5B">
              <w:t xml:space="preserve">appliances </w:t>
            </w:r>
            <w:r w:rsidRPr="000013CF">
              <w:t xml:space="preserve">from the scope of the scheme </w:t>
            </w:r>
            <w:r>
              <w:t>which</w:t>
            </w:r>
            <w:r w:rsidRPr="000013CF">
              <w:t xml:space="preserve"> </w:t>
            </w:r>
            <w:r w:rsidR="00CF0A11">
              <w:t xml:space="preserve">exclusively </w:t>
            </w:r>
            <w:r w:rsidRPr="000013CF">
              <w:t xml:space="preserve">rely on </w:t>
            </w:r>
            <w:r>
              <w:t>a</w:t>
            </w:r>
            <w:r w:rsidRPr="000013CF">
              <w:t xml:space="preserve"> user manually fill</w:t>
            </w:r>
            <w:r>
              <w:t>ing</w:t>
            </w:r>
            <w:r w:rsidRPr="000013CF">
              <w:t xml:space="preserve"> </w:t>
            </w:r>
            <w:r>
              <w:t xml:space="preserve">the appliance </w:t>
            </w:r>
            <w:r w:rsidRPr="000013CF">
              <w:t xml:space="preserve">with a fixed </w:t>
            </w:r>
            <w:r>
              <w:t>volume</w:t>
            </w:r>
            <w:r w:rsidRPr="000013CF">
              <w:t xml:space="preserve"> of water to operate.</w:t>
            </w:r>
          </w:p>
        </w:tc>
        <w:tc>
          <w:tcPr>
            <w:tcW w:w="1652" w:type="dxa"/>
            <w:gridSpan w:val="2"/>
          </w:tcPr>
          <w:p w14:paraId="322F65CA" w14:textId="4B71D34F" w:rsidR="00A97B90" w:rsidRDefault="00A97B90" w:rsidP="00A97B90">
            <w:pPr>
              <w:cnfStyle w:val="000000100000" w:firstRow="0" w:lastRow="0" w:firstColumn="0" w:lastColumn="0" w:oddVBand="0" w:evenVBand="0" w:oddHBand="1" w:evenHBand="0" w:firstRowFirstColumn="0" w:firstRowLastColumn="0" w:lastRowFirstColumn="0" w:lastRowLastColumn="0"/>
            </w:pPr>
            <w:r>
              <w:t>Section 6 of the WELS Determination 2013.</w:t>
            </w:r>
          </w:p>
        </w:tc>
      </w:tr>
    </w:tbl>
    <w:p w14:paraId="3D985A43" w14:textId="6ABD343B" w:rsidR="00205A3B" w:rsidRPr="00F0258E" w:rsidRDefault="00205A3B" w:rsidP="00F0258E">
      <w:pPr>
        <w:pStyle w:val="Heading3"/>
      </w:pPr>
      <w:bookmarkStart w:id="37" w:name="_Toc171419295"/>
      <w:r w:rsidRPr="00F0258E">
        <w:lastRenderedPageBreak/>
        <w:t xml:space="preserve">Amendments to </w:t>
      </w:r>
      <w:r w:rsidR="00E823BC" w:rsidRPr="00F0258E">
        <w:t>Section 7</w:t>
      </w:r>
      <w:bookmarkEnd w:id="37"/>
    </w:p>
    <w:p w14:paraId="0F12220A" w14:textId="079BD535" w:rsidR="0008500D" w:rsidRDefault="00CD7DDA" w:rsidP="00F0258E">
      <w:pPr>
        <w:rPr>
          <w:lang w:eastAsia="ja-JP"/>
        </w:rPr>
      </w:pPr>
      <w:r w:rsidRPr="00CD7DDA">
        <w:rPr>
          <w:lang w:eastAsia="ja-JP"/>
        </w:rPr>
        <w:t>The proposed amendment to Section 7 of the WELS Determination is to remove grandfathering provisions applicable to shower registrations.</w:t>
      </w:r>
      <w:r>
        <w:rPr>
          <w:lang w:eastAsia="ja-JP"/>
        </w:rPr>
        <w:t xml:space="preserve"> These grandfathering provisions were used to manage the transition from AS/NZS 6400:2005 to AS/NZS 6400:2016.</w:t>
      </w:r>
    </w:p>
    <w:p w14:paraId="45B082B2" w14:textId="5A1C22E3" w:rsidR="000C6A20" w:rsidRPr="0050276A" w:rsidRDefault="000C6A20" w:rsidP="00F0258E">
      <w:pPr>
        <w:pStyle w:val="Caption"/>
        <w:rPr>
          <w:lang w:eastAsia="ja-JP"/>
        </w:rPr>
      </w:pPr>
      <w:bookmarkStart w:id="38" w:name="_Toc170479601"/>
      <w:bookmarkStart w:id="39" w:name="_Toc171419310"/>
      <w:r w:rsidRPr="0050276A">
        <w:rPr>
          <w:lang w:eastAsia="ja-JP"/>
        </w:rPr>
        <w:t xml:space="preserve">Table </w:t>
      </w:r>
      <w:r w:rsidR="00D3184D" w:rsidRPr="0050276A">
        <w:rPr>
          <w:lang w:eastAsia="ja-JP"/>
        </w:rPr>
        <w:t>9</w:t>
      </w:r>
      <w:r w:rsidRPr="0050276A">
        <w:rPr>
          <w:lang w:eastAsia="ja-JP"/>
        </w:rPr>
        <w:t xml:space="preserve">. </w:t>
      </w:r>
      <w:r w:rsidR="00194DA1" w:rsidRPr="0050276A">
        <w:rPr>
          <w:lang w:eastAsia="ja-JP"/>
        </w:rPr>
        <w:t xml:space="preserve">Removal of grandfathering </w:t>
      </w:r>
      <w:r w:rsidR="00CD7DDA" w:rsidRPr="0050276A">
        <w:rPr>
          <w:lang w:eastAsia="ja-JP"/>
        </w:rPr>
        <w:t>provisions</w:t>
      </w:r>
      <w:bookmarkEnd w:id="38"/>
      <w:bookmarkEnd w:id="39"/>
    </w:p>
    <w:tbl>
      <w:tblPr>
        <w:tblStyle w:val="ListTable3-Accent1"/>
        <w:tblW w:w="0" w:type="auto"/>
        <w:tblLayout w:type="fixed"/>
        <w:tblLook w:val="04A0" w:firstRow="1" w:lastRow="0" w:firstColumn="1" w:lastColumn="0" w:noHBand="0" w:noVBand="1"/>
      </w:tblPr>
      <w:tblGrid>
        <w:gridCol w:w="1980"/>
        <w:gridCol w:w="5386"/>
        <w:gridCol w:w="1644"/>
      </w:tblGrid>
      <w:tr w:rsidR="000C6A20" w14:paraId="4668D644" w14:textId="77777777" w:rsidTr="00F0258E">
        <w:trPr>
          <w:cnfStyle w:val="100000000000" w:firstRow="1" w:lastRow="0" w:firstColumn="0" w:lastColumn="0" w:oddVBand="0" w:evenVBand="0" w:oddHBand="0" w:evenHBand="0" w:firstRowFirstColumn="0" w:firstRowLastColumn="0" w:lastRowFirstColumn="0" w:lastRowLastColumn="0"/>
          <w:trHeight w:val="70"/>
          <w:tblHeader/>
        </w:trPr>
        <w:tc>
          <w:tcPr>
            <w:cnfStyle w:val="001000000100" w:firstRow="0" w:lastRow="0" w:firstColumn="1" w:lastColumn="0" w:oddVBand="0" w:evenVBand="0" w:oddHBand="0" w:evenHBand="0" w:firstRowFirstColumn="1" w:firstRowLastColumn="0" w:lastRowFirstColumn="0" w:lastRowLastColumn="0"/>
            <w:tcW w:w="1980" w:type="dxa"/>
          </w:tcPr>
          <w:p w14:paraId="1F92AED3" w14:textId="77777777" w:rsidR="000C6A20" w:rsidRPr="00B12AC2" w:rsidRDefault="000C6A20" w:rsidP="00305604">
            <w:pPr>
              <w:rPr>
                <w:b w:val="0"/>
                <w:bCs w:val="0"/>
              </w:rPr>
            </w:pPr>
            <w:r w:rsidRPr="00B12AC2">
              <w:t>Amendment</w:t>
            </w:r>
          </w:p>
        </w:tc>
        <w:tc>
          <w:tcPr>
            <w:tcW w:w="5386" w:type="dxa"/>
          </w:tcPr>
          <w:p w14:paraId="5949850E" w14:textId="77777777" w:rsidR="000C6A20" w:rsidRPr="00B12AC2" w:rsidRDefault="000C6A20" w:rsidP="00305604">
            <w:pPr>
              <w:contextualSpacing/>
              <w:cnfStyle w:val="100000000000" w:firstRow="1" w:lastRow="0" w:firstColumn="0" w:lastColumn="0" w:oddVBand="0" w:evenVBand="0" w:oddHBand="0" w:evenHBand="0" w:firstRowFirstColumn="0" w:firstRowLastColumn="0" w:lastRowFirstColumn="0" w:lastRowLastColumn="0"/>
              <w:rPr>
                <w:b w:val="0"/>
                <w:bCs w:val="0"/>
              </w:rPr>
            </w:pPr>
            <w:r w:rsidRPr="00B12AC2">
              <w:t>Description</w:t>
            </w:r>
          </w:p>
        </w:tc>
        <w:tc>
          <w:tcPr>
            <w:tcW w:w="1644" w:type="dxa"/>
          </w:tcPr>
          <w:p w14:paraId="748250F6" w14:textId="77777777" w:rsidR="000C6A20" w:rsidRPr="00B12AC2" w:rsidRDefault="000C6A20" w:rsidP="00305604">
            <w:pPr>
              <w:cnfStyle w:val="100000000000" w:firstRow="1" w:lastRow="0" w:firstColumn="0" w:lastColumn="0" w:oddVBand="0" w:evenVBand="0" w:oddHBand="0" w:evenHBand="0" w:firstRowFirstColumn="0" w:firstRowLastColumn="0" w:lastRowFirstColumn="0" w:lastRowLastColumn="0"/>
              <w:rPr>
                <w:b w:val="0"/>
                <w:bCs w:val="0"/>
              </w:rPr>
            </w:pPr>
            <w:r w:rsidRPr="00B12AC2">
              <w:t>Legislative reference</w:t>
            </w:r>
          </w:p>
        </w:tc>
      </w:tr>
      <w:tr w:rsidR="000C6A20" w14:paraId="716E5D22" w14:textId="77777777" w:rsidTr="003B584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0" w:type="dxa"/>
          </w:tcPr>
          <w:p w14:paraId="3EF0D3EE" w14:textId="12A409F3" w:rsidR="000C6A20" w:rsidRDefault="008B376A" w:rsidP="00305604">
            <w:r>
              <w:t>Removing grandfathered provisions relating to showers</w:t>
            </w:r>
          </w:p>
        </w:tc>
        <w:tc>
          <w:tcPr>
            <w:tcW w:w="5386" w:type="dxa"/>
          </w:tcPr>
          <w:p w14:paraId="37FF3A83" w14:textId="18A9CC36" w:rsidR="00DE3EAE" w:rsidRDefault="008B376A" w:rsidP="00F0258E">
            <w:pPr>
              <w:cnfStyle w:val="000000100000" w:firstRow="0" w:lastRow="0" w:firstColumn="0" w:lastColumn="0" w:oddVBand="0" w:evenVBand="0" w:oddHBand="1" w:evenHBand="0" w:firstRowFirstColumn="0" w:firstRowLastColumn="0" w:lastRowFirstColumn="0" w:lastRowLastColumn="0"/>
            </w:pPr>
            <w:r>
              <w:t xml:space="preserve">Various provisions </w:t>
            </w:r>
            <w:r w:rsidRPr="00856F5B">
              <w:t>were put in place as temporary grandfathering provision</w:t>
            </w:r>
            <w:r>
              <w:t>s</w:t>
            </w:r>
            <w:r w:rsidRPr="00856F5B">
              <w:t xml:space="preserve"> following the publication of the AS/NZS 6400:2016. Showers registered on or before 13 September 2016 and which had not ceased to be registered since that date, could still apply the performance, testing and labelling requirements set out in the previous version of the standard </w:t>
            </w:r>
            <w:r w:rsidR="00E748C9">
              <w:t>(</w:t>
            </w:r>
            <w:r w:rsidRPr="00856F5B">
              <w:t>AS/NZS</w:t>
            </w:r>
            <w:r w:rsidR="003524A4">
              <w:t> </w:t>
            </w:r>
            <w:r w:rsidRPr="00856F5B">
              <w:t>6400:2005</w:t>
            </w:r>
            <w:r w:rsidR="00E748C9">
              <w:t>)</w:t>
            </w:r>
            <w:r w:rsidRPr="00856F5B">
              <w:t>.</w:t>
            </w:r>
            <w:r>
              <w:t xml:space="preserve"> These provisions </w:t>
            </w:r>
            <w:r w:rsidRPr="00856F5B">
              <w:t>ceased to be in force on 1 July 2020. These provisions are now redundant and should be removed.</w:t>
            </w:r>
          </w:p>
        </w:tc>
        <w:tc>
          <w:tcPr>
            <w:tcW w:w="1644" w:type="dxa"/>
          </w:tcPr>
          <w:p w14:paraId="55748064" w14:textId="0B482543" w:rsidR="000C6A20" w:rsidRDefault="008B376A" w:rsidP="00305604">
            <w:pPr>
              <w:cnfStyle w:val="000000100000" w:firstRow="0" w:lastRow="0" w:firstColumn="0" w:lastColumn="0" w:oddVBand="0" w:evenVBand="0" w:oddHBand="1" w:evenHBand="0" w:firstRowFirstColumn="0" w:firstRowLastColumn="0" w:lastRowFirstColumn="0" w:lastRowLastColumn="0"/>
            </w:pPr>
            <w:r w:rsidRPr="00856F5B">
              <w:t>Section 7 WELS Standard</w:t>
            </w:r>
          </w:p>
        </w:tc>
      </w:tr>
    </w:tbl>
    <w:p w14:paraId="48745C54" w14:textId="77777777" w:rsidR="00205A3B" w:rsidRDefault="00205A3B" w:rsidP="00205A3B">
      <w:pPr>
        <w:rPr>
          <w:lang w:eastAsia="ja-JP"/>
        </w:rPr>
      </w:pPr>
    </w:p>
    <w:p w14:paraId="0AB21449" w14:textId="77777777" w:rsidR="00537DAB" w:rsidRDefault="00537DAB">
      <w:pPr>
        <w:spacing w:after="0" w:line="240" w:lineRule="auto"/>
        <w:rPr>
          <w:rFonts w:ascii="Calibri" w:eastAsia="Times New Roman" w:hAnsi="Calibri" w:cs="Times New Roman"/>
          <w:b/>
          <w:bCs/>
          <w:sz w:val="36"/>
          <w:szCs w:val="24"/>
          <w:lang w:eastAsia="ja-JP"/>
        </w:rPr>
      </w:pPr>
      <w:r>
        <w:rPr>
          <w:lang w:eastAsia="ja-JP"/>
        </w:rPr>
        <w:br w:type="page"/>
      </w:r>
    </w:p>
    <w:p w14:paraId="2A517472" w14:textId="109A4E14" w:rsidR="00205A3B" w:rsidRPr="00F0258E" w:rsidRDefault="00205A3B" w:rsidP="00F0258E">
      <w:pPr>
        <w:pStyle w:val="Heading3"/>
      </w:pPr>
      <w:bookmarkStart w:id="40" w:name="_Toc171419296"/>
      <w:r w:rsidRPr="00F0258E">
        <w:lastRenderedPageBreak/>
        <w:t xml:space="preserve">Amendments relating to </w:t>
      </w:r>
      <w:r w:rsidR="00CD7DDA" w:rsidRPr="00F0258E">
        <w:t>Section 8</w:t>
      </w:r>
      <w:bookmarkEnd w:id="40"/>
    </w:p>
    <w:p w14:paraId="7CD3852A" w14:textId="495B59B6" w:rsidR="000C6A20" w:rsidRPr="00D3184D" w:rsidRDefault="00E748C9" w:rsidP="00F0258E">
      <w:pPr>
        <w:rPr>
          <w:lang w:eastAsia="ja-JP"/>
        </w:rPr>
      </w:pPr>
      <w:r w:rsidRPr="00D3184D">
        <w:rPr>
          <w:lang w:eastAsia="ja-JP"/>
        </w:rPr>
        <w:t xml:space="preserve">Section 8 of the WELS Determination details </w:t>
      </w:r>
      <w:r w:rsidR="00D3184D" w:rsidRPr="00D3184D">
        <w:rPr>
          <w:lang w:eastAsia="ja-JP"/>
        </w:rPr>
        <w:t>requirements that must be met by WELS products (plumbing products only) in relation to the WaterMark certification.</w:t>
      </w:r>
    </w:p>
    <w:p w14:paraId="59A89C02" w14:textId="08899CC3" w:rsidR="000C6A20" w:rsidRPr="0050276A" w:rsidRDefault="000C6A20" w:rsidP="00F0258E">
      <w:pPr>
        <w:pStyle w:val="Caption"/>
        <w:rPr>
          <w:lang w:eastAsia="ja-JP"/>
        </w:rPr>
      </w:pPr>
      <w:bookmarkStart w:id="41" w:name="_Toc170479602"/>
      <w:bookmarkStart w:id="42" w:name="_Toc171419311"/>
      <w:r w:rsidRPr="0050276A">
        <w:rPr>
          <w:lang w:eastAsia="ja-JP"/>
        </w:rPr>
        <w:t>Table 1</w:t>
      </w:r>
      <w:r w:rsidR="00D3184D" w:rsidRPr="0050276A">
        <w:rPr>
          <w:lang w:eastAsia="ja-JP"/>
        </w:rPr>
        <w:t>0</w:t>
      </w:r>
      <w:r w:rsidRPr="0050276A">
        <w:rPr>
          <w:lang w:eastAsia="ja-JP"/>
        </w:rPr>
        <w:t xml:space="preserve">. </w:t>
      </w:r>
      <w:r w:rsidR="00D3184D" w:rsidRPr="0050276A">
        <w:rPr>
          <w:lang w:eastAsia="ja-JP"/>
        </w:rPr>
        <w:t>Amendments to Section 8 WELS standard requirements</w:t>
      </w:r>
      <w:bookmarkEnd w:id="41"/>
      <w:bookmarkEnd w:id="42"/>
    </w:p>
    <w:tbl>
      <w:tblPr>
        <w:tblStyle w:val="ListTable3-Accent1"/>
        <w:tblW w:w="0" w:type="auto"/>
        <w:tblLayout w:type="fixed"/>
        <w:tblLook w:val="04A0" w:firstRow="1" w:lastRow="0" w:firstColumn="1" w:lastColumn="0" w:noHBand="0" w:noVBand="1"/>
      </w:tblPr>
      <w:tblGrid>
        <w:gridCol w:w="1980"/>
        <w:gridCol w:w="5386"/>
        <w:gridCol w:w="1644"/>
      </w:tblGrid>
      <w:tr w:rsidR="000C6A20" w14:paraId="5F36C905" w14:textId="77777777" w:rsidTr="006F0F14">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980" w:type="dxa"/>
          </w:tcPr>
          <w:p w14:paraId="3475ED64" w14:textId="77777777" w:rsidR="000C6A20" w:rsidRPr="00B12AC2" w:rsidRDefault="000C6A20" w:rsidP="00305604">
            <w:pPr>
              <w:rPr>
                <w:b w:val="0"/>
                <w:bCs w:val="0"/>
              </w:rPr>
            </w:pPr>
            <w:bookmarkStart w:id="43" w:name="_Hlk169162686"/>
            <w:r w:rsidRPr="00B12AC2">
              <w:t>Amendment</w:t>
            </w:r>
          </w:p>
        </w:tc>
        <w:tc>
          <w:tcPr>
            <w:tcW w:w="5386" w:type="dxa"/>
          </w:tcPr>
          <w:p w14:paraId="2B20E80D" w14:textId="77777777" w:rsidR="000C6A20" w:rsidRPr="00B12AC2" w:rsidRDefault="000C6A20" w:rsidP="00305604">
            <w:pPr>
              <w:contextualSpacing/>
              <w:cnfStyle w:val="100000000000" w:firstRow="1" w:lastRow="0" w:firstColumn="0" w:lastColumn="0" w:oddVBand="0" w:evenVBand="0" w:oddHBand="0" w:evenHBand="0" w:firstRowFirstColumn="0" w:firstRowLastColumn="0" w:lastRowFirstColumn="0" w:lastRowLastColumn="0"/>
              <w:rPr>
                <w:b w:val="0"/>
                <w:bCs w:val="0"/>
              </w:rPr>
            </w:pPr>
            <w:r w:rsidRPr="00B12AC2">
              <w:t>Description</w:t>
            </w:r>
          </w:p>
        </w:tc>
        <w:tc>
          <w:tcPr>
            <w:tcW w:w="1644" w:type="dxa"/>
          </w:tcPr>
          <w:p w14:paraId="28730295" w14:textId="77777777" w:rsidR="000C6A20" w:rsidRPr="00B12AC2" w:rsidRDefault="000C6A20" w:rsidP="00305604">
            <w:pPr>
              <w:cnfStyle w:val="100000000000" w:firstRow="1" w:lastRow="0" w:firstColumn="0" w:lastColumn="0" w:oddVBand="0" w:evenVBand="0" w:oddHBand="0" w:evenHBand="0" w:firstRowFirstColumn="0" w:firstRowLastColumn="0" w:lastRowFirstColumn="0" w:lastRowLastColumn="0"/>
              <w:rPr>
                <w:b w:val="0"/>
                <w:bCs w:val="0"/>
              </w:rPr>
            </w:pPr>
            <w:r w:rsidRPr="00B12AC2">
              <w:t>Legislative reference</w:t>
            </w:r>
          </w:p>
        </w:tc>
      </w:tr>
      <w:bookmarkEnd w:id="43"/>
      <w:tr w:rsidR="000C6A20" w14:paraId="7D0104C5" w14:textId="77777777" w:rsidTr="006F0F1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0" w:type="dxa"/>
          </w:tcPr>
          <w:p w14:paraId="53CABC2D" w14:textId="11A18E6E" w:rsidR="000C6A20" w:rsidRDefault="003524A4" w:rsidP="00305604">
            <w:r>
              <w:t xml:space="preserve">Updating WELS </w:t>
            </w:r>
            <w:r w:rsidR="007E775E">
              <w:t xml:space="preserve">standard compliance requirements for WELS </w:t>
            </w:r>
            <w:r>
              <w:t>products (plumbing products</w:t>
            </w:r>
            <w:r w:rsidR="007E775E">
              <w:t xml:space="preserve"> only</w:t>
            </w:r>
            <w:r>
              <w:t>)</w:t>
            </w:r>
          </w:p>
        </w:tc>
        <w:tc>
          <w:tcPr>
            <w:tcW w:w="5386" w:type="dxa"/>
          </w:tcPr>
          <w:p w14:paraId="48046D88" w14:textId="492F3E17" w:rsidR="000C6A20" w:rsidRDefault="003524A4" w:rsidP="00F0258E">
            <w:pPr>
              <w:cnfStyle w:val="000000100000" w:firstRow="0" w:lastRow="0" w:firstColumn="0" w:lastColumn="0" w:oddVBand="0" w:evenVBand="0" w:oddHBand="1" w:evenHBand="0" w:firstRowFirstColumn="0" w:firstRowLastColumn="0" w:lastRowFirstColumn="0" w:lastRowLastColumn="0"/>
            </w:pPr>
            <w:r>
              <w:t>WELS products (plumbing products</w:t>
            </w:r>
            <w:r w:rsidR="007E775E">
              <w:t xml:space="preserve"> only</w:t>
            </w:r>
            <w:r>
              <w:t>) are currently required to comply with section G of th</w:t>
            </w:r>
            <w:r w:rsidR="007E775E">
              <w:t>e Plumbing</w:t>
            </w:r>
            <w:r>
              <w:t xml:space="preserve"> Code or section 2.2 of Part 1 of AS/NZS 3500.</w:t>
            </w:r>
          </w:p>
          <w:p w14:paraId="7137BBC5" w14:textId="77777777" w:rsidR="0008500D" w:rsidRDefault="003524A4" w:rsidP="00F0258E">
            <w:pPr>
              <w:cnfStyle w:val="000000100000" w:firstRow="0" w:lastRow="0" w:firstColumn="0" w:lastColumn="0" w:oddVBand="0" w:evenVBand="0" w:oddHBand="1" w:evenHBand="0" w:firstRowFirstColumn="0" w:firstRowLastColumn="0" w:lastRowFirstColumn="0" w:lastRowLastColumn="0"/>
            </w:pPr>
            <w:r>
              <w:t xml:space="preserve">These references are </w:t>
            </w:r>
            <w:r w:rsidR="00CF0A11">
              <w:t xml:space="preserve">specific to </w:t>
            </w:r>
            <w:r w:rsidR="00262824">
              <w:t>publication</w:t>
            </w:r>
            <w:r w:rsidR="00CF0A11">
              <w:t>s of the Plumbing Code and AS/NZS 3500 that have been superseded</w:t>
            </w:r>
            <w:r w:rsidR="00262824">
              <w:t>.</w:t>
            </w:r>
          </w:p>
          <w:p w14:paraId="427E57F4" w14:textId="04010303" w:rsidR="0008500D" w:rsidRDefault="005D679B" w:rsidP="00F0258E">
            <w:pPr>
              <w:cnfStyle w:val="000000100000" w:firstRow="0" w:lastRow="0" w:firstColumn="0" w:lastColumn="0" w:oddVBand="0" w:evenVBand="0" w:oddHBand="1" w:evenHBand="0" w:firstRowFirstColumn="0" w:firstRowLastColumn="0" w:lastRowFirstColumn="0" w:lastRowLastColumn="0"/>
            </w:pPr>
            <w:r>
              <w:t xml:space="preserve">An </w:t>
            </w:r>
            <w:r w:rsidR="0008500D">
              <w:t xml:space="preserve">amendment </w:t>
            </w:r>
            <w:r w:rsidR="00262824">
              <w:t xml:space="preserve">is proposed to the </w:t>
            </w:r>
            <w:r>
              <w:t xml:space="preserve">Plumbing Code </w:t>
            </w:r>
            <w:r w:rsidR="00262824">
              <w:t>definiti</w:t>
            </w:r>
            <w:r w:rsidR="00D77C5B">
              <w:t>on</w:t>
            </w:r>
            <w:r w:rsidR="00262824">
              <w:t xml:space="preserve"> to </w:t>
            </w:r>
            <w:r w:rsidR="0008500D">
              <w:t xml:space="preserve">align it to </w:t>
            </w:r>
            <w:r w:rsidR="00262824">
              <w:t xml:space="preserve">the current publication of the Plumbing Code and </w:t>
            </w:r>
            <w:r w:rsidR="0008500D">
              <w:t xml:space="preserve">to </w:t>
            </w:r>
            <w:r w:rsidR="00262824">
              <w:t>remov</w:t>
            </w:r>
            <w:r w:rsidR="0008500D">
              <w:t xml:space="preserve">e </w:t>
            </w:r>
            <w:r w:rsidR="00D77C5B">
              <w:t>the AS/NZS 3500 definition</w:t>
            </w:r>
            <w:r>
              <w:t xml:space="preserve"> (see 1.1 Amendment to definitions and references)</w:t>
            </w:r>
            <w:r w:rsidR="0008500D">
              <w:t>.</w:t>
            </w:r>
          </w:p>
          <w:p w14:paraId="71F27FAC" w14:textId="4DD9479E" w:rsidR="005D679B" w:rsidRDefault="00262824" w:rsidP="00F0258E">
            <w:pPr>
              <w:cnfStyle w:val="000000100000" w:firstRow="0" w:lastRow="0" w:firstColumn="0" w:lastColumn="0" w:oddVBand="0" w:evenVBand="0" w:oddHBand="1" w:evenHBand="0" w:firstRowFirstColumn="0" w:firstRowLastColumn="0" w:lastRowFirstColumn="0" w:lastRowLastColumn="0"/>
            </w:pPr>
            <w:r>
              <w:t xml:space="preserve">Based on the proposed change to the Plumbing Code definition, </w:t>
            </w:r>
            <w:r w:rsidR="005D679B">
              <w:t xml:space="preserve">subsection 8(2)(a) </w:t>
            </w:r>
            <w:r w:rsidR="00914CF6">
              <w:t xml:space="preserve">is to be amended </w:t>
            </w:r>
            <w:r w:rsidR="005D679B">
              <w:t xml:space="preserve">to </w:t>
            </w:r>
            <w:r w:rsidR="003524A4">
              <w:t>section</w:t>
            </w:r>
            <w:r w:rsidR="00914CF6">
              <w:t> </w:t>
            </w:r>
            <w:r w:rsidR="003524A4">
              <w:t>A, Part A5 (A5G4)</w:t>
            </w:r>
            <w:r w:rsidR="00E05168">
              <w:t xml:space="preserve"> of the Plumbing Code</w:t>
            </w:r>
            <w:r w:rsidR="005D679B">
              <w:t xml:space="preserve"> to maintain the requirement for a WELS product (plumbing product only) to be WaterMark certified.</w:t>
            </w:r>
          </w:p>
          <w:p w14:paraId="23A1F1C0" w14:textId="16B29C24" w:rsidR="00DE3EAE" w:rsidRDefault="002D7B5C" w:rsidP="00F0258E">
            <w:pPr>
              <w:cnfStyle w:val="000000100000" w:firstRow="0" w:lastRow="0" w:firstColumn="0" w:lastColumn="0" w:oddVBand="0" w:evenVBand="0" w:oddHBand="1" w:evenHBand="0" w:firstRowFirstColumn="0" w:firstRowLastColumn="0" w:lastRowFirstColumn="0" w:lastRowLastColumn="0"/>
            </w:pPr>
            <w:r>
              <w:t>As t</w:t>
            </w:r>
            <w:r w:rsidR="007E775E">
              <w:t xml:space="preserve">he </w:t>
            </w:r>
            <w:r>
              <w:t>requirement of WaterMark certification is established with the reference to the relevant section of the Plumbing Code there is no need to keep subsection 8(2)(b) and it can be removed</w:t>
            </w:r>
            <w:r w:rsidR="007E775E">
              <w:t>.</w:t>
            </w:r>
          </w:p>
        </w:tc>
        <w:tc>
          <w:tcPr>
            <w:tcW w:w="1644" w:type="dxa"/>
          </w:tcPr>
          <w:p w14:paraId="16C41FB4" w14:textId="41AEF76E" w:rsidR="003524A4" w:rsidRDefault="003524A4" w:rsidP="007E775E">
            <w:pPr>
              <w:cnfStyle w:val="000000100000" w:firstRow="0" w:lastRow="0" w:firstColumn="0" w:lastColumn="0" w:oddVBand="0" w:evenVBand="0" w:oddHBand="1" w:evenHBand="0" w:firstRowFirstColumn="0" w:firstRowLastColumn="0" w:lastRowFirstColumn="0" w:lastRowLastColumn="0"/>
            </w:pPr>
            <w:r w:rsidRPr="005E4561">
              <w:t>Section 8 WELS standard requirements</w:t>
            </w:r>
          </w:p>
        </w:tc>
      </w:tr>
      <w:bookmarkEnd w:id="7"/>
      <w:bookmarkEnd w:id="8"/>
    </w:tbl>
    <w:p w14:paraId="3C9816E6" w14:textId="7A5E80DE" w:rsidR="0047553A" w:rsidRDefault="0047553A" w:rsidP="00F42F7E">
      <w:pPr>
        <w:rPr>
          <w:lang w:eastAsia="ja-JP"/>
        </w:rPr>
      </w:pPr>
    </w:p>
    <w:p w14:paraId="1682ADA1" w14:textId="77777777" w:rsidR="0047553A" w:rsidRDefault="0047553A">
      <w:pPr>
        <w:spacing w:after="0" w:line="240" w:lineRule="auto"/>
        <w:rPr>
          <w:lang w:eastAsia="ja-JP"/>
        </w:rPr>
      </w:pPr>
      <w:r>
        <w:rPr>
          <w:lang w:eastAsia="ja-JP"/>
        </w:rPr>
        <w:br w:type="page"/>
      </w:r>
    </w:p>
    <w:p w14:paraId="705CAF6C" w14:textId="2E6C620E" w:rsidR="0047553A" w:rsidRPr="00F0258E" w:rsidRDefault="0047553A" w:rsidP="00F0258E">
      <w:pPr>
        <w:pStyle w:val="Heading3"/>
      </w:pPr>
      <w:bookmarkStart w:id="44" w:name="_Toc171419297"/>
      <w:r w:rsidRPr="00F0258E">
        <w:lastRenderedPageBreak/>
        <w:t>Amendments relating to Section 14</w:t>
      </w:r>
      <w:bookmarkEnd w:id="44"/>
    </w:p>
    <w:p w14:paraId="2534A9A4" w14:textId="43E89876" w:rsidR="0047553A" w:rsidRDefault="0055225C" w:rsidP="00F0258E">
      <w:pPr>
        <w:rPr>
          <w:lang w:eastAsia="ja-JP"/>
        </w:rPr>
      </w:pPr>
      <w:r w:rsidRPr="00D3184D">
        <w:rPr>
          <w:lang w:eastAsia="ja-JP"/>
        </w:rPr>
        <w:t xml:space="preserve">Section </w:t>
      </w:r>
      <w:r>
        <w:rPr>
          <w:lang w:eastAsia="ja-JP"/>
        </w:rPr>
        <w:t>14</w:t>
      </w:r>
      <w:r w:rsidRPr="00D3184D">
        <w:rPr>
          <w:lang w:eastAsia="ja-JP"/>
        </w:rPr>
        <w:t xml:space="preserve"> of the WELS Determination details requirements that</w:t>
      </w:r>
      <w:r>
        <w:rPr>
          <w:lang w:eastAsia="ja-JP"/>
        </w:rPr>
        <w:t xml:space="preserve"> must be met for a product to remain registered. The section also contains record keeping requirements.</w:t>
      </w:r>
    </w:p>
    <w:p w14:paraId="3F095E6B" w14:textId="287B2DF9" w:rsidR="0047553A" w:rsidRDefault="0047553A" w:rsidP="00F0258E">
      <w:pPr>
        <w:pStyle w:val="Caption"/>
        <w:rPr>
          <w:lang w:eastAsia="ja-JP"/>
        </w:rPr>
      </w:pPr>
      <w:bookmarkStart w:id="45" w:name="_Toc170479603"/>
      <w:bookmarkStart w:id="46" w:name="_Toc171419312"/>
      <w:r w:rsidRPr="0050276A">
        <w:rPr>
          <w:lang w:eastAsia="ja-JP"/>
        </w:rPr>
        <w:t>Table 1</w:t>
      </w:r>
      <w:r>
        <w:rPr>
          <w:lang w:eastAsia="ja-JP"/>
        </w:rPr>
        <w:t>1</w:t>
      </w:r>
      <w:r w:rsidRPr="0050276A">
        <w:rPr>
          <w:lang w:eastAsia="ja-JP"/>
        </w:rPr>
        <w:t xml:space="preserve">. </w:t>
      </w:r>
      <w:r w:rsidR="0055225C">
        <w:rPr>
          <w:lang w:eastAsia="ja-JP"/>
        </w:rPr>
        <w:t xml:space="preserve">Amendment to Section </w:t>
      </w:r>
      <w:r w:rsidR="00F32453">
        <w:rPr>
          <w:lang w:eastAsia="ja-JP"/>
        </w:rPr>
        <w:t xml:space="preserve">14 </w:t>
      </w:r>
      <w:r w:rsidR="0055225C">
        <w:rPr>
          <w:lang w:eastAsia="ja-JP"/>
        </w:rPr>
        <w:t>recordkeeping requirements</w:t>
      </w:r>
      <w:bookmarkEnd w:id="45"/>
      <w:bookmarkEnd w:id="46"/>
    </w:p>
    <w:tbl>
      <w:tblPr>
        <w:tblStyle w:val="ListTable3-Accent1"/>
        <w:tblW w:w="0" w:type="auto"/>
        <w:tblLayout w:type="fixed"/>
        <w:tblLook w:val="04A0" w:firstRow="1" w:lastRow="0" w:firstColumn="1" w:lastColumn="0" w:noHBand="0" w:noVBand="1"/>
      </w:tblPr>
      <w:tblGrid>
        <w:gridCol w:w="1980"/>
        <w:gridCol w:w="5386"/>
        <w:gridCol w:w="1644"/>
      </w:tblGrid>
      <w:tr w:rsidR="0047553A" w14:paraId="19327F50" w14:textId="77777777" w:rsidTr="0047553A">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980" w:type="dxa"/>
          </w:tcPr>
          <w:p w14:paraId="1CFD8E41" w14:textId="77777777" w:rsidR="0047553A" w:rsidRPr="00B12AC2" w:rsidRDefault="0047553A" w:rsidP="00A96570">
            <w:pPr>
              <w:rPr>
                <w:b w:val="0"/>
                <w:bCs w:val="0"/>
              </w:rPr>
            </w:pPr>
            <w:r w:rsidRPr="00B12AC2">
              <w:t>Amendment</w:t>
            </w:r>
          </w:p>
        </w:tc>
        <w:tc>
          <w:tcPr>
            <w:tcW w:w="5386" w:type="dxa"/>
          </w:tcPr>
          <w:p w14:paraId="46470DAF" w14:textId="77777777" w:rsidR="0047553A" w:rsidRPr="00B12AC2" w:rsidRDefault="0047553A" w:rsidP="00A96570">
            <w:pPr>
              <w:contextualSpacing/>
              <w:cnfStyle w:val="100000000000" w:firstRow="1" w:lastRow="0" w:firstColumn="0" w:lastColumn="0" w:oddVBand="0" w:evenVBand="0" w:oddHBand="0" w:evenHBand="0" w:firstRowFirstColumn="0" w:firstRowLastColumn="0" w:lastRowFirstColumn="0" w:lastRowLastColumn="0"/>
              <w:rPr>
                <w:b w:val="0"/>
                <w:bCs w:val="0"/>
              </w:rPr>
            </w:pPr>
            <w:r w:rsidRPr="00B12AC2">
              <w:t>Description</w:t>
            </w:r>
          </w:p>
        </w:tc>
        <w:tc>
          <w:tcPr>
            <w:tcW w:w="1644" w:type="dxa"/>
          </w:tcPr>
          <w:p w14:paraId="2EE4C3A6" w14:textId="77777777" w:rsidR="0047553A" w:rsidRPr="00B12AC2" w:rsidRDefault="0047553A" w:rsidP="00A96570">
            <w:pPr>
              <w:cnfStyle w:val="100000000000" w:firstRow="1" w:lastRow="0" w:firstColumn="0" w:lastColumn="0" w:oddVBand="0" w:evenVBand="0" w:oddHBand="0" w:evenHBand="0" w:firstRowFirstColumn="0" w:firstRowLastColumn="0" w:lastRowFirstColumn="0" w:lastRowLastColumn="0"/>
              <w:rPr>
                <w:b w:val="0"/>
                <w:bCs w:val="0"/>
              </w:rPr>
            </w:pPr>
            <w:r w:rsidRPr="00B12AC2">
              <w:t>Legislative reference</w:t>
            </w:r>
          </w:p>
        </w:tc>
      </w:tr>
      <w:tr w:rsidR="0047553A" w14:paraId="6A22DECE" w14:textId="77777777" w:rsidTr="00A9657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0" w:type="dxa"/>
          </w:tcPr>
          <w:p w14:paraId="673D9926" w14:textId="23689599" w:rsidR="0047553A" w:rsidRDefault="0055225C" w:rsidP="00A96570">
            <w:r>
              <w:t>Creat</w:t>
            </w:r>
            <w:r w:rsidR="00593FF7">
              <w:t>ion</w:t>
            </w:r>
            <w:r>
              <w:t xml:space="preserve"> </w:t>
            </w:r>
            <w:r w:rsidR="00593FF7">
              <w:t xml:space="preserve">of a </w:t>
            </w:r>
            <w:r>
              <w:t>new S</w:t>
            </w:r>
            <w:r w:rsidR="0047553A">
              <w:t xml:space="preserve">ection </w:t>
            </w:r>
            <w:r w:rsidR="0047553A" w:rsidRPr="00987332">
              <w:t>14</w:t>
            </w:r>
            <w:r>
              <w:t>A</w:t>
            </w:r>
            <w:r w:rsidR="0047553A">
              <w:t xml:space="preserve"> </w:t>
            </w:r>
            <w:r>
              <w:t>Requirements for recordkeeping</w:t>
            </w:r>
          </w:p>
        </w:tc>
        <w:tc>
          <w:tcPr>
            <w:tcW w:w="5386" w:type="dxa"/>
          </w:tcPr>
          <w:p w14:paraId="43275F3F" w14:textId="0721218D" w:rsidR="0047553A" w:rsidRDefault="0055225C" w:rsidP="00F0258E">
            <w:pPr>
              <w:cnfStyle w:val="000000100000" w:firstRow="0" w:lastRow="0" w:firstColumn="0" w:lastColumn="0" w:oddVBand="0" w:evenVBand="0" w:oddHBand="1" w:evenHBand="0" w:firstRowFirstColumn="0" w:firstRowLastColumn="0" w:lastRowFirstColumn="0" w:lastRowLastColumn="0"/>
            </w:pPr>
            <w:r>
              <w:t xml:space="preserve">To improve the clarity of Section 14, it is proposed that the existing </w:t>
            </w:r>
            <w:r w:rsidR="00BA1BB0">
              <w:t>requirement</w:t>
            </w:r>
            <w:r>
              <w:t xml:space="preserve"> relating to record keeping be </w:t>
            </w:r>
            <w:r w:rsidR="00593FF7">
              <w:t xml:space="preserve">removed and </w:t>
            </w:r>
            <w:r>
              <w:t xml:space="preserve">a new section </w:t>
            </w:r>
            <w:r w:rsidR="006225EE">
              <w:t xml:space="preserve">be created </w:t>
            </w:r>
            <w:r w:rsidR="00BA1BB0">
              <w:t>–</w:t>
            </w:r>
            <w:r>
              <w:t xml:space="preserve"> </w:t>
            </w:r>
            <w:r w:rsidR="00BA1BB0">
              <w:t xml:space="preserve">that is, </w:t>
            </w:r>
            <w:r w:rsidR="0047553A">
              <w:t>Section 14</w:t>
            </w:r>
            <w:r>
              <w:t>A</w:t>
            </w:r>
            <w:r w:rsidR="0047553A">
              <w:t xml:space="preserve"> </w:t>
            </w:r>
            <w:r>
              <w:t>Requirement for recordkeeping</w:t>
            </w:r>
            <w:r w:rsidR="0047553A">
              <w:t>.</w:t>
            </w:r>
          </w:p>
          <w:p w14:paraId="4E949924" w14:textId="66C17135" w:rsidR="00BA1BB0" w:rsidRDefault="00593FF7" w:rsidP="00F0258E">
            <w:pPr>
              <w:cnfStyle w:val="000000100000" w:firstRow="0" w:lastRow="0" w:firstColumn="0" w:lastColumn="0" w:oddVBand="0" w:evenVBand="0" w:oddHBand="1" w:evenHBand="0" w:firstRowFirstColumn="0" w:firstRowLastColumn="0" w:lastRowFirstColumn="0" w:lastRowLastColumn="0"/>
            </w:pPr>
            <w:r>
              <w:t xml:space="preserve">The current recordkeeping </w:t>
            </w:r>
            <w:r w:rsidR="00BA1BB0">
              <w:t>requirement</w:t>
            </w:r>
            <w:r>
              <w:t xml:space="preserve"> (</w:t>
            </w:r>
            <w:r w:rsidR="00F32453">
              <w:t>contained</w:t>
            </w:r>
            <w:r>
              <w:t xml:space="preserve"> within Section 14) relates to document </w:t>
            </w:r>
            <w:r w:rsidR="00F32453">
              <w:t xml:space="preserve">retention </w:t>
            </w:r>
            <w:r w:rsidRPr="00F32453">
              <w:rPr>
                <w:u w:val="single"/>
              </w:rPr>
              <w:t>after</w:t>
            </w:r>
            <w:r>
              <w:t xml:space="preserve"> a product registration has ended. However, </w:t>
            </w:r>
            <w:r w:rsidR="006225EE">
              <w:t>t</w:t>
            </w:r>
            <w:r w:rsidR="006225EE" w:rsidRPr="006225EE">
              <w:t>his requirement is situated within a broader section that outlines the necessary criteria for maintaining a product’s registered status.</w:t>
            </w:r>
          </w:p>
          <w:p w14:paraId="66665EEB" w14:textId="52BD13F0" w:rsidR="008B61AF" w:rsidRDefault="00BA1BB0" w:rsidP="00F0258E">
            <w:pPr>
              <w:cnfStyle w:val="000000100000" w:firstRow="0" w:lastRow="0" w:firstColumn="0" w:lastColumn="0" w:oddVBand="0" w:evenVBand="0" w:oddHBand="1" w:evenHBand="0" w:firstRowFirstColumn="0" w:firstRowLastColumn="0" w:lastRowFirstColumn="0" w:lastRowLastColumn="0"/>
            </w:pPr>
            <w:r>
              <w:t xml:space="preserve">Where documents are being retained after a registration has ended, the </w:t>
            </w:r>
            <w:r w:rsidR="00593FF7">
              <w:t>product is no longer registered</w:t>
            </w:r>
            <w:r>
              <w:t xml:space="preserve"> (i.e. it is expired)</w:t>
            </w:r>
            <w:r w:rsidR="00593FF7">
              <w:t>.</w:t>
            </w:r>
            <w:r>
              <w:t xml:space="preserve"> This document retention requirement does not logically sit within a section describing the requirements for a product to remain registered.</w:t>
            </w:r>
          </w:p>
          <w:p w14:paraId="41292C08" w14:textId="78369CE4" w:rsidR="00593FF7" w:rsidRDefault="00593FF7" w:rsidP="00F0258E">
            <w:pPr>
              <w:cnfStyle w:val="000000100000" w:firstRow="0" w:lastRow="0" w:firstColumn="0" w:lastColumn="0" w:oddVBand="0" w:evenVBand="0" w:oddHBand="1" w:evenHBand="0" w:firstRowFirstColumn="0" w:firstRowLastColumn="0" w:lastRowFirstColumn="0" w:lastRowLastColumn="0"/>
            </w:pPr>
            <w:r>
              <w:t>For clarity</w:t>
            </w:r>
            <w:r w:rsidR="008B61AF">
              <w:t>,</w:t>
            </w:r>
            <w:r>
              <w:t xml:space="preserve"> recordkeeping </w:t>
            </w:r>
            <w:r w:rsidR="008B61AF">
              <w:t xml:space="preserve">requirements after a registration has ended </w:t>
            </w:r>
            <w:r>
              <w:t>sho</w:t>
            </w:r>
            <w:r w:rsidR="008B61AF">
              <w:t>uld be in a standalone section.</w:t>
            </w:r>
          </w:p>
        </w:tc>
        <w:tc>
          <w:tcPr>
            <w:tcW w:w="1644" w:type="dxa"/>
          </w:tcPr>
          <w:p w14:paraId="638B17F4" w14:textId="77777777" w:rsidR="0047553A" w:rsidRPr="005E4561" w:rsidRDefault="0047553A" w:rsidP="00A96570">
            <w:pPr>
              <w:cnfStyle w:val="000000100000" w:firstRow="0" w:lastRow="0" w:firstColumn="0" w:lastColumn="0" w:oddVBand="0" w:evenVBand="0" w:oddHBand="1" w:evenHBand="0" w:firstRowFirstColumn="0" w:firstRowLastColumn="0" w:lastRowFirstColumn="0" w:lastRowLastColumn="0"/>
            </w:pPr>
            <w:r w:rsidRPr="00987332">
              <w:t>Section 14</w:t>
            </w:r>
            <w:r>
              <w:t xml:space="preserve"> Requirements for product to remain registered</w:t>
            </w:r>
          </w:p>
        </w:tc>
      </w:tr>
    </w:tbl>
    <w:p w14:paraId="1E38D04C" w14:textId="25597D09" w:rsidR="0047553A" w:rsidRDefault="0047553A" w:rsidP="00F42F7E">
      <w:pPr>
        <w:rPr>
          <w:lang w:eastAsia="ja-JP"/>
        </w:rPr>
      </w:pPr>
    </w:p>
    <w:p w14:paraId="751E974F" w14:textId="77777777" w:rsidR="0047553A" w:rsidRDefault="0047553A">
      <w:pPr>
        <w:spacing w:after="0" w:line="240" w:lineRule="auto"/>
        <w:rPr>
          <w:lang w:eastAsia="ja-JP"/>
        </w:rPr>
      </w:pPr>
      <w:r>
        <w:rPr>
          <w:lang w:eastAsia="ja-JP"/>
        </w:rPr>
        <w:br w:type="page"/>
      </w:r>
    </w:p>
    <w:p w14:paraId="57D37F82" w14:textId="1E26CB60" w:rsidR="0047553A" w:rsidRPr="00F0258E" w:rsidRDefault="0047553A" w:rsidP="00F0258E">
      <w:pPr>
        <w:pStyle w:val="Heading3"/>
      </w:pPr>
      <w:bookmarkStart w:id="47" w:name="_Toc171419298"/>
      <w:r w:rsidRPr="00F0258E">
        <w:lastRenderedPageBreak/>
        <w:t>Amendments relating to Section 15</w:t>
      </w:r>
      <w:bookmarkEnd w:id="47"/>
    </w:p>
    <w:p w14:paraId="578BB2DC" w14:textId="38B081FA" w:rsidR="0047553A" w:rsidRDefault="00593FF7" w:rsidP="00F0258E">
      <w:pPr>
        <w:rPr>
          <w:lang w:eastAsia="ja-JP"/>
        </w:rPr>
      </w:pPr>
      <w:r w:rsidRPr="00D3184D">
        <w:rPr>
          <w:lang w:eastAsia="ja-JP"/>
        </w:rPr>
        <w:t xml:space="preserve">Section </w:t>
      </w:r>
      <w:r>
        <w:rPr>
          <w:lang w:eastAsia="ja-JP"/>
        </w:rPr>
        <w:t>15</w:t>
      </w:r>
      <w:r w:rsidRPr="00D3184D">
        <w:rPr>
          <w:lang w:eastAsia="ja-JP"/>
        </w:rPr>
        <w:t xml:space="preserve"> of the WELS Determination details </w:t>
      </w:r>
      <w:r>
        <w:rPr>
          <w:lang w:eastAsia="ja-JP"/>
        </w:rPr>
        <w:t>the circumstances in which the Regulator may cancel or suspend the registration of a WELS product.</w:t>
      </w:r>
    </w:p>
    <w:p w14:paraId="3C214087" w14:textId="1A2EA27D" w:rsidR="0047553A" w:rsidRPr="0050276A" w:rsidRDefault="0047553A" w:rsidP="00F0258E">
      <w:pPr>
        <w:pStyle w:val="Caption"/>
        <w:rPr>
          <w:lang w:eastAsia="ja-JP"/>
        </w:rPr>
      </w:pPr>
      <w:bookmarkStart w:id="48" w:name="_Toc170479604"/>
      <w:bookmarkStart w:id="49" w:name="_Toc171419313"/>
      <w:r w:rsidRPr="0050276A">
        <w:rPr>
          <w:lang w:eastAsia="ja-JP"/>
        </w:rPr>
        <w:t>Table 1</w:t>
      </w:r>
      <w:r>
        <w:rPr>
          <w:lang w:eastAsia="ja-JP"/>
        </w:rPr>
        <w:t>2</w:t>
      </w:r>
      <w:r w:rsidRPr="0050276A">
        <w:rPr>
          <w:lang w:eastAsia="ja-JP"/>
        </w:rPr>
        <w:t xml:space="preserve">. </w:t>
      </w:r>
      <w:r w:rsidR="00F32453">
        <w:rPr>
          <w:lang w:eastAsia="ja-JP"/>
        </w:rPr>
        <w:t>Amendments to registration cancellation and suspension</w:t>
      </w:r>
      <w:bookmarkEnd w:id="48"/>
      <w:bookmarkEnd w:id="49"/>
    </w:p>
    <w:tbl>
      <w:tblPr>
        <w:tblStyle w:val="ListTable3-Accent1"/>
        <w:tblW w:w="0" w:type="auto"/>
        <w:tblLayout w:type="fixed"/>
        <w:tblLook w:val="04A0" w:firstRow="1" w:lastRow="0" w:firstColumn="1" w:lastColumn="0" w:noHBand="0" w:noVBand="1"/>
      </w:tblPr>
      <w:tblGrid>
        <w:gridCol w:w="1980"/>
        <w:gridCol w:w="5386"/>
        <w:gridCol w:w="1644"/>
      </w:tblGrid>
      <w:tr w:rsidR="0047553A" w14:paraId="1707E952" w14:textId="77777777" w:rsidTr="0047553A">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980" w:type="dxa"/>
          </w:tcPr>
          <w:p w14:paraId="2B053E9E" w14:textId="77777777" w:rsidR="0047553A" w:rsidRPr="00B12AC2" w:rsidRDefault="0047553A" w:rsidP="00A96570">
            <w:pPr>
              <w:rPr>
                <w:b w:val="0"/>
                <w:bCs w:val="0"/>
              </w:rPr>
            </w:pPr>
            <w:r w:rsidRPr="00B12AC2">
              <w:t>Amendment</w:t>
            </w:r>
          </w:p>
        </w:tc>
        <w:tc>
          <w:tcPr>
            <w:tcW w:w="5386" w:type="dxa"/>
          </w:tcPr>
          <w:p w14:paraId="03400CDE" w14:textId="77777777" w:rsidR="0047553A" w:rsidRPr="00B12AC2" w:rsidRDefault="0047553A" w:rsidP="00A96570">
            <w:pPr>
              <w:contextualSpacing/>
              <w:cnfStyle w:val="100000000000" w:firstRow="1" w:lastRow="0" w:firstColumn="0" w:lastColumn="0" w:oddVBand="0" w:evenVBand="0" w:oddHBand="0" w:evenHBand="0" w:firstRowFirstColumn="0" w:firstRowLastColumn="0" w:lastRowFirstColumn="0" w:lastRowLastColumn="0"/>
              <w:rPr>
                <w:b w:val="0"/>
                <w:bCs w:val="0"/>
              </w:rPr>
            </w:pPr>
            <w:r w:rsidRPr="00B12AC2">
              <w:t>Description</w:t>
            </w:r>
          </w:p>
        </w:tc>
        <w:tc>
          <w:tcPr>
            <w:tcW w:w="1644" w:type="dxa"/>
          </w:tcPr>
          <w:p w14:paraId="4B3A4F7A" w14:textId="77777777" w:rsidR="0047553A" w:rsidRPr="00B12AC2" w:rsidRDefault="0047553A" w:rsidP="00A96570">
            <w:pPr>
              <w:cnfStyle w:val="100000000000" w:firstRow="1" w:lastRow="0" w:firstColumn="0" w:lastColumn="0" w:oddVBand="0" w:evenVBand="0" w:oddHBand="0" w:evenHBand="0" w:firstRowFirstColumn="0" w:firstRowLastColumn="0" w:lastRowFirstColumn="0" w:lastRowLastColumn="0"/>
              <w:rPr>
                <w:b w:val="0"/>
                <w:bCs w:val="0"/>
              </w:rPr>
            </w:pPr>
            <w:r w:rsidRPr="00B12AC2">
              <w:t>Legislative reference</w:t>
            </w:r>
          </w:p>
        </w:tc>
      </w:tr>
      <w:tr w:rsidR="0047553A" w14:paraId="2D44ABD6" w14:textId="77777777" w:rsidTr="00A9657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0" w:type="dxa"/>
          </w:tcPr>
          <w:p w14:paraId="31C1DAEA" w14:textId="44E4D309" w:rsidR="0047553A" w:rsidRDefault="00B1384B" w:rsidP="00A96570">
            <w:r>
              <w:t>A</w:t>
            </w:r>
            <w:r w:rsidR="0047553A" w:rsidRPr="009B0CA7">
              <w:t>mendment to s</w:t>
            </w:r>
            <w:r w:rsidR="0047553A">
              <w:t xml:space="preserve">ection 15 Cancelling or suspending registration, including </w:t>
            </w:r>
            <w:r w:rsidR="002A068F">
              <w:t xml:space="preserve">the </w:t>
            </w:r>
            <w:r w:rsidR="0047553A">
              <w:t xml:space="preserve">grounds for cancelling or suspending </w:t>
            </w:r>
            <w:r w:rsidR="002A068F">
              <w:t xml:space="preserve">a </w:t>
            </w:r>
            <w:r w:rsidR="0047553A">
              <w:t>registration</w:t>
            </w:r>
          </w:p>
        </w:tc>
        <w:tc>
          <w:tcPr>
            <w:tcW w:w="5386" w:type="dxa"/>
          </w:tcPr>
          <w:p w14:paraId="739F244D" w14:textId="77777777" w:rsidR="00F32453" w:rsidRDefault="00B1384B" w:rsidP="00F0258E">
            <w:pPr>
              <w:cnfStyle w:val="000000100000" w:firstRow="0" w:lastRow="0" w:firstColumn="0" w:lastColumn="0" w:oddVBand="0" w:evenVBand="0" w:oddHBand="1" w:evenHBand="0" w:firstRowFirstColumn="0" w:firstRowLastColumn="0" w:lastRowFirstColumn="0" w:lastRowLastColumn="0"/>
            </w:pPr>
            <w:r>
              <w:t xml:space="preserve">The intention of amendments to </w:t>
            </w:r>
            <w:r w:rsidR="0047553A">
              <w:t xml:space="preserve">Section 15 </w:t>
            </w:r>
            <w:r w:rsidR="00F32453">
              <w:t>is</w:t>
            </w:r>
            <w:r>
              <w:t xml:space="preserve"> to clarify the circumstance</w:t>
            </w:r>
            <w:r w:rsidR="008142ED">
              <w:t>s</w:t>
            </w:r>
            <w:r>
              <w:t xml:space="preserve"> in which the Regulator </w:t>
            </w:r>
            <w:r w:rsidR="0047553A">
              <w:t xml:space="preserve">may </w:t>
            </w:r>
            <w:r>
              <w:t>cancel or suspend a WELS product registration.</w:t>
            </w:r>
          </w:p>
          <w:p w14:paraId="4C8FC89D" w14:textId="43101F0E" w:rsidR="002A068F" w:rsidRDefault="00B1384B" w:rsidP="00F0258E">
            <w:pPr>
              <w:cnfStyle w:val="000000100000" w:firstRow="0" w:lastRow="0" w:firstColumn="0" w:lastColumn="0" w:oddVBand="0" w:evenVBand="0" w:oddHBand="1" w:evenHBand="0" w:firstRowFirstColumn="0" w:firstRowLastColumn="0" w:lastRowFirstColumn="0" w:lastRowLastColumn="0"/>
            </w:pPr>
            <w:r>
              <w:t>It is proposed that the Regulator</w:t>
            </w:r>
            <w:r w:rsidR="00F32453">
              <w:t xml:space="preserve"> </w:t>
            </w:r>
            <w:r>
              <w:t xml:space="preserve">may cancel or suspend </w:t>
            </w:r>
            <w:r w:rsidR="008142ED">
              <w:t xml:space="preserve">a product registration </w:t>
            </w:r>
            <w:r>
              <w:t>when they are sati</w:t>
            </w:r>
            <w:r w:rsidR="008142ED">
              <w:t>s</w:t>
            </w:r>
            <w:r>
              <w:t xml:space="preserve">fied that information provided in </w:t>
            </w:r>
            <w:r w:rsidRPr="002A068F">
              <w:t>either</w:t>
            </w:r>
            <w:r>
              <w:t xml:space="preserve"> the original registration application </w:t>
            </w:r>
            <w:r w:rsidRPr="002A068F">
              <w:rPr>
                <w:u w:val="single"/>
              </w:rPr>
              <w:t>or by notification (under Section 14)</w:t>
            </w:r>
            <w:r w:rsidR="008142ED">
              <w:t xml:space="preserve"> was not accurate at the time the information was provided; or</w:t>
            </w:r>
            <w:r w:rsidR="00F32453">
              <w:t xml:space="preserve"> </w:t>
            </w:r>
            <w:r w:rsidR="008142ED">
              <w:t>the information is no longer accurate or is no longer accurate as a result of the product being altered</w:t>
            </w:r>
            <w:r w:rsidR="00F32453">
              <w:t xml:space="preserve"> (where altering of the product affects the performance of the product or compliance of </w:t>
            </w:r>
            <w:r w:rsidR="002A068F">
              <w:t xml:space="preserve">the </w:t>
            </w:r>
            <w:r w:rsidR="00F32453">
              <w:t>product with the WELS standard).</w:t>
            </w:r>
          </w:p>
          <w:p w14:paraId="74F801B8" w14:textId="60E28942" w:rsidR="002A068F" w:rsidRDefault="002A068F" w:rsidP="00F0258E">
            <w:pPr>
              <w:cnfStyle w:val="000000100000" w:firstRow="0" w:lastRow="0" w:firstColumn="0" w:lastColumn="0" w:oddVBand="0" w:evenVBand="0" w:oddHBand="1" w:evenHBand="0" w:firstRowFirstColumn="0" w:firstRowLastColumn="0" w:lastRowFirstColumn="0" w:lastRowLastColumn="0"/>
            </w:pPr>
            <w:r>
              <w:t>Currently, the Regulator can only cancel or suspend a WELS product registration when considering the information provided in the application for registration (not any subsequent notification under Section 14).</w:t>
            </w:r>
          </w:p>
        </w:tc>
        <w:tc>
          <w:tcPr>
            <w:tcW w:w="1644" w:type="dxa"/>
          </w:tcPr>
          <w:p w14:paraId="6966F151" w14:textId="77777777" w:rsidR="0047553A" w:rsidRPr="005E4561" w:rsidRDefault="0047553A" w:rsidP="00A96570">
            <w:pPr>
              <w:cnfStyle w:val="000000100000" w:firstRow="0" w:lastRow="0" w:firstColumn="0" w:lastColumn="0" w:oddVBand="0" w:evenVBand="0" w:oddHBand="1" w:evenHBand="0" w:firstRowFirstColumn="0" w:firstRowLastColumn="0" w:lastRowFirstColumn="0" w:lastRowLastColumn="0"/>
            </w:pPr>
            <w:r w:rsidRPr="009B0CA7">
              <w:t>Section 15</w:t>
            </w:r>
            <w:r>
              <w:t xml:space="preserve"> Cancelling or suspending registration</w:t>
            </w:r>
          </w:p>
        </w:tc>
      </w:tr>
    </w:tbl>
    <w:p w14:paraId="57675201" w14:textId="77777777" w:rsidR="0047553A" w:rsidRDefault="0047553A" w:rsidP="00F42F7E">
      <w:pPr>
        <w:rPr>
          <w:lang w:eastAsia="ja-JP"/>
        </w:rPr>
      </w:pPr>
    </w:p>
    <w:sectPr w:rsidR="0047553A" w:rsidSect="000C6A20">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1E70D" w14:textId="77777777" w:rsidR="0011086A" w:rsidRDefault="0011086A">
      <w:r>
        <w:separator/>
      </w:r>
    </w:p>
    <w:p w14:paraId="25E9CEF1" w14:textId="77777777" w:rsidR="0011086A" w:rsidRDefault="0011086A"/>
    <w:p w14:paraId="15B4B8B6" w14:textId="77777777" w:rsidR="0011086A" w:rsidRDefault="0011086A"/>
  </w:endnote>
  <w:endnote w:type="continuationSeparator" w:id="0">
    <w:p w14:paraId="2A1E7A91" w14:textId="77777777" w:rsidR="0011086A" w:rsidRDefault="0011086A">
      <w:r>
        <w:continuationSeparator/>
      </w:r>
    </w:p>
    <w:p w14:paraId="6E50E696" w14:textId="77777777" w:rsidR="0011086A" w:rsidRDefault="0011086A"/>
    <w:p w14:paraId="30AB077F" w14:textId="77777777" w:rsidR="0011086A" w:rsidRDefault="0011086A"/>
  </w:endnote>
  <w:endnote w:type="continuationNotice" w:id="1">
    <w:p w14:paraId="63F40C40" w14:textId="77777777" w:rsidR="0011086A" w:rsidRDefault="0011086A">
      <w:pPr>
        <w:pStyle w:val="Footer"/>
      </w:pPr>
    </w:p>
    <w:p w14:paraId="2486DDBA" w14:textId="77777777" w:rsidR="0011086A" w:rsidRDefault="0011086A"/>
    <w:p w14:paraId="64F4E051" w14:textId="77777777" w:rsidR="0011086A" w:rsidRDefault="00110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1D836" w14:textId="0515707C" w:rsidR="009603C3" w:rsidRDefault="009603C3">
    <w:pPr>
      <w:pStyle w:val="Footer"/>
    </w:pPr>
    <w:r>
      <w:rPr>
        <w:noProof/>
      </w:rPr>
      <mc:AlternateContent>
        <mc:Choice Requires="wps">
          <w:drawing>
            <wp:anchor distT="0" distB="0" distL="0" distR="0" simplePos="0" relativeHeight="251658244" behindDoc="0" locked="0" layoutInCell="1" allowOverlap="1" wp14:anchorId="2288EE56" wp14:editId="5C10CFE2">
              <wp:simplePos x="635" y="635"/>
              <wp:positionH relativeFrom="page">
                <wp:align>center</wp:align>
              </wp:positionH>
              <wp:positionV relativeFrom="page">
                <wp:align>bottom</wp:align>
              </wp:positionV>
              <wp:extent cx="551815" cy="404495"/>
              <wp:effectExtent l="0" t="0" r="635" b="0"/>
              <wp:wrapNone/>
              <wp:docPr id="18019853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2EA2AB7" w14:textId="4C7593C8" w:rsidR="009603C3" w:rsidRPr="009603C3" w:rsidRDefault="009603C3" w:rsidP="009603C3">
                          <w:pPr>
                            <w:spacing w:after="0"/>
                            <w:rPr>
                              <w:rFonts w:ascii="Calibri" w:eastAsia="Calibri" w:hAnsi="Calibri" w:cs="Calibri"/>
                              <w:noProof/>
                              <w:color w:val="FF0000"/>
                              <w:sz w:val="24"/>
                              <w:szCs w:val="24"/>
                            </w:rPr>
                          </w:pPr>
                          <w:r w:rsidRPr="009603C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88EE56"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62EA2AB7" w14:textId="4C7593C8" w:rsidR="009603C3" w:rsidRPr="009603C3" w:rsidRDefault="009603C3" w:rsidP="009603C3">
                    <w:pPr>
                      <w:spacing w:after="0"/>
                      <w:rPr>
                        <w:rFonts w:ascii="Calibri" w:eastAsia="Calibri" w:hAnsi="Calibri" w:cs="Calibri"/>
                        <w:noProof/>
                        <w:color w:val="FF0000"/>
                        <w:sz w:val="24"/>
                        <w:szCs w:val="24"/>
                      </w:rPr>
                    </w:pPr>
                    <w:r w:rsidRPr="009603C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C062A" w14:textId="0609C665" w:rsidR="00B861B4" w:rsidRDefault="00D86640">
    <w:pPr>
      <w:pStyle w:val="Footer"/>
    </w:pPr>
    <w:r w:rsidRPr="00D86640">
      <w:t>Department of Climate Change, Energy, the Environment and Water</w:t>
    </w:r>
  </w:p>
  <w:p w14:paraId="65854874" w14:textId="0C94C62D" w:rsidR="00B861B4" w:rsidRDefault="00B861B4">
    <w:pPr>
      <w:pStyle w:val="Footer"/>
    </w:pPr>
    <w:r>
      <w:fldChar w:fldCharType="begin"/>
    </w:r>
    <w:r>
      <w:instrText xml:space="preserve"> PAGE   \* MERGEFORMAT </w:instrText>
    </w:r>
    <w:r>
      <w:fldChar w:fldCharType="separate"/>
    </w:r>
    <w:r w:rsidR="005E25BD">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9BB24" w14:textId="664D486A" w:rsidR="009603C3" w:rsidRDefault="009603C3">
    <w:pPr>
      <w:pStyle w:val="Footer"/>
    </w:pPr>
    <w:r>
      <w:rPr>
        <w:noProof/>
      </w:rPr>
      <mc:AlternateContent>
        <mc:Choice Requires="wps">
          <w:drawing>
            <wp:anchor distT="0" distB="0" distL="0" distR="0" simplePos="0" relativeHeight="251658245" behindDoc="0" locked="0" layoutInCell="1" allowOverlap="1" wp14:anchorId="3DDFFC40" wp14:editId="60D8DD1C">
              <wp:simplePos x="899770" y="10285171"/>
              <wp:positionH relativeFrom="page">
                <wp:align>center</wp:align>
              </wp:positionH>
              <wp:positionV relativeFrom="page">
                <wp:align>bottom</wp:align>
              </wp:positionV>
              <wp:extent cx="551815" cy="404495"/>
              <wp:effectExtent l="0" t="0" r="635" b="0"/>
              <wp:wrapNone/>
              <wp:docPr id="9797979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3652A05" w14:textId="0B09E912" w:rsidR="009603C3" w:rsidRPr="009603C3" w:rsidRDefault="009603C3" w:rsidP="009603C3">
                          <w:pPr>
                            <w:spacing w:after="0"/>
                            <w:rPr>
                              <w:rFonts w:ascii="Calibri" w:eastAsia="Calibri" w:hAnsi="Calibri" w:cs="Calibri"/>
                              <w:noProof/>
                              <w:color w:val="FF0000"/>
                              <w:sz w:val="24"/>
                              <w:szCs w:val="24"/>
                            </w:rPr>
                          </w:pPr>
                          <w:r w:rsidRPr="009603C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DFFC40"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73652A05" w14:textId="0B09E912" w:rsidR="009603C3" w:rsidRPr="009603C3" w:rsidRDefault="009603C3" w:rsidP="009603C3">
                    <w:pPr>
                      <w:spacing w:after="0"/>
                      <w:rPr>
                        <w:rFonts w:ascii="Calibri" w:eastAsia="Calibri" w:hAnsi="Calibri" w:cs="Calibri"/>
                        <w:noProof/>
                        <w:color w:val="FF0000"/>
                        <w:sz w:val="24"/>
                        <w:szCs w:val="24"/>
                      </w:rPr>
                    </w:pPr>
                    <w:r w:rsidRPr="009603C3">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AB0E0" w14:textId="77777777" w:rsidR="0011086A" w:rsidRDefault="0011086A">
      <w:r>
        <w:separator/>
      </w:r>
    </w:p>
    <w:p w14:paraId="222071EB" w14:textId="77777777" w:rsidR="0011086A" w:rsidRDefault="0011086A"/>
    <w:p w14:paraId="51BF179E" w14:textId="77777777" w:rsidR="0011086A" w:rsidRDefault="0011086A"/>
  </w:footnote>
  <w:footnote w:type="continuationSeparator" w:id="0">
    <w:p w14:paraId="4E46BCE5" w14:textId="77777777" w:rsidR="0011086A" w:rsidRDefault="0011086A">
      <w:r>
        <w:continuationSeparator/>
      </w:r>
    </w:p>
    <w:p w14:paraId="0AC970D1" w14:textId="77777777" w:rsidR="0011086A" w:rsidRDefault="0011086A"/>
    <w:p w14:paraId="6CF9AA4F" w14:textId="77777777" w:rsidR="0011086A" w:rsidRDefault="0011086A"/>
  </w:footnote>
  <w:footnote w:type="continuationNotice" w:id="1">
    <w:p w14:paraId="5AF4CE13" w14:textId="77777777" w:rsidR="0011086A" w:rsidRDefault="0011086A">
      <w:pPr>
        <w:pStyle w:val="Footer"/>
      </w:pPr>
    </w:p>
    <w:p w14:paraId="7C92A057" w14:textId="77777777" w:rsidR="0011086A" w:rsidRDefault="0011086A"/>
    <w:p w14:paraId="201E29F6" w14:textId="77777777" w:rsidR="0011086A" w:rsidRDefault="00110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60FE4" w14:textId="6AE219A4" w:rsidR="009603C3" w:rsidRDefault="009603C3">
    <w:pPr>
      <w:pStyle w:val="Header"/>
    </w:pPr>
    <w:r>
      <w:rPr>
        <w:noProof/>
      </w:rPr>
      <mc:AlternateContent>
        <mc:Choice Requires="wps">
          <w:drawing>
            <wp:anchor distT="0" distB="0" distL="0" distR="0" simplePos="0" relativeHeight="251658243" behindDoc="0" locked="0" layoutInCell="1" allowOverlap="1" wp14:anchorId="7EFE9A51" wp14:editId="31BCD160">
              <wp:simplePos x="635" y="635"/>
              <wp:positionH relativeFrom="page">
                <wp:align>center</wp:align>
              </wp:positionH>
              <wp:positionV relativeFrom="page">
                <wp:align>top</wp:align>
              </wp:positionV>
              <wp:extent cx="551815" cy="404495"/>
              <wp:effectExtent l="0" t="0" r="635" b="14605"/>
              <wp:wrapNone/>
              <wp:docPr id="11149492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1E20407" w14:textId="76C13E0E" w:rsidR="009603C3" w:rsidRPr="009603C3" w:rsidRDefault="009603C3" w:rsidP="009603C3">
                          <w:pPr>
                            <w:spacing w:after="0"/>
                            <w:rPr>
                              <w:rFonts w:ascii="Calibri" w:eastAsia="Calibri" w:hAnsi="Calibri" w:cs="Calibri"/>
                              <w:noProof/>
                              <w:color w:val="FF0000"/>
                              <w:sz w:val="24"/>
                              <w:szCs w:val="24"/>
                            </w:rPr>
                          </w:pPr>
                          <w:r w:rsidRPr="009603C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E9A51"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21E20407" w14:textId="76C13E0E" w:rsidR="009603C3" w:rsidRPr="009603C3" w:rsidRDefault="009603C3" w:rsidP="009603C3">
                    <w:pPr>
                      <w:spacing w:after="0"/>
                      <w:rPr>
                        <w:rFonts w:ascii="Calibri" w:eastAsia="Calibri" w:hAnsi="Calibri" w:cs="Calibri"/>
                        <w:noProof/>
                        <w:color w:val="FF0000"/>
                        <w:sz w:val="24"/>
                        <w:szCs w:val="24"/>
                      </w:rPr>
                    </w:pPr>
                    <w:r w:rsidRPr="009603C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ABAFB" w14:textId="604C03F5" w:rsidR="00B861B4" w:rsidRDefault="002B7D2A">
    <w:pPr>
      <w:pStyle w:val="Header"/>
    </w:pPr>
    <w:r>
      <w:t xml:space="preserve">Amendment to the WELS Determination 2013 </w:t>
    </w:r>
    <w:r w:rsidR="001C4554">
      <w:t xml:space="preserve">- </w:t>
    </w:r>
    <w:r>
      <w:t>Consultation Paper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48407" w14:textId="0084C71A" w:rsidR="00B861B4" w:rsidRDefault="009603C3">
    <w:pPr>
      <w:pStyle w:val="Header"/>
      <w:jc w:val="left"/>
    </w:pPr>
    <w:r>
      <w:rPr>
        <w:noProof/>
      </w:rPr>
      <mc:AlternateContent>
        <mc:Choice Requires="wps">
          <w:drawing>
            <wp:anchor distT="0" distB="0" distL="0" distR="0" simplePos="0" relativeHeight="251658240" behindDoc="0" locked="0" layoutInCell="1" allowOverlap="1" wp14:anchorId="00D6E353" wp14:editId="7B1443B1">
              <wp:simplePos x="899770" y="358445"/>
              <wp:positionH relativeFrom="page">
                <wp:align>center</wp:align>
              </wp:positionH>
              <wp:positionV relativeFrom="page">
                <wp:align>top</wp:align>
              </wp:positionV>
              <wp:extent cx="551815" cy="404495"/>
              <wp:effectExtent l="0" t="0" r="635" b="14605"/>
              <wp:wrapNone/>
              <wp:docPr id="255664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4AB2C6" w14:textId="3FB91146" w:rsidR="009603C3" w:rsidRPr="009603C3" w:rsidRDefault="009603C3" w:rsidP="009603C3">
                          <w:pPr>
                            <w:spacing w:after="0"/>
                            <w:rPr>
                              <w:rFonts w:ascii="Calibri" w:eastAsia="Calibri" w:hAnsi="Calibri" w:cs="Calibri"/>
                              <w:noProof/>
                              <w:color w:val="FF0000"/>
                              <w:sz w:val="24"/>
                              <w:szCs w:val="24"/>
                            </w:rPr>
                          </w:pPr>
                          <w:r w:rsidRPr="009603C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D6E353"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fill o:detectmouseclick="t"/>
              <v:textbox style="mso-fit-shape-to-text:t" inset="0,15pt,0,0">
                <w:txbxContent>
                  <w:p w14:paraId="0F4AB2C6" w14:textId="3FB91146" w:rsidR="009603C3" w:rsidRPr="009603C3" w:rsidRDefault="009603C3" w:rsidP="009603C3">
                    <w:pPr>
                      <w:spacing w:after="0"/>
                      <w:rPr>
                        <w:rFonts w:ascii="Calibri" w:eastAsia="Calibri" w:hAnsi="Calibri" w:cs="Calibri"/>
                        <w:noProof/>
                        <w:color w:val="FF0000"/>
                        <w:sz w:val="24"/>
                        <w:szCs w:val="24"/>
                      </w:rPr>
                    </w:pPr>
                    <w:r w:rsidRPr="009603C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994D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B0A14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875AEA2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5F295C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66A0849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40EAEE0"/>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0D896ABB"/>
    <w:multiLevelType w:val="hybridMultilevel"/>
    <w:tmpl w:val="C39CC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7A4132B"/>
    <w:multiLevelType w:val="hybridMultilevel"/>
    <w:tmpl w:val="0D48F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8D0CC8"/>
    <w:multiLevelType w:val="hybridMultilevel"/>
    <w:tmpl w:val="33B0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4"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A328D5"/>
    <w:multiLevelType w:val="multilevel"/>
    <w:tmpl w:val="BE78A4F8"/>
    <w:numStyleLink w:val="Numberlist"/>
  </w:abstractNum>
  <w:abstractNum w:abstractNumId="1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103637"/>
    <w:multiLevelType w:val="multilevel"/>
    <w:tmpl w:val="BE78A4F8"/>
    <w:numStyleLink w:val="Numberlist"/>
  </w:abstractNum>
  <w:abstractNum w:abstractNumId="18" w15:restartNumberingAfterBreak="0">
    <w:nsid w:val="394A15FE"/>
    <w:multiLevelType w:val="multilevel"/>
    <w:tmpl w:val="F36C17E8"/>
    <w:numStyleLink w:val="Headinglist"/>
  </w:abstractNum>
  <w:abstractNum w:abstractNumId="19" w15:restartNumberingAfterBreak="0">
    <w:nsid w:val="414F4729"/>
    <w:multiLevelType w:val="multilevel"/>
    <w:tmpl w:val="A0241B28"/>
    <w:numStyleLink w:val="List1"/>
  </w:abstractNum>
  <w:abstractNum w:abstractNumId="20" w15:restartNumberingAfterBreak="0">
    <w:nsid w:val="486800B4"/>
    <w:multiLevelType w:val="multilevel"/>
    <w:tmpl w:val="A0241B28"/>
    <w:numStyleLink w:val="List1"/>
  </w:abstractNum>
  <w:abstractNum w:abstractNumId="21"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2" w15:restartNumberingAfterBreak="0">
    <w:nsid w:val="496159DC"/>
    <w:multiLevelType w:val="multilevel"/>
    <w:tmpl w:val="BE78A4F8"/>
    <w:numStyleLink w:val="Numberlist"/>
  </w:abstractNum>
  <w:abstractNum w:abstractNumId="2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5" w15:restartNumberingAfterBreak="0">
    <w:nsid w:val="5A180AB9"/>
    <w:multiLevelType w:val="hybridMultilevel"/>
    <w:tmpl w:val="59CC7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9"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D0798"/>
    <w:multiLevelType w:val="hybridMultilevel"/>
    <w:tmpl w:val="1396B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2B6F8B"/>
    <w:multiLevelType w:val="hybridMultilevel"/>
    <w:tmpl w:val="078A8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C10A1"/>
    <w:multiLevelType w:val="multilevel"/>
    <w:tmpl w:val="BE78A4F8"/>
    <w:numStyleLink w:val="Numberlist"/>
  </w:abstractNum>
  <w:abstractNum w:abstractNumId="33" w15:restartNumberingAfterBreak="0">
    <w:nsid w:val="733934B7"/>
    <w:multiLevelType w:val="multilevel"/>
    <w:tmpl w:val="A0241B28"/>
    <w:numStyleLink w:val="List1"/>
  </w:abstractNum>
  <w:abstractNum w:abstractNumId="34" w15:restartNumberingAfterBreak="0">
    <w:nsid w:val="7DB30838"/>
    <w:multiLevelType w:val="hybridMultilevel"/>
    <w:tmpl w:val="4918B098"/>
    <w:lvl w:ilvl="0" w:tplc="0C9CFDC0">
      <w:start w:val="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C00338"/>
    <w:multiLevelType w:val="hybridMultilevel"/>
    <w:tmpl w:val="59CC7734"/>
    <w:lvl w:ilvl="0" w:tplc="10BC5C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1880264">
    <w:abstractNumId w:val="7"/>
  </w:num>
  <w:num w:numId="2" w16cid:durableId="1673799208">
    <w:abstractNumId w:val="20"/>
  </w:num>
  <w:num w:numId="3" w16cid:durableId="1404451164">
    <w:abstractNumId w:val="21"/>
  </w:num>
  <w:num w:numId="4" w16cid:durableId="1666787524">
    <w:abstractNumId w:val="13"/>
  </w:num>
  <w:num w:numId="5" w16cid:durableId="381057155">
    <w:abstractNumId w:val="27"/>
  </w:num>
  <w:num w:numId="6" w16cid:durableId="1639215797">
    <w:abstractNumId w:val="28"/>
  </w:num>
  <w:num w:numId="7" w16cid:durableId="8609022">
    <w:abstractNumId w:val="8"/>
  </w:num>
  <w:num w:numId="8" w16cid:durableId="1643265712">
    <w:abstractNumId w:val="16"/>
  </w:num>
  <w:num w:numId="9" w16cid:durableId="793717093">
    <w:abstractNumId w:val="18"/>
    <w:lvlOverride w:ilvl="0">
      <w:lvl w:ilvl="0">
        <w:start w:val="1"/>
        <w:numFmt w:val="decimal"/>
        <w:lvlText w:val="%1"/>
        <w:lvlJc w:val="left"/>
        <w:pPr>
          <w:ind w:left="720" w:hanging="720"/>
        </w:pPr>
      </w:lvl>
    </w:lvlOverride>
  </w:num>
  <w:num w:numId="10" w16cid:durableId="1642540004">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662813">
    <w:abstractNumId w:val="6"/>
  </w:num>
  <w:num w:numId="12" w16cid:durableId="1466848734">
    <w:abstractNumId w:val="4"/>
  </w:num>
  <w:num w:numId="13" w16cid:durableId="297998804">
    <w:abstractNumId w:val="3"/>
  </w:num>
  <w:num w:numId="14" w16cid:durableId="369259423">
    <w:abstractNumId w:val="2"/>
  </w:num>
  <w:num w:numId="15" w16cid:durableId="1457260623">
    <w:abstractNumId w:val="14"/>
  </w:num>
  <w:num w:numId="16" w16cid:durableId="1314063411">
    <w:abstractNumId w:val="24"/>
  </w:num>
  <w:num w:numId="17" w16cid:durableId="459299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1610074">
    <w:abstractNumId w:val="29"/>
  </w:num>
  <w:num w:numId="19" w16cid:durableId="2052537745">
    <w:abstractNumId w:val="1"/>
  </w:num>
  <w:num w:numId="20" w16cid:durableId="1609198961">
    <w:abstractNumId w:val="0"/>
  </w:num>
  <w:num w:numId="21" w16cid:durableId="1217014302">
    <w:abstractNumId w:val="17"/>
  </w:num>
  <w:num w:numId="22" w16cid:durableId="1652558498">
    <w:abstractNumId w:val="22"/>
  </w:num>
  <w:num w:numId="23" w16cid:durableId="780877881">
    <w:abstractNumId w:val="32"/>
  </w:num>
  <w:num w:numId="24" w16cid:durableId="9570234">
    <w:abstractNumId w:val="15"/>
  </w:num>
  <w:num w:numId="25" w16cid:durableId="1084184664">
    <w:abstractNumId w:val="19"/>
  </w:num>
  <w:num w:numId="26" w16cid:durableId="1568950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5498190">
    <w:abstractNumId w:val="33"/>
  </w:num>
  <w:num w:numId="28" w16cid:durableId="626202022">
    <w:abstractNumId w:val="23"/>
  </w:num>
  <w:num w:numId="29" w16cid:durableId="281765065">
    <w:abstractNumId w:val="26"/>
  </w:num>
  <w:num w:numId="30" w16cid:durableId="866915021">
    <w:abstractNumId w:val="10"/>
  </w:num>
  <w:num w:numId="31" w16cid:durableId="742336246">
    <w:abstractNumId w:val="9"/>
  </w:num>
  <w:num w:numId="32" w16cid:durableId="652638494">
    <w:abstractNumId w:val="9"/>
  </w:num>
  <w:num w:numId="33" w16cid:durableId="852958875">
    <w:abstractNumId w:val="27"/>
  </w:num>
  <w:num w:numId="34" w16cid:durableId="1928346556">
    <w:abstractNumId w:val="18"/>
    <w:lvlOverride w:ilvl="0">
      <w:lvl w:ilvl="0">
        <w:start w:val="1"/>
        <w:numFmt w:val="decimal"/>
        <w:lvlText w:val="%1"/>
        <w:lvlJc w:val="left"/>
        <w:pPr>
          <w:ind w:left="720" w:hanging="720"/>
        </w:pPr>
      </w:lvl>
    </w:lvlOverride>
  </w:num>
  <w:num w:numId="35" w16cid:durableId="958948464">
    <w:abstractNumId w:val="18"/>
    <w:lvlOverride w:ilvl="0">
      <w:lvl w:ilvl="0">
        <w:start w:val="1"/>
        <w:numFmt w:val="decimal"/>
        <w:lvlText w:val="%1"/>
        <w:lvlJc w:val="left"/>
        <w:pPr>
          <w:ind w:left="720" w:hanging="720"/>
        </w:pPr>
      </w:lvl>
    </w:lvlOverride>
  </w:num>
  <w:num w:numId="36" w16cid:durableId="1308322114">
    <w:abstractNumId w:val="18"/>
    <w:lvlOverride w:ilvl="0">
      <w:lvl w:ilvl="0">
        <w:start w:val="1"/>
        <w:numFmt w:val="decimal"/>
        <w:lvlText w:val="%1"/>
        <w:lvlJc w:val="left"/>
        <w:pPr>
          <w:ind w:left="720" w:hanging="720"/>
        </w:pPr>
      </w:lvl>
    </w:lvlOverride>
  </w:num>
  <w:num w:numId="37" w16cid:durableId="152180099">
    <w:abstractNumId w:val="18"/>
    <w:lvlOverride w:ilvl="0">
      <w:lvl w:ilvl="0">
        <w:start w:val="1"/>
        <w:numFmt w:val="decimal"/>
        <w:lvlText w:val="%1"/>
        <w:lvlJc w:val="left"/>
        <w:pPr>
          <w:ind w:left="720" w:hanging="720"/>
        </w:pPr>
      </w:lvl>
    </w:lvlOverride>
  </w:num>
  <w:num w:numId="38" w16cid:durableId="1012419229">
    <w:abstractNumId w:val="5"/>
  </w:num>
  <w:num w:numId="39" w16cid:durableId="1096363037">
    <w:abstractNumId w:val="18"/>
    <w:lvlOverride w:ilvl="0">
      <w:lvl w:ilvl="0">
        <w:start w:val="1"/>
        <w:numFmt w:val="decimal"/>
        <w:lvlText w:val="%1"/>
        <w:lvlJc w:val="left"/>
        <w:pPr>
          <w:ind w:left="720" w:hanging="720"/>
        </w:pPr>
      </w:lvl>
    </w:lvlOverride>
  </w:num>
  <w:num w:numId="40" w16cid:durableId="1273635968">
    <w:abstractNumId w:val="34"/>
  </w:num>
  <w:num w:numId="41" w16cid:durableId="1478377479">
    <w:abstractNumId w:val="35"/>
  </w:num>
  <w:num w:numId="42" w16cid:durableId="2124836980">
    <w:abstractNumId w:val="30"/>
  </w:num>
  <w:num w:numId="43" w16cid:durableId="11613540">
    <w:abstractNumId w:val="25"/>
  </w:num>
  <w:num w:numId="44" w16cid:durableId="69889221">
    <w:abstractNumId w:val="27"/>
  </w:num>
  <w:num w:numId="45" w16cid:durableId="1165129661">
    <w:abstractNumId w:val="18"/>
    <w:lvlOverride w:ilvl="0">
      <w:lvl w:ilvl="0">
        <w:start w:val="1"/>
        <w:numFmt w:val="decimal"/>
        <w:lvlText w:val="%1"/>
        <w:lvlJc w:val="left"/>
        <w:pPr>
          <w:ind w:left="720" w:hanging="720"/>
        </w:pPr>
      </w:lvl>
    </w:lvlOverride>
  </w:num>
  <w:num w:numId="46" w16cid:durableId="114835389">
    <w:abstractNumId w:val="27"/>
  </w:num>
  <w:num w:numId="47" w16cid:durableId="16665722">
    <w:abstractNumId w:val="11"/>
  </w:num>
  <w:num w:numId="48" w16cid:durableId="518737568">
    <w:abstractNumId w:val="12"/>
  </w:num>
  <w:num w:numId="49" w16cid:durableId="437605490">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BD"/>
    <w:rsid w:val="00006079"/>
    <w:rsid w:val="00055287"/>
    <w:rsid w:val="00062D49"/>
    <w:rsid w:val="00071EE8"/>
    <w:rsid w:val="00072FA9"/>
    <w:rsid w:val="00074095"/>
    <w:rsid w:val="0008500D"/>
    <w:rsid w:val="000869AB"/>
    <w:rsid w:val="00097FA8"/>
    <w:rsid w:val="000A5D20"/>
    <w:rsid w:val="000A7AAF"/>
    <w:rsid w:val="000C6A20"/>
    <w:rsid w:val="000D1DA5"/>
    <w:rsid w:val="000D4191"/>
    <w:rsid w:val="000D6A20"/>
    <w:rsid w:val="000D7D68"/>
    <w:rsid w:val="000E0764"/>
    <w:rsid w:val="000E29E4"/>
    <w:rsid w:val="000F2194"/>
    <w:rsid w:val="00103803"/>
    <w:rsid w:val="00103B46"/>
    <w:rsid w:val="00107522"/>
    <w:rsid w:val="0011086A"/>
    <w:rsid w:val="00114002"/>
    <w:rsid w:val="001213D0"/>
    <w:rsid w:val="00123033"/>
    <w:rsid w:val="00125550"/>
    <w:rsid w:val="001334E6"/>
    <w:rsid w:val="00136184"/>
    <w:rsid w:val="00140064"/>
    <w:rsid w:val="00147B2E"/>
    <w:rsid w:val="00150E0C"/>
    <w:rsid w:val="00167898"/>
    <w:rsid w:val="00174D50"/>
    <w:rsid w:val="00176594"/>
    <w:rsid w:val="0017699C"/>
    <w:rsid w:val="001773DC"/>
    <w:rsid w:val="00192EE5"/>
    <w:rsid w:val="00194DA1"/>
    <w:rsid w:val="001A3D08"/>
    <w:rsid w:val="001C1FC1"/>
    <w:rsid w:val="001C4554"/>
    <w:rsid w:val="001D7F2D"/>
    <w:rsid w:val="001E12E5"/>
    <w:rsid w:val="001F7CC6"/>
    <w:rsid w:val="00201F73"/>
    <w:rsid w:val="00205A3B"/>
    <w:rsid w:val="0021474B"/>
    <w:rsid w:val="00217187"/>
    <w:rsid w:val="00222137"/>
    <w:rsid w:val="00244957"/>
    <w:rsid w:val="00251331"/>
    <w:rsid w:val="00262824"/>
    <w:rsid w:val="00277078"/>
    <w:rsid w:val="00281BB6"/>
    <w:rsid w:val="00284C5A"/>
    <w:rsid w:val="00284D14"/>
    <w:rsid w:val="00286307"/>
    <w:rsid w:val="002A068F"/>
    <w:rsid w:val="002B7A76"/>
    <w:rsid w:val="002B7D2A"/>
    <w:rsid w:val="002C4408"/>
    <w:rsid w:val="002C594C"/>
    <w:rsid w:val="002C695E"/>
    <w:rsid w:val="002D2BF1"/>
    <w:rsid w:val="002D5B0A"/>
    <w:rsid w:val="002D6D4A"/>
    <w:rsid w:val="002D7B5C"/>
    <w:rsid w:val="00300880"/>
    <w:rsid w:val="00300B60"/>
    <w:rsid w:val="003024BD"/>
    <w:rsid w:val="003214B3"/>
    <w:rsid w:val="00324BD0"/>
    <w:rsid w:val="0033465E"/>
    <w:rsid w:val="0033522D"/>
    <w:rsid w:val="00341111"/>
    <w:rsid w:val="0035041B"/>
    <w:rsid w:val="003524A4"/>
    <w:rsid w:val="003537AD"/>
    <w:rsid w:val="00364A4A"/>
    <w:rsid w:val="003656C1"/>
    <w:rsid w:val="003672D7"/>
    <w:rsid w:val="003731E3"/>
    <w:rsid w:val="003A030A"/>
    <w:rsid w:val="003B039F"/>
    <w:rsid w:val="003B584A"/>
    <w:rsid w:val="003C09AB"/>
    <w:rsid w:val="003D2DA1"/>
    <w:rsid w:val="00406920"/>
    <w:rsid w:val="00410B27"/>
    <w:rsid w:val="004119A5"/>
    <w:rsid w:val="004137D0"/>
    <w:rsid w:val="004224AE"/>
    <w:rsid w:val="00423229"/>
    <w:rsid w:val="00424847"/>
    <w:rsid w:val="004535E5"/>
    <w:rsid w:val="00454E19"/>
    <w:rsid w:val="004616A6"/>
    <w:rsid w:val="00461957"/>
    <w:rsid w:val="00461F5A"/>
    <w:rsid w:val="0046368A"/>
    <w:rsid w:val="0047553A"/>
    <w:rsid w:val="004812DD"/>
    <w:rsid w:val="00491E5F"/>
    <w:rsid w:val="004946A9"/>
    <w:rsid w:val="004A2299"/>
    <w:rsid w:val="004B1D54"/>
    <w:rsid w:val="004C2845"/>
    <w:rsid w:val="004D0899"/>
    <w:rsid w:val="004F06E3"/>
    <w:rsid w:val="004F6659"/>
    <w:rsid w:val="0050276A"/>
    <w:rsid w:val="00503A54"/>
    <w:rsid w:val="005043EB"/>
    <w:rsid w:val="00504913"/>
    <w:rsid w:val="00517347"/>
    <w:rsid w:val="00517A68"/>
    <w:rsid w:val="00520246"/>
    <w:rsid w:val="00520436"/>
    <w:rsid w:val="00523110"/>
    <w:rsid w:val="005366D2"/>
    <w:rsid w:val="0053719F"/>
    <w:rsid w:val="00537DAB"/>
    <w:rsid w:val="0055082F"/>
    <w:rsid w:val="0055225C"/>
    <w:rsid w:val="0057476A"/>
    <w:rsid w:val="00580016"/>
    <w:rsid w:val="005863A2"/>
    <w:rsid w:val="00593FF7"/>
    <w:rsid w:val="00596410"/>
    <w:rsid w:val="005A0E0E"/>
    <w:rsid w:val="005A7193"/>
    <w:rsid w:val="005C06DC"/>
    <w:rsid w:val="005C11D1"/>
    <w:rsid w:val="005C7D63"/>
    <w:rsid w:val="005D11DB"/>
    <w:rsid w:val="005D3790"/>
    <w:rsid w:val="005D679B"/>
    <w:rsid w:val="005E12E0"/>
    <w:rsid w:val="005E25BD"/>
    <w:rsid w:val="00601074"/>
    <w:rsid w:val="00603A1D"/>
    <w:rsid w:val="006138D1"/>
    <w:rsid w:val="00613D7A"/>
    <w:rsid w:val="00614CC3"/>
    <w:rsid w:val="00620F5C"/>
    <w:rsid w:val="006225EE"/>
    <w:rsid w:val="00626A26"/>
    <w:rsid w:val="00642368"/>
    <w:rsid w:val="00643774"/>
    <w:rsid w:val="00643C78"/>
    <w:rsid w:val="006440A9"/>
    <w:rsid w:val="00661809"/>
    <w:rsid w:val="006664B8"/>
    <w:rsid w:val="00680970"/>
    <w:rsid w:val="00682464"/>
    <w:rsid w:val="00685ED0"/>
    <w:rsid w:val="006877BF"/>
    <w:rsid w:val="006A3182"/>
    <w:rsid w:val="006A5FD2"/>
    <w:rsid w:val="006B222A"/>
    <w:rsid w:val="006B34F6"/>
    <w:rsid w:val="006C16FF"/>
    <w:rsid w:val="006C261F"/>
    <w:rsid w:val="006C5145"/>
    <w:rsid w:val="006E6526"/>
    <w:rsid w:val="006F065B"/>
    <w:rsid w:val="006F0F14"/>
    <w:rsid w:val="00706163"/>
    <w:rsid w:val="00734D2E"/>
    <w:rsid w:val="007402EB"/>
    <w:rsid w:val="0074296C"/>
    <w:rsid w:val="0075153D"/>
    <w:rsid w:val="00753CD6"/>
    <w:rsid w:val="007607DE"/>
    <w:rsid w:val="00760C73"/>
    <w:rsid w:val="00761FCF"/>
    <w:rsid w:val="00764D6A"/>
    <w:rsid w:val="007707A7"/>
    <w:rsid w:val="00773056"/>
    <w:rsid w:val="007767D1"/>
    <w:rsid w:val="0078412C"/>
    <w:rsid w:val="007A5D10"/>
    <w:rsid w:val="007C30F0"/>
    <w:rsid w:val="007C358A"/>
    <w:rsid w:val="007C4F81"/>
    <w:rsid w:val="007D2456"/>
    <w:rsid w:val="007E1256"/>
    <w:rsid w:val="007E319E"/>
    <w:rsid w:val="007E775E"/>
    <w:rsid w:val="007F4F69"/>
    <w:rsid w:val="007F7F92"/>
    <w:rsid w:val="008142ED"/>
    <w:rsid w:val="0082050E"/>
    <w:rsid w:val="00820F04"/>
    <w:rsid w:val="008220AE"/>
    <w:rsid w:val="00850F34"/>
    <w:rsid w:val="00884E3A"/>
    <w:rsid w:val="0089087A"/>
    <w:rsid w:val="00892CC1"/>
    <w:rsid w:val="008A0EE3"/>
    <w:rsid w:val="008B1158"/>
    <w:rsid w:val="008B376A"/>
    <w:rsid w:val="008B61AF"/>
    <w:rsid w:val="008D3DFD"/>
    <w:rsid w:val="008D619B"/>
    <w:rsid w:val="008E2272"/>
    <w:rsid w:val="008E2377"/>
    <w:rsid w:val="00907629"/>
    <w:rsid w:val="00911AF4"/>
    <w:rsid w:val="00914C5A"/>
    <w:rsid w:val="00914CF6"/>
    <w:rsid w:val="00923CC9"/>
    <w:rsid w:val="0093673C"/>
    <w:rsid w:val="00941773"/>
    <w:rsid w:val="00946A37"/>
    <w:rsid w:val="009603C3"/>
    <w:rsid w:val="009630BF"/>
    <w:rsid w:val="009841F7"/>
    <w:rsid w:val="009870C6"/>
    <w:rsid w:val="009944BD"/>
    <w:rsid w:val="009A27B8"/>
    <w:rsid w:val="009A2E27"/>
    <w:rsid w:val="009B35C2"/>
    <w:rsid w:val="009B3D04"/>
    <w:rsid w:val="009B5394"/>
    <w:rsid w:val="009B6598"/>
    <w:rsid w:val="009B73F2"/>
    <w:rsid w:val="009C4E22"/>
    <w:rsid w:val="009C749F"/>
    <w:rsid w:val="009D5007"/>
    <w:rsid w:val="009D53B3"/>
    <w:rsid w:val="009E2823"/>
    <w:rsid w:val="009F3C50"/>
    <w:rsid w:val="009F4C07"/>
    <w:rsid w:val="00A10779"/>
    <w:rsid w:val="00A24841"/>
    <w:rsid w:val="00A32152"/>
    <w:rsid w:val="00A32CE8"/>
    <w:rsid w:val="00A37E5B"/>
    <w:rsid w:val="00A4349F"/>
    <w:rsid w:val="00A532E4"/>
    <w:rsid w:val="00A91307"/>
    <w:rsid w:val="00A97B90"/>
    <w:rsid w:val="00AB607A"/>
    <w:rsid w:val="00AB671C"/>
    <w:rsid w:val="00AB7911"/>
    <w:rsid w:val="00AC35F5"/>
    <w:rsid w:val="00AE4237"/>
    <w:rsid w:val="00AE7665"/>
    <w:rsid w:val="00AF51CF"/>
    <w:rsid w:val="00B02B9B"/>
    <w:rsid w:val="00B1298F"/>
    <w:rsid w:val="00B12AC2"/>
    <w:rsid w:val="00B1384B"/>
    <w:rsid w:val="00B160A4"/>
    <w:rsid w:val="00B21C6E"/>
    <w:rsid w:val="00B23444"/>
    <w:rsid w:val="00B43625"/>
    <w:rsid w:val="00B45930"/>
    <w:rsid w:val="00B5740E"/>
    <w:rsid w:val="00B84485"/>
    <w:rsid w:val="00B860E9"/>
    <w:rsid w:val="00B861B4"/>
    <w:rsid w:val="00B8745D"/>
    <w:rsid w:val="00B97E61"/>
    <w:rsid w:val="00BA07C1"/>
    <w:rsid w:val="00BA1BB0"/>
    <w:rsid w:val="00BA446D"/>
    <w:rsid w:val="00BB4668"/>
    <w:rsid w:val="00BC1616"/>
    <w:rsid w:val="00BD4A2B"/>
    <w:rsid w:val="00BE561A"/>
    <w:rsid w:val="00BF4E55"/>
    <w:rsid w:val="00C003C5"/>
    <w:rsid w:val="00C02519"/>
    <w:rsid w:val="00C02E4B"/>
    <w:rsid w:val="00C02F9C"/>
    <w:rsid w:val="00C06936"/>
    <w:rsid w:val="00C11857"/>
    <w:rsid w:val="00C12ACE"/>
    <w:rsid w:val="00C13950"/>
    <w:rsid w:val="00C23CF2"/>
    <w:rsid w:val="00C331D2"/>
    <w:rsid w:val="00C33358"/>
    <w:rsid w:val="00C35892"/>
    <w:rsid w:val="00C416EC"/>
    <w:rsid w:val="00C45E41"/>
    <w:rsid w:val="00C51F4E"/>
    <w:rsid w:val="00C52C6B"/>
    <w:rsid w:val="00C705C7"/>
    <w:rsid w:val="00C712FC"/>
    <w:rsid w:val="00C8409C"/>
    <w:rsid w:val="00C85C62"/>
    <w:rsid w:val="00C9451C"/>
    <w:rsid w:val="00C96293"/>
    <w:rsid w:val="00CA3707"/>
    <w:rsid w:val="00CA4535"/>
    <w:rsid w:val="00CB2439"/>
    <w:rsid w:val="00CB5136"/>
    <w:rsid w:val="00CD7DDA"/>
    <w:rsid w:val="00CF0A11"/>
    <w:rsid w:val="00CF4F5E"/>
    <w:rsid w:val="00D05BBD"/>
    <w:rsid w:val="00D07F7D"/>
    <w:rsid w:val="00D100F7"/>
    <w:rsid w:val="00D1032B"/>
    <w:rsid w:val="00D15401"/>
    <w:rsid w:val="00D3041E"/>
    <w:rsid w:val="00D3184D"/>
    <w:rsid w:val="00D32CDD"/>
    <w:rsid w:val="00D40EBB"/>
    <w:rsid w:val="00D47121"/>
    <w:rsid w:val="00D51752"/>
    <w:rsid w:val="00D60B6F"/>
    <w:rsid w:val="00D65CD1"/>
    <w:rsid w:val="00D6626A"/>
    <w:rsid w:val="00D73C0C"/>
    <w:rsid w:val="00D77C5B"/>
    <w:rsid w:val="00D80C81"/>
    <w:rsid w:val="00D86640"/>
    <w:rsid w:val="00D94A84"/>
    <w:rsid w:val="00DA71B8"/>
    <w:rsid w:val="00DA7545"/>
    <w:rsid w:val="00DB142C"/>
    <w:rsid w:val="00DB1F2B"/>
    <w:rsid w:val="00DE0AAE"/>
    <w:rsid w:val="00DE3EAE"/>
    <w:rsid w:val="00DE4527"/>
    <w:rsid w:val="00DF01A1"/>
    <w:rsid w:val="00DF5279"/>
    <w:rsid w:val="00E0007F"/>
    <w:rsid w:val="00E02732"/>
    <w:rsid w:val="00E05168"/>
    <w:rsid w:val="00E1060E"/>
    <w:rsid w:val="00E20810"/>
    <w:rsid w:val="00E304A4"/>
    <w:rsid w:val="00E50B7B"/>
    <w:rsid w:val="00E50E3B"/>
    <w:rsid w:val="00E5620C"/>
    <w:rsid w:val="00E64D35"/>
    <w:rsid w:val="00E748C9"/>
    <w:rsid w:val="00E823BC"/>
    <w:rsid w:val="00E823CF"/>
    <w:rsid w:val="00E91D72"/>
    <w:rsid w:val="00EA3521"/>
    <w:rsid w:val="00EB3454"/>
    <w:rsid w:val="00EC40D3"/>
    <w:rsid w:val="00EC581A"/>
    <w:rsid w:val="00EE3C89"/>
    <w:rsid w:val="00EE4833"/>
    <w:rsid w:val="00EF428B"/>
    <w:rsid w:val="00EF55CC"/>
    <w:rsid w:val="00F0258E"/>
    <w:rsid w:val="00F04729"/>
    <w:rsid w:val="00F05FC6"/>
    <w:rsid w:val="00F112E3"/>
    <w:rsid w:val="00F14B93"/>
    <w:rsid w:val="00F261CD"/>
    <w:rsid w:val="00F32453"/>
    <w:rsid w:val="00F325ED"/>
    <w:rsid w:val="00F32BCC"/>
    <w:rsid w:val="00F42F7E"/>
    <w:rsid w:val="00F43D76"/>
    <w:rsid w:val="00F448C4"/>
    <w:rsid w:val="00F510B1"/>
    <w:rsid w:val="00F64B19"/>
    <w:rsid w:val="00F71339"/>
    <w:rsid w:val="00F7165F"/>
    <w:rsid w:val="00F82F27"/>
    <w:rsid w:val="00F83FCC"/>
    <w:rsid w:val="00F878B3"/>
    <w:rsid w:val="00F93A7C"/>
    <w:rsid w:val="00F93B42"/>
    <w:rsid w:val="00FA2743"/>
    <w:rsid w:val="00FA2ED1"/>
    <w:rsid w:val="00FC0B39"/>
    <w:rsid w:val="00FC1759"/>
    <w:rsid w:val="00FE0D6B"/>
    <w:rsid w:val="00FE274C"/>
    <w:rsid w:val="00FE64BC"/>
    <w:rsid w:val="00FF47EC"/>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CBE43"/>
  <w15:docId w15:val="{4AA1D6F6-9DC4-48A6-8D79-BF0C2A6D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6C"/>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DF01A1"/>
    <w:pPr>
      <w:widowControl w:val="0"/>
      <w:spacing w:before="360"/>
      <w:contextualSpacing/>
      <w:outlineLvl w:val="0"/>
    </w:pPr>
    <w:rPr>
      <w:rFonts w:ascii="Calibri" w:eastAsiaTheme="minorHAnsi" w:hAnsi="Calibri" w:cstheme="minorBidi"/>
      <w:b/>
      <w:bCs/>
      <w:color w:val="083A42"/>
      <w:spacing w:val="5"/>
      <w:kern w:val="28"/>
      <w:sz w:val="72"/>
      <w:szCs w:val="28"/>
      <w:lang w:eastAsia="en-US"/>
    </w:rPr>
  </w:style>
  <w:style w:type="paragraph" w:styleId="Heading2">
    <w:name w:val="heading 2"/>
    <w:basedOn w:val="Normal"/>
    <w:next w:val="Normal"/>
    <w:link w:val="Heading2Char"/>
    <w:uiPriority w:val="3"/>
    <w:rsid w:val="00A32152"/>
    <w:pPr>
      <w:spacing w:after="240" w:line="240" w:lineRule="auto"/>
      <w:outlineLvl w:val="1"/>
    </w:pPr>
    <w:rPr>
      <w:rFonts w:ascii="Calibri" w:eastAsiaTheme="minorEastAsia" w:hAnsi="Calibri"/>
      <w:bCs/>
      <w:color w:val="197C7D"/>
      <w:sz w:val="56"/>
      <w:szCs w:val="28"/>
      <w:lang w:eastAsia="ja-JP"/>
    </w:rPr>
  </w:style>
  <w:style w:type="paragraph" w:styleId="Heading3">
    <w:name w:val="heading 3"/>
    <w:next w:val="Normal"/>
    <w:link w:val="Heading3Char"/>
    <w:uiPriority w:val="4"/>
    <w:qFormat/>
    <w:rsid w:val="00EB3454"/>
    <w:pPr>
      <w:keepNext/>
      <w:keepLines/>
      <w:numPr>
        <w:ilvl w:val="1"/>
        <w:numId w:val="9"/>
      </w:numPr>
      <w:spacing w:before="240" w:after="120"/>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2C594C"/>
    <w:pPr>
      <w:keepNext/>
      <w:numPr>
        <w:ilvl w:val="2"/>
        <w:numId w:val="9"/>
      </w:numPr>
      <w:spacing w:before="120"/>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3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DF01A1"/>
    <w:rPr>
      <w:rFonts w:ascii="Calibri" w:eastAsiaTheme="minorHAnsi" w:hAnsi="Calibri" w:cstheme="minorBidi"/>
      <w:b/>
      <w:bCs/>
      <w:color w:val="083A42"/>
      <w:spacing w:val="5"/>
      <w:kern w:val="28"/>
      <w:sz w:val="72"/>
      <w:szCs w:val="28"/>
      <w:lang w:eastAsia="en-US"/>
    </w:rPr>
  </w:style>
  <w:style w:type="character" w:customStyle="1" w:styleId="Heading2Char">
    <w:name w:val="Heading 2 Char"/>
    <w:basedOn w:val="DefaultParagraphFont"/>
    <w:link w:val="Heading2"/>
    <w:uiPriority w:val="3"/>
    <w:rsid w:val="00A32152"/>
    <w:rPr>
      <w:rFonts w:ascii="Calibri" w:eastAsiaTheme="minorEastAsia" w:hAnsi="Calibri" w:cstheme="minorBidi"/>
      <w:bCs/>
      <w:color w:val="197C7D"/>
      <w:sz w:val="56"/>
      <w:szCs w:val="28"/>
      <w:lang w:eastAsia="ja-JP"/>
    </w:rPr>
  </w:style>
  <w:style w:type="character" w:customStyle="1" w:styleId="Heading3Char">
    <w:name w:val="Heading 3 Char"/>
    <w:basedOn w:val="DefaultParagraphFont"/>
    <w:link w:val="Heading3"/>
    <w:uiPriority w:val="4"/>
    <w:rsid w:val="00EB345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2C594C"/>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rsid w:val="00123033"/>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DF01A1"/>
    <w:pPr>
      <w:spacing w:before="120"/>
    </w:pPr>
    <w:rPr>
      <w:b w:val="0"/>
      <w:sz w:val="56"/>
      <w:szCs w:val="56"/>
    </w:rPr>
  </w:style>
  <w:style w:type="character" w:customStyle="1" w:styleId="SubtitleChar">
    <w:name w:val="Subtitle Char"/>
    <w:basedOn w:val="DefaultParagraphFont"/>
    <w:link w:val="Subtitle"/>
    <w:uiPriority w:val="23"/>
    <w:rsid w:val="00DF01A1"/>
    <w:rPr>
      <w:rFonts w:ascii="Calibri" w:eastAsiaTheme="minorHAnsi" w:hAnsi="Calibri" w:cstheme="minorBidi"/>
      <w:bCs/>
      <w:color w:val="083A42"/>
      <w:spacing w:val="5"/>
      <w:kern w:val="28"/>
      <w:sz w:val="56"/>
      <w:szCs w:val="56"/>
      <w:lang w:eastAsia="en-US"/>
    </w:rPr>
  </w:style>
  <w:style w:type="paragraph" w:styleId="TOCHeading">
    <w:name w:val="TOC Heading"/>
    <w:next w:val="Normal"/>
    <w:uiPriority w:val="39"/>
    <w:qFormat/>
    <w:rsid w:val="0093673C"/>
    <w:pPr>
      <w:spacing w:before="480" w:line="276" w:lineRule="auto"/>
    </w:pPr>
    <w:rPr>
      <w:rFonts w:ascii="Calibri" w:eastAsiaTheme="minorEastAsia" w:hAnsi="Calibri" w:cstheme="minorBidi"/>
      <w:bCs/>
      <w:color w:val="197C7D"/>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123033"/>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rsid w:val="00123033"/>
    <w:pPr>
      <w:numPr>
        <w:ilvl w:val="1"/>
        <w:numId w:val="5"/>
      </w:numPr>
      <w:spacing w:before="120" w:after="120"/>
      <w:contextualSpacing/>
    </w:pPr>
  </w:style>
  <w:style w:type="paragraph" w:styleId="ListNumber">
    <w:name w:val="List Number"/>
    <w:basedOn w:val="Normal"/>
    <w:uiPriority w:val="9"/>
    <w:qFormat/>
    <w:rsid w:val="00123033"/>
    <w:pPr>
      <w:numPr>
        <w:numId w:val="24"/>
      </w:numPr>
      <w:tabs>
        <w:tab w:val="left" w:pos="142"/>
      </w:tabs>
      <w:spacing w:before="120" w:after="120"/>
    </w:pPr>
  </w:style>
  <w:style w:type="paragraph" w:styleId="ListNumber2">
    <w:name w:val="List Number 2"/>
    <w:uiPriority w:val="10"/>
    <w:qFormat/>
    <w:rsid w:val="00884E3A"/>
    <w:pPr>
      <w:numPr>
        <w:ilvl w:val="1"/>
        <w:numId w:val="24"/>
      </w:numPr>
      <w:tabs>
        <w:tab w:val="left" w:pos="567"/>
      </w:tabs>
      <w:spacing w:before="120" w:after="120" w:line="264" w:lineRule="auto"/>
      <w:ind w:left="879" w:hanging="425"/>
    </w:pPr>
    <w:rPr>
      <w:rFonts w:asciiTheme="minorHAnsi" w:eastAsia="Times New Roman" w:hAnsiTheme="minorHAnsi"/>
      <w:sz w:val="22"/>
      <w:szCs w:val="24"/>
      <w:lang w:eastAsia="en-US"/>
    </w:rPr>
  </w:style>
  <w:style w:type="paragraph" w:styleId="ListNumber3">
    <w:name w:val="List Number 3"/>
    <w:uiPriority w:val="11"/>
    <w:qFormat/>
    <w:rsid w:val="00884E3A"/>
    <w:pPr>
      <w:numPr>
        <w:ilvl w:val="2"/>
        <w:numId w:val="24"/>
      </w:numPr>
      <w:spacing w:before="120" w:after="120" w:line="264" w:lineRule="auto"/>
      <w:ind w:left="1247"/>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rsid w:val="00123033"/>
    <w:pPr>
      <w:spacing w:after="60"/>
    </w:pPr>
    <w:rPr>
      <w:b/>
      <w:sz w:val="28"/>
      <w:szCs w:val="28"/>
    </w:rPr>
  </w:style>
  <w:style w:type="paragraph" w:customStyle="1" w:styleId="AuthorOrganisationAffiliation">
    <w:name w:val="Author Organisation/Affiliation"/>
    <w:basedOn w:val="Normal"/>
    <w:next w:val="Normal"/>
    <w:uiPriority w:val="25"/>
    <w:qFormat/>
    <w:rsid w:val="00123033"/>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123033"/>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rsid w:val="00123033"/>
    <w:pPr>
      <w:spacing w:line="240" w:lineRule="auto"/>
    </w:pPr>
    <w:rPr>
      <w:b/>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rsid w:val="00123033"/>
    <w:pPr>
      <w:spacing w:after="60" w:line="264" w:lineRule="auto"/>
    </w:pPr>
    <w:rPr>
      <w:sz w:val="20"/>
      <w:szCs w:val="20"/>
    </w:rPr>
  </w:style>
  <w:style w:type="character" w:customStyle="1" w:styleId="FootnoteTextChar">
    <w:name w:val="Footnote Text Char"/>
    <w:basedOn w:val="DefaultParagraphFont"/>
    <w:link w:val="FootnoteText"/>
    <w:uiPriority w:val="99"/>
    <w:rsid w:val="0012303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rsid w:val="00123033"/>
    <w:pPr>
      <w:spacing w:after="60" w:line="264" w:lineRule="auto"/>
    </w:pPr>
    <w:rPr>
      <w:sz w:val="20"/>
      <w:szCs w:val="20"/>
    </w:rPr>
  </w:style>
  <w:style w:type="character" w:customStyle="1" w:styleId="EndnoteTextChar">
    <w:name w:val="Endnote Text Char"/>
    <w:basedOn w:val="DefaultParagraphFont"/>
    <w:link w:val="EndnoteText"/>
    <w:uiPriority w:val="99"/>
    <w:rsid w:val="00123033"/>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rsid w:val="00123033"/>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rsid w:val="00123033"/>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pPr>
      <w:numPr>
        <w:ilvl w:val="2"/>
        <w:numId w:val="5"/>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123033"/>
    <w:pPr>
      <w:numPr>
        <w:numId w:val="16"/>
      </w:numPr>
      <w:spacing w:before="60" w:after="60"/>
      <w:ind w:left="403"/>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Pr>
      <w:i/>
      <w:iCs/>
      <w:color w:val="197C7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character" w:styleId="UnresolvedMention">
    <w:name w:val="Unresolved Mention"/>
    <w:basedOn w:val="DefaultParagraphFont"/>
    <w:uiPriority w:val="99"/>
    <w:semiHidden/>
    <w:unhideWhenUsed/>
    <w:rsid w:val="00EE4833"/>
    <w:rPr>
      <w:color w:val="605E5C"/>
      <w:shd w:val="clear" w:color="auto" w:fill="E1DFDD"/>
    </w:rPr>
  </w:style>
  <w:style w:type="paragraph" w:styleId="ListParagraph">
    <w:name w:val="List Paragraph"/>
    <w:basedOn w:val="Normal"/>
    <w:uiPriority w:val="34"/>
    <w:qFormat/>
    <w:rsid w:val="006C261F"/>
    <w:pPr>
      <w:spacing w:after="0" w:line="240" w:lineRule="auto"/>
      <w:ind w:left="720"/>
    </w:pPr>
    <w:rPr>
      <w:rFonts w:ascii="Calibri" w:hAnsi="Calibri" w:cs="Calibri"/>
    </w:rPr>
  </w:style>
  <w:style w:type="paragraph" w:styleId="Revision">
    <w:name w:val="Revision"/>
    <w:hidden/>
    <w:uiPriority w:val="99"/>
    <w:semiHidden/>
    <w:rsid w:val="009944BD"/>
    <w:rPr>
      <w:rFonts w:asciiTheme="minorHAnsi" w:eastAsiaTheme="minorHAnsi" w:hAnsiTheme="minorHAnsi" w:cstheme="minorBidi"/>
      <w:sz w:val="22"/>
      <w:szCs w:val="22"/>
      <w:lang w:eastAsia="en-US"/>
    </w:rPr>
  </w:style>
  <w:style w:type="paragraph" w:customStyle="1" w:styleId="TBLText">
    <w:name w:val="TBL Text"/>
    <w:basedOn w:val="Normal"/>
    <w:uiPriority w:val="9"/>
    <w:qFormat/>
    <w:rsid w:val="00C96293"/>
    <w:pPr>
      <w:spacing w:after="0" w:line="240" w:lineRule="auto"/>
    </w:pPr>
    <w:rPr>
      <w:rFonts w:eastAsiaTheme="minorEastAsia"/>
      <w:sz w:val="18"/>
      <w:szCs w:val="18"/>
    </w:rPr>
  </w:style>
  <w:style w:type="table" w:styleId="GridTable4-Accent1">
    <w:name w:val="Grid Table 4 Accent 1"/>
    <w:basedOn w:val="TableNormal"/>
    <w:uiPriority w:val="49"/>
    <w:rsid w:val="009B3D04"/>
    <w:tblPr>
      <w:tblStyleRowBandSize w:val="1"/>
      <w:tblStyleColBandSize w:val="1"/>
      <w:tblBorders>
        <w:top w:val="single" w:sz="4" w:space="0" w:color="4BD9DB" w:themeColor="accent1" w:themeTint="99"/>
        <w:left w:val="single" w:sz="4" w:space="0" w:color="4BD9DB" w:themeColor="accent1" w:themeTint="99"/>
        <w:bottom w:val="single" w:sz="4" w:space="0" w:color="4BD9DB" w:themeColor="accent1" w:themeTint="99"/>
        <w:right w:val="single" w:sz="4" w:space="0" w:color="4BD9DB" w:themeColor="accent1" w:themeTint="99"/>
        <w:insideH w:val="single" w:sz="4" w:space="0" w:color="4BD9DB" w:themeColor="accent1" w:themeTint="99"/>
        <w:insideV w:val="single" w:sz="4" w:space="0" w:color="4BD9DB" w:themeColor="accent1" w:themeTint="99"/>
      </w:tblBorders>
    </w:tblPr>
    <w:tblStylePr w:type="firstRow">
      <w:rPr>
        <w:b/>
        <w:bCs/>
        <w:color w:val="FFFFFF" w:themeColor="background1"/>
      </w:rPr>
      <w:tblPr/>
      <w:tcPr>
        <w:tcBorders>
          <w:top w:val="single" w:sz="4" w:space="0" w:color="197C7D" w:themeColor="accent1"/>
          <w:left w:val="single" w:sz="4" w:space="0" w:color="197C7D" w:themeColor="accent1"/>
          <w:bottom w:val="single" w:sz="4" w:space="0" w:color="197C7D" w:themeColor="accent1"/>
          <w:right w:val="single" w:sz="4" w:space="0" w:color="197C7D" w:themeColor="accent1"/>
          <w:insideH w:val="nil"/>
          <w:insideV w:val="nil"/>
        </w:tcBorders>
        <w:shd w:val="clear" w:color="auto" w:fill="197C7D" w:themeFill="accent1"/>
      </w:tcPr>
    </w:tblStylePr>
    <w:tblStylePr w:type="lastRow">
      <w:rPr>
        <w:b/>
        <w:bCs/>
      </w:rPr>
      <w:tblPr/>
      <w:tcPr>
        <w:tcBorders>
          <w:top w:val="double" w:sz="4" w:space="0" w:color="197C7D" w:themeColor="accent1"/>
        </w:tcBorders>
      </w:tcPr>
    </w:tblStylePr>
    <w:tblStylePr w:type="firstCol">
      <w:rPr>
        <w:b/>
        <w:bCs/>
      </w:rPr>
    </w:tblStylePr>
    <w:tblStylePr w:type="lastCol">
      <w:rPr>
        <w:b/>
        <w:bCs/>
      </w:rPr>
    </w:tblStylePr>
    <w:tblStylePr w:type="band1Vert">
      <w:tblPr/>
      <w:tcPr>
        <w:shd w:val="clear" w:color="auto" w:fill="C3F2F3" w:themeFill="accent1" w:themeFillTint="33"/>
      </w:tcPr>
    </w:tblStylePr>
    <w:tblStylePr w:type="band1Horz">
      <w:tblPr/>
      <w:tcPr>
        <w:shd w:val="clear" w:color="auto" w:fill="C3F2F3" w:themeFill="accent1" w:themeFillTint="33"/>
      </w:tcPr>
    </w:tblStylePr>
  </w:style>
  <w:style w:type="table" w:styleId="ListTable4-Accent1">
    <w:name w:val="List Table 4 Accent 1"/>
    <w:basedOn w:val="TableNormal"/>
    <w:uiPriority w:val="49"/>
    <w:rsid w:val="009B3D04"/>
    <w:tblPr>
      <w:tblStyleRowBandSize w:val="1"/>
      <w:tblStyleColBandSize w:val="1"/>
      <w:tblBorders>
        <w:top w:val="single" w:sz="4" w:space="0" w:color="4BD9DB" w:themeColor="accent1" w:themeTint="99"/>
        <w:left w:val="single" w:sz="4" w:space="0" w:color="4BD9DB" w:themeColor="accent1" w:themeTint="99"/>
        <w:bottom w:val="single" w:sz="4" w:space="0" w:color="4BD9DB" w:themeColor="accent1" w:themeTint="99"/>
        <w:right w:val="single" w:sz="4" w:space="0" w:color="4BD9DB" w:themeColor="accent1" w:themeTint="99"/>
        <w:insideH w:val="single" w:sz="4" w:space="0" w:color="4BD9DB" w:themeColor="accent1" w:themeTint="99"/>
      </w:tblBorders>
    </w:tblPr>
    <w:tblStylePr w:type="firstRow">
      <w:rPr>
        <w:b/>
        <w:bCs/>
        <w:color w:val="FFFFFF" w:themeColor="background1"/>
      </w:rPr>
      <w:tblPr/>
      <w:tcPr>
        <w:tcBorders>
          <w:top w:val="single" w:sz="4" w:space="0" w:color="197C7D" w:themeColor="accent1"/>
          <w:left w:val="single" w:sz="4" w:space="0" w:color="197C7D" w:themeColor="accent1"/>
          <w:bottom w:val="single" w:sz="4" w:space="0" w:color="197C7D" w:themeColor="accent1"/>
          <w:right w:val="single" w:sz="4" w:space="0" w:color="197C7D" w:themeColor="accent1"/>
          <w:insideH w:val="nil"/>
        </w:tcBorders>
        <w:shd w:val="clear" w:color="auto" w:fill="197C7D" w:themeFill="accent1"/>
      </w:tcPr>
    </w:tblStylePr>
    <w:tblStylePr w:type="lastRow">
      <w:rPr>
        <w:b/>
        <w:bCs/>
      </w:rPr>
      <w:tblPr/>
      <w:tcPr>
        <w:tcBorders>
          <w:top w:val="double" w:sz="4" w:space="0" w:color="4BD9DB" w:themeColor="accent1" w:themeTint="99"/>
        </w:tcBorders>
      </w:tcPr>
    </w:tblStylePr>
    <w:tblStylePr w:type="firstCol">
      <w:rPr>
        <w:b/>
        <w:bCs/>
      </w:rPr>
    </w:tblStylePr>
    <w:tblStylePr w:type="lastCol">
      <w:rPr>
        <w:b/>
        <w:bCs/>
      </w:rPr>
    </w:tblStylePr>
    <w:tblStylePr w:type="band1Vert">
      <w:tblPr/>
      <w:tcPr>
        <w:shd w:val="clear" w:color="auto" w:fill="C3F2F3" w:themeFill="accent1" w:themeFillTint="33"/>
      </w:tcPr>
    </w:tblStylePr>
    <w:tblStylePr w:type="band1Horz">
      <w:tblPr/>
      <w:tcPr>
        <w:shd w:val="clear" w:color="auto" w:fill="C3F2F3" w:themeFill="accent1" w:themeFillTint="33"/>
      </w:tcPr>
    </w:tblStylePr>
  </w:style>
  <w:style w:type="table" w:styleId="ListTable3-Accent1">
    <w:name w:val="List Table 3 Accent 1"/>
    <w:basedOn w:val="TableNormal"/>
    <w:uiPriority w:val="48"/>
    <w:rsid w:val="002C695E"/>
    <w:tblPr>
      <w:tblStyleRowBandSize w:val="1"/>
      <w:tblStyleColBandSize w:val="1"/>
      <w:tblBorders>
        <w:top w:val="single" w:sz="4" w:space="0" w:color="197C7D" w:themeColor="accent1"/>
        <w:left w:val="single" w:sz="4" w:space="0" w:color="197C7D" w:themeColor="accent1"/>
        <w:bottom w:val="single" w:sz="4" w:space="0" w:color="197C7D" w:themeColor="accent1"/>
        <w:right w:val="single" w:sz="4" w:space="0" w:color="197C7D" w:themeColor="accent1"/>
      </w:tblBorders>
    </w:tblPr>
    <w:tblStylePr w:type="firstRow">
      <w:rPr>
        <w:b/>
        <w:bCs/>
        <w:color w:val="FFFFFF" w:themeColor="background1"/>
      </w:rPr>
      <w:tblPr/>
      <w:tcPr>
        <w:shd w:val="clear" w:color="auto" w:fill="197C7D" w:themeFill="accent1"/>
      </w:tcPr>
    </w:tblStylePr>
    <w:tblStylePr w:type="lastRow">
      <w:rPr>
        <w:b/>
        <w:bCs/>
      </w:rPr>
      <w:tblPr/>
      <w:tcPr>
        <w:tcBorders>
          <w:top w:val="double" w:sz="4" w:space="0" w:color="197C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7C7D" w:themeColor="accent1"/>
          <w:right w:val="single" w:sz="4" w:space="0" w:color="197C7D" w:themeColor="accent1"/>
        </w:tcBorders>
      </w:tcPr>
    </w:tblStylePr>
    <w:tblStylePr w:type="band1Horz">
      <w:tblPr/>
      <w:tcPr>
        <w:tcBorders>
          <w:top w:val="single" w:sz="4" w:space="0" w:color="197C7D" w:themeColor="accent1"/>
          <w:bottom w:val="single" w:sz="4" w:space="0" w:color="197C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7C7D" w:themeColor="accent1"/>
          <w:left w:val="nil"/>
        </w:tcBorders>
      </w:tcPr>
    </w:tblStylePr>
    <w:tblStylePr w:type="swCell">
      <w:tblPr/>
      <w:tcPr>
        <w:tcBorders>
          <w:top w:val="double" w:sz="4" w:space="0" w:color="197C7D" w:themeColor="accent1"/>
          <w:right w:val="nil"/>
        </w:tcBorders>
      </w:tcPr>
    </w:tblStylePr>
  </w:style>
  <w:style w:type="character" w:customStyle="1" w:styleId="cf01">
    <w:name w:val="cf01"/>
    <w:basedOn w:val="DefaultParagraphFont"/>
    <w:rsid w:val="006225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87002">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dcceew.gov.au" TargetMode="External"/><Relationship Id="rId18" Type="http://schemas.openxmlformats.org/officeDocument/2006/relationships/header" Target="header2.xml"/><Relationship Id="rId26" Type="http://schemas.openxmlformats.org/officeDocument/2006/relationships/hyperlink" Target="https://www.legislation.gov.au/F2013L01574/latest/tex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eader" Target="header1.xml"/><Relationship Id="rId25" Type="http://schemas.openxmlformats.org/officeDocument/2006/relationships/hyperlink" Target="https://consult.dcceew.gov.au/proposed-legislative-changes-to-the-wels-determination-2013" TargetMode="External"/><Relationship Id="rId2" Type="http://schemas.openxmlformats.org/officeDocument/2006/relationships/customXml" Target="../customXml/item2.xml"/><Relationship Id="rId16" Type="http://schemas.openxmlformats.org/officeDocument/2006/relationships/hyperlink" Target="https://www.dcceew.gov.au"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onsult.dcceew.gov.au/proposed-legislative-changes-to-the-wels-determination-2013" TargetMode="External"/><Relationship Id="rId5" Type="http://schemas.openxmlformats.org/officeDocument/2006/relationships/numbering" Target="numbering.xml"/><Relationship Id="rId15" Type="http://schemas.openxmlformats.org/officeDocument/2006/relationships/hyperlink" Target="https://consult.dcceew.gov.au/proposed-legislative-changes-to-the-wels-determination-2013" TargetMode="External"/><Relationship Id="rId23" Type="http://schemas.openxmlformats.org/officeDocument/2006/relationships/hyperlink" Target="https://www.legislation.gov.au/F2013L01574/latest/tex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yperlink" Target="https://watermark.abcb.gov.au/schedule-products-appliances" TargetMode="External"/></Relationships>
</file>

<file path=word/theme/theme1.xml><?xml version="1.0" encoding="utf-8"?>
<a:theme xmlns:a="http://schemas.openxmlformats.org/drawingml/2006/main" name="Office Theme">
  <a:themeElements>
    <a:clrScheme name="DCCEEW">
      <a:dk1>
        <a:sysClr val="windowText" lastClr="000000"/>
      </a:dk1>
      <a:lt1>
        <a:sysClr val="window" lastClr="FFFFFF"/>
      </a:lt1>
      <a:dk2>
        <a:srgbClr val="222021"/>
      </a:dk2>
      <a:lt2>
        <a:srgbClr val="083A42"/>
      </a:lt2>
      <a:accent1>
        <a:srgbClr val="197C7D"/>
      </a:accent1>
      <a:accent2>
        <a:srgbClr val="40C1AC"/>
      </a:accent2>
      <a:accent3>
        <a:srgbClr val="9AFFBE"/>
      </a:accent3>
      <a:accent4>
        <a:srgbClr val="FFFFFF"/>
      </a:accent4>
      <a:accent5>
        <a:srgbClr val="FFFFFF"/>
      </a:accent5>
      <a:accent6>
        <a:srgbClr val="FFFFFF"/>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BD6DA3CAA945449D687BAD3204FB0C" ma:contentTypeVersion="6" ma:contentTypeDescription="Create a new document." ma:contentTypeScope="" ma:versionID="2c7879a664926cc1e40ae35bf327458a">
  <xsd:schema xmlns:xsd="http://www.w3.org/2001/XMLSchema" xmlns:xs="http://www.w3.org/2001/XMLSchema" xmlns:p="http://schemas.microsoft.com/office/2006/metadata/properties" xmlns:ns2="2b794145-bd4f-4b1b-8468-504ab46632bf" xmlns:ns3="e12a46de-76a2-4a50-84ed-8d3092ee2372" targetNamespace="http://schemas.microsoft.com/office/2006/metadata/properties" ma:root="true" ma:fieldsID="40e82334610b75c217170927354280c1" ns2:_="" ns3:_="">
    <xsd:import namespace="2b794145-bd4f-4b1b-8468-504ab46632bf"/>
    <xsd:import namespace="e12a46de-76a2-4a50-84ed-8d3092ee2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94145-bd4f-4b1b-8468-504ab4663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2a46de-76a2-4a50-84ed-8d3092ee23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6DFD2D-7B23-4A2A-A53E-517C06A88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94145-bd4f-4b1b-8468-504ab46632bf"/>
    <ds:schemaRef ds:uri="e12a46de-76a2-4a50-84ed-8d3092ee2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31</TotalTime>
  <Pages>22</Pages>
  <Words>5021</Words>
  <Characters>28625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33579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creator>Andrew Fountain</dc:creator>
  <cp:lastModifiedBy>Andrew FOUNTAIN</cp:lastModifiedBy>
  <cp:revision>18</cp:revision>
  <cp:lastPrinted>2024-07-10T03:22:00Z</cp:lastPrinted>
  <dcterms:created xsi:type="dcterms:W3CDTF">2024-06-30T23:22:00Z</dcterms:created>
  <dcterms:modified xsi:type="dcterms:W3CDTF">2024-07-10T03:22:00Z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0x010100F5BD6DA3CAA945449D687BAD3204FB0C</vt:lpwstr>
  </property>
  <property fmtid="{D5CDD505-2E9C-101B-9397-08002B2CF9AE}" pid="3" name="MediaServiceImageTags">
    <vt:lpwstr/>
  </property>
  <property fmtid="{D5CDD505-2E9C-101B-9397-08002B2CF9AE}" pid="4" name="Order">
    <vt:r8>59800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ClassificationContentMarkingHeaderShapeIds">
    <vt:lpwstr>1861d22,4274c6a7,5b9c126d</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ShapeIds">
    <vt:lpwstr>3a6687c7,6b681d1b,13d2da06</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ies>
</file>