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Y="4050"/>
        <w:tblW w:w="0" w:type="auto"/>
        <w:tblLook w:val="01E0" w:firstRow="1" w:lastRow="1" w:firstColumn="1" w:lastColumn="1" w:noHBand="0" w:noVBand="0"/>
      </w:tblPr>
      <w:tblGrid>
        <w:gridCol w:w="9638"/>
      </w:tblGrid>
      <w:tr w:rsidR="00A943B2" w:rsidRPr="00716588" w14:paraId="1DC417C7" w14:textId="77777777" w:rsidTr="00D366A3">
        <w:tc>
          <w:tcPr>
            <w:tcW w:w="9638" w:type="dxa"/>
          </w:tcPr>
          <w:p w14:paraId="13F3DB95" w14:textId="5F2A0784" w:rsidR="00DD488F" w:rsidRDefault="004963B3" w:rsidP="00D366A3">
            <w:pPr>
              <w:pStyle w:val="CoverSubtitle"/>
              <w:rPr>
                <w:b/>
                <w:iCs w:val="0"/>
                <w:spacing w:val="5"/>
                <w:kern w:val="28"/>
                <w:sz w:val="80"/>
                <w:szCs w:val="52"/>
              </w:rPr>
            </w:pPr>
            <w:r w:rsidRPr="004963B3">
              <w:rPr>
                <w:b/>
                <w:iCs w:val="0"/>
                <w:spacing w:val="5"/>
                <w:kern w:val="28"/>
                <w:sz w:val="80"/>
                <w:szCs w:val="52"/>
              </w:rPr>
              <w:t xml:space="preserve">Expert advice for the assessment of Australian </w:t>
            </w:r>
            <w:r w:rsidR="002B4915">
              <w:rPr>
                <w:b/>
                <w:iCs w:val="0"/>
                <w:spacing w:val="5"/>
                <w:kern w:val="28"/>
                <w:sz w:val="80"/>
                <w:szCs w:val="52"/>
              </w:rPr>
              <w:t>teatfish</w:t>
            </w:r>
            <w:r w:rsidR="002B4915" w:rsidRPr="0022714C">
              <w:rPr>
                <w:b/>
                <w:iCs w:val="0"/>
                <w:spacing w:val="5"/>
                <w:kern w:val="28"/>
                <w:sz w:val="80"/>
                <w:szCs w:val="52"/>
              </w:rPr>
              <w:t xml:space="preserve"> (</w:t>
            </w:r>
            <w:r w:rsidR="002B4915" w:rsidRPr="0022714C">
              <w:rPr>
                <w:b/>
                <w:i/>
                <w:spacing w:val="5"/>
                <w:kern w:val="28"/>
                <w:sz w:val="80"/>
                <w:szCs w:val="52"/>
              </w:rPr>
              <w:t xml:space="preserve">Holothuria </w:t>
            </w:r>
            <w:r w:rsidR="002B4915">
              <w:rPr>
                <w:b/>
                <w:i/>
                <w:spacing w:val="5"/>
                <w:kern w:val="28"/>
                <w:sz w:val="80"/>
                <w:szCs w:val="52"/>
              </w:rPr>
              <w:t xml:space="preserve">whitmaei </w:t>
            </w:r>
            <w:r w:rsidR="002B4915" w:rsidRPr="00E65578">
              <w:rPr>
                <w:b/>
                <w:iCs w:val="0"/>
                <w:spacing w:val="5"/>
                <w:kern w:val="28"/>
                <w:sz w:val="80"/>
                <w:szCs w:val="52"/>
              </w:rPr>
              <w:t>and</w:t>
            </w:r>
            <w:r w:rsidR="002B4915">
              <w:rPr>
                <w:b/>
                <w:i/>
                <w:spacing w:val="5"/>
                <w:kern w:val="28"/>
                <w:sz w:val="80"/>
                <w:szCs w:val="52"/>
              </w:rPr>
              <w:t xml:space="preserve"> H. fuscogilva</w:t>
            </w:r>
            <w:r w:rsidR="002B4915" w:rsidRPr="0022714C">
              <w:rPr>
                <w:b/>
                <w:iCs w:val="0"/>
                <w:spacing w:val="5"/>
                <w:kern w:val="28"/>
                <w:sz w:val="80"/>
                <w:szCs w:val="52"/>
              </w:rPr>
              <w:t xml:space="preserve">) </w:t>
            </w:r>
            <w:r w:rsidR="002B4915" w:rsidRPr="00DA6D1B">
              <w:rPr>
                <w:b/>
                <w:iCs w:val="0"/>
                <w:spacing w:val="5"/>
                <w:kern w:val="28"/>
                <w:sz w:val="80"/>
                <w:szCs w:val="52"/>
              </w:rPr>
              <w:t>Fisheries</w:t>
            </w:r>
            <w:r w:rsidR="00DD488F" w:rsidRPr="00DD488F">
              <w:rPr>
                <w:b/>
                <w:iCs w:val="0"/>
                <w:spacing w:val="5"/>
                <w:kern w:val="28"/>
                <w:sz w:val="80"/>
                <w:szCs w:val="52"/>
              </w:rPr>
              <w:t xml:space="preserve">: </w:t>
            </w:r>
            <w:r w:rsidR="00660A3F" w:rsidRPr="00660A3F">
              <w:rPr>
                <w:b/>
                <w:iCs w:val="0"/>
                <w:spacing w:val="5"/>
                <w:kern w:val="28"/>
                <w:sz w:val="80"/>
                <w:szCs w:val="52"/>
              </w:rPr>
              <w:t>National report</w:t>
            </w:r>
          </w:p>
          <w:p w14:paraId="1DC417C2" w14:textId="6353A29F" w:rsidR="00A943B2" w:rsidRPr="00945373" w:rsidRDefault="00DD488F" w:rsidP="00D366A3">
            <w:pPr>
              <w:pStyle w:val="CoverSubtitle"/>
            </w:pPr>
            <w:r>
              <w:t>A r</w:t>
            </w:r>
            <w:r w:rsidRPr="00DD488F">
              <w:t>eport for Australia’s Scientific Authority for the Convention of International Trade in Endangered Species of Wild Fauna and Flora (CITES)</w:t>
            </w:r>
          </w:p>
          <w:p w14:paraId="1DC417C3" w14:textId="29BE7987" w:rsidR="00A943B2" w:rsidRPr="00945373" w:rsidRDefault="00A943B2" w:rsidP="00D366A3">
            <w:pPr>
              <w:rPr>
                <w:color w:val="auto"/>
              </w:rPr>
            </w:pPr>
          </w:p>
          <w:p w14:paraId="1DC417C4" w14:textId="1D4C723F" w:rsidR="00A943B2" w:rsidRPr="00945373" w:rsidRDefault="00DD488F" w:rsidP="00D366A3">
            <w:pPr>
              <w:rPr>
                <w:color w:val="auto"/>
              </w:rPr>
            </w:pPr>
            <w:r>
              <w:rPr>
                <w:color w:val="auto"/>
              </w:rPr>
              <w:t>Timothy Skewes</w:t>
            </w:r>
            <w:r w:rsidR="00A943B2" w:rsidRPr="00945373">
              <w:rPr>
                <w:color w:val="auto"/>
              </w:rPr>
              <w:br/>
            </w:r>
            <w:r w:rsidR="002B4915">
              <w:rPr>
                <w:color w:val="auto"/>
              </w:rPr>
              <w:t>July</w:t>
            </w:r>
            <w:r>
              <w:rPr>
                <w:color w:val="auto"/>
              </w:rPr>
              <w:t xml:space="preserve"> 202</w:t>
            </w:r>
            <w:r w:rsidR="004963B3">
              <w:rPr>
                <w:color w:val="auto"/>
              </w:rPr>
              <w:t>4</w:t>
            </w:r>
          </w:p>
          <w:p w14:paraId="1DC417C5" w14:textId="39819BD7" w:rsidR="00A943B2" w:rsidRPr="00945373" w:rsidRDefault="00A943B2" w:rsidP="00D366A3">
            <w:pPr>
              <w:rPr>
                <w:color w:val="auto"/>
              </w:rPr>
            </w:pPr>
            <w:r w:rsidRPr="00945373">
              <w:rPr>
                <w:color w:val="auto"/>
              </w:rPr>
              <w:br/>
            </w:r>
            <w:r w:rsidR="00DD488F" w:rsidRPr="00DD488F">
              <w:rPr>
                <w:color w:val="auto"/>
              </w:rPr>
              <w:t>The Department of Climate Change, Energy, the Environment and Water</w:t>
            </w:r>
          </w:p>
          <w:p w14:paraId="1DC417C6" w14:textId="280AAECA" w:rsidR="00A943B2" w:rsidRPr="00D366A3" w:rsidRDefault="00A943B2" w:rsidP="00D366A3">
            <w:pPr>
              <w:pStyle w:val="PartSubtitle"/>
              <w:rPr>
                <w:rStyle w:val="PartNumber"/>
              </w:rPr>
            </w:pPr>
          </w:p>
        </w:tc>
      </w:tr>
    </w:tbl>
    <w:p w14:paraId="1DC417CA" w14:textId="29A3AF32" w:rsidR="007E7002" w:rsidRPr="00905D34" w:rsidRDefault="007E7002" w:rsidP="00905D34"/>
    <w:p w14:paraId="005F80B8" w14:textId="77777777" w:rsidR="001D7484" w:rsidRDefault="001D7484">
      <w:pPr>
        <w:spacing w:after="0"/>
      </w:pPr>
      <w:r>
        <w:br w:type="page"/>
      </w:r>
    </w:p>
    <w:p w14:paraId="1DC417CD" w14:textId="77777777" w:rsidR="00A943B2" w:rsidRDefault="00A943B2" w:rsidP="00F444B7">
      <w:pPr>
        <w:pStyle w:val="VersoPageHeading"/>
      </w:pPr>
      <w:r>
        <w:lastRenderedPageBreak/>
        <w:t>Citation</w:t>
      </w:r>
    </w:p>
    <w:p w14:paraId="1DC417CE" w14:textId="05F390FA" w:rsidR="00A943B2" w:rsidRDefault="002A06D0" w:rsidP="005A6C20">
      <w:bookmarkStart w:id="0" w:name="_Hlk152489260"/>
      <w:r>
        <w:t>Skewes</w:t>
      </w:r>
      <w:r w:rsidR="00A943B2">
        <w:t xml:space="preserve"> </w:t>
      </w:r>
      <w:r>
        <w:t>TD</w:t>
      </w:r>
      <w:r w:rsidR="00A943B2">
        <w:t xml:space="preserve"> (</w:t>
      </w:r>
      <w:r w:rsidR="00DD488F">
        <w:t>202</w:t>
      </w:r>
      <w:r w:rsidR="004963B3">
        <w:t>4</w:t>
      </w:r>
      <w:r w:rsidR="00A943B2">
        <w:t>)</w:t>
      </w:r>
      <w:r w:rsidR="002B4915" w:rsidRPr="002B4915">
        <w:t xml:space="preserve"> </w:t>
      </w:r>
      <w:r w:rsidR="002B4915" w:rsidRPr="0022714C">
        <w:t xml:space="preserve">Expert advice for the assessment of Australian </w:t>
      </w:r>
      <w:r w:rsidR="002B4915" w:rsidRPr="00920289">
        <w:t>teatfish (</w:t>
      </w:r>
      <w:r w:rsidR="002B4915" w:rsidRPr="00920289">
        <w:rPr>
          <w:i/>
          <w:iCs/>
        </w:rPr>
        <w:t>Holothuria whitmaei</w:t>
      </w:r>
      <w:r w:rsidR="002B4915" w:rsidRPr="00920289">
        <w:t xml:space="preserve"> and </w:t>
      </w:r>
      <w:r w:rsidR="002B4915" w:rsidRPr="00920289">
        <w:rPr>
          <w:i/>
          <w:iCs/>
        </w:rPr>
        <w:t>H. fuscogilva</w:t>
      </w:r>
      <w:r w:rsidR="002B4915" w:rsidRPr="00920289">
        <w:t>)</w:t>
      </w:r>
      <w:r w:rsidR="002B4915" w:rsidRPr="0022714C">
        <w:t xml:space="preserve"> Fisheries</w:t>
      </w:r>
      <w:r w:rsidR="004963B3" w:rsidRPr="004963B3">
        <w:t>: National report</w:t>
      </w:r>
      <w:r w:rsidR="00A943B2">
        <w:t>.</w:t>
      </w:r>
      <w:r w:rsidR="00DD488F">
        <w:t xml:space="preserve"> A Report for</w:t>
      </w:r>
      <w:r w:rsidR="00A943B2">
        <w:t xml:space="preserve"> </w:t>
      </w:r>
      <w:r w:rsidR="00DD488F" w:rsidRPr="00DD488F">
        <w:rPr>
          <w:color w:val="auto"/>
        </w:rPr>
        <w:t>The Department of Climate Change, Energy, the Environment and Water</w:t>
      </w:r>
      <w:r w:rsidR="00DD488F">
        <w:rPr>
          <w:color w:val="auto"/>
        </w:rPr>
        <w:t>.</w:t>
      </w:r>
      <w:r w:rsidR="00DD488F">
        <w:t xml:space="preserve"> </w:t>
      </w:r>
      <w:r>
        <w:t>Tim Skewes Consulting</w:t>
      </w:r>
      <w:r w:rsidR="00A943B2">
        <w:t>, Australia.</w:t>
      </w:r>
      <w:r w:rsidR="00340BDF">
        <w:t xml:space="preserve"> </w:t>
      </w:r>
    </w:p>
    <w:bookmarkEnd w:id="0"/>
    <w:p w14:paraId="440A771A" w14:textId="77777777" w:rsidR="00884802" w:rsidRDefault="00884802" w:rsidP="00884802">
      <w:pPr>
        <w:rPr>
          <w:rFonts w:eastAsiaTheme="minorEastAsia"/>
          <w:noProof/>
        </w:rPr>
      </w:pPr>
    </w:p>
    <w:p w14:paraId="246B08E8" w14:textId="230CFB1E" w:rsidR="00884802" w:rsidRDefault="00884802" w:rsidP="00884802">
      <w:pPr>
        <w:rPr>
          <w:rFonts w:eastAsiaTheme="minorEastAsia"/>
          <w:noProof/>
          <w:color w:val="auto"/>
        </w:rPr>
      </w:pPr>
      <w:r>
        <w:rPr>
          <w:rFonts w:eastAsiaTheme="minorEastAsia"/>
          <w:noProof/>
        </w:rPr>
        <w:t xml:space="preserve">Tim Skewes Consulting </w:t>
      </w:r>
      <w:r>
        <w:rPr>
          <w:rFonts w:eastAsiaTheme="minorEastAsia" w:cstheme="minorHAnsi"/>
          <w:noProof/>
          <w:color w:val="212121"/>
          <w:shd w:val="clear" w:color="auto" w:fill="FFFFFF"/>
        </w:rPr>
        <w:t>acknowledges the Traditional Owners of the lands that we live and work on across Australia and pays its respect to Elders past and present.</w:t>
      </w:r>
    </w:p>
    <w:p w14:paraId="541E4AFC" w14:textId="77777777" w:rsidR="00884802" w:rsidRDefault="00884802" w:rsidP="002A06D0">
      <w:pPr>
        <w:pStyle w:val="VersoPageHeading"/>
      </w:pPr>
    </w:p>
    <w:p w14:paraId="1DC417CF" w14:textId="5393472C" w:rsidR="002A06D0" w:rsidRDefault="002A06D0" w:rsidP="002A06D0">
      <w:pPr>
        <w:pStyle w:val="VersoPageHeading"/>
      </w:pPr>
      <w:r>
        <w:t>Copyright and disclaimer</w:t>
      </w:r>
    </w:p>
    <w:p w14:paraId="1DC417D0" w14:textId="77777777" w:rsidR="002A06D0" w:rsidRPr="00B601DF" w:rsidRDefault="002A06D0" w:rsidP="002A06D0">
      <w:pPr>
        <w:rPr>
          <w:rStyle w:val="Italics"/>
        </w:rPr>
      </w:pPr>
      <w:r w:rsidRPr="00B601DF">
        <w:rPr>
          <w:rStyle w:val="Italics"/>
        </w:rPr>
        <w:t>This work is licensed under the Creative Commons Attribution 4.0 International License. To view a copy of this license, visit http://creativecommons.org/licenses/by/4.0/ or send a letter to Creative Commons, PO Box 1866, Mountain View, CA 94042, USA.</w:t>
      </w:r>
    </w:p>
    <w:p w14:paraId="1DC417D1" w14:textId="77777777" w:rsidR="002A06D0" w:rsidRDefault="002A06D0" w:rsidP="002A06D0">
      <w:r>
        <w:rPr>
          <w:noProof/>
        </w:rPr>
        <w:drawing>
          <wp:inline distT="0" distB="0" distL="0" distR="0" wp14:anchorId="1DC418F5" wp14:editId="1DC418F6">
            <wp:extent cx="838200" cy="295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8x31.png"/>
                    <pic:cNvPicPr/>
                  </pic:nvPicPr>
                  <pic:blipFill>
                    <a:blip r:embed="rId8">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inline>
        </w:drawing>
      </w:r>
    </w:p>
    <w:p w14:paraId="1DC417D2" w14:textId="77777777" w:rsidR="002A06D0" w:rsidRDefault="002A06D0" w:rsidP="002A06D0"/>
    <w:p w14:paraId="1DC417D3" w14:textId="77777777" w:rsidR="002A06D0" w:rsidRDefault="002A06D0" w:rsidP="002A06D0">
      <w:pPr>
        <w:pStyle w:val="VersoPageHeading"/>
      </w:pPr>
      <w:r>
        <w:t>Important disclaimer</w:t>
      </w:r>
    </w:p>
    <w:p w14:paraId="1DC417D4" w14:textId="77777777" w:rsidR="002A06D0" w:rsidRPr="00B601DF" w:rsidRDefault="002A06D0" w:rsidP="00B601DF">
      <w:pPr>
        <w:rPr>
          <w:rStyle w:val="Italics"/>
        </w:rPr>
      </w:pPr>
      <w:r w:rsidRPr="00B601DF">
        <w:rPr>
          <w:rStyle w:val="Italics"/>
        </w:rPr>
        <w:t>Tim Skewes Consulting advises that the information contained within are general statements based on scientific research. The information may be unsuitable to be used in any specific purpose. No actions should be made based on that information without considering expert professional, scientific and technical advice. To the extent permitted by law, Tim Skewes Consulting excludes all liability to any person for any consequences, including but not limited to all losses, damages, costs, expenses and any other compensation, arising directly or indirectly from using any information contained in this publication.</w:t>
      </w:r>
    </w:p>
    <w:p w14:paraId="1DC417D5" w14:textId="77777777" w:rsidR="002A06D0" w:rsidRDefault="002A06D0" w:rsidP="002A06D0"/>
    <w:p w14:paraId="1DC417D6" w14:textId="77777777" w:rsidR="002A06D0" w:rsidRDefault="002A06D0" w:rsidP="002A06D0">
      <w:pPr>
        <w:spacing w:after="200"/>
      </w:pPr>
    </w:p>
    <w:p w14:paraId="1DC417D7" w14:textId="77777777" w:rsidR="00A943B2" w:rsidRDefault="00A943B2" w:rsidP="005A6C20"/>
    <w:p w14:paraId="1DC417D8" w14:textId="77777777" w:rsidR="00A943B2" w:rsidRDefault="00A943B2" w:rsidP="005A6C20"/>
    <w:p w14:paraId="1DC417D9" w14:textId="77777777" w:rsidR="00A943B2" w:rsidRDefault="00A943B2">
      <w:pPr>
        <w:spacing w:after="200"/>
      </w:pPr>
    </w:p>
    <w:p w14:paraId="1DC417DA" w14:textId="77777777" w:rsidR="00A943B2" w:rsidRPr="00DD488F" w:rsidRDefault="00A943B2" w:rsidP="00DD488F">
      <w:pPr>
        <w:sectPr w:rsidR="00A943B2" w:rsidRPr="00DD488F" w:rsidSect="00E67C72">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106" w:right="1134" w:bottom="1134" w:left="1134" w:header="510" w:footer="624" w:gutter="0"/>
          <w:pgNumType w:fmt="lowerRoman" w:start="1"/>
          <w:cols w:space="284"/>
          <w:titlePg/>
          <w:docGrid w:linePitch="360"/>
        </w:sectPr>
      </w:pPr>
    </w:p>
    <w:p w14:paraId="1DC417E0" w14:textId="77777777" w:rsidR="00A943B2" w:rsidRDefault="00A943B2" w:rsidP="00FB37B4">
      <w:pPr>
        <w:pStyle w:val="Heading1noTOC"/>
      </w:pPr>
      <w:r w:rsidRPr="00890BD7">
        <w:lastRenderedPageBreak/>
        <w:t>Contents</w:t>
      </w:r>
    </w:p>
    <w:p w14:paraId="75685532" w14:textId="51C84E7E" w:rsidR="006F7BC4" w:rsidRDefault="00270A2A">
      <w:pPr>
        <w:pStyle w:val="TOC2"/>
        <w:rPr>
          <w:rFonts w:asciiTheme="minorHAnsi" w:eastAsiaTheme="minorEastAsia" w:hAnsiTheme="minorHAnsi" w:cstheme="minorBidi"/>
          <w:noProof/>
          <w:kern w:val="2"/>
          <w:sz w:val="24"/>
          <w:szCs w:val="24"/>
          <w14:ligatures w14:val="standardContextual"/>
        </w:rPr>
      </w:pPr>
      <w:r>
        <w:rPr>
          <w:b/>
          <w:noProof/>
          <w:color w:val="FFFFFF"/>
          <w:spacing w:val="-7"/>
        </w:rPr>
        <w:fldChar w:fldCharType="begin"/>
      </w:r>
      <w:r w:rsidR="00462182">
        <w:rPr>
          <w:b/>
          <w:noProof/>
          <w:color w:val="FFFFFF"/>
          <w:spacing w:val="-7"/>
        </w:rPr>
        <w:instrText xml:space="preserve"> TOC \h \z \t "Heading 1,2,Heading 2,3,PartTitle,1,Heading 1 Numbered,2,Heading 1 not numbered,2,Heading 2 not numbered,3,Appendix Heading 1,2" </w:instrText>
      </w:r>
      <w:r>
        <w:rPr>
          <w:b/>
          <w:noProof/>
          <w:color w:val="FFFFFF"/>
          <w:spacing w:val="-7"/>
        </w:rPr>
        <w:fldChar w:fldCharType="separate"/>
      </w:r>
      <w:hyperlink w:anchor="_Toc189055261" w:history="1">
        <w:r w:rsidR="006F7BC4" w:rsidRPr="00D85124">
          <w:rPr>
            <w:rStyle w:val="Hyperlink"/>
            <w:noProof/>
          </w:rPr>
          <w:t>Acronyms</w:t>
        </w:r>
        <w:r w:rsidR="006F7BC4">
          <w:rPr>
            <w:noProof/>
            <w:webHidden/>
          </w:rPr>
          <w:tab/>
        </w:r>
        <w:r w:rsidR="006F7BC4">
          <w:rPr>
            <w:noProof/>
            <w:webHidden/>
          </w:rPr>
          <w:fldChar w:fldCharType="begin"/>
        </w:r>
        <w:r w:rsidR="006F7BC4">
          <w:rPr>
            <w:noProof/>
            <w:webHidden/>
          </w:rPr>
          <w:instrText xml:space="preserve"> PAGEREF _Toc189055261 \h </w:instrText>
        </w:r>
        <w:r w:rsidR="006F7BC4">
          <w:rPr>
            <w:noProof/>
            <w:webHidden/>
          </w:rPr>
        </w:r>
        <w:r w:rsidR="006F7BC4">
          <w:rPr>
            <w:noProof/>
            <w:webHidden/>
          </w:rPr>
          <w:fldChar w:fldCharType="separate"/>
        </w:r>
        <w:r w:rsidR="007B2A78">
          <w:rPr>
            <w:noProof/>
            <w:webHidden/>
          </w:rPr>
          <w:t>vi</w:t>
        </w:r>
        <w:r w:rsidR="006F7BC4">
          <w:rPr>
            <w:noProof/>
            <w:webHidden/>
          </w:rPr>
          <w:fldChar w:fldCharType="end"/>
        </w:r>
      </w:hyperlink>
    </w:p>
    <w:p w14:paraId="3E995F4B" w14:textId="07280B84" w:rsidR="006F7BC4" w:rsidRDefault="006F7BC4">
      <w:pPr>
        <w:pStyle w:val="TOC2"/>
        <w:rPr>
          <w:rFonts w:asciiTheme="minorHAnsi" w:eastAsiaTheme="minorEastAsia" w:hAnsiTheme="minorHAnsi" w:cstheme="minorBidi"/>
          <w:noProof/>
          <w:kern w:val="2"/>
          <w:sz w:val="24"/>
          <w:szCs w:val="24"/>
          <w14:ligatures w14:val="standardContextual"/>
        </w:rPr>
      </w:pPr>
      <w:hyperlink w:anchor="_Toc189055262" w:history="1">
        <w:r w:rsidRPr="00D85124">
          <w:rPr>
            <w:rStyle w:val="Hyperlink"/>
            <w:noProof/>
          </w:rPr>
          <w:t>1</w:t>
        </w:r>
        <w:r>
          <w:rPr>
            <w:rFonts w:asciiTheme="minorHAnsi" w:eastAsiaTheme="minorEastAsia" w:hAnsiTheme="minorHAnsi" w:cstheme="minorBidi"/>
            <w:noProof/>
            <w:kern w:val="2"/>
            <w:sz w:val="24"/>
            <w:szCs w:val="24"/>
            <w14:ligatures w14:val="standardContextual"/>
          </w:rPr>
          <w:tab/>
        </w:r>
        <w:r w:rsidRPr="00D85124">
          <w:rPr>
            <w:rStyle w:val="Hyperlink"/>
            <w:noProof/>
          </w:rPr>
          <w:t>Background</w:t>
        </w:r>
        <w:r>
          <w:rPr>
            <w:noProof/>
            <w:webHidden/>
          </w:rPr>
          <w:tab/>
        </w:r>
        <w:r>
          <w:rPr>
            <w:noProof/>
            <w:webHidden/>
          </w:rPr>
          <w:fldChar w:fldCharType="begin"/>
        </w:r>
        <w:r>
          <w:rPr>
            <w:noProof/>
            <w:webHidden/>
          </w:rPr>
          <w:instrText xml:space="preserve"> PAGEREF _Toc189055262 \h </w:instrText>
        </w:r>
        <w:r>
          <w:rPr>
            <w:noProof/>
            <w:webHidden/>
          </w:rPr>
        </w:r>
        <w:r>
          <w:rPr>
            <w:noProof/>
            <w:webHidden/>
          </w:rPr>
          <w:fldChar w:fldCharType="separate"/>
        </w:r>
        <w:r w:rsidR="007B2A78">
          <w:rPr>
            <w:noProof/>
            <w:webHidden/>
          </w:rPr>
          <w:t>1</w:t>
        </w:r>
        <w:r>
          <w:rPr>
            <w:noProof/>
            <w:webHidden/>
          </w:rPr>
          <w:fldChar w:fldCharType="end"/>
        </w:r>
      </w:hyperlink>
    </w:p>
    <w:p w14:paraId="1CE98B1A" w14:textId="2D598D03" w:rsidR="006F7BC4" w:rsidRDefault="006F7BC4">
      <w:pPr>
        <w:pStyle w:val="TOC2"/>
        <w:rPr>
          <w:rFonts w:asciiTheme="minorHAnsi" w:eastAsiaTheme="minorEastAsia" w:hAnsiTheme="minorHAnsi" w:cstheme="minorBidi"/>
          <w:noProof/>
          <w:kern w:val="2"/>
          <w:sz w:val="24"/>
          <w:szCs w:val="24"/>
          <w14:ligatures w14:val="standardContextual"/>
        </w:rPr>
      </w:pPr>
      <w:hyperlink w:anchor="_Toc189055263" w:history="1">
        <w:r w:rsidRPr="00D85124">
          <w:rPr>
            <w:rStyle w:val="Hyperlink"/>
            <w:noProof/>
          </w:rPr>
          <w:t>2</w:t>
        </w:r>
        <w:r>
          <w:rPr>
            <w:rFonts w:asciiTheme="minorHAnsi" w:eastAsiaTheme="minorEastAsia" w:hAnsiTheme="minorHAnsi" w:cstheme="minorBidi"/>
            <w:noProof/>
            <w:kern w:val="2"/>
            <w:sz w:val="24"/>
            <w:szCs w:val="24"/>
            <w14:ligatures w14:val="standardContextual"/>
          </w:rPr>
          <w:tab/>
        </w:r>
        <w:r w:rsidRPr="00D85124">
          <w:rPr>
            <w:rStyle w:val="Hyperlink"/>
            <w:noProof/>
          </w:rPr>
          <w:t>The species</w:t>
        </w:r>
        <w:r>
          <w:rPr>
            <w:noProof/>
            <w:webHidden/>
          </w:rPr>
          <w:tab/>
        </w:r>
        <w:r>
          <w:rPr>
            <w:noProof/>
            <w:webHidden/>
          </w:rPr>
          <w:fldChar w:fldCharType="begin"/>
        </w:r>
        <w:r>
          <w:rPr>
            <w:noProof/>
            <w:webHidden/>
          </w:rPr>
          <w:instrText xml:space="preserve"> PAGEREF _Toc189055263 \h </w:instrText>
        </w:r>
        <w:r>
          <w:rPr>
            <w:noProof/>
            <w:webHidden/>
          </w:rPr>
        </w:r>
        <w:r>
          <w:rPr>
            <w:noProof/>
            <w:webHidden/>
          </w:rPr>
          <w:fldChar w:fldCharType="separate"/>
        </w:r>
        <w:r w:rsidR="007B2A78">
          <w:rPr>
            <w:noProof/>
            <w:webHidden/>
          </w:rPr>
          <w:t>2</w:t>
        </w:r>
        <w:r>
          <w:rPr>
            <w:noProof/>
            <w:webHidden/>
          </w:rPr>
          <w:fldChar w:fldCharType="end"/>
        </w:r>
      </w:hyperlink>
    </w:p>
    <w:p w14:paraId="468A2987" w14:textId="50F2ACF2" w:rsidR="006F7BC4" w:rsidRDefault="006F7BC4">
      <w:pPr>
        <w:pStyle w:val="TOC3"/>
        <w:rPr>
          <w:rFonts w:asciiTheme="minorHAnsi" w:eastAsiaTheme="minorEastAsia" w:hAnsiTheme="minorHAnsi" w:cstheme="minorBidi"/>
          <w:noProof/>
          <w:kern w:val="2"/>
          <w:sz w:val="24"/>
          <w:szCs w:val="24"/>
          <w14:ligatures w14:val="standardContextual"/>
        </w:rPr>
      </w:pPr>
      <w:hyperlink w:anchor="_Toc189055264" w:history="1">
        <w:r w:rsidRPr="00D85124">
          <w:rPr>
            <w:rStyle w:val="Hyperlink"/>
            <w:noProof/>
          </w:rPr>
          <w:t>2.1</w:t>
        </w:r>
        <w:r>
          <w:rPr>
            <w:rFonts w:asciiTheme="minorHAnsi" w:eastAsiaTheme="minorEastAsia" w:hAnsiTheme="minorHAnsi" w:cstheme="minorBidi"/>
            <w:noProof/>
            <w:kern w:val="2"/>
            <w:sz w:val="24"/>
            <w:szCs w:val="24"/>
            <w14:ligatures w14:val="standardContextual"/>
          </w:rPr>
          <w:tab/>
        </w:r>
        <w:r w:rsidRPr="00D85124">
          <w:rPr>
            <w:rStyle w:val="Hyperlink"/>
            <w:noProof/>
          </w:rPr>
          <w:t>Distribution</w:t>
        </w:r>
        <w:r>
          <w:rPr>
            <w:noProof/>
            <w:webHidden/>
          </w:rPr>
          <w:tab/>
        </w:r>
        <w:r>
          <w:rPr>
            <w:noProof/>
            <w:webHidden/>
          </w:rPr>
          <w:fldChar w:fldCharType="begin"/>
        </w:r>
        <w:r>
          <w:rPr>
            <w:noProof/>
            <w:webHidden/>
          </w:rPr>
          <w:instrText xml:space="preserve"> PAGEREF _Toc189055264 \h </w:instrText>
        </w:r>
        <w:r>
          <w:rPr>
            <w:noProof/>
            <w:webHidden/>
          </w:rPr>
        </w:r>
        <w:r>
          <w:rPr>
            <w:noProof/>
            <w:webHidden/>
          </w:rPr>
          <w:fldChar w:fldCharType="separate"/>
        </w:r>
        <w:r w:rsidR="007B2A78">
          <w:rPr>
            <w:noProof/>
            <w:webHidden/>
          </w:rPr>
          <w:t>2</w:t>
        </w:r>
        <w:r>
          <w:rPr>
            <w:noProof/>
            <w:webHidden/>
          </w:rPr>
          <w:fldChar w:fldCharType="end"/>
        </w:r>
      </w:hyperlink>
    </w:p>
    <w:p w14:paraId="3D680C04" w14:textId="5435B75E" w:rsidR="006F7BC4" w:rsidRDefault="006F7BC4">
      <w:pPr>
        <w:pStyle w:val="TOC3"/>
        <w:rPr>
          <w:rFonts w:asciiTheme="minorHAnsi" w:eastAsiaTheme="minorEastAsia" w:hAnsiTheme="minorHAnsi" w:cstheme="minorBidi"/>
          <w:noProof/>
          <w:kern w:val="2"/>
          <w:sz w:val="24"/>
          <w:szCs w:val="24"/>
          <w14:ligatures w14:val="standardContextual"/>
        </w:rPr>
      </w:pPr>
      <w:hyperlink w:anchor="_Toc189055265" w:history="1">
        <w:r w:rsidRPr="00D85124">
          <w:rPr>
            <w:rStyle w:val="Hyperlink"/>
            <w:noProof/>
          </w:rPr>
          <w:t>2.2</w:t>
        </w:r>
        <w:r>
          <w:rPr>
            <w:rFonts w:asciiTheme="minorHAnsi" w:eastAsiaTheme="minorEastAsia" w:hAnsiTheme="minorHAnsi" w:cstheme="minorBidi"/>
            <w:noProof/>
            <w:kern w:val="2"/>
            <w:sz w:val="24"/>
            <w:szCs w:val="24"/>
            <w14:ligatures w14:val="standardContextual"/>
          </w:rPr>
          <w:tab/>
        </w:r>
        <w:r w:rsidRPr="00D85124">
          <w:rPr>
            <w:rStyle w:val="Hyperlink"/>
            <w:noProof/>
          </w:rPr>
          <w:t>Life history</w:t>
        </w:r>
        <w:r>
          <w:rPr>
            <w:noProof/>
            <w:webHidden/>
          </w:rPr>
          <w:tab/>
        </w:r>
        <w:r>
          <w:rPr>
            <w:noProof/>
            <w:webHidden/>
          </w:rPr>
          <w:fldChar w:fldCharType="begin"/>
        </w:r>
        <w:r>
          <w:rPr>
            <w:noProof/>
            <w:webHidden/>
          </w:rPr>
          <w:instrText xml:space="preserve"> PAGEREF _Toc189055265 \h </w:instrText>
        </w:r>
        <w:r>
          <w:rPr>
            <w:noProof/>
            <w:webHidden/>
          </w:rPr>
        </w:r>
        <w:r>
          <w:rPr>
            <w:noProof/>
            <w:webHidden/>
          </w:rPr>
          <w:fldChar w:fldCharType="separate"/>
        </w:r>
        <w:r w:rsidR="007B2A78">
          <w:rPr>
            <w:noProof/>
            <w:webHidden/>
          </w:rPr>
          <w:t>5</w:t>
        </w:r>
        <w:r>
          <w:rPr>
            <w:noProof/>
            <w:webHidden/>
          </w:rPr>
          <w:fldChar w:fldCharType="end"/>
        </w:r>
      </w:hyperlink>
    </w:p>
    <w:p w14:paraId="5BA1C57A" w14:textId="43F96F5B" w:rsidR="006F7BC4" w:rsidRDefault="006F7BC4">
      <w:pPr>
        <w:pStyle w:val="TOC3"/>
        <w:rPr>
          <w:rFonts w:asciiTheme="minorHAnsi" w:eastAsiaTheme="minorEastAsia" w:hAnsiTheme="minorHAnsi" w:cstheme="minorBidi"/>
          <w:noProof/>
          <w:kern w:val="2"/>
          <w:sz w:val="24"/>
          <w:szCs w:val="24"/>
          <w14:ligatures w14:val="standardContextual"/>
        </w:rPr>
      </w:pPr>
      <w:hyperlink w:anchor="_Toc189055266" w:history="1">
        <w:r w:rsidRPr="00D85124">
          <w:rPr>
            <w:rStyle w:val="Hyperlink"/>
            <w:noProof/>
          </w:rPr>
          <w:t>2.3</w:t>
        </w:r>
        <w:r>
          <w:rPr>
            <w:rFonts w:asciiTheme="minorHAnsi" w:eastAsiaTheme="minorEastAsia" w:hAnsiTheme="minorHAnsi" w:cstheme="minorBidi"/>
            <w:noProof/>
            <w:kern w:val="2"/>
            <w:sz w:val="24"/>
            <w:szCs w:val="24"/>
            <w14:ligatures w14:val="standardContextual"/>
          </w:rPr>
          <w:tab/>
        </w:r>
        <w:r w:rsidRPr="00D85124">
          <w:rPr>
            <w:rStyle w:val="Hyperlink"/>
            <w:noProof/>
          </w:rPr>
          <w:t>Connectivity/metapopulation structure</w:t>
        </w:r>
        <w:r>
          <w:rPr>
            <w:noProof/>
            <w:webHidden/>
          </w:rPr>
          <w:tab/>
        </w:r>
        <w:r>
          <w:rPr>
            <w:noProof/>
            <w:webHidden/>
          </w:rPr>
          <w:fldChar w:fldCharType="begin"/>
        </w:r>
        <w:r>
          <w:rPr>
            <w:noProof/>
            <w:webHidden/>
          </w:rPr>
          <w:instrText xml:space="preserve"> PAGEREF _Toc189055266 \h </w:instrText>
        </w:r>
        <w:r>
          <w:rPr>
            <w:noProof/>
            <w:webHidden/>
          </w:rPr>
        </w:r>
        <w:r>
          <w:rPr>
            <w:noProof/>
            <w:webHidden/>
          </w:rPr>
          <w:fldChar w:fldCharType="separate"/>
        </w:r>
        <w:r w:rsidR="007B2A78">
          <w:rPr>
            <w:noProof/>
            <w:webHidden/>
          </w:rPr>
          <w:t>7</w:t>
        </w:r>
        <w:r>
          <w:rPr>
            <w:noProof/>
            <w:webHidden/>
          </w:rPr>
          <w:fldChar w:fldCharType="end"/>
        </w:r>
      </w:hyperlink>
    </w:p>
    <w:p w14:paraId="6821B2DC" w14:textId="39FE70D9" w:rsidR="006F7BC4" w:rsidRDefault="006F7BC4">
      <w:pPr>
        <w:pStyle w:val="TOC3"/>
        <w:rPr>
          <w:rFonts w:asciiTheme="minorHAnsi" w:eastAsiaTheme="minorEastAsia" w:hAnsiTheme="minorHAnsi" w:cstheme="minorBidi"/>
          <w:noProof/>
          <w:kern w:val="2"/>
          <w:sz w:val="24"/>
          <w:szCs w:val="24"/>
          <w14:ligatures w14:val="standardContextual"/>
        </w:rPr>
      </w:pPr>
      <w:hyperlink w:anchor="_Toc189055267" w:history="1">
        <w:r w:rsidRPr="00D85124">
          <w:rPr>
            <w:rStyle w:val="Hyperlink"/>
            <w:noProof/>
          </w:rPr>
          <w:t>2.4</w:t>
        </w:r>
        <w:r>
          <w:rPr>
            <w:rFonts w:asciiTheme="minorHAnsi" w:eastAsiaTheme="minorEastAsia" w:hAnsiTheme="minorHAnsi" w:cstheme="minorBidi"/>
            <w:noProof/>
            <w:kern w:val="2"/>
            <w:sz w:val="24"/>
            <w:szCs w:val="24"/>
            <w14:ligatures w14:val="standardContextual"/>
          </w:rPr>
          <w:tab/>
        </w:r>
        <w:r w:rsidRPr="00D85124">
          <w:rPr>
            <w:rStyle w:val="Hyperlink"/>
            <w:noProof/>
          </w:rPr>
          <w:t>Climate change</w:t>
        </w:r>
        <w:r>
          <w:rPr>
            <w:noProof/>
            <w:webHidden/>
          </w:rPr>
          <w:tab/>
        </w:r>
        <w:r>
          <w:rPr>
            <w:noProof/>
            <w:webHidden/>
          </w:rPr>
          <w:fldChar w:fldCharType="begin"/>
        </w:r>
        <w:r>
          <w:rPr>
            <w:noProof/>
            <w:webHidden/>
          </w:rPr>
          <w:instrText xml:space="preserve"> PAGEREF _Toc189055267 \h </w:instrText>
        </w:r>
        <w:r>
          <w:rPr>
            <w:noProof/>
            <w:webHidden/>
          </w:rPr>
        </w:r>
        <w:r>
          <w:rPr>
            <w:noProof/>
            <w:webHidden/>
          </w:rPr>
          <w:fldChar w:fldCharType="separate"/>
        </w:r>
        <w:r w:rsidR="007B2A78">
          <w:rPr>
            <w:noProof/>
            <w:webHidden/>
          </w:rPr>
          <w:t>13</w:t>
        </w:r>
        <w:r>
          <w:rPr>
            <w:noProof/>
            <w:webHidden/>
          </w:rPr>
          <w:fldChar w:fldCharType="end"/>
        </w:r>
      </w:hyperlink>
    </w:p>
    <w:p w14:paraId="6FD77E15" w14:textId="255F8CF0" w:rsidR="006F7BC4" w:rsidRDefault="006F7BC4">
      <w:pPr>
        <w:pStyle w:val="TOC3"/>
        <w:rPr>
          <w:rFonts w:asciiTheme="minorHAnsi" w:eastAsiaTheme="minorEastAsia" w:hAnsiTheme="minorHAnsi" w:cstheme="minorBidi"/>
          <w:noProof/>
          <w:kern w:val="2"/>
          <w:sz w:val="24"/>
          <w:szCs w:val="24"/>
          <w14:ligatures w14:val="standardContextual"/>
        </w:rPr>
      </w:pPr>
      <w:hyperlink w:anchor="_Toc189055268" w:history="1">
        <w:r w:rsidRPr="00D85124">
          <w:rPr>
            <w:rStyle w:val="Hyperlink"/>
            <w:noProof/>
          </w:rPr>
          <w:t>2.5</w:t>
        </w:r>
        <w:r>
          <w:rPr>
            <w:rFonts w:asciiTheme="minorHAnsi" w:eastAsiaTheme="minorEastAsia" w:hAnsiTheme="minorHAnsi" w:cstheme="minorBidi"/>
            <w:noProof/>
            <w:kern w:val="2"/>
            <w:sz w:val="24"/>
            <w:szCs w:val="24"/>
            <w14:ligatures w14:val="standardContextual"/>
          </w:rPr>
          <w:tab/>
        </w:r>
        <w:r w:rsidRPr="00D85124">
          <w:rPr>
            <w:rStyle w:val="Hyperlink"/>
            <w:noProof/>
          </w:rPr>
          <w:t>Ecological role</w:t>
        </w:r>
        <w:r>
          <w:rPr>
            <w:noProof/>
            <w:webHidden/>
          </w:rPr>
          <w:tab/>
        </w:r>
        <w:r>
          <w:rPr>
            <w:noProof/>
            <w:webHidden/>
          </w:rPr>
          <w:fldChar w:fldCharType="begin"/>
        </w:r>
        <w:r>
          <w:rPr>
            <w:noProof/>
            <w:webHidden/>
          </w:rPr>
          <w:instrText xml:space="preserve"> PAGEREF _Toc189055268 \h </w:instrText>
        </w:r>
        <w:r>
          <w:rPr>
            <w:noProof/>
            <w:webHidden/>
          </w:rPr>
        </w:r>
        <w:r>
          <w:rPr>
            <w:noProof/>
            <w:webHidden/>
          </w:rPr>
          <w:fldChar w:fldCharType="separate"/>
        </w:r>
        <w:r w:rsidR="007B2A78">
          <w:rPr>
            <w:noProof/>
            <w:webHidden/>
          </w:rPr>
          <w:t>14</w:t>
        </w:r>
        <w:r>
          <w:rPr>
            <w:noProof/>
            <w:webHidden/>
          </w:rPr>
          <w:fldChar w:fldCharType="end"/>
        </w:r>
      </w:hyperlink>
    </w:p>
    <w:p w14:paraId="390CD581" w14:textId="0EA154B4" w:rsidR="006F7BC4" w:rsidRDefault="006F7BC4">
      <w:pPr>
        <w:pStyle w:val="TOC3"/>
        <w:rPr>
          <w:rFonts w:asciiTheme="minorHAnsi" w:eastAsiaTheme="minorEastAsia" w:hAnsiTheme="minorHAnsi" w:cstheme="minorBidi"/>
          <w:noProof/>
          <w:kern w:val="2"/>
          <w:sz w:val="24"/>
          <w:szCs w:val="24"/>
          <w14:ligatures w14:val="standardContextual"/>
        </w:rPr>
      </w:pPr>
      <w:hyperlink w:anchor="_Toc189055269" w:history="1">
        <w:r w:rsidRPr="00D85124">
          <w:rPr>
            <w:rStyle w:val="Hyperlink"/>
            <w:noProof/>
          </w:rPr>
          <w:t>2.6</w:t>
        </w:r>
        <w:r>
          <w:rPr>
            <w:rFonts w:asciiTheme="minorHAnsi" w:eastAsiaTheme="minorEastAsia" w:hAnsiTheme="minorHAnsi" w:cstheme="minorBidi"/>
            <w:noProof/>
            <w:kern w:val="2"/>
            <w:sz w:val="24"/>
            <w:szCs w:val="24"/>
            <w14:ligatures w14:val="standardContextual"/>
          </w:rPr>
          <w:tab/>
        </w:r>
        <w:r w:rsidRPr="00D85124">
          <w:rPr>
            <w:rStyle w:val="Hyperlink"/>
            <w:noProof/>
          </w:rPr>
          <w:t>Inherent vulnerability</w:t>
        </w:r>
        <w:r>
          <w:rPr>
            <w:noProof/>
            <w:webHidden/>
          </w:rPr>
          <w:tab/>
        </w:r>
        <w:r>
          <w:rPr>
            <w:noProof/>
            <w:webHidden/>
          </w:rPr>
          <w:fldChar w:fldCharType="begin"/>
        </w:r>
        <w:r>
          <w:rPr>
            <w:noProof/>
            <w:webHidden/>
          </w:rPr>
          <w:instrText xml:space="preserve"> PAGEREF _Toc189055269 \h </w:instrText>
        </w:r>
        <w:r>
          <w:rPr>
            <w:noProof/>
            <w:webHidden/>
          </w:rPr>
        </w:r>
        <w:r>
          <w:rPr>
            <w:noProof/>
            <w:webHidden/>
          </w:rPr>
          <w:fldChar w:fldCharType="separate"/>
        </w:r>
        <w:r w:rsidR="007B2A78">
          <w:rPr>
            <w:noProof/>
            <w:webHidden/>
          </w:rPr>
          <w:t>15</w:t>
        </w:r>
        <w:r>
          <w:rPr>
            <w:noProof/>
            <w:webHidden/>
          </w:rPr>
          <w:fldChar w:fldCharType="end"/>
        </w:r>
      </w:hyperlink>
    </w:p>
    <w:p w14:paraId="3C6782AA" w14:textId="2291A682" w:rsidR="006F7BC4" w:rsidRDefault="006F7BC4">
      <w:pPr>
        <w:pStyle w:val="TOC2"/>
        <w:rPr>
          <w:rFonts w:asciiTheme="minorHAnsi" w:eastAsiaTheme="minorEastAsia" w:hAnsiTheme="minorHAnsi" w:cstheme="minorBidi"/>
          <w:noProof/>
          <w:kern w:val="2"/>
          <w:sz w:val="24"/>
          <w:szCs w:val="24"/>
          <w14:ligatures w14:val="standardContextual"/>
        </w:rPr>
      </w:pPr>
      <w:hyperlink w:anchor="_Toc189055270" w:history="1">
        <w:r w:rsidRPr="00D85124">
          <w:rPr>
            <w:rStyle w:val="Hyperlink"/>
            <w:noProof/>
          </w:rPr>
          <w:t>3</w:t>
        </w:r>
        <w:r>
          <w:rPr>
            <w:rFonts w:asciiTheme="minorHAnsi" w:eastAsiaTheme="minorEastAsia" w:hAnsiTheme="minorHAnsi" w:cstheme="minorBidi"/>
            <w:noProof/>
            <w:kern w:val="2"/>
            <w:sz w:val="24"/>
            <w:szCs w:val="24"/>
            <w14:ligatures w14:val="standardContextual"/>
          </w:rPr>
          <w:tab/>
        </w:r>
        <w:r w:rsidRPr="00D85124">
          <w:rPr>
            <w:rStyle w:val="Hyperlink"/>
            <w:noProof/>
          </w:rPr>
          <w:t>Trade</w:t>
        </w:r>
        <w:r>
          <w:rPr>
            <w:noProof/>
            <w:webHidden/>
          </w:rPr>
          <w:tab/>
        </w:r>
        <w:r>
          <w:rPr>
            <w:noProof/>
            <w:webHidden/>
          </w:rPr>
          <w:fldChar w:fldCharType="begin"/>
        </w:r>
        <w:r>
          <w:rPr>
            <w:noProof/>
            <w:webHidden/>
          </w:rPr>
          <w:instrText xml:space="preserve"> PAGEREF _Toc189055270 \h </w:instrText>
        </w:r>
        <w:r>
          <w:rPr>
            <w:noProof/>
            <w:webHidden/>
          </w:rPr>
        </w:r>
        <w:r>
          <w:rPr>
            <w:noProof/>
            <w:webHidden/>
          </w:rPr>
          <w:fldChar w:fldCharType="separate"/>
        </w:r>
        <w:r w:rsidR="007B2A78">
          <w:rPr>
            <w:noProof/>
            <w:webHidden/>
          </w:rPr>
          <w:t>17</w:t>
        </w:r>
        <w:r>
          <w:rPr>
            <w:noProof/>
            <w:webHidden/>
          </w:rPr>
          <w:fldChar w:fldCharType="end"/>
        </w:r>
      </w:hyperlink>
    </w:p>
    <w:p w14:paraId="6A0C9490" w14:textId="45D1B1D1" w:rsidR="006F7BC4" w:rsidRDefault="006F7BC4">
      <w:pPr>
        <w:pStyle w:val="TOC2"/>
        <w:rPr>
          <w:rFonts w:asciiTheme="minorHAnsi" w:eastAsiaTheme="minorEastAsia" w:hAnsiTheme="minorHAnsi" w:cstheme="minorBidi"/>
          <w:noProof/>
          <w:kern w:val="2"/>
          <w:sz w:val="24"/>
          <w:szCs w:val="24"/>
          <w14:ligatures w14:val="standardContextual"/>
        </w:rPr>
      </w:pPr>
      <w:hyperlink w:anchor="_Toc189055271" w:history="1">
        <w:r w:rsidRPr="00D85124">
          <w:rPr>
            <w:rStyle w:val="Hyperlink"/>
            <w:noProof/>
          </w:rPr>
          <w:t>4</w:t>
        </w:r>
        <w:r>
          <w:rPr>
            <w:rFonts w:asciiTheme="minorHAnsi" w:eastAsiaTheme="minorEastAsia" w:hAnsiTheme="minorHAnsi" w:cstheme="minorBidi"/>
            <w:noProof/>
            <w:kern w:val="2"/>
            <w:sz w:val="24"/>
            <w:szCs w:val="24"/>
            <w14:ligatures w14:val="standardContextual"/>
          </w:rPr>
          <w:tab/>
        </w:r>
        <w:r w:rsidRPr="00D85124">
          <w:rPr>
            <w:rStyle w:val="Hyperlink"/>
            <w:noProof/>
          </w:rPr>
          <w:t>Sea cucumber fisheries</w:t>
        </w:r>
        <w:r>
          <w:rPr>
            <w:noProof/>
            <w:webHidden/>
          </w:rPr>
          <w:tab/>
        </w:r>
        <w:r>
          <w:rPr>
            <w:noProof/>
            <w:webHidden/>
          </w:rPr>
          <w:fldChar w:fldCharType="begin"/>
        </w:r>
        <w:r>
          <w:rPr>
            <w:noProof/>
            <w:webHidden/>
          </w:rPr>
          <w:instrText xml:space="preserve"> PAGEREF _Toc189055271 \h </w:instrText>
        </w:r>
        <w:r>
          <w:rPr>
            <w:noProof/>
            <w:webHidden/>
          </w:rPr>
        </w:r>
        <w:r>
          <w:rPr>
            <w:noProof/>
            <w:webHidden/>
          </w:rPr>
          <w:fldChar w:fldCharType="separate"/>
        </w:r>
        <w:r w:rsidR="007B2A78">
          <w:rPr>
            <w:noProof/>
            <w:webHidden/>
          </w:rPr>
          <w:t>19</w:t>
        </w:r>
        <w:r>
          <w:rPr>
            <w:noProof/>
            <w:webHidden/>
          </w:rPr>
          <w:fldChar w:fldCharType="end"/>
        </w:r>
      </w:hyperlink>
    </w:p>
    <w:p w14:paraId="7FAC4C39" w14:textId="39338583" w:rsidR="006F7BC4" w:rsidRDefault="006F7BC4">
      <w:pPr>
        <w:pStyle w:val="TOC3"/>
        <w:rPr>
          <w:rFonts w:asciiTheme="minorHAnsi" w:eastAsiaTheme="minorEastAsia" w:hAnsiTheme="minorHAnsi" w:cstheme="minorBidi"/>
          <w:noProof/>
          <w:kern w:val="2"/>
          <w:sz w:val="24"/>
          <w:szCs w:val="24"/>
          <w14:ligatures w14:val="standardContextual"/>
        </w:rPr>
      </w:pPr>
      <w:hyperlink w:anchor="_Toc189055272" w:history="1">
        <w:r w:rsidRPr="00D85124">
          <w:rPr>
            <w:rStyle w:val="Hyperlink"/>
            <w:noProof/>
          </w:rPr>
          <w:t>4.1</w:t>
        </w:r>
        <w:r>
          <w:rPr>
            <w:rFonts w:asciiTheme="minorHAnsi" w:eastAsiaTheme="minorEastAsia" w:hAnsiTheme="minorHAnsi" w:cstheme="minorBidi"/>
            <w:noProof/>
            <w:kern w:val="2"/>
            <w:sz w:val="24"/>
            <w:szCs w:val="24"/>
            <w14:ligatures w14:val="standardContextual"/>
          </w:rPr>
          <w:tab/>
        </w:r>
        <w:r w:rsidRPr="00D85124">
          <w:rPr>
            <w:rStyle w:val="Hyperlink"/>
            <w:noProof/>
          </w:rPr>
          <w:t>History of fishing</w:t>
        </w:r>
        <w:r>
          <w:rPr>
            <w:noProof/>
            <w:webHidden/>
          </w:rPr>
          <w:tab/>
        </w:r>
        <w:r>
          <w:rPr>
            <w:noProof/>
            <w:webHidden/>
          </w:rPr>
          <w:fldChar w:fldCharType="begin"/>
        </w:r>
        <w:r>
          <w:rPr>
            <w:noProof/>
            <w:webHidden/>
          </w:rPr>
          <w:instrText xml:space="preserve"> PAGEREF _Toc189055272 \h </w:instrText>
        </w:r>
        <w:r>
          <w:rPr>
            <w:noProof/>
            <w:webHidden/>
          </w:rPr>
        </w:r>
        <w:r>
          <w:rPr>
            <w:noProof/>
            <w:webHidden/>
          </w:rPr>
          <w:fldChar w:fldCharType="separate"/>
        </w:r>
        <w:r w:rsidR="007B2A78">
          <w:rPr>
            <w:noProof/>
            <w:webHidden/>
          </w:rPr>
          <w:t>19</w:t>
        </w:r>
        <w:r>
          <w:rPr>
            <w:noProof/>
            <w:webHidden/>
          </w:rPr>
          <w:fldChar w:fldCharType="end"/>
        </w:r>
      </w:hyperlink>
    </w:p>
    <w:p w14:paraId="0FF526D6" w14:textId="76EFDCB2" w:rsidR="006F7BC4" w:rsidRDefault="006F7BC4">
      <w:pPr>
        <w:pStyle w:val="TOC3"/>
        <w:rPr>
          <w:rFonts w:asciiTheme="minorHAnsi" w:eastAsiaTheme="minorEastAsia" w:hAnsiTheme="minorHAnsi" w:cstheme="minorBidi"/>
          <w:noProof/>
          <w:kern w:val="2"/>
          <w:sz w:val="24"/>
          <w:szCs w:val="24"/>
          <w14:ligatures w14:val="standardContextual"/>
        </w:rPr>
      </w:pPr>
      <w:hyperlink w:anchor="_Toc189055273" w:history="1">
        <w:r w:rsidRPr="00D85124">
          <w:rPr>
            <w:rStyle w:val="Hyperlink"/>
            <w:noProof/>
          </w:rPr>
          <w:t>4.2</w:t>
        </w:r>
        <w:r>
          <w:rPr>
            <w:rFonts w:asciiTheme="minorHAnsi" w:eastAsiaTheme="minorEastAsia" w:hAnsiTheme="minorHAnsi" w:cstheme="minorBidi"/>
            <w:noProof/>
            <w:kern w:val="2"/>
            <w:sz w:val="24"/>
            <w:szCs w:val="24"/>
            <w14:ligatures w14:val="standardContextual"/>
          </w:rPr>
          <w:tab/>
        </w:r>
        <w:r w:rsidRPr="00D85124">
          <w:rPr>
            <w:rStyle w:val="Hyperlink"/>
            <w:noProof/>
          </w:rPr>
          <w:t>The modern global fishery</w:t>
        </w:r>
        <w:r>
          <w:rPr>
            <w:noProof/>
            <w:webHidden/>
          </w:rPr>
          <w:tab/>
        </w:r>
        <w:r>
          <w:rPr>
            <w:noProof/>
            <w:webHidden/>
          </w:rPr>
          <w:fldChar w:fldCharType="begin"/>
        </w:r>
        <w:r>
          <w:rPr>
            <w:noProof/>
            <w:webHidden/>
          </w:rPr>
          <w:instrText xml:space="preserve"> PAGEREF _Toc189055273 \h </w:instrText>
        </w:r>
        <w:r>
          <w:rPr>
            <w:noProof/>
            <w:webHidden/>
          </w:rPr>
        </w:r>
        <w:r>
          <w:rPr>
            <w:noProof/>
            <w:webHidden/>
          </w:rPr>
          <w:fldChar w:fldCharType="separate"/>
        </w:r>
        <w:r w:rsidR="007B2A78">
          <w:rPr>
            <w:noProof/>
            <w:webHidden/>
          </w:rPr>
          <w:t>20</w:t>
        </w:r>
        <w:r>
          <w:rPr>
            <w:noProof/>
            <w:webHidden/>
          </w:rPr>
          <w:fldChar w:fldCharType="end"/>
        </w:r>
      </w:hyperlink>
    </w:p>
    <w:p w14:paraId="4ADFAA98" w14:textId="79497E19" w:rsidR="006F7BC4" w:rsidRDefault="006F7BC4">
      <w:pPr>
        <w:pStyle w:val="TOC3"/>
        <w:rPr>
          <w:rFonts w:asciiTheme="minorHAnsi" w:eastAsiaTheme="minorEastAsia" w:hAnsiTheme="minorHAnsi" w:cstheme="minorBidi"/>
          <w:noProof/>
          <w:kern w:val="2"/>
          <w:sz w:val="24"/>
          <w:szCs w:val="24"/>
          <w14:ligatures w14:val="standardContextual"/>
        </w:rPr>
      </w:pPr>
      <w:hyperlink w:anchor="_Toc189055274" w:history="1">
        <w:r w:rsidRPr="00D85124">
          <w:rPr>
            <w:rStyle w:val="Hyperlink"/>
            <w:noProof/>
          </w:rPr>
          <w:t>4.3</w:t>
        </w:r>
        <w:r>
          <w:rPr>
            <w:rFonts w:asciiTheme="minorHAnsi" w:eastAsiaTheme="minorEastAsia" w:hAnsiTheme="minorHAnsi" w:cstheme="minorBidi"/>
            <w:noProof/>
            <w:kern w:val="2"/>
            <w:sz w:val="24"/>
            <w:szCs w:val="24"/>
            <w14:ligatures w14:val="standardContextual"/>
          </w:rPr>
          <w:tab/>
        </w:r>
        <w:r w:rsidRPr="00D85124">
          <w:rPr>
            <w:rStyle w:val="Hyperlink"/>
            <w:noProof/>
          </w:rPr>
          <w:t>History of Australian fisheries</w:t>
        </w:r>
        <w:r>
          <w:rPr>
            <w:noProof/>
            <w:webHidden/>
          </w:rPr>
          <w:tab/>
        </w:r>
        <w:r>
          <w:rPr>
            <w:noProof/>
            <w:webHidden/>
          </w:rPr>
          <w:fldChar w:fldCharType="begin"/>
        </w:r>
        <w:r>
          <w:rPr>
            <w:noProof/>
            <w:webHidden/>
          </w:rPr>
          <w:instrText xml:space="preserve"> PAGEREF _Toc189055274 \h </w:instrText>
        </w:r>
        <w:r>
          <w:rPr>
            <w:noProof/>
            <w:webHidden/>
          </w:rPr>
        </w:r>
        <w:r>
          <w:rPr>
            <w:noProof/>
            <w:webHidden/>
          </w:rPr>
          <w:fldChar w:fldCharType="separate"/>
        </w:r>
        <w:r w:rsidR="007B2A78">
          <w:rPr>
            <w:noProof/>
            <w:webHidden/>
          </w:rPr>
          <w:t>21</w:t>
        </w:r>
        <w:r>
          <w:rPr>
            <w:noProof/>
            <w:webHidden/>
          </w:rPr>
          <w:fldChar w:fldCharType="end"/>
        </w:r>
      </w:hyperlink>
    </w:p>
    <w:p w14:paraId="01A074AC" w14:textId="692A6B52" w:rsidR="006F7BC4" w:rsidRDefault="006F7BC4">
      <w:pPr>
        <w:pStyle w:val="TOC3"/>
        <w:rPr>
          <w:rFonts w:asciiTheme="minorHAnsi" w:eastAsiaTheme="minorEastAsia" w:hAnsiTheme="minorHAnsi" w:cstheme="minorBidi"/>
          <w:noProof/>
          <w:kern w:val="2"/>
          <w:sz w:val="24"/>
          <w:szCs w:val="24"/>
          <w14:ligatures w14:val="standardContextual"/>
        </w:rPr>
      </w:pPr>
      <w:hyperlink w:anchor="_Toc189055275" w:history="1">
        <w:r w:rsidRPr="00D85124">
          <w:rPr>
            <w:rStyle w:val="Hyperlink"/>
            <w:noProof/>
          </w:rPr>
          <w:t>4.4</w:t>
        </w:r>
        <w:r>
          <w:rPr>
            <w:rFonts w:asciiTheme="minorHAnsi" w:eastAsiaTheme="minorEastAsia" w:hAnsiTheme="minorHAnsi" w:cstheme="minorBidi"/>
            <w:noProof/>
            <w:kern w:val="2"/>
            <w:sz w:val="24"/>
            <w:szCs w:val="24"/>
            <w14:ligatures w14:val="standardContextual"/>
          </w:rPr>
          <w:tab/>
        </w:r>
        <w:r w:rsidRPr="00D85124">
          <w:rPr>
            <w:rStyle w:val="Hyperlink"/>
            <w:noProof/>
          </w:rPr>
          <w:t>The modern Australian fishery</w:t>
        </w:r>
        <w:r>
          <w:rPr>
            <w:noProof/>
            <w:webHidden/>
          </w:rPr>
          <w:tab/>
        </w:r>
        <w:r>
          <w:rPr>
            <w:noProof/>
            <w:webHidden/>
          </w:rPr>
          <w:fldChar w:fldCharType="begin"/>
        </w:r>
        <w:r>
          <w:rPr>
            <w:noProof/>
            <w:webHidden/>
          </w:rPr>
          <w:instrText xml:space="preserve"> PAGEREF _Toc189055275 \h </w:instrText>
        </w:r>
        <w:r>
          <w:rPr>
            <w:noProof/>
            <w:webHidden/>
          </w:rPr>
        </w:r>
        <w:r>
          <w:rPr>
            <w:noProof/>
            <w:webHidden/>
          </w:rPr>
          <w:fldChar w:fldCharType="separate"/>
        </w:r>
        <w:r w:rsidR="007B2A78">
          <w:rPr>
            <w:noProof/>
            <w:webHidden/>
          </w:rPr>
          <w:t>29</w:t>
        </w:r>
        <w:r>
          <w:rPr>
            <w:noProof/>
            <w:webHidden/>
          </w:rPr>
          <w:fldChar w:fldCharType="end"/>
        </w:r>
      </w:hyperlink>
    </w:p>
    <w:p w14:paraId="03A889BC" w14:textId="67A30233" w:rsidR="006F7BC4" w:rsidRDefault="006F7BC4">
      <w:pPr>
        <w:pStyle w:val="TOC3"/>
        <w:rPr>
          <w:rFonts w:asciiTheme="minorHAnsi" w:eastAsiaTheme="minorEastAsia" w:hAnsiTheme="minorHAnsi" w:cstheme="minorBidi"/>
          <w:noProof/>
          <w:kern w:val="2"/>
          <w:sz w:val="24"/>
          <w:szCs w:val="24"/>
          <w14:ligatures w14:val="standardContextual"/>
        </w:rPr>
      </w:pPr>
      <w:hyperlink w:anchor="_Toc189055276" w:history="1">
        <w:r w:rsidRPr="00D85124">
          <w:rPr>
            <w:rStyle w:val="Hyperlink"/>
            <w:noProof/>
          </w:rPr>
          <w:t>4.5</w:t>
        </w:r>
        <w:r>
          <w:rPr>
            <w:rFonts w:asciiTheme="minorHAnsi" w:eastAsiaTheme="minorEastAsia" w:hAnsiTheme="minorHAnsi" w:cstheme="minorBidi"/>
            <w:noProof/>
            <w:kern w:val="2"/>
            <w:sz w:val="24"/>
            <w:szCs w:val="24"/>
            <w14:ligatures w14:val="standardContextual"/>
          </w:rPr>
          <w:tab/>
        </w:r>
        <w:r w:rsidRPr="00D85124">
          <w:rPr>
            <w:rStyle w:val="Hyperlink"/>
            <w:noProof/>
          </w:rPr>
          <w:t>Conversion ratios</w:t>
        </w:r>
        <w:r>
          <w:rPr>
            <w:noProof/>
            <w:webHidden/>
          </w:rPr>
          <w:tab/>
        </w:r>
        <w:r>
          <w:rPr>
            <w:noProof/>
            <w:webHidden/>
          </w:rPr>
          <w:fldChar w:fldCharType="begin"/>
        </w:r>
        <w:r>
          <w:rPr>
            <w:noProof/>
            <w:webHidden/>
          </w:rPr>
          <w:instrText xml:space="preserve"> PAGEREF _Toc189055276 \h </w:instrText>
        </w:r>
        <w:r>
          <w:rPr>
            <w:noProof/>
            <w:webHidden/>
          </w:rPr>
        </w:r>
        <w:r>
          <w:rPr>
            <w:noProof/>
            <w:webHidden/>
          </w:rPr>
          <w:fldChar w:fldCharType="separate"/>
        </w:r>
        <w:r w:rsidR="007B2A78">
          <w:rPr>
            <w:noProof/>
            <w:webHidden/>
          </w:rPr>
          <w:t>35</w:t>
        </w:r>
        <w:r>
          <w:rPr>
            <w:noProof/>
            <w:webHidden/>
          </w:rPr>
          <w:fldChar w:fldCharType="end"/>
        </w:r>
      </w:hyperlink>
    </w:p>
    <w:p w14:paraId="73B89AF5" w14:textId="35D6305C" w:rsidR="006F7BC4" w:rsidRDefault="006F7BC4">
      <w:pPr>
        <w:pStyle w:val="TOC2"/>
        <w:rPr>
          <w:rFonts w:asciiTheme="minorHAnsi" w:eastAsiaTheme="minorEastAsia" w:hAnsiTheme="minorHAnsi" w:cstheme="minorBidi"/>
          <w:noProof/>
          <w:kern w:val="2"/>
          <w:sz w:val="24"/>
          <w:szCs w:val="24"/>
          <w14:ligatures w14:val="standardContextual"/>
        </w:rPr>
      </w:pPr>
      <w:hyperlink w:anchor="_Toc189055277" w:history="1">
        <w:r w:rsidRPr="00D85124">
          <w:rPr>
            <w:rStyle w:val="Hyperlink"/>
            <w:noProof/>
          </w:rPr>
          <w:t>5</w:t>
        </w:r>
        <w:r>
          <w:rPr>
            <w:rFonts w:asciiTheme="minorHAnsi" w:eastAsiaTheme="minorEastAsia" w:hAnsiTheme="minorHAnsi" w:cstheme="minorBidi"/>
            <w:noProof/>
            <w:kern w:val="2"/>
            <w:sz w:val="24"/>
            <w:szCs w:val="24"/>
            <w14:ligatures w14:val="standardContextual"/>
          </w:rPr>
          <w:tab/>
        </w:r>
        <w:r w:rsidRPr="00D85124">
          <w:rPr>
            <w:rStyle w:val="Hyperlink"/>
            <w:noProof/>
          </w:rPr>
          <w:t>Stock trends and assessments</w:t>
        </w:r>
        <w:r>
          <w:rPr>
            <w:noProof/>
            <w:webHidden/>
          </w:rPr>
          <w:tab/>
        </w:r>
        <w:r>
          <w:rPr>
            <w:noProof/>
            <w:webHidden/>
          </w:rPr>
          <w:fldChar w:fldCharType="begin"/>
        </w:r>
        <w:r>
          <w:rPr>
            <w:noProof/>
            <w:webHidden/>
          </w:rPr>
          <w:instrText xml:space="preserve"> PAGEREF _Toc189055277 \h </w:instrText>
        </w:r>
        <w:r>
          <w:rPr>
            <w:noProof/>
            <w:webHidden/>
          </w:rPr>
        </w:r>
        <w:r>
          <w:rPr>
            <w:noProof/>
            <w:webHidden/>
          </w:rPr>
          <w:fldChar w:fldCharType="separate"/>
        </w:r>
        <w:r w:rsidR="007B2A78">
          <w:rPr>
            <w:noProof/>
            <w:webHidden/>
          </w:rPr>
          <w:t>37</w:t>
        </w:r>
        <w:r>
          <w:rPr>
            <w:noProof/>
            <w:webHidden/>
          </w:rPr>
          <w:fldChar w:fldCharType="end"/>
        </w:r>
      </w:hyperlink>
    </w:p>
    <w:p w14:paraId="0C1D8E0B" w14:textId="1C139FB9" w:rsidR="006F7BC4" w:rsidRDefault="006F7BC4">
      <w:pPr>
        <w:pStyle w:val="TOC3"/>
        <w:rPr>
          <w:rFonts w:asciiTheme="minorHAnsi" w:eastAsiaTheme="minorEastAsia" w:hAnsiTheme="minorHAnsi" w:cstheme="minorBidi"/>
          <w:noProof/>
          <w:kern w:val="2"/>
          <w:sz w:val="24"/>
          <w:szCs w:val="24"/>
          <w14:ligatures w14:val="standardContextual"/>
        </w:rPr>
      </w:pPr>
      <w:hyperlink w:anchor="_Toc189055278" w:history="1">
        <w:r w:rsidRPr="00D85124">
          <w:rPr>
            <w:rStyle w:val="Hyperlink"/>
            <w:noProof/>
          </w:rPr>
          <w:t>5.1</w:t>
        </w:r>
        <w:r>
          <w:rPr>
            <w:rFonts w:asciiTheme="minorHAnsi" w:eastAsiaTheme="minorEastAsia" w:hAnsiTheme="minorHAnsi" w:cstheme="minorBidi"/>
            <w:noProof/>
            <w:kern w:val="2"/>
            <w:sz w:val="24"/>
            <w:szCs w:val="24"/>
            <w14:ligatures w14:val="standardContextual"/>
          </w:rPr>
          <w:tab/>
        </w:r>
        <w:r w:rsidRPr="00D85124">
          <w:rPr>
            <w:rStyle w:val="Hyperlink"/>
            <w:noProof/>
          </w:rPr>
          <w:t>Australian EEZ population levels</w:t>
        </w:r>
        <w:r>
          <w:rPr>
            <w:noProof/>
            <w:webHidden/>
          </w:rPr>
          <w:tab/>
        </w:r>
        <w:r>
          <w:rPr>
            <w:noProof/>
            <w:webHidden/>
          </w:rPr>
          <w:fldChar w:fldCharType="begin"/>
        </w:r>
        <w:r>
          <w:rPr>
            <w:noProof/>
            <w:webHidden/>
          </w:rPr>
          <w:instrText xml:space="preserve"> PAGEREF _Toc189055278 \h </w:instrText>
        </w:r>
        <w:r>
          <w:rPr>
            <w:noProof/>
            <w:webHidden/>
          </w:rPr>
        </w:r>
        <w:r>
          <w:rPr>
            <w:noProof/>
            <w:webHidden/>
          </w:rPr>
          <w:fldChar w:fldCharType="separate"/>
        </w:r>
        <w:r w:rsidR="007B2A78">
          <w:rPr>
            <w:noProof/>
            <w:webHidden/>
          </w:rPr>
          <w:t>37</w:t>
        </w:r>
        <w:r>
          <w:rPr>
            <w:noProof/>
            <w:webHidden/>
          </w:rPr>
          <w:fldChar w:fldCharType="end"/>
        </w:r>
      </w:hyperlink>
    </w:p>
    <w:p w14:paraId="64DEF8E9" w14:textId="267766E5" w:rsidR="006F7BC4" w:rsidRDefault="006F7BC4">
      <w:pPr>
        <w:pStyle w:val="TOC3"/>
        <w:rPr>
          <w:rFonts w:asciiTheme="minorHAnsi" w:eastAsiaTheme="minorEastAsia" w:hAnsiTheme="minorHAnsi" w:cstheme="minorBidi"/>
          <w:noProof/>
          <w:kern w:val="2"/>
          <w:sz w:val="24"/>
          <w:szCs w:val="24"/>
          <w14:ligatures w14:val="standardContextual"/>
        </w:rPr>
      </w:pPr>
      <w:hyperlink w:anchor="_Toc189055279" w:history="1">
        <w:r w:rsidRPr="00D85124">
          <w:rPr>
            <w:rStyle w:val="Hyperlink"/>
            <w:noProof/>
          </w:rPr>
          <w:t>5.2</w:t>
        </w:r>
        <w:r>
          <w:rPr>
            <w:rFonts w:asciiTheme="minorHAnsi" w:eastAsiaTheme="minorEastAsia" w:hAnsiTheme="minorHAnsi" w:cstheme="minorBidi"/>
            <w:noProof/>
            <w:kern w:val="2"/>
            <w:sz w:val="24"/>
            <w:szCs w:val="24"/>
            <w14:ligatures w14:val="standardContextual"/>
          </w:rPr>
          <w:tab/>
        </w:r>
        <w:r w:rsidRPr="00D85124">
          <w:rPr>
            <w:rStyle w:val="Hyperlink"/>
            <w:noProof/>
          </w:rPr>
          <w:t>Stock assessments</w:t>
        </w:r>
        <w:r>
          <w:rPr>
            <w:noProof/>
            <w:webHidden/>
          </w:rPr>
          <w:tab/>
        </w:r>
        <w:r>
          <w:rPr>
            <w:noProof/>
            <w:webHidden/>
          </w:rPr>
          <w:fldChar w:fldCharType="begin"/>
        </w:r>
        <w:r>
          <w:rPr>
            <w:noProof/>
            <w:webHidden/>
          </w:rPr>
          <w:instrText xml:space="preserve"> PAGEREF _Toc189055279 \h </w:instrText>
        </w:r>
        <w:r>
          <w:rPr>
            <w:noProof/>
            <w:webHidden/>
          </w:rPr>
        </w:r>
        <w:r>
          <w:rPr>
            <w:noProof/>
            <w:webHidden/>
          </w:rPr>
          <w:fldChar w:fldCharType="separate"/>
        </w:r>
        <w:r w:rsidR="007B2A78">
          <w:rPr>
            <w:noProof/>
            <w:webHidden/>
          </w:rPr>
          <w:t>37</w:t>
        </w:r>
        <w:r>
          <w:rPr>
            <w:noProof/>
            <w:webHidden/>
          </w:rPr>
          <w:fldChar w:fldCharType="end"/>
        </w:r>
      </w:hyperlink>
    </w:p>
    <w:p w14:paraId="58FFF655" w14:textId="6FB0F8CD" w:rsidR="006F7BC4" w:rsidRDefault="006F7BC4">
      <w:pPr>
        <w:pStyle w:val="TOC2"/>
        <w:rPr>
          <w:rFonts w:asciiTheme="minorHAnsi" w:eastAsiaTheme="minorEastAsia" w:hAnsiTheme="minorHAnsi" w:cstheme="minorBidi"/>
          <w:noProof/>
          <w:kern w:val="2"/>
          <w:sz w:val="24"/>
          <w:szCs w:val="24"/>
          <w14:ligatures w14:val="standardContextual"/>
        </w:rPr>
      </w:pPr>
      <w:hyperlink w:anchor="_Toc189055280" w:history="1">
        <w:r w:rsidRPr="00D85124">
          <w:rPr>
            <w:rStyle w:val="Hyperlink"/>
            <w:noProof/>
          </w:rPr>
          <w:t>6</w:t>
        </w:r>
        <w:r>
          <w:rPr>
            <w:rFonts w:asciiTheme="minorHAnsi" w:eastAsiaTheme="minorEastAsia" w:hAnsiTheme="minorHAnsi" w:cstheme="minorBidi"/>
            <w:noProof/>
            <w:kern w:val="2"/>
            <w:sz w:val="24"/>
            <w:szCs w:val="24"/>
            <w14:ligatures w14:val="standardContextual"/>
          </w:rPr>
          <w:tab/>
        </w:r>
        <w:r w:rsidRPr="00D85124">
          <w:rPr>
            <w:rStyle w:val="Hyperlink"/>
            <w:noProof/>
          </w:rPr>
          <w:t>Management</w:t>
        </w:r>
        <w:r>
          <w:rPr>
            <w:noProof/>
            <w:webHidden/>
          </w:rPr>
          <w:tab/>
        </w:r>
        <w:r>
          <w:rPr>
            <w:noProof/>
            <w:webHidden/>
          </w:rPr>
          <w:fldChar w:fldCharType="begin"/>
        </w:r>
        <w:r>
          <w:rPr>
            <w:noProof/>
            <w:webHidden/>
          </w:rPr>
          <w:instrText xml:space="preserve"> PAGEREF _Toc189055280 \h </w:instrText>
        </w:r>
        <w:r>
          <w:rPr>
            <w:noProof/>
            <w:webHidden/>
          </w:rPr>
        </w:r>
        <w:r>
          <w:rPr>
            <w:noProof/>
            <w:webHidden/>
          </w:rPr>
          <w:fldChar w:fldCharType="separate"/>
        </w:r>
        <w:r w:rsidR="007B2A78">
          <w:rPr>
            <w:noProof/>
            <w:webHidden/>
          </w:rPr>
          <w:t>39</w:t>
        </w:r>
        <w:r>
          <w:rPr>
            <w:noProof/>
            <w:webHidden/>
          </w:rPr>
          <w:fldChar w:fldCharType="end"/>
        </w:r>
      </w:hyperlink>
    </w:p>
    <w:p w14:paraId="6E9A0619" w14:textId="549D7A0C" w:rsidR="006F7BC4" w:rsidRDefault="006F7BC4">
      <w:pPr>
        <w:pStyle w:val="TOC3"/>
        <w:rPr>
          <w:rFonts w:asciiTheme="minorHAnsi" w:eastAsiaTheme="minorEastAsia" w:hAnsiTheme="minorHAnsi" w:cstheme="minorBidi"/>
          <w:noProof/>
          <w:kern w:val="2"/>
          <w:sz w:val="24"/>
          <w:szCs w:val="24"/>
          <w14:ligatures w14:val="standardContextual"/>
        </w:rPr>
      </w:pPr>
      <w:hyperlink w:anchor="_Toc189055281" w:history="1">
        <w:r w:rsidRPr="00D85124">
          <w:rPr>
            <w:rStyle w:val="Hyperlink"/>
            <w:noProof/>
          </w:rPr>
          <w:t>6.1</w:t>
        </w:r>
        <w:r>
          <w:rPr>
            <w:rFonts w:asciiTheme="minorHAnsi" w:eastAsiaTheme="minorEastAsia" w:hAnsiTheme="minorHAnsi" w:cstheme="minorBidi"/>
            <w:noProof/>
            <w:kern w:val="2"/>
            <w:sz w:val="24"/>
            <w:szCs w:val="24"/>
            <w14:ligatures w14:val="standardContextual"/>
          </w:rPr>
          <w:tab/>
        </w:r>
        <w:r w:rsidRPr="00D85124">
          <w:rPr>
            <w:rStyle w:val="Hyperlink"/>
            <w:noProof/>
          </w:rPr>
          <w:t>Current management</w:t>
        </w:r>
        <w:r>
          <w:rPr>
            <w:noProof/>
            <w:webHidden/>
          </w:rPr>
          <w:tab/>
        </w:r>
        <w:r>
          <w:rPr>
            <w:noProof/>
            <w:webHidden/>
          </w:rPr>
          <w:fldChar w:fldCharType="begin"/>
        </w:r>
        <w:r>
          <w:rPr>
            <w:noProof/>
            <w:webHidden/>
          </w:rPr>
          <w:instrText xml:space="preserve"> PAGEREF _Toc189055281 \h </w:instrText>
        </w:r>
        <w:r>
          <w:rPr>
            <w:noProof/>
            <w:webHidden/>
          </w:rPr>
        </w:r>
        <w:r>
          <w:rPr>
            <w:noProof/>
            <w:webHidden/>
          </w:rPr>
          <w:fldChar w:fldCharType="separate"/>
        </w:r>
        <w:r w:rsidR="007B2A78">
          <w:rPr>
            <w:noProof/>
            <w:webHidden/>
          </w:rPr>
          <w:t>39</w:t>
        </w:r>
        <w:r>
          <w:rPr>
            <w:noProof/>
            <w:webHidden/>
          </w:rPr>
          <w:fldChar w:fldCharType="end"/>
        </w:r>
      </w:hyperlink>
    </w:p>
    <w:p w14:paraId="25E8EA84" w14:textId="56487C9C" w:rsidR="006F7BC4" w:rsidRDefault="006F7BC4">
      <w:pPr>
        <w:pStyle w:val="TOC3"/>
        <w:rPr>
          <w:rFonts w:asciiTheme="minorHAnsi" w:eastAsiaTheme="minorEastAsia" w:hAnsiTheme="minorHAnsi" w:cstheme="minorBidi"/>
          <w:noProof/>
          <w:kern w:val="2"/>
          <w:sz w:val="24"/>
          <w:szCs w:val="24"/>
          <w14:ligatures w14:val="standardContextual"/>
        </w:rPr>
      </w:pPr>
      <w:hyperlink w:anchor="_Toc189055282" w:history="1">
        <w:r w:rsidRPr="00D85124">
          <w:rPr>
            <w:rStyle w:val="Hyperlink"/>
            <w:noProof/>
          </w:rPr>
          <w:t>6.2</w:t>
        </w:r>
        <w:r>
          <w:rPr>
            <w:rFonts w:asciiTheme="minorHAnsi" w:eastAsiaTheme="minorEastAsia" w:hAnsiTheme="minorHAnsi" w:cstheme="minorBidi"/>
            <w:noProof/>
            <w:kern w:val="2"/>
            <w:sz w:val="24"/>
            <w:szCs w:val="24"/>
            <w14:ligatures w14:val="standardContextual"/>
          </w:rPr>
          <w:tab/>
        </w:r>
        <w:r w:rsidRPr="00D85124">
          <w:rPr>
            <w:rStyle w:val="Hyperlink"/>
            <w:noProof/>
          </w:rPr>
          <w:t>EPBC/WTO</w:t>
        </w:r>
        <w:r>
          <w:rPr>
            <w:noProof/>
            <w:webHidden/>
          </w:rPr>
          <w:tab/>
        </w:r>
        <w:r>
          <w:rPr>
            <w:noProof/>
            <w:webHidden/>
          </w:rPr>
          <w:fldChar w:fldCharType="begin"/>
        </w:r>
        <w:r>
          <w:rPr>
            <w:noProof/>
            <w:webHidden/>
          </w:rPr>
          <w:instrText xml:space="preserve"> PAGEREF _Toc189055282 \h </w:instrText>
        </w:r>
        <w:r>
          <w:rPr>
            <w:noProof/>
            <w:webHidden/>
          </w:rPr>
        </w:r>
        <w:r>
          <w:rPr>
            <w:noProof/>
            <w:webHidden/>
          </w:rPr>
          <w:fldChar w:fldCharType="separate"/>
        </w:r>
        <w:r w:rsidR="007B2A78">
          <w:rPr>
            <w:noProof/>
            <w:webHidden/>
          </w:rPr>
          <w:t>40</w:t>
        </w:r>
        <w:r>
          <w:rPr>
            <w:noProof/>
            <w:webHidden/>
          </w:rPr>
          <w:fldChar w:fldCharType="end"/>
        </w:r>
      </w:hyperlink>
    </w:p>
    <w:p w14:paraId="73798020" w14:textId="2088882D" w:rsidR="006F7BC4" w:rsidRDefault="006F7BC4">
      <w:pPr>
        <w:pStyle w:val="TOC2"/>
        <w:rPr>
          <w:rFonts w:asciiTheme="minorHAnsi" w:eastAsiaTheme="minorEastAsia" w:hAnsiTheme="minorHAnsi" w:cstheme="minorBidi"/>
          <w:noProof/>
          <w:kern w:val="2"/>
          <w:sz w:val="24"/>
          <w:szCs w:val="24"/>
          <w14:ligatures w14:val="standardContextual"/>
        </w:rPr>
      </w:pPr>
      <w:hyperlink w:anchor="_Toc189055283" w:history="1">
        <w:r w:rsidRPr="00D85124">
          <w:rPr>
            <w:rStyle w:val="Hyperlink"/>
            <w:noProof/>
          </w:rPr>
          <w:t>7</w:t>
        </w:r>
        <w:r>
          <w:rPr>
            <w:rFonts w:asciiTheme="minorHAnsi" w:eastAsiaTheme="minorEastAsia" w:hAnsiTheme="minorHAnsi" w:cstheme="minorBidi"/>
            <w:noProof/>
            <w:kern w:val="2"/>
            <w:sz w:val="24"/>
            <w:szCs w:val="24"/>
            <w14:ligatures w14:val="standardContextual"/>
          </w:rPr>
          <w:tab/>
        </w:r>
        <w:r w:rsidRPr="00D85124">
          <w:rPr>
            <w:rStyle w:val="Hyperlink"/>
            <w:noProof/>
          </w:rPr>
          <w:t>Conclusions and recommendations</w:t>
        </w:r>
        <w:r>
          <w:rPr>
            <w:noProof/>
            <w:webHidden/>
          </w:rPr>
          <w:tab/>
        </w:r>
        <w:r>
          <w:rPr>
            <w:noProof/>
            <w:webHidden/>
          </w:rPr>
          <w:fldChar w:fldCharType="begin"/>
        </w:r>
        <w:r>
          <w:rPr>
            <w:noProof/>
            <w:webHidden/>
          </w:rPr>
          <w:instrText xml:space="preserve"> PAGEREF _Toc189055283 \h </w:instrText>
        </w:r>
        <w:r>
          <w:rPr>
            <w:noProof/>
            <w:webHidden/>
          </w:rPr>
        </w:r>
        <w:r>
          <w:rPr>
            <w:noProof/>
            <w:webHidden/>
          </w:rPr>
          <w:fldChar w:fldCharType="separate"/>
        </w:r>
        <w:r w:rsidR="007B2A78">
          <w:rPr>
            <w:noProof/>
            <w:webHidden/>
          </w:rPr>
          <w:t>42</w:t>
        </w:r>
        <w:r>
          <w:rPr>
            <w:noProof/>
            <w:webHidden/>
          </w:rPr>
          <w:fldChar w:fldCharType="end"/>
        </w:r>
      </w:hyperlink>
    </w:p>
    <w:p w14:paraId="173531FB" w14:textId="2477BB7F" w:rsidR="006F7BC4" w:rsidRDefault="006F7BC4">
      <w:pPr>
        <w:pStyle w:val="TOC3"/>
        <w:rPr>
          <w:rFonts w:asciiTheme="minorHAnsi" w:eastAsiaTheme="minorEastAsia" w:hAnsiTheme="minorHAnsi" w:cstheme="minorBidi"/>
          <w:noProof/>
          <w:kern w:val="2"/>
          <w:sz w:val="24"/>
          <w:szCs w:val="24"/>
          <w14:ligatures w14:val="standardContextual"/>
        </w:rPr>
      </w:pPr>
      <w:hyperlink w:anchor="_Toc189055284" w:history="1">
        <w:r w:rsidRPr="00D85124">
          <w:rPr>
            <w:rStyle w:val="Hyperlink"/>
            <w:noProof/>
          </w:rPr>
          <w:t>7.1</w:t>
        </w:r>
        <w:r>
          <w:rPr>
            <w:rFonts w:asciiTheme="minorHAnsi" w:eastAsiaTheme="minorEastAsia" w:hAnsiTheme="minorHAnsi" w:cstheme="minorBidi"/>
            <w:noProof/>
            <w:kern w:val="2"/>
            <w:sz w:val="24"/>
            <w:szCs w:val="24"/>
            <w14:ligatures w14:val="standardContextual"/>
          </w:rPr>
          <w:tab/>
        </w:r>
        <w:r w:rsidRPr="00D85124">
          <w:rPr>
            <w:rStyle w:val="Hyperlink"/>
            <w:noProof/>
          </w:rPr>
          <w:t>Information gaps</w:t>
        </w:r>
        <w:r>
          <w:rPr>
            <w:noProof/>
            <w:webHidden/>
          </w:rPr>
          <w:tab/>
        </w:r>
        <w:r>
          <w:rPr>
            <w:noProof/>
            <w:webHidden/>
          </w:rPr>
          <w:fldChar w:fldCharType="begin"/>
        </w:r>
        <w:r>
          <w:rPr>
            <w:noProof/>
            <w:webHidden/>
          </w:rPr>
          <w:instrText xml:space="preserve"> PAGEREF _Toc189055284 \h </w:instrText>
        </w:r>
        <w:r>
          <w:rPr>
            <w:noProof/>
            <w:webHidden/>
          </w:rPr>
        </w:r>
        <w:r>
          <w:rPr>
            <w:noProof/>
            <w:webHidden/>
          </w:rPr>
          <w:fldChar w:fldCharType="separate"/>
        </w:r>
        <w:r w:rsidR="007B2A78">
          <w:rPr>
            <w:noProof/>
            <w:webHidden/>
          </w:rPr>
          <w:t>42</w:t>
        </w:r>
        <w:r>
          <w:rPr>
            <w:noProof/>
            <w:webHidden/>
          </w:rPr>
          <w:fldChar w:fldCharType="end"/>
        </w:r>
      </w:hyperlink>
    </w:p>
    <w:p w14:paraId="6ECB2274" w14:textId="3C3B2422" w:rsidR="006F7BC4" w:rsidRDefault="006F7BC4">
      <w:pPr>
        <w:pStyle w:val="TOC2"/>
        <w:rPr>
          <w:rFonts w:asciiTheme="minorHAnsi" w:eastAsiaTheme="minorEastAsia" w:hAnsiTheme="minorHAnsi" w:cstheme="minorBidi"/>
          <w:noProof/>
          <w:kern w:val="2"/>
          <w:sz w:val="24"/>
          <w:szCs w:val="24"/>
          <w14:ligatures w14:val="standardContextual"/>
        </w:rPr>
      </w:pPr>
      <w:hyperlink w:anchor="_Toc189055285" w:history="1">
        <w:r w:rsidRPr="00D85124">
          <w:rPr>
            <w:rStyle w:val="Hyperlink"/>
            <w:noProof/>
          </w:rPr>
          <w:t>References</w:t>
        </w:r>
        <w:r>
          <w:rPr>
            <w:noProof/>
            <w:webHidden/>
          </w:rPr>
          <w:tab/>
        </w:r>
        <w:r>
          <w:rPr>
            <w:noProof/>
            <w:webHidden/>
          </w:rPr>
          <w:fldChar w:fldCharType="begin"/>
        </w:r>
        <w:r>
          <w:rPr>
            <w:noProof/>
            <w:webHidden/>
          </w:rPr>
          <w:instrText xml:space="preserve"> PAGEREF _Toc189055285 \h </w:instrText>
        </w:r>
        <w:r>
          <w:rPr>
            <w:noProof/>
            <w:webHidden/>
          </w:rPr>
        </w:r>
        <w:r>
          <w:rPr>
            <w:noProof/>
            <w:webHidden/>
          </w:rPr>
          <w:fldChar w:fldCharType="separate"/>
        </w:r>
        <w:r w:rsidR="007B2A78">
          <w:rPr>
            <w:noProof/>
            <w:webHidden/>
          </w:rPr>
          <w:t>43</w:t>
        </w:r>
        <w:r>
          <w:rPr>
            <w:noProof/>
            <w:webHidden/>
          </w:rPr>
          <w:fldChar w:fldCharType="end"/>
        </w:r>
      </w:hyperlink>
    </w:p>
    <w:p w14:paraId="1DC417EE" w14:textId="01F5A5CB" w:rsidR="00A943B2" w:rsidRDefault="00270A2A" w:rsidP="00FE3F4D">
      <w:r>
        <w:rPr>
          <w:b/>
          <w:noProof/>
          <w:color w:val="FFFFFF"/>
          <w:spacing w:val="-7"/>
        </w:rPr>
        <w:fldChar w:fldCharType="end"/>
      </w:r>
    </w:p>
    <w:p w14:paraId="1DC417EF" w14:textId="77777777" w:rsidR="00A943B2" w:rsidRDefault="00A943B2" w:rsidP="004712A8"/>
    <w:p w14:paraId="1DC417F0" w14:textId="77777777" w:rsidR="003053C7" w:rsidRPr="00AC3B3A" w:rsidRDefault="003053C7" w:rsidP="00732A99">
      <w:r>
        <w:br w:type="page"/>
      </w:r>
    </w:p>
    <w:p w14:paraId="1DC417F1" w14:textId="77777777" w:rsidR="00A943B2" w:rsidRDefault="004D139E" w:rsidP="00FB37B4">
      <w:pPr>
        <w:pStyle w:val="ListofFiguresandTablesTOCHeading"/>
      </w:pPr>
      <w:r>
        <w:lastRenderedPageBreak/>
        <w:t>F</w:t>
      </w:r>
      <w:r w:rsidR="00A943B2">
        <w:t>igures</w:t>
      </w:r>
    </w:p>
    <w:p w14:paraId="6D15AD73" w14:textId="03A902C3" w:rsidR="006F7BC4" w:rsidRDefault="00270A2A">
      <w:pPr>
        <w:pStyle w:val="TableofFigures"/>
        <w:rPr>
          <w:rFonts w:asciiTheme="minorHAnsi" w:eastAsiaTheme="minorEastAsia" w:hAnsiTheme="minorHAnsi" w:cstheme="minorBidi"/>
          <w:noProof/>
          <w:color w:val="auto"/>
          <w:kern w:val="2"/>
          <w:sz w:val="24"/>
          <w:szCs w:val="24"/>
          <w14:ligatures w14:val="standardContextual"/>
        </w:rPr>
      </w:pPr>
      <w:r>
        <w:fldChar w:fldCharType="begin"/>
      </w:r>
      <w:r w:rsidR="00A943B2">
        <w:instrText xml:space="preserve"> TOC \h \z \c "Figure" </w:instrText>
      </w:r>
      <w:r>
        <w:fldChar w:fldCharType="separate"/>
      </w:r>
      <w:hyperlink w:anchor="_Toc189055286" w:history="1">
        <w:r w:rsidR="006F7BC4" w:rsidRPr="00722703">
          <w:rPr>
            <w:rStyle w:val="Hyperlink"/>
            <w:noProof/>
          </w:rPr>
          <w:t>Figure 1. Distribution of (Pacific) Black teatfish (</w:t>
        </w:r>
        <w:r w:rsidR="006F7BC4" w:rsidRPr="00722703">
          <w:rPr>
            <w:rStyle w:val="Hyperlink"/>
            <w:i/>
            <w:iCs/>
            <w:noProof/>
          </w:rPr>
          <w:t>H. whitmaei</w:t>
        </w:r>
        <w:r w:rsidR="006F7BC4" w:rsidRPr="00722703">
          <w:rPr>
            <w:rStyle w:val="Hyperlink"/>
            <w:noProof/>
          </w:rPr>
          <w:t>). Source: FAO, 2024. Aquatic Species Distribution Map Viewer. https://www.fao.org/figis/geoserver/factsheets/species.html</w:t>
        </w:r>
        <w:r w:rsidR="006F7BC4">
          <w:rPr>
            <w:noProof/>
            <w:webHidden/>
          </w:rPr>
          <w:tab/>
        </w:r>
        <w:r w:rsidR="006F7BC4">
          <w:rPr>
            <w:noProof/>
            <w:webHidden/>
          </w:rPr>
          <w:fldChar w:fldCharType="begin"/>
        </w:r>
        <w:r w:rsidR="006F7BC4">
          <w:rPr>
            <w:noProof/>
            <w:webHidden/>
          </w:rPr>
          <w:instrText xml:space="preserve"> PAGEREF _Toc189055286 \h </w:instrText>
        </w:r>
        <w:r w:rsidR="006F7BC4">
          <w:rPr>
            <w:noProof/>
            <w:webHidden/>
          </w:rPr>
        </w:r>
        <w:r w:rsidR="006F7BC4">
          <w:rPr>
            <w:noProof/>
            <w:webHidden/>
          </w:rPr>
          <w:fldChar w:fldCharType="separate"/>
        </w:r>
        <w:r w:rsidR="007B2A78">
          <w:rPr>
            <w:noProof/>
            <w:webHidden/>
          </w:rPr>
          <w:t>3</w:t>
        </w:r>
        <w:r w:rsidR="006F7BC4">
          <w:rPr>
            <w:noProof/>
            <w:webHidden/>
          </w:rPr>
          <w:fldChar w:fldCharType="end"/>
        </w:r>
      </w:hyperlink>
    </w:p>
    <w:p w14:paraId="73ABF834" w14:textId="57826358" w:rsidR="006F7BC4" w:rsidRDefault="006F7BC4">
      <w:pPr>
        <w:pStyle w:val="TableofFigures"/>
        <w:rPr>
          <w:rFonts w:asciiTheme="minorHAnsi" w:eastAsiaTheme="minorEastAsia" w:hAnsiTheme="minorHAnsi" w:cstheme="minorBidi"/>
          <w:noProof/>
          <w:color w:val="auto"/>
          <w:kern w:val="2"/>
          <w:sz w:val="24"/>
          <w:szCs w:val="24"/>
          <w14:ligatures w14:val="standardContextual"/>
        </w:rPr>
      </w:pPr>
      <w:hyperlink w:anchor="_Toc189055287" w:history="1">
        <w:r w:rsidRPr="00722703">
          <w:rPr>
            <w:rStyle w:val="Hyperlink"/>
            <w:noProof/>
          </w:rPr>
          <w:t>Figure 2. Distribution of Black teatfish (</w:t>
        </w:r>
        <w:r w:rsidRPr="00722703">
          <w:rPr>
            <w:rStyle w:val="Hyperlink"/>
            <w:i/>
            <w:iCs/>
            <w:noProof/>
          </w:rPr>
          <w:t>Holothuria whitmaei</w:t>
        </w:r>
        <w:r w:rsidRPr="00722703">
          <w:rPr>
            <w:rStyle w:val="Hyperlink"/>
            <w:noProof/>
          </w:rPr>
          <w:t>) in Australia. Using existing distribution maps in Conand, et al., 2013a; FAO Aquatic Species Distribution Map Viewer and Purcell et al., 2023a. Additional occurrence records for Australian territories as per Table 1 - in pink.</w:t>
        </w:r>
        <w:r>
          <w:rPr>
            <w:noProof/>
            <w:webHidden/>
          </w:rPr>
          <w:tab/>
        </w:r>
        <w:r>
          <w:rPr>
            <w:noProof/>
            <w:webHidden/>
          </w:rPr>
          <w:fldChar w:fldCharType="begin"/>
        </w:r>
        <w:r>
          <w:rPr>
            <w:noProof/>
            <w:webHidden/>
          </w:rPr>
          <w:instrText xml:space="preserve"> PAGEREF _Toc189055287 \h </w:instrText>
        </w:r>
        <w:r>
          <w:rPr>
            <w:noProof/>
            <w:webHidden/>
          </w:rPr>
        </w:r>
        <w:r>
          <w:rPr>
            <w:noProof/>
            <w:webHidden/>
          </w:rPr>
          <w:fldChar w:fldCharType="separate"/>
        </w:r>
        <w:r w:rsidR="007B2A78">
          <w:rPr>
            <w:noProof/>
            <w:webHidden/>
          </w:rPr>
          <w:t>3</w:t>
        </w:r>
        <w:r>
          <w:rPr>
            <w:noProof/>
            <w:webHidden/>
          </w:rPr>
          <w:fldChar w:fldCharType="end"/>
        </w:r>
      </w:hyperlink>
    </w:p>
    <w:p w14:paraId="275DE498" w14:textId="256D1C6E" w:rsidR="006F7BC4" w:rsidRDefault="006F7BC4">
      <w:pPr>
        <w:pStyle w:val="TableofFigures"/>
        <w:rPr>
          <w:rFonts w:asciiTheme="minorHAnsi" w:eastAsiaTheme="minorEastAsia" w:hAnsiTheme="minorHAnsi" w:cstheme="minorBidi"/>
          <w:noProof/>
          <w:color w:val="auto"/>
          <w:kern w:val="2"/>
          <w:sz w:val="24"/>
          <w:szCs w:val="24"/>
          <w14:ligatures w14:val="standardContextual"/>
        </w:rPr>
      </w:pPr>
      <w:hyperlink w:anchor="_Toc189055288" w:history="1">
        <w:r w:rsidRPr="00722703">
          <w:rPr>
            <w:rStyle w:val="Hyperlink"/>
            <w:noProof/>
          </w:rPr>
          <w:t>Figure 3. Distribution of White teatfish (</w:t>
        </w:r>
        <w:r w:rsidRPr="00722703">
          <w:rPr>
            <w:rStyle w:val="Hyperlink"/>
            <w:i/>
            <w:iCs/>
            <w:noProof/>
          </w:rPr>
          <w:t>H. fuscogilva</w:t>
        </w:r>
        <w:r w:rsidRPr="00722703">
          <w:rPr>
            <w:rStyle w:val="Hyperlink"/>
            <w:noProof/>
          </w:rPr>
          <w:t>). Source: FAO, 2024. Aquatic Species Distribution Map Viewer. https://www.fao.org/figis/geoserver/factsheets/species.html</w:t>
        </w:r>
        <w:r>
          <w:rPr>
            <w:noProof/>
            <w:webHidden/>
          </w:rPr>
          <w:tab/>
        </w:r>
        <w:r>
          <w:rPr>
            <w:noProof/>
            <w:webHidden/>
          </w:rPr>
          <w:fldChar w:fldCharType="begin"/>
        </w:r>
        <w:r>
          <w:rPr>
            <w:noProof/>
            <w:webHidden/>
          </w:rPr>
          <w:instrText xml:space="preserve"> PAGEREF _Toc189055288 \h </w:instrText>
        </w:r>
        <w:r>
          <w:rPr>
            <w:noProof/>
            <w:webHidden/>
          </w:rPr>
        </w:r>
        <w:r>
          <w:rPr>
            <w:noProof/>
            <w:webHidden/>
          </w:rPr>
          <w:fldChar w:fldCharType="separate"/>
        </w:r>
        <w:r w:rsidR="007B2A78">
          <w:rPr>
            <w:noProof/>
            <w:webHidden/>
          </w:rPr>
          <w:t>4</w:t>
        </w:r>
        <w:r>
          <w:rPr>
            <w:noProof/>
            <w:webHidden/>
          </w:rPr>
          <w:fldChar w:fldCharType="end"/>
        </w:r>
      </w:hyperlink>
    </w:p>
    <w:p w14:paraId="58175EE1" w14:textId="1E92A327" w:rsidR="006F7BC4" w:rsidRDefault="006F7BC4">
      <w:pPr>
        <w:pStyle w:val="TableofFigures"/>
        <w:rPr>
          <w:rFonts w:asciiTheme="minorHAnsi" w:eastAsiaTheme="minorEastAsia" w:hAnsiTheme="minorHAnsi" w:cstheme="minorBidi"/>
          <w:noProof/>
          <w:color w:val="auto"/>
          <w:kern w:val="2"/>
          <w:sz w:val="24"/>
          <w:szCs w:val="24"/>
          <w14:ligatures w14:val="standardContextual"/>
        </w:rPr>
      </w:pPr>
      <w:hyperlink w:anchor="_Toc189055289" w:history="1">
        <w:r w:rsidRPr="00722703">
          <w:rPr>
            <w:rStyle w:val="Hyperlink"/>
            <w:noProof/>
          </w:rPr>
          <w:t>Figure 4. Distribution of Whites teatfish (Holothuria fuscogilva) in Australia. Using existing distribution maps in Conand, et al., 2013b; FAO Aquatic Species Distribution Map Viewer and Purcell et al., 2023a. Additional occurrence records for Australian territories as per Table 1 - in light orange.</w:t>
        </w:r>
        <w:r>
          <w:rPr>
            <w:noProof/>
            <w:webHidden/>
          </w:rPr>
          <w:tab/>
        </w:r>
        <w:r>
          <w:rPr>
            <w:noProof/>
            <w:webHidden/>
          </w:rPr>
          <w:fldChar w:fldCharType="begin"/>
        </w:r>
        <w:r>
          <w:rPr>
            <w:noProof/>
            <w:webHidden/>
          </w:rPr>
          <w:instrText xml:space="preserve"> PAGEREF _Toc189055289 \h </w:instrText>
        </w:r>
        <w:r>
          <w:rPr>
            <w:noProof/>
            <w:webHidden/>
          </w:rPr>
        </w:r>
        <w:r>
          <w:rPr>
            <w:noProof/>
            <w:webHidden/>
          </w:rPr>
          <w:fldChar w:fldCharType="separate"/>
        </w:r>
        <w:r w:rsidR="007B2A78">
          <w:rPr>
            <w:noProof/>
            <w:webHidden/>
          </w:rPr>
          <w:t>5</w:t>
        </w:r>
        <w:r>
          <w:rPr>
            <w:noProof/>
            <w:webHidden/>
          </w:rPr>
          <w:fldChar w:fldCharType="end"/>
        </w:r>
      </w:hyperlink>
    </w:p>
    <w:p w14:paraId="139FB868" w14:textId="16C58E86" w:rsidR="006F7BC4" w:rsidRDefault="006F7BC4">
      <w:pPr>
        <w:pStyle w:val="TableofFigures"/>
        <w:rPr>
          <w:rFonts w:asciiTheme="minorHAnsi" w:eastAsiaTheme="minorEastAsia" w:hAnsiTheme="minorHAnsi" w:cstheme="minorBidi"/>
          <w:noProof/>
          <w:color w:val="auto"/>
          <w:kern w:val="2"/>
          <w:sz w:val="24"/>
          <w:szCs w:val="24"/>
          <w14:ligatures w14:val="standardContextual"/>
        </w:rPr>
      </w:pPr>
      <w:hyperlink w:anchor="_Toc189055290" w:history="1">
        <w:r w:rsidRPr="00722703">
          <w:rPr>
            <w:rStyle w:val="Hyperlink"/>
            <w:noProof/>
          </w:rPr>
          <w:t>Figure 5. Larval particle model trajectories with 28-day period for summer new moon release (6/1/2019) for three GBR (red) and four Coral Sea (blue) point release locations. (Connie3: https://connie.csiro.au/)</w:t>
        </w:r>
        <w:r>
          <w:rPr>
            <w:noProof/>
            <w:webHidden/>
          </w:rPr>
          <w:tab/>
        </w:r>
        <w:r>
          <w:rPr>
            <w:noProof/>
            <w:webHidden/>
          </w:rPr>
          <w:fldChar w:fldCharType="begin"/>
        </w:r>
        <w:r>
          <w:rPr>
            <w:noProof/>
            <w:webHidden/>
          </w:rPr>
          <w:instrText xml:space="preserve"> PAGEREF _Toc189055290 \h </w:instrText>
        </w:r>
        <w:r>
          <w:rPr>
            <w:noProof/>
            <w:webHidden/>
          </w:rPr>
        </w:r>
        <w:r>
          <w:rPr>
            <w:noProof/>
            <w:webHidden/>
          </w:rPr>
          <w:fldChar w:fldCharType="separate"/>
        </w:r>
        <w:r w:rsidR="007B2A78">
          <w:rPr>
            <w:noProof/>
            <w:webHidden/>
          </w:rPr>
          <w:t>11</w:t>
        </w:r>
        <w:r>
          <w:rPr>
            <w:noProof/>
            <w:webHidden/>
          </w:rPr>
          <w:fldChar w:fldCharType="end"/>
        </w:r>
      </w:hyperlink>
    </w:p>
    <w:p w14:paraId="71721903" w14:textId="01EB6735" w:rsidR="006F7BC4" w:rsidRDefault="006F7BC4">
      <w:pPr>
        <w:pStyle w:val="TableofFigures"/>
        <w:rPr>
          <w:rFonts w:asciiTheme="minorHAnsi" w:eastAsiaTheme="minorEastAsia" w:hAnsiTheme="minorHAnsi" w:cstheme="minorBidi"/>
          <w:noProof/>
          <w:color w:val="auto"/>
          <w:kern w:val="2"/>
          <w:sz w:val="24"/>
          <w:szCs w:val="24"/>
          <w14:ligatures w14:val="standardContextual"/>
        </w:rPr>
      </w:pPr>
      <w:hyperlink w:anchor="_Toc189055291" w:history="1">
        <w:r w:rsidRPr="00722703">
          <w:rPr>
            <w:rStyle w:val="Hyperlink"/>
            <w:noProof/>
          </w:rPr>
          <w:t>Figure 6. Fish Larval Connectivity on Coral Reefs: Spatial Distribution of Sinks, Sources &amp; Corridors (Fontoura et al., 2022) (https://www.arcgis.com/apps/dashboards/7d7167d11e4e4c4496ced8cafacb0fed)</w:t>
        </w:r>
        <w:r>
          <w:rPr>
            <w:noProof/>
            <w:webHidden/>
          </w:rPr>
          <w:tab/>
        </w:r>
        <w:r>
          <w:rPr>
            <w:noProof/>
            <w:webHidden/>
          </w:rPr>
          <w:fldChar w:fldCharType="begin"/>
        </w:r>
        <w:r>
          <w:rPr>
            <w:noProof/>
            <w:webHidden/>
          </w:rPr>
          <w:instrText xml:space="preserve"> PAGEREF _Toc189055291 \h </w:instrText>
        </w:r>
        <w:r>
          <w:rPr>
            <w:noProof/>
            <w:webHidden/>
          </w:rPr>
        </w:r>
        <w:r>
          <w:rPr>
            <w:noProof/>
            <w:webHidden/>
          </w:rPr>
          <w:fldChar w:fldCharType="separate"/>
        </w:r>
        <w:r w:rsidR="007B2A78">
          <w:rPr>
            <w:noProof/>
            <w:webHidden/>
          </w:rPr>
          <w:t>12</w:t>
        </w:r>
        <w:r>
          <w:rPr>
            <w:noProof/>
            <w:webHidden/>
          </w:rPr>
          <w:fldChar w:fldCharType="end"/>
        </w:r>
      </w:hyperlink>
    </w:p>
    <w:p w14:paraId="413680E0" w14:textId="2527A9E8" w:rsidR="006F7BC4" w:rsidRDefault="006F7BC4">
      <w:pPr>
        <w:pStyle w:val="TableofFigures"/>
        <w:rPr>
          <w:rFonts w:asciiTheme="minorHAnsi" w:eastAsiaTheme="minorEastAsia" w:hAnsiTheme="minorHAnsi" w:cstheme="minorBidi"/>
          <w:noProof/>
          <w:color w:val="auto"/>
          <w:kern w:val="2"/>
          <w:sz w:val="24"/>
          <w:szCs w:val="24"/>
          <w14:ligatures w14:val="standardContextual"/>
        </w:rPr>
      </w:pPr>
      <w:hyperlink w:anchor="_Toc189055292" w:history="1">
        <w:r w:rsidRPr="00722703">
          <w:rPr>
            <w:rStyle w:val="Hyperlink"/>
            <w:noProof/>
          </w:rPr>
          <w:t>Figure 7. Sea cucumber (dried, salted and in brine) imports and re-exports from Hong Kong for 1976 to 2004 (left, Choo, 2008), and 2012 to 2016 (right, To, 2018).</w:t>
        </w:r>
        <w:r>
          <w:rPr>
            <w:noProof/>
            <w:webHidden/>
          </w:rPr>
          <w:tab/>
        </w:r>
        <w:r>
          <w:rPr>
            <w:noProof/>
            <w:webHidden/>
          </w:rPr>
          <w:fldChar w:fldCharType="begin"/>
        </w:r>
        <w:r>
          <w:rPr>
            <w:noProof/>
            <w:webHidden/>
          </w:rPr>
          <w:instrText xml:space="preserve"> PAGEREF _Toc189055292 \h </w:instrText>
        </w:r>
        <w:r>
          <w:rPr>
            <w:noProof/>
            <w:webHidden/>
          </w:rPr>
        </w:r>
        <w:r>
          <w:rPr>
            <w:noProof/>
            <w:webHidden/>
          </w:rPr>
          <w:fldChar w:fldCharType="separate"/>
        </w:r>
        <w:r w:rsidR="007B2A78">
          <w:rPr>
            <w:noProof/>
            <w:webHidden/>
          </w:rPr>
          <w:t>17</w:t>
        </w:r>
        <w:r>
          <w:rPr>
            <w:noProof/>
            <w:webHidden/>
          </w:rPr>
          <w:fldChar w:fldCharType="end"/>
        </w:r>
      </w:hyperlink>
    </w:p>
    <w:p w14:paraId="62FAE3B8" w14:textId="1556497C" w:rsidR="006F7BC4" w:rsidRDefault="006F7BC4">
      <w:pPr>
        <w:pStyle w:val="TableofFigures"/>
        <w:rPr>
          <w:rFonts w:asciiTheme="minorHAnsi" w:eastAsiaTheme="minorEastAsia" w:hAnsiTheme="minorHAnsi" w:cstheme="minorBidi"/>
          <w:noProof/>
          <w:color w:val="auto"/>
          <w:kern w:val="2"/>
          <w:sz w:val="24"/>
          <w:szCs w:val="24"/>
          <w14:ligatures w14:val="standardContextual"/>
        </w:rPr>
      </w:pPr>
      <w:hyperlink w:anchor="_Toc189055293" w:history="1">
        <w:r w:rsidRPr="00722703">
          <w:rPr>
            <w:rStyle w:val="Hyperlink"/>
            <w:noProof/>
          </w:rPr>
          <w:t>Figure 8. Global wild capture production in metric tonnes (t) of dried sea cucumbers between 1950 and 2022*. Individual regions producing 97% of production are shown, with the remainder in “Other” (FAO, 2023). Note that production figures are likely to be significant underestimates for various reasons, including poor fishery surveillance and IUU (Tuwo, 2004; Phelps Bondaroff and Morrow, 2024). *Excludes Japanese sea cucumber production in China, Japan, and Korea.</w:t>
        </w:r>
        <w:r>
          <w:rPr>
            <w:noProof/>
            <w:webHidden/>
          </w:rPr>
          <w:tab/>
        </w:r>
        <w:r>
          <w:rPr>
            <w:noProof/>
            <w:webHidden/>
          </w:rPr>
          <w:fldChar w:fldCharType="begin"/>
        </w:r>
        <w:r>
          <w:rPr>
            <w:noProof/>
            <w:webHidden/>
          </w:rPr>
          <w:instrText xml:space="preserve"> PAGEREF _Toc189055293 \h </w:instrText>
        </w:r>
        <w:r>
          <w:rPr>
            <w:noProof/>
            <w:webHidden/>
          </w:rPr>
        </w:r>
        <w:r>
          <w:rPr>
            <w:noProof/>
            <w:webHidden/>
          </w:rPr>
          <w:fldChar w:fldCharType="separate"/>
        </w:r>
        <w:r w:rsidR="007B2A78">
          <w:rPr>
            <w:noProof/>
            <w:webHidden/>
          </w:rPr>
          <w:t>21</w:t>
        </w:r>
        <w:r>
          <w:rPr>
            <w:noProof/>
            <w:webHidden/>
          </w:rPr>
          <w:fldChar w:fldCharType="end"/>
        </w:r>
      </w:hyperlink>
    </w:p>
    <w:p w14:paraId="4DFEFB96" w14:textId="0514A7E4" w:rsidR="006F7BC4" w:rsidRDefault="006F7BC4">
      <w:pPr>
        <w:pStyle w:val="TableofFigures"/>
        <w:rPr>
          <w:rFonts w:asciiTheme="minorHAnsi" w:eastAsiaTheme="minorEastAsia" w:hAnsiTheme="minorHAnsi" w:cstheme="minorBidi"/>
          <w:noProof/>
          <w:color w:val="auto"/>
          <w:kern w:val="2"/>
          <w:sz w:val="24"/>
          <w:szCs w:val="24"/>
          <w14:ligatures w14:val="standardContextual"/>
        </w:rPr>
      </w:pPr>
      <w:hyperlink w:anchor="_Toc189055294" w:history="1">
        <w:r w:rsidRPr="00722703">
          <w:rPr>
            <w:rStyle w:val="Hyperlink"/>
            <w:noProof/>
          </w:rPr>
          <w:t>Figure 9. Catch of the historic (pre-1950) Queensland sea cucumber fishery (including the GBR, Torres Strait and the Coral Sea) in tonnes gutted weight; and the modern (after 1987) fishery catch for the QSCF, TSBDMF and CSF combined. Early data are from Saville-Kent (1893), Sumner (1981) and Anon (1946). Values for the period after 1987 are from QSCF, TSBDMF and CSF logbook data (after Uthicke, 2004). n.d. = no data.</w:t>
        </w:r>
        <w:r>
          <w:rPr>
            <w:noProof/>
            <w:webHidden/>
          </w:rPr>
          <w:tab/>
        </w:r>
        <w:r>
          <w:rPr>
            <w:noProof/>
            <w:webHidden/>
          </w:rPr>
          <w:fldChar w:fldCharType="begin"/>
        </w:r>
        <w:r>
          <w:rPr>
            <w:noProof/>
            <w:webHidden/>
          </w:rPr>
          <w:instrText xml:space="preserve"> PAGEREF _Toc189055294 \h </w:instrText>
        </w:r>
        <w:r>
          <w:rPr>
            <w:noProof/>
            <w:webHidden/>
          </w:rPr>
        </w:r>
        <w:r>
          <w:rPr>
            <w:noProof/>
            <w:webHidden/>
          </w:rPr>
          <w:fldChar w:fldCharType="separate"/>
        </w:r>
        <w:r w:rsidR="007B2A78">
          <w:rPr>
            <w:noProof/>
            <w:webHidden/>
          </w:rPr>
          <w:t>27</w:t>
        </w:r>
        <w:r>
          <w:rPr>
            <w:noProof/>
            <w:webHidden/>
          </w:rPr>
          <w:fldChar w:fldCharType="end"/>
        </w:r>
      </w:hyperlink>
    </w:p>
    <w:p w14:paraId="4A0678FE" w14:textId="460841D6" w:rsidR="006F7BC4" w:rsidRDefault="006F7BC4">
      <w:pPr>
        <w:pStyle w:val="TableofFigures"/>
        <w:rPr>
          <w:rFonts w:asciiTheme="minorHAnsi" w:eastAsiaTheme="minorEastAsia" w:hAnsiTheme="minorHAnsi" w:cstheme="minorBidi"/>
          <w:noProof/>
          <w:color w:val="auto"/>
          <w:kern w:val="2"/>
          <w:sz w:val="24"/>
          <w:szCs w:val="24"/>
          <w14:ligatures w14:val="standardContextual"/>
        </w:rPr>
      </w:pPr>
      <w:hyperlink w:anchor="_Toc189055295" w:history="1">
        <w:r w:rsidRPr="00722703">
          <w:rPr>
            <w:rStyle w:val="Hyperlink"/>
            <w:noProof/>
          </w:rPr>
          <w:t>Figure 10.  Catches of all sea cucumber species in Australian fisheries for the period 1988 to 2022 (in wet gutted weight given caveats mentioned in text) (not including Timor Sea MOU Box fishery). (MBSCF: Moreton Bay Sea Cucumber Fishery, CSF: Coral Sea Fishery, NTTF: Northern Territory Trepang Fishery, WASCF: Western Australian Sea Cucumber Fishery (converted from live weight using established conversion ratios), TSBDMF: Torres Strait Beche-de-mer Fishery, QSCF: Queensland Sea Cucumber Fishery (East Coast). Data sources: Fishery logbook data (AFMA, Qld DAF), Fishery Status Reports (ABARES, WA DPIRD, NT DITT)</w:t>
        </w:r>
        <w:r>
          <w:rPr>
            <w:noProof/>
            <w:webHidden/>
          </w:rPr>
          <w:tab/>
        </w:r>
        <w:r>
          <w:rPr>
            <w:noProof/>
            <w:webHidden/>
          </w:rPr>
          <w:fldChar w:fldCharType="begin"/>
        </w:r>
        <w:r>
          <w:rPr>
            <w:noProof/>
            <w:webHidden/>
          </w:rPr>
          <w:instrText xml:space="preserve"> PAGEREF _Toc189055295 \h </w:instrText>
        </w:r>
        <w:r>
          <w:rPr>
            <w:noProof/>
            <w:webHidden/>
          </w:rPr>
        </w:r>
        <w:r>
          <w:rPr>
            <w:noProof/>
            <w:webHidden/>
          </w:rPr>
          <w:fldChar w:fldCharType="separate"/>
        </w:r>
        <w:r w:rsidR="007B2A78">
          <w:rPr>
            <w:noProof/>
            <w:webHidden/>
          </w:rPr>
          <w:t>29</w:t>
        </w:r>
        <w:r>
          <w:rPr>
            <w:noProof/>
            <w:webHidden/>
          </w:rPr>
          <w:fldChar w:fldCharType="end"/>
        </w:r>
      </w:hyperlink>
    </w:p>
    <w:p w14:paraId="755C7765" w14:textId="3708623C" w:rsidR="006F7BC4" w:rsidRDefault="006F7BC4">
      <w:pPr>
        <w:pStyle w:val="TableofFigures"/>
        <w:rPr>
          <w:rFonts w:asciiTheme="minorHAnsi" w:eastAsiaTheme="minorEastAsia" w:hAnsiTheme="minorHAnsi" w:cstheme="minorBidi"/>
          <w:noProof/>
          <w:color w:val="auto"/>
          <w:kern w:val="2"/>
          <w:sz w:val="24"/>
          <w:szCs w:val="24"/>
          <w14:ligatures w14:val="standardContextual"/>
        </w:rPr>
      </w:pPr>
      <w:hyperlink w:anchor="_Toc189055296" w:history="1">
        <w:r w:rsidRPr="00722703">
          <w:rPr>
            <w:rStyle w:val="Hyperlink"/>
            <w:noProof/>
          </w:rPr>
          <w:t>Figure 11. The three east coast sea cucumber fisheries and areas closed to fishing (IUCN IA and II) (in red)</w:t>
        </w:r>
        <w:r>
          <w:rPr>
            <w:noProof/>
            <w:webHidden/>
          </w:rPr>
          <w:tab/>
        </w:r>
        <w:r>
          <w:rPr>
            <w:noProof/>
            <w:webHidden/>
          </w:rPr>
          <w:fldChar w:fldCharType="begin"/>
        </w:r>
        <w:r>
          <w:rPr>
            <w:noProof/>
            <w:webHidden/>
          </w:rPr>
          <w:instrText xml:space="preserve"> PAGEREF _Toc189055296 \h </w:instrText>
        </w:r>
        <w:r>
          <w:rPr>
            <w:noProof/>
            <w:webHidden/>
          </w:rPr>
        </w:r>
        <w:r>
          <w:rPr>
            <w:noProof/>
            <w:webHidden/>
          </w:rPr>
          <w:fldChar w:fldCharType="separate"/>
        </w:r>
        <w:r w:rsidR="007B2A78">
          <w:rPr>
            <w:noProof/>
            <w:webHidden/>
          </w:rPr>
          <w:t>30</w:t>
        </w:r>
        <w:r>
          <w:rPr>
            <w:noProof/>
            <w:webHidden/>
          </w:rPr>
          <w:fldChar w:fldCharType="end"/>
        </w:r>
      </w:hyperlink>
    </w:p>
    <w:p w14:paraId="775D56B3" w14:textId="33B3CE79" w:rsidR="006F7BC4" w:rsidRDefault="006F7BC4">
      <w:pPr>
        <w:pStyle w:val="TableofFigures"/>
        <w:rPr>
          <w:rFonts w:asciiTheme="minorHAnsi" w:eastAsiaTheme="minorEastAsia" w:hAnsiTheme="minorHAnsi" w:cstheme="minorBidi"/>
          <w:noProof/>
          <w:color w:val="auto"/>
          <w:kern w:val="2"/>
          <w:sz w:val="24"/>
          <w:szCs w:val="24"/>
          <w14:ligatures w14:val="standardContextual"/>
        </w:rPr>
      </w:pPr>
      <w:hyperlink w:anchor="_Toc189055297" w:history="1">
        <w:r w:rsidRPr="00722703">
          <w:rPr>
            <w:rStyle w:val="Hyperlink"/>
            <w:noProof/>
          </w:rPr>
          <w:t>Figure 12. Catches of sea cucumber species in Australian fisheries for the period 1988 to 2022 (in landed weight, wet gutted weight given caveats mentioned in text) (not including Timor Sea MOU Box fishery). Only the most important species making up to 95% of catch are shown. Up to 12 species are included in the “Other” category. Data sources: Fishery logbook data (AFMA, Qld DAF), Fishery Status Reports (ABARES, WA DPIRD, NT DITT)</w:t>
        </w:r>
        <w:r>
          <w:rPr>
            <w:noProof/>
            <w:webHidden/>
          </w:rPr>
          <w:tab/>
        </w:r>
        <w:r>
          <w:rPr>
            <w:noProof/>
            <w:webHidden/>
          </w:rPr>
          <w:fldChar w:fldCharType="begin"/>
        </w:r>
        <w:r>
          <w:rPr>
            <w:noProof/>
            <w:webHidden/>
          </w:rPr>
          <w:instrText xml:space="preserve"> PAGEREF _Toc189055297 \h </w:instrText>
        </w:r>
        <w:r>
          <w:rPr>
            <w:noProof/>
            <w:webHidden/>
          </w:rPr>
        </w:r>
        <w:r>
          <w:rPr>
            <w:noProof/>
            <w:webHidden/>
          </w:rPr>
          <w:fldChar w:fldCharType="separate"/>
        </w:r>
        <w:r w:rsidR="007B2A78">
          <w:rPr>
            <w:noProof/>
            <w:webHidden/>
          </w:rPr>
          <w:t>32</w:t>
        </w:r>
        <w:r>
          <w:rPr>
            <w:noProof/>
            <w:webHidden/>
          </w:rPr>
          <w:fldChar w:fldCharType="end"/>
        </w:r>
      </w:hyperlink>
    </w:p>
    <w:p w14:paraId="52D3F85A" w14:textId="18BA87BB" w:rsidR="006F7BC4" w:rsidRDefault="006F7BC4">
      <w:pPr>
        <w:pStyle w:val="TableofFigures"/>
        <w:rPr>
          <w:rFonts w:asciiTheme="minorHAnsi" w:eastAsiaTheme="minorEastAsia" w:hAnsiTheme="minorHAnsi" w:cstheme="minorBidi"/>
          <w:noProof/>
          <w:color w:val="auto"/>
          <w:kern w:val="2"/>
          <w:sz w:val="24"/>
          <w:szCs w:val="24"/>
          <w14:ligatures w14:val="standardContextual"/>
        </w:rPr>
      </w:pPr>
      <w:hyperlink w:anchor="_Toc189055298" w:history="1">
        <w:r w:rsidRPr="00722703">
          <w:rPr>
            <w:rStyle w:val="Hyperlink"/>
            <w:noProof/>
          </w:rPr>
          <w:t>Figure 13. Annual catch (tonnes landed wt) of Black teatfish in the four Australian fisheries that have reported catch since 1996. QCSF and CSF data is in financial years, with reported year being end year.</w:t>
        </w:r>
        <w:r>
          <w:rPr>
            <w:noProof/>
            <w:webHidden/>
          </w:rPr>
          <w:tab/>
        </w:r>
        <w:r>
          <w:rPr>
            <w:noProof/>
            <w:webHidden/>
          </w:rPr>
          <w:fldChar w:fldCharType="begin"/>
        </w:r>
        <w:r>
          <w:rPr>
            <w:noProof/>
            <w:webHidden/>
          </w:rPr>
          <w:instrText xml:space="preserve"> PAGEREF _Toc189055298 \h </w:instrText>
        </w:r>
        <w:r>
          <w:rPr>
            <w:noProof/>
            <w:webHidden/>
          </w:rPr>
        </w:r>
        <w:r>
          <w:rPr>
            <w:noProof/>
            <w:webHidden/>
          </w:rPr>
          <w:fldChar w:fldCharType="separate"/>
        </w:r>
        <w:r w:rsidR="007B2A78">
          <w:rPr>
            <w:noProof/>
            <w:webHidden/>
          </w:rPr>
          <w:t>33</w:t>
        </w:r>
        <w:r>
          <w:rPr>
            <w:noProof/>
            <w:webHidden/>
          </w:rPr>
          <w:fldChar w:fldCharType="end"/>
        </w:r>
      </w:hyperlink>
    </w:p>
    <w:p w14:paraId="28EB811E" w14:textId="602EA2C7" w:rsidR="006F7BC4" w:rsidRDefault="006F7BC4">
      <w:pPr>
        <w:pStyle w:val="TableofFigures"/>
        <w:rPr>
          <w:rFonts w:asciiTheme="minorHAnsi" w:eastAsiaTheme="minorEastAsia" w:hAnsiTheme="minorHAnsi" w:cstheme="minorBidi"/>
          <w:noProof/>
          <w:color w:val="auto"/>
          <w:kern w:val="2"/>
          <w:sz w:val="24"/>
          <w:szCs w:val="24"/>
          <w14:ligatures w14:val="standardContextual"/>
        </w:rPr>
      </w:pPr>
      <w:hyperlink w:anchor="_Toc189055299" w:history="1">
        <w:r w:rsidRPr="00722703">
          <w:rPr>
            <w:rStyle w:val="Hyperlink"/>
            <w:noProof/>
          </w:rPr>
          <w:t>Figure 14. Annual catch (tonnes landed wt) of White teatfish in the three Australian fisheries that have reported catch since 1996. CSF and QSCF data is in financial years, with reported year being end year.</w:t>
        </w:r>
        <w:r>
          <w:rPr>
            <w:noProof/>
            <w:webHidden/>
          </w:rPr>
          <w:tab/>
        </w:r>
        <w:r>
          <w:rPr>
            <w:noProof/>
            <w:webHidden/>
          </w:rPr>
          <w:fldChar w:fldCharType="begin"/>
        </w:r>
        <w:r>
          <w:rPr>
            <w:noProof/>
            <w:webHidden/>
          </w:rPr>
          <w:instrText xml:space="preserve"> PAGEREF _Toc189055299 \h </w:instrText>
        </w:r>
        <w:r>
          <w:rPr>
            <w:noProof/>
            <w:webHidden/>
          </w:rPr>
        </w:r>
        <w:r>
          <w:rPr>
            <w:noProof/>
            <w:webHidden/>
          </w:rPr>
          <w:fldChar w:fldCharType="separate"/>
        </w:r>
        <w:r w:rsidR="007B2A78">
          <w:rPr>
            <w:noProof/>
            <w:webHidden/>
          </w:rPr>
          <w:t>33</w:t>
        </w:r>
        <w:r>
          <w:rPr>
            <w:noProof/>
            <w:webHidden/>
          </w:rPr>
          <w:fldChar w:fldCharType="end"/>
        </w:r>
      </w:hyperlink>
    </w:p>
    <w:p w14:paraId="6DC52F5E" w14:textId="20824A51" w:rsidR="006F7BC4" w:rsidRDefault="006F7BC4">
      <w:pPr>
        <w:pStyle w:val="TableofFigures"/>
        <w:rPr>
          <w:rFonts w:asciiTheme="minorHAnsi" w:eastAsiaTheme="minorEastAsia" w:hAnsiTheme="minorHAnsi" w:cstheme="minorBidi"/>
          <w:noProof/>
          <w:color w:val="auto"/>
          <w:kern w:val="2"/>
          <w:sz w:val="24"/>
          <w:szCs w:val="24"/>
          <w14:ligatures w14:val="standardContextual"/>
        </w:rPr>
      </w:pPr>
      <w:hyperlink w:anchor="_Toc189055300" w:history="1">
        <w:r w:rsidRPr="00722703">
          <w:rPr>
            <w:rStyle w:val="Hyperlink"/>
            <w:noProof/>
          </w:rPr>
          <w:t>Figure 15. Location of sightings and apprehensions of Vietnamese based illegal fishing vessels (blue boats) for the period March 2016 to February 2017 (data supplied by AFMA).</w:t>
        </w:r>
        <w:r>
          <w:rPr>
            <w:noProof/>
            <w:webHidden/>
          </w:rPr>
          <w:tab/>
        </w:r>
        <w:r>
          <w:rPr>
            <w:noProof/>
            <w:webHidden/>
          </w:rPr>
          <w:fldChar w:fldCharType="begin"/>
        </w:r>
        <w:r>
          <w:rPr>
            <w:noProof/>
            <w:webHidden/>
          </w:rPr>
          <w:instrText xml:space="preserve"> PAGEREF _Toc189055300 \h </w:instrText>
        </w:r>
        <w:r>
          <w:rPr>
            <w:noProof/>
            <w:webHidden/>
          </w:rPr>
        </w:r>
        <w:r>
          <w:rPr>
            <w:noProof/>
            <w:webHidden/>
          </w:rPr>
          <w:fldChar w:fldCharType="separate"/>
        </w:r>
        <w:r w:rsidR="007B2A78">
          <w:rPr>
            <w:noProof/>
            <w:webHidden/>
          </w:rPr>
          <w:t>35</w:t>
        </w:r>
        <w:r>
          <w:rPr>
            <w:noProof/>
            <w:webHidden/>
          </w:rPr>
          <w:fldChar w:fldCharType="end"/>
        </w:r>
      </w:hyperlink>
    </w:p>
    <w:p w14:paraId="08C26959" w14:textId="40B71053" w:rsidR="005357EB" w:rsidRDefault="00270A2A" w:rsidP="005357EB">
      <w:pPr>
        <w:pStyle w:val="TableofFigures"/>
      </w:pPr>
      <w:r>
        <w:fldChar w:fldCharType="end"/>
      </w:r>
    </w:p>
    <w:p w14:paraId="5E8500C3" w14:textId="19B040A6" w:rsidR="005357EB" w:rsidRDefault="005357EB" w:rsidP="005357EB">
      <w:pPr>
        <w:pStyle w:val="ListofFiguresandTablesTOCHeading"/>
      </w:pPr>
      <w:r>
        <w:t>Tables</w:t>
      </w:r>
    </w:p>
    <w:p w14:paraId="0AF52815" w14:textId="135C9FC3" w:rsidR="006F7BC4" w:rsidRDefault="005357EB">
      <w:pPr>
        <w:pStyle w:val="TableofFigures"/>
        <w:rPr>
          <w:rFonts w:asciiTheme="minorHAnsi" w:eastAsiaTheme="minorEastAsia" w:hAnsiTheme="minorHAnsi" w:cstheme="minorBidi"/>
          <w:noProof/>
          <w:color w:val="auto"/>
          <w:kern w:val="2"/>
          <w:sz w:val="24"/>
          <w:szCs w:val="24"/>
          <w14:ligatures w14:val="standardContextual"/>
        </w:rPr>
      </w:pPr>
      <w:r>
        <w:fldChar w:fldCharType="begin"/>
      </w:r>
      <w:r>
        <w:instrText xml:space="preserve"> TOC \h \z \c "Table" </w:instrText>
      </w:r>
      <w:r>
        <w:fldChar w:fldCharType="separate"/>
      </w:r>
      <w:hyperlink w:anchor="_Toc189055301" w:history="1">
        <w:r w:rsidR="006F7BC4" w:rsidRPr="00EF5A0C">
          <w:rPr>
            <w:rStyle w:val="Hyperlink"/>
            <w:noProof/>
          </w:rPr>
          <w:t>Table 1. Records of occurrence for Black teatfish and White teatfish (Additional to established records in FAO, 2024).</w:t>
        </w:r>
        <w:r w:rsidR="006F7BC4">
          <w:rPr>
            <w:noProof/>
            <w:webHidden/>
          </w:rPr>
          <w:tab/>
        </w:r>
        <w:r w:rsidR="006F7BC4">
          <w:rPr>
            <w:noProof/>
            <w:webHidden/>
          </w:rPr>
          <w:fldChar w:fldCharType="begin"/>
        </w:r>
        <w:r w:rsidR="006F7BC4">
          <w:rPr>
            <w:noProof/>
            <w:webHidden/>
          </w:rPr>
          <w:instrText xml:space="preserve"> PAGEREF _Toc189055301 \h </w:instrText>
        </w:r>
        <w:r w:rsidR="006F7BC4">
          <w:rPr>
            <w:noProof/>
            <w:webHidden/>
          </w:rPr>
        </w:r>
        <w:r w:rsidR="006F7BC4">
          <w:rPr>
            <w:noProof/>
            <w:webHidden/>
          </w:rPr>
          <w:fldChar w:fldCharType="separate"/>
        </w:r>
        <w:r w:rsidR="007B2A78">
          <w:rPr>
            <w:noProof/>
            <w:webHidden/>
          </w:rPr>
          <w:t>2</w:t>
        </w:r>
        <w:r w:rsidR="006F7BC4">
          <w:rPr>
            <w:noProof/>
            <w:webHidden/>
          </w:rPr>
          <w:fldChar w:fldCharType="end"/>
        </w:r>
      </w:hyperlink>
    </w:p>
    <w:p w14:paraId="7A0F6E24" w14:textId="67E7CE90" w:rsidR="006F7BC4" w:rsidRDefault="006F7BC4">
      <w:pPr>
        <w:pStyle w:val="TableofFigures"/>
        <w:rPr>
          <w:rFonts w:asciiTheme="minorHAnsi" w:eastAsiaTheme="minorEastAsia" w:hAnsiTheme="minorHAnsi" w:cstheme="minorBidi"/>
          <w:noProof/>
          <w:color w:val="auto"/>
          <w:kern w:val="2"/>
          <w:sz w:val="24"/>
          <w:szCs w:val="24"/>
          <w14:ligatures w14:val="standardContextual"/>
        </w:rPr>
      </w:pPr>
      <w:hyperlink w:anchor="_Toc189055302" w:history="1">
        <w:r w:rsidRPr="00EF5A0C">
          <w:rPr>
            <w:rStyle w:val="Hyperlink"/>
            <w:noProof/>
          </w:rPr>
          <w:t>Table 2. Stock structure characterisations, and implications for assessment for different forms of metapopulation for Marine Stewardship Council (MSC) outcome assessments (PRI is Point of Recruitment Impairment – analogous to BLim in most Harvest Strategies) (MSC, 2022; Table G2)</w:t>
        </w:r>
        <w:r>
          <w:rPr>
            <w:noProof/>
            <w:webHidden/>
          </w:rPr>
          <w:tab/>
        </w:r>
        <w:r>
          <w:rPr>
            <w:noProof/>
            <w:webHidden/>
          </w:rPr>
          <w:fldChar w:fldCharType="begin"/>
        </w:r>
        <w:r>
          <w:rPr>
            <w:noProof/>
            <w:webHidden/>
          </w:rPr>
          <w:instrText xml:space="preserve"> PAGEREF _Toc189055302 \h </w:instrText>
        </w:r>
        <w:r>
          <w:rPr>
            <w:noProof/>
            <w:webHidden/>
          </w:rPr>
        </w:r>
        <w:r>
          <w:rPr>
            <w:noProof/>
            <w:webHidden/>
          </w:rPr>
          <w:fldChar w:fldCharType="separate"/>
        </w:r>
        <w:r w:rsidR="007B2A78">
          <w:rPr>
            <w:noProof/>
            <w:webHidden/>
          </w:rPr>
          <w:t>8</w:t>
        </w:r>
        <w:r>
          <w:rPr>
            <w:noProof/>
            <w:webHidden/>
          </w:rPr>
          <w:fldChar w:fldCharType="end"/>
        </w:r>
      </w:hyperlink>
    </w:p>
    <w:p w14:paraId="3D0143FA" w14:textId="7F10460A" w:rsidR="006F7BC4" w:rsidRDefault="006F7BC4">
      <w:pPr>
        <w:pStyle w:val="TableofFigures"/>
        <w:rPr>
          <w:rFonts w:asciiTheme="minorHAnsi" w:eastAsiaTheme="minorEastAsia" w:hAnsiTheme="minorHAnsi" w:cstheme="minorBidi"/>
          <w:noProof/>
          <w:color w:val="auto"/>
          <w:kern w:val="2"/>
          <w:sz w:val="24"/>
          <w:szCs w:val="24"/>
          <w14:ligatures w14:val="standardContextual"/>
        </w:rPr>
      </w:pPr>
      <w:hyperlink w:anchor="_Toc189055303" w:history="1">
        <w:r w:rsidRPr="00EF5A0C">
          <w:rPr>
            <w:rStyle w:val="Hyperlink"/>
            <w:noProof/>
          </w:rPr>
          <w:t>Table 3. Area (km</w:t>
        </w:r>
        <w:r w:rsidRPr="00EF5A0C">
          <w:rPr>
            <w:rStyle w:val="Hyperlink"/>
            <w:noProof/>
            <w:vertAlign w:val="superscript"/>
          </w:rPr>
          <w:t>2</w:t>
        </w:r>
        <w:r w:rsidRPr="00EF5A0C">
          <w:rPr>
            <w:rStyle w:val="Hyperlink"/>
            <w:noProof/>
          </w:rPr>
          <w:t>) of each of the three east coast fisheries that target teatfish species, including the area of shallow (&lt;20 m deep) and deep (&gt;20 m deep) reef habitat, and closed areas in each fishery.</w:t>
        </w:r>
        <w:r>
          <w:rPr>
            <w:noProof/>
            <w:webHidden/>
          </w:rPr>
          <w:tab/>
        </w:r>
        <w:r>
          <w:rPr>
            <w:noProof/>
            <w:webHidden/>
          </w:rPr>
          <w:fldChar w:fldCharType="begin"/>
        </w:r>
        <w:r>
          <w:rPr>
            <w:noProof/>
            <w:webHidden/>
          </w:rPr>
          <w:instrText xml:space="preserve"> PAGEREF _Toc189055303 \h </w:instrText>
        </w:r>
        <w:r>
          <w:rPr>
            <w:noProof/>
            <w:webHidden/>
          </w:rPr>
        </w:r>
        <w:r>
          <w:rPr>
            <w:noProof/>
            <w:webHidden/>
          </w:rPr>
          <w:fldChar w:fldCharType="separate"/>
        </w:r>
        <w:r w:rsidR="007B2A78">
          <w:rPr>
            <w:noProof/>
            <w:webHidden/>
          </w:rPr>
          <w:t>30</w:t>
        </w:r>
        <w:r>
          <w:rPr>
            <w:noProof/>
            <w:webHidden/>
          </w:rPr>
          <w:fldChar w:fldCharType="end"/>
        </w:r>
      </w:hyperlink>
    </w:p>
    <w:p w14:paraId="7499B30C" w14:textId="1907ADC0" w:rsidR="006F7BC4" w:rsidRDefault="006F7BC4">
      <w:pPr>
        <w:pStyle w:val="TableofFigures"/>
        <w:rPr>
          <w:rFonts w:asciiTheme="minorHAnsi" w:eastAsiaTheme="minorEastAsia" w:hAnsiTheme="minorHAnsi" w:cstheme="minorBidi"/>
          <w:noProof/>
          <w:color w:val="auto"/>
          <w:kern w:val="2"/>
          <w:sz w:val="24"/>
          <w:szCs w:val="24"/>
          <w14:ligatures w14:val="standardContextual"/>
        </w:rPr>
      </w:pPr>
      <w:hyperlink w:anchor="_Toc189055304" w:history="1">
        <w:r w:rsidRPr="00EF5A0C">
          <w:rPr>
            <w:rStyle w:val="Hyperlink"/>
            <w:noProof/>
          </w:rPr>
          <w:t>Table 4. Fishery product forms for fishery catch reporting in Australian sea cucumbers fisheries.</w:t>
        </w:r>
        <w:r>
          <w:rPr>
            <w:noProof/>
            <w:webHidden/>
          </w:rPr>
          <w:tab/>
        </w:r>
        <w:r>
          <w:rPr>
            <w:noProof/>
            <w:webHidden/>
          </w:rPr>
          <w:fldChar w:fldCharType="begin"/>
        </w:r>
        <w:r>
          <w:rPr>
            <w:noProof/>
            <w:webHidden/>
          </w:rPr>
          <w:instrText xml:space="preserve"> PAGEREF _Toc189055304 \h </w:instrText>
        </w:r>
        <w:r>
          <w:rPr>
            <w:noProof/>
            <w:webHidden/>
          </w:rPr>
        </w:r>
        <w:r>
          <w:rPr>
            <w:noProof/>
            <w:webHidden/>
          </w:rPr>
          <w:fldChar w:fldCharType="separate"/>
        </w:r>
        <w:r w:rsidR="007B2A78">
          <w:rPr>
            <w:noProof/>
            <w:webHidden/>
          </w:rPr>
          <w:t>31</w:t>
        </w:r>
        <w:r>
          <w:rPr>
            <w:noProof/>
            <w:webHidden/>
          </w:rPr>
          <w:fldChar w:fldCharType="end"/>
        </w:r>
      </w:hyperlink>
    </w:p>
    <w:p w14:paraId="4776BC69" w14:textId="056C31CA" w:rsidR="006F7BC4" w:rsidRDefault="006F7BC4">
      <w:pPr>
        <w:pStyle w:val="TableofFigures"/>
        <w:rPr>
          <w:rFonts w:asciiTheme="minorHAnsi" w:eastAsiaTheme="minorEastAsia" w:hAnsiTheme="minorHAnsi" w:cstheme="minorBidi"/>
          <w:noProof/>
          <w:color w:val="auto"/>
          <w:kern w:val="2"/>
          <w:sz w:val="24"/>
          <w:szCs w:val="24"/>
          <w14:ligatures w14:val="standardContextual"/>
        </w:rPr>
      </w:pPr>
      <w:hyperlink w:anchor="_Toc189055305" w:history="1">
        <w:r w:rsidRPr="00EF5A0C">
          <w:rPr>
            <w:rStyle w:val="Hyperlink"/>
            <w:noProof/>
          </w:rPr>
          <w:t>Table 5. Australian fisheries with recorded teatfish species catch.</w:t>
        </w:r>
        <w:r>
          <w:rPr>
            <w:noProof/>
            <w:webHidden/>
          </w:rPr>
          <w:tab/>
        </w:r>
        <w:r>
          <w:rPr>
            <w:noProof/>
            <w:webHidden/>
          </w:rPr>
          <w:fldChar w:fldCharType="begin"/>
        </w:r>
        <w:r>
          <w:rPr>
            <w:noProof/>
            <w:webHidden/>
          </w:rPr>
          <w:instrText xml:space="preserve"> PAGEREF _Toc189055305 \h </w:instrText>
        </w:r>
        <w:r>
          <w:rPr>
            <w:noProof/>
            <w:webHidden/>
          </w:rPr>
        </w:r>
        <w:r>
          <w:rPr>
            <w:noProof/>
            <w:webHidden/>
          </w:rPr>
          <w:fldChar w:fldCharType="separate"/>
        </w:r>
        <w:r w:rsidR="007B2A78">
          <w:rPr>
            <w:noProof/>
            <w:webHidden/>
          </w:rPr>
          <w:t>32</w:t>
        </w:r>
        <w:r>
          <w:rPr>
            <w:noProof/>
            <w:webHidden/>
          </w:rPr>
          <w:fldChar w:fldCharType="end"/>
        </w:r>
      </w:hyperlink>
    </w:p>
    <w:p w14:paraId="3126D519" w14:textId="0CBEEED4" w:rsidR="006F7BC4" w:rsidRDefault="006F7BC4">
      <w:pPr>
        <w:pStyle w:val="TableofFigures"/>
        <w:rPr>
          <w:rFonts w:asciiTheme="minorHAnsi" w:eastAsiaTheme="minorEastAsia" w:hAnsiTheme="minorHAnsi" w:cstheme="minorBidi"/>
          <w:noProof/>
          <w:color w:val="auto"/>
          <w:kern w:val="2"/>
          <w:sz w:val="24"/>
          <w:szCs w:val="24"/>
          <w14:ligatures w14:val="standardContextual"/>
        </w:rPr>
      </w:pPr>
      <w:hyperlink w:anchor="_Toc189055306" w:history="1">
        <w:r w:rsidRPr="00EF5A0C">
          <w:rPr>
            <w:rStyle w:val="Hyperlink"/>
            <w:noProof/>
          </w:rPr>
          <w:t>Table 6. Conversion ratios for Black teatfish (all values are referenced from Murphy et al., 2021c and references contained within; except for notated values)</w:t>
        </w:r>
        <w:r>
          <w:rPr>
            <w:noProof/>
            <w:webHidden/>
          </w:rPr>
          <w:tab/>
        </w:r>
        <w:r>
          <w:rPr>
            <w:noProof/>
            <w:webHidden/>
          </w:rPr>
          <w:fldChar w:fldCharType="begin"/>
        </w:r>
        <w:r>
          <w:rPr>
            <w:noProof/>
            <w:webHidden/>
          </w:rPr>
          <w:instrText xml:space="preserve"> PAGEREF _Toc189055306 \h </w:instrText>
        </w:r>
        <w:r>
          <w:rPr>
            <w:noProof/>
            <w:webHidden/>
          </w:rPr>
        </w:r>
        <w:r>
          <w:rPr>
            <w:noProof/>
            <w:webHidden/>
          </w:rPr>
          <w:fldChar w:fldCharType="separate"/>
        </w:r>
        <w:r w:rsidR="007B2A78">
          <w:rPr>
            <w:noProof/>
            <w:webHidden/>
          </w:rPr>
          <w:t>36</w:t>
        </w:r>
        <w:r>
          <w:rPr>
            <w:noProof/>
            <w:webHidden/>
          </w:rPr>
          <w:fldChar w:fldCharType="end"/>
        </w:r>
      </w:hyperlink>
    </w:p>
    <w:p w14:paraId="39C9E877" w14:textId="1EEF7B5A" w:rsidR="006F7BC4" w:rsidRDefault="006F7BC4">
      <w:pPr>
        <w:pStyle w:val="TableofFigures"/>
        <w:rPr>
          <w:rFonts w:asciiTheme="minorHAnsi" w:eastAsiaTheme="minorEastAsia" w:hAnsiTheme="minorHAnsi" w:cstheme="minorBidi"/>
          <w:noProof/>
          <w:color w:val="auto"/>
          <w:kern w:val="2"/>
          <w:sz w:val="24"/>
          <w:szCs w:val="24"/>
          <w14:ligatures w14:val="standardContextual"/>
        </w:rPr>
      </w:pPr>
      <w:hyperlink w:anchor="_Toc189055307" w:history="1">
        <w:r w:rsidRPr="00EF5A0C">
          <w:rPr>
            <w:rStyle w:val="Hyperlink"/>
            <w:noProof/>
          </w:rPr>
          <w:t>Table 7. Conversion ratios for White teatfish (all values are referenced from Murphy et al., 2021c and references contained within; except for notated values)</w:t>
        </w:r>
        <w:r>
          <w:rPr>
            <w:noProof/>
            <w:webHidden/>
          </w:rPr>
          <w:tab/>
        </w:r>
        <w:r>
          <w:rPr>
            <w:noProof/>
            <w:webHidden/>
          </w:rPr>
          <w:fldChar w:fldCharType="begin"/>
        </w:r>
        <w:r>
          <w:rPr>
            <w:noProof/>
            <w:webHidden/>
          </w:rPr>
          <w:instrText xml:space="preserve"> PAGEREF _Toc189055307 \h </w:instrText>
        </w:r>
        <w:r>
          <w:rPr>
            <w:noProof/>
            <w:webHidden/>
          </w:rPr>
        </w:r>
        <w:r>
          <w:rPr>
            <w:noProof/>
            <w:webHidden/>
          </w:rPr>
          <w:fldChar w:fldCharType="separate"/>
        </w:r>
        <w:r w:rsidR="007B2A78">
          <w:rPr>
            <w:noProof/>
            <w:webHidden/>
          </w:rPr>
          <w:t>36</w:t>
        </w:r>
        <w:r>
          <w:rPr>
            <w:noProof/>
            <w:webHidden/>
          </w:rPr>
          <w:fldChar w:fldCharType="end"/>
        </w:r>
      </w:hyperlink>
    </w:p>
    <w:p w14:paraId="11E7E28B" w14:textId="35287A2A" w:rsidR="006F7BC4" w:rsidRDefault="006F7BC4">
      <w:pPr>
        <w:pStyle w:val="TableofFigures"/>
        <w:rPr>
          <w:rFonts w:asciiTheme="minorHAnsi" w:eastAsiaTheme="minorEastAsia" w:hAnsiTheme="minorHAnsi" w:cstheme="minorBidi"/>
          <w:noProof/>
          <w:color w:val="auto"/>
          <w:kern w:val="2"/>
          <w:sz w:val="24"/>
          <w:szCs w:val="24"/>
          <w14:ligatures w14:val="standardContextual"/>
        </w:rPr>
      </w:pPr>
      <w:hyperlink w:anchor="_Toc189055308" w:history="1">
        <w:r w:rsidRPr="00EF5A0C">
          <w:rPr>
            <w:rStyle w:val="Hyperlink"/>
            <w:noProof/>
          </w:rPr>
          <w:t>Table 8. Average weight of White teatfish from QSCF Buyer Return logbook (where weight and number recorded)</w:t>
        </w:r>
        <w:r>
          <w:rPr>
            <w:noProof/>
            <w:webHidden/>
          </w:rPr>
          <w:tab/>
        </w:r>
        <w:r>
          <w:rPr>
            <w:noProof/>
            <w:webHidden/>
          </w:rPr>
          <w:fldChar w:fldCharType="begin"/>
        </w:r>
        <w:r>
          <w:rPr>
            <w:noProof/>
            <w:webHidden/>
          </w:rPr>
          <w:instrText xml:space="preserve"> PAGEREF _Toc189055308 \h </w:instrText>
        </w:r>
        <w:r>
          <w:rPr>
            <w:noProof/>
            <w:webHidden/>
          </w:rPr>
        </w:r>
        <w:r>
          <w:rPr>
            <w:noProof/>
            <w:webHidden/>
          </w:rPr>
          <w:fldChar w:fldCharType="separate"/>
        </w:r>
        <w:r w:rsidR="007B2A78">
          <w:rPr>
            <w:noProof/>
            <w:webHidden/>
          </w:rPr>
          <w:t>36</w:t>
        </w:r>
        <w:r>
          <w:rPr>
            <w:noProof/>
            <w:webHidden/>
          </w:rPr>
          <w:fldChar w:fldCharType="end"/>
        </w:r>
      </w:hyperlink>
    </w:p>
    <w:p w14:paraId="07EAA2A6" w14:textId="6B37C474" w:rsidR="006F7BC4" w:rsidRDefault="006F7BC4">
      <w:pPr>
        <w:pStyle w:val="TableofFigures"/>
        <w:rPr>
          <w:rFonts w:asciiTheme="minorHAnsi" w:eastAsiaTheme="minorEastAsia" w:hAnsiTheme="minorHAnsi" w:cstheme="minorBidi"/>
          <w:noProof/>
          <w:color w:val="auto"/>
          <w:kern w:val="2"/>
          <w:sz w:val="24"/>
          <w:szCs w:val="24"/>
          <w14:ligatures w14:val="standardContextual"/>
        </w:rPr>
      </w:pPr>
      <w:hyperlink w:anchor="_Toc189055309" w:history="1">
        <w:r w:rsidRPr="00EF5A0C">
          <w:rPr>
            <w:rStyle w:val="Hyperlink"/>
            <w:noProof/>
          </w:rPr>
          <w:t>Table 9. Stock estimates from surveys carried out in Australian waters for Black teatfish and White teatfish species (tonnes gutted weight)</w:t>
        </w:r>
        <w:r>
          <w:rPr>
            <w:noProof/>
            <w:webHidden/>
          </w:rPr>
          <w:tab/>
        </w:r>
        <w:r>
          <w:rPr>
            <w:noProof/>
            <w:webHidden/>
          </w:rPr>
          <w:fldChar w:fldCharType="begin"/>
        </w:r>
        <w:r>
          <w:rPr>
            <w:noProof/>
            <w:webHidden/>
          </w:rPr>
          <w:instrText xml:space="preserve"> PAGEREF _Toc189055309 \h </w:instrText>
        </w:r>
        <w:r>
          <w:rPr>
            <w:noProof/>
            <w:webHidden/>
          </w:rPr>
        </w:r>
        <w:r>
          <w:rPr>
            <w:noProof/>
            <w:webHidden/>
          </w:rPr>
          <w:fldChar w:fldCharType="separate"/>
        </w:r>
        <w:r w:rsidR="007B2A78">
          <w:rPr>
            <w:noProof/>
            <w:webHidden/>
          </w:rPr>
          <w:t>37</w:t>
        </w:r>
        <w:r>
          <w:rPr>
            <w:noProof/>
            <w:webHidden/>
          </w:rPr>
          <w:fldChar w:fldCharType="end"/>
        </w:r>
      </w:hyperlink>
    </w:p>
    <w:p w14:paraId="4F6E7DF7" w14:textId="0B58204F" w:rsidR="006F7BC4" w:rsidRDefault="006F7BC4">
      <w:pPr>
        <w:pStyle w:val="TableofFigures"/>
        <w:rPr>
          <w:rFonts w:asciiTheme="minorHAnsi" w:eastAsiaTheme="minorEastAsia" w:hAnsiTheme="minorHAnsi" w:cstheme="minorBidi"/>
          <w:noProof/>
          <w:color w:val="auto"/>
          <w:kern w:val="2"/>
          <w:sz w:val="24"/>
          <w:szCs w:val="24"/>
          <w14:ligatures w14:val="standardContextual"/>
        </w:rPr>
      </w:pPr>
      <w:hyperlink w:anchor="_Toc189055310" w:history="1">
        <w:r w:rsidRPr="00EF5A0C">
          <w:rPr>
            <w:rStyle w:val="Hyperlink"/>
            <w:noProof/>
          </w:rPr>
          <w:t>Table 10. Status of Prickly redfish and Amberfish in Australian sea cucumber fisheries inferred from available information. As “likely” “uncertain” or “unlikely” to be greater than B</w:t>
        </w:r>
        <w:r w:rsidRPr="00EF5A0C">
          <w:rPr>
            <w:rStyle w:val="Hyperlink"/>
            <w:i/>
            <w:iCs/>
            <w:noProof/>
          </w:rPr>
          <w:t>lim</w:t>
        </w:r>
        <w:r w:rsidRPr="00EF5A0C">
          <w:rPr>
            <w:rStyle w:val="Hyperlink"/>
            <w:noProof/>
          </w:rPr>
          <w:t xml:space="preserve"> and B</w:t>
        </w:r>
        <w:r w:rsidRPr="00EF5A0C">
          <w:rPr>
            <w:rStyle w:val="Hyperlink"/>
            <w:i/>
            <w:iCs/>
            <w:noProof/>
          </w:rPr>
          <w:t>targ</w:t>
        </w:r>
        <w:r w:rsidRPr="00EF5A0C">
          <w:rPr>
            <w:rStyle w:val="Hyperlink"/>
            <w:noProof/>
          </w:rPr>
          <w:t>.</w:t>
        </w:r>
        <w:r>
          <w:rPr>
            <w:noProof/>
            <w:webHidden/>
          </w:rPr>
          <w:tab/>
        </w:r>
        <w:r>
          <w:rPr>
            <w:noProof/>
            <w:webHidden/>
          </w:rPr>
          <w:fldChar w:fldCharType="begin"/>
        </w:r>
        <w:r>
          <w:rPr>
            <w:noProof/>
            <w:webHidden/>
          </w:rPr>
          <w:instrText xml:space="preserve"> PAGEREF _Toc189055310 \h </w:instrText>
        </w:r>
        <w:r>
          <w:rPr>
            <w:noProof/>
            <w:webHidden/>
          </w:rPr>
        </w:r>
        <w:r>
          <w:rPr>
            <w:noProof/>
            <w:webHidden/>
          </w:rPr>
          <w:fldChar w:fldCharType="separate"/>
        </w:r>
        <w:r w:rsidR="007B2A78">
          <w:rPr>
            <w:noProof/>
            <w:webHidden/>
          </w:rPr>
          <w:t>38</w:t>
        </w:r>
        <w:r>
          <w:rPr>
            <w:noProof/>
            <w:webHidden/>
          </w:rPr>
          <w:fldChar w:fldCharType="end"/>
        </w:r>
      </w:hyperlink>
    </w:p>
    <w:p w14:paraId="5CE34764" w14:textId="70AC621C" w:rsidR="006F7BC4" w:rsidRDefault="006F7BC4">
      <w:pPr>
        <w:pStyle w:val="TableofFigures"/>
        <w:rPr>
          <w:rFonts w:asciiTheme="minorHAnsi" w:eastAsiaTheme="minorEastAsia" w:hAnsiTheme="minorHAnsi" w:cstheme="minorBidi"/>
          <w:noProof/>
          <w:color w:val="auto"/>
          <w:kern w:val="2"/>
          <w:sz w:val="24"/>
          <w:szCs w:val="24"/>
          <w14:ligatures w14:val="standardContextual"/>
        </w:rPr>
      </w:pPr>
      <w:hyperlink w:anchor="_Toc189055311" w:history="1">
        <w:r w:rsidRPr="00EF5A0C">
          <w:rPr>
            <w:rStyle w:val="Hyperlink"/>
            <w:noProof/>
          </w:rPr>
          <w:t>Table 11. TACs (annual catch in tonnes per year) applied to Black teatfish and White teatfish in Australian fisheries. Weights are generally applied as wet gutted weight (see discussion in text about fishery weights).</w:t>
        </w:r>
        <w:r>
          <w:rPr>
            <w:noProof/>
            <w:webHidden/>
          </w:rPr>
          <w:tab/>
        </w:r>
        <w:r>
          <w:rPr>
            <w:noProof/>
            <w:webHidden/>
          </w:rPr>
          <w:fldChar w:fldCharType="begin"/>
        </w:r>
        <w:r>
          <w:rPr>
            <w:noProof/>
            <w:webHidden/>
          </w:rPr>
          <w:instrText xml:space="preserve"> PAGEREF _Toc189055311 \h </w:instrText>
        </w:r>
        <w:r>
          <w:rPr>
            <w:noProof/>
            <w:webHidden/>
          </w:rPr>
        </w:r>
        <w:r>
          <w:rPr>
            <w:noProof/>
            <w:webHidden/>
          </w:rPr>
          <w:fldChar w:fldCharType="separate"/>
        </w:r>
        <w:r w:rsidR="007B2A78">
          <w:rPr>
            <w:noProof/>
            <w:webHidden/>
          </w:rPr>
          <w:t>39</w:t>
        </w:r>
        <w:r>
          <w:rPr>
            <w:noProof/>
            <w:webHidden/>
          </w:rPr>
          <w:fldChar w:fldCharType="end"/>
        </w:r>
      </w:hyperlink>
    </w:p>
    <w:p w14:paraId="1636BF4B" w14:textId="562EBF6B" w:rsidR="006F7BC4" w:rsidRDefault="006F7BC4">
      <w:pPr>
        <w:pStyle w:val="TableofFigures"/>
        <w:rPr>
          <w:rFonts w:asciiTheme="minorHAnsi" w:eastAsiaTheme="minorEastAsia" w:hAnsiTheme="minorHAnsi" w:cstheme="minorBidi"/>
          <w:noProof/>
          <w:color w:val="auto"/>
          <w:kern w:val="2"/>
          <w:sz w:val="24"/>
          <w:szCs w:val="24"/>
          <w14:ligatures w14:val="standardContextual"/>
        </w:rPr>
      </w:pPr>
      <w:hyperlink w:anchor="_Toc189055312" w:history="1">
        <w:r w:rsidRPr="00EF5A0C">
          <w:rPr>
            <w:rStyle w:val="Hyperlink"/>
            <w:noProof/>
          </w:rPr>
          <w:t>Table 12.  Minimum size limits (MSL: in cm total length) applied to Black teatfish and White teatfish in Australian sea cucumber fisheries. MSL are generally applied to live animals.</w:t>
        </w:r>
        <w:r>
          <w:rPr>
            <w:noProof/>
            <w:webHidden/>
          </w:rPr>
          <w:tab/>
        </w:r>
        <w:r>
          <w:rPr>
            <w:noProof/>
            <w:webHidden/>
          </w:rPr>
          <w:fldChar w:fldCharType="begin"/>
        </w:r>
        <w:r>
          <w:rPr>
            <w:noProof/>
            <w:webHidden/>
          </w:rPr>
          <w:instrText xml:space="preserve"> PAGEREF _Toc189055312 \h </w:instrText>
        </w:r>
        <w:r>
          <w:rPr>
            <w:noProof/>
            <w:webHidden/>
          </w:rPr>
        </w:r>
        <w:r>
          <w:rPr>
            <w:noProof/>
            <w:webHidden/>
          </w:rPr>
          <w:fldChar w:fldCharType="separate"/>
        </w:r>
        <w:r w:rsidR="007B2A78">
          <w:rPr>
            <w:noProof/>
            <w:webHidden/>
          </w:rPr>
          <w:t>40</w:t>
        </w:r>
        <w:r>
          <w:rPr>
            <w:noProof/>
            <w:webHidden/>
          </w:rPr>
          <w:fldChar w:fldCharType="end"/>
        </w:r>
      </w:hyperlink>
    </w:p>
    <w:p w14:paraId="1DC417FB" w14:textId="4D554C4E" w:rsidR="00A943B2" w:rsidRPr="005871BD" w:rsidRDefault="005357EB" w:rsidP="003E61F2">
      <w:pPr>
        <w:pStyle w:val="TableofFigures"/>
      </w:pPr>
      <w:r>
        <w:fldChar w:fldCharType="end"/>
      </w:r>
    </w:p>
    <w:p w14:paraId="199F35C5" w14:textId="77777777" w:rsidR="00DF6834" w:rsidRDefault="00DF6834" w:rsidP="00DF6834">
      <w:pPr>
        <w:pStyle w:val="Heading1notnumbered"/>
      </w:pPr>
      <w:bookmarkStart w:id="1" w:name="_Toc315694429"/>
      <w:bookmarkStart w:id="2" w:name="_Toc137455432"/>
      <w:bookmarkStart w:id="3" w:name="_Toc315694430"/>
      <w:bookmarkStart w:id="4" w:name="_Toc189055261"/>
      <w:r>
        <w:lastRenderedPageBreak/>
        <w:t>Acronyms</w:t>
      </w:r>
      <w:bookmarkEnd w:id="1"/>
      <w:bookmarkEnd w:id="2"/>
      <w:bookmarkEnd w:id="4"/>
    </w:p>
    <w:tbl>
      <w:tblPr>
        <w:tblStyle w:val="TableGrid"/>
        <w:tblW w:w="0" w:type="auto"/>
        <w:tblLook w:val="04A0" w:firstRow="1" w:lastRow="0" w:firstColumn="1" w:lastColumn="0" w:noHBand="0" w:noVBand="1"/>
      </w:tblPr>
      <w:tblGrid>
        <w:gridCol w:w="1413"/>
        <w:gridCol w:w="7603"/>
      </w:tblGrid>
      <w:tr w:rsidR="003E61F2" w:rsidRPr="00F20784" w14:paraId="6A78035B" w14:textId="77777777" w:rsidTr="003E61F2">
        <w:tc>
          <w:tcPr>
            <w:tcW w:w="1413" w:type="dxa"/>
          </w:tcPr>
          <w:p w14:paraId="6014F0CD" w14:textId="77777777" w:rsidR="003E61F2" w:rsidRPr="00F20784" w:rsidRDefault="003E61F2" w:rsidP="00067FCA">
            <w:pPr>
              <w:spacing w:after="40"/>
            </w:pPr>
            <w:bookmarkStart w:id="5" w:name="_Hlk151127540"/>
            <w:bookmarkEnd w:id="3"/>
            <w:r w:rsidRPr="000E5BFB">
              <w:t>ABARES</w:t>
            </w:r>
          </w:p>
        </w:tc>
        <w:tc>
          <w:tcPr>
            <w:tcW w:w="7603" w:type="dxa"/>
          </w:tcPr>
          <w:p w14:paraId="1E66D7F8" w14:textId="77777777" w:rsidR="003E61F2" w:rsidRPr="00F20784" w:rsidRDefault="003E61F2" w:rsidP="00067FCA">
            <w:pPr>
              <w:spacing w:after="40"/>
            </w:pPr>
            <w:r w:rsidRPr="00133136">
              <w:t>Australian Bureau of Agricultural and Resource Economics and Sciences</w:t>
            </w:r>
          </w:p>
        </w:tc>
      </w:tr>
      <w:tr w:rsidR="003E61F2" w:rsidRPr="00F20784" w14:paraId="2FB26880" w14:textId="77777777" w:rsidTr="00435054">
        <w:tc>
          <w:tcPr>
            <w:tcW w:w="1413" w:type="dxa"/>
          </w:tcPr>
          <w:p w14:paraId="7F4DE44E" w14:textId="77777777" w:rsidR="003E61F2" w:rsidRDefault="003E61F2" w:rsidP="00067FCA">
            <w:pPr>
              <w:spacing w:after="40"/>
            </w:pPr>
            <w:r w:rsidRPr="00F20784">
              <w:t>AFMA</w:t>
            </w:r>
          </w:p>
        </w:tc>
        <w:tc>
          <w:tcPr>
            <w:tcW w:w="7603" w:type="dxa"/>
          </w:tcPr>
          <w:p w14:paraId="6A3C8B21" w14:textId="77777777" w:rsidR="003E61F2" w:rsidRDefault="003E61F2" w:rsidP="00067FCA">
            <w:pPr>
              <w:spacing w:after="40"/>
            </w:pPr>
            <w:r w:rsidRPr="00F20784">
              <w:t>Australian Fisheries Management Authority</w:t>
            </w:r>
          </w:p>
        </w:tc>
      </w:tr>
      <w:tr w:rsidR="003E61F2" w:rsidRPr="00F20784" w14:paraId="6BC3A5EB" w14:textId="77777777" w:rsidTr="003E61F2">
        <w:tc>
          <w:tcPr>
            <w:tcW w:w="1413" w:type="dxa"/>
          </w:tcPr>
          <w:p w14:paraId="4718E639" w14:textId="77777777" w:rsidR="003E61F2" w:rsidRPr="000E5BFB" w:rsidRDefault="003E61F2" w:rsidP="00067FCA">
            <w:pPr>
              <w:spacing w:after="40"/>
            </w:pPr>
            <w:r>
              <w:t>B</w:t>
            </w:r>
            <w:r w:rsidRPr="000B4EE5">
              <w:rPr>
                <w:vertAlign w:val="subscript"/>
              </w:rPr>
              <w:t>0</w:t>
            </w:r>
          </w:p>
        </w:tc>
        <w:tc>
          <w:tcPr>
            <w:tcW w:w="7603" w:type="dxa"/>
          </w:tcPr>
          <w:p w14:paraId="2144E9A2" w14:textId="77777777" w:rsidR="003E61F2" w:rsidRPr="00133136" w:rsidRDefault="003E61F2" w:rsidP="00067FCA">
            <w:pPr>
              <w:spacing w:after="40"/>
            </w:pPr>
            <w:r>
              <w:t>Virgin biomass</w:t>
            </w:r>
          </w:p>
        </w:tc>
      </w:tr>
      <w:tr w:rsidR="003E61F2" w:rsidRPr="00F20784" w14:paraId="366993C8" w14:textId="77777777" w:rsidTr="003E61F2">
        <w:tc>
          <w:tcPr>
            <w:tcW w:w="1413" w:type="dxa"/>
          </w:tcPr>
          <w:p w14:paraId="687B0A87" w14:textId="29EB9F82" w:rsidR="003E61F2" w:rsidRPr="00F20784" w:rsidRDefault="000B4EE5" w:rsidP="00067FCA">
            <w:pPr>
              <w:spacing w:after="40"/>
            </w:pPr>
            <w:r>
              <w:t>B</w:t>
            </w:r>
            <w:r w:rsidRPr="00290642">
              <w:rPr>
                <w:i/>
                <w:iCs/>
              </w:rPr>
              <w:t>lim</w:t>
            </w:r>
          </w:p>
        </w:tc>
        <w:tc>
          <w:tcPr>
            <w:tcW w:w="7603" w:type="dxa"/>
          </w:tcPr>
          <w:p w14:paraId="534FC5F1" w14:textId="77777777" w:rsidR="003E61F2" w:rsidRPr="00F20784" w:rsidRDefault="003E61F2" w:rsidP="00067FCA">
            <w:pPr>
              <w:spacing w:after="40"/>
            </w:pPr>
            <w:r>
              <w:t xml:space="preserve">The biomass level </w:t>
            </w:r>
            <w:r w:rsidRPr="007532DB">
              <w:t>beyond which the risk to the stock is regarded as unacceptably high</w:t>
            </w:r>
            <w:r>
              <w:t xml:space="preserve"> (often related to the PRI - Point of Recruitment Impairment)</w:t>
            </w:r>
            <w:r w:rsidRPr="007532DB">
              <w:t>.</w:t>
            </w:r>
          </w:p>
        </w:tc>
      </w:tr>
      <w:tr w:rsidR="003E61F2" w:rsidRPr="00F20784" w14:paraId="1E6EB5C5" w14:textId="77777777" w:rsidTr="003E61F2">
        <w:tc>
          <w:tcPr>
            <w:tcW w:w="1413" w:type="dxa"/>
          </w:tcPr>
          <w:p w14:paraId="28FDE5EC" w14:textId="77777777" w:rsidR="003E61F2" w:rsidRDefault="003E61F2" w:rsidP="00067FCA">
            <w:pPr>
              <w:spacing w:after="40"/>
            </w:pPr>
            <w:r w:rsidRPr="007532DB">
              <w:t>B</w:t>
            </w:r>
            <w:r w:rsidRPr="003C360D">
              <w:t>MEY</w:t>
            </w:r>
          </w:p>
        </w:tc>
        <w:tc>
          <w:tcPr>
            <w:tcW w:w="7603" w:type="dxa"/>
          </w:tcPr>
          <w:p w14:paraId="2F6A5C96" w14:textId="77777777" w:rsidR="003E61F2" w:rsidRDefault="003E61F2" w:rsidP="00067FCA">
            <w:pPr>
              <w:spacing w:after="40"/>
            </w:pPr>
            <w:r w:rsidRPr="007532DB">
              <w:t>Biomass which corresponds to maximum economic yield.</w:t>
            </w:r>
          </w:p>
        </w:tc>
      </w:tr>
      <w:tr w:rsidR="003E61F2" w:rsidRPr="00F20784" w14:paraId="25A038AC" w14:textId="77777777" w:rsidTr="003E61F2">
        <w:tc>
          <w:tcPr>
            <w:tcW w:w="1413" w:type="dxa"/>
          </w:tcPr>
          <w:p w14:paraId="184000CA" w14:textId="77777777" w:rsidR="003E61F2" w:rsidRPr="007532DB" w:rsidRDefault="003E61F2" w:rsidP="00067FCA">
            <w:pPr>
              <w:spacing w:after="40"/>
            </w:pPr>
            <w:r>
              <w:t>B</w:t>
            </w:r>
            <w:r w:rsidRPr="000B4EE5">
              <w:rPr>
                <w:i/>
                <w:iCs/>
              </w:rPr>
              <w:t>targ</w:t>
            </w:r>
          </w:p>
        </w:tc>
        <w:tc>
          <w:tcPr>
            <w:tcW w:w="7603" w:type="dxa"/>
          </w:tcPr>
          <w:p w14:paraId="6A6AFE07" w14:textId="596B3D68" w:rsidR="003E61F2" w:rsidRPr="007532DB" w:rsidRDefault="003E61F2" w:rsidP="00067FCA">
            <w:pPr>
              <w:spacing w:after="40"/>
            </w:pPr>
            <w:r>
              <w:t>T</w:t>
            </w:r>
            <w:r w:rsidRPr="007532DB">
              <w:t>he desired status of stocks</w:t>
            </w:r>
            <w:r>
              <w:t xml:space="preserve"> (often at about B</w:t>
            </w:r>
            <w:r w:rsidRPr="003C360D">
              <w:t>MEY</w:t>
            </w:r>
            <w:r>
              <w:t>)</w:t>
            </w:r>
          </w:p>
        </w:tc>
      </w:tr>
      <w:tr w:rsidR="003E61F2" w:rsidRPr="00F20784" w14:paraId="2E2615CF" w14:textId="77777777" w:rsidTr="00435054">
        <w:tc>
          <w:tcPr>
            <w:tcW w:w="1413" w:type="dxa"/>
          </w:tcPr>
          <w:p w14:paraId="451A2098" w14:textId="77777777" w:rsidR="003E61F2" w:rsidRDefault="003E61F2" w:rsidP="00067FCA">
            <w:pPr>
              <w:spacing w:after="40"/>
            </w:pPr>
            <w:r w:rsidRPr="00F20784">
              <w:t>CITES</w:t>
            </w:r>
          </w:p>
        </w:tc>
        <w:tc>
          <w:tcPr>
            <w:tcW w:w="7603" w:type="dxa"/>
          </w:tcPr>
          <w:p w14:paraId="16614F26" w14:textId="77777777" w:rsidR="003E61F2" w:rsidRDefault="003E61F2" w:rsidP="00067FCA">
            <w:pPr>
              <w:spacing w:after="40"/>
            </w:pPr>
            <w:r w:rsidRPr="00F20784">
              <w:t>Convention on International Trade in Endangered Species of Wild Fauna and Flora</w:t>
            </w:r>
          </w:p>
        </w:tc>
      </w:tr>
      <w:tr w:rsidR="003E61F2" w:rsidRPr="00F20784" w14:paraId="1B7FF867" w14:textId="77777777" w:rsidTr="00435054">
        <w:tc>
          <w:tcPr>
            <w:tcW w:w="1413" w:type="dxa"/>
          </w:tcPr>
          <w:p w14:paraId="15234D34" w14:textId="77777777" w:rsidR="003E61F2" w:rsidRDefault="003E61F2" w:rsidP="00067FCA">
            <w:pPr>
              <w:spacing w:after="40"/>
            </w:pPr>
            <w:r w:rsidRPr="00F20784">
              <w:t>CSCMR</w:t>
            </w:r>
          </w:p>
        </w:tc>
        <w:tc>
          <w:tcPr>
            <w:tcW w:w="7603" w:type="dxa"/>
          </w:tcPr>
          <w:p w14:paraId="06558FF2" w14:textId="77777777" w:rsidR="003E61F2" w:rsidRDefault="003E61F2" w:rsidP="00067FCA">
            <w:pPr>
              <w:spacing w:after="40"/>
            </w:pPr>
            <w:r w:rsidRPr="00F20784">
              <w:t xml:space="preserve">Coral Sea Commonwealth Marine Reserve </w:t>
            </w:r>
          </w:p>
        </w:tc>
      </w:tr>
      <w:tr w:rsidR="003E61F2" w:rsidRPr="00F20784" w14:paraId="54B021EA" w14:textId="77777777" w:rsidTr="003E61F2">
        <w:tc>
          <w:tcPr>
            <w:tcW w:w="1413" w:type="dxa"/>
          </w:tcPr>
          <w:p w14:paraId="59795E00" w14:textId="77777777" w:rsidR="003E61F2" w:rsidRPr="00BA560E" w:rsidRDefault="003E61F2" w:rsidP="00067FCA">
            <w:pPr>
              <w:spacing w:after="40"/>
            </w:pPr>
            <w:r w:rsidRPr="00BA560E">
              <w:t>CSF</w:t>
            </w:r>
          </w:p>
        </w:tc>
        <w:tc>
          <w:tcPr>
            <w:tcW w:w="7603" w:type="dxa"/>
          </w:tcPr>
          <w:p w14:paraId="20180623" w14:textId="77777777" w:rsidR="003E61F2" w:rsidRDefault="003E61F2" w:rsidP="00067FCA">
            <w:pPr>
              <w:spacing w:after="40"/>
            </w:pPr>
            <w:r w:rsidRPr="00BA560E">
              <w:t>Coral Sea Fishery</w:t>
            </w:r>
          </w:p>
        </w:tc>
      </w:tr>
      <w:tr w:rsidR="003E61F2" w:rsidRPr="00F20784" w14:paraId="3291AC24" w14:textId="77777777" w:rsidTr="003E61F2">
        <w:tc>
          <w:tcPr>
            <w:tcW w:w="1413" w:type="dxa"/>
          </w:tcPr>
          <w:p w14:paraId="7B1128A5" w14:textId="77777777" w:rsidR="003E61F2" w:rsidRDefault="003E61F2" w:rsidP="00067FCA">
            <w:pPr>
              <w:spacing w:after="40"/>
            </w:pPr>
            <w:r>
              <w:t>CSIRO</w:t>
            </w:r>
          </w:p>
        </w:tc>
        <w:tc>
          <w:tcPr>
            <w:tcW w:w="7603" w:type="dxa"/>
          </w:tcPr>
          <w:p w14:paraId="5C513601" w14:textId="77777777" w:rsidR="003E61F2" w:rsidRDefault="003E61F2" w:rsidP="00067FCA">
            <w:pPr>
              <w:spacing w:after="40"/>
            </w:pPr>
            <w:r>
              <w:t>Commonwealth Scientific and Industrial Research Organisation</w:t>
            </w:r>
          </w:p>
        </w:tc>
      </w:tr>
      <w:tr w:rsidR="003E61F2" w:rsidRPr="00F20784" w14:paraId="585F4E41" w14:textId="77777777" w:rsidTr="003E61F2">
        <w:tc>
          <w:tcPr>
            <w:tcW w:w="1413" w:type="dxa"/>
          </w:tcPr>
          <w:p w14:paraId="6717D771" w14:textId="77777777" w:rsidR="003E61F2" w:rsidRPr="003C360D" w:rsidRDefault="003E61F2" w:rsidP="00067FCA">
            <w:pPr>
              <w:spacing w:after="40"/>
            </w:pPr>
            <w:r>
              <w:t>CSMP</w:t>
            </w:r>
          </w:p>
        </w:tc>
        <w:tc>
          <w:tcPr>
            <w:tcW w:w="7603" w:type="dxa"/>
          </w:tcPr>
          <w:p w14:paraId="18B0F979" w14:textId="77777777" w:rsidR="003E61F2" w:rsidRPr="00F20784" w:rsidRDefault="003E61F2" w:rsidP="00067FCA">
            <w:pPr>
              <w:spacing w:after="40"/>
            </w:pPr>
            <w:r>
              <w:t>Coral Sea Marine Park</w:t>
            </w:r>
          </w:p>
        </w:tc>
      </w:tr>
      <w:tr w:rsidR="003E61F2" w:rsidRPr="00F20784" w14:paraId="5E68C4F6" w14:textId="77777777" w:rsidTr="003E61F2">
        <w:tc>
          <w:tcPr>
            <w:tcW w:w="1413" w:type="dxa"/>
          </w:tcPr>
          <w:p w14:paraId="5C7DA423" w14:textId="77777777" w:rsidR="003E61F2" w:rsidRDefault="003E61F2" w:rsidP="00067FCA">
            <w:pPr>
              <w:spacing w:after="40"/>
            </w:pPr>
            <w:r>
              <w:t>DAF</w:t>
            </w:r>
          </w:p>
        </w:tc>
        <w:tc>
          <w:tcPr>
            <w:tcW w:w="7603" w:type="dxa"/>
          </w:tcPr>
          <w:p w14:paraId="5B0EB5FE" w14:textId="77777777" w:rsidR="003E61F2" w:rsidRDefault="003E61F2" w:rsidP="00067FCA">
            <w:pPr>
              <w:spacing w:after="40"/>
            </w:pPr>
            <w:r>
              <w:t>Queensland Department of Agriculture and Fisheries</w:t>
            </w:r>
          </w:p>
        </w:tc>
      </w:tr>
      <w:tr w:rsidR="003E61F2" w:rsidRPr="00F20784" w14:paraId="4AA65145" w14:textId="77777777" w:rsidTr="003E61F2">
        <w:tc>
          <w:tcPr>
            <w:tcW w:w="1413" w:type="dxa"/>
          </w:tcPr>
          <w:p w14:paraId="7458FC96" w14:textId="77777777" w:rsidR="003E61F2" w:rsidRDefault="003E61F2" w:rsidP="00067FCA">
            <w:pPr>
              <w:spacing w:after="40"/>
            </w:pPr>
            <w:r>
              <w:t>DCCEEW</w:t>
            </w:r>
          </w:p>
        </w:tc>
        <w:tc>
          <w:tcPr>
            <w:tcW w:w="7603" w:type="dxa"/>
          </w:tcPr>
          <w:p w14:paraId="14DF03ED" w14:textId="77777777" w:rsidR="003E61F2" w:rsidRDefault="003E61F2" w:rsidP="00067FCA">
            <w:pPr>
              <w:spacing w:after="40"/>
            </w:pPr>
            <w:r>
              <w:t xml:space="preserve">Commonwealth </w:t>
            </w:r>
            <w:r w:rsidRPr="00290642">
              <w:t>Department of Climate Change, Energy, the Environment and Water</w:t>
            </w:r>
          </w:p>
        </w:tc>
      </w:tr>
      <w:tr w:rsidR="003E61F2" w:rsidRPr="00F20784" w14:paraId="29F009BD" w14:textId="77777777" w:rsidTr="003E61F2">
        <w:tc>
          <w:tcPr>
            <w:tcW w:w="1413" w:type="dxa"/>
          </w:tcPr>
          <w:p w14:paraId="16EF925A" w14:textId="77777777" w:rsidR="003E61F2" w:rsidRDefault="003E61F2" w:rsidP="00067FCA">
            <w:pPr>
              <w:spacing w:after="40"/>
            </w:pPr>
            <w:r w:rsidRPr="00E01C17">
              <w:t>EPBC Act</w:t>
            </w:r>
          </w:p>
        </w:tc>
        <w:tc>
          <w:tcPr>
            <w:tcW w:w="7603" w:type="dxa"/>
          </w:tcPr>
          <w:p w14:paraId="7FCE5717" w14:textId="77777777" w:rsidR="003E61F2" w:rsidRDefault="003E61F2" w:rsidP="00067FCA">
            <w:pPr>
              <w:spacing w:after="40"/>
            </w:pPr>
            <w:r>
              <w:t>Environment Protection and Biodiversity Conservation Act 1999, including any Act amending, repealing or replacing the Act.</w:t>
            </w:r>
          </w:p>
        </w:tc>
      </w:tr>
      <w:tr w:rsidR="003E61F2" w:rsidRPr="00F20784" w14:paraId="6B1E3D33" w14:textId="77777777" w:rsidTr="003E61F2">
        <w:tc>
          <w:tcPr>
            <w:tcW w:w="1413" w:type="dxa"/>
          </w:tcPr>
          <w:p w14:paraId="78B25F37" w14:textId="77777777" w:rsidR="003E61F2" w:rsidRPr="00E01C17" w:rsidRDefault="003E61F2" w:rsidP="00067FCA">
            <w:pPr>
              <w:spacing w:after="40"/>
            </w:pPr>
            <w:r>
              <w:t>ETS</w:t>
            </w:r>
          </w:p>
        </w:tc>
        <w:tc>
          <w:tcPr>
            <w:tcW w:w="7603" w:type="dxa"/>
          </w:tcPr>
          <w:p w14:paraId="6DFBACBA" w14:textId="77777777" w:rsidR="003E61F2" w:rsidRDefault="003E61F2" w:rsidP="00067FCA">
            <w:pPr>
              <w:spacing w:after="40"/>
            </w:pPr>
            <w:r>
              <w:t>east Torres Strait</w:t>
            </w:r>
          </w:p>
        </w:tc>
      </w:tr>
      <w:tr w:rsidR="003E61F2" w:rsidRPr="00F20784" w14:paraId="3E532D81" w14:textId="77777777" w:rsidTr="00435054">
        <w:tc>
          <w:tcPr>
            <w:tcW w:w="1413" w:type="dxa"/>
          </w:tcPr>
          <w:p w14:paraId="021EC172" w14:textId="77777777" w:rsidR="003E61F2" w:rsidRDefault="003E61F2" w:rsidP="00067FCA">
            <w:pPr>
              <w:spacing w:after="40"/>
            </w:pPr>
            <w:r w:rsidRPr="00F20784">
              <w:t>GBR</w:t>
            </w:r>
          </w:p>
        </w:tc>
        <w:tc>
          <w:tcPr>
            <w:tcW w:w="7603" w:type="dxa"/>
          </w:tcPr>
          <w:p w14:paraId="70EFE5E3" w14:textId="77777777" w:rsidR="003E61F2" w:rsidRDefault="003E61F2" w:rsidP="00067FCA">
            <w:pPr>
              <w:spacing w:after="40"/>
            </w:pPr>
            <w:r w:rsidRPr="00F20784">
              <w:t>Great Barrier Reef</w:t>
            </w:r>
          </w:p>
        </w:tc>
      </w:tr>
      <w:tr w:rsidR="003E61F2" w:rsidRPr="00F20784" w14:paraId="2C41AD0E" w14:textId="77777777" w:rsidTr="003E61F2">
        <w:tc>
          <w:tcPr>
            <w:tcW w:w="1413" w:type="dxa"/>
          </w:tcPr>
          <w:p w14:paraId="02886672" w14:textId="77777777" w:rsidR="003E61F2" w:rsidRPr="00F20784" w:rsidRDefault="003E61F2" w:rsidP="00067FCA">
            <w:pPr>
              <w:spacing w:after="40"/>
            </w:pPr>
            <w:r w:rsidRPr="001B2AFA">
              <w:t>GBRMP</w:t>
            </w:r>
          </w:p>
        </w:tc>
        <w:tc>
          <w:tcPr>
            <w:tcW w:w="7603" w:type="dxa"/>
          </w:tcPr>
          <w:p w14:paraId="45CEDEAF" w14:textId="77777777" w:rsidR="003E61F2" w:rsidRPr="00F20784" w:rsidRDefault="003E61F2" w:rsidP="00067FCA">
            <w:pPr>
              <w:spacing w:after="40"/>
            </w:pPr>
            <w:r w:rsidRPr="001B2AFA">
              <w:t>Great Barrier Reef Marine P</w:t>
            </w:r>
            <w:r>
              <w:t>ark</w:t>
            </w:r>
          </w:p>
        </w:tc>
      </w:tr>
      <w:tr w:rsidR="003E61F2" w:rsidRPr="00F20784" w14:paraId="74EFF5B8" w14:textId="77777777" w:rsidTr="003E61F2">
        <w:tc>
          <w:tcPr>
            <w:tcW w:w="1413" w:type="dxa"/>
          </w:tcPr>
          <w:p w14:paraId="6E98B585" w14:textId="77777777" w:rsidR="003E61F2" w:rsidRPr="00F20784" w:rsidRDefault="003E61F2" w:rsidP="00067FCA">
            <w:pPr>
              <w:spacing w:after="40"/>
            </w:pPr>
            <w:r w:rsidRPr="001B2AFA">
              <w:t>GBRMP</w:t>
            </w:r>
            <w:r>
              <w:t>A</w:t>
            </w:r>
          </w:p>
        </w:tc>
        <w:tc>
          <w:tcPr>
            <w:tcW w:w="7603" w:type="dxa"/>
          </w:tcPr>
          <w:p w14:paraId="73789B6F" w14:textId="77777777" w:rsidR="003E61F2" w:rsidRPr="00F20784" w:rsidRDefault="003E61F2" w:rsidP="00067FCA">
            <w:pPr>
              <w:spacing w:after="40"/>
            </w:pPr>
            <w:r w:rsidRPr="001B2AFA">
              <w:t>Great Barrier Reef Marine P</w:t>
            </w:r>
            <w:r>
              <w:t>ark Authority</w:t>
            </w:r>
          </w:p>
        </w:tc>
      </w:tr>
      <w:tr w:rsidR="003E61F2" w:rsidRPr="00F20784" w14:paraId="20CE405B" w14:textId="77777777" w:rsidTr="00435054">
        <w:tc>
          <w:tcPr>
            <w:tcW w:w="1413" w:type="dxa"/>
          </w:tcPr>
          <w:p w14:paraId="34B2928C" w14:textId="77777777" w:rsidR="003E61F2" w:rsidRDefault="003E61F2" w:rsidP="00067FCA">
            <w:pPr>
              <w:spacing w:after="40"/>
            </w:pPr>
            <w:r w:rsidRPr="00F20784">
              <w:t>GVP</w:t>
            </w:r>
          </w:p>
        </w:tc>
        <w:tc>
          <w:tcPr>
            <w:tcW w:w="7603" w:type="dxa"/>
          </w:tcPr>
          <w:p w14:paraId="41ACE4B1" w14:textId="77777777" w:rsidR="003E61F2" w:rsidRDefault="003E61F2" w:rsidP="00067FCA">
            <w:pPr>
              <w:spacing w:after="40"/>
            </w:pPr>
            <w:r w:rsidRPr="00F20784">
              <w:t>Gross Values of Productions</w:t>
            </w:r>
          </w:p>
        </w:tc>
      </w:tr>
      <w:tr w:rsidR="003E61F2" w:rsidRPr="00F20784" w14:paraId="5633715A" w14:textId="77777777" w:rsidTr="003E61F2">
        <w:tc>
          <w:tcPr>
            <w:tcW w:w="1413" w:type="dxa"/>
          </w:tcPr>
          <w:p w14:paraId="2387A5AC" w14:textId="77777777" w:rsidR="003E61F2" w:rsidRDefault="003E61F2" w:rsidP="00067FCA">
            <w:pPr>
              <w:spacing w:after="40"/>
            </w:pPr>
            <w:r>
              <w:t>HS</w:t>
            </w:r>
          </w:p>
        </w:tc>
        <w:tc>
          <w:tcPr>
            <w:tcW w:w="7603" w:type="dxa"/>
          </w:tcPr>
          <w:p w14:paraId="25EB7D52" w14:textId="77777777" w:rsidR="003E61F2" w:rsidRPr="00F20784" w:rsidRDefault="003E61F2" w:rsidP="00067FCA">
            <w:pPr>
              <w:spacing w:after="40"/>
            </w:pPr>
            <w:r>
              <w:t>Harvest strategy</w:t>
            </w:r>
          </w:p>
        </w:tc>
      </w:tr>
      <w:tr w:rsidR="003E61F2" w:rsidRPr="00F20784" w14:paraId="40EDDA3D" w14:textId="77777777" w:rsidTr="003E61F2">
        <w:tc>
          <w:tcPr>
            <w:tcW w:w="1413" w:type="dxa"/>
          </w:tcPr>
          <w:p w14:paraId="33C6859B" w14:textId="77777777" w:rsidR="003E61F2" w:rsidRDefault="003E61F2" w:rsidP="00067FCA">
            <w:pPr>
              <w:spacing w:after="40"/>
            </w:pPr>
            <w:r>
              <w:t>IPA</w:t>
            </w:r>
          </w:p>
        </w:tc>
        <w:tc>
          <w:tcPr>
            <w:tcW w:w="7603" w:type="dxa"/>
          </w:tcPr>
          <w:p w14:paraId="62004F44" w14:textId="77777777" w:rsidR="003E61F2" w:rsidRDefault="003E61F2" w:rsidP="00067FCA">
            <w:pPr>
              <w:spacing w:after="40"/>
            </w:pPr>
            <w:r>
              <w:t>Indigenous Protected areas</w:t>
            </w:r>
          </w:p>
        </w:tc>
      </w:tr>
      <w:tr w:rsidR="003E61F2" w:rsidRPr="00F20784" w14:paraId="033787B9" w14:textId="77777777" w:rsidTr="003E61F2">
        <w:tc>
          <w:tcPr>
            <w:tcW w:w="1413" w:type="dxa"/>
          </w:tcPr>
          <w:p w14:paraId="07DB9685" w14:textId="77777777" w:rsidR="003E61F2" w:rsidRPr="00F20784" w:rsidRDefault="003E61F2" w:rsidP="00067FCA">
            <w:pPr>
              <w:spacing w:after="40"/>
            </w:pPr>
            <w:r w:rsidRPr="00E01C17">
              <w:t>IUCN</w:t>
            </w:r>
          </w:p>
        </w:tc>
        <w:tc>
          <w:tcPr>
            <w:tcW w:w="7603" w:type="dxa"/>
          </w:tcPr>
          <w:p w14:paraId="0E2A2E1B" w14:textId="77777777" w:rsidR="003E61F2" w:rsidRPr="00F20784" w:rsidRDefault="003E61F2" w:rsidP="00067FCA">
            <w:pPr>
              <w:spacing w:after="40"/>
            </w:pPr>
            <w:r w:rsidRPr="00E01C17">
              <w:t>International Union for the Conservation of Nature.</w:t>
            </w:r>
          </w:p>
        </w:tc>
      </w:tr>
      <w:tr w:rsidR="003E61F2" w:rsidRPr="00F20784" w14:paraId="1E4E33A4" w14:textId="77777777" w:rsidTr="003E61F2">
        <w:tc>
          <w:tcPr>
            <w:tcW w:w="1413" w:type="dxa"/>
          </w:tcPr>
          <w:p w14:paraId="186C7F65" w14:textId="77777777" w:rsidR="003E61F2" w:rsidRPr="00E01C17" w:rsidRDefault="003E61F2" w:rsidP="00067FCA">
            <w:pPr>
              <w:spacing w:after="40"/>
            </w:pPr>
            <w:bookmarkStart w:id="6" w:name="_Hlk147434574"/>
            <w:r>
              <w:t>IUU</w:t>
            </w:r>
          </w:p>
        </w:tc>
        <w:tc>
          <w:tcPr>
            <w:tcW w:w="7603" w:type="dxa"/>
          </w:tcPr>
          <w:p w14:paraId="155FFBDE" w14:textId="77777777" w:rsidR="003E61F2" w:rsidRPr="00E01C17" w:rsidRDefault="003E61F2" w:rsidP="00067FCA">
            <w:pPr>
              <w:spacing w:after="40"/>
            </w:pPr>
            <w:r w:rsidRPr="00833F67">
              <w:t>Illegal, unreported and unregulated fishing</w:t>
            </w:r>
          </w:p>
        </w:tc>
      </w:tr>
      <w:bookmarkEnd w:id="6"/>
      <w:tr w:rsidR="003E61F2" w:rsidRPr="00F20784" w14:paraId="6C44D2B1" w14:textId="77777777" w:rsidTr="003E61F2">
        <w:tc>
          <w:tcPr>
            <w:tcW w:w="1413" w:type="dxa"/>
          </w:tcPr>
          <w:p w14:paraId="1BA61131" w14:textId="77777777" w:rsidR="003E61F2" w:rsidRPr="00E01C17" w:rsidRDefault="003E61F2" w:rsidP="00067FCA">
            <w:pPr>
              <w:spacing w:after="40"/>
            </w:pPr>
            <w:r>
              <w:t>Landed Wt</w:t>
            </w:r>
          </w:p>
        </w:tc>
        <w:tc>
          <w:tcPr>
            <w:tcW w:w="7603" w:type="dxa"/>
          </w:tcPr>
          <w:p w14:paraId="4CEE47C9" w14:textId="234E4A54" w:rsidR="003E61F2" w:rsidRPr="00E01C17" w:rsidRDefault="003E61F2" w:rsidP="00067FCA">
            <w:pPr>
              <w:spacing w:after="40"/>
            </w:pPr>
            <w:r>
              <w:t xml:space="preserve">Fishery catch and catch limits in all Australian fisheries are reported as landed weight. In the CSF and QSCF, this is in gutted and </w:t>
            </w:r>
            <w:r w:rsidRPr="0086035D">
              <w:t>salted</w:t>
            </w:r>
            <w:r>
              <w:t xml:space="preserve"> product form; in the TSCDMF, it is in </w:t>
            </w:r>
            <w:r w:rsidR="003C360D">
              <w:t xml:space="preserve">fresh </w:t>
            </w:r>
            <w:r>
              <w:t>gutted form.</w:t>
            </w:r>
          </w:p>
        </w:tc>
      </w:tr>
      <w:tr w:rsidR="003E61F2" w:rsidRPr="00F20784" w14:paraId="6E119498" w14:textId="77777777" w:rsidTr="003E61F2">
        <w:tc>
          <w:tcPr>
            <w:tcW w:w="1413" w:type="dxa"/>
          </w:tcPr>
          <w:p w14:paraId="1A6B4B1F" w14:textId="77777777" w:rsidR="003E61F2" w:rsidRDefault="003E61F2" w:rsidP="00067FCA">
            <w:pPr>
              <w:spacing w:after="40"/>
            </w:pPr>
            <w:r w:rsidRPr="00F20784">
              <w:t>LRP</w:t>
            </w:r>
          </w:p>
        </w:tc>
        <w:tc>
          <w:tcPr>
            <w:tcW w:w="7603" w:type="dxa"/>
          </w:tcPr>
          <w:p w14:paraId="212D9DF5" w14:textId="2E5A07E9" w:rsidR="003E61F2" w:rsidRDefault="003E61F2" w:rsidP="00067FCA">
            <w:pPr>
              <w:spacing w:after="40"/>
            </w:pPr>
            <w:r w:rsidRPr="00F20784">
              <w:t>Limit Reference Point</w:t>
            </w:r>
            <w:r>
              <w:t xml:space="preserve"> – a reference point that equates to the population at </w:t>
            </w:r>
            <w:r w:rsidR="000B4EE5">
              <w:t>B</w:t>
            </w:r>
            <w:r w:rsidR="000B4EE5" w:rsidRPr="00290642">
              <w:rPr>
                <w:i/>
                <w:iCs/>
              </w:rPr>
              <w:t>lim</w:t>
            </w:r>
          </w:p>
        </w:tc>
      </w:tr>
      <w:tr w:rsidR="003E61F2" w:rsidRPr="00F20784" w14:paraId="283CC9DE" w14:textId="77777777" w:rsidTr="003E61F2">
        <w:tc>
          <w:tcPr>
            <w:tcW w:w="1413" w:type="dxa"/>
          </w:tcPr>
          <w:p w14:paraId="4D922B82" w14:textId="77777777" w:rsidR="003E61F2" w:rsidRPr="00F20784" w:rsidRDefault="003E61F2" w:rsidP="00067FCA">
            <w:pPr>
              <w:spacing w:after="40"/>
            </w:pPr>
            <w:r>
              <w:t>MSC</w:t>
            </w:r>
          </w:p>
        </w:tc>
        <w:tc>
          <w:tcPr>
            <w:tcW w:w="7603" w:type="dxa"/>
          </w:tcPr>
          <w:p w14:paraId="7B9BEF6B" w14:textId="77777777" w:rsidR="003E61F2" w:rsidRPr="00F20784" w:rsidRDefault="003E61F2" w:rsidP="00067FCA">
            <w:pPr>
              <w:spacing w:after="40"/>
            </w:pPr>
            <w:r>
              <w:t>Marine Stewardship Council</w:t>
            </w:r>
          </w:p>
        </w:tc>
      </w:tr>
      <w:tr w:rsidR="003E61F2" w:rsidRPr="00F20784" w14:paraId="5C22415E" w14:textId="77777777" w:rsidTr="003E61F2">
        <w:tc>
          <w:tcPr>
            <w:tcW w:w="1413" w:type="dxa"/>
          </w:tcPr>
          <w:p w14:paraId="36F742B6" w14:textId="77777777" w:rsidR="003E61F2" w:rsidRDefault="003E61F2" w:rsidP="00067FCA">
            <w:pPr>
              <w:spacing w:after="40"/>
            </w:pPr>
            <w:r w:rsidRPr="00F20784">
              <w:t>MSL</w:t>
            </w:r>
          </w:p>
        </w:tc>
        <w:tc>
          <w:tcPr>
            <w:tcW w:w="7603" w:type="dxa"/>
          </w:tcPr>
          <w:p w14:paraId="46C70547" w14:textId="77777777" w:rsidR="003E61F2" w:rsidRDefault="003E61F2" w:rsidP="00067FCA">
            <w:pPr>
              <w:spacing w:after="40"/>
            </w:pPr>
            <w:r w:rsidRPr="00F20784">
              <w:t>Minimum Size Limit</w:t>
            </w:r>
          </w:p>
        </w:tc>
      </w:tr>
      <w:tr w:rsidR="003E61F2" w:rsidRPr="00F20784" w14:paraId="2B0C89A2" w14:textId="77777777" w:rsidTr="003E61F2">
        <w:tc>
          <w:tcPr>
            <w:tcW w:w="1413" w:type="dxa"/>
          </w:tcPr>
          <w:p w14:paraId="5C2E0F4E" w14:textId="77777777" w:rsidR="003E61F2" w:rsidRDefault="003E61F2" w:rsidP="00067FCA">
            <w:pPr>
              <w:spacing w:after="40"/>
            </w:pPr>
            <w:bookmarkStart w:id="7" w:name="_Hlk139546844"/>
            <w:r w:rsidRPr="00F20784">
              <w:t>MSY</w:t>
            </w:r>
          </w:p>
        </w:tc>
        <w:tc>
          <w:tcPr>
            <w:tcW w:w="7603" w:type="dxa"/>
          </w:tcPr>
          <w:p w14:paraId="6E0E0617" w14:textId="77777777" w:rsidR="003E61F2" w:rsidRDefault="003E61F2" w:rsidP="00067FCA">
            <w:pPr>
              <w:spacing w:after="40"/>
            </w:pPr>
            <w:r w:rsidRPr="00F20784">
              <w:t>Maximum Sustainable Yield</w:t>
            </w:r>
          </w:p>
        </w:tc>
      </w:tr>
      <w:bookmarkEnd w:id="7"/>
      <w:tr w:rsidR="003E61F2" w:rsidRPr="00F20784" w14:paraId="2A6679DB" w14:textId="77777777" w:rsidTr="003E61F2">
        <w:tc>
          <w:tcPr>
            <w:tcW w:w="1413" w:type="dxa"/>
          </w:tcPr>
          <w:p w14:paraId="32A7CDBC" w14:textId="77777777" w:rsidR="003E61F2" w:rsidRPr="00F20784" w:rsidRDefault="003E61F2" w:rsidP="00067FCA">
            <w:pPr>
              <w:spacing w:after="40"/>
            </w:pPr>
            <w:r w:rsidRPr="00F20784">
              <w:t>NDF</w:t>
            </w:r>
          </w:p>
        </w:tc>
        <w:tc>
          <w:tcPr>
            <w:tcW w:w="7603" w:type="dxa"/>
          </w:tcPr>
          <w:p w14:paraId="6A8C7B63" w14:textId="77777777" w:rsidR="003E61F2" w:rsidRPr="00F20784" w:rsidRDefault="003E61F2" w:rsidP="00067FCA">
            <w:pPr>
              <w:spacing w:after="40"/>
            </w:pPr>
            <w:r>
              <w:t>CITES N</w:t>
            </w:r>
            <w:r w:rsidRPr="00F20784">
              <w:t>on-detriment finding</w:t>
            </w:r>
          </w:p>
        </w:tc>
      </w:tr>
      <w:tr w:rsidR="003E61F2" w:rsidRPr="00F20784" w14:paraId="0F1889CB" w14:textId="77777777" w:rsidTr="00435054">
        <w:tc>
          <w:tcPr>
            <w:tcW w:w="1413" w:type="dxa"/>
          </w:tcPr>
          <w:p w14:paraId="2CFEAFC0" w14:textId="77777777" w:rsidR="003E61F2" w:rsidRPr="00F20784" w:rsidRDefault="003E61F2" w:rsidP="00067FCA">
            <w:pPr>
              <w:spacing w:after="40"/>
            </w:pPr>
            <w:r w:rsidRPr="00F20784">
              <w:t>NNR</w:t>
            </w:r>
          </w:p>
        </w:tc>
        <w:tc>
          <w:tcPr>
            <w:tcW w:w="7603" w:type="dxa"/>
          </w:tcPr>
          <w:p w14:paraId="41A9185D" w14:textId="77777777" w:rsidR="003E61F2" w:rsidRPr="00F20784" w:rsidRDefault="003E61F2" w:rsidP="00067FCA">
            <w:pPr>
              <w:spacing w:after="40"/>
            </w:pPr>
            <w:r w:rsidRPr="00F20784">
              <w:t>National Nature Reserves</w:t>
            </w:r>
          </w:p>
        </w:tc>
      </w:tr>
      <w:tr w:rsidR="003E61F2" w:rsidRPr="00F20784" w14:paraId="4E7F81B5" w14:textId="77777777" w:rsidTr="003E61F2">
        <w:tc>
          <w:tcPr>
            <w:tcW w:w="1413" w:type="dxa"/>
          </w:tcPr>
          <w:p w14:paraId="25F9358C" w14:textId="77777777" w:rsidR="003E61F2" w:rsidRDefault="003E61F2" w:rsidP="00067FCA">
            <w:pPr>
              <w:spacing w:after="40"/>
            </w:pPr>
            <w:r>
              <w:t>PNG</w:t>
            </w:r>
          </w:p>
        </w:tc>
        <w:tc>
          <w:tcPr>
            <w:tcW w:w="7603" w:type="dxa"/>
          </w:tcPr>
          <w:p w14:paraId="6487F2EE" w14:textId="77777777" w:rsidR="003E61F2" w:rsidRDefault="003E61F2" w:rsidP="00067FCA">
            <w:pPr>
              <w:spacing w:after="40"/>
            </w:pPr>
            <w:r>
              <w:t>Papua New Guinea</w:t>
            </w:r>
          </w:p>
        </w:tc>
      </w:tr>
      <w:tr w:rsidR="003E61F2" w:rsidRPr="00F20784" w14:paraId="4882AF9F" w14:textId="77777777" w:rsidTr="003E61F2">
        <w:tc>
          <w:tcPr>
            <w:tcW w:w="1413" w:type="dxa"/>
          </w:tcPr>
          <w:p w14:paraId="0C9FD027" w14:textId="77777777" w:rsidR="003E61F2" w:rsidRPr="00F20784" w:rsidRDefault="003E61F2" w:rsidP="00067FCA">
            <w:pPr>
              <w:spacing w:after="40"/>
            </w:pPr>
            <w:r>
              <w:t>PRI</w:t>
            </w:r>
          </w:p>
        </w:tc>
        <w:tc>
          <w:tcPr>
            <w:tcW w:w="7603" w:type="dxa"/>
          </w:tcPr>
          <w:p w14:paraId="6A012203" w14:textId="63B8F9DB" w:rsidR="003E61F2" w:rsidRPr="00F20784" w:rsidRDefault="003E61F2" w:rsidP="00067FCA">
            <w:pPr>
              <w:spacing w:after="40"/>
            </w:pPr>
            <w:r>
              <w:t>Point at recruitment impairment</w:t>
            </w:r>
            <w:r w:rsidR="00D223F7">
              <w:t>. T</w:t>
            </w:r>
            <w:r w:rsidR="00D223F7" w:rsidRPr="00D223F7">
              <w:t>he point at which biomass has been reduced through catch so that average recruitment levels are significantly reduced</w:t>
            </w:r>
            <w:r w:rsidR="00D223F7">
              <w:t xml:space="preserve">. </w:t>
            </w:r>
          </w:p>
        </w:tc>
      </w:tr>
      <w:tr w:rsidR="003E61F2" w:rsidRPr="00F20784" w14:paraId="0F43C768" w14:textId="77777777" w:rsidTr="00435054">
        <w:tc>
          <w:tcPr>
            <w:tcW w:w="1413" w:type="dxa"/>
          </w:tcPr>
          <w:p w14:paraId="09C9EFCF" w14:textId="77777777" w:rsidR="003E61F2" w:rsidRPr="00F20784" w:rsidRDefault="003E61F2" w:rsidP="00067FCA">
            <w:pPr>
              <w:spacing w:after="40"/>
            </w:pPr>
            <w:r w:rsidRPr="00F20784">
              <w:t>PSA</w:t>
            </w:r>
          </w:p>
        </w:tc>
        <w:tc>
          <w:tcPr>
            <w:tcW w:w="7603" w:type="dxa"/>
          </w:tcPr>
          <w:p w14:paraId="2301987D" w14:textId="77777777" w:rsidR="003E61F2" w:rsidRPr="00F20784" w:rsidRDefault="003E61F2" w:rsidP="00067FCA">
            <w:pPr>
              <w:spacing w:after="40"/>
            </w:pPr>
            <w:r w:rsidRPr="00F20784">
              <w:t>Productivity Susceptibility Analysis</w:t>
            </w:r>
          </w:p>
        </w:tc>
      </w:tr>
      <w:tr w:rsidR="003E61F2" w:rsidRPr="00F20784" w14:paraId="4559CE09" w14:textId="77777777" w:rsidTr="00435054">
        <w:tc>
          <w:tcPr>
            <w:tcW w:w="1413" w:type="dxa"/>
          </w:tcPr>
          <w:p w14:paraId="3645AC03" w14:textId="77777777" w:rsidR="003E61F2" w:rsidRPr="00F20784" w:rsidRDefault="003E61F2" w:rsidP="00067FCA">
            <w:pPr>
              <w:spacing w:after="40"/>
            </w:pPr>
            <w:r w:rsidRPr="00F20784">
              <w:t>PZJA</w:t>
            </w:r>
          </w:p>
        </w:tc>
        <w:tc>
          <w:tcPr>
            <w:tcW w:w="7603" w:type="dxa"/>
          </w:tcPr>
          <w:p w14:paraId="29E4B0A7" w14:textId="77777777" w:rsidR="003E61F2" w:rsidRPr="00F20784" w:rsidRDefault="003E61F2" w:rsidP="00067FCA">
            <w:pPr>
              <w:spacing w:after="40"/>
            </w:pPr>
            <w:r w:rsidRPr="00F20784">
              <w:t>Torres Strait Protected Zone Joint Authority</w:t>
            </w:r>
          </w:p>
        </w:tc>
      </w:tr>
      <w:tr w:rsidR="003E61F2" w:rsidRPr="00F20784" w14:paraId="6725A9BB" w14:textId="77777777" w:rsidTr="00435054">
        <w:tc>
          <w:tcPr>
            <w:tcW w:w="1413" w:type="dxa"/>
          </w:tcPr>
          <w:p w14:paraId="081013BC" w14:textId="77777777" w:rsidR="003E61F2" w:rsidRPr="00F20784" w:rsidRDefault="003E61F2" w:rsidP="00067FCA">
            <w:pPr>
              <w:spacing w:after="40"/>
            </w:pPr>
            <w:r w:rsidRPr="00F20784">
              <w:t>QLD</w:t>
            </w:r>
          </w:p>
        </w:tc>
        <w:tc>
          <w:tcPr>
            <w:tcW w:w="7603" w:type="dxa"/>
          </w:tcPr>
          <w:p w14:paraId="6BD1B550" w14:textId="77777777" w:rsidR="003E61F2" w:rsidRPr="00F20784" w:rsidRDefault="003E61F2" w:rsidP="00067FCA">
            <w:pPr>
              <w:spacing w:after="40"/>
            </w:pPr>
            <w:r w:rsidRPr="00F20784">
              <w:t>Queensland (State of)</w:t>
            </w:r>
          </w:p>
        </w:tc>
      </w:tr>
      <w:tr w:rsidR="003E61F2" w:rsidRPr="00F20784" w14:paraId="256A2B41" w14:textId="77777777" w:rsidTr="003E61F2">
        <w:tc>
          <w:tcPr>
            <w:tcW w:w="1413" w:type="dxa"/>
          </w:tcPr>
          <w:p w14:paraId="3D1429AD" w14:textId="77777777" w:rsidR="003E61F2" w:rsidRPr="00BA560E" w:rsidRDefault="003E61F2" w:rsidP="00067FCA">
            <w:pPr>
              <w:spacing w:after="40"/>
            </w:pPr>
            <w:r w:rsidRPr="00BA560E">
              <w:t>QSCF</w:t>
            </w:r>
          </w:p>
        </w:tc>
        <w:tc>
          <w:tcPr>
            <w:tcW w:w="7603" w:type="dxa"/>
          </w:tcPr>
          <w:p w14:paraId="498F9C40" w14:textId="77777777" w:rsidR="003E61F2" w:rsidRPr="00F20784" w:rsidRDefault="003E61F2" w:rsidP="00067FCA">
            <w:pPr>
              <w:spacing w:after="40"/>
            </w:pPr>
            <w:r w:rsidRPr="00BA560E">
              <w:t>Queensland Sea Cucumber Fishery (East Coast)</w:t>
            </w:r>
          </w:p>
        </w:tc>
      </w:tr>
      <w:tr w:rsidR="003E61F2" w:rsidRPr="00F20784" w14:paraId="7545FB85" w14:textId="77777777" w:rsidTr="003E61F2">
        <w:tc>
          <w:tcPr>
            <w:tcW w:w="1413" w:type="dxa"/>
          </w:tcPr>
          <w:p w14:paraId="750A1495" w14:textId="77777777" w:rsidR="003E61F2" w:rsidRPr="00BA560E" w:rsidRDefault="003E61F2" w:rsidP="00067FCA">
            <w:pPr>
              <w:spacing w:after="40"/>
            </w:pPr>
            <w:r>
              <w:lastRenderedPageBreak/>
              <w:t>RHS</w:t>
            </w:r>
          </w:p>
        </w:tc>
        <w:tc>
          <w:tcPr>
            <w:tcW w:w="7603" w:type="dxa"/>
          </w:tcPr>
          <w:p w14:paraId="1EC48C45" w14:textId="77777777" w:rsidR="003E61F2" w:rsidRPr="00BA560E" w:rsidRDefault="003E61F2" w:rsidP="00067FCA">
            <w:pPr>
              <w:spacing w:after="40"/>
            </w:pPr>
            <w:r>
              <w:t>Rotational Harvest Strategy</w:t>
            </w:r>
          </w:p>
        </w:tc>
      </w:tr>
      <w:tr w:rsidR="003E61F2" w:rsidRPr="00F20784" w14:paraId="60B5CCD4" w14:textId="77777777" w:rsidTr="003E61F2">
        <w:tc>
          <w:tcPr>
            <w:tcW w:w="1413" w:type="dxa"/>
          </w:tcPr>
          <w:p w14:paraId="18CF0FF6" w14:textId="77777777" w:rsidR="003E61F2" w:rsidRPr="00BA560E" w:rsidRDefault="003E61F2" w:rsidP="00067FCA">
            <w:pPr>
              <w:spacing w:after="40"/>
            </w:pPr>
            <w:r w:rsidRPr="000E5BFB">
              <w:t>RUSS</w:t>
            </w:r>
          </w:p>
        </w:tc>
        <w:tc>
          <w:tcPr>
            <w:tcW w:w="7603" w:type="dxa"/>
          </w:tcPr>
          <w:p w14:paraId="5AA4008B" w14:textId="77777777" w:rsidR="003E61F2" w:rsidRPr="00BA560E" w:rsidRDefault="003E61F2" w:rsidP="00067FCA">
            <w:pPr>
              <w:spacing w:after="40"/>
            </w:pPr>
            <w:r w:rsidRPr="000E5BFB">
              <w:t>Reducing Uncertainty in Stock Status</w:t>
            </w:r>
          </w:p>
        </w:tc>
      </w:tr>
      <w:tr w:rsidR="003E61F2" w:rsidRPr="00F20784" w14:paraId="212255CF" w14:textId="77777777" w:rsidTr="003E61F2">
        <w:tc>
          <w:tcPr>
            <w:tcW w:w="1413" w:type="dxa"/>
          </w:tcPr>
          <w:p w14:paraId="397FD647" w14:textId="77777777" w:rsidR="003E61F2" w:rsidRPr="00BA560E" w:rsidRDefault="003E61F2" w:rsidP="00067FCA">
            <w:pPr>
              <w:spacing w:after="40"/>
            </w:pPr>
            <w:r>
              <w:t>SEC</w:t>
            </w:r>
          </w:p>
        </w:tc>
        <w:tc>
          <w:tcPr>
            <w:tcW w:w="7603" w:type="dxa"/>
          </w:tcPr>
          <w:p w14:paraId="784C45E5" w14:textId="77777777" w:rsidR="003E61F2" w:rsidRPr="00BA560E" w:rsidRDefault="003E61F2" w:rsidP="00067FCA">
            <w:pPr>
              <w:spacing w:after="40"/>
            </w:pPr>
            <w:r>
              <w:t>Southern Equatorial Current</w:t>
            </w:r>
          </w:p>
        </w:tc>
      </w:tr>
      <w:tr w:rsidR="003E61F2" w:rsidRPr="00F20784" w14:paraId="39FE6024" w14:textId="77777777" w:rsidTr="003E61F2">
        <w:tc>
          <w:tcPr>
            <w:tcW w:w="1413" w:type="dxa"/>
          </w:tcPr>
          <w:p w14:paraId="0E8B529A" w14:textId="77777777" w:rsidR="003E61F2" w:rsidRPr="00F20784" w:rsidRDefault="003E61F2" w:rsidP="00067FCA">
            <w:pPr>
              <w:spacing w:after="40"/>
            </w:pPr>
            <w:r w:rsidRPr="00F20784">
              <w:t>SICA</w:t>
            </w:r>
          </w:p>
        </w:tc>
        <w:tc>
          <w:tcPr>
            <w:tcW w:w="7603" w:type="dxa"/>
          </w:tcPr>
          <w:p w14:paraId="11EC86DC" w14:textId="77777777" w:rsidR="003E61F2" w:rsidRPr="00F20784" w:rsidRDefault="003E61F2" w:rsidP="00067FCA">
            <w:pPr>
              <w:spacing w:after="40"/>
            </w:pPr>
            <w:r w:rsidRPr="00F20784">
              <w:t>Scale Intensity Consequence Analysis</w:t>
            </w:r>
          </w:p>
        </w:tc>
      </w:tr>
      <w:tr w:rsidR="003E61F2" w:rsidRPr="00F20784" w14:paraId="34A139ED" w14:textId="77777777" w:rsidTr="003E61F2">
        <w:tc>
          <w:tcPr>
            <w:tcW w:w="1413" w:type="dxa"/>
          </w:tcPr>
          <w:p w14:paraId="0C879F3A" w14:textId="77777777" w:rsidR="003E61F2" w:rsidRPr="00F20784" w:rsidRDefault="003E61F2" w:rsidP="00067FCA">
            <w:pPr>
              <w:spacing w:after="40"/>
            </w:pPr>
            <w:r w:rsidRPr="00F20784">
              <w:t>t</w:t>
            </w:r>
          </w:p>
        </w:tc>
        <w:tc>
          <w:tcPr>
            <w:tcW w:w="7603" w:type="dxa"/>
          </w:tcPr>
          <w:p w14:paraId="49F41A49" w14:textId="77777777" w:rsidR="003E61F2" w:rsidRPr="00F20784" w:rsidRDefault="003E61F2" w:rsidP="00067FCA">
            <w:pPr>
              <w:spacing w:after="40"/>
            </w:pPr>
            <w:r>
              <w:t>Tonnes</w:t>
            </w:r>
          </w:p>
        </w:tc>
      </w:tr>
      <w:tr w:rsidR="003E61F2" w:rsidRPr="00F20784" w14:paraId="70424FC0" w14:textId="77777777" w:rsidTr="003E61F2">
        <w:tc>
          <w:tcPr>
            <w:tcW w:w="1413" w:type="dxa"/>
          </w:tcPr>
          <w:p w14:paraId="2837FB56" w14:textId="77777777" w:rsidR="003E61F2" w:rsidRPr="00BA560E" w:rsidRDefault="003E61F2" w:rsidP="00067FCA">
            <w:pPr>
              <w:spacing w:after="40"/>
            </w:pPr>
            <w:r w:rsidRPr="001B2AFA">
              <w:t>TA</w:t>
            </w:r>
            <w:r>
              <w:t>C</w:t>
            </w:r>
          </w:p>
        </w:tc>
        <w:tc>
          <w:tcPr>
            <w:tcW w:w="7603" w:type="dxa"/>
          </w:tcPr>
          <w:p w14:paraId="06B1DB9A" w14:textId="77777777" w:rsidR="003E61F2" w:rsidRPr="00BA560E" w:rsidRDefault="003E61F2" w:rsidP="00067FCA">
            <w:pPr>
              <w:spacing w:after="40"/>
            </w:pPr>
            <w:r w:rsidRPr="001B2AFA">
              <w:t>Total Allowable Catch</w:t>
            </w:r>
          </w:p>
        </w:tc>
      </w:tr>
      <w:tr w:rsidR="00600883" w:rsidRPr="00F20784" w14:paraId="3A40B237" w14:textId="77777777" w:rsidTr="003E61F2">
        <w:tc>
          <w:tcPr>
            <w:tcW w:w="1413" w:type="dxa"/>
          </w:tcPr>
          <w:p w14:paraId="6DD2F7CD" w14:textId="44B598BD" w:rsidR="00600883" w:rsidRPr="001B2AFA" w:rsidRDefault="00600883" w:rsidP="00067FCA">
            <w:pPr>
              <w:spacing w:after="40"/>
            </w:pPr>
            <w:r w:rsidRPr="00600883">
              <w:t>TACC</w:t>
            </w:r>
          </w:p>
        </w:tc>
        <w:tc>
          <w:tcPr>
            <w:tcW w:w="7603" w:type="dxa"/>
          </w:tcPr>
          <w:p w14:paraId="51796C68" w14:textId="34EE28BC" w:rsidR="00600883" w:rsidRPr="001B2AFA" w:rsidRDefault="00600883" w:rsidP="00067FCA">
            <w:pPr>
              <w:spacing w:after="40"/>
            </w:pPr>
            <w:r w:rsidRPr="001B2AFA">
              <w:t xml:space="preserve">Total Allowable </w:t>
            </w:r>
            <w:r>
              <w:t xml:space="preserve">Combined </w:t>
            </w:r>
            <w:r w:rsidRPr="001B2AFA">
              <w:t>Catch</w:t>
            </w:r>
          </w:p>
        </w:tc>
      </w:tr>
      <w:tr w:rsidR="003E61F2" w:rsidRPr="00F20784" w14:paraId="3B0B4DE1" w14:textId="77777777" w:rsidTr="003E61F2">
        <w:tc>
          <w:tcPr>
            <w:tcW w:w="1413" w:type="dxa"/>
          </w:tcPr>
          <w:p w14:paraId="3B1DDAEC" w14:textId="77777777" w:rsidR="003E61F2" w:rsidRPr="00F20784" w:rsidRDefault="003E61F2" w:rsidP="00067FCA">
            <w:pPr>
              <w:spacing w:after="40"/>
            </w:pPr>
            <w:r w:rsidRPr="00F20784">
              <w:t>TEP</w:t>
            </w:r>
          </w:p>
        </w:tc>
        <w:tc>
          <w:tcPr>
            <w:tcW w:w="7603" w:type="dxa"/>
          </w:tcPr>
          <w:p w14:paraId="03645486" w14:textId="77777777" w:rsidR="003E61F2" w:rsidRPr="00F20784" w:rsidRDefault="003E61F2" w:rsidP="00067FCA">
            <w:pPr>
              <w:spacing w:after="40"/>
            </w:pPr>
            <w:r>
              <w:t>T</w:t>
            </w:r>
            <w:r w:rsidRPr="00F20784">
              <w:t>hreatened, endangered and protected species</w:t>
            </w:r>
          </w:p>
        </w:tc>
      </w:tr>
      <w:tr w:rsidR="003E61F2" w:rsidRPr="00F20784" w14:paraId="1D733BB5" w14:textId="77777777" w:rsidTr="003E61F2">
        <w:tc>
          <w:tcPr>
            <w:tcW w:w="1413" w:type="dxa"/>
          </w:tcPr>
          <w:p w14:paraId="51A4ECD7" w14:textId="77777777" w:rsidR="003E61F2" w:rsidRPr="00F20784" w:rsidRDefault="003E61F2" w:rsidP="00067FCA">
            <w:pPr>
              <w:spacing w:after="40"/>
            </w:pPr>
            <w:r>
              <w:t>TIB</w:t>
            </w:r>
          </w:p>
        </w:tc>
        <w:tc>
          <w:tcPr>
            <w:tcW w:w="7603" w:type="dxa"/>
          </w:tcPr>
          <w:p w14:paraId="3F1ED8E2" w14:textId="77777777" w:rsidR="003E61F2" w:rsidRDefault="003E61F2" w:rsidP="00067FCA">
            <w:pPr>
              <w:spacing w:after="40"/>
            </w:pPr>
            <w:r>
              <w:t>Traditional Inhabitant Boat (a type of fishing licence in Torres Strait)</w:t>
            </w:r>
          </w:p>
        </w:tc>
      </w:tr>
      <w:tr w:rsidR="003E61F2" w:rsidRPr="00F20784" w14:paraId="0B3A0E44" w14:textId="77777777" w:rsidTr="003E61F2">
        <w:tc>
          <w:tcPr>
            <w:tcW w:w="1413" w:type="dxa"/>
          </w:tcPr>
          <w:p w14:paraId="0FF94DBA" w14:textId="77777777" w:rsidR="003E61F2" w:rsidRPr="00BA560E" w:rsidRDefault="003E61F2" w:rsidP="00067FCA">
            <w:pPr>
              <w:spacing w:after="40"/>
            </w:pPr>
            <w:r w:rsidRPr="00BA560E">
              <w:t>TSBDMF</w:t>
            </w:r>
          </w:p>
        </w:tc>
        <w:tc>
          <w:tcPr>
            <w:tcW w:w="7603" w:type="dxa"/>
          </w:tcPr>
          <w:p w14:paraId="6A2792DD" w14:textId="77777777" w:rsidR="003E61F2" w:rsidRPr="00F20784" w:rsidRDefault="003E61F2" w:rsidP="00067FCA">
            <w:pPr>
              <w:spacing w:after="40"/>
            </w:pPr>
            <w:r w:rsidRPr="00BA560E">
              <w:t>Torres Strait Beche-de-mer Fishery</w:t>
            </w:r>
          </w:p>
        </w:tc>
      </w:tr>
      <w:tr w:rsidR="003E61F2" w:rsidRPr="00F20784" w14:paraId="36A30713" w14:textId="77777777" w:rsidTr="00435054">
        <w:tc>
          <w:tcPr>
            <w:tcW w:w="1413" w:type="dxa"/>
          </w:tcPr>
          <w:p w14:paraId="4D420258" w14:textId="77777777" w:rsidR="003E61F2" w:rsidRPr="00F20784" w:rsidRDefault="003E61F2" w:rsidP="00067FCA">
            <w:pPr>
              <w:spacing w:after="40"/>
            </w:pPr>
            <w:r w:rsidRPr="00F20784">
              <w:t>TSPZ</w:t>
            </w:r>
          </w:p>
        </w:tc>
        <w:tc>
          <w:tcPr>
            <w:tcW w:w="7603" w:type="dxa"/>
          </w:tcPr>
          <w:p w14:paraId="7860DA48" w14:textId="77777777" w:rsidR="003E61F2" w:rsidRPr="00F20784" w:rsidRDefault="003E61F2" w:rsidP="00067FCA">
            <w:pPr>
              <w:spacing w:after="40"/>
            </w:pPr>
            <w:r w:rsidRPr="00F20784">
              <w:t xml:space="preserve">Torres Strait Protected Zone </w:t>
            </w:r>
          </w:p>
        </w:tc>
      </w:tr>
      <w:tr w:rsidR="003E61F2" w:rsidRPr="00F20784" w14:paraId="4085AA2D" w14:textId="77777777" w:rsidTr="00435054">
        <w:tc>
          <w:tcPr>
            <w:tcW w:w="1413" w:type="dxa"/>
          </w:tcPr>
          <w:p w14:paraId="275334C0" w14:textId="77777777" w:rsidR="003E61F2" w:rsidRPr="00F20784" w:rsidRDefault="003E61F2" w:rsidP="00067FCA">
            <w:pPr>
              <w:spacing w:after="40"/>
            </w:pPr>
            <w:r w:rsidRPr="00F20784">
              <w:t>WA</w:t>
            </w:r>
          </w:p>
        </w:tc>
        <w:tc>
          <w:tcPr>
            <w:tcW w:w="7603" w:type="dxa"/>
          </w:tcPr>
          <w:p w14:paraId="3E1B8337" w14:textId="77777777" w:rsidR="003E61F2" w:rsidRPr="00F20784" w:rsidRDefault="003E61F2" w:rsidP="00067FCA">
            <w:pPr>
              <w:spacing w:after="40"/>
            </w:pPr>
            <w:r w:rsidRPr="00F20784">
              <w:t>Western Australia (State of)</w:t>
            </w:r>
          </w:p>
        </w:tc>
      </w:tr>
      <w:tr w:rsidR="003E61F2" w:rsidRPr="00F20784" w14:paraId="2BF84922" w14:textId="77777777" w:rsidTr="00435054">
        <w:tc>
          <w:tcPr>
            <w:tcW w:w="1413" w:type="dxa"/>
          </w:tcPr>
          <w:p w14:paraId="62DE47FA" w14:textId="77777777" w:rsidR="003E61F2" w:rsidRPr="00F20784" w:rsidRDefault="003E61F2" w:rsidP="00067FCA">
            <w:pPr>
              <w:spacing w:after="40"/>
            </w:pPr>
            <w:r w:rsidRPr="00F20784">
              <w:t>WASCF</w:t>
            </w:r>
          </w:p>
        </w:tc>
        <w:tc>
          <w:tcPr>
            <w:tcW w:w="7603" w:type="dxa"/>
          </w:tcPr>
          <w:p w14:paraId="047C348A" w14:textId="77777777" w:rsidR="003E61F2" w:rsidRPr="00F20784" w:rsidRDefault="003E61F2" w:rsidP="00067FCA">
            <w:pPr>
              <w:spacing w:after="40"/>
            </w:pPr>
            <w:r w:rsidRPr="00F20784">
              <w:t>Western Australian Sea Cucumber Fishery</w:t>
            </w:r>
          </w:p>
        </w:tc>
      </w:tr>
      <w:tr w:rsidR="003E61F2" w:rsidRPr="00F20784" w14:paraId="72FF312D" w14:textId="77777777" w:rsidTr="003E61F2">
        <w:tc>
          <w:tcPr>
            <w:tcW w:w="1413" w:type="dxa"/>
          </w:tcPr>
          <w:p w14:paraId="6F1A5D43" w14:textId="77777777" w:rsidR="003E61F2" w:rsidRPr="00BA560E" w:rsidRDefault="003E61F2" w:rsidP="00067FCA">
            <w:pPr>
              <w:spacing w:after="40"/>
            </w:pPr>
            <w:r>
              <w:t>WPBDMF</w:t>
            </w:r>
          </w:p>
        </w:tc>
        <w:tc>
          <w:tcPr>
            <w:tcW w:w="7603" w:type="dxa"/>
          </w:tcPr>
          <w:p w14:paraId="6178D138" w14:textId="77777777" w:rsidR="003E61F2" w:rsidRPr="00BA560E" w:rsidRDefault="003E61F2" w:rsidP="00067FCA">
            <w:pPr>
              <w:spacing w:after="40"/>
            </w:pPr>
            <w:r>
              <w:t>Western Province Beche-de-mer Fishery, Papua New Guinea</w:t>
            </w:r>
          </w:p>
        </w:tc>
      </w:tr>
      <w:tr w:rsidR="003E61F2" w:rsidRPr="00F20784" w14:paraId="78CCE4F2" w14:textId="77777777" w:rsidTr="003E61F2">
        <w:tc>
          <w:tcPr>
            <w:tcW w:w="1413" w:type="dxa"/>
          </w:tcPr>
          <w:p w14:paraId="2539514A" w14:textId="77777777" w:rsidR="003E61F2" w:rsidRPr="00F20784" w:rsidRDefault="003E61F2" w:rsidP="00067FCA">
            <w:pPr>
              <w:spacing w:after="40"/>
            </w:pPr>
            <w:r w:rsidRPr="00F20784">
              <w:t>WTO</w:t>
            </w:r>
          </w:p>
        </w:tc>
        <w:tc>
          <w:tcPr>
            <w:tcW w:w="7603" w:type="dxa"/>
          </w:tcPr>
          <w:p w14:paraId="22F053D5" w14:textId="77777777" w:rsidR="003E61F2" w:rsidRPr="00F20784" w:rsidRDefault="003E61F2" w:rsidP="00067FCA">
            <w:pPr>
              <w:spacing w:after="40"/>
            </w:pPr>
            <w:r w:rsidRPr="00F20784">
              <w:t>Wildlife Trade Operation</w:t>
            </w:r>
          </w:p>
        </w:tc>
      </w:tr>
      <w:bookmarkEnd w:id="5"/>
    </w:tbl>
    <w:p w14:paraId="1DC41801" w14:textId="77777777" w:rsidR="00A943B2" w:rsidRDefault="00A943B2" w:rsidP="00F91888"/>
    <w:p w14:paraId="1DC41802" w14:textId="77777777" w:rsidR="00B34418" w:rsidRDefault="00B34418" w:rsidP="00F91888">
      <w:pPr>
        <w:sectPr w:rsidR="00B34418" w:rsidSect="00E67C72">
          <w:headerReference w:type="default" r:id="rId15"/>
          <w:footerReference w:type="even" r:id="rId16"/>
          <w:footerReference w:type="default" r:id="rId17"/>
          <w:type w:val="oddPage"/>
          <w:pgSz w:w="11906" w:h="16838" w:code="9"/>
          <w:pgMar w:top="1134" w:right="1134" w:bottom="1134" w:left="1134" w:header="510" w:footer="624" w:gutter="0"/>
          <w:pgNumType w:fmt="lowerRoman" w:start="3"/>
          <w:cols w:space="284"/>
          <w:docGrid w:linePitch="360"/>
        </w:sectPr>
      </w:pPr>
    </w:p>
    <w:p w14:paraId="338187D0" w14:textId="77777777" w:rsidR="00DD488F" w:rsidRDefault="00DD488F" w:rsidP="00DD488F">
      <w:pPr>
        <w:pStyle w:val="Heading1"/>
      </w:pPr>
      <w:bookmarkStart w:id="8" w:name="_Toc189055262"/>
      <w:r w:rsidRPr="00DD488F">
        <w:lastRenderedPageBreak/>
        <w:t>Background</w:t>
      </w:r>
      <w:bookmarkEnd w:id="8"/>
    </w:p>
    <w:p w14:paraId="6C3182BB" w14:textId="77777777" w:rsidR="000117E3" w:rsidRDefault="000117E3" w:rsidP="000117E3">
      <w:bookmarkStart w:id="9" w:name="_Hlk139376102"/>
      <w:bookmarkStart w:id="10" w:name="_Hlk138103755"/>
      <w:bookmarkStart w:id="11" w:name="_Hlk136955142"/>
      <w:r>
        <w:t xml:space="preserve">Sea cucumbers have been harvested for centuries to supply the Chinese market </w:t>
      </w:r>
      <w:r w:rsidRPr="0058051F">
        <w:t>(Yang and Bai, 2015</w:t>
      </w:r>
      <w:r>
        <w:t xml:space="preserve">). After a virtual hiatus of over three decades following the second world war, </w:t>
      </w:r>
      <w:bookmarkEnd w:id="9"/>
      <w:r>
        <w:t xml:space="preserve">global sea cucumber fisheries rapidly re-emerged from about 1980 in response to increasing demand from a resurgent China (Anderson et al., 2011; Eriksson et al., 2015; Fabinyi et al., 2017). This early expansion phase was often poorly regulated and many sea cucumber fisheries were overexploited (Purcell et al., 2013), especially in developing countries (Barclay et al., 2019) and for high value species (Purcell et al., 2014). </w:t>
      </w:r>
    </w:p>
    <w:bookmarkEnd w:id="10"/>
    <w:p w14:paraId="42712875" w14:textId="77777777" w:rsidR="000117E3" w:rsidRPr="00F10234" w:rsidRDefault="000117E3" w:rsidP="000117E3">
      <w:r>
        <w:t>High demand, rapid and largely unregulated expansion and easy access has resulted in 16 species being listed as globally threatened (Vulnerable or Endangered; IUCN, 2023), many of them being the larger, valuable and highly targeted species (Purcell et al., 2014), including the (Pacific) Black teatfish (</w:t>
      </w:r>
      <w:r w:rsidRPr="009D6AC5">
        <w:rPr>
          <w:i/>
          <w:iCs/>
        </w:rPr>
        <w:t>Holothuria whitmaei</w:t>
      </w:r>
      <w:r>
        <w:t>) which is listed by the IUCN as Endangered (Conand et al., 2013a); and White teatfish (</w:t>
      </w:r>
      <w:r w:rsidRPr="009D2668">
        <w:rPr>
          <w:i/>
          <w:iCs/>
        </w:rPr>
        <w:t>Holothuria fuscogilva</w:t>
      </w:r>
      <w:r>
        <w:t xml:space="preserve">) which is listed as Vulnerable (Conand et al., 2013b). Subsequently, </w:t>
      </w:r>
      <w:r w:rsidRPr="000E59B6">
        <w:t xml:space="preserve">three species belonging to the subgenus </w:t>
      </w:r>
      <w:r w:rsidRPr="00465FC5">
        <w:rPr>
          <w:i/>
          <w:iCs/>
        </w:rPr>
        <w:t>Holothuria (Microthele)</w:t>
      </w:r>
      <w:r w:rsidRPr="000E59B6">
        <w:t xml:space="preserve">: </w:t>
      </w:r>
      <w:r>
        <w:t>White teatfish (</w:t>
      </w:r>
      <w:r w:rsidRPr="00465FC5">
        <w:rPr>
          <w:i/>
          <w:iCs/>
        </w:rPr>
        <w:t>Holothuria (Microthele) fuscogilva</w:t>
      </w:r>
      <w:r>
        <w:t>)</w:t>
      </w:r>
      <w:r w:rsidRPr="000E59B6">
        <w:t xml:space="preserve">, </w:t>
      </w:r>
      <w:r>
        <w:t>(Indian Ocean) Black teatfish (</w:t>
      </w:r>
      <w:r w:rsidRPr="00465FC5">
        <w:rPr>
          <w:i/>
          <w:iCs/>
        </w:rPr>
        <w:t>Holothuria (Microthele) nobilis</w:t>
      </w:r>
      <w:r>
        <w:t xml:space="preserve">); </w:t>
      </w:r>
      <w:r w:rsidRPr="000E59B6">
        <w:t xml:space="preserve">and </w:t>
      </w:r>
      <w:r>
        <w:t>(Pacific) Black teatfish (</w:t>
      </w:r>
      <w:r w:rsidRPr="00465FC5">
        <w:rPr>
          <w:i/>
          <w:iCs/>
        </w:rPr>
        <w:t>Holothuria (Microthele) whitmaei</w:t>
      </w:r>
      <w:r>
        <w:t>)</w:t>
      </w:r>
      <w:r w:rsidRPr="000E59B6">
        <w:t xml:space="preserve"> </w:t>
      </w:r>
      <w:r w:rsidRPr="00F10234">
        <w:t>were listed on Appendix II</w:t>
      </w:r>
      <w:r>
        <w:t xml:space="preserve"> of CITES in June </w:t>
      </w:r>
      <w:r w:rsidRPr="00F10234">
        <w:t>20</w:t>
      </w:r>
      <w:r>
        <w:t>19 (CITES, 2019)</w:t>
      </w:r>
      <w:r w:rsidRPr="00F10234">
        <w:t>.</w:t>
      </w:r>
    </w:p>
    <w:p w14:paraId="0A29F955" w14:textId="77777777" w:rsidR="000117E3" w:rsidRDefault="000117E3" w:rsidP="000117E3">
      <w:r>
        <w:t>With the listing of species in Appendix II of CITES, member countries, of which Australia is one, must carry out a non-detriment finding (NDF) for any listed species before it can be exported. This is based on the principle that: “</w:t>
      </w:r>
      <w:r w:rsidRPr="002C0FE1">
        <w:t>An export permit shall only be granted when</w:t>
      </w:r>
      <w:r>
        <w:t xml:space="preserve">… </w:t>
      </w:r>
      <w:r w:rsidRPr="002E329A">
        <w:t>a Scientific Authority of the State of export has advised</w:t>
      </w:r>
      <w:r>
        <w:t xml:space="preserve"> </w:t>
      </w:r>
      <w:bookmarkStart w:id="12" w:name="_Hlk132635174"/>
      <w:r w:rsidRPr="002E329A">
        <w:rPr>
          <w:b/>
          <w:bCs/>
          <w:i/>
          <w:iCs/>
        </w:rPr>
        <w:t>that such export will not be detrimental to the survival of that species</w:t>
      </w:r>
      <w:bookmarkEnd w:id="12"/>
      <w:r>
        <w:rPr>
          <w:b/>
          <w:bCs/>
          <w:i/>
          <w:iCs/>
        </w:rPr>
        <w:t>”</w:t>
      </w:r>
      <w:r>
        <w:t xml:space="preserve"> (CITES, 1973: Article IV, paragraph 2a). Furthermore, the Scientific Authority must monitor and “limit” the export… “</w:t>
      </w:r>
      <w:r w:rsidRPr="002C0FE1">
        <w:rPr>
          <w:b/>
          <w:bCs/>
          <w:i/>
          <w:iCs/>
        </w:rPr>
        <w:t>in order to maintain that species throughout its range at a level consistent with its role in the ecosystems in which it occurs and well above the level at which that species might become eligible for inclusion in Appendix I</w:t>
      </w:r>
      <w:r>
        <w:t>”</w:t>
      </w:r>
      <w:r w:rsidRPr="00F75C6C">
        <w:t xml:space="preserve"> </w:t>
      </w:r>
      <w:r>
        <w:t>(CITES, 1973: Article IV, paragraph 3).</w:t>
      </w:r>
    </w:p>
    <w:p w14:paraId="25E1A4A8" w14:textId="6E420921" w:rsidR="003C360D" w:rsidRDefault="003C360D" w:rsidP="003C360D">
      <w:r>
        <w:t>Australia has several sea cucumber fisheries in State and Commonwealth waters across northern Australia. Th</w:t>
      </w:r>
      <w:r w:rsidR="005935E5">
        <w:t>ese</w:t>
      </w:r>
      <w:r>
        <w:t xml:space="preserve"> fisher</w:t>
      </w:r>
      <w:r w:rsidR="005935E5">
        <w:t>ies</w:t>
      </w:r>
      <w:r>
        <w:t xml:space="preserve"> </w:t>
      </w:r>
      <w:r w:rsidR="005935E5">
        <w:t>are typical of</w:t>
      </w:r>
      <w:r>
        <w:t xml:space="preserve"> sea cucumber fisheries globally in that </w:t>
      </w:r>
      <w:r w:rsidR="005935E5">
        <w:t>they are</w:t>
      </w:r>
      <w:r>
        <w:t xml:space="preserve"> primarily focussed on exporting dried sea cucumber product (beche-de-mer) to meet demand from China. </w:t>
      </w:r>
      <w:r w:rsidR="005935E5">
        <w:t xml:space="preserve">They are </w:t>
      </w:r>
      <w:r>
        <w:t xml:space="preserve">relatively small scale and multispecies in nature. </w:t>
      </w:r>
    </w:p>
    <w:p w14:paraId="32CF1DD9" w14:textId="25959338" w:rsidR="0027341E" w:rsidRDefault="003C360D" w:rsidP="003C360D">
      <w:r w:rsidRPr="00F10234">
        <w:t xml:space="preserve">This report </w:t>
      </w:r>
      <w:r>
        <w:t xml:space="preserve">sets out to provide </w:t>
      </w:r>
      <w:r w:rsidR="005935E5">
        <w:t xml:space="preserve">background information </w:t>
      </w:r>
      <w:r>
        <w:t>suitable for addressing the information requirements of NDF</w:t>
      </w:r>
      <w:r w:rsidR="005935E5">
        <w:t xml:space="preserve">s </w:t>
      </w:r>
      <w:r>
        <w:t xml:space="preserve">for </w:t>
      </w:r>
      <w:r w:rsidR="005357EB">
        <w:t>Black teatfish</w:t>
      </w:r>
      <w:r>
        <w:t xml:space="preserve"> and </w:t>
      </w:r>
      <w:r w:rsidR="005357EB">
        <w:t xml:space="preserve">White teatfish </w:t>
      </w:r>
      <w:r>
        <w:t xml:space="preserve">in </w:t>
      </w:r>
      <w:r w:rsidR="005935E5">
        <w:t>Australian fisheries</w:t>
      </w:r>
      <w:r w:rsidR="0027341E">
        <w:t>. It includes:</w:t>
      </w:r>
    </w:p>
    <w:p w14:paraId="4967B4E2" w14:textId="417B63DB" w:rsidR="00CE1E1F" w:rsidRDefault="00CE1E1F" w:rsidP="0027341E">
      <w:pPr>
        <w:pStyle w:val="ListParagraph"/>
        <w:numPr>
          <w:ilvl w:val="0"/>
          <w:numId w:val="21"/>
        </w:numPr>
      </w:pPr>
      <w:r>
        <w:t>Information about the species</w:t>
      </w:r>
      <w:r w:rsidR="000F5B16">
        <w:t>.</w:t>
      </w:r>
    </w:p>
    <w:p w14:paraId="5AFAEC72" w14:textId="032540DC" w:rsidR="0027341E" w:rsidRDefault="0027341E" w:rsidP="0027341E">
      <w:pPr>
        <w:pStyle w:val="ListParagraph"/>
        <w:numPr>
          <w:ilvl w:val="0"/>
          <w:numId w:val="21"/>
        </w:numPr>
      </w:pPr>
      <w:r>
        <w:t>A</w:t>
      </w:r>
      <w:r w:rsidR="000F7157">
        <w:t xml:space="preserve">n overall synthesis of Australian fisheries targeting </w:t>
      </w:r>
      <w:r w:rsidR="000117E3">
        <w:t>teatfish</w:t>
      </w:r>
      <w:r w:rsidR="000F7157">
        <w:t xml:space="preserve"> species</w:t>
      </w:r>
      <w:r>
        <w:t xml:space="preserve"> (Fishery specific information for the three fisheries </w:t>
      </w:r>
      <w:r w:rsidR="000117E3">
        <w:t xml:space="preserve">primarily </w:t>
      </w:r>
      <w:r w:rsidR="00CE1E1F">
        <w:t>target</w:t>
      </w:r>
      <w:r w:rsidR="000117E3">
        <w:t xml:space="preserve"> teatfish</w:t>
      </w:r>
      <w:r>
        <w:t xml:space="preserve">: the </w:t>
      </w:r>
      <w:r w:rsidRPr="00BA560E">
        <w:t>Queensland Sea Cucumber Fishery (East Coast)</w:t>
      </w:r>
      <w:r>
        <w:t xml:space="preserve"> (QSCF); </w:t>
      </w:r>
      <w:r w:rsidRPr="00BA560E">
        <w:t>Torres Strait Beche-de-mer Fishery</w:t>
      </w:r>
      <w:r>
        <w:t xml:space="preserve"> (TSBDMF); and the </w:t>
      </w:r>
      <w:r w:rsidRPr="00BA560E">
        <w:t>Coral Sea Fishery</w:t>
      </w:r>
      <w:r>
        <w:t xml:space="preserve"> (CSF), is contained </w:t>
      </w:r>
      <w:r w:rsidR="00CE1E1F">
        <w:t xml:space="preserve">in separate </w:t>
      </w:r>
      <w:r>
        <w:t>fishery specific reports).</w:t>
      </w:r>
    </w:p>
    <w:p w14:paraId="396D2AF8" w14:textId="263BCD2D" w:rsidR="0027341E" w:rsidRPr="00825FD7" w:rsidRDefault="0027341E" w:rsidP="0027341E">
      <w:pPr>
        <w:pStyle w:val="ListParagraph"/>
        <w:numPr>
          <w:ilvl w:val="0"/>
          <w:numId w:val="21"/>
        </w:numPr>
      </w:pPr>
      <w:r w:rsidRPr="00825FD7">
        <w:t>R</w:t>
      </w:r>
      <w:r w:rsidR="000F7157" w:rsidRPr="00825FD7">
        <w:t xml:space="preserve">egional </w:t>
      </w:r>
      <w:r w:rsidRPr="00825FD7">
        <w:t xml:space="preserve">fishery </w:t>
      </w:r>
      <w:r w:rsidR="000F7157" w:rsidRPr="00825FD7">
        <w:t>status</w:t>
      </w:r>
      <w:r w:rsidRPr="00825FD7">
        <w:t>.</w:t>
      </w:r>
    </w:p>
    <w:p w14:paraId="6B48D164" w14:textId="5F3B0340" w:rsidR="0027341E" w:rsidRDefault="0027341E" w:rsidP="0027341E">
      <w:pPr>
        <w:pStyle w:val="ListParagraph"/>
        <w:numPr>
          <w:ilvl w:val="0"/>
          <w:numId w:val="21"/>
        </w:numPr>
      </w:pPr>
      <w:r>
        <w:t>Recent t</w:t>
      </w:r>
      <w:r w:rsidR="000F7157">
        <w:t>rade</w:t>
      </w:r>
      <w:r>
        <w:t xml:space="preserve"> information.</w:t>
      </w:r>
    </w:p>
    <w:p w14:paraId="399CDBFC" w14:textId="75F88829" w:rsidR="000F7157" w:rsidRDefault="0027341E" w:rsidP="0027341E">
      <w:pPr>
        <w:pStyle w:val="ListParagraph"/>
        <w:numPr>
          <w:ilvl w:val="0"/>
          <w:numId w:val="21"/>
        </w:numPr>
      </w:pPr>
      <w:r>
        <w:t>A</w:t>
      </w:r>
      <w:r w:rsidR="000F7157">
        <w:t xml:space="preserve"> synopsis of </w:t>
      </w:r>
      <w:r>
        <w:t xml:space="preserve">Australian </w:t>
      </w:r>
      <w:r w:rsidR="00F91C6A">
        <w:t xml:space="preserve">fishery </w:t>
      </w:r>
      <w:r>
        <w:t xml:space="preserve">product </w:t>
      </w:r>
      <w:r w:rsidR="00F91C6A">
        <w:t>weight definitions and conversion ratios</w:t>
      </w:r>
      <w:r>
        <w:t>.</w:t>
      </w:r>
    </w:p>
    <w:p w14:paraId="02341C27" w14:textId="5C503116" w:rsidR="0027341E" w:rsidRDefault="0027341E" w:rsidP="0027341E">
      <w:pPr>
        <w:pStyle w:val="ListParagraph"/>
        <w:numPr>
          <w:ilvl w:val="0"/>
          <w:numId w:val="21"/>
        </w:numPr>
      </w:pPr>
      <w:r>
        <w:t xml:space="preserve">Current gaps in available information relevant to the making of NDFs, including, but not limited to, population status, range, density, movement/migration, harvest and susceptibility to environmental matters such as climate events. </w:t>
      </w:r>
    </w:p>
    <w:p w14:paraId="5C768151" w14:textId="3CCB391F" w:rsidR="003C360D" w:rsidRDefault="003C360D" w:rsidP="003C360D">
      <w:r w:rsidRPr="00EF6DAB">
        <w:t>Most of th</w:t>
      </w:r>
      <w:r>
        <w:t>e</w:t>
      </w:r>
      <w:r w:rsidRPr="00EF6DAB">
        <w:t xml:space="preserve"> information was sourced from published scientific papers and reports, and on fishery assessment and synthesis reports by the state and federal </w:t>
      </w:r>
      <w:r>
        <w:t xml:space="preserve">fishery </w:t>
      </w:r>
      <w:r w:rsidRPr="00EF6DAB">
        <w:t>management agencies.</w:t>
      </w:r>
    </w:p>
    <w:p w14:paraId="1F30BF46" w14:textId="74B2440E" w:rsidR="00DD488F" w:rsidRDefault="00E109D5" w:rsidP="00DD488F">
      <w:pPr>
        <w:pStyle w:val="Heading1"/>
      </w:pPr>
      <w:bookmarkStart w:id="13" w:name="_Toc189055263"/>
      <w:bookmarkEnd w:id="11"/>
      <w:r>
        <w:lastRenderedPageBreak/>
        <w:t>The species</w:t>
      </w:r>
      <w:bookmarkEnd w:id="13"/>
    </w:p>
    <w:p w14:paraId="24F5BC16" w14:textId="77777777" w:rsidR="009A4A9B" w:rsidRDefault="009A4A9B" w:rsidP="009A4A9B">
      <w:r>
        <w:t>Black teatfish (</w:t>
      </w:r>
      <w:r w:rsidRPr="00F93970">
        <w:rPr>
          <w:i/>
          <w:iCs/>
        </w:rPr>
        <w:t>Holothuria whitmaei</w:t>
      </w:r>
      <w:r>
        <w:t>) and White teatfish (</w:t>
      </w:r>
      <w:r w:rsidRPr="00F93970">
        <w:rPr>
          <w:i/>
          <w:iCs/>
        </w:rPr>
        <w:t>H. fuscogilva</w:t>
      </w:r>
      <w:r>
        <w:t>) both sit within the: Phylum Echinodermata, Class Holothuroidea, Order Holothuriida, Family Holothuriidae, Genus Holothuria, Sub-genus Microthele (ADF, 2024).</w:t>
      </w:r>
    </w:p>
    <w:p w14:paraId="63A93089" w14:textId="6B5F2ECD" w:rsidR="008E2488" w:rsidRDefault="008E2488" w:rsidP="0027341E">
      <w:r>
        <w:t xml:space="preserve">The teatfishes have been subject to some </w:t>
      </w:r>
      <w:r w:rsidR="005357EB">
        <w:t xml:space="preserve">taxonomic </w:t>
      </w:r>
      <w:r>
        <w:t xml:space="preserve">changes in recent history, and the group has still some uncertainties that require taxonomic attention. For example, </w:t>
      </w:r>
      <w:r w:rsidR="008F62AF">
        <w:t xml:space="preserve">a molecular study in 2004 using </w:t>
      </w:r>
      <w:r w:rsidR="008F62AF" w:rsidRPr="008F62AF">
        <w:t>mtDNA</w:t>
      </w:r>
      <w:r w:rsidR="008F62AF">
        <w:t xml:space="preserve"> split the former </w:t>
      </w:r>
      <w:r w:rsidR="001D4DB0">
        <w:t>complex</w:t>
      </w:r>
      <w:r w:rsidR="008F62AF">
        <w:t xml:space="preserve"> </w:t>
      </w:r>
      <w:r>
        <w:t>Black teatfish (</w:t>
      </w:r>
      <w:r w:rsidRPr="008E2488">
        <w:rPr>
          <w:i/>
          <w:iCs/>
        </w:rPr>
        <w:t>H</w:t>
      </w:r>
      <w:r w:rsidR="009A4A9B">
        <w:rPr>
          <w:i/>
          <w:iCs/>
        </w:rPr>
        <w:t>.</w:t>
      </w:r>
      <w:r w:rsidRPr="008E2488">
        <w:rPr>
          <w:i/>
          <w:iCs/>
        </w:rPr>
        <w:t xml:space="preserve"> nobilis</w:t>
      </w:r>
      <w:r>
        <w:t xml:space="preserve">) into two separate species: </w:t>
      </w:r>
      <w:r w:rsidRPr="008F62AF">
        <w:rPr>
          <w:i/>
          <w:iCs/>
        </w:rPr>
        <w:t>H</w:t>
      </w:r>
      <w:r w:rsidR="009A4A9B">
        <w:rPr>
          <w:i/>
          <w:iCs/>
        </w:rPr>
        <w:t>.</w:t>
      </w:r>
      <w:r w:rsidRPr="008F62AF">
        <w:rPr>
          <w:i/>
          <w:iCs/>
        </w:rPr>
        <w:t xml:space="preserve"> whitmaei</w:t>
      </w:r>
      <w:r w:rsidRPr="008E2488">
        <w:t xml:space="preserve"> occurring in the Pacific Ocean</w:t>
      </w:r>
      <w:r w:rsidR="008F62AF">
        <w:t xml:space="preserve"> (and presumably in the east Indian Ocean as well as the study included specimens from the west Australian coastline)</w:t>
      </w:r>
      <w:r w:rsidRPr="008E2488">
        <w:t xml:space="preserve">, </w:t>
      </w:r>
      <w:r>
        <w:t xml:space="preserve">and </w:t>
      </w:r>
      <w:r w:rsidRPr="008F62AF">
        <w:rPr>
          <w:i/>
          <w:iCs/>
        </w:rPr>
        <w:t>H</w:t>
      </w:r>
      <w:r w:rsidR="009A4A9B">
        <w:rPr>
          <w:i/>
          <w:iCs/>
        </w:rPr>
        <w:t>.</w:t>
      </w:r>
      <w:r w:rsidRPr="008F62AF">
        <w:rPr>
          <w:i/>
          <w:iCs/>
        </w:rPr>
        <w:t xml:space="preserve"> nobilis</w:t>
      </w:r>
      <w:r w:rsidRPr="008E2488">
        <w:t xml:space="preserve"> </w:t>
      </w:r>
      <w:r>
        <w:t xml:space="preserve">in the </w:t>
      </w:r>
      <w:r w:rsidR="008F62AF">
        <w:t xml:space="preserve">west </w:t>
      </w:r>
      <w:r w:rsidRPr="008E2488">
        <w:t>Indian Ocean (Uthicke et al. 2004</w:t>
      </w:r>
      <w:r w:rsidR="009A4A9B" w:rsidRPr="0025760C">
        <w:t>b</w:t>
      </w:r>
      <w:r w:rsidRPr="008E2488">
        <w:t>).</w:t>
      </w:r>
      <w:r w:rsidR="008F62AF">
        <w:t xml:space="preserve"> Both that and subsequent studies have raised the possibility of cryptic species in the White teatfish clade</w:t>
      </w:r>
      <w:r w:rsidR="00886A0A">
        <w:t xml:space="preserve">, especially in the </w:t>
      </w:r>
      <w:r w:rsidR="009A4A9B">
        <w:t>Indian</w:t>
      </w:r>
      <w:r w:rsidR="00886A0A">
        <w:t xml:space="preserve"> Ocean (Purcell et al., 2017; </w:t>
      </w:r>
      <w:r w:rsidR="009A4A9B">
        <w:t>Uthicke et al., 2009</w:t>
      </w:r>
      <w:r w:rsidR="009A4A9B" w:rsidRPr="009A4A9B">
        <w:rPr>
          <w:i/>
          <w:iCs/>
        </w:rPr>
        <w:t>b</w:t>
      </w:r>
      <w:r w:rsidR="009A4A9B">
        <w:t xml:space="preserve">; </w:t>
      </w:r>
      <w:r w:rsidR="00886A0A">
        <w:t>Oury et al., 2019</w:t>
      </w:r>
      <w:r w:rsidR="00E96280">
        <w:t xml:space="preserve">; </w:t>
      </w:r>
      <w:r w:rsidR="00E96280" w:rsidRPr="00E96280">
        <w:t>Karan</w:t>
      </w:r>
      <w:r w:rsidR="00E96280">
        <w:t xml:space="preserve"> et al., </w:t>
      </w:r>
      <w:r w:rsidR="00E96280" w:rsidRPr="00E96280">
        <w:t>2024</w:t>
      </w:r>
      <w:r w:rsidR="00886A0A">
        <w:t>)</w:t>
      </w:r>
      <w:r w:rsidR="008F62AF">
        <w:t>.</w:t>
      </w:r>
    </w:p>
    <w:p w14:paraId="56C09220" w14:textId="5140E3A9" w:rsidR="009A4A9B" w:rsidRDefault="009A4A9B" w:rsidP="0027341E">
      <w:r>
        <w:t>However, there is strong support for Black teatfish (</w:t>
      </w:r>
      <w:r w:rsidRPr="009A4A9B">
        <w:rPr>
          <w:i/>
          <w:iCs/>
        </w:rPr>
        <w:t>H. whitmaei</w:t>
      </w:r>
      <w:r>
        <w:t>) and White teatfish (</w:t>
      </w:r>
      <w:r w:rsidRPr="009A4A9B">
        <w:rPr>
          <w:i/>
          <w:iCs/>
        </w:rPr>
        <w:t>H. fuscogilva</w:t>
      </w:r>
      <w:r>
        <w:t xml:space="preserve">) </w:t>
      </w:r>
      <w:r w:rsidR="00E96280">
        <w:t xml:space="preserve">as valid </w:t>
      </w:r>
      <w:r>
        <w:t>species in Australia, and the current nomenclature is unlikely to change in the future (</w:t>
      </w:r>
      <w:r w:rsidRPr="008E2488">
        <w:t>Uthicke et al. 2004</w:t>
      </w:r>
      <w:r w:rsidRPr="009A4A9B">
        <w:rPr>
          <w:i/>
          <w:iCs/>
        </w:rPr>
        <w:t>b</w:t>
      </w:r>
      <w:r>
        <w:t>; Uthicke et al., 2009</w:t>
      </w:r>
      <w:r w:rsidRPr="0025760C">
        <w:t>b</w:t>
      </w:r>
      <w:r>
        <w:t xml:space="preserve">). </w:t>
      </w:r>
    </w:p>
    <w:p w14:paraId="4C064AD7" w14:textId="77777777" w:rsidR="00D85BE6" w:rsidRDefault="00D85BE6" w:rsidP="00D85BE6">
      <w:pPr>
        <w:pStyle w:val="Heading2"/>
        <w:numPr>
          <w:ilvl w:val="1"/>
          <w:numId w:val="10"/>
        </w:numPr>
      </w:pPr>
      <w:bookmarkStart w:id="14" w:name="_Toc189055264"/>
      <w:r>
        <w:t>Distribution</w:t>
      </w:r>
      <w:bookmarkEnd w:id="14"/>
    </w:p>
    <w:p w14:paraId="2871E6AF" w14:textId="76516F43" w:rsidR="00D85BE6" w:rsidRDefault="009F7EB9" w:rsidP="009472D8">
      <w:pPr>
        <w:pStyle w:val="Heading3"/>
      </w:pPr>
      <w:r>
        <w:t>Black teatfish (Pacific)</w:t>
      </w:r>
    </w:p>
    <w:p w14:paraId="6D109AC9" w14:textId="28814282" w:rsidR="004B4A35" w:rsidRDefault="009F7EB9" w:rsidP="004B4A35">
      <w:r>
        <w:t xml:space="preserve">The (Pacific) Black </w:t>
      </w:r>
      <w:r w:rsidR="008D7D57">
        <w:t>teatfish</w:t>
      </w:r>
      <w:r w:rsidR="0027341E" w:rsidRPr="00CE1E1F">
        <w:t xml:space="preserve"> is found t</w:t>
      </w:r>
      <w:r w:rsidR="004B4A35" w:rsidRPr="00CE1E1F">
        <w:t xml:space="preserve">hroughout the </w:t>
      </w:r>
      <w:r w:rsidR="0003634F">
        <w:t xml:space="preserve">west </w:t>
      </w:r>
      <w:r w:rsidR="004B4A35" w:rsidRPr="00CE1E1F">
        <w:t>Pacific</w:t>
      </w:r>
      <w:r w:rsidR="00560CD3">
        <w:t xml:space="preserve"> and east Indian Ocean. </w:t>
      </w:r>
      <w:r w:rsidR="004B4A35" w:rsidRPr="00CE1E1F">
        <w:t>It occurs from</w:t>
      </w:r>
      <w:r w:rsidR="00560CD3">
        <w:t xml:space="preserve"> Indonesia, </w:t>
      </w:r>
      <w:r w:rsidR="0027341E" w:rsidRPr="00CE1E1F">
        <w:t xml:space="preserve">the </w:t>
      </w:r>
      <w:r>
        <w:t xml:space="preserve">west </w:t>
      </w:r>
      <w:r w:rsidR="0027341E" w:rsidRPr="00CE1E1F">
        <w:t xml:space="preserve">coast of </w:t>
      </w:r>
      <w:r w:rsidR="004B4A35" w:rsidRPr="00CE1E1F">
        <w:t>Australia, north to Japan and China, and southeast to Palau, Guam, Tonga, Tuvalu, and the Cook Islands</w:t>
      </w:r>
      <w:r w:rsidR="001053A7" w:rsidRPr="00CE1E1F">
        <w:t xml:space="preserve"> </w:t>
      </w:r>
      <w:r w:rsidR="003F09A1" w:rsidRPr="00CE1E1F">
        <w:t>(</w:t>
      </w:r>
      <w:r w:rsidR="005668C6" w:rsidRPr="00CE1E1F">
        <w:fldChar w:fldCharType="begin"/>
      </w:r>
      <w:r w:rsidR="005668C6" w:rsidRPr="00CE1E1F">
        <w:instrText xml:space="preserve"> REF _Ref147509925 </w:instrText>
      </w:r>
      <w:r w:rsidR="00CE1E1F">
        <w:instrText xml:space="preserve"> \* MERGEFORMAT </w:instrText>
      </w:r>
      <w:r w:rsidR="005668C6" w:rsidRPr="00CE1E1F">
        <w:fldChar w:fldCharType="separate"/>
      </w:r>
      <w:r w:rsidR="007B2A78">
        <w:t xml:space="preserve">Figure </w:t>
      </w:r>
      <w:r w:rsidR="007B2A78">
        <w:rPr>
          <w:noProof/>
        </w:rPr>
        <w:t>1</w:t>
      </w:r>
      <w:r w:rsidR="005668C6" w:rsidRPr="00CE1E1F">
        <w:rPr>
          <w:noProof/>
        </w:rPr>
        <w:fldChar w:fldCharType="end"/>
      </w:r>
      <w:r w:rsidR="003F09A1" w:rsidRPr="00CE1E1F">
        <w:t xml:space="preserve">) </w:t>
      </w:r>
      <w:r w:rsidR="001053A7" w:rsidRPr="00CE1E1F">
        <w:t>(</w:t>
      </w:r>
      <w:r w:rsidR="00560CD3">
        <w:t>FAO, 2024</w:t>
      </w:r>
      <w:r w:rsidR="00FB7F6D" w:rsidRPr="00CE1E1F">
        <w:t>; Purcell et al., 2023</w:t>
      </w:r>
      <w:r w:rsidR="000E0A8F">
        <w:t>a</w:t>
      </w:r>
      <w:r w:rsidR="00FB7F6D" w:rsidRPr="00CE1E1F">
        <w:t>)</w:t>
      </w:r>
      <w:r w:rsidR="0027341E" w:rsidRPr="00CE1E1F">
        <w:t>.</w:t>
      </w:r>
    </w:p>
    <w:p w14:paraId="4191F72F" w14:textId="1BFC7D99" w:rsidR="002F79D5" w:rsidRDefault="002F79D5" w:rsidP="002F79D5">
      <w:r>
        <w:t xml:space="preserve">In Australia, </w:t>
      </w:r>
      <w:r w:rsidR="00560CD3">
        <w:t>Black teatfish</w:t>
      </w:r>
      <w:r>
        <w:t xml:space="preserve"> are distributed from </w:t>
      </w:r>
      <w:r w:rsidR="00560CD3">
        <w:t xml:space="preserve">Ningaloo Reef </w:t>
      </w:r>
      <w:r>
        <w:t xml:space="preserve">in Western Australia across </w:t>
      </w:r>
      <w:r w:rsidR="00560CD3">
        <w:t xml:space="preserve">most of </w:t>
      </w:r>
      <w:r>
        <w:t xml:space="preserve">northern Australia and down the east coast to </w:t>
      </w:r>
      <w:r w:rsidR="00560CD3">
        <w:t xml:space="preserve">Moreton Bay in Queensland </w:t>
      </w:r>
      <w:r>
        <w:t>(</w:t>
      </w:r>
      <w:r>
        <w:fldChar w:fldCharType="begin"/>
      </w:r>
      <w:r>
        <w:instrText xml:space="preserve"> REF _Ref150258841 \h </w:instrText>
      </w:r>
      <w:r>
        <w:fldChar w:fldCharType="separate"/>
      </w:r>
      <w:r w:rsidR="007B2A78">
        <w:t xml:space="preserve">Figure </w:t>
      </w:r>
      <w:r w:rsidR="007B2A78">
        <w:rPr>
          <w:noProof/>
        </w:rPr>
        <w:t>2</w:t>
      </w:r>
      <w:r>
        <w:fldChar w:fldCharType="end"/>
      </w:r>
      <w:r>
        <w:t xml:space="preserve">). They are also found on the offshore islands and reefs from the Cocos (Keeling) Islands in the west to </w:t>
      </w:r>
      <w:r w:rsidRPr="00CE1E1F">
        <w:t>Elizabeth and Middleton Reefs</w:t>
      </w:r>
      <w:r>
        <w:t xml:space="preserve"> in the east (</w:t>
      </w:r>
      <w:r>
        <w:fldChar w:fldCharType="begin"/>
      </w:r>
      <w:r>
        <w:instrText xml:space="preserve"> REF _Ref149600669 \h </w:instrText>
      </w:r>
      <w:r>
        <w:fldChar w:fldCharType="separate"/>
      </w:r>
      <w:r w:rsidR="007B2A78">
        <w:t xml:space="preserve">Table </w:t>
      </w:r>
      <w:r w:rsidR="007B2A78">
        <w:rPr>
          <w:noProof/>
        </w:rPr>
        <w:t>1</w:t>
      </w:r>
      <w:r>
        <w:fldChar w:fldCharType="end"/>
      </w:r>
      <w:r>
        <w:t xml:space="preserve">, </w:t>
      </w:r>
      <w:r>
        <w:fldChar w:fldCharType="begin"/>
      </w:r>
      <w:r>
        <w:instrText xml:space="preserve"> REF _Ref150258841 \h </w:instrText>
      </w:r>
      <w:r>
        <w:fldChar w:fldCharType="separate"/>
      </w:r>
      <w:r w:rsidR="007B2A78">
        <w:t xml:space="preserve">Figure </w:t>
      </w:r>
      <w:r w:rsidR="007B2A78">
        <w:rPr>
          <w:noProof/>
        </w:rPr>
        <w:t>2</w:t>
      </w:r>
      <w:r>
        <w:fldChar w:fldCharType="end"/>
      </w:r>
      <w:r>
        <w:t>).</w:t>
      </w:r>
    </w:p>
    <w:p w14:paraId="15A2530E" w14:textId="79012AB4" w:rsidR="00560CD3" w:rsidRDefault="00560CD3" w:rsidP="002F79D5">
      <w:r>
        <w:t xml:space="preserve">Black teatfish </w:t>
      </w:r>
      <w:r w:rsidR="002F79D5">
        <w:t>are exclusively found associated with reef structures and commonly occur</w:t>
      </w:r>
      <w:r>
        <w:t xml:space="preserve"> on reef flats, shallow reef slopes, the tops of lagoon pinnacles and sandy seagrass beds between 0 and 20 m. (Purcell et al., 2023a). In Australian fisheries, </w:t>
      </w:r>
      <w:r w:rsidRPr="00D0176E">
        <w:t xml:space="preserve">they are mostly </w:t>
      </w:r>
      <w:r>
        <w:t xml:space="preserve">commonly </w:t>
      </w:r>
      <w:r w:rsidRPr="00D0176E">
        <w:t xml:space="preserve">caught </w:t>
      </w:r>
      <w:r>
        <w:t xml:space="preserve">in waters shallower than 10 m, though they can be caught in deeper water in areas with large tidal ranges and extensive deep reef habitats </w:t>
      </w:r>
      <w:r w:rsidR="000B5A6E">
        <w:t xml:space="preserve">such as those found on the southern GBR </w:t>
      </w:r>
      <w:r>
        <w:t>(</w:t>
      </w:r>
      <w:r w:rsidR="0025760C">
        <w:t>Koopman and Knuckey, 2021</w:t>
      </w:r>
      <w:r w:rsidR="0025760C" w:rsidRPr="0025760C">
        <w:rPr>
          <w:i/>
          <w:iCs/>
        </w:rPr>
        <w:t>a</w:t>
      </w:r>
      <w:r w:rsidR="0025760C">
        <w:t>)</w:t>
      </w:r>
      <w:r>
        <w:t xml:space="preserve">. </w:t>
      </w:r>
    </w:p>
    <w:p w14:paraId="06470CC9" w14:textId="5B8F6E43" w:rsidR="00BF67B5" w:rsidRPr="003F09A1" w:rsidRDefault="00BF67B5" w:rsidP="000B5A6E">
      <w:pPr>
        <w:pStyle w:val="Caption"/>
      </w:pPr>
      <w:bookmarkStart w:id="15" w:name="_Ref149600669"/>
      <w:bookmarkStart w:id="16" w:name="_Toc174091511"/>
      <w:bookmarkStart w:id="17" w:name="_Toc189055301"/>
      <w:r>
        <w:t xml:space="preserve">Table </w:t>
      </w:r>
      <w:fldSimple w:instr=" SEQ Table \* ARABIC ">
        <w:r w:rsidR="007B2A78">
          <w:rPr>
            <w:noProof/>
          </w:rPr>
          <w:t>1</w:t>
        </w:r>
      </w:fldSimple>
      <w:bookmarkEnd w:id="15"/>
      <w:r>
        <w:t xml:space="preserve">. </w:t>
      </w:r>
      <w:r w:rsidR="001D4DB0">
        <w:t>R</w:t>
      </w:r>
      <w:r>
        <w:t>ecords of occurrence for Black teatfish and White teatfish</w:t>
      </w:r>
      <w:r w:rsidR="001D4DB0">
        <w:t xml:space="preserve"> (Additional to established records in FAO, 2024)</w:t>
      </w:r>
      <w:r>
        <w:t>.</w:t>
      </w:r>
      <w:bookmarkEnd w:id="16"/>
      <w:bookmarkEnd w:id="17"/>
    </w:p>
    <w:tbl>
      <w:tblPr>
        <w:tblStyle w:val="TableProfessional"/>
        <w:tblW w:w="9773" w:type="dxa"/>
        <w:tblLook w:val="04A0" w:firstRow="1" w:lastRow="0" w:firstColumn="1" w:lastColumn="0" w:noHBand="0" w:noVBand="1"/>
      </w:tblPr>
      <w:tblGrid>
        <w:gridCol w:w="2119"/>
        <w:gridCol w:w="3827"/>
        <w:gridCol w:w="3827"/>
      </w:tblGrid>
      <w:tr w:rsidR="00BF67B5" w:rsidRPr="00760828" w14:paraId="67FCCB4E" w14:textId="77777777" w:rsidTr="008B70B9">
        <w:trPr>
          <w:cnfStyle w:val="100000000000" w:firstRow="1" w:lastRow="0" w:firstColumn="0" w:lastColumn="0" w:oddVBand="0" w:evenVBand="0" w:oddHBand="0" w:evenHBand="0" w:firstRowFirstColumn="0" w:firstRowLastColumn="0" w:lastRowFirstColumn="0" w:lastRowLastColumn="0"/>
        </w:trPr>
        <w:tc>
          <w:tcPr>
            <w:tcW w:w="2119" w:type="dxa"/>
          </w:tcPr>
          <w:p w14:paraId="6EC2226E" w14:textId="77777777" w:rsidR="00BF67B5" w:rsidRPr="00760828" w:rsidRDefault="00BF67B5" w:rsidP="008B70B9">
            <w:pPr>
              <w:autoSpaceDE w:val="0"/>
              <w:autoSpaceDN w:val="0"/>
              <w:adjustRightInd w:val="0"/>
              <w:spacing w:after="0"/>
              <w:rPr>
                <w:rFonts w:cs="Calibri"/>
                <w:b/>
                <w:bCs/>
                <w:color w:val="auto"/>
                <w:sz w:val="20"/>
                <w:szCs w:val="20"/>
              </w:rPr>
            </w:pPr>
            <w:r w:rsidRPr="00760828">
              <w:rPr>
                <w:rFonts w:cs="Calibri"/>
                <w:b/>
                <w:bCs/>
                <w:color w:val="auto"/>
                <w:sz w:val="20"/>
                <w:szCs w:val="20"/>
              </w:rPr>
              <w:t>Location</w:t>
            </w:r>
          </w:p>
        </w:tc>
        <w:tc>
          <w:tcPr>
            <w:tcW w:w="3827" w:type="dxa"/>
          </w:tcPr>
          <w:p w14:paraId="28AFC4A2" w14:textId="77777777" w:rsidR="00BF67B5" w:rsidRPr="00760828" w:rsidRDefault="00BF67B5" w:rsidP="008B70B9">
            <w:pPr>
              <w:autoSpaceDE w:val="0"/>
              <w:autoSpaceDN w:val="0"/>
              <w:adjustRightInd w:val="0"/>
              <w:spacing w:after="0"/>
              <w:rPr>
                <w:rFonts w:cs="Calibri"/>
                <w:b/>
                <w:bCs/>
                <w:color w:val="auto"/>
                <w:sz w:val="20"/>
                <w:szCs w:val="20"/>
              </w:rPr>
            </w:pPr>
            <w:r>
              <w:rPr>
                <w:rFonts w:cs="Calibri"/>
                <w:b/>
                <w:bCs/>
                <w:color w:val="auto"/>
                <w:sz w:val="20"/>
                <w:szCs w:val="20"/>
              </w:rPr>
              <w:t>Black teatfish</w:t>
            </w:r>
          </w:p>
        </w:tc>
        <w:tc>
          <w:tcPr>
            <w:tcW w:w="3827" w:type="dxa"/>
          </w:tcPr>
          <w:p w14:paraId="7A173943" w14:textId="77777777" w:rsidR="00BF67B5" w:rsidRPr="00760828" w:rsidRDefault="00BF67B5" w:rsidP="008B70B9">
            <w:pPr>
              <w:autoSpaceDE w:val="0"/>
              <w:autoSpaceDN w:val="0"/>
              <w:adjustRightInd w:val="0"/>
              <w:spacing w:after="0"/>
              <w:rPr>
                <w:rFonts w:cs="Calibri"/>
                <w:b/>
                <w:bCs/>
                <w:color w:val="auto"/>
                <w:sz w:val="20"/>
                <w:szCs w:val="20"/>
              </w:rPr>
            </w:pPr>
            <w:r>
              <w:rPr>
                <w:rFonts w:cs="Calibri"/>
                <w:b/>
                <w:bCs/>
                <w:color w:val="auto"/>
                <w:sz w:val="20"/>
                <w:szCs w:val="20"/>
              </w:rPr>
              <w:t>White teatfish</w:t>
            </w:r>
          </w:p>
        </w:tc>
      </w:tr>
      <w:tr w:rsidR="00BF67B5" w:rsidRPr="00D5699B" w14:paraId="0641B11D" w14:textId="77777777" w:rsidTr="008B70B9">
        <w:tc>
          <w:tcPr>
            <w:tcW w:w="2119" w:type="dxa"/>
          </w:tcPr>
          <w:p w14:paraId="681054DD" w14:textId="77777777" w:rsidR="00BF67B5" w:rsidRPr="00D5699B" w:rsidRDefault="00BF67B5" w:rsidP="008B70B9">
            <w:pPr>
              <w:autoSpaceDE w:val="0"/>
              <w:autoSpaceDN w:val="0"/>
              <w:adjustRightInd w:val="0"/>
              <w:spacing w:after="0"/>
              <w:rPr>
                <w:rFonts w:cs="Calibri"/>
                <w:color w:val="auto"/>
                <w:sz w:val="20"/>
                <w:szCs w:val="20"/>
              </w:rPr>
            </w:pPr>
            <w:r w:rsidRPr="00D5699B">
              <w:rPr>
                <w:rFonts w:cs="Calibri"/>
                <w:color w:val="auto"/>
                <w:sz w:val="20"/>
                <w:szCs w:val="20"/>
              </w:rPr>
              <w:t xml:space="preserve">Cocos (Keeling) Islands </w:t>
            </w:r>
          </w:p>
        </w:tc>
        <w:tc>
          <w:tcPr>
            <w:tcW w:w="3827" w:type="dxa"/>
          </w:tcPr>
          <w:p w14:paraId="559480D8" w14:textId="77777777" w:rsidR="00BF67B5" w:rsidRPr="00D5699B" w:rsidRDefault="00BF67B5" w:rsidP="008B70B9">
            <w:pPr>
              <w:autoSpaceDE w:val="0"/>
              <w:autoSpaceDN w:val="0"/>
              <w:adjustRightInd w:val="0"/>
              <w:spacing w:after="0"/>
              <w:rPr>
                <w:rFonts w:cs="Calibri"/>
                <w:color w:val="auto"/>
                <w:sz w:val="20"/>
                <w:szCs w:val="20"/>
              </w:rPr>
            </w:pPr>
            <w:r w:rsidRPr="00D5699B">
              <w:rPr>
                <w:rFonts w:cs="Calibri"/>
                <w:color w:val="auto"/>
                <w:sz w:val="20"/>
                <w:szCs w:val="20"/>
              </w:rPr>
              <w:t>Yes (Bellchambers et al., 2011)</w:t>
            </w:r>
          </w:p>
        </w:tc>
        <w:tc>
          <w:tcPr>
            <w:tcW w:w="3827" w:type="dxa"/>
          </w:tcPr>
          <w:p w14:paraId="3D1FC126" w14:textId="77777777" w:rsidR="00BF67B5" w:rsidRPr="00D5699B" w:rsidRDefault="00BF67B5" w:rsidP="008B70B9">
            <w:pPr>
              <w:autoSpaceDE w:val="0"/>
              <w:autoSpaceDN w:val="0"/>
              <w:adjustRightInd w:val="0"/>
              <w:spacing w:after="0"/>
              <w:rPr>
                <w:rFonts w:cs="Calibri"/>
                <w:color w:val="auto"/>
                <w:sz w:val="20"/>
                <w:szCs w:val="20"/>
              </w:rPr>
            </w:pPr>
            <w:r w:rsidRPr="00D5699B">
              <w:rPr>
                <w:rFonts w:cs="Calibri"/>
                <w:color w:val="auto"/>
                <w:sz w:val="20"/>
                <w:szCs w:val="20"/>
              </w:rPr>
              <w:t>Yes (Bellchambers et al., 2011)</w:t>
            </w:r>
          </w:p>
        </w:tc>
      </w:tr>
      <w:tr w:rsidR="00BF67B5" w:rsidRPr="00D5699B" w14:paraId="72E8712C" w14:textId="77777777" w:rsidTr="008B70B9">
        <w:tc>
          <w:tcPr>
            <w:tcW w:w="2119" w:type="dxa"/>
          </w:tcPr>
          <w:p w14:paraId="21346500" w14:textId="77777777" w:rsidR="00BF67B5" w:rsidRPr="00220C22" w:rsidRDefault="00BF67B5" w:rsidP="008B70B9">
            <w:pPr>
              <w:autoSpaceDE w:val="0"/>
              <w:autoSpaceDN w:val="0"/>
              <w:adjustRightInd w:val="0"/>
              <w:spacing w:after="0"/>
              <w:rPr>
                <w:rFonts w:cs="Calibri"/>
                <w:color w:val="auto"/>
                <w:sz w:val="20"/>
                <w:szCs w:val="20"/>
              </w:rPr>
            </w:pPr>
            <w:r w:rsidRPr="00220C22">
              <w:rPr>
                <w:rFonts w:cs="Calibri"/>
                <w:color w:val="auto"/>
                <w:sz w:val="20"/>
                <w:szCs w:val="20"/>
              </w:rPr>
              <w:t>Christmas Island</w:t>
            </w:r>
          </w:p>
        </w:tc>
        <w:tc>
          <w:tcPr>
            <w:tcW w:w="3827" w:type="dxa"/>
          </w:tcPr>
          <w:p w14:paraId="72138511" w14:textId="77777777" w:rsidR="00BF67B5" w:rsidRPr="00220C22" w:rsidRDefault="00BF67B5" w:rsidP="008B70B9">
            <w:pPr>
              <w:autoSpaceDE w:val="0"/>
              <w:autoSpaceDN w:val="0"/>
              <w:adjustRightInd w:val="0"/>
              <w:spacing w:after="0"/>
              <w:rPr>
                <w:rFonts w:cs="Calibri"/>
                <w:color w:val="auto"/>
                <w:sz w:val="20"/>
                <w:szCs w:val="20"/>
              </w:rPr>
            </w:pPr>
            <w:r w:rsidRPr="00220C22">
              <w:rPr>
                <w:rFonts w:cs="Calibri"/>
                <w:color w:val="auto"/>
                <w:sz w:val="20"/>
                <w:szCs w:val="20"/>
              </w:rPr>
              <w:t>No records</w:t>
            </w:r>
          </w:p>
        </w:tc>
        <w:tc>
          <w:tcPr>
            <w:tcW w:w="3827" w:type="dxa"/>
          </w:tcPr>
          <w:p w14:paraId="71E4D5BC" w14:textId="77777777" w:rsidR="00BF67B5" w:rsidRPr="00220C22" w:rsidRDefault="00BF67B5" w:rsidP="008B70B9">
            <w:pPr>
              <w:autoSpaceDE w:val="0"/>
              <w:autoSpaceDN w:val="0"/>
              <w:adjustRightInd w:val="0"/>
              <w:spacing w:after="0"/>
              <w:rPr>
                <w:rFonts w:cs="Calibri"/>
                <w:color w:val="auto"/>
                <w:sz w:val="20"/>
                <w:szCs w:val="20"/>
              </w:rPr>
            </w:pPr>
            <w:r w:rsidRPr="00220C22">
              <w:rPr>
                <w:rFonts w:cs="Calibri"/>
                <w:color w:val="auto"/>
                <w:sz w:val="20"/>
                <w:szCs w:val="20"/>
              </w:rPr>
              <w:t>No records</w:t>
            </w:r>
          </w:p>
        </w:tc>
      </w:tr>
      <w:tr w:rsidR="00BF67B5" w:rsidRPr="00D5699B" w14:paraId="19330CD0" w14:textId="77777777" w:rsidTr="008B70B9">
        <w:tc>
          <w:tcPr>
            <w:tcW w:w="2119" w:type="dxa"/>
          </w:tcPr>
          <w:p w14:paraId="5A4AAA21" w14:textId="77777777" w:rsidR="00BF67B5" w:rsidRPr="00D5699B" w:rsidRDefault="00BF67B5" w:rsidP="008B70B9">
            <w:pPr>
              <w:autoSpaceDE w:val="0"/>
              <w:autoSpaceDN w:val="0"/>
              <w:adjustRightInd w:val="0"/>
              <w:spacing w:after="0"/>
              <w:rPr>
                <w:rFonts w:cs="Calibri"/>
                <w:color w:val="auto"/>
                <w:sz w:val="20"/>
                <w:szCs w:val="20"/>
              </w:rPr>
            </w:pPr>
            <w:r w:rsidRPr="00D5699B">
              <w:rPr>
                <w:rFonts w:cs="Calibri"/>
                <w:color w:val="auto"/>
                <w:sz w:val="20"/>
                <w:szCs w:val="20"/>
              </w:rPr>
              <w:t>Ashmore Reef</w:t>
            </w:r>
          </w:p>
        </w:tc>
        <w:tc>
          <w:tcPr>
            <w:tcW w:w="3827" w:type="dxa"/>
          </w:tcPr>
          <w:p w14:paraId="7D6DABA5" w14:textId="77777777" w:rsidR="00BF67B5" w:rsidRPr="006858AE" w:rsidRDefault="00BF67B5" w:rsidP="008B70B9">
            <w:pPr>
              <w:autoSpaceDE w:val="0"/>
              <w:autoSpaceDN w:val="0"/>
              <w:adjustRightInd w:val="0"/>
              <w:spacing w:after="0"/>
              <w:rPr>
                <w:rFonts w:cs="Calibri"/>
                <w:color w:val="auto"/>
                <w:sz w:val="20"/>
                <w:szCs w:val="20"/>
              </w:rPr>
            </w:pPr>
            <w:r w:rsidRPr="006858AE">
              <w:rPr>
                <w:rFonts w:cs="Calibri"/>
                <w:color w:val="auto"/>
                <w:sz w:val="20"/>
                <w:szCs w:val="20"/>
              </w:rPr>
              <w:t>Yes (Skewes et al., 1999</w:t>
            </w:r>
            <w:r w:rsidRPr="006858AE">
              <w:rPr>
                <w:rFonts w:cs="Calibri"/>
                <w:i/>
                <w:iCs/>
                <w:color w:val="auto"/>
                <w:sz w:val="20"/>
                <w:szCs w:val="20"/>
                <w:vertAlign w:val="superscript"/>
              </w:rPr>
              <w:t>a</w:t>
            </w:r>
            <w:r w:rsidRPr="006858AE">
              <w:rPr>
                <w:rFonts w:cs="Calibri"/>
                <w:color w:val="auto"/>
                <w:sz w:val="20"/>
                <w:szCs w:val="20"/>
              </w:rPr>
              <w:t>)</w:t>
            </w:r>
          </w:p>
        </w:tc>
        <w:tc>
          <w:tcPr>
            <w:tcW w:w="3827" w:type="dxa"/>
          </w:tcPr>
          <w:p w14:paraId="735EDC37" w14:textId="77777777" w:rsidR="00BF67B5" w:rsidRPr="006858AE" w:rsidRDefault="00BF67B5" w:rsidP="008B70B9">
            <w:pPr>
              <w:autoSpaceDE w:val="0"/>
              <w:autoSpaceDN w:val="0"/>
              <w:adjustRightInd w:val="0"/>
              <w:spacing w:after="0"/>
              <w:rPr>
                <w:rFonts w:cs="Calibri"/>
                <w:color w:val="auto"/>
                <w:sz w:val="20"/>
                <w:szCs w:val="20"/>
              </w:rPr>
            </w:pPr>
            <w:r w:rsidRPr="006858AE">
              <w:rPr>
                <w:rFonts w:cs="Calibri"/>
                <w:color w:val="auto"/>
                <w:sz w:val="20"/>
                <w:szCs w:val="20"/>
              </w:rPr>
              <w:t>Yes (Skewes et al., 1999)</w:t>
            </w:r>
          </w:p>
        </w:tc>
      </w:tr>
      <w:tr w:rsidR="00BF67B5" w:rsidRPr="00D5699B" w14:paraId="6B752FB3" w14:textId="77777777" w:rsidTr="008B70B9">
        <w:tc>
          <w:tcPr>
            <w:tcW w:w="2119" w:type="dxa"/>
          </w:tcPr>
          <w:p w14:paraId="567F5184" w14:textId="77777777" w:rsidR="00BF67B5" w:rsidRPr="006858AE" w:rsidRDefault="00BF67B5" w:rsidP="008B70B9">
            <w:pPr>
              <w:autoSpaceDE w:val="0"/>
              <w:autoSpaceDN w:val="0"/>
              <w:adjustRightInd w:val="0"/>
              <w:spacing w:after="0"/>
              <w:rPr>
                <w:rFonts w:cs="Calibri"/>
                <w:color w:val="auto"/>
                <w:sz w:val="20"/>
                <w:szCs w:val="20"/>
              </w:rPr>
            </w:pPr>
            <w:r w:rsidRPr="006858AE">
              <w:rPr>
                <w:rFonts w:cs="Calibri"/>
                <w:color w:val="auto"/>
                <w:sz w:val="20"/>
                <w:szCs w:val="20"/>
              </w:rPr>
              <w:t>Scott Reefs</w:t>
            </w:r>
          </w:p>
        </w:tc>
        <w:tc>
          <w:tcPr>
            <w:tcW w:w="3827" w:type="dxa"/>
          </w:tcPr>
          <w:p w14:paraId="6D671981" w14:textId="77777777" w:rsidR="00BF67B5" w:rsidRPr="006858AE" w:rsidRDefault="00BF67B5" w:rsidP="008B70B9">
            <w:pPr>
              <w:autoSpaceDE w:val="0"/>
              <w:autoSpaceDN w:val="0"/>
              <w:adjustRightInd w:val="0"/>
              <w:spacing w:after="0"/>
              <w:rPr>
                <w:rFonts w:cs="Calibri"/>
                <w:color w:val="auto"/>
                <w:sz w:val="20"/>
                <w:szCs w:val="20"/>
              </w:rPr>
            </w:pPr>
            <w:r w:rsidRPr="006858AE">
              <w:rPr>
                <w:rFonts w:cs="Calibri"/>
                <w:color w:val="auto"/>
                <w:sz w:val="20"/>
                <w:szCs w:val="20"/>
              </w:rPr>
              <w:t>Yes (Prescott et al., 2016)</w:t>
            </w:r>
          </w:p>
        </w:tc>
        <w:tc>
          <w:tcPr>
            <w:tcW w:w="3827" w:type="dxa"/>
          </w:tcPr>
          <w:p w14:paraId="274A60ED" w14:textId="77777777" w:rsidR="00BF67B5" w:rsidRPr="006858AE" w:rsidRDefault="00BF67B5" w:rsidP="008B70B9">
            <w:pPr>
              <w:autoSpaceDE w:val="0"/>
              <w:autoSpaceDN w:val="0"/>
              <w:adjustRightInd w:val="0"/>
              <w:spacing w:after="0"/>
              <w:rPr>
                <w:rFonts w:cs="Calibri"/>
                <w:color w:val="auto"/>
                <w:sz w:val="20"/>
                <w:szCs w:val="20"/>
              </w:rPr>
            </w:pPr>
            <w:r w:rsidRPr="006858AE">
              <w:rPr>
                <w:rFonts w:cs="Calibri"/>
                <w:color w:val="auto"/>
                <w:sz w:val="20"/>
                <w:szCs w:val="20"/>
              </w:rPr>
              <w:t>Yes (Prescott et al., 2016)</w:t>
            </w:r>
          </w:p>
        </w:tc>
      </w:tr>
      <w:tr w:rsidR="00BF67B5" w:rsidRPr="00D5699B" w14:paraId="51979787" w14:textId="77777777" w:rsidTr="008B70B9">
        <w:tc>
          <w:tcPr>
            <w:tcW w:w="2119" w:type="dxa"/>
          </w:tcPr>
          <w:p w14:paraId="09B3CA6F" w14:textId="77777777" w:rsidR="00BF67B5" w:rsidRPr="00B30D81" w:rsidRDefault="00BF67B5" w:rsidP="008B70B9">
            <w:pPr>
              <w:autoSpaceDE w:val="0"/>
              <w:autoSpaceDN w:val="0"/>
              <w:adjustRightInd w:val="0"/>
              <w:spacing w:after="0"/>
              <w:rPr>
                <w:rFonts w:cs="Calibri"/>
                <w:color w:val="auto"/>
                <w:sz w:val="20"/>
                <w:szCs w:val="20"/>
              </w:rPr>
            </w:pPr>
            <w:r w:rsidRPr="00B30D81">
              <w:rPr>
                <w:rFonts w:cs="Calibri"/>
                <w:color w:val="auto"/>
                <w:sz w:val="20"/>
                <w:szCs w:val="20"/>
              </w:rPr>
              <w:t>Rowley Shoals</w:t>
            </w:r>
          </w:p>
        </w:tc>
        <w:tc>
          <w:tcPr>
            <w:tcW w:w="3827" w:type="dxa"/>
          </w:tcPr>
          <w:p w14:paraId="5169C716" w14:textId="77777777" w:rsidR="00BF67B5" w:rsidRPr="00B30D81" w:rsidRDefault="00BF67B5" w:rsidP="008B70B9">
            <w:pPr>
              <w:autoSpaceDE w:val="0"/>
              <w:autoSpaceDN w:val="0"/>
              <w:adjustRightInd w:val="0"/>
              <w:spacing w:after="0"/>
              <w:rPr>
                <w:rFonts w:cs="Calibri"/>
                <w:color w:val="auto"/>
                <w:sz w:val="20"/>
                <w:szCs w:val="20"/>
              </w:rPr>
            </w:pPr>
            <w:r w:rsidRPr="00B30D81">
              <w:rPr>
                <w:rFonts w:cs="Calibri"/>
                <w:color w:val="auto"/>
                <w:sz w:val="20"/>
                <w:szCs w:val="20"/>
              </w:rPr>
              <w:t>Yes (Bryce and Marsh, 2009)</w:t>
            </w:r>
          </w:p>
        </w:tc>
        <w:tc>
          <w:tcPr>
            <w:tcW w:w="3827" w:type="dxa"/>
          </w:tcPr>
          <w:p w14:paraId="62076AC3" w14:textId="77777777" w:rsidR="00BF67B5" w:rsidRPr="00B30D81" w:rsidRDefault="00BF67B5" w:rsidP="008B70B9">
            <w:pPr>
              <w:autoSpaceDE w:val="0"/>
              <w:autoSpaceDN w:val="0"/>
              <w:adjustRightInd w:val="0"/>
              <w:spacing w:after="0"/>
              <w:rPr>
                <w:rFonts w:cs="Calibri"/>
                <w:color w:val="auto"/>
                <w:sz w:val="20"/>
                <w:szCs w:val="20"/>
              </w:rPr>
            </w:pPr>
            <w:r>
              <w:rPr>
                <w:rFonts w:cs="Calibri"/>
                <w:color w:val="auto"/>
                <w:sz w:val="20"/>
                <w:szCs w:val="20"/>
              </w:rPr>
              <w:t>Yes</w:t>
            </w:r>
            <w:r w:rsidRPr="00B30D81">
              <w:rPr>
                <w:rFonts w:cs="Calibri"/>
                <w:color w:val="auto"/>
                <w:sz w:val="20"/>
                <w:szCs w:val="20"/>
              </w:rPr>
              <w:t xml:space="preserve"> (</w:t>
            </w:r>
            <w:r>
              <w:rPr>
                <w:rFonts w:cs="Calibri"/>
                <w:color w:val="auto"/>
                <w:sz w:val="20"/>
                <w:szCs w:val="20"/>
              </w:rPr>
              <w:t>Rees et al., 2003</w:t>
            </w:r>
            <w:r w:rsidRPr="00B30D81">
              <w:rPr>
                <w:rFonts w:cs="Calibri"/>
                <w:color w:val="auto"/>
                <w:sz w:val="20"/>
                <w:szCs w:val="20"/>
              </w:rPr>
              <w:t>)</w:t>
            </w:r>
          </w:p>
        </w:tc>
      </w:tr>
      <w:tr w:rsidR="00BF67B5" w:rsidRPr="00D5699B" w14:paraId="7286AAC6" w14:textId="77777777" w:rsidTr="008B70B9">
        <w:tc>
          <w:tcPr>
            <w:tcW w:w="2119" w:type="dxa"/>
          </w:tcPr>
          <w:p w14:paraId="3F9CE3F8" w14:textId="77777777" w:rsidR="00BF67B5" w:rsidRPr="00D5699B" w:rsidRDefault="00BF67B5" w:rsidP="008B70B9">
            <w:pPr>
              <w:autoSpaceDE w:val="0"/>
              <w:autoSpaceDN w:val="0"/>
              <w:adjustRightInd w:val="0"/>
              <w:spacing w:after="0"/>
              <w:rPr>
                <w:rFonts w:cs="Calibri"/>
                <w:color w:val="auto"/>
                <w:sz w:val="20"/>
                <w:szCs w:val="20"/>
              </w:rPr>
            </w:pPr>
            <w:r w:rsidRPr="00D5699B">
              <w:rPr>
                <w:rFonts w:cs="Calibri"/>
                <w:color w:val="auto"/>
                <w:sz w:val="20"/>
                <w:szCs w:val="20"/>
              </w:rPr>
              <w:t>Kimberley</w:t>
            </w:r>
          </w:p>
        </w:tc>
        <w:tc>
          <w:tcPr>
            <w:tcW w:w="3827" w:type="dxa"/>
          </w:tcPr>
          <w:p w14:paraId="00E27757" w14:textId="77777777" w:rsidR="00BF67B5" w:rsidRPr="003939C2" w:rsidRDefault="00BF67B5" w:rsidP="008B70B9">
            <w:pPr>
              <w:autoSpaceDE w:val="0"/>
              <w:autoSpaceDN w:val="0"/>
              <w:adjustRightInd w:val="0"/>
              <w:spacing w:after="0"/>
              <w:rPr>
                <w:rFonts w:cs="Calibri"/>
                <w:color w:val="auto"/>
                <w:sz w:val="20"/>
                <w:szCs w:val="20"/>
              </w:rPr>
            </w:pPr>
            <w:r>
              <w:rPr>
                <w:rFonts w:cs="Calibri"/>
                <w:color w:val="auto"/>
                <w:sz w:val="20"/>
                <w:szCs w:val="20"/>
              </w:rPr>
              <w:t>No, only offshore</w:t>
            </w:r>
            <w:r w:rsidRPr="003939C2">
              <w:rPr>
                <w:rFonts w:cs="Calibri"/>
                <w:color w:val="auto"/>
                <w:sz w:val="20"/>
                <w:szCs w:val="20"/>
              </w:rPr>
              <w:t xml:space="preserve"> (Sampey and Marsh, 2015)</w:t>
            </w:r>
          </w:p>
        </w:tc>
        <w:tc>
          <w:tcPr>
            <w:tcW w:w="3827" w:type="dxa"/>
          </w:tcPr>
          <w:p w14:paraId="0B08FAB5" w14:textId="6ECB0F4F" w:rsidR="00BF67B5" w:rsidRPr="003939C2" w:rsidRDefault="00BF67B5" w:rsidP="008B70B9">
            <w:pPr>
              <w:autoSpaceDE w:val="0"/>
              <w:autoSpaceDN w:val="0"/>
              <w:adjustRightInd w:val="0"/>
              <w:spacing w:after="0"/>
              <w:rPr>
                <w:rFonts w:cs="Calibri"/>
                <w:color w:val="auto"/>
                <w:sz w:val="20"/>
                <w:szCs w:val="20"/>
              </w:rPr>
            </w:pPr>
            <w:r>
              <w:rPr>
                <w:rFonts w:cs="Calibri"/>
                <w:color w:val="auto"/>
                <w:sz w:val="20"/>
                <w:szCs w:val="20"/>
              </w:rPr>
              <w:t>No</w:t>
            </w:r>
            <w:r w:rsidR="002B19BB">
              <w:rPr>
                <w:rFonts w:cs="Calibri"/>
                <w:color w:val="auto"/>
                <w:sz w:val="20"/>
                <w:szCs w:val="20"/>
              </w:rPr>
              <w:t>,</w:t>
            </w:r>
            <w:r>
              <w:rPr>
                <w:rFonts w:cs="Calibri"/>
                <w:color w:val="auto"/>
                <w:sz w:val="20"/>
                <w:szCs w:val="20"/>
              </w:rPr>
              <w:t xml:space="preserve"> only offshore</w:t>
            </w:r>
            <w:r w:rsidRPr="003939C2">
              <w:rPr>
                <w:rFonts w:cs="Calibri"/>
                <w:color w:val="auto"/>
                <w:sz w:val="20"/>
                <w:szCs w:val="20"/>
              </w:rPr>
              <w:t xml:space="preserve"> (Sampey and Marsh, 2015)</w:t>
            </w:r>
          </w:p>
        </w:tc>
      </w:tr>
      <w:tr w:rsidR="00BF67B5" w:rsidRPr="00D5699B" w14:paraId="757F7E63" w14:textId="77777777" w:rsidTr="008B70B9">
        <w:tc>
          <w:tcPr>
            <w:tcW w:w="2119" w:type="dxa"/>
          </w:tcPr>
          <w:p w14:paraId="33525C0A" w14:textId="77777777" w:rsidR="00BF67B5" w:rsidRPr="00D5699B" w:rsidRDefault="00BF67B5" w:rsidP="008B70B9">
            <w:pPr>
              <w:autoSpaceDE w:val="0"/>
              <w:autoSpaceDN w:val="0"/>
              <w:adjustRightInd w:val="0"/>
              <w:spacing w:after="0"/>
              <w:rPr>
                <w:rFonts w:cs="Calibri"/>
                <w:color w:val="auto"/>
                <w:sz w:val="20"/>
                <w:szCs w:val="20"/>
              </w:rPr>
            </w:pPr>
            <w:r>
              <w:rPr>
                <w:rFonts w:cs="Calibri"/>
                <w:color w:val="auto"/>
                <w:sz w:val="20"/>
                <w:szCs w:val="20"/>
              </w:rPr>
              <w:t>Ningaloo Reef</w:t>
            </w:r>
          </w:p>
        </w:tc>
        <w:tc>
          <w:tcPr>
            <w:tcW w:w="3827" w:type="dxa"/>
          </w:tcPr>
          <w:p w14:paraId="79A1AF4A" w14:textId="77777777" w:rsidR="00BF67B5" w:rsidRPr="00863F9B" w:rsidRDefault="00BF67B5" w:rsidP="008B70B9">
            <w:pPr>
              <w:autoSpaceDE w:val="0"/>
              <w:autoSpaceDN w:val="0"/>
              <w:adjustRightInd w:val="0"/>
              <w:spacing w:after="0"/>
              <w:rPr>
                <w:rFonts w:cs="Calibri"/>
                <w:color w:val="auto"/>
                <w:sz w:val="20"/>
                <w:szCs w:val="20"/>
              </w:rPr>
            </w:pPr>
            <w:r w:rsidRPr="00863F9B">
              <w:rPr>
                <w:rFonts w:cs="Calibri"/>
                <w:color w:val="auto"/>
                <w:sz w:val="20"/>
                <w:szCs w:val="20"/>
              </w:rPr>
              <w:t>Yes (Sheill, 2004</w:t>
            </w:r>
            <w:r w:rsidRPr="00863F9B">
              <w:rPr>
                <w:rFonts w:cs="Calibri"/>
                <w:i/>
                <w:iCs/>
                <w:color w:val="auto"/>
                <w:sz w:val="20"/>
                <w:szCs w:val="20"/>
                <w:vertAlign w:val="superscript"/>
              </w:rPr>
              <w:t>a</w:t>
            </w:r>
            <w:r w:rsidRPr="00863F9B">
              <w:rPr>
                <w:rFonts w:cs="Calibri"/>
                <w:color w:val="auto"/>
                <w:sz w:val="20"/>
                <w:szCs w:val="20"/>
              </w:rPr>
              <w:t>)</w:t>
            </w:r>
          </w:p>
        </w:tc>
        <w:tc>
          <w:tcPr>
            <w:tcW w:w="3827" w:type="dxa"/>
          </w:tcPr>
          <w:p w14:paraId="4ACEAAE9" w14:textId="77777777" w:rsidR="00BF67B5" w:rsidRPr="00220C22" w:rsidRDefault="00BF67B5" w:rsidP="008B70B9">
            <w:pPr>
              <w:autoSpaceDE w:val="0"/>
              <w:autoSpaceDN w:val="0"/>
              <w:adjustRightInd w:val="0"/>
              <w:spacing w:after="0"/>
              <w:rPr>
                <w:rFonts w:cs="Calibri"/>
                <w:color w:val="auto"/>
                <w:sz w:val="20"/>
                <w:szCs w:val="20"/>
                <w:highlight w:val="yellow"/>
              </w:rPr>
            </w:pPr>
            <w:r w:rsidRPr="003939C2">
              <w:rPr>
                <w:rFonts w:cs="Calibri"/>
                <w:color w:val="auto"/>
                <w:sz w:val="20"/>
                <w:szCs w:val="20"/>
              </w:rPr>
              <w:t>No record</w:t>
            </w:r>
          </w:p>
        </w:tc>
      </w:tr>
      <w:tr w:rsidR="00BF67B5" w:rsidRPr="00D5699B" w14:paraId="6E0D354A" w14:textId="77777777" w:rsidTr="008B70B9">
        <w:tc>
          <w:tcPr>
            <w:tcW w:w="2119" w:type="dxa"/>
          </w:tcPr>
          <w:p w14:paraId="2AF0AC0E" w14:textId="77777777" w:rsidR="00BF67B5" w:rsidRDefault="00BF67B5" w:rsidP="008B70B9">
            <w:pPr>
              <w:autoSpaceDE w:val="0"/>
              <w:autoSpaceDN w:val="0"/>
              <w:adjustRightInd w:val="0"/>
              <w:spacing w:after="0"/>
              <w:rPr>
                <w:rFonts w:cs="Calibri"/>
                <w:color w:val="auto"/>
                <w:sz w:val="20"/>
                <w:szCs w:val="20"/>
              </w:rPr>
            </w:pPr>
            <w:r>
              <w:rPr>
                <w:rFonts w:cs="Calibri"/>
                <w:color w:val="auto"/>
                <w:sz w:val="20"/>
                <w:szCs w:val="20"/>
              </w:rPr>
              <w:t>Moreton Bay</w:t>
            </w:r>
          </w:p>
        </w:tc>
        <w:tc>
          <w:tcPr>
            <w:tcW w:w="3827" w:type="dxa"/>
            <w:shd w:val="clear" w:color="auto" w:fill="auto"/>
          </w:tcPr>
          <w:p w14:paraId="6E055C31" w14:textId="77777777" w:rsidR="00BF67B5" w:rsidRDefault="00BF67B5" w:rsidP="008B70B9">
            <w:pPr>
              <w:autoSpaceDE w:val="0"/>
              <w:autoSpaceDN w:val="0"/>
              <w:adjustRightInd w:val="0"/>
              <w:spacing w:after="0"/>
              <w:rPr>
                <w:rFonts w:cs="Calibri"/>
                <w:color w:val="auto"/>
                <w:sz w:val="20"/>
                <w:szCs w:val="20"/>
              </w:rPr>
            </w:pPr>
            <w:r>
              <w:rPr>
                <w:rFonts w:cs="Calibri"/>
                <w:color w:val="auto"/>
                <w:sz w:val="20"/>
                <w:szCs w:val="20"/>
              </w:rPr>
              <w:t>Yes (Qld Museum, 2011)</w:t>
            </w:r>
          </w:p>
        </w:tc>
        <w:tc>
          <w:tcPr>
            <w:tcW w:w="3827" w:type="dxa"/>
            <w:shd w:val="clear" w:color="auto" w:fill="auto"/>
          </w:tcPr>
          <w:p w14:paraId="5EAEAC19" w14:textId="77777777" w:rsidR="00BF67B5" w:rsidRPr="007D63A2" w:rsidRDefault="00BF67B5" w:rsidP="008B70B9">
            <w:pPr>
              <w:autoSpaceDE w:val="0"/>
              <w:autoSpaceDN w:val="0"/>
              <w:adjustRightInd w:val="0"/>
              <w:spacing w:after="0"/>
              <w:rPr>
                <w:rFonts w:cs="Calibri"/>
                <w:color w:val="auto"/>
                <w:sz w:val="20"/>
                <w:szCs w:val="20"/>
              </w:rPr>
            </w:pPr>
            <w:r>
              <w:rPr>
                <w:rFonts w:cs="Calibri"/>
                <w:color w:val="auto"/>
                <w:sz w:val="20"/>
                <w:szCs w:val="20"/>
              </w:rPr>
              <w:t>No record</w:t>
            </w:r>
          </w:p>
        </w:tc>
      </w:tr>
      <w:tr w:rsidR="00BF67B5" w:rsidRPr="00D5699B" w14:paraId="7BE59A8E" w14:textId="77777777" w:rsidTr="008B70B9">
        <w:tc>
          <w:tcPr>
            <w:tcW w:w="2119" w:type="dxa"/>
          </w:tcPr>
          <w:p w14:paraId="0BC23B8A" w14:textId="77777777" w:rsidR="00BF67B5" w:rsidRPr="00D5699B" w:rsidRDefault="00BF67B5" w:rsidP="008B70B9">
            <w:pPr>
              <w:autoSpaceDE w:val="0"/>
              <w:autoSpaceDN w:val="0"/>
              <w:adjustRightInd w:val="0"/>
              <w:spacing w:after="0"/>
              <w:rPr>
                <w:rFonts w:cs="Calibri"/>
                <w:color w:val="auto"/>
                <w:sz w:val="20"/>
                <w:szCs w:val="20"/>
              </w:rPr>
            </w:pPr>
            <w:bookmarkStart w:id="18" w:name="_Hlk150258911"/>
            <w:r w:rsidRPr="00D5699B">
              <w:rPr>
                <w:rFonts w:cs="Calibri"/>
                <w:color w:val="auto"/>
                <w:sz w:val="20"/>
                <w:szCs w:val="20"/>
              </w:rPr>
              <w:t>Elizabeth and Middleton Reefs</w:t>
            </w:r>
          </w:p>
        </w:tc>
        <w:tc>
          <w:tcPr>
            <w:tcW w:w="3827" w:type="dxa"/>
          </w:tcPr>
          <w:p w14:paraId="3572E717" w14:textId="77777777" w:rsidR="00BF67B5" w:rsidRPr="00F95953" w:rsidRDefault="00BF67B5" w:rsidP="008B70B9">
            <w:pPr>
              <w:autoSpaceDE w:val="0"/>
              <w:autoSpaceDN w:val="0"/>
              <w:adjustRightInd w:val="0"/>
              <w:spacing w:after="0"/>
              <w:rPr>
                <w:rFonts w:cs="Calibri"/>
                <w:color w:val="auto"/>
                <w:sz w:val="20"/>
                <w:szCs w:val="20"/>
              </w:rPr>
            </w:pPr>
            <w:r w:rsidRPr="00F95953">
              <w:rPr>
                <w:rFonts w:cs="Calibri"/>
                <w:color w:val="auto"/>
                <w:sz w:val="20"/>
                <w:szCs w:val="20"/>
              </w:rPr>
              <w:t>Yes (Edgar et al., 2019)</w:t>
            </w:r>
          </w:p>
        </w:tc>
        <w:tc>
          <w:tcPr>
            <w:tcW w:w="3827" w:type="dxa"/>
          </w:tcPr>
          <w:p w14:paraId="14181B8D" w14:textId="77777777" w:rsidR="00BF67B5" w:rsidRPr="00F95953" w:rsidRDefault="00BF67B5" w:rsidP="008B70B9">
            <w:pPr>
              <w:autoSpaceDE w:val="0"/>
              <w:autoSpaceDN w:val="0"/>
              <w:adjustRightInd w:val="0"/>
              <w:spacing w:after="0"/>
              <w:rPr>
                <w:rFonts w:cs="Calibri"/>
                <w:color w:val="auto"/>
                <w:sz w:val="20"/>
                <w:szCs w:val="20"/>
              </w:rPr>
            </w:pPr>
            <w:r w:rsidRPr="00F95953">
              <w:rPr>
                <w:rFonts w:cs="Calibri"/>
                <w:color w:val="auto"/>
                <w:sz w:val="20"/>
                <w:szCs w:val="20"/>
              </w:rPr>
              <w:t>No records</w:t>
            </w:r>
          </w:p>
        </w:tc>
      </w:tr>
    </w:tbl>
    <w:bookmarkEnd w:id="18"/>
    <w:p w14:paraId="20F8DD1B" w14:textId="52F49875" w:rsidR="00BF67B5" w:rsidRPr="00D92C08" w:rsidRDefault="00D92C08" w:rsidP="002F79D5">
      <w:pPr>
        <w:rPr>
          <w:sz w:val="20"/>
          <w:szCs w:val="20"/>
        </w:rPr>
      </w:pPr>
      <w:r w:rsidRPr="00D92C08">
        <w:rPr>
          <w:sz w:val="20"/>
          <w:szCs w:val="20"/>
          <w:vertAlign w:val="superscript"/>
        </w:rPr>
        <w:t>a</w:t>
      </w:r>
      <w:r w:rsidRPr="00D92C08">
        <w:rPr>
          <w:sz w:val="20"/>
          <w:szCs w:val="20"/>
        </w:rPr>
        <w:t xml:space="preserve"> listed as </w:t>
      </w:r>
      <w:r w:rsidRPr="00D92C08">
        <w:rPr>
          <w:i/>
          <w:iCs/>
          <w:sz w:val="20"/>
          <w:szCs w:val="20"/>
        </w:rPr>
        <w:t>H. nobilis</w:t>
      </w:r>
    </w:p>
    <w:p w14:paraId="0E427C6A" w14:textId="4DA2A7BD" w:rsidR="004B4A35" w:rsidRDefault="00340AF1" w:rsidP="003F09A1">
      <w:pPr>
        <w:keepNext/>
      </w:pPr>
      <w:r w:rsidRPr="00340AF1">
        <w:rPr>
          <w:noProof/>
        </w:rPr>
        <w:lastRenderedPageBreak/>
        <w:drawing>
          <wp:inline distT="0" distB="0" distL="0" distR="0" wp14:anchorId="7409D3D4" wp14:editId="31CCB35E">
            <wp:extent cx="6120130" cy="3276600"/>
            <wp:effectExtent l="0" t="0" r="0" b="0"/>
            <wp:docPr id="65835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5370" name=""/>
                    <pic:cNvPicPr/>
                  </pic:nvPicPr>
                  <pic:blipFill>
                    <a:blip r:embed="rId18"/>
                    <a:stretch>
                      <a:fillRect/>
                    </a:stretch>
                  </pic:blipFill>
                  <pic:spPr>
                    <a:xfrm>
                      <a:off x="0" y="0"/>
                      <a:ext cx="6120130" cy="3276600"/>
                    </a:xfrm>
                    <a:prstGeom prst="rect">
                      <a:avLst/>
                    </a:prstGeom>
                  </pic:spPr>
                </pic:pic>
              </a:graphicData>
            </a:graphic>
          </wp:inline>
        </w:drawing>
      </w:r>
    </w:p>
    <w:p w14:paraId="13773154" w14:textId="1F0B9BA4" w:rsidR="009472D8" w:rsidRDefault="004B4A35" w:rsidP="000B5A6E">
      <w:pPr>
        <w:pStyle w:val="Caption"/>
      </w:pPr>
      <w:bookmarkStart w:id="19" w:name="_Ref147509925"/>
      <w:bookmarkStart w:id="20" w:name="_Toc189055286"/>
      <w:r>
        <w:t xml:space="preserve">Figure </w:t>
      </w:r>
      <w:fldSimple w:instr=" SEQ Figure \* ARABIC ">
        <w:r w:rsidR="007B2A78">
          <w:rPr>
            <w:noProof/>
          </w:rPr>
          <w:t>1</w:t>
        </w:r>
      </w:fldSimple>
      <w:bookmarkEnd w:id="19"/>
      <w:r>
        <w:t xml:space="preserve">. </w:t>
      </w:r>
      <w:r w:rsidR="009472D8" w:rsidRPr="004B4A35">
        <w:t xml:space="preserve">Distribution of </w:t>
      </w:r>
      <w:r w:rsidR="00340AF1">
        <w:t>(Pacific) Black teatfish</w:t>
      </w:r>
      <w:r w:rsidR="009472D8">
        <w:t xml:space="preserve"> (</w:t>
      </w:r>
      <w:r w:rsidR="00340AF1" w:rsidRPr="00340AF1">
        <w:rPr>
          <w:i/>
          <w:iCs/>
        </w:rPr>
        <w:t>H</w:t>
      </w:r>
      <w:r w:rsidR="009472D8" w:rsidRPr="00340AF1">
        <w:rPr>
          <w:i/>
          <w:iCs/>
        </w:rPr>
        <w:t>.</w:t>
      </w:r>
      <w:r w:rsidR="009472D8" w:rsidRPr="0003634F">
        <w:rPr>
          <w:i/>
          <w:iCs/>
        </w:rPr>
        <w:t xml:space="preserve"> </w:t>
      </w:r>
      <w:r w:rsidR="00340AF1">
        <w:rPr>
          <w:i/>
          <w:iCs/>
        </w:rPr>
        <w:t>whitmaei</w:t>
      </w:r>
      <w:r w:rsidR="009472D8">
        <w:t>)</w:t>
      </w:r>
      <w:r w:rsidR="009472D8" w:rsidRPr="004B4A35">
        <w:t>. Source</w:t>
      </w:r>
      <w:r w:rsidR="009472D8">
        <w:t>:</w:t>
      </w:r>
      <w:r w:rsidR="009472D8" w:rsidRPr="004B4A35">
        <w:t xml:space="preserve"> FAO, 20</w:t>
      </w:r>
      <w:r w:rsidR="009472D8">
        <w:t>2</w:t>
      </w:r>
      <w:r w:rsidR="00340AF1">
        <w:t>4</w:t>
      </w:r>
      <w:r w:rsidR="009472D8" w:rsidRPr="004B4A35">
        <w:t xml:space="preserve">. </w:t>
      </w:r>
      <w:r w:rsidR="00340AF1" w:rsidRPr="00340AF1">
        <w:t>Aquatic Species Distribution Map Viewer</w:t>
      </w:r>
      <w:r w:rsidR="009472D8" w:rsidRPr="004B4A35">
        <w:t xml:space="preserve">. </w:t>
      </w:r>
      <w:r w:rsidR="00991044" w:rsidRPr="00991044">
        <w:t>https://www.fao.org/figis/geoserver/factsheets/species.html</w:t>
      </w:r>
      <w:bookmarkEnd w:id="20"/>
    </w:p>
    <w:p w14:paraId="560C73C3" w14:textId="6F8F79A9" w:rsidR="0005572E" w:rsidRDefault="0005572E" w:rsidP="003F09A1"/>
    <w:p w14:paraId="6C721F5E" w14:textId="72F61116" w:rsidR="005445DC" w:rsidRDefault="00C814CC" w:rsidP="00D5699B">
      <w:pPr>
        <w:keepNext/>
      </w:pPr>
      <w:r>
        <w:rPr>
          <w:noProof/>
        </w:rPr>
        <w:drawing>
          <wp:inline distT="0" distB="0" distL="0" distR="0" wp14:anchorId="64FA7F69" wp14:editId="01D47A7C">
            <wp:extent cx="5400000" cy="3853636"/>
            <wp:effectExtent l="0" t="0" r="0" b="0"/>
            <wp:docPr id="983512341" name="Picture 7" descr="A map of australia with 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512341" name="Picture 7" descr="A map of australia with red areas&#10;&#10;Description automatically generated"/>
                    <pic:cNvPicPr/>
                  </pic:nvPicPr>
                  <pic:blipFill rotWithShape="1">
                    <a:blip r:embed="rId19" cstate="print">
                      <a:extLst>
                        <a:ext uri="{28A0092B-C50C-407E-A947-70E740481C1C}">
                          <a14:useLocalDpi xmlns:a14="http://schemas.microsoft.com/office/drawing/2010/main" val="0"/>
                        </a:ext>
                      </a:extLst>
                    </a:blip>
                    <a:srcRect l="12451" t="12104" r="19070" b="18794"/>
                    <a:stretch/>
                  </pic:blipFill>
                  <pic:spPr bwMode="auto">
                    <a:xfrm>
                      <a:off x="0" y="0"/>
                      <a:ext cx="5400000" cy="3853636"/>
                    </a:xfrm>
                    <a:prstGeom prst="rect">
                      <a:avLst/>
                    </a:prstGeom>
                    <a:ln>
                      <a:noFill/>
                    </a:ln>
                    <a:extLst>
                      <a:ext uri="{53640926-AAD7-44D8-BBD7-CCE9431645EC}">
                        <a14:shadowObscured xmlns:a14="http://schemas.microsoft.com/office/drawing/2010/main"/>
                      </a:ext>
                    </a:extLst>
                  </pic:spPr>
                </pic:pic>
              </a:graphicData>
            </a:graphic>
          </wp:inline>
        </w:drawing>
      </w:r>
    </w:p>
    <w:p w14:paraId="7EAD3AB8" w14:textId="68DA2514" w:rsidR="005445DC" w:rsidRDefault="005445DC" w:rsidP="000B5A6E">
      <w:pPr>
        <w:pStyle w:val="Caption"/>
      </w:pPr>
      <w:bookmarkStart w:id="21" w:name="_Ref150258841"/>
      <w:bookmarkStart w:id="22" w:name="_Toc189055287"/>
      <w:r>
        <w:t xml:space="preserve">Figure </w:t>
      </w:r>
      <w:fldSimple w:instr=" SEQ Figure \* ARABIC ">
        <w:r w:rsidR="007B2A78">
          <w:rPr>
            <w:noProof/>
          </w:rPr>
          <w:t>2</w:t>
        </w:r>
      </w:fldSimple>
      <w:bookmarkEnd w:id="21"/>
      <w:r>
        <w:t xml:space="preserve">. </w:t>
      </w:r>
      <w:r w:rsidRPr="005445DC">
        <w:t xml:space="preserve">Distribution of </w:t>
      </w:r>
      <w:r w:rsidR="00C814CC">
        <w:t>Black teatfish</w:t>
      </w:r>
      <w:r w:rsidRPr="005445DC">
        <w:t xml:space="preserve"> (</w:t>
      </w:r>
      <w:r w:rsidR="00C814CC">
        <w:rPr>
          <w:i/>
          <w:iCs/>
        </w:rPr>
        <w:t>Holothuria whitmaei</w:t>
      </w:r>
      <w:r w:rsidRPr="005445DC">
        <w:t xml:space="preserve">) in </w:t>
      </w:r>
      <w:r>
        <w:t>Australia</w:t>
      </w:r>
      <w:r w:rsidRPr="005445DC">
        <w:t xml:space="preserve">. </w:t>
      </w:r>
      <w:r w:rsidR="00C814CC">
        <w:t xml:space="preserve">Using existing distribution maps in </w:t>
      </w:r>
      <w:r w:rsidRPr="005445DC">
        <w:t xml:space="preserve">Conand, </w:t>
      </w:r>
      <w:r w:rsidR="003F09A1">
        <w:t xml:space="preserve">et al., </w:t>
      </w:r>
      <w:r w:rsidRPr="005445DC">
        <w:t>2013</w:t>
      </w:r>
      <w:r w:rsidR="003F09A1">
        <w:t>a</w:t>
      </w:r>
      <w:r w:rsidR="00C814CC">
        <w:t xml:space="preserve">; </w:t>
      </w:r>
      <w:r w:rsidR="00C814CC" w:rsidRPr="004B4A35">
        <w:t xml:space="preserve">FAO </w:t>
      </w:r>
      <w:r w:rsidR="00C814CC" w:rsidRPr="00340AF1">
        <w:t>Aquatic Species Distribution Map Viewer</w:t>
      </w:r>
      <w:r w:rsidR="00C814CC">
        <w:t xml:space="preserve"> and Purcell et al., 2023a.</w:t>
      </w:r>
      <w:r w:rsidR="000F5B16">
        <w:t xml:space="preserve"> </w:t>
      </w:r>
      <w:r w:rsidR="003F09A1">
        <w:t>Additional</w:t>
      </w:r>
      <w:r w:rsidR="00D5699B">
        <w:t xml:space="preserve"> occurrence </w:t>
      </w:r>
      <w:r w:rsidR="003F09A1">
        <w:t xml:space="preserve">records </w:t>
      </w:r>
      <w:r w:rsidR="00CE1E1F">
        <w:t xml:space="preserve">for Australian territories </w:t>
      </w:r>
      <w:r w:rsidR="003F09A1">
        <w:t xml:space="preserve">as per </w:t>
      </w:r>
      <w:r w:rsidR="00D238E7">
        <w:fldChar w:fldCharType="begin"/>
      </w:r>
      <w:r w:rsidR="00D238E7">
        <w:instrText xml:space="preserve"> REF _Ref149600669 \h </w:instrText>
      </w:r>
      <w:r w:rsidR="00D238E7">
        <w:fldChar w:fldCharType="separate"/>
      </w:r>
      <w:r w:rsidR="007B2A78">
        <w:t xml:space="preserve">Table </w:t>
      </w:r>
      <w:r w:rsidR="007B2A78">
        <w:rPr>
          <w:noProof/>
        </w:rPr>
        <w:t>1</w:t>
      </w:r>
      <w:r w:rsidR="00D238E7">
        <w:fldChar w:fldCharType="end"/>
      </w:r>
      <w:r w:rsidR="00690290">
        <w:t xml:space="preserve"> -</w:t>
      </w:r>
      <w:r w:rsidR="000F5B16">
        <w:t xml:space="preserve"> in pink</w:t>
      </w:r>
      <w:r w:rsidRPr="005445DC">
        <w:t>.</w:t>
      </w:r>
      <w:bookmarkEnd w:id="22"/>
      <w:r w:rsidRPr="005445DC">
        <w:t xml:space="preserve"> </w:t>
      </w:r>
    </w:p>
    <w:p w14:paraId="5496CD9E" w14:textId="77777777" w:rsidR="00AA3C49" w:rsidRPr="00AA3C49" w:rsidRDefault="00AA3C49" w:rsidP="00AA3C49"/>
    <w:p w14:paraId="2FC8419B" w14:textId="306AB267" w:rsidR="00D85BE6" w:rsidRDefault="00BE5A0C" w:rsidP="009472D8">
      <w:pPr>
        <w:pStyle w:val="Heading3"/>
      </w:pPr>
      <w:r>
        <w:lastRenderedPageBreak/>
        <w:t>White teatfish</w:t>
      </w:r>
    </w:p>
    <w:p w14:paraId="30899F8A" w14:textId="7AAC58BE" w:rsidR="00D85BE6" w:rsidRDefault="00203214" w:rsidP="00D85BE6">
      <w:r>
        <w:t>This species i</w:t>
      </w:r>
      <w:r w:rsidR="004E513A">
        <w:t>s</w:t>
      </w:r>
      <w:r>
        <w:t xml:space="preserve"> found throughout the t</w:t>
      </w:r>
      <w:r w:rsidR="00D85BE6" w:rsidRPr="005F7C15">
        <w:t>ropical Indo-west Pacific</w:t>
      </w:r>
      <w:r>
        <w:t>, f</w:t>
      </w:r>
      <w:r w:rsidR="00D85BE6" w:rsidRPr="005F7C15">
        <w:t xml:space="preserve">rom East Africa, the </w:t>
      </w:r>
      <w:r>
        <w:t xml:space="preserve">Maldives, and southern India. </w:t>
      </w:r>
      <w:r w:rsidR="00D85BE6" w:rsidRPr="005F7C15">
        <w:t xml:space="preserve">It is present </w:t>
      </w:r>
      <w:r>
        <w:t xml:space="preserve">throughout </w:t>
      </w:r>
      <w:r w:rsidR="00D85BE6" w:rsidRPr="005F7C15">
        <w:t>much of Southeast Asia, including Indonesia, the Philippines and the South China Sea. In the tropical Pacific, the species is present from northwestern Australia to Enewetok, Guam and the Ryukyu Islands southwards to most of the islands of the Central Western Pacific and as far east as French Polynesia</w:t>
      </w:r>
      <w:r>
        <w:t xml:space="preserve"> (</w:t>
      </w:r>
      <w:r>
        <w:fldChar w:fldCharType="begin"/>
      </w:r>
      <w:r>
        <w:instrText xml:space="preserve"> REF _Ref150259500 \h </w:instrText>
      </w:r>
      <w:r>
        <w:fldChar w:fldCharType="separate"/>
      </w:r>
      <w:r w:rsidR="007B2A78">
        <w:t xml:space="preserve">Figure </w:t>
      </w:r>
      <w:r w:rsidR="007B2A78">
        <w:rPr>
          <w:noProof/>
        </w:rPr>
        <w:t>3</w:t>
      </w:r>
      <w:r>
        <w:fldChar w:fldCharType="end"/>
      </w:r>
      <w:r>
        <w:t>; FAO, 2022</w:t>
      </w:r>
      <w:r w:rsidR="00C4395A">
        <w:t>; Purcell et al., 2023</w:t>
      </w:r>
      <w:r w:rsidR="000E0A8F">
        <w:t>a</w:t>
      </w:r>
      <w:r>
        <w:t>).</w:t>
      </w:r>
    </w:p>
    <w:p w14:paraId="542AD1E9" w14:textId="16443CE8" w:rsidR="002F79D5" w:rsidRDefault="002F79D5" w:rsidP="002F79D5">
      <w:r w:rsidRPr="00002141">
        <w:t>In Australia, White teatfish are distributed from about the Dampier in Western Australia across northern Australia and down the east coast to Northern, NSW (</w:t>
      </w:r>
      <w:r w:rsidRPr="00002141">
        <w:fldChar w:fldCharType="begin"/>
      </w:r>
      <w:r w:rsidRPr="00002141">
        <w:instrText xml:space="preserve"> REF _Ref150261389 \h </w:instrText>
      </w:r>
      <w:r w:rsidR="00002141">
        <w:instrText xml:space="preserve"> \* MERGEFORMAT </w:instrText>
      </w:r>
      <w:r w:rsidRPr="00002141">
        <w:fldChar w:fldCharType="separate"/>
      </w:r>
      <w:r w:rsidR="007B2A78" w:rsidRPr="000B5A6E">
        <w:t xml:space="preserve">Figure </w:t>
      </w:r>
      <w:r w:rsidR="007B2A78">
        <w:rPr>
          <w:noProof/>
        </w:rPr>
        <w:t>4</w:t>
      </w:r>
      <w:r w:rsidRPr="00002141">
        <w:fldChar w:fldCharType="end"/>
      </w:r>
      <w:r w:rsidRPr="00002141">
        <w:t>). They are also found on the offshore reefs from the Rowley Shoals in the west to Mellish Reef in the Coral Sea (</w:t>
      </w:r>
      <w:r w:rsidRPr="00002141">
        <w:fldChar w:fldCharType="begin"/>
      </w:r>
      <w:r w:rsidRPr="00002141">
        <w:instrText xml:space="preserve"> REF _Ref149600669 \h </w:instrText>
      </w:r>
      <w:r w:rsidR="00002141">
        <w:instrText xml:space="preserve"> \* MERGEFORMAT </w:instrText>
      </w:r>
      <w:r w:rsidRPr="00002141">
        <w:fldChar w:fldCharType="separate"/>
      </w:r>
      <w:r w:rsidR="007B2A78">
        <w:t xml:space="preserve">Table </w:t>
      </w:r>
      <w:r w:rsidR="007B2A78">
        <w:rPr>
          <w:noProof/>
        </w:rPr>
        <w:t>1</w:t>
      </w:r>
      <w:r w:rsidRPr="00002141">
        <w:fldChar w:fldCharType="end"/>
      </w:r>
      <w:r w:rsidRPr="00002141">
        <w:t xml:space="preserve">, </w:t>
      </w:r>
      <w:r w:rsidRPr="00002141">
        <w:fldChar w:fldCharType="begin"/>
      </w:r>
      <w:r w:rsidRPr="00002141">
        <w:instrText xml:space="preserve"> REF _Ref150261389 \h </w:instrText>
      </w:r>
      <w:r w:rsidR="00002141">
        <w:instrText xml:space="preserve"> \* MERGEFORMAT </w:instrText>
      </w:r>
      <w:r w:rsidRPr="00002141">
        <w:fldChar w:fldCharType="separate"/>
      </w:r>
      <w:r w:rsidR="007B2A78" w:rsidRPr="000B5A6E">
        <w:t xml:space="preserve">Figure </w:t>
      </w:r>
      <w:r w:rsidR="007B2A78">
        <w:rPr>
          <w:noProof/>
        </w:rPr>
        <w:t>4</w:t>
      </w:r>
      <w:r w:rsidRPr="00002141">
        <w:fldChar w:fldCharType="end"/>
      </w:r>
      <w:r w:rsidRPr="00002141">
        <w:t>).</w:t>
      </w:r>
    </w:p>
    <w:p w14:paraId="39327517" w14:textId="692ED810" w:rsidR="005B358D" w:rsidRPr="00002632" w:rsidRDefault="002F79D5" w:rsidP="002F79D5">
      <w:r w:rsidRPr="00A56B95">
        <w:t xml:space="preserve">White </w:t>
      </w:r>
      <w:r w:rsidR="004E513A">
        <w:t>t</w:t>
      </w:r>
      <w:r w:rsidRPr="00A56B95">
        <w:t xml:space="preserve">eatfish are prevalent in ocean-influenced </w:t>
      </w:r>
      <w:r w:rsidR="00002141" w:rsidRPr="00A56B95">
        <w:t xml:space="preserve">deep reef slopes, </w:t>
      </w:r>
      <w:r w:rsidRPr="00A56B95">
        <w:t xml:space="preserve">lagoons and passes in water depths 10 m </w:t>
      </w:r>
      <w:r w:rsidR="00002141" w:rsidRPr="00A56B95">
        <w:t xml:space="preserve">to 50 m depth, though they have been reported in depths greater than 100 m </w:t>
      </w:r>
      <w:r w:rsidRPr="00A56B95">
        <w:t xml:space="preserve">(Purcell et al., 2023a). </w:t>
      </w:r>
      <w:r w:rsidRPr="00002632">
        <w:t xml:space="preserve">On the GBR, White </w:t>
      </w:r>
      <w:r w:rsidR="004E513A">
        <w:t>t</w:t>
      </w:r>
      <w:r w:rsidRPr="00002632">
        <w:t xml:space="preserve">eatfish commonly inhabit </w:t>
      </w:r>
      <w:r w:rsidR="00A56B95" w:rsidRPr="00002632">
        <w:t xml:space="preserve">deep reef edges or features associated with reefs in the south, whereas in the north they are mostly taken in deeper waters on the landward side of outer barrier reefs </w:t>
      </w:r>
      <w:r w:rsidR="006E1E89" w:rsidRPr="00002632">
        <w:t>(</w:t>
      </w:r>
      <w:r w:rsidR="00A56B95" w:rsidRPr="00002632">
        <w:t xml:space="preserve">Koopman and Knuckey, 2021b). In the Coral Sea </w:t>
      </w:r>
      <w:r w:rsidR="00002632" w:rsidRPr="00002632">
        <w:t xml:space="preserve">over 70 % </w:t>
      </w:r>
      <w:r w:rsidR="006E1E89" w:rsidRPr="00002632">
        <w:t xml:space="preserve">of </w:t>
      </w:r>
      <w:r w:rsidR="00002632" w:rsidRPr="00002632">
        <w:t xml:space="preserve">the </w:t>
      </w:r>
      <w:r w:rsidR="006E1E89" w:rsidRPr="00002632">
        <w:t xml:space="preserve">White </w:t>
      </w:r>
      <w:r w:rsidR="004E513A">
        <w:t>t</w:t>
      </w:r>
      <w:r w:rsidR="006E1E89" w:rsidRPr="00002632">
        <w:t xml:space="preserve">eatfish catch is taken at locations with a maximum depth </w:t>
      </w:r>
      <w:r w:rsidR="00002632" w:rsidRPr="00002632">
        <w:t>over 30 m -</w:t>
      </w:r>
      <w:r w:rsidR="006E1E89" w:rsidRPr="00002632">
        <w:t xml:space="preserve"> </w:t>
      </w:r>
      <w:r w:rsidR="00A56B95" w:rsidRPr="00002632">
        <w:t xml:space="preserve">they </w:t>
      </w:r>
      <w:r w:rsidR="00002632" w:rsidRPr="00002632">
        <w:t xml:space="preserve">also have a high density </w:t>
      </w:r>
      <w:r w:rsidR="00A56B95" w:rsidRPr="00002632">
        <w:t xml:space="preserve">associated with deep reef pinnacles (Skewes and Persson, 2017). </w:t>
      </w:r>
      <w:r w:rsidR="005B358D" w:rsidRPr="00002632">
        <w:t>Surveys in east Torres Strait have found that 72% of the White teatfish population was in deep (&gt;20 m deep) reef associated habitats, though none were seen deeper than 37 m (Murphy et al., 2021a</w:t>
      </w:r>
      <w:r w:rsidR="005B358D" w:rsidRPr="00002632">
        <w:rPr>
          <w:i/>
          <w:iCs/>
        </w:rPr>
        <w:t xml:space="preserve">; </w:t>
      </w:r>
      <w:r w:rsidR="005B358D" w:rsidRPr="00002632">
        <w:t>Murphy et al., 2021b).</w:t>
      </w:r>
    </w:p>
    <w:p w14:paraId="4B21425A" w14:textId="77777777" w:rsidR="005B358D" w:rsidRDefault="005B358D" w:rsidP="002F79D5">
      <w:pPr>
        <w:rPr>
          <w:highlight w:val="yellow"/>
        </w:rPr>
      </w:pPr>
    </w:p>
    <w:p w14:paraId="5D915522" w14:textId="3F6FFB6E" w:rsidR="004B4A35" w:rsidRDefault="00340AF1" w:rsidP="00D85BE6">
      <w:r w:rsidRPr="00340AF1">
        <w:rPr>
          <w:noProof/>
        </w:rPr>
        <w:drawing>
          <wp:inline distT="0" distB="0" distL="0" distR="0" wp14:anchorId="460D73B7" wp14:editId="12AC64EF">
            <wp:extent cx="6120130" cy="3498215"/>
            <wp:effectExtent l="0" t="0" r="0" b="6985"/>
            <wp:docPr id="1717547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547306" name=""/>
                    <pic:cNvPicPr/>
                  </pic:nvPicPr>
                  <pic:blipFill>
                    <a:blip r:embed="rId20"/>
                    <a:stretch>
                      <a:fillRect/>
                    </a:stretch>
                  </pic:blipFill>
                  <pic:spPr>
                    <a:xfrm>
                      <a:off x="0" y="0"/>
                      <a:ext cx="6120130" cy="3498215"/>
                    </a:xfrm>
                    <a:prstGeom prst="rect">
                      <a:avLst/>
                    </a:prstGeom>
                  </pic:spPr>
                </pic:pic>
              </a:graphicData>
            </a:graphic>
          </wp:inline>
        </w:drawing>
      </w:r>
    </w:p>
    <w:p w14:paraId="59050DFE" w14:textId="7032B0DE" w:rsidR="004B4A35" w:rsidRDefault="004B4A35" w:rsidP="000B5A6E">
      <w:pPr>
        <w:pStyle w:val="Caption"/>
      </w:pPr>
      <w:bookmarkStart w:id="23" w:name="_Ref150259500"/>
      <w:bookmarkStart w:id="24" w:name="_Toc189055288"/>
      <w:r>
        <w:t xml:space="preserve">Figure </w:t>
      </w:r>
      <w:fldSimple w:instr=" SEQ Figure \* ARABIC ">
        <w:r w:rsidR="007B2A78">
          <w:rPr>
            <w:noProof/>
          </w:rPr>
          <w:t>3</w:t>
        </w:r>
      </w:fldSimple>
      <w:bookmarkEnd w:id="23"/>
      <w:r>
        <w:t xml:space="preserve">. </w:t>
      </w:r>
      <w:r w:rsidRPr="004B4A35">
        <w:t xml:space="preserve">Distribution of </w:t>
      </w:r>
      <w:r w:rsidR="00340AF1">
        <w:t>White teatfish</w:t>
      </w:r>
      <w:r w:rsidR="009472D8">
        <w:t xml:space="preserve"> (</w:t>
      </w:r>
      <w:r w:rsidR="00340AF1" w:rsidRPr="00340AF1">
        <w:rPr>
          <w:i/>
          <w:iCs/>
        </w:rPr>
        <w:t>H</w:t>
      </w:r>
      <w:r w:rsidR="009472D8" w:rsidRPr="00340AF1">
        <w:rPr>
          <w:i/>
          <w:iCs/>
        </w:rPr>
        <w:t xml:space="preserve">. </w:t>
      </w:r>
      <w:r w:rsidR="00340AF1" w:rsidRPr="00340AF1">
        <w:rPr>
          <w:i/>
          <w:iCs/>
        </w:rPr>
        <w:t>f</w:t>
      </w:r>
      <w:r w:rsidR="00340AF1">
        <w:rPr>
          <w:i/>
          <w:iCs/>
        </w:rPr>
        <w:t>uscogilva</w:t>
      </w:r>
      <w:r w:rsidR="009472D8">
        <w:t>)</w:t>
      </w:r>
      <w:r w:rsidRPr="004B4A35">
        <w:t>. Source</w:t>
      </w:r>
      <w:r w:rsidR="009472D8">
        <w:t>:</w:t>
      </w:r>
      <w:r w:rsidRPr="004B4A35">
        <w:t xml:space="preserve"> FAO, 20</w:t>
      </w:r>
      <w:r w:rsidR="009472D8">
        <w:t>2</w:t>
      </w:r>
      <w:r w:rsidR="00340AF1">
        <w:t>4</w:t>
      </w:r>
      <w:r w:rsidRPr="004B4A35">
        <w:t>. Aquatic Species Distribution Map</w:t>
      </w:r>
      <w:r w:rsidR="00340AF1">
        <w:t xml:space="preserve"> Viewer</w:t>
      </w:r>
      <w:r w:rsidRPr="004B4A35">
        <w:t xml:space="preserve">. </w:t>
      </w:r>
      <w:r w:rsidR="00991044" w:rsidRPr="00991044">
        <w:t>https://www.fao.org/figis/geoserver/factsheets/species.html</w:t>
      </w:r>
      <w:bookmarkEnd w:id="24"/>
    </w:p>
    <w:p w14:paraId="1006FDA8" w14:textId="77777777" w:rsidR="00B36ABB" w:rsidRDefault="00B36ABB" w:rsidP="001D6A2D"/>
    <w:p w14:paraId="6C6D99B6" w14:textId="2BEED39C" w:rsidR="00D238E7" w:rsidRDefault="00532DA8" w:rsidP="00D85BE6">
      <w:r>
        <w:rPr>
          <w:noProof/>
        </w:rPr>
        <w:lastRenderedPageBreak/>
        <w:drawing>
          <wp:inline distT="0" distB="0" distL="0" distR="0" wp14:anchorId="0438D753" wp14:editId="61D9F68D">
            <wp:extent cx="5400000" cy="3825513"/>
            <wp:effectExtent l="0" t="0" r="0" b="3810"/>
            <wp:docPr id="817628267" name="Picture 9" descr="A map of australia with orange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628267" name="Picture 9" descr="A map of australia with orange areas&#10;&#10;Description automatically generated"/>
                    <pic:cNvPicPr/>
                  </pic:nvPicPr>
                  <pic:blipFill rotWithShape="1">
                    <a:blip r:embed="rId21" cstate="print">
                      <a:extLst>
                        <a:ext uri="{28A0092B-C50C-407E-A947-70E740481C1C}">
                          <a14:useLocalDpi xmlns:a14="http://schemas.microsoft.com/office/drawing/2010/main" val="0"/>
                        </a:ext>
                      </a:extLst>
                    </a:blip>
                    <a:srcRect l="12607" t="12324" r="19070" b="19234"/>
                    <a:stretch/>
                  </pic:blipFill>
                  <pic:spPr bwMode="auto">
                    <a:xfrm>
                      <a:off x="0" y="0"/>
                      <a:ext cx="5400000" cy="3825513"/>
                    </a:xfrm>
                    <a:prstGeom prst="rect">
                      <a:avLst/>
                    </a:prstGeom>
                    <a:ln>
                      <a:noFill/>
                    </a:ln>
                    <a:extLst>
                      <a:ext uri="{53640926-AAD7-44D8-BBD7-CCE9431645EC}">
                        <a14:shadowObscured xmlns:a14="http://schemas.microsoft.com/office/drawing/2010/main"/>
                      </a:ext>
                    </a:extLst>
                  </pic:spPr>
                </pic:pic>
              </a:graphicData>
            </a:graphic>
          </wp:inline>
        </w:drawing>
      </w:r>
    </w:p>
    <w:p w14:paraId="0436A183" w14:textId="3CF912A7" w:rsidR="00D238E7" w:rsidRPr="000B5A6E" w:rsidRDefault="00D238E7" w:rsidP="000B5A6E">
      <w:pPr>
        <w:pStyle w:val="Caption"/>
      </w:pPr>
      <w:bookmarkStart w:id="25" w:name="_Ref150261389"/>
      <w:bookmarkStart w:id="26" w:name="_Toc189055289"/>
      <w:r w:rsidRPr="000B5A6E">
        <w:t xml:space="preserve">Figure </w:t>
      </w:r>
      <w:fldSimple w:instr=" SEQ Figure \* ARABIC ">
        <w:r w:rsidR="007B2A78">
          <w:rPr>
            <w:noProof/>
          </w:rPr>
          <w:t>4</w:t>
        </w:r>
      </w:fldSimple>
      <w:bookmarkEnd w:id="25"/>
      <w:r w:rsidRPr="000B5A6E">
        <w:t xml:space="preserve">. Distribution of </w:t>
      </w:r>
      <w:r w:rsidR="00532DA8" w:rsidRPr="000B5A6E">
        <w:t>Whites teatfish</w:t>
      </w:r>
      <w:r w:rsidRPr="000B5A6E">
        <w:t xml:space="preserve"> (</w:t>
      </w:r>
      <w:r w:rsidR="00532DA8" w:rsidRPr="000B5A6E">
        <w:t>Holothuria fuscogilva</w:t>
      </w:r>
      <w:r w:rsidRPr="000B5A6E">
        <w:t xml:space="preserve">) in Australia. </w:t>
      </w:r>
      <w:r w:rsidR="00532DA8" w:rsidRPr="000B5A6E">
        <w:t>Using existing distribution maps in Conand, et al., 2013b; FAO Aquatic Species Distribution Map Viewer and Purcell et al., 2023a.</w:t>
      </w:r>
      <w:r w:rsidRPr="000B5A6E">
        <w:t xml:space="preserve"> Additional</w:t>
      </w:r>
      <w:r w:rsidR="00D5699B" w:rsidRPr="000B5A6E">
        <w:t xml:space="preserve"> </w:t>
      </w:r>
      <w:r w:rsidR="00760828" w:rsidRPr="000B5A6E">
        <w:t xml:space="preserve">occurrence records for Australian territories as per </w:t>
      </w:r>
      <w:r w:rsidR="00760828" w:rsidRPr="000B5A6E">
        <w:fldChar w:fldCharType="begin"/>
      </w:r>
      <w:r w:rsidR="00760828" w:rsidRPr="000B5A6E">
        <w:instrText xml:space="preserve"> REF _Ref149600669 \h </w:instrText>
      </w:r>
      <w:r w:rsidR="00760828" w:rsidRPr="000B5A6E">
        <w:fldChar w:fldCharType="separate"/>
      </w:r>
      <w:r w:rsidR="007B2A78">
        <w:t xml:space="preserve">Table </w:t>
      </w:r>
      <w:r w:rsidR="007B2A78">
        <w:rPr>
          <w:noProof/>
        </w:rPr>
        <w:t>1</w:t>
      </w:r>
      <w:r w:rsidR="00760828" w:rsidRPr="000B5A6E">
        <w:fldChar w:fldCharType="end"/>
      </w:r>
      <w:r w:rsidR="00690290" w:rsidRPr="000B5A6E">
        <w:t xml:space="preserve"> - in light orange</w:t>
      </w:r>
      <w:r w:rsidRPr="000B5A6E">
        <w:t>.</w:t>
      </w:r>
      <w:bookmarkEnd w:id="26"/>
    </w:p>
    <w:p w14:paraId="75DBAA1B" w14:textId="77777777" w:rsidR="00D238E7" w:rsidRDefault="00D238E7" w:rsidP="00D85BE6"/>
    <w:p w14:paraId="750A61D5" w14:textId="18049A01" w:rsidR="00D85BE6" w:rsidRDefault="00D85BE6" w:rsidP="00D85BE6">
      <w:pPr>
        <w:pStyle w:val="Heading2"/>
        <w:numPr>
          <w:ilvl w:val="1"/>
          <w:numId w:val="10"/>
        </w:numPr>
      </w:pPr>
      <w:bookmarkStart w:id="27" w:name="_Toc134967017"/>
      <w:bookmarkStart w:id="28" w:name="_Toc189055265"/>
      <w:r>
        <w:t>Life history</w:t>
      </w:r>
      <w:bookmarkEnd w:id="28"/>
      <w:r>
        <w:t xml:space="preserve"> </w:t>
      </w:r>
      <w:bookmarkEnd w:id="27"/>
    </w:p>
    <w:p w14:paraId="1C452A82" w14:textId="1A18C92A" w:rsidR="00F9319C" w:rsidRDefault="009C26E7" w:rsidP="00F9319C">
      <w:r>
        <w:t>For a comprehensive compilation of life history parameters for Black teatfish and White teatfish, see Wolfe and Byrne (2022).</w:t>
      </w:r>
    </w:p>
    <w:p w14:paraId="2A5828CF" w14:textId="77777777" w:rsidR="00D85BE6" w:rsidRDefault="00D85BE6" w:rsidP="00D85BE6">
      <w:pPr>
        <w:pStyle w:val="Heading3"/>
        <w:numPr>
          <w:ilvl w:val="2"/>
          <w:numId w:val="10"/>
        </w:numPr>
      </w:pPr>
      <w:r>
        <w:t>Growth</w:t>
      </w:r>
    </w:p>
    <w:p w14:paraId="747A1BCF" w14:textId="0655222E" w:rsidR="006345E1" w:rsidRPr="006345E1" w:rsidRDefault="001C22DB" w:rsidP="006345E1">
      <w:r>
        <w:t xml:space="preserve">Growth in holothurians </w:t>
      </w:r>
      <w:r w:rsidR="00760828">
        <w:t xml:space="preserve">generally </w:t>
      </w:r>
      <w:r>
        <w:t xml:space="preserve">is poorly understood. Traditional mark-recapture studies are </w:t>
      </w:r>
      <w:r w:rsidR="00760828">
        <w:t>challenging</w:t>
      </w:r>
      <w:r>
        <w:t xml:space="preserve"> due to size plasticity (Ebert 1978, Uthicke &amp; Benzie 200</w:t>
      </w:r>
      <w:r w:rsidR="006B14A1">
        <w:t>0;</w:t>
      </w:r>
      <w:r>
        <w:t xml:space="preserve"> Purcell et al., 2016</w:t>
      </w:r>
      <w:r w:rsidR="000E0A8F">
        <w:t>b</w:t>
      </w:r>
      <w:r>
        <w:t xml:space="preserve">), and </w:t>
      </w:r>
      <w:r w:rsidR="00825FD7">
        <w:t>poor tag retention</w:t>
      </w:r>
      <w:r>
        <w:t xml:space="preserve"> (Conand</w:t>
      </w:r>
      <w:r w:rsidR="00760828">
        <w:t>,</w:t>
      </w:r>
      <w:r>
        <w:t xml:space="preserve"> 19</w:t>
      </w:r>
      <w:r w:rsidR="006B14A1">
        <w:t>88</w:t>
      </w:r>
      <w:r w:rsidR="00760828">
        <w:t>;</w:t>
      </w:r>
      <w:r>
        <w:t xml:space="preserve"> Purcell et al.</w:t>
      </w:r>
      <w:r w:rsidR="00760828">
        <w:t>,</w:t>
      </w:r>
      <w:r>
        <w:t xml:space="preserve"> 2006</w:t>
      </w:r>
      <w:r w:rsidR="00760828">
        <w:t>;</w:t>
      </w:r>
      <w:r>
        <w:t xml:space="preserve"> </w:t>
      </w:r>
      <w:r w:rsidR="00825FD7">
        <w:t>Shiell</w:t>
      </w:r>
      <w:r w:rsidR="006B14A1">
        <w:t xml:space="preserve"> and Uthicke</w:t>
      </w:r>
      <w:r w:rsidR="00825FD7">
        <w:t xml:space="preserve">, 2006; </w:t>
      </w:r>
      <w:r>
        <w:t>Rodríguez-Barreras et al.</w:t>
      </w:r>
      <w:r w:rsidR="00760828">
        <w:t>,</w:t>
      </w:r>
      <w:r>
        <w:t xml:space="preserve"> 2014)</w:t>
      </w:r>
      <w:r w:rsidR="00246465">
        <w:t>.</w:t>
      </w:r>
      <w:r>
        <w:t xml:space="preserve"> </w:t>
      </w:r>
      <w:r w:rsidR="00246465">
        <w:t xml:space="preserve">However, </w:t>
      </w:r>
      <w:r>
        <w:t xml:space="preserve">there has been some </w:t>
      </w:r>
      <w:r w:rsidR="007854D2">
        <w:t>studies of growth using</w:t>
      </w:r>
      <w:r>
        <w:t xml:space="preserve"> </w:t>
      </w:r>
      <w:r w:rsidR="00002632">
        <w:t xml:space="preserve">genetic </w:t>
      </w:r>
      <w:r w:rsidR="007854D2">
        <w:t xml:space="preserve">“tag-recapture” </w:t>
      </w:r>
      <w:r w:rsidR="00002632">
        <w:t xml:space="preserve">techniques </w:t>
      </w:r>
      <w:r>
        <w:t>(</w:t>
      </w:r>
      <w:r w:rsidR="00002632" w:rsidRPr="008D4467">
        <w:t>Uthicke et al., 2004</w:t>
      </w:r>
      <w:r w:rsidR="00C152AD">
        <w:t>a</w:t>
      </w:r>
      <w:r>
        <w:t>)</w:t>
      </w:r>
      <w:r w:rsidR="00002632">
        <w:t xml:space="preserve"> which indicated very slow growth for</w:t>
      </w:r>
      <w:r w:rsidR="00C152AD">
        <w:t xml:space="preserve"> adult </w:t>
      </w:r>
      <w:r w:rsidR="00002632">
        <w:t xml:space="preserve">Black teatfish, with many animals </w:t>
      </w:r>
      <w:r w:rsidR="00C152AD">
        <w:t xml:space="preserve">actually </w:t>
      </w:r>
      <w:r w:rsidR="00002632">
        <w:t>showing shrinkage over the study period</w:t>
      </w:r>
      <w:r w:rsidR="007854D2">
        <w:t>.</w:t>
      </w:r>
      <w:r w:rsidR="00C152AD">
        <w:t xml:space="preserve"> In addition, </w:t>
      </w:r>
      <w:r w:rsidR="006345E1">
        <w:t xml:space="preserve">aquaculture experiments have also found slow growth rates for newly settled </w:t>
      </w:r>
      <w:r w:rsidR="00864BE9">
        <w:t xml:space="preserve">White teatfish </w:t>
      </w:r>
      <w:r w:rsidR="006345E1">
        <w:t xml:space="preserve">juveniles of </w:t>
      </w:r>
      <w:r w:rsidR="006345E1" w:rsidRPr="006345E1">
        <w:t>0.13 g/day</w:t>
      </w:r>
      <w:r w:rsidR="00864BE9">
        <w:t xml:space="preserve">, and </w:t>
      </w:r>
      <w:r w:rsidR="00F63CAE">
        <w:t xml:space="preserve">taking </w:t>
      </w:r>
      <w:r w:rsidR="00864BE9">
        <w:t>about 2 years to reach 15</w:t>
      </w:r>
      <w:r w:rsidR="0030371E">
        <w:t>0</w:t>
      </w:r>
      <w:r w:rsidR="00864BE9">
        <w:t xml:space="preserve"> </w:t>
      </w:r>
      <w:r w:rsidR="0030371E">
        <w:t>g</w:t>
      </w:r>
      <w:r w:rsidR="00864BE9">
        <w:t xml:space="preserve"> (</w:t>
      </w:r>
      <w:r w:rsidR="00864BE9" w:rsidRPr="006345E1">
        <w:t>Burgy</w:t>
      </w:r>
      <w:r w:rsidR="00864BE9">
        <w:t xml:space="preserve"> and </w:t>
      </w:r>
      <w:r w:rsidR="00864BE9" w:rsidRPr="006345E1">
        <w:t>Purcell, 2024</w:t>
      </w:r>
      <w:r w:rsidR="00864BE9">
        <w:t xml:space="preserve">). Black teatfish newly settled juveniles </w:t>
      </w:r>
      <w:r w:rsidR="00F63CAE">
        <w:t>grew</w:t>
      </w:r>
      <w:r w:rsidR="00864BE9">
        <w:t xml:space="preserve"> faster at</w:t>
      </w:r>
      <w:r w:rsidR="006345E1">
        <w:t xml:space="preserve"> </w:t>
      </w:r>
      <w:r w:rsidR="006345E1" w:rsidRPr="006345E1">
        <w:t>0.3 g/day</w:t>
      </w:r>
      <w:r w:rsidR="006345E1">
        <w:t xml:space="preserve"> (</w:t>
      </w:r>
      <w:r w:rsidR="006345E1" w:rsidRPr="006345E1">
        <w:t>Burgy</w:t>
      </w:r>
      <w:r w:rsidR="006345E1">
        <w:t xml:space="preserve"> and </w:t>
      </w:r>
      <w:r w:rsidR="006345E1" w:rsidRPr="006345E1">
        <w:t>Purcell, 2024</w:t>
      </w:r>
      <w:r w:rsidR="006345E1">
        <w:t>)</w:t>
      </w:r>
      <w:r w:rsidR="006345E1" w:rsidRPr="006345E1">
        <w:t>.</w:t>
      </w:r>
      <w:r w:rsidR="006345E1">
        <w:t xml:space="preserve"> </w:t>
      </w:r>
    </w:p>
    <w:p w14:paraId="48F932CC" w14:textId="728DEF9A" w:rsidR="00013CBA" w:rsidRPr="00514112" w:rsidRDefault="00002632" w:rsidP="00C57A1B">
      <w:r>
        <w:t xml:space="preserve">Black teatfish </w:t>
      </w:r>
      <w:r w:rsidR="001C22DB" w:rsidRPr="00514112">
        <w:t xml:space="preserve">in the Western Pacific typically </w:t>
      </w:r>
      <w:r w:rsidR="00760828" w:rsidRPr="00514112">
        <w:t xml:space="preserve">grow to </w:t>
      </w:r>
      <w:r w:rsidR="00A90C83">
        <w:t>34-37</w:t>
      </w:r>
      <w:r w:rsidR="00D85BE6" w:rsidRPr="00514112">
        <w:t xml:space="preserve"> cm (</w:t>
      </w:r>
      <w:r w:rsidR="00A90C83">
        <w:t>CITES, 2019; Purcell et al., 2023a)</w:t>
      </w:r>
      <w:r w:rsidR="00013CBA" w:rsidRPr="00514112">
        <w:t xml:space="preserve">, though can reach </w:t>
      </w:r>
      <w:r w:rsidR="003062DD">
        <w:t>54</w:t>
      </w:r>
      <w:r w:rsidR="00D85BE6" w:rsidRPr="00514112">
        <w:t xml:space="preserve"> cm (Purcell et al., 20</w:t>
      </w:r>
      <w:r w:rsidR="00605880" w:rsidRPr="00514112">
        <w:t>23</w:t>
      </w:r>
      <w:r w:rsidR="000E0A8F">
        <w:t>a</w:t>
      </w:r>
      <w:r w:rsidR="00D85BE6" w:rsidRPr="00514112">
        <w:t>).</w:t>
      </w:r>
      <w:r w:rsidR="001C22DB" w:rsidRPr="00514112">
        <w:t xml:space="preserve"> </w:t>
      </w:r>
      <w:r w:rsidR="00605880" w:rsidRPr="00514112">
        <w:t>M</w:t>
      </w:r>
      <w:r w:rsidR="00013CBA" w:rsidRPr="00514112">
        <w:t>ax</w:t>
      </w:r>
      <w:r w:rsidR="00605880" w:rsidRPr="00514112">
        <w:t>imum</w:t>
      </w:r>
      <w:r w:rsidR="00013CBA" w:rsidRPr="00514112">
        <w:t xml:space="preserve"> length </w:t>
      </w:r>
      <w:r w:rsidR="002B6C63">
        <w:t>reported</w:t>
      </w:r>
      <w:r w:rsidR="00605880" w:rsidRPr="00514112">
        <w:t xml:space="preserve"> </w:t>
      </w:r>
      <w:r w:rsidR="00964D16">
        <w:t xml:space="preserve">in Torres Strait </w:t>
      </w:r>
      <w:r w:rsidR="00A12D93">
        <w:t>is</w:t>
      </w:r>
      <w:r w:rsidR="00013CBA" w:rsidRPr="00514112">
        <w:t xml:space="preserve"> 4</w:t>
      </w:r>
      <w:r w:rsidR="00964D16">
        <w:t>5</w:t>
      </w:r>
      <w:r w:rsidR="00013CBA" w:rsidRPr="00514112">
        <w:t xml:space="preserve"> cm</w:t>
      </w:r>
      <w:r w:rsidR="00246465" w:rsidRPr="00514112">
        <w:t xml:space="preserve"> </w:t>
      </w:r>
      <w:r w:rsidR="00013CBA" w:rsidRPr="00514112">
        <w:t>(Murphy et al., 202</w:t>
      </w:r>
      <w:r w:rsidR="00BD09A9">
        <w:t>4</w:t>
      </w:r>
      <w:r w:rsidR="00013CBA" w:rsidRPr="00514112">
        <w:t xml:space="preserve">), </w:t>
      </w:r>
      <w:r w:rsidR="002B6C63">
        <w:t>42 cm o</w:t>
      </w:r>
      <w:r w:rsidR="00013CBA" w:rsidRPr="00514112">
        <w:t>n the GBR (</w:t>
      </w:r>
      <w:r w:rsidR="002B6C63">
        <w:t>Benzie and Uthicke, 2003</w:t>
      </w:r>
      <w:r w:rsidR="00013CBA" w:rsidRPr="00514112">
        <w:t xml:space="preserve">) and </w:t>
      </w:r>
      <w:r w:rsidR="002B6C63">
        <w:t>31</w:t>
      </w:r>
      <w:r w:rsidR="00605880" w:rsidRPr="00514112">
        <w:t xml:space="preserve"> cm in </w:t>
      </w:r>
      <w:r w:rsidR="00013CBA" w:rsidRPr="00514112">
        <w:t xml:space="preserve">Coral Sea </w:t>
      </w:r>
      <w:r w:rsidR="00605880" w:rsidRPr="00514112">
        <w:t>(Skewes and Persson, 2017)</w:t>
      </w:r>
      <w:r w:rsidR="00013CBA" w:rsidRPr="00514112">
        <w:t xml:space="preserve">. </w:t>
      </w:r>
    </w:p>
    <w:p w14:paraId="06EDD5E1" w14:textId="336103BD" w:rsidR="00196923" w:rsidRPr="00514112" w:rsidRDefault="00196923" w:rsidP="00196923">
      <w:bookmarkStart w:id="29" w:name="_Hlk150334034"/>
      <w:r>
        <w:t xml:space="preserve">White teatfish </w:t>
      </w:r>
      <w:r w:rsidRPr="00514112">
        <w:t>in the Western Pacific typically grow to 4</w:t>
      </w:r>
      <w:r w:rsidR="003062DD">
        <w:t>2</w:t>
      </w:r>
      <w:r w:rsidRPr="00514112">
        <w:t xml:space="preserve"> cm (</w:t>
      </w:r>
      <w:r w:rsidR="003062DD">
        <w:t>CITES, 2019</w:t>
      </w:r>
      <w:r w:rsidRPr="00514112">
        <w:t xml:space="preserve">), though it can reach </w:t>
      </w:r>
      <w:r w:rsidR="003062DD">
        <w:t>57</w:t>
      </w:r>
      <w:r w:rsidRPr="00514112">
        <w:t xml:space="preserve"> cm (Purcell et al., 2023</w:t>
      </w:r>
      <w:r>
        <w:t>a</w:t>
      </w:r>
      <w:r w:rsidRPr="00514112">
        <w:t xml:space="preserve">). Maximum length </w:t>
      </w:r>
      <w:r>
        <w:t>reported</w:t>
      </w:r>
      <w:r w:rsidRPr="00514112">
        <w:t xml:space="preserve"> </w:t>
      </w:r>
      <w:r>
        <w:t>in Torres Strait is</w:t>
      </w:r>
      <w:r w:rsidRPr="00514112">
        <w:t xml:space="preserve"> </w:t>
      </w:r>
      <w:r w:rsidR="00757B50">
        <w:t>37</w:t>
      </w:r>
      <w:r w:rsidRPr="00514112">
        <w:t xml:space="preserve"> cm (Murphy et al., 202</w:t>
      </w:r>
      <w:r w:rsidR="00757B50">
        <w:t>1a</w:t>
      </w:r>
      <w:r w:rsidRPr="00514112">
        <w:t xml:space="preserve">) and </w:t>
      </w:r>
      <w:r>
        <w:t>3</w:t>
      </w:r>
      <w:r w:rsidR="003062DD">
        <w:t>2</w:t>
      </w:r>
      <w:r w:rsidRPr="00514112">
        <w:t xml:space="preserve"> cm in Coral Sea (Skewes and Persson, 2017). </w:t>
      </w:r>
    </w:p>
    <w:bookmarkEnd w:id="29"/>
    <w:p w14:paraId="4FB53FB4" w14:textId="6D6CB620" w:rsidR="00150A34" w:rsidRDefault="00150A34" w:rsidP="00150A34">
      <w:pPr>
        <w:pStyle w:val="Heading3"/>
      </w:pPr>
      <w:r>
        <w:lastRenderedPageBreak/>
        <w:t>Mortality/longevity</w:t>
      </w:r>
    </w:p>
    <w:p w14:paraId="2F4346AF" w14:textId="50EF39F3" w:rsidR="00E04C34" w:rsidRDefault="00150A34" w:rsidP="00150A34">
      <w:r>
        <w:t>Mortality rates and longevity</w:t>
      </w:r>
      <w:r w:rsidR="00246465">
        <w:t>,</w:t>
      </w:r>
      <w:r>
        <w:t xml:space="preserve"> like growth</w:t>
      </w:r>
      <w:r w:rsidR="00246465">
        <w:t>,</w:t>
      </w:r>
      <w:r>
        <w:t xml:space="preserve"> are not well established for sea cucumbers. </w:t>
      </w:r>
      <w:r w:rsidR="00246465">
        <w:t>H</w:t>
      </w:r>
      <w:r>
        <w:t>owever</w:t>
      </w:r>
      <w:r w:rsidR="00C152AD">
        <w:t>,</w:t>
      </w:r>
      <w:r>
        <w:t xml:space="preserve"> </w:t>
      </w:r>
      <w:r w:rsidR="00542F39">
        <w:t xml:space="preserve">genetic tag-recapture </w:t>
      </w:r>
      <w:r w:rsidR="00C152AD">
        <w:t xml:space="preserve">studies showing slow growth of adult sea cucumbers suggests that Black teatfish </w:t>
      </w:r>
      <w:r w:rsidR="00542F39">
        <w:t xml:space="preserve">at least </w:t>
      </w:r>
      <w:r w:rsidR="00C152AD">
        <w:t>are long-</w:t>
      </w:r>
      <w:r w:rsidR="00542F39">
        <w:t>lived</w:t>
      </w:r>
      <w:r w:rsidR="00C152AD">
        <w:t xml:space="preserve"> “potentially in the </w:t>
      </w:r>
      <w:r w:rsidR="00542F39">
        <w:t>r</w:t>
      </w:r>
      <w:r w:rsidR="00C152AD">
        <w:t xml:space="preserve">ange of several decades” </w:t>
      </w:r>
      <w:r>
        <w:t>(Uthicke et al., 2004</w:t>
      </w:r>
      <w:r w:rsidR="00560CD3">
        <w:t>a</w:t>
      </w:r>
      <w:r w:rsidR="00C152AD">
        <w:t>).</w:t>
      </w:r>
      <w:r>
        <w:t xml:space="preserve"> </w:t>
      </w:r>
      <w:r w:rsidR="00E04C34" w:rsidRPr="00E04C34">
        <w:t>I</w:t>
      </w:r>
      <w:r w:rsidRPr="00E04C34">
        <w:t>t has been suggested that sea cucumbers may not experience senescence, or at least have a lower senescence with age</w:t>
      </w:r>
      <w:r w:rsidR="00E04C34" w:rsidRPr="00E04C34">
        <w:t xml:space="preserve"> (FAO, </w:t>
      </w:r>
      <w:r w:rsidR="00C152AD">
        <w:t>2019</w:t>
      </w:r>
      <w:r w:rsidR="00E04C34" w:rsidRPr="00E04C34">
        <w:t>).</w:t>
      </w:r>
      <w:r w:rsidR="00E04C34">
        <w:t xml:space="preserve"> </w:t>
      </w:r>
    </w:p>
    <w:p w14:paraId="40C58E15" w14:textId="129BF3B5" w:rsidR="00E04C34" w:rsidRDefault="00150A34" w:rsidP="00150A34">
      <w:r>
        <w:t xml:space="preserve">Some </w:t>
      </w:r>
      <w:r w:rsidR="00F63CAE">
        <w:t xml:space="preserve">potential </w:t>
      </w:r>
      <w:r>
        <w:t xml:space="preserve">issues with establishing average growth and mortality rates for sea cucumbers </w:t>
      </w:r>
      <w:r w:rsidR="00825FD7">
        <w:t>include</w:t>
      </w:r>
      <w:r w:rsidR="00A12D93">
        <w:t>:</w:t>
      </w:r>
      <w:r>
        <w:t xml:space="preserve"> growth inhibition on younger animals by older cohorts (as occurs in sea urchins; Ebert, 2020); and n</w:t>
      </w:r>
      <w:r w:rsidRPr="00C76C5E">
        <w:t>egative senescence</w:t>
      </w:r>
      <w:r>
        <w:t xml:space="preserve">, which is </w:t>
      </w:r>
      <w:r w:rsidRPr="00C76C5E">
        <w:t>characteri</w:t>
      </w:r>
      <w:r w:rsidR="004E513A">
        <w:t>s</w:t>
      </w:r>
      <w:r w:rsidRPr="00C76C5E">
        <w:t>ed by a decline in mortality with age after reproductive maturity, generally accompanied by an increase in fecundity</w:t>
      </w:r>
      <w:r>
        <w:t xml:space="preserve"> (Ebert, 2020; </w:t>
      </w:r>
      <w:r w:rsidRPr="00D60635">
        <w:t>Romero-Gallardo</w:t>
      </w:r>
      <w:r>
        <w:t xml:space="preserve"> et al., 2018).</w:t>
      </w:r>
      <w:r w:rsidR="00A12D93">
        <w:t xml:space="preserve"> </w:t>
      </w:r>
      <w:r>
        <w:t xml:space="preserve">Also, the mark recapture experiments that have been carried out so far on tropical </w:t>
      </w:r>
      <w:r w:rsidR="00A12D93">
        <w:t>holothurians</w:t>
      </w:r>
      <w:r>
        <w:t xml:space="preserve"> are likely hampered by them being focussed on the observable “adult” cohort that are gaining weight and shrinking </w:t>
      </w:r>
      <w:r w:rsidR="00246465">
        <w:t xml:space="preserve">in length </w:t>
      </w:r>
      <w:r>
        <w:t>in almost equal proportions (Uthicke et al., 2004</w:t>
      </w:r>
      <w:r w:rsidR="00542F39">
        <w:t>a</w:t>
      </w:r>
      <w:r>
        <w:t>; Purcell et al., 2016</w:t>
      </w:r>
      <w:r w:rsidR="000E0A8F">
        <w:t>b</w:t>
      </w:r>
      <w:r>
        <w:t>; Hammond and Purcell, 2023)</w:t>
      </w:r>
      <w:r w:rsidR="005D2148">
        <w:t>, confounding traditional mark-recapture growth models</w:t>
      </w:r>
      <w:r>
        <w:t>.</w:t>
      </w:r>
      <w:r w:rsidR="00E04C34">
        <w:t xml:space="preserve"> </w:t>
      </w:r>
    </w:p>
    <w:p w14:paraId="421B02FF" w14:textId="77777777" w:rsidR="00D85BE6" w:rsidRDefault="00D85BE6" w:rsidP="00D85BE6">
      <w:pPr>
        <w:pStyle w:val="Heading3"/>
        <w:numPr>
          <w:ilvl w:val="2"/>
          <w:numId w:val="10"/>
        </w:numPr>
      </w:pPr>
      <w:r>
        <w:t>Reproduction</w:t>
      </w:r>
    </w:p>
    <w:p w14:paraId="0FFC5AE4" w14:textId="77777777" w:rsidR="00F63CAE" w:rsidRDefault="00F63CAE" w:rsidP="00DA6805">
      <w:r>
        <w:t xml:space="preserve">Both </w:t>
      </w:r>
      <w:r w:rsidR="0049606A" w:rsidRPr="0049606A">
        <w:t>teatfish</w:t>
      </w:r>
      <w:r>
        <w:t xml:space="preserve"> species</w:t>
      </w:r>
      <w:r w:rsidR="0049606A" w:rsidRPr="0049606A">
        <w:t xml:space="preserve"> </w:t>
      </w:r>
      <w:r w:rsidR="00C57A1B">
        <w:t>are gonochoric (separate sexes) broadcast spawners (release sperms and eggs in mass events</w:t>
      </w:r>
      <w:r w:rsidR="00514112">
        <w:t>)</w:t>
      </w:r>
      <w:r w:rsidR="00C57A1B">
        <w:t xml:space="preserve">. Neither </w:t>
      </w:r>
      <w:r>
        <w:t xml:space="preserve">Black teatfish or White teatfish </w:t>
      </w:r>
      <w:r w:rsidR="00C57A1B">
        <w:t>are known to be fissiparous species</w:t>
      </w:r>
      <w:r w:rsidR="00054FC5">
        <w:t xml:space="preserve"> (</w:t>
      </w:r>
      <w:r w:rsidR="00054FC5" w:rsidRPr="00F605C7">
        <w:t>breaks apart into multiple individuals</w:t>
      </w:r>
      <w:r w:rsidR="00054FC5">
        <w:rPr>
          <w:rFonts w:ascii="Segoe UI" w:hAnsi="Segoe UI" w:cs="Segoe UI"/>
          <w:color w:val="0F0F0F"/>
        </w:rPr>
        <w:t>)</w:t>
      </w:r>
      <w:r w:rsidR="00C57A1B">
        <w:t>, relying on sexual reproduction to maintain and grow populations</w:t>
      </w:r>
      <w:r w:rsidR="00DA798E">
        <w:t xml:space="preserve"> (Conand, 1993)</w:t>
      </w:r>
      <w:r w:rsidR="00C57A1B">
        <w:t xml:space="preserve">. </w:t>
      </w:r>
    </w:p>
    <w:p w14:paraId="14B7E1BB" w14:textId="6A51C78A" w:rsidR="0030371E" w:rsidRDefault="0030371E" w:rsidP="0030371E">
      <w:r>
        <w:t>Black teatfish has been recorded as spawning during winter (April to June) on the GBR (Shiell and Uthicke, 2006) and in New Caledonia (Conand 1993) – although it has also been recorded as spawning during the northern hemisphere summer (April to August) in Guam (Richmond, 1996), and a single record of a Black teatfish male has been recorded as spawning soon after the full moon in December on the GBR (Babcock et al., 1992). Black teatfish are one of the few holothurians that spawn in winter, with this being a key driver for assessments of high vulnerability to climate change for this species (</w:t>
      </w:r>
      <w:r w:rsidRPr="00F7274B">
        <w:t>Welch and Johnson, 2013</w:t>
      </w:r>
      <w:r>
        <w:t xml:space="preserve">). It may be that some spawning </w:t>
      </w:r>
      <w:r w:rsidR="000B7103">
        <w:t xml:space="preserve">occurs </w:t>
      </w:r>
      <w:r>
        <w:t>outside the winter established period, with some mature gonads present throughout the year and limited field observations of summer spawning, though only by males (Babcock et al., 1992; Shiell and Uthicke, 2006). This inverse timing has been suggested as an adaptation to the competition with other species (Cona</w:t>
      </w:r>
      <w:r w:rsidR="000B7103">
        <w:t>n</w:t>
      </w:r>
      <w:r>
        <w:t>d, 1993) or as a strategy to avoid cross fertilisation with closely related White teatfish (Sh</w:t>
      </w:r>
      <w:r w:rsidR="000B7103">
        <w:t>i</w:t>
      </w:r>
      <w:r>
        <w:t>ell and Uthicke, 2006).</w:t>
      </w:r>
    </w:p>
    <w:p w14:paraId="6D5B75A8" w14:textId="64F93179" w:rsidR="0030371E" w:rsidRDefault="0030371E" w:rsidP="0030371E">
      <w:r>
        <w:t xml:space="preserve">Not only are Black teatfish one of the few winter spawning aspidochirote holothurians, they </w:t>
      </w:r>
      <w:r w:rsidR="000B7103">
        <w:t>likely</w:t>
      </w:r>
      <w:r>
        <w:t xml:space="preserve"> also have an unusual model of gonad development, the so called Tubule Recruitment Model (TRM) where tubules mature progressively from the anterior to the posterior region of the gonad with at least four stages of gametogenesis present at any one time (Smiley, 1988; </w:t>
      </w:r>
      <w:r w:rsidRPr="0022191C">
        <w:t>Shiell</w:t>
      </w:r>
      <w:r>
        <w:t xml:space="preserve"> and </w:t>
      </w:r>
      <w:r w:rsidRPr="0022191C">
        <w:t>Uthicke, 2006</w:t>
      </w:r>
      <w:r>
        <w:t>). This is in contrast to most other sea cucumbers (including White teatfish) where all gonad tubules are generally at a similar stage in development, even though the reinitiation of gametogenesis in spawned and unspawned tubules can occur, resulting in overlapping generations of immature and relict oocytes (</w:t>
      </w:r>
      <w:r w:rsidRPr="00966FAD">
        <w:t>Ramofafia</w:t>
      </w:r>
      <w:r>
        <w:t xml:space="preserve"> et al., 2000; </w:t>
      </w:r>
      <w:r w:rsidRPr="00966FAD">
        <w:t>Ramofafia</w:t>
      </w:r>
      <w:r>
        <w:t xml:space="preserve"> and </w:t>
      </w:r>
      <w:r w:rsidRPr="00966FAD">
        <w:t>Byrne, 2001</w:t>
      </w:r>
      <w:r>
        <w:t xml:space="preserve">). Other features of Black teatfish reproduction on the GBR include a high fecundity and a </w:t>
      </w:r>
      <w:r w:rsidR="000B7103">
        <w:t xml:space="preserve">slightly </w:t>
      </w:r>
      <w:r>
        <w:t xml:space="preserve">male skewed sex ratio (Uthicke and Benzie, 2000; </w:t>
      </w:r>
      <w:r w:rsidRPr="0022191C">
        <w:t>Shiell</w:t>
      </w:r>
      <w:r>
        <w:t xml:space="preserve"> and </w:t>
      </w:r>
      <w:r w:rsidRPr="0022191C">
        <w:t>Uthicke, 2006</w:t>
      </w:r>
      <w:r>
        <w:t>).</w:t>
      </w:r>
    </w:p>
    <w:p w14:paraId="68BDAD1C" w14:textId="5CCC6EBD" w:rsidR="0030371E" w:rsidRDefault="0030371E" w:rsidP="0030371E">
      <w:r>
        <w:t>White teatfish is documented as spawning during summer (November to January) in New Caledonia (Conand, 1993), and late winter to spring (August to October) in the Solomon Islands (Ramofafia et al., 2000). This may indicate some plasticity of breeding seasonality for White teatfish – therefore local studies are likely required. Additionally,</w:t>
      </w:r>
      <w:r w:rsidR="000B7103">
        <w:t xml:space="preserve"> </w:t>
      </w:r>
      <w:r>
        <w:t>there</w:t>
      </w:r>
      <w:r w:rsidR="000B7103">
        <w:t xml:space="preserve"> could be some</w:t>
      </w:r>
      <w:r>
        <w:t xml:space="preserve"> variation in the timing of spawning </w:t>
      </w:r>
      <w:r w:rsidR="000B7103">
        <w:t>over its broad latitudinal range</w:t>
      </w:r>
      <w:r>
        <w:t xml:space="preserve">. </w:t>
      </w:r>
    </w:p>
    <w:p w14:paraId="35A26D53" w14:textId="401EDD4F" w:rsidR="00AB7429" w:rsidRDefault="00AB7429" w:rsidP="00AB7429">
      <w:r>
        <w:t xml:space="preserve">As </w:t>
      </w:r>
      <w:r w:rsidR="0030371E">
        <w:t xml:space="preserve">both species </w:t>
      </w:r>
      <w:r>
        <w:t xml:space="preserve">are sedentary </w:t>
      </w:r>
      <w:r w:rsidR="0030371E">
        <w:t xml:space="preserve">and have </w:t>
      </w:r>
      <w:r>
        <w:t>limited ability to aggregate</w:t>
      </w:r>
      <w:r w:rsidR="00054FC5">
        <w:t xml:space="preserve">, </w:t>
      </w:r>
      <w:r w:rsidR="0030371E">
        <w:t xml:space="preserve">lower densities will result in </w:t>
      </w:r>
      <w:r w:rsidR="00054FC5">
        <w:t xml:space="preserve">a </w:t>
      </w:r>
      <w:r>
        <w:t xml:space="preserve">dilution effect of adult gametes in the water column </w:t>
      </w:r>
      <w:r w:rsidR="0030371E">
        <w:t xml:space="preserve">which will lead to </w:t>
      </w:r>
      <w:r>
        <w:t>decrease</w:t>
      </w:r>
      <w:r w:rsidR="00054FC5">
        <w:t>d</w:t>
      </w:r>
      <w:r>
        <w:t xml:space="preserve"> f</w:t>
      </w:r>
      <w:r w:rsidR="0030371E">
        <w:t xml:space="preserve">ertilisation success </w:t>
      </w:r>
      <w:r>
        <w:t>and reduced larval production – contributing to Allee effects</w:t>
      </w:r>
      <w:r w:rsidR="00054FC5">
        <w:t xml:space="preserve"> (depensation)</w:t>
      </w:r>
      <w:r>
        <w:t xml:space="preserve"> in the stock recruitment relationship.</w:t>
      </w:r>
      <w:r w:rsidR="00200F81">
        <w:t xml:space="preserve"> However, the characteristics of the “Allee effect threshold”</w:t>
      </w:r>
      <w:r w:rsidR="002D0BA3">
        <w:t>,</w:t>
      </w:r>
      <w:r w:rsidR="00200F81">
        <w:t xml:space="preserve"> where reduced density begins to negatively affect population productivity and </w:t>
      </w:r>
      <w:r w:rsidR="0030371E">
        <w:t xml:space="preserve">the </w:t>
      </w:r>
      <w:r w:rsidR="00200F81">
        <w:t xml:space="preserve">“Allee threshold”, where populations will continue to decrease even when fishing ceases, are unknown for any sea cucumber population (Hutchings, 2015; </w:t>
      </w:r>
      <w:r w:rsidR="00200F81" w:rsidRPr="00616B99">
        <w:t>González-Durán</w:t>
      </w:r>
      <w:r w:rsidR="00200F81">
        <w:t xml:space="preserve"> et </w:t>
      </w:r>
      <w:r w:rsidR="00200F81">
        <w:lastRenderedPageBreak/>
        <w:t xml:space="preserve">al., 2018). The persistence and recovery (albeit often slow) of heavily depleted sea cucumber populations would suggest the </w:t>
      </w:r>
      <w:r w:rsidR="00200F81" w:rsidRPr="00D153DD">
        <w:t>Allee threshold</w:t>
      </w:r>
      <w:r w:rsidR="00200F81">
        <w:t xml:space="preserve"> is likely &lt;0.1 of virgin biomass (B</w:t>
      </w:r>
      <w:r w:rsidR="00200F81" w:rsidRPr="00D153DD">
        <w:rPr>
          <w:vertAlign w:val="subscript"/>
        </w:rPr>
        <w:t>0</w:t>
      </w:r>
      <w:r w:rsidR="00200F81">
        <w:t xml:space="preserve">) (Murphy et al., 2011; </w:t>
      </w:r>
      <w:r w:rsidR="00200F81" w:rsidRPr="00D153DD">
        <w:t>Ramírez-González</w:t>
      </w:r>
      <w:r w:rsidR="00200F81">
        <w:t xml:space="preserve"> et al., 2020; Friedman </w:t>
      </w:r>
      <w:r w:rsidR="00200F81">
        <w:rPr>
          <w:i/>
          <w:iCs/>
        </w:rPr>
        <w:t>et al</w:t>
      </w:r>
      <w:r w:rsidR="00200F81">
        <w:t>., 2010; Prescott et al., 2017; FAO, 2022).</w:t>
      </w:r>
    </w:p>
    <w:p w14:paraId="540C95EA" w14:textId="64801C57" w:rsidR="00D85BE6" w:rsidRDefault="00E26884" w:rsidP="00DA6805">
      <w:r>
        <w:t xml:space="preserve">Both teatfish species </w:t>
      </w:r>
      <w:r w:rsidR="00E6786C">
        <w:t xml:space="preserve">larval </w:t>
      </w:r>
      <w:r>
        <w:t>biology is relatively well studied, due in part to aquaculture focused research</w:t>
      </w:r>
      <w:r w:rsidR="00427350">
        <w:t xml:space="preserve"> (</w:t>
      </w:r>
      <w:r w:rsidR="00427350" w:rsidRPr="00427350">
        <w:t>Friedman</w:t>
      </w:r>
      <w:r w:rsidR="00427350">
        <w:t xml:space="preserve"> and </w:t>
      </w:r>
      <w:r w:rsidR="00427350" w:rsidRPr="00427350">
        <w:t>Tekanene, 2005</w:t>
      </w:r>
      <w:r w:rsidR="00427350">
        <w:t xml:space="preserve">; </w:t>
      </w:r>
      <w:r w:rsidR="00427350" w:rsidRPr="006345E1">
        <w:t>Burgy</w:t>
      </w:r>
      <w:r w:rsidR="00427350">
        <w:t xml:space="preserve"> and </w:t>
      </w:r>
      <w:r w:rsidR="00427350" w:rsidRPr="006345E1">
        <w:t>Purcell, 2024</w:t>
      </w:r>
      <w:r w:rsidR="00427350">
        <w:t>)</w:t>
      </w:r>
      <w:r w:rsidR="00427350" w:rsidRPr="00427350">
        <w:t>.</w:t>
      </w:r>
      <w:r w:rsidR="00E6786C">
        <w:t xml:space="preserve"> </w:t>
      </w:r>
      <w:r w:rsidR="00427350">
        <w:t>T</w:t>
      </w:r>
      <w:r w:rsidR="00DA6805">
        <w:t>heir larvae are planktonic and planktotrophic (feeding on small, suspended material in the water column)</w:t>
      </w:r>
      <w:r w:rsidR="00427350">
        <w:t xml:space="preserve"> and t</w:t>
      </w:r>
      <w:r w:rsidR="00DA6805">
        <w:t xml:space="preserve">heir larval duration is </w:t>
      </w:r>
      <w:r w:rsidR="00427350">
        <w:t>in the order of 2</w:t>
      </w:r>
      <w:r w:rsidR="00DA6805">
        <w:t>-4 weeks</w:t>
      </w:r>
      <w:r w:rsidR="00427350">
        <w:t xml:space="preserve"> (</w:t>
      </w:r>
      <w:bookmarkStart w:id="30" w:name="_Hlk173500019"/>
      <w:r w:rsidR="00427350">
        <w:t>Tanita et al., 2023</w:t>
      </w:r>
      <w:bookmarkEnd w:id="30"/>
      <w:r w:rsidR="00427350">
        <w:t xml:space="preserve">; </w:t>
      </w:r>
      <w:r w:rsidR="00427350" w:rsidRPr="006345E1">
        <w:t>Burgy</w:t>
      </w:r>
      <w:r w:rsidR="00427350">
        <w:t xml:space="preserve"> and </w:t>
      </w:r>
      <w:r w:rsidR="00427350" w:rsidRPr="006345E1">
        <w:t>Purcell, 2024</w:t>
      </w:r>
      <w:r w:rsidR="00427350">
        <w:t>)</w:t>
      </w:r>
      <w:r w:rsidR="00DA6805">
        <w:t>.</w:t>
      </w:r>
    </w:p>
    <w:p w14:paraId="5ED5BFA7" w14:textId="3F12FFE9" w:rsidR="007E69B2" w:rsidRDefault="007E69B2" w:rsidP="007E69B2">
      <w:r>
        <w:t>The only reliable estimates of size at first sexual maturity for teatfish are for New Caledonia, with estimates of the length at which 50% are mature (TL50) of 26 cm for Black teatfish and 32 cm for White teatfish (Conand, 1993)</w:t>
      </w:r>
      <w:r w:rsidR="00427350">
        <w:t>, t</w:t>
      </w:r>
      <w:r>
        <w:t xml:space="preserve">hough an earlier </w:t>
      </w:r>
      <w:r w:rsidR="00427350">
        <w:t>study</w:t>
      </w:r>
      <w:r>
        <w:t xml:space="preserve"> by the same author listed TL50 as 22.7cm and 32.4cm for Black teatfish and White teatfish respectively (Conand, 1981). That study found, for Black teatfish at least, the onset of sexual maturity coincided with the change in colour pattern from the mottled white juvenile form</w:t>
      </w:r>
      <w:r w:rsidR="00427350">
        <w:t xml:space="preserve"> to the uniformly black adult form</w:t>
      </w:r>
      <w:r>
        <w:t xml:space="preserve">. </w:t>
      </w:r>
    </w:p>
    <w:p w14:paraId="7A79D728" w14:textId="1AE88BEA" w:rsidR="00DA6805" w:rsidRPr="00DA798E" w:rsidRDefault="00DA6805" w:rsidP="000F3B49">
      <w:pPr>
        <w:pStyle w:val="Heading3"/>
      </w:pPr>
      <w:r w:rsidRPr="00DA798E">
        <w:t>Movement</w:t>
      </w:r>
    </w:p>
    <w:p w14:paraId="3754CA20" w14:textId="3CC583DE" w:rsidR="00DA6805" w:rsidRDefault="00DA6805" w:rsidP="00DA6805">
      <w:r>
        <w:t>Sea cucumbers are benthic</w:t>
      </w:r>
      <w:r w:rsidR="002D0BA3">
        <w:t>,</w:t>
      </w:r>
      <w:r>
        <w:t xml:space="preserve"> </w:t>
      </w:r>
      <w:r w:rsidR="002D0BA3">
        <w:t xml:space="preserve">generally </w:t>
      </w:r>
      <w:r>
        <w:t xml:space="preserve">with a low mobility </w:t>
      </w:r>
      <w:r w:rsidR="002D0BA3">
        <w:t xml:space="preserve">and </w:t>
      </w:r>
      <w:r>
        <w:t>annual displacements of 100</w:t>
      </w:r>
      <w:r w:rsidR="002D0BA3">
        <w:t> </w:t>
      </w:r>
      <w:r>
        <w:t xml:space="preserve">m or less (Purcell et al., 2016b; Hammond et al., 2020; Purcell et al., 2023b). However, the ability of adult sea cucumbers to move larger distances may also be underestimated (De la Rosa Castillo, 2023). In any case, </w:t>
      </w:r>
      <w:r w:rsidR="00F63CAE" w:rsidRPr="00F63CAE">
        <w:t xml:space="preserve">Black teatfish and White teatfish </w:t>
      </w:r>
      <w:r>
        <w:t xml:space="preserve">populations are very likely restricted to the reef on which they settle. </w:t>
      </w:r>
    </w:p>
    <w:p w14:paraId="08A87E46" w14:textId="77777777" w:rsidR="00D85BE6" w:rsidRDefault="00D85BE6" w:rsidP="00150A34">
      <w:pPr>
        <w:pStyle w:val="Heading2"/>
      </w:pPr>
      <w:bookmarkStart w:id="31" w:name="_Toc134967030"/>
      <w:bookmarkStart w:id="32" w:name="_Toc189055266"/>
      <w:r>
        <w:t>Connectivity/metapopulation structure</w:t>
      </w:r>
      <w:bookmarkEnd w:id="31"/>
      <w:bookmarkEnd w:id="32"/>
    </w:p>
    <w:p w14:paraId="342E4A0D" w14:textId="77777777" w:rsidR="00392839" w:rsidRPr="00D5061E" w:rsidRDefault="00392839" w:rsidP="00392839">
      <w:r w:rsidRPr="00D5061E">
        <w:t xml:space="preserve">For sustainable fisheries management and assessment, and for managing the risk of localised extirpation, understanding stock structure and matching biological processes and management action is critical. If population structure is not adequately considered, depletion and even extinction of subpopulations can occur before adequate information is available to initiate action (Perry et al., 1999). </w:t>
      </w:r>
    </w:p>
    <w:p w14:paraId="6EDB9BFA" w14:textId="7545F372" w:rsidR="00392839" w:rsidRDefault="00392839" w:rsidP="00392839">
      <w:r w:rsidRPr="00D5061E">
        <w:t>Population structure is defined by population spatial distribution at multiple scales, usually driven by the distribution of suitable adult habitat, and the connectivity, in terms of recruitment, between populations (or subpopulations within a metapopulation). Population connectivity will depend on several factors</w:t>
      </w:r>
      <w:r w:rsidR="002D0BA3">
        <w:t>,</w:t>
      </w:r>
      <w:r w:rsidRPr="00D5061E">
        <w:t xml:space="preserve"> including (but not limited to): distance between populations/subpopulations; larval production (quantity and timing), duration, behaviour (vertical migration, active swimming and settlement ques) and mortality rates; and hydrodynamics and current patterns (speed and directionality at multiple scales driven by tides, local winds, large scale ocean circulation and continental shelf waves) (Leis, 2015; Treml et al., 2015). Though active current patterns may promote connectivity, entrainment by embayments and reef systems will also be an important driver of relative recruitment potential to local populations.</w:t>
      </w:r>
      <w:r>
        <w:t xml:space="preserve"> </w:t>
      </w:r>
    </w:p>
    <w:p w14:paraId="79FBBC0E" w14:textId="5CF8D8F1" w:rsidR="00392839" w:rsidRDefault="00392839" w:rsidP="00392839">
      <w:r>
        <w:t xml:space="preserve">Defining suitable population units is not straightforward, as functional (or demographic) connectivity can be variable in space and time and include source and sink considerations, all of which have different implications for meta population management. </w:t>
      </w:r>
    </w:p>
    <w:p w14:paraId="496A5734" w14:textId="77777777" w:rsidR="00392839" w:rsidRDefault="00392839" w:rsidP="00392839">
      <w:r>
        <w:t>Two types of connectivity have been defined (</w:t>
      </w:r>
      <w:r w:rsidRPr="00311436">
        <w:t>Sale et al.</w:t>
      </w:r>
      <w:r>
        <w:t>,</w:t>
      </w:r>
      <w:r w:rsidRPr="00311436">
        <w:t xml:space="preserve"> 2010</w:t>
      </w:r>
      <w:r>
        <w:t>; Johnson et al., 2018):</w:t>
      </w:r>
    </w:p>
    <w:p w14:paraId="0FA031F2" w14:textId="77777777" w:rsidR="00392839" w:rsidRDefault="00392839" w:rsidP="00392839">
      <w:pPr>
        <w:pStyle w:val="ListParagraph"/>
        <w:numPr>
          <w:ilvl w:val="0"/>
          <w:numId w:val="19"/>
        </w:numPr>
      </w:pPr>
      <w:r>
        <w:t>Evolutionary (genetic) connectivity: the amount of gene flow occurring among populations over a timescale of several generations. It determines the extent of genetic differences among populations.</w:t>
      </w:r>
    </w:p>
    <w:p w14:paraId="0FA8D268" w14:textId="2B7D17D8" w:rsidR="00392839" w:rsidRDefault="00392839" w:rsidP="00392839">
      <w:pPr>
        <w:pStyle w:val="ListParagraph"/>
        <w:numPr>
          <w:ilvl w:val="0"/>
          <w:numId w:val="19"/>
        </w:numPr>
      </w:pPr>
      <w:r>
        <w:t xml:space="preserve">Demographic (ecological) connectivity: an exchange of individuals among local populations that can influence population demographics and dynamics through the exchange of offspring between populations </w:t>
      </w:r>
      <w:r w:rsidR="002D0BA3">
        <w:t xml:space="preserve">via </w:t>
      </w:r>
      <w:r>
        <w:t xml:space="preserve">larval dispersal, and recruitment of juveniles and survival of these juveniles to reproductive age. </w:t>
      </w:r>
    </w:p>
    <w:p w14:paraId="425FECF2" w14:textId="00226025" w:rsidR="00392839" w:rsidRPr="00A07EDF" w:rsidRDefault="00392839" w:rsidP="00392839">
      <w:r>
        <w:t>Maintaining genetic connecti</w:t>
      </w:r>
      <w:r w:rsidR="00C82860">
        <w:t xml:space="preserve">vity </w:t>
      </w:r>
      <w:r>
        <w:t>is important</w:t>
      </w:r>
      <w:r w:rsidR="007E12B8">
        <w:t xml:space="preserve"> for</w:t>
      </w:r>
      <w:r>
        <w:t xml:space="preserve"> long-term conservation planning</w:t>
      </w:r>
      <w:r w:rsidR="004E3E7A">
        <w:t>.</w:t>
      </w:r>
      <w:r>
        <w:t xml:space="preserve"> </w:t>
      </w:r>
      <w:r w:rsidR="004E3E7A">
        <w:t>B</w:t>
      </w:r>
      <w:r>
        <w:t xml:space="preserve">ut demographic </w:t>
      </w:r>
      <w:r w:rsidRPr="00A07EDF">
        <w:t xml:space="preserve">connectivity is important for informing day-to-day </w:t>
      </w:r>
      <w:r w:rsidR="007E12B8">
        <w:t xml:space="preserve">fishery </w:t>
      </w:r>
      <w:r w:rsidRPr="00A07EDF">
        <w:t xml:space="preserve">management (Johnson et al., 2018). It is therefore important that management is consistent in terms of how connectivity is considered in the </w:t>
      </w:r>
      <w:r w:rsidR="007E12B8">
        <w:t xml:space="preserve">its </w:t>
      </w:r>
      <w:r w:rsidRPr="00A07EDF">
        <w:lastRenderedPageBreak/>
        <w:t>objectives and approaches, and ideally these should be based on demographically independent populations (Wallace et al.</w:t>
      </w:r>
      <w:r w:rsidR="00C82860">
        <w:t>,</w:t>
      </w:r>
      <w:r w:rsidRPr="00A07EDF">
        <w:t xml:space="preserve"> 2010). In terms of </w:t>
      </w:r>
      <w:r w:rsidR="007E12B8">
        <w:t xml:space="preserve">population </w:t>
      </w:r>
      <w:r w:rsidRPr="00A07EDF">
        <w:t>ris</w:t>
      </w:r>
      <w:r w:rsidR="007E12B8">
        <w:t xml:space="preserve">k however, </w:t>
      </w:r>
      <w:r w:rsidRPr="00A07EDF">
        <w:t xml:space="preserve">it is better to have multiple management and assessment </w:t>
      </w:r>
      <w:r w:rsidR="007E12B8">
        <w:t xml:space="preserve">units applied to </w:t>
      </w:r>
      <w:r w:rsidRPr="00A07EDF">
        <w:t>a single population tha</w:t>
      </w:r>
      <w:r w:rsidR="007E12B8">
        <w:t>n having multiple populations within a single management unit</w:t>
      </w:r>
      <w:r w:rsidRPr="00A07EDF">
        <w:t xml:space="preserve"> (Reiss et al.</w:t>
      </w:r>
      <w:r w:rsidR="00C82860">
        <w:t>,</w:t>
      </w:r>
      <w:r w:rsidRPr="00A07EDF">
        <w:t xml:space="preserve"> 2009).</w:t>
      </w:r>
    </w:p>
    <w:p w14:paraId="7511C778" w14:textId="24C99E8E" w:rsidR="00392839" w:rsidRDefault="00392839" w:rsidP="00392839">
      <w:r>
        <w:t xml:space="preserve">The following table </w:t>
      </w:r>
      <w:r w:rsidRPr="007B4CB5">
        <w:t xml:space="preserve">shows the level of assessment expected and considerations for scoring the </w:t>
      </w:r>
      <w:r w:rsidR="00B25252" w:rsidRPr="007B4CB5">
        <w:t xml:space="preserve">unit </w:t>
      </w:r>
      <w:r w:rsidRPr="007B4CB5">
        <w:t xml:space="preserve">stock outcome and harvest strategy components </w:t>
      </w:r>
      <w:r w:rsidR="00B25252">
        <w:t xml:space="preserve">of Marine Stewardship Council (MSC) fishery assessments </w:t>
      </w:r>
      <w:r w:rsidRPr="007B4CB5">
        <w:t>for a single population stock (case A), and for 3 different forms of metapopulations (cases B, C, and D)</w:t>
      </w:r>
      <w:r>
        <w:t xml:space="preserve"> (MSC, 2022)</w:t>
      </w:r>
      <w:r w:rsidRPr="007B4CB5">
        <w:t>.</w:t>
      </w:r>
    </w:p>
    <w:p w14:paraId="461E3257" w14:textId="7DF528FF" w:rsidR="00392839" w:rsidRPr="00547C6B" w:rsidRDefault="00392839" w:rsidP="000B5A6E">
      <w:pPr>
        <w:pStyle w:val="Caption"/>
      </w:pPr>
      <w:bookmarkStart w:id="33" w:name="_Ref150338514"/>
      <w:bookmarkStart w:id="34" w:name="_Toc174091512"/>
      <w:bookmarkStart w:id="35" w:name="_Toc189055302"/>
      <w:r>
        <w:t xml:space="preserve">Table </w:t>
      </w:r>
      <w:fldSimple w:instr=" SEQ Table \* ARABIC ">
        <w:r w:rsidR="007B2A78">
          <w:rPr>
            <w:noProof/>
          </w:rPr>
          <w:t>2</w:t>
        </w:r>
      </w:fldSimple>
      <w:bookmarkEnd w:id="33"/>
      <w:r>
        <w:t>.</w:t>
      </w:r>
      <w:r w:rsidRPr="00547C6B">
        <w:t xml:space="preserve"> </w:t>
      </w:r>
      <w:r w:rsidR="00D00253">
        <w:t xml:space="preserve">Stock structure characterisations, and implications for </w:t>
      </w:r>
      <w:r w:rsidRPr="00547C6B">
        <w:t>assessment for different forms of metapopulation</w:t>
      </w:r>
      <w:r w:rsidR="00D00253">
        <w:t xml:space="preserve"> for Marine Stewardship Council </w:t>
      </w:r>
      <w:r w:rsidR="00B25252">
        <w:t xml:space="preserve">(MSC) </w:t>
      </w:r>
      <w:r w:rsidR="00D00253">
        <w:t>outcome assessments</w:t>
      </w:r>
      <w:r>
        <w:t xml:space="preserve"> (PRI is Point of Recruitment Impairment – analogous to BLim in most Harvest Strategies) (MSC, 2022; Table </w:t>
      </w:r>
      <w:r w:rsidRPr="00261BB7">
        <w:t>G2</w:t>
      </w:r>
      <w:r>
        <w:t>)</w:t>
      </w:r>
      <w:bookmarkEnd w:id="34"/>
      <w:bookmarkEnd w:id="35"/>
    </w:p>
    <w:tbl>
      <w:tblPr>
        <w:tblStyle w:val="GridTable4"/>
        <w:tblW w:w="9194" w:type="dxa"/>
        <w:tblLayout w:type="fixed"/>
        <w:tblLook w:val="0620" w:firstRow="1" w:lastRow="0" w:firstColumn="0" w:lastColumn="0" w:noHBand="1" w:noVBand="1"/>
      </w:tblPr>
      <w:tblGrid>
        <w:gridCol w:w="1984"/>
        <w:gridCol w:w="2958"/>
        <w:gridCol w:w="4252"/>
      </w:tblGrid>
      <w:tr w:rsidR="00C82860" w:rsidRPr="00C82860" w14:paraId="621B23FD" w14:textId="77777777" w:rsidTr="00C82860">
        <w:trPr>
          <w:cnfStyle w:val="100000000000" w:firstRow="1" w:lastRow="0" w:firstColumn="0" w:lastColumn="0" w:oddVBand="0" w:evenVBand="0" w:oddHBand="0" w:evenHBand="0" w:firstRowFirstColumn="0" w:firstRowLastColumn="0" w:lastRowFirstColumn="0" w:lastRowLastColumn="0"/>
          <w:trHeight w:val="327"/>
        </w:trPr>
        <w:tc>
          <w:tcPr>
            <w:tcW w:w="1984" w:type="dxa"/>
          </w:tcPr>
          <w:p w14:paraId="0F7E153E" w14:textId="77777777" w:rsidR="00392839" w:rsidRPr="00C82860" w:rsidRDefault="00392839" w:rsidP="00435054">
            <w:pPr>
              <w:rPr>
                <w:rFonts w:cstheme="minorHAnsi"/>
                <w:color w:val="FFFFFF" w:themeColor="background1"/>
                <w:sz w:val="20"/>
                <w:szCs w:val="20"/>
              </w:rPr>
            </w:pPr>
            <w:r w:rsidRPr="00C82860">
              <w:rPr>
                <w:rFonts w:cstheme="minorHAnsi"/>
                <w:color w:val="FFFFFF" w:themeColor="background1"/>
                <w:sz w:val="20"/>
                <w:szCs w:val="20"/>
              </w:rPr>
              <w:t xml:space="preserve">Stock structure </w:t>
            </w:r>
          </w:p>
        </w:tc>
        <w:tc>
          <w:tcPr>
            <w:tcW w:w="2958" w:type="dxa"/>
          </w:tcPr>
          <w:p w14:paraId="730192A2" w14:textId="77777777" w:rsidR="00392839" w:rsidRPr="00C82860" w:rsidRDefault="00392839" w:rsidP="00435054">
            <w:pPr>
              <w:rPr>
                <w:rFonts w:cstheme="minorHAnsi"/>
                <w:color w:val="FFFFFF" w:themeColor="background1"/>
                <w:sz w:val="20"/>
                <w:szCs w:val="20"/>
              </w:rPr>
            </w:pPr>
            <w:r w:rsidRPr="00C82860">
              <w:rPr>
                <w:rFonts w:cstheme="minorHAnsi"/>
                <w:color w:val="FFFFFF" w:themeColor="background1"/>
                <w:sz w:val="20"/>
                <w:szCs w:val="20"/>
              </w:rPr>
              <w:t xml:space="preserve">Description (degree of connectivity and self-recruitment) </w:t>
            </w:r>
          </w:p>
        </w:tc>
        <w:tc>
          <w:tcPr>
            <w:tcW w:w="4252" w:type="dxa"/>
          </w:tcPr>
          <w:p w14:paraId="1E634A03" w14:textId="77777777" w:rsidR="00392839" w:rsidRPr="00C82860" w:rsidRDefault="00392839" w:rsidP="00435054">
            <w:pPr>
              <w:rPr>
                <w:rFonts w:cstheme="minorHAnsi"/>
                <w:color w:val="FFFFFF" w:themeColor="background1"/>
                <w:sz w:val="20"/>
                <w:szCs w:val="20"/>
              </w:rPr>
            </w:pPr>
            <w:r w:rsidRPr="00C82860">
              <w:rPr>
                <w:rFonts w:cstheme="minorHAnsi"/>
                <w:color w:val="FFFFFF" w:themeColor="background1"/>
                <w:sz w:val="20"/>
                <w:szCs w:val="20"/>
              </w:rPr>
              <w:t>Implications for management of the stock</w:t>
            </w:r>
          </w:p>
        </w:tc>
      </w:tr>
      <w:tr w:rsidR="00392839" w:rsidRPr="00E04C34" w14:paraId="0141C900" w14:textId="77777777" w:rsidTr="00C82860">
        <w:trPr>
          <w:trHeight w:val="1033"/>
        </w:trPr>
        <w:tc>
          <w:tcPr>
            <w:tcW w:w="1984" w:type="dxa"/>
          </w:tcPr>
          <w:p w14:paraId="46408504" w14:textId="77777777" w:rsidR="00392839" w:rsidRPr="00E04C34" w:rsidRDefault="00392839" w:rsidP="00435054">
            <w:pPr>
              <w:rPr>
                <w:rFonts w:cstheme="minorHAnsi"/>
                <w:sz w:val="20"/>
                <w:szCs w:val="20"/>
              </w:rPr>
            </w:pPr>
            <w:r w:rsidRPr="00E04C34">
              <w:rPr>
                <w:rFonts w:cstheme="minorHAnsi"/>
                <w:sz w:val="20"/>
                <w:szCs w:val="20"/>
              </w:rPr>
              <w:t xml:space="preserve">A. </w:t>
            </w:r>
          </w:p>
          <w:p w14:paraId="343BB7B5" w14:textId="77777777" w:rsidR="00392839" w:rsidRPr="00E04C34" w:rsidRDefault="00392839" w:rsidP="00435054">
            <w:pPr>
              <w:rPr>
                <w:rFonts w:cstheme="minorHAnsi"/>
                <w:sz w:val="20"/>
                <w:szCs w:val="20"/>
              </w:rPr>
            </w:pPr>
            <w:r w:rsidRPr="00E04C34">
              <w:rPr>
                <w:rFonts w:cstheme="minorHAnsi"/>
                <w:sz w:val="20"/>
                <w:szCs w:val="20"/>
              </w:rPr>
              <w:t xml:space="preserve">Single population </w:t>
            </w:r>
          </w:p>
        </w:tc>
        <w:tc>
          <w:tcPr>
            <w:tcW w:w="2958" w:type="dxa"/>
          </w:tcPr>
          <w:p w14:paraId="720358A4" w14:textId="77777777" w:rsidR="00392839" w:rsidRPr="00E04C34" w:rsidRDefault="00392839" w:rsidP="00435054">
            <w:pPr>
              <w:rPr>
                <w:rFonts w:cstheme="minorHAnsi"/>
                <w:sz w:val="20"/>
                <w:szCs w:val="20"/>
              </w:rPr>
            </w:pPr>
            <w:r w:rsidRPr="00E04C34">
              <w:rPr>
                <w:rFonts w:cstheme="minorHAnsi"/>
                <w:sz w:val="20"/>
                <w:szCs w:val="20"/>
              </w:rPr>
              <w:t xml:space="preserve">Completely isolated. </w:t>
            </w:r>
          </w:p>
          <w:p w14:paraId="056C8D22" w14:textId="77777777" w:rsidR="00392839" w:rsidRPr="00E04C34" w:rsidRDefault="00392839" w:rsidP="00435054">
            <w:pPr>
              <w:rPr>
                <w:rFonts w:cstheme="minorHAnsi"/>
                <w:sz w:val="20"/>
                <w:szCs w:val="20"/>
              </w:rPr>
            </w:pPr>
            <w:r w:rsidRPr="00E04C34">
              <w:rPr>
                <w:rFonts w:cstheme="minorHAnsi"/>
                <w:sz w:val="20"/>
                <w:szCs w:val="20"/>
              </w:rPr>
              <w:t xml:space="preserve">Self-contained with no emigration or immigration of individuals from or to the stock. </w:t>
            </w:r>
          </w:p>
          <w:p w14:paraId="306F0714" w14:textId="77777777" w:rsidR="00392839" w:rsidRPr="00E04C34" w:rsidRDefault="00392839" w:rsidP="00435054">
            <w:pPr>
              <w:rPr>
                <w:rFonts w:cstheme="minorHAnsi"/>
                <w:sz w:val="20"/>
                <w:szCs w:val="20"/>
              </w:rPr>
            </w:pPr>
            <w:r w:rsidRPr="00E04C34">
              <w:rPr>
                <w:rFonts w:cstheme="minorHAnsi"/>
                <w:sz w:val="20"/>
                <w:szCs w:val="20"/>
              </w:rPr>
              <w:t xml:space="preserve">Occupies a well-defined spatial range and is independent of other stocks of the same species. </w:t>
            </w:r>
          </w:p>
        </w:tc>
        <w:tc>
          <w:tcPr>
            <w:tcW w:w="4252" w:type="dxa"/>
          </w:tcPr>
          <w:p w14:paraId="2E6F46CF" w14:textId="77777777" w:rsidR="00392839" w:rsidRPr="00E04C34" w:rsidRDefault="00392839" w:rsidP="00435054">
            <w:pPr>
              <w:rPr>
                <w:rFonts w:cstheme="minorHAnsi"/>
                <w:sz w:val="20"/>
                <w:szCs w:val="20"/>
              </w:rPr>
            </w:pPr>
            <w:r w:rsidRPr="00E04C34">
              <w:rPr>
                <w:rFonts w:cstheme="minorHAnsi"/>
                <w:sz w:val="20"/>
                <w:szCs w:val="20"/>
              </w:rPr>
              <w:t xml:space="preserve">Whole population. </w:t>
            </w:r>
          </w:p>
          <w:p w14:paraId="7DFC440B" w14:textId="77777777" w:rsidR="00392839" w:rsidRPr="00E04C34" w:rsidRDefault="00392839" w:rsidP="00435054">
            <w:pPr>
              <w:rPr>
                <w:rFonts w:cstheme="minorHAnsi"/>
                <w:sz w:val="20"/>
                <w:szCs w:val="20"/>
              </w:rPr>
            </w:pPr>
            <w:r w:rsidRPr="00E04C34">
              <w:rPr>
                <w:rFonts w:cstheme="minorHAnsi"/>
                <w:sz w:val="20"/>
                <w:szCs w:val="20"/>
              </w:rPr>
              <w:t xml:space="preserve">Fishing on the population has no effect on the dynamics of neighbouring populations. </w:t>
            </w:r>
          </w:p>
          <w:p w14:paraId="51CB59D3" w14:textId="77777777" w:rsidR="00392839" w:rsidRPr="00E04C34" w:rsidRDefault="00392839" w:rsidP="00435054">
            <w:pPr>
              <w:rPr>
                <w:rFonts w:cstheme="minorHAnsi"/>
                <w:sz w:val="20"/>
                <w:szCs w:val="20"/>
              </w:rPr>
            </w:pPr>
            <w:r w:rsidRPr="00E04C34">
              <w:rPr>
                <w:rFonts w:cstheme="minorHAnsi"/>
                <w:sz w:val="20"/>
                <w:szCs w:val="20"/>
              </w:rPr>
              <w:t xml:space="preserve">Normal expectations may apply for reference points. The fishery must manage the stock above the point of recruitment impairment (PRI) to ensure recruitment is sustained. </w:t>
            </w:r>
          </w:p>
        </w:tc>
      </w:tr>
      <w:tr w:rsidR="00392839" w:rsidRPr="00E04C34" w14:paraId="1E6D4ADE" w14:textId="77777777" w:rsidTr="00C82860">
        <w:trPr>
          <w:trHeight w:val="1723"/>
        </w:trPr>
        <w:tc>
          <w:tcPr>
            <w:tcW w:w="1984" w:type="dxa"/>
          </w:tcPr>
          <w:p w14:paraId="53C8B434" w14:textId="77777777" w:rsidR="00392839" w:rsidRPr="00E04C34" w:rsidRDefault="00392839" w:rsidP="00435054">
            <w:pPr>
              <w:rPr>
                <w:rFonts w:cstheme="minorHAnsi"/>
                <w:sz w:val="20"/>
                <w:szCs w:val="20"/>
              </w:rPr>
            </w:pPr>
            <w:r w:rsidRPr="00E04C34">
              <w:rPr>
                <w:rFonts w:cstheme="minorHAnsi"/>
                <w:sz w:val="20"/>
                <w:szCs w:val="20"/>
              </w:rPr>
              <w:t xml:space="preserve">B. </w:t>
            </w:r>
          </w:p>
          <w:p w14:paraId="55B6195D" w14:textId="7060B2A8" w:rsidR="00392839" w:rsidRPr="00E04C34" w:rsidRDefault="00392839" w:rsidP="00435054">
            <w:pPr>
              <w:rPr>
                <w:rFonts w:cstheme="minorHAnsi"/>
                <w:sz w:val="20"/>
                <w:szCs w:val="20"/>
              </w:rPr>
            </w:pPr>
            <w:r w:rsidRPr="00E04C34">
              <w:rPr>
                <w:rFonts w:cstheme="minorHAnsi"/>
                <w:sz w:val="20"/>
                <w:szCs w:val="20"/>
              </w:rPr>
              <w:t xml:space="preserve">Local population </w:t>
            </w:r>
            <w:r w:rsidR="0079338A">
              <w:rPr>
                <w:rFonts w:cstheme="minorHAnsi"/>
                <w:sz w:val="20"/>
                <w:szCs w:val="20"/>
              </w:rPr>
              <w:t xml:space="preserve">(LP) </w:t>
            </w:r>
            <w:r w:rsidRPr="00E04C34">
              <w:rPr>
                <w:rFonts w:cstheme="minorHAnsi"/>
                <w:sz w:val="20"/>
                <w:szCs w:val="20"/>
              </w:rPr>
              <w:t xml:space="preserve">with partial isolation </w:t>
            </w:r>
          </w:p>
        </w:tc>
        <w:tc>
          <w:tcPr>
            <w:tcW w:w="2958" w:type="dxa"/>
          </w:tcPr>
          <w:p w14:paraId="45F7EE5C" w14:textId="77777777" w:rsidR="00392839" w:rsidRPr="00E04C34" w:rsidRDefault="00392839" w:rsidP="00435054">
            <w:pPr>
              <w:rPr>
                <w:rFonts w:cstheme="minorHAnsi"/>
                <w:sz w:val="20"/>
                <w:szCs w:val="20"/>
              </w:rPr>
            </w:pPr>
            <w:r w:rsidRPr="00E04C34">
              <w:rPr>
                <w:rFonts w:cstheme="minorHAnsi"/>
                <w:sz w:val="20"/>
                <w:szCs w:val="20"/>
              </w:rPr>
              <w:t xml:space="preserve">Partially isolated and minimal connectivity. </w:t>
            </w:r>
          </w:p>
          <w:p w14:paraId="538016A3" w14:textId="77777777" w:rsidR="00392839" w:rsidRPr="00E04C34" w:rsidRDefault="00392839" w:rsidP="00435054">
            <w:pPr>
              <w:rPr>
                <w:rFonts w:cstheme="minorHAnsi"/>
                <w:sz w:val="20"/>
                <w:szCs w:val="20"/>
              </w:rPr>
            </w:pPr>
            <w:r w:rsidRPr="00E04C34">
              <w:rPr>
                <w:rFonts w:cstheme="minorHAnsi"/>
                <w:sz w:val="20"/>
                <w:szCs w:val="20"/>
              </w:rPr>
              <w:t xml:space="preserve">Self-sustaining. </w:t>
            </w:r>
          </w:p>
          <w:p w14:paraId="73F15589" w14:textId="77777777" w:rsidR="00392839" w:rsidRPr="00E04C34" w:rsidRDefault="00392839" w:rsidP="00435054">
            <w:pPr>
              <w:rPr>
                <w:rFonts w:cstheme="minorHAnsi"/>
                <w:sz w:val="20"/>
                <w:szCs w:val="20"/>
              </w:rPr>
            </w:pPr>
            <w:r w:rsidRPr="00E04C34">
              <w:rPr>
                <w:rFonts w:cstheme="minorHAnsi"/>
                <w:sz w:val="20"/>
                <w:szCs w:val="20"/>
              </w:rPr>
              <w:t xml:space="preserve">The degree of connectivity with other LPs in the metapopulation is so weak that, for management purposes, it can be considered a self-sustaining population. This may be true even if occasional larval exchanges between LPs are enough to maintain a certain degree of genetic flow and homogeneity. </w:t>
            </w:r>
          </w:p>
        </w:tc>
        <w:tc>
          <w:tcPr>
            <w:tcW w:w="4252" w:type="dxa"/>
          </w:tcPr>
          <w:p w14:paraId="0C6B5F4F" w14:textId="77777777" w:rsidR="00392839" w:rsidRPr="00E04C34" w:rsidRDefault="00392839" w:rsidP="00435054">
            <w:pPr>
              <w:rPr>
                <w:rFonts w:cstheme="minorHAnsi"/>
                <w:sz w:val="20"/>
                <w:szCs w:val="20"/>
              </w:rPr>
            </w:pPr>
            <w:r w:rsidRPr="00E04C34">
              <w:rPr>
                <w:rFonts w:cstheme="minorHAnsi"/>
                <w:sz w:val="20"/>
                <w:szCs w:val="20"/>
              </w:rPr>
              <w:t xml:space="preserve">Local population. </w:t>
            </w:r>
          </w:p>
          <w:p w14:paraId="0E341AF7" w14:textId="77777777" w:rsidR="00392839" w:rsidRPr="00E04C34" w:rsidRDefault="00392839" w:rsidP="00435054">
            <w:pPr>
              <w:rPr>
                <w:rFonts w:cstheme="minorHAnsi"/>
                <w:sz w:val="20"/>
                <w:szCs w:val="20"/>
              </w:rPr>
            </w:pPr>
            <w:r w:rsidRPr="00E04C34">
              <w:rPr>
                <w:rFonts w:cstheme="minorHAnsi"/>
                <w:sz w:val="20"/>
                <w:szCs w:val="20"/>
              </w:rPr>
              <w:t xml:space="preserve">Fishing on the local population appears to have no effect on the dynamics of neighbouring populations. </w:t>
            </w:r>
          </w:p>
          <w:p w14:paraId="7FFB3138" w14:textId="77777777" w:rsidR="00392839" w:rsidRPr="00E04C34" w:rsidRDefault="00392839" w:rsidP="00435054">
            <w:pPr>
              <w:rPr>
                <w:rFonts w:cstheme="minorHAnsi"/>
                <w:sz w:val="20"/>
                <w:szCs w:val="20"/>
              </w:rPr>
            </w:pPr>
            <w:r w:rsidRPr="00E04C34">
              <w:rPr>
                <w:rFonts w:cstheme="minorHAnsi"/>
                <w:sz w:val="20"/>
                <w:szCs w:val="20"/>
              </w:rPr>
              <w:t xml:space="preserve">Normal expectations may apply for reference points. The fishery must manage its own local unit stock above the PRI to ensure recruitment is sustained. </w:t>
            </w:r>
          </w:p>
          <w:p w14:paraId="629C3A16" w14:textId="71E23409" w:rsidR="00392839" w:rsidRPr="00E04C34" w:rsidRDefault="00392839" w:rsidP="00435054">
            <w:pPr>
              <w:rPr>
                <w:rFonts w:cstheme="minorHAnsi"/>
                <w:sz w:val="20"/>
                <w:szCs w:val="20"/>
              </w:rPr>
            </w:pPr>
            <w:r w:rsidRPr="00E04C34">
              <w:rPr>
                <w:rFonts w:cstheme="minorHAnsi"/>
                <w:sz w:val="20"/>
                <w:szCs w:val="20"/>
              </w:rPr>
              <w:t xml:space="preserve">Requires information on the biology of the species, larval dispersal, source-sink dynamics and oceanographic conditions supporting management at a local level. </w:t>
            </w:r>
          </w:p>
        </w:tc>
      </w:tr>
      <w:tr w:rsidR="00392839" w:rsidRPr="00E04C34" w14:paraId="32D67228" w14:textId="77777777" w:rsidTr="00C82860">
        <w:trPr>
          <w:trHeight w:val="3143"/>
        </w:trPr>
        <w:tc>
          <w:tcPr>
            <w:tcW w:w="1984" w:type="dxa"/>
          </w:tcPr>
          <w:p w14:paraId="61DDD733" w14:textId="77777777" w:rsidR="00392839" w:rsidRPr="00E04C34" w:rsidRDefault="00392839" w:rsidP="00435054">
            <w:pPr>
              <w:rPr>
                <w:rFonts w:cstheme="minorHAnsi"/>
                <w:sz w:val="20"/>
                <w:szCs w:val="20"/>
              </w:rPr>
            </w:pPr>
            <w:r w:rsidRPr="00E04C34">
              <w:rPr>
                <w:rFonts w:cstheme="minorHAnsi"/>
                <w:sz w:val="20"/>
                <w:szCs w:val="20"/>
              </w:rPr>
              <w:t xml:space="preserve">C. </w:t>
            </w:r>
          </w:p>
          <w:p w14:paraId="1695B458" w14:textId="6279C787" w:rsidR="00392839" w:rsidRPr="00E04C34" w:rsidRDefault="00392839" w:rsidP="00435054">
            <w:pPr>
              <w:rPr>
                <w:rFonts w:cstheme="minorHAnsi"/>
                <w:sz w:val="20"/>
                <w:szCs w:val="20"/>
              </w:rPr>
            </w:pPr>
            <w:r w:rsidRPr="00E04C34">
              <w:rPr>
                <w:rFonts w:cstheme="minorHAnsi"/>
                <w:sz w:val="20"/>
                <w:szCs w:val="20"/>
              </w:rPr>
              <w:t xml:space="preserve">Local population(s) with moderate connectivity within the meta-population </w:t>
            </w:r>
          </w:p>
        </w:tc>
        <w:tc>
          <w:tcPr>
            <w:tcW w:w="2958" w:type="dxa"/>
          </w:tcPr>
          <w:p w14:paraId="08344E44" w14:textId="77777777" w:rsidR="00392839" w:rsidRPr="00E04C34" w:rsidRDefault="00392839" w:rsidP="00435054">
            <w:pPr>
              <w:rPr>
                <w:rFonts w:cstheme="minorHAnsi"/>
                <w:sz w:val="20"/>
                <w:szCs w:val="20"/>
              </w:rPr>
            </w:pPr>
            <w:r w:rsidRPr="00E04C34">
              <w:rPr>
                <w:rFonts w:cstheme="minorHAnsi"/>
                <w:sz w:val="20"/>
                <w:szCs w:val="20"/>
              </w:rPr>
              <w:t xml:space="preserve">Moderate connectivity. </w:t>
            </w:r>
          </w:p>
          <w:p w14:paraId="59AB4651" w14:textId="77777777" w:rsidR="00392839" w:rsidRPr="00E04C34" w:rsidRDefault="00392839" w:rsidP="00435054">
            <w:pPr>
              <w:rPr>
                <w:rFonts w:cstheme="minorHAnsi"/>
                <w:sz w:val="20"/>
                <w:szCs w:val="20"/>
              </w:rPr>
            </w:pPr>
            <w:r w:rsidRPr="00E04C34">
              <w:rPr>
                <w:rFonts w:cstheme="minorHAnsi"/>
                <w:sz w:val="20"/>
                <w:szCs w:val="20"/>
              </w:rPr>
              <w:t xml:space="preserve">The degree of connectivity between LPs is enough to maintain genetic flow and some degree of homogeneity. </w:t>
            </w:r>
          </w:p>
          <w:p w14:paraId="1AB5736F" w14:textId="77777777" w:rsidR="00392839" w:rsidRPr="00E04C34" w:rsidRDefault="00392839" w:rsidP="00435054">
            <w:pPr>
              <w:rPr>
                <w:rFonts w:cstheme="minorHAnsi"/>
                <w:sz w:val="20"/>
                <w:szCs w:val="20"/>
              </w:rPr>
            </w:pPr>
            <w:r w:rsidRPr="00E04C34">
              <w:rPr>
                <w:rFonts w:cstheme="minorHAnsi"/>
                <w:sz w:val="20"/>
                <w:szCs w:val="20"/>
              </w:rPr>
              <w:t xml:space="preserve">Source-sink dynamics with variable degree of self-recruitment. Sources of recruits act as core areas in the species range where the species occurs in all years and where the typical age composition exhibits regular recruitment patterns with multiple age classes present. </w:t>
            </w:r>
          </w:p>
          <w:p w14:paraId="3E1A3347" w14:textId="77777777" w:rsidR="00392839" w:rsidRPr="00E04C34" w:rsidRDefault="00392839" w:rsidP="00435054">
            <w:pPr>
              <w:rPr>
                <w:rFonts w:cstheme="minorHAnsi"/>
                <w:sz w:val="20"/>
                <w:szCs w:val="20"/>
              </w:rPr>
            </w:pPr>
            <w:r w:rsidRPr="00E04C34">
              <w:rPr>
                <w:rFonts w:cstheme="minorHAnsi"/>
                <w:sz w:val="20"/>
                <w:szCs w:val="20"/>
              </w:rPr>
              <w:t xml:space="preserve">There may be sinks where occasional individuals or low densities usually occur and </w:t>
            </w:r>
            <w:r w:rsidRPr="00E04C34">
              <w:rPr>
                <w:rFonts w:cstheme="minorHAnsi"/>
                <w:sz w:val="20"/>
                <w:szCs w:val="20"/>
              </w:rPr>
              <w:lastRenderedPageBreak/>
              <w:t xml:space="preserve">where populations typically consist of only 1 or a few age groups, often of old individuals. </w:t>
            </w:r>
          </w:p>
        </w:tc>
        <w:tc>
          <w:tcPr>
            <w:tcW w:w="4252" w:type="dxa"/>
          </w:tcPr>
          <w:p w14:paraId="0E2E0F5A" w14:textId="77777777" w:rsidR="00392839" w:rsidRPr="00E04C34" w:rsidRDefault="00392839" w:rsidP="00435054">
            <w:pPr>
              <w:rPr>
                <w:rFonts w:cstheme="minorHAnsi"/>
                <w:sz w:val="20"/>
                <w:szCs w:val="20"/>
              </w:rPr>
            </w:pPr>
            <w:r w:rsidRPr="00E04C34">
              <w:rPr>
                <w:rFonts w:cstheme="minorHAnsi"/>
                <w:sz w:val="20"/>
                <w:szCs w:val="20"/>
              </w:rPr>
              <w:lastRenderedPageBreak/>
              <w:t xml:space="preserve">Local population(s). </w:t>
            </w:r>
          </w:p>
          <w:p w14:paraId="180F9A08" w14:textId="77777777" w:rsidR="00392839" w:rsidRPr="00E04C34" w:rsidRDefault="00392839" w:rsidP="00435054">
            <w:pPr>
              <w:rPr>
                <w:rFonts w:cstheme="minorHAnsi"/>
                <w:sz w:val="20"/>
                <w:szCs w:val="20"/>
              </w:rPr>
            </w:pPr>
            <w:r w:rsidRPr="00E04C34">
              <w:rPr>
                <w:rFonts w:cstheme="minorHAnsi"/>
                <w:sz w:val="20"/>
                <w:szCs w:val="20"/>
              </w:rPr>
              <w:t xml:space="preserve">Fishing on local populations affects the dynamics of neighbouring populations. Fishing and the management decision affecting upstream populations will have impacts on the components downstream. Local populations are not entirely in control of their productivity. </w:t>
            </w:r>
          </w:p>
          <w:p w14:paraId="2994F070" w14:textId="42351934" w:rsidR="00392839" w:rsidRPr="00E04C34" w:rsidRDefault="00392839" w:rsidP="00435054">
            <w:pPr>
              <w:rPr>
                <w:rFonts w:cstheme="minorHAnsi"/>
                <w:sz w:val="20"/>
                <w:szCs w:val="20"/>
              </w:rPr>
            </w:pPr>
            <w:r w:rsidRPr="00E04C34">
              <w:rPr>
                <w:rFonts w:cstheme="minorHAnsi"/>
                <w:sz w:val="20"/>
                <w:szCs w:val="20"/>
              </w:rPr>
              <w:t>The fishery must manage its own local unit stock above the PRI to ensure recruitment is sustained</w:t>
            </w:r>
            <w:r w:rsidR="003A12EB">
              <w:rPr>
                <w:rFonts w:cstheme="minorHAnsi"/>
                <w:sz w:val="20"/>
                <w:szCs w:val="20"/>
              </w:rPr>
              <w:t>.</w:t>
            </w:r>
            <w:r w:rsidRPr="00E04C34">
              <w:rPr>
                <w:rFonts w:cstheme="minorHAnsi"/>
                <w:sz w:val="20"/>
                <w:szCs w:val="20"/>
              </w:rPr>
              <w:t xml:space="preserve"> </w:t>
            </w:r>
            <w:r w:rsidR="003A12EB">
              <w:rPr>
                <w:rFonts w:cstheme="minorHAnsi"/>
                <w:sz w:val="20"/>
                <w:szCs w:val="20"/>
              </w:rPr>
              <w:t>B</w:t>
            </w:r>
            <w:r w:rsidRPr="00E04C34">
              <w:rPr>
                <w:rFonts w:cstheme="minorHAnsi"/>
                <w:sz w:val="20"/>
                <w:szCs w:val="20"/>
              </w:rPr>
              <w:t xml:space="preserve">ut reference points also need to take into account connections with and dependences on neighbouring local populations. </w:t>
            </w:r>
          </w:p>
          <w:p w14:paraId="51D8AFC2" w14:textId="5F286CEA" w:rsidR="00392839" w:rsidRPr="00E04C34" w:rsidRDefault="00392839" w:rsidP="00435054">
            <w:pPr>
              <w:rPr>
                <w:rFonts w:cstheme="minorHAnsi"/>
                <w:sz w:val="20"/>
                <w:szCs w:val="20"/>
              </w:rPr>
            </w:pPr>
            <w:r w:rsidRPr="00E04C34">
              <w:rPr>
                <w:rFonts w:cstheme="minorHAnsi"/>
                <w:sz w:val="20"/>
                <w:szCs w:val="20"/>
              </w:rPr>
              <w:t xml:space="preserve">Per recruit reference points (e.g. percentage spawners per recruit) may confirm </w:t>
            </w:r>
            <w:r w:rsidR="003A12EB">
              <w:rPr>
                <w:rFonts w:cstheme="minorHAnsi"/>
                <w:sz w:val="20"/>
                <w:szCs w:val="20"/>
              </w:rPr>
              <w:t xml:space="preserve">that </w:t>
            </w:r>
            <w:r w:rsidRPr="00E04C34">
              <w:rPr>
                <w:rFonts w:cstheme="minorHAnsi"/>
                <w:sz w:val="20"/>
                <w:szCs w:val="20"/>
              </w:rPr>
              <w:t>the good management of the fishery contribute</w:t>
            </w:r>
            <w:r w:rsidR="003A12EB">
              <w:rPr>
                <w:rFonts w:cstheme="minorHAnsi"/>
                <w:sz w:val="20"/>
                <w:szCs w:val="20"/>
              </w:rPr>
              <w:t>s</w:t>
            </w:r>
            <w:r w:rsidRPr="00E04C34">
              <w:rPr>
                <w:rFonts w:cstheme="minorHAnsi"/>
                <w:sz w:val="20"/>
                <w:szCs w:val="20"/>
              </w:rPr>
              <w:t xml:space="preserve"> to the wider surrounding populations. </w:t>
            </w:r>
          </w:p>
          <w:p w14:paraId="00DB92BA" w14:textId="77777777" w:rsidR="00392839" w:rsidRPr="00E04C34" w:rsidRDefault="00392839" w:rsidP="00435054">
            <w:pPr>
              <w:rPr>
                <w:rFonts w:cstheme="minorHAnsi"/>
                <w:sz w:val="20"/>
                <w:szCs w:val="20"/>
              </w:rPr>
            </w:pPr>
            <w:r w:rsidRPr="00E04C34">
              <w:rPr>
                <w:rFonts w:cstheme="minorHAnsi"/>
                <w:sz w:val="20"/>
                <w:szCs w:val="20"/>
              </w:rPr>
              <w:lastRenderedPageBreak/>
              <w:t xml:space="preserve">Separate monitoring of absolute reference points (either of incoming recruitment or of local population levels) may also be needed to confirm that the inputs of external recruitment are being sustained. </w:t>
            </w:r>
          </w:p>
          <w:p w14:paraId="0298969B" w14:textId="75C92D99" w:rsidR="00392839" w:rsidRPr="00E04C34" w:rsidRDefault="00392839" w:rsidP="00435054">
            <w:pPr>
              <w:rPr>
                <w:rFonts w:cstheme="minorHAnsi"/>
                <w:sz w:val="20"/>
                <w:szCs w:val="20"/>
              </w:rPr>
            </w:pPr>
            <w:r w:rsidRPr="00E04C34">
              <w:rPr>
                <w:rFonts w:cstheme="minorHAnsi"/>
                <w:sz w:val="20"/>
                <w:szCs w:val="20"/>
              </w:rPr>
              <w:t xml:space="preserve">Requires information on the biology of the species, larval dispersal, source-sink dynamics and oceanographic conditions </w:t>
            </w:r>
            <w:r w:rsidR="003A12EB">
              <w:rPr>
                <w:rFonts w:cstheme="minorHAnsi"/>
                <w:sz w:val="20"/>
                <w:szCs w:val="20"/>
              </w:rPr>
              <w:t xml:space="preserve">to </w:t>
            </w:r>
            <w:r w:rsidRPr="00E04C34">
              <w:rPr>
                <w:rFonts w:cstheme="minorHAnsi"/>
                <w:sz w:val="20"/>
                <w:szCs w:val="20"/>
              </w:rPr>
              <w:t>support management at</w:t>
            </w:r>
            <w:r w:rsidR="003A12EB">
              <w:rPr>
                <w:rFonts w:cstheme="minorHAnsi"/>
                <w:sz w:val="20"/>
                <w:szCs w:val="20"/>
              </w:rPr>
              <w:t xml:space="preserve"> a</w:t>
            </w:r>
            <w:r w:rsidRPr="00E04C34">
              <w:rPr>
                <w:rFonts w:cstheme="minorHAnsi"/>
                <w:sz w:val="20"/>
                <w:szCs w:val="20"/>
              </w:rPr>
              <w:t xml:space="preserve"> local level. </w:t>
            </w:r>
          </w:p>
        </w:tc>
      </w:tr>
      <w:tr w:rsidR="00392839" w:rsidRPr="00E04C34" w14:paraId="63018681" w14:textId="77777777" w:rsidTr="00C82860">
        <w:trPr>
          <w:trHeight w:val="2373"/>
        </w:trPr>
        <w:tc>
          <w:tcPr>
            <w:tcW w:w="1984" w:type="dxa"/>
          </w:tcPr>
          <w:p w14:paraId="67E63032" w14:textId="77777777" w:rsidR="00392839" w:rsidRPr="00E04C34" w:rsidRDefault="00392839" w:rsidP="00435054">
            <w:pPr>
              <w:rPr>
                <w:rFonts w:cstheme="minorHAnsi"/>
                <w:sz w:val="20"/>
                <w:szCs w:val="20"/>
              </w:rPr>
            </w:pPr>
            <w:r w:rsidRPr="00E04C34">
              <w:rPr>
                <w:rFonts w:cstheme="minorHAnsi"/>
                <w:sz w:val="20"/>
                <w:szCs w:val="20"/>
              </w:rPr>
              <w:lastRenderedPageBreak/>
              <w:t xml:space="preserve">D. </w:t>
            </w:r>
          </w:p>
          <w:p w14:paraId="04D3E08C" w14:textId="77777777" w:rsidR="00392839" w:rsidRPr="00E04C34" w:rsidRDefault="00392839" w:rsidP="00435054">
            <w:pPr>
              <w:rPr>
                <w:rFonts w:cstheme="minorHAnsi"/>
                <w:sz w:val="20"/>
                <w:szCs w:val="20"/>
              </w:rPr>
            </w:pPr>
            <w:r w:rsidRPr="00E04C34">
              <w:rPr>
                <w:rFonts w:cstheme="minorHAnsi"/>
                <w:sz w:val="20"/>
                <w:szCs w:val="20"/>
              </w:rPr>
              <w:t xml:space="preserve">Local populations with maximum connectivity within the meta-population </w:t>
            </w:r>
          </w:p>
        </w:tc>
        <w:tc>
          <w:tcPr>
            <w:tcW w:w="2958" w:type="dxa"/>
          </w:tcPr>
          <w:p w14:paraId="4F5A05B8" w14:textId="77777777" w:rsidR="00392839" w:rsidRPr="00E04C34" w:rsidRDefault="00392839" w:rsidP="00435054">
            <w:pPr>
              <w:rPr>
                <w:rFonts w:cstheme="minorHAnsi"/>
                <w:sz w:val="20"/>
                <w:szCs w:val="20"/>
              </w:rPr>
            </w:pPr>
            <w:r w:rsidRPr="00E04C34">
              <w:rPr>
                <w:rFonts w:cstheme="minorHAnsi"/>
                <w:sz w:val="20"/>
                <w:szCs w:val="20"/>
              </w:rPr>
              <w:t xml:space="preserve">Maximum connectivity. </w:t>
            </w:r>
          </w:p>
          <w:p w14:paraId="4B9A39C9" w14:textId="77777777" w:rsidR="00392839" w:rsidRPr="00E04C34" w:rsidRDefault="00392839" w:rsidP="00435054">
            <w:pPr>
              <w:rPr>
                <w:rFonts w:cstheme="minorHAnsi"/>
                <w:sz w:val="20"/>
                <w:szCs w:val="20"/>
              </w:rPr>
            </w:pPr>
            <w:r w:rsidRPr="00E04C34">
              <w:rPr>
                <w:rFonts w:cstheme="minorHAnsi"/>
                <w:sz w:val="20"/>
                <w:szCs w:val="20"/>
              </w:rPr>
              <w:t xml:space="preserve">Metapopulation is panmictic (mating is random within the entire metapopulation). </w:t>
            </w:r>
          </w:p>
          <w:p w14:paraId="76A7BAF8" w14:textId="77777777" w:rsidR="00392839" w:rsidRPr="00E04C34" w:rsidRDefault="00392839" w:rsidP="00435054">
            <w:pPr>
              <w:rPr>
                <w:rFonts w:cstheme="minorHAnsi"/>
                <w:sz w:val="20"/>
                <w:szCs w:val="20"/>
              </w:rPr>
            </w:pPr>
            <w:r w:rsidRPr="00E04C34">
              <w:rPr>
                <w:rFonts w:cstheme="minorHAnsi"/>
                <w:sz w:val="20"/>
                <w:szCs w:val="20"/>
              </w:rPr>
              <w:t xml:space="preserve">Subpopulations are arbitrary. </w:t>
            </w:r>
          </w:p>
          <w:p w14:paraId="1BBCABF7" w14:textId="77777777" w:rsidR="00392839" w:rsidRPr="00E04C34" w:rsidRDefault="00392839" w:rsidP="00435054">
            <w:pPr>
              <w:rPr>
                <w:rFonts w:cstheme="minorHAnsi"/>
                <w:sz w:val="20"/>
                <w:szCs w:val="20"/>
              </w:rPr>
            </w:pPr>
            <w:r w:rsidRPr="00E04C34">
              <w:rPr>
                <w:rFonts w:cstheme="minorHAnsi"/>
                <w:sz w:val="20"/>
                <w:szCs w:val="20"/>
              </w:rPr>
              <w:t xml:space="preserve">Well-mixed larval pool. </w:t>
            </w:r>
          </w:p>
        </w:tc>
        <w:tc>
          <w:tcPr>
            <w:tcW w:w="4252" w:type="dxa"/>
          </w:tcPr>
          <w:p w14:paraId="301DDD8D" w14:textId="77777777" w:rsidR="00392839" w:rsidRPr="00E04C34" w:rsidRDefault="00392839" w:rsidP="00435054">
            <w:pPr>
              <w:rPr>
                <w:rFonts w:cstheme="minorHAnsi"/>
                <w:sz w:val="20"/>
                <w:szCs w:val="20"/>
              </w:rPr>
            </w:pPr>
            <w:r w:rsidRPr="00E04C34">
              <w:rPr>
                <w:rFonts w:cstheme="minorHAnsi"/>
                <w:sz w:val="20"/>
                <w:szCs w:val="20"/>
              </w:rPr>
              <w:t xml:space="preserve">Whole metapopulation. </w:t>
            </w:r>
          </w:p>
          <w:p w14:paraId="04C93441" w14:textId="77777777" w:rsidR="00392839" w:rsidRPr="00E04C34" w:rsidRDefault="00392839" w:rsidP="00435054">
            <w:pPr>
              <w:rPr>
                <w:rFonts w:cstheme="minorHAnsi"/>
                <w:sz w:val="20"/>
                <w:szCs w:val="20"/>
              </w:rPr>
            </w:pPr>
            <w:r w:rsidRPr="00E04C34">
              <w:rPr>
                <w:rFonts w:cstheme="minorHAnsi"/>
                <w:sz w:val="20"/>
                <w:szCs w:val="20"/>
              </w:rPr>
              <w:t xml:space="preserve">Fishing on local populations affects the dynamics of neighbouring populations. </w:t>
            </w:r>
          </w:p>
          <w:p w14:paraId="35E666C6" w14:textId="77777777" w:rsidR="00392839" w:rsidRPr="00E04C34" w:rsidRDefault="00392839" w:rsidP="00435054">
            <w:pPr>
              <w:rPr>
                <w:rFonts w:cstheme="minorHAnsi"/>
                <w:sz w:val="20"/>
                <w:szCs w:val="20"/>
              </w:rPr>
            </w:pPr>
            <w:r w:rsidRPr="00E04C34">
              <w:rPr>
                <w:rFonts w:cstheme="minorHAnsi"/>
                <w:sz w:val="20"/>
                <w:szCs w:val="20"/>
              </w:rPr>
              <w:t xml:space="preserve">The fishery must manage the whole metapopulation (unit stock) above the PRI to ensure that recruitment is sustained. Special attention may be needed in setting reference points to ensure that the LP structure is not affected by fishing. </w:t>
            </w:r>
          </w:p>
        </w:tc>
      </w:tr>
    </w:tbl>
    <w:p w14:paraId="4C91F521" w14:textId="77777777" w:rsidR="00392839" w:rsidRPr="00547C6B" w:rsidRDefault="00392839" w:rsidP="00392839">
      <w:pPr>
        <w:rPr>
          <w:rFonts w:cstheme="minorHAnsi"/>
        </w:rPr>
      </w:pPr>
    </w:p>
    <w:p w14:paraId="4042928F" w14:textId="1960560E" w:rsidR="00392839" w:rsidRDefault="00392839" w:rsidP="00392839">
      <w:r>
        <w:t xml:space="preserve">One tool </w:t>
      </w:r>
      <w:r w:rsidR="008B16AE">
        <w:t xml:space="preserve">used </w:t>
      </w:r>
      <w:r>
        <w:t>for defining population structure has been using genetic connectivity</w:t>
      </w:r>
      <w:r w:rsidR="003A12EB">
        <w:t>.</w:t>
      </w:r>
      <w:r w:rsidR="00F605C7">
        <w:t xml:space="preserve"> </w:t>
      </w:r>
      <w:r w:rsidR="003A12EB">
        <w:t>H</w:t>
      </w:r>
      <w:r>
        <w:t>owever, this is not always useful. At one end of the scale, if a significant and reproducible genetic differentiation can be detected, the populations should be considered demographically independent. However, genetic connectivity can be maintained with a few recruits per generation, making i</w:t>
      </w:r>
      <w:r w:rsidR="00D53601">
        <w:t>t</w:t>
      </w:r>
      <w:r>
        <w:t xml:space="preserve"> difficult to determine subpopulation independence (Underwood et al., 2012). </w:t>
      </w:r>
      <w:r w:rsidR="008B16AE">
        <w:t>Indeed, m</w:t>
      </w:r>
      <w:r>
        <w:t>easuring genetic connectivity requires the comprehensive sampling of populations, and is very sensitive to the nature and type of genetic marker being used (DiBattista et al.</w:t>
      </w:r>
      <w:r w:rsidR="00C82860">
        <w:t>,</w:t>
      </w:r>
      <w:r>
        <w:t xml:space="preserve"> 2017). Three factors appear to be essential to maximi</w:t>
      </w:r>
      <w:r w:rsidR="00D53601">
        <w:t>s</w:t>
      </w:r>
      <w:r>
        <w:t>e the power of genetic studies to detect structure in marine fishes: temporal replication, a sufficient sample size and the use of adequate molecular markers. It is important to be aware that genetic data are only one component of defining biological units, and other phenotypic markers and criteria should ideally be incorporated in the assessment of biologically meaningful management units (Reiss et al.</w:t>
      </w:r>
      <w:r w:rsidR="00C82860">
        <w:t>,</w:t>
      </w:r>
      <w:r>
        <w:t xml:space="preserve"> 2009).</w:t>
      </w:r>
    </w:p>
    <w:p w14:paraId="6BB67C44" w14:textId="7D5C72E5" w:rsidR="0048374F" w:rsidRPr="00F605C7" w:rsidRDefault="00A14776" w:rsidP="00B25252">
      <w:pPr>
        <w:pStyle w:val="Heading3"/>
      </w:pPr>
      <w:r>
        <w:t>Black teatfish</w:t>
      </w:r>
    </w:p>
    <w:p w14:paraId="3D653F9D" w14:textId="4BB0C8C7" w:rsidR="00A14776" w:rsidRDefault="00D00253" w:rsidP="0048374F">
      <w:r>
        <w:t>Genetic s</w:t>
      </w:r>
      <w:r w:rsidRPr="00952E82">
        <w:t xml:space="preserve">tudies using </w:t>
      </w:r>
      <w:r>
        <w:t xml:space="preserve">allozymes </w:t>
      </w:r>
      <w:r w:rsidRPr="00952E82">
        <w:t>(Uthicke and Benzie, 200</w:t>
      </w:r>
      <w:r>
        <w:t>0</w:t>
      </w:r>
      <w:r w:rsidRPr="00952E82">
        <w:t>)</w:t>
      </w:r>
      <w:r>
        <w:t xml:space="preserve"> and m</w:t>
      </w:r>
      <w:r w:rsidRPr="000A0706">
        <w:t>itochondrial DNA</w:t>
      </w:r>
      <w:r w:rsidRPr="00952E82">
        <w:t xml:space="preserve"> (Uthicke and Benzie, 2003)</w:t>
      </w:r>
      <w:r>
        <w:t xml:space="preserve"> </w:t>
      </w:r>
      <w:r w:rsidRPr="00952E82">
        <w:t xml:space="preserve">showed no significant genetic structure </w:t>
      </w:r>
      <w:r>
        <w:t xml:space="preserve">of Black teatfish populations </w:t>
      </w:r>
      <w:r w:rsidRPr="00952E82">
        <w:t xml:space="preserve">within the GBR </w:t>
      </w:r>
      <w:r>
        <w:t xml:space="preserve">indicating </w:t>
      </w:r>
      <w:r w:rsidRPr="00952E82">
        <w:t xml:space="preserve">high contemporary levels of gene flow. </w:t>
      </w:r>
      <w:r>
        <w:t xml:space="preserve">There was </w:t>
      </w:r>
      <w:r w:rsidRPr="00952E82">
        <w:t xml:space="preserve">also </w:t>
      </w:r>
      <w:r>
        <w:t xml:space="preserve">a </w:t>
      </w:r>
      <w:r w:rsidRPr="00952E82">
        <w:t>suggest</w:t>
      </w:r>
      <w:r>
        <w:t>ion of</w:t>
      </w:r>
      <w:r w:rsidRPr="00952E82">
        <w:t xml:space="preserve"> high gene flow between the GBR, the Coral Sea and </w:t>
      </w:r>
      <w:r>
        <w:t>W</w:t>
      </w:r>
      <w:r w:rsidRPr="00952E82">
        <w:t>estern Australia</w:t>
      </w:r>
      <w:r>
        <w:t>. H</w:t>
      </w:r>
      <w:r w:rsidRPr="00952E82">
        <w:t xml:space="preserve">owever, it </w:t>
      </w:r>
      <w:r>
        <w:t xml:space="preserve">was postulated that the </w:t>
      </w:r>
      <w:r w:rsidRPr="00952E82">
        <w:t xml:space="preserve">population genetic structures </w:t>
      </w:r>
      <w:r>
        <w:t>observed between eastern and western Australia at least were</w:t>
      </w:r>
      <w:r w:rsidRPr="00952E82">
        <w:t xml:space="preserve"> likely formed prior to the last ice age</w:t>
      </w:r>
      <w:r>
        <w:t xml:space="preserve"> </w:t>
      </w:r>
      <w:r w:rsidRPr="00952E82">
        <w:t>(Uthicke and Benzie, 2003).</w:t>
      </w:r>
      <w:r>
        <w:t xml:space="preserve"> There were</w:t>
      </w:r>
      <w:r w:rsidRPr="00757484">
        <w:t xml:space="preserve"> other factors that may have contributed to mask evidence of fragmentation in </w:t>
      </w:r>
      <w:r>
        <w:t xml:space="preserve">Australian Black teatfish populations, including slow mutation rates of genetic markers and high contemporary gene flow </w:t>
      </w:r>
      <w:r w:rsidRPr="00952E82">
        <w:t>(Uthicke and Benzie, 2003</w:t>
      </w:r>
      <w:r>
        <w:t>)</w:t>
      </w:r>
      <w:r w:rsidRPr="00757484">
        <w:t>.</w:t>
      </w:r>
    </w:p>
    <w:p w14:paraId="57891DE2" w14:textId="21565A3E" w:rsidR="00A14776" w:rsidRPr="00A14776" w:rsidRDefault="00A14776" w:rsidP="00B25252">
      <w:pPr>
        <w:pStyle w:val="Heading3"/>
      </w:pPr>
      <w:r w:rsidRPr="00A14776">
        <w:t xml:space="preserve">White </w:t>
      </w:r>
      <w:r w:rsidR="00B25252" w:rsidRPr="00A14776">
        <w:t>teatfish</w:t>
      </w:r>
    </w:p>
    <w:p w14:paraId="626AEDEF" w14:textId="5BFA2D2C" w:rsidR="00A14776" w:rsidRDefault="00A14776" w:rsidP="00A14776">
      <w:r w:rsidRPr="00974F19">
        <w:t xml:space="preserve">The stock structure of </w:t>
      </w:r>
      <w:r>
        <w:t>White teatfish in</w:t>
      </w:r>
      <w:r w:rsidRPr="00974F19">
        <w:t xml:space="preserve"> </w:t>
      </w:r>
      <w:r>
        <w:t xml:space="preserve">Australian fisheries </w:t>
      </w:r>
      <w:r w:rsidRPr="00974F19">
        <w:t xml:space="preserve">is unknown. </w:t>
      </w:r>
      <w:r>
        <w:t xml:space="preserve">We can, however, make inferences about population structure based on proxies, such as </w:t>
      </w:r>
      <w:r w:rsidR="00B25252">
        <w:t xml:space="preserve">the </w:t>
      </w:r>
      <w:r>
        <w:t>genetic studies on Black teatfish (above) and other species (below), and the b</w:t>
      </w:r>
      <w:r w:rsidRPr="00BF3E25">
        <w:t>iological and oceanographic</w:t>
      </w:r>
      <w:r>
        <w:t xml:space="preserve"> drivers of population connectivity (e.g. adult population movements, distance between suitable benthic habitats, larval duration, survival, and propagule current delivery vectors) (</w:t>
      </w:r>
      <w:r w:rsidRPr="00D5061E">
        <w:t>Treml et al., 2015</w:t>
      </w:r>
      <w:r>
        <w:t xml:space="preserve">; </w:t>
      </w:r>
      <w:r w:rsidRPr="00665325">
        <w:t>Choukroun</w:t>
      </w:r>
      <w:r>
        <w:t xml:space="preserve"> et al., </w:t>
      </w:r>
      <w:r w:rsidRPr="00665325">
        <w:t>2021</w:t>
      </w:r>
      <w:r>
        <w:t xml:space="preserve">). </w:t>
      </w:r>
    </w:p>
    <w:p w14:paraId="51EBE274" w14:textId="424C59E4" w:rsidR="00A14776" w:rsidRPr="00A14776" w:rsidRDefault="00A14776" w:rsidP="0048374F">
      <w:pPr>
        <w:rPr>
          <w:i/>
          <w:iCs/>
        </w:rPr>
      </w:pPr>
      <w:r w:rsidRPr="00A14776">
        <w:rPr>
          <w:i/>
          <w:iCs/>
        </w:rPr>
        <w:lastRenderedPageBreak/>
        <w:t>Other species</w:t>
      </w:r>
    </w:p>
    <w:p w14:paraId="333C05DB" w14:textId="5238DC62" w:rsidR="0048374F" w:rsidRDefault="00B25252" w:rsidP="0048374F">
      <w:r>
        <w:t xml:space="preserve">While </w:t>
      </w:r>
      <w:r w:rsidR="0048374F">
        <w:t xml:space="preserve">small scale (&lt;100 km) </w:t>
      </w:r>
      <w:r w:rsidR="0048374F" w:rsidRPr="0083019C">
        <w:t xml:space="preserve">population structuring </w:t>
      </w:r>
      <w:r w:rsidR="0048374F">
        <w:t xml:space="preserve">has been identified for </w:t>
      </w:r>
      <w:r>
        <w:t xml:space="preserve">coastal species such as </w:t>
      </w:r>
      <w:r w:rsidR="00F605C7">
        <w:t>S</w:t>
      </w:r>
      <w:r w:rsidR="0048374F">
        <w:t xml:space="preserve">andfish (Uthicke and Benzie 2001; </w:t>
      </w:r>
      <w:r w:rsidR="0048374F" w:rsidRPr="0083019C">
        <w:t>Uthicke and Purcell</w:t>
      </w:r>
      <w:r w:rsidR="0048374F">
        <w:t>,</w:t>
      </w:r>
      <w:r w:rsidR="0048374F" w:rsidRPr="0083019C">
        <w:t xml:space="preserve"> 2004</w:t>
      </w:r>
      <w:r w:rsidR="0048374F">
        <w:t>;</w:t>
      </w:r>
      <w:r w:rsidR="0048374F" w:rsidRPr="0083019C">
        <w:t xml:space="preserve"> Gardner et al.</w:t>
      </w:r>
      <w:r w:rsidR="0048374F">
        <w:t>,</w:t>
      </w:r>
      <w:r w:rsidR="0048374F" w:rsidRPr="0083019C">
        <w:t xml:space="preserve"> 2012</w:t>
      </w:r>
      <w:r w:rsidR="0048374F">
        <w:t xml:space="preserve">), </w:t>
      </w:r>
      <w:r w:rsidR="0048374F" w:rsidRPr="0083019C">
        <w:t xml:space="preserve">deep water archipelagic species </w:t>
      </w:r>
      <w:r w:rsidR="0048374F">
        <w:t xml:space="preserve">(e.g. Lollyfish, </w:t>
      </w:r>
      <w:r w:rsidR="0048374F" w:rsidRPr="00230A7D">
        <w:rPr>
          <w:i/>
          <w:iCs/>
        </w:rPr>
        <w:t>H. atra</w:t>
      </w:r>
      <w:r w:rsidR="0048374F">
        <w:t xml:space="preserve"> </w:t>
      </w:r>
      <w:r w:rsidR="0048374F" w:rsidRPr="0083019C">
        <w:t>(Skillings et al.</w:t>
      </w:r>
      <w:r w:rsidR="0048374F">
        <w:t>,</w:t>
      </w:r>
      <w:r w:rsidR="0048374F" w:rsidRPr="0083019C">
        <w:t xml:space="preserve"> 2011)</w:t>
      </w:r>
      <w:r w:rsidR="0048374F">
        <w:t xml:space="preserve">) and </w:t>
      </w:r>
      <w:r w:rsidR="0048374F" w:rsidRPr="0083019C">
        <w:t>offshore shelf species</w:t>
      </w:r>
      <w:r w:rsidR="0048374F">
        <w:t xml:space="preserve"> (e.g.</w:t>
      </w:r>
      <w:r w:rsidR="0048374F" w:rsidRPr="0083019C">
        <w:t xml:space="preserve"> </w:t>
      </w:r>
      <w:r w:rsidR="0048374F" w:rsidRPr="002C5992">
        <w:rPr>
          <w:i/>
          <w:iCs/>
        </w:rPr>
        <w:t xml:space="preserve">Cucumaria </w:t>
      </w:r>
      <w:r w:rsidR="00F605C7">
        <w:rPr>
          <w:i/>
          <w:iCs/>
        </w:rPr>
        <w:t>f</w:t>
      </w:r>
      <w:r w:rsidR="006D2050">
        <w:rPr>
          <w:i/>
          <w:iCs/>
        </w:rPr>
        <w:t>rondos</w:t>
      </w:r>
      <w:r w:rsidR="00F605C7">
        <w:rPr>
          <w:i/>
          <w:iCs/>
        </w:rPr>
        <w:t>a</w:t>
      </w:r>
      <w:r w:rsidR="0048374F">
        <w:t xml:space="preserve"> (</w:t>
      </w:r>
      <w:r w:rsidR="0048374F" w:rsidRPr="0083019C">
        <w:t>So et al.</w:t>
      </w:r>
      <w:r w:rsidR="0048374F">
        <w:t>,</w:t>
      </w:r>
      <w:r w:rsidR="0048374F" w:rsidRPr="0083019C">
        <w:t xml:space="preserve"> 2011)</w:t>
      </w:r>
      <w:r w:rsidR="0048374F">
        <w:t xml:space="preserve">, and </w:t>
      </w:r>
      <w:r w:rsidR="0048374F" w:rsidRPr="002C5992">
        <w:rPr>
          <w:i/>
          <w:iCs/>
        </w:rPr>
        <w:t>H. leucospilota</w:t>
      </w:r>
      <w:r w:rsidR="0048374F">
        <w:t xml:space="preserve"> (</w:t>
      </w:r>
      <w:r w:rsidR="0048374F" w:rsidRPr="00B91ECF">
        <w:t>Chieu</w:t>
      </w:r>
      <w:r w:rsidR="0048374F">
        <w:t xml:space="preserve"> et al., 2023)) </w:t>
      </w:r>
      <w:r w:rsidR="0048374F" w:rsidRPr="0083019C">
        <w:t>have shown high population connectivity across large distances (1,000s of km)</w:t>
      </w:r>
      <w:r>
        <w:t>, mirroring the finding for Black teatfish (see above)</w:t>
      </w:r>
      <w:r w:rsidR="0048374F" w:rsidRPr="0083019C">
        <w:t>.</w:t>
      </w:r>
      <w:r w:rsidR="006D2050">
        <w:t xml:space="preserve"> </w:t>
      </w:r>
    </w:p>
    <w:p w14:paraId="20B967F2" w14:textId="557337DE" w:rsidR="0048374F" w:rsidRDefault="0048374F" w:rsidP="0048374F">
      <w:r>
        <w:t xml:space="preserve">Given the habitat preferences for </w:t>
      </w:r>
      <w:r w:rsidR="00B25252">
        <w:t>White teatfish, it is</w:t>
      </w:r>
      <w:r>
        <w:t xml:space="preserve"> likely </w:t>
      </w:r>
      <w:r w:rsidR="00B25252">
        <w:t>to</w:t>
      </w:r>
      <w:r w:rsidR="00D53601">
        <w:t xml:space="preserve"> be</w:t>
      </w:r>
      <w:r w:rsidR="00B25252">
        <w:t xml:space="preserve"> </w:t>
      </w:r>
      <w:r>
        <w:t xml:space="preserve">aligned with the offshore species in showing high population genetic connectivity across broad regions. However, high genetic connectivity does not infer high demographic connectivity, where populations are highly connected by significant levels of recruitment (Johnson et al., 2018). </w:t>
      </w:r>
    </w:p>
    <w:p w14:paraId="03D56A09" w14:textId="261042A4" w:rsidR="0048374F" w:rsidRDefault="0048374F" w:rsidP="0048374F">
      <w:r>
        <w:t xml:space="preserve">On the GBR, studies of coral dispersal and connectivity has shown </w:t>
      </w:r>
      <w:r w:rsidR="006D2050">
        <w:t>(</w:t>
      </w:r>
      <w:r>
        <w:t>for coral species with comparable larval durations as sea cucumbers</w:t>
      </w:r>
      <w:r w:rsidR="006D2050">
        <w:t>)</w:t>
      </w:r>
      <w:r>
        <w:t>, that the formulation of “e</w:t>
      </w:r>
      <w:r w:rsidRPr="002F3166">
        <w:t>quivalent reef community configuration</w:t>
      </w:r>
      <w:r>
        <w:t>s” that might serve as distinct operational management units</w:t>
      </w:r>
      <w:r w:rsidR="006D2050">
        <w:t>,</w:t>
      </w:r>
      <w:r>
        <w:t xml:space="preserve"> are of the order of 10’s to 100’s of km, with smaller units closer to the coast and along the inshore-offshore gradient (Thomas et al., 2014). </w:t>
      </w:r>
    </w:p>
    <w:p w14:paraId="00687645" w14:textId="77777777" w:rsidR="00B74CC6" w:rsidRPr="00892D6F" w:rsidRDefault="00B74CC6" w:rsidP="00B74CC6">
      <w:pPr>
        <w:rPr>
          <w:i/>
          <w:iCs/>
        </w:rPr>
      </w:pPr>
      <w:r w:rsidRPr="00892D6F">
        <w:rPr>
          <w:i/>
          <w:iCs/>
        </w:rPr>
        <w:t>Linked physical-biological models</w:t>
      </w:r>
    </w:p>
    <w:p w14:paraId="58D9F146" w14:textId="3080E4FC" w:rsidR="00B74CC6" w:rsidRDefault="00B74CC6" w:rsidP="00B74CC6">
      <w:r>
        <w:t xml:space="preserve">Potential connectivity of </w:t>
      </w:r>
      <w:r w:rsidR="00B25252">
        <w:t xml:space="preserve">White teatfish </w:t>
      </w:r>
      <w:r w:rsidR="00E04C34">
        <w:t xml:space="preserve">in eastern Australian has been </w:t>
      </w:r>
      <w:r>
        <w:t>estimated using a passive 28</w:t>
      </w:r>
      <w:r w:rsidR="006D2050">
        <w:t>-</w:t>
      </w:r>
      <w:r>
        <w:t>day model of particles release</w:t>
      </w:r>
      <w:r w:rsidR="00E04C34">
        <w:t>d</w:t>
      </w:r>
      <w:r>
        <w:t xml:space="preserve"> during the summer new moon (CONNIE3: </w:t>
      </w:r>
      <w:hyperlink r:id="rId22" w:history="1">
        <w:r w:rsidRPr="00F45D24">
          <w:rPr>
            <w:rStyle w:val="Hyperlink"/>
          </w:rPr>
          <w:t>www.csiro.au/connie3</w:t>
        </w:r>
      </w:hyperlink>
      <w:r>
        <w:t>). Release locations included northern, central and southern GBR reef locations, and the Coral Sea reefs of Saumarez, Marion</w:t>
      </w:r>
      <w:r w:rsidR="00D53601">
        <w:t>,</w:t>
      </w:r>
      <w:r>
        <w:t xml:space="preserve"> Flinders and Lihou Reef (</w:t>
      </w:r>
      <w:fldSimple w:instr=" REF _Ref142615554 ">
        <w:r w:rsidR="007B2A78">
          <w:t xml:space="preserve">Figure </w:t>
        </w:r>
        <w:r w:rsidR="007B2A78">
          <w:rPr>
            <w:noProof/>
          </w:rPr>
          <w:t>5</w:t>
        </w:r>
      </w:fldSimple>
      <w:r>
        <w:t xml:space="preserve">). This indicated that the larval transport within the GBR reef area is likely to be relatively restricted, mirroring the results of other modelling outputs showing limited larval transport vectors in dense reef regions due to “sticky water” effects (Wolanski et al., 2013). The results also indicate that the adjacent reefs of the Coral Sea are capable of providing recruits to the GBR. </w:t>
      </w:r>
      <w:r w:rsidR="00E04C34">
        <w:t xml:space="preserve">This provides some indication that there is likely to be connectivity between all three east coast fisheries for </w:t>
      </w:r>
      <w:r w:rsidR="00B25252">
        <w:t>White teatfish</w:t>
      </w:r>
      <w:r w:rsidR="00E04C34">
        <w:t xml:space="preserve"> in Australia.</w:t>
      </w:r>
    </w:p>
    <w:p w14:paraId="3C09E205" w14:textId="77777777" w:rsidR="00B74CC6" w:rsidRDefault="00B74CC6" w:rsidP="00B74CC6">
      <w:r>
        <w:rPr>
          <w:noProof/>
        </w:rPr>
        <w:lastRenderedPageBreak/>
        <w:drawing>
          <wp:inline distT="0" distB="0" distL="0" distR="0" wp14:anchorId="4DC2812D" wp14:editId="39E286CC">
            <wp:extent cx="4603898" cy="5398485"/>
            <wp:effectExtent l="0" t="0" r="6350" b="0"/>
            <wp:docPr id="938612416" name="Picture 1" descr="A map of the eastern part of the pacific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612416" name="Picture 1" descr="A map of the eastern part of the pacific ocean&#10;&#10;Description automatically generated"/>
                    <pic:cNvPicPr/>
                  </pic:nvPicPr>
                  <pic:blipFill rotWithShape="1">
                    <a:blip r:embed="rId23" cstate="print">
                      <a:extLst>
                        <a:ext uri="{28A0092B-C50C-407E-A947-70E740481C1C}">
                          <a14:useLocalDpi xmlns:a14="http://schemas.microsoft.com/office/drawing/2010/main" val="0"/>
                        </a:ext>
                      </a:extLst>
                    </a:blip>
                    <a:srcRect l="20848" t="6388" r="26685" b="6618"/>
                    <a:stretch/>
                  </pic:blipFill>
                  <pic:spPr bwMode="auto">
                    <a:xfrm>
                      <a:off x="0" y="0"/>
                      <a:ext cx="4611960" cy="5407939"/>
                    </a:xfrm>
                    <a:prstGeom prst="rect">
                      <a:avLst/>
                    </a:prstGeom>
                    <a:ln>
                      <a:noFill/>
                    </a:ln>
                    <a:extLst>
                      <a:ext uri="{53640926-AAD7-44D8-BBD7-CCE9431645EC}">
                        <a14:shadowObscured xmlns:a14="http://schemas.microsoft.com/office/drawing/2010/main"/>
                      </a:ext>
                    </a:extLst>
                  </pic:spPr>
                </pic:pic>
              </a:graphicData>
            </a:graphic>
          </wp:inline>
        </w:drawing>
      </w:r>
    </w:p>
    <w:p w14:paraId="6230C09E" w14:textId="6F49731D" w:rsidR="00B74CC6" w:rsidRDefault="00B74CC6" w:rsidP="000B5A6E">
      <w:pPr>
        <w:pStyle w:val="Caption"/>
      </w:pPr>
      <w:bookmarkStart w:id="36" w:name="_Ref142615554"/>
      <w:bookmarkStart w:id="37" w:name="_Toc146555319"/>
      <w:bookmarkStart w:id="38" w:name="_Toc189055290"/>
      <w:r>
        <w:t xml:space="preserve">Figure </w:t>
      </w:r>
      <w:fldSimple w:instr=" SEQ Figure \* ARABIC ">
        <w:r w:rsidR="007B2A78">
          <w:rPr>
            <w:noProof/>
          </w:rPr>
          <w:t>5</w:t>
        </w:r>
      </w:fldSimple>
      <w:bookmarkEnd w:id="36"/>
      <w:r>
        <w:t xml:space="preserve">. Larval particle model trajectories with 28-day period for summer new moon release (6/1/2019) for three GBR (red) and four Coral Sea (blue) point release locations. (Connie3: </w:t>
      </w:r>
      <w:r w:rsidRPr="005B77FA">
        <w:t>https://connie.csiro.au/</w:t>
      </w:r>
      <w:r>
        <w:t>)</w:t>
      </w:r>
      <w:bookmarkEnd w:id="37"/>
      <w:bookmarkEnd w:id="38"/>
    </w:p>
    <w:p w14:paraId="7A3ADF07" w14:textId="77777777" w:rsidR="0095379F" w:rsidRDefault="0095379F" w:rsidP="00B74CC6"/>
    <w:p w14:paraId="7B8630F5" w14:textId="4840D512" w:rsidR="00B74CC6" w:rsidRDefault="00B74CC6" w:rsidP="00B74CC6">
      <w:r>
        <w:t xml:space="preserve">Broader scale biophysical </w:t>
      </w:r>
      <w:r w:rsidRPr="009703D6">
        <w:t>model</w:t>
      </w:r>
      <w:r>
        <w:t>s</w:t>
      </w:r>
      <w:r w:rsidRPr="009703D6">
        <w:t xml:space="preserve"> </w:t>
      </w:r>
      <w:r>
        <w:t xml:space="preserve">also </w:t>
      </w:r>
      <w:r w:rsidRPr="009703D6">
        <w:t xml:space="preserve">predicted </w:t>
      </w:r>
      <w:r>
        <w:t xml:space="preserve">strong </w:t>
      </w:r>
      <w:r w:rsidRPr="009703D6">
        <w:t xml:space="preserve">connections from the Coral Sea reefs </w:t>
      </w:r>
      <w:r>
        <w:t xml:space="preserve">and </w:t>
      </w:r>
      <w:r w:rsidRPr="009703D6">
        <w:t>GBR</w:t>
      </w:r>
      <w:r>
        <w:t>,</w:t>
      </w:r>
      <w:r w:rsidRPr="009703D6">
        <w:t xml:space="preserve"> which is consistent </w:t>
      </w:r>
      <w:r>
        <w:t xml:space="preserve">with </w:t>
      </w:r>
      <w:r w:rsidRPr="009703D6">
        <w:t>the dominant westerly current flow in the Coral Sea</w:t>
      </w:r>
      <w:r>
        <w:t xml:space="preserve"> (</w:t>
      </w:r>
      <w:r w:rsidRPr="009703D6">
        <w:t>Choukroun et al., 2021</w:t>
      </w:r>
      <w:r>
        <w:t>). Connectivity for larvae with a 30-day pelagic larval duration showed strong connectivity between the Coral Sea and GBR, and between the northern GBR and Torres Strait, but the offshore reefs of the Coral Sea (e.g. Mellish Reef) were less connected.</w:t>
      </w:r>
      <w:r w:rsidRPr="009703D6">
        <w:t xml:space="preserve"> Connectivity from northern </w:t>
      </w:r>
      <w:r>
        <w:t>Coral Sea</w:t>
      </w:r>
      <w:r w:rsidRPr="009703D6">
        <w:t xml:space="preserve"> reefs (Osprey and Bougainville</w:t>
      </w:r>
      <w:r>
        <w:t xml:space="preserve"> Reefs</w:t>
      </w:r>
      <w:r w:rsidRPr="009703D6">
        <w:t>) to the northern GBR was among the strongest connections observed in the model</w:t>
      </w:r>
      <w:r w:rsidR="00AA44D8">
        <w:t xml:space="preserve"> </w:t>
      </w:r>
      <w:r w:rsidR="00AA44D8" w:rsidRPr="009703D6">
        <w:t>(Choukroun et al., 2021)</w:t>
      </w:r>
      <w:r w:rsidR="00AA44D8">
        <w:t>.</w:t>
      </w:r>
      <w:r>
        <w:t xml:space="preserve"> </w:t>
      </w:r>
      <w:r w:rsidR="00AA44D8">
        <w:t>T</w:t>
      </w:r>
      <w:r w:rsidRPr="009703D6">
        <w:t>he study d</w:t>
      </w:r>
      <w:r>
        <w:t>i</w:t>
      </w:r>
      <w:r w:rsidRPr="009703D6">
        <w:t>d not test for connections from the GBR to the Coral Sea.</w:t>
      </w:r>
      <w:r>
        <w:t xml:space="preserve"> </w:t>
      </w:r>
    </w:p>
    <w:p w14:paraId="66111DB0" w14:textId="523E36A8" w:rsidR="00B74CC6" w:rsidRDefault="00B74CC6" w:rsidP="00B74CC6">
      <w:r>
        <w:t>A recent study on broadscale connectivity of larval fishes in northeastern Australia (</w:t>
      </w:r>
      <w:r w:rsidRPr="000D21DC">
        <w:t>Fontoura</w:t>
      </w:r>
      <w:r>
        <w:t xml:space="preserve"> et al., 2022) indicated that many reefs in the Coral Sea act as source reefs for recruitment of fish populations to the GBR; and that the Torres Strait reefs were largely considered as a sink population that rely on reefs of the </w:t>
      </w:r>
      <w:r w:rsidRPr="002B1220">
        <w:t xml:space="preserve">northern GBR for recruitment. Internally the GBR </w:t>
      </w:r>
      <w:r w:rsidR="00AA44D8">
        <w:t>is</w:t>
      </w:r>
      <w:r w:rsidR="00AA44D8" w:rsidRPr="002B1220">
        <w:t xml:space="preserve"> </w:t>
      </w:r>
      <w:r w:rsidRPr="002B1220">
        <w:t>a complex mix of source and sink reefs (</w:t>
      </w:r>
      <w:fldSimple w:instr=" REF _Ref144397920 ">
        <w:r w:rsidR="007B2A78" w:rsidRPr="00892D6F">
          <w:t xml:space="preserve">Figure </w:t>
        </w:r>
        <w:r w:rsidR="007B2A78">
          <w:rPr>
            <w:noProof/>
          </w:rPr>
          <w:t>6</w:t>
        </w:r>
      </w:fldSimple>
      <w:r w:rsidRPr="002B1220">
        <w:t>).</w:t>
      </w:r>
      <w:r>
        <w:t xml:space="preserve"> Connectivity for larvae with a 30-day pelagic larval duration showed strong connectivity between the northern GBR and Torres Strait. </w:t>
      </w:r>
    </w:p>
    <w:p w14:paraId="39ACDE5A" w14:textId="77777777" w:rsidR="00B74CC6" w:rsidRDefault="00B74CC6" w:rsidP="00B74CC6">
      <w:r>
        <w:t xml:space="preserve">Connectivity on broader scales, such as between the GBR and Indian Oceans through the Torres Strait, is not well understood (Ceccarelli, 2013). However, the low net flows through Torres Strait would indicate it is </w:t>
      </w:r>
      <w:r>
        <w:lastRenderedPageBreak/>
        <w:t>a barrier to demographic scale recruitment between eastern and northern Australian benthic populations (</w:t>
      </w:r>
      <w:r w:rsidRPr="0075544B">
        <w:t>Saint-Cast, 200</w:t>
      </w:r>
      <w:r>
        <w:t>8; Wolanski et al., 2013).</w:t>
      </w:r>
    </w:p>
    <w:p w14:paraId="37DAEE60" w14:textId="77777777" w:rsidR="00B74CC6" w:rsidRPr="00892D6F" w:rsidRDefault="00B74CC6" w:rsidP="00B74CC6"/>
    <w:p w14:paraId="64F79DE2" w14:textId="77777777" w:rsidR="00B74CC6" w:rsidRPr="00892D6F" w:rsidRDefault="00B74CC6" w:rsidP="00B74CC6">
      <w:r w:rsidRPr="00892D6F">
        <w:rPr>
          <w:noProof/>
        </w:rPr>
        <w:drawing>
          <wp:inline distT="0" distB="0" distL="0" distR="0" wp14:anchorId="425A05B8" wp14:editId="129A33DF">
            <wp:extent cx="3951091" cy="4185285"/>
            <wp:effectExtent l="0" t="0" r="0" b="5715"/>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24"/>
                    <a:stretch>
                      <a:fillRect/>
                    </a:stretch>
                  </pic:blipFill>
                  <pic:spPr>
                    <a:xfrm>
                      <a:off x="0" y="0"/>
                      <a:ext cx="3954420" cy="4188811"/>
                    </a:xfrm>
                    <a:prstGeom prst="rect">
                      <a:avLst/>
                    </a:prstGeom>
                  </pic:spPr>
                </pic:pic>
              </a:graphicData>
            </a:graphic>
          </wp:inline>
        </w:drawing>
      </w:r>
      <w:r w:rsidRPr="00892D6F">
        <w:t xml:space="preserve"> </w:t>
      </w:r>
      <w:r w:rsidRPr="00892D6F">
        <w:rPr>
          <w:noProof/>
        </w:rPr>
        <w:drawing>
          <wp:inline distT="0" distB="0" distL="0" distR="0" wp14:anchorId="40C4A530" wp14:editId="5301FE99">
            <wp:extent cx="1352550" cy="1524000"/>
            <wp:effectExtent l="0" t="0" r="0" b="0"/>
            <wp:docPr id="391087580" name="Picture 1" descr="A black scree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087580" name="Picture 1" descr="A black screen with white text&#10;&#10;Description automatically generated with low confidence"/>
                    <pic:cNvPicPr/>
                  </pic:nvPicPr>
                  <pic:blipFill rotWithShape="1">
                    <a:blip r:embed="rId25"/>
                    <a:srcRect t="15789" r="44095"/>
                    <a:stretch/>
                  </pic:blipFill>
                  <pic:spPr bwMode="auto">
                    <a:xfrm>
                      <a:off x="0" y="0"/>
                      <a:ext cx="1352739" cy="1524213"/>
                    </a:xfrm>
                    <a:prstGeom prst="rect">
                      <a:avLst/>
                    </a:prstGeom>
                    <a:ln>
                      <a:noFill/>
                    </a:ln>
                    <a:extLst>
                      <a:ext uri="{53640926-AAD7-44D8-BBD7-CCE9431645EC}">
                        <a14:shadowObscured xmlns:a14="http://schemas.microsoft.com/office/drawing/2010/main"/>
                      </a:ext>
                    </a:extLst>
                  </pic:spPr>
                </pic:pic>
              </a:graphicData>
            </a:graphic>
          </wp:inline>
        </w:drawing>
      </w:r>
    </w:p>
    <w:p w14:paraId="0A70CC1C" w14:textId="713F4AB6" w:rsidR="00B74CC6" w:rsidRPr="00892D6F" w:rsidRDefault="00B74CC6" w:rsidP="000B5A6E">
      <w:pPr>
        <w:pStyle w:val="Caption"/>
      </w:pPr>
      <w:bookmarkStart w:id="39" w:name="_Ref144397920"/>
      <w:bookmarkStart w:id="40" w:name="_Toc146555320"/>
      <w:bookmarkStart w:id="41" w:name="_Toc189055291"/>
      <w:r w:rsidRPr="00892D6F">
        <w:t xml:space="preserve">Figure </w:t>
      </w:r>
      <w:fldSimple w:instr=" SEQ Figure \* ARABIC ">
        <w:r w:rsidR="007B2A78">
          <w:rPr>
            <w:noProof/>
          </w:rPr>
          <w:t>6</w:t>
        </w:r>
      </w:fldSimple>
      <w:bookmarkEnd w:id="39"/>
      <w:r w:rsidRPr="00892D6F">
        <w:t>. Fish Larval Connectivity on Coral Reefs: Spatial Distribution of Sinks, Sources &amp; Corridors (Fontoura et al., 2022) (</w:t>
      </w:r>
      <w:hyperlink r:id="rId26" w:history="1">
        <w:r w:rsidRPr="00892D6F">
          <w:rPr>
            <w:rStyle w:val="Hyperlink"/>
          </w:rPr>
          <w:t>https://www.arcgis.com/apps/dashboards/7d7167d11e4e4c4496ced8cafacb0fed</w:t>
        </w:r>
        <w:bookmarkEnd w:id="40"/>
      </w:hyperlink>
      <w:r w:rsidR="00AA44D8">
        <w:rPr>
          <w:rStyle w:val="Hyperlink"/>
        </w:rPr>
        <w:t>)</w:t>
      </w:r>
      <w:bookmarkEnd w:id="41"/>
    </w:p>
    <w:p w14:paraId="2452FBF5" w14:textId="77777777" w:rsidR="00B74CC6" w:rsidRPr="00F605C7" w:rsidRDefault="00B74CC6" w:rsidP="0095379F">
      <w:pPr>
        <w:pStyle w:val="Heading3"/>
      </w:pPr>
      <w:r w:rsidRPr="008D41B4">
        <w:t>Population structure - conclusions</w:t>
      </w:r>
    </w:p>
    <w:p w14:paraId="598AF7F9" w14:textId="0A2036FF" w:rsidR="00C0365C" w:rsidRDefault="00B74CC6" w:rsidP="00B74CC6">
      <w:r>
        <w:t>While there is likely to be relatively restricted larval transport and significant levels of self-seeding for reef</w:t>
      </w:r>
      <w:r w:rsidR="000B7103">
        <w:t xml:space="preserve"> based populations of teatfish </w:t>
      </w:r>
      <w:r w:rsidR="00AA44D8">
        <w:t xml:space="preserve">in </w:t>
      </w:r>
      <w:r w:rsidR="00A913BD">
        <w:t>Australian fisheries</w:t>
      </w:r>
      <w:r>
        <w:t xml:space="preserve">, </w:t>
      </w:r>
      <w:r w:rsidR="00A913BD">
        <w:t>current</w:t>
      </w:r>
      <w:r w:rsidR="00AA44D8">
        <w:t>-</w:t>
      </w:r>
      <w:r w:rsidR="00A913BD">
        <w:t xml:space="preserve">driven larval transport </w:t>
      </w:r>
      <w:r>
        <w:t>support</w:t>
      </w:r>
      <w:r w:rsidR="00AA44D8">
        <w:t>s</w:t>
      </w:r>
      <w:r>
        <w:t xml:space="preserve"> relatively well-mixed population</w:t>
      </w:r>
      <w:r w:rsidR="00A913BD">
        <w:t>s</w:t>
      </w:r>
      <w:r>
        <w:t xml:space="preserve"> of both species in </w:t>
      </w:r>
      <w:r w:rsidR="00A913BD">
        <w:t xml:space="preserve">east Australian fisheries </w:t>
      </w:r>
      <w:r>
        <w:t xml:space="preserve">over the medium to long term. </w:t>
      </w:r>
      <w:r w:rsidR="00C0365C">
        <w:t xml:space="preserve">There is also likely to be some significant connectivity between the adjacent Coral Sea reefs and the GBR, and between the northern GBR and Torres Strait </w:t>
      </w:r>
      <w:r w:rsidR="000B7103">
        <w:t xml:space="preserve">populations, with </w:t>
      </w:r>
      <w:r w:rsidR="00C0365C">
        <w:t>the northern GBR more likely to be source populations (</w:t>
      </w:r>
      <w:r w:rsidR="00C0365C" w:rsidRPr="000D21DC">
        <w:t>Fontoura</w:t>
      </w:r>
      <w:r w:rsidR="00C0365C">
        <w:t xml:space="preserve"> et al., 2022). There may also be some variability to this connectivity on annual and seasonal scales, due to the effect and timing and strength of the monsoon (</w:t>
      </w:r>
      <w:r w:rsidR="00C0365C" w:rsidRPr="0075544B">
        <w:t>Saint-Cast, 200</w:t>
      </w:r>
      <w:r w:rsidR="00C0365C">
        <w:t>8; Murphy et al., 201</w:t>
      </w:r>
      <w:r w:rsidR="008D41B4">
        <w:t>2</w:t>
      </w:r>
      <w:r w:rsidR="00C0365C">
        <w:t>) and other stochastic factors (Uthicke et al., 2009).</w:t>
      </w:r>
    </w:p>
    <w:p w14:paraId="1E9898CF" w14:textId="7D54FBE9" w:rsidR="00B74CC6" w:rsidRDefault="00A913BD" w:rsidP="00B74CC6">
      <w:r>
        <w:t xml:space="preserve">There is likely to be less </w:t>
      </w:r>
      <w:r w:rsidR="00C0365C">
        <w:t xml:space="preserve">demographic scale </w:t>
      </w:r>
      <w:r>
        <w:t>mixing between east and west Australian fisheries</w:t>
      </w:r>
      <w:r w:rsidR="00C0365C">
        <w:t xml:space="preserve"> (due simply to distance)</w:t>
      </w:r>
      <w:r>
        <w:t xml:space="preserve">, and between Australian and the </w:t>
      </w:r>
      <w:r w:rsidR="00C0365C">
        <w:t>Southwest</w:t>
      </w:r>
      <w:r>
        <w:t xml:space="preserve"> Pacific</w:t>
      </w:r>
      <w:r w:rsidR="0041705D">
        <w:t xml:space="preserve">. </w:t>
      </w:r>
      <w:r w:rsidR="00AA44D8">
        <w:t>However,</w:t>
      </w:r>
      <w:r>
        <w:t xml:space="preserve"> genetic connectivity is likely to be maintained through “stepping stone” mechanism</w:t>
      </w:r>
      <w:r w:rsidR="00C0365C">
        <w:t>s (Uthicke and Benzie, 2003; Ceccarelli et al., 2013)</w:t>
      </w:r>
      <w:r>
        <w:t xml:space="preserve">. </w:t>
      </w:r>
    </w:p>
    <w:p w14:paraId="3F905189" w14:textId="69E3CABC" w:rsidR="00775622" w:rsidRDefault="00B74CC6" w:rsidP="00B74CC6">
      <w:r>
        <w:t xml:space="preserve">Therefore, the population structure of both </w:t>
      </w:r>
      <w:r w:rsidR="0095379F">
        <w:t xml:space="preserve">teatfish </w:t>
      </w:r>
      <w:r>
        <w:t xml:space="preserve">species </w:t>
      </w:r>
      <w:r w:rsidR="00C0365C">
        <w:t xml:space="preserve">within east Australian fisheries </w:t>
      </w:r>
      <w:r>
        <w:t xml:space="preserve">is likely to </w:t>
      </w:r>
      <w:r w:rsidR="00D53601">
        <w:t xml:space="preserve">be </w:t>
      </w:r>
      <w:r w:rsidRPr="008D53AE">
        <w:t>considered as “</w:t>
      </w:r>
      <w:r>
        <w:t>l</w:t>
      </w:r>
      <w:r w:rsidRPr="0062664E">
        <w:t>ocal populations with maximum connectivity within the meta-population</w:t>
      </w:r>
      <w:r>
        <w:t xml:space="preserve">” </w:t>
      </w:r>
      <w:r w:rsidRPr="008D53AE">
        <w:t xml:space="preserve">(or Type </w:t>
      </w:r>
      <w:r>
        <w:t>D</w:t>
      </w:r>
      <w:r w:rsidRPr="008D53AE">
        <w:t xml:space="preserve"> stock structure</w:t>
      </w:r>
      <w:r w:rsidR="00775622">
        <w:t>;</w:t>
      </w:r>
      <w:r w:rsidRPr="008D53AE">
        <w:t xml:space="preserve"> MSC, 2022</w:t>
      </w:r>
      <w:r w:rsidR="00775622">
        <w:t xml:space="preserve">; </w:t>
      </w:r>
      <w:fldSimple w:instr=" REF _Ref150338514 ">
        <w:r w:rsidR="007B2A78">
          <w:t xml:space="preserve">Table </w:t>
        </w:r>
        <w:r w:rsidR="007B2A78">
          <w:rPr>
            <w:noProof/>
          </w:rPr>
          <w:t>2</w:t>
        </w:r>
      </w:fldSimple>
      <w:r w:rsidRPr="008D53AE">
        <w:t>)</w:t>
      </w:r>
      <w:r w:rsidR="00775622">
        <w:t xml:space="preserve"> in Torres Strait and the GBR</w:t>
      </w:r>
      <w:r w:rsidR="00AA44D8">
        <w:t>;</w:t>
      </w:r>
      <w:r w:rsidR="00775622">
        <w:t xml:space="preserve"> and </w:t>
      </w:r>
      <w:r w:rsidR="00775622" w:rsidRPr="008D53AE">
        <w:t>“</w:t>
      </w:r>
      <w:r w:rsidR="00775622">
        <w:t>l</w:t>
      </w:r>
      <w:r w:rsidR="00775622" w:rsidRPr="00B67ACB">
        <w:t>ocal population</w:t>
      </w:r>
      <w:r w:rsidR="00775622">
        <w:t>s</w:t>
      </w:r>
      <w:r w:rsidR="00775622" w:rsidRPr="00B67ACB">
        <w:t xml:space="preserve"> with partial isolation</w:t>
      </w:r>
      <w:r w:rsidR="00775622">
        <w:t xml:space="preserve">” (at least for isolated reefs) within the Coral Sea </w:t>
      </w:r>
      <w:r w:rsidR="00775622" w:rsidRPr="008D53AE">
        <w:t xml:space="preserve">(or Type </w:t>
      </w:r>
      <w:r w:rsidR="00775622">
        <w:t>B</w:t>
      </w:r>
      <w:r w:rsidR="00775622" w:rsidRPr="008D53AE">
        <w:t xml:space="preserve"> stock structure; MSC, 2022</w:t>
      </w:r>
      <w:r w:rsidR="00775622">
        <w:t xml:space="preserve">; </w:t>
      </w:r>
      <w:fldSimple w:instr=" REF _Ref150338514 ">
        <w:r w:rsidR="007B2A78">
          <w:t xml:space="preserve">Table </w:t>
        </w:r>
        <w:r w:rsidR="007B2A78">
          <w:rPr>
            <w:noProof/>
          </w:rPr>
          <w:t>2</w:t>
        </w:r>
      </w:fldSimple>
      <w:r w:rsidR="00775622" w:rsidRPr="008D53AE">
        <w:t>).</w:t>
      </w:r>
    </w:p>
    <w:p w14:paraId="4CF48BF2" w14:textId="715BCFED" w:rsidR="00523D29" w:rsidRDefault="00B74CC6" w:rsidP="00D85BE6">
      <w:r>
        <w:t xml:space="preserve">In this case, management of </w:t>
      </w:r>
      <w:r w:rsidR="00775622">
        <w:t xml:space="preserve">east Australian fisheries </w:t>
      </w:r>
      <w:r>
        <w:t xml:space="preserve">as a single stock </w:t>
      </w:r>
      <w:r w:rsidRPr="00974F19">
        <w:t xml:space="preserve">is </w:t>
      </w:r>
      <w:r>
        <w:t xml:space="preserve">appropriate, but with consideration of population dynamics on the scale of 50-100 km </w:t>
      </w:r>
      <w:r w:rsidR="00775622">
        <w:t xml:space="preserve">(or isolated reefs in the case of the CSF) </w:t>
      </w:r>
      <w:r>
        <w:t xml:space="preserve">to maintain local density and for ecological considerations. </w:t>
      </w:r>
      <w:r w:rsidR="00523D29">
        <w:t xml:space="preserve">For </w:t>
      </w:r>
      <w:r w:rsidR="00775622">
        <w:t xml:space="preserve">a </w:t>
      </w:r>
      <w:r w:rsidR="00523D29">
        <w:t>stock that ha</w:t>
      </w:r>
      <w:r w:rsidR="00775622">
        <w:t>s</w:t>
      </w:r>
      <w:r w:rsidR="00523D29">
        <w:t xml:space="preserve"> </w:t>
      </w:r>
      <w:r w:rsidR="00392839">
        <w:t>well-connected</w:t>
      </w:r>
      <w:r w:rsidR="00523D29">
        <w:t xml:space="preserve"> </w:t>
      </w:r>
      <w:r w:rsidR="00392839">
        <w:t>metapopulations</w:t>
      </w:r>
      <w:r w:rsidR="00523D29">
        <w:t xml:space="preserve"> that </w:t>
      </w:r>
      <w:r w:rsidR="00523D29">
        <w:lastRenderedPageBreak/>
        <w:t xml:space="preserve">straddle management areas, this is not a risky situation if each fishery is managed on a sustainable basis. However, </w:t>
      </w:r>
      <w:r w:rsidR="00775622">
        <w:t>for isolated reef</w:t>
      </w:r>
      <w:r w:rsidR="00D53601">
        <w:t>s</w:t>
      </w:r>
      <w:r w:rsidR="00775622">
        <w:t xml:space="preserve"> such as in the CSF, </w:t>
      </w:r>
      <w:r w:rsidR="00523D29">
        <w:t xml:space="preserve">there is a risk of local </w:t>
      </w:r>
      <w:r w:rsidR="004E54BB">
        <w:t>population</w:t>
      </w:r>
      <w:r w:rsidR="00523D29">
        <w:t xml:space="preserve">/sub-population extirpation, often before any indication from </w:t>
      </w:r>
      <w:r w:rsidR="00392839">
        <w:t>monitoring.</w:t>
      </w:r>
      <w:r w:rsidR="00523D29">
        <w:t xml:space="preserve"> </w:t>
      </w:r>
    </w:p>
    <w:p w14:paraId="18B660D1" w14:textId="3F4B077F" w:rsidR="00D85BE6" w:rsidRDefault="00523D29" w:rsidP="00D85BE6">
      <w:r>
        <w:t xml:space="preserve">For isolated reefs, such as occurs in the </w:t>
      </w:r>
      <w:r w:rsidR="000D6F32">
        <w:t>CSF</w:t>
      </w:r>
      <w:r>
        <w:t xml:space="preserve">, </w:t>
      </w:r>
      <w:r w:rsidR="00D85BE6">
        <w:t xml:space="preserve">a precautionary approach would be to manage at the reef (or reef system) level. </w:t>
      </w:r>
      <w:r w:rsidR="000D6F32">
        <w:t>T</w:t>
      </w:r>
      <w:r w:rsidR="00434F45">
        <w:t xml:space="preserve">he </w:t>
      </w:r>
      <w:r w:rsidR="000D6F32">
        <w:t xml:space="preserve">large Qld east coast fisheries of the </w:t>
      </w:r>
      <w:r w:rsidR="00434F45">
        <w:t>GBR and Torres Strait</w:t>
      </w:r>
      <w:r w:rsidR="00D53601">
        <w:t xml:space="preserve"> are</w:t>
      </w:r>
      <w:r w:rsidR="00434F45">
        <w:t xml:space="preserve"> likely to have at least moderately well connected metapopulations, </w:t>
      </w:r>
      <w:r w:rsidR="000D6F32">
        <w:t xml:space="preserve">and hence </w:t>
      </w:r>
      <w:r w:rsidR="00434F45">
        <w:t xml:space="preserve">fishery or </w:t>
      </w:r>
      <w:r w:rsidR="00786637">
        <w:t xml:space="preserve">large-scale </w:t>
      </w:r>
      <w:r w:rsidR="00434F45">
        <w:t>sub</w:t>
      </w:r>
      <w:r w:rsidR="00C82860">
        <w:t>-</w:t>
      </w:r>
      <w:r w:rsidR="00434F45">
        <w:t xml:space="preserve">fishery level management </w:t>
      </w:r>
      <w:r w:rsidR="00923A51">
        <w:t>approaches should</w:t>
      </w:r>
      <w:r w:rsidR="00434F45">
        <w:t xml:space="preserve"> be sufficient. </w:t>
      </w:r>
    </w:p>
    <w:p w14:paraId="2645FF0F" w14:textId="77777777" w:rsidR="00D85BE6" w:rsidRDefault="00D85BE6" w:rsidP="00D85BE6">
      <w:pPr>
        <w:pStyle w:val="Heading2"/>
        <w:numPr>
          <w:ilvl w:val="1"/>
          <w:numId w:val="10"/>
        </w:numPr>
      </w:pPr>
      <w:bookmarkStart w:id="42" w:name="_Toc134967020"/>
      <w:bookmarkStart w:id="43" w:name="_Toc189055267"/>
      <w:r>
        <w:t>Climate change</w:t>
      </w:r>
      <w:bookmarkEnd w:id="42"/>
      <w:bookmarkEnd w:id="43"/>
    </w:p>
    <w:p w14:paraId="3EF2DD27" w14:textId="51F8FC7F" w:rsidR="00974A57" w:rsidRDefault="00974A57" w:rsidP="00974A57">
      <w:bookmarkStart w:id="44" w:name="_Hlk138402173"/>
      <w:r>
        <w:t>Climate change stressors in marine environments include increased sea temperature (and so-called marine heat waves), sea level rise, changes to ocean current patterns, increased storm intensity, and ocean acidification (IPCC 2019; Hobday et al. 2018). These physical changes in turn influence the abundance, distribution, phenology and physiological condition of marine species, affecting the productivity, location and composition of fisheries resources (Pecl et al.</w:t>
      </w:r>
      <w:r w:rsidR="00C82860">
        <w:t>,</w:t>
      </w:r>
      <w:r>
        <w:t xml:space="preserve"> 2014;</w:t>
      </w:r>
      <w:r w:rsidR="00581B23" w:rsidRPr="00581B23">
        <w:t xml:space="preserve"> </w:t>
      </w:r>
      <w:r w:rsidR="00581B23">
        <w:t>Hughes et al.</w:t>
      </w:r>
      <w:r w:rsidR="00C82860">
        <w:t>,</w:t>
      </w:r>
      <w:r w:rsidR="00581B23">
        <w:t xml:space="preserve"> 2018;</w:t>
      </w:r>
      <w:r>
        <w:t xml:space="preserve"> Fulton et al., 2021). Natural climate variability in Australia’s Tropical Pacific Ocean region is also associated with El Niño and La Niña events, which now occurs on top of the warming trend with the potential to modify climate-ocean interactions with flow-on effects on Australia’s climate (McInnes et al., 2015; IPCC, 2019).</w:t>
      </w:r>
    </w:p>
    <w:bookmarkEnd w:id="44"/>
    <w:p w14:paraId="213A05F9" w14:textId="4B209C41" w:rsidR="00B74CC6" w:rsidRPr="004D489C" w:rsidRDefault="00974A57" w:rsidP="00B74CC6">
      <w:pPr>
        <w:pStyle w:val="Heading3"/>
        <w:tabs>
          <w:tab w:val="num" w:pos="1209"/>
        </w:tabs>
      </w:pPr>
      <w:r>
        <w:t>Direct i</w:t>
      </w:r>
      <w:r w:rsidR="00B74CC6" w:rsidRPr="004D489C">
        <w:t>mpacts</w:t>
      </w:r>
      <w:r w:rsidR="00B74CC6">
        <w:t xml:space="preserve"> of climate change</w:t>
      </w:r>
    </w:p>
    <w:p w14:paraId="4A03F899" w14:textId="77777777" w:rsidR="00B74CC6" w:rsidRPr="00BE5A0C" w:rsidRDefault="00B74CC6" w:rsidP="00B74CC6">
      <w:pPr>
        <w:keepNext/>
        <w:rPr>
          <w:i/>
          <w:iCs/>
          <w:u w:val="single"/>
        </w:rPr>
      </w:pPr>
      <w:r w:rsidRPr="00BE5A0C">
        <w:rPr>
          <w:i/>
          <w:iCs/>
          <w:u w:val="single"/>
        </w:rPr>
        <w:t>Temperature</w:t>
      </w:r>
    </w:p>
    <w:p w14:paraId="1564E8F1" w14:textId="78EB7588" w:rsidR="00B74CC6" w:rsidRDefault="00B74CC6" w:rsidP="00B74CC6">
      <w:r>
        <w:t>Longer-term (&gt; a few weeks) experiments o</w:t>
      </w:r>
      <w:r w:rsidR="00AE3E3C">
        <w:t>n</w:t>
      </w:r>
      <w:r>
        <w:t xml:space="preserve"> the effect of raised temperature on sea cucumbers are sparse. Buccheri et al. (2019) found variability in the stress tolerance of three common tropical reef holothurians</w:t>
      </w:r>
      <w:r w:rsidR="00C545AE" w:rsidRPr="00C545AE">
        <w:t xml:space="preserve"> </w:t>
      </w:r>
      <w:r w:rsidR="00C545AE">
        <w:t>to elevated temperate</w:t>
      </w:r>
      <w:r>
        <w:t xml:space="preserve"> </w:t>
      </w:r>
      <w:r w:rsidR="00C545AE">
        <w:t>(</w:t>
      </w:r>
      <w:r w:rsidRPr="005B38BD">
        <w:rPr>
          <w:i/>
          <w:iCs/>
        </w:rPr>
        <w:t>Holothuria atra, Stichopus chloronotus,</w:t>
      </w:r>
      <w:r w:rsidRPr="005B38BD">
        <w:t xml:space="preserve"> and </w:t>
      </w:r>
      <w:r w:rsidRPr="005B38BD">
        <w:rPr>
          <w:i/>
          <w:iCs/>
        </w:rPr>
        <w:t>Holothuria edulis</w:t>
      </w:r>
      <w:r w:rsidR="00C545AE">
        <w:rPr>
          <w:i/>
          <w:iCs/>
        </w:rPr>
        <w:t>)</w:t>
      </w:r>
      <w:r>
        <w:t xml:space="preserve">, suggesting that species might respond differently to ocean warming. A study of </w:t>
      </w:r>
      <w:r w:rsidR="00C545AE">
        <w:t xml:space="preserve">the royal </w:t>
      </w:r>
      <w:r>
        <w:t>sea cucumber (</w:t>
      </w:r>
      <w:r w:rsidRPr="005B38BD">
        <w:rPr>
          <w:i/>
          <w:iCs/>
        </w:rPr>
        <w:t>Parastichopus regalis</w:t>
      </w:r>
      <w:r>
        <w:t xml:space="preserve">) in the central Mediterranean Sea indicated a range reduction and density decrease, possibly related to climate change temperature and pH changes. Although this finding was not conclusive due to other potentially detrimental factors (e.g. bottom trawling) (Scannella et al., 2022). </w:t>
      </w:r>
    </w:p>
    <w:p w14:paraId="5B49137B" w14:textId="03E37FC4" w:rsidR="00B74CC6" w:rsidRDefault="00B74CC6" w:rsidP="00B74CC6">
      <w:r>
        <w:t xml:space="preserve">Longer term experiments on starfish showed that adult mortality was not altered by increased temperature (Khalil et al., 2023). While they found that temperature regulated starfish physiology, the combination of high temperature and lower pH showed nonlinear and potentially synergistic effects on organismal physiology (e.g., metabolic rate). </w:t>
      </w:r>
      <w:r w:rsidR="00690290" w:rsidRPr="00690290">
        <w:t>Furthermore</w:t>
      </w:r>
      <w:r>
        <w:t>, elevated temperature allowed starfish to better cope with the adverse effect of lower pH on calcification and reduced skeletal dissolution (antagonistic interactive effects) interpreted as a result of energetic trade-offs.</w:t>
      </w:r>
    </w:p>
    <w:p w14:paraId="1D7D3CCA" w14:textId="77777777" w:rsidR="00B74CC6" w:rsidRPr="00BE5A0C" w:rsidRDefault="00B74CC6" w:rsidP="00B74CC6">
      <w:pPr>
        <w:rPr>
          <w:i/>
          <w:iCs/>
          <w:u w:val="single"/>
        </w:rPr>
      </w:pPr>
      <w:r w:rsidRPr="00BE5A0C">
        <w:rPr>
          <w:i/>
          <w:iCs/>
          <w:u w:val="single"/>
        </w:rPr>
        <w:t>Ocean acidification</w:t>
      </w:r>
    </w:p>
    <w:p w14:paraId="6891C275" w14:textId="16DC2130" w:rsidR="00B74CC6" w:rsidRDefault="00B74CC6" w:rsidP="00B74CC6">
      <w:r>
        <w:t xml:space="preserve">Studies on several species have shown that adult sea cucumbers are largely resilient to projected future changes in pH (pH 7.8 by 2100; IPCC, 2019), but that larger changes can have negative impacts on the acid-base balance, energy consumption, grazing and growth rates of sea cucumbers (e.g. </w:t>
      </w:r>
      <w:r w:rsidRPr="0004122F">
        <w:rPr>
          <w:i/>
          <w:iCs/>
        </w:rPr>
        <w:t>H</w:t>
      </w:r>
      <w:r w:rsidR="00690290">
        <w:rPr>
          <w:i/>
          <w:iCs/>
        </w:rPr>
        <w:t>olothuria</w:t>
      </w:r>
      <w:r w:rsidRPr="0004122F">
        <w:rPr>
          <w:i/>
          <w:iCs/>
        </w:rPr>
        <w:t xml:space="preserve"> scabra</w:t>
      </w:r>
      <w:r>
        <w:t xml:space="preserve">, </w:t>
      </w:r>
      <w:r w:rsidRPr="0004122F">
        <w:rPr>
          <w:i/>
          <w:iCs/>
        </w:rPr>
        <w:t>H. parva</w:t>
      </w:r>
      <w:r>
        <w:t xml:space="preserve">, </w:t>
      </w:r>
      <w:r w:rsidRPr="00FE76CF">
        <w:rPr>
          <w:i/>
          <w:iCs/>
        </w:rPr>
        <w:t>H. forskali</w:t>
      </w:r>
      <w:r>
        <w:t>,</w:t>
      </w:r>
      <w:r w:rsidRPr="00FE76CF">
        <w:t xml:space="preserve"> </w:t>
      </w:r>
      <w:r w:rsidRPr="0004122F">
        <w:rPr>
          <w:i/>
          <w:iCs/>
        </w:rPr>
        <w:t>Apostichopus</w:t>
      </w:r>
      <w:r w:rsidRPr="00A85071">
        <w:rPr>
          <w:i/>
          <w:iCs/>
        </w:rPr>
        <w:t xml:space="preserve"> japonicus</w:t>
      </w:r>
      <w:r>
        <w:t>) (Collard et al., 2014; Yuan et al. 2015; Yuan et al., 2018). L</w:t>
      </w:r>
      <w:r w:rsidRPr="00FE76CF">
        <w:t>ess-calcified sea cucumbers may be more tolerant to seawater acidification than other heavily calcified echinoderms</w:t>
      </w:r>
      <w:r>
        <w:t xml:space="preserve"> (Yuan et al., 2018).</w:t>
      </w:r>
    </w:p>
    <w:p w14:paraId="3ADE01BC" w14:textId="77777777" w:rsidR="00B74CC6" w:rsidRDefault="00B74CC6" w:rsidP="00B74CC6">
      <w:r>
        <w:t xml:space="preserve">There has been some experimentation on the effect of changes in pH on holothurian larvae. For </w:t>
      </w:r>
      <w:r w:rsidRPr="00B30C6E">
        <w:rPr>
          <w:i/>
          <w:iCs/>
        </w:rPr>
        <w:t>H</w:t>
      </w:r>
      <w:r>
        <w:rPr>
          <w:i/>
          <w:iCs/>
        </w:rPr>
        <w:t>. </w:t>
      </w:r>
      <w:r w:rsidRPr="00B30C6E">
        <w:rPr>
          <w:i/>
          <w:iCs/>
        </w:rPr>
        <w:t>spinifera</w:t>
      </w:r>
      <w:r>
        <w:t>, larvae developed faster, grew better and had better survival rates at pH 7.8 (</w:t>
      </w:r>
      <w:r w:rsidRPr="004C017C">
        <w:t>Asha</w:t>
      </w:r>
      <w:r>
        <w:t xml:space="preserve"> and </w:t>
      </w:r>
      <w:r w:rsidRPr="004C017C">
        <w:t>Muthiah, 2005</w:t>
      </w:r>
      <w:r>
        <w:t xml:space="preserve">). For </w:t>
      </w:r>
      <w:r w:rsidRPr="00A85071">
        <w:rPr>
          <w:i/>
          <w:iCs/>
        </w:rPr>
        <w:t>A. japonicus</w:t>
      </w:r>
      <w:r>
        <w:t xml:space="preserve"> </w:t>
      </w:r>
      <w:r w:rsidRPr="00A85071">
        <w:t>a 0.62 unit decrease in pH had relatively small effects on early life-history compared to other echinoderms, leading to a maximum of 6% decrease in post-fertilization success</w:t>
      </w:r>
      <w:r>
        <w:t xml:space="preserve"> (</w:t>
      </w:r>
      <w:r w:rsidRPr="004C017C">
        <w:t>Yuan et al. 2015</w:t>
      </w:r>
      <w:r>
        <w:t>). This indicates that predicted changes in pH in the Coral Sea may not greatly impact larval survival, though more extreme changes may have a larger impact on larval survival (</w:t>
      </w:r>
      <w:r w:rsidRPr="00D60222">
        <w:t>González-Durán</w:t>
      </w:r>
      <w:r>
        <w:t xml:space="preserve"> et al., 2021). </w:t>
      </w:r>
    </w:p>
    <w:p w14:paraId="71F54D1B" w14:textId="77777777" w:rsidR="00B74CC6" w:rsidRPr="00BE5A0C" w:rsidRDefault="00B74CC6" w:rsidP="00C82860">
      <w:pPr>
        <w:keepNext/>
        <w:rPr>
          <w:i/>
          <w:iCs/>
          <w:u w:val="single"/>
        </w:rPr>
      </w:pPr>
      <w:r w:rsidRPr="00BE5A0C">
        <w:rPr>
          <w:i/>
          <w:iCs/>
          <w:u w:val="single"/>
        </w:rPr>
        <w:lastRenderedPageBreak/>
        <w:t>Sea level rise</w:t>
      </w:r>
    </w:p>
    <w:p w14:paraId="6A9BED68" w14:textId="76DD71C9" w:rsidR="00B74CC6" w:rsidRDefault="00B74CC6" w:rsidP="00B74CC6">
      <w:r>
        <w:t>Sea level rise has been assessed as being mostly positive for shallow water species (e.g.</w:t>
      </w:r>
      <w:r w:rsidRPr="00690290">
        <w:t xml:space="preserve"> </w:t>
      </w:r>
      <w:r w:rsidR="00690290" w:rsidRPr="00690290">
        <w:t>Sandfish</w:t>
      </w:r>
      <w:r w:rsidRPr="00690290">
        <w:t xml:space="preserve">, </w:t>
      </w:r>
      <w:r w:rsidR="00690290" w:rsidRPr="00690290">
        <w:t>Black teatfish</w:t>
      </w:r>
      <w:r>
        <w:t>) (Plaganyi et al.</w:t>
      </w:r>
      <w:r w:rsidR="00690290">
        <w:t>,</w:t>
      </w:r>
      <w:r>
        <w:t xml:space="preserve"> 2013) and is likely to be neutral for deeper water species such as </w:t>
      </w:r>
      <w:r w:rsidR="00786637">
        <w:t>White teatfish</w:t>
      </w:r>
      <w:r>
        <w:t>.</w:t>
      </w:r>
    </w:p>
    <w:p w14:paraId="7AEF9E7F" w14:textId="77777777" w:rsidR="00B74CC6" w:rsidRPr="00BE5A0C" w:rsidRDefault="00B74CC6" w:rsidP="00B74CC6">
      <w:pPr>
        <w:rPr>
          <w:i/>
          <w:iCs/>
          <w:u w:val="single"/>
        </w:rPr>
      </w:pPr>
      <w:r w:rsidRPr="00BE5A0C">
        <w:rPr>
          <w:i/>
          <w:iCs/>
          <w:u w:val="single"/>
        </w:rPr>
        <w:t>Changes in cyclone frequency and intensity</w:t>
      </w:r>
    </w:p>
    <w:p w14:paraId="55A067AB" w14:textId="312FBC90" w:rsidR="00B74CC6" w:rsidRDefault="00B74CC6" w:rsidP="00B74CC6">
      <w:r>
        <w:t xml:space="preserve">Shallow species </w:t>
      </w:r>
      <w:r w:rsidR="00786637">
        <w:t xml:space="preserve">such as Black teatfish </w:t>
      </w:r>
      <w:r>
        <w:t xml:space="preserve">may be negatively impacted by scouring and dislocation by severe storms. Impacts to deeper water species such as </w:t>
      </w:r>
      <w:r w:rsidR="00786637">
        <w:t xml:space="preserve">White teatfish </w:t>
      </w:r>
      <w:r>
        <w:t>are likely to be negligible.</w:t>
      </w:r>
    </w:p>
    <w:p w14:paraId="05B5FCF1" w14:textId="77777777" w:rsidR="00B74CC6" w:rsidRPr="004D489C" w:rsidRDefault="00B74CC6" w:rsidP="00B74CC6">
      <w:pPr>
        <w:pStyle w:val="Heading3"/>
        <w:tabs>
          <w:tab w:val="num" w:pos="1209"/>
        </w:tabs>
      </w:pPr>
      <w:r>
        <w:t xml:space="preserve">Indirect </w:t>
      </w:r>
      <w:r w:rsidRPr="004D489C">
        <w:t xml:space="preserve">impacts </w:t>
      </w:r>
      <w:r>
        <w:t>of climate change</w:t>
      </w:r>
    </w:p>
    <w:p w14:paraId="31B559A8" w14:textId="77777777" w:rsidR="00B74CC6" w:rsidRDefault="00B74CC6" w:rsidP="00B74CC6">
      <w:r>
        <w:t xml:space="preserve">Repeated exposure to damaging marine heatwaves has already resulted in coral bleaching events on the GBR </w:t>
      </w:r>
      <w:r w:rsidRPr="0067085C">
        <w:t>in 1998, 2002,2016, 2017, 2020 and 2022</w:t>
      </w:r>
      <w:r>
        <w:t xml:space="preserve"> (AIMS, 2023), likely resulting in at least short reductions in the cover of live coral, and changes in coral community structure. In the longer term, this is likely to lead to irreversible changes in coral reef assemblages depending on the intensity and timing between successive thermal stress events (Hughes et al., 2018; Johnson et al., 2018). </w:t>
      </w:r>
    </w:p>
    <w:p w14:paraId="153D4D0A" w14:textId="77777777" w:rsidR="00B74CC6" w:rsidRDefault="00B74CC6" w:rsidP="00B74CC6">
      <w:r>
        <w:t>The impact of these changes to reefs and their benthic and fish communities on sea cucumbers is uncertain. Trophic effects are poorly understood</w:t>
      </w:r>
      <w:r w:rsidRPr="00F00747">
        <w:t xml:space="preserve"> </w:t>
      </w:r>
      <w:r>
        <w:t>but are likely to be impactful in the longer term (Fulton et al., 2018).</w:t>
      </w:r>
    </w:p>
    <w:p w14:paraId="6BC1254A" w14:textId="2A5D3629" w:rsidR="00B74CC6" w:rsidRPr="00100EF6" w:rsidRDefault="00B74CC6" w:rsidP="00B74CC6">
      <w:pPr>
        <w:pStyle w:val="Heading3"/>
        <w:tabs>
          <w:tab w:val="num" w:pos="1209"/>
        </w:tabs>
      </w:pPr>
      <w:r>
        <w:t>V</w:t>
      </w:r>
      <w:r w:rsidRPr="00100EF6">
        <w:t xml:space="preserve">ulnerability of </w:t>
      </w:r>
      <w:r w:rsidR="00BE5A0C">
        <w:t xml:space="preserve">teatfish </w:t>
      </w:r>
      <w:r w:rsidRPr="00100EF6">
        <w:t>species to climate change</w:t>
      </w:r>
    </w:p>
    <w:p w14:paraId="03A5A224" w14:textId="3868B5A3" w:rsidR="00B0700E" w:rsidRDefault="00B74CC6" w:rsidP="00B74CC6">
      <w:r w:rsidRPr="005C73E8">
        <w:t xml:space="preserve">A vulnerability assessment of Black teatfish </w:t>
      </w:r>
      <w:r>
        <w:t xml:space="preserve">in Torres Strait </w:t>
      </w:r>
      <w:r w:rsidRPr="005C73E8">
        <w:t>w</w:t>
      </w:r>
      <w:r>
        <w:t>as</w:t>
      </w:r>
      <w:r w:rsidRPr="005C73E8">
        <w:t xml:space="preserve"> assessed as having a high vulnerability to climate change, mainly due to a low adaptive capacity related to winter spawning, low productivity and limited mobility (Johnson and Welch, 2016).</w:t>
      </w:r>
      <w:r>
        <w:t xml:space="preserve"> However, </w:t>
      </w:r>
      <w:r w:rsidR="00786637">
        <w:t xml:space="preserve">White teatfish </w:t>
      </w:r>
      <w:r>
        <w:t>are summer spawners and inhabit deeper water habitats, which may reduce climate change risks (Dutra et al., 2020).</w:t>
      </w:r>
      <w:r w:rsidR="00B0700E">
        <w:t xml:space="preserve"> Hence, t</w:t>
      </w:r>
      <w:r>
        <w:t xml:space="preserve">he vulnerability of </w:t>
      </w:r>
      <w:r w:rsidR="00786637">
        <w:t xml:space="preserve">White teatfish </w:t>
      </w:r>
      <w:r>
        <w:t xml:space="preserve">to climate change stressors in the short to medium term would appear to be moderate, but with considerable uncertainty, especially for long term temperature changes and indirect impacts. </w:t>
      </w:r>
    </w:p>
    <w:p w14:paraId="4FED36E2" w14:textId="72B778E3" w:rsidR="00B74CC6" w:rsidRDefault="00B74CC6" w:rsidP="00B74CC6">
      <w:r w:rsidRPr="00FE76CF">
        <w:t xml:space="preserve">There could </w:t>
      </w:r>
      <w:r>
        <w:t xml:space="preserve">also </w:t>
      </w:r>
      <w:r w:rsidRPr="00FE76CF">
        <w:t xml:space="preserve">be synergistic effects to consider. </w:t>
      </w:r>
      <w:r>
        <w:t>E</w:t>
      </w:r>
      <w:r w:rsidRPr="00FE76CF">
        <w:t>xperiments on starfish showed that the combination of high temperature and high pCO</w:t>
      </w:r>
      <w:r w:rsidRPr="004846FB">
        <w:rPr>
          <w:vertAlign w:val="subscript"/>
        </w:rPr>
        <w:t>2</w:t>
      </w:r>
      <w:r w:rsidRPr="00FE76CF">
        <w:t xml:space="preserve"> showed nonlinear and potentially synergistic effects on organismal physiology (e.g., metabolic rate)</w:t>
      </w:r>
      <w:r>
        <w:t xml:space="preserve"> (Khalil et al., 2023). In addition, shifts in ecosystem state can potentially go unnoticed and eventually undermine the sustainability of seemingly sustainable fisheries (Fulton et al., 2021). </w:t>
      </w:r>
    </w:p>
    <w:p w14:paraId="5A5F55A4" w14:textId="77777777" w:rsidR="00B74CC6" w:rsidRDefault="00B74CC6" w:rsidP="00B74CC6">
      <w:r>
        <w:t xml:space="preserve">It is increasingly important to develop models to link climatic effects over a range of life history components and critical habitats for fisheries (e.g. seagrasses, coral reefs) and quantify the resultant impact on fisheries productivity using alternative emission scenarios (Dutra et al., 2020). An integrated risk assessment of sea cucumbers in Torres Strait, based on a Management Strategy Evaluation (MSE) (Plagányi et al., 2013), found that status quo management would result in half the species falling below target levels, moderate risks of overall and local depletion, and significant changes in species composition. Three simple strategies (spatial rotation, closed areas, multi-species composition) were all successful in reducing these risks (Plagányi et al., 2013). </w:t>
      </w:r>
    </w:p>
    <w:p w14:paraId="5B335632" w14:textId="77777777" w:rsidR="007F6036" w:rsidRDefault="007F6036" w:rsidP="007F6036">
      <w:pPr>
        <w:pStyle w:val="Heading2"/>
        <w:numPr>
          <w:ilvl w:val="1"/>
          <w:numId w:val="10"/>
        </w:numPr>
      </w:pPr>
      <w:bookmarkStart w:id="45" w:name="_Toc134967019"/>
      <w:bookmarkStart w:id="46" w:name="_Toc189055268"/>
      <w:r>
        <w:t>Ecological role</w:t>
      </w:r>
      <w:bookmarkEnd w:id="45"/>
      <w:bookmarkEnd w:id="46"/>
      <w:r>
        <w:t xml:space="preserve"> </w:t>
      </w:r>
    </w:p>
    <w:p w14:paraId="51EE5167" w14:textId="77777777" w:rsidR="00B74CC6" w:rsidRPr="00BE5A0C" w:rsidRDefault="00B74CC6" w:rsidP="00B74CC6">
      <w:pPr>
        <w:rPr>
          <w:i/>
          <w:iCs/>
          <w:u w:val="single"/>
        </w:rPr>
      </w:pPr>
      <w:r w:rsidRPr="00BE5A0C">
        <w:rPr>
          <w:i/>
          <w:iCs/>
          <w:u w:val="single"/>
        </w:rPr>
        <w:t>Effect on benthic habitats</w:t>
      </w:r>
    </w:p>
    <w:p w14:paraId="3EB5C744" w14:textId="23D45FF4" w:rsidR="00B74CC6" w:rsidRDefault="00B74CC6" w:rsidP="00B74CC6">
      <w:r>
        <w:t>Holothuroids (</w:t>
      </w:r>
      <w:r w:rsidR="00843B68">
        <w:t>C</w:t>
      </w:r>
      <w:r>
        <w:t xml:space="preserve">lass Holothuroidea) feed on the sea </w:t>
      </w:r>
      <w:r w:rsidR="00843B68">
        <w:t>bed sediments</w:t>
      </w:r>
      <w:r>
        <w:t>, reducing the organic load and redistributing surface sediments</w:t>
      </w:r>
      <w:r w:rsidR="00843B68">
        <w:t>.</w:t>
      </w:r>
      <w:r>
        <w:t xml:space="preserve"> </w:t>
      </w:r>
      <w:r w:rsidR="00843B68">
        <w:t>This form of</w:t>
      </w:r>
      <w:r>
        <w:t xml:space="preserve"> bioremediat</w:t>
      </w:r>
      <w:r w:rsidR="00843B68">
        <w:t>ion</w:t>
      </w:r>
      <w:r>
        <w:t xml:space="preserve"> enhanc</w:t>
      </w:r>
      <w:r w:rsidR="00843B68">
        <w:t>es</w:t>
      </w:r>
      <w:r>
        <w:t xml:space="preserve"> the productivity of </w:t>
      </w:r>
      <w:r w:rsidR="00843B68">
        <w:t xml:space="preserve">benthic communities </w:t>
      </w:r>
      <w:r>
        <w:t>)</w:t>
      </w:r>
      <w:r w:rsidR="00843B68">
        <w:t xml:space="preserve"> and the </w:t>
      </w:r>
      <w:r>
        <w:t xml:space="preserve">nutrient recycling is crucial in ecosystems with low nutrient levels, as in the Coral Sea (Ceccarelli et al., 2013). Feeding and excretion by sea cucumbers also increase seawater quality and alkalinity, which contributes to local buffering of ocean acidification (see below). The depletion of holothuroids has also resulted in the hardening of the sea floor, thereby eliminating potential habitat for </w:t>
      </w:r>
      <w:r>
        <w:lastRenderedPageBreak/>
        <w:t>other benthic organisms (Bruckner et al., 2003).</w:t>
      </w:r>
      <w:r w:rsidR="00843B68" w:rsidRPr="00843B68">
        <w:t xml:space="preserve"> </w:t>
      </w:r>
      <w:r w:rsidR="00843B68">
        <w:t xml:space="preserve">For a comprehensive review of sea cucumber ecological role, see Purcell et al. </w:t>
      </w:r>
      <w:r w:rsidR="00F605C7">
        <w:t>(</w:t>
      </w:r>
      <w:r w:rsidR="00843B68">
        <w:t>2016a</w:t>
      </w:r>
      <w:r w:rsidR="00F605C7">
        <w:t>)</w:t>
      </w:r>
      <w:r w:rsidR="00843B68">
        <w:t>.</w:t>
      </w:r>
    </w:p>
    <w:p w14:paraId="47BD45E0" w14:textId="5607AA9E" w:rsidR="00B74CC6" w:rsidRDefault="00B74CC6" w:rsidP="00B74CC6">
      <w:r>
        <w:t xml:space="preserve">Sea cucumbers are known to be consumed by </w:t>
      </w:r>
      <w:r w:rsidR="00A67BA9">
        <w:t xml:space="preserve">a </w:t>
      </w:r>
      <w:r>
        <w:t xml:space="preserve">diverse </w:t>
      </w:r>
      <w:r w:rsidR="00A67BA9">
        <w:t xml:space="preserve">range of </w:t>
      </w:r>
      <w:r>
        <w:t>predators from at least seven phyla, including 19 species of sea</w:t>
      </w:r>
      <w:r w:rsidR="00A67BA9">
        <w:t xml:space="preserve"> </w:t>
      </w:r>
      <w:r>
        <w:t>stars, 17 crustaceans, several gastropods and around 30 species of fish (Purcell et al., 2016a). For predators that rely heavily on sea cucumbers as a food source, depletion of sea cucumber populations is likely to have a negative impact (Purcell et al., 2016a). Thus, overexploitation of sea cucumbers such as</w:t>
      </w:r>
      <w:r w:rsidR="00786637">
        <w:t xml:space="preserve"> teatfish </w:t>
      </w:r>
      <w:r>
        <w:t>species may result in a loss of biodiversity or abundance of these predator species or cause them to switch to other prey species, with potential cascading effects in the ecosystem (Purcell et al., 2016a).</w:t>
      </w:r>
    </w:p>
    <w:p w14:paraId="68E1A157" w14:textId="77777777" w:rsidR="00B74CC6" w:rsidRPr="00BE5A0C" w:rsidRDefault="00B74CC6" w:rsidP="00B74CC6">
      <w:pPr>
        <w:keepNext/>
        <w:rPr>
          <w:i/>
          <w:iCs/>
          <w:u w:val="single"/>
        </w:rPr>
      </w:pPr>
      <w:r w:rsidRPr="00BE5A0C">
        <w:rPr>
          <w:i/>
          <w:iCs/>
          <w:u w:val="single"/>
        </w:rPr>
        <w:t>Effect on local water chemistry</w:t>
      </w:r>
    </w:p>
    <w:p w14:paraId="32F77BDF" w14:textId="00CE6B6C" w:rsidR="00B74CC6" w:rsidRDefault="00B74CC6" w:rsidP="00B74CC6">
      <w:r>
        <w:t xml:space="preserve">Studies on several sea cucumber species (Curryfish - </w:t>
      </w:r>
      <w:r w:rsidRPr="005A5086">
        <w:rPr>
          <w:i/>
          <w:iCs/>
        </w:rPr>
        <w:t>S</w:t>
      </w:r>
      <w:r>
        <w:rPr>
          <w:i/>
          <w:iCs/>
        </w:rPr>
        <w:t>tichopus</w:t>
      </w:r>
      <w:r w:rsidRPr="005A5086">
        <w:rPr>
          <w:i/>
          <w:iCs/>
        </w:rPr>
        <w:t xml:space="preserve"> herrmanni</w:t>
      </w:r>
      <w:r>
        <w:rPr>
          <w:i/>
          <w:iCs/>
        </w:rPr>
        <w:t xml:space="preserve">, </w:t>
      </w:r>
      <w:r>
        <w:t xml:space="preserve">Lollyfish - </w:t>
      </w:r>
      <w:r w:rsidRPr="005A5086">
        <w:rPr>
          <w:i/>
          <w:iCs/>
        </w:rPr>
        <w:t>H</w:t>
      </w:r>
      <w:r>
        <w:rPr>
          <w:i/>
          <w:iCs/>
        </w:rPr>
        <w:t>olothuria a</w:t>
      </w:r>
      <w:r w:rsidRPr="005A5086">
        <w:rPr>
          <w:i/>
          <w:iCs/>
        </w:rPr>
        <w:t>tra</w:t>
      </w:r>
      <w:r>
        <w:rPr>
          <w:i/>
          <w:iCs/>
        </w:rPr>
        <w:t xml:space="preserve">, </w:t>
      </w:r>
      <w:r>
        <w:t xml:space="preserve">Snakefish - </w:t>
      </w:r>
      <w:r>
        <w:rPr>
          <w:i/>
          <w:iCs/>
        </w:rPr>
        <w:t>H. leucospilota</w:t>
      </w:r>
      <w:r>
        <w:t xml:space="preserve">) has shown they can affect local seawater alkalinity through their digestive processes and release of ammonia (Uthicke, 2001; Schneider et al., 2011; 2013; Wolfe et al., 2017; </w:t>
      </w:r>
      <w:r w:rsidRPr="000E1C88">
        <w:t>Vidal-Ramirez</w:t>
      </w:r>
      <w:r>
        <w:t xml:space="preserve"> and</w:t>
      </w:r>
      <w:r w:rsidRPr="000E1C88">
        <w:t xml:space="preserve"> Dove, 2016</w:t>
      </w:r>
      <w:r>
        <w:t xml:space="preserve">), potentially </w:t>
      </w:r>
      <w:r w:rsidRPr="003408F2">
        <w:t xml:space="preserve">moderating </w:t>
      </w:r>
      <w:r>
        <w:t>ocean acidification and benefiting calcifying organisms such as corals.</w:t>
      </w:r>
    </w:p>
    <w:p w14:paraId="5B57D7C0" w14:textId="193136A4" w:rsidR="00B74CC6" w:rsidRDefault="00B74CC6" w:rsidP="00B74CC6">
      <w:bookmarkStart w:id="47" w:name="_Hlk139437757"/>
      <w:r>
        <w:t>Wolfe et al. (2017) found that Curryfish (</w:t>
      </w:r>
      <w:r w:rsidRPr="005A5086">
        <w:rPr>
          <w:i/>
          <w:iCs/>
        </w:rPr>
        <w:t>S</w:t>
      </w:r>
      <w:r>
        <w:rPr>
          <w:i/>
          <w:iCs/>
        </w:rPr>
        <w:t>.</w:t>
      </w:r>
      <w:r w:rsidRPr="005A5086">
        <w:rPr>
          <w:i/>
          <w:iCs/>
        </w:rPr>
        <w:t xml:space="preserve"> herrmanni</w:t>
      </w:r>
      <w:r>
        <w:t>) had significant impacts on seawater chemistry through respiration, dissolution of CaCo</w:t>
      </w:r>
      <w:r w:rsidRPr="005A5086">
        <w:rPr>
          <w:vertAlign w:val="subscript"/>
        </w:rPr>
        <w:t>3</w:t>
      </w:r>
      <w:r>
        <w:t xml:space="preserve"> in the gut and by down grazing effects on algae and infauna. These actions contributed to increased reef dissolution during the day, but decreased dissolution at night when reef systems are most </w:t>
      </w:r>
      <w:r w:rsidRPr="005A5086">
        <w:t>vulnerable to dissolution</w:t>
      </w:r>
      <w:r>
        <w:t>.</w:t>
      </w:r>
      <w:r w:rsidRPr="005A5086">
        <w:t xml:space="preserve"> </w:t>
      </w:r>
      <w:r>
        <w:t xml:space="preserve">However, the effect was only measurable in closed systems </w:t>
      </w:r>
      <w:r w:rsidR="00A67BA9">
        <w:t>where</w:t>
      </w:r>
      <w:r>
        <w:t xml:space="preserve"> Curryfish had little effect on seawater chemistry under flowing conditions. Another study on the effect of Lollyfish (</w:t>
      </w:r>
      <w:r w:rsidRPr="005A5086">
        <w:rPr>
          <w:i/>
          <w:iCs/>
        </w:rPr>
        <w:t>H</w:t>
      </w:r>
      <w:r>
        <w:rPr>
          <w:i/>
          <w:iCs/>
        </w:rPr>
        <w:t>.</w:t>
      </w:r>
      <w:r w:rsidRPr="005A5086">
        <w:rPr>
          <w:i/>
          <w:iCs/>
        </w:rPr>
        <w:t xml:space="preserve"> atra</w:t>
      </w:r>
      <w:r>
        <w:t xml:space="preserve">) </w:t>
      </w:r>
      <w:r w:rsidRPr="000E1C88">
        <w:t>on seawater carbonate chemistry</w:t>
      </w:r>
      <w:r>
        <w:t xml:space="preserve"> found that the feeding and excretion of that species may even exacerbate the impacts of acidification due to the dissolution of CaCO</w:t>
      </w:r>
      <w:r w:rsidRPr="005A5086">
        <w:rPr>
          <w:vertAlign w:val="subscript"/>
        </w:rPr>
        <w:t>3</w:t>
      </w:r>
      <w:r>
        <w:t xml:space="preserve"> resulting from their production of respiratory CO</w:t>
      </w:r>
      <w:r w:rsidRPr="00D61184">
        <w:rPr>
          <w:vertAlign w:val="subscript"/>
        </w:rPr>
        <w:t>2</w:t>
      </w:r>
      <w:r>
        <w:t xml:space="preserve"> (</w:t>
      </w:r>
      <w:r w:rsidRPr="000E1C88">
        <w:t>Vidal-Ramirez</w:t>
      </w:r>
      <w:r>
        <w:t xml:space="preserve"> and</w:t>
      </w:r>
      <w:r w:rsidRPr="000E1C88">
        <w:t xml:space="preserve"> Dove, 2016</w:t>
      </w:r>
      <w:r>
        <w:t xml:space="preserve">). </w:t>
      </w:r>
    </w:p>
    <w:bookmarkEnd w:id="47"/>
    <w:p w14:paraId="53FCD45D" w14:textId="30CF7603" w:rsidR="00B74CC6" w:rsidRDefault="00B74CC6" w:rsidP="00B74CC6">
      <w:r>
        <w:t>It is likely then, given the dynamic nature of water currents</w:t>
      </w:r>
      <w:r w:rsidR="00786637">
        <w:t xml:space="preserve"> in preferred habitats of both species, </w:t>
      </w:r>
      <w:r>
        <w:t xml:space="preserve">and </w:t>
      </w:r>
      <w:r w:rsidR="00A67BA9">
        <w:t xml:space="preserve">the preference for </w:t>
      </w:r>
      <w:r>
        <w:t xml:space="preserve">slope and deeper reef habitats by </w:t>
      </w:r>
      <w:r w:rsidR="00786637">
        <w:t xml:space="preserve">White teatfish </w:t>
      </w:r>
      <w:r>
        <w:t>(Purcell et al., 2023a; Murphy et al., 2021</w:t>
      </w:r>
      <w:r w:rsidR="000E0A8F">
        <w:t>a</w:t>
      </w:r>
      <w:r>
        <w:t>), that</w:t>
      </w:r>
      <w:r w:rsidR="00A67BA9">
        <w:t xml:space="preserve"> any</w:t>
      </w:r>
      <w:r>
        <w:t xml:space="preserve"> local ameliorating effects on water chemistry by both </w:t>
      </w:r>
      <w:r w:rsidR="005B358D">
        <w:t xml:space="preserve">teatfish </w:t>
      </w:r>
      <w:r>
        <w:t>species would be modest at best.</w:t>
      </w:r>
    </w:p>
    <w:p w14:paraId="7E872CFA" w14:textId="77777777" w:rsidR="00B74CC6" w:rsidRPr="00892D6F" w:rsidRDefault="00B74CC6" w:rsidP="00B74CC6">
      <w:pPr>
        <w:pStyle w:val="Heading2"/>
      </w:pPr>
      <w:bookmarkStart w:id="48" w:name="_Toc146555287"/>
      <w:bookmarkStart w:id="49" w:name="_Toc189055269"/>
      <w:r w:rsidRPr="00892D6F">
        <w:t>Inherent vulnerability</w:t>
      </w:r>
      <w:bookmarkEnd w:id="48"/>
      <w:bookmarkEnd w:id="49"/>
    </w:p>
    <w:p w14:paraId="0DE20EFE" w14:textId="111279F1" w:rsidR="00F469A2" w:rsidRDefault="00F469A2" w:rsidP="00F469A2">
      <w:bookmarkStart w:id="50" w:name="_Hlk139547483"/>
      <w:r>
        <w:t xml:space="preserve">In the CITES context (CITES, 2011), “Inherent </w:t>
      </w:r>
      <w:r w:rsidRPr="0016200C">
        <w:t>Vulnerability</w:t>
      </w:r>
      <w:r>
        <w:t>”</w:t>
      </w:r>
      <w:r w:rsidRPr="0016200C">
        <w:t xml:space="preserve"> can be defined as the susceptibility to intrinsic or external effects that increase the risk of extinction, even when mitigating factors are taken into account. There are a number of taxon or case-specific biological and other factors that may affect the extinction risk associated with a given percentage decline, small population size or restricted area of distribution</w:t>
      </w:r>
      <w:r>
        <w:t xml:space="preserve"> (CITES, 2011). Many of these factors are poorly understood for Black </w:t>
      </w:r>
      <w:r w:rsidR="00786637">
        <w:t xml:space="preserve">teatfish </w:t>
      </w:r>
      <w:r>
        <w:t xml:space="preserve">and White teatfish. </w:t>
      </w:r>
    </w:p>
    <w:p w14:paraId="3465DC26" w14:textId="77777777" w:rsidR="00F469A2" w:rsidRPr="009A24E3" w:rsidRDefault="00F469A2" w:rsidP="00F469A2">
      <w:pPr>
        <w:rPr>
          <w:i/>
          <w:iCs/>
        </w:rPr>
      </w:pPr>
      <w:r w:rsidRPr="009A24E3">
        <w:rPr>
          <w:i/>
          <w:iCs/>
        </w:rPr>
        <w:t xml:space="preserve">Factors increasing </w:t>
      </w:r>
      <w:r>
        <w:rPr>
          <w:i/>
          <w:iCs/>
        </w:rPr>
        <w:t>i</w:t>
      </w:r>
      <w:r w:rsidRPr="009A24E3">
        <w:rPr>
          <w:i/>
          <w:iCs/>
        </w:rPr>
        <w:t>nherent vulnerability</w:t>
      </w:r>
    </w:p>
    <w:p w14:paraId="42BB6849" w14:textId="193BEA14" w:rsidR="00F469A2" w:rsidRDefault="00F469A2" w:rsidP="00F469A2">
      <w:pPr>
        <w:pStyle w:val="ListParagraph"/>
        <w:numPr>
          <w:ilvl w:val="0"/>
          <w:numId w:val="24"/>
        </w:numPr>
      </w:pPr>
      <w:r>
        <w:t xml:space="preserve">Both species are large, easily seen </w:t>
      </w:r>
      <w:r w:rsidR="00F26641">
        <w:t xml:space="preserve">(for the adults at least) </w:t>
      </w:r>
      <w:r>
        <w:t>sea cucumbers</w:t>
      </w:r>
      <w:r w:rsidRPr="00923168">
        <w:t xml:space="preserve"> and </w:t>
      </w:r>
      <w:r>
        <w:t xml:space="preserve">are </w:t>
      </w:r>
      <w:r w:rsidRPr="00923168">
        <w:t>thus easily harvested</w:t>
      </w:r>
      <w:r w:rsidR="00065130">
        <w:t xml:space="preserve">. </w:t>
      </w:r>
    </w:p>
    <w:p w14:paraId="2A9C8120" w14:textId="61E156C8" w:rsidR="00F469A2" w:rsidRDefault="00F469A2" w:rsidP="00F469A2">
      <w:pPr>
        <w:pStyle w:val="ListParagraph"/>
        <w:numPr>
          <w:ilvl w:val="0"/>
          <w:numId w:val="24"/>
        </w:numPr>
      </w:pPr>
      <w:r>
        <w:t>Both species are high value species that have been consistently targeted by fishers.</w:t>
      </w:r>
    </w:p>
    <w:p w14:paraId="511282D7" w14:textId="171D0FAB" w:rsidR="00F469A2" w:rsidRDefault="00F469A2" w:rsidP="00F469A2">
      <w:pPr>
        <w:pStyle w:val="ListParagraph"/>
        <w:numPr>
          <w:ilvl w:val="0"/>
          <w:numId w:val="24"/>
        </w:numPr>
      </w:pPr>
      <w:r>
        <w:t>G</w:t>
      </w:r>
      <w:r w:rsidRPr="00F30620">
        <w:t xml:space="preserve">eneration length </w:t>
      </w:r>
      <w:r>
        <w:t xml:space="preserve">for both species </w:t>
      </w:r>
      <w:r w:rsidRPr="00F30620">
        <w:t>is unknown</w:t>
      </w:r>
      <w:r>
        <w:t xml:space="preserve">, </w:t>
      </w:r>
      <w:r w:rsidRPr="00F30620">
        <w:t>but may be greater than several decades</w:t>
      </w:r>
      <w:r>
        <w:t xml:space="preserve"> (</w:t>
      </w:r>
      <w:r w:rsidRPr="00F30620">
        <w:t>Conand et al., 2013a</w:t>
      </w:r>
      <w:r>
        <w:t>; 2013b; Uthicke et al., 2004</w:t>
      </w:r>
      <w:r w:rsidR="00C152AD">
        <w:t>a</w:t>
      </w:r>
      <w:r>
        <w:t>).</w:t>
      </w:r>
    </w:p>
    <w:p w14:paraId="4E324041" w14:textId="77777777" w:rsidR="00F469A2" w:rsidRDefault="00F469A2" w:rsidP="00F469A2">
      <w:pPr>
        <w:pStyle w:val="ListParagraph"/>
        <w:numPr>
          <w:ilvl w:val="0"/>
          <w:numId w:val="24"/>
        </w:numPr>
      </w:pPr>
      <w:r>
        <w:t>Both species have been considered as being of low productivity (FAO, 2019).</w:t>
      </w:r>
    </w:p>
    <w:p w14:paraId="78D7E8C2" w14:textId="2C4A9521" w:rsidR="00F469A2" w:rsidRDefault="00F469A2" w:rsidP="00F469A2">
      <w:pPr>
        <w:pStyle w:val="ListParagraph"/>
        <w:numPr>
          <w:ilvl w:val="0"/>
          <w:numId w:val="24"/>
        </w:numPr>
      </w:pPr>
      <w:r>
        <w:t xml:space="preserve">There are likely to be depensation (Allee) effects on population productivity at low population density, primarily driven by low fertilisation success for widely distributed </w:t>
      </w:r>
      <w:r w:rsidRPr="007240A6">
        <w:t>spawning pair</w:t>
      </w:r>
      <w:r>
        <w:t>s</w:t>
      </w:r>
      <w:r w:rsidRPr="007240A6">
        <w:t xml:space="preserve"> </w:t>
      </w:r>
      <w:r>
        <w:t>(a dilution effect) (Uthicke, 2004).</w:t>
      </w:r>
    </w:p>
    <w:p w14:paraId="0E0950F1" w14:textId="1217A1EB" w:rsidR="00F469A2" w:rsidRDefault="00F469A2" w:rsidP="00F469A2">
      <w:pPr>
        <w:pStyle w:val="ListParagraph"/>
        <w:numPr>
          <w:ilvl w:val="0"/>
          <w:numId w:val="24"/>
        </w:numPr>
      </w:pPr>
      <w:r>
        <w:t>Larvae of both species are planktotrophic</w:t>
      </w:r>
      <w:r w:rsidR="00F26641">
        <w:t xml:space="preserve"> (Tanita et al., 2023)</w:t>
      </w:r>
      <w:r>
        <w:t>, which has been described as a “high risk, high reward” strategy which may lead to high variability in recruitment (Uthicke et al., 2009).</w:t>
      </w:r>
    </w:p>
    <w:p w14:paraId="1672E7C6" w14:textId="370A4D83" w:rsidR="00F469A2" w:rsidRDefault="00F469A2" w:rsidP="00F469A2">
      <w:pPr>
        <w:pStyle w:val="ListParagraph"/>
        <w:numPr>
          <w:ilvl w:val="0"/>
          <w:numId w:val="24"/>
        </w:numPr>
      </w:pPr>
      <w:r>
        <w:t xml:space="preserve">Subpopulations on isolated reefs are likely to be primarily self-seeding, and particularly vulnerable to </w:t>
      </w:r>
      <w:r w:rsidR="008C62D3">
        <w:t xml:space="preserve">localised </w:t>
      </w:r>
      <w:r>
        <w:t>overexploitation.</w:t>
      </w:r>
    </w:p>
    <w:p w14:paraId="51324F93" w14:textId="77777777" w:rsidR="00F469A2" w:rsidRDefault="00F469A2" w:rsidP="00F469A2">
      <w:pPr>
        <w:pStyle w:val="ListParagraph"/>
        <w:numPr>
          <w:ilvl w:val="0"/>
          <w:numId w:val="24"/>
        </w:numPr>
      </w:pPr>
      <w:r>
        <w:t xml:space="preserve">Black teatfish is listed as Endangered </w:t>
      </w:r>
      <w:bookmarkStart w:id="51" w:name="_Hlk171244844"/>
      <w:r>
        <w:t xml:space="preserve">under IUCN criteria </w:t>
      </w:r>
      <w:bookmarkEnd w:id="51"/>
      <w:r>
        <w:t xml:space="preserve">because it is commercially exploited throughout its range, the population trend is declining, and IUCN estimates that populations have </w:t>
      </w:r>
      <w:r>
        <w:lastRenderedPageBreak/>
        <w:t xml:space="preserve">declined by 80-90% in at least 50% of the species’ range, and populations are overexploited in at least 30% of its range (Conand et al., 2013a). </w:t>
      </w:r>
    </w:p>
    <w:p w14:paraId="1223A088" w14:textId="1869264E" w:rsidR="00F469A2" w:rsidRDefault="00F469A2" w:rsidP="00F469A2">
      <w:pPr>
        <w:pStyle w:val="ListParagraph"/>
        <w:numPr>
          <w:ilvl w:val="0"/>
          <w:numId w:val="24"/>
        </w:numPr>
      </w:pPr>
      <w:r>
        <w:t>White teatfish are listed</w:t>
      </w:r>
      <w:r w:rsidRPr="00A67C53">
        <w:t xml:space="preserve"> </w:t>
      </w:r>
      <w:r>
        <w:t>under IUCN criteria as Vulnerable</w:t>
      </w:r>
      <w:r w:rsidR="008C62D3">
        <w:t xml:space="preserve"> because it is commercially exploited throughout its range, and is considered to have declined by more than 60-80% in at least 30% of its range, and was considered overexploited in at least 40% of its range </w:t>
      </w:r>
      <w:r>
        <w:t>(Conand et al., 2013b).</w:t>
      </w:r>
      <w:r w:rsidRPr="003E63C4">
        <w:t xml:space="preserve"> </w:t>
      </w:r>
    </w:p>
    <w:p w14:paraId="7BD24AFC" w14:textId="77777777" w:rsidR="00F469A2" w:rsidRDefault="00F469A2" w:rsidP="00F469A2">
      <w:pPr>
        <w:pStyle w:val="ListParagraph"/>
        <w:numPr>
          <w:ilvl w:val="0"/>
          <w:numId w:val="24"/>
        </w:numPr>
      </w:pPr>
      <w:r>
        <w:t xml:space="preserve">Both species </w:t>
      </w:r>
      <w:r w:rsidRPr="004765AA">
        <w:t xml:space="preserve">are reef-associated </w:t>
      </w:r>
      <w:r>
        <w:t>(</w:t>
      </w:r>
      <w:r w:rsidRPr="004765AA">
        <w:t>Purcell et al., 20</w:t>
      </w:r>
      <w:r>
        <w:t xml:space="preserve">23a) </w:t>
      </w:r>
      <w:r w:rsidRPr="004765AA">
        <w:t>and will be impacted by declining reef health</w:t>
      </w:r>
      <w:r>
        <w:t xml:space="preserve"> associated with a range of pressures, including climate change (Hughes et al. 2018; see above)</w:t>
      </w:r>
      <w:r w:rsidRPr="004765AA">
        <w:t>.</w:t>
      </w:r>
    </w:p>
    <w:p w14:paraId="30ACF224" w14:textId="77777777" w:rsidR="00F469A2" w:rsidRPr="009A24E3" w:rsidRDefault="00F469A2" w:rsidP="00F469A2">
      <w:pPr>
        <w:rPr>
          <w:i/>
          <w:iCs/>
        </w:rPr>
      </w:pPr>
      <w:r w:rsidRPr="009A24E3">
        <w:rPr>
          <w:i/>
          <w:iCs/>
        </w:rPr>
        <w:t xml:space="preserve">Factors reducing </w:t>
      </w:r>
      <w:r>
        <w:rPr>
          <w:i/>
          <w:iCs/>
        </w:rPr>
        <w:t>i</w:t>
      </w:r>
      <w:r w:rsidRPr="009A24E3">
        <w:rPr>
          <w:i/>
          <w:iCs/>
        </w:rPr>
        <w:t>nherent vulnerability</w:t>
      </w:r>
    </w:p>
    <w:p w14:paraId="75D21FB3" w14:textId="620C51E3" w:rsidR="00F469A2" w:rsidRDefault="00F469A2" w:rsidP="00F469A2">
      <w:pPr>
        <w:pStyle w:val="ListParagraph"/>
        <w:numPr>
          <w:ilvl w:val="0"/>
          <w:numId w:val="25"/>
        </w:numPr>
      </w:pPr>
      <w:r>
        <w:t>Both species have a broad geographical range globally (Conand et al., 2013a;</w:t>
      </w:r>
      <w:r w:rsidRPr="00F30620">
        <w:t xml:space="preserve"> </w:t>
      </w:r>
      <w:r>
        <w:t xml:space="preserve">2013b), and within Australian waters (see above). </w:t>
      </w:r>
    </w:p>
    <w:p w14:paraId="191700F4" w14:textId="77777777" w:rsidR="00F469A2" w:rsidRDefault="00F469A2" w:rsidP="00F469A2">
      <w:pPr>
        <w:pStyle w:val="ListParagraph"/>
        <w:numPr>
          <w:ilvl w:val="0"/>
          <w:numId w:val="25"/>
        </w:numPr>
      </w:pPr>
      <w:r>
        <w:t>Both species appear to be resilient to local extirpation, even in heavily exploited fisheries (Prescott et al., 2017; FAO, 2019).</w:t>
      </w:r>
    </w:p>
    <w:p w14:paraId="228C4BE9" w14:textId="64043E11" w:rsidR="00F469A2" w:rsidRDefault="00F469A2" w:rsidP="00F469A2">
      <w:pPr>
        <w:pStyle w:val="ListParagraph"/>
        <w:numPr>
          <w:ilvl w:val="0"/>
          <w:numId w:val="25"/>
        </w:numPr>
      </w:pPr>
      <w:r>
        <w:t xml:space="preserve">There are </w:t>
      </w:r>
      <w:r w:rsidRPr="0007242B">
        <w:t xml:space="preserve">some examples of recovery </w:t>
      </w:r>
      <w:r>
        <w:t xml:space="preserve">of </w:t>
      </w:r>
      <w:r w:rsidRPr="0007242B">
        <w:t>overfished teatfish stocks</w:t>
      </w:r>
      <w:r>
        <w:t xml:space="preserve"> (FAO, 2019; Knuckey and Koopman, 2016; </w:t>
      </w:r>
      <w:r w:rsidRPr="0007242B">
        <w:t>Helidoniotis</w:t>
      </w:r>
      <w:r>
        <w:t>, 2021a; Murphy et al., 2024)</w:t>
      </w:r>
    </w:p>
    <w:p w14:paraId="7B48F71E" w14:textId="1B99276E" w:rsidR="00F469A2" w:rsidRDefault="00F469A2" w:rsidP="00F469A2">
      <w:pPr>
        <w:pStyle w:val="ListParagraph"/>
        <w:numPr>
          <w:ilvl w:val="0"/>
          <w:numId w:val="25"/>
        </w:numPr>
      </w:pPr>
      <w:r>
        <w:t>Juveniles are very cryptic and rarely observed – offering protection from fishing for juvenile year classes (</w:t>
      </w:r>
      <w:r w:rsidR="00C152AD">
        <w:t xml:space="preserve">Uthicke, 2004a; </w:t>
      </w:r>
      <w:r>
        <w:t>Prescott et al., 2013; CITES, 2019</w:t>
      </w:r>
      <w:r w:rsidR="00616D39">
        <w:t xml:space="preserve">; </w:t>
      </w:r>
      <w:r w:rsidR="00616D39" w:rsidRPr="006345E1">
        <w:t>Burgy</w:t>
      </w:r>
      <w:r w:rsidR="00616D39">
        <w:t xml:space="preserve"> and </w:t>
      </w:r>
      <w:r w:rsidR="00616D39" w:rsidRPr="006345E1">
        <w:t>Purcell, 2024</w:t>
      </w:r>
      <w:r>
        <w:t>).</w:t>
      </w:r>
    </w:p>
    <w:p w14:paraId="393D330F" w14:textId="0407C2A2" w:rsidR="00F469A2" w:rsidRDefault="00F469A2" w:rsidP="00F469A2">
      <w:pPr>
        <w:pStyle w:val="ListParagraph"/>
        <w:numPr>
          <w:ilvl w:val="0"/>
          <w:numId w:val="25"/>
        </w:numPr>
      </w:pPr>
      <w:r>
        <w:t>White teatfish inhabits deeper reef habitats so is less susceptible to fishing (Murphy et al, 2021b</w:t>
      </w:r>
      <w:r w:rsidR="007E12B8">
        <w:t>)</w:t>
      </w:r>
      <w:r w:rsidR="00065130">
        <w:t xml:space="preserve"> though this protection will be reduced in fisheries that utilise underwater breathing apparatus (Purcell et al., 2014).</w:t>
      </w:r>
    </w:p>
    <w:p w14:paraId="7BDC9558" w14:textId="6B99127E" w:rsidR="00F469A2" w:rsidRDefault="00F469A2" w:rsidP="00F469A2">
      <w:pPr>
        <w:pStyle w:val="ListParagraph"/>
        <w:numPr>
          <w:ilvl w:val="0"/>
          <w:numId w:val="25"/>
        </w:numPr>
      </w:pPr>
      <w:r>
        <w:t xml:space="preserve">There is unlikely to be </w:t>
      </w:r>
      <w:r w:rsidR="009D57FA">
        <w:t xml:space="preserve">ongoing </w:t>
      </w:r>
      <w:r>
        <w:t>significant i</w:t>
      </w:r>
      <w:r w:rsidRPr="003408F2">
        <w:t>llegal, unreported and unregulated</w:t>
      </w:r>
      <w:r>
        <w:t xml:space="preserve"> (IUU) fishing for teatfish species in Australian fisheries (this report).</w:t>
      </w:r>
    </w:p>
    <w:bookmarkEnd w:id="50"/>
    <w:p w14:paraId="1552227A" w14:textId="0D7491B9" w:rsidR="00F469A2" w:rsidRDefault="00F469A2" w:rsidP="00F469A2">
      <w:r w:rsidRPr="00396EA7">
        <w:t xml:space="preserve">Black teatfish are very susceptible to overexploitation, inhabit the shallow reef that is most susceptible to </w:t>
      </w:r>
      <w:r w:rsidR="009D57FA">
        <w:t xml:space="preserve">exogenous </w:t>
      </w:r>
      <w:r w:rsidRPr="00396EA7">
        <w:t>impacts (including climate change) and can take some time to recover</w:t>
      </w:r>
      <w:r w:rsidR="00616D39">
        <w:t xml:space="preserve"> from heavy depletion</w:t>
      </w:r>
      <w:r w:rsidRPr="00396EA7">
        <w:t>, therefore a</w:t>
      </w:r>
      <w:r w:rsidR="009D57FA">
        <w:t>n</w:t>
      </w:r>
      <w:r w:rsidRPr="00396EA7">
        <w:t xml:space="preserve"> assessment of the Inherent Vulnerability of ‘high’ </w:t>
      </w:r>
      <w:r>
        <w:t xml:space="preserve">for Black teatfish in Australian waters </w:t>
      </w:r>
      <w:r w:rsidRPr="00396EA7">
        <w:t xml:space="preserve">is warranted. </w:t>
      </w:r>
    </w:p>
    <w:p w14:paraId="585A5B6F" w14:textId="516FC6AB" w:rsidR="00F469A2" w:rsidRDefault="00F469A2" w:rsidP="00F469A2">
      <w:r w:rsidRPr="00396EA7">
        <w:t xml:space="preserve">White teatfish, </w:t>
      </w:r>
      <w:r w:rsidR="00616D39">
        <w:t>likely</w:t>
      </w:r>
      <w:r w:rsidRPr="00396EA7">
        <w:t xml:space="preserve"> has a lower inherent vulnerability than Black teatfish – being less susceptible to fishing pressure </w:t>
      </w:r>
      <w:r>
        <w:t xml:space="preserve">due to </w:t>
      </w:r>
      <w:r w:rsidRPr="00396EA7">
        <w:t xml:space="preserve">the potential for relatively high density of White teatfish in deep reef habitats (Murphy et al., 2021a; Koopman and Knuckey, 2021), </w:t>
      </w:r>
      <w:r w:rsidR="009D57FA">
        <w:t xml:space="preserve">and exogenous perturbations, therefore </w:t>
      </w:r>
      <w:r w:rsidRPr="00396EA7">
        <w:t>a precautionary assessment of the Inherent Vulnerability of ‘medium-high’ for White teatfish in</w:t>
      </w:r>
      <w:r>
        <w:t xml:space="preserve"> Australian waters </w:t>
      </w:r>
      <w:r w:rsidRPr="00396EA7">
        <w:t xml:space="preserve">is recommended. </w:t>
      </w:r>
    </w:p>
    <w:p w14:paraId="79E5C4BD" w14:textId="1DD72634" w:rsidR="00B74CC6" w:rsidRDefault="00B74CC6" w:rsidP="00B74CC6"/>
    <w:p w14:paraId="37C2D62C" w14:textId="228FB34A" w:rsidR="009A5DB6" w:rsidRDefault="009A5DB6" w:rsidP="003A0BB0">
      <w:pPr>
        <w:pStyle w:val="Heading1"/>
      </w:pPr>
      <w:bookmarkStart w:id="52" w:name="_Toc189055270"/>
      <w:r>
        <w:lastRenderedPageBreak/>
        <w:t>Trade</w:t>
      </w:r>
      <w:bookmarkEnd w:id="52"/>
    </w:p>
    <w:p w14:paraId="25C7B2B5" w14:textId="77777777" w:rsidR="0046498F" w:rsidRDefault="0046498F" w:rsidP="0046498F">
      <w:r>
        <w:t>S</w:t>
      </w:r>
      <w:r w:rsidRPr="0058051F">
        <w:t xml:space="preserve">ea cucumbers have been consumed </w:t>
      </w:r>
      <w:r>
        <w:t xml:space="preserve">in China </w:t>
      </w:r>
      <w:r w:rsidRPr="0058051F">
        <w:t>for centuries, if not millennia, with records of sea cucumber consumption in the Three Kingdoms Period (220-280 AD), and the South Song Dynasty (1127-1279 AD), where they were served at banquets and special occasions in royal households</w:t>
      </w:r>
      <w:bookmarkStart w:id="53" w:name="_Hlk141185762"/>
      <w:r>
        <w:t xml:space="preserve"> </w:t>
      </w:r>
      <w:r w:rsidRPr="0058051F">
        <w:t>(</w:t>
      </w:r>
      <w:r>
        <w:t xml:space="preserve">Choo, 2008; </w:t>
      </w:r>
      <w:r w:rsidRPr="0058051F">
        <w:t>Yang and Bai, 2015</w:t>
      </w:r>
      <w:bookmarkEnd w:id="53"/>
      <w:r w:rsidRPr="0058051F">
        <w:t>)</w:t>
      </w:r>
      <w:r>
        <w:t xml:space="preserve">. </w:t>
      </w:r>
    </w:p>
    <w:p w14:paraId="791FA0E4" w14:textId="77777777" w:rsidR="0046498F" w:rsidRDefault="0046498F" w:rsidP="0046498F">
      <w:r w:rsidRPr="0058051F">
        <w:t xml:space="preserve">The Chinese have long believed that sea cucumbers have medicinal properties that can help with a variety of ailments, including kidney and blood disorders, “yang strengthening” and </w:t>
      </w:r>
      <w:r>
        <w:t xml:space="preserve">male sexual vitality, </w:t>
      </w:r>
      <w:r w:rsidRPr="0058051F">
        <w:t xml:space="preserve">“yin invigorating”, and are traditionally called ‘haishen’, meaning </w:t>
      </w:r>
      <w:r w:rsidRPr="0058051F">
        <w:rPr>
          <w:i/>
          <w:iCs/>
        </w:rPr>
        <w:t>sea ginseng</w:t>
      </w:r>
      <w:r w:rsidRPr="0058051F">
        <w:t xml:space="preserve"> (</w:t>
      </w:r>
      <w:r>
        <w:t xml:space="preserve">Choo, 2008; </w:t>
      </w:r>
      <w:r w:rsidRPr="0058051F">
        <w:t>Fu et al., 2016). The recognition of sea cucumbers as having medicinal qualities dates back to at least the Ming Dynasty (1368-1644), when sea cucumbers were documented in various texts including the</w:t>
      </w:r>
      <w:r w:rsidRPr="00855D8E">
        <w:t xml:space="preserve"> "Compendium of Materia Medica" </w:t>
      </w:r>
      <w:r>
        <w:t xml:space="preserve">by </w:t>
      </w:r>
      <w:r w:rsidRPr="00855D8E">
        <w:t>Li Shizhen</w:t>
      </w:r>
      <w:r>
        <w:t xml:space="preserve">, written in </w:t>
      </w:r>
      <w:r w:rsidRPr="00855D8E">
        <w:t>1578</w:t>
      </w:r>
      <w:r>
        <w:t xml:space="preserve"> (</w:t>
      </w:r>
      <w:r w:rsidRPr="00BB544E">
        <w:t>Liu</w:t>
      </w:r>
      <w:r>
        <w:t xml:space="preserve"> et al., 2015)</w:t>
      </w:r>
      <w:r w:rsidRPr="00855D8E">
        <w:t>.</w:t>
      </w:r>
    </w:p>
    <w:p w14:paraId="4D6C548C" w14:textId="7F17293B" w:rsidR="0046498F" w:rsidRDefault="0046498F" w:rsidP="0046498F">
      <w:r>
        <w:t>Its consumption became more mainstream at the beginning of the Quing dynasty (1636-1912 AD) (Dai, 2002; Sutherland, 2000) and demand remained high until a virtual hiatus in the late 1930s as the Sino-Chinese war, the Second World War and Chinese civil war decreased consumption dramatically (Kinch et al., 2008; Anderson et al., 2011), though low level consumption still occurred through Hong Kong and Singapore (</w:t>
      </w:r>
      <w:r w:rsidRPr="006E5BC9">
        <w:t>Sachithananthan, 1994</w:t>
      </w:r>
      <w:r>
        <w:t>). This hiatus in demand lasted until the 1970s, when a re-opening China and increased affluence saw consumption and imports increase dramatically (Choo, 2008; Anderson et al., 2011).</w:t>
      </w:r>
    </w:p>
    <w:p w14:paraId="4FF4534E" w14:textId="091F74D4" w:rsidR="0046498F" w:rsidRDefault="0046498F" w:rsidP="0046498F">
      <w:r>
        <w:t xml:space="preserve">Historical records show that China was importing up to 60 t of dried sea cucumber per year from the mid-1700s, increasing to over 1,000 t per year by the mid-1800s, and peaking at 2,650 t in 1896, most of this originating from Southeast Asia (Dai, 2002). As for the modern sea cucumber trade, imports of dried sea cucumbers into Hong Kong peaked around 1990 at about 8,000 t and have been declining slightly since then (Choo, 2008; To et al. 2018; </w:t>
      </w:r>
      <w:fldSimple w:instr=" REF _Ref150347389 ">
        <w:r w:rsidR="007B2A78">
          <w:t xml:space="preserve">Figure </w:t>
        </w:r>
        <w:r w:rsidR="007B2A78">
          <w:rPr>
            <w:noProof/>
          </w:rPr>
          <w:t>7</w:t>
        </w:r>
      </w:fldSimple>
      <w:r>
        <w:t>). However, a clear understanding of trade volumes is significantly hampered by the lack of transparency in trade between exporting and importing countries, Hong Kong SAR, Vietnam and mainland China (FAO, 2019). Other significant trade destinations for sea cucumber include Taiwan, Malaysia, South Korea, and the United States (CITES, 2019, 2022; FAO, 2022). It is estimated that more than 90% of Australian sea cucumbers are annually exported to Hong Kong (AFMA, 2023). Other Australian export destinations include Canada, Malaysia, Singapore and the United States (AFMA, 2023).</w:t>
      </w:r>
    </w:p>
    <w:p w14:paraId="241EC711" w14:textId="4F68EA57" w:rsidR="009A5DB6" w:rsidRDefault="009A5DB6" w:rsidP="009A5DB6"/>
    <w:p w14:paraId="4335A249" w14:textId="404C1032" w:rsidR="009A5DB6" w:rsidRDefault="00A1330F" w:rsidP="002503E8">
      <w:pPr>
        <w:keepNext/>
      </w:pPr>
      <w:r>
        <w:rPr>
          <w:noProof/>
        </w:rPr>
        <mc:AlternateContent>
          <mc:Choice Requires="wps">
            <w:drawing>
              <wp:anchor distT="0" distB="0" distL="114300" distR="114300" simplePos="0" relativeHeight="251671040" behindDoc="0" locked="0" layoutInCell="1" allowOverlap="1" wp14:anchorId="41162B9A" wp14:editId="438A30CC">
                <wp:simplePos x="0" y="0"/>
                <wp:positionH relativeFrom="column">
                  <wp:posOffset>3194685</wp:posOffset>
                </wp:positionH>
                <wp:positionV relativeFrom="paragraph">
                  <wp:posOffset>1899285</wp:posOffset>
                </wp:positionV>
                <wp:extent cx="2743200" cy="95250"/>
                <wp:effectExtent l="0" t="0" r="0" b="0"/>
                <wp:wrapNone/>
                <wp:docPr id="1774335941" name="Rectangle 1"/>
                <wp:cNvGraphicFramePr/>
                <a:graphic xmlns:a="http://schemas.openxmlformats.org/drawingml/2006/main">
                  <a:graphicData uri="http://schemas.microsoft.com/office/word/2010/wordprocessingShape">
                    <wps:wsp>
                      <wps:cNvSpPr/>
                      <wps:spPr>
                        <a:xfrm>
                          <a:off x="0" y="0"/>
                          <a:ext cx="2743200" cy="952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F3B313" id="Rectangle 1" o:spid="_x0000_s1026" style="position:absolute;margin-left:251.55pt;margin-top:149.55pt;width:3in;height:7.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" fillcolor="white [3212]" stroked="f" strokeweight="1pt"/>
            </w:pict>
          </mc:Fallback>
        </mc:AlternateContent>
      </w:r>
      <w:r w:rsidR="009A5DB6" w:rsidRPr="00DC20C8">
        <w:rPr>
          <w:noProof/>
        </w:rPr>
        <w:drawing>
          <wp:inline distT="0" distB="0" distL="0" distR="0" wp14:anchorId="6FFC744C" wp14:editId="3315F8AD">
            <wp:extent cx="3254126" cy="2052000"/>
            <wp:effectExtent l="0" t="0" r="3810" b="5715"/>
            <wp:docPr id="1380554281" name="Picture 1380554281" descr="A graph of a number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554281" name="Picture 1380554281" descr="A graph of a number of different colored lines&#10;&#10;Description automatically generated with medium confidence"/>
                    <pic:cNvPicPr/>
                  </pic:nvPicPr>
                  <pic:blipFill rotWithShape="1">
                    <a:blip r:embed="rId27"/>
                    <a:srcRect t="16018" b="4545"/>
                    <a:stretch/>
                  </pic:blipFill>
                  <pic:spPr bwMode="auto">
                    <a:xfrm>
                      <a:off x="0" y="0"/>
                      <a:ext cx="3254126" cy="2052000"/>
                    </a:xfrm>
                    <a:prstGeom prst="rect">
                      <a:avLst/>
                    </a:prstGeom>
                    <a:ln>
                      <a:noFill/>
                    </a:ln>
                    <a:extLst>
                      <a:ext uri="{53640926-AAD7-44D8-BBD7-CCE9431645EC}">
                        <a14:shadowObscured xmlns:a14="http://schemas.microsoft.com/office/drawing/2010/main"/>
                      </a:ext>
                    </a:extLst>
                  </pic:spPr>
                </pic:pic>
              </a:graphicData>
            </a:graphic>
          </wp:inline>
        </w:drawing>
      </w:r>
      <w:r w:rsidR="002503E8" w:rsidRPr="002503E8">
        <w:rPr>
          <w:noProof/>
        </w:rPr>
        <w:drawing>
          <wp:inline distT="0" distB="0" distL="0" distR="0" wp14:anchorId="3A7BB676" wp14:editId="66EE0E26">
            <wp:extent cx="2619922" cy="1685925"/>
            <wp:effectExtent l="0" t="0" r="9525" b="0"/>
            <wp:docPr id="2066787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l="1961" t="2730" r="2223" b="-5629"/>
                    <a:stretch/>
                  </pic:blipFill>
                  <pic:spPr bwMode="auto">
                    <a:xfrm>
                      <a:off x="0" y="0"/>
                      <a:ext cx="2620800" cy="1686490"/>
                    </a:xfrm>
                    <a:prstGeom prst="rect">
                      <a:avLst/>
                    </a:prstGeom>
                    <a:noFill/>
                    <a:ln>
                      <a:noFill/>
                    </a:ln>
                    <a:extLst>
                      <a:ext uri="{53640926-AAD7-44D8-BBD7-CCE9431645EC}">
                        <a14:shadowObscured xmlns:a14="http://schemas.microsoft.com/office/drawing/2010/main"/>
                      </a:ext>
                    </a:extLst>
                  </pic:spPr>
                </pic:pic>
              </a:graphicData>
            </a:graphic>
          </wp:inline>
        </w:drawing>
      </w:r>
    </w:p>
    <w:p w14:paraId="7B9FA4A8" w14:textId="054E4CEA" w:rsidR="009A5DB6" w:rsidRDefault="009A5DB6" w:rsidP="000B5A6E">
      <w:pPr>
        <w:pStyle w:val="Caption"/>
      </w:pPr>
      <w:bookmarkStart w:id="54" w:name="_Ref150347389"/>
      <w:bookmarkStart w:id="55" w:name="_Toc189055292"/>
      <w:r>
        <w:t xml:space="preserve">Figure </w:t>
      </w:r>
      <w:fldSimple w:instr=" SEQ Figure \* ARABIC ">
        <w:r w:rsidR="007B2A78">
          <w:rPr>
            <w:noProof/>
          </w:rPr>
          <w:t>7</w:t>
        </w:r>
      </w:fldSimple>
      <w:bookmarkEnd w:id="54"/>
      <w:r>
        <w:t>. Sea cucumber (dried, salted and in brine) imports and re-exports from Hong Kong</w:t>
      </w:r>
      <w:r w:rsidR="00A2354C">
        <w:t xml:space="preserve"> for 1976 to 2004 </w:t>
      </w:r>
      <w:r w:rsidR="007E3B22">
        <w:t>(</w:t>
      </w:r>
      <w:r w:rsidR="00A2354C">
        <w:t>left</w:t>
      </w:r>
      <w:r w:rsidR="007E3B22">
        <w:t>,</w:t>
      </w:r>
      <w:r w:rsidR="00A2354C">
        <w:t xml:space="preserve"> </w:t>
      </w:r>
      <w:bookmarkStart w:id="56" w:name="_Hlk150347364"/>
      <w:r>
        <w:t>Choo</w:t>
      </w:r>
      <w:r w:rsidR="00A2354C">
        <w:t>,</w:t>
      </w:r>
      <w:r>
        <w:t xml:space="preserve"> 2008)</w:t>
      </w:r>
      <w:bookmarkEnd w:id="56"/>
      <w:r w:rsidR="00A2354C">
        <w:t xml:space="preserve">, and 2012 to 2016 </w:t>
      </w:r>
      <w:r w:rsidR="007E3B22">
        <w:t>(</w:t>
      </w:r>
      <w:r w:rsidR="00A2354C">
        <w:t>right</w:t>
      </w:r>
      <w:r w:rsidR="00690290">
        <w:t xml:space="preserve">, </w:t>
      </w:r>
      <w:r w:rsidR="00690290" w:rsidRPr="00690290">
        <w:t>To, 2018</w:t>
      </w:r>
      <w:r w:rsidR="007E3B22">
        <w:t>).</w:t>
      </w:r>
      <w:bookmarkEnd w:id="55"/>
    </w:p>
    <w:p w14:paraId="1C22C309" w14:textId="44E3C3D9" w:rsidR="008A0B93" w:rsidRDefault="00C26A4E" w:rsidP="008A0B93">
      <w:r>
        <w:t xml:space="preserve">Black teatfish </w:t>
      </w:r>
      <w:r w:rsidR="009A5DB6">
        <w:t xml:space="preserve">is </w:t>
      </w:r>
      <w:r w:rsidR="00536D2F">
        <w:t>common in</w:t>
      </w:r>
      <w:r w:rsidR="009A5DB6">
        <w:t xml:space="preserve"> the sea cucumber </w:t>
      </w:r>
      <w:r w:rsidR="009A5DB6" w:rsidRPr="004D6D50">
        <w:t xml:space="preserve">international trade, </w:t>
      </w:r>
      <w:r w:rsidR="00596181">
        <w:t xml:space="preserve">and is considered a high value product </w:t>
      </w:r>
      <w:r w:rsidR="009A5DB6">
        <w:t>(</w:t>
      </w:r>
      <w:r w:rsidR="000F58AA">
        <w:t xml:space="preserve">Purcell et al., 2018; </w:t>
      </w:r>
      <w:r w:rsidR="009A5DB6">
        <w:t xml:space="preserve">FAO, </w:t>
      </w:r>
      <w:r w:rsidR="008A0B93">
        <w:t>2019</w:t>
      </w:r>
      <w:r w:rsidR="009A5DB6">
        <w:t>)</w:t>
      </w:r>
      <w:r w:rsidR="009A5DB6" w:rsidRPr="004D6D50">
        <w:t xml:space="preserve">. </w:t>
      </w:r>
      <w:r w:rsidR="00596181" w:rsidRPr="004C4E84">
        <w:t xml:space="preserve">Prices in </w:t>
      </w:r>
      <w:r w:rsidR="00596181">
        <w:t>the premium Hong Kong wh</w:t>
      </w:r>
      <w:r w:rsidR="00596181" w:rsidRPr="004C4E84">
        <w:t>olesale market averaged US</w:t>
      </w:r>
      <w:r>
        <w:t>$</w:t>
      </w:r>
      <w:r w:rsidR="00596181">
        <w:t>180</w:t>
      </w:r>
      <w:r w:rsidR="00596181" w:rsidRPr="004C4E84">
        <w:t xml:space="preserve"> per kg (and max </w:t>
      </w:r>
      <w:r w:rsidR="00596181">
        <w:t>US</w:t>
      </w:r>
      <w:r>
        <w:t>$</w:t>
      </w:r>
      <w:r w:rsidR="00596181">
        <w:t xml:space="preserve"> 230</w:t>
      </w:r>
      <w:r w:rsidR="00596181" w:rsidRPr="004C4E84">
        <w:t xml:space="preserve">) in 2011 (Purcell, 2014), and had increased to </w:t>
      </w:r>
      <w:r w:rsidR="00596181">
        <w:t>US</w:t>
      </w:r>
      <w:r>
        <w:t>$</w:t>
      </w:r>
      <w:r w:rsidR="00596181">
        <w:t>208</w:t>
      </w:r>
      <w:r w:rsidR="00596181" w:rsidRPr="004C4E84">
        <w:t xml:space="preserve"> per kg (and max </w:t>
      </w:r>
      <w:r>
        <w:t>US$</w:t>
      </w:r>
      <w:r w:rsidR="00596181">
        <w:t>294</w:t>
      </w:r>
      <w:r w:rsidR="00596181" w:rsidRPr="004C4E84">
        <w:t>) in 2016 (Purcell et al., 2018).</w:t>
      </w:r>
      <w:r w:rsidR="00616D39">
        <w:t xml:space="preserve"> </w:t>
      </w:r>
      <w:r w:rsidR="00B2160B">
        <w:t xml:space="preserve">This </w:t>
      </w:r>
      <w:r w:rsidR="00596181">
        <w:t xml:space="preserve">15.6% increase </w:t>
      </w:r>
      <w:r w:rsidR="000F58AA">
        <w:t>compare</w:t>
      </w:r>
      <w:r w:rsidR="00B2160B">
        <w:t>s</w:t>
      </w:r>
      <w:r w:rsidR="000F58AA">
        <w:t xml:space="preserve"> to an average increase of 16.6% across all species </w:t>
      </w:r>
      <w:r w:rsidR="000F58AA">
        <w:lastRenderedPageBreak/>
        <w:t xml:space="preserve">surveyed </w:t>
      </w:r>
      <w:r w:rsidR="00B2160B">
        <w:t>during that perio</w:t>
      </w:r>
      <w:r w:rsidR="00690290">
        <w:t>d</w:t>
      </w:r>
      <w:r w:rsidR="00B2160B">
        <w:t xml:space="preserve"> </w:t>
      </w:r>
      <w:r w:rsidR="000F58AA">
        <w:t>(Purcell et al., 2018)</w:t>
      </w:r>
      <w:r w:rsidR="009A5DB6">
        <w:t xml:space="preserve">. </w:t>
      </w:r>
      <w:r w:rsidR="008A0B93">
        <w:t>There is a particularly strong size-value correlation for Black teatfish (Purcell et al., 2018).</w:t>
      </w:r>
    </w:p>
    <w:p w14:paraId="457D68CE" w14:textId="02E4D094" w:rsidR="00596181" w:rsidRDefault="00C26A4E" w:rsidP="00596181">
      <w:r>
        <w:t xml:space="preserve">White teatfish are </w:t>
      </w:r>
      <w:r w:rsidR="002164DF">
        <w:t xml:space="preserve">also </w:t>
      </w:r>
      <w:r w:rsidR="00596181">
        <w:t xml:space="preserve">common in the sea cucumber </w:t>
      </w:r>
      <w:r w:rsidR="00596181" w:rsidRPr="004D6D50">
        <w:t xml:space="preserve">international trade, </w:t>
      </w:r>
      <w:r>
        <w:t xml:space="preserve">though </w:t>
      </w:r>
      <w:r w:rsidR="002164DF">
        <w:t xml:space="preserve">perhaps </w:t>
      </w:r>
      <w:r>
        <w:t xml:space="preserve">not historically </w:t>
      </w:r>
      <w:r w:rsidR="002164DF">
        <w:t>as important as Black teatfish</w:t>
      </w:r>
      <w:r>
        <w:t xml:space="preserve"> (</w:t>
      </w:r>
      <w:r w:rsidRPr="004C4E84">
        <w:t>Conand, 2013b</w:t>
      </w:r>
      <w:r w:rsidR="00824D54">
        <w:t>; see historical fishing section below</w:t>
      </w:r>
      <w:r>
        <w:t xml:space="preserve">) </w:t>
      </w:r>
      <w:r w:rsidR="00596181">
        <w:t xml:space="preserve">and is </w:t>
      </w:r>
      <w:r>
        <w:t xml:space="preserve">currently </w:t>
      </w:r>
      <w:r w:rsidR="00596181">
        <w:t>considered a high value product (Purcell et al., 2018; FAO, 2019)</w:t>
      </w:r>
      <w:r w:rsidR="00596181" w:rsidRPr="004D6D50">
        <w:t>.</w:t>
      </w:r>
      <w:r w:rsidR="00616D39">
        <w:t xml:space="preserve"> </w:t>
      </w:r>
      <w:r w:rsidR="009A5DB6" w:rsidRPr="004C4E84">
        <w:t xml:space="preserve">Prices in </w:t>
      </w:r>
      <w:r w:rsidR="00596181">
        <w:t>the premium Hong Kong wh</w:t>
      </w:r>
      <w:r w:rsidR="009A5DB6" w:rsidRPr="004C4E84">
        <w:t>olesale market averaged US</w:t>
      </w:r>
      <w:r>
        <w:t>$</w:t>
      </w:r>
      <w:r w:rsidR="00596181">
        <w:t>192</w:t>
      </w:r>
      <w:r w:rsidR="009A5DB6" w:rsidRPr="004C4E84">
        <w:t xml:space="preserve"> per kg (and max </w:t>
      </w:r>
      <w:r w:rsidR="00200F81">
        <w:t>US</w:t>
      </w:r>
      <w:r>
        <w:t>$</w:t>
      </w:r>
      <w:r w:rsidR="00596181">
        <w:t>274</w:t>
      </w:r>
      <w:r w:rsidR="009A5DB6" w:rsidRPr="004C4E84">
        <w:t xml:space="preserve">) in 2011 (Purcell, 2014), and had increased to </w:t>
      </w:r>
      <w:r w:rsidR="00200F81">
        <w:t>US</w:t>
      </w:r>
      <w:r>
        <w:t>$</w:t>
      </w:r>
      <w:r w:rsidR="00596181">
        <w:t>219</w:t>
      </w:r>
      <w:r w:rsidR="009A5DB6" w:rsidRPr="004C4E84">
        <w:t xml:space="preserve"> per kg (and max </w:t>
      </w:r>
      <w:r w:rsidR="00596181">
        <w:t>401</w:t>
      </w:r>
      <w:r w:rsidR="009A5DB6" w:rsidRPr="004C4E84">
        <w:t>) in 2016 (Purcell et al., 2018).</w:t>
      </w:r>
      <w:r w:rsidR="00616D39">
        <w:t xml:space="preserve"> </w:t>
      </w:r>
      <w:r w:rsidR="00596181">
        <w:t>This 14.1% increase compares to an average increase of 16.6% across all species surveyed during that period (Purcell et al., 2018).</w:t>
      </w:r>
    </w:p>
    <w:p w14:paraId="206D5102" w14:textId="054DFC23" w:rsidR="00824D54" w:rsidRDefault="00824D54" w:rsidP="00596181">
      <w:r>
        <w:t>Strong market demand is likely to continue for both species into the future, but with some uncertainty related to consumption trends, and economic and geopolitical trade considerations.</w:t>
      </w:r>
    </w:p>
    <w:p w14:paraId="07914418" w14:textId="6CA52703" w:rsidR="003A0BB0" w:rsidRDefault="00F94C64" w:rsidP="003A0BB0">
      <w:pPr>
        <w:pStyle w:val="Heading1"/>
      </w:pPr>
      <w:bookmarkStart w:id="57" w:name="_Toc189055271"/>
      <w:r>
        <w:lastRenderedPageBreak/>
        <w:t>Sea cucumber</w:t>
      </w:r>
      <w:r w:rsidR="00660133">
        <w:t xml:space="preserve"> fisher</w:t>
      </w:r>
      <w:r w:rsidR="004E443D">
        <w:t>ies</w:t>
      </w:r>
      <w:bookmarkEnd w:id="57"/>
    </w:p>
    <w:p w14:paraId="75A5F707" w14:textId="03ACDC6F" w:rsidR="00D85BE6" w:rsidRDefault="003A0BB0" w:rsidP="00D85BE6">
      <w:pPr>
        <w:pStyle w:val="Heading2"/>
      </w:pPr>
      <w:bookmarkStart w:id="58" w:name="_Toc189055272"/>
      <w:r>
        <w:t xml:space="preserve">History of </w:t>
      </w:r>
      <w:r w:rsidR="009A5DB6">
        <w:t>fish</w:t>
      </w:r>
      <w:r>
        <w:t>ing</w:t>
      </w:r>
      <w:bookmarkEnd w:id="58"/>
    </w:p>
    <w:p w14:paraId="64480FB1" w14:textId="1113D678" w:rsidR="0046498F" w:rsidRDefault="0046498F" w:rsidP="0046498F">
      <w:pPr>
        <w:spacing w:before="240"/>
      </w:pPr>
      <w:bookmarkStart w:id="59" w:name="_Hlk149759234"/>
      <w:r>
        <w:t xml:space="preserve">Sea cucumbers have been harvested to supply the Chinese market, where they were </w:t>
      </w:r>
      <w:r w:rsidRPr="0058051F">
        <w:t>traditionally called ‘haishen’</w:t>
      </w:r>
      <w:r>
        <w:t xml:space="preserve"> </w:t>
      </w:r>
      <w:r w:rsidRPr="0058051F">
        <w:t xml:space="preserve">(meaning </w:t>
      </w:r>
      <w:r w:rsidRPr="0058051F">
        <w:rPr>
          <w:i/>
          <w:iCs/>
        </w:rPr>
        <w:t>sea ginseng</w:t>
      </w:r>
      <w:r>
        <w:t xml:space="preserve">) since at least the </w:t>
      </w:r>
      <w:r w:rsidRPr="0058051F">
        <w:t>Three Kingdoms Period (220-280 AD) (</w:t>
      </w:r>
      <w:r>
        <w:t xml:space="preserve">Choo, 2008; </w:t>
      </w:r>
      <w:r w:rsidRPr="0058051F">
        <w:t>Yang and Bai, 2015</w:t>
      </w:r>
      <w:r>
        <w:t xml:space="preserve">). Initially, the demand was met by local Chinese coastal fisheries, particularly Hainan in southern China (mostly tropical species), and </w:t>
      </w:r>
      <w:r w:rsidRPr="007017B4">
        <w:t>Liaodong Peninsula</w:t>
      </w:r>
      <w:r>
        <w:t xml:space="preserve"> in the north (primarily for the temperate </w:t>
      </w:r>
      <w:r w:rsidRPr="007017B4">
        <w:rPr>
          <w:i/>
          <w:iCs/>
        </w:rPr>
        <w:t>A</w:t>
      </w:r>
      <w:r>
        <w:rPr>
          <w:i/>
          <w:iCs/>
        </w:rPr>
        <w:t>po</w:t>
      </w:r>
      <w:r w:rsidRPr="007017B4">
        <w:rPr>
          <w:i/>
          <w:iCs/>
        </w:rPr>
        <w:t>stic</w:t>
      </w:r>
      <w:r>
        <w:rPr>
          <w:i/>
          <w:iCs/>
        </w:rPr>
        <w:t>h</w:t>
      </w:r>
      <w:r w:rsidRPr="007017B4">
        <w:rPr>
          <w:i/>
          <w:iCs/>
        </w:rPr>
        <w:t>opus jap</w:t>
      </w:r>
      <w:r>
        <w:rPr>
          <w:i/>
          <w:iCs/>
        </w:rPr>
        <w:t>o</w:t>
      </w:r>
      <w:r w:rsidRPr="007017B4">
        <w:rPr>
          <w:i/>
          <w:iCs/>
        </w:rPr>
        <w:t>nicus</w:t>
      </w:r>
      <w:r>
        <w:t xml:space="preserve">) (Akamine, 2024). As the coastal fisheries came under pressure in the late fifteenth century, </w:t>
      </w:r>
      <w:r w:rsidRPr="008509F8">
        <w:rPr>
          <w:i/>
          <w:iCs/>
        </w:rPr>
        <w:t>A. japonicus</w:t>
      </w:r>
      <w:r>
        <w:t xml:space="preserve"> was sourced from further afield, including Japan, the Korena Peninsula and current day eastern Russia (</w:t>
      </w:r>
      <w:r w:rsidRPr="00EF4FA2">
        <w:t>Akamine 2001</w:t>
      </w:r>
      <w:r>
        <w:t>; 2024</w:t>
      </w:r>
      <w:r w:rsidRPr="00EF4FA2">
        <w:t xml:space="preserve">; </w:t>
      </w:r>
      <w:r w:rsidRPr="0062221A">
        <w:t>Kalashniko</w:t>
      </w:r>
      <w:r>
        <w:t>v, 2024</w:t>
      </w:r>
      <w:r w:rsidRPr="00EF4FA2">
        <w:t>)</w:t>
      </w:r>
      <w:r>
        <w:t>.</w:t>
      </w:r>
    </w:p>
    <w:p w14:paraId="3B8ED829" w14:textId="77777777" w:rsidR="0046498F" w:rsidRDefault="0046498F" w:rsidP="0046498F">
      <w:pPr>
        <w:spacing w:before="240"/>
      </w:pPr>
      <w:r>
        <w:t>Fisheries for tropical species were established along the Malay Peninsular</w:t>
      </w:r>
      <w:r w:rsidRPr="00457731">
        <w:t xml:space="preserve"> </w:t>
      </w:r>
      <w:r>
        <w:t xml:space="preserve">by the late 1600s, where the name </w:t>
      </w:r>
      <w:r w:rsidRPr="00B2406B">
        <w:rPr>
          <w:i/>
          <w:iCs/>
        </w:rPr>
        <w:t>trepang</w:t>
      </w:r>
      <w:r>
        <w:t xml:space="preserve"> was likely derived (Sumner, 1981), with the Philippines and east Indonesia, including modern day West Papua Province, being well established by the early </w:t>
      </w:r>
      <w:r w:rsidRPr="00DA65FD">
        <w:t>17</w:t>
      </w:r>
      <w:r>
        <w:t>00</w:t>
      </w:r>
      <w:r w:rsidRPr="00DA65FD">
        <w:t>s (</w:t>
      </w:r>
      <w:r>
        <w:t xml:space="preserve">Dai, 2002; </w:t>
      </w:r>
      <w:r w:rsidRPr="00DA65FD">
        <w:t>Adhuri, 2013)</w:t>
      </w:r>
      <w:r>
        <w:t>.</w:t>
      </w:r>
      <w:r w:rsidRPr="00DA65FD">
        <w:t xml:space="preserve"> </w:t>
      </w:r>
      <w:r>
        <w:t>Around this time, Makassar in South Sulawesi became established as somewhat the centre for the sea cucumber trade for much of the southeast Asian region (Akamine, 2001;</w:t>
      </w:r>
      <w:r w:rsidRPr="009C1076">
        <w:t xml:space="preserve"> </w:t>
      </w:r>
      <w:r>
        <w:t xml:space="preserve">Sutherland, 2020), with fishing fleets ranging throughout the region, usually under the direction of, and financed by, local ethnic Chinese traders (Dai, 2002; </w:t>
      </w:r>
      <w:r w:rsidRPr="001F4AAC">
        <w:t>Schwerdtner Máñez</w:t>
      </w:r>
      <w:r>
        <w:t xml:space="preserve"> and</w:t>
      </w:r>
      <w:r w:rsidRPr="001F4AAC">
        <w:t xml:space="preserve"> Ferse, 2010</w:t>
      </w:r>
      <w:r>
        <w:t>). Macassan based fishers eventually roved as far south as the northern Australian coastline and were regular visitors by the mid-1700s (</w:t>
      </w:r>
      <w:r w:rsidRPr="00636948">
        <w:t>Macknight 1976</w:t>
      </w:r>
      <w:r>
        <w:t xml:space="preserve">; </w:t>
      </w:r>
      <w:r w:rsidRPr="001F4AAC">
        <w:t>Schwerdtner Máñez</w:t>
      </w:r>
      <w:r>
        <w:t xml:space="preserve"> and</w:t>
      </w:r>
      <w:r w:rsidRPr="001F4AAC">
        <w:t xml:space="preserve"> Ferse, 2010</w:t>
      </w:r>
      <w:r>
        <w:t>) (see section below).</w:t>
      </w:r>
    </w:p>
    <w:bookmarkEnd w:id="59"/>
    <w:p w14:paraId="72077515" w14:textId="40E21F80" w:rsidR="0046498F" w:rsidRDefault="0046498F" w:rsidP="0046498F">
      <w:r>
        <w:t xml:space="preserve">Exploitation of sea cucumbers in the western Pacific began in the late 1700s through to the mid-1800s, generally suppling directly to the Chinese market (Kinch et al., 2008). This began in Polynesia (e.g. French Polynesia – 1810); Micronesia (e.g. </w:t>
      </w:r>
      <w:r w:rsidRPr="003C7209">
        <w:t xml:space="preserve">Northern Mariana Islands </w:t>
      </w:r>
      <w:r>
        <w:t xml:space="preserve">– 1830s) and then Melanesia (e.g. Milne Bay PNG, GBR - early to mid 1800s), often following European and Japanese colonial expansion (Kinch et al., 2008; and citations therein). Apart from this export industry, there was, and still is, some local subsistence fishing for sea cucumbers in the region that probably dates back hundreds if not thousands of years, </w:t>
      </w:r>
      <w:r w:rsidRPr="00B5645D">
        <w:t>including in (modern day) Palau, Wallis Futura and French Polynesia (Kinch et al</w:t>
      </w:r>
      <w:r>
        <w:t>.</w:t>
      </w:r>
      <w:r w:rsidRPr="00B5645D">
        <w:t>, 2008).</w:t>
      </w:r>
      <w:r>
        <w:t xml:space="preserve"> The western Pacific trade conferred the name </w:t>
      </w:r>
      <w:r w:rsidRPr="0013444E">
        <w:rPr>
          <w:i/>
          <w:iCs/>
        </w:rPr>
        <w:t>bêche-de-mer</w:t>
      </w:r>
      <w:r w:rsidRPr="00CE1C05">
        <w:t xml:space="preserve"> </w:t>
      </w:r>
      <w:r>
        <w:t xml:space="preserve">originally as the French derivation of the </w:t>
      </w:r>
      <w:r w:rsidRPr="00CE1C05">
        <w:t xml:space="preserve">Portuguese </w:t>
      </w:r>
      <w:r w:rsidRPr="0013444E">
        <w:rPr>
          <w:i/>
          <w:iCs/>
        </w:rPr>
        <w:t>bicho do mar</w:t>
      </w:r>
      <w:r w:rsidRPr="00CE1C05">
        <w:t xml:space="preserve"> (literally </w:t>
      </w:r>
      <w:r>
        <w:t>“</w:t>
      </w:r>
      <w:r w:rsidRPr="00CE1C05">
        <w:t>sea animal</w:t>
      </w:r>
      <w:r>
        <w:t>” or “</w:t>
      </w:r>
      <w:r w:rsidRPr="008D06CF">
        <w:t>sea worm</w:t>
      </w:r>
      <w:r>
        <w:t>”</w:t>
      </w:r>
      <w:r w:rsidRPr="00CE1C05">
        <w:t>)</w:t>
      </w:r>
      <w:r>
        <w:t xml:space="preserve"> (</w:t>
      </w:r>
      <w:r w:rsidRPr="0013444E">
        <w:t>Saville-Kent, 1893</w:t>
      </w:r>
      <w:r>
        <w:t xml:space="preserve">; </w:t>
      </w:r>
      <w:r w:rsidR="007C7BC8">
        <w:t>Merrium-Webster, 2024</w:t>
      </w:r>
      <w:r>
        <w:t xml:space="preserve">) - while also being </w:t>
      </w:r>
      <w:r w:rsidRPr="00CE1C05">
        <w:t>French</w:t>
      </w:r>
      <w:r>
        <w:t xml:space="preserve"> for “spade of the sea”.</w:t>
      </w:r>
    </w:p>
    <w:p w14:paraId="23239ED1" w14:textId="77777777" w:rsidR="0046498F" w:rsidRDefault="0046498F" w:rsidP="0046498F">
      <w:r>
        <w:t xml:space="preserve">The east Australian sea cucumber fishery began in the early 1800s by Sydney based fishers, initially trading through east Indonesia (mostly Batavia), but by the 1870s exporting directly to China as an extension of the west Pacific maritime trade (see section below). </w:t>
      </w:r>
    </w:p>
    <w:p w14:paraId="289078E4" w14:textId="77777777" w:rsidR="0046498F" w:rsidRDefault="0046498F" w:rsidP="0046498F">
      <w:r>
        <w:t xml:space="preserve">Sea cucumber fisheries in the subcontinent (e.g. India and Sri Lanka) and the Seychelles were active by the late 1800s, with other east African countries reported fisheries soon after (Conand, 2008; and citations therein). There is no evidence of any substantive fishing in the Americas or Atlantic Ocean during this early global fishery phase, apart from some nascent efforts in the </w:t>
      </w:r>
      <w:r w:rsidRPr="006C4365">
        <w:t xml:space="preserve">Northeast Pacific </w:t>
      </w:r>
      <w:r>
        <w:t>(</w:t>
      </w:r>
      <w:r w:rsidRPr="00A25A8C">
        <w:t>Toral-Granda,</w:t>
      </w:r>
      <w:r>
        <w:t xml:space="preserve"> </w:t>
      </w:r>
      <w:r w:rsidRPr="00A25A8C">
        <w:t>2008</w:t>
      </w:r>
      <w:r>
        <w:t>; Hamel and Mercier, 2008;</w:t>
      </w:r>
      <w:r w:rsidRPr="00D42799">
        <w:t xml:space="preserve"> </w:t>
      </w:r>
      <w:r w:rsidRPr="006C4365">
        <w:t>Frierson</w:t>
      </w:r>
      <w:r>
        <w:t xml:space="preserve"> et al., 2024). </w:t>
      </w:r>
    </w:p>
    <w:p w14:paraId="497A88D0" w14:textId="77777777" w:rsidR="0046498F" w:rsidRDefault="0046498F" w:rsidP="0046498F">
      <w:r>
        <w:t xml:space="preserve">Sea cucumber fisheries throughout the Asia-Pacific region generally increased rapidly during the early 1800s and production remained at high levels throughout the 1800s (Dai, 2002; </w:t>
      </w:r>
      <w:r w:rsidRPr="001F4AAC">
        <w:t>Schwerdtner Máñez</w:t>
      </w:r>
      <w:r>
        <w:t xml:space="preserve"> and</w:t>
      </w:r>
      <w:r w:rsidRPr="001F4AAC">
        <w:t xml:space="preserve"> Ferse, 2010</w:t>
      </w:r>
      <w:r>
        <w:t>) even though some regions, particularly in the Western Pacific, had started to decline, partly at least due to over-harvesting (Kinch et al., 2008; Mitchell, 1994). Production declined to low levels for much of the early part of the twentieth century (Conand, 1990), before the outbreak of the Sino-Japanese War, World War II and the Chinese Civil War saw a dramatic decline in demand and thereafter production (Kinch et al., 2008; Anderson et al., 2011).</w:t>
      </w:r>
    </w:p>
    <w:p w14:paraId="0E6F76D2" w14:textId="77777777" w:rsidR="0046498F" w:rsidRPr="00B0745B" w:rsidRDefault="0046498F" w:rsidP="0046498F">
      <w:pPr>
        <w:pStyle w:val="Heading3"/>
      </w:pPr>
      <w:r w:rsidRPr="00B0745B">
        <w:lastRenderedPageBreak/>
        <w:t>Catches</w:t>
      </w:r>
    </w:p>
    <w:p w14:paraId="67CAFBE9" w14:textId="77777777" w:rsidR="0046498F" w:rsidRDefault="0046498F" w:rsidP="0046498F">
      <w:r>
        <w:t>Records of target species in the early global fisheries are relatively scant. However, the Japanese sea cucumber (</w:t>
      </w:r>
      <w:r w:rsidRPr="00F44087">
        <w:rPr>
          <w:i/>
          <w:iCs/>
        </w:rPr>
        <w:t>Apostichopus japonicus</w:t>
      </w:r>
      <w:r>
        <w:t xml:space="preserve">) was an early favoured species, and remains so to this day (Purcell et al., 2018), especially in northern China (Akamine, 2024). The earliest recorded tropical species (pre-1800) included Black teatfish and black </w:t>
      </w:r>
      <w:r w:rsidRPr="0021380B">
        <w:rPr>
          <w:i/>
          <w:iCs/>
        </w:rPr>
        <w:t>Actinopyga</w:t>
      </w:r>
      <w:r>
        <w:t xml:space="preserve"> species (</w:t>
      </w:r>
      <w:r w:rsidRPr="001F4AAC">
        <w:t>Schwerdtner Máñez</w:t>
      </w:r>
      <w:r>
        <w:t xml:space="preserve"> and</w:t>
      </w:r>
      <w:r w:rsidRPr="001F4AAC">
        <w:t xml:space="preserve"> Ferse, 2010</w:t>
      </w:r>
      <w:r>
        <w:t xml:space="preserve">). But by the early 1800s up to 15 species were being traded out of Makassar in south Sulawesi, including White teatfish, Sandfish and Prickly redfish (Crawfurd 1820 – cited in Akamine, 2001; </w:t>
      </w:r>
      <w:r w:rsidRPr="001F4AAC">
        <w:t>Schwerdtner Máñez</w:t>
      </w:r>
      <w:r>
        <w:t xml:space="preserve"> and</w:t>
      </w:r>
      <w:r w:rsidRPr="001F4AAC">
        <w:t xml:space="preserve"> Ferse, 2010</w:t>
      </w:r>
      <w:r>
        <w:t xml:space="preserve">). By the early 1900s, 112 different local names were applied to traded sea cucumbers (Koningsberger, 1904 – cited in </w:t>
      </w:r>
      <w:r w:rsidRPr="001F4AAC">
        <w:t>Schwerdtner Máñez</w:t>
      </w:r>
      <w:r>
        <w:t xml:space="preserve"> and</w:t>
      </w:r>
      <w:r w:rsidRPr="001F4AAC">
        <w:t xml:space="preserve"> Ferse, 2010</w:t>
      </w:r>
      <w:r>
        <w:t>), although identical species were named differently according to the product length and place of harvest, making the interpretation of historical references frustratingly difficult (Sutherland, 2000; Akamine, 2001). Even in early records, the size of the animal and the skills used in processing were recognised and important determinants of value (</w:t>
      </w:r>
      <w:r w:rsidRPr="001F4AAC">
        <w:t>Schwerdtner Máñez</w:t>
      </w:r>
      <w:r>
        <w:t xml:space="preserve"> and</w:t>
      </w:r>
      <w:r w:rsidRPr="001F4AAC">
        <w:t xml:space="preserve"> Ferse, 2010</w:t>
      </w:r>
      <w:r>
        <w:t>).</w:t>
      </w:r>
    </w:p>
    <w:p w14:paraId="009DFB8A" w14:textId="030EE3DD" w:rsidR="00D15411" w:rsidRDefault="0013444E" w:rsidP="00E709E2">
      <w:r>
        <w:t xml:space="preserve">Black teatfish </w:t>
      </w:r>
      <w:r w:rsidR="006F2A8A">
        <w:t xml:space="preserve">was </w:t>
      </w:r>
      <w:r>
        <w:t xml:space="preserve">an early favoured species </w:t>
      </w:r>
      <w:r w:rsidR="006F2A8A">
        <w:t>exported from Makassar in the early 1700</w:t>
      </w:r>
      <w:r w:rsidR="0090290A">
        <w:t>’</w:t>
      </w:r>
      <w:r w:rsidR="006F2A8A">
        <w:t xml:space="preserve">s, whereas White teatfish were not positively identified </w:t>
      </w:r>
      <w:r w:rsidR="00E86486">
        <w:t xml:space="preserve">in the catch </w:t>
      </w:r>
      <w:r w:rsidR="006F2A8A">
        <w:t xml:space="preserve">until the </w:t>
      </w:r>
      <w:r w:rsidR="0090290A">
        <w:t>early 1800’s</w:t>
      </w:r>
      <w:r w:rsidR="006F2A8A">
        <w:t xml:space="preserve"> (</w:t>
      </w:r>
      <w:r w:rsidR="0090290A">
        <w:t>though</w:t>
      </w:r>
      <w:r w:rsidR="006F2A8A">
        <w:t xml:space="preserve"> it is possible that some White teatfish were mixed in with Black teatfish </w:t>
      </w:r>
      <w:r w:rsidR="0090290A">
        <w:t>before then) (</w:t>
      </w:r>
      <w:r w:rsidR="0090290A" w:rsidRPr="001F4AAC">
        <w:t>Schwerdtner Máñez</w:t>
      </w:r>
      <w:r w:rsidR="0090290A">
        <w:t xml:space="preserve"> and</w:t>
      </w:r>
      <w:r w:rsidR="0090290A" w:rsidRPr="001F4AAC">
        <w:t xml:space="preserve"> Ferse, 2010</w:t>
      </w:r>
      <w:r w:rsidR="0090290A">
        <w:t>; and citations therein)</w:t>
      </w:r>
      <w:r w:rsidR="001F0D80">
        <w:t>.</w:t>
      </w:r>
    </w:p>
    <w:p w14:paraId="4AC3746F" w14:textId="76693680" w:rsidR="00D85BE6" w:rsidRDefault="00D85BE6" w:rsidP="00D85BE6">
      <w:pPr>
        <w:pStyle w:val="Heading2"/>
      </w:pPr>
      <w:bookmarkStart w:id="60" w:name="_Toc189055273"/>
      <w:r>
        <w:t>The modern global fishery</w:t>
      </w:r>
      <w:bookmarkEnd w:id="60"/>
    </w:p>
    <w:p w14:paraId="3816DA15" w14:textId="0CF3F4E3" w:rsidR="0046498F" w:rsidRDefault="0046498F" w:rsidP="0046498F">
      <w:r>
        <w:t>After a hiatus in global demand and supply following the Second World War (with the exception of Japanese sea cucumber fisheries in Japan and Korea which resumed soon after WWII (FAO, 2023), and low level consumption in Hong Kong and Singapore throughout the 1950s (</w:t>
      </w:r>
      <w:r w:rsidRPr="006E5BC9">
        <w:t>Sachithananthan, 1994</w:t>
      </w:r>
      <w:r>
        <w:t xml:space="preserve">), global sea cucumber fisheries rapidly re-emerged after about 1980 in response to increasing demand from a resurgent China (Anderson et al., 2011; Eriksson et al., 2015; Fabinyi et al., 2017). Many central west Pacific nations </w:t>
      </w:r>
      <w:r w:rsidRPr="00E46C05">
        <w:t>(</w:t>
      </w:r>
      <w:r>
        <w:t>e.g. Tonga, New Caledonia, Fiji, PNG, Solomon Islands) had established sea cucumber fisheries by the mid-1980s (</w:t>
      </w:r>
      <w:r>
        <w:fldChar w:fldCharType="begin"/>
      </w:r>
      <w:r>
        <w:instrText xml:space="preserve"> REF _Ref151101390 \h </w:instrText>
      </w:r>
      <w:r>
        <w:fldChar w:fldCharType="separate"/>
      </w:r>
      <w:r w:rsidR="007B2A78">
        <w:t xml:space="preserve">Figure </w:t>
      </w:r>
      <w:r w:rsidR="007B2A78">
        <w:rPr>
          <w:noProof/>
        </w:rPr>
        <w:t>8</w:t>
      </w:r>
      <w:r>
        <w:fldChar w:fldCharType="end"/>
      </w:r>
      <w:r w:rsidRPr="00E46C05">
        <w:t>)</w:t>
      </w:r>
      <w:r>
        <w:t xml:space="preserve">, though some were intermittently active even in the late 1960’s (Shelley, 1985; Preston, 1993). The Western Indian Ocean region and Indonesia were also early fishery development areas during the mid-1980s </w:t>
      </w:r>
      <w:r w:rsidRPr="00E46C05">
        <w:t>(</w:t>
      </w:r>
      <w:r>
        <w:fldChar w:fldCharType="begin"/>
      </w:r>
      <w:r>
        <w:instrText xml:space="preserve"> REF _Ref151101390 \h </w:instrText>
      </w:r>
      <w:r>
        <w:fldChar w:fldCharType="separate"/>
      </w:r>
      <w:r w:rsidR="007B2A78">
        <w:t xml:space="preserve">Figure </w:t>
      </w:r>
      <w:r w:rsidR="007B2A78">
        <w:rPr>
          <w:noProof/>
        </w:rPr>
        <w:t>8</w:t>
      </w:r>
      <w:r>
        <w:fldChar w:fldCharType="end"/>
      </w:r>
      <w:r w:rsidRPr="00E46C05">
        <w:t>)</w:t>
      </w:r>
      <w:r>
        <w:t xml:space="preserve">. While production waned in the central west Pacific and west Indian Ocean, fisheries in the Atlantic and Pacific northwest (primary for temperate species such as </w:t>
      </w:r>
      <w:r w:rsidRPr="00AB4D11">
        <w:rPr>
          <w:i/>
          <w:iCs/>
        </w:rPr>
        <w:t>Cucumaria frondosa</w:t>
      </w:r>
      <w:r>
        <w:t xml:space="preserve">, </w:t>
      </w:r>
      <w:r w:rsidRPr="00AB4D11">
        <w:rPr>
          <w:i/>
          <w:iCs/>
        </w:rPr>
        <w:t>C. japonica</w:t>
      </w:r>
      <w:r>
        <w:t xml:space="preserve"> and </w:t>
      </w:r>
      <w:r w:rsidRPr="00403530">
        <w:rPr>
          <w:i/>
          <w:iCs/>
        </w:rPr>
        <w:t>Apostichopus</w:t>
      </w:r>
      <w:r>
        <w:rPr>
          <w:i/>
          <w:iCs/>
        </w:rPr>
        <w:t xml:space="preserve"> </w:t>
      </w:r>
      <w:r w:rsidRPr="00AB4D11">
        <w:rPr>
          <w:i/>
          <w:iCs/>
        </w:rPr>
        <w:t>californicus</w:t>
      </w:r>
      <w:r>
        <w:t xml:space="preserve">) increased production </w:t>
      </w:r>
      <w:r w:rsidRPr="00E46C05">
        <w:t>(</w:t>
      </w:r>
      <w:r>
        <w:fldChar w:fldCharType="begin"/>
      </w:r>
      <w:r>
        <w:instrText xml:space="preserve"> REF _Ref151101390 \h </w:instrText>
      </w:r>
      <w:r>
        <w:fldChar w:fldCharType="separate"/>
      </w:r>
      <w:r w:rsidR="007B2A78">
        <w:t xml:space="preserve">Figure </w:t>
      </w:r>
      <w:r w:rsidR="007B2A78">
        <w:rPr>
          <w:noProof/>
        </w:rPr>
        <w:t>8</w:t>
      </w:r>
      <w:r>
        <w:fldChar w:fldCharType="end"/>
      </w:r>
      <w:r>
        <w:t xml:space="preserve">; Hamel and Mercier, 2008). </w:t>
      </w:r>
    </w:p>
    <w:p w14:paraId="466D6A7D" w14:textId="77777777" w:rsidR="0046498F" w:rsidRDefault="0046498F" w:rsidP="0046498F">
      <w:pPr>
        <w:pStyle w:val="Heading3"/>
      </w:pPr>
      <w:r>
        <w:t>Catches</w:t>
      </w:r>
    </w:p>
    <w:p w14:paraId="6E9B14D9" w14:textId="77777777" w:rsidR="0046498F" w:rsidRDefault="0046498F" w:rsidP="0046498F">
      <w:r>
        <w:t>Early in this expansion phase, the higher value and easily accessible species were targeted, including Black teatfish, Sandfish, and Prickly redfish (Kinch et al., 2008), but other species followed as the initial target species were depleted. The fisheries during this time were often poorly regulated and many sea cucumber populations were rapidly overexploited (Purcell et al., 2013), especially in developing countries (Barclay et al., 2019) and for high value species (Purcell et al., 2014).</w:t>
      </w:r>
    </w:p>
    <w:p w14:paraId="4E7BC80F" w14:textId="103BEB8B" w:rsidR="0046498F" w:rsidRPr="00C26776" w:rsidRDefault="0046498F" w:rsidP="0046498F">
      <w:r>
        <w:t xml:space="preserve">As mentioned above, recent fishery production for lower value but high volume temperate species such as </w:t>
      </w:r>
      <w:r w:rsidRPr="00AB4D11">
        <w:rPr>
          <w:i/>
          <w:iCs/>
        </w:rPr>
        <w:t>Cucumaria frondosa</w:t>
      </w:r>
      <w:r>
        <w:t xml:space="preserve">, </w:t>
      </w:r>
      <w:r w:rsidRPr="00AB4D11">
        <w:rPr>
          <w:i/>
          <w:iCs/>
        </w:rPr>
        <w:t>C. japonica</w:t>
      </w:r>
      <w:r>
        <w:t xml:space="preserve"> and </w:t>
      </w:r>
      <w:r w:rsidRPr="00403530">
        <w:rPr>
          <w:i/>
          <w:iCs/>
        </w:rPr>
        <w:t>Apostichopus</w:t>
      </w:r>
      <w:r>
        <w:rPr>
          <w:i/>
          <w:iCs/>
        </w:rPr>
        <w:t xml:space="preserve"> </w:t>
      </w:r>
      <w:r w:rsidRPr="00AB4D11">
        <w:rPr>
          <w:i/>
          <w:iCs/>
        </w:rPr>
        <w:t>californicus</w:t>
      </w:r>
      <w:r>
        <w:t xml:space="preserve"> have increased market share significantly (</w:t>
      </w:r>
      <w:fldSimple w:instr=" REF _Ref151101390 ">
        <w:r w:rsidR="007B2A78">
          <w:t xml:space="preserve">Figure </w:t>
        </w:r>
        <w:r w:rsidR="007B2A78">
          <w:rPr>
            <w:noProof/>
          </w:rPr>
          <w:t>8</w:t>
        </w:r>
      </w:fldSimple>
      <w:r>
        <w:t>; Akamine, 2024).</w:t>
      </w:r>
    </w:p>
    <w:p w14:paraId="67CD34BF" w14:textId="77777777" w:rsidR="0046498F" w:rsidRDefault="0046498F" w:rsidP="0046498F"/>
    <w:p w14:paraId="4E43C4B4" w14:textId="77F8B915" w:rsidR="00D54B23" w:rsidRDefault="00AF1A45" w:rsidP="009A5DB6">
      <w:r>
        <w:rPr>
          <w:noProof/>
        </w:rPr>
        <w:lastRenderedPageBreak/>
        <w:drawing>
          <wp:inline distT="0" distB="0" distL="0" distR="0" wp14:anchorId="3CFF0407" wp14:editId="1072D3C1">
            <wp:extent cx="6012000" cy="3271562"/>
            <wp:effectExtent l="0" t="0" r="8255" b="5080"/>
            <wp:docPr id="13561743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l="1881" r="3830"/>
                    <a:stretch/>
                  </pic:blipFill>
                  <pic:spPr bwMode="auto">
                    <a:xfrm>
                      <a:off x="0" y="0"/>
                      <a:ext cx="6012000" cy="3271562"/>
                    </a:xfrm>
                    <a:prstGeom prst="rect">
                      <a:avLst/>
                    </a:prstGeom>
                    <a:noFill/>
                    <a:ln>
                      <a:noFill/>
                    </a:ln>
                    <a:extLst>
                      <a:ext uri="{53640926-AAD7-44D8-BBD7-CCE9431645EC}">
                        <a14:shadowObscured xmlns:a14="http://schemas.microsoft.com/office/drawing/2010/main"/>
                      </a:ext>
                    </a:extLst>
                  </pic:spPr>
                </pic:pic>
              </a:graphicData>
            </a:graphic>
          </wp:inline>
        </w:drawing>
      </w:r>
    </w:p>
    <w:p w14:paraId="79FAC554" w14:textId="7152918B" w:rsidR="00D54B23" w:rsidRDefault="00FA0B37" w:rsidP="000B5A6E">
      <w:pPr>
        <w:pStyle w:val="Caption"/>
      </w:pPr>
      <w:bookmarkStart w:id="61" w:name="_Ref151101390"/>
      <w:bookmarkStart w:id="62" w:name="_Toc189055293"/>
      <w:r>
        <w:t xml:space="preserve">Figure </w:t>
      </w:r>
      <w:fldSimple w:instr=" SEQ Figure \* ARABIC ">
        <w:r w:rsidR="007B2A78">
          <w:rPr>
            <w:noProof/>
          </w:rPr>
          <w:t>8</w:t>
        </w:r>
      </w:fldSimple>
      <w:bookmarkEnd w:id="61"/>
      <w:r>
        <w:t xml:space="preserve">. </w:t>
      </w:r>
      <w:r w:rsidR="00CD5567">
        <w:t xml:space="preserve">Global wild capture production </w:t>
      </w:r>
      <w:r w:rsidR="00BB618F">
        <w:t xml:space="preserve">in metric tonnes (t) </w:t>
      </w:r>
      <w:r w:rsidR="00CD5567">
        <w:t>of dried sea cucumbers between 1950 and 20</w:t>
      </w:r>
      <w:r w:rsidR="00E50622">
        <w:t>2</w:t>
      </w:r>
      <w:r w:rsidR="00AF1A45">
        <w:t>2</w:t>
      </w:r>
      <w:r w:rsidR="00BB618F">
        <w:t>*.</w:t>
      </w:r>
      <w:r w:rsidR="00CD5567">
        <w:t xml:space="preserve"> </w:t>
      </w:r>
      <w:r w:rsidR="00E7082E">
        <w:t xml:space="preserve">Individual regions producing 97% of production </w:t>
      </w:r>
      <w:r w:rsidR="00BB618F">
        <w:t xml:space="preserve">are </w:t>
      </w:r>
      <w:r w:rsidR="00E7082E">
        <w:t xml:space="preserve">shown, with the remainder in “Other” </w:t>
      </w:r>
      <w:r w:rsidR="003D48E9">
        <w:t>(</w:t>
      </w:r>
      <w:r w:rsidR="003D48E9" w:rsidRPr="003D48E9">
        <w:t>FAO</w:t>
      </w:r>
      <w:r w:rsidR="003D48E9">
        <w:t>,</w:t>
      </w:r>
      <w:r w:rsidR="003D48E9" w:rsidRPr="003D48E9">
        <w:t xml:space="preserve"> 2023</w:t>
      </w:r>
      <w:r w:rsidR="003D48E9">
        <w:t>)</w:t>
      </w:r>
      <w:r w:rsidR="00430717">
        <w:t>.</w:t>
      </w:r>
      <w:r w:rsidR="00CD5567">
        <w:t xml:space="preserve"> </w:t>
      </w:r>
      <w:r w:rsidR="0062221A">
        <w:t>Note that production figures are likely to be significant underestimate</w:t>
      </w:r>
      <w:r w:rsidR="00BB618F">
        <w:t>s</w:t>
      </w:r>
      <w:r w:rsidR="0062221A">
        <w:t xml:space="preserve"> for various reasons, </w:t>
      </w:r>
      <w:r w:rsidR="00E047F3">
        <w:t>including</w:t>
      </w:r>
      <w:r w:rsidR="00BB618F">
        <w:t xml:space="preserve"> </w:t>
      </w:r>
      <w:r w:rsidR="0062221A">
        <w:t xml:space="preserve">poor fishery surveillance </w:t>
      </w:r>
      <w:r w:rsidR="00BB618F">
        <w:t xml:space="preserve">and </w:t>
      </w:r>
      <w:r w:rsidR="0062221A">
        <w:t xml:space="preserve">IUU (Tuwo, 2004; </w:t>
      </w:r>
      <w:r w:rsidR="0062221A" w:rsidRPr="0062221A">
        <w:t>Phelps Bondaroff</w:t>
      </w:r>
      <w:r w:rsidR="001C7286">
        <w:t xml:space="preserve"> and </w:t>
      </w:r>
      <w:r w:rsidR="0062221A" w:rsidRPr="0062221A">
        <w:t>Morrow, 2024</w:t>
      </w:r>
      <w:r w:rsidR="0062221A">
        <w:t>)</w:t>
      </w:r>
      <w:r w:rsidR="00BB618F">
        <w:t>.</w:t>
      </w:r>
      <w:r w:rsidR="00BB618F" w:rsidRPr="00BB618F">
        <w:t xml:space="preserve"> </w:t>
      </w:r>
      <w:r w:rsidR="00BB618F">
        <w:t xml:space="preserve">*Excludes Japanese sea cucumber production in </w:t>
      </w:r>
      <w:r w:rsidR="00BB618F" w:rsidRPr="00CD5567">
        <w:t xml:space="preserve">China, Japan, </w:t>
      </w:r>
      <w:r w:rsidR="00BB618F">
        <w:t xml:space="preserve">and </w:t>
      </w:r>
      <w:r w:rsidR="00BB618F" w:rsidRPr="00CD5567">
        <w:t>Korea</w:t>
      </w:r>
      <w:r w:rsidR="00BB618F">
        <w:t>.</w:t>
      </w:r>
      <w:bookmarkEnd w:id="62"/>
    </w:p>
    <w:p w14:paraId="6EB94D6A" w14:textId="487F9D2F" w:rsidR="00D85BE6" w:rsidRDefault="00F94C64" w:rsidP="00D85BE6">
      <w:pPr>
        <w:pStyle w:val="Heading2"/>
      </w:pPr>
      <w:bookmarkStart w:id="63" w:name="_Toc189055274"/>
      <w:r>
        <w:t>History of</w:t>
      </w:r>
      <w:r w:rsidR="00CE03E8">
        <w:t xml:space="preserve"> </w:t>
      </w:r>
      <w:r w:rsidR="00D85BE6">
        <w:t>Australian fisher</w:t>
      </w:r>
      <w:r w:rsidR="00CE03E8">
        <w:t>ies</w:t>
      </w:r>
      <w:bookmarkEnd w:id="63"/>
    </w:p>
    <w:p w14:paraId="02E9F437" w14:textId="3003F2B2" w:rsidR="00D85BE6" w:rsidRDefault="00A85A37" w:rsidP="00CE03E8">
      <w:pPr>
        <w:pStyle w:val="Heading3"/>
      </w:pPr>
      <w:r>
        <w:t xml:space="preserve">The </w:t>
      </w:r>
      <w:r w:rsidR="009A5DB6">
        <w:t>Maccasans</w:t>
      </w:r>
    </w:p>
    <w:p w14:paraId="72ACE180" w14:textId="77777777" w:rsidR="002018E9" w:rsidRDefault="002018E9" w:rsidP="002018E9">
      <w:bookmarkStart w:id="64" w:name="_Hlk173682420"/>
      <w:r>
        <w:t>Sea cucumber fishers associated with Macassar</w:t>
      </w:r>
      <w:r w:rsidRPr="001F0318">
        <w:t xml:space="preserve"> </w:t>
      </w:r>
      <w:r>
        <w:t>o</w:t>
      </w:r>
      <w:r w:rsidRPr="001F0318">
        <w:t>n the island of Sulawesi (</w:t>
      </w:r>
      <w:r>
        <w:t xml:space="preserve">in modern day </w:t>
      </w:r>
      <w:r w:rsidRPr="001F0318">
        <w:t xml:space="preserve">Indonesia) </w:t>
      </w:r>
      <w:r>
        <w:t>likely began visiting the northern Australian coastline in the early 1700’s (</w:t>
      </w:r>
      <w:r w:rsidRPr="00D65B18">
        <w:t>Blair</w:t>
      </w:r>
      <w:r>
        <w:t xml:space="preserve"> and</w:t>
      </w:r>
      <w:r w:rsidRPr="00D65B18">
        <w:t xml:space="preserve"> Hall, </w:t>
      </w:r>
      <w:r>
        <w:t xml:space="preserve">2013; Macknight, 2013), (though Indonesian mariners likely visited even earlier; </w:t>
      </w:r>
      <w:r w:rsidRPr="005B22E8">
        <w:t>Wesley</w:t>
      </w:r>
      <w:r>
        <w:t xml:space="preserve"> et al., 2016), firstly in the </w:t>
      </w:r>
      <w:r w:rsidRPr="00A0428C">
        <w:rPr>
          <w:rFonts w:cs="Apollo MT Std"/>
        </w:rPr>
        <w:t>Kimberley</w:t>
      </w:r>
      <w:r w:rsidRPr="00A52EB2">
        <w:t xml:space="preserve"> </w:t>
      </w:r>
      <w:r>
        <w:t xml:space="preserve">in Western Australia then expanding to the </w:t>
      </w:r>
      <w:r>
        <w:rPr>
          <w:rFonts w:cs="Apollo MT Std"/>
        </w:rPr>
        <w:t>Arnhem Land coast and into</w:t>
      </w:r>
      <w:r>
        <w:t xml:space="preserve"> the Gulf of Carpentaria (</w:t>
      </w:r>
      <w:r w:rsidRPr="002A4C78">
        <w:t>Macknight, 2011</w:t>
      </w:r>
      <w:r>
        <w:t>). The earliest reference to trepang being collected in Australia dates from 1754 when the Dutch authorities in Batavia reported that, as far as they knew, the ‘Southland’ southeast of Timor produced nothing but trepang (sea cucumbers) and wax (</w:t>
      </w:r>
      <w:r w:rsidRPr="00724A7A">
        <w:t>Macknight, 2013</w:t>
      </w:r>
      <w:r>
        <w:t>). T</w:t>
      </w:r>
      <w:r w:rsidRPr="00A24A1B">
        <w:t xml:space="preserve">repang processing </w:t>
      </w:r>
      <w:r>
        <w:t xml:space="preserve">along the north Australian coast </w:t>
      </w:r>
      <w:r w:rsidRPr="00A24A1B">
        <w:t xml:space="preserve">intensified during the late </w:t>
      </w:r>
      <w:r>
        <w:t>1700’s</w:t>
      </w:r>
      <w:r w:rsidRPr="00A24A1B">
        <w:t xml:space="preserve"> </w:t>
      </w:r>
      <w:r>
        <w:t>(</w:t>
      </w:r>
      <w:r w:rsidRPr="00A24A1B">
        <w:t>Wesley</w:t>
      </w:r>
      <w:r>
        <w:t xml:space="preserve"> et al., 2016) </w:t>
      </w:r>
      <w:r w:rsidRPr="00A24A1B">
        <w:t>consistent with the expansion of the Macassan trepang trade</w:t>
      </w:r>
      <w:r>
        <w:t xml:space="preserve"> (</w:t>
      </w:r>
      <w:r w:rsidRPr="001F4AAC">
        <w:t>Schwerdtner Máñez</w:t>
      </w:r>
      <w:r>
        <w:t xml:space="preserve"> and</w:t>
      </w:r>
      <w:r w:rsidRPr="001F4AAC">
        <w:t xml:space="preserve"> Ferse, 2010</w:t>
      </w:r>
      <w:r>
        <w:t xml:space="preserve">) peaking in the early 1800’s with sometimes over 100 </w:t>
      </w:r>
      <w:r w:rsidRPr="009017D4">
        <w:t>praus</w:t>
      </w:r>
      <w:r>
        <w:t xml:space="preserve"> and between 1000 to 2000 fishers visiting annually (Mitchell, 1994; Blair and Hall, 2013). The northern Australian Macassan fishery slowly declined during mid to late 1800’s, ceasing entirely by 1908 (</w:t>
      </w:r>
      <w:r w:rsidRPr="00636948">
        <w:t>Macknight 1976</w:t>
      </w:r>
      <w:r>
        <w:t xml:space="preserve">; Sumner, 1981; Mitchell, 1994).  </w:t>
      </w:r>
    </w:p>
    <w:bookmarkEnd w:id="64"/>
    <w:p w14:paraId="6D53D5D2" w14:textId="77777777" w:rsidR="002018E9" w:rsidRDefault="002018E9" w:rsidP="002018E9">
      <w:r>
        <w:t xml:space="preserve">Well documented encounters with Macassan trepang fishers in northern Australia include Matthew Flinders who encountered a fleet of about 60 Malay (Indonesian) ‘praus’ (perahu) and about 1000 men near Cape Wilberforce in NE Arnhem land in February 1803 (Flinders, 1814; Macknight 1976). Then in </w:t>
      </w:r>
      <w:r w:rsidRPr="00A54EA2">
        <w:t>April 1803</w:t>
      </w:r>
      <w:r>
        <w:t xml:space="preserve">, the French naturalists Peron and Freycinet, on board the vessels </w:t>
      </w:r>
      <w:r w:rsidRPr="002F7856">
        <w:rPr>
          <w:i/>
          <w:iCs/>
        </w:rPr>
        <w:t>Geographe</w:t>
      </w:r>
      <w:r>
        <w:t xml:space="preserve"> and </w:t>
      </w:r>
      <w:r w:rsidRPr="002F7856">
        <w:rPr>
          <w:i/>
          <w:iCs/>
        </w:rPr>
        <w:t>Naturaliste</w:t>
      </w:r>
      <w:r>
        <w:t xml:space="preserve"> under the command of Nicholas Baudin, described meeting a fleet of 24–26 large “Malay” perahus also fishing for trepang off the Northwest Kimberley coast (Peron, 1816). </w:t>
      </w:r>
    </w:p>
    <w:p w14:paraId="443ECFE7" w14:textId="3DBC8156" w:rsidR="002018E9" w:rsidRDefault="002018E9" w:rsidP="002018E9">
      <w:r>
        <w:rPr>
          <w:rFonts w:cs="Apollo MT Std"/>
        </w:rPr>
        <w:t xml:space="preserve">The </w:t>
      </w:r>
      <w:r>
        <w:t xml:space="preserve">two </w:t>
      </w:r>
      <w:r>
        <w:rPr>
          <w:rFonts w:cs="Apollo MT Std"/>
        </w:rPr>
        <w:t>main areas fished by this industry was the Arnhem Land coast and adjacent areas</w:t>
      </w:r>
      <w:r w:rsidRPr="00A52EB2">
        <w:t xml:space="preserve"> </w:t>
      </w:r>
      <w:r>
        <w:t>in the NT</w:t>
      </w:r>
      <w:r>
        <w:rPr>
          <w:rFonts w:cs="Apollo MT Std"/>
        </w:rPr>
        <w:t xml:space="preserve"> and extending to </w:t>
      </w:r>
      <w:r>
        <w:t>Groote Eylandt and down into the bottom of the Gulf of Carpentaria</w:t>
      </w:r>
      <w:r>
        <w:rPr>
          <w:rFonts w:cs="Apollo MT Std"/>
        </w:rPr>
        <w:t>—</w:t>
      </w:r>
      <w:r w:rsidRPr="00DC7058">
        <w:t xml:space="preserve"> </w:t>
      </w:r>
      <w:r>
        <w:t xml:space="preserve">an </w:t>
      </w:r>
      <w:r w:rsidRPr="00B109C7">
        <w:t xml:space="preserve">area they called </w:t>
      </w:r>
      <w:r w:rsidR="007C7BC8">
        <w:t>‘</w:t>
      </w:r>
      <w:r w:rsidRPr="00DC7058">
        <w:rPr>
          <w:i/>
          <w:iCs/>
        </w:rPr>
        <w:t>Marege</w:t>
      </w:r>
      <w:r w:rsidR="007C7BC8">
        <w:rPr>
          <w:i/>
          <w:iCs/>
        </w:rPr>
        <w:t>’</w:t>
      </w:r>
      <w:r>
        <w:t xml:space="preserve"> </w:t>
      </w:r>
      <w:r>
        <w:rPr>
          <w:rFonts w:cs="Apollo MT Std"/>
        </w:rPr>
        <w:t>—</w:t>
      </w:r>
      <w:r w:rsidRPr="00DC7058">
        <w:t xml:space="preserve"> </w:t>
      </w:r>
      <w:r w:rsidRPr="00A0428C">
        <w:rPr>
          <w:rFonts w:cs="Apollo MT Std"/>
        </w:rPr>
        <w:t>and</w:t>
      </w:r>
      <w:r>
        <w:rPr>
          <w:rFonts w:cs="Apollo MT Std"/>
        </w:rPr>
        <w:t xml:space="preserve"> </w:t>
      </w:r>
      <w:r w:rsidRPr="00A0428C">
        <w:rPr>
          <w:rFonts w:cs="Apollo MT Std"/>
        </w:rPr>
        <w:t>the Kimberley</w:t>
      </w:r>
      <w:r w:rsidRPr="00A52EB2">
        <w:t xml:space="preserve"> </w:t>
      </w:r>
      <w:r>
        <w:t xml:space="preserve">in Western Australia which they called </w:t>
      </w:r>
      <w:r w:rsidR="007C7BC8">
        <w:t>‘</w:t>
      </w:r>
      <w:r w:rsidRPr="00DC7058">
        <w:rPr>
          <w:rFonts w:cs="Apollo MT Std"/>
          <w:i/>
          <w:iCs/>
        </w:rPr>
        <w:t>Kayu Jawa</w:t>
      </w:r>
      <w:r w:rsidR="007C7BC8">
        <w:rPr>
          <w:rFonts w:cs="Apollo MT Std"/>
          <w:i/>
          <w:iCs/>
        </w:rPr>
        <w:t>’</w:t>
      </w:r>
      <w:r>
        <w:rPr>
          <w:rFonts w:cs="Apollo MT Std"/>
        </w:rPr>
        <w:t xml:space="preserve"> (</w:t>
      </w:r>
      <w:r w:rsidRPr="00724A7A">
        <w:t>Macknight, 2013</w:t>
      </w:r>
      <w:r>
        <w:t xml:space="preserve">; Adhuri, 2013; </w:t>
      </w:r>
      <w:r w:rsidRPr="00D65B18">
        <w:t>Blair</w:t>
      </w:r>
      <w:r>
        <w:t xml:space="preserve"> and</w:t>
      </w:r>
      <w:r w:rsidRPr="00D65B18">
        <w:t xml:space="preserve"> Hall, </w:t>
      </w:r>
      <w:r>
        <w:t xml:space="preserve">2013). They also fished the offshore Timor Sea reefs and islands (e.g. </w:t>
      </w:r>
      <w:r w:rsidRPr="00D65B18">
        <w:t xml:space="preserve">Ashmore </w:t>
      </w:r>
      <w:r w:rsidRPr="00D65B18">
        <w:lastRenderedPageBreak/>
        <w:t>Reef, Scott Reef, Seringapatam</w:t>
      </w:r>
      <w:r>
        <w:t xml:space="preserve"> </w:t>
      </w:r>
      <w:r w:rsidRPr="00D65B18">
        <w:t>Reef, Cartier Island</w:t>
      </w:r>
      <w:r>
        <w:t>) probably well before the northern Australian mainland fisheries (Fox and Sen, 2002).</w:t>
      </w:r>
    </w:p>
    <w:p w14:paraId="38BA9913" w14:textId="77777777" w:rsidR="002018E9" w:rsidRDefault="002018E9" w:rsidP="002018E9">
      <w:r w:rsidRPr="00D0109B">
        <w:t xml:space="preserve">Northern Australia </w:t>
      </w:r>
      <w:r>
        <w:t xml:space="preserve">most likely </w:t>
      </w:r>
      <w:r w:rsidRPr="00D0109B">
        <w:t xml:space="preserve">became the southernmost limit of </w:t>
      </w:r>
      <w:r>
        <w:t xml:space="preserve">the Macassan </w:t>
      </w:r>
      <w:r w:rsidRPr="00D0109B">
        <w:t>trade</w:t>
      </w:r>
      <w:r>
        <w:t xml:space="preserve"> (</w:t>
      </w:r>
      <w:r w:rsidRPr="00D65B18">
        <w:t>Blair</w:t>
      </w:r>
      <w:r>
        <w:t xml:space="preserve"> and</w:t>
      </w:r>
      <w:r w:rsidRPr="00D65B18">
        <w:t xml:space="preserve"> Hall, </w:t>
      </w:r>
      <w:r>
        <w:t>2013).</w:t>
      </w:r>
      <w:r w:rsidRPr="00716E4F">
        <w:t xml:space="preserve"> </w:t>
      </w:r>
      <w:r>
        <w:t>Despite their activities being reasonably well documented, t</w:t>
      </w:r>
      <w:r w:rsidRPr="00A0428C">
        <w:t>here are no accounts of the</w:t>
      </w:r>
      <w:r>
        <w:t xml:space="preserve"> Macassans v</w:t>
      </w:r>
      <w:r w:rsidRPr="00A0428C">
        <w:t>isiting the Torres Strait or east Australian coast</w:t>
      </w:r>
      <w:r>
        <w:t>,</w:t>
      </w:r>
      <w:r w:rsidRPr="00A0428C">
        <w:t xml:space="preserve"> and it is doubtful they did in any substantial way, as sailing through the Torres Strait would have been full of dangers from currents</w:t>
      </w:r>
      <w:r>
        <w:t xml:space="preserve"> and</w:t>
      </w:r>
      <w:r w:rsidRPr="00A0428C">
        <w:t xml:space="preserve"> reefs, </w:t>
      </w:r>
      <w:r>
        <w:t>to</w:t>
      </w:r>
      <w:r w:rsidRPr="00A0428C">
        <w:t xml:space="preserve"> hostile Cape York and Torres Strait indigenous communities</w:t>
      </w:r>
      <w:r>
        <w:t xml:space="preserve"> </w:t>
      </w:r>
      <w:r w:rsidRPr="00A0428C">
        <w:t>(</w:t>
      </w:r>
      <w:r w:rsidRPr="00FC6FB3">
        <w:t>Bolton</w:t>
      </w:r>
      <w:r w:rsidRPr="00A0428C">
        <w:t>, 1970).</w:t>
      </w:r>
    </w:p>
    <w:p w14:paraId="698F44AB" w14:textId="77777777" w:rsidR="002018E9" w:rsidRPr="00636948" w:rsidRDefault="002018E9" w:rsidP="002018E9">
      <w:r>
        <w:t>The emergence of an Australian-based trepang industry in the northern Australian region in the 1870s led to pressure to restrict the Macassans; and in 1882, Macassan vessels were required to pay for an annual licence and customs duties were levied on the exported catch (Adhuri, 2013). This led to a decline in the numbers of visiting Macassan boats until it was finally closed by the South Australian Government after the 1906–07 season (</w:t>
      </w:r>
      <w:r w:rsidRPr="00636948">
        <w:t>Macknight 1976</w:t>
      </w:r>
      <w:r>
        <w:t xml:space="preserve">; Sumner, 1981). Still, sporadic visits to parts of the north Australian coast, particularly to the north-west or Kimberley coast, continued (Sumner, 1981), as well as regular visits to the offshore reefs that now form the Timor Sea MOU Box fishery, now fished by traditional Indonesian fishers (Fox and Sen, 2002). </w:t>
      </w:r>
    </w:p>
    <w:p w14:paraId="3EB7739B" w14:textId="194CAF24" w:rsidR="00215A08" w:rsidRPr="00503295" w:rsidRDefault="00215A08" w:rsidP="00503295">
      <w:pPr>
        <w:pStyle w:val="Heading4"/>
      </w:pPr>
      <w:r w:rsidRPr="00503295">
        <w:t>Catches</w:t>
      </w:r>
    </w:p>
    <w:p w14:paraId="5F89C389" w14:textId="77777777" w:rsidR="002018E9" w:rsidRDefault="002018E9" w:rsidP="002018E9">
      <w:r>
        <w:t xml:space="preserve">There is some uncertainty regarding the main species in the catch of the northern Australian Macassan fishery. Flinders, in his encounter with the Macassan fleet in NE Arhem land, recorded two sea cucumber vernacular names: </w:t>
      </w:r>
      <w:r w:rsidRPr="007D43F2">
        <w:rPr>
          <w:i/>
          <w:iCs/>
        </w:rPr>
        <w:t>koro</w:t>
      </w:r>
      <w:r>
        <w:rPr>
          <w:rStyle w:val="FootnoteReference"/>
        </w:rPr>
        <w:footnoteReference w:id="1"/>
      </w:r>
      <w:r>
        <w:t xml:space="preserve"> and </w:t>
      </w:r>
      <w:r w:rsidRPr="007D43F2">
        <w:rPr>
          <w:i/>
          <w:iCs/>
        </w:rPr>
        <w:t>baatoo</w:t>
      </w:r>
      <w:r>
        <w:t xml:space="preserve"> (Flinders, 1814)</w:t>
      </w:r>
      <w:r>
        <w:rPr>
          <w:i/>
          <w:iCs/>
        </w:rPr>
        <w:t>,</w:t>
      </w:r>
      <w:r>
        <w:t xml:space="preserve"> which most closely translate to White teatfish and Black teatfish respectively (Akamine, 2001; </w:t>
      </w:r>
      <w:r w:rsidRPr="001F4AAC">
        <w:t>Schwerdtner Máñez</w:t>
      </w:r>
      <w:r>
        <w:t xml:space="preserve"> and</w:t>
      </w:r>
      <w:r w:rsidRPr="001F4AAC">
        <w:t xml:space="preserve"> Ferse, 2010</w:t>
      </w:r>
      <w:r>
        <w:t xml:space="preserve">). Some historical descriptions of catches from </w:t>
      </w:r>
      <w:r w:rsidRPr="007D43F2">
        <w:rPr>
          <w:i/>
          <w:iCs/>
        </w:rPr>
        <w:t>Marege</w:t>
      </w:r>
      <w:r>
        <w:t xml:space="preserve"> indicate that they were mainly catching “grey trepang” (also described as chalk fish or white trepang) (</w:t>
      </w:r>
      <w:r w:rsidRPr="001F4AAC">
        <w:t>Schwerdtner Máñez</w:t>
      </w:r>
      <w:r>
        <w:t xml:space="preserve"> and</w:t>
      </w:r>
      <w:r w:rsidRPr="001F4AAC">
        <w:t xml:space="preserve"> Ferse, 2010</w:t>
      </w:r>
      <w:r>
        <w:t>) which most likely relate to Sandfish.</w:t>
      </w:r>
      <w:r w:rsidRPr="00062D40">
        <w:t xml:space="preserve"> </w:t>
      </w:r>
      <w:r>
        <w:t>Other indications that Sandfish also occurred in the catch include reports that the product was not of the highest quality, was very abundant and required skilful processing, including being buried in sand to remove the calcareous deposits in the skin (</w:t>
      </w:r>
      <w:r w:rsidRPr="001F4AAC">
        <w:t>Schwerdtner Máñez</w:t>
      </w:r>
      <w:r>
        <w:t xml:space="preserve"> and</w:t>
      </w:r>
      <w:r w:rsidRPr="001F4AAC">
        <w:t xml:space="preserve"> Ferse, 2010</w:t>
      </w:r>
      <w:r>
        <w:t xml:space="preserve">; </w:t>
      </w:r>
      <w:r w:rsidRPr="00D65B18">
        <w:t>Blair</w:t>
      </w:r>
      <w:r>
        <w:t xml:space="preserve"> and</w:t>
      </w:r>
      <w:r w:rsidRPr="00D65B18">
        <w:t xml:space="preserve"> Hall, </w:t>
      </w:r>
      <w:r>
        <w:t xml:space="preserve">2013) – all consistent with the characteristics of Sandfish. </w:t>
      </w:r>
    </w:p>
    <w:p w14:paraId="431F3D67" w14:textId="29D7C6BD" w:rsidR="002018E9" w:rsidRPr="006A12D3" w:rsidRDefault="002018E9" w:rsidP="002018E9">
      <w:r>
        <w:t xml:space="preserve">While it is </w:t>
      </w:r>
      <w:r w:rsidR="002B19BB">
        <w:t>tempting</w:t>
      </w:r>
      <w:r>
        <w:t xml:space="preserve"> to try and characterise the Macassan fishery as being based on one or just a few species, it is more likely that it was a multi-species fishery reflecting the multispecies demand from China, the variation in habitats and populations available across northern Australia, the considerable cost to travel to Australia to fish, and the entrepreneurial nature of fishers. Fishers were described as using a range of fishing methods in depths ranging from intertidal to 8-10 fathoms (15-18 m) deep (Flinders, 1814). The </w:t>
      </w:r>
      <w:r w:rsidR="003B0EEA">
        <w:t xml:space="preserve">Macassar </w:t>
      </w:r>
      <w:r>
        <w:t xml:space="preserve">market names for product from northern Australia, </w:t>
      </w:r>
      <w:r w:rsidRPr="006A12D3">
        <w:rPr>
          <w:i/>
          <w:iCs/>
        </w:rPr>
        <w:t>Tr</w:t>
      </w:r>
      <w:r>
        <w:rPr>
          <w:i/>
          <w:iCs/>
        </w:rPr>
        <w:t>e</w:t>
      </w:r>
      <w:r w:rsidRPr="006A12D3">
        <w:rPr>
          <w:i/>
          <w:iCs/>
        </w:rPr>
        <w:t>pang</w:t>
      </w:r>
      <w:r>
        <w:t xml:space="preserve"> </w:t>
      </w:r>
      <w:r>
        <w:rPr>
          <w:i/>
          <w:iCs/>
        </w:rPr>
        <w:t>M</w:t>
      </w:r>
      <w:r w:rsidRPr="006A12D3">
        <w:rPr>
          <w:i/>
          <w:iCs/>
        </w:rPr>
        <w:t>arege</w:t>
      </w:r>
      <w:r>
        <w:t xml:space="preserve">, and </w:t>
      </w:r>
      <w:r w:rsidRPr="006A12D3">
        <w:rPr>
          <w:i/>
          <w:iCs/>
        </w:rPr>
        <w:t>Tr</w:t>
      </w:r>
      <w:r>
        <w:rPr>
          <w:i/>
          <w:iCs/>
        </w:rPr>
        <w:t>e</w:t>
      </w:r>
      <w:r w:rsidRPr="006A12D3">
        <w:rPr>
          <w:i/>
          <w:iCs/>
        </w:rPr>
        <w:t>pang</w:t>
      </w:r>
      <w:r>
        <w:t xml:space="preserve"> </w:t>
      </w:r>
      <w:r w:rsidRPr="00DC7058">
        <w:rPr>
          <w:rFonts w:cs="Apollo MT Std"/>
          <w:i/>
          <w:iCs/>
        </w:rPr>
        <w:t>Kayu Jawa</w:t>
      </w:r>
      <w:r>
        <w:rPr>
          <w:rFonts w:cs="Apollo MT Std"/>
        </w:rPr>
        <w:t xml:space="preserve"> (</w:t>
      </w:r>
      <w:r w:rsidRPr="001F4AAC">
        <w:t>Schwerdtner Máñez</w:t>
      </w:r>
      <w:r>
        <w:t xml:space="preserve"> and</w:t>
      </w:r>
      <w:r w:rsidRPr="001F4AAC">
        <w:t xml:space="preserve"> Ferse, 2010</w:t>
      </w:r>
      <w:r>
        <w:rPr>
          <w:rFonts w:cs="Apollo MT Std"/>
        </w:rPr>
        <w:t>) likely reflects a multispecies catch from the corresponding region rather than a single species. Regional traders were notorious for their inventive and fluid naming conventions for sea cucumber products, making reconstruction of species lists from market records difficult (Sutherland, 2020).</w:t>
      </w:r>
    </w:p>
    <w:p w14:paraId="20838212" w14:textId="77777777" w:rsidR="002018E9" w:rsidRDefault="002018E9" w:rsidP="002018E9">
      <w:r>
        <w:t>What is clear is that the Macassan fishery harvested a lot of sea cucumbers over an extended period of time, with catches of 350 tonnes of dried trepang per season (equivalent to several thousand tonnes of landed (gutted) sea cucumbers), estimated for the first half of the nineteenth century (</w:t>
      </w:r>
      <w:r w:rsidRPr="00167A20">
        <w:t>Macknight</w:t>
      </w:r>
      <w:r>
        <w:t xml:space="preserve">, 1976; </w:t>
      </w:r>
      <w:r w:rsidRPr="001F4AAC">
        <w:t>Schwerdtner Máñez</w:t>
      </w:r>
      <w:r>
        <w:t xml:space="preserve"> and</w:t>
      </w:r>
      <w:r w:rsidRPr="001F4AAC">
        <w:t xml:space="preserve"> Ferse, 2010</w:t>
      </w:r>
      <w:r>
        <w:t xml:space="preserve">), only decreasing in the late 1800s (Mitchell, 1994). Indeed, at its peak, </w:t>
      </w:r>
      <w:r w:rsidRPr="007D43F2">
        <w:rPr>
          <w:i/>
          <w:iCs/>
        </w:rPr>
        <w:t>Tr</w:t>
      </w:r>
      <w:r>
        <w:rPr>
          <w:i/>
          <w:iCs/>
        </w:rPr>
        <w:t>e</w:t>
      </w:r>
      <w:r w:rsidRPr="007D43F2">
        <w:rPr>
          <w:i/>
          <w:iCs/>
        </w:rPr>
        <w:t>pang Marege</w:t>
      </w:r>
      <w:r>
        <w:t xml:space="preserve"> made up the largest part of Macassan exports and of the total imports into China (</w:t>
      </w:r>
      <w:r w:rsidRPr="00501219">
        <w:t>Macknight</w:t>
      </w:r>
      <w:r>
        <w:t>,</w:t>
      </w:r>
      <w:r w:rsidRPr="00501219">
        <w:t xml:space="preserve"> 1976</w:t>
      </w:r>
      <w:r>
        <w:t xml:space="preserve">; </w:t>
      </w:r>
      <w:r w:rsidRPr="00D65B18">
        <w:t>Blair</w:t>
      </w:r>
      <w:r>
        <w:t xml:space="preserve"> and</w:t>
      </w:r>
      <w:r w:rsidRPr="00D65B18">
        <w:t xml:space="preserve"> Hall, </w:t>
      </w:r>
      <w:r>
        <w:t>2013).</w:t>
      </w:r>
    </w:p>
    <w:p w14:paraId="541F976E" w14:textId="3F34233D" w:rsidR="00CD60B1" w:rsidRDefault="00CD60B1" w:rsidP="00457731">
      <w:pPr>
        <w:pStyle w:val="Heading3"/>
      </w:pPr>
      <w:r>
        <w:lastRenderedPageBreak/>
        <w:t xml:space="preserve">The early </w:t>
      </w:r>
      <w:r w:rsidR="00F770F8">
        <w:t xml:space="preserve">east coast </w:t>
      </w:r>
      <w:r w:rsidR="002018E9" w:rsidRPr="002018E9">
        <w:t xml:space="preserve">“Queensland” </w:t>
      </w:r>
      <w:r w:rsidR="00F770F8">
        <w:t xml:space="preserve">fishery – </w:t>
      </w:r>
      <w:r>
        <w:t>GBR</w:t>
      </w:r>
      <w:r w:rsidR="00870639">
        <w:t>,</w:t>
      </w:r>
      <w:r w:rsidR="00F770F8">
        <w:t xml:space="preserve"> Coral Sea </w:t>
      </w:r>
      <w:r>
        <w:t>and Torres Strait</w:t>
      </w:r>
    </w:p>
    <w:p w14:paraId="4E3F44CF" w14:textId="77777777" w:rsidR="002018E9" w:rsidRDefault="002018E9" w:rsidP="002018E9">
      <w:r>
        <w:t>Sea cucumbers have been fished on the Australian east coast since the early 1800’s when the first Sydney-based beche-de-mer fishers began catching and processing sea cucumbers on island-based processing stations on the GBR, but also the inner Coral Sea reefs (Sumner, 1981; Ganter, 1990; Mullins, 1995). The product initially supplied the local Chinese miners but was subsequently exported to Indonesian ports including Batavia (modern day Jakarta), Surabaya and Kupang (in Timor) (Sumner, 1981; Ganter, 1990; Mullins, 1995). During this time, direct access to China was thwarted by the tight control of the British East India Company's monopoly on trade to China (</w:t>
      </w:r>
      <w:bookmarkStart w:id="65" w:name="_Hlk141186435"/>
      <w:r>
        <w:t>Mullins, 1995</w:t>
      </w:r>
      <w:bookmarkEnd w:id="65"/>
      <w:r>
        <w:t xml:space="preserve">). </w:t>
      </w:r>
    </w:p>
    <w:p w14:paraId="6C3F8C71" w14:textId="77777777" w:rsidR="002018E9" w:rsidRDefault="002018E9" w:rsidP="002018E9">
      <w:r>
        <w:t>The earliest record of fishing was in 1804 when James Aicken collected several barrels of beche-de-mer from Wreck Reef in the Coral Sea</w:t>
      </w:r>
      <w:r w:rsidRPr="00AA1199">
        <w:t xml:space="preserve"> </w:t>
      </w:r>
      <w:r>
        <w:t>(Mullins, 1995), and in 1908, James Austen briefly operated a beche-de-mer station on Lady Elliott Island (</w:t>
      </w:r>
      <w:bookmarkStart w:id="66" w:name="_Hlk141186325"/>
      <w:r>
        <w:t>Sumner, 1981</w:t>
      </w:r>
      <w:bookmarkEnd w:id="66"/>
      <w:r>
        <w:t xml:space="preserve">). A few vessels are known to have been employed in the industry on Queensland's east coast in the 1820s, with </w:t>
      </w:r>
      <w:r w:rsidRPr="00467993">
        <w:t>10 tons of bêche-de-mer shipped from the Cooktown area to K</w:t>
      </w:r>
      <w:r>
        <w:t>u</w:t>
      </w:r>
      <w:r w:rsidRPr="00467993">
        <w:t>pang</w:t>
      </w:r>
      <w:r>
        <w:t xml:space="preserve"> i</w:t>
      </w:r>
      <w:r w:rsidRPr="00467993">
        <w:t xml:space="preserve">n 1827 </w:t>
      </w:r>
      <w:r>
        <w:t>(Ganter, 1990), and by the 1840s a regular Sydney-based fishery had developed (Mullins 1992; 1995). In 1845 there was a beche-de-mer station in the Holme islands group off Cape Grenville, run by Martin McKenzie, who had a reputation as one of the most experienced beche-de-mer fishermen at this time (Mullins, 1992; 1995). He recruited Indonesian fishers and landed them at various islands in the vicinity of Cape Grenville where they collected and processed beche-de-mer for later transport to Kupang or Surabaya (Mullins, 1995). But by 1850, t</w:t>
      </w:r>
      <w:r w:rsidRPr="00B8260E">
        <w:t>h</w:t>
      </w:r>
      <w:r>
        <w:t xml:space="preserve">is </w:t>
      </w:r>
      <w:r w:rsidRPr="00B8260E">
        <w:t>industry appears to have all but died</w:t>
      </w:r>
      <w:r>
        <w:t xml:space="preserve"> out, due mostly to the closure of northern Australian outposts such as Port Essington, and the emergence of the profitable sandalwood industry in the South Pacific (</w:t>
      </w:r>
      <w:bookmarkStart w:id="67" w:name="_Hlk141186534"/>
      <w:r>
        <w:t>Mullins, 1992</w:t>
      </w:r>
      <w:bookmarkEnd w:id="67"/>
      <w:r>
        <w:t xml:space="preserve">). </w:t>
      </w:r>
      <w:bookmarkStart w:id="68" w:name="_Hlk145397444"/>
    </w:p>
    <w:p w14:paraId="5CFBC3AF" w14:textId="77777777" w:rsidR="002018E9" w:rsidRDefault="002018E9" w:rsidP="002018E9">
      <w:r>
        <w:t xml:space="preserve">The east coast fishery became active again in the early 1860s, this time as part of a broader western Pacific maritime trade, exporting a range of products directly to China and nearby ports (Mullins, 1992; 1995; Ganter, 1990). </w:t>
      </w:r>
      <w:bookmarkEnd w:id="68"/>
      <w:r>
        <w:t xml:space="preserve">In the 1850’s the </w:t>
      </w:r>
      <w:bookmarkStart w:id="69" w:name="_Hlk141186855"/>
      <w:r>
        <w:t xml:space="preserve">western Pacific maritime trade </w:t>
      </w:r>
      <w:bookmarkEnd w:id="69"/>
      <w:r>
        <w:t xml:space="preserve">had developed, mostly based on harvesting and transporting sandlewood to China, but also increasingly supplemented by beche-de-mer and </w:t>
      </w:r>
      <w:r w:rsidRPr="00D172E9">
        <w:t>turtle shell</w:t>
      </w:r>
      <w:r>
        <w:t xml:space="preserve"> (Mullins, 1995). The crews were composed of many different ethnic groups, but the majority were Pacific Islanders (Mullins, 1995).</w:t>
      </w:r>
    </w:p>
    <w:p w14:paraId="418EFB7F" w14:textId="77777777" w:rsidR="002018E9" w:rsidRDefault="002018E9" w:rsidP="002018E9">
      <w:r>
        <w:t xml:space="preserve">At this time, a Sydney based maritime trader with experience in the west Pacific, Robert Towns, quit the declining western Pacific sandalwood trade to concentrate on the east coast beche-de-mer fishery (as well as shipping and pastoral investments). His vessels sailed regularly along the east coast picking up beche-de-mer and dropping off supplies, not only for his own stations, but for others in the region (Mullins, 1995). He and another Pacific trader, James Paddon, were instrumental in expanding the fishery into Torres Strait (see section below). </w:t>
      </w:r>
    </w:p>
    <w:p w14:paraId="255318B2" w14:textId="77777777" w:rsidR="002018E9" w:rsidRPr="006E7B3B" w:rsidRDefault="002018E9" w:rsidP="002018E9">
      <w:r w:rsidRPr="006E7B3B">
        <w:t xml:space="preserve">After languishing almost entirely around 1870, </w:t>
      </w:r>
      <w:r>
        <w:t>the fishery</w:t>
      </w:r>
      <w:r w:rsidRPr="006E7B3B">
        <w:t xml:space="preserve"> revived with a rise in prices</w:t>
      </w:r>
      <w:r>
        <w:t xml:space="preserve">, resulting in </w:t>
      </w:r>
      <w:r w:rsidRPr="006E7B3B">
        <w:t xml:space="preserve">a flourishing export trade with Hong Kong and China, </w:t>
      </w:r>
      <w:r>
        <w:t>including</w:t>
      </w:r>
      <w:r w:rsidRPr="006E7B3B">
        <w:t xml:space="preserve"> a fleet of over 40 boats operating from ports north of Townsville</w:t>
      </w:r>
      <w:r>
        <w:t xml:space="preserve"> </w:t>
      </w:r>
      <w:r w:rsidRPr="006E7B3B">
        <w:t>(Bolton, 1970</w:t>
      </w:r>
      <w:r>
        <w:t xml:space="preserve">, </w:t>
      </w:r>
      <w:r w:rsidRPr="006E7B3B">
        <w:t>Sumner, 1981).</w:t>
      </w:r>
      <w:r>
        <w:t xml:space="preserve"> </w:t>
      </w:r>
      <w:r w:rsidRPr="006E7B3B">
        <w:t>By the end of the decade beche-de-mer worth over £13,000 was shipped each year to this market (Bolton, 1970). Cooktown, where thirteen boats were estimated to employ 450 men (mainly non-European), was the headquarters of the industry</w:t>
      </w:r>
      <w:r>
        <w:t xml:space="preserve"> (</w:t>
      </w:r>
      <w:r w:rsidRPr="006E7B3B">
        <w:t>Bolton, 1970</w:t>
      </w:r>
      <w:r>
        <w:t>)</w:t>
      </w:r>
      <w:r w:rsidRPr="006E7B3B">
        <w:t xml:space="preserve">. </w:t>
      </w:r>
    </w:p>
    <w:p w14:paraId="7FE72B2B" w14:textId="77777777" w:rsidR="002018E9" w:rsidRDefault="002018E9" w:rsidP="002018E9">
      <w:r>
        <w:t>Though records are patchy, exports during this period reached a peak between 1880 and 1890, operating mostly on the northern GBR and Torres Strait (</w:t>
      </w:r>
      <w:r w:rsidRPr="00C46549">
        <w:t>Saville-Kent, 1893</w:t>
      </w:r>
      <w:r>
        <w:t>; Ryle, 2000; Sumner, 1981). By 1890 there was a substantial industry, mostly working out of Thursday Island and Cooktown (</w:t>
      </w:r>
      <w:r w:rsidRPr="00C46549">
        <w:t>Saville-Kent, 1893</w:t>
      </w:r>
      <w:r>
        <w:t>), and crewed mainly by Indigenous Australians. Over 100 boats were engaged in the fishery in 1889 (</w:t>
      </w:r>
      <w:r w:rsidRPr="00C46549">
        <w:t>Saville-Kent, 1893</w:t>
      </w:r>
      <w:r>
        <w:t>).</w:t>
      </w:r>
    </w:p>
    <w:p w14:paraId="62700DE6" w14:textId="77777777" w:rsidR="002018E9" w:rsidRDefault="002018E9" w:rsidP="002018E9">
      <w:r>
        <w:t>Assessments of the health of the fishery at the time were optimistic, with government officials stating that there did not appear to be any signs of depletion of the fishery even up to 1890, and the that the main fishery had reached no further south than Mackay (</w:t>
      </w:r>
      <w:r w:rsidRPr="00C46549">
        <w:t>Saville-Kent, 1893</w:t>
      </w:r>
      <w:r>
        <w:t>). It was thought that depleted reefs were being restocked by populations in deeper water, usually after a one-year duration (</w:t>
      </w:r>
      <w:r w:rsidRPr="00C46549">
        <w:t>Saville-Kent, 1893</w:t>
      </w:r>
      <w:r>
        <w:t>).</w:t>
      </w:r>
    </w:p>
    <w:p w14:paraId="7FD2255D" w14:textId="029E1786" w:rsidR="002018E9" w:rsidRDefault="002018E9" w:rsidP="002018E9">
      <w:r>
        <w:t>However, this optimistic viewpoint was soon proved incorrect, with fishers asserting the need to venture further afield toward PNG by as early as 1882 (Lloyd, 2016), and by the early 1890s the inner reefs were fished out and fishers were forced farther out into the Coral Sea, New Guinea, the Solomon Island</w:t>
      </w:r>
      <w:r w:rsidR="00B547B9">
        <w:t>s</w:t>
      </w:r>
      <w:r>
        <w:t xml:space="preserve"> and the </w:t>
      </w:r>
      <w:r>
        <w:lastRenderedPageBreak/>
        <w:t>New Hebrides (present day Vanuatu) (</w:t>
      </w:r>
      <w:r w:rsidRPr="00C46549">
        <w:t>Saville-Kent, 1893</w:t>
      </w:r>
      <w:r w:rsidR="003B0EEA">
        <w:t>;</w:t>
      </w:r>
      <w:r>
        <w:t xml:space="preserve"> Lloyd, 2016). These regions were worked by larger ships staying out to sea for 6 months (Bolton, 1970; Sumner, 1981). Catches fluctuated greatly after 1890 (Ryle, 2000). The bêche-de-mer fishery during this time, while known for some wealth, was largely associated with terror and drudgery (Llyod, 2016). </w:t>
      </w:r>
    </w:p>
    <w:p w14:paraId="3BF067CE" w14:textId="77777777" w:rsidR="002018E9" w:rsidRDefault="002018E9" w:rsidP="002018E9">
      <w:r>
        <w:t>By 1901 the fishery was in somewhat of a revival,</w:t>
      </w:r>
      <w:r w:rsidRPr="00584387">
        <w:t xml:space="preserve"> </w:t>
      </w:r>
      <w:r>
        <w:t xml:space="preserve">with 11 licensed vessels working out of Cooktown, and based on the reemergence of sea cucumbers on the GBR and also near Erub (Darnley I.) and Mer (Murray I.) in the Torres Strait (Llyod, 2016). By then, the beche-de-mer trade was almost entirely under the control of Japanese or Thursday Islanders (Sumner, 1981), and by 1908, it was rumoured that over fifty Japanese vessels operated in the area south of Cooktown (Ryle, 2000). </w:t>
      </w:r>
    </w:p>
    <w:p w14:paraId="10CB2FF7" w14:textId="77777777" w:rsidR="002018E9" w:rsidRDefault="002018E9" w:rsidP="002018E9">
      <w:r>
        <w:t>Claims that the industry had been taken over by the Japanese, and that prices paid in Cooktown were being manipulated, led to a Royal Commission into the fishery in 1908 (Ryle, 2000). John Mackay, the chairman of the Queensland Marine Board, chaired the Royal Commission into the working of the fisheries with specific instructions to investigate these issues (Lloyd, 2016). The Commission concluded that the industry had reached its 'zenith' in 1907 and grounds had been fished bare from New Guinea to Lady Elliot Island. They recommended a two-year closure. However, strong fishing interests and a government focused on economic development saw this recommendation remain unimplemented (Lloyd, 2016).</w:t>
      </w:r>
    </w:p>
    <w:p w14:paraId="5DFBE04F" w14:textId="77777777" w:rsidR="002018E9" w:rsidRDefault="002018E9" w:rsidP="002018E9">
      <w:r>
        <w:t xml:space="preserve">While there are reports that the Queensland fishery ceased during the First World War (Sumner, 1981), this is not supported by available catch data - exports were still 300-700 t per year throughout the war (Anon, 1946), though much of this may have originated in Torres Strait, where fishing continued under a government subsidised </w:t>
      </w:r>
      <w:r w:rsidRPr="00546AC1">
        <w:t xml:space="preserve">company boat system </w:t>
      </w:r>
      <w:r>
        <w:t>(Mullins, 2012).</w:t>
      </w:r>
    </w:p>
    <w:p w14:paraId="22D91EC7" w14:textId="77777777" w:rsidR="002018E9" w:rsidRDefault="002018E9" w:rsidP="002018E9">
      <w:r>
        <w:t>The beche-de-mer industry in Queensland limped on until the 1930s, but had ceased by the start of the Second World War (Sumner, 1981). There was a brief attempt at revival in 1946-7, but by the 1950s fishing activity had ceased altogether (Sumner, 1981).</w:t>
      </w:r>
    </w:p>
    <w:p w14:paraId="3974C89B" w14:textId="21945A04" w:rsidR="00693391" w:rsidRPr="00ED43EC" w:rsidRDefault="00693391" w:rsidP="00503295">
      <w:pPr>
        <w:pStyle w:val="Heading4"/>
      </w:pPr>
      <w:r w:rsidRPr="00ED43EC">
        <w:t>Torres Strait – the pivotal role of the be</w:t>
      </w:r>
      <w:r w:rsidR="00C51EB3">
        <w:t>c</w:t>
      </w:r>
      <w:r w:rsidRPr="00ED43EC">
        <w:t>he-de-mer fishery</w:t>
      </w:r>
    </w:p>
    <w:p w14:paraId="24D30641" w14:textId="77777777" w:rsidR="002018E9" w:rsidRDefault="002018E9" w:rsidP="002018E9">
      <w:r>
        <w:t>There are some reports of very early Chinese and/or Malay contact in Torres Strait that predate colonial times, (e.g. reports that suggest the Chinese may have passed through the Torres Strait area in the 1400s</w:t>
      </w:r>
      <w:r w:rsidRPr="00F05755">
        <w:t xml:space="preserve"> </w:t>
      </w:r>
      <w:r>
        <w:t>(</w:t>
      </w:r>
      <w:r w:rsidRPr="00F05755">
        <w:t>Menzies, 2002</w:t>
      </w:r>
      <w:r>
        <w:t xml:space="preserve">)). Kinch et al. (2008; citing </w:t>
      </w:r>
      <w:r w:rsidRPr="00F85A90">
        <w:t>Laade, 1966</w:t>
      </w:r>
      <w:r>
        <w:t xml:space="preserve">) also claims that the oral history of Torres Strait Islanders indicate that Chinese and Malays regularly visited the islands to harvest sea cucumbers long before European explorers arrived. However, this would appear unlikely as there is no firm evidence of a sea cucumber industry in Torres Strait before 1860, and reports of Chinese sea farers reaching Australia on a regular basis have been somewhat discredited (Finlay, 2004; Anderson, 2000). </w:t>
      </w:r>
    </w:p>
    <w:p w14:paraId="4EA3C17B" w14:textId="77777777" w:rsidR="002018E9" w:rsidRDefault="002018E9" w:rsidP="002018E9">
      <w:r>
        <w:t>Even so, for decades before colonial occupation in the 1860s Torres Strait Islanders had traded with the crews of passing ships (Mullins, 1995). Sydney-based fishing boats were reported trading in Torres Strait as early as 1846 at Badu Island (</w:t>
      </w:r>
      <w:r w:rsidRPr="000E451C">
        <w:t>MacGillivray 1852</w:t>
      </w:r>
      <w:r>
        <w:t xml:space="preserve">, as reported in </w:t>
      </w:r>
      <w:r w:rsidRPr="000E451C">
        <w:t>Beckett, 1977</w:t>
      </w:r>
      <w:r>
        <w:t xml:space="preserve"> and Sumner, 1981). However, they were likely procuring turtle shell</w:t>
      </w:r>
      <w:r w:rsidRPr="00E645DC">
        <w:t xml:space="preserve"> </w:t>
      </w:r>
      <w:r>
        <w:t xml:space="preserve">and artifacts (Mullins, 1995) rather than beche-de-mer (as reported in MacGillivray, 1852), as the accounts were for Badu Island, which does not have substantive stocks of beche-de-mer in its vicinity (Long et al., 1996), and there was no evidence of a beche-de-mer industry in Torres Strait at that time (Mullins, 1992). </w:t>
      </w:r>
    </w:p>
    <w:p w14:paraId="7B426BAA" w14:textId="77777777" w:rsidR="002018E9" w:rsidRDefault="002018E9" w:rsidP="002018E9">
      <w:r>
        <w:t xml:space="preserve">By the late 1850s, two principal traders operating mostly in the central west Pacific, </w:t>
      </w:r>
      <w:r w:rsidRPr="00763041">
        <w:t>James Paddon</w:t>
      </w:r>
      <w:r>
        <w:t xml:space="preserve"> and </w:t>
      </w:r>
      <w:r w:rsidRPr="00763041">
        <w:t xml:space="preserve">Robert </w:t>
      </w:r>
      <w:r>
        <w:t>T</w:t>
      </w:r>
      <w:r w:rsidRPr="00763041">
        <w:t>owns</w:t>
      </w:r>
      <w:r>
        <w:t>,</w:t>
      </w:r>
      <w:r w:rsidRPr="00763041">
        <w:t xml:space="preserve"> </w:t>
      </w:r>
      <w:r>
        <w:t>had begun supplementing a shrinking sandalwood industry with beche-de-mer and exporting directly to China (Mullins, 1995). In July 1860 Paddon sent one of his most experienced masters, William Banner, to Torres Strait</w:t>
      </w:r>
      <w:r w:rsidRPr="00006A80">
        <w:t xml:space="preserve"> </w:t>
      </w:r>
      <w:r>
        <w:t xml:space="preserve">aboard the 100 ton brig, </w:t>
      </w:r>
      <w:r w:rsidRPr="00E047F3">
        <w:rPr>
          <w:i/>
          <w:iCs/>
        </w:rPr>
        <w:t>Julia Percy</w:t>
      </w:r>
      <w:r>
        <w:t xml:space="preserve"> to exploit whatever resources he could find (Mullins, 1995). This vessel was crewed mostly with south sea islanders from Eromanga </w:t>
      </w:r>
      <w:r w:rsidRPr="00291983">
        <w:t>in the New Hebrides</w:t>
      </w:r>
      <w:r>
        <w:t xml:space="preserve"> (modern day </w:t>
      </w:r>
      <w:r w:rsidRPr="008A2B4E">
        <w:t>Vanuatu</w:t>
      </w:r>
      <w:r>
        <w:t>).</w:t>
      </w:r>
    </w:p>
    <w:p w14:paraId="3E294CBF" w14:textId="5638EF90" w:rsidR="002018E9" w:rsidRDefault="002018E9" w:rsidP="002018E9">
      <w:r>
        <w:t>After landing on Lizard Island and setting up a beche-de-mer station there, Banner visited the islands of Torres Strait in November 1860 (Mullins, 1992; 1995). He visited most of the inhabited islands in the main shipping channel on his way to and from Erub (Darnley Is</w:t>
      </w:r>
      <w:r w:rsidR="00B547B9">
        <w:t>.</w:t>
      </w:r>
      <w:r>
        <w:t xml:space="preserve">) and found that the Islanders were very experienced in dealing with Europeans. He procured more than 100 pounds of turtle shell as well as some rare and valuable artifacts (Mullins, 1995). Presumably, Banner would also have been taking stock of beche-de-mer resources on his visit. The Lizard Island station was abandoned in January 1861 due to poor garden </w:t>
      </w:r>
      <w:r>
        <w:lastRenderedPageBreak/>
        <w:t xml:space="preserve">production (though beche-de-mer were reportedly plentiful) and Banner returned to Sydney. While the voyage to Erub had been a success, </w:t>
      </w:r>
      <w:r w:rsidRPr="009F06B0">
        <w:t xml:space="preserve">Paddon had died while the </w:t>
      </w:r>
      <w:r w:rsidRPr="00E047F3">
        <w:rPr>
          <w:i/>
          <w:iCs/>
        </w:rPr>
        <w:t>Julia Percy</w:t>
      </w:r>
      <w:r w:rsidRPr="009F06B0">
        <w:t xml:space="preserve"> was at sea, and with that the project collapsed</w:t>
      </w:r>
      <w:r>
        <w:t xml:space="preserve"> (Mullins, 1995). </w:t>
      </w:r>
    </w:p>
    <w:p w14:paraId="51721C1E" w14:textId="77777777" w:rsidR="002018E9" w:rsidRDefault="002018E9" w:rsidP="002018E9">
      <w:r>
        <w:t xml:space="preserve">Based largely on Banner’s reports, in 1862, Charles Edwards, who had links with Robert Towns, set sail from Sydney on the </w:t>
      </w:r>
      <w:r w:rsidRPr="00880970">
        <w:rPr>
          <w:i/>
          <w:iCs/>
        </w:rPr>
        <w:t>Blue Bell</w:t>
      </w:r>
      <w:r>
        <w:t xml:space="preserve">; again with a mostly south sea islander crew. They set up a </w:t>
      </w:r>
      <w:r w:rsidRPr="00467993">
        <w:t xml:space="preserve">bêche-de-mer station </w:t>
      </w:r>
      <w:r>
        <w:t xml:space="preserve">on Albany Island </w:t>
      </w:r>
      <w:r w:rsidRPr="00467993">
        <w:t>just off the mainland at Cape York</w:t>
      </w:r>
      <w:r>
        <w:t xml:space="preserve">, before </w:t>
      </w:r>
      <w:r w:rsidRPr="00846DA0">
        <w:t>mov</w:t>
      </w:r>
      <w:r>
        <w:t xml:space="preserve">ing on </w:t>
      </w:r>
      <w:r w:rsidRPr="00846DA0">
        <w:t xml:space="preserve">to </w:t>
      </w:r>
      <w:r>
        <w:t xml:space="preserve">Erub in </w:t>
      </w:r>
      <w:r w:rsidRPr="00846DA0">
        <w:t>186</w:t>
      </w:r>
      <w:r>
        <w:t>4 (Mullins, 1992; 1995). At that stage, Torres Strait was outside the control of the colonial government (designated essentially as “high seas”), and Erub was fertile, relatively friendly and had a ready workforce (</w:t>
      </w:r>
      <w:bookmarkStart w:id="70" w:name="_Hlk139381426"/>
      <w:r>
        <w:t>Ganter, 1990</w:t>
      </w:r>
      <w:bookmarkEnd w:id="70"/>
      <w:r>
        <w:t xml:space="preserve">). By 1866 Towns had invested heavily in what he called his 'Torres Strait venture', and three large vessels connected with himself and Edwards, the </w:t>
      </w:r>
      <w:r w:rsidRPr="00E047F3">
        <w:rPr>
          <w:i/>
          <w:iCs/>
        </w:rPr>
        <w:t>Blue Bell</w:t>
      </w:r>
      <w:r>
        <w:t xml:space="preserve">, </w:t>
      </w:r>
      <w:r w:rsidRPr="00E047F3">
        <w:rPr>
          <w:i/>
          <w:iCs/>
        </w:rPr>
        <w:t>Melanie</w:t>
      </w:r>
      <w:r>
        <w:t xml:space="preserve"> and </w:t>
      </w:r>
      <w:r w:rsidRPr="00E047F3">
        <w:rPr>
          <w:i/>
          <w:iCs/>
        </w:rPr>
        <w:t>Woodlark</w:t>
      </w:r>
      <w:r>
        <w:t xml:space="preserve">, were at work in northeastern Torres Strait (Mullins, 1995). </w:t>
      </w:r>
    </w:p>
    <w:p w14:paraId="21AD97D9" w14:textId="2E7CC27F" w:rsidR="002018E9" w:rsidRDefault="002018E9" w:rsidP="002018E9">
      <w:r>
        <w:t xml:space="preserve">In July 1865 William Banner returned, with the financial backing of the Sydney firm James Merriman and son, and with the </w:t>
      </w:r>
      <w:r w:rsidRPr="00E047F3">
        <w:rPr>
          <w:i/>
          <w:iCs/>
        </w:rPr>
        <w:t>Telegrah</w:t>
      </w:r>
      <w:r>
        <w:t xml:space="preserve"> and </w:t>
      </w:r>
      <w:r w:rsidRPr="00E047F3">
        <w:rPr>
          <w:i/>
          <w:iCs/>
        </w:rPr>
        <w:t>Metaris</w:t>
      </w:r>
      <w:r>
        <w:t xml:space="preserve"> set off for the beche-de-mer fishery in the northern GBR and Torres Strait. In 1869, he established a beche-de-mer station on the northwest side of Tudu (Warrior </w:t>
      </w:r>
      <w:r w:rsidR="00B547B9">
        <w:t>Is.</w:t>
      </w:r>
      <w:r>
        <w:t>) (Chester, 1870; Mullins, 1995). There are conflicting reports as to the circumstances of Banner’s arrival at Tudu – by some accounts Banner and his labour force of Pacific Islanders arrived with guns and occupied the Tudu site by force (Thomassin, 2019; Shnukal, 2004), and by other accounts he developed cordial business relations with the Tudulgal chief, Kebisu (Mullins 1992; 1995). The truth is probably somewhere between the two, and the operations were soon employing local labour alongside South-Sea Islanders (Ganter, 1994; Mullins, 1995; Shnukal, 2004). Banners’ operation was pivotal to the development of Torres Strait, as his was the first to “discover” the goldlip pearlshell at Warrior Reef adjacent to Tudu. This became a prized resource that would do more to transform colonial era Torres Strait than any other industry or event (apart perhaps, from the arrival of missionaries on Erub in 1871 – the “Coming of the Light”).</w:t>
      </w:r>
    </w:p>
    <w:p w14:paraId="1BA7175B" w14:textId="061CC862" w:rsidR="002018E9" w:rsidRDefault="002018E9" w:rsidP="002018E9">
      <w:r>
        <w:t>By 1872 there were beche-de-mer (and sometimes pearling) stations at Tutu, Gabba (Two Brothers Is</w:t>
      </w:r>
      <w:r w:rsidR="00B547B9">
        <w:t>.</w:t>
      </w:r>
      <w:r>
        <w:t>), Erub, Mer (Murray Is</w:t>
      </w:r>
      <w:r w:rsidR="00B547B9">
        <w:t>.</w:t>
      </w:r>
      <w:r>
        <w:t>), Tappoear (Campbell Is</w:t>
      </w:r>
      <w:r w:rsidR="00B547B9">
        <w:t>.</w:t>
      </w:r>
      <w:r>
        <w:t xml:space="preserve">) and Dalrymple Is. (Mullins, 1995), and semipermanent floating stations at Poruma (Coconut </w:t>
      </w:r>
      <w:r w:rsidR="00B547B9">
        <w:t>Is.</w:t>
      </w:r>
      <w:r>
        <w:t xml:space="preserve">) (Mullins, 1995). Erub </w:t>
      </w:r>
      <w:r w:rsidRPr="00AC0C1E">
        <w:t xml:space="preserve">had </w:t>
      </w:r>
      <w:r>
        <w:t>several beche-de-mer stations</w:t>
      </w:r>
      <w:r w:rsidRPr="00AC0C1E">
        <w:t xml:space="preserve"> and was </w:t>
      </w:r>
      <w:r>
        <w:t>considered</w:t>
      </w:r>
      <w:r w:rsidRPr="00AC0C1E">
        <w:t xml:space="preserve"> the centre of the bêche-de-mer industry in Torres Strait</w:t>
      </w:r>
      <w:r>
        <w:t xml:space="preserve"> (Ganter, 1990)</w:t>
      </w:r>
      <w:r w:rsidR="00B547B9">
        <w:t>, and t</w:t>
      </w:r>
      <w:r>
        <w:t xml:space="preserve">he deforestation caused by harvesting the timbers required to boil the beche-de-mer pots is a feature of the island to this day (K. Bedford, </w:t>
      </w:r>
      <w:r w:rsidRPr="00A654C2">
        <w:rPr>
          <w:i/>
          <w:iCs/>
        </w:rPr>
        <w:t>pers comm.</w:t>
      </w:r>
      <w:r>
        <w:t>). The establishment of the beche-de-mer (and pearlshell) stations in the eastern islands of Torres Strait and the establishment of a small British settlement at Somerset on Cape York marked the beginning of sustained outsider presence in Torres Strait (</w:t>
      </w:r>
      <w:r w:rsidRPr="00FE56EB">
        <w:t xml:space="preserve">Shnukal, </w:t>
      </w:r>
      <w:r>
        <w:t xml:space="preserve">2004). </w:t>
      </w:r>
    </w:p>
    <w:p w14:paraId="4BD028FD" w14:textId="77777777" w:rsidR="002018E9" w:rsidRDefault="002018E9" w:rsidP="002018E9">
      <w:r>
        <w:t xml:space="preserve">The development of the Torres Strait maritime industry also fomented actions by the colonial government to control (and presumably tax) these activities. In </w:t>
      </w:r>
      <w:r w:rsidRPr="004A17A1">
        <w:t>1872</w:t>
      </w:r>
      <w:r>
        <w:t xml:space="preserve">, the colony of Queensland </w:t>
      </w:r>
      <w:r w:rsidRPr="004A17A1">
        <w:t>annexe</w:t>
      </w:r>
      <w:r>
        <w:t>d</w:t>
      </w:r>
      <w:r w:rsidRPr="004A17A1">
        <w:t xml:space="preserve"> all Torres Strait islands within a 60 nautical mile radius of the coast of Queensland</w:t>
      </w:r>
      <w:r>
        <w:t xml:space="preserve">, and in 1879, annexed </w:t>
      </w:r>
      <w:r w:rsidRPr="004A17A1">
        <w:t>the remaining islands</w:t>
      </w:r>
      <w:r>
        <w:t xml:space="preserve"> including </w:t>
      </w:r>
      <w:r w:rsidRPr="004A17A1">
        <w:t>Erub</w:t>
      </w:r>
      <w:r>
        <w:t xml:space="preserve"> and </w:t>
      </w:r>
      <w:r w:rsidRPr="004A17A1">
        <w:t>Mer</w:t>
      </w:r>
      <w:r>
        <w:t xml:space="preserve">, </w:t>
      </w:r>
      <w:r w:rsidRPr="004A17A1">
        <w:t xml:space="preserve">and </w:t>
      </w:r>
      <w:r>
        <w:t xml:space="preserve">the islands adjacent to the PNG coastline of Boigu, </w:t>
      </w:r>
      <w:r w:rsidRPr="004A17A1">
        <w:t>Saibai</w:t>
      </w:r>
      <w:r>
        <w:t xml:space="preserve"> and Dauan (Ganter, 1990), though its influence on these far flung island was limited for a time (Mullins, 1995).</w:t>
      </w:r>
    </w:p>
    <w:p w14:paraId="0BC15FFC" w14:textId="77777777" w:rsidR="002018E9" w:rsidRDefault="002018E9" w:rsidP="002018E9">
      <w:r>
        <w:t xml:space="preserve">In 1881, fisheries activities in Torres Strait became subjected to </w:t>
      </w:r>
      <w:r>
        <w:rPr>
          <w:i/>
          <w:iCs/>
        </w:rPr>
        <w:t>The Pearl-Shell and Bêche-de-mer Fishery Act of 1881</w:t>
      </w:r>
      <w:r>
        <w:t xml:space="preserve"> </w:t>
      </w:r>
      <w:r w:rsidRPr="00785307">
        <w:t>authorising the Queensland government to regulate the industry and get some revenue from it through licensing of boats and divers</w:t>
      </w:r>
      <w:r>
        <w:t xml:space="preserve"> (Ganter, 1990; Thomassin, 2019)</w:t>
      </w:r>
      <w:r w:rsidRPr="00785307">
        <w:t>.</w:t>
      </w:r>
      <w:r>
        <w:t xml:space="preserve"> </w:t>
      </w:r>
      <w:r w:rsidRPr="00512F5F">
        <w:rPr>
          <w:i/>
          <w:iCs/>
        </w:rPr>
        <w:t>The Native Labourers’ Protection Act 1884</w:t>
      </w:r>
      <w:r w:rsidRPr="00785307">
        <w:t xml:space="preserve"> was passed exclusively for the purpose of protecting indigen</w:t>
      </w:r>
      <w:r>
        <w:t>ou</w:t>
      </w:r>
      <w:r w:rsidRPr="00785307">
        <w:t>s Australia and New Guinea employed in the marine industries. It required native labourers to be signed on and paid off before the shipping master, and to be returned home after a maximum term of twelve months</w:t>
      </w:r>
      <w:r>
        <w:t xml:space="preserve"> (Ganter, 1990)</w:t>
      </w:r>
      <w:r w:rsidRPr="00785307">
        <w:t>.</w:t>
      </w:r>
    </w:p>
    <w:p w14:paraId="148BF382" w14:textId="77777777" w:rsidR="002018E9" w:rsidRDefault="002018E9" w:rsidP="002018E9">
      <w:r w:rsidRPr="00EA7DCF">
        <w:t>The influx</w:t>
      </w:r>
      <w:r>
        <w:t xml:space="preserve"> of south sea islanders was also a feature of the early Torres Strait maritime industries. When William Banner arrived at Tutu in the </w:t>
      </w:r>
      <w:r w:rsidRPr="00E047F3">
        <w:rPr>
          <w:i/>
          <w:iCs/>
        </w:rPr>
        <w:t>Blue Bell</w:t>
      </w:r>
      <w:r>
        <w:t xml:space="preserve"> early in 1869, he had about 70 Pacific Islanders aboard (Mullins, 1995). Some well know examples include Banners’ foreman, </w:t>
      </w:r>
      <w:r w:rsidRPr="00B96A54">
        <w:t>Tongatapu</w:t>
      </w:r>
      <w:r>
        <w:t>-</w:t>
      </w:r>
      <w:r w:rsidRPr="00B96A54">
        <w:t>Joe</w:t>
      </w:r>
      <w:r>
        <w:t>, who married into the local tribe and was pivotal in purloining local islander knowledge of pearlshell in 1869 (Mullins, 1995).</w:t>
      </w:r>
    </w:p>
    <w:p w14:paraId="5809751A" w14:textId="46A001D5" w:rsidR="002018E9" w:rsidRDefault="002018E9" w:rsidP="002018E9">
      <w:r>
        <w:t>The fishery bought immigrants such as Edward (Yankee Ned) Mosby, who set up a beche-de mer station on Masig (Yorke Is</w:t>
      </w:r>
      <w:r w:rsidR="00B547B9">
        <w:t>.</w:t>
      </w:r>
      <w:r>
        <w:t xml:space="preserve">) in 1874, with the blessing of the </w:t>
      </w:r>
      <w:r w:rsidRPr="00EA7DCF">
        <w:t>then island’s chief (or mamoose) Mandi (Thomassin, 2019; Shnukal, 2004; Ganter, 1990). In mid-1880s, Mosby had ‘about fifty Islanders fishing for him’ on his bêche-de-mer station’ (Thomassin, 2019; Shnukal, 2000).</w:t>
      </w:r>
      <w:r>
        <w:t xml:space="preserve"> Another notable immigrant was </w:t>
      </w:r>
      <w:r w:rsidRPr="008739D1">
        <w:t>Douglas Pitt</w:t>
      </w:r>
      <w:r>
        <w:t>,</w:t>
      </w:r>
      <w:r w:rsidRPr="008739D1">
        <w:t xml:space="preserve"> </w:t>
      </w:r>
      <w:r>
        <w:t>a black West Indian</w:t>
      </w:r>
      <w:r w:rsidRPr="008739D1">
        <w:t xml:space="preserve"> from Jamaica </w:t>
      </w:r>
      <w:r>
        <w:t xml:space="preserve">who </w:t>
      </w:r>
      <w:r w:rsidRPr="008739D1">
        <w:t>arrived in Torres Strait</w:t>
      </w:r>
      <w:r>
        <w:t xml:space="preserve"> in 1871, and subsequently </w:t>
      </w:r>
      <w:r w:rsidRPr="008739D1">
        <w:t xml:space="preserve">set up a </w:t>
      </w:r>
      <w:r>
        <w:t>bech-de-</w:t>
      </w:r>
      <w:r>
        <w:lastRenderedPageBreak/>
        <w:t xml:space="preserve">mer </w:t>
      </w:r>
      <w:r w:rsidRPr="008739D1">
        <w:t xml:space="preserve">station on </w:t>
      </w:r>
      <w:r>
        <w:t>Mer (</w:t>
      </w:r>
      <w:r w:rsidRPr="008739D1">
        <w:t xml:space="preserve">Murray </w:t>
      </w:r>
      <w:r w:rsidR="00B547B9">
        <w:t>Is.</w:t>
      </w:r>
      <w:r>
        <w:t>) with a crew of Pacific and Torres Strait Islanders (Ganter, 1990; Mullins, 1995).</w:t>
      </w:r>
    </w:p>
    <w:p w14:paraId="7DDE4D18" w14:textId="77777777" w:rsidR="002018E9" w:rsidRDefault="002018E9" w:rsidP="002018E9">
      <w:r>
        <w:t>Being a maritime people, Torres Strait Islanders were well qualified to do the work asked of them, and there is no doubt that many young Islanders were keen to work in the boats (Mullins, 1995). When the local police magistrate, Henry Chester, visited Banner's station in September 1870 he commented that the 'utmost harmony' prevailed between the Pacific and Tutu Islanders. And by 1886, John Douglas, Chester’s successor, estimated that 500 men and boys were employed in the beche-de-mer fishery, “of whom probably a third, though possibly a half” had come from the Australian mainland (Shnukal, 2004). T</w:t>
      </w:r>
      <w:r w:rsidRPr="00B933E2">
        <w:t>he police magistrates</w:t>
      </w:r>
      <w:r>
        <w:t xml:space="preserve">, such as Chester and Douglas, had limited control over the outer Torres Strait Islands, but could exercise it mainly through the maritime industry fleet (pearlshell and beche-de-mer) and the missionaries (Mullins, 1995). </w:t>
      </w:r>
    </w:p>
    <w:p w14:paraId="54408C13" w14:textId="5DB4A07D" w:rsidR="002018E9" w:rsidRDefault="002018E9" w:rsidP="002018E9">
      <w:r>
        <w:t>The early beche-de-mer and pearlshell fisheries in Torres Strait had a strong influence on Torres Strait governance and culture. Not only did its commercial presence transform the economy and political oversight of the region, the infusion of south sea islanders and Christian missionaries that had close connections with the industry transformed islander communities from traditional communities to hybrid communities in short very short order (Mullins, 1992).</w:t>
      </w:r>
      <w:r w:rsidRPr="00AC0C1E">
        <w:t xml:space="preserve"> </w:t>
      </w:r>
      <w:r>
        <w:t xml:space="preserve">The islanders gathered in fewer more central villages rather than smaller scattered communities, and the semi-nomadic lifestyle of the central islands, at Tudu in particular, ceased (Mullins, 1995). However, many of the old traditions remained, particularly regarding land tenure, and intermarriage strengthened the social cohesion of a Torres Strait wide identity (Mullins, 1995, Haddon et al., 1901). This extended to the usage of a common language, beach-la-mar, the forerunner of later Torres Strait creole, or </w:t>
      </w:r>
      <w:r w:rsidRPr="00097AE4">
        <w:t>Yumplatok</w:t>
      </w:r>
      <w:r w:rsidR="00CD077D">
        <w:t xml:space="preserve"> (Snukul, 2016)</w:t>
      </w:r>
      <w:r>
        <w:t>.</w:t>
      </w:r>
    </w:p>
    <w:p w14:paraId="4B4AA691" w14:textId="77777777" w:rsidR="002018E9" w:rsidRDefault="002018E9" w:rsidP="002018E9">
      <w:r>
        <w:t>This period was not without hardship or drama. It was the unwillingness or inability of ship masters to control their Pacific Islander crewmen which caused the Torres Strait Islanders the greatest physical and psychological trauma (Mullins, 1995).</w:t>
      </w:r>
      <w:r w:rsidRPr="003210D5">
        <w:t xml:space="preserve"> </w:t>
      </w:r>
      <w:r>
        <w:t xml:space="preserve">However, Torres strait Islanders showed a remarkable plasticity and resilience to absorb and adapt to the new ways, such that their society was transformed, but still retained its essential character without the widespread bloodshed and dispossession that occurred on the mainland (with the exception of </w:t>
      </w:r>
      <w:r w:rsidRPr="00092899">
        <w:t>the inner islands of the Karaureg</w:t>
      </w:r>
      <w:r>
        <w:t xml:space="preserve"> which were decimated by early colonial “</w:t>
      </w:r>
      <w:r w:rsidRPr="00FF00EB">
        <w:t>retaliatory</w:t>
      </w:r>
      <w:r>
        <w:t xml:space="preserve">” attacks; Smith, 2018). The establishment of a quasi-local government, with a </w:t>
      </w:r>
      <w:r w:rsidRPr="00FF00EB">
        <w:rPr>
          <w:i/>
          <w:iCs/>
        </w:rPr>
        <w:t>mamoose</w:t>
      </w:r>
      <w:r>
        <w:t xml:space="preserve"> or head man (replaced by island councils in 1899) and local courts, meant that European influence over their affairs was somewhat limited, though the passing of the </w:t>
      </w:r>
      <w:r w:rsidRPr="00092899">
        <w:t xml:space="preserve">“Aboriginals Protection and Restriction of the Sale of Opium Act” in 1897, </w:t>
      </w:r>
      <w:r>
        <w:t xml:space="preserve">did herald a period of </w:t>
      </w:r>
      <w:r w:rsidRPr="00092899">
        <w:t>more regulation and less self-determination</w:t>
      </w:r>
      <w:r>
        <w:t xml:space="preserve"> (Mullins, 1992; 1995).</w:t>
      </w:r>
    </w:p>
    <w:p w14:paraId="09E4F793" w14:textId="77777777" w:rsidR="002018E9" w:rsidRDefault="002018E9" w:rsidP="002018E9">
      <w:r>
        <w:t>Slowly the maritime industries shifted from being run by outsiders to being a truly “local” industry. Much of the beche-de-mer caught in Torres Strait after 1904 came from the subsidised “</w:t>
      </w:r>
      <w:r w:rsidRPr="00546AC1">
        <w:t>company boat</w:t>
      </w:r>
      <w:r>
        <w:t>”</w:t>
      </w:r>
      <w:r w:rsidRPr="00546AC1">
        <w:t xml:space="preserve"> system</w:t>
      </w:r>
      <w:r w:rsidRPr="00827E22">
        <w:t xml:space="preserve"> </w:t>
      </w:r>
      <w:r>
        <w:t xml:space="preserve">(Mullins, 2012). These were based on a semi-government supported philanthropic company called </w:t>
      </w:r>
      <w:r w:rsidRPr="001E5D54">
        <w:t>Papuan Industries Limited (PIL)</w:t>
      </w:r>
      <w:r>
        <w:t xml:space="preserve"> – the forerunner of the current </w:t>
      </w:r>
      <w:r w:rsidRPr="00827E22">
        <w:t xml:space="preserve">Islanders Board of Industry &amp; Service (IBIS) </w:t>
      </w:r>
      <w:r>
        <w:t xml:space="preserve">– which </w:t>
      </w:r>
      <w:r w:rsidRPr="001E5D54">
        <w:t xml:space="preserve">encouraged </w:t>
      </w:r>
      <w:r>
        <w:t>i</w:t>
      </w:r>
      <w:r w:rsidRPr="001E5D54">
        <w:t>slander communities to co-operatively rent or purchase their own luggers</w:t>
      </w:r>
      <w:r>
        <w:t xml:space="preserve">. </w:t>
      </w:r>
    </w:p>
    <w:p w14:paraId="2FFA6F49" w14:textId="77777777" w:rsidR="002018E9" w:rsidRDefault="002018E9" w:rsidP="002018E9">
      <w:r>
        <w:t>The industry in the Strait had peaked from the late 1890s to 1910 and declined rapidly after about 1922. There was a total cessation of activity during World War II, in part as a result of evacuation of islands after bombing raids and the compulsory acquisition of fishing vessels in wartime operations. Despite proposals to re-establish the fishery in Torres Strait as part of post-war reconstruction of northern Australia, there were only sporadic commercial catches over the next 40 years (DEH, 2005).</w:t>
      </w:r>
    </w:p>
    <w:p w14:paraId="60B324C5" w14:textId="7753EC97" w:rsidR="006745DF" w:rsidRPr="00215A08" w:rsidRDefault="002018E9" w:rsidP="00503295">
      <w:pPr>
        <w:pStyle w:val="Heading4"/>
      </w:pPr>
      <w:r w:rsidRPr="002018E9">
        <w:t>Catches of the early east coast “Queensland” fishery</w:t>
      </w:r>
    </w:p>
    <w:p w14:paraId="3B886FE7" w14:textId="0ADDC325" w:rsidR="002018E9" w:rsidRPr="00454AAC" w:rsidRDefault="002018E9" w:rsidP="002018E9">
      <w:bookmarkStart w:id="71" w:name="_Hlk139381528"/>
      <w:bookmarkStart w:id="72" w:name="_Hlk173834827"/>
      <w:bookmarkStart w:id="73" w:name="_Toc150334000"/>
      <w:r>
        <w:t>R</w:t>
      </w:r>
      <w:r w:rsidRPr="00454AAC">
        <w:t xml:space="preserve">ecords </w:t>
      </w:r>
      <w:r>
        <w:t>of</w:t>
      </w:r>
      <w:r w:rsidRPr="00454AAC">
        <w:t xml:space="preserve"> the </w:t>
      </w:r>
      <w:r>
        <w:t xml:space="preserve">early “Queensland” </w:t>
      </w:r>
      <w:r w:rsidRPr="00454AAC">
        <w:t xml:space="preserve">fishery catch </w:t>
      </w:r>
      <w:r>
        <w:t xml:space="preserve">are </w:t>
      </w:r>
      <w:r w:rsidRPr="00454AAC">
        <w:t xml:space="preserve">only </w:t>
      </w:r>
      <w:r>
        <w:t>available from</w:t>
      </w:r>
      <w:r w:rsidRPr="00454AAC">
        <w:t xml:space="preserve"> 1878 and for about the next decade (Saville-Kent, 1893)</w:t>
      </w:r>
      <w:r>
        <w:t>.</w:t>
      </w:r>
      <w:r w:rsidRPr="00454AAC">
        <w:t xml:space="preserve"> </w:t>
      </w:r>
      <w:r>
        <w:t>They</w:t>
      </w:r>
      <w:r w:rsidRPr="00454AAC">
        <w:t xml:space="preserve"> start again </w:t>
      </w:r>
      <w:r>
        <w:t>when</w:t>
      </w:r>
      <w:r w:rsidRPr="00454AAC">
        <w:t xml:space="preserve"> the Commonwealth Year Books began recording exports after federation in 1901 (Anon, 1946). Uthicke (2004) </w:t>
      </w:r>
      <w:bookmarkEnd w:id="71"/>
      <w:r>
        <w:t>reconstructed</w:t>
      </w:r>
      <w:r w:rsidRPr="00454AAC">
        <w:t xml:space="preserve"> historical catches for the early </w:t>
      </w:r>
      <w:r>
        <w:t>“</w:t>
      </w:r>
      <w:r w:rsidRPr="00454AAC">
        <w:t>Queensland” fishery (</w:t>
      </w:r>
      <w:r w:rsidRPr="00454AAC">
        <w:fldChar w:fldCharType="begin"/>
      </w:r>
      <w:r w:rsidRPr="00454AAC">
        <w:instrText xml:space="preserve"> REF _Ref151431677 \h </w:instrText>
      </w:r>
      <w:r>
        <w:instrText xml:space="preserve"> \* MERGEFORMAT </w:instrText>
      </w:r>
      <w:r w:rsidRPr="00454AAC">
        <w:fldChar w:fldCharType="separate"/>
      </w:r>
      <w:r w:rsidR="007B2A78">
        <w:t xml:space="preserve">Figure </w:t>
      </w:r>
      <w:r w:rsidR="007B2A78">
        <w:rPr>
          <w:noProof/>
        </w:rPr>
        <w:t>9</w:t>
      </w:r>
      <w:r w:rsidRPr="00454AAC">
        <w:fldChar w:fldCharType="end"/>
      </w:r>
      <w:r w:rsidRPr="00454AAC">
        <w:t>) with data given in Saville-Kent (1893), Sumner (1981) and Anon (1946).</w:t>
      </w:r>
      <w:r>
        <w:t xml:space="preserve"> </w:t>
      </w:r>
      <w:r w:rsidRPr="00454AAC">
        <w:t>As the early export data were recorded as dry weight or value, several assumptions and conversions had to be made, and the author cautions that the data presented can only be taken as a rough estimate (Uthicke, 2004). Weight data was converted from dry-weight (beche-de-mer product) to landed (wet gutted) weight</w:t>
      </w:r>
      <w:r>
        <w:t>,</w:t>
      </w:r>
      <w:r w:rsidRPr="00454AAC">
        <w:t xml:space="preserve"> using a conversion factor of 7.6 (supposedly using </w:t>
      </w:r>
      <w:r>
        <w:t xml:space="preserve">conversion </w:t>
      </w:r>
      <w:r w:rsidRPr="00454AAC">
        <w:t xml:space="preserve">data for </w:t>
      </w:r>
      <w:r w:rsidRPr="00454AAC">
        <w:rPr>
          <w:i/>
          <w:iCs/>
        </w:rPr>
        <w:t>Holothuria nobilis</w:t>
      </w:r>
      <w:r w:rsidRPr="00454AAC">
        <w:t>)</w:t>
      </w:r>
      <w:r>
        <w:t>.</w:t>
      </w:r>
      <w:r w:rsidRPr="00454AAC">
        <w:t xml:space="preserve"> </w:t>
      </w:r>
      <w:r w:rsidR="00CD077D">
        <w:t xml:space="preserve">While this conversion rate is </w:t>
      </w:r>
      <w:r w:rsidR="00CD077D">
        <w:lastRenderedPageBreak/>
        <w:t xml:space="preserve">dissimilar to established conversion rates for Black teatfish (e.g. </w:t>
      </w:r>
      <w:r w:rsidR="00CD077D" w:rsidRPr="00CD077D">
        <w:t>5.64</w:t>
      </w:r>
      <w:r w:rsidR="00CD077D">
        <w:t xml:space="preserve"> in Murphy et al., 2021c), t</w:t>
      </w:r>
      <w:r>
        <w:t>his is probably a r</w:t>
      </w:r>
      <w:r w:rsidRPr="00454AAC">
        <w:t>ealistic</w:t>
      </w:r>
      <w:r>
        <w:t xml:space="preserve"> conversion factor for a mixed species catch</w:t>
      </w:r>
      <w:r w:rsidRPr="00454AAC">
        <w:t xml:space="preserve"> (Murphy et al., 2021</w:t>
      </w:r>
      <w:r w:rsidR="00CD077D">
        <w:t>c</w:t>
      </w:r>
      <w:r w:rsidRPr="00454AAC">
        <w:t xml:space="preserve">). </w:t>
      </w:r>
    </w:p>
    <w:p w14:paraId="7C39B9D2" w14:textId="77777777" w:rsidR="002018E9" w:rsidRDefault="002018E9" w:rsidP="002018E9">
      <w:pPr>
        <w:rPr>
          <w:rFonts w:asciiTheme="minorHAnsi" w:hAnsiTheme="minorHAnsi" w:cstheme="minorHAnsi"/>
        </w:rPr>
      </w:pPr>
      <w:r w:rsidRPr="00454AAC">
        <w:rPr>
          <w:rFonts w:asciiTheme="minorHAnsi" w:hAnsiTheme="minorHAnsi" w:cstheme="minorHAnsi"/>
        </w:rPr>
        <w:t xml:space="preserve">Also, for the years from 1901 to 1940, only the value of the </w:t>
      </w:r>
      <w:r>
        <w:rPr>
          <w:rFonts w:asciiTheme="minorHAnsi" w:hAnsiTheme="minorHAnsi" w:cstheme="minorHAnsi"/>
        </w:rPr>
        <w:t>catch</w:t>
      </w:r>
      <w:r w:rsidRPr="00454AAC">
        <w:rPr>
          <w:rFonts w:asciiTheme="minorHAnsi" w:hAnsiTheme="minorHAnsi" w:cstheme="minorHAnsi"/>
        </w:rPr>
        <w:t xml:space="preserve"> is reported. These values were converted to weight by assuming an average value of </w:t>
      </w:r>
      <w:r>
        <w:rPr>
          <w:rFonts w:asciiTheme="minorHAnsi" w:hAnsiTheme="minorHAnsi" w:cstheme="minorHAnsi"/>
        </w:rPr>
        <w:t>£</w:t>
      </w:r>
      <w:r w:rsidRPr="00454AAC">
        <w:rPr>
          <w:rFonts w:asciiTheme="minorHAnsi" w:hAnsiTheme="minorHAnsi" w:cstheme="minorHAnsi"/>
        </w:rPr>
        <w:t xml:space="preserve">4.4 </w:t>
      </w:r>
      <w:r>
        <w:rPr>
          <w:rFonts w:asciiTheme="minorHAnsi" w:hAnsiTheme="minorHAnsi" w:cstheme="minorHAnsi"/>
        </w:rPr>
        <w:t>(</w:t>
      </w:r>
      <w:r w:rsidRPr="00454AAC">
        <w:rPr>
          <w:rFonts w:asciiTheme="minorHAnsi" w:hAnsiTheme="minorHAnsi" w:cstheme="minorHAnsi"/>
        </w:rPr>
        <w:t>Australian Pound</w:t>
      </w:r>
      <w:r>
        <w:rPr>
          <w:rFonts w:asciiTheme="minorHAnsi" w:hAnsiTheme="minorHAnsi" w:cstheme="minorHAnsi"/>
        </w:rPr>
        <w:t>s)</w:t>
      </w:r>
      <w:r w:rsidRPr="00454AAC">
        <w:rPr>
          <w:rFonts w:asciiTheme="minorHAnsi" w:hAnsiTheme="minorHAnsi" w:cstheme="minorHAnsi"/>
        </w:rPr>
        <w:t xml:space="preserve"> per </w:t>
      </w:r>
      <w:r>
        <w:rPr>
          <w:rFonts w:asciiTheme="minorHAnsi" w:hAnsiTheme="minorHAnsi" w:cstheme="minorHAnsi"/>
        </w:rPr>
        <w:t>c</w:t>
      </w:r>
      <w:r w:rsidRPr="00454AAC">
        <w:rPr>
          <w:rFonts w:asciiTheme="minorHAnsi" w:hAnsiTheme="minorHAnsi" w:cstheme="minorHAnsi"/>
        </w:rPr>
        <w:t>wt (</w:t>
      </w:r>
      <w:r w:rsidRPr="001A5D90">
        <w:rPr>
          <w:rFonts w:asciiTheme="minorHAnsi" w:hAnsiTheme="minorHAnsi" w:cstheme="minorHAnsi"/>
        </w:rPr>
        <w:t>hundredweight</w:t>
      </w:r>
      <w:r>
        <w:rPr>
          <w:rFonts w:asciiTheme="minorHAnsi" w:hAnsiTheme="minorHAnsi" w:cstheme="minorHAnsi"/>
        </w:rPr>
        <w:t xml:space="preserve"> </w:t>
      </w:r>
      <w:r w:rsidRPr="00454AAC">
        <w:rPr>
          <w:rFonts w:asciiTheme="minorHAnsi" w:hAnsiTheme="minorHAnsi" w:cstheme="minorHAnsi"/>
        </w:rPr>
        <w:t>= 50.8 kg)</w:t>
      </w:r>
      <w:r>
        <w:rPr>
          <w:rFonts w:asciiTheme="minorHAnsi" w:hAnsiTheme="minorHAnsi" w:cstheme="minorHAnsi"/>
        </w:rPr>
        <w:t>;</w:t>
      </w:r>
      <w:r w:rsidRPr="00454AAC">
        <w:rPr>
          <w:rFonts w:asciiTheme="minorHAnsi" w:hAnsiTheme="minorHAnsi" w:cstheme="minorHAnsi"/>
        </w:rPr>
        <w:t xml:space="preserve"> this figure being the average </w:t>
      </w:r>
      <w:r>
        <w:rPr>
          <w:rFonts w:asciiTheme="minorHAnsi" w:hAnsiTheme="minorHAnsi" w:cstheme="minorHAnsi"/>
        </w:rPr>
        <w:t xml:space="preserve">value of exported sea cucumber </w:t>
      </w:r>
      <w:r w:rsidRPr="00454AAC">
        <w:rPr>
          <w:rFonts w:asciiTheme="minorHAnsi" w:hAnsiTheme="minorHAnsi" w:cstheme="minorHAnsi"/>
        </w:rPr>
        <w:t>for the period 1925</w:t>
      </w:r>
      <w:r>
        <w:rPr>
          <w:rFonts w:asciiTheme="minorHAnsi" w:hAnsiTheme="minorHAnsi" w:cstheme="minorHAnsi"/>
        </w:rPr>
        <w:t xml:space="preserve"> to</w:t>
      </w:r>
      <w:r w:rsidRPr="00454AAC">
        <w:rPr>
          <w:rFonts w:asciiTheme="minorHAnsi" w:hAnsiTheme="minorHAnsi" w:cstheme="minorHAnsi"/>
        </w:rPr>
        <w:t xml:space="preserve"> 1940</w:t>
      </w:r>
      <w:r>
        <w:rPr>
          <w:rFonts w:asciiTheme="minorHAnsi" w:hAnsiTheme="minorHAnsi" w:cstheme="minorHAnsi"/>
        </w:rPr>
        <w:t xml:space="preserve"> </w:t>
      </w:r>
      <w:r w:rsidRPr="00454AAC">
        <w:rPr>
          <w:rFonts w:asciiTheme="minorHAnsi" w:hAnsiTheme="minorHAnsi" w:cstheme="minorHAnsi"/>
        </w:rPr>
        <w:t xml:space="preserve">derived from Australian </w:t>
      </w:r>
      <w:r>
        <w:rPr>
          <w:rFonts w:asciiTheme="minorHAnsi" w:hAnsiTheme="minorHAnsi" w:cstheme="minorHAnsi"/>
        </w:rPr>
        <w:t xml:space="preserve">Commonwealth </w:t>
      </w:r>
      <w:r w:rsidRPr="00454AAC">
        <w:rPr>
          <w:rFonts w:asciiTheme="minorHAnsi" w:hAnsiTheme="minorHAnsi" w:cstheme="minorHAnsi"/>
        </w:rPr>
        <w:t xml:space="preserve">export data (Anon., 1946). </w:t>
      </w:r>
      <w:bookmarkStart w:id="74" w:name="_Hlk173725944"/>
      <w:r w:rsidRPr="00454AAC">
        <w:rPr>
          <w:rFonts w:asciiTheme="minorHAnsi" w:hAnsiTheme="minorHAnsi" w:cstheme="minorHAnsi"/>
        </w:rPr>
        <w:t>However</w:t>
      </w:r>
      <w:r>
        <w:rPr>
          <w:rFonts w:asciiTheme="minorHAnsi" w:hAnsiTheme="minorHAnsi" w:cstheme="minorHAnsi"/>
        </w:rPr>
        <w:t>,</w:t>
      </w:r>
      <w:r w:rsidRPr="00454AAC">
        <w:rPr>
          <w:rFonts w:asciiTheme="minorHAnsi" w:hAnsiTheme="minorHAnsi" w:cstheme="minorHAnsi"/>
        </w:rPr>
        <w:t xml:space="preserve"> </w:t>
      </w:r>
      <w:r>
        <w:rPr>
          <w:rFonts w:asciiTheme="minorHAnsi" w:hAnsiTheme="minorHAnsi" w:cstheme="minorHAnsi"/>
        </w:rPr>
        <w:t xml:space="preserve">this </w:t>
      </w:r>
      <w:r w:rsidRPr="00454AAC">
        <w:rPr>
          <w:rFonts w:asciiTheme="minorHAnsi" w:hAnsiTheme="minorHAnsi" w:cstheme="minorHAnsi"/>
        </w:rPr>
        <w:t xml:space="preserve">value may be too low </w:t>
      </w:r>
      <w:r>
        <w:rPr>
          <w:rFonts w:asciiTheme="minorHAnsi" w:hAnsiTheme="minorHAnsi" w:cstheme="minorHAnsi"/>
        </w:rPr>
        <w:t>as</w:t>
      </w:r>
      <w:r w:rsidRPr="00454AAC">
        <w:rPr>
          <w:rFonts w:asciiTheme="minorHAnsi" w:hAnsiTheme="minorHAnsi" w:cstheme="minorHAnsi"/>
        </w:rPr>
        <w:t xml:space="preserve"> </w:t>
      </w:r>
      <w:r>
        <w:rPr>
          <w:rFonts w:asciiTheme="minorHAnsi" w:hAnsiTheme="minorHAnsi" w:cstheme="minorHAnsi"/>
        </w:rPr>
        <w:t xml:space="preserve">the </w:t>
      </w:r>
      <w:r w:rsidRPr="00454AAC">
        <w:rPr>
          <w:rFonts w:asciiTheme="minorHAnsi" w:hAnsiTheme="minorHAnsi" w:cstheme="minorHAnsi"/>
        </w:rPr>
        <w:t xml:space="preserve">average price paid for sea cucumbers in Queensland in the years 1923 and 1928 was </w:t>
      </w:r>
      <w:r>
        <w:rPr>
          <w:rFonts w:asciiTheme="minorHAnsi" w:hAnsiTheme="minorHAnsi" w:cstheme="minorHAnsi"/>
        </w:rPr>
        <w:t>£</w:t>
      </w:r>
      <w:r w:rsidRPr="00454AAC">
        <w:rPr>
          <w:rFonts w:asciiTheme="minorHAnsi" w:hAnsiTheme="minorHAnsi" w:cstheme="minorHAnsi"/>
        </w:rPr>
        <w:t xml:space="preserve">9.36 per </w:t>
      </w:r>
      <w:r>
        <w:rPr>
          <w:rFonts w:asciiTheme="minorHAnsi" w:hAnsiTheme="minorHAnsi" w:cstheme="minorHAnsi"/>
        </w:rPr>
        <w:t>c</w:t>
      </w:r>
      <w:r w:rsidRPr="00454AAC">
        <w:rPr>
          <w:rFonts w:asciiTheme="minorHAnsi" w:hAnsiTheme="minorHAnsi" w:cstheme="minorHAnsi"/>
        </w:rPr>
        <w:t xml:space="preserve">wt (Sumner, 1981). </w:t>
      </w:r>
      <w:bookmarkEnd w:id="74"/>
      <w:r w:rsidRPr="00454AAC">
        <w:rPr>
          <w:rFonts w:asciiTheme="minorHAnsi" w:hAnsiTheme="minorHAnsi" w:cstheme="minorHAnsi"/>
        </w:rPr>
        <w:t>Applying th</w:t>
      </w:r>
      <w:r>
        <w:rPr>
          <w:rFonts w:asciiTheme="minorHAnsi" w:hAnsiTheme="minorHAnsi" w:cstheme="minorHAnsi"/>
        </w:rPr>
        <w:t>i</w:t>
      </w:r>
      <w:r w:rsidRPr="00454AAC">
        <w:rPr>
          <w:rFonts w:asciiTheme="minorHAnsi" w:hAnsiTheme="minorHAnsi" w:cstheme="minorHAnsi"/>
        </w:rPr>
        <w:t xml:space="preserve">s alternative </w:t>
      </w:r>
      <w:r>
        <w:rPr>
          <w:rFonts w:asciiTheme="minorHAnsi" w:hAnsiTheme="minorHAnsi" w:cstheme="minorHAnsi"/>
        </w:rPr>
        <w:t xml:space="preserve">valuation </w:t>
      </w:r>
      <w:r w:rsidRPr="00454AAC">
        <w:rPr>
          <w:rFonts w:asciiTheme="minorHAnsi" w:hAnsiTheme="minorHAnsi" w:cstheme="minorHAnsi"/>
        </w:rPr>
        <w:t xml:space="preserve">factor would reduce the </w:t>
      </w:r>
      <w:r>
        <w:rPr>
          <w:rFonts w:asciiTheme="minorHAnsi" w:hAnsiTheme="minorHAnsi" w:cstheme="minorHAnsi"/>
        </w:rPr>
        <w:t xml:space="preserve">1900-1940 </w:t>
      </w:r>
      <w:r w:rsidRPr="00454AAC">
        <w:rPr>
          <w:rFonts w:asciiTheme="minorHAnsi" w:hAnsiTheme="minorHAnsi" w:cstheme="minorHAnsi"/>
        </w:rPr>
        <w:t xml:space="preserve">estimated </w:t>
      </w:r>
      <w:r>
        <w:rPr>
          <w:rFonts w:asciiTheme="minorHAnsi" w:hAnsiTheme="minorHAnsi" w:cstheme="minorHAnsi"/>
        </w:rPr>
        <w:t xml:space="preserve">catch </w:t>
      </w:r>
      <w:r w:rsidRPr="00454AAC">
        <w:rPr>
          <w:rFonts w:asciiTheme="minorHAnsi" w:hAnsiTheme="minorHAnsi" w:cstheme="minorHAnsi"/>
        </w:rPr>
        <w:t xml:space="preserve">in Uthicke (2004) by </w:t>
      </w:r>
      <w:r>
        <w:rPr>
          <w:rFonts w:asciiTheme="minorHAnsi" w:hAnsiTheme="minorHAnsi" w:cstheme="minorHAnsi"/>
        </w:rPr>
        <w:t>over 50% - illustrating the uncertainty in the final output</w:t>
      </w:r>
      <w:r w:rsidRPr="00454AAC">
        <w:rPr>
          <w:rFonts w:asciiTheme="minorHAnsi" w:hAnsiTheme="minorHAnsi" w:cstheme="minorHAnsi"/>
        </w:rPr>
        <w:t xml:space="preserve">. </w:t>
      </w:r>
      <w:r>
        <w:rPr>
          <w:rFonts w:asciiTheme="minorHAnsi" w:hAnsiTheme="minorHAnsi" w:cstheme="minorHAnsi"/>
        </w:rPr>
        <w:t>It is also important to acknowledge that the reported catches are likely to be an underestimate of actual fishery extractions, due to discarding and non-reporting.</w:t>
      </w:r>
    </w:p>
    <w:p w14:paraId="4D9AA360" w14:textId="307AADD2" w:rsidR="002018E9" w:rsidRDefault="002018E9" w:rsidP="002018E9">
      <w:r>
        <w:rPr>
          <w:rFonts w:asciiTheme="minorHAnsi" w:hAnsiTheme="minorHAnsi" w:cstheme="minorHAnsi"/>
        </w:rPr>
        <w:t xml:space="preserve">In any case, the sea cucumber catch during the historical east coast fishery was very likely several times greater than its modern-day successors – the historical fishery was described as being fished in “vast quantities” over an extended period – with over 100 boats active in the fishery in the early 1880s, the majority based in Thursday Island and Cooktown (Saville-Kent, 1893). </w:t>
      </w:r>
      <w:r>
        <w:t>In the 1860’s a</w:t>
      </w:r>
      <w:r w:rsidRPr="00037151">
        <w:t xml:space="preserve"> whaler could catch up to 1300 teatfish on one trip</w:t>
      </w:r>
      <w:r>
        <w:t xml:space="preserve"> </w:t>
      </w:r>
      <w:r w:rsidRPr="00037151">
        <w:t>(</w:t>
      </w:r>
      <w:r>
        <w:t xml:space="preserve">MacGillivray, 1862; cited in </w:t>
      </w:r>
      <w:r w:rsidRPr="00037151">
        <w:t>Mullins, 1992)</w:t>
      </w:r>
      <w:r>
        <w:t>, and a good average catch rate for a fishing station on the northern GBR fishing grounds during the 1880s was 1 ton of dried beche-de-mer (approximately 7.6 t gutted) per month, working with four boats, carrying twenty to twenty-four men (</w:t>
      </w:r>
      <w:r w:rsidRPr="00C46549">
        <w:t>Saville-Kent, 1893</w:t>
      </w:r>
      <w:r>
        <w:t xml:space="preserve">). </w:t>
      </w:r>
      <w:r w:rsidRPr="00037151">
        <w:t>The curing process was labour intensive</w:t>
      </w:r>
      <w:r>
        <w:t xml:space="preserve"> – b</w:t>
      </w:r>
      <w:r w:rsidRPr="00037151">
        <w:t xml:space="preserve">etween 8,000 and 8,700 teatfish and 18,500 'red fish' were needed to make </w:t>
      </w:r>
      <w:r w:rsidR="002B19BB" w:rsidRPr="00037151">
        <w:t>one</w:t>
      </w:r>
      <w:r w:rsidRPr="00037151">
        <w:t xml:space="preserve"> ton</w:t>
      </w:r>
      <w:r>
        <w:t>, and a</w:t>
      </w:r>
      <w:r w:rsidRPr="00037151">
        <w:t xml:space="preserve"> whaler could catch up to 1300 teatfish on one trip</w:t>
      </w:r>
      <w:r>
        <w:t xml:space="preserve"> </w:t>
      </w:r>
      <w:r w:rsidRPr="00037151">
        <w:t>(</w:t>
      </w:r>
      <w:r>
        <w:t xml:space="preserve">MacGillivray, 1862; cited in </w:t>
      </w:r>
      <w:r w:rsidRPr="00037151">
        <w:t>Mullins, 1992)</w:t>
      </w:r>
      <w:r>
        <w:t>.</w:t>
      </w:r>
    </w:p>
    <w:p w14:paraId="407A7DE8" w14:textId="77777777" w:rsidR="002018E9" w:rsidRDefault="002018E9" w:rsidP="002018E9">
      <w:r>
        <w:t>Most of the catch was picked up by walking the reef at the spring low tide, but the higher value species, including Black teatfish and Prickly redfish, was also obtained by free diving to a depth of 2 or 3 fathoms (6-9 m) (</w:t>
      </w:r>
      <w:r w:rsidRPr="00C46549">
        <w:t>Saville-Kent, 1893</w:t>
      </w:r>
      <w:r>
        <w:t>). G</w:t>
      </w:r>
      <w:r w:rsidRPr="00126190">
        <w:t>eneral</w:t>
      </w:r>
      <w:r>
        <w:t>ly</w:t>
      </w:r>
      <w:r w:rsidRPr="00126190">
        <w:t>, 9 fathoms (1</w:t>
      </w:r>
      <w:r>
        <w:t xml:space="preserve">6.5 </w:t>
      </w:r>
      <w:r w:rsidRPr="00126190">
        <w:t>m) was the maximum depth worked</w:t>
      </w:r>
      <w:r>
        <w:t xml:space="preserve"> (Sumner, 1881). </w:t>
      </w:r>
    </w:p>
    <w:bookmarkEnd w:id="72"/>
    <w:p w14:paraId="363CF391" w14:textId="77777777" w:rsidR="002018E9" w:rsidRDefault="002018E9" w:rsidP="002018E9">
      <w:pPr>
        <w:keepNext/>
      </w:pPr>
      <w:r>
        <w:rPr>
          <w:noProof/>
        </w:rPr>
        <w:drawing>
          <wp:inline distT="0" distB="0" distL="0" distR="0" wp14:anchorId="24F55739" wp14:editId="7C786CB1">
            <wp:extent cx="5709378" cy="2905125"/>
            <wp:effectExtent l="0" t="0" r="5715" b="0"/>
            <wp:docPr id="608932018" name="Picture 3"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932018" name="Picture 3" descr="A graph of a graph of a graph&#10;&#10;Description automatically generated with medium confidence"/>
                    <pic:cNvPicPr>
                      <a:picLocks noChangeAspect="1" noChangeArrowheads="1"/>
                    </pic:cNvPicPr>
                  </pic:nvPicPr>
                  <pic:blipFill rotWithShape="1">
                    <a:blip r:embed="rId30">
                      <a:extLst>
                        <a:ext uri="{28A0092B-C50C-407E-A947-70E740481C1C}">
                          <a14:useLocalDpi xmlns:a14="http://schemas.microsoft.com/office/drawing/2010/main" val="0"/>
                        </a:ext>
                      </a:extLst>
                    </a:blip>
                    <a:srcRect l="2370" r="1828"/>
                    <a:stretch/>
                  </pic:blipFill>
                  <pic:spPr bwMode="auto">
                    <a:xfrm>
                      <a:off x="0" y="0"/>
                      <a:ext cx="5712124" cy="2906522"/>
                    </a:xfrm>
                    <a:prstGeom prst="rect">
                      <a:avLst/>
                    </a:prstGeom>
                    <a:noFill/>
                    <a:ln>
                      <a:noFill/>
                    </a:ln>
                    <a:extLst>
                      <a:ext uri="{53640926-AAD7-44D8-BBD7-CCE9431645EC}">
                        <a14:shadowObscured xmlns:a14="http://schemas.microsoft.com/office/drawing/2010/main"/>
                      </a:ext>
                    </a:extLst>
                  </pic:spPr>
                </pic:pic>
              </a:graphicData>
            </a:graphic>
          </wp:inline>
        </w:drawing>
      </w:r>
    </w:p>
    <w:p w14:paraId="5B58C3B0" w14:textId="7AA3D130" w:rsidR="002018E9" w:rsidRDefault="002018E9" w:rsidP="002018E9">
      <w:pPr>
        <w:pStyle w:val="Caption"/>
      </w:pPr>
      <w:bookmarkStart w:id="75" w:name="_Ref151431677"/>
      <w:bookmarkStart w:id="76" w:name="_Toc153359858"/>
      <w:bookmarkStart w:id="77" w:name="_Toc189055294"/>
      <w:r>
        <w:t xml:space="preserve">Figure </w:t>
      </w:r>
      <w:fldSimple w:instr=" SEQ Figure \* ARABIC ">
        <w:r w:rsidR="007B2A78">
          <w:rPr>
            <w:noProof/>
          </w:rPr>
          <w:t>9</w:t>
        </w:r>
      </w:fldSimple>
      <w:bookmarkEnd w:id="75"/>
      <w:r>
        <w:t xml:space="preserve">. </w:t>
      </w:r>
      <w:bookmarkStart w:id="78" w:name="_Hlk173834875"/>
      <w:r>
        <w:t xml:space="preserve">Catch of the historic (pre-1950) Queensland sea cucumber fishery (including the GBR, Torres Strait and the Coral Sea) in tonnes gutted weight; and the modern (after 1987) fishery catch for the QSCF, TSBDMF and CSF combined. Early data are from Saville-Kent (1893), Sumner (1981) and Anon (1946). </w:t>
      </w:r>
      <w:bookmarkEnd w:id="78"/>
      <w:r>
        <w:t>Values for the period after 1987 are from QSCF, TSBDMF and CSF logbook data (after Uthicke, 2004).</w:t>
      </w:r>
      <w:bookmarkEnd w:id="76"/>
      <w:r>
        <w:t xml:space="preserve"> n.d. = no data.</w:t>
      </w:r>
      <w:bookmarkEnd w:id="77"/>
    </w:p>
    <w:p w14:paraId="775811BF" w14:textId="235B80C2" w:rsidR="002018E9" w:rsidRDefault="002018E9" w:rsidP="002018E9">
      <w:bookmarkStart w:id="79" w:name="_Hlk161244334"/>
      <w:bookmarkStart w:id="80" w:name="_Hlk173835462"/>
      <w:r>
        <w:t xml:space="preserve">Species composition of the catch of the initial phase of the Queensland fishery (1820-1850) is not known. Catch during the next fishing pulse during the 1880’s included Black teatfish, various species of </w:t>
      </w:r>
      <w:r w:rsidRPr="00584387">
        <w:rPr>
          <w:i/>
          <w:iCs/>
        </w:rPr>
        <w:t>Actinopyga</w:t>
      </w:r>
      <w:r>
        <w:t xml:space="preserve"> (“black and “red” varieties), White teatfish, Prickly redfish and Sandfish (in rough order of relative value)</w:t>
      </w:r>
      <w:r w:rsidRPr="002F0959">
        <w:t xml:space="preserve"> </w:t>
      </w:r>
      <w:r>
        <w:t>(</w:t>
      </w:r>
      <w:r w:rsidRPr="00C46549">
        <w:t>Saville-Kent, 1893</w:t>
      </w:r>
      <w:r>
        <w:t xml:space="preserve">). In 1890 values ranged from £150 per ton for Black teatfish, and £80 to £110 per ton for the black and red </w:t>
      </w:r>
      <w:r w:rsidRPr="008F442B">
        <w:rPr>
          <w:i/>
          <w:iCs/>
        </w:rPr>
        <w:t>Actinopygas</w:t>
      </w:r>
      <w:r>
        <w:t xml:space="preserve">; to £20 per ton for the less well-regarded Sandfish (Saville-Kent, 1893). Several “supplementary species” bulked up the catch, including other </w:t>
      </w:r>
      <w:r w:rsidRPr="00191756">
        <w:rPr>
          <w:i/>
          <w:iCs/>
        </w:rPr>
        <w:t>Actinopyga</w:t>
      </w:r>
      <w:r>
        <w:t xml:space="preserve"> (e.g. Stonefish) and some </w:t>
      </w:r>
      <w:r w:rsidRPr="00191756">
        <w:rPr>
          <w:i/>
          <w:iCs/>
        </w:rPr>
        <w:lastRenderedPageBreak/>
        <w:t>Bohadschia</w:t>
      </w:r>
      <w:r>
        <w:t xml:space="preserve"> (e.g. Leopardfish). However, most </w:t>
      </w:r>
      <w:r w:rsidRPr="00191756">
        <w:rPr>
          <w:i/>
          <w:iCs/>
        </w:rPr>
        <w:t>Bohadschia</w:t>
      </w:r>
      <w:r>
        <w:t xml:space="preserve"> (due to the expelling of cuverian tubules) and </w:t>
      </w:r>
      <w:r w:rsidRPr="00191756">
        <w:rPr>
          <w:i/>
          <w:iCs/>
        </w:rPr>
        <w:t>Stichopus</w:t>
      </w:r>
      <w:r>
        <w:t xml:space="preserve"> (due to easy disintegration) were generally not considered commercial. The total edible species count during the 1880’s was about 20 (</w:t>
      </w:r>
      <w:r w:rsidRPr="00C46549">
        <w:t>Saville-Kent, 1893</w:t>
      </w:r>
      <w:r>
        <w:t xml:space="preserve">). </w:t>
      </w:r>
    </w:p>
    <w:p w14:paraId="08ADD24A" w14:textId="77777777" w:rsidR="002018E9" w:rsidRDefault="002018E9" w:rsidP="002018E9">
      <w:r>
        <w:t>Black teatfish was the highest value species at the time, and White teatfish was of only small commercial value (presumably due to moderate value and “low abundance”) (</w:t>
      </w:r>
      <w:r w:rsidRPr="00C46549">
        <w:t>Saville-Kent, 1893</w:t>
      </w:r>
      <w:r>
        <w:t>). Prickly redfish was, at one time (around 1880), the highest value species, but a poisoning accident in 1881 (caused by processing the sea cucumber in a copper pot) reduced its value, and it never really regained its preeminent position (</w:t>
      </w:r>
      <w:r w:rsidRPr="00C46549">
        <w:t>Saville-Kent, 1893</w:t>
      </w:r>
      <w:r>
        <w:t>; Ryle, 2000). Sandfish was then considered a low value species, primarily due to the abundance of calcareous spicules on its integument (</w:t>
      </w:r>
      <w:r w:rsidRPr="00C46549">
        <w:t>Saville-Kent, 1893</w:t>
      </w:r>
      <w:r>
        <w:t>). Species composition during the third phase of the early fishery from 1900 to WWII is unknown.</w:t>
      </w:r>
    </w:p>
    <w:p w14:paraId="0F6904C7" w14:textId="77777777" w:rsidR="002018E9" w:rsidRDefault="002018E9" w:rsidP="002018E9">
      <w:r>
        <w:t xml:space="preserve">As for the catch proportions, there is no data. However, all indications are that it was a broad multispecies catch (Saville Kent, 1893, Sumner, 1981). While the value of Black teatfish was £150 per ton in 1890, the average value of the catch for the period 1881-1889 was £90 per ton (Saville Kent, 1893), and the average value of the top 8 listed species was £79 per ton, indicating a well-mixed catch (Saville Kent, 1893). </w:t>
      </w:r>
      <w:bookmarkEnd w:id="79"/>
      <w:r>
        <w:t xml:space="preserve">In any case, there is sufficient evidence to overturn the lingering </w:t>
      </w:r>
      <w:r w:rsidRPr="00D03138">
        <w:t>paradigm</w:t>
      </w:r>
      <w:r>
        <w:t xml:space="preserve"> of historical fisheries being focused on a single or even a small number of target species – more likely that fishers targeted a wide range of species, probably fishing down the value and accessibility chain over time to some extent – but certainly not leaving accessible commercial species unexploited over the period of the fishery.</w:t>
      </w:r>
    </w:p>
    <w:p w14:paraId="4AE8F9FE" w14:textId="73B0AE65" w:rsidR="002018E9" w:rsidRDefault="002018E9" w:rsidP="002018E9">
      <w:r>
        <w:t>All three current east coast fisheries in the Torres Strait, Queensland east coast and Coral Sea will have been included in the above compilation</w:t>
      </w:r>
      <w:r w:rsidR="000E65EF">
        <w:t>, and c</w:t>
      </w:r>
      <w:r>
        <w:t>atch from PNG, the Solomons and Vanuatu may also be included to some extent at least</w:t>
      </w:r>
      <w:r w:rsidR="000E65EF" w:rsidRPr="000E65EF">
        <w:t xml:space="preserve"> </w:t>
      </w:r>
      <w:r w:rsidR="000E65EF">
        <w:t>(Saville Kent, 1893, Sumner, 1981)</w:t>
      </w:r>
      <w:r>
        <w:t>. It is not known if there were differences in the catch of these regions, though it is reasonable to expect that Torres Strait would have had the highest proportion of Sandfish (having the large Warrior Reef Sandfish population, but also an abundance</w:t>
      </w:r>
      <w:r w:rsidR="00B547B9">
        <w:t xml:space="preserve"> of</w:t>
      </w:r>
      <w:r>
        <w:t xml:space="preserve"> other species in east Torres Strait), followed by the Queensland east coast, and with the Coral Sea having no Sandfish. </w:t>
      </w:r>
    </w:p>
    <w:p w14:paraId="66CB6BD9" w14:textId="77777777" w:rsidR="002018E9" w:rsidRDefault="002018E9" w:rsidP="002018E9">
      <w:r>
        <w:t>There is no evidence that any early beche-de-mer fishing operations used underwater diving equipment, and harvesting was generally restricted to 9 fathoms (16.5 m) (Saville-Kent, 1893; Sumner, 1981), though there is mention of weighted spears that could potentially increase the fishing depth. It is likely then that deeper water populations, particularly White teatfish and Prickly redfish would have been protected somewhat from heavy depletion during the historical fishery. Areas with extensive deep habitat, such as the Swains Reefs in the southern GBR may also have been relatively lightly fished – this area would have been very difficult for small sail powered vessels and even larger processing vessels to navigate and work, being exposed to the prevailing winds, waves and currents.</w:t>
      </w:r>
    </w:p>
    <w:bookmarkEnd w:id="80"/>
    <w:p w14:paraId="63D01EE5" w14:textId="77777777" w:rsidR="00693391" w:rsidRDefault="00693391" w:rsidP="00ED43EC">
      <w:pPr>
        <w:pStyle w:val="Heading3"/>
      </w:pPr>
      <w:r>
        <w:t>Early fishery management</w:t>
      </w:r>
      <w:bookmarkEnd w:id="73"/>
    </w:p>
    <w:p w14:paraId="282179B3" w14:textId="77777777" w:rsidR="002018E9" w:rsidRDefault="002018E9" w:rsidP="002018E9">
      <w:r w:rsidRPr="00B17772">
        <w:t>The early fisheries were characterised by maintaining a consistent strategy of “resource-raiding” (Ganter, 1990), supported by early assessments of the fishery that leaned towards an attitude of unlimited resources and unrealised development potential (Saville-Kent, 1893; Lloyd, 2016).</w:t>
      </w:r>
      <w:r>
        <w:t xml:space="preserve"> </w:t>
      </w:r>
      <w:r w:rsidRPr="00B17772">
        <w:t xml:space="preserve">Regulation was usually about jurisdictional control, taxation and labour (especially in the use of indigenous and south sea islander labour in the industry) (Ganter, 1990; Mullins, 2012). </w:t>
      </w:r>
    </w:p>
    <w:p w14:paraId="27469594" w14:textId="77777777" w:rsidR="002018E9" w:rsidRDefault="002018E9" w:rsidP="002018E9">
      <w:r>
        <w:t xml:space="preserve">The </w:t>
      </w:r>
      <w:r w:rsidRPr="004A17A1">
        <w:t>annex</w:t>
      </w:r>
      <w:r>
        <w:t xml:space="preserve">ation of </w:t>
      </w:r>
      <w:r w:rsidRPr="004A17A1">
        <w:t xml:space="preserve">all Torres Strait islands </w:t>
      </w:r>
      <w:r>
        <w:t xml:space="preserve">by the colony of Queensland between </w:t>
      </w:r>
      <w:r w:rsidRPr="004A17A1">
        <w:t>1872</w:t>
      </w:r>
      <w:r>
        <w:t xml:space="preserve"> and 1879 and the implementation of </w:t>
      </w:r>
      <w:r>
        <w:rPr>
          <w:i/>
          <w:iCs/>
        </w:rPr>
        <w:t>The Pearl-Shell and Bêche-de-mer Fishery Act of 1881</w:t>
      </w:r>
      <w:r>
        <w:t xml:space="preserve"> was largely driven by a desire to exert control over and regulate the rapidly emerging beche-de-mer and pearlshell fisheries, however it was </w:t>
      </w:r>
      <w:r w:rsidRPr="00785307">
        <w:t>primarily aimed at regulat</w:t>
      </w:r>
      <w:r>
        <w:t xml:space="preserve">ing the recruitment activities of boat masters </w:t>
      </w:r>
      <w:r w:rsidRPr="00785307">
        <w:t xml:space="preserve">and </w:t>
      </w:r>
      <w:r>
        <w:t xml:space="preserve">obtaining </w:t>
      </w:r>
      <w:r w:rsidRPr="00785307">
        <w:t>revenue through licensing of boats and divers</w:t>
      </w:r>
      <w:r>
        <w:t xml:space="preserve"> (Gantor, 1990; Thomassin, 2019)</w:t>
      </w:r>
      <w:r w:rsidRPr="00785307">
        <w:t>.</w:t>
      </w:r>
      <w:r>
        <w:t xml:space="preserve"> </w:t>
      </w:r>
    </w:p>
    <w:p w14:paraId="59E52887" w14:textId="40BD9C62" w:rsidR="002018E9" w:rsidRDefault="002018E9" w:rsidP="002018E9">
      <w:r w:rsidRPr="00B17772">
        <w:t xml:space="preserve">While the closely aligned pearlshell fishery </w:t>
      </w:r>
      <w:r>
        <w:t>d</w:t>
      </w:r>
      <w:r w:rsidRPr="00B17772">
        <w:t>i</w:t>
      </w:r>
      <w:r>
        <w:t>d</w:t>
      </w:r>
      <w:r w:rsidRPr="00B17772">
        <w:t xml:space="preserve"> see some regulation aimed at </w:t>
      </w:r>
      <w:r>
        <w:t xml:space="preserve">fishery </w:t>
      </w:r>
      <w:r w:rsidRPr="00B17772">
        <w:t xml:space="preserve">sustainability (e.g. a minimum shell size limit and closure of some areas </w:t>
      </w:r>
      <w:r w:rsidR="00B547B9">
        <w:t xml:space="preserve">in </w:t>
      </w:r>
      <w:r w:rsidRPr="00B17772">
        <w:t>1889 (Lloyd, 2016)</w:t>
      </w:r>
      <w:r>
        <w:t>)</w:t>
      </w:r>
      <w:r w:rsidRPr="00B17772">
        <w:t xml:space="preserve">, no limits were applied to the </w:t>
      </w:r>
      <w:r>
        <w:t xml:space="preserve">early </w:t>
      </w:r>
      <w:r w:rsidRPr="00B17772">
        <w:t xml:space="preserve">beche-de-mer fisheries. </w:t>
      </w:r>
    </w:p>
    <w:p w14:paraId="3D9DCBC1" w14:textId="06D7F7A7" w:rsidR="00D85BE6" w:rsidRDefault="00D85BE6" w:rsidP="00CE03E8">
      <w:pPr>
        <w:pStyle w:val="Heading2"/>
      </w:pPr>
      <w:bookmarkStart w:id="81" w:name="_Toc189055275"/>
      <w:r>
        <w:lastRenderedPageBreak/>
        <w:t>The modern Australian fishery</w:t>
      </w:r>
      <w:bookmarkEnd w:id="81"/>
    </w:p>
    <w:p w14:paraId="346DD479" w14:textId="2BF0392B" w:rsidR="00EB3953" w:rsidRDefault="00E33A97" w:rsidP="00EB3953">
      <w:r>
        <w:t>F</w:t>
      </w:r>
      <w:r w:rsidR="0037763B">
        <w:t>ish</w:t>
      </w:r>
      <w:r>
        <w:t xml:space="preserve">ing for sea cucumbers </w:t>
      </w:r>
      <w:r w:rsidR="00A7351E">
        <w:t>in A</w:t>
      </w:r>
      <w:r w:rsidR="00887124">
        <w:t xml:space="preserve">ustralian </w:t>
      </w:r>
      <w:r w:rsidR="00EB3953">
        <w:t xml:space="preserve">waters </w:t>
      </w:r>
      <w:r w:rsidR="00887124">
        <w:t xml:space="preserve">resumed </w:t>
      </w:r>
      <w:r w:rsidR="0037763B">
        <w:t xml:space="preserve">in the </w:t>
      </w:r>
      <w:r w:rsidR="00EB3953">
        <w:t>mid-</w:t>
      </w:r>
      <w:r w:rsidR="0037763B">
        <w:t>1980s, mirroring the global resurgence of sea cucumber fisheries driven by resurgent China (</w:t>
      </w:r>
      <w:r w:rsidR="0010478F">
        <w:t>see section above</w:t>
      </w:r>
      <w:r w:rsidR="0037763B">
        <w:t xml:space="preserve">). </w:t>
      </w:r>
      <w:r w:rsidR="00EB3953">
        <w:t xml:space="preserve">There are currently </w:t>
      </w:r>
      <w:r w:rsidR="0041705D">
        <w:t xml:space="preserve">seven </w:t>
      </w:r>
      <w:r w:rsidR="00EB3953">
        <w:t xml:space="preserve">sea cucumber fisheries in the Australian EEZ, </w:t>
      </w:r>
      <w:r w:rsidR="0041705D">
        <w:t xml:space="preserve">six </w:t>
      </w:r>
      <w:r w:rsidR="00EB3953">
        <w:t>being active (</w:t>
      </w:r>
      <w:r w:rsidR="00EB3953">
        <w:fldChar w:fldCharType="begin"/>
      </w:r>
      <w:r w:rsidR="00EB3953">
        <w:instrText xml:space="preserve"> REF _Ref151056809 \h </w:instrText>
      </w:r>
      <w:r w:rsidR="00EB3953">
        <w:fldChar w:fldCharType="separate"/>
      </w:r>
      <w:r w:rsidR="007B2A78">
        <w:t xml:space="preserve">Table </w:t>
      </w:r>
      <w:r w:rsidR="007B2A78">
        <w:rPr>
          <w:noProof/>
        </w:rPr>
        <w:t>5</w:t>
      </w:r>
      <w:r w:rsidR="00EB3953">
        <w:fldChar w:fldCharType="end"/>
      </w:r>
      <w:r w:rsidR="00EB3953">
        <w:t>)</w:t>
      </w:r>
      <w:r w:rsidR="002018E9">
        <w:t xml:space="preserve"> – the Moreton Bay sea cucumber fishery was last fished in 2007</w:t>
      </w:r>
      <w:r w:rsidR="00EB3953">
        <w:t>. The Timor MOU Box fishery is fished by Indonesian fishers under an MOU between Australia and Indonesia that came into effect in 1975 (Fox and Sen, 2002; Prescott et al.,2017).</w:t>
      </w:r>
    </w:p>
    <w:p w14:paraId="7FCB5430" w14:textId="3A42AF21" w:rsidR="00EB3953" w:rsidRDefault="00EB3953" w:rsidP="00EB3953">
      <w:r>
        <w:t>Fisheries were re-established firstly in the QSCF on the GBR, then in the TSBDMF and subsequently</w:t>
      </w:r>
      <w:r w:rsidR="00463797">
        <w:t xml:space="preserve"> in the WA</w:t>
      </w:r>
      <w:r w:rsidR="00454AAC">
        <w:t>SCF</w:t>
      </w:r>
      <w:r w:rsidR="00463797">
        <w:t xml:space="preserve">, </w:t>
      </w:r>
      <w:r>
        <w:t>NT</w:t>
      </w:r>
      <w:r w:rsidR="00454AAC">
        <w:t>TF</w:t>
      </w:r>
      <w:r>
        <w:t xml:space="preserve"> and </w:t>
      </w:r>
      <w:r w:rsidR="00454AAC">
        <w:t xml:space="preserve">the </w:t>
      </w:r>
      <w:r w:rsidR="00463797">
        <w:t xml:space="preserve">CSF </w:t>
      </w:r>
      <w:r>
        <w:t>(</w:t>
      </w:r>
      <w:r>
        <w:fldChar w:fldCharType="begin"/>
      </w:r>
      <w:r>
        <w:instrText xml:space="preserve"> REF _Ref151223839 \h </w:instrText>
      </w:r>
      <w:r>
        <w:fldChar w:fldCharType="separate"/>
      </w:r>
      <w:r w:rsidR="007B2A78">
        <w:t xml:space="preserve">Figure </w:t>
      </w:r>
      <w:r w:rsidR="007B2A78">
        <w:rPr>
          <w:noProof/>
        </w:rPr>
        <w:t>10</w:t>
      </w:r>
      <w:r>
        <w:fldChar w:fldCharType="end"/>
      </w:r>
      <w:r>
        <w:t>)</w:t>
      </w:r>
      <w:r w:rsidR="00463797">
        <w:t xml:space="preserve">. </w:t>
      </w:r>
      <w:r w:rsidR="00F973C8">
        <w:t xml:space="preserve">The QSCF is Australia’s largest sea cucumber fishery, with over </w:t>
      </w:r>
      <w:r w:rsidR="00454AAC">
        <w:t>60</w:t>
      </w:r>
      <w:r w:rsidR="00F973C8">
        <w:t xml:space="preserve">% of the total </w:t>
      </w:r>
      <w:r w:rsidR="00454AAC">
        <w:t xml:space="preserve">recorded </w:t>
      </w:r>
      <w:r w:rsidR="00F973C8">
        <w:t>catch since records of the modern fishery began</w:t>
      </w:r>
      <w:r w:rsidR="005E3E52">
        <w:t xml:space="preserve"> in 1988</w:t>
      </w:r>
      <w:r w:rsidR="00F973C8">
        <w:t xml:space="preserve">. The </w:t>
      </w:r>
      <w:r w:rsidR="00454AAC">
        <w:t xml:space="preserve">TSBDMF </w:t>
      </w:r>
      <w:r w:rsidR="00491125">
        <w:t>is the second largest (</w:t>
      </w:r>
      <w:r w:rsidR="00454AAC">
        <w:t>15%</w:t>
      </w:r>
      <w:r w:rsidR="00491125">
        <w:t xml:space="preserve">), followed by the </w:t>
      </w:r>
      <w:r w:rsidR="00003F23">
        <w:t xml:space="preserve">NTTF </w:t>
      </w:r>
      <w:r w:rsidR="00F973C8">
        <w:t>(</w:t>
      </w:r>
      <w:r w:rsidR="00491125">
        <w:t>1</w:t>
      </w:r>
      <w:r w:rsidR="00003F23">
        <w:t>2</w:t>
      </w:r>
      <w:r w:rsidR="00491125">
        <w:t>.</w:t>
      </w:r>
      <w:r w:rsidR="00003F23">
        <w:t>6</w:t>
      </w:r>
      <w:r w:rsidR="00491125">
        <w:t xml:space="preserve">%), and the </w:t>
      </w:r>
      <w:r w:rsidR="00003F23">
        <w:t xml:space="preserve">WASCF </w:t>
      </w:r>
      <w:r w:rsidR="00491125">
        <w:t>(</w:t>
      </w:r>
      <w:r w:rsidR="00003F23">
        <w:t>9.8</w:t>
      </w:r>
      <w:r w:rsidR="00491125">
        <w:t xml:space="preserve">%). The CSF and MBSCF are both minor fisheries </w:t>
      </w:r>
      <w:r w:rsidR="0041705D">
        <w:t xml:space="preserve">with </w:t>
      </w:r>
      <w:r w:rsidR="00003F23">
        <w:t xml:space="preserve">about </w:t>
      </w:r>
      <w:r w:rsidR="00491125">
        <w:t xml:space="preserve">1% of total recorded </w:t>
      </w:r>
      <w:r w:rsidR="005E3E52">
        <w:t xml:space="preserve">Australian </w:t>
      </w:r>
      <w:r w:rsidR="00491125">
        <w:t>catch</w:t>
      </w:r>
      <w:r w:rsidR="00FC2F36">
        <w:t xml:space="preserve"> (</w:t>
      </w:r>
      <w:r w:rsidR="00FC2F36">
        <w:fldChar w:fldCharType="begin"/>
      </w:r>
      <w:r w:rsidR="00FC2F36">
        <w:instrText xml:space="preserve"> REF _Ref151223839 \h </w:instrText>
      </w:r>
      <w:r w:rsidR="00FC2F36">
        <w:fldChar w:fldCharType="separate"/>
      </w:r>
      <w:r w:rsidR="007B2A78">
        <w:t xml:space="preserve">Figure </w:t>
      </w:r>
      <w:r w:rsidR="007B2A78">
        <w:rPr>
          <w:noProof/>
        </w:rPr>
        <w:t>10</w:t>
      </w:r>
      <w:r w:rsidR="00FC2F36">
        <w:fldChar w:fldCharType="end"/>
      </w:r>
      <w:r w:rsidR="00FC2F36">
        <w:t>)</w:t>
      </w:r>
      <w:r w:rsidR="00491125">
        <w:t>.</w:t>
      </w:r>
    </w:p>
    <w:p w14:paraId="1F426834" w14:textId="77777777" w:rsidR="00465920" w:rsidRDefault="00465920" w:rsidP="00FC2F36"/>
    <w:p w14:paraId="566907AF" w14:textId="77777777" w:rsidR="00465920" w:rsidRDefault="00465920" w:rsidP="00465920">
      <w:r>
        <w:rPr>
          <w:noProof/>
        </w:rPr>
        <w:drawing>
          <wp:inline distT="0" distB="0" distL="0" distR="0" wp14:anchorId="631ADF26" wp14:editId="18EFA340">
            <wp:extent cx="5991225" cy="3040457"/>
            <wp:effectExtent l="0" t="0" r="0" b="7620"/>
            <wp:docPr id="147833443" name="Picture 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33443" name="Picture 4" descr="A graph of different colored lines&#10;&#10;Description automatically generated"/>
                    <pic:cNvPicPr>
                      <a:picLocks noChangeAspect="1" noChangeArrowheads="1"/>
                    </pic:cNvPicPr>
                  </pic:nvPicPr>
                  <pic:blipFill rotWithShape="1">
                    <a:blip r:embed="rId31">
                      <a:extLst>
                        <a:ext uri="{28A0092B-C50C-407E-A947-70E740481C1C}">
                          <a14:useLocalDpi xmlns:a14="http://schemas.microsoft.com/office/drawing/2010/main" val="0"/>
                        </a:ext>
                      </a:extLst>
                    </a:blip>
                    <a:srcRect l="1415" t="13800" r="3966" b="6908"/>
                    <a:stretch/>
                  </pic:blipFill>
                  <pic:spPr bwMode="auto">
                    <a:xfrm>
                      <a:off x="0" y="0"/>
                      <a:ext cx="5998481" cy="3044139"/>
                    </a:xfrm>
                    <a:prstGeom prst="rect">
                      <a:avLst/>
                    </a:prstGeom>
                    <a:noFill/>
                    <a:ln>
                      <a:noFill/>
                    </a:ln>
                    <a:extLst>
                      <a:ext uri="{53640926-AAD7-44D8-BBD7-CCE9431645EC}">
                        <a14:shadowObscured xmlns:a14="http://schemas.microsoft.com/office/drawing/2010/main"/>
                      </a:ext>
                    </a:extLst>
                  </pic:spPr>
                </pic:pic>
              </a:graphicData>
            </a:graphic>
          </wp:inline>
        </w:drawing>
      </w:r>
    </w:p>
    <w:p w14:paraId="1658AE13" w14:textId="0A4E69D6" w:rsidR="00465920" w:rsidRDefault="00465920" w:rsidP="00465920">
      <w:pPr>
        <w:pStyle w:val="Caption"/>
      </w:pPr>
      <w:bookmarkStart w:id="82" w:name="_Ref151223839"/>
      <w:bookmarkStart w:id="83" w:name="_Toc153359859"/>
      <w:bookmarkStart w:id="84" w:name="_Toc189055295"/>
      <w:r>
        <w:t xml:space="preserve">Figure </w:t>
      </w:r>
      <w:fldSimple w:instr=" SEQ Figure \* ARABIC ">
        <w:r w:rsidR="007B2A78">
          <w:rPr>
            <w:noProof/>
          </w:rPr>
          <w:t>10</w:t>
        </w:r>
      </w:fldSimple>
      <w:bookmarkEnd w:id="82"/>
      <w:r>
        <w:t xml:space="preserve">.  Catches of all sea cucumber species in Australian fisheries for the period 1988 to 2022 (in wet gutted weight given caveats mentioned in text) (not including Timor Sea MOU Box fishery). (MBSCF: Moreton Bay Sea Cucumber Fishery, CSF: Coral Sea Fishery, NTTF: </w:t>
      </w:r>
      <w:r w:rsidRPr="00EC0992">
        <w:t>Northern Territory Trepang Fishery</w:t>
      </w:r>
      <w:r>
        <w:t xml:space="preserve">, </w:t>
      </w:r>
      <w:r w:rsidRPr="00CC1C18">
        <w:t>WASCF</w:t>
      </w:r>
      <w:r>
        <w:t>:</w:t>
      </w:r>
      <w:r w:rsidRPr="00CC1C18">
        <w:t xml:space="preserve"> Western Australian Sea Cucumber Fishery</w:t>
      </w:r>
      <w:r>
        <w:t xml:space="preserve"> (converted from live weight using established conversion ratios), </w:t>
      </w:r>
      <w:r w:rsidRPr="00CC1C18">
        <w:t>TSBDMF</w:t>
      </w:r>
      <w:r>
        <w:t xml:space="preserve">: </w:t>
      </w:r>
      <w:r w:rsidRPr="00CC1C18">
        <w:t>Torres Strait Beche-de-mer Fishery</w:t>
      </w:r>
      <w:r>
        <w:t xml:space="preserve">, </w:t>
      </w:r>
      <w:r w:rsidRPr="00CC1C18">
        <w:t>QSCF</w:t>
      </w:r>
      <w:r>
        <w:t xml:space="preserve">: </w:t>
      </w:r>
      <w:r w:rsidRPr="00CC1C18">
        <w:t>Queensland Sea Cucumber Fishery (East Coast)</w:t>
      </w:r>
      <w:r>
        <w:t>. Data sources: Fishery logbook data (AFMA, Qld DAF), Fishery Status Reports (ABARES, WA DPIRD, NT DITT)</w:t>
      </w:r>
      <w:bookmarkEnd w:id="83"/>
      <w:bookmarkEnd w:id="84"/>
    </w:p>
    <w:p w14:paraId="78986C6C" w14:textId="77777777" w:rsidR="00463797" w:rsidRDefault="00463797" w:rsidP="00463797"/>
    <w:p w14:paraId="06FFCA5A" w14:textId="2CD6BADE" w:rsidR="00465920" w:rsidRDefault="00465920" w:rsidP="00465920">
      <w:r>
        <w:t>Of the three eastern fisheries, the CSF has the greatest area, but the QSCF has the most shallow reef habitat (87% of total) (</w:t>
      </w:r>
      <w:fldSimple w:instr=" REF _Ref174102333 ">
        <w:r w:rsidR="007B2A78">
          <w:t xml:space="preserve">Table </w:t>
        </w:r>
        <w:r w:rsidR="007B2A78">
          <w:rPr>
            <w:noProof/>
          </w:rPr>
          <w:t>3</w:t>
        </w:r>
      </w:fldSimple>
      <w:r>
        <w:t>). For all three fisheries combined, over 30% of the shallow reef habitat is closed to fishing (</w:t>
      </w:r>
      <w:fldSimple w:instr=" REF _Ref174102333 ">
        <w:r w:rsidR="007B2A78">
          <w:t xml:space="preserve">Table </w:t>
        </w:r>
        <w:r w:rsidR="007B2A78">
          <w:rPr>
            <w:noProof/>
          </w:rPr>
          <w:t>3</w:t>
        </w:r>
      </w:fldSimple>
      <w:r>
        <w:t>,</w:t>
      </w:r>
      <w:r w:rsidR="009B5A1A">
        <w:t xml:space="preserve"> </w:t>
      </w:r>
      <w:fldSimple w:instr=" REF _Ref174102362 ">
        <w:r w:rsidR="007B2A78">
          <w:t xml:space="preserve">Figure </w:t>
        </w:r>
        <w:r w:rsidR="007B2A78">
          <w:rPr>
            <w:noProof/>
          </w:rPr>
          <w:t>11</w:t>
        </w:r>
      </w:fldSimple>
      <w:r>
        <w:t>).</w:t>
      </w:r>
    </w:p>
    <w:p w14:paraId="1E029E03" w14:textId="77777777" w:rsidR="00465920" w:rsidRDefault="00465920" w:rsidP="00465920"/>
    <w:p w14:paraId="74789EE7" w14:textId="77777777" w:rsidR="00465920" w:rsidRDefault="00465920" w:rsidP="00465920"/>
    <w:p w14:paraId="7ED00B6A" w14:textId="77777777" w:rsidR="000E65EF" w:rsidRDefault="000E65EF" w:rsidP="00465920"/>
    <w:p w14:paraId="528ED27F" w14:textId="77777777" w:rsidR="000E65EF" w:rsidRDefault="000E65EF" w:rsidP="00465920"/>
    <w:p w14:paraId="24ACECB9" w14:textId="77777777" w:rsidR="000E65EF" w:rsidRDefault="000E65EF" w:rsidP="00465920"/>
    <w:p w14:paraId="69D65CED" w14:textId="77777777" w:rsidR="00465920" w:rsidRDefault="00465920" w:rsidP="00465920"/>
    <w:p w14:paraId="65749F39" w14:textId="2C12D899" w:rsidR="00465920" w:rsidRDefault="00465920" w:rsidP="00465920">
      <w:pPr>
        <w:pStyle w:val="Caption"/>
      </w:pPr>
      <w:bookmarkStart w:id="85" w:name="_Ref174102333"/>
      <w:bookmarkStart w:id="86" w:name="_Toc153359869"/>
      <w:bookmarkStart w:id="87" w:name="_Toc174091513"/>
      <w:bookmarkStart w:id="88" w:name="_Toc189055303"/>
      <w:r>
        <w:lastRenderedPageBreak/>
        <w:t xml:space="preserve">Table </w:t>
      </w:r>
      <w:fldSimple w:instr=" SEQ Table \* ARABIC ">
        <w:r w:rsidR="007B2A78">
          <w:rPr>
            <w:noProof/>
          </w:rPr>
          <w:t>3</w:t>
        </w:r>
      </w:fldSimple>
      <w:bookmarkEnd w:id="85"/>
      <w:r>
        <w:t>. Area (km</w:t>
      </w:r>
      <w:r w:rsidRPr="004B1E79">
        <w:rPr>
          <w:vertAlign w:val="superscript"/>
        </w:rPr>
        <w:t>2</w:t>
      </w:r>
      <w:r>
        <w:t xml:space="preserve">) of each of the three east coast fisheries that target </w:t>
      </w:r>
      <w:r w:rsidR="002B19BB">
        <w:t>teatfish</w:t>
      </w:r>
      <w:r>
        <w:t xml:space="preserve"> species, including the area of shallow (&lt;20 m deep) and deep (&gt;20 m deep) reef habitat, and closed areas in each fishery.</w:t>
      </w:r>
      <w:bookmarkEnd w:id="86"/>
      <w:bookmarkEnd w:id="87"/>
      <w:bookmarkEnd w:id="88"/>
    </w:p>
    <w:tbl>
      <w:tblPr>
        <w:tblStyle w:val="GridTable4"/>
        <w:tblW w:w="9058" w:type="dxa"/>
        <w:tblLook w:val="0620" w:firstRow="1" w:lastRow="0" w:firstColumn="0" w:lastColumn="0" w:noHBand="1" w:noVBand="1"/>
      </w:tblPr>
      <w:tblGrid>
        <w:gridCol w:w="970"/>
        <w:gridCol w:w="1107"/>
        <w:gridCol w:w="961"/>
        <w:gridCol w:w="818"/>
        <w:gridCol w:w="960"/>
        <w:gridCol w:w="846"/>
        <w:gridCol w:w="769"/>
        <w:gridCol w:w="1011"/>
        <w:gridCol w:w="847"/>
        <w:gridCol w:w="769"/>
      </w:tblGrid>
      <w:tr w:rsidR="00465920" w:rsidRPr="00E67C72" w14:paraId="772F9ECC" w14:textId="77777777" w:rsidTr="00291AE1">
        <w:trPr>
          <w:cnfStyle w:val="100000000000" w:firstRow="1" w:lastRow="0" w:firstColumn="0" w:lastColumn="0" w:oddVBand="0" w:evenVBand="0" w:oddHBand="0" w:evenHBand="0" w:firstRowFirstColumn="0" w:firstRowLastColumn="0" w:lastRowFirstColumn="0" w:lastRowLastColumn="0"/>
        </w:trPr>
        <w:tc>
          <w:tcPr>
            <w:tcW w:w="951" w:type="dxa"/>
            <w:tcBorders>
              <w:right w:val="double" w:sz="4" w:space="0" w:color="000000" w:themeColor="text1"/>
            </w:tcBorders>
          </w:tcPr>
          <w:p w14:paraId="460D2825" w14:textId="77777777" w:rsidR="00465920" w:rsidRPr="00E67C72" w:rsidRDefault="00465920" w:rsidP="00291AE1">
            <w:pPr>
              <w:rPr>
                <w:color w:val="FFFFFF" w:themeColor="background1"/>
              </w:rPr>
            </w:pPr>
            <w:r w:rsidRPr="00E67C72">
              <w:rPr>
                <w:color w:val="FFFFFF" w:themeColor="background1"/>
              </w:rPr>
              <w:t>Fishery</w:t>
            </w:r>
          </w:p>
        </w:tc>
        <w:tc>
          <w:tcPr>
            <w:tcW w:w="1077" w:type="dxa"/>
            <w:tcBorders>
              <w:left w:val="double" w:sz="4" w:space="0" w:color="000000" w:themeColor="text1"/>
            </w:tcBorders>
          </w:tcPr>
          <w:p w14:paraId="01C9F680" w14:textId="77777777" w:rsidR="00465920" w:rsidRPr="00E67C72" w:rsidRDefault="00465920" w:rsidP="00291AE1">
            <w:pPr>
              <w:jc w:val="center"/>
              <w:rPr>
                <w:color w:val="FFFFFF" w:themeColor="background1"/>
              </w:rPr>
            </w:pPr>
            <w:r w:rsidRPr="00E67C72">
              <w:rPr>
                <w:color w:val="FFFFFF" w:themeColor="background1"/>
              </w:rPr>
              <w:t>Fishery area</w:t>
            </w:r>
          </w:p>
        </w:tc>
        <w:tc>
          <w:tcPr>
            <w:tcW w:w="964" w:type="dxa"/>
          </w:tcPr>
          <w:p w14:paraId="3C0244EC" w14:textId="77777777" w:rsidR="00465920" w:rsidRPr="00E67C72" w:rsidRDefault="00465920" w:rsidP="00291AE1">
            <w:pPr>
              <w:jc w:val="center"/>
              <w:rPr>
                <w:color w:val="FFFFFF" w:themeColor="background1"/>
              </w:rPr>
            </w:pPr>
            <w:r w:rsidRPr="00E67C72">
              <w:rPr>
                <w:color w:val="FFFFFF" w:themeColor="background1"/>
              </w:rPr>
              <w:t>Closed</w:t>
            </w:r>
          </w:p>
        </w:tc>
        <w:tc>
          <w:tcPr>
            <w:tcW w:w="850" w:type="dxa"/>
            <w:tcBorders>
              <w:right w:val="double" w:sz="4" w:space="0" w:color="000000" w:themeColor="text1"/>
            </w:tcBorders>
          </w:tcPr>
          <w:p w14:paraId="3E1AE2F6" w14:textId="77777777" w:rsidR="00465920" w:rsidRPr="00E67C72" w:rsidRDefault="00465920" w:rsidP="00291AE1">
            <w:pPr>
              <w:jc w:val="center"/>
              <w:rPr>
                <w:color w:val="FFFFFF" w:themeColor="background1"/>
              </w:rPr>
            </w:pPr>
            <w:r w:rsidRPr="00E67C72">
              <w:rPr>
                <w:color w:val="FFFFFF" w:themeColor="background1"/>
              </w:rPr>
              <w:t>%</w:t>
            </w:r>
          </w:p>
        </w:tc>
        <w:tc>
          <w:tcPr>
            <w:tcW w:w="964" w:type="dxa"/>
            <w:tcBorders>
              <w:left w:val="double" w:sz="4" w:space="0" w:color="000000" w:themeColor="text1"/>
            </w:tcBorders>
          </w:tcPr>
          <w:p w14:paraId="2881BDF4" w14:textId="77777777" w:rsidR="00465920" w:rsidRPr="00E67C72" w:rsidRDefault="00465920" w:rsidP="00291AE1">
            <w:pPr>
              <w:jc w:val="center"/>
              <w:rPr>
                <w:color w:val="FFFFFF" w:themeColor="background1"/>
              </w:rPr>
            </w:pPr>
            <w:r>
              <w:rPr>
                <w:color w:val="FFFFFF" w:themeColor="background1"/>
              </w:rPr>
              <w:t>Shallow r</w:t>
            </w:r>
            <w:r w:rsidRPr="00E67C72">
              <w:rPr>
                <w:color w:val="FFFFFF" w:themeColor="background1"/>
              </w:rPr>
              <w:t xml:space="preserve">eef </w:t>
            </w:r>
          </w:p>
        </w:tc>
        <w:tc>
          <w:tcPr>
            <w:tcW w:w="850" w:type="dxa"/>
          </w:tcPr>
          <w:p w14:paraId="1460F12A" w14:textId="77777777" w:rsidR="00465920" w:rsidRPr="00E67C72" w:rsidRDefault="00465920" w:rsidP="00291AE1">
            <w:pPr>
              <w:jc w:val="center"/>
              <w:rPr>
                <w:color w:val="FFFFFF" w:themeColor="background1"/>
              </w:rPr>
            </w:pPr>
            <w:r w:rsidRPr="00E67C72">
              <w:rPr>
                <w:color w:val="FFFFFF" w:themeColor="background1"/>
              </w:rPr>
              <w:t>Closed</w:t>
            </w:r>
          </w:p>
        </w:tc>
        <w:tc>
          <w:tcPr>
            <w:tcW w:w="794" w:type="dxa"/>
            <w:tcBorders>
              <w:right w:val="double" w:sz="4" w:space="0" w:color="000000" w:themeColor="text1"/>
            </w:tcBorders>
          </w:tcPr>
          <w:p w14:paraId="6610A296" w14:textId="77777777" w:rsidR="00465920" w:rsidRPr="00E67C72" w:rsidRDefault="00465920" w:rsidP="00291AE1">
            <w:pPr>
              <w:jc w:val="center"/>
              <w:rPr>
                <w:color w:val="FFFFFF" w:themeColor="background1"/>
              </w:rPr>
            </w:pPr>
            <w:r w:rsidRPr="00E67C72">
              <w:rPr>
                <w:color w:val="FFFFFF" w:themeColor="background1"/>
              </w:rPr>
              <w:t>%</w:t>
            </w:r>
          </w:p>
        </w:tc>
        <w:tc>
          <w:tcPr>
            <w:tcW w:w="964" w:type="dxa"/>
            <w:tcBorders>
              <w:left w:val="double" w:sz="4" w:space="0" w:color="000000" w:themeColor="text1"/>
            </w:tcBorders>
          </w:tcPr>
          <w:p w14:paraId="273A3587" w14:textId="77777777" w:rsidR="00465920" w:rsidRPr="00E67C72" w:rsidRDefault="00465920" w:rsidP="00291AE1">
            <w:pPr>
              <w:jc w:val="center"/>
              <w:rPr>
                <w:color w:val="FFFFFF" w:themeColor="background1"/>
              </w:rPr>
            </w:pPr>
            <w:r>
              <w:rPr>
                <w:color w:val="FFFFFF" w:themeColor="background1"/>
              </w:rPr>
              <w:t>Deep reef</w:t>
            </w:r>
          </w:p>
        </w:tc>
        <w:tc>
          <w:tcPr>
            <w:tcW w:w="850" w:type="dxa"/>
          </w:tcPr>
          <w:p w14:paraId="7F243822" w14:textId="77777777" w:rsidR="00465920" w:rsidRPr="00E67C72" w:rsidRDefault="00465920" w:rsidP="00291AE1">
            <w:pPr>
              <w:jc w:val="center"/>
              <w:rPr>
                <w:color w:val="FFFFFF" w:themeColor="background1"/>
              </w:rPr>
            </w:pPr>
            <w:r w:rsidRPr="00E67C72">
              <w:rPr>
                <w:color w:val="FFFFFF" w:themeColor="background1"/>
              </w:rPr>
              <w:t>Closed</w:t>
            </w:r>
          </w:p>
        </w:tc>
        <w:tc>
          <w:tcPr>
            <w:tcW w:w="794" w:type="dxa"/>
          </w:tcPr>
          <w:p w14:paraId="2B8A641E" w14:textId="77777777" w:rsidR="00465920" w:rsidRPr="00E67C72" w:rsidRDefault="00465920" w:rsidP="00291AE1">
            <w:pPr>
              <w:jc w:val="center"/>
              <w:rPr>
                <w:color w:val="FFFFFF" w:themeColor="background1"/>
              </w:rPr>
            </w:pPr>
            <w:r w:rsidRPr="00E67C72">
              <w:rPr>
                <w:color w:val="FFFFFF" w:themeColor="background1"/>
              </w:rPr>
              <w:t>%</w:t>
            </w:r>
          </w:p>
        </w:tc>
      </w:tr>
      <w:tr w:rsidR="00465920" w:rsidRPr="00E67C72" w14:paraId="11CA26D3" w14:textId="77777777" w:rsidTr="00291AE1">
        <w:tc>
          <w:tcPr>
            <w:tcW w:w="951" w:type="dxa"/>
            <w:tcBorders>
              <w:right w:val="double" w:sz="4" w:space="0" w:color="000000" w:themeColor="text1"/>
            </w:tcBorders>
          </w:tcPr>
          <w:p w14:paraId="78EBF862" w14:textId="77777777" w:rsidR="00465920" w:rsidRPr="00E67C72" w:rsidRDefault="00465920" w:rsidP="00291AE1">
            <w:r w:rsidRPr="00E67C72">
              <w:t>QSCF</w:t>
            </w:r>
          </w:p>
        </w:tc>
        <w:tc>
          <w:tcPr>
            <w:tcW w:w="1077" w:type="dxa"/>
            <w:tcBorders>
              <w:left w:val="double" w:sz="4" w:space="0" w:color="000000" w:themeColor="text1"/>
            </w:tcBorders>
          </w:tcPr>
          <w:p w14:paraId="0FA4C69C" w14:textId="77777777" w:rsidR="00465920" w:rsidRPr="00450FE5" w:rsidRDefault="00465920" w:rsidP="00291AE1">
            <w:pPr>
              <w:jc w:val="right"/>
            </w:pPr>
            <w:r w:rsidRPr="00450FE5">
              <w:t>545,982</w:t>
            </w:r>
          </w:p>
        </w:tc>
        <w:tc>
          <w:tcPr>
            <w:tcW w:w="964" w:type="dxa"/>
          </w:tcPr>
          <w:p w14:paraId="3F63FDA7" w14:textId="77777777" w:rsidR="00465920" w:rsidRPr="00450FE5" w:rsidRDefault="00465920" w:rsidP="00291AE1">
            <w:pPr>
              <w:jc w:val="right"/>
            </w:pPr>
            <w:r w:rsidRPr="00450FE5">
              <w:t>132,252</w:t>
            </w:r>
          </w:p>
        </w:tc>
        <w:tc>
          <w:tcPr>
            <w:tcW w:w="850" w:type="dxa"/>
            <w:tcBorders>
              <w:right w:val="double" w:sz="4" w:space="0" w:color="000000" w:themeColor="text1"/>
            </w:tcBorders>
          </w:tcPr>
          <w:p w14:paraId="7A06C53C" w14:textId="77777777" w:rsidR="00465920" w:rsidRPr="00450FE5" w:rsidRDefault="00465920" w:rsidP="00291AE1">
            <w:pPr>
              <w:jc w:val="right"/>
            </w:pPr>
            <w:r w:rsidRPr="00450FE5">
              <w:t>24.2</w:t>
            </w:r>
          </w:p>
        </w:tc>
        <w:tc>
          <w:tcPr>
            <w:tcW w:w="964" w:type="dxa"/>
            <w:tcBorders>
              <w:left w:val="double" w:sz="4" w:space="0" w:color="000000" w:themeColor="text1"/>
            </w:tcBorders>
          </w:tcPr>
          <w:p w14:paraId="70C97944" w14:textId="77777777" w:rsidR="00465920" w:rsidRPr="00450FE5" w:rsidRDefault="00465920" w:rsidP="00291AE1">
            <w:pPr>
              <w:jc w:val="right"/>
            </w:pPr>
            <w:r w:rsidRPr="00450FE5">
              <w:t>26,792</w:t>
            </w:r>
          </w:p>
        </w:tc>
        <w:tc>
          <w:tcPr>
            <w:tcW w:w="850" w:type="dxa"/>
          </w:tcPr>
          <w:p w14:paraId="7C3E2A3F" w14:textId="77777777" w:rsidR="00465920" w:rsidRPr="00450FE5" w:rsidRDefault="00465920" w:rsidP="00291AE1">
            <w:pPr>
              <w:jc w:val="right"/>
            </w:pPr>
            <w:r w:rsidRPr="00450FE5">
              <w:t>8,655</w:t>
            </w:r>
          </w:p>
        </w:tc>
        <w:tc>
          <w:tcPr>
            <w:tcW w:w="794" w:type="dxa"/>
            <w:tcBorders>
              <w:right w:val="double" w:sz="4" w:space="0" w:color="000000" w:themeColor="text1"/>
            </w:tcBorders>
          </w:tcPr>
          <w:p w14:paraId="77E7BF86" w14:textId="77777777" w:rsidR="00465920" w:rsidRPr="00450FE5" w:rsidRDefault="00465920" w:rsidP="00291AE1">
            <w:pPr>
              <w:jc w:val="right"/>
            </w:pPr>
            <w:r w:rsidRPr="00450FE5">
              <w:t>32.3</w:t>
            </w:r>
          </w:p>
        </w:tc>
        <w:tc>
          <w:tcPr>
            <w:tcW w:w="964" w:type="dxa"/>
            <w:tcBorders>
              <w:left w:val="double" w:sz="4" w:space="0" w:color="000000" w:themeColor="text1"/>
            </w:tcBorders>
            <w:vAlign w:val="bottom"/>
          </w:tcPr>
          <w:p w14:paraId="10AB75A3" w14:textId="77777777" w:rsidR="00465920" w:rsidRPr="00450FE5" w:rsidRDefault="00465920" w:rsidP="00291AE1">
            <w:pPr>
              <w:jc w:val="right"/>
            </w:pPr>
            <w:r w:rsidRPr="00D27522">
              <w:t>232,323</w:t>
            </w:r>
            <w:r w:rsidRPr="006E5E4C">
              <w:rPr>
                <w:vertAlign w:val="superscript"/>
              </w:rPr>
              <w:t>1</w:t>
            </w:r>
          </w:p>
        </w:tc>
        <w:tc>
          <w:tcPr>
            <w:tcW w:w="850" w:type="dxa"/>
            <w:vAlign w:val="bottom"/>
          </w:tcPr>
          <w:p w14:paraId="1CCCAEBB" w14:textId="77777777" w:rsidR="00465920" w:rsidRPr="00450FE5" w:rsidRDefault="00465920" w:rsidP="00291AE1">
            <w:pPr>
              <w:jc w:val="right"/>
            </w:pPr>
            <w:r w:rsidRPr="00D27522">
              <w:t>67,285</w:t>
            </w:r>
          </w:p>
        </w:tc>
        <w:tc>
          <w:tcPr>
            <w:tcW w:w="794" w:type="dxa"/>
            <w:vAlign w:val="bottom"/>
          </w:tcPr>
          <w:p w14:paraId="7357FE78" w14:textId="77777777" w:rsidR="00465920" w:rsidRPr="00450FE5" w:rsidRDefault="00465920" w:rsidP="00291AE1">
            <w:pPr>
              <w:jc w:val="right"/>
            </w:pPr>
            <w:r w:rsidRPr="00D27522">
              <w:t>29.0</w:t>
            </w:r>
          </w:p>
        </w:tc>
      </w:tr>
      <w:tr w:rsidR="00465920" w:rsidRPr="00E67C72" w14:paraId="5058FB88" w14:textId="77777777" w:rsidTr="00291AE1">
        <w:tc>
          <w:tcPr>
            <w:tcW w:w="951" w:type="dxa"/>
            <w:tcBorders>
              <w:right w:val="double" w:sz="4" w:space="0" w:color="000000" w:themeColor="text1"/>
            </w:tcBorders>
          </w:tcPr>
          <w:p w14:paraId="13402F6B" w14:textId="77777777" w:rsidR="00465920" w:rsidRPr="00E67C72" w:rsidRDefault="00465920" w:rsidP="00291AE1">
            <w:r w:rsidRPr="00E67C72">
              <w:t>CSF</w:t>
            </w:r>
          </w:p>
        </w:tc>
        <w:tc>
          <w:tcPr>
            <w:tcW w:w="1077" w:type="dxa"/>
            <w:tcBorders>
              <w:left w:val="double" w:sz="4" w:space="0" w:color="000000" w:themeColor="text1"/>
            </w:tcBorders>
          </w:tcPr>
          <w:p w14:paraId="2067C948" w14:textId="77777777" w:rsidR="00465920" w:rsidRPr="00450FE5" w:rsidRDefault="00465920" w:rsidP="00291AE1">
            <w:pPr>
              <w:jc w:val="right"/>
            </w:pPr>
            <w:r w:rsidRPr="00450FE5">
              <w:t>989,836</w:t>
            </w:r>
          </w:p>
        </w:tc>
        <w:tc>
          <w:tcPr>
            <w:tcW w:w="964" w:type="dxa"/>
          </w:tcPr>
          <w:p w14:paraId="48A1857B" w14:textId="77777777" w:rsidR="00465920" w:rsidRPr="00450FE5" w:rsidRDefault="00465920" w:rsidP="00291AE1">
            <w:pPr>
              <w:jc w:val="right"/>
            </w:pPr>
            <w:r w:rsidRPr="00450FE5">
              <w:t>238,400</w:t>
            </w:r>
          </w:p>
        </w:tc>
        <w:tc>
          <w:tcPr>
            <w:tcW w:w="850" w:type="dxa"/>
            <w:tcBorders>
              <w:right w:val="double" w:sz="4" w:space="0" w:color="000000" w:themeColor="text1"/>
            </w:tcBorders>
          </w:tcPr>
          <w:p w14:paraId="778A8D9B" w14:textId="77777777" w:rsidR="00465920" w:rsidRPr="00450FE5" w:rsidRDefault="00465920" w:rsidP="00291AE1">
            <w:pPr>
              <w:jc w:val="right"/>
            </w:pPr>
            <w:r w:rsidRPr="00450FE5">
              <w:t>24.1</w:t>
            </w:r>
          </w:p>
        </w:tc>
        <w:tc>
          <w:tcPr>
            <w:tcW w:w="964" w:type="dxa"/>
            <w:tcBorders>
              <w:left w:val="double" w:sz="4" w:space="0" w:color="000000" w:themeColor="text1"/>
            </w:tcBorders>
          </w:tcPr>
          <w:p w14:paraId="19676FEB" w14:textId="77777777" w:rsidR="00465920" w:rsidRPr="00450FE5" w:rsidRDefault="00465920" w:rsidP="00291AE1">
            <w:pPr>
              <w:jc w:val="right"/>
            </w:pPr>
            <w:r w:rsidRPr="00450FE5">
              <w:t>1,663</w:t>
            </w:r>
          </w:p>
        </w:tc>
        <w:tc>
          <w:tcPr>
            <w:tcW w:w="850" w:type="dxa"/>
          </w:tcPr>
          <w:p w14:paraId="303D408C" w14:textId="77777777" w:rsidR="00465920" w:rsidRPr="00450FE5" w:rsidRDefault="00465920" w:rsidP="00291AE1">
            <w:pPr>
              <w:jc w:val="right"/>
            </w:pPr>
            <w:r w:rsidRPr="00450FE5">
              <w:t>739</w:t>
            </w:r>
          </w:p>
        </w:tc>
        <w:tc>
          <w:tcPr>
            <w:tcW w:w="794" w:type="dxa"/>
            <w:tcBorders>
              <w:right w:val="double" w:sz="4" w:space="0" w:color="000000" w:themeColor="text1"/>
            </w:tcBorders>
          </w:tcPr>
          <w:p w14:paraId="38E1FAD9" w14:textId="77777777" w:rsidR="00465920" w:rsidRPr="00450FE5" w:rsidRDefault="00465920" w:rsidP="00291AE1">
            <w:pPr>
              <w:jc w:val="right"/>
            </w:pPr>
            <w:r w:rsidRPr="00450FE5">
              <w:t>44.4</w:t>
            </w:r>
          </w:p>
        </w:tc>
        <w:tc>
          <w:tcPr>
            <w:tcW w:w="964" w:type="dxa"/>
            <w:tcBorders>
              <w:left w:val="double" w:sz="4" w:space="0" w:color="000000" w:themeColor="text1"/>
            </w:tcBorders>
            <w:vAlign w:val="bottom"/>
          </w:tcPr>
          <w:p w14:paraId="50613551" w14:textId="77777777" w:rsidR="00465920" w:rsidRPr="00450FE5" w:rsidRDefault="00465920" w:rsidP="00291AE1">
            <w:pPr>
              <w:jc w:val="right"/>
            </w:pPr>
            <w:r w:rsidRPr="00D27522">
              <w:t>11,172</w:t>
            </w:r>
          </w:p>
        </w:tc>
        <w:tc>
          <w:tcPr>
            <w:tcW w:w="850" w:type="dxa"/>
            <w:vAlign w:val="bottom"/>
          </w:tcPr>
          <w:p w14:paraId="3C474023" w14:textId="77777777" w:rsidR="00465920" w:rsidRPr="00450FE5" w:rsidRDefault="00465920" w:rsidP="00291AE1">
            <w:pPr>
              <w:jc w:val="right"/>
            </w:pPr>
            <w:r w:rsidRPr="00D27522">
              <w:t>4,894</w:t>
            </w:r>
          </w:p>
        </w:tc>
        <w:tc>
          <w:tcPr>
            <w:tcW w:w="794" w:type="dxa"/>
            <w:vAlign w:val="bottom"/>
          </w:tcPr>
          <w:p w14:paraId="14746525" w14:textId="77777777" w:rsidR="00465920" w:rsidRPr="00450FE5" w:rsidRDefault="00465920" w:rsidP="00291AE1">
            <w:pPr>
              <w:jc w:val="right"/>
            </w:pPr>
            <w:r w:rsidRPr="00D27522">
              <w:t>43.8</w:t>
            </w:r>
          </w:p>
        </w:tc>
      </w:tr>
      <w:tr w:rsidR="00465920" w:rsidRPr="00E67C72" w14:paraId="3C0EFADF" w14:textId="77777777" w:rsidTr="00291AE1">
        <w:tc>
          <w:tcPr>
            <w:tcW w:w="951" w:type="dxa"/>
            <w:tcBorders>
              <w:right w:val="double" w:sz="4" w:space="0" w:color="000000" w:themeColor="text1"/>
            </w:tcBorders>
          </w:tcPr>
          <w:p w14:paraId="00B66800" w14:textId="77777777" w:rsidR="00465920" w:rsidRPr="00E67C72" w:rsidRDefault="00465920" w:rsidP="00291AE1">
            <w:r w:rsidRPr="00E67C72">
              <w:t>TSBDMF</w:t>
            </w:r>
          </w:p>
        </w:tc>
        <w:tc>
          <w:tcPr>
            <w:tcW w:w="1077" w:type="dxa"/>
            <w:tcBorders>
              <w:left w:val="double" w:sz="4" w:space="0" w:color="000000" w:themeColor="text1"/>
            </w:tcBorders>
          </w:tcPr>
          <w:p w14:paraId="70C08870" w14:textId="77777777" w:rsidR="00465920" w:rsidRPr="00450FE5" w:rsidRDefault="00465920" w:rsidP="00291AE1">
            <w:pPr>
              <w:jc w:val="right"/>
            </w:pPr>
            <w:r w:rsidRPr="00450FE5">
              <w:t>42,160</w:t>
            </w:r>
          </w:p>
        </w:tc>
        <w:tc>
          <w:tcPr>
            <w:tcW w:w="964" w:type="dxa"/>
          </w:tcPr>
          <w:p w14:paraId="253F129F" w14:textId="77777777" w:rsidR="00465920" w:rsidRPr="00450FE5" w:rsidRDefault="00465920" w:rsidP="00291AE1">
            <w:pPr>
              <w:jc w:val="right"/>
            </w:pPr>
            <w:r w:rsidRPr="00450FE5">
              <w:t>0</w:t>
            </w:r>
            <w:r w:rsidRPr="006E5E4C">
              <w:rPr>
                <w:vertAlign w:val="superscript"/>
              </w:rPr>
              <w:t>2</w:t>
            </w:r>
          </w:p>
        </w:tc>
        <w:tc>
          <w:tcPr>
            <w:tcW w:w="850" w:type="dxa"/>
            <w:tcBorders>
              <w:right w:val="double" w:sz="4" w:space="0" w:color="000000" w:themeColor="text1"/>
            </w:tcBorders>
          </w:tcPr>
          <w:p w14:paraId="7FBA2C5C" w14:textId="77777777" w:rsidR="00465920" w:rsidRPr="00450FE5" w:rsidRDefault="00465920" w:rsidP="00291AE1">
            <w:pPr>
              <w:jc w:val="right"/>
            </w:pPr>
            <w:r w:rsidRPr="00450FE5">
              <w:t>0.0</w:t>
            </w:r>
          </w:p>
        </w:tc>
        <w:tc>
          <w:tcPr>
            <w:tcW w:w="964" w:type="dxa"/>
            <w:tcBorders>
              <w:left w:val="double" w:sz="4" w:space="0" w:color="000000" w:themeColor="text1"/>
            </w:tcBorders>
          </w:tcPr>
          <w:p w14:paraId="2444B405" w14:textId="77777777" w:rsidR="00465920" w:rsidRPr="00450FE5" w:rsidRDefault="00465920" w:rsidP="00291AE1">
            <w:pPr>
              <w:jc w:val="right"/>
            </w:pPr>
            <w:r w:rsidRPr="00450FE5">
              <w:t>2,403</w:t>
            </w:r>
          </w:p>
        </w:tc>
        <w:tc>
          <w:tcPr>
            <w:tcW w:w="850" w:type="dxa"/>
          </w:tcPr>
          <w:p w14:paraId="7ABADB2F" w14:textId="77777777" w:rsidR="00465920" w:rsidRPr="00450FE5" w:rsidRDefault="00465920" w:rsidP="00291AE1">
            <w:pPr>
              <w:jc w:val="right"/>
            </w:pPr>
            <w:r w:rsidRPr="00450FE5">
              <w:t>0</w:t>
            </w:r>
            <w:r w:rsidRPr="006E5E4C">
              <w:rPr>
                <w:vertAlign w:val="superscript"/>
              </w:rPr>
              <w:t>2</w:t>
            </w:r>
          </w:p>
        </w:tc>
        <w:tc>
          <w:tcPr>
            <w:tcW w:w="794" w:type="dxa"/>
            <w:tcBorders>
              <w:right w:val="double" w:sz="4" w:space="0" w:color="000000" w:themeColor="text1"/>
            </w:tcBorders>
          </w:tcPr>
          <w:p w14:paraId="6D77A331" w14:textId="77777777" w:rsidR="00465920" w:rsidRPr="00450FE5" w:rsidRDefault="00465920" w:rsidP="00291AE1">
            <w:pPr>
              <w:jc w:val="right"/>
            </w:pPr>
            <w:r w:rsidRPr="00450FE5">
              <w:t>0.0</w:t>
            </w:r>
          </w:p>
        </w:tc>
        <w:tc>
          <w:tcPr>
            <w:tcW w:w="964" w:type="dxa"/>
            <w:tcBorders>
              <w:left w:val="double" w:sz="4" w:space="0" w:color="000000" w:themeColor="text1"/>
            </w:tcBorders>
            <w:vAlign w:val="bottom"/>
          </w:tcPr>
          <w:p w14:paraId="21BC783A" w14:textId="77777777" w:rsidR="00465920" w:rsidRPr="00450FE5" w:rsidRDefault="00465920" w:rsidP="00291AE1">
            <w:pPr>
              <w:jc w:val="right"/>
            </w:pPr>
            <w:r w:rsidRPr="00D27522">
              <w:t>1,104</w:t>
            </w:r>
          </w:p>
        </w:tc>
        <w:tc>
          <w:tcPr>
            <w:tcW w:w="850" w:type="dxa"/>
            <w:vAlign w:val="bottom"/>
          </w:tcPr>
          <w:p w14:paraId="565D126D" w14:textId="77777777" w:rsidR="00465920" w:rsidRPr="00450FE5" w:rsidRDefault="00465920" w:rsidP="00291AE1">
            <w:pPr>
              <w:jc w:val="right"/>
            </w:pPr>
            <w:r w:rsidRPr="00D27522">
              <w:t>0</w:t>
            </w:r>
            <w:r w:rsidRPr="006E5E4C">
              <w:rPr>
                <w:vertAlign w:val="superscript"/>
              </w:rPr>
              <w:t>2</w:t>
            </w:r>
          </w:p>
        </w:tc>
        <w:tc>
          <w:tcPr>
            <w:tcW w:w="794" w:type="dxa"/>
            <w:vAlign w:val="bottom"/>
          </w:tcPr>
          <w:p w14:paraId="4B98B2C5" w14:textId="77777777" w:rsidR="00465920" w:rsidRPr="00450FE5" w:rsidRDefault="00465920" w:rsidP="00291AE1">
            <w:pPr>
              <w:jc w:val="right"/>
            </w:pPr>
            <w:r w:rsidRPr="00D27522">
              <w:t>0.0</w:t>
            </w:r>
          </w:p>
        </w:tc>
      </w:tr>
      <w:tr w:rsidR="00465920" w:rsidRPr="00E67C72" w14:paraId="7BCC1F33" w14:textId="77777777" w:rsidTr="00291AE1">
        <w:tc>
          <w:tcPr>
            <w:tcW w:w="951" w:type="dxa"/>
            <w:tcBorders>
              <w:right w:val="double" w:sz="4" w:space="0" w:color="000000" w:themeColor="text1"/>
            </w:tcBorders>
          </w:tcPr>
          <w:p w14:paraId="25BB058B" w14:textId="77777777" w:rsidR="00465920" w:rsidRPr="00E67C72" w:rsidRDefault="00465920" w:rsidP="00291AE1">
            <w:r w:rsidRPr="00E67C72">
              <w:t>TOTAL</w:t>
            </w:r>
          </w:p>
        </w:tc>
        <w:tc>
          <w:tcPr>
            <w:tcW w:w="1077" w:type="dxa"/>
            <w:tcBorders>
              <w:left w:val="double" w:sz="4" w:space="0" w:color="000000" w:themeColor="text1"/>
            </w:tcBorders>
          </w:tcPr>
          <w:p w14:paraId="12D078BF" w14:textId="77777777" w:rsidR="00465920" w:rsidRPr="00450FE5" w:rsidRDefault="00465920" w:rsidP="00291AE1">
            <w:pPr>
              <w:jc w:val="right"/>
            </w:pPr>
            <w:r w:rsidRPr="00450FE5">
              <w:t>1,577,978</w:t>
            </w:r>
          </w:p>
        </w:tc>
        <w:tc>
          <w:tcPr>
            <w:tcW w:w="964" w:type="dxa"/>
          </w:tcPr>
          <w:p w14:paraId="62B4E34B" w14:textId="77777777" w:rsidR="00465920" w:rsidRPr="00450FE5" w:rsidRDefault="00465920" w:rsidP="00291AE1">
            <w:pPr>
              <w:jc w:val="right"/>
            </w:pPr>
            <w:r w:rsidRPr="00450FE5">
              <w:t>370,652</w:t>
            </w:r>
          </w:p>
        </w:tc>
        <w:tc>
          <w:tcPr>
            <w:tcW w:w="850" w:type="dxa"/>
            <w:tcBorders>
              <w:right w:val="double" w:sz="4" w:space="0" w:color="000000" w:themeColor="text1"/>
            </w:tcBorders>
          </w:tcPr>
          <w:p w14:paraId="50809F05" w14:textId="77777777" w:rsidR="00465920" w:rsidRPr="00450FE5" w:rsidRDefault="00465920" w:rsidP="00291AE1">
            <w:pPr>
              <w:jc w:val="right"/>
            </w:pPr>
            <w:r w:rsidRPr="00450FE5">
              <w:t>23.5</w:t>
            </w:r>
          </w:p>
        </w:tc>
        <w:tc>
          <w:tcPr>
            <w:tcW w:w="964" w:type="dxa"/>
            <w:tcBorders>
              <w:left w:val="double" w:sz="4" w:space="0" w:color="000000" w:themeColor="text1"/>
            </w:tcBorders>
          </w:tcPr>
          <w:p w14:paraId="7161566F" w14:textId="77777777" w:rsidR="00465920" w:rsidRPr="00450FE5" w:rsidRDefault="00465920" w:rsidP="00291AE1">
            <w:pPr>
              <w:jc w:val="right"/>
            </w:pPr>
            <w:r w:rsidRPr="00450FE5">
              <w:t>30,858</w:t>
            </w:r>
          </w:p>
        </w:tc>
        <w:tc>
          <w:tcPr>
            <w:tcW w:w="850" w:type="dxa"/>
          </w:tcPr>
          <w:p w14:paraId="3E3DD570" w14:textId="77777777" w:rsidR="00465920" w:rsidRPr="00450FE5" w:rsidRDefault="00465920" w:rsidP="00291AE1">
            <w:pPr>
              <w:jc w:val="right"/>
            </w:pPr>
            <w:r w:rsidRPr="00450FE5">
              <w:t>9,394</w:t>
            </w:r>
          </w:p>
        </w:tc>
        <w:tc>
          <w:tcPr>
            <w:tcW w:w="794" w:type="dxa"/>
            <w:tcBorders>
              <w:right w:val="double" w:sz="4" w:space="0" w:color="000000" w:themeColor="text1"/>
            </w:tcBorders>
          </w:tcPr>
          <w:p w14:paraId="6531FFEE" w14:textId="77777777" w:rsidR="00465920" w:rsidRPr="00450FE5" w:rsidRDefault="00465920" w:rsidP="00291AE1">
            <w:pPr>
              <w:jc w:val="right"/>
            </w:pPr>
            <w:r w:rsidRPr="00450FE5">
              <w:t>30.4</w:t>
            </w:r>
          </w:p>
        </w:tc>
        <w:tc>
          <w:tcPr>
            <w:tcW w:w="964" w:type="dxa"/>
            <w:tcBorders>
              <w:left w:val="double" w:sz="4" w:space="0" w:color="000000" w:themeColor="text1"/>
            </w:tcBorders>
            <w:vAlign w:val="bottom"/>
          </w:tcPr>
          <w:p w14:paraId="4A3429EC" w14:textId="77777777" w:rsidR="00465920" w:rsidRPr="00450FE5" w:rsidRDefault="00465920" w:rsidP="00291AE1">
            <w:pPr>
              <w:jc w:val="right"/>
            </w:pPr>
            <w:r w:rsidRPr="00D27522">
              <w:t>244,600</w:t>
            </w:r>
          </w:p>
        </w:tc>
        <w:tc>
          <w:tcPr>
            <w:tcW w:w="850" w:type="dxa"/>
            <w:vAlign w:val="bottom"/>
          </w:tcPr>
          <w:p w14:paraId="4E39221E" w14:textId="77777777" w:rsidR="00465920" w:rsidRPr="00450FE5" w:rsidRDefault="00465920" w:rsidP="00291AE1">
            <w:pPr>
              <w:jc w:val="right"/>
            </w:pPr>
            <w:r w:rsidRPr="00D27522">
              <w:t>72,179</w:t>
            </w:r>
          </w:p>
        </w:tc>
        <w:tc>
          <w:tcPr>
            <w:tcW w:w="794" w:type="dxa"/>
            <w:vAlign w:val="bottom"/>
          </w:tcPr>
          <w:p w14:paraId="00DEBB82" w14:textId="77777777" w:rsidR="00465920" w:rsidRPr="00450FE5" w:rsidRDefault="00465920" w:rsidP="00291AE1">
            <w:pPr>
              <w:jc w:val="right"/>
            </w:pPr>
            <w:r w:rsidRPr="00D27522">
              <w:t>29.5</w:t>
            </w:r>
          </w:p>
        </w:tc>
      </w:tr>
    </w:tbl>
    <w:p w14:paraId="60D5D17A" w14:textId="77777777" w:rsidR="00465920" w:rsidRPr="006E5E4C" w:rsidRDefault="00465920" w:rsidP="00465920">
      <w:pPr>
        <w:rPr>
          <w:sz w:val="18"/>
          <w:szCs w:val="18"/>
        </w:rPr>
      </w:pPr>
      <w:r w:rsidRPr="006E5E4C">
        <w:rPr>
          <w:sz w:val="18"/>
          <w:szCs w:val="18"/>
          <w:vertAlign w:val="superscript"/>
        </w:rPr>
        <w:t>1</w:t>
      </w:r>
      <w:r w:rsidRPr="006E5E4C">
        <w:rPr>
          <w:sz w:val="18"/>
          <w:szCs w:val="18"/>
        </w:rPr>
        <w:t xml:space="preserve"> This is the shelf area of the GBR which is a zone adjacent to a continent (or around an island) extending from the low water line to a depth at which there is usually a marked shelf edge (GBRMPA). An estimate of the area of “submerged banks” on the GBR is 41,000 km</w:t>
      </w:r>
      <w:r w:rsidRPr="006266A8">
        <w:rPr>
          <w:sz w:val="18"/>
          <w:szCs w:val="18"/>
          <w:vertAlign w:val="superscript"/>
        </w:rPr>
        <w:t>2</w:t>
      </w:r>
      <w:r w:rsidRPr="006E5E4C">
        <w:rPr>
          <w:sz w:val="18"/>
          <w:szCs w:val="18"/>
        </w:rPr>
        <w:t xml:space="preserve"> (Harris et al., 2013). </w:t>
      </w:r>
      <w:r w:rsidRPr="006E5E4C">
        <w:rPr>
          <w:sz w:val="18"/>
          <w:szCs w:val="18"/>
        </w:rPr>
        <w:br/>
      </w:r>
      <w:r w:rsidRPr="006E5E4C">
        <w:rPr>
          <w:sz w:val="18"/>
          <w:szCs w:val="18"/>
          <w:vertAlign w:val="superscript"/>
        </w:rPr>
        <w:t>2</w:t>
      </w:r>
      <w:r w:rsidRPr="006E5E4C">
        <w:rPr>
          <w:sz w:val="18"/>
          <w:szCs w:val="18"/>
        </w:rPr>
        <w:t xml:space="preserve"> There are three Indigenous Protected Areas (IPA) in Torres Strait, however the fishery protection status of those IPAs for sea cucumbers is not known.</w:t>
      </w:r>
    </w:p>
    <w:p w14:paraId="05D2148F" w14:textId="77777777" w:rsidR="00465920" w:rsidRDefault="00465920" w:rsidP="00465920"/>
    <w:p w14:paraId="676B6041" w14:textId="77777777" w:rsidR="00465920" w:rsidRDefault="00465920" w:rsidP="00465920">
      <w:r>
        <w:rPr>
          <w:noProof/>
        </w:rPr>
        <w:drawing>
          <wp:inline distT="0" distB="0" distL="0" distR="0" wp14:anchorId="13C8C0BE" wp14:editId="1796EB3A">
            <wp:extent cx="5476875" cy="4927815"/>
            <wp:effectExtent l="0" t="0" r="0" b="6350"/>
            <wp:docPr id="1389927653" name="Picture 7" descr="A map of the north and south americ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27653" name="Picture 7" descr="A map of the north and south america&#10;&#10;Description automatically generated"/>
                    <pic:cNvPicPr/>
                  </pic:nvPicPr>
                  <pic:blipFill rotWithShape="1">
                    <a:blip r:embed="rId32" cstate="print">
                      <a:extLst>
                        <a:ext uri="{28A0092B-C50C-407E-A947-70E740481C1C}">
                          <a14:useLocalDpi xmlns:a14="http://schemas.microsoft.com/office/drawing/2010/main" val="0"/>
                        </a:ext>
                      </a:extLst>
                    </a:blip>
                    <a:srcRect l="20940" t="7519" r="12752" b="8115"/>
                    <a:stretch/>
                  </pic:blipFill>
                  <pic:spPr bwMode="auto">
                    <a:xfrm>
                      <a:off x="0" y="0"/>
                      <a:ext cx="5480742" cy="4931294"/>
                    </a:xfrm>
                    <a:prstGeom prst="rect">
                      <a:avLst/>
                    </a:prstGeom>
                    <a:ln>
                      <a:noFill/>
                    </a:ln>
                    <a:extLst>
                      <a:ext uri="{53640926-AAD7-44D8-BBD7-CCE9431645EC}">
                        <a14:shadowObscured xmlns:a14="http://schemas.microsoft.com/office/drawing/2010/main"/>
                      </a:ext>
                    </a:extLst>
                  </pic:spPr>
                </pic:pic>
              </a:graphicData>
            </a:graphic>
          </wp:inline>
        </w:drawing>
      </w:r>
    </w:p>
    <w:p w14:paraId="1D588132" w14:textId="6C7E0718" w:rsidR="00465920" w:rsidRDefault="00465920" w:rsidP="00465920">
      <w:pPr>
        <w:pStyle w:val="Caption"/>
      </w:pPr>
      <w:bookmarkStart w:id="89" w:name="_Ref174102362"/>
      <w:bookmarkStart w:id="90" w:name="_Toc153359861"/>
      <w:bookmarkStart w:id="91" w:name="_Toc189055296"/>
      <w:r>
        <w:t xml:space="preserve">Figure </w:t>
      </w:r>
      <w:fldSimple w:instr=" SEQ Figure \* ARABIC ">
        <w:r w:rsidR="007B2A78">
          <w:rPr>
            <w:noProof/>
          </w:rPr>
          <w:t>11</w:t>
        </w:r>
      </w:fldSimple>
      <w:bookmarkEnd w:id="89"/>
      <w:r>
        <w:t xml:space="preserve">. The three east coast sea cucumber fisheries </w:t>
      </w:r>
      <w:r w:rsidRPr="00534DD8">
        <w:t>and areas closed to fishing (IUCN IA and II)</w:t>
      </w:r>
      <w:r>
        <w:t xml:space="preserve"> (in red)</w:t>
      </w:r>
      <w:bookmarkEnd w:id="90"/>
      <w:bookmarkEnd w:id="91"/>
    </w:p>
    <w:p w14:paraId="1F14F22E" w14:textId="77777777" w:rsidR="00465920" w:rsidRDefault="00465920" w:rsidP="00463797"/>
    <w:p w14:paraId="48370214" w14:textId="77777777" w:rsidR="00465920" w:rsidRDefault="00465920" w:rsidP="00463797"/>
    <w:p w14:paraId="2A5740E3" w14:textId="40FEC747" w:rsidR="00DD488F" w:rsidRPr="00EF2F42" w:rsidRDefault="00EF2F42" w:rsidP="00EF2F42">
      <w:pPr>
        <w:pStyle w:val="Heading3"/>
      </w:pPr>
      <w:r w:rsidRPr="00EF2F42">
        <w:lastRenderedPageBreak/>
        <w:t>Catch</w:t>
      </w:r>
    </w:p>
    <w:p w14:paraId="08B609B4" w14:textId="5106CBC7" w:rsidR="00465920" w:rsidRDefault="00465920" w:rsidP="00465920">
      <w:bookmarkStart w:id="92" w:name="_Hlk173843336"/>
      <w:r w:rsidRPr="00675CB9">
        <w:rPr>
          <w:i/>
          <w:iCs/>
        </w:rPr>
        <w:t xml:space="preserve">A note on fishery catch </w:t>
      </w:r>
      <w:r>
        <w:rPr>
          <w:i/>
          <w:iCs/>
        </w:rPr>
        <w:t>reporting</w:t>
      </w:r>
      <w:r>
        <w:t>. Sea cucumbers, like other marine resources, can be assessed</w:t>
      </w:r>
      <w:r w:rsidR="00165042">
        <w:t>,</w:t>
      </w:r>
      <w:r>
        <w:t xml:space="preserve"> reported and managed as individual numbers or by weight. In Australian sea cucumber fisheries, catch is usually reported and managed by weight</w:t>
      </w:r>
      <w:r w:rsidR="00B36D05">
        <w:t xml:space="preserve">, </w:t>
      </w:r>
      <w:r w:rsidR="005D313A">
        <w:t xml:space="preserve">typically </w:t>
      </w:r>
      <w:r>
        <w:t xml:space="preserve">using the </w:t>
      </w:r>
      <w:r w:rsidR="00336929">
        <w:t>product form (</w:t>
      </w:r>
      <w:r>
        <w:t>processed state</w:t>
      </w:r>
      <w:r w:rsidR="00336929">
        <w:t xml:space="preserve">) </w:t>
      </w:r>
      <w:r>
        <w:t>at the first opportunity for operators to reliably weigh the catch (</w:t>
      </w:r>
      <w:fldSimple w:instr=" REF _Ref167114342 ">
        <w:r w:rsidR="007B2A78">
          <w:t xml:space="preserve">Table </w:t>
        </w:r>
        <w:r w:rsidR="007B2A78">
          <w:rPr>
            <w:noProof/>
          </w:rPr>
          <w:t>4</w:t>
        </w:r>
      </w:fldSimple>
      <w:r>
        <w:t>) – often referred to as “landed” weight</w:t>
      </w:r>
      <w:r w:rsidR="00336929">
        <w:t>. These range from</w:t>
      </w:r>
      <w:r w:rsidR="000C3553">
        <w:t>:</w:t>
      </w:r>
      <w:r w:rsidR="00336929">
        <w:t xml:space="preserve"> whole live (e.g. WASCF)</w:t>
      </w:r>
      <w:r w:rsidR="000C3553">
        <w:t xml:space="preserve">; gutted (TSBDMF); </w:t>
      </w:r>
      <w:r w:rsidR="00336929">
        <w:t xml:space="preserve">gutted and salted </w:t>
      </w:r>
      <w:r w:rsidR="000C3553">
        <w:t xml:space="preserve">(CSF, QSCF); </w:t>
      </w:r>
      <w:r w:rsidR="00336929">
        <w:t>and gutted</w:t>
      </w:r>
      <w:r w:rsidR="000C3553">
        <w:t>,</w:t>
      </w:r>
      <w:r w:rsidR="00336929">
        <w:t xml:space="preserve"> parboiled and frozen (QSCF</w:t>
      </w:r>
      <w:r w:rsidR="000C3553">
        <w:t>, NTTF</w:t>
      </w:r>
      <w:r w:rsidR="00336929">
        <w:t xml:space="preserve">). In the case of the QSCF, two product forms are included in the </w:t>
      </w:r>
      <w:r w:rsidR="000C3553">
        <w:t xml:space="preserve">calculation of fishery catch weight: gutted and salted; and gutted, parboiled and frozen. </w:t>
      </w:r>
      <w:r w:rsidR="003076CA" w:rsidRPr="003076CA">
        <w:t>Export data is mostly as reported as dried product, though some will be exported in a “wet” product form (e.g. individually quick frozen Burrowing blackfish).</w:t>
      </w:r>
    </w:p>
    <w:p w14:paraId="6428149F" w14:textId="6BBC8509" w:rsidR="00650C07" w:rsidRDefault="00650C07" w:rsidP="00650C07">
      <w:r>
        <w:t xml:space="preserve">To calculate Australian catch statistics, all catch data has been converted to gutted weight using available conversion ratios (see section on conversion </w:t>
      </w:r>
      <w:r w:rsidR="003076CA">
        <w:t>ratios</w:t>
      </w:r>
      <w:r>
        <w:t xml:space="preserve"> below). </w:t>
      </w:r>
      <w:r w:rsidR="00E4087F">
        <w:t xml:space="preserve">Gutted weight </w:t>
      </w:r>
      <w:r w:rsidR="003076CA">
        <w:t xml:space="preserve">was chosen as the </w:t>
      </w:r>
      <w:r w:rsidR="00E4087F">
        <w:t xml:space="preserve">product type to report sea cucumber fishery </w:t>
      </w:r>
      <w:r>
        <w:t>extractions</w:t>
      </w:r>
      <w:r w:rsidR="00E4087F">
        <w:t xml:space="preserve"> - w</w:t>
      </w:r>
      <w:r>
        <w:t xml:space="preserve">hole live weight is a </w:t>
      </w:r>
      <w:r w:rsidR="00E4087F">
        <w:t xml:space="preserve">highly variable </w:t>
      </w:r>
      <w:r>
        <w:t xml:space="preserve">due to various amounts of water and sediment in the gut, </w:t>
      </w:r>
      <w:r w:rsidR="00E4087F">
        <w:t>whereas</w:t>
      </w:r>
      <w:r>
        <w:t xml:space="preserve"> t</w:t>
      </w:r>
      <w:r w:rsidRPr="007C59E3">
        <w:t xml:space="preserve">he gutted weight provides a more accurate representation of </w:t>
      </w:r>
      <w:r w:rsidR="00E4087F">
        <w:t xml:space="preserve">animal </w:t>
      </w:r>
      <w:r>
        <w:t xml:space="preserve">somatic weight </w:t>
      </w:r>
      <w:r w:rsidR="0029555A">
        <w:t>and</w:t>
      </w:r>
      <w:r>
        <w:t xml:space="preserve"> of the </w:t>
      </w:r>
      <w:r w:rsidRPr="007C59E3">
        <w:t xml:space="preserve">usable </w:t>
      </w:r>
      <w:r w:rsidR="00E4087F">
        <w:t xml:space="preserve">final </w:t>
      </w:r>
      <w:r w:rsidRPr="007C59E3">
        <w:t>product</w:t>
      </w:r>
      <w:r>
        <w:t>.</w:t>
      </w:r>
    </w:p>
    <w:p w14:paraId="2A837F32" w14:textId="70AC07C7" w:rsidR="00650C07" w:rsidRDefault="00650C07" w:rsidP="00465920"/>
    <w:p w14:paraId="48B9B445" w14:textId="6B5573EB" w:rsidR="00B23316" w:rsidRDefault="00B23316" w:rsidP="000B5A6E">
      <w:pPr>
        <w:pStyle w:val="Caption"/>
      </w:pPr>
      <w:bookmarkStart w:id="93" w:name="_Ref167114342"/>
      <w:bookmarkStart w:id="94" w:name="_Toc174091514"/>
      <w:bookmarkStart w:id="95" w:name="_Hlk180067452"/>
      <w:bookmarkStart w:id="96" w:name="_Toc189055304"/>
      <w:bookmarkEnd w:id="92"/>
      <w:r>
        <w:t xml:space="preserve">Table </w:t>
      </w:r>
      <w:fldSimple w:instr=" SEQ Table \* ARABIC ">
        <w:r w:rsidR="007B2A78">
          <w:rPr>
            <w:noProof/>
          </w:rPr>
          <w:t>4</w:t>
        </w:r>
      </w:fldSimple>
      <w:bookmarkEnd w:id="93"/>
      <w:r>
        <w:t>. Fishery product forms for</w:t>
      </w:r>
      <w:r w:rsidR="00D062EE">
        <w:t xml:space="preserve"> </w:t>
      </w:r>
      <w:r w:rsidR="008D45E2">
        <w:t xml:space="preserve">fishery catch </w:t>
      </w:r>
      <w:r w:rsidR="00D062EE">
        <w:t xml:space="preserve">reporting </w:t>
      </w:r>
      <w:r>
        <w:t xml:space="preserve">in Australian </w:t>
      </w:r>
      <w:r w:rsidR="00D062EE">
        <w:t xml:space="preserve">sea cucumbers </w:t>
      </w:r>
      <w:r>
        <w:t>fisheries.</w:t>
      </w:r>
      <w:bookmarkEnd w:id="94"/>
      <w:bookmarkEnd w:id="96"/>
    </w:p>
    <w:tbl>
      <w:tblPr>
        <w:tblStyle w:val="TableProfessional"/>
        <w:tblW w:w="9490" w:type="dxa"/>
        <w:tblLook w:val="04A0" w:firstRow="1" w:lastRow="0" w:firstColumn="1" w:lastColumn="0" w:noHBand="0" w:noVBand="1"/>
      </w:tblPr>
      <w:tblGrid>
        <w:gridCol w:w="931"/>
        <w:gridCol w:w="8559"/>
      </w:tblGrid>
      <w:tr w:rsidR="005D313A" w:rsidRPr="006F4B57" w14:paraId="4F1C6C47" w14:textId="77777777" w:rsidTr="006F7BC4">
        <w:trPr>
          <w:cnfStyle w:val="100000000000" w:firstRow="1" w:lastRow="0" w:firstColumn="0" w:lastColumn="0" w:oddVBand="0" w:evenVBand="0" w:oddHBand="0" w:evenHBand="0" w:firstRowFirstColumn="0" w:firstRowLastColumn="0" w:lastRowFirstColumn="0" w:lastRowLastColumn="0"/>
        </w:trPr>
        <w:tc>
          <w:tcPr>
            <w:tcW w:w="0" w:type="dxa"/>
          </w:tcPr>
          <w:p w14:paraId="1745A3BE" w14:textId="77777777" w:rsidR="005D313A" w:rsidRPr="006F4B57" w:rsidRDefault="005D313A" w:rsidP="00D82028">
            <w:pPr>
              <w:rPr>
                <w:b/>
                <w:bCs/>
                <w:color w:val="FFFFFF" w:themeColor="background1"/>
                <w:sz w:val="20"/>
                <w:szCs w:val="20"/>
              </w:rPr>
            </w:pPr>
            <w:r w:rsidRPr="006F4B57">
              <w:rPr>
                <w:b/>
                <w:bCs/>
                <w:color w:val="FFFFFF" w:themeColor="background1"/>
                <w:sz w:val="20"/>
                <w:szCs w:val="20"/>
              </w:rPr>
              <w:t>Fishery</w:t>
            </w:r>
          </w:p>
        </w:tc>
        <w:tc>
          <w:tcPr>
            <w:tcW w:w="8287" w:type="dxa"/>
          </w:tcPr>
          <w:p w14:paraId="65A78058" w14:textId="342360E3" w:rsidR="005D313A" w:rsidRPr="006F4B57" w:rsidRDefault="005D313A" w:rsidP="00D82028">
            <w:pPr>
              <w:rPr>
                <w:b/>
                <w:bCs/>
                <w:color w:val="FFFFFF" w:themeColor="background1"/>
                <w:sz w:val="20"/>
                <w:szCs w:val="20"/>
              </w:rPr>
            </w:pPr>
            <w:r w:rsidRPr="005D313A">
              <w:rPr>
                <w:b/>
                <w:bCs/>
                <w:color w:val="FFFFFF" w:themeColor="background1"/>
                <w:sz w:val="20"/>
                <w:szCs w:val="20"/>
              </w:rPr>
              <w:t>Fishery catch reporting</w:t>
            </w:r>
          </w:p>
        </w:tc>
      </w:tr>
      <w:tr w:rsidR="005D313A" w:rsidRPr="006F4B57" w14:paraId="65B8BB36" w14:textId="77777777" w:rsidTr="006F7BC4">
        <w:tc>
          <w:tcPr>
            <w:tcW w:w="0" w:type="dxa"/>
          </w:tcPr>
          <w:p w14:paraId="1072CB2B" w14:textId="77777777" w:rsidR="005D313A" w:rsidRPr="006F4B57" w:rsidRDefault="005D313A" w:rsidP="00D82028">
            <w:pPr>
              <w:rPr>
                <w:sz w:val="20"/>
                <w:szCs w:val="20"/>
              </w:rPr>
            </w:pPr>
            <w:r w:rsidRPr="006F4B57">
              <w:rPr>
                <w:sz w:val="20"/>
                <w:szCs w:val="20"/>
              </w:rPr>
              <w:t>QSCF</w:t>
            </w:r>
          </w:p>
        </w:tc>
        <w:tc>
          <w:tcPr>
            <w:tcW w:w="8287" w:type="dxa"/>
          </w:tcPr>
          <w:p w14:paraId="1EE8EF43" w14:textId="379070DC" w:rsidR="005D313A" w:rsidRPr="006F4B57" w:rsidRDefault="005D313A" w:rsidP="00D82028">
            <w:pPr>
              <w:rPr>
                <w:sz w:val="20"/>
                <w:szCs w:val="20"/>
              </w:rPr>
            </w:pPr>
            <w:r>
              <w:rPr>
                <w:sz w:val="20"/>
                <w:szCs w:val="20"/>
              </w:rPr>
              <w:t xml:space="preserve">Landed weight, as </w:t>
            </w:r>
            <w:bookmarkStart w:id="97" w:name="_Hlk180067257"/>
            <w:r>
              <w:rPr>
                <w:sz w:val="20"/>
                <w:szCs w:val="20"/>
              </w:rPr>
              <w:t>g</w:t>
            </w:r>
            <w:r w:rsidRPr="006F4B57">
              <w:rPr>
                <w:sz w:val="20"/>
                <w:szCs w:val="20"/>
              </w:rPr>
              <w:t>utted and salted</w:t>
            </w:r>
            <w:r>
              <w:rPr>
                <w:sz w:val="20"/>
                <w:szCs w:val="20"/>
              </w:rPr>
              <w:t>;</w:t>
            </w:r>
            <w:r w:rsidRPr="006F4B57">
              <w:rPr>
                <w:sz w:val="20"/>
                <w:szCs w:val="20"/>
              </w:rPr>
              <w:t xml:space="preserve"> or </w:t>
            </w:r>
            <w:r>
              <w:rPr>
                <w:sz w:val="20"/>
                <w:szCs w:val="20"/>
              </w:rPr>
              <w:t xml:space="preserve">gutted, </w:t>
            </w:r>
            <w:r w:rsidRPr="006F4B57">
              <w:rPr>
                <w:sz w:val="20"/>
                <w:szCs w:val="20"/>
              </w:rPr>
              <w:t xml:space="preserve">par-boiled and frozen </w:t>
            </w:r>
            <w:r>
              <w:rPr>
                <w:sz w:val="20"/>
                <w:szCs w:val="20"/>
              </w:rPr>
              <w:t>weight</w:t>
            </w:r>
            <w:bookmarkEnd w:id="97"/>
            <w:r>
              <w:rPr>
                <w:sz w:val="20"/>
                <w:szCs w:val="20"/>
              </w:rPr>
              <w:t xml:space="preserve"> </w:t>
            </w:r>
            <w:r w:rsidR="00336929">
              <w:rPr>
                <w:sz w:val="20"/>
                <w:szCs w:val="20"/>
              </w:rPr>
              <w:t xml:space="preserve">(catch form is recorded in logbooks and buyer returns) </w:t>
            </w:r>
            <w:r>
              <w:rPr>
                <w:sz w:val="20"/>
                <w:szCs w:val="20"/>
              </w:rPr>
              <w:t>(DPIF, 2008; DAF, 2020).</w:t>
            </w:r>
          </w:p>
        </w:tc>
      </w:tr>
      <w:tr w:rsidR="005D313A" w:rsidRPr="006F4B57" w14:paraId="79F675B3" w14:textId="77777777" w:rsidTr="006F7BC4">
        <w:tc>
          <w:tcPr>
            <w:tcW w:w="0" w:type="dxa"/>
          </w:tcPr>
          <w:p w14:paraId="7AF2E64C" w14:textId="77777777" w:rsidR="005D313A" w:rsidRPr="006F4B57" w:rsidRDefault="005D313A" w:rsidP="00D82028">
            <w:pPr>
              <w:rPr>
                <w:sz w:val="20"/>
                <w:szCs w:val="20"/>
              </w:rPr>
            </w:pPr>
            <w:r w:rsidRPr="006F4B57">
              <w:rPr>
                <w:sz w:val="20"/>
                <w:szCs w:val="20"/>
              </w:rPr>
              <w:t>CSF</w:t>
            </w:r>
          </w:p>
        </w:tc>
        <w:tc>
          <w:tcPr>
            <w:tcW w:w="8287" w:type="dxa"/>
          </w:tcPr>
          <w:p w14:paraId="5379F016" w14:textId="6FC35E3A" w:rsidR="005D313A" w:rsidRPr="006F4B57" w:rsidRDefault="005D313A" w:rsidP="00D82028">
            <w:pPr>
              <w:rPr>
                <w:sz w:val="20"/>
                <w:szCs w:val="20"/>
              </w:rPr>
            </w:pPr>
            <w:r>
              <w:rPr>
                <w:sz w:val="20"/>
                <w:szCs w:val="20"/>
              </w:rPr>
              <w:t>Landed weight, as g</w:t>
            </w:r>
            <w:r w:rsidRPr="006F4B57">
              <w:rPr>
                <w:sz w:val="20"/>
                <w:szCs w:val="20"/>
              </w:rPr>
              <w:t>utted and salted weight</w:t>
            </w:r>
            <w:r>
              <w:rPr>
                <w:sz w:val="20"/>
                <w:szCs w:val="20"/>
              </w:rPr>
              <w:t xml:space="preserve"> (</w:t>
            </w:r>
            <w:r w:rsidRPr="00A96C59">
              <w:rPr>
                <w:sz w:val="20"/>
                <w:szCs w:val="20"/>
              </w:rPr>
              <w:t>AFMA, 2021</w:t>
            </w:r>
            <w:r>
              <w:rPr>
                <w:sz w:val="20"/>
                <w:szCs w:val="20"/>
              </w:rPr>
              <w:t>).</w:t>
            </w:r>
          </w:p>
        </w:tc>
      </w:tr>
      <w:tr w:rsidR="005D313A" w:rsidRPr="006F4B57" w14:paraId="27B0ABC5" w14:textId="77777777" w:rsidTr="006F7BC4">
        <w:tc>
          <w:tcPr>
            <w:tcW w:w="0" w:type="dxa"/>
          </w:tcPr>
          <w:p w14:paraId="7F0E3FFF" w14:textId="77777777" w:rsidR="005D313A" w:rsidRPr="006F4B57" w:rsidRDefault="005D313A" w:rsidP="00D82028">
            <w:pPr>
              <w:rPr>
                <w:sz w:val="20"/>
                <w:szCs w:val="20"/>
              </w:rPr>
            </w:pPr>
            <w:r w:rsidRPr="006F4B57">
              <w:rPr>
                <w:sz w:val="20"/>
                <w:szCs w:val="20"/>
              </w:rPr>
              <w:t>TSBDMF</w:t>
            </w:r>
          </w:p>
        </w:tc>
        <w:tc>
          <w:tcPr>
            <w:tcW w:w="8287" w:type="dxa"/>
          </w:tcPr>
          <w:p w14:paraId="60BA1019" w14:textId="50978021" w:rsidR="005D313A" w:rsidRPr="006F4B57" w:rsidRDefault="005D313A" w:rsidP="00D82028">
            <w:pPr>
              <w:rPr>
                <w:sz w:val="20"/>
                <w:szCs w:val="20"/>
              </w:rPr>
            </w:pPr>
            <w:r>
              <w:rPr>
                <w:sz w:val="20"/>
                <w:szCs w:val="20"/>
              </w:rPr>
              <w:t>Wet gutted weight. Catch is recorded in logbooks in s</w:t>
            </w:r>
            <w:r w:rsidRPr="006F4B57">
              <w:rPr>
                <w:sz w:val="20"/>
                <w:szCs w:val="20"/>
              </w:rPr>
              <w:t>everal processed states, from whole l</w:t>
            </w:r>
            <w:r>
              <w:rPr>
                <w:sz w:val="20"/>
                <w:szCs w:val="20"/>
              </w:rPr>
              <w:t>i</w:t>
            </w:r>
            <w:r w:rsidRPr="006F4B57">
              <w:rPr>
                <w:sz w:val="20"/>
                <w:szCs w:val="20"/>
              </w:rPr>
              <w:t>ve to dry</w:t>
            </w:r>
            <w:r>
              <w:rPr>
                <w:sz w:val="20"/>
                <w:szCs w:val="20"/>
              </w:rPr>
              <w:t xml:space="preserve"> weight</w:t>
            </w:r>
            <w:r w:rsidRPr="006F4B57">
              <w:rPr>
                <w:sz w:val="20"/>
                <w:szCs w:val="20"/>
              </w:rPr>
              <w:t xml:space="preserve">. </w:t>
            </w:r>
            <w:r>
              <w:rPr>
                <w:sz w:val="20"/>
                <w:szCs w:val="20"/>
              </w:rPr>
              <w:t>Weights are then c</w:t>
            </w:r>
            <w:r w:rsidRPr="006F4B57">
              <w:rPr>
                <w:sz w:val="20"/>
                <w:szCs w:val="20"/>
              </w:rPr>
              <w:t>onverted to wet gutted weight using available conversion ratios (AFMA, 2023; Plaganyi et al., 2019)</w:t>
            </w:r>
            <w:r>
              <w:rPr>
                <w:sz w:val="20"/>
                <w:szCs w:val="20"/>
              </w:rPr>
              <w:t>.</w:t>
            </w:r>
          </w:p>
        </w:tc>
      </w:tr>
      <w:tr w:rsidR="005D313A" w:rsidRPr="006F4B57" w14:paraId="0ED7A50F" w14:textId="77777777" w:rsidTr="006F7BC4">
        <w:tc>
          <w:tcPr>
            <w:tcW w:w="0" w:type="dxa"/>
          </w:tcPr>
          <w:p w14:paraId="60A3EC16" w14:textId="78A7472D" w:rsidR="005D313A" w:rsidRPr="006F4B57" w:rsidRDefault="005D313A" w:rsidP="00D82028">
            <w:pPr>
              <w:rPr>
                <w:sz w:val="20"/>
                <w:szCs w:val="20"/>
              </w:rPr>
            </w:pPr>
            <w:r>
              <w:rPr>
                <w:sz w:val="20"/>
                <w:szCs w:val="20"/>
              </w:rPr>
              <w:t>WASCF</w:t>
            </w:r>
          </w:p>
        </w:tc>
        <w:tc>
          <w:tcPr>
            <w:tcW w:w="8287" w:type="dxa"/>
          </w:tcPr>
          <w:p w14:paraId="0BA4ED86" w14:textId="62EEABA1" w:rsidR="005D313A" w:rsidRDefault="005D313A" w:rsidP="009234A0">
            <w:pPr>
              <w:rPr>
                <w:sz w:val="20"/>
                <w:szCs w:val="20"/>
              </w:rPr>
            </w:pPr>
            <w:r>
              <w:rPr>
                <w:sz w:val="20"/>
                <w:szCs w:val="20"/>
              </w:rPr>
              <w:t xml:space="preserve">Live weight. </w:t>
            </w:r>
            <w:r w:rsidRPr="009234A0">
              <w:rPr>
                <w:sz w:val="20"/>
                <w:szCs w:val="20"/>
              </w:rPr>
              <w:t xml:space="preserve">Most catch is recorded </w:t>
            </w:r>
            <w:r>
              <w:rPr>
                <w:sz w:val="20"/>
                <w:szCs w:val="20"/>
              </w:rPr>
              <w:t xml:space="preserve">in fishery logbooks </w:t>
            </w:r>
            <w:r w:rsidRPr="009234A0">
              <w:rPr>
                <w:sz w:val="20"/>
                <w:szCs w:val="20"/>
              </w:rPr>
              <w:t>as gutted</w:t>
            </w:r>
            <w:r>
              <w:rPr>
                <w:sz w:val="20"/>
                <w:szCs w:val="20"/>
              </w:rPr>
              <w:t xml:space="preserve"> </w:t>
            </w:r>
            <w:r w:rsidRPr="009234A0">
              <w:rPr>
                <w:sz w:val="20"/>
                <w:szCs w:val="20"/>
              </w:rPr>
              <w:t>and boiled</w:t>
            </w:r>
            <w:r>
              <w:rPr>
                <w:sz w:val="20"/>
                <w:szCs w:val="20"/>
              </w:rPr>
              <w:t>,</w:t>
            </w:r>
            <w:r w:rsidRPr="009234A0">
              <w:rPr>
                <w:sz w:val="20"/>
                <w:szCs w:val="20"/>
              </w:rPr>
              <w:t xml:space="preserve"> therefore </w:t>
            </w:r>
            <w:r>
              <w:rPr>
                <w:sz w:val="20"/>
                <w:szCs w:val="20"/>
              </w:rPr>
              <w:t xml:space="preserve">whole </w:t>
            </w:r>
            <w:r w:rsidRPr="009234A0">
              <w:rPr>
                <w:sz w:val="20"/>
                <w:szCs w:val="20"/>
              </w:rPr>
              <w:t xml:space="preserve">live weight is calculated using </w:t>
            </w:r>
            <w:r>
              <w:rPr>
                <w:sz w:val="20"/>
                <w:szCs w:val="20"/>
              </w:rPr>
              <w:t xml:space="preserve">locally derived </w:t>
            </w:r>
            <w:r w:rsidRPr="009234A0">
              <w:rPr>
                <w:sz w:val="20"/>
                <w:szCs w:val="20"/>
              </w:rPr>
              <w:t>conversion factor</w:t>
            </w:r>
            <w:r>
              <w:rPr>
                <w:sz w:val="20"/>
                <w:szCs w:val="20"/>
              </w:rPr>
              <w:t>s</w:t>
            </w:r>
            <w:r w:rsidRPr="009234A0">
              <w:rPr>
                <w:sz w:val="20"/>
                <w:szCs w:val="20"/>
              </w:rPr>
              <w:t xml:space="preserve"> </w:t>
            </w:r>
            <w:r>
              <w:rPr>
                <w:sz w:val="20"/>
                <w:szCs w:val="20"/>
              </w:rPr>
              <w:t>(</w:t>
            </w:r>
            <w:r w:rsidRPr="009234A0">
              <w:rPr>
                <w:sz w:val="20"/>
                <w:szCs w:val="20"/>
              </w:rPr>
              <w:t>3.0</w:t>
            </w:r>
            <w:r>
              <w:rPr>
                <w:sz w:val="20"/>
                <w:szCs w:val="20"/>
              </w:rPr>
              <w:t xml:space="preserve"> </w:t>
            </w:r>
            <w:r w:rsidRPr="009234A0">
              <w:rPr>
                <w:sz w:val="20"/>
                <w:szCs w:val="20"/>
              </w:rPr>
              <w:t xml:space="preserve">for </w:t>
            </w:r>
            <w:r>
              <w:rPr>
                <w:sz w:val="20"/>
                <w:szCs w:val="20"/>
              </w:rPr>
              <w:t>S</w:t>
            </w:r>
            <w:r w:rsidRPr="009234A0">
              <w:rPr>
                <w:sz w:val="20"/>
                <w:szCs w:val="20"/>
              </w:rPr>
              <w:t xml:space="preserve">andfish and 4.0 for </w:t>
            </w:r>
            <w:r>
              <w:rPr>
                <w:sz w:val="20"/>
                <w:szCs w:val="20"/>
              </w:rPr>
              <w:t>R</w:t>
            </w:r>
            <w:r w:rsidRPr="009234A0">
              <w:rPr>
                <w:sz w:val="20"/>
                <w:szCs w:val="20"/>
              </w:rPr>
              <w:t>edfish</w:t>
            </w:r>
            <w:r>
              <w:rPr>
                <w:sz w:val="20"/>
                <w:szCs w:val="20"/>
              </w:rPr>
              <w:t>; unknown for teatfish) (</w:t>
            </w:r>
            <w:r w:rsidRPr="005A62C9">
              <w:rPr>
                <w:sz w:val="20"/>
                <w:szCs w:val="20"/>
              </w:rPr>
              <w:t>Hart et al., 2022</w:t>
            </w:r>
            <w:r>
              <w:rPr>
                <w:sz w:val="20"/>
                <w:szCs w:val="20"/>
              </w:rPr>
              <w:t>).</w:t>
            </w:r>
          </w:p>
        </w:tc>
      </w:tr>
      <w:tr w:rsidR="005D313A" w:rsidRPr="006F4B57" w14:paraId="2EC09DA4" w14:textId="77777777" w:rsidTr="006F7BC4">
        <w:tc>
          <w:tcPr>
            <w:tcW w:w="0" w:type="dxa"/>
          </w:tcPr>
          <w:p w14:paraId="304E76A4" w14:textId="1C02AD50" w:rsidR="005D313A" w:rsidRDefault="005D313A" w:rsidP="00D82028">
            <w:pPr>
              <w:rPr>
                <w:sz w:val="20"/>
                <w:szCs w:val="20"/>
              </w:rPr>
            </w:pPr>
            <w:r>
              <w:rPr>
                <w:sz w:val="20"/>
                <w:szCs w:val="20"/>
              </w:rPr>
              <w:t>NTTF</w:t>
            </w:r>
          </w:p>
        </w:tc>
        <w:tc>
          <w:tcPr>
            <w:tcW w:w="8287" w:type="dxa"/>
          </w:tcPr>
          <w:p w14:paraId="4D2A4F03" w14:textId="3851B7D9" w:rsidR="005D313A" w:rsidRDefault="005D313A" w:rsidP="000E5F4D">
            <w:pPr>
              <w:rPr>
                <w:sz w:val="20"/>
                <w:szCs w:val="20"/>
              </w:rPr>
            </w:pPr>
            <w:r>
              <w:rPr>
                <w:sz w:val="20"/>
                <w:szCs w:val="20"/>
              </w:rPr>
              <w:t>G</w:t>
            </w:r>
            <w:r w:rsidRPr="002B2EF6">
              <w:rPr>
                <w:sz w:val="20"/>
                <w:szCs w:val="20"/>
              </w:rPr>
              <w:t xml:space="preserve">utted, blanched weight </w:t>
            </w:r>
            <w:r>
              <w:rPr>
                <w:sz w:val="20"/>
                <w:szCs w:val="20"/>
              </w:rPr>
              <w:t>(DITT, 2021).</w:t>
            </w:r>
          </w:p>
        </w:tc>
      </w:tr>
    </w:tbl>
    <w:p w14:paraId="10A95CB4" w14:textId="77777777" w:rsidR="002B19BB" w:rsidRDefault="002B19BB" w:rsidP="0095540B"/>
    <w:bookmarkEnd w:id="95"/>
    <w:p w14:paraId="18E2365F" w14:textId="32E58941" w:rsidR="0095540B" w:rsidRDefault="0095540B" w:rsidP="0095540B">
      <w:r w:rsidRPr="008A0FC0">
        <w:t>In the initial phase of the modern fishery, the catch was primarily made up of Black teatfish and Sandfish (</w:t>
      </w:r>
      <w:r w:rsidRPr="008A0FC0">
        <w:fldChar w:fldCharType="begin"/>
      </w:r>
      <w:r w:rsidRPr="008A0FC0">
        <w:instrText xml:space="preserve"> REF _Ref151371831 \h  \* MERGEFORMAT </w:instrText>
      </w:r>
      <w:r w:rsidRPr="008A0FC0">
        <w:fldChar w:fldCharType="separate"/>
      </w:r>
      <w:r w:rsidR="007B2A78" w:rsidRPr="009F5C7F">
        <w:t xml:space="preserve">Figure </w:t>
      </w:r>
      <w:r w:rsidR="007B2A78">
        <w:rPr>
          <w:noProof/>
        </w:rPr>
        <w:t>12</w:t>
      </w:r>
      <w:r w:rsidRPr="008A0FC0">
        <w:fldChar w:fldCharType="end"/>
      </w:r>
      <w:r w:rsidRPr="008A0FC0">
        <w:t>) – two easily accessible high value species. By the late 1990s, most Sandfish and Black teatfish fisheries were considered depleted and closed in the eastern fisheries, and the catch diversified. Current primary fishery species include Burrowing blackfish (33% by landed weight) Sandfish (14%, mostly from the WASCF and NTTF), White teatfish (12%), Prickly redfish (11%), and Curryfish (11%) (</w:t>
      </w:r>
      <w:r w:rsidRPr="008A0FC0">
        <w:fldChar w:fldCharType="begin"/>
      </w:r>
      <w:r w:rsidRPr="008A0FC0">
        <w:instrText xml:space="preserve"> REF _Ref151371831 \h  \* MERGEFORMAT </w:instrText>
      </w:r>
      <w:r w:rsidRPr="008A0FC0">
        <w:fldChar w:fldCharType="separate"/>
      </w:r>
      <w:r w:rsidR="007B2A78" w:rsidRPr="009F5C7F">
        <w:t xml:space="preserve">Figure </w:t>
      </w:r>
      <w:r w:rsidR="007B2A78">
        <w:rPr>
          <w:noProof/>
        </w:rPr>
        <w:t>12</w:t>
      </w:r>
      <w:r w:rsidRPr="008A0FC0">
        <w:fldChar w:fldCharType="end"/>
      </w:r>
      <w:r w:rsidRPr="008A0FC0">
        <w:t xml:space="preserve">). These </w:t>
      </w:r>
      <w:r>
        <w:t xml:space="preserve">five </w:t>
      </w:r>
      <w:r w:rsidRPr="008A0FC0">
        <w:t xml:space="preserve">species made up over 80% of the catch </w:t>
      </w:r>
      <w:r>
        <w:t xml:space="preserve">in </w:t>
      </w:r>
      <w:r w:rsidRPr="008A0FC0">
        <w:t>2016 to 2022.</w:t>
      </w:r>
      <w:r>
        <w:t xml:space="preserve"> Black teatfish made up about 3.6% of the catch over the same period.</w:t>
      </w:r>
    </w:p>
    <w:p w14:paraId="61DEEB82" w14:textId="5B4B2505" w:rsidR="002B19BB" w:rsidRDefault="002B19BB" w:rsidP="002B19BB">
      <w:r>
        <w:t>Only four Australian fisheries (excluding the Timor Sea MOU Box fishery fished by Indonesian fishers) have targeted Black teatfish to any significant degree (</w:t>
      </w:r>
      <w:r>
        <w:fldChar w:fldCharType="begin"/>
      </w:r>
      <w:r>
        <w:instrText xml:space="preserve"> REF _Ref151056809 \h </w:instrText>
      </w:r>
      <w:r>
        <w:fldChar w:fldCharType="separate"/>
      </w:r>
      <w:r w:rsidR="007B2A78">
        <w:t xml:space="preserve">Table </w:t>
      </w:r>
      <w:r w:rsidR="007B2A78">
        <w:rPr>
          <w:noProof/>
        </w:rPr>
        <w:t>5</w:t>
      </w:r>
      <w:r>
        <w:fldChar w:fldCharType="end"/>
      </w:r>
      <w:r>
        <w:t>). Catch data shows that Black teatfish was an early fishery target species but was either closed or reduced to very low levels by 2001 (</w:t>
      </w:r>
      <w:r>
        <w:fldChar w:fldCharType="begin"/>
      </w:r>
      <w:r>
        <w:instrText xml:space="preserve"> REF _Ref151378334 \h </w:instrText>
      </w:r>
      <w:r>
        <w:fldChar w:fldCharType="separate"/>
      </w:r>
      <w:r w:rsidR="007B2A78">
        <w:t xml:space="preserve">Figure </w:t>
      </w:r>
      <w:r w:rsidR="007B2A78">
        <w:rPr>
          <w:noProof/>
        </w:rPr>
        <w:t>13</w:t>
      </w:r>
      <w:r>
        <w:fldChar w:fldCharType="end"/>
      </w:r>
      <w:r>
        <w:t>). Note that catches before 1996 are uncertain and not shown, however, were likely to be substantial in both the QSCF and TSBDMF. After a 15 to 20 year closure, Black teatfish fisheries are once again established in the QSCF and TSBDMF, albeit at modest levels (~40 t per year) compared to the earlier phase of the fishery (</w:t>
      </w:r>
      <w:r>
        <w:fldChar w:fldCharType="begin"/>
      </w:r>
      <w:r>
        <w:instrText xml:space="preserve"> REF _Ref151378334 \h </w:instrText>
      </w:r>
      <w:r>
        <w:fldChar w:fldCharType="separate"/>
      </w:r>
      <w:r w:rsidR="007B2A78">
        <w:t xml:space="preserve">Figure </w:t>
      </w:r>
      <w:r w:rsidR="007B2A78">
        <w:rPr>
          <w:noProof/>
        </w:rPr>
        <w:t>13</w:t>
      </w:r>
      <w:r>
        <w:fldChar w:fldCharType="end"/>
      </w:r>
      <w:r>
        <w:t xml:space="preserve">). </w:t>
      </w:r>
    </w:p>
    <w:p w14:paraId="4D223BD7" w14:textId="463260E8" w:rsidR="002B19BB" w:rsidRDefault="002B19BB" w:rsidP="002B19BB">
      <w:r>
        <w:t>Only three Australian fisheries (again excluding the MOU Box fishery) have targeted White teatfish – these being the three fisheries in north-eastern Australia (</w:t>
      </w:r>
      <w:r>
        <w:fldChar w:fldCharType="begin"/>
      </w:r>
      <w:r>
        <w:instrText xml:space="preserve"> REF _Ref151056809 \h </w:instrText>
      </w:r>
      <w:r>
        <w:fldChar w:fldCharType="separate"/>
      </w:r>
      <w:r w:rsidR="007B2A78">
        <w:t xml:space="preserve">Table </w:t>
      </w:r>
      <w:r w:rsidR="007B2A78">
        <w:rPr>
          <w:noProof/>
        </w:rPr>
        <w:t>5</w:t>
      </w:r>
      <w:r>
        <w:fldChar w:fldCharType="end"/>
      </w:r>
      <w:r>
        <w:t>). Catches of White teatfish show that they increased rapidly from about 1998, peaking at 166 t landed weight in 2001 (</w:t>
      </w:r>
      <w:r>
        <w:fldChar w:fldCharType="begin"/>
      </w:r>
      <w:r>
        <w:instrText xml:space="preserve"> REF _Ref167198739 \h </w:instrText>
      </w:r>
      <w:r>
        <w:fldChar w:fldCharType="separate"/>
      </w:r>
      <w:r w:rsidR="007B2A78">
        <w:t xml:space="preserve">Figure </w:t>
      </w:r>
      <w:r w:rsidR="007B2A78">
        <w:rPr>
          <w:noProof/>
        </w:rPr>
        <w:t>14</w:t>
      </w:r>
      <w:r>
        <w:fldChar w:fldCharType="end"/>
      </w:r>
      <w:r>
        <w:t xml:space="preserve">), most of that being </w:t>
      </w:r>
      <w:r>
        <w:lastRenderedPageBreak/>
        <w:t>caught in the QSCF. Catches then reduced in the mid 2000’s to a relatively stable 50-70 t per year (</w:t>
      </w:r>
      <w:r>
        <w:fldChar w:fldCharType="begin"/>
      </w:r>
      <w:r>
        <w:instrText xml:space="preserve"> REF _Ref167198739 \h </w:instrText>
      </w:r>
      <w:r>
        <w:fldChar w:fldCharType="separate"/>
      </w:r>
      <w:r w:rsidR="007B2A78">
        <w:t xml:space="preserve">Figure </w:t>
      </w:r>
      <w:r w:rsidR="007B2A78">
        <w:rPr>
          <w:noProof/>
        </w:rPr>
        <w:t>14</w:t>
      </w:r>
      <w:r>
        <w:fldChar w:fldCharType="end"/>
      </w:r>
      <w:r>
        <w:t>).</w:t>
      </w:r>
    </w:p>
    <w:p w14:paraId="21CB2E8A" w14:textId="77777777" w:rsidR="0095540B" w:rsidRDefault="0095540B" w:rsidP="00E92CEE"/>
    <w:p w14:paraId="56701415" w14:textId="77777777" w:rsidR="0095540B" w:rsidRDefault="0095540B" w:rsidP="0095540B">
      <w:pPr>
        <w:rPr>
          <w:noProof/>
        </w:rPr>
      </w:pPr>
      <w:r>
        <w:rPr>
          <w:noProof/>
        </w:rPr>
        <w:drawing>
          <wp:inline distT="0" distB="0" distL="0" distR="0" wp14:anchorId="585586B9" wp14:editId="25A5FAE8">
            <wp:extent cx="5819775" cy="2924175"/>
            <wp:effectExtent l="0" t="0" r="9525" b="9525"/>
            <wp:docPr id="44395504" name="Picture 5"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504" name="Picture 5" descr="A graph of different colored lines&#10;&#10;Description automatically generated"/>
                    <pic:cNvPicPr>
                      <a:picLocks noChangeAspect="1" noChangeArrowheads="1"/>
                    </pic:cNvPicPr>
                  </pic:nvPicPr>
                  <pic:blipFill rotWithShape="1">
                    <a:blip r:embed="rId33">
                      <a:extLst>
                        <a:ext uri="{28A0092B-C50C-407E-A947-70E740481C1C}">
                          <a14:useLocalDpi xmlns:a14="http://schemas.microsoft.com/office/drawing/2010/main" val="0"/>
                        </a:ext>
                      </a:extLst>
                    </a:blip>
                    <a:srcRect l="1495" t="8888" r="1977" b="7609"/>
                    <a:stretch/>
                  </pic:blipFill>
                  <pic:spPr bwMode="auto">
                    <a:xfrm>
                      <a:off x="0" y="0"/>
                      <a:ext cx="5820772" cy="2924676"/>
                    </a:xfrm>
                    <a:prstGeom prst="rect">
                      <a:avLst/>
                    </a:prstGeom>
                    <a:noFill/>
                    <a:ln>
                      <a:noFill/>
                    </a:ln>
                    <a:extLst>
                      <a:ext uri="{53640926-AAD7-44D8-BBD7-CCE9431645EC}">
                        <a14:shadowObscured xmlns:a14="http://schemas.microsoft.com/office/drawing/2010/main"/>
                      </a:ext>
                    </a:extLst>
                  </pic:spPr>
                </pic:pic>
              </a:graphicData>
            </a:graphic>
          </wp:inline>
        </w:drawing>
      </w:r>
    </w:p>
    <w:p w14:paraId="24BF420C" w14:textId="2F467ED7" w:rsidR="0095540B" w:rsidRPr="009F5C7F" w:rsidRDefault="0095540B" w:rsidP="0095540B">
      <w:pPr>
        <w:pStyle w:val="Caption"/>
      </w:pPr>
      <w:bookmarkStart w:id="98" w:name="_Ref151371831"/>
      <w:bookmarkStart w:id="99" w:name="_Toc153359860"/>
      <w:bookmarkStart w:id="100" w:name="_Toc189055297"/>
      <w:r w:rsidRPr="009F5C7F">
        <w:t xml:space="preserve">Figure </w:t>
      </w:r>
      <w:fldSimple w:instr=" SEQ Figure \* ARABIC ">
        <w:r w:rsidR="007B2A78">
          <w:rPr>
            <w:noProof/>
          </w:rPr>
          <w:t>12</w:t>
        </w:r>
      </w:fldSimple>
      <w:bookmarkEnd w:id="98"/>
      <w:r w:rsidRPr="009F5C7F">
        <w:t>. Catches of sea cucumber species in Australian fisheries for the period 1988 to 202</w:t>
      </w:r>
      <w:r>
        <w:t>2</w:t>
      </w:r>
      <w:r w:rsidRPr="009F5C7F">
        <w:t xml:space="preserve"> (in </w:t>
      </w:r>
      <w:r>
        <w:t xml:space="preserve">landed weight, </w:t>
      </w:r>
      <w:r w:rsidRPr="009F5C7F">
        <w:t>wet gutted weight given caveats mentioned in text) (not including Timor Sea MOU Box fishery). Only the most important species making up to 95% of catch are shown. Up to 12 species are included in the “Other” category. Data sources: Fishery logbook data (AFMA, Qld DAF), Fishery Status Reports (ABARES, WA DPIRD, NT DITT)</w:t>
      </w:r>
      <w:bookmarkEnd w:id="99"/>
      <w:bookmarkEnd w:id="100"/>
    </w:p>
    <w:p w14:paraId="0DF20623" w14:textId="77777777" w:rsidR="0095540B" w:rsidRDefault="0095540B" w:rsidP="00E92CEE"/>
    <w:p w14:paraId="55C74B59" w14:textId="335FFF2D" w:rsidR="00465920" w:rsidRDefault="00465920" w:rsidP="00465920">
      <w:pPr>
        <w:pStyle w:val="Caption"/>
      </w:pPr>
      <w:bookmarkStart w:id="101" w:name="_Ref151056809"/>
      <w:bookmarkStart w:id="102" w:name="_Toc174091515"/>
      <w:bookmarkStart w:id="103" w:name="_Toc189055305"/>
      <w:r>
        <w:t xml:space="preserve">Table </w:t>
      </w:r>
      <w:fldSimple w:instr=" SEQ Table \* ARABIC ">
        <w:r w:rsidR="007B2A78">
          <w:rPr>
            <w:noProof/>
          </w:rPr>
          <w:t>5</w:t>
        </w:r>
      </w:fldSimple>
      <w:bookmarkEnd w:id="101"/>
      <w:r>
        <w:t xml:space="preserve">. Australian fisheries with recorded </w:t>
      </w:r>
      <w:r w:rsidRPr="003B027A">
        <w:t>teatfish</w:t>
      </w:r>
      <w:r>
        <w:t xml:space="preserve"> species catch.</w:t>
      </w:r>
      <w:bookmarkEnd w:id="102"/>
      <w:bookmarkEnd w:id="103"/>
    </w:p>
    <w:tbl>
      <w:tblPr>
        <w:tblStyle w:val="TableProfessional"/>
        <w:tblW w:w="0" w:type="auto"/>
        <w:tblLook w:val="04A0" w:firstRow="1" w:lastRow="0" w:firstColumn="1" w:lastColumn="0" w:noHBand="0" w:noVBand="1"/>
      </w:tblPr>
      <w:tblGrid>
        <w:gridCol w:w="2544"/>
        <w:gridCol w:w="3405"/>
        <w:gridCol w:w="3260"/>
      </w:tblGrid>
      <w:tr w:rsidR="00465920" w:rsidRPr="005A62C9" w14:paraId="34E52F34" w14:textId="77777777" w:rsidTr="00291AE1">
        <w:trPr>
          <w:cnfStyle w:val="100000000000" w:firstRow="1" w:lastRow="0" w:firstColumn="0" w:lastColumn="0" w:oddVBand="0" w:evenVBand="0" w:oddHBand="0" w:evenHBand="0" w:firstRowFirstColumn="0" w:firstRowLastColumn="0" w:lastRowFirstColumn="0" w:lastRowLastColumn="0"/>
        </w:trPr>
        <w:tc>
          <w:tcPr>
            <w:tcW w:w="2544" w:type="dxa"/>
          </w:tcPr>
          <w:p w14:paraId="59A27DDB" w14:textId="77777777" w:rsidR="00465920" w:rsidRPr="005A62C9" w:rsidRDefault="00465920" w:rsidP="00291AE1">
            <w:pPr>
              <w:rPr>
                <w:b/>
                <w:bCs/>
                <w:color w:val="FFFFFF" w:themeColor="background1"/>
                <w:sz w:val="20"/>
                <w:szCs w:val="20"/>
              </w:rPr>
            </w:pPr>
            <w:r w:rsidRPr="005A62C9">
              <w:rPr>
                <w:b/>
                <w:bCs/>
                <w:color w:val="FFFFFF" w:themeColor="background1"/>
                <w:sz w:val="20"/>
                <w:szCs w:val="20"/>
              </w:rPr>
              <w:t>Fishery</w:t>
            </w:r>
          </w:p>
        </w:tc>
        <w:tc>
          <w:tcPr>
            <w:tcW w:w="3405" w:type="dxa"/>
          </w:tcPr>
          <w:p w14:paraId="49C3234F" w14:textId="77777777" w:rsidR="00465920" w:rsidRPr="005A62C9" w:rsidRDefault="00465920" w:rsidP="00291AE1">
            <w:pPr>
              <w:rPr>
                <w:b/>
                <w:bCs/>
                <w:color w:val="FFFFFF" w:themeColor="background1"/>
                <w:sz w:val="20"/>
                <w:szCs w:val="20"/>
              </w:rPr>
            </w:pPr>
            <w:r>
              <w:rPr>
                <w:b/>
                <w:bCs/>
                <w:color w:val="FFFFFF" w:themeColor="background1"/>
                <w:sz w:val="20"/>
                <w:szCs w:val="20"/>
              </w:rPr>
              <w:t>Black teatfish</w:t>
            </w:r>
          </w:p>
        </w:tc>
        <w:tc>
          <w:tcPr>
            <w:tcW w:w="3260" w:type="dxa"/>
          </w:tcPr>
          <w:p w14:paraId="5E2E64FD" w14:textId="77777777" w:rsidR="00465920" w:rsidRPr="005A62C9" w:rsidRDefault="00465920" w:rsidP="00291AE1">
            <w:pPr>
              <w:rPr>
                <w:b/>
                <w:bCs/>
                <w:color w:val="FFFFFF" w:themeColor="background1"/>
                <w:sz w:val="20"/>
                <w:szCs w:val="20"/>
              </w:rPr>
            </w:pPr>
            <w:r>
              <w:rPr>
                <w:b/>
                <w:bCs/>
                <w:color w:val="FFFFFF" w:themeColor="background1"/>
                <w:sz w:val="20"/>
                <w:szCs w:val="20"/>
              </w:rPr>
              <w:t>White teatfish</w:t>
            </w:r>
          </w:p>
        </w:tc>
      </w:tr>
      <w:tr w:rsidR="00465920" w:rsidRPr="00405DE0" w14:paraId="6E9244F1" w14:textId="77777777" w:rsidTr="00291AE1">
        <w:tc>
          <w:tcPr>
            <w:tcW w:w="2544" w:type="dxa"/>
          </w:tcPr>
          <w:p w14:paraId="5750A9F1" w14:textId="77777777" w:rsidR="00465920" w:rsidRPr="00405DE0" w:rsidRDefault="00465920" w:rsidP="00291AE1">
            <w:pPr>
              <w:rPr>
                <w:sz w:val="20"/>
                <w:szCs w:val="20"/>
              </w:rPr>
            </w:pPr>
            <w:r w:rsidRPr="00405DE0">
              <w:rPr>
                <w:sz w:val="20"/>
                <w:szCs w:val="20"/>
              </w:rPr>
              <w:t>Queensland Sea Cucumber Fishery (East coast) (QSCF)</w:t>
            </w:r>
          </w:p>
        </w:tc>
        <w:tc>
          <w:tcPr>
            <w:tcW w:w="3405" w:type="dxa"/>
          </w:tcPr>
          <w:p w14:paraId="4C946A67" w14:textId="77777777" w:rsidR="00465920" w:rsidRPr="00405DE0" w:rsidRDefault="00465920" w:rsidP="00291AE1">
            <w:pPr>
              <w:rPr>
                <w:sz w:val="20"/>
                <w:szCs w:val="20"/>
              </w:rPr>
            </w:pPr>
            <w:r w:rsidRPr="00405DE0">
              <w:rPr>
                <w:sz w:val="20"/>
                <w:szCs w:val="20"/>
              </w:rPr>
              <w:t xml:space="preserve">Yes. An early target species. Closed in 1999, reopened 2019 with a 30 t TAC. </w:t>
            </w:r>
          </w:p>
        </w:tc>
        <w:tc>
          <w:tcPr>
            <w:tcW w:w="3260" w:type="dxa"/>
          </w:tcPr>
          <w:p w14:paraId="74C2C1D0" w14:textId="77777777" w:rsidR="00465920" w:rsidRPr="00405DE0" w:rsidRDefault="00465920" w:rsidP="00291AE1">
            <w:pPr>
              <w:rPr>
                <w:sz w:val="20"/>
                <w:szCs w:val="20"/>
              </w:rPr>
            </w:pPr>
            <w:r w:rsidRPr="00405DE0">
              <w:rPr>
                <w:sz w:val="20"/>
                <w:szCs w:val="20"/>
              </w:rPr>
              <w:t>Yes. A primary target species of the QSCF. Currently a 53 t TAC.</w:t>
            </w:r>
          </w:p>
        </w:tc>
      </w:tr>
      <w:tr w:rsidR="00465920" w:rsidRPr="00405DE0" w14:paraId="37C6F4A8" w14:textId="77777777" w:rsidTr="00291AE1">
        <w:tc>
          <w:tcPr>
            <w:tcW w:w="2544" w:type="dxa"/>
          </w:tcPr>
          <w:p w14:paraId="7C6BBF78" w14:textId="77777777" w:rsidR="00465920" w:rsidRPr="00405DE0" w:rsidRDefault="00465920" w:rsidP="00291AE1">
            <w:pPr>
              <w:rPr>
                <w:sz w:val="20"/>
                <w:szCs w:val="20"/>
              </w:rPr>
            </w:pPr>
            <w:r w:rsidRPr="00405DE0">
              <w:rPr>
                <w:sz w:val="20"/>
                <w:szCs w:val="20"/>
              </w:rPr>
              <w:t>Coral Sea Fishery (Sea cucumber) CSF</w:t>
            </w:r>
          </w:p>
        </w:tc>
        <w:tc>
          <w:tcPr>
            <w:tcW w:w="3405" w:type="dxa"/>
          </w:tcPr>
          <w:p w14:paraId="4C9D4A6A" w14:textId="77777777" w:rsidR="00465920" w:rsidRPr="00405DE0" w:rsidRDefault="00465920" w:rsidP="00291AE1">
            <w:pPr>
              <w:rPr>
                <w:sz w:val="20"/>
                <w:szCs w:val="20"/>
              </w:rPr>
            </w:pPr>
            <w:r w:rsidRPr="00405DE0">
              <w:rPr>
                <w:sz w:val="20"/>
                <w:szCs w:val="20"/>
              </w:rPr>
              <w:t>Yes. A primary target species, though catches restricted since 2003 to a 1 t TAC.</w:t>
            </w:r>
          </w:p>
        </w:tc>
        <w:tc>
          <w:tcPr>
            <w:tcW w:w="3260" w:type="dxa"/>
          </w:tcPr>
          <w:p w14:paraId="493CAD08" w14:textId="77777777" w:rsidR="00465920" w:rsidRPr="00405DE0" w:rsidRDefault="00465920" w:rsidP="00291AE1">
            <w:pPr>
              <w:rPr>
                <w:sz w:val="20"/>
                <w:szCs w:val="20"/>
              </w:rPr>
            </w:pPr>
            <w:r w:rsidRPr="00405DE0">
              <w:rPr>
                <w:sz w:val="20"/>
                <w:szCs w:val="20"/>
              </w:rPr>
              <w:t>Yes. A primary target species, though catches restricted since 2003 to a 4 t TAC.</w:t>
            </w:r>
          </w:p>
        </w:tc>
      </w:tr>
      <w:tr w:rsidR="00465920" w:rsidRPr="00405DE0" w14:paraId="568D230F" w14:textId="77777777" w:rsidTr="00291AE1">
        <w:tc>
          <w:tcPr>
            <w:tcW w:w="2544" w:type="dxa"/>
          </w:tcPr>
          <w:p w14:paraId="66A4A852" w14:textId="77777777" w:rsidR="00465920" w:rsidRPr="00405DE0" w:rsidRDefault="00465920" w:rsidP="00291AE1">
            <w:pPr>
              <w:rPr>
                <w:sz w:val="20"/>
                <w:szCs w:val="20"/>
              </w:rPr>
            </w:pPr>
            <w:r w:rsidRPr="00405DE0">
              <w:rPr>
                <w:sz w:val="20"/>
                <w:szCs w:val="20"/>
              </w:rPr>
              <w:t>Torres Strait Beche-de-mer Fishery (TSBDMF)</w:t>
            </w:r>
          </w:p>
        </w:tc>
        <w:tc>
          <w:tcPr>
            <w:tcW w:w="3405" w:type="dxa"/>
          </w:tcPr>
          <w:p w14:paraId="55DA4314" w14:textId="77777777" w:rsidR="00465920" w:rsidRPr="00405DE0" w:rsidRDefault="00465920" w:rsidP="00291AE1">
            <w:pPr>
              <w:rPr>
                <w:sz w:val="20"/>
                <w:szCs w:val="20"/>
              </w:rPr>
            </w:pPr>
            <w:r w:rsidRPr="00405DE0">
              <w:rPr>
                <w:sz w:val="20"/>
                <w:szCs w:val="20"/>
              </w:rPr>
              <w:t>Yes. An early target species. Closed in 2003, trial reopening beginning in 2014.</w:t>
            </w:r>
          </w:p>
        </w:tc>
        <w:tc>
          <w:tcPr>
            <w:tcW w:w="3260" w:type="dxa"/>
          </w:tcPr>
          <w:p w14:paraId="314C48AF" w14:textId="77777777" w:rsidR="00465920" w:rsidRPr="00405DE0" w:rsidRDefault="00465920" w:rsidP="00291AE1">
            <w:pPr>
              <w:rPr>
                <w:sz w:val="20"/>
                <w:szCs w:val="20"/>
              </w:rPr>
            </w:pPr>
            <w:r w:rsidRPr="00405DE0">
              <w:rPr>
                <w:sz w:val="20"/>
                <w:szCs w:val="20"/>
              </w:rPr>
              <w:t>Yes (but generally low catches apart from a 3 year developmental licence in 2013-14).</w:t>
            </w:r>
          </w:p>
        </w:tc>
      </w:tr>
      <w:tr w:rsidR="00465920" w:rsidRPr="00405DE0" w14:paraId="44980B63" w14:textId="77777777" w:rsidTr="00291AE1">
        <w:tc>
          <w:tcPr>
            <w:tcW w:w="2544" w:type="dxa"/>
          </w:tcPr>
          <w:p w14:paraId="7F86ED35" w14:textId="77777777" w:rsidR="00465920" w:rsidRPr="00405DE0" w:rsidRDefault="00465920" w:rsidP="00291AE1">
            <w:pPr>
              <w:rPr>
                <w:sz w:val="20"/>
                <w:szCs w:val="20"/>
              </w:rPr>
            </w:pPr>
            <w:r w:rsidRPr="00405DE0">
              <w:rPr>
                <w:sz w:val="20"/>
                <w:szCs w:val="20"/>
              </w:rPr>
              <w:t>Northern Territory Trepang Fishery (NTTP)</w:t>
            </w:r>
          </w:p>
        </w:tc>
        <w:tc>
          <w:tcPr>
            <w:tcW w:w="3405" w:type="dxa"/>
          </w:tcPr>
          <w:p w14:paraId="764706A2" w14:textId="77777777" w:rsidR="00465920" w:rsidRPr="00405DE0" w:rsidRDefault="00465920" w:rsidP="00291AE1">
            <w:pPr>
              <w:rPr>
                <w:sz w:val="20"/>
                <w:szCs w:val="20"/>
              </w:rPr>
            </w:pPr>
            <w:r w:rsidRPr="00405DE0">
              <w:rPr>
                <w:sz w:val="20"/>
                <w:szCs w:val="20"/>
              </w:rPr>
              <w:t>Yes. Listed as a fishery species, but have not been caught since at least 2011 (DITT, 2021)</w:t>
            </w:r>
          </w:p>
        </w:tc>
        <w:tc>
          <w:tcPr>
            <w:tcW w:w="3260" w:type="dxa"/>
          </w:tcPr>
          <w:p w14:paraId="1DD662C6" w14:textId="77777777" w:rsidR="00465920" w:rsidRPr="00405DE0" w:rsidRDefault="00465920" w:rsidP="00291AE1">
            <w:pPr>
              <w:rPr>
                <w:sz w:val="20"/>
                <w:szCs w:val="20"/>
              </w:rPr>
            </w:pPr>
            <w:r w:rsidRPr="00405DE0">
              <w:rPr>
                <w:sz w:val="20"/>
                <w:szCs w:val="20"/>
              </w:rPr>
              <w:t>Yes. Listed as a fishery species, but have not been caught since at least 2011 (DITT, 2021)</w:t>
            </w:r>
          </w:p>
        </w:tc>
      </w:tr>
      <w:tr w:rsidR="00465920" w:rsidRPr="00405DE0" w14:paraId="1D89AD2A" w14:textId="77777777" w:rsidTr="00291AE1">
        <w:tc>
          <w:tcPr>
            <w:tcW w:w="2544" w:type="dxa"/>
          </w:tcPr>
          <w:p w14:paraId="17F9BD6B" w14:textId="77777777" w:rsidR="00465920" w:rsidRPr="00405DE0" w:rsidRDefault="00465920" w:rsidP="00291AE1">
            <w:pPr>
              <w:rPr>
                <w:sz w:val="20"/>
                <w:szCs w:val="20"/>
              </w:rPr>
            </w:pPr>
            <w:r w:rsidRPr="00405DE0">
              <w:rPr>
                <w:sz w:val="20"/>
                <w:szCs w:val="20"/>
              </w:rPr>
              <w:t>Western Australian Sea Cucumber Fishery (WASCF)</w:t>
            </w:r>
          </w:p>
        </w:tc>
        <w:tc>
          <w:tcPr>
            <w:tcW w:w="3405" w:type="dxa"/>
          </w:tcPr>
          <w:p w14:paraId="62E46D4A" w14:textId="77777777" w:rsidR="00465920" w:rsidRPr="00405DE0" w:rsidRDefault="00465920" w:rsidP="00291AE1">
            <w:pPr>
              <w:rPr>
                <w:sz w:val="20"/>
                <w:szCs w:val="20"/>
              </w:rPr>
            </w:pPr>
            <w:r w:rsidRPr="00405DE0">
              <w:rPr>
                <w:sz w:val="20"/>
                <w:szCs w:val="20"/>
              </w:rPr>
              <w:t>Yes. But long-term catches &lt;1% overall catch (Hart et al., 2022)</w:t>
            </w:r>
          </w:p>
        </w:tc>
        <w:tc>
          <w:tcPr>
            <w:tcW w:w="3260" w:type="dxa"/>
          </w:tcPr>
          <w:p w14:paraId="70418B4B" w14:textId="77777777" w:rsidR="00465920" w:rsidRPr="00405DE0" w:rsidRDefault="00465920" w:rsidP="00291AE1">
            <w:pPr>
              <w:rPr>
                <w:sz w:val="20"/>
                <w:szCs w:val="20"/>
              </w:rPr>
            </w:pPr>
            <w:r w:rsidRPr="00405DE0">
              <w:rPr>
                <w:sz w:val="20"/>
                <w:szCs w:val="20"/>
              </w:rPr>
              <w:t>Yes. Listed as a fishery species, but catches negligible (Hart et al., 2022)</w:t>
            </w:r>
          </w:p>
        </w:tc>
      </w:tr>
      <w:tr w:rsidR="00465920" w:rsidRPr="00405DE0" w14:paraId="739A1E82" w14:textId="77777777" w:rsidTr="00291AE1">
        <w:tc>
          <w:tcPr>
            <w:tcW w:w="2544" w:type="dxa"/>
          </w:tcPr>
          <w:p w14:paraId="45C4F3E8" w14:textId="77777777" w:rsidR="00465920" w:rsidRPr="00405DE0" w:rsidRDefault="00465920" w:rsidP="00291AE1">
            <w:pPr>
              <w:rPr>
                <w:sz w:val="20"/>
                <w:szCs w:val="20"/>
              </w:rPr>
            </w:pPr>
            <w:r w:rsidRPr="00405DE0">
              <w:rPr>
                <w:sz w:val="20"/>
                <w:szCs w:val="20"/>
              </w:rPr>
              <w:t>Moreton Bay beche-de mer fishery</w:t>
            </w:r>
            <w:r w:rsidRPr="00405DE0">
              <w:rPr>
                <w:sz w:val="20"/>
                <w:szCs w:val="20"/>
                <w:vertAlign w:val="superscript"/>
              </w:rPr>
              <w:t>1</w:t>
            </w:r>
          </w:p>
        </w:tc>
        <w:tc>
          <w:tcPr>
            <w:tcW w:w="3405" w:type="dxa"/>
          </w:tcPr>
          <w:p w14:paraId="2FCDE858" w14:textId="77777777" w:rsidR="00465920" w:rsidRPr="00405DE0" w:rsidRDefault="00465920" w:rsidP="00291AE1">
            <w:pPr>
              <w:rPr>
                <w:sz w:val="20"/>
                <w:szCs w:val="20"/>
              </w:rPr>
            </w:pPr>
            <w:r w:rsidRPr="00405DE0">
              <w:rPr>
                <w:sz w:val="20"/>
                <w:szCs w:val="20"/>
              </w:rPr>
              <w:t>No. Does not occur in fishery area (Skewes and Brewer, 2019)</w:t>
            </w:r>
          </w:p>
        </w:tc>
        <w:tc>
          <w:tcPr>
            <w:tcW w:w="3260" w:type="dxa"/>
          </w:tcPr>
          <w:p w14:paraId="09574260" w14:textId="77777777" w:rsidR="00465920" w:rsidRPr="00405DE0" w:rsidRDefault="00465920" w:rsidP="00291AE1">
            <w:pPr>
              <w:rPr>
                <w:sz w:val="20"/>
                <w:szCs w:val="20"/>
              </w:rPr>
            </w:pPr>
            <w:r w:rsidRPr="00405DE0">
              <w:rPr>
                <w:sz w:val="20"/>
                <w:szCs w:val="20"/>
              </w:rPr>
              <w:t>No. Does not occur in fishery area (Skewes and Brewer, 2019)</w:t>
            </w:r>
          </w:p>
        </w:tc>
      </w:tr>
      <w:tr w:rsidR="00465920" w:rsidRPr="005A62C9" w14:paraId="78F828AC" w14:textId="77777777" w:rsidTr="00291AE1">
        <w:tc>
          <w:tcPr>
            <w:tcW w:w="2544" w:type="dxa"/>
          </w:tcPr>
          <w:p w14:paraId="7A9165EC" w14:textId="032E373A" w:rsidR="00465920" w:rsidRPr="00405DE0" w:rsidRDefault="00465920" w:rsidP="00291AE1">
            <w:pPr>
              <w:rPr>
                <w:sz w:val="20"/>
                <w:szCs w:val="20"/>
              </w:rPr>
            </w:pPr>
            <w:r w:rsidRPr="00405DE0">
              <w:rPr>
                <w:sz w:val="20"/>
                <w:szCs w:val="20"/>
              </w:rPr>
              <w:t>Timor Sea MOU Box fishery</w:t>
            </w:r>
            <w:r w:rsidR="00F4289F" w:rsidRPr="00F4289F">
              <w:rPr>
                <w:sz w:val="20"/>
                <w:szCs w:val="20"/>
                <w:vertAlign w:val="superscript"/>
              </w:rPr>
              <w:t>2</w:t>
            </w:r>
          </w:p>
        </w:tc>
        <w:tc>
          <w:tcPr>
            <w:tcW w:w="3405" w:type="dxa"/>
          </w:tcPr>
          <w:p w14:paraId="370002F3" w14:textId="77777777" w:rsidR="00465920" w:rsidRPr="00405DE0" w:rsidRDefault="00465920" w:rsidP="00291AE1">
            <w:pPr>
              <w:rPr>
                <w:sz w:val="20"/>
                <w:szCs w:val="20"/>
              </w:rPr>
            </w:pPr>
            <w:r w:rsidRPr="00405DE0">
              <w:rPr>
                <w:sz w:val="20"/>
                <w:szCs w:val="20"/>
              </w:rPr>
              <w:t>Yes. Currently makes up a minor but significant portion of the catch (Prescott et al., 2015).</w:t>
            </w:r>
          </w:p>
        </w:tc>
        <w:tc>
          <w:tcPr>
            <w:tcW w:w="3260" w:type="dxa"/>
          </w:tcPr>
          <w:p w14:paraId="167DF3A1" w14:textId="77777777" w:rsidR="00465920" w:rsidRPr="00405DE0" w:rsidRDefault="00465920" w:rsidP="00291AE1">
            <w:pPr>
              <w:rPr>
                <w:sz w:val="20"/>
                <w:szCs w:val="20"/>
              </w:rPr>
            </w:pPr>
            <w:r w:rsidRPr="00405DE0">
              <w:rPr>
                <w:sz w:val="20"/>
                <w:szCs w:val="20"/>
              </w:rPr>
              <w:t>Yes. Currently makes up only a small proportion of the catch (Prescott et al., 2016).</w:t>
            </w:r>
          </w:p>
        </w:tc>
      </w:tr>
    </w:tbl>
    <w:p w14:paraId="633D4FBC" w14:textId="77777777" w:rsidR="00465920" w:rsidRPr="00F24E3F" w:rsidRDefault="00465920" w:rsidP="00465920">
      <w:pPr>
        <w:rPr>
          <w:sz w:val="20"/>
          <w:szCs w:val="20"/>
        </w:rPr>
      </w:pPr>
      <w:r w:rsidRPr="00F24E3F">
        <w:rPr>
          <w:sz w:val="20"/>
          <w:szCs w:val="20"/>
          <w:vertAlign w:val="superscript"/>
        </w:rPr>
        <w:t>1</w:t>
      </w:r>
      <w:r w:rsidRPr="00F24E3F">
        <w:rPr>
          <w:sz w:val="20"/>
          <w:szCs w:val="20"/>
        </w:rPr>
        <w:t xml:space="preserve"> This fishery has not been active since 2007.</w:t>
      </w:r>
      <w:r>
        <w:rPr>
          <w:sz w:val="20"/>
          <w:szCs w:val="20"/>
        </w:rPr>
        <w:t xml:space="preserve"> </w:t>
      </w:r>
      <w:r>
        <w:rPr>
          <w:sz w:val="20"/>
          <w:szCs w:val="20"/>
        </w:rPr>
        <w:br/>
      </w:r>
      <w:r w:rsidRPr="00F24E3F">
        <w:rPr>
          <w:sz w:val="20"/>
          <w:szCs w:val="20"/>
          <w:vertAlign w:val="superscript"/>
        </w:rPr>
        <w:t>2</w:t>
      </w:r>
      <w:r w:rsidRPr="00F24E3F">
        <w:rPr>
          <w:sz w:val="20"/>
          <w:szCs w:val="20"/>
        </w:rPr>
        <w:t xml:space="preserve"> This fishery is fished by Indonesian nationals under an international MOU</w:t>
      </w:r>
      <w:r>
        <w:rPr>
          <w:sz w:val="20"/>
          <w:szCs w:val="20"/>
        </w:rPr>
        <w:t>.</w:t>
      </w:r>
    </w:p>
    <w:p w14:paraId="0BB83A76" w14:textId="77777777" w:rsidR="00EB3953" w:rsidRDefault="00EB3953" w:rsidP="00B74CC6"/>
    <w:p w14:paraId="776747B7" w14:textId="6543E885" w:rsidR="005A62C9" w:rsidRDefault="00FD36A4" w:rsidP="005A62C9">
      <w:pPr>
        <w:keepNext/>
      </w:pPr>
      <w:r>
        <w:rPr>
          <w:noProof/>
        </w:rPr>
        <w:drawing>
          <wp:inline distT="0" distB="0" distL="0" distR="0" wp14:anchorId="6A9CE134" wp14:editId="69F4894B">
            <wp:extent cx="5688330" cy="2804160"/>
            <wp:effectExtent l="0" t="0" r="7620" b="0"/>
            <wp:docPr id="1145001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88330" cy="2804160"/>
                    </a:xfrm>
                    <a:prstGeom prst="rect">
                      <a:avLst/>
                    </a:prstGeom>
                    <a:noFill/>
                  </pic:spPr>
                </pic:pic>
              </a:graphicData>
            </a:graphic>
          </wp:inline>
        </w:drawing>
      </w:r>
    </w:p>
    <w:p w14:paraId="503734FC" w14:textId="18486E4E" w:rsidR="005A62C9" w:rsidRDefault="005A62C9" w:rsidP="000B5A6E">
      <w:pPr>
        <w:pStyle w:val="Caption"/>
      </w:pPr>
      <w:bookmarkStart w:id="104" w:name="_Ref151378334"/>
      <w:bookmarkStart w:id="105" w:name="_Toc189055298"/>
      <w:r>
        <w:t xml:space="preserve">Figure </w:t>
      </w:r>
      <w:fldSimple w:instr=" SEQ Figure \* ARABIC ">
        <w:r w:rsidR="007B2A78">
          <w:rPr>
            <w:noProof/>
          </w:rPr>
          <w:t>13</w:t>
        </w:r>
      </w:fldSimple>
      <w:bookmarkEnd w:id="104"/>
      <w:r>
        <w:t xml:space="preserve">. </w:t>
      </w:r>
      <w:r w:rsidRPr="00AA2B5D">
        <w:t>Annual catch (tonnes</w:t>
      </w:r>
      <w:r>
        <w:t xml:space="preserve"> landed wt</w:t>
      </w:r>
      <w:r w:rsidRPr="00AA2B5D">
        <w:t xml:space="preserve">) of </w:t>
      </w:r>
      <w:r w:rsidR="00FD36A4">
        <w:t>Black teatfish</w:t>
      </w:r>
      <w:r>
        <w:t xml:space="preserve"> in the </w:t>
      </w:r>
      <w:r w:rsidR="00FD36A4">
        <w:t>four</w:t>
      </w:r>
      <w:r>
        <w:t xml:space="preserve"> Australian fisheries that have reported catch since 1996. QCSF and CSF data is in financial years, with reported year being end year.</w:t>
      </w:r>
      <w:bookmarkEnd w:id="105"/>
    </w:p>
    <w:p w14:paraId="70F8995C" w14:textId="6F887EF4" w:rsidR="005A62C9" w:rsidRDefault="00FD36A4" w:rsidP="005A62C9">
      <w:r>
        <w:rPr>
          <w:noProof/>
        </w:rPr>
        <w:drawing>
          <wp:inline distT="0" distB="0" distL="0" distR="0" wp14:anchorId="07ECA61C" wp14:editId="04DB6398">
            <wp:extent cx="5724525" cy="2804160"/>
            <wp:effectExtent l="0" t="0" r="9525" b="0"/>
            <wp:docPr id="21426889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4525" cy="2804160"/>
                    </a:xfrm>
                    <a:prstGeom prst="rect">
                      <a:avLst/>
                    </a:prstGeom>
                    <a:noFill/>
                  </pic:spPr>
                </pic:pic>
              </a:graphicData>
            </a:graphic>
          </wp:inline>
        </w:drawing>
      </w:r>
    </w:p>
    <w:p w14:paraId="0C205B42" w14:textId="65F79FBE" w:rsidR="005A62C9" w:rsidRDefault="005A62C9" w:rsidP="000B5A6E">
      <w:pPr>
        <w:pStyle w:val="Caption"/>
      </w:pPr>
      <w:bookmarkStart w:id="106" w:name="_Ref167198739"/>
      <w:bookmarkStart w:id="107" w:name="_Toc189055299"/>
      <w:r>
        <w:t xml:space="preserve">Figure </w:t>
      </w:r>
      <w:fldSimple w:instr=" SEQ Figure \* ARABIC ">
        <w:r w:rsidR="007B2A78">
          <w:rPr>
            <w:noProof/>
          </w:rPr>
          <w:t>14</w:t>
        </w:r>
      </w:fldSimple>
      <w:bookmarkEnd w:id="106"/>
      <w:r>
        <w:t xml:space="preserve">. </w:t>
      </w:r>
      <w:r w:rsidRPr="00AA2B5D">
        <w:t>Annual catch (tonnes</w:t>
      </w:r>
      <w:r>
        <w:t xml:space="preserve"> landed wt</w:t>
      </w:r>
      <w:r w:rsidRPr="00AA2B5D">
        <w:t xml:space="preserve">) of </w:t>
      </w:r>
      <w:r w:rsidR="00FD36A4">
        <w:t>White teatfish</w:t>
      </w:r>
      <w:r>
        <w:t xml:space="preserve"> in the three Australian fisheries that have reported catch since 1996. CSF and QSCF data is in financial years, with reported year being end year.</w:t>
      </w:r>
      <w:bookmarkEnd w:id="107"/>
    </w:p>
    <w:p w14:paraId="70610AD2" w14:textId="77777777" w:rsidR="00DD488F" w:rsidRPr="003423C5" w:rsidRDefault="00DD488F" w:rsidP="00DD488F"/>
    <w:p w14:paraId="55E909A2" w14:textId="77777777" w:rsidR="00DD488F" w:rsidRDefault="00DD488F" w:rsidP="00CE03E8">
      <w:pPr>
        <w:pStyle w:val="Heading3"/>
      </w:pPr>
      <w:r>
        <w:t>IUU and any other extractions</w:t>
      </w:r>
    </w:p>
    <w:p w14:paraId="71731C7E" w14:textId="5B6E43F9" w:rsidR="00336192" w:rsidRPr="0011552D" w:rsidRDefault="005E41FC" w:rsidP="00336192">
      <w:bookmarkStart w:id="108" w:name="_Hlk173844833"/>
      <w:r>
        <w:t xml:space="preserve">There has been documented illegal take of sea cucumbers in several jurisdictions around Australia. Sea cucumbers </w:t>
      </w:r>
      <w:r w:rsidR="00B74CC6">
        <w:t>with</w:t>
      </w:r>
      <w:r>
        <w:t>in</w:t>
      </w:r>
      <w:r w:rsidR="00B74CC6">
        <w:t xml:space="preserve"> the QSCF</w:t>
      </w:r>
      <w:r w:rsidR="004F47BF">
        <w:t xml:space="preserve"> and CSF</w:t>
      </w:r>
      <w:r w:rsidR="00B74CC6">
        <w:t xml:space="preserve"> </w:t>
      </w:r>
      <w:r>
        <w:t xml:space="preserve">fishery areas </w:t>
      </w:r>
      <w:r w:rsidR="00B74CC6" w:rsidRPr="0011552D">
        <w:t>have been subject to illegal fishing by foreign fishing vessels</w:t>
      </w:r>
      <w:r w:rsidR="00B74CC6">
        <w:t xml:space="preserve"> (FFV)</w:t>
      </w:r>
      <w:r w:rsidR="00B74CC6" w:rsidRPr="0011552D">
        <w:t>, predominantly Vietnamese based fishing vessels (blue boats)</w:t>
      </w:r>
      <w:r w:rsidR="0044502C">
        <w:t xml:space="preserve"> (Skewes and Persson, 2017)</w:t>
      </w:r>
      <w:r w:rsidR="00B74CC6" w:rsidRPr="0011552D">
        <w:t xml:space="preserve">. This activity resulted in </w:t>
      </w:r>
      <w:r w:rsidR="000C3C96">
        <w:t xml:space="preserve">49 </w:t>
      </w:r>
      <w:r w:rsidR="00B74CC6">
        <w:t xml:space="preserve">FFV sightings within the area </w:t>
      </w:r>
      <w:r w:rsidR="000C3C96">
        <w:t xml:space="preserve">(15 in the QSCF and 34 in the CSF) </w:t>
      </w:r>
      <w:r w:rsidR="00B74CC6">
        <w:t xml:space="preserve">between March 2016 and February 2017, of which </w:t>
      </w:r>
      <w:r w:rsidR="000C3C96">
        <w:t>13</w:t>
      </w:r>
      <w:r w:rsidR="00B74CC6">
        <w:t xml:space="preserve"> </w:t>
      </w:r>
      <w:r w:rsidR="000C3C96">
        <w:t xml:space="preserve">(7 in the QSCF and 6 in the CSF) </w:t>
      </w:r>
      <w:r w:rsidR="00B74CC6">
        <w:t>were apprehended (</w:t>
      </w:r>
      <w:fldSimple w:instr=" REF _Ref174102788 ">
        <w:r w:rsidR="007B2A78">
          <w:t xml:space="preserve">Figure </w:t>
        </w:r>
        <w:r w:rsidR="007B2A78">
          <w:rPr>
            <w:noProof/>
          </w:rPr>
          <w:t>15</w:t>
        </w:r>
      </w:fldSimple>
      <w:r w:rsidR="00B74CC6">
        <w:t xml:space="preserve">) </w:t>
      </w:r>
      <w:r w:rsidR="00B74CC6" w:rsidRPr="0011552D">
        <w:t>(AFMA, unpublished data; Skewes, 2017).</w:t>
      </w:r>
      <w:r w:rsidR="00B74CC6">
        <w:t xml:space="preserve"> </w:t>
      </w:r>
      <w:r w:rsidR="000C3C96">
        <w:t xml:space="preserve">Eighteen (36.7%) </w:t>
      </w:r>
      <w:r w:rsidR="00F4289F">
        <w:t xml:space="preserve">of </w:t>
      </w:r>
      <w:r w:rsidR="00B74CC6">
        <w:t xml:space="preserve">the sightings were </w:t>
      </w:r>
      <w:r w:rsidR="000C3C96">
        <w:t>at Lihou Reef in the Coral Sea</w:t>
      </w:r>
      <w:r w:rsidR="00B74CC6">
        <w:t xml:space="preserve">. </w:t>
      </w:r>
      <w:r w:rsidR="00336192" w:rsidRPr="0011552D">
        <w:t>As of 202</w:t>
      </w:r>
      <w:r w:rsidR="00336192">
        <w:t>3</w:t>
      </w:r>
      <w:r w:rsidR="00336192" w:rsidRPr="0011552D">
        <w:t>, there had been no confirmed sightings of FFVs in the Coral Sea since 2016–17 (AFMA, 202</w:t>
      </w:r>
      <w:r w:rsidR="00336192">
        <w:t>3</w:t>
      </w:r>
      <w:r w:rsidR="00336192" w:rsidRPr="0011552D">
        <w:t>, pers. comm., reported in</w:t>
      </w:r>
      <w:r w:rsidR="00336192">
        <w:t xml:space="preserve"> </w:t>
      </w:r>
      <w:r w:rsidR="00336192" w:rsidRPr="00C65916">
        <w:t>Noriega</w:t>
      </w:r>
      <w:r w:rsidR="00336192">
        <w:t xml:space="preserve"> and </w:t>
      </w:r>
      <w:r w:rsidR="00336192" w:rsidRPr="00C65916">
        <w:t>Curotti</w:t>
      </w:r>
      <w:r w:rsidR="00336192" w:rsidRPr="0011552D">
        <w:t>, 202</w:t>
      </w:r>
      <w:r w:rsidR="00336192">
        <w:t>3</w:t>
      </w:r>
      <w:r w:rsidR="00336192" w:rsidRPr="0011552D">
        <w:t>).</w:t>
      </w:r>
    </w:p>
    <w:p w14:paraId="5260DF0F" w14:textId="38979A3B" w:rsidR="003B184C" w:rsidRDefault="003B184C" w:rsidP="003B184C">
      <w:r>
        <w:lastRenderedPageBreak/>
        <w:t xml:space="preserve">Of the </w:t>
      </w:r>
      <w:r w:rsidR="00336192">
        <w:t>13</w:t>
      </w:r>
      <w:r w:rsidR="00336192" w:rsidRPr="00336192">
        <w:t xml:space="preserve"> </w:t>
      </w:r>
      <w:r w:rsidR="00336192" w:rsidRPr="0011552D">
        <w:t>Vietnamese</w:t>
      </w:r>
      <w:r w:rsidR="00336192">
        <w:t xml:space="preserve"> </w:t>
      </w:r>
      <w:r>
        <w:t>vessels apprehended</w:t>
      </w:r>
      <w:r w:rsidR="00336192">
        <w:t>,</w:t>
      </w:r>
      <w:r>
        <w:t xml:space="preserve"> </w:t>
      </w:r>
      <w:r w:rsidR="00336192">
        <w:t xml:space="preserve">the estimated catch on board was 55.6 t (gutted and salted weight) (18.8 t </w:t>
      </w:r>
      <w:r>
        <w:t xml:space="preserve">in the CSF area, </w:t>
      </w:r>
      <w:r w:rsidR="00336192">
        <w:t xml:space="preserve">and </w:t>
      </w:r>
      <w:r>
        <w:t>36.8 t in the QSCF area (</w:t>
      </w:r>
      <w:r w:rsidRPr="0011552D">
        <w:t>AFMA, unpublished data</w:t>
      </w:r>
      <w:r>
        <w:t xml:space="preserve">). </w:t>
      </w:r>
      <w:r w:rsidR="00336192">
        <w:t>T</w:t>
      </w:r>
      <w:r>
        <w:t xml:space="preserve">he catch of two vessels apprehended at Saumarez Reef (within the QSCF) indicated that they were mainly targeting White teatfish </w:t>
      </w:r>
      <w:r w:rsidRPr="0011552D">
        <w:t>(86%)</w:t>
      </w:r>
      <w:r>
        <w:t xml:space="preserve">, with smaller quantities of Black teatfish </w:t>
      </w:r>
      <w:r w:rsidRPr="0011552D">
        <w:t xml:space="preserve">(10%) </w:t>
      </w:r>
      <w:r>
        <w:t xml:space="preserve">and only limited Prickly redfish </w:t>
      </w:r>
      <w:r w:rsidRPr="0011552D">
        <w:t>(2%)</w:t>
      </w:r>
      <w:r>
        <w:t xml:space="preserve"> (Skewes, 2017). </w:t>
      </w:r>
      <w:r w:rsidRPr="0011552D">
        <w:t>It is likely that the catch was sourced from reef passes and deeper lagoon habitats of the Coral Sea reef</w:t>
      </w:r>
      <w:r>
        <w:t>s</w:t>
      </w:r>
      <w:r w:rsidRPr="0011552D">
        <w:t>, as indicated by ship logs and plotter information found on board (AFMA, unpublished data; Skewes, 2017).</w:t>
      </w:r>
      <w:r w:rsidRPr="00D20E8F">
        <w:t xml:space="preserve"> </w:t>
      </w:r>
    </w:p>
    <w:p w14:paraId="3A179D54" w14:textId="76D19943" w:rsidR="005E41FC" w:rsidRPr="003423C5" w:rsidRDefault="005E41FC" w:rsidP="005E41FC">
      <w:r>
        <w:t>There has also been substantial IUU reported in Torres Strait, including apprehensions dating back to the mid-1990s, primarily by PNG nationals fishing on Warrior Reef, and primarily targeting Sandfish, Tropical rock lobsters, and finfish (AFMA, unpublished reports</w:t>
      </w:r>
      <w:r w:rsidR="00203BE2">
        <w:t>; ABC, 2023b</w:t>
      </w:r>
      <w:r>
        <w:t>). This IUU fishing effort by PNG national</w:t>
      </w:r>
      <w:r w:rsidR="00BA6EC0">
        <w:t>s</w:t>
      </w:r>
      <w:r>
        <w:t xml:space="preserve"> in Torres Strait is ongoing, centred on Warrior Reef and primarily targeting a range of species including Sandfish. </w:t>
      </w:r>
    </w:p>
    <w:p w14:paraId="6B8D3AF3" w14:textId="1EF18156" w:rsidR="005E41FC" w:rsidRDefault="005E41FC" w:rsidP="005E41FC">
      <w:r>
        <w:t xml:space="preserve">IUU fishing has also </w:t>
      </w:r>
      <w:r w:rsidR="00B87971">
        <w:t>occurred</w:t>
      </w:r>
      <w:r>
        <w:t xml:space="preserve"> </w:t>
      </w:r>
      <w:r w:rsidR="00B87971">
        <w:t xml:space="preserve">along a wide area of </w:t>
      </w:r>
      <w:r>
        <w:t>the western and northern Australian coastlines and offshore reef</w:t>
      </w:r>
      <w:r w:rsidR="00B87971">
        <w:t>s</w:t>
      </w:r>
      <w:r>
        <w:t xml:space="preserve"> by Indonesian nationals, including on the Rowley shoals</w:t>
      </w:r>
      <w:r w:rsidR="00BA6EC0">
        <w:t>,</w:t>
      </w:r>
      <w:r>
        <w:t xml:space="preserve"> which most likely included catch of </w:t>
      </w:r>
      <w:r w:rsidR="0044502C" w:rsidRPr="0044502C">
        <w:t xml:space="preserve">teatfish </w:t>
      </w:r>
      <w:r>
        <w:t xml:space="preserve">species (ABC, 2021). </w:t>
      </w:r>
      <w:r w:rsidR="00B87971">
        <w:t xml:space="preserve">Encroachments by Indonesian vessels into Australian waters fishing for sea cucumber </w:t>
      </w:r>
      <w:r>
        <w:t xml:space="preserve">is likely to be an ongoing </w:t>
      </w:r>
      <w:r w:rsidR="00B87971">
        <w:t xml:space="preserve">challenge </w:t>
      </w:r>
      <w:r w:rsidR="00F06653">
        <w:t xml:space="preserve">for </w:t>
      </w:r>
      <w:r w:rsidR="00B87971">
        <w:t>managing fishery populations in the WASCF and NTTF, as well as for protected reefs in the Timor Sea MOU Box (Ashmore and Cartier Reefs</w:t>
      </w:r>
      <w:r w:rsidR="00203BE2">
        <w:t>;</w:t>
      </w:r>
      <w:r w:rsidR="00B87971">
        <w:t xml:space="preserve"> </w:t>
      </w:r>
      <w:r w:rsidR="00185E19">
        <w:t>ABC, 2023</w:t>
      </w:r>
      <w:r w:rsidR="00203BE2">
        <w:t>a</w:t>
      </w:r>
      <w:r w:rsidR="00185E19">
        <w:t>)</w:t>
      </w:r>
      <w:r w:rsidR="00B87971">
        <w:t xml:space="preserve">. </w:t>
      </w:r>
    </w:p>
    <w:p w14:paraId="5ED0B2A7" w14:textId="5DED7F02" w:rsidR="00336192" w:rsidRDefault="00336192" w:rsidP="00336192">
      <w:r>
        <w:t xml:space="preserve">As for domestic IUU, all indications are that it is negligible and most likely focussed on high value </w:t>
      </w:r>
      <w:r w:rsidR="0044502C">
        <w:t xml:space="preserve">coastal species </w:t>
      </w:r>
      <w:r>
        <w:t xml:space="preserve">such as </w:t>
      </w:r>
      <w:r w:rsidR="0044502C">
        <w:t>S</w:t>
      </w:r>
      <w:r>
        <w:t>andfish. In all Australian fisheries there has only been one documented incidence of domestic IUU. This related to an u</w:t>
      </w:r>
      <w:r w:rsidRPr="00303865">
        <w:t>nlicensed fish receiver</w:t>
      </w:r>
      <w:r>
        <w:t xml:space="preserve"> in the TSBDMF who was apprehended in 2020 (AFMA, 2020). </w:t>
      </w:r>
    </w:p>
    <w:p w14:paraId="7571FFF9" w14:textId="77777777" w:rsidR="00336192" w:rsidRDefault="00336192" w:rsidP="00336192">
      <w:pPr>
        <w:pStyle w:val="Heading3"/>
      </w:pPr>
      <w:r>
        <w:t>Discards</w:t>
      </w:r>
    </w:p>
    <w:p w14:paraId="3175F083" w14:textId="77777777" w:rsidR="00336192" w:rsidRDefault="00336192" w:rsidP="00336192">
      <w:r>
        <w:t xml:space="preserve">While there have been some reports of discarding in Australian sea cucumber fisheries, it </w:t>
      </w:r>
      <w:r w:rsidRPr="00617578">
        <w:t xml:space="preserve">is likely to be minimal </w:t>
      </w:r>
      <w:r>
        <w:t xml:space="preserve">for teatfish species due to the highly selective nature of hand collection fisheries, and their high recognition high value species and established processing procedures (Dutra et al., 2021). Discarding occurred mainly during the early development phase when processing techniques were being established (various QSCF and TSBDMF fishers and processor – pers comm.), and, for example, in the TSBDMF due to the spoiling of Curryfish species soon after the capture and initial processing stages (HCWG papers – reports from fishers, pers comm). </w:t>
      </w:r>
    </w:p>
    <w:p w14:paraId="2663D2C4" w14:textId="77777777" w:rsidR="00336192" w:rsidRDefault="00336192" w:rsidP="005E41FC"/>
    <w:p w14:paraId="187DF569" w14:textId="77777777" w:rsidR="00336192" w:rsidRDefault="00336192" w:rsidP="0044502C">
      <w:bookmarkStart w:id="109" w:name="_Ref144454963"/>
      <w:bookmarkStart w:id="110" w:name="_Toc146555332"/>
      <w:bookmarkEnd w:id="108"/>
      <w:r>
        <w:rPr>
          <w:noProof/>
        </w:rPr>
        <w:lastRenderedPageBreak/>
        <w:drawing>
          <wp:inline distT="0" distB="0" distL="0" distR="0" wp14:anchorId="333C756B" wp14:editId="53955364">
            <wp:extent cx="5298091" cy="5743575"/>
            <wp:effectExtent l="0" t="0" r="0" b="0"/>
            <wp:docPr id="2038041280" name="Picture 8" descr="A map of the pacific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41280" name="Picture 8" descr="A map of the pacific ocean&#10;&#10;Description automatically generated"/>
                    <pic:cNvPicPr/>
                  </pic:nvPicPr>
                  <pic:blipFill rotWithShape="1">
                    <a:blip r:embed="rId36" cstate="print">
                      <a:extLst>
                        <a:ext uri="{28A0092B-C50C-407E-A947-70E740481C1C}">
                          <a14:useLocalDpi xmlns:a14="http://schemas.microsoft.com/office/drawing/2010/main" val="0"/>
                        </a:ext>
                      </a:extLst>
                    </a:blip>
                    <a:srcRect l="21105" t="7520" r="23555" b="7645"/>
                    <a:stretch/>
                  </pic:blipFill>
                  <pic:spPr bwMode="auto">
                    <a:xfrm>
                      <a:off x="0" y="0"/>
                      <a:ext cx="5305429" cy="5751530"/>
                    </a:xfrm>
                    <a:prstGeom prst="rect">
                      <a:avLst/>
                    </a:prstGeom>
                    <a:ln>
                      <a:noFill/>
                    </a:ln>
                    <a:extLst>
                      <a:ext uri="{53640926-AAD7-44D8-BBD7-CCE9431645EC}">
                        <a14:shadowObscured xmlns:a14="http://schemas.microsoft.com/office/drawing/2010/main"/>
                      </a:ext>
                    </a:extLst>
                  </pic:spPr>
                </pic:pic>
              </a:graphicData>
            </a:graphic>
          </wp:inline>
        </w:drawing>
      </w:r>
    </w:p>
    <w:p w14:paraId="2F161449" w14:textId="7E0CF35A" w:rsidR="00B74CC6" w:rsidRDefault="00B74CC6" w:rsidP="000B5A6E">
      <w:pPr>
        <w:pStyle w:val="Caption"/>
      </w:pPr>
      <w:bookmarkStart w:id="111" w:name="_Ref174102788"/>
      <w:bookmarkStart w:id="112" w:name="_Toc189055300"/>
      <w:r>
        <w:t xml:space="preserve">Figure </w:t>
      </w:r>
      <w:fldSimple w:instr=" SEQ Figure \* ARABIC ">
        <w:r w:rsidR="007B2A78">
          <w:rPr>
            <w:noProof/>
          </w:rPr>
          <w:t>15</w:t>
        </w:r>
      </w:fldSimple>
      <w:bookmarkEnd w:id="109"/>
      <w:bookmarkEnd w:id="111"/>
      <w:r>
        <w:t xml:space="preserve">. Location of sightings and apprehensions of </w:t>
      </w:r>
      <w:r w:rsidRPr="0011552D">
        <w:t xml:space="preserve">Vietnamese based </w:t>
      </w:r>
      <w:r>
        <w:t xml:space="preserve">illegal </w:t>
      </w:r>
      <w:r w:rsidRPr="0011552D">
        <w:t>fishing vessels (blue boats)</w:t>
      </w:r>
      <w:r>
        <w:t xml:space="preserve"> for the period</w:t>
      </w:r>
      <w:r w:rsidRPr="0011552D">
        <w:t xml:space="preserve"> </w:t>
      </w:r>
      <w:r>
        <w:t>March 2016 to February 2017 (data supplied by AFMA).</w:t>
      </w:r>
      <w:bookmarkEnd w:id="110"/>
      <w:bookmarkEnd w:id="112"/>
    </w:p>
    <w:p w14:paraId="20ABD67F" w14:textId="407864D3" w:rsidR="00250D68" w:rsidRDefault="00250D68" w:rsidP="00250D68">
      <w:pPr>
        <w:pStyle w:val="Heading2"/>
      </w:pPr>
      <w:bookmarkStart w:id="113" w:name="_Toc189055276"/>
      <w:r>
        <w:t xml:space="preserve">Conversion </w:t>
      </w:r>
      <w:r w:rsidR="0029555A">
        <w:t>ratios</w:t>
      </w:r>
      <w:bookmarkEnd w:id="113"/>
    </w:p>
    <w:p w14:paraId="41865D11" w14:textId="50720CA3" w:rsidR="00250D68" w:rsidRDefault="00250D68" w:rsidP="00250D68">
      <w:r>
        <w:t>Sea cucumbers will change their weight depending on the time out of the water and processed state (</w:t>
      </w:r>
      <w:r w:rsidR="008C0C10">
        <w:t xml:space="preserve">Skewes et al., 2004; </w:t>
      </w:r>
      <w:r>
        <w:t>Murphy et al., 2021</w:t>
      </w:r>
      <w:r w:rsidR="005B358D">
        <w:t>c</w:t>
      </w:r>
      <w:r>
        <w:t xml:space="preserve">). </w:t>
      </w:r>
      <w:r w:rsidR="00185E19">
        <w:t>As fisher</w:t>
      </w:r>
      <w:r w:rsidR="0079083E">
        <w:t>ies are managed using the weight of animals in several processed states</w:t>
      </w:r>
      <w:r w:rsidR="008D45E2">
        <w:t>, includ</w:t>
      </w:r>
      <w:r w:rsidR="0079083E">
        <w:t xml:space="preserve">ing </w:t>
      </w:r>
      <w:r w:rsidR="00FF3AF7">
        <w:t>:</w:t>
      </w:r>
      <w:r w:rsidR="008D45E2">
        <w:t xml:space="preserve"> </w:t>
      </w:r>
      <w:r w:rsidR="002C4D96">
        <w:t xml:space="preserve">live whole, </w:t>
      </w:r>
      <w:r w:rsidR="00295558">
        <w:t>wet gutted</w:t>
      </w:r>
      <w:r w:rsidR="00FF3AF7">
        <w:t>;</w:t>
      </w:r>
      <w:r w:rsidR="00295558">
        <w:t xml:space="preserve"> gutted and salted</w:t>
      </w:r>
      <w:r w:rsidR="00FF3AF7">
        <w:t>;</w:t>
      </w:r>
      <w:r w:rsidR="006F7BC4">
        <w:t xml:space="preserve"> </w:t>
      </w:r>
      <w:r w:rsidR="00295558">
        <w:t xml:space="preserve">and </w:t>
      </w:r>
      <w:r w:rsidR="00FF3AF7">
        <w:t xml:space="preserve">gutted, </w:t>
      </w:r>
      <w:r w:rsidR="00295558">
        <w:t>parboiled and froze</w:t>
      </w:r>
      <w:r w:rsidR="002C4D96">
        <w:t>n</w:t>
      </w:r>
      <w:r w:rsidR="004D2536">
        <w:t xml:space="preserve"> – (</w:t>
      </w:r>
      <w:fldSimple w:instr=" REF _Ref167114342 ">
        <w:r w:rsidR="007B2A78">
          <w:t xml:space="preserve">Table </w:t>
        </w:r>
        <w:r w:rsidR="007B2A78">
          <w:rPr>
            <w:noProof/>
          </w:rPr>
          <w:t>4</w:t>
        </w:r>
      </w:fldSimple>
      <w:r w:rsidR="004D2536">
        <w:t>)</w:t>
      </w:r>
      <w:r w:rsidR="00295558">
        <w:t>),</w:t>
      </w:r>
      <w:r w:rsidR="00185E19">
        <w:t xml:space="preserve"> </w:t>
      </w:r>
      <w:r w:rsidR="0079083E">
        <w:t xml:space="preserve">combining catches from various fisheries will require conversion </w:t>
      </w:r>
      <w:r w:rsidR="0029555A">
        <w:t>ratios</w:t>
      </w:r>
      <w:r w:rsidR="0079083E">
        <w:t xml:space="preserve"> to a standard catch reporting state (usually gutted weight). </w:t>
      </w:r>
      <w:r w:rsidR="00C962CE">
        <w:t xml:space="preserve">In addition, fishery catch reporting in logbooks and catch disposal records can also be </w:t>
      </w:r>
      <w:r w:rsidR="00016B4E">
        <w:t xml:space="preserve">recorded </w:t>
      </w:r>
      <w:r w:rsidR="00C962CE">
        <w:t xml:space="preserve">in several </w:t>
      </w:r>
      <w:r w:rsidR="00016B4E">
        <w:t xml:space="preserve">processed </w:t>
      </w:r>
      <w:r w:rsidR="00C962CE">
        <w:t>forms</w:t>
      </w:r>
      <w:r w:rsidR="00016B4E">
        <w:t xml:space="preserve"> (e.g. TSBDMF - </w:t>
      </w:r>
      <w:fldSimple w:instr=" REF _Ref167114342 ">
        <w:r w:rsidR="007B2A78">
          <w:t xml:space="preserve">Table </w:t>
        </w:r>
        <w:r w:rsidR="007B2A78">
          <w:rPr>
            <w:noProof/>
          </w:rPr>
          <w:t>4</w:t>
        </w:r>
      </w:fldSimple>
      <w:r w:rsidR="00016B4E">
        <w:t>)</w:t>
      </w:r>
      <w:r w:rsidR="00C962CE">
        <w:t xml:space="preserve">, from live to dried product, </w:t>
      </w:r>
      <w:r w:rsidR="00016B4E">
        <w:t xml:space="preserve">requiring </w:t>
      </w:r>
      <w:r w:rsidR="00C962CE">
        <w:t>management agencies to convert this catch data to their own fishery reporting standard. S</w:t>
      </w:r>
      <w:r w:rsidR="00295558">
        <w:t xml:space="preserve">urvey biomass </w:t>
      </w:r>
      <w:r w:rsidR="00C962CE">
        <w:t xml:space="preserve">is also </w:t>
      </w:r>
      <w:r w:rsidR="00295558">
        <w:t xml:space="preserve">mostly </w:t>
      </w:r>
      <w:r w:rsidR="00016B4E">
        <w:t>collected</w:t>
      </w:r>
      <w:r w:rsidR="00FF3AF7">
        <w:t xml:space="preserve"> as </w:t>
      </w:r>
      <w:r w:rsidR="00295558">
        <w:t>whole live</w:t>
      </w:r>
      <w:r w:rsidR="008D45E2">
        <w:t xml:space="preserve"> </w:t>
      </w:r>
      <w:r w:rsidR="00FF3AF7">
        <w:t xml:space="preserve">weight </w:t>
      </w:r>
      <w:r w:rsidR="008D45E2">
        <w:t xml:space="preserve">but </w:t>
      </w:r>
      <w:r w:rsidR="00C962CE">
        <w:t xml:space="preserve">is often </w:t>
      </w:r>
      <w:r w:rsidR="008D45E2">
        <w:t>converted to gutted weight or “landed” weight</w:t>
      </w:r>
      <w:r w:rsidR="00FF3AF7">
        <w:t xml:space="preserve"> for </w:t>
      </w:r>
      <w:r w:rsidR="00016B4E">
        <w:t xml:space="preserve">application to fishery stock assessments and </w:t>
      </w:r>
      <w:r w:rsidR="00FF3AF7">
        <w:t>analysis outputs</w:t>
      </w:r>
      <w:r w:rsidR="00C962CE">
        <w:t>. E</w:t>
      </w:r>
      <w:r w:rsidR="00295558">
        <w:t xml:space="preserve">xports </w:t>
      </w:r>
      <w:r w:rsidR="00C962CE">
        <w:t xml:space="preserve">will mostly </w:t>
      </w:r>
      <w:r w:rsidR="006F7BC4">
        <w:t>be recorded</w:t>
      </w:r>
      <w:r w:rsidR="00FF3AF7">
        <w:t xml:space="preserve"> as </w:t>
      </w:r>
      <w:r w:rsidR="00295558">
        <w:t>dry weight</w:t>
      </w:r>
      <w:r w:rsidR="00C962CE">
        <w:t xml:space="preserve">, therefore </w:t>
      </w:r>
      <w:r w:rsidR="00C962CE">
        <w:t xml:space="preserve">applying </w:t>
      </w:r>
      <w:r w:rsidR="00016B4E">
        <w:t xml:space="preserve">appropriate </w:t>
      </w:r>
      <w:r w:rsidR="00295558">
        <w:t xml:space="preserve">conversion ratios </w:t>
      </w:r>
      <w:r w:rsidR="00C962CE">
        <w:t xml:space="preserve">will be </w:t>
      </w:r>
      <w:r w:rsidR="00295558">
        <w:t>critical for comparing catch and export data for compliance.</w:t>
      </w:r>
    </w:p>
    <w:p w14:paraId="7BFD9048" w14:textId="13401F23" w:rsidR="00587590" w:rsidRPr="00587590" w:rsidRDefault="0029555A" w:rsidP="00587590">
      <w:r>
        <w:t xml:space="preserve">Conversion ratios have been formulated for many species between several processed states (for a recent compilation, see Murphy et al., 2021c). These conversion ratios are from studies in various locations in </w:t>
      </w:r>
      <w:r w:rsidR="00587590">
        <w:lastRenderedPageBreak/>
        <w:t>Australia and the South Pacific.</w:t>
      </w:r>
      <w:r>
        <w:t xml:space="preserve"> </w:t>
      </w:r>
      <w:r w:rsidR="00587590">
        <w:t>Conversion ratios for the same species from different locations do show some variation, no doubt due to differences in processing techniques but also likely due to regional variation in morphometrics related to body condition (</w:t>
      </w:r>
      <w:r w:rsidR="00587590" w:rsidRPr="00587590">
        <w:t>Hammond</w:t>
      </w:r>
      <w:r w:rsidR="00587590">
        <w:t xml:space="preserve"> and </w:t>
      </w:r>
      <w:r w:rsidR="00587590" w:rsidRPr="00587590">
        <w:t>Purcell, 2024</w:t>
      </w:r>
      <w:r w:rsidR="00587590">
        <w:t>), therefore locally derived conversion ratios should be formulated and applied where possible.</w:t>
      </w:r>
    </w:p>
    <w:p w14:paraId="5ACCA053" w14:textId="49B75D94" w:rsidR="00FF3AF7" w:rsidRDefault="006246A6" w:rsidP="00250D68">
      <w:r>
        <w:t>Whole l</w:t>
      </w:r>
      <w:r w:rsidR="00250D68" w:rsidRPr="007D1382">
        <w:t>ive</w:t>
      </w:r>
      <w:r>
        <w:t xml:space="preserve">, wet gutted, </w:t>
      </w:r>
      <w:r w:rsidR="00250D68">
        <w:t xml:space="preserve">gutted and </w:t>
      </w:r>
      <w:r w:rsidR="00250D68" w:rsidRPr="007D1382">
        <w:t>salted</w:t>
      </w:r>
      <w:r w:rsidR="00A934C9">
        <w:t>,</w:t>
      </w:r>
      <w:r>
        <w:t xml:space="preserve"> and dried </w:t>
      </w:r>
      <w:r w:rsidR="00250D68" w:rsidRPr="007D1382">
        <w:t xml:space="preserve">weight conversion </w:t>
      </w:r>
      <w:r w:rsidR="00016B4E">
        <w:t>ratios</w:t>
      </w:r>
      <w:r w:rsidR="00016B4E" w:rsidRPr="007D1382">
        <w:t xml:space="preserve"> </w:t>
      </w:r>
      <w:r w:rsidR="00250D68" w:rsidRPr="007D1382">
        <w:t xml:space="preserve">are available for </w:t>
      </w:r>
      <w:r w:rsidR="008D45E2">
        <w:t>Black teatfish and White teatfish</w:t>
      </w:r>
      <w:r>
        <w:t xml:space="preserve"> (</w:t>
      </w:r>
      <w:r w:rsidR="00AF77BC">
        <w:fldChar w:fldCharType="begin"/>
      </w:r>
      <w:r w:rsidR="00AF77BC">
        <w:instrText xml:space="preserve"> REF _Ref151385115 \h </w:instrText>
      </w:r>
      <w:r w:rsidR="00AF77BC">
        <w:fldChar w:fldCharType="separate"/>
      </w:r>
      <w:r w:rsidR="007B2A78">
        <w:t xml:space="preserve">Table </w:t>
      </w:r>
      <w:r w:rsidR="007B2A78">
        <w:rPr>
          <w:noProof/>
        </w:rPr>
        <w:t>6</w:t>
      </w:r>
      <w:r w:rsidR="00AF77BC">
        <w:fldChar w:fldCharType="end"/>
      </w:r>
      <w:r w:rsidR="00016B4E">
        <w:t xml:space="preserve">; </w:t>
      </w:r>
      <w:r w:rsidR="009826BB">
        <w:fldChar w:fldCharType="begin"/>
      </w:r>
      <w:r w:rsidR="009826BB">
        <w:instrText xml:space="preserve"> REF _Ref150347389 </w:instrText>
      </w:r>
      <w:r w:rsidR="009826BB">
        <w:fldChar w:fldCharType="separate"/>
      </w:r>
      <w:r w:rsidR="007B2A78">
        <w:t xml:space="preserve">Figure </w:t>
      </w:r>
      <w:r w:rsidR="007B2A78">
        <w:rPr>
          <w:noProof/>
        </w:rPr>
        <w:t>7</w:t>
      </w:r>
      <w:r w:rsidR="009826BB">
        <w:fldChar w:fldCharType="end"/>
      </w:r>
      <w:r w:rsidR="00AF77BC">
        <w:t xml:space="preserve">; </w:t>
      </w:r>
      <w:r>
        <w:t>Murphy et al., 2021</w:t>
      </w:r>
      <w:r w:rsidR="005B358D">
        <w:t>c</w:t>
      </w:r>
      <w:r w:rsidR="00AF77BC">
        <w:t>)</w:t>
      </w:r>
      <w:r w:rsidR="0029555A">
        <w:t>,</w:t>
      </w:r>
      <w:r w:rsidR="00AF77BC">
        <w:t xml:space="preserve"> </w:t>
      </w:r>
      <w:r w:rsidR="0029555A">
        <w:t>however, g</w:t>
      </w:r>
      <w:r w:rsidRPr="007D1382">
        <w:t>ut</w:t>
      </w:r>
      <w:r>
        <w:t>ted</w:t>
      </w:r>
      <w:r w:rsidR="00250D68" w:rsidRPr="007D1382">
        <w:t xml:space="preserve"> par-boiled and frozen </w:t>
      </w:r>
      <w:r w:rsidR="00A934C9">
        <w:t xml:space="preserve">conversion </w:t>
      </w:r>
      <w:r>
        <w:t>rat</w:t>
      </w:r>
      <w:r w:rsidR="00AF77BC">
        <w:t>io</w:t>
      </w:r>
      <w:r w:rsidR="00A934C9">
        <w:t>s</w:t>
      </w:r>
      <w:r w:rsidR="00AF77BC">
        <w:t xml:space="preserve"> </w:t>
      </w:r>
      <w:r w:rsidR="00A934C9">
        <w:t>are not.</w:t>
      </w:r>
      <w:r w:rsidR="00250D68">
        <w:t xml:space="preserve"> </w:t>
      </w:r>
    </w:p>
    <w:p w14:paraId="4C575220" w14:textId="6AA0CC59" w:rsidR="00250D68" w:rsidRDefault="00250D68" w:rsidP="000B5A6E">
      <w:pPr>
        <w:pStyle w:val="Caption"/>
      </w:pPr>
      <w:bookmarkStart w:id="114" w:name="_Ref151385115"/>
      <w:bookmarkStart w:id="115" w:name="_Toc174091516"/>
      <w:bookmarkStart w:id="116" w:name="_Toc189055306"/>
      <w:r>
        <w:t xml:space="preserve">Table </w:t>
      </w:r>
      <w:fldSimple w:instr=" SEQ Table \* ARABIC ">
        <w:r w:rsidR="007B2A78">
          <w:rPr>
            <w:noProof/>
          </w:rPr>
          <w:t>6</w:t>
        </w:r>
      </w:fldSimple>
      <w:bookmarkEnd w:id="114"/>
      <w:r>
        <w:t xml:space="preserve">. Conversion ratios for </w:t>
      </w:r>
      <w:r w:rsidR="00FA59D0">
        <w:t>Black teatfish</w:t>
      </w:r>
      <w:r>
        <w:t xml:space="preserve"> (all values are referenced from Murphy et al., 2021</w:t>
      </w:r>
      <w:r w:rsidR="005B358D">
        <w:t>c</w:t>
      </w:r>
      <w:r>
        <w:t xml:space="preserve"> and references contained within; except for notated values)</w:t>
      </w:r>
      <w:bookmarkEnd w:id="115"/>
      <w:bookmarkEnd w:id="116"/>
    </w:p>
    <w:tbl>
      <w:tblPr>
        <w:tblStyle w:val="TableGrid"/>
        <w:tblW w:w="9629" w:type="dxa"/>
        <w:tblLook w:val="04A0" w:firstRow="1" w:lastRow="0" w:firstColumn="1" w:lastColumn="0" w:noHBand="0" w:noVBand="1"/>
      </w:tblPr>
      <w:tblGrid>
        <w:gridCol w:w="3017"/>
        <w:gridCol w:w="1322"/>
        <w:gridCol w:w="1322"/>
        <w:gridCol w:w="1322"/>
        <w:gridCol w:w="1323"/>
        <w:gridCol w:w="1323"/>
      </w:tblGrid>
      <w:tr w:rsidR="000D0798" w:rsidRPr="00156178" w14:paraId="647D6040" w14:textId="436036A7" w:rsidTr="000D0798">
        <w:tc>
          <w:tcPr>
            <w:tcW w:w="3017" w:type="dxa"/>
          </w:tcPr>
          <w:p w14:paraId="4CF67B9A" w14:textId="77777777" w:rsidR="000D0798" w:rsidRPr="00156178" w:rsidRDefault="000D0798" w:rsidP="000D0798">
            <w:pPr>
              <w:jc w:val="right"/>
              <w:rPr>
                <w:b/>
                <w:bCs/>
                <w:color w:val="auto"/>
                <w:sz w:val="20"/>
                <w:szCs w:val="20"/>
              </w:rPr>
            </w:pPr>
            <w:r w:rsidRPr="00156178">
              <w:rPr>
                <w:noProof/>
                <w:sz w:val="20"/>
                <w:szCs w:val="20"/>
              </w:rPr>
              <mc:AlternateContent>
                <mc:Choice Requires="wps">
                  <w:drawing>
                    <wp:anchor distT="0" distB="0" distL="114300" distR="114300" simplePos="0" relativeHeight="251685376" behindDoc="0" locked="1" layoutInCell="1" allowOverlap="1" wp14:anchorId="191394F5" wp14:editId="1F464184">
                      <wp:simplePos x="0" y="0"/>
                      <wp:positionH relativeFrom="column">
                        <wp:posOffset>-77470</wp:posOffset>
                      </wp:positionH>
                      <wp:positionV relativeFrom="paragraph">
                        <wp:posOffset>-6350</wp:posOffset>
                      </wp:positionV>
                      <wp:extent cx="1905000" cy="695325"/>
                      <wp:effectExtent l="0" t="0" r="19050" b="28575"/>
                      <wp:wrapNone/>
                      <wp:docPr id="1551207953" name="Straight Connector 1"/>
                      <wp:cNvGraphicFramePr/>
                      <a:graphic xmlns:a="http://schemas.openxmlformats.org/drawingml/2006/main">
                        <a:graphicData uri="http://schemas.microsoft.com/office/word/2010/wordprocessingShape">
                          <wps:wsp>
                            <wps:cNvCnPr/>
                            <wps:spPr>
                              <a:xfrm>
                                <a:off x="0" y="0"/>
                                <a:ext cx="1905000" cy="695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405BCA" id="Straight Connector 1"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pt,-.5pt" to="143.9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" strokecolor="black [3200]" strokeweight=".5pt">
                      <v:stroke joinstyle="miter"/>
                      <w10:anchorlock/>
                    </v:line>
                  </w:pict>
                </mc:Fallback>
              </mc:AlternateContent>
            </w:r>
            <w:r w:rsidRPr="00156178">
              <w:rPr>
                <w:b/>
                <w:bCs/>
                <w:color w:val="auto"/>
                <w:sz w:val="20"/>
                <w:szCs w:val="20"/>
              </w:rPr>
              <w:t>To</w:t>
            </w:r>
          </w:p>
          <w:p w14:paraId="26F0A4F4" w14:textId="77777777" w:rsidR="000D0798" w:rsidRPr="00156178" w:rsidRDefault="000D0798" w:rsidP="000D0798">
            <w:pPr>
              <w:rPr>
                <w:b/>
                <w:bCs/>
                <w:color w:val="auto"/>
                <w:sz w:val="20"/>
                <w:szCs w:val="20"/>
              </w:rPr>
            </w:pPr>
          </w:p>
          <w:p w14:paraId="78F4EE97" w14:textId="77777777" w:rsidR="000D0798" w:rsidRPr="00156178" w:rsidRDefault="000D0798" w:rsidP="000D0798">
            <w:pPr>
              <w:rPr>
                <w:b/>
                <w:bCs/>
                <w:color w:val="auto"/>
                <w:sz w:val="20"/>
                <w:szCs w:val="20"/>
              </w:rPr>
            </w:pPr>
            <w:r w:rsidRPr="00156178">
              <w:rPr>
                <w:b/>
                <w:bCs/>
                <w:color w:val="auto"/>
                <w:sz w:val="20"/>
                <w:szCs w:val="20"/>
              </w:rPr>
              <w:t>From</w:t>
            </w:r>
          </w:p>
        </w:tc>
        <w:tc>
          <w:tcPr>
            <w:tcW w:w="1322" w:type="dxa"/>
            <w:vAlign w:val="bottom"/>
          </w:tcPr>
          <w:p w14:paraId="677221C5" w14:textId="77777777" w:rsidR="000D0798" w:rsidRPr="00156178" w:rsidRDefault="000D0798" w:rsidP="000D0798">
            <w:pPr>
              <w:jc w:val="center"/>
              <w:rPr>
                <w:b/>
                <w:bCs/>
                <w:color w:val="auto"/>
                <w:sz w:val="20"/>
                <w:szCs w:val="20"/>
              </w:rPr>
            </w:pPr>
            <w:r w:rsidRPr="00156178">
              <w:rPr>
                <w:b/>
                <w:bCs/>
                <w:color w:val="auto"/>
                <w:sz w:val="20"/>
                <w:szCs w:val="20"/>
              </w:rPr>
              <w:t>Live whole</w:t>
            </w:r>
          </w:p>
        </w:tc>
        <w:tc>
          <w:tcPr>
            <w:tcW w:w="1322" w:type="dxa"/>
            <w:vAlign w:val="bottom"/>
          </w:tcPr>
          <w:p w14:paraId="208679C8" w14:textId="77777777" w:rsidR="000D0798" w:rsidRPr="00156178" w:rsidRDefault="000D0798" w:rsidP="000D0798">
            <w:pPr>
              <w:jc w:val="center"/>
              <w:rPr>
                <w:b/>
                <w:bCs/>
                <w:color w:val="auto"/>
                <w:sz w:val="20"/>
                <w:szCs w:val="20"/>
              </w:rPr>
            </w:pPr>
            <w:r w:rsidRPr="00156178">
              <w:rPr>
                <w:b/>
                <w:bCs/>
                <w:color w:val="auto"/>
                <w:sz w:val="20"/>
                <w:szCs w:val="20"/>
              </w:rPr>
              <w:t>Wet gutted</w:t>
            </w:r>
          </w:p>
        </w:tc>
        <w:tc>
          <w:tcPr>
            <w:tcW w:w="1322" w:type="dxa"/>
            <w:vAlign w:val="bottom"/>
          </w:tcPr>
          <w:p w14:paraId="61FAA0C1" w14:textId="77777777" w:rsidR="000D0798" w:rsidRPr="00156178" w:rsidRDefault="000D0798" w:rsidP="000D0798">
            <w:pPr>
              <w:jc w:val="center"/>
              <w:rPr>
                <w:b/>
                <w:bCs/>
                <w:color w:val="auto"/>
                <w:sz w:val="20"/>
                <w:szCs w:val="20"/>
              </w:rPr>
            </w:pPr>
            <w:r w:rsidRPr="00156178">
              <w:rPr>
                <w:b/>
                <w:bCs/>
                <w:color w:val="auto"/>
                <w:sz w:val="20"/>
                <w:szCs w:val="20"/>
              </w:rPr>
              <w:t>Gutted and salted</w:t>
            </w:r>
          </w:p>
        </w:tc>
        <w:tc>
          <w:tcPr>
            <w:tcW w:w="1323" w:type="dxa"/>
            <w:vAlign w:val="bottom"/>
          </w:tcPr>
          <w:p w14:paraId="25715573" w14:textId="41440B22" w:rsidR="000D0798" w:rsidRPr="00156178" w:rsidRDefault="000D0798" w:rsidP="000D0798">
            <w:pPr>
              <w:jc w:val="center"/>
              <w:rPr>
                <w:b/>
                <w:bCs/>
                <w:color w:val="auto"/>
                <w:sz w:val="20"/>
                <w:szCs w:val="20"/>
              </w:rPr>
            </w:pPr>
            <w:r w:rsidRPr="00156178">
              <w:rPr>
                <w:b/>
                <w:bCs/>
                <w:color w:val="auto"/>
                <w:sz w:val="20"/>
                <w:szCs w:val="20"/>
              </w:rPr>
              <w:t>Gutted, parboiled and frozen</w:t>
            </w:r>
          </w:p>
        </w:tc>
        <w:tc>
          <w:tcPr>
            <w:tcW w:w="1323" w:type="dxa"/>
            <w:vAlign w:val="bottom"/>
          </w:tcPr>
          <w:p w14:paraId="0791191F" w14:textId="2460823E" w:rsidR="000D0798" w:rsidRPr="00156178" w:rsidRDefault="000D0798" w:rsidP="000D0798">
            <w:pPr>
              <w:jc w:val="center"/>
              <w:rPr>
                <w:b/>
                <w:bCs/>
                <w:color w:val="auto"/>
                <w:sz w:val="20"/>
                <w:szCs w:val="20"/>
              </w:rPr>
            </w:pPr>
            <w:r w:rsidRPr="00156178">
              <w:rPr>
                <w:b/>
                <w:bCs/>
                <w:color w:val="auto"/>
                <w:sz w:val="20"/>
                <w:szCs w:val="20"/>
              </w:rPr>
              <w:t>Dried</w:t>
            </w:r>
          </w:p>
        </w:tc>
      </w:tr>
      <w:tr w:rsidR="000D0798" w:rsidRPr="00156178" w14:paraId="2991EAC1" w14:textId="3403B65F" w:rsidTr="000D0798">
        <w:tc>
          <w:tcPr>
            <w:tcW w:w="3017" w:type="dxa"/>
          </w:tcPr>
          <w:p w14:paraId="38E2549D" w14:textId="77777777" w:rsidR="000D0798" w:rsidRPr="00156178" w:rsidRDefault="000D0798" w:rsidP="000D0798">
            <w:pPr>
              <w:rPr>
                <w:b/>
                <w:bCs/>
                <w:sz w:val="20"/>
                <w:szCs w:val="20"/>
              </w:rPr>
            </w:pPr>
            <w:r w:rsidRPr="00156178">
              <w:rPr>
                <w:b/>
                <w:bCs/>
                <w:sz w:val="20"/>
                <w:szCs w:val="20"/>
              </w:rPr>
              <w:t>Live whole</w:t>
            </w:r>
          </w:p>
        </w:tc>
        <w:tc>
          <w:tcPr>
            <w:tcW w:w="1322" w:type="dxa"/>
            <w:shd w:val="clear" w:color="auto" w:fill="D9D9D9" w:themeFill="background1" w:themeFillShade="D9"/>
          </w:tcPr>
          <w:p w14:paraId="5DD4CAF3" w14:textId="77777777" w:rsidR="000D0798" w:rsidRPr="00156178" w:rsidRDefault="000D0798" w:rsidP="000D0798">
            <w:pPr>
              <w:jc w:val="center"/>
              <w:rPr>
                <w:sz w:val="20"/>
                <w:szCs w:val="20"/>
              </w:rPr>
            </w:pPr>
          </w:p>
        </w:tc>
        <w:tc>
          <w:tcPr>
            <w:tcW w:w="1322" w:type="dxa"/>
          </w:tcPr>
          <w:p w14:paraId="477AA3CB" w14:textId="1B4AB490" w:rsidR="000D0798" w:rsidRPr="00156178" w:rsidRDefault="000D0798" w:rsidP="000D0798">
            <w:pPr>
              <w:jc w:val="center"/>
              <w:rPr>
                <w:sz w:val="20"/>
                <w:szCs w:val="20"/>
              </w:rPr>
            </w:pPr>
            <w:r w:rsidRPr="00FA59D0">
              <w:rPr>
                <w:sz w:val="20"/>
                <w:szCs w:val="20"/>
              </w:rPr>
              <w:t>0.677</w:t>
            </w:r>
          </w:p>
        </w:tc>
        <w:tc>
          <w:tcPr>
            <w:tcW w:w="1322" w:type="dxa"/>
          </w:tcPr>
          <w:p w14:paraId="46EA8294" w14:textId="67D04391" w:rsidR="000D0798" w:rsidRPr="00156178" w:rsidRDefault="000D0798" w:rsidP="000D0798">
            <w:pPr>
              <w:jc w:val="center"/>
              <w:rPr>
                <w:sz w:val="20"/>
                <w:szCs w:val="20"/>
              </w:rPr>
            </w:pPr>
            <w:r w:rsidRPr="00FA59D0">
              <w:rPr>
                <w:sz w:val="20"/>
                <w:szCs w:val="20"/>
              </w:rPr>
              <w:t>0.529</w:t>
            </w:r>
          </w:p>
        </w:tc>
        <w:tc>
          <w:tcPr>
            <w:tcW w:w="1323" w:type="dxa"/>
          </w:tcPr>
          <w:p w14:paraId="6C35A6B6" w14:textId="6A6BF16A" w:rsidR="000D0798" w:rsidRPr="00FA59D0" w:rsidRDefault="000D0798" w:rsidP="000D0798">
            <w:pPr>
              <w:jc w:val="center"/>
              <w:rPr>
                <w:sz w:val="20"/>
                <w:szCs w:val="20"/>
              </w:rPr>
            </w:pPr>
            <w:r>
              <w:rPr>
                <w:sz w:val="20"/>
                <w:szCs w:val="20"/>
              </w:rPr>
              <w:t>n/a</w:t>
            </w:r>
          </w:p>
        </w:tc>
        <w:tc>
          <w:tcPr>
            <w:tcW w:w="1323" w:type="dxa"/>
          </w:tcPr>
          <w:p w14:paraId="79D633E6" w14:textId="3D4A734A" w:rsidR="000D0798" w:rsidRPr="00156178" w:rsidRDefault="000D0798" w:rsidP="000D0798">
            <w:pPr>
              <w:jc w:val="center"/>
              <w:rPr>
                <w:sz w:val="20"/>
                <w:szCs w:val="20"/>
              </w:rPr>
            </w:pPr>
            <w:r w:rsidRPr="00FA59D0">
              <w:rPr>
                <w:sz w:val="20"/>
                <w:szCs w:val="20"/>
              </w:rPr>
              <w:t>0.108</w:t>
            </w:r>
          </w:p>
        </w:tc>
      </w:tr>
      <w:tr w:rsidR="000D0798" w:rsidRPr="00156178" w14:paraId="7A2E96FF" w14:textId="64121A39" w:rsidTr="000D0798">
        <w:tc>
          <w:tcPr>
            <w:tcW w:w="3017" w:type="dxa"/>
          </w:tcPr>
          <w:p w14:paraId="5DE7ACAD" w14:textId="77777777" w:rsidR="000D0798" w:rsidRPr="00156178" w:rsidRDefault="000D0798" w:rsidP="000D0798">
            <w:pPr>
              <w:rPr>
                <w:b/>
                <w:bCs/>
                <w:sz w:val="20"/>
                <w:szCs w:val="20"/>
              </w:rPr>
            </w:pPr>
            <w:r w:rsidRPr="00156178">
              <w:rPr>
                <w:b/>
                <w:bCs/>
                <w:sz w:val="20"/>
                <w:szCs w:val="20"/>
              </w:rPr>
              <w:t>Wet gutted</w:t>
            </w:r>
          </w:p>
        </w:tc>
        <w:tc>
          <w:tcPr>
            <w:tcW w:w="1322" w:type="dxa"/>
          </w:tcPr>
          <w:p w14:paraId="1BD85C64" w14:textId="0FCE15FC" w:rsidR="000D0798" w:rsidRPr="00A934C9" w:rsidRDefault="000D0798" w:rsidP="000D0798">
            <w:pPr>
              <w:jc w:val="center"/>
              <w:rPr>
                <w:sz w:val="20"/>
                <w:szCs w:val="20"/>
              </w:rPr>
            </w:pPr>
            <w:r w:rsidRPr="00A934C9">
              <w:rPr>
                <w:sz w:val="20"/>
                <w:szCs w:val="20"/>
              </w:rPr>
              <w:t>1.477</w:t>
            </w:r>
            <w:r w:rsidRPr="00A934C9">
              <w:rPr>
                <w:sz w:val="20"/>
                <w:szCs w:val="20"/>
                <w:vertAlign w:val="superscript"/>
              </w:rPr>
              <w:t>1</w:t>
            </w:r>
          </w:p>
        </w:tc>
        <w:tc>
          <w:tcPr>
            <w:tcW w:w="1322" w:type="dxa"/>
            <w:shd w:val="clear" w:color="auto" w:fill="D9D9D9" w:themeFill="background1" w:themeFillShade="D9"/>
          </w:tcPr>
          <w:p w14:paraId="565D1F40" w14:textId="77777777" w:rsidR="000D0798" w:rsidRPr="00156178" w:rsidRDefault="000D0798" w:rsidP="000D0798">
            <w:pPr>
              <w:jc w:val="center"/>
              <w:rPr>
                <w:sz w:val="20"/>
                <w:szCs w:val="20"/>
              </w:rPr>
            </w:pPr>
          </w:p>
        </w:tc>
        <w:tc>
          <w:tcPr>
            <w:tcW w:w="1322" w:type="dxa"/>
          </w:tcPr>
          <w:p w14:paraId="4D84B98F" w14:textId="7EEC4A11" w:rsidR="000D0798" w:rsidRPr="00156178" w:rsidRDefault="000D0798" w:rsidP="000D0798">
            <w:pPr>
              <w:jc w:val="center"/>
              <w:rPr>
                <w:sz w:val="20"/>
                <w:szCs w:val="20"/>
              </w:rPr>
            </w:pPr>
            <w:r w:rsidRPr="00FA59D0">
              <w:rPr>
                <w:sz w:val="20"/>
                <w:szCs w:val="20"/>
              </w:rPr>
              <w:t>0.824</w:t>
            </w:r>
          </w:p>
        </w:tc>
        <w:tc>
          <w:tcPr>
            <w:tcW w:w="1323" w:type="dxa"/>
          </w:tcPr>
          <w:p w14:paraId="4E622CDC" w14:textId="4A195616" w:rsidR="000D0798" w:rsidRPr="00FA59D0" w:rsidRDefault="000D0798" w:rsidP="000D0798">
            <w:pPr>
              <w:jc w:val="center"/>
              <w:rPr>
                <w:sz w:val="20"/>
                <w:szCs w:val="20"/>
              </w:rPr>
            </w:pPr>
            <w:r>
              <w:rPr>
                <w:sz w:val="20"/>
                <w:szCs w:val="20"/>
              </w:rPr>
              <w:t>n/a</w:t>
            </w:r>
          </w:p>
        </w:tc>
        <w:tc>
          <w:tcPr>
            <w:tcW w:w="1323" w:type="dxa"/>
          </w:tcPr>
          <w:p w14:paraId="6E381FF3" w14:textId="17951C0F" w:rsidR="000D0798" w:rsidRPr="00156178" w:rsidRDefault="000D0798" w:rsidP="000D0798">
            <w:pPr>
              <w:jc w:val="center"/>
              <w:rPr>
                <w:sz w:val="20"/>
                <w:szCs w:val="20"/>
              </w:rPr>
            </w:pPr>
            <w:r w:rsidRPr="00FA59D0">
              <w:rPr>
                <w:sz w:val="20"/>
                <w:szCs w:val="20"/>
              </w:rPr>
              <w:t>0.177</w:t>
            </w:r>
          </w:p>
        </w:tc>
      </w:tr>
      <w:tr w:rsidR="000D0798" w:rsidRPr="00156178" w14:paraId="085C33ED" w14:textId="0D22E0A2" w:rsidTr="000D0798">
        <w:tc>
          <w:tcPr>
            <w:tcW w:w="3017" w:type="dxa"/>
          </w:tcPr>
          <w:p w14:paraId="6863C03A" w14:textId="77777777" w:rsidR="000D0798" w:rsidRPr="00156178" w:rsidRDefault="000D0798" w:rsidP="000D0798">
            <w:pPr>
              <w:rPr>
                <w:b/>
                <w:bCs/>
                <w:sz w:val="20"/>
                <w:szCs w:val="20"/>
              </w:rPr>
            </w:pPr>
            <w:r w:rsidRPr="00156178">
              <w:rPr>
                <w:b/>
                <w:bCs/>
                <w:sz w:val="20"/>
                <w:szCs w:val="20"/>
              </w:rPr>
              <w:t>Gutted and salted</w:t>
            </w:r>
          </w:p>
        </w:tc>
        <w:tc>
          <w:tcPr>
            <w:tcW w:w="1322" w:type="dxa"/>
          </w:tcPr>
          <w:p w14:paraId="55D25A32" w14:textId="23F17DFB" w:rsidR="000D0798" w:rsidRPr="00156178" w:rsidRDefault="000D0798" w:rsidP="000D0798">
            <w:pPr>
              <w:jc w:val="center"/>
              <w:rPr>
                <w:sz w:val="20"/>
                <w:szCs w:val="20"/>
              </w:rPr>
            </w:pPr>
            <w:r>
              <w:rPr>
                <w:sz w:val="20"/>
                <w:szCs w:val="20"/>
              </w:rPr>
              <w:t>1.89</w:t>
            </w:r>
            <w:r w:rsidRPr="00A934C9">
              <w:rPr>
                <w:sz w:val="20"/>
                <w:szCs w:val="20"/>
                <w:vertAlign w:val="superscript"/>
              </w:rPr>
              <w:t>1</w:t>
            </w:r>
          </w:p>
        </w:tc>
        <w:tc>
          <w:tcPr>
            <w:tcW w:w="1322" w:type="dxa"/>
          </w:tcPr>
          <w:p w14:paraId="01DB03F0" w14:textId="2701A749" w:rsidR="000D0798" w:rsidRPr="00156178" w:rsidRDefault="000D0798" w:rsidP="000D0798">
            <w:pPr>
              <w:jc w:val="center"/>
              <w:rPr>
                <w:sz w:val="20"/>
                <w:szCs w:val="20"/>
              </w:rPr>
            </w:pPr>
            <w:r w:rsidRPr="00FA59D0">
              <w:rPr>
                <w:sz w:val="20"/>
                <w:szCs w:val="20"/>
              </w:rPr>
              <w:t>1.213</w:t>
            </w:r>
          </w:p>
        </w:tc>
        <w:tc>
          <w:tcPr>
            <w:tcW w:w="1322" w:type="dxa"/>
            <w:shd w:val="clear" w:color="auto" w:fill="D9D9D9" w:themeFill="background1" w:themeFillShade="D9"/>
          </w:tcPr>
          <w:p w14:paraId="4A32C483" w14:textId="77777777" w:rsidR="000D0798" w:rsidRPr="00156178" w:rsidRDefault="000D0798" w:rsidP="000D0798">
            <w:pPr>
              <w:jc w:val="center"/>
              <w:rPr>
                <w:sz w:val="20"/>
                <w:szCs w:val="20"/>
              </w:rPr>
            </w:pPr>
          </w:p>
        </w:tc>
        <w:tc>
          <w:tcPr>
            <w:tcW w:w="1323" w:type="dxa"/>
          </w:tcPr>
          <w:p w14:paraId="75DD63D1" w14:textId="49085705" w:rsidR="000D0798" w:rsidRPr="00FA59D0" w:rsidRDefault="000D0798" w:rsidP="000D0798">
            <w:pPr>
              <w:jc w:val="center"/>
              <w:rPr>
                <w:sz w:val="20"/>
                <w:szCs w:val="20"/>
              </w:rPr>
            </w:pPr>
            <w:r>
              <w:rPr>
                <w:sz w:val="20"/>
                <w:szCs w:val="20"/>
              </w:rPr>
              <w:t>n/a</w:t>
            </w:r>
          </w:p>
        </w:tc>
        <w:tc>
          <w:tcPr>
            <w:tcW w:w="1323" w:type="dxa"/>
          </w:tcPr>
          <w:p w14:paraId="3EF2EC33" w14:textId="050A43F3" w:rsidR="000D0798" w:rsidRPr="00156178" w:rsidRDefault="000D0798" w:rsidP="000D0798">
            <w:pPr>
              <w:jc w:val="center"/>
              <w:rPr>
                <w:sz w:val="20"/>
                <w:szCs w:val="20"/>
              </w:rPr>
            </w:pPr>
            <w:r w:rsidRPr="00FA59D0">
              <w:rPr>
                <w:sz w:val="20"/>
                <w:szCs w:val="20"/>
              </w:rPr>
              <w:t>0.220</w:t>
            </w:r>
          </w:p>
        </w:tc>
      </w:tr>
      <w:tr w:rsidR="000D0798" w:rsidRPr="00156178" w14:paraId="40C0B347" w14:textId="77777777" w:rsidTr="000D0798">
        <w:tc>
          <w:tcPr>
            <w:tcW w:w="3017" w:type="dxa"/>
          </w:tcPr>
          <w:p w14:paraId="524CE53A" w14:textId="77777777" w:rsidR="000D0798" w:rsidRPr="00156178" w:rsidRDefault="000D0798" w:rsidP="00753911">
            <w:pPr>
              <w:rPr>
                <w:b/>
                <w:bCs/>
                <w:sz w:val="20"/>
                <w:szCs w:val="20"/>
              </w:rPr>
            </w:pPr>
            <w:r w:rsidRPr="00156178">
              <w:rPr>
                <w:b/>
                <w:bCs/>
                <w:color w:val="auto"/>
                <w:sz w:val="20"/>
                <w:szCs w:val="20"/>
              </w:rPr>
              <w:t>Gutted, parboiled and frozen</w:t>
            </w:r>
          </w:p>
        </w:tc>
        <w:tc>
          <w:tcPr>
            <w:tcW w:w="1322" w:type="dxa"/>
          </w:tcPr>
          <w:p w14:paraId="6B02C965" w14:textId="77777777" w:rsidR="000D0798" w:rsidRPr="00156178" w:rsidRDefault="000D0798" w:rsidP="00753911">
            <w:pPr>
              <w:jc w:val="center"/>
              <w:rPr>
                <w:sz w:val="20"/>
                <w:szCs w:val="20"/>
              </w:rPr>
            </w:pPr>
            <w:r>
              <w:rPr>
                <w:sz w:val="20"/>
                <w:szCs w:val="20"/>
              </w:rPr>
              <w:t>n/a</w:t>
            </w:r>
          </w:p>
        </w:tc>
        <w:tc>
          <w:tcPr>
            <w:tcW w:w="1322" w:type="dxa"/>
          </w:tcPr>
          <w:p w14:paraId="64F51409" w14:textId="77777777" w:rsidR="000D0798" w:rsidRPr="00156178" w:rsidRDefault="000D0798" w:rsidP="00753911">
            <w:pPr>
              <w:jc w:val="center"/>
              <w:rPr>
                <w:sz w:val="20"/>
                <w:szCs w:val="20"/>
              </w:rPr>
            </w:pPr>
            <w:r>
              <w:rPr>
                <w:sz w:val="20"/>
                <w:szCs w:val="20"/>
              </w:rPr>
              <w:t>n/a</w:t>
            </w:r>
          </w:p>
        </w:tc>
        <w:tc>
          <w:tcPr>
            <w:tcW w:w="1322" w:type="dxa"/>
          </w:tcPr>
          <w:p w14:paraId="290E9049" w14:textId="77777777" w:rsidR="000D0798" w:rsidRPr="00156178" w:rsidRDefault="000D0798" w:rsidP="00753911">
            <w:pPr>
              <w:jc w:val="center"/>
              <w:rPr>
                <w:sz w:val="20"/>
                <w:szCs w:val="20"/>
              </w:rPr>
            </w:pPr>
            <w:r>
              <w:rPr>
                <w:sz w:val="20"/>
                <w:szCs w:val="20"/>
              </w:rPr>
              <w:t>n/a</w:t>
            </w:r>
          </w:p>
        </w:tc>
        <w:tc>
          <w:tcPr>
            <w:tcW w:w="1323" w:type="dxa"/>
            <w:shd w:val="clear" w:color="auto" w:fill="D9D9D9" w:themeFill="background1" w:themeFillShade="D9"/>
          </w:tcPr>
          <w:p w14:paraId="2EC21364" w14:textId="77777777" w:rsidR="000D0798" w:rsidRPr="00156178" w:rsidRDefault="000D0798" w:rsidP="00753911">
            <w:pPr>
              <w:jc w:val="center"/>
              <w:rPr>
                <w:sz w:val="20"/>
                <w:szCs w:val="20"/>
              </w:rPr>
            </w:pPr>
          </w:p>
        </w:tc>
        <w:tc>
          <w:tcPr>
            <w:tcW w:w="1323" w:type="dxa"/>
          </w:tcPr>
          <w:p w14:paraId="666EB91E" w14:textId="77777777" w:rsidR="000D0798" w:rsidRPr="00156178" w:rsidRDefault="000D0798" w:rsidP="00753911">
            <w:pPr>
              <w:jc w:val="center"/>
              <w:rPr>
                <w:sz w:val="20"/>
                <w:szCs w:val="20"/>
              </w:rPr>
            </w:pPr>
            <w:r>
              <w:rPr>
                <w:sz w:val="20"/>
                <w:szCs w:val="20"/>
              </w:rPr>
              <w:t>n/a</w:t>
            </w:r>
          </w:p>
        </w:tc>
      </w:tr>
      <w:tr w:rsidR="000D0798" w:rsidRPr="00156178" w14:paraId="60090BF1" w14:textId="1A00E421" w:rsidTr="000D0798">
        <w:tc>
          <w:tcPr>
            <w:tcW w:w="3017" w:type="dxa"/>
          </w:tcPr>
          <w:p w14:paraId="020FE723" w14:textId="77777777" w:rsidR="000D0798" w:rsidRPr="00156178" w:rsidRDefault="000D0798" w:rsidP="000D0798">
            <w:pPr>
              <w:rPr>
                <w:b/>
                <w:bCs/>
                <w:sz w:val="20"/>
                <w:szCs w:val="20"/>
              </w:rPr>
            </w:pPr>
            <w:r w:rsidRPr="00156178">
              <w:rPr>
                <w:b/>
                <w:bCs/>
                <w:sz w:val="20"/>
                <w:szCs w:val="20"/>
              </w:rPr>
              <w:t>Dried</w:t>
            </w:r>
          </w:p>
        </w:tc>
        <w:tc>
          <w:tcPr>
            <w:tcW w:w="1322" w:type="dxa"/>
          </w:tcPr>
          <w:p w14:paraId="3722CB35" w14:textId="73C1D14C" w:rsidR="000D0798" w:rsidRPr="00156178" w:rsidRDefault="000D0798" w:rsidP="000D0798">
            <w:pPr>
              <w:jc w:val="center"/>
              <w:rPr>
                <w:sz w:val="20"/>
                <w:szCs w:val="20"/>
              </w:rPr>
            </w:pPr>
            <w:r>
              <w:rPr>
                <w:sz w:val="20"/>
                <w:szCs w:val="20"/>
              </w:rPr>
              <w:t>9.259</w:t>
            </w:r>
            <w:r w:rsidRPr="00A934C9">
              <w:rPr>
                <w:sz w:val="20"/>
                <w:szCs w:val="20"/>
                <w:vertAlign w:val="superscript"/>
              </w:rPr>
              <w:t>1</w:t>
            </w:r>
          </w:p>
        </w:tc>
        <w:tc>
          <w:tcPr>
            <w:tcW w:w="1322" w:type="dxa"/>
          </w:tcPr>
          <w:p w14:paraId="4CDA9183" w14:textId="1EA7E2D0" w:rsidR="000D0798" w:rsidRPr="00156178" w:rsidRDefault="000D0798" w:rsidP="000D0798">
            <w:pPr>
              <w:jc w:val="center"/>
              <w:rPr>
                <w:sz w:val="20"/>
                <w:szCs w:val="20"/>
              </w:rPr>
            </w:pPr>
            <w:r w:rsidRPr="00FA59D0">
              <w:rPr>
                <w:sz w:val="20"/>
                <w:szCs w:val="20"/>
              </w:rPr>
              <w:t>5.649</w:t>
            </w:r>
          </w:p>
        </w:tc>
        <w:tc>
          <w:tcPr>
            <w:tcW w:w="1322" w:type="dxa"/>
          </w:tcPr>
          <w:p w14:paraId="780D3696" w14:textId="2654E388" w:rsidR="000D0798" w:rsidRPr="00156178" w:rsidRDefault="000D0798" w:rsidP="000D0798">
            <w:pPr>
              <w:jc w:val="center"/>
              <w:rPr>
                <w:sz w:val="20"/>
                <w:szCs w:val="20"/>
              </w:rPr>
            </w:pPr>
            <w:r>
              <w:rPr>
                <w:sz w:val="20"/>
                <w:szCs w:val="20"/>
              </w:rPr>
              <w:t>4.545</w:t>
            </w:r>
            <w:r w:rsidRPr="00A934C9">
              <w:rPr>
                <w:sz w:val="20"/>
                <w:szCs w:val="20"/>
                <w:vertAlign w:val="superscript"/>
              </w:rPr>
              <w:t>1</w:t>
            </w:r>
          </w:p>
        </w:tc>
        <w:tc>
          <w:tcPr>
            <w:tcW w:w="1323" w:type="dxa"/>
            <w:shd w:val="clear" w:color="auto" w:fill="FFFFFF" w:themeFill="background1"/>
          </w:tcPr>
          <w:p w14:paraId="2ABC25DF" w14:textId="59D5BDD7" w:rsidR="000D0798" w:rsidRPr="00156178" w:rsidRDefault="000D0798" w:rsidP="000D0798">
            <w:pPr>
              <w:jc w:val="center"/>
              <w:rPr>
                <w:sz w:val="20"/>
                <w:szCs w:val="20"/>
              </w:rPr>
            </w:pPr>
            <w:r>
              <w:rPr>
                <w:sz w:val="20"/>
                <w:szCs w:val="20"/>
              </w:rPr>
              <w:t>n/a</w:t>
            </w:r>
          </w:p>
        </w:tc>
        <w:tc>
          <w:tcPr>
            <w:tcW w:w="1323" w:type="dxa"/>
            <w:shd w:val="clear" w:color="auto" w:fill="D9D9D9" w:themeFill="background1" w:themeFillShade="D9"/>
          </w:tcPr>
          <w:p w14:paraId="0910AEA8" w14:textId="046B7D8C" w:rsidR="000D0798" w:rsidRPr="00156178" w:rsidRDefault="000D0798" w:rsidP="000D0798">
            <w:pPr>
              <w:jc w:val="center"/>
              <w:rPr>
                <w:sz w:val="20"/>
                <w:szCs w:val="20"/>
              </w:rPr>
            </w:pPr>
          </w:p>
        </w:tc>
      </w:tr>
    </w:tbl>
    <w:p w14:paraId="71311081" w14:textId="09036A9A" w:rsidR="00635618" w:rsidRDefault="00250D68" w:rsidP="00635618">
      <w:r w:rsidRPr="00ED43EC">
        <w:rPr>
          <w:sz w:val="20"/>
          <w:szCs w:val="20"/>
          <w:vertAlign w:val="superscript"/>
        </w:rPr>
        <w:t>1</w:t>
      </w:r>
      <w:r w:rsidRPr="00ED43EC">
        <w:rPr>
          <w:sz w:val="20"/>
          <w:szCs w:val="20"/>
        </w:rPr>
        <w:t xml:space="preserve"> These values calculated as the inverse o</w:t>
      </w:r>
      <w:r w:rsidR="00690290">
        <w:rPr>
          <w:sz w:val="20"/>
          <w:szCs w:val="20"/>
        </w:rPr>
        <w:t>r</w:t>
      </w:r>
      <w:r w:rsidRPr="00ED43EC">
        <w:rPr>
          <w:sz w:val="20"/>
          <w:szCs w:val="20"/>
        </w:rPr>
        <w:t xml:space="preserve"> mirror value. </w:t>
      </w:r>
      <w:r w:rsidRPr="00ED43EC">
        <w:rPr>
          <w:sz w:val="20"/>
          <w:szCs w:val="20"/>
        </w:rPr>
        <w:br/>
      </w:r>
    </w:p>
    <w:p w14:paraId="7FE57836" w14:textId="76C0EE27" w:rsidR="00635618" w:rsidRDefault="00635618" w:rsidP="000B5A6E">
      <w:pPr>
        <w:pStyle w:val="Caption"/>
      </w:pPr>
      <w:bookmarkStart w:id="117" w:name="_Toc174091517"/>
      <w:bookmarkStart w:id="118" w:name="_Toc189055307"/>
      <w:r>
        <w:t xml:space="preserve">Table </w:t>
      </w:r>
      <w:fldSimple w:instr=" SEQ Table \* ARABIC ">
        <w:r w:rsidR="007B2A78">
          <w:rPr>
            <w:noProof/>
          </w:rPr>
          <w:t>7</w:t>
        </w:r>
      </w:fldSimple>
      <w:r>
        <w:t>. Conversion ratios for White teatfish (all values are referenced from Murphy et al., 2021</w:t>
      </w:r>
      <w:r w:rsidR="005B358D">
        <w:t>c</w:t>
      </w:r>
      <w:r>
        <w:t xml:space="preserve"> and references contained within; except for notated values)</w:t>
      </w:r>
      <w:bookmarkEnd w:id="117"/>
      <w:bookmarkEnd w:id="118"/>
    </w:p>
    <w:tbl>
      <w:tblPr>
        <w:tblStyle w:val="TableGrid"/>
        <w:tblW w:w="0" w:type="auto"/>
        <w:tblLook w:val="04A0" w:firstRow="1" w:lastRow="0" w:firstColumn="1" w:lastColumn="0" w:noHBand="0" w:noVBand="1"/>
      </w:tblPr>
      <w:tblGrid>
        <w:gridCol w:w="3017"/>
        <w:gridCol w:w="1322"/>
        <w:gridCol w:w="1322"/>
        <w:gridCol w:w="1322"/>
        <w:gridCol w:w="1322"/>
        <w:gridCol w:w="1323"/>
      </w:tblGrid>
      <w:tr w:rsidR="00635618" w:rsidRPr="00156178" w14:paraId="15D3AE31" w14:textId="77777777" w:rsidTr="00E343CA">
        <w:tc>
          <w:tcPr>
            <w:tcW w:w="3017" w:type="dxa"/>
          </w:tcPr>
          <w:p w14:paraId="2141B152" w14:textId="77777777" w:rsidR="00635618" w:rsidRPr="00156178" w:rsidRDefault="00635618" w:rsidP="00E343CA">
            <w:pPr>
              <w:jc w:val="right"/>
              <w:rPr>
                <w:b/>
                <w:bCs/>
                <w:color w:val="auto"/>
                <w:sz w:val="20"/>
                <w:szCs w:val="20"/>
              </w:rPr>
            </w:pPr>
            <w:r w:rsidRPr="00156178">
              <w:rPr>
                <w:noProof/>
                <w:sz w:val="20"/>
                <w:szCs w:val="20"/>
              </w:rPr>
              <mc:AlternateContent>
                <mc:Choice Requires="wps">
                  <w:drawing>
                    <wp:anchor distT="0" distB="0" distL="114300" distR="114300" simplePos="0" relativeHeight="251673088" behindDoc="0" locked="1" layoutInCell="1" allowOverlap="1" wp14:anchorId="1E68C667" wp14:editId="349029FF">
                      <wp:simplePos x="0" y="0"/>
                      <wp:positionH relativeFrom="column">
                        <wp:posOffset>-77470</wp:posOffset>
                      </wp:positionH>
                      <wp:positionV relativeFrom="paragraph">
                        <wp:posOffset>-6350</wp:posOffset>
                      </wp:positionV>
                      <wp:extent cx="1905000" cy="695325"/>
                      <wp:effectExtent l="0" t="0" r="19050" b="28575"/>
                      <wp:wrapNone/>
                      <wp:docPr id="1305857264" name="Straight Connector 1"/>
                      <wp:cNvGraphicFramePr/>
                      <a:graphic xmlns:a="http://schemas.openxmlformats.org/drawingml/2006/main">
                        <a:graphicData uri="http://schemas.microsoft.com/office/word/2010/wordprocessingShape">
                          <wps:wsp>
                            <wps:cNvCnPr/>
                            <wps:spPr>
                              <a:xfrm>
                                <a:off x="0" y="0"/>
                                <a:ext cx="1905000" cy="695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1D5F26" id="Straight Connector 1"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pt,-.5pt" to="143.9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" strokecolor="black [3200]" strokeweight=".5pt">
                      <v:stroke joinstyle="miter"/>
                      <w10:anchorlock/>
                    </v:line>
                  </w:pict>
                </mc:Fallback>
              </mc:AlternateContent>
            </w:r>
            <w:r w:rsidRPr="00156178">
              <w:rPr>
                <w:b/>
                <w:bCs/>
                <w:color w:val="auto"/>
                <w:sz w:val="20"/>
                <w:szCs w:val="20"/>
              </w:rPr>
              <w:t>To</w:t>
            </w:r>
          </w:p>
          <w:p w14:paraId="703C5A72" w14:textId="77777777" w:rsidR="00635618" w:rsidRPr="00156178" w:rsidRDefault="00635618" w:rsidP="00E343CA">
            <w:pPr>
              <w:rPr>
                <w:b/>
                <w:bCs/>
                <w:color w:val="auto"/>
                <w:sz w:val="20"/>
                <w:szCs w:val="20"/>
              </w:rPr>
            </w:pPr>
          </w:p>
          <w:p w14:paraId="5666C871" w14:textId="77777777" w:rsidR="00635618" w:rsidRPr="00156178" w:rsidRDefault="00635618" w:rsidP="00E343CA">
            <w:pPr>
              <w:rPr>
                <w:b/>
                <w:bCs/>
                <w:color w:val="auto"/>
                <w:sz w:val="20"/>
                <w:szCs w:val="20"/>
              </w:rPr>
            </w:pPr>
            <w:r w:rsidRPr="00156178">
              <w:rPr>
                <w:b/>
                <w:bCs/>
                <w:color w:val="auto"/>
                <w:sz w:val="20"/>
                <w:szCs w:val="20"/>
              </w:rPr>
              <w:t>From</w:t>
            </w:r>
          </w:p>
        </w:tc>
        <w:tc>
          <w:tcPr>
            <w:tcW w:w="1322" w:type="dxa"/>
            <w:vAlign w:val="bottom"/>
          </w:tcPr>
          <w:p w14:paraId="402468CC" w14:textId="77777777" w:rsidR="00635618" w:rsidRPr="00156178" w:rsidRDefault="00635618" w:rsidP="00E343CA">
            <w:pPr>
              <w:jc w:val="center"/>
              <w:rPr>
                <w:b/>
                <w:bCs/>
                <w:color w:val="auto"/>
                <w:sz w:val="20"/>
                <w:szCs w:val="20"/>
              </w:rPr>
            </w:pPr>
            <w:r w:rsidRPr="00156178">
              <w:rPr>
                <w:b/>
                <w:bCs/>
                <w:color w:val="auto"/>
                <w:sz w:val="20"/>
                <w:szCs w:val="20"/>
              </w:rPr>
              <w:t>Live whole</w:t>
            </w:r>
          </w:p>
        </w:tc>
        <w:tc>
          <w:tcPr>
            <w:tcW w:w="1322" w:type="dxa"/>
            <w:vAlign w:val="bottom"/>
          </w:tcPr>
          <w:p w14:paraId="4FD53A77" w14:textId="77777777" w:rsidR="00635618" w:rsidRPr="00156178" w:rsidRDefault="00635618" w:rsidP="00E343CA">
            <w:pPr>
              <w:jc w:val="center"/>
              <w:rPr>
                <w:b/>
                <w:bCs/>
                <w:color w:val="auto"/>
                <w:sz w:val="20"/>
                <w:szCs w:val="20"/>
              </w:rPr>
            </w:pPr>
            <w:r w:rsidRPr="00156178">
              <w:rPr>
                <w:b/>
                <w:bCs/>
                <w:color w:val="auto"/>
                <w:sz w:val="20"/>
                <w:szCs w:val="20"/>
              </w:rPr>
              <w:t>Wet gutted</w:t>
            </w:r>
          </w:p>
        </w:tc>
        <w:tc>
          <w:tcPr>
            <w:tcW w:w="1322" w:type="dxa"/>
            <w:vAlign w:val="bottom"/>
          </w:tcPr>
          <w:p w14:paraId="4230D7B3" w14:textId="77777777" w:rsidR="00635618" w:rsidRPr="00156178" w:rsidRDefault="00635618" w:rsidP="00E343CA">
            <w:pPr>
              <w:jc w:val="center"/>
              <w:rPr>
                <w:b/>
                <w:bCs/>
                <w:color w:val="auto"/>
                <w:sz w:val="20"/>
                <w:szCs w:val="20"/>
              </w:rPr>
            </w:pPr>
            <w:r w:rsidRPr="00156178">
              <w:rPr>
                <w:b/>
                <w:bCs/>
                <w:color w:val="auto"/>
                <w:sz w:val="20"/>
                <w:szCs w:val="20"/>
              </w:rPr>
              <w:t>Gutted and salted</w:t>
            </w:r>
          </w:p>
        </w:tc>
        <w:tc>
          <w:tcPr>
            <w:tcW w:w="1322" w:type="dxa"/>
            <w:vAlign w:val="bottom"/>
          </w:tcPr>
          <w:p w14:paraId="66CFBA27" w14:textId="77777777" w:rsidR="00635618" w:rsidRPr="00156178" w:rsidRDefault="00635618" w:rsidP="00E343CA">
            <w:pPr>
              <w:jc w:val="center"/>
              <w:rPr>
                <w:b/>
                <w:bCs/>
                <w:color w:val="auto"/>
                <w:sz w:val="20"/>
                <w:szCs w:val="20"/>
              </w:rPr>
            </w:pPr>
            <w:r w:rsidRPr="00156178">
              <w:rPr>
                <w:b/>
                <w:bCs/>
                <w:color w:val="auto"/>
                <w:sz w:val="20"/>
                <w:szCs w:val="20"/>
              </w:rPr>
              <w:t>Gutted, parboiled and frozen</w:t>
            </w:r>
          </w:p>
        </w:tc>
        <w:tc>
          <w:tcPr>
            <w:tcW w:w="1323" w:type="dxa"/>
            <w:vAlign w:val="bottom"/>
          </w:tcPr>
          <w:p w14:paraId="4A2558FD" w14:textId="77777777" w:rsidR="00635618" w:rsidRPr="00156178" w:rsidRDefault="00635618" w:rsidP="00E343CA">
            <w:pPr>
              <w:jc w:val="center"/>
              <w:rPr>
                <w:b/>
                <w:bCs/>
                <w:color w:val="auto"/>
                <w:sz w:val="20"/>
                <w:szCs w:val="20"/>
              </w:rPr>
            </w:pPr>
            <w:r w:rsidRPr="00156178">
              <w:rPr>
                <w:b/>
                <w:bCs/>
                <w:color w:val="auto"/>
                <w:sz w:val="20"/>
                <w:szCs w:val="20"/>
              </w:rPr>
              <w:t>Dried</w:t>
            </w:r>
          </w:p>
        </w:tc>
      </w:tr>
      <w:tr w:rsidR="00635618" w:rsidRPr="00156178" w14:paraId="09299114" w14:textId="77777777" w:rsidTr="00E343CA">
        <w:tc>
          <w:tcPr>
            <w:tcW w:w="3017" w:type="dxa"/>
          </w:tcPr>
          <w:p w14:paraId="74CE3DD4" w14:textId="77777777" w:rsidR="00635618" w:rsidRPr="00156178" w:rsidRDefault="00635618" w:rsidP="00E343CA">
            <w:pPr>
              <w:rPr>
                <w:b/>
                <w:bCs/>
                <w:sz w:val="20"/>
                <w:szCs w:val="20"/>
              </w:rPr>
            </w:pPr>
            <w:r w:rsidRPr="00156178">
              <w:rPr>
                <w:b/>
                <w:bCs/>
                <w:sz w:val="20"/>
                <w:szCs w:val="20"/>
              </w:rPr>
              <w:t>Live whole</w:t>
            </w:r>
          </w:p>
        </w:tc>
        <w:tc>
          <w:tcPr>
            <w:tcW w:w="1322" w:type="dxa"/>
            <w:shd w:val="clear" w:color="auto" w:fill="D9D9D9" w:themeFill="background1" w:themeFillShade="D9"/>
          </w:tcPr>
          <w:p w14:paraId="2726D86A" w14:textId="77777777" w:rsidR="00635618" w:rsidRPr="00156178" w:rsidRDefault="00635618" w:rsidP="00E343CA">
            <w:pPr>
              <w:jc w:val="center"/>
              <w:rPr>
                <w:sz w:val="20"/>
                <w:szCs w:val="20"/>
              </w:rPr>
            </w:pPr>
          </w:p>
        </w:tc>
        <w:tc>
          <w:tcPr>
            <w:tcW w:w="1322" w:type="dxa"/>
          </w:tcPr>
          <w:p w14:paraId="184931A7" w14:textId="386E2A14" w:rsidR="00635618" w:rsidRPr="00156178" w:rsidRDefault="00635618" w:rsidP="00E343CA">
            <w:pPr>
              <w:jc w:val="center"/>
              <w:rPr>
                <w:sz w:val="20"/>
                <w:szCs w:val="20"/>
              </w:rPr>
            </w:pPr>
            <w:r w:rsidRPr="00635618">
              <w:rPr>
                <w:sz w:val="20"/>
                <w:szCs w:val="20"/>
              </w:rPr>
              <w:t>0.627</w:t>
            </w:r>
          </w:p>
        </w:tc>
        <w:tc>
          <w:tcPr>
            <w:tcW w:w="1322" w:type="dxa"/>
          </w:tcPr>
          <w:p w14:paraId="4B0290A9" w14:textId="76D4AC05" w:rsidR="00635618" w:rsidRPr="00156178" w:rsidRDefault="00635618" w:rsidP="00E343CA">
            <w:pPr>
              <w:jc w:val="center"/>
              <w:rPr>
                <w:sz w:val="20"/>
                <w:szCs w:val="20"/>
              </w:rPr>
            </w:pPr>
            <w:r w:rsidRPr="00635618">
              <w:rPr>
                <w:sz w:val="20"/>
                <w:szCs w:val="20"/>
              </w:rPr>
              <w:t>0.593</w:t>
            </w:r>
          </w:p>
        </w:tc>
        <w:tc>
          <w:tcPr>
            <w:tcW w:w="1322" w:type="dxa"/>
          </w:tcPr>
          <w:p w14:paraId="3C7477B0" w14:textId="05FADB8B" w:rsidR="00635618" w:rsidRPr="00156178" w:rsidRDefault="000D0798" w:rsidP="00E343CA">
            <w:pPr>
              <w:jc w:val="center"/>
              <w:rPr>
                <w:sz w:val="20"/>
                <w:szCs w:val="20"/>
              </w:rPr>
            </w:pPr>
            <w:r>
              <w:rPr>
                <w:sz w:val="20"/>
                <w:szCs w:val="20"/>
              </w:rPr>
              <w:t>n/a</w:t>
            </w:r>
          </w:p>
        </w:tc>
        <w:tc>
          <w:tcPr>
            <w:tcW w:w="1323" w:type="dxa"/>
          </w:tcPr>
          <w:p w14:paraId="5B20820A" w14:textId="68EAF9B1" w:rsidR="00635618" w:rsidRPr="00156178" w:rsidRDefault="00635618" w:rsidP="00E343CA">
            <w:pPr>
              <w:jc w:val="center"/>
              <w:rPr>
                <w:sz w:val="20"/>
                <w:szCs w:val="20"/>
              </w:rPr>
            </w:pPr>
            <w:r w:rsidRPr="00635618">
              <w:rPr>
                <w:sz w:val="20"/>
                <w:szCs w:val="20"/>
              </w:rPr>
              <w:t>0.137</w:t>
            </w:r>
          </w:p>
        </w:tc>
      </w:tr>
      <w:tr w:rsidR="00635618" w:rsidRPr="00156178" w14:paraId="2A65FFCB" w14:textId="77777777" w:rsidTr="00E343CA">
        <w:tc>
          <w:tcPr>
            <w:tcW w:w="3017" w:type="dxa"/>
          </w:tcPr>
          <w:p w14:paraId="1AAF5EC5" w14:textId="77777777" w:rsidR="00635618" w:rsidRPr="00156178" w:rsidRDefault="00635618" w:rsidP="00E343CA">
            <w:pPr>
              <w:rPr>
                <w:b/>
                <w:bCs/>
                <w:sz w:val="20"/>
                <w:szCs w:val="20"/>
              </w:rPr>
            </w:pPr>
            <w:r w:rsidRPr="00156178">
              <w:rPr>
                <w:b/>
                <w:bCs/>
                <w:sz w:val="20"/>
                <w:szCs w:val="20"/>
              </w:rPr>
              <w:t>Wet gutted</w:t>
            </w:r>
          </w:p>
        </w:tc>
        <w:tc>
          <w:tcPr>
            <w:tcW w:w="1322" w:type="dxa"/>
          </w:tcPr>
          <w:p w14:paraId="54D36F60" w14:textId="0ED28146" w:rsidR="00635618" w:rsidRPr="00A934C9" w:rsidRDefault="00A934C9" w:rsidP="00E343CA">
            <w:pPr>
              <w:jc w:val="center"/>
              <w:rPr>
                <w:sz w:val="20"/>
                <w:szCs w:val="20"/>
              </w:rPr>
            </w:pPr>
            <w:r w:rsidRPr="00A934C9">
              <w:rPr>
                <w:sz w:val="20"/>
                <w:szCs w:val="20"/>
              </w:rPr>
              <w:t>1.595</w:t>
            </w:r>
            <w:r w:rsidR="00635618" w:rsidRPr="00A934C9">
              <w:rPr>
                <w:sz w:val="20"/>
                <w:szCs w:val="20"/>
                <w:vertAlign w:val="superscript"/>
              </w:rPr>
              <w:t>1</w:t>
            </w:r>
          </w:p>
        </w:tc>
        <w:tc>
          <w:tcPr>
            <w:tcW w:w="1322" w:type="dxa"/>
            <w:shd w:val="clear" w:color="auto" w:fill="D9D9D9" w:themeFill="background1" w:themeFillShade="D9"/>
          </w:tcPr>
          <w:p w14:paraId="4E649E79" w14:textId="77777777" w:rsidR="00635618" w:rsidRPr="00156178" w:rsidRDefault="00635618" w:rsidP="00E343CA">
            <w:pPr>
              <w:jc w:val="center"/>
              <w:rPr>
                <w:sz w:val="20"/>
                <w:szCs w:val="20"/>
              </w:rPr>
            </w:pPr>
          </w:p>
        </w:tc>
        <w:tc>
          <w:tcPr>
            <w:tcW w:w="1322" w:type="dxa"/>
          </w:tcPr>
          <w:p w14:paraId="052077AE" w14:textId="7B25933A" w:rsidR="00635618" w:rsidRPr="00156178" w:rsidRDefault="00635618" w:rsidP="00E343CA">
            <w:pPr>
              <w:jc w:val="center"/>
              <w:rPr>
                <w:sz w:val="20"/>
                <w:szCs w:val="20"/>
              </w:rPr>
            </w:pPr>
            <w:r w:rsidRPr="00635618">
              <w:rPr>
                <w:sz w:val="20"/>
                <w:szCs w:val="20"/>
              </w:rPr>
              <w:t>0.775</w:t>
            </w:r>
          </w:p>
        </w:tc>
        <w:tc>
          <w:tcPr>
            <w:tcW w:w="1322" w:type="dxa"/>
          </w:tcPr>
          <w:p w14:paraId="499BFB05" w14:textId="3CB88CFD" w:rsidR="00635618" w:rsidRPr="00156178" w:rsidRDefault="000D0798" w:rsidP="00E343CA">
            <w:pPr>
              <w:jc w:val="center"/>
              <w:rPr>
                <w:sz w:val="20"/>
                <w:szCs w:val="20"/>
              </w:rPr>
            </w:pPr>
            <w:r>
              <w:rPr>
                <w:sz w:val="20"/>
                <w:szCs w:val="20"/>
              </w:rPr>
              <w:t>n/a</w:t>
            </w:r>
          </w:p>
        </w:tc>
        <w:tc>
          <w:tcPr>
            <w:tcW w:w="1323" w:type="dxa"/>
          </w:tcPr>
          <w:p w14:paraId="7FF9BA1E" w14:textId="7346FAAB" w:rsidR="00635618" w:rsidRPr="00156178" w:rsidRDefault="00635618" w:rsidP="00E343CA">
            <w:pPr>
              <w:jc w:val="center"/>
              <w:rPr>
                <w:sz w:val="20"/>
                <w:szCs w:val="20"/>
              </w:rPr>
            </w:pPr>
            <w:r w:rsidRPr="00635618">
              <w:rPr>
                <w:sz w:val="20"/>
                <w:szCs w:val="20"/>
              </w:rPr>
              <w:t>0.237</w:t>
            </w:r>
          </w:p>
        </w:tc>
      </w:tr>
      <w:tr w:rsidR="00635618" w:rsidRPr="00156178" w14:paraId="4F74713F" w14:textId="77777777" w:rsidTr="00E343CA">
        <w:tc>
          <w:tcPr>
            <w:tcW w:w="3017" w:type="dxa"/>
          </w:tcPr>
          <w:p w14:paraId="2612E1FE" w14:textId="77777777" w:rsidR="00635618" w:rsidRPr="00156178" w:rsidRDefault="00635618" w:rsidP="00E343CA">
            <w:pPr>
              <w:rPr>
                <w:b/>
                <w:bCs/>
                <w:sz w:val="20"/>
                <w:szCs w:val="20"/>
              </w:rPr>
            </w:pPr>
            <w:r w:rsidRPr="00156178">
              <w:rPr>
                <w:b/>
                <w:bCs/>
                <w:sz w:val="20"/>
                <w:szCs w:val="20"/>
              </w:rPr>
              <w:t>Gutted and salted</w:t>
            </w:r>
          </w:p>
        </w:tc>
        <w:tc>
          <w:tcPr>
            <w:tcW w:w="1322" w:type="dxa"/>
          </w:tcPr>
          <w:p w14:paraId="3D749F8C" w14:textId="7396D3CB" w:rsidR="00635618" w:rsidRPr="00A934C9" w:rsidRDefault="00A934C9" w:rsidP="00E343CA">
            <w:pPr>
              <w:jc w:val="center"/>
              <w:rPr>
                <w:sz w:val="20"/>
                <w:szCs w:val="20"/>
              </w:rPr>
            </w:pPr>
            <w:r w:rsidRPr="00A934C9">
              <w:rPr>
                <w:sz w:val="20"/>
                <w:szCs w:val="20"/>
              </w:rPr>
              <w:t>1.686</w:t>
            </w:r>
            <w:r w:rsidR="00635618" w:rsidRPr="00A934C9">
              <w:rPr>
                <w:sz w:val="20"/>
                <w:szCs w:val="20"/>
                <w:vertAlign w:val="superscript"/>
              </w:rPr>
              <w:t>1</w:t>
            </w:r>
          </w:p>
        </w:tc>
        <w:tc>
          <w:tcPr>
            <w:tcW w:w="1322" w:type="dxa"/>
          </w:tcPr>
          <w:p w14:paraId="3E198245" w14:textId="333E324A" w:rsidR="00635618" w:rsidRPr="00156178" w:rsidRDefault="00635618" w:rsidP="00E343CA">
            <w:pPr>
              <w:jc w:val="center"/>
              <w:rPr>
                <w:sz w:val="20"/>
                <w:szCs w:val="20"/>
              </w:rPr>
            </w:pPr>
            <w:r w:rsidRPr="00635618">
              <w:rPr>
                <w:sz w:val="20"/>
                <w:szCs w:val="20"/>
              </w:rPr>
              <w:t>1.290</w:t>
            </w:r>
          </w:p>
        </w:tc>
        <w:tc>
          <w:tcPr>
            <w:tcW w:w="1322" w:type="dxa"/>
            <w:shd w:val="clear" w:color="auto" w:fill="D9D9D9" w:themeFill="background1" w:themeFillShade="D9"/>
          </w:tcPr>
          <w:p w14:paraId="73A764AF" w14:textId="77777777" w:rsidR="00635618" w:rsidRPr="00156178" w:rsidRDefault="00635618" w:rsidP="00E343CA">
            <w:pPr>
              <w:jc w:val="center"/>
              <w:rPr>
                <w:sz w:val="20"/>
                <w:szCs w:val="20"/>
              </w:rPr>
            </w:pPr>
          </w:p>
        </w:tc>
        <w:tc>
          <w:tcPr>
            <w:tcW w:w="1322" w:type="dxa"/>
          </w:tcPr>
          <w:p w14:paraId="77CE82AF" w14:textId="0F05A333" w:rsidR="00635618" w:rsidRPr="00156178" w:rsidRDefault="000D0798" w:rsidP="00E343CA">
            <w:pPr>
              <w:jc w:val="center"/>
              <w:rPr>
                <w:sz w:val="20"/>
                <w:szCs w:val="20"/>
              </w:rPr>
            </w:pPr>
            <w:r>
              <w:rPr>
                <w:sz w:val="20"/>
                <w:szCs w:val="20"/>
              </w:rPr>
              <w:t>n/a</w:t>
            </w:r>
          </w:p>
        </w:tc>
        <w:tc>
          <w:tcPr>
            <w:tcW w:w="1323" w:type="dxa"/>
          </w:tcPr>
          <w:p w14:paraId="4878702E" w14:textId="171F95B8" w:rsidR="00635618" w:rsidRPr="00156178" w:rsidRDefault="00635618" w:rsidP="00E343CA">
            <w:pPr>
              <w:jc w:val="center"/>
              <w:rPr>
                <w:sz w:val="20"/>
                <w:szCs w:val="20"/>
              </w:rPr>
            </w:pPr>
            <w:r w:rsidRPr="00635618">
              <w:rPr>
                <w:sz w:val="20"/>
                <w:szCs w:val="20"/>
              </w:rPr>
              <w:t>0.309</w:t>
            </w:r>
          </w:p>
        </w:tc>
      </w:tr>
      <w:tr w:rsidR="00635618" w:rsidRPr="00156178" w14:paraId="364F1334" w14:textId="77777777" w:rsidTr="00E343CA">
        <w:tc>
          <w:tcPr>
            <w:tcW w:w="3017" w:type="dxa"/>
          </w:tcPr>
          <w:p w14:paraId="4129643D" w14:textId="77777777" w:rsidR="00635618" w:rsidRPr="00156178" w:rsidRDefault="00635618" w:rsidP="00E343CA">
            <w:pPr>
              <w:rPr>
                <w:b/>
                <w:bCs/>
                <w:sz w:val="20"/>
                <w:szCs w:val="20"/>
              </w:rPr>
            </w:pPr>
            <w:r w:rsidRPr="00156178">
              <w:rPr>
                <w:b/>
                <w:bCs/>
                <w:color w:val="auto"/>
                <w:sz w:val="20"/>
                <w:szCs w:val="20"/>
              </w:rPr>
              <w:t>Gutted, parboiled and frozen</w:t>
            </w:r>
          </w:p>
        </w:tc>
        <w:tc>
          <w:tcPr>
            <w:tcW w:w="1322" w:type="dxa"/>
          </w:tcPr>
          <w:p w14:paraId="6BF756A4" w14:textId="0916C199" w:rsidR="00635618" w:rsidRPr="00156178" w:rsidRDefault="000D0798" w:rsidP="00E343CA">
            <w:pPr>
              <w:jc w:val="center"/>
              <w:rPr>
                <w:sz w:val="20"/>
                <w:szCs w:val="20"/>
              </w:rPr>
            </w:pPr>
            <w:r>
              <w:rPr>
                <w:sz w:val="20"/>
                <w:szCs w:val="20"/>
              </w:rPr>
              <w:t>n/a</w:t>
            </w:r>
          </w:p>
        </w:tc>
        <w:tc>
          <w:tcPr>
            <w:tcW w:w="1322" w:type="dxa"/>
          </w:tcPr>
          <w:p w14:paraId="0AC3D3A8" w14:textId="490DC3AD" w:rsidR="00635618" w:rsidRPr="00156178" w:rsidRDefault="000D0798" w:rsidP="00E343CA">
            <w:pPr>
              <w:jc w:val="center"/>
              <w:rPr>
                <w:sz w:val="20"/>
                <w:szCs w:val="20"/>
              </w:rPr>
            </w:pPr>
            <w:r>
              <w:rPr>
                <w:sz w:val="20"/>
                <w:szCs w:val="20"/>
              </w:rPr>
              <w:t>n/a</w:t>
            </w:r>
          </w:p>
        </w:tc>
        <w:tc>
          <w:tcPr>
            <w:tcW w:w="1322" w:type="dxa"/>
          </w:tcPr>
          <w:p w14:paraId="159B9419" w14:textId="3018AD6C" w:rsidR="00635618" w:rsidRPr="00156178" w:rsidRDefault="000D0798" w:rsidP="00E343CA">
            <w:pPr>
              <w:jc w:val="center"/>
              <w:rPr>
                <w:sz w:val="20"/>
                <w:szCs w:val="20"/>
              </w:rPr>
            </w:pPr>
            <w:r>
              <w:rPr>
                <w:sz w:val="20"/>
                <w:szCs w:val="20"/>
              </w:rPr>
              <w:t>n/a</w:t>
            </w:r>
          </w:p>
        </w:tc>
        <w:tc>
          <w:tcPr>
            <w:tcW w:w="1322" w:type="dxa"/>
            <w:shd w:val="clear" w:color="auto" w:fill="D9D9D9" w:themeFill="background1" w:themeFillShade="D9"/>
          </w:tcPr>
          <w:p w14:paraId="0C8D422D" w14:textId="77777777" w:rsidR="00635618" w:rsidRPr="00156178" w:rsidRDefault="00635618" w:rsidP="00E343CA">
            <w:pPr>
              <w:jc w:val="center"/>
              <w:rPr>
                <w:sz w:val="20"/>
                <w:szCs w:val="20"/>
              </w:rPr>
            </w:pPr>
          </w:p>
        </w:tc>
        <w:tc>
          <w:tcPr>
            <w:tcW w:w="1323" w:type="dxa"/>
          </w:tcPr>
          <w:p w14:paraId="22306994" w14:textId="3DC1DF74" w:rsidR="00635618" w:rsidRPr="00156178" w:rsidRDefault="000D0798" w:rsidP="00E343CA">
            <w:pPr>
              <w:jc w:val="center"/>
              <w:rPr>
                <w:sz w:val="20"/>
                <w:szCs w:val="20"/>
              </w:rPr>
            </w:pPr>
            <w:r>
              <w:rPr>
                <w:sz w:val="20"/>
                <w:szCs w:val="20"/>
              </w:rPr>
              <w:t>n/a</w:t>
            </w:r>
          </w:p>
        </w:tc>
      </w:tr>
      <w:tr w:rsidR="00635618" w:rsidRPr="00156178" w14:paraId="77F38E0E" w14:textId="77777777" w:rsidTr="00E343CA">
        <w:tc>
          <w:tcPr>
            <w:tcW w:w="3017" w:type="dxa"/>
          </w:tcPr>
          <w:p w14:paraId="12A093D3" w14:textId="77777777" w:rsidR="00635618" w:rsidRPr="00156178" w:rsidRDefault="00635618" w:rsidP="00E343CA">
            <w:pPr>
              <w:rPr>
                <w:b/>
                <w:bCs/>
                <w:sz w:val="20"/>
                <w:szCs w:val="20"/>
              </w:rPr>
            </w:pPr>
            <w:r w:rsidRPr="00156178">
              <w:rPr>
                <w:b/>
                <w:bCs/>
                <w:sz w:val="20"/>
                <w:szCs w:val="20"/>
              </w:rPr>
              <w:t>Dried</w:t>
            </w:r>
          </w:p>
        </w:tc>
        <w:tc>
          <w:tcPr>
            <w:tcW w:w="1322" w:type="dxa"/>
          </w:tcPr>
          <w:p w14:paraId="3553C8A4" w14:textId="2F371E0E" w:rsidR="00635618" w:rsidRPr="00F84910" w:rsidRDefault="00F84910" w:rsidP="00E343CA">
            <w:pPr>
              <w:jc w:val="center"/>
              <w:rPr>
                <w:sz w:val="20"/>
                <w:szCs w:val="20"/>
              </w:rPr>
            </w:pPr>
            <w:r w:rsidRPr="00F84910">
              <w:rPr>
                <w:sz w:val="20"/>
                <w:szCs w:val="20"/>
              </w:rPr>
              <w:t>7.299</w:t>
            </w:r>
            <w:r w:rsidR="00635618" w:rsidRPr="00F84910">
              <w:rPr>
                <w:sz w:val="20"/>
                <w:szCs w:val="20"/>
                <w:vertAlign w:val="superscript"/>
              </w:rPr>
              <w:t>1</w:t>
            </w:r>
          </w:p>
        </w:tc>
        <w:tc>
          <w:tcPr>
            <w:tcW w:w="1322" w:type="dxa"/>
          </w:tcPr>
          <w:p w14:paraId="6A44FDE3" w14:textId="00BFB913" w:rsidR="00635618" w:rsidRPr="00156178" w:rsidRDefault="00635618" w:rsidP="00E343CA">
            <w:pPr>
              <w:jc w:val="center"/>
              <w:rPr>
                <w:sz w:val="20"/>
                <w:szCs w:val="20"/>
              </w:rPr>
            </w:pPr>
            <w:r w:rsidRPr="00635618">
              <w:rPr>
                <w:sz w:val="20"/>
                <w:szCs w:val="20"/>
              </w:rPr>
              <w:t>4.219</w:t>
            </w:r>
          </w:p>
        </w:tc>
        <w:tc>
          <w:tcPr>
            <w:tcW w:w="1322" w:type="dxa"/>
          </w:tcPr>
          <w:p w14:paraId="73CCE426" w14:textId="49D833D1" w:rsidR="00635618" w:rsidRPr="00F84910" w:rsidRDefault="00F84910" w:rsidP="00E343CA">
            <w:pPr>
              <w:jc w:val="center"/>
              <w:rPr>
                <w:sz w:val="20"/>
                <w:szCs w:val="20"/>
              </w:rPr>
            </w:pPr>
            <w:r w:rsidRPr="00F84910">
              <w:rPr>
                <w:sz w:val="20"/>
                <w:szCs w:val="20"/>
              </w:rPr>
              <w:t>3.236</w:t>
            </w:r>
            <w:r w:rsidR="00635618" w:rsidRPr="00F84910">
              <w:rPr>
                <w:sz w:val="20"/>
                <w:szCs w:val="20"/>
                <w:vertAlign w:val="superscript"/>
              </w:rPr>
              <w:t>1</w:t>
            </w:r>
          </w:p>
        </w:tc>
        <w:tc>
          <w:tcPr>
            <w:tcW w:w="1322" w:type="dxa"/>
          </w:tcPr>
          <w:p w14:paraId="16597B38" w14:textId="66529479" w:rsidR="00635618" w:rsidRPr="00156178" w:rsidRDefault="000D0798" w:rsidP="00E343CA">
            <w:pPr>
              <w:jc w:val="center"/>
              <w:rPr>
                <w:sz w:val="20"/>
                <w:szCs w:val="20"/>
              </w:rPr>
            </w:pPr>
            <w:r>
              <w:rPr>
                <w:sz w:val="20"/>
                <w:szCs w:val="20"/>
              </w:rPr>
              <w:t>n/a</w:t>
            </w:r>
          </w:p>
        </w:tc>
        <w:tc>
          <w:tcPr>
            <w:tcW w:w="1323" w:type="dxa"/>
            <w:shd w:val="clear" w:color="auto" w:fill="D9D9D9" w:themeFill="background1" w:themeFillShade="D9"/>
          </w:tcPr>
          <w:p w14:paraId="01D8DF1A" w14:textId="77777777" w:rsidR="00635618" w:rsidRPr="00156178" w:rsidRDefault="00635618" w:rsidP="00E343CA">
            <w:pPr>
              <w:jc w:val="center"/>
              <w:rPr>
                <w:sz w:val="20"/>
                <w:szCs w:val="20"/>
              </w:rPr>
            </w:pPr>
          </w:p>
        </w:tc>
      </w:tr>
    </w:tbl>
    <w:p w14:paraId="1C5F8A47" w14:textId="3E979393" w:rsidR="00635618" w:rsidRDefault="00635618" w:rsidP="00635618">
      <w:r w:rsidRPr="00ED43EC">
        <w:rPr>
          <w:sz w:val="20"/>
          <w:szCs w:val="20"/>
          <w:vertAlign w:val="superscript"/>
        </w:rPr>
        <w:t>1</w:t>
      </w:r>
      <w:r w:rsidRPr="00ED43EC">
        <w:rPr>
          <w:sz w:val="20"/>
          <w:szCs w:val="20"/>
        </w:rPr>
        <w:t xml:space="preserve"> These values calculated as the inverse o</w:t>
      </w:r>
      <w:r>
        <w:rPr>
          <w:sz w:val="20"/>
          <w:szCs w:val="20"/>
        </w:rPr>
        <w:t>r</w:t>
      </w:r>
      <w:r w:rsidRPr="00ED43EC">
        <w:rPr>
          <w:sz w:val="20"/>
          <w:szCs w:val="20"/>
        </w:rPr>
        <w:t xml:space="preserve"> mirror value. </w:t>
      </w:r>
      <w:r w:rsidRPr="00ED43EC">
        <w:rPr>
          <w:sz w:val="20"/>
          <w:szCs w:val="20"/>
        </w:rPr>
        <w:br/>
      </w:r>
    </w:p>
    <w:p w14:paraId="6A7C04CD" w14:textId="0DCF7D83" w:rsidR="000D0798" w:rsidRDefault="000D0798" w:rsidP="000B5A6E">
      <w:pPr>
        <w:pStyle w:val="Caption"/>
      </w:pPr>
      <w:bookmarkStart w:id="119" w:name="_Ref150201640"/>
      <w:bookmarkStart w:id="120" w:name="_Toc174091518"/>
      <w:bookmarkStart w:id="121" w:name="_Toc189055308"/>
      <w:r>
        <w:t xml:space="preserve">Table </w:t>
      </w:r>
      <w:fldSimple w:instr=" SEQ Table \* ARABIC ">
        <w:r w:rsidR="007B2A78">
          <w:rPr>
            <w:noProof/>
          </w:rPr>
          <w:t>8</w:t>
        </w:r>
      </w:fldSimple>
      <w:bookmarkEnd w:id="119"/>
      <w:r>
        <w:t xml:space="preserve">. Average weight of White teatfish from QSCF </w:t>
      </w:r>
      <w:r w:rsidRPr="00156178">
        <w:t>Buyer Return logbook</w:t>
      </w:r>
      <w:r>
        <w:t xml:space="preserve"> (where weight and number recorded)</w:t>
      </w:r>
      <w:bookmarkEnd w:id="120"/>
      <w:bookmarkEnd w:id="121"/>
    </w:p>
    <w:tbl>
      <w:tblPr>
        <w:tblStyle w:val="TableGrid"/>
        <w:tblW w:w="0" w:type="auto"/>
        <w:tblLook w:val="04A0" w:firstRow="1" w:lastRow="0" w:firstColumn="1" w:lastColumn="0" w:noHBand="0" w:noVBand="1"/>
      </w:tblPr>
      <w:tblGrid>
        <w:gridCol w:w="2975"/>
        <w:gridCol w:w="2268"/>
        <w:gridCol w:w="1978"/>
      </w:tblGrid>
      <w:tr w:rsidR="000D0798" w:rsidRPr="00156178" w14:paraId="628CFFBE" w14:textId="77777777" w:rsidTr="00873A7E">
        <w:tc>
          <w:tcPr>
            <w:tcW w:w="2975" w:type="dxa"/>
          </w:tcPr>
          <w:p w14:paraId="18E3319D" w14:textId="77777777" w:rsidR="000D0798" w:rsidRPr="00156178" w:rsidRDefault="000D0798" w:rsidP="00873A7E">
            <w:pPr>
              <w:rPr>
                <w:b/>
                <w:bCs/>
                <w:sz w:val="20"/>
                <w:szCs w:val="20"/>
              </w:rPr>
            </w:pPr>
            <w:r w:rsidRPr="00156178">
              <w:rPr>
                <w:b/>
                <w:bCs/>
                <w:sz w:val="20"/>
                <w:szCs w:val="20"/>
              </w:rPr>
              <w:t>Product form</w:t>
            </w:r>
          </w:p>
        </w:tc>
        <w:tc>
          <w:tcPr>
            <w:tcW w:w="2268" w:type="dxa"/>
          </w:tcPr>
          <w:p w14:paraId="5EF32448" w14:textId="77777777" w:rsidR="000D0798" w:rsidRPr="00156178" w:rsidRDefault="000D0798" w:rsidP="00873A7E">
            <w:pPr>
              <w:jc w:val="center"/>
              <w:rPr>
                <w:b/>
                <w:bCs/>
                <w:sz w:val="20"/>
                <w:szCs w:val="20"/>
              </w:rPr>
            </w:pPr>
            <w:r w:rsidRPr="00156178">
              <w:rPr>
                <w:b/>
                <w:bCs/>
                <w:sz w:val="20"/>
                <w:szCs w:val="20"/>
              </w:rPr>
              <w:t>Average weight (kg)</w:t>
            </w:r>
          </w:p>
        </w:tc>
        <w:tc>
          <w:tcPr>
            <w:tcW w:w="1978" w:type="dxa"/>
          </w:tcPr>
          <w:p w14:paraId="30C3CC9A" w14:textId="77777777" w:rsidR="000D0798" w:rsidRPr="00156178" w:rsidRDefault="000D0798" w:rsidP="00873A7E">
            <w:pPr>
              <w:jc w:val="center"/>
              <w:rPr>
                <w:b/>
                <w:bCs/>
                <w:sz w:val="20"/>
                <w:szCs w:val="20"/>
              </w:rPr>
            </w:pPr>
            <w:r w:rsidRPr="00156178">
              <w:rPr>
                <w:b/>
                <w:bCs/>
                <w:sz w:val="20"/>
                <w:szCs w:val="20"/>
              </w:rPr>
              <w:t>Records</w:t>
            </w:r>
          </w:p>
        </w:tc>
      </w:tr>
      <w:tr w:rsidR="000D0798" w:rsidRPr="00156178" w14:paraId="77349A9F" w14:textId="77777777" w:rsidTr="00873A7E">
        <w:tc>
          <w:tcPr>
            <w:tcW w:w="2975" w:type="dxa"/>
          </w:tcPr>
          <w:p w14:paraId="57E63357" w14:textId="77777777" w:rsidR="000D0798" w:rsidRPr="00156178" w:rsidRDefault="000D0798" w:rsidP="00873A7E">
            <w:pPr>
              <w:rPr>
                <w:sz w:val="20"/>
                <w:szCs w:val="20"/>
              </w:rPr>
            </w:pPr>
            <w:r w:rsidRPr="00F55E57">
              <w:rPr>
                <w:sz w:val="20"/>
                <w:szCs w:val="20"/>
              </w:rPr>
              <w:t>Gutted, parboiled and frozen</w:t>
            </w:r>
          </w:p>
        </w:tc>
        <w:tc>
          <w:tcPr>
            <w:tcW w:w="2268" w:type="dxa"/>
          </w:tcPr>
          <w:p w14:paraId="354C795B" w14:textId="44BFF343" w:rsidR="000D0798" w:rsidRPr="00156178" w:rsidRDefault="000D0798" w:rsidP="00873A7E">
            <w:pPr>
              <w:jc w:val="center"/>
              <w:rPr>
                <w:sz w:val="20"/>
                <w:szCs w:val="20"/>
              </w:rPr>
            </w:pPr>
            <w:r>
              <w:rPr>
                <w:sz w:val="20"/>
                <w:szCs w:val="20"/>
              </w:rPr>
              <w:t>1.614</w:t>
            </w:r>
          </w:p>
        </w:tc>
        <w:tc>
          <w:tcPr>
            <w:tcW w:w="1978" w:type="dxa"/>
          </w:tcPr>
          <w:p w14:paraId="51D86F59" w14:textId="0AAF52B0" w:rsidR="000D0798" w:rsidRPr="00156178" w:rsidRDefault="000D0798" w:rsidP="00873A7E">
            <w:pPr>
              <w:jc w:val="center"/>
              <w:rPr>
                <w:sz w:val="20"/>
                <w:szCs w:val="20"/>
              </w:rPr>
            </w:pPr>
            <w:r>
              <w:rPr>
                <w:sz w:val="20"/>
                <w:szCs w:val="20"/>
              </w:rPr>
              <w:t>75</w:t>
            </w:r>
          </w:p>
        </w:tc>
      </w:tr>
      <w:tr w:rsidR="000D0798" w:rsidRPr="00156178" w14:paraId="2589D2A9" w14:textId="77777777" w:rsidTr="00873A7E">
        <w:tc>
          <w:tcPr>
            <w:tcW w:w="2975" w:type="dxa"/>
          </w:tcPr>
          <w:p w14:paraId="40D27E46" w14:textId="77777777" w:rsidR="000D0798" w:rsidRPr="00156178" w:rsidRDefault="000D0798" w:rsidP="00873A7E">
            <w:pPr>
              <w:rPr>
                <w:sz w:val="20"/>
                <w:szCs w:val="20"/>
              </w:rPr>
            </w:pPr>
            <w:r w:rsidRPr="00156178">
              <w:rPr>
                <w:sz w:val="20"/>
                <w:szCs w:val="20"/>
              </w:rPr>
              <w:t>Gutted and salted</w:t>
            </w:r>
          </w:p>
        </w:tc>
        <w:tc>
          <w:tcPr>
            <w:tcW w:w="2268" w:type="dxa"/>
          </w:tcPr>
          <w:p w14:paraId="66431ACB" w14:textId="7A35647B" w:rsidR="000D0798" w:rsidRPr="00156178" w:rsidRDefault="000D0798" w:rsidP="00873A7E">
            <w:pPr>
              <w:jc w:val="center"/>
              <w:rPr>
                <w:sz w:val="20"/>
                <w:szCs w:val="20"/>
              </w:rPr>
            </w:pPr>
            <w:r>
              <w:rPr>
                <w:sz w:val="20"/>
                <w:szCs w:val="20"/>
              </w:rPr>
              <w:t>1.217</w:t>
            </w:r>
          </w:p>
        </w:tc>
        <w:tc>
          <w:tcPr>
            <w:tcW w:w="1978" w:type="dxa"/>
          </w:tcPr>
          <w:p w14:paraId="3767D602" w14:textId="643A88A5" w:rsidR="000D0798" w:rsidRPr="00156178" w:rsidRDefault="000D0798" w:rsidP="00873A7E">
            <w:pPr>
              <w:jc w:val="center"/>
              <w:rPr>
                <w:sz w:val="20"/>
                <w:szCs w:val="20"/>
              </w:rPr>
            </w:pPr>
            <w:r>
              <w:rPr>
                <w:sz w:val="20"/>
                <w:szCs w:val="20"/>
              </w:rPr>
              <w:t>516</w:t>
            </w:r>
          </w:p>
        </w:tc>
      </w:tr>
    </w:tbl>
    <w:p w14:paraId="4AA30177" w14:textId="77777777" w:rsidR="000D0798" w:rsidRPr="00ED43EC" w:rsidRDefault="000D0798" w:rsidP="00635618"/>
    <w:p w14:paraId="1F46F7F3" w14:textId="74690F53" w:rsidR="00DD488F" w:rsidRDefault="007F6036" w:rsidP="00DD488F">
      <w:pPr>
        <w:pStyle w:val="Heading1"/>
      </w:pPr>
      <w:bookmarkStart w:id="122" w:name="_Toc189055277"/>
      <w:r>
        <w:lastRenderedPageBreak/>
        <w:t>Stock trends and assessments</w:t>
      </w:r>
      <w:bookmarkEnd w:id="122"/>
    </w:p>
    <w:p w14:paraId="0422A19D" w14:textId="4C59CC9F" w:rsidR="00DD488F" w:rsidRDefault="00D85BE6" w:rsidP="00DD488F">
      <w:pPr>
        <w:pStyle w:val="Heading2"/>
      </w:pPr>
      <w:bookmarkStart w:id="123" w:name="_Toc189055278"/>
      <w:r>
        <w:t>Australian EEZ population levels</w:t>
      </w:r>
      <w:bookmarkEnd w:id="123"/>
    </w:p>
    <w:p w14:paraId="3F9EC05B" w14:textId="00C95387" w:rsidR="00DD488F" w:rsidRDefault="00975B22" w:rsidP="00DD488F">
      <w:r>
        <w:t xml:space="preserve">Surveys for sea cucumbers, and </w:t>
      </w:r>
      <w:r w:rsidR="0044502C">
        <w:t xml:space="preserve">especially </w:t>
      </w:r>
      <w:r>
        <w:t xml:space="preserve">for </w:t>
      </w:r>
      <w:r w:rsidR="0044502C">
        <w:t xml:space="preserve">Black </w:t>
      </w:r>
      <w:r w:rsidR="00336192">
        <w:t>teatfish</w:t>
      </w:r>
      <w:r>
        <w:t xml:space="preserve">, have been carried out in </w:t>
      </w:r>
      <w:r w:rsidR="0001174A">
        <w:t xml:space="preserve">the </w:t>
      </w:r>
      <w:r w:rsidR="0044502C">
        <w:t xml:space="preserve">three </w:t>
      </w:r>
      <w:r w:rsidR="0001174A">
        <w:t>east coa</w:t>
      </w:r>
      <w:r w:rsidR="0044502C">
        <w:t>s</w:t>
      </w:r>
      <w:r w:rsidR="0001174A">
        <w:t>t fisher</w:t>
      </w:r>
      <w:r w:rsidR="0044502C">
        <w:t>ies</w:t>
      </w:r>
      <w:r>
        <w:t xml:space="preserve"> and other areas </w:t>
      </w:r>
      <w:r w:rsidR="00DD75C5">
        <w:t>within the Australian EEZ (</w:t>
      </w:r>
      <w:r w:rsidR="00DD75C5">
        <w:fldChar w:fldCharType="begin"/>
      </w:r>
      <w:r w:rsidR="00DD75C5">
        <w:instrText xml:space="preserve"> REF _Ref151385281 \h </w:instrText>
      </w:r>
      <w:r w:rsidR="00DD75C5">
        <w:fldChar w:fldCharType="separate"/>
      </w:r>
      <w:r w:rsidR="007B2A78">
        <w:t xml:space="preserve">Table </w:t>
      </w:r>
      <w:r w:rsidR="007B2A78">
        <w:rPr>
          <w:noProof/>
        </w:rPr>
        <w:t>9</w:t>
      </w:r>
      <w:r w:rsidR="00DD75C5">
        <w:fldChar w:fldCharType="end"/>
      </w:r>
      <w:r w:rsidR="00DD75C5">
        <w:t>).</w:t>
      </w:r>
      <w:r w:rsidR="0044502C">
        <w:t xml:space="preserve"> Surveys of White teatfish have only been carried out in the TSBDMF and part of the CSF (</w:t>
      </w:r>
      <w:r w:rsidR="0044502C">
        <w:fldChar w:fldCharType="begin"/>
      </w:r>
      <w:r w:rsidR="0044502C">
        <w:instrText xml:space="preserve"> REF _Ref151385281 \h </w:instrText>
      </w:r>
      <w:r w:rsidR="0044502C">
        <w:fldChar w:fldCharType="separate"/>
      </w:r>
      <w:r w:rsidR="007B2A78">
        <w:t xml:space="preserve">Table </w:t>
      </w:r>
      <w:r w:rsidR="007B2A78">
        <w:rPr>
          <w:noProof/>
        </w:rPr>
        <w:t>9</w:t>
      </w:r>
      <w:r w:rsidR="0044502C">
        <w:fldChar w:fldCharType="end"/>
      </w:r>
      <w:r w:rsidR="0044502C">
        <w:t xml:space="preserve">). Survey biomass in most cases, and particularly in the QSCF, are considered an underestimate for various reasons (for details see jurisdictional reports). </w:t>
      </w:r>
    </w:p>
    <w:p w14:paraId="5E13152D" w14:textId="44BC96BC" w:rsidR="00975B22" w:rsidRDefault="00C01878" w:rsidP="000B5A6E">
      <w:pPr>
        <w:pStyle w:val="Caption"/>
      </w:pPr>
      <w:bookmarkStart w:id="124" w:name="_Ref151385281"/>
      <w:bookmarkStart w:id="125" w:name="_Toc174091519"/>
      <w:bookmarkStart w:id="126" w:name="_Toc189055309"/>
      <w:r>
        <w:t xml:space="preserve">Table </w:t>
      </w:r>
      <w:fldSimple w:instr=" SEQ Table \* ARABIC ">
        <w:r w:rsidR="007B2A78">
          <w:rPr>
            <w:noProof/>
          </w:rPr>
          <w:t>9</w:t>
        </w:r>
      </w:fldSimple>
      <w:bookmarkEnd w:id="124"/>
      <w:r>
        <w:t>. Stock estimates from surveys carried out in Australian waters for</w:t>
      </w:r>
      <w:r w:rsidR="00336192">
        <w:t xml:space="preserve"> Black teatfish and White teatfish</w:t>
      </w:r>
      <w:r>
        <w:t xml:space="preserve"> species (tonnes </w:t>
      </w:r>
      <w:r w:rsidR="007F349B">
        <w:t>gutted</w:t>
      </w:r>
      <w:r>
        <w:t xml:space="preserve"> weight)</w:t>
      </w:r>
      <w:bookmarkEnd w:id="125"/>
      <w:bookmarkEnd w:id="126"/>
    </w:p>
    <w:tbl>
      <w:tblPr>
        <w:tblStyle w:val="TableProfessional"/>
        <w:tblW w:w="0" w:type="auto"/>
        <w:tblLook w:val="0620" w:firstRow="1" w:lastRow="0" w:firstColumn="0" w:lastColumn="0" w:noHBand="1" w:noVBand="1"/>
      </w:tblPr>
      <w:tblGrid>
        <w:gridCol w:w="3254"/>
        <w:gridCol w:w="1557"/>
        <w:gridCol w:w="1418"/>
        <w:gridCol w:w="3393"/>
      </w:tblGrid>
      <w:tr w:rsidR="0085326B" w:rsidRPr="0085326B" w14:paraId="468E53FC" w14:textId="77777777" w:rsidTr="0001174A">
        <w:trPr>
          <w:cnfStyle w:val="100000000000" w:firstRow="1" w:lastRow="0" w:firstColumn="0" w:lastColumn="0" w:oddVBand="0" w:evenVBand="0" w:oddHBand="0" w:evenHBand="0" w:firstRowFirstColumn="0" w:firstRowLastColumn="0" w:lastRowFirstColumn="0" w:lastRowLastColumn="0"/>
        </w:trPr>
        <w:tc>
          <w:tcPr>
            <w:tcW w:w="3254" w:type="dxa"/>
          </w:tcPr>
          <w:p w14:paraId="0892453F" w14:textId="51938707" w:rsidR="00975B22" w:rsidRPr="0085326B" w:rsidRDefault="00C01878" w:rsidP="00DD488F">
            <w:pPr>
              <w:rPr>
                <w:rFonts w:asciiTheme="minorHAnsi" w:hAnsiTheme="minorHAnsi" w:cstheme="minorHAnsi"/>
                <w:b/>
                <w:bCs/>
                <w:color w:val="FFFFFF" w:themeColor="background1"/>
                <w:sz w:val="20"/>
                <w:szCs w:val="20"/>
              </w:rPr>
            </w:pPr>
            <w:r w:rsidRPr="0085326B">
              <w:rPr>
                <w:rFonts w:asciiTheme="minorHAnsi" w:hAnsiTheme="minorHAnsi" w:cstheme="minorHAnsi"/>
                <w:b/>
                <w:bCs/>
                <w:color w:val="FFFFFF" w:themeColor="background1"/>
                <w:sz w:val="20"/>
                <w:szCs w:val="20"/>
              </w:rPr>
              <w:t>Fishery/Area</w:t>
            </w:r>
          </w:p>
        </w:tc>
        <w:tc>
          <w:tcPr>
            <w:tcW w:w="1557" w:type="dxa"/>
          </w:tcPr>
          <w:p w14:paraId="6E7725B3" w14:textId="286CFFAC" w:rsidR="00975B22" w:rsidRPr="0085326B" w:rsidRDefault="00336192" w:rsidP="00DD488F">
            <w:pPr>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Black teatfis</w:t>
            </w:r>
            <w:r w:rsidR="00415A80">
              <w:rPr>
                <w:rFonts w:asciiTheme="minorHAnsi" w:hAnsiTheme="minorHAnsi" w:cstheme="minorHAnsi"/>
                <w:b/>
                <w:bCs/>
                <w:color w:val="FFFFFF" w:themeColor="background1"/>
                <w:sz w:val="20"/>
                <w:szCs w:val="20"/>
              </w:rPr>
              <w:t>h</w:t>
            </w:r>
          </w:p>
        </w:tc>
        <w:tc>
          <w:tcPr>
            <w:tcW w:w="1418" w:type="dxa"/>
          </w:tcPr>
          <w:p w14:paraId="6BEE3D7C" w14:textId="461E402E" w:rsidR="00975B22" w:rsidRPr="0085326B" w:rsidRDefault="00336192" w:rsidP="00DD488F">
            <w:pPr>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White teatfish</w:t>
            </w:r>
          </w:p>
        </w:tc>
        <w:tc>
          <w:tcPr>
            <w:tcW w:w="3393" w:type="dxa"/>
          </w:tcPr>
          <w:p w14:paraId="2DB9A8D2" w14:textId="0A9DC867" w:rsidR="00975B22" w:rsidRPr="0085326B" w:rsidRDefault="00975B22" w:rsidP="00DD488F">
            <w:pPr>
              <w:rPr>
                <w:rFonts w:asciiTheme="minorHAnsi" w:hAnsiTheme="minorHAnsi" w:cstheme="minorHAnsi"/>
                <w:b/>
                <w:bCs/>
                <w:color w:val="FFFFFF" w:themeColor="background1"/>
                <w:sz w:val="20"/>
                <w:szCs w:val="20"/>
              </w:rPr>
            </w:pPr>
            <w:r w:rsidRPr="0085326B">
              <w:rPr>
                <w:rFonts w:asciiTheme="minorHAnsi" w:hAnsiTheme="minorHAnsi" w:cstheme="minorHAnsi"/>
                <w:b/>
                <w:bCs/>
                <w:color w:val="FFFFFF" w:themeColor="background1"/>
                <w:sz w:val="20"/>
                <w:szCs w:val="20"/>
              </w:rPr>
              <w:t>Year/Source</w:t>
            </w:r>
          </w:p>
        </w:tc>
      </w:tr>
      <w:tr w:rsidR="00336192" w:rsidRPr="00C01878" w14:paraId="75037DC7" w14:textId="77777777" w:rsidTr="0001174A">
        <w:tc>
          <w:tcPr>
            <w:tcW w:w="3254" w:type="dxa"/>
          </w:tcPr>
          <w:p w14:paraId="0A78FED9" w14:textId="25C90039" w:rsidR="00336192" w:rsidRPr="00C01878" w:rsidRDefault="00336192" w:rsidP="00DD488F">
            <w:pPr>
              <w:rPr>
                <w:rFonts w:asciiTheme="minorHAnsi" w:hAnsiTheme="minorHAnsi" w:cstheme="minorHAnsi"/>
                <w:sz w:val="20"/>
                <w:szCs w:val="20"/>
              </w:rPr>
            </w:pPr>
            <w:r>
              <w:rPr>
                <w:rFonts w:asciiTheme="minorHAnsi" w:hAnsiTheme="minorHAnsi" w:cstheme="minorHAnsi"/>
                <w:sz w:val="20"/>
                <w:szCs w:val="20"/>
              </w:rPr>
              <w:t>QSCF (</w:t>
            </w:r>
            <w:r w:rsidR="007F349B">
              <w:rPr>
                <w:rFonts w:asciiTheme="minorHAnsi" w:hAnsiTheme="minorHAnsi" w:cstheme="minorHAnsi"/>
                <w:sz w:val="20"/>
                <w:szCs w:val="20"/>
              </w:rPr>
              <w:t>Restricted habitat in Zone 1 and e</w:t>
            </w:r>
            <w:r>
              <w:rPr>
                <w:rFonts w:asciiTheme="minorHAnsi" w:hAnsiTheme="minorHAnsi" w:cstheme="minorHAnsi"/>
                <w:sz w:val="20"/>
                <w:szCs w:val="20"/>
              </w:rPr>
              <w:t>xcluding offshore reefs)</w:t>
            </w:r>
          </w:p>
        </w:tc>
        <w:tc>
          <w:tcPr>
            <w:tcW w:w="1557" w:type="dxa"/>
          </w:tcPr>
          <w:p w14:paraId="5ED57F48" w14:textId="5D601C4F" w:rsidR="00336192" w:rsidRPr="00C01878" w:rsidRDefault="007F349B" w:rsidP="000F5B16">
            <w:pPr>
              <w:ind w:right="461"/>
              <w:jc w:val="right"/>
              <w:rPr>
                <w:rFonts w:asciiTheme="minorHAnsi" w:hAnsiTheme="minorHAnsi" w:cstheme="minorHAnsi"/>
                <w:sz w:val="20"/>
                <w:szCs w:val="20"/>
              </w:rPr>
            </w:pPr>
            <w:r w:rsidRPr="007F349B">
              <w:rPr>
                <w:rFonts w:asciiTheme="minorHAnsi" w:hAnsiTheme="minorHAnsi" w:cstheme="minorHAnsi"/>
                <w:sz w:val="20"/>
                <w:szCs w:val="20"/>
              </w:rPr>
              <w:t>4,384</w:t>
            </w:r>
          </w:p>
        </w:tc>
        <w:tc>
          <w:tcPr>
            <w:tcW w:w="1418" w:type="dxa"/>
          </w:tcPr>
          <w:p w14:paraId="3F80CCB1" w14:textId="4B2AE18F" w:rsidR="00336192" w:rsidRPr="00C01878" w:rsidRDefault="007F349B" w:rsidP="000F5B16">
            <w:pPr>
              <w:ind w:right="383"/>
              <w:jc w:val="right"/>
              <w:rPr>
                <w:rFonts w:asciiTheme="minorHAnsi" w:hAnsiTheme="minorHAnsi" w:cstheme="minorHAnsi"/>
                <w:sz w:val="20"/>
                <w:szCs w:val="20"/>
              </w:rPr>
            </w:pPr>
            <w:r>
              <w:rPr>
                <w:rFonts w:asciiTheme="minorHAnsi" w:hAnsiTheme="minorHAnsi" w:cstheme="minorHAnsi"/>
                <w:sz w:val="20"/>
                <w:szCs w:val="20"/>
              </w:rPr>
              <w:t>-</w:t>
            </w:r>
          </w:p>
        </w:tc>
        <w:tc>
          <w:tcPr>
            <w:tcW w:w="3393" w:type="dxa"/>
          </w:tcPr>
          <w:p w14:paraId="4B396C7B" w14:textId="31ACE867" w:rsidR="00336192" w:rsidRPr="00C01878" w:rsidRDefault="00D75842" w:rsidP="00DD488F">
            <w:pPr>
              <w:rPr>
                <w:rFonts w:asciiTheme="minorHAnsi" w:hAnsiTheme="minorHAnsi" w:cstheme="minorHAnsi"/>
                <w:sz w:val="20"/>
                <w:szCs w:val="20"/>
              </w:rPr>
            </w:pPr>
            <w:r>
              <w:rPr>
                <w:rFonts w:asciiTheme="minorHAnsi" w:hAnsiTheme="minorHAnsi" w:cstheme="minorHAnsi"/>
                <w:sz w:val="20"/>
                <w:szCs w:val="20"/>
              </w:rPr>
              <w:t>2016/2021 (</w:t>
            </w:r>
            <w:r w:rsidR="007F349B" w:rsidRPr="007F349B">
              <w:rPr>
                <w:rFonts w:asciiTheme="minorHAnsi" w:hAnsiTheme="minorHAnsi" w:cstheme="minorHAnsi"/>
                <w:sz w:val="20"/>
                <w:szCs w:val="20"/>
              </w:rPr>
              <w:t>Knuckey and Koopman, 2016</w:t>
            </w:r>
            <w:r>
              <w:rPr>
                <w:rFonts w:asciiTheme="minorHAnsi" w:hAnsiTheme="minorHAnsi" w:cstheme="minorHAnsi"/>
                <w:sz w:val="20"/>
                <w:szCs w:val="20"/>
              </w:rPr>
              <w:t>;</w:t>
            </w:r>
            <w:r w:rsidR="007F349B">
              <w:rPr>
                <w:rFonts w:asciiTheme="minorHAnsi" w:hAnsiTheme="minorHAnsi" w:cstheme="minorHAnsi"/>
                <w:sz w:val="20"/>
                <w:szCs w:val="20"/>
              </w:rPr>
              <w:t xml:space="preserve"> </w:t>
            </w:r>
            <w:r w:rsidR="007F349B" w:rsidRPr="007F349B">
              <w:rPr>
                <w:rFonts w:asciiTheme="minorHAnsi" w:hAnsiTheme="minorHAnsi" w:cstheme="minorHAnsi"/>
                <w:sz w:val="20"/>
                <w:szCs w:val="20"/>
              </w:rPr>
              <w:t>Koopman and Knuckey, 2021</w:t>
            </w:r>
            <w:r>
              <w:rPr>
                <w:rFonts w:asciiTheme="minorHAnsi" w:hAnsiTheme="minorHAnsi" w:cstheme="minorHAnsi"/>
                <w:sz w:val="20"/>
                <w:szCs w:val="20"/>
              </w:rPr>
              <w:t>)</w:t>
            </w:r>
          </w:p>
        </w:tc>
      </w:tr>
      <w:tr w:rsidR="00975B22" w:rsidRPr="00C01878" w14:paraId="124771FF" w14:textId="77777777" w:rsidTr="0001174A">
        <w:tc>
          <w:tcPr>
            <w:tcW w:w="3254" w:type="dxa"/>
          </w:tcPr>
          <w:p w14:paraId="75B41153" w14:textId="28FC10A4" w:rsidR="00975B22" w:rsidRPr="00C01878" w:rsidRDefault="00471843" w:rsidP="00DD488F">
            <w:pPr>
              <w:rPr>
                <w:rFonts w:asciiTheme="minorHAnsi" w:hAnsiTheme="minorHAnsi" w:cstheme="minorHAnsi"/>
                <w:sz w:val="20"/>
                <w:szCs w:val="20"/>
              </w:rPr>
            </w:pPr>
            <w:r w:rsidRPr="00C01878">
              <w:rPr>
                <w:rFonts w:asciiTheme="minorHAnsi" w:hAnsiTheme="minorHAnsi" w:cstheme="minorHAnsi"/>
                <w:sz w:val="20"/>
                <w:szCs w:val="20"/>
              </w:rPr>
              <w:t>QSCF (Marion and Saumarez Reefs only)</w:t>
            </w:r>
          </w:p>
        </w:tc>
        <w:tc>
          <w:tcPr>
            <w:tcW w:w="1557" w:type="dxa"/>
          </w:tcPr>
          <w:p w14:paraId="1809889A" w14:textId="385D474B" w:rsidR="00975B22" w:rsidRPr="00C01878" w:rsidRDefault="00D75842" w:rsidP="000F5B16">
            <w:pPr>
              <w:ind w:right="461"/>
              <w:jc w:val="right"/>
              <w:rPr>
                <w:rFonts w:asciiTheme="minorHAnsi" w:hAnsiTheme="minorHAnsi" w:cstheme="minorHAnsi"/>
                <w:sz w:val="20"/>
                <w:szCs w:val="20"/>
              </w:rPr>
            </w:pPr>
            <w:r w:rsidRPr="00D75842">
              <w:rPr>
                <w:rFonts w:asciiTheme="minorHAnsi" w:hAnsiTheme="minorHAnsi" w:cstheme="minorHAnsi"/>
                <w:sz w:val="20"/>
                <w:szCs w:val="20"/>
              </w:rPr>
              <w:t>5</w:t>
            </w:r>
            <w:r>
              <w:rPr>
                <w:rFonts w:asciiTheme="minorHAnsi" w:hAnsiTheme="minorHAnsi" w:cstheme="minorHAnsi"/>
                <w:sz w:val="20"/>
                <w:szCs w:val="20"/>
              </w:rPr>
              <w:t>7</w:t>
            </w:r>
          </w:p>
        </w:tc>
        <w:tc>
          <w:tcPr>
            <w:tcW w:w="1418" w:type="dxa"/>
          </w:tcPr>
          <w:p w14:paraId="40CA41B4" w14:textId="1DA01AA4" w:rsidR="00975B22" w:rsidRPr="00C01878" w:rsidRDefault="00D75842" w:rsidP="000F5B16">
            <w:pPr>
              <w:ind w:right="383"/>
              <w:jc w:val="right"/>
              <w:rPr>
                <w:rFonts w:asciiTheme="minorHAnsi" w:hAnsiTheme="minorHAnsi" w:cstheme="minorHAnsi"/>
                <w:sz w:val="20"/>
                <w:szCs w:val="20"/>
              </w:rPr>
            </w:pPr>
            <w:r>
              <w:rPr>
                <w:rFonts w:asciiTheme="minorHAnsi" w:hAnsiTheme="minorHAnsi" w:cstheme="minorHAnsi"/>
                <w:sz w:val="20"/>
                <w:szCs w:val="20"/>
              </w:rPr>
              <w:t>-</w:t>
            </w:r>
          </w:p>
        </w:tc>
        <w:tc>
          <w:tcPr>
            <w:tcW w:w="3393" w:type="dxa"/>
          </w:tcPr>
          <w:p w14:paraId="2A47745A" w14:textId="61B26235" w:rsidR="00975B22" w:rsidRPr="00C01878" w:rsidRDefault="00471843" w:rsidP="00DD488F">
            <w:pPr>
              <w:rPr>
                <w:rFonts w:asciiTheme="minorHAnsi" w:hAnsiTheme="minorHAnsi" w:cstheme="minorHAnsi"/>
                <w:sz w:val="20"/>
                <w:szCs w:val="20"/>
              </w:rPr>
            </w:pPr>
            <w:r w:rsidRPr="00C01878">
              <w:rPr>
                <w:rFonts w:asciiTheme="minorHAnsi" w:hAnsiTheme="minorHAnsi" w:cstheme="minorHAnsi"/>
                <w:sz w:val="20"/>
                <w:szCs w:val="20"/>
              </w:rPr>
              <w:t>2017 (Skewes et al., 2017)</w:t>
            </w:r>
          </w:p>
        </w:tc>
      </w:tr>
      <w:tr w:rsidR="00A859CE" w:rsidRPr="00C01878" w14:paraId="29F440A5" w14:textId="77777777" w:rsidTr="00EE3483">
        <w:tc>
          <w:tcPr>
            <w:tcW w:w="3254" w:type="dxa"/>
          </w:tcPr>
          <w:p w14:paraId="0425351F" w14:textId="77777777" w:rsidR="00A859CE" w:rsidRPr="00C01878" w:rsidRDefault="00A859CE" w:rsidP="00EE3483">
            <w:pPr>
              <w:rPr>
                <w:rFonts w:asciiTheme="minorHAnsi" w:hAnsiTheme="minorHAnsi" w:cstheme="minorHAnsi"/>
                <w:sz w:val="20"/>
                <w:szCs w:val="20"/>
              </w:rPr>
            </w:pPr>
            <w:r w:rsidRPr="00C01878">
              <w:rPr>
                <w:rFonts w:asciiTheme="minorHAnsi" w:hAnsiTheme="minorHAnsi" w:cstheme="minorHAnsi"/>
                <w:sz w:val="20"/>
                <w:szCs w:val="20"/>
              </w:rPr>
              <w:t>TSBDMF</w:t>
            </w:r>
          </w:p>
        </w:tc>
        <w:tc>
          <w:tcPr>
            <w:tcW w:w="1557" w:type="dxa"/>
          </w:tcPr>
          <w:p w14:paraId="22739864" w14:textId="77777777" w:rsidR="00A859CE" w:rsidRPr="00C01878" w:rsidRDefault="00A859CE" w:rsidP="00EE3483">
            <w:pPr>
              <w:ind w:right="461"/>
              <w:jc w:val="right"/>
              <w:rPr>
                <w:rFonts w:asciiTheme="minorHAnsi" w:hAnsiTheme="minorHAnsi" w:cstheme="minorHAnsi"/>
                <w:sz w:val="20"/>
                <w:szCs w:val="20"/>
              </w:rPr>
            </w:pPr>
            <w:r w:rsidRPr="00454B1E">
              <w:rPr>
                <w:sz w:val="20"/>
                <w:szCs w:val="20"/>
              </w:rPr>
              <w:t>1</w:t>
            </w:r>
            <w:r>
              <w:rPr>
                <w:sz w:val="20"/>
                <w:szCs w:val="20"/>
              </w:rPr>
              <w:t>,</w:t>
            </w:r>
            <w:r w:rsidRPr="00454B1E">
              <w:rPr>
                <w:sz w:val="20"/>
                <w:szCs w:val="20"/>
              </w:rPr>
              <w:t>23</w:t>
            </w:r>
            <w:r>
              <w:rPr>
                <w:sz w:val="20"/>
                <w:szCs w:val="20"/>
              </w:rPr>
              <w:t>3</w:t>
            </w:r>
          </w:p>
        </w:tc>
        <w:tc>
          <w:tcPr>
            <w:tcW w:w="1418" w:type="dxa"/>
          </w:tcPr>
          <w:p w14:paraId="47A9FBA9" w14:textId="77777777" w:rsidR="00A859CE" w:rsidRPr="00C01878" w:rsidRDefault="00A859CE" w:rsidP="00EE3483">
            <w:pPr>
              <w:ind w:right="383"/>
              <w:jc w:val="right"/>
              <w:rPr>
                <w:rFonts w:asciiTheme="minorHAnsi" w:hAnsiTheme="minorHAnsi" w:cstheme="minorHAnsi"/>
                <w:sz w:val="20"/>
                <w:szCs w:val="20"/>
              </w:rPr>
            </w:pPr>
            <w:r w:rsidRPr="007F2250">
              <w:rPr>
                <w:sz w:val="20"/>
                <w:szCs w:val="20"/>
              </w:rPr>
              <w:t>1,49</w:t>
            </w:r>
            <w:r>
              <w:rPr>
                <w:sz w:val="20"/>
                <w:szCs w:val="20"/>
              </w:rPr>
              <w:t>3</w:t>
            </w:r>
          </w:p>
        </w:tc>
        <w:tc>
          <w:tcPr>
            <w:tcW w:w="3393" w:type="dxa"/>
          </w:tcPr>
          <w:p w14:paraId="5F28593C" w14:textId="77777777" w:rsidR="00A859CE" w:rsidRPr="00C01878" w:rsidRDefault="00A859CE" w:rsidP="00EE3483">
            <w:pPr>
              <w:rPr>
                <w:rFonts w:asciiTheme="minorHAnsi" w:hAnsiTheme="minorHAnsi" w:cstheme="minorHAnsi"/>
                <w:sz w:val="20"/>
                <w:szCs w:val="20"/>
              </w:rPr>
            </w:pPr>
            <w:r w:rsidRPr="00C01878">
              <w:rPr>
                <w:rFonts w:asciiTheme="minorHAnsi" w:hAnsiTheme="minorHAnsi" w:cstheme="minorHAnsi"/>
                <w:sz w:val="20"/>
                <w:szCs w:val="20"/>
              </w:rPr>
              <w:t>2019/20 (Murphy et al, 2021</w:t>
            </w:r>
            <w:r>
              <w:rPr>
                <w:rFonts w:asciiTheme="minorHAnsi" w:hAnsiTheme="minorHAnsi" w:cstheme="minorHAnsi"/>
                <w:sz w:val="20"/>
                <w:szCs w:val="20"/>
              </w:rPr>
              <w:t>a</w:t>
            </w:r>
            <w:r w:rsidRPr="00C01878">
              <w:rPr>
                <w:rFonts w:asciiTheme="minorHAnsi" w:hAnsiTheme="minorHAnsi" w:cstheme="minorHAnsi"/>
                <w:sz w:val="20"/>
                <w:szCs w:val="20"/>
              </w:rPr>
              <w:t>)</w:t>
            </w:r>
          </w:p>
        </w:tc>
      </w:tr>
      <w:tr w:rsidR="00A859CE" w:rsidRPr="00C01878" w14:paraId="06973C45" w14:textId="77777777" w:rsidTr="000616D3">
        <w:tc>
          <w:tcPr>
            <w:tcW w:w="3254" w:type="dxa"/>
          </w:tcPr>
          <w:p w14:paraId="2C109ED6" w14:textId="77777777" w:rsidR="00A859CE" w:rsidRPr="00C01878" w:rsidRDefault="00A859CE" w:rsidP="000616D3">
            <w:pPr>
              <w:rPr>
                <w:rFonts w:asciiTheme="minorHAnsi" w:hAnsiTheme="minorHAnsi" w:cstheme="minorHAnsi"/>
                <w:sz w:val="20"/>
                <w:szCs w:val="20"/>
              </w:rPr>
            </w:pPr>
            <w:r w:rsidRPr="00C01878">
              <w:rPr>
                <w:rFonts w:asciiTheme="minorHAnsi" w:hAnsiTheme="minorHAnsi" w:cstheme="minorHAnsi"/>
                <w:sz w:val="20"/>
                <w:szCs w:val="20"/>
              </w:rPr>
              <w:t xml:space="preserve">CSF (36% of shallow </w:t>
            </w:r>
            <w:r>
              <w:rPr>
                <w:rFonts w:asciiTheme="minorHAnsi" w:hAnsiTheme="minorHAnsi" w:cstheme="minorHAnsi"/>
                <w:sz w:val="20"/>
                <w:szCs w:val="20"/>
              </w:rPr>
              <w:t xml:space="preserve">and 1.5% of deep </w:t>
            </w:r>
            <w:r w:rsidRPr="00C01878">
              <w:rPr>
                <w:rFonts w:asciiTheme="minorHAnsi" w:hAnsiTheme="minorHAnsi" w:cstheme="minorHAnsi"/>
                <w:sz w:val="20"/>
                <w:szCs w:val="20"/>
              </w:rPr>
              <w:t>reef habitat)</w:t>
            </w:r>
          </w:p>
        </w:tc>
        <w:tc>
          <w:tcPr>
            <w:tcW w:w="1557" w:type="dxa"/>
          </w:tcPr>
          <w:p w14:paraId="14AA4020" w14:textId="77777777" w:rsidR="00A859CE" w:rsidRPr="00C01878" w:rsidRDefault="00A859CE" w:rsidP="000616D3">
            <w:pPr>
              <w:ind w:right="461"/>
              <w:jc w:val="right"/>
              <w:rPr>
                <w:rFonts w:asciiTheme="minorHAnsi" w:hAnsiTheme="minorHAnsi" w:cstheme="minorHAnsi"/>
                <w:sz w:val="20"/>
                <w:szCs w:val="20"/>
              </w:rPr>
            </w:pPr>
            <w:r w:rsidRPr="00E864B1">
              <w:rPr>
                <w:sz w:val="20"/>
                <w:szCs w:val="20"/>
              </w:rPr>
              <w:t>150</w:t>
            </w:r>
          </w:p>
        </w:tc>
        <w:tc>
          <w:tcPr>
            <w:tcW w:w="1418" w:type="dxa"/>
          </w:tcPr>
          <w:p w14:paraId="626AD0EF" w14:textId="77777777" w:rsidR="00A859CE" w:rsidRPr="00C01878" w:rsidRDefault="00A859CE" w:rsidP="000616D3">
            <w:pPr>
              <w:ind w:right="383"/>
              <w:jc w:val="right"/>
              <w:rPr>
                <w:rFonts w:asciiTheme="minorHAnsi" w:hAnsiTheme="minorHAnsi" w:cstheme="minorHAnsi"/>
                <w:sz w:val="20"/>
                <w:szCs w:val="20"/>
              </w:rPr>
            </w:pPr>
            <w:r w:rsidRPr="00E864B1">
              <w:rPr>
                <w:sz w:val="20"/>
                <w:szCs w:val="20"/>
              </w:rPr>
              <w:t>116</w:t>
            </w:r>
          </w:p>
        </w:tc>
        <w:tc>
          <w:tcPr>
            <w:tcW w:w="3393" w:type="dxa"/>
          </w:tcPr>
          <w:p w14:paraId="36DE3B57" w14:textId="77777777" w:rsidR="00A859CE" w:rsidRPr="00C01878" w:rsidRDefault="00A859CE" w:rsidP="000616D3">
            <w:pPr>
              <w:rPr>
                <w:rFonts w:asciiTheme="minorHAnsi" w:hAnsiTheme="minorHAnsi" w:cstheme="minorHAnsi"/>
                <w:sz w:val="20"/>
                <w:szCs w:val="20"/>
              </w:rPr>
            </w:pPr>
            <w:r w:rsidRPr="00C01878">
              <w:rPr>
                <w:rFonts w:asciiTheme="minorHAnsi" w:hAnsiTheme="minorHAnsi" w:cstheme="minorHAnsi"/>
                <w:sz w:val="20"/>
                <w:szCs w:val="20"/>
              </w:rPr>
              <w:t>2017 (Skewes et al., 2017)</w:t>
            </w:r>
          </w:p>
        </w:tc>
      </w:tr>
      <w:tr w:rsidR="0001174A" w:rsidRPr="00C01878" w14:paraId="556277C5" w14:textId="77777777" w:rsidTr="0001174A">
        <w:tc>
          <w:tcPr>
            <w:tcW w:w="3254" w:type="dxa"/>
          </w:tcPr>
          <w:p w14:paraId="1861362D" w14:textId="7D4EA17C" w:rsidR="0001174A" w:rsidRPr="00C01878" w:rsidRDefault="0001174A" w:rsidP="00DD488F">
            <w:pPr>
              <w:rPr>
                <w:rFonts w:asciiTheme="minorHAnsi" w:hAnsiTheme="minorHAnsi" w:cstheme="minorHAnsi"/>
                <w:sz w:val="20"/>
                <w:szCs w:val="20"/>
              </w:rPr>
            </w:pPr>
            <w:r>
              <w:rPr>
                <w:rFonts w:asciiTheme="minorHAnsi" w:hAnsiTheme="minorHAnsi" w:cstheme="minorHAnsi"/>
                <w:sz w:val="20"/>
                <w:szCs w:val="20"/>
              </w:rPr>
              <w:t>Cocos Island</w:t>
            </w:r>
          </w:p>
        </w:tc>
        <w:tc>
          <w:tcPr>
            <w:tcW w:w="1557" w:type="dxa"/>
          </w:tcPr>
          <w:p w14:paraId="64680BC6" w14:textId="24571ED5" w:rsidR="0001174A" w:rsidRPr="00D75842" w:rsidRDefault="0001174A" w:rsidP="000F5B16">
            <w:pPr>
              <w:ind w:right="461"/>
              <w:jc w:val="right"/>
              <w:rPr>
                <w:rFonts w:asciiTheme="minorHAnsi" w:hAnsiTheme="minorHAnsi" w:cstheme="minorHAnsi"/>
                <w:sz w:val="20"/>
                <w:szCs w:val="20"/>
              </w:rPr>
            </w:pPr>
            <w:r>
              <w:rPr>
                <w:rFonts w:asciiTheme="minorHAnsi" w:hAnsiTheme="minorHAnsi" w:cstheme="minorHAnsi"/>
                <w:sz w:val="20"/>
                <w:szCs w:val="20"/>
              </w:rPr>
              <w:t>-</w:t>
            </w:r>
          </w:p>
        </w:tc>
        <w:tc>
          <w:tcPr>
            <w:tcW w:w="1418" w:type="dxa"/>
          </w:tcPr>
          <w:p w14:paraId="0698AA50" w14:textId="5AA2A0BC" w:rsidR="0001174A" w:rsidRDefault="0001174A" w:rsidP="000F5B16">
            <w:pPr>
              <w:ind w:right="383"/>
              <w:jc w:val="right"/>
              <w:rPr>
                <w:rFonts w:asciiTheme="minorHAnsi" w:hAnsiTheme="minorHAnsi" w:cstheme="minorHAnsi"/>
                <w:sz w:val="20"/>
                <w:szCs w:val="20"/>
              </w:rPr>
            </w:pPr>
            <w:r>
              <w:rPr>
                <w:rFonts w:asciiTheme="minorHAnsi" w:hAnsiTheme="minorHAnsi" w:cstheme="minorHAnsi"/>
                <w:sz w:val="20"/>
                <w:szCs w:val="20"/>
              </w:rPr>
              <w:t>6.5</w:t>
            </w:r>
          </w:p>
        </w:tc>
        <w:tc>
          <w:tcPr>
            <w:tcW w:w="3393" w:type="dxa"/>
          </w:tcPr>
          <w:p w14:paraId="29CA6A73" w14:textId="677A10AF" w:rsidR="0001174A" w:rsidRPr="00C01878" w:rsidRDefault="0001174A" w:rsidP="00DD488F">
            <w:pPr>
              <w:rPr>
                <w:rFonts w:asciiTheme="minorHAnsi" w:hAnsiTheme="minorHAnsi" w:cstheme="minorHAnsi"/>
                <w:sz w:val="20"/>
                <w:szCs w:val="20"/>
              </w:rPr>
            </w:pPr>
            <w:r>
              <w:rPr>
                <w:rFonts w:asciiTheme="minorHAnsi" w:hAnsiTheme="minorHAnsi" w:cstheme="minorHAnsi"/>
                <w:sz w:val="20"/>
                <w:szCs w:val="20"/>
              </w:rPr>
              <w:t>2006 (Bellchambers et al., 2011)</w:t>
            </w:r>
          </w:p>
        </w:tc>
      </w:tr>
      <w:tr w:rsidR="00975B22" w:rsidRPr="00C01878" w14:paraId="1D952270" w14:textId="77777777" w:rsidTr="0001174A">
        <w:tc>
          <w:tcPr>
            <w:tcW w:w="3254" w:type="dxa"/>
          </w:tcPr>
          <w:p w14:paraId="6ADC71AB" w14:textId="73618135" w:rsidR="00975B22" w:rsidRPr="00C01878" w:rsidRDefault="00C01878" w:rsidP="00DD488F">
            <w:pPr>
              <w:rPr>
                <w:rFonts w:asciiTheme="minorHAnsi" w:hAnsiTheme="minorHAnsi" w:cstheme="minorHAnsi"/>
                <w:sz w:val="20"/>
                <w:szCs w:val="20"/>
              </w:rPr>
            </w:pPr>
            <w:r w:rsidRPr="00C01878">
              <w:rPr>
                <w:rFonts w:asciiTheme="minorHAnsi" w:hAnsiTheme="minorHAnsi" w:cstheme="minorHAnsi"/>
                <w:sz w:val="20"/>
                <w:szCs w:val="20"/>
              </w:rPr>
              <w:t>Timor Sea MOU Box</w:t>
            </w:r>
          </w:p>
        </w:tc>
        <w:tc>
          <w:tcPr>
            <w:tcW w:w="1557" w:type="dxa"/>
          </w:tcPr>
          <w:p w14:paraId="26018AB5" w14:textId="2ED36ACA" w:rsidR="00975B22" w:rsidRPr="00C01878" w:rsidRDefault="0001174A" w:rsidP="000F5B16">
            <w:pPr>
              <w:ind w:right="461"/>
              <w:jc w:val="right"/>
              <w:rPr>
                <w:rFonts w:asciiTheme="minorHAnsi" w:hAnsiTheme="minorHAnsi" w:cstheme="minorHAnsi"/>
                <w:sz w:val="20"/>
                <w:szCs w:val="20"/>
              </w:rPr>
            </w:pPr>
            <w:r>
              <w:rPr>
                <w:rFonts w:asciiTheme="minorHAnsi" w:hAnsiTheme="minorHAnsi" w:cstheme="minorHAnsi"/>
                <w:color w:val="auto"/>
                <w:sz w:val="20"/>
                <w:szCs w:val="20"/>
              </w:rPr>
              <w:t>162</w:t>
            </w:r>
            <w:r w:rsidR="00C01878" w:rsidRPr="00C01878">
              <w:rPr>
                <w:rFonts w:asciiTheme="minorHAnsi" w:hAnsiTheme="minorHAnsi" w:cstheme="minorHAnsi"/>
                <w:color w:val="auto"/>
                <w:sz w:val="20"/>
                <w:szCs w:val="20"/>
                <w:vertAlign w:val="superscript"/>
              </w:rPr>
              <w:t>2</w:t>
            </w:r>
          </w:p>
        </w:tc>
        <w:tc>
          <w:tcPr>
            <w:tcW w:w="1418" w:type="dxa"/>
          </w:tcPr>
          <w:p w14:paraId="243316A6" w14:textId="5D026F21" w:rsidR="00975B22" w:rsidRPr="00C01878" w:rsidRDefault="0001174A" w:rsidP="000F5B16">
            <w:pPr>
              <w:ind w:right="383"/>
              <w:jc w:val="right"/>
              <w:rPr>
                <w:rFonts w:asciiTheme="minorHAnsi" w:hAnsiTheme="minorHAnsi" w:cstheme="minorHAnsi"/>
                <w:sz w:val="20"/>
                <w:szCs w:val="20"/>
              </w:rPr>
            </w:pPr>
            <w:r>
              <w:rPr>
                <w:rFonts w:asciiTheme="minorHAnsi" w:hAnsiTheme="minorHAnsi" w:cstheme="minorHAnsi"/>
                <w:color w:val="auto"/>
                <w:sz w:val="20"/>
                <w:szCs w:val="20"/>
              </w:rPr>
              <w:t>5.3</w:t>
            </w:r>
            <w:r w:rsidR="00C01878" w:rsidRPr="00C01878">
              <w:rPr>
                <w:rFonts w:asciiTheme="minorHAnsi" w:hAnsiTheme="minorHAnsi" w:cstheme="minorHAnsi"/>
                <w:color w:val="auto"/>
                <w:sz w:val="20"/>
                <w:szCs w:val="20"/>
                <w:vertAlign w:val="superscript"/>
              </w:rPr>
              <w:t>2</w:t>
            </w:r>
          </w:p>
        </w:tc>
        <w:tc>
          <w:tcPr>
            <w:tcW w:w="3393" w:type="dxa"/>
          </w:tcPr>
          <w:p w14:paraId="56F8B06D" w14:textId="4D64CEE6" w:rsidR="00975B22" w:rsidRPr="00C01878" w:rsidRDefault="00C01878" w:rsidP="00DD488F">
            <w:pPr>
              <w:rPr>
                <w:rFonts w:asciiTheme="minorHAnsi" w:hAnsiTheme="minorHAnsi" w:cstheme="minorHAnsi"/>
                <w:sz w:val="20"/>
                <w:szCs w:val="20"/>
              </w:rPr>
            </w:pPr>
            <w:r w:rsidRPr="00C01878">
              <w:rPr>
                <w:rFonts w:asciiTheme="minorHAnsi" w:hAnsiTheme="minorHAnsi" w:cstheme="minorHAnsi"/>
                <w:sz w:val="20"/>
                <w:szCs w:val="20"/>
              </w:rPr>
              <w:t>1998 (Skewes et al., 1999)</w:t>
            </w:r>
          </w:p>
        </w:tc>
      </w:tr>
    </w:tbl>
    <w:p w14:paraId="11EA2F48" w14:textId="6B9972FD" w:rsidR="00975B22" w:rsidRDefault="00C01878" w:rsidP="00DD488F">
      <w:pPr>
        <w:rPr>
          <w:sz w:val="20"/>
          <w:szCs w:val="20"/>
        </w:rPr>
      </w:pPr>
      <w:r w:rsidRPr="00C01878">
        <w:rPr>
          <w:sz w:val="20"/>
          <w:szCs w:val="20"/>
          <w:vertAlign w:val="superscript"/>
        </w:rPr>
        <w:t>1</w:t>
      </w:r>
      <w:r w:rsidRPr="00C01878">
        <w:rPr>
          <w:sz w:val="20"/>
          <w:szCs w:val="20"/>
        </w:rPr>
        <w:t xml:space="preserve"> </w:t>
      </w:r>
      <w:r w:rsidR="00DD75C5">
        <w:rPr>
          <w:sz w:val="20"/>
          <w:szCs w:val="20"/>
        </w:rPr>
        <w:t>O</w:t>
      </w:r>
      <w:r w:rsidRPr="00C01878">
        <w:rPr>
          <w:sz w:val="20"/>
          <w:szCs w:val="20"/>
        </w:rPr>
        <w:t>nly number reported – estimated using average weight of animals from Torres Strait</w:t>
      </w:r>
      <w:r>
        <w:rPr>
          <w:sz w:val="20"/>
          <w:szCs w:val="20"/>
        </w:rPr>
        <w:t xml:space="preserve"> </w:t>
      </w:r>
      <w:r>
        <w:rPr>
          <w:sz w:val="20"/>
          <w:szCs w:val="20"/>
        </w:rPr>
        <w:br/>
      </w:r>
      <w:r w:rsidRPr="00C01878">
        <w:rPr>
          <w:sz w:val="20"/>
          <w:szCs w:val="20"/>
          <w:vertAlign w:val="superscript"/>
        </w:rPr>
        <w:t>2</w:t>
      </w:r>
      <w:r>
        <w:rPr>
          <w:sz w:val="20"/>
          <w:szCs w:val="20"/>
        </w:rPr>
        <w:t xml:space="preserve"> </w:t>
      </w:r>
      <w:r w:rsidR="00DD75C5">
        <w:rPr>
          <w:sz w:val="20"/>
          <w:szCs w:val="20"/>
        </w:rPr>
        <w:t>I</w:t>
      </w:r>
      <w:r>
        <w:rPr>
          <w:sz w:val="20"/>
          <w:szCs w:val="20"/>
        </w:rPr>
        <w:t>ncludes reefs and shoals</w:t>
      </w:r>
    </w:p>
    <w:p w14:paraId="48462A7F" w14:textId="77777777" w:rsidR="00DD488F" w:rsidRDefault="00DD488F" w:rsidP="00DD488F">
      <w:pPr>
        <w:pStyle w:val="Heading2"/>
      </w:pPr>
      <w:bookmarkStart w:id="127" w:name="_Toc189055279"/>
      <w:r>
        <w:t>Stock assessments</w:t>
      </w:r>
      <w:bookmarkEnd w:id="127"/>
    </w:p>
    <w:p w14:paraId="662BD513" w14:textId="23FEDA32" w:rsidR="00413F9E" w:rsidRDefault="00413F9E" w:rsidP="00413F9E">
      <w:r>
        <w:t>Generally, fishery stock status is reported as the proportion of the stock in relation to unfished or “virgin” biomass</w:t>
      </w:r>
      <w:r w:rsidR="00C86C49">
        <w:t>.</w:t>
      </w:r>
      <w:r>
        <w:t xml:space="preserve"> </w:t>
      </w:r>
      <w:r w:rsidR="00C86C49">
        <w:t xml:space="preserve">However, </w:t>
      </w:r>
      <w:r>
        <w:t xml:space="preserve">other factors may require consideration, </w:t>
      </w:r>
      <w:r w:rsidR="00C86C49">
        <w:t>such as</w:t>
      </w:r>
      <w:r>
        <w:t xml:space="preserve"> stocks with high natural variability (so called “boom and bust” populations), differences in the regeneration potential spatially (e.g. source and sink populations) and </w:t>
      </w:r>
      <w:r w:rsidR="00C86C49">
        <w:t xml:space="preserve">reporting </w:t>
      </w:r>
      <w:r>
        <w:t xml:space="preserve">by size/age (size/age related fecundity). </w:t>
      </w:r>
    </w:p>
    <w:p w14:paraId="3A9A3263" w14:textId="030580B7" w:rsidR="00413F9E" w:rsidRDefault="00413F9E" w:rsidP="00413F9E">
      <w:r>
        <w:t>In fisheries, assessment and management, population status may also be reported against two reference level</w:t>
      </w:r>
      <w:r w:rsidR="00C86C49">
        <w:t>s</w:t>
      </w:r>
      <w:r>
        <w:t xml:space="preserve"> with respect to their status; a limit reference level (</w:t>
      </w:r>
      <w:r w:rsidR="000B4EE5">
        <w:t>B</w:t>
      </w:r>
      <w:r w:rsidR="000B4EE5" w:rsidRPr="00290642">
        <w:rPr>
          <w:i/>
          <w:iCs/>
        </w:rPr>
        <w:t>lim</w:t>
      </w:r>
      <w:r>
        <w:t>)</w:t>
      </w:r>
      <w:r w:rsidR="00C86C49">
        <w:t>,</w:t>
      </w:r>
      <w:r>
        <w:t xml:space="preserve"> </w:t>
      </w:r>
      <w:r w:rsidR="009E310F">
        <w:t>which is nominally equivalent to the point at recruitment impairment (</w:t>
      </w:r>
      <w:r>
        <w:t>PRI</w:t>
      </w:r>
      <w:r w:rsidR="009E310F">
        <w:t>);</w:t>
      </w:r>
      <w:r>
        <w:t xml:space="preserve"> and a target reference point (B</w:t>
      </w:r>
      <w:r w:rsidR="000B4EE5" w:rsidRPr="000B4EE5">
        <w:rPr>
          <w:i/>
          <w:iCs/>
        </w:rPr>
        <w:t>targ</w:t>
      </w:r>
      <w:r>
        <w:t>)</w:t>
      </w:r>
      <w:r w:rsidR="00C86C49">
        <w:t>,</w:t>
      </w:r>
      <w:r>
        <w:t xml:space="preserve"> or the population level at maximum sustainable yield </w:t>
      </w:r>
      <w:r w:rsidR="009E310F">
        <w:t>(</w:t>
      </w:r>
      <w:r>
        <w:t>B</w:t>
      </w:r>
      <w:r w:rsidRPr="0044502C">
        <w:rPr>
          <w:i/>
          <w:iCs/>
        </w:rPr>
        <w:t>MSY</w:t>
      </w:r>
      <w:r>
        <w:t xml:space="preserve">) </w:t>
      </w:r>
      <w:r w:rsidR="009E310F">
        <w:t>or higher (</w:t>
      </w:r>
      <w:r w:rsidR="000B4EE5">
        <w:t>B</w:t>
      </w:r>
      <w:r w:rsidR="000B4EE5" w:rsidRPr="000B4EE5">
        <w:rPr>
          <w:i/>
          <w:iCs/>
        </w:rPr>
        <w:t>targ</w:t>
      </w:r>
      <w:r w:rsidR="000B4EE5">
        <w:t xml:space="preserve"> </w:t>
      </w:r>
      <w:r>
        <w:t xml:space="preserve">may also be at the level of maximum economic yield </w:t>
      </w:r>
      <w:r w:rsidR="009E310F">
        <w:t>(</w:t>
      </w:r>
      <w:r w:rsidR="0044502C">
        <w:t>B</w:t>
      </w:r>
      <w:r w:rsidR="009E310F" w:rsidRPr="0044502C">
        <w:rPr>
          <w:i/>
          <w:iCs/>
        </w:rPr>
        <w:t>MEY</w:t>
      </w:r>
      <w:r w:rsidR="009E310F">
        <w:t>) or even higher to</w:t>
      </w:r>
      <w:r>
        <w:t xml:space="preserve"> account </w:t>
      </w:r>
      <w:r w:rsidR="009E310F">
        <w:t xml:space="preserve">for </w:t>
      </w:r>
      <w:r>
        <w:t>environmental considerations</w:t>
      </w:r>
      <w:r w:rsidR="00C86C49">
        <w:t>)</w:t>
      </w:r>
      <w:r>
        <w:t>.</w:t>
      </w:r>
    </w:p>
    <w:p w14:paraId="0EE9EC3D" w14:textId="566B92E2" w:rsidR="003C360D" w:rsidRPr="00B37314" w:rsidRDefault="003C360D" w:rsidP="003C360D">
      <w:pPr>
        <w:rPr>
          <w:i/>
          <w:iCs/>
        </w:rPr>
      </w:pPr>
      <w:bookmarkStart w:id="128" w:name="_Hlk136947629"/>
      <w:r w:rsidRPr="00B37314">
        <w:rPr>
          <w:i/>
          <w:iCs/>
        </w:rPr>
        <w:t xml:space="preserve">Global </w:t>
      </w:r>
      <w:r w:rsidR="009E310F">
        <w:rPr>
          <w:i/>
          <w:iCs/>
        </w:rPr>
        <w:t xml:space="preserve">fishery </w:t>
      </w:r>
      <w:r w:rsidRPr="00B37314">
        <w:rPr>
          <w:i/>
          <w:iCs/>
        </w:rPr>
        <w:t>status</w:t>
      </w:r>
    </w:p>
    <w:p w14:paraId="3F189DAD" w14:textId="2D432DC0" w:rsidR="003C360D" w:rsidRDefault="003C360D" w:rsidP="003C360D">
      <w:bookmarkStart w:id="129" w:name="_Hlk136953950"/>
      <w:bookmarkEnd w:id="128"/>
      <w:r>
        <w:t xml:space="preserve">Globally, sea cucumber </w:t>
      </w:r>
      <w:r w:rsidR="00B81A0E">
        <w:t>population</w:t>
      </w:r>
      <w:r w:rsidR="00C86C49">
        <w:t>s</w:t>
      </w:r>
      <w:r w:rsidR="00C86C49" w:rsidRPr="00C86C49">
        <w:t xml:space="preserve"> </w:t>
      </w:r>
      <w:r w:rsidR="00C86C49">
        <w:t>have generally been overexploited</w:t>
      </w:r>
      <w:r>
        <w:t xml:space="preserve">, especially </w:t>
      </w:r>
      <w:r w:rsidR="00B81A0E">
        <w:t xml:space="preserve">for </w:t>
      </w:r>
      <w:r w:rsidR="001671A7">
        <w:t xml:space="preserve">easily accessible </w:t>
      </w:r>
      <w:r w:rsidR="00B81A0E">
        <w:t xml:space="preserve">high and medium value </w:t>
      </w:r>
      <w:r>
        <w:t xml:space="preserve">species, </w:t>
      </w:r>
      <w:r w:rsidR="001671A7">
        <w:t xml:space="preserve">including Black teatfish and White teatfish </w:t>
      </w:r>
      <w:r>
        <w:t>(</w:t>
      </w:r>
      <w:r w:rsidR="00B81A0E">
        <w:t>Purcell et al., 2013</w:t>
      </w:r>
      <w:r>
        <w:t xml:space="preserve">). </w:t>
      </w:r>
      <w:r w:rsidR="00B81A0E">
        <w:t>Of 77 sea cucumber fisheries</w:t>
      </w:r>
      <w:r w:rsidR="00B81A0E" w:rsidRPr="00B81A0E">
        <w:t xml:space="preserve"> </w:t>
      </w:r>
      <w:r w:rsidR="00B81A0E">
        <w:t xml:space="preserve">assessed in 2013, 20 percent were considered depleted and 38 percent were over-exploited (Purcell et al., 2013), including most in the central west Pacific (Purcell et al., 2013). </w:t>
      </w:r>
      <w:r>
        <w:t xml:space="preserve">Many </w:t>
      </w:r>
      <w:r w:rsidR="00C86C49">
        <w:t xml:space="preserve">fisheries </w:t>
      </w:r>
      <w:r>
        <w:t>have closed or produce only low value species</w:t>
      </w:r>
      <w:r w:rsidR="00B81A0E">
        <w:t>, and s</w:t>
      </w:r>
      <w:r>
        <w:t xml:space="preserve">ome have </w:t>
      </w:r>
      <w:r w:rsidR="00B81A0E">
        <w:t xml:space="preserve">even </w:t>
      </w:r>
      <w:r>
        <w:t xml:space="preserve">moved to </w:t>
      </w:r>
      <w:r w:rsidR="00B81A0E">
        <w:t xml:space="preserve">harvesting mostly </w:t>
      </w:r>
      <w:r>
        <w:t xml:space="preserve">nocturnal species (Prescott et al., </w:t>
      </w:r>
      <w:r w:rsidR="009E310F">
        <w:t>2013</w:t>
      </w:r>
      <w:r>
        <w:t>).</w:t>
      </w:r>
      <w:r w:rsidR="00C86C49">
        <w:t xml:space="preserve"> </w:t>
      </w:r>
    </w:p>
    <w:p w14:paraId="795418AC" w14:textId="7A603D87" w:rsidR="003C6BA5" w:rsidRDefault="003C6BA5" w:rsidP="003C360D">
      <w:pPr>
        <w:rPr>
          <w:i/>
          <w:iCs/>
        </w:rPr>
      </w:pPr>
      <w:r w:rsidRPr="00C758C4">
        <w:rPr>
          <w:i/>
          <w:iCs/>
        </w:rPr>
        <w:t>Australian fishery status</w:t>
      </w:r>
    </w:p>
    <w:p w14:paraId="4695F459" w14:textId="63B6363C" w:rsidR="00620635" w:rsidRPr="00620635" w:rsidRDefault="00620635" w:rsidP="003C360D">
      <w:r>
        <w:t>Available information on</w:t>
      </w:r>
      <w:r w:rsidR="00A859CE">
        <w:t xml:space="preserve"> Black teatfish and White teatfish </w:t>
      </w:r>
      <w:r>
        <w:t>species stocks in Australian water</w:t>
      </w:r>
      <w:r w:rsidR="00C86C49">
        <w:t>s</w:t>
      </w:r>
      <w:r>
        <w:t xml:space="preserve"> were synthesised to estimate stock status in relation to nominal </w:t>
      </w:r>
      <w:r w:rsidR="000B4EE5">
        <w:t>B</w:t>
      </w:r>
      <w:r w:rsidR="000B4EE5" w:rsidRPr="00290642">
        <w:rPr>
          <w:i/>
          <w:iCs/>
        </w:rPr>
        <w:t>lim</w:t>
      </w:r>
      <w:r w:rsidR="000B4EE5">
        <w:t xml:space="preserve"> </w:t>
      </w:r>
      <w:r>
        <w:t xml:space="preserve">and </w:t>
      </w:r>
      <w:r w:rsidR="000B4EE5">
        <w:t>B</w:t>
      </w:r>
      <w:r w:rsidR="000B4EE5" w:rsidRPr="000B4EE5">
        <w:rPr>
          <w:i/>
          <w:iCs/>
        </w:rPr>
        <w:t>targ</w:t>
      </w:r>
      <w:r w:rsidR="000B4EE5">
        <w:t xml:space="preserve"> </w:t>
      </w:r>
      <w:r>
        <w:t>biomass reference levels (</w:t>
      </w:r>
      <w:r>
        <w:fldChar w:fldCharType="begin"/>
      </w:r>
      <w:r>
        <w:instrText xml:space="preserve"> REF _Ref151389603 \h </w:instrText>
      </w:r>
      <w:r>
        <w:fldChar w:fldCharType="separate"/>
      </w:r>
      <w:r w:rsidR="007B2A78">
        <w:t xml:space="preserve">Table </w:t>
      </w:r>
      <w:r w:rsidR="007B2A78">
        <w:rPr>
          <w:noProof/>
        </w:rPr>
        <w:lastRenderedPageBreak/>
        <w:t>10</w:t>
      </w:r>
      <w:r>
        <w:fldChar w:fldCharType="end"/>
      </w:r>
      <w:r>
        <w:t xml:space="preserve">). The </w:t>
      </w:r>
      <w:r w:rsidR="001671A7">
        <w:t>QSCF and TSBDMF Black teatfish and White teatfish populations are</w:t>
      </w:r>
      <w:r>
        <w:t xml:space="preserve"> assess</w:t>
      </w:r>
      <w:r w:rsidR="001671A7">
        <w:t>ed</w:t>
      </w:r>
      <w:r>
        <w:t xml:space="preserve"> as </w:t>
      </w:r>
      <w:r w:rsidR="001671A7">
        <w:t xml:space="preserve">likely to </w:t>
      </w:r>
      <w:r>
        <w:t xml:space="preserve">be greater </w:t>
      </w:r>
      <w:r w:rsidR="00FC2F36">
        <w:t>than</w:t>
      </w:r>
      <w:r>
        <w:t xml:space="preserve"> nominal </w:t>
      </w:r>
      <w:r w:rsidR="000B4EE5">
        <w:t>B</w:t>
      </w:r>
      <w:r w:rsidR="000B4EE5" w:rsidRPr="00290642">
        <w:rPr>
          <w:i/>
          <w:iCs/>
        </w:rPr>
        <w:t>lim</w:t>
      </w:r>
      <w:r w:rsidR="000B4EE5">
        <w:t xml:space="preserve"> </w:t>
      </w:r>
      <w:r>
        <w:t xml:space="preserve">(see jurisdictional reports for justification and sources in </w:t>
      </w:r>
      <w:r>
        <w:fldChar w:fldCharType="begin"/>
      </w:r>
      <w:r>
        <w:instrText xml:space="preserve"> REF _Ref151389603 \h </w:instrText>
      </w:r>
      <w:r>
        <w:fldChar w:fldCharType="separate"/>
      </w:r>
      <w:r w:rsidR="007B2A78">
        <w:t xml:space="preserve">Table </w:t>
      </w:r>
      <w:r w:rsidR="007B2A78">
        <w:rPr>
          <w:noProof/>
        </w:rPr>
        <w:t>10</w:t>
      </w:r>
      <w:r>
        <w:fldChar w:fldCharType="end"/>
      </w:r>
      <w:r w:rsidR="00C86C49">
        <w:t>)</w:t>
      </w:r>
      <w:r w:rsidR="001671A7">
        <w:t xml:space="preserve">, whereas for the CSF this is uncertain (see jurisdictional reports for justification and sources in </w:t>
      </w:r>
      <w:r w:rsidR="001671A7">
        <w:fldChar w:fldCharType="begin"/>
      </w:r>
      <w:r w:rsidR="001671A7">
        <w:instrText xml:space="preserve"> REF _Ref151389603 \h </w:instrText>
      </w:r>
      <w:r w:rsidR="001671A7">
        <w:fldChar w:fldCharType="separate"/>
      </w:r>
      <w:r w:rsidR="007B2A78">
        <w:t xml:space="preserve">Table </w:t>
      </w:r>
      <w:r w:rsidR="007B2A78">
        <w:rPr>
          <w:noProof/>
        </w:rPr>
        <w:t>10</w:t>
      </w:r>
      <w:r w:rsidR="001671A7">
        <w:fldChar w:fldCharType="end"/>
      </w:r>
      <w:r w:rsidR="001671A7">
        <w:t>)</w:t>
      </w:r>
      <w:r>
        <w:t>.</w:t>
      </w:r>
    </w:p>
    <w:p w14:paraId="05D933AA" w14:textId="77777777" w:rsidR="00620635" w:rsidRPr="00620635" w:rsidRDefault="00620635" w:rsidP="003C360D"/>
    <w:p w14:paraId="4B45750C" w14:textId="7A2AE575" w:rsidR="003C6BA5" w:rsidRDefault="00C758C4" w:rsidP="000B5A6E">
      <w:pPr>
        <w:pStyle w:val="Caption"/>
      </w:pPr>
      <w:bookmarkStart w:id="130" w:name="_Ref151389603"/>
      <w:bookmarkStart w:id="131" w:name="_Toc174091520"/>
      <w:bookmarkStart w:id="132" w:name="_Toc189055310"/>
      <w:r>
        <w:t xml:space="preserve">Table </w:t>
      </w:r>
      <w:fldSimple w:instr=" SEQ Table \* ARABIC ">
        <w:r w:rsidR="007B2A78">
          <w:rPr>
            <w:noProof/>
          </w:rPr>
          <w:t>10</w:t>
        </w:r>
      </w:fldSimple>
      <w:bookmarkEnd w:id="130"/>
      <w:r>
        <w:t xml:space="preserve">. </w:t>
      </w:r>
      <w:r w:rsidR="001C147E" w:rsidRPr="001C147E">
        <w:t xml:space="preserve">Status of </w:t>
      </w:r>
      <w:r w:rsidR="001C147E">
        <w:t xml:space="preserve">Prickly </w:t>
      </w:r>
      <w:r>
        <w:t>redfish</w:t>
      </w:r>
      <w:r w:rsidR="001C147E">
        <w:t xml:space="preserve"> and </w:t>
      </w:r>
      <w:r>
        <w:t>Amberfish</w:t>
      </w:r>
      <w:r w:rsidR="001C147E">
        <w:t xml:space="preserve"> in Australian </w:t>
      </w:r>
      <w:r>
        <w:t>sea cucumber f</w:t>
      </w:r>
      <w:r w:rsidR="001C147E" w:rsidRPr="001C147E">
        <w:t>isher</w:t>
      </w:r>
      <w:r>
        <w:t>ies inferred from available information.</w:t>
      </w:r>
      <w:r w:rsidR="00690290">
        <w:t xml:space="preserve"> As “likely” “uncertain” or “unlikely” to be greater than B</w:t>
      </w:r>
      <w:r w:rsidR="00690290" w:rsidRPr="00690290">
        <w:rPr>
          <w:i/>
          <w:iCs/>
        </w:rPr>
        <w:t>lim</w:t>
      </w:r>
      <w:r w:rsidR="00690290">
        <w:t xml:space="preserve"> and B</w:t>
      </w:r>
      <w:r w:rsidR="00690290" w:rsidRPr="00690290">
        <w:rPr>
          <w:i/>
          <w:iCs/>
        </w:rPr>
        <w:t>targ</w:t>
      </w:r>
      <w:r w:rsidR="00690290">
        <w:t>.</w:t>
      </w:r>
      <w:bookmarkEnd w:id="131"/>
      <w:bookmarkEnd w:id="132"/>
      <w:r w:rsidR="00690290">
        <w:t xml:space="preserve"> </w:t>
      </w:r>
    </w:p>
    <w:tbl>
      <w:tblPr>
        <w:tblStyle w:val="TableGrid"/>
        <w:tblW w:w="0" w:type="auto"/>
        <w:tblLook w:val="04A0" w:firstRow="1" w:lastRow="0" w:firstColumn="1" w:lastColumn="0" w:noHBand="0" w:noVBand="1"/>
      </w:tblPr>
      <w:tblGrid>
        <w:gridCol w:w="1413"/>
        <w:gridCol w:w="1276"/>
        <w:gridCol w:w="1417"/>
        <w:gridCol w:w="1418"/>
        <w:gridCol w:w="1417"/>
        <w:gridCol w:w="2687"/>
      </w:tblGrid>
      <w:tr w:rsidR="00C758C4" w:rsidRPr="00C758C4" w14:paraId="041C7FF8" w14:textId="37BF8306" w:rsidTr="003B66DC">
        <w:tc>
          <w:tcPr>
            <w:tcW w:w="1413" w:type="dxa"/>
            <w:vMerge w:val="restart"/>
            <w:tcBorders>
              <w:right w:val="double" w:sz="4" w:space="0" w:color="00313C"/>
            </w:tcBorders>
            <w:shd w:val="clear" w:color="auto" w:fill="000000" w:themeFill="text1"/>
            <w:vAlign w:val="bottom"/>
          </w:tcPr>
          <w:p w14:paraId="7FA5F507" w14:textId="1E8AE1F8" w:rsidR="00C758C4" w:rsidRPr="00C758C4" w:rsidRDefault="00667442" w:rsidP="00667442">
            <w:pPr>
              <w:rPr>
                <w:b/>
                <w:bCs/>
                <w:color w:val="FFFFFF" w:themeColor="background1"/>
                <w:sz w:val="20"/>
                <w:szCs w:val="20"/>
              </w:rPr>
            </w:pPr>
            <w:r w:rsidRPr="00667442">
              <w:rPr>
                <w:b/>
                <w:bCs/>
                <w:color w:val="FFFFFF" w:themeColor="background1"/>
                <w:sz w:val="20"/>
                <w:szCs w:val="20"/>
              </w:rPr>
              <w:t>Fishery</w:t>
            </w:r>
          </w:p>
        </w:tc>
        <w:tc>
          <w:tcPr>
            <w:tcW w:w="2693" w:type="dxa"/>
            <w:gridSpan w:val="2"/>
            <w:tcBorders>
              <w:left w:val="double" w:sz="4" w:space="0" w:color="00313C"/>
              <w:right w:val="double" w:sz="4" w:space="0" w:color="00313C"/>
            </w:tcBorders>
            <w:shd w:val="clear" w:color="auto" w:fill="000000" w:themeFill="text1"/>
          </w:tcPr>
          <w:p w14:paraId="0F70C7C1" w14:textId="38DDE792" w:rsidR="00C758C4" w:rsidRPr="00C758C4" w:rsidRDefault="00C22D6B" w:rsidP="00C758C4">
            <w:pPr>
              <w:jc w:val="center"/>
              <w:rPr>
                <w:b/>
                <w:bCs/>
                <w:color w:val="FFFFFF" w:themeColor="background1"/>
                <w:sz w:val="20"/>
                <w:szCs w:val="20"/>
              </w:rPr>
            </w:pPr>
            <w:r>
              <w:rPr>
                <w:b/>
                <w:bCs/>
                <w:color w:val="FFFFFF" w:themeColor="background1"/>
                <w:sz w:val="20"/>
                <w:szCs w:val="20"/>
              </w:rPr>
              <w:t>Black teatfish</w:t>
            </w:r>
          </w:p>
        </w:tc>
        <w:tc>
          <w:tcPr>
            <w:tcW w:w="2835" w:type="dxa"/>
            <w:gridSpan w:val="2"/>
            <w:tcBorders>
              <w:left w:val="double" w:sz="4" w:space="0" w:color="00313C"/>
              <w:right w:val="double" w:sz="4" w:space="0" w:color="00313C"/>
            </w:tcBorders>
            <w:shd w:val="clear" w:color="auto" w:fill="000000" w:themeFill="text1"/>
          </w:tcPr>
          <w:p w14:paraId="312F6680" w14:textId="6CF0FD18" w:rsidR="00C758C4" w:rsidRPr="00C758C4" w:rsidRDefault="00C22D6B" w:rsidP="00C758C4">
            <w:pPr>
              <w:jc w:val="center"/>
              <w:rPr>
                <w:b/>
                <w:bCs/>
                <w:color w:val="FFFFFF" w:themeColor="background1"/>
                <w:sz w:val="20"/>
                <w:szCs w:val="20"/>
              </w:rPr>
            </w:pPr>
            <w:r>
              <w:rPr>
                <w:b/>
                <w:bCs/>
                <w:color w:val="FFFFFF" w:themeColor="background1"/>
                <w:sz w:val="20"/>
                <w:szCs w:val="20"/>
              </w:rPr>
              <w:t>White teatfish</w:t>
            </w:r>
          </w:p>
        </w:tc>
        <w:tc>
          <w:tcPr>
            <w:tcW w:w="2687" w:type="dxa"/>
            <w:vMerge w:val="restart"/>
            <w:tcBorders>
              <w:left w:val="double" w:sz="4" w:space="0" w:color="00313C"/>
            </w:tcBorders>
            <w:shd w:val="clear" w:color="auto" w:fill="000000" w:themeFill="text1"/>
            <w:vAlign w:val="center"/>
          </w:tcPr>
          <w:p w14:paraId="49124530" w14:textId="5A364A18" w:rsidR="00C758C4" w:rsidRPr="00C758C4" w:rsidRDefault="00C758C4" w:rsidP="00667442">
            <w:pPr>
              <w:rPr>
                <w:b/>
                <w:bCs/>
                <w:color w:val="FFFFFF" w:themeColor="background1"/>
                <w:sz w:val="20"/>
                <w:szCs w:val="20"/>
              </w:rPr>
            </w:pPr>
            <w:r w:rsidRPr="00C758C4">
              <w:rPr>
                <w:b/>
                <w:bCs/>
                <w:color w:val="FFFFFF" w:themeColor="background1"/>
                <w:sz w:val="20"/>
                <w:szCs w:val="20"/>
              </w:rPr>
              <w:t>Sources</w:t>
            </w:r>
          </w:p>
        </w:tc>
      </w:tr>
      <w:tr w:rsidR="00C758C4" w:rsidRPr="00C758C4" w14:paraId="085655D3" w14:textId="7BB14670" w:rsidTr="00C758C4">
        <w:tc>
          <w:tcPr>
            <w:tcW w:w="1413" w:type="dxa"/>
            <w:vMerge/>
            <w:tcBorders>
              <w:right w:val="double" w:sz="4" w:space="0" w:color="00313C"/>
            </w:tcBorders>
            <w:shd w:val="clear" w:color="auto" w:fill="000000" w:themeFill="text1"/>
          </w:tcPr>
          <w:p w14:paraId="733177E0" w14:textId="77777777" w:rsidR="00C758C4" w:rsidRPr="00C758C4" w:rsidRDefault="00C758C4" w:rsidP="003C360D">
            <w:pPr>
              <w:rPr>
                <w:b/>
                <w:bCs/>
                <w:color w:val="FFFFFF" w:themeColor="background1"/>
                <w:sz w:val="20"/>
                <w:szCs w:val="20"/>
              </w:rPr>
            </w:pPr>
          </w:p>
        </w:tc>
        <w:tc>
          <w:tcPr>
            <w:tcW w:w="1276" w:type="dxa"/>
            <w:tcBorders>
              <w:left w:val="double" w:sz="4" w:space="0" w:color="00313C"/>
            </w:tcBorders>
            <w:shd w:val="clear" w:color="auto" w:fill="000000" w:themeFill="text1"/>
          </w:tcPr>
          <w:p w14:paraId="4BD0B054" w14:textId="33F268A5" w:rsidR="00C758C4" w:rsidRPr="00667442" w:rsidRDefault="00C758C4" w:rsidP="00C758C4">
            <w:pPr>
              <w:jc w:val="center"/>
              <w:rPr>
                <w:b/>
                <w:bCs/>
                <w:color w:val="FFFFFF" w:themeColor="background1"/>
                <w:sz w:val="20"/>
                <w:szCs w:val="20"/>
              </w:rPr>
            </w:pPr>
            <w:r w:rsidRPr="00667442">
              <w:rPr>
                <w:b/>
                <w:bCs/>
                <w:color w:val="FFFFFF" w:themeColor="background1"/>
                <w:sz w:val="20"/>
                <w:szCs w:val="20"/>
              </w:rPr>
              <w:t>&gt;</w:t>
            </w:r>
            <w:r w:rsidR="000B4EE5" w:rsidRPr="003B66DC">
              <w:rPr>
                <w:b/>
                <w:bCs/>
                <w:sz w:val="20"/>
                <w:szCs w:val="20"/>
              </w:rPr>
              <w:t xml:space="preserve"> </w:t>
            </w:r>
            <w:r w:rsidR="000B4EE5" w:rsidRPr="003B66DC">
              <w:rPr>
                <w:b/>
                <w:bCs/>
                <w:color w:val="FFFFFF" w:themeColor="background1"/>
                <w:sz w:val="20"/>
                <w:szCs w:val="20"/>
              </w:rPr>
              <w:t>B</w:t>
            </w:r>
            <w:r w:rsidR="000B4EE5" w:rsidRPr="003B66DC">
              <w:rPr>
                <w:b/>
                <w:bCs/>
                <w:i/>
                <w:iCs/>
                <w:color w:val="FFFFFF" w:themeColor="background1"/>
                <w:sz w:val="20"/>
                <w:szCs w:val="20"/>
              </w:rPr>
              <w:t>lim</w:t>
            </w:r>
          </w:p>
        </w:tc>
        <w:tc>
          <w:tcPr>
            <w:tcW w:w="1417" w:type="dxa"/>
            <w:tcBorders>
              <w:right w:val="double" w:sz="4" w:space="0" w:color="00313C"/>
            </w:tcBorders>
            <w:shd w:val="clear" w:color="auto" w:fill="000000" w:themeFill="text1"/>
          </w:tcPr>
          <w:p w14:paraId="20096C58" w14:textId="2FF4FB11" w:rsidR="00C758C4" w:rsidRPr="00667442" w:rsidRDefault="00C758C4" w:rsidP="00C758C4">
            <w:pPr>
              <w:jc w:val="center"/>
              <w:rPr>
                <w:b/>
                <w:bCs/>
                <w:color w:val="FFFFFF" w:themeColor="background1"/>
                <w:sz w:val="20"/>
                <w:szCs w:val="20"/>
              </w:rPr>
            </w:pPr>
            <w:r w:rsidRPr="00667442">
              <w:rPr>
                <w:b/>
                <w:bCs/>
                <w:color w:val="FFFFFF" w:themeColor="background1"/>
                <w:sz w:val="20"/>
                <w:szCs w:val="20"/>
              </w:rPr>
              <w:t>&gt;</w:t>
            </w:r>
            <w:r w:rsidR="000B4EE5" w:rsidRPr="003B66DC">
              <w:rPr>
                <w:b/>
                <w:bCs/>
                <w:sz w:val="20"/>
                <w:szCs w:val="20"/>
              </w:rPr>
              <w:t xml:space="preserve"> </w:t>
            </w:r>
            <w:r w:rsidR="000B4EE5" w:rsidRPr="00667442">
              <w:rPr>
                <w:b/>
                <w:bCs/>
                <w:color w:val="FFFFFF" w:themeColor="background1"/>
                <w:sz w:val="20"/>
                <w:szCs w:val="20"/>
              </w:rPr>
              <w:t>B</w:t>
            </w:r>
            <w:r w:rsidR="000B4EE5" w:rsidRPr="00667442">
              <w:rPr>
                <w:b/>
                <w:bCs/>
                <w:i/>
                <w:iCs/>
                <w:color w:val="FFFFFF" w:themeColor="background1"/>
                <w:sz w:val="20"/>
                <w:szCs w:val="20"/>
              </w:rPr>
              <w:t>targ</w:t>
            </w:r>
          </w:p>
        </w:tc>
        <w:tc>
          <w:tcPr>
            <w:tcW w:w="1418" w:type="dxa"/>
            <w:tcBorders>
              <w:left w:val="double" w:sz="4" w:space="0" w:color="00313C"/>
            </w:tcBorders>
            <w:shd w:val="clear" w:color="auto" w:fill="000000" w:themeFill="text1"/>
          </w:tcPr>
          <w:p w14:paraId="248E400A" w14:textId="4FFE2B9C" w:rsidR="00C758C4" w:rsidRPr="00667442" w:rsidRDefault="00C758C4" w:rsidP="00C758C4">
            <w:pPr>
              <w:jc w:val="center"/>
              <w:rPr>
                <w:b/>
                <w:bCs/>
                <w:color w:val="FFFFFF" w:themeColor="background1"/>
                <w:sz w:val="20"/>
                <w:szCs w:val="20"/>
              </w:rPr>
            </w:pPr>
            <w:r w:rsidRPr="00667442">
              <w:rPr>
                <w:b/>
                <w:bCs/>
                <w:color w:val="FFFFFF" w:themeColor="background1"/>
                <w:sz w:val="20"/>
                <w:szCs w:val="20"/>
              </w:rPr>
              <w:t>&gt;</w:t>
            </w:r>
            <w:r w:rsidR="000B4EE5" w:rsidRPr="003B66DC">
              <w:rPr>
                <w:b/>
                <w:bCs/>
                <w:sz w:val="20"/>
                <w:szCs w:val="20"/>
              </w:rPr>
              <w:t xml:space="preserve"> </w:t>
            </w:r>
            <w:r w:rsidR="000B4EE5" w:rsidRPr="003B66DC">
              <w:rPr>
                <w:b/>
                <w:bCs/>
                <w:color w:val="FFFFFF" w:themeColor="background1"/>
                <w:sz w:val="20"/>
                <w:szCs w:val="20"/>
              </w:rPr>
              <w:t>B</w:t>
            </w:r>
            <w:r w:rsidR="000B4EE5" w:rsidRPr="003B66DC">
              <w:rPr>
                <w:b/>
                <w:bCs/>
                <w:i/>
                <w:iCs/>
                <w:color w:val="FFFFFF" w:themeColor="background1"/>
                <w:sz w:val="20"/>
                <w:szCs w:val="20"/>
              </w:rPr>
              <w:t>lim</w:t>
            </w:r>
          </w:p>
        </w:tc>
        <w:tc>
          <w:tcPr>
            <w:tcW w:w="1417" w:type="dxa"/>
            <w:tcBorders>
              <w:right w:val="double" w:sz="4" w:space="0" w:color="00313C"/>
            </w:tcBorders>
            <w:shd w:val="clear" w:color="auto" w:fill="000000" w:themeFill="text1"/>
          </w:tcPr>
          <w:p w14:paraId="003B91D5" w14:textId="477F0803" w:rsidR="00C758C4" w:rsidRPr="00667442" w:rsidRDefault="00C758C4" w:rsidP="00C758C4">
            <w:pPr>
              <w:jc w:val="center"/>
              <w:rPr>
                <w:b/>
                <w:bCs/>
                <w:color w:val="FFFFFF" w:themeColor="background1"/>
                <w:sz w:val="20"/>
                <w:szCs w:val="20"/>
              </w:rPr>
            </w:pPr>
            <w:r w:rsidRPr="00667442">
              <w:rPr>
                <w:b/>
                <w:bCs/>
                <w:color w:val="FFFFFF" w:themeColor="background1"/>
                <w:sz w:val="20"/>
                <w:szCs w:val="20"/>
              </w:rPr>
              <w:t>&gt;</w:t>
            </w:r>
            <w:r w:rsidR="000B4EE5" w:rsidRPr="003B66DC">
              <w:rPr>
                <w:b/>
                <w:bCs/>
                <w:sz w:val="20"/>
                <w:szCs w:val="20"/>
              </w:rPr>
              <w:t xml:space="preserve"> </w:t>
            </w:r>
            <w:r w:rsidR="000B4EE5" w:rsidRPr="003B66DC">
              <w:rPr>
                <w:b/>
                <w:bCs/>
                <w:color w:val="FFFFFF" w:themeColor="background1"/>
                <w:sz w:val="20"/>
                <w:szCs w:val="20"/>
              </w:rPr>
              <w:t>B</w:t>
            </w:r>
            <w:r w:rsidR="000B4EE5" w:rsidRPr="003B66DC">
              <w:rPr>
                <w:b/>
                <w:bCs/>
                <w:i/>
                <w:iCs/>
                <w:color w:val="FFFFFF" w:themeColor="background1"/>
                <w:sz w:val="20"/>
                <w:szCs w:val="20"/>
              </w:rPr>
              <w:t>targ</w:t>
            </w:r>
          </w:p>
        </w:tc>
        <w:tc>
          <w:tcPr>
            <w:tcW w:w="2687" w:type="dxa"/>
            <w:vMerge/>
            <w:tcBorders>
              <w:left w:val="double" w:sz="4" w:space="0" w:color="00313C"/>
            </w:tcBorders>
            <w:shd w:val="clear" w:color="auto" w:fill="000000" w:themeFill="text1"/>
          </w:tcPr>
          <w:p w14:paraId="5AE822F5" w14:textId="77777777" w:rsidR="00C758C4" w:rsidRPr="00C758C4" w:rsidRDefault="00C758C4" w:rsidP="003C360D">
            <w:pPr>
              <w:rPr>
                <w:b/>
                <w:bCs/>
                <w:color w:val="FFFFFF" w:themeColor="background1"/>
                <w:sz w:val="20"/>
                <w:szCs w:val="20"/>
              </w:rPr>
            </w:pPr>
          </w:p>
        </w:tc>
      </w:tr>
      <w:tr w:rsidR="001C147E" w:rsidRPr="00C758C4" w14:paraId="6C2ED0EB" w14:textId="767F8201" w:rsidTr="00A859CE">
        <w:tc>
          <w:tcPr>
            <w:tcW w:w="1413" w:type="dxa"/>
            <w:tcBorders>
              <w:right w:val="double" w:sz="4" w:space="0" w:color="00313C"/>
            </w:tcBorders>
          </w:tcPr>
          <w:p w14:paraId="5465FD1F" w14:textId="7C5BCA73" w:rsidR="001C147E" w:rsidRPr="00C758C4" w:rsidRDefault="001C147E" w:rsidP="003C6BA5">
            <w:pPr>
              <w:rPr>
                <w:sz w:val="20"/>
                <w:szCs w:val="20"/>
              </w:rPr>
            </w:pPr>
            <w:r w:rsidRPr="00C758C4">
              <w:rPr>
                <w:sz w:val="20"/>
                <w:szCs w:val="20"/>
              </w:rPr>
              <w:t>QSCF</w:t>
            </w:r>
          </w:p>
        </w:tc>
        <w:tc>
          <w:tcPr>
            <w:tcW w:w="1276" w:type="dxa"/>
            <w:tcBorders>
              <w:left w:val="double" w:sz="4" w:space="0" w:color="00313C"/>
            </w:tcBorders>
            <w:shd w:val="clear" w:color="auto" w:fill="92D050"/>
          </w:tcPr>
          <w:p w14:paraId="67AC78A8" w14:textId="5EC4476A" w:rsidR="001C147E" w:rsidRPr="00C758C4" w:rsidRDefault="001C147E" w:rsidP="00C758C4">
            <w:pPr>
              <w:jc w:val="center"/>
              <w:rPr>
                <w:sz w:val="20"/>
                <w:szCs w:val="20"/>
              </w:rPr>
            </w:pPr>
            <w:r w:rsidRPr="00C758C4">
              <w:rPr>
                <w:sz w:val="20"/>
                <w:szCs w:val="20"/>
              </w:rPr>
              <w:t>Likely</w:t>
            </w:r>
          </w:p>
        </w:tc>
        <w:tc>
          <w:tcPr>
            <w:tcW w:w="1417" w:type="dxa"/>
            <w:tcBorders>
              <w:right w:val="double" w:sz="4" w:space="0" w:color="00313C"/>
            </w:tcBorders>
            <w:shd w:val="clear" w:color="auto" w:fill="FFFF00"/>
          </w:tcPr>
          <w:p w14:paraId="5E9DC289" w14:textId="7457BBD2" w:rsidR="001C147E" w:rsidRPr="00C758C4" w:rsidRDefault="001C147E" w:rsidP="00C758C4">
            <w:pPr>
              <w:jc w:val="center"/>
              <w:rPr>
                <w:sz w:val="20"/>
                <w:szCs w:val="20"/>
              </w:rPr>
            </w:pPr>
            <w:r w:rsidRPr="00C758C4">
              <w:rPr>
                <w:sz w:val="20"/>
                <w:szCs w:val="20"/>
              </w:rPr>
              <w:t>Uncertain</w:t>
            </w:r>
          </w:p>
        </w:tc>
        <w:tc>
          <w:tcPr>
            <w:tcW w:w="1418" w:type="dxa"/>
            <w:tcBorders>
              <w:left w:val="double" w:sz="4" w:space="0" w:color="00313C"/>
            </w:tcBorders>
            <w:shd w:val="clear" w:color="auto" w:fill="92D050"/>
          </w:tcPr>
          <w:p w14:paraId="653CE51F" w14:textId="51499ED7" w:rsidR="001C147E" w:rsidRPr="00C758C4" w:rsidRDefault="001C147E" w:rsidP="00C758C4">
            <w:pPr>
              <w:jc w:val="center"/>
              <w:rPr>
                <w:sz w:val="20"/>
                <w:szCs w:val="20"/>
              </w:rPr>
            </w:pPr>
            <w:r w:rsidRPr="00C758C4">
              <w:rPr>
                <w:sz w:val="20"/>
                <w:szCs w:val="20"/>
              </w:rPr>
              <w:t>Likely</w:t>
            </w:r>
          </w:p>
        </w:tc>
        <w:tc>
          <w:tcPr>
            <w:tcW w:w="1417" w:type="dxa"/>
            <w:tcBorders>
              <w:right w:val="double" w:sz="4" w:space="0" w:color="00313C"/>
            </w:tcBorders>
            <w:shd w:val="clear" w:color="auto" w:fill="FFFF00"/>
          </w:tcPr>
          <w:p w14:paraId="11635765" w14:textId="0C1EA66E" w:rsidR="001C147E" w:rsidRPr="00C758C4" w:rsidRDefault="00A859CE" w:rsidP="00C758C4">
            <w:pPr>
              <w:jc w:val="center"/>
              <w:rPr>
                <w:sz w:val="20"/>
                <w:szCs w:val="20"/>
              </w:rPr>
            </w:pPr>
            <w:r w:rsidRPr="00C758C4">
              <w:rPr>
                <w:sz w:val="20"/>
                <w:szCs w:val="20"/>
              </w:rPr>
              <w:t>Uncertain</w:t>
            </w:r>
          </w:p>
        </w:tc>
        <w:tc>
          <w:tcPr>
            <w:tcW w:w="2687" w:type="dxa"/>
            <w:tcBorders>
              <w:left w:val="double" w:sz="4" w:space="0" w:color="00313C"/>
            </w:tcBorders>
          </w:tcPr>
          <w:p w14:paraId="14AB62F7" w14:textId="24557C17" w:rsidR="001C147E" w:rsidRPr="00C758C4" w:rsidRDefault="001C147E" w:rsidP="003C6BA5">
            <w:pPr>
              <w:rPr>
                <w:sz w:val="20"/>
                <w:szCs w:val="20"/>
              </w:rPr>
            </w:pPr>
            <w:r w:rsidRPr="00C758C4">
              <w:rPr>
                <w:sz w:val="20"/>
                <w:szCs w:val="20"/>
              </w:rPr>
              <w:t>QSCF jurisdictional report</w:t>
            </w:r>
          </w:p>
        </w:tc>
      </w:tr>
      <w:tr w:rsidR="00D917ED" w:rsidRPr="00C758C4" w14:paraId="788A8E2B" w14:textId="2B21195C" w:rsidTr="00D917ED">
        <w:tc>
          <w:tcPr>
            <w:tcW w:w="1413" w:type="dxa"/>
            <w:tcBorders>
              <w:right w:val="double" w:sz="4" w:space="0" w:color="00313C"/>
            </w:tcBorders>
          </w:tcPr>
          <w:p w14:paraId="5B11AE79" w14:textId="0F713FF4" w:rsidR="00D917ED" w:rsidRPr="00C758C4" w:rsidRDefault="00D917ED" w:rsidP="00D917ED">
            <w:pPr>
              <w:rPr>
                <w:sz w:val="20"/>
                <w:szCs w:val="20"/>
              </w:rPr>
            </w:pPr>
            <w:r w:rsidRPr="00C758C4">
              <w:rPr>
                <w:sz w:val="20"/>
                <w:szCs w:val="20"/>
              </w:rPr>
              <w:t>CSF</w:t>
            </w:r>
          </w:p>
        </w:tc>
        <w:tc>
          <w:tcPr>
            <w:tcW w:w="1276" w:type="dxa"/>
            <w:tcBorders>
              <w:left w:val="double" w:sz="4" w:space="0" w:color="00313C"/>
            </w:tcBorders>
            <w:shd w:val="clear" w:color="auto" w:fill="FFFF00"/>
          </w:tcPr>
          <w:p w14:paraId="505F2F66" w14:textId="29E478AB" w:rsidR="00D917ED" w:rsidRPr="00C758C4" w:rsidRDefault="00D917ED" w:rsidP="00D917ED">
            <w:pPr>
              <w:jc w:val="center"/>
              <w:rPr>
                <w:sz w:val="20"/>
                <w:szCs w:val="20"/>
              </w:rPr>
            </w:pPr>
            <w:r w:rsidRPr="00C758C4">
              <w:rPr>
                <w:sz w:val="20"/>
                <w:szCs w:val="20"/>
              </w:rPr>
              <w:t>Uncertain</w:t>
            </w:r>
          </w:p>
        </w:tc>
        <w:tc>
          <w:tcPr>
            <w:tcW w:w="1417" w:type="dxa"/>
            <w:tcBorders>
              <w:right w:val="double" w:sz="4" w:space="0" w:color="00313C"/>
            </w:tcBorders>
            <w:shd w:val="clear" w:color="auto" w:fill="FFFF00"/>
          </w:tcPr>
          <w:p w14:paraId="6EAA34EB" w14:textId="65134F6E" w:rsidR="00D917ED" w:rsidRPr="00C758C4" w:rsidRDefault="00D917ED" w:rsidP="00D917ED">
            <w:pPr>
              <w:jc w:val="center"/>
              <w:rPr>
                <w:sz w:val="20"/>
                <w:szCs w:val="20"/>
              </w:rPr>
            </w:pPr>
            <w:r w:rsidRPr="00C758C4">
              <w:rPr>
                <w:sz w:val="20"/>
                <w:szCs w:val="20"/>
              </w:rPr>
              <w:t>Uncertain</w:t>
            </w:r>
          </w:p>
        </w:tc>
        <w:tc>
          <w:tcPr>
            <w:tcW w:w="1418" w:type="dxa"/>
            <w:tcBorders>
              <w:left w:val="double" w:sz="4" w:space="0" w:color="00313C"/>
            </w:tcBorders>
            <w:shd w:val="clear" w:color="auto" w:fill="FFFF00"/>
          </w:tcPr>
          <w:p w14:paraId="12BD058C" w14:textId="63967705" w:rsidR="00D917ED" w:rsidRPr="00C758C4" w:rsidRDefault="00D917ED" w:rsidP="00D917ED">
            <w:pPr>
              <w:jc w:val="center"/>
              <w:rPr>
                <w:sz w:val="20"/>
                <w:szCs w:val="20"/>
              </w:rPr>
            </w:pPr>
            <w:r w:rsidRPr="00C758C4">
              <w:rPr>
                <w:sz w:val="20"/>
                <w:szCs w:val="20"/>
              </w:rPr>
              <w:t>Uncertain</w:t>
            </w:r>
          </w:p>
        </w:tc>
        <w:tc>
          <w:tcPr>
            <w:tcW w:w="1417" w:type="dxa"/>
            <w:tcBorders>
              <w:right w:val="double" w:sz="4" w:space="0" w:color="00313C"/>
            </w:tcBorders>
            <w:shd w:val="clear" w:color="auto" w:fill="FFFF00"/>
          </w:tcPr>
          <w:p w14:paraId="2430395A" w14:textId="7FE2B5FE" w:rsidR="00D917ED" w:rsidRPr="00C758C4" w:rsidRDefault="00D917ED" w:rsidP="00D917ED">
            <w:pPr>
              <w:jc w:val="center"/>
              <w:rPr>
                <w:sz w:val="20"/>
                <w:szCs w:val="20"/>
              </w:rPr>
            </w:pPr>
            <w:r w:rsidRPr="00C758C4">
              <w:rPr>
                <w:sz w:val="20"/>
                <w:szCs w:val="20"/>
              </w:rPr>
              <w:t>Uncertain</w:t>
            </w:r>
          </w:p>
        </w:tc>
        <w:tc>
          <w:tcPr>
            <w:tcW w:w="2687" w:type="dxa"/>
            <w:tcBorders>
              <w:left w:val="double" w:sz="4" w:space="0" w:color="00313C"/>
            </w:tcBorders>
          </w:tcPr>
          <w:p w14:paraId="2FD69C2A" w14:textId="6CA93948" w:rsidR="00D917ED" w:rsidRPr="00C758C4" w:rsidRDefault="00D917ED" w:rsidP="00D917ED">
            <w:pPr>
              <w:rPr>
                <w:sz w:val="20"/>
                <w:szCs w:val="20"/>
              </w:rPr>
            </w:pPr>
            <w:r w:rsidRPr="00C758C4">
              <w:rPr>
                <w:sz w:val="20"/>
                <w:szCs w:val="20"/>
              </w:rPr>
              <w:t>CSF jurisdictional report</w:t>
            </w:r>
          </w:p>
        </w:tc>
      </w:tr>
      <w:tr w:rsidR="00D917ED" w:rsidRPr="00C758C4" w14:paraId="7AE92922" w14:textId="33C2B0DF" w:rsidTr="00D917ED">
        <w:tc>
          <w:tcPr>
            <w:tcW w:w="1413" w:type="dxa"/>
            <w:tcBorders>
              <w:right w:val="double" w:sz="4" w:space="0" w:color="00313C"/>
            </w:tcBorders>
          </w:tcPr>
          <w:p w14:paraId="767CFE4E" w14:textId="078266D3" w:rsidR="00D917ED" w:rsidRPr="00C758C4" w:rsidRDefault="00D917ED" w:rsidP="00D917ED">
            <w:pPr>
              <w:rPr>
                <w:sz w:val="20"/>
                <w:szCs w:val="20"/>
              </w:rPr>
            </w:pPr>
            <w:r w:rsidRPr="00C758C4">
              <w:rPr>
                <w:sz w:val="20"/>
                <w:szCs w:val="20"/>
              </w:rPr>
              <w:t>TSBDMF</w:t>
            </w:r>
          </w:p>
        </w:tc>
        <w:tc>
          <w:tcPr>
            <w:tcW w:w="1276" w:type="dxa"/>
            <w:tcBorders>
              <w:left w:val="double" w:sz="4" w:space="0" w:color="00313C"/>
            </w:tcBorders>
            <w:shd w:val="clear" w:color="auto" w:fill="92D050"/>
          </w:tcPr>
          <w:p w14:paraId="3434EBC0" w14:textId="2161BF71" w:rsidR="00D917ED" w:rsidRPr="00C758C4" w:rsidRDefault="00D917ED" w:rsidP="00D917ED">
            <w:pPr>
              <w:jc w:val="center"/>
              <w:rPr>
                <w:sz w:val="20"/>
                <w:szCs w:val="20"/>
              </w:rPr>
            </w:pPr>
            <w:r w:rsidRPr="00C758C4">
              <w:rPr>
                <w:sz w:val="20"/>
                <w:szCs w:val="20"/>
              </w:rPr>
              <w:t>Likely</w:t>
            </w:r>
          </w:p>
        </w:tc>
        <w:tc>
          <w:tcPr>
            <w:tcW w:w="1417" w:type="dxa"/>
            <w:tcBorders>
              <w:right w:val="double" w:sz="4" w:space="0" w:color="00313C"/>
            </w:tcBorders>
            <w:shd w:val="clear" w:color="auto" w:fill="92D050"/>
          </w:tcPr>
          <w:p w14:paraId="6D44F080" w14:textId="4D85A9D4" w:rsidR="00D917ED" w:rsidRPr="00C758C4" w:rsidRDefault="00D917ED" w:rsidP="00D917ED">
            <w:pPr>
              <w:jc w:val="center"/>
              <w:rPr>
                <w:sz w:val="20"/>
                <w:szCs w:val="20"/>
              </w:rPr>
            </w:pPr>
            <w:r w:rsidRPr="00C758C4">
              <w:rPr>
                <w:sz w:val="20"/>
                <w:szCs w:val="20"/>
              </w:rPr>
              <w:t>Likely</w:t>
            </w:r>
          </w:p>
        </w:tc>
        <w:tc>
          <w:tcPr>
            <w:tcW w:w="1418" w:type="dxa"/>
            <w:tcBorders>
              <w:left w:val="double" w:sz="4" w:space="0" w:color="00313C"/>
            </w:tcBorders>
            <w:shd w:val="clear" w:color="auto" w:fill="92D050"/>
          </w:tcPr>
          <w:p w14:paraId="08CB50D8" w14:textId="13EA80B4" w:rsidR="00D917ED" w:rsidRPr="00C758C4" w:rsidRDefault="00D917ED" w:rsidP="00D917ED">
            <w:pPr>
              <w:jc w:val="center"/>
              <w:rPr>
                <w:sz w:val="20"/>
                <w:szCs w:val="20"/>
              </w:rPr>
            </w:pPr>
            <w:r w:rsidRPr="00C758C4">
              <w:rPr>
                <w:sz w:val="20"/>
                <w:szCs w:val="20"/>
              </w:rPr>
              <w:t>Likely</w:t>
            </w:r>
          </w:p>
        </w:tc>
        <w:tc>
          <w:tcPr>
            <w:tcW w:w="1417" w:type="dxa"/>
            <w:tcBorders>
              <w:right w:val="double" w:sz="4" w:space="0" w:color="00313C"/>
            </w:tcBorders>
            <w:shd w:val="clear" w:color="auto" w:fill="92D050"/>
          </w:tcPr>
          <w:p w14:paraId="1483531A" w14:textId="0AA216C1" w:rsidR="00D917ED" w:rsidRPr="00C758C4" w:rsidRDefault="00D917ED" w:rsidP="00D917ED">
            <w:pPr>
              <w:jc w:val="center"/>
              <w:rPr>
                <w:sz w:val="20"/>
                <w:szCs w:val="20"/>
              </w:rPr>
            </w:pPr>
            <w:r w:rsidRPr="00C758C4">
              <w:rPr>
                <w:sz w:val="20"/>
                <w:szCs w:val="20"/>
              </w:rPr>
              <w:t>Likely</w:t>
            </w:r>
          </w:p>
        </w:tc>
        <w:tc>
          <w:tcPr>
            <w:tcW w:w="2687" w:type="dxa"/>
            <w:tcBorders>
              <w:left w:val="double" w:sz="4" w:space="0" w:color="00313C"/>
            </w:tcBorders>
          </w:tcPr>
          <w:p w14:paraId="4F083706" w14:textId="211C14D8" w:rsidR="00D917ED" w:rsidRPr="00C758C4" w:rsidRDefault="00D917ED" w:rsidP="00D917ED">
            <w:pPr>
              <w:rPr>
                <w:sz w:val="20"/>
                <w:szCs w:val="20"/>
              </w:rPr>
            </w:pPr>
            <w:r w:rsidRPr="00C758C4">
              <w:rPr>
                <w:sz w:val="20"/>
                <w:szCs w:val="20"/>
              </w:rPr>
              <w:t>TSBDMF jurisdictional report</w:t>
            </w:r>
          </w:p>
        </w:tc>
      </w:tr>
      <w:tr w:rsidR="001C147E" w:rsidRPr="00C758C4" w14:paraId="0D8BD18C" w14:textId="71F3A9BC" w:rsidTr="00C758C4">
        <w:tc>
          <w:tcPr>
            <w:tcW w:w="1413" w:type="dxa"/>
            <w:tcBorders>
              <w:right w:val="double" w:sz="4" w:space="0" w:color="00313C"/>
            </w:tcBorders>
          </w:tcPr>
          <w:p w14:paraId="5DDC062B" w14:textId="54F32D8B" w:rsidR="001C147E" w:rsidRPr="00C758C4" w:rsidRDefault="001C147E" w:rsidP="003C6BA5">
            <w:pPr>
              <w:rPr>
                <w:sz w:val="20"/>
                <w:szCs w:val="20"/>
              </w:rPr>
            </w:pPr>
            <w:r w:rsidRPr="00C758C4">
              <w:rPr>
                <w:sz w:val="20"/>
                <w:szCs w:val="20"/>
              </w:rPr>
              <w:t>WASCF</w:t>
            </w:r>
          </w:p>
        </w:tc>
        <w:tc>
          <w:tcPr>
            <w:tcW w:w="1276" w:type="dxa"/>
            <w:tcBorders>
              <w:left w:val="double" w:sz="4" w:space="0" w:color="00313C"/>
            </w:tcBorders>
            <w:shd w:val="clear" w:color="auto" w:fill="FFFF00"/>
          </w:tcPr>
          <w:p w14:paraId="5CE59389" w14:textId="5AF2E1BE" w:rsidR="001C147E" w:rsidRPr="00C758C4" w:rsidRDefault="001C147E" w:rsidP="00C758C4">
            <w:pPr>
              <w:jc w:val="center"/>
              <w:rPr>
                <w:sz w:val="20"/>
                <w:szCs w:val="20"/>
              </w:rPr>
            </w:pPr>
            <w:r w:rsidRPr="00C758C4">
              <w:rPr>
                <w:sz w:val="20"/>
                <w:szCs w:val="20"/>
              </w:rPr>
              <w:t>Uncertain</w:t>
            </w:r>
          </w:p>
        </w:tc>
        <w:tc>
          <w:tcPr>
            <w:tcW w:w="1417" w:type="dxa"/>
            <w:tcBorders>
              <w:right w:val="double" w:sz="4" w:space="0" w:color="00313C"/>
            </w:tcBorders>
            <w:shd w:val="clear" w:color="auto" w:fill="FFFF00"/>
          </w:tcPr>
          <w:p w14:paraId="6E59C888" w14:textId="3351C147" w:rsidR="001C147E" w:rsidRPr="00C758C4" w:rsidRDefault="001C147E" w:rsidP="00C758C4">
            <w:pPr>
              <w:jc w:val="center"/>
              <w:rPr>
                <w:sz w:val="20"/>
                <w:szCs w:val="20"/>
              </w:rPr>
            </w:pPr>
            <w:r w:rsidRPr="00C758C4">
              <w:rPr>
                <w:sz w:val="20"/>
                <w:szCs w:val="20"/>
              </w:rPr>
              <w:t>Uncertain</w:t>
            </w:r>
          </w:p>
        </w:tc>
        <w:tc>
          <w:tcPr>
            <w:tcW w:w="1418" w:type="dxa"/>
            <w:tcBorders>
              <w:left w:val="double" w:sz="4" w:space="0" w:color="00313C"/>
            </w:tcBorders>
            <w:shd w:val="clear" w:color="auto" w:fill="FFFF00"/>
          </w:tcPr>
          <w:p w14:paraId="056EFA7A" w14:textId="1290458E" w:rsidR="001C147E" w:rsidRPr="00C758C4" w:rsidRDefault="001C147E" w:rsidP="00C758C4">
            <w:pPr>
              <w:jc w:val="center"/>
              <w:rPr>
                <w:sz w:val="20"/>
                <w:szCs w:val="20"/>
              </w:rPr>
            </w:pPr>
            <w:r w:rsidRPr="00C758C4">
              <w:rPr>
                <w:sz w:val="20"/>
                <w:szCs w:val="20"/>
              </w:rPr>
              <w:t>Uncertain</w:t>
            </w:r>
          </w:p>
        </w:tc>
        <w:tc>
          <w:tcPr>
            <w:tcW w:w="1417" w:type="dxa"/>
            <w:tcBorders>
              <w:right w:val="double" w:sz="4" w:space="0" w:color="00313C"/>
            </w:tcBorders>
            <w:shd w:val="clear" w:color="auto" w:fill="FFFF00"/>
          </w:tcPr>
          <w:p w14:paraId="2FFCE6A4" w14:textId="15675664" w:rsidR="001C147E" w:rsidRPr="00C758C4" w:rsidRDefault="001C147E" w:rsidP="00C758C4">
            <w:pPr>
              <w:jc w:val="center"/>
              <w:rPr>
                <w:sz w:val="20"/>
                <w:szCs w:val="20"/>
              </w:rPr>
            </w:pPr>
            <w:r w:rsidRPr="00C758C4">
              <w:rPr>
                <w:sz w:val="20"/>
                <w:szCs w:val="20"/>
              </w:rPr>
              <w:t>Uncertain</w:t>
            </w:r>
          </w:p>
        </w:tc>
        <w:tc>
          <w:tcPr>
            <w:tcW w:w="2687" w:type="dxa"/>
            <w:tcBorders>
              <w:left w:val="double" w:sz="4" w:space="0" w:color="00313C"/>
            </w:tcBorders>
          </w:tcPr>
          <w:p w14:paraId="2BC39060" w14:textId="56E32E1C" w:rsidR="001C147E" w:rsidRPr="00C758C4" w:rsidRDefault="001C147E" w:rsidP="003C6BA5">
            <w:pPr>
              <w:rPr>
                <w:sz w:val="20"/>
                <w:szCs w:val="20"/>
              </w:rPr>
            </w:pPr>
            <w:r w:rsidRPr="00C758C4">
              <w:rPr>
                <w:sz w:val="20"/>
                <w:szCs w:val="20"/>
              </w:rPr>
              <w:t>No information available</w:t>
            </w:r>
          </w:p>
        </w:tc>
      </w:tr>
      <w:tr w:rsidR="001C147E" w:rsidRPr="00C758C4" w14:paraId="638C5C2F" w14:textId="35B2600F" w:rsidTr="00C758C4">
        <w:tc>
          <w:tcPr>
            <w:tcW w:w="1413" w:type="dxa"/>
            <w:tcBorders>
              <w:right w:val="double" w:sz="4" w:space="0" w:color="00313C"/>
            </w:tcBorders>
          </w:tcPr>
          <w:p w14:paraId="47F29651" w14:textId="47E076EB" w:rsidR="001C147E" w:rsidRPr="00C758C4" w:rsidRDefault="001C147E" w:rsidP="003C6BA5">
            <w:pPr>
              <w:rPr>
                <w:sz w:val="20"/>
                <w:szCs w:val="20"/>
              </w:rPr>
            </w:pPr>
            <w:r w:rsidRPr="00C758C4">
              <w:rPr>
                <w:sz w:val="20"/>
                <w:szCs w:val="20"/>
              </w:rPr>
              <w:t>NTTF</w:t>
            </w:r>
          </w:p>
        </w:tc>
        <w:tc>
          <w:tcPr>
            <w:tcW w:w="1276" w:type="dxa"/>
            <w:tcBorders>
              <w:left w:val="double" w:sz="4" w:space="0" w:color="00313C"/>
            </w:tcBorders>
            <w:shd w:val="clear" w:color="auto" w:fill="FFFF00"/>
          </w:tcPr>
          <w:p w14:paraId="407D6C94" w14:textId="32CB10D6" w:rsidR="001C147E" w:rsidRPr="00C758C4" w:rsidRDefault="001C147E" w:rsidP="00C758C4">
            <w:pPr>
              <w:jc w:val="center"/>
              <w:rPr>
                <w:sz w:val="20"/>
                <w:szCs w:val="20"/>
              </w:rPr>
            </w:pPr>
            <w:r w:rsidRPr="00C758C4">
              <w:rPr>
                <w:sz w:val="20"/>
                <w:szCs w:val="20"/>
              </w:rPr>
              <w:t>Uncertain</w:t>
            </w:r>
          </w:p>
        </w:tc>
        <w:tc>
          <w:tcPr>
            <w:tcW w:w="1417" w:type="dxa"/>
            <w:tcBorders>
              <w:right w:val="double" w:sz="4" w:space="0" w:color="00313C"/>
            </w:tcBorders>
            <w:shd w:val="clear" w:color="auto" w:fill="FFFF00"/>
          </w:tcPr>
          <w:p w14:paraId="26BB4ABA" w14:textId="62708AF8" w:rsidR="001C147E" w:rsidRPr="00C758C4" w:rsidRDefault="001C147E" w:rsidP="00C758C4">
            <w:pPr>
              <w:jc w:val="center"/>
              <w:rPr>
                <w:sz w:val="20"/>
                <w:szCs w:val="20"/>
              </w:rPr>
            </w:pPr>
            <w:r w:rsidRPr="00C758C4">
              <w:rPr>
                <w:sz w:val="20"/>
                <w:szCs w:val="20"/>
              </w:rPr>
              <w:t>Uncertain</w:t>
            </w:r>
          </w:p>
        </w:tc>
        <w:tc>
          <w:tcPr>
            <w:tcW w:w="1418" w:type="dxa"/>
            <w:tcBorders>
              <w:left w:val="double" w:sz="4" w:space="0" w:color="00313C"/>
            </w:tcBorders>
            <w:shd w:val="clear" w:color="auto" w:fill="FFFF00"/>
          </w:tcPr>
          <w:p w14:paraId="7A2E76B1" w14:textId="43C91CEC" w:rsidR="001C147E" w:rsidRPr="00C758C4" w:rsidRDefault="001C147E" w:rsidP="00C758C4">
            <w:pPr>
              <w:jc w:val="center"/>
              <w:rPr>
                <w:sz w:val="20"/>
                <w:szCs w:val="20"/>
              </w:rPr>
            </w:pPr>
            <w:r w:rsidRPr="00C758C4">
              <w:rPr>
                <w:sz w:val="20"/>
                <w:szCs w:val="20"/>
              </w:rPr>
              <w:t>Uncertain</w:t>
            </w:r>
          </w:p>
        </w:tc>
        <w:tc>
          <w:tcPr>
            <w:tcW w:w="1417" w:type="dxa"/>
            <w:tcBorders>
              <w:right w:val="double" w:sz="4" w:space="0" w:color="00313C"/>
            </w:tcBorders>
            <w:shd w:val="clear" w:color="auto" w:fill="FFFF00"/>
          </w:tcPr>
          <w:p w14:paraId="15E4072A" w14:textId="3869E6D6" w:rsidR="001C147E" w:rsidRPr="00C758C4" w:rsidRDefault="001C147E" w:rsidP="00C758C4">
            <w:pPr>
              <w:jc w:val="center"/>
              <w:rPr>
                <w:sz w:val="20"/>
                <w:szCs w:val="20"/>
              </w:rPr>
            </w:pPr>
            <w:r w:rsidRPr="00C758C4">
              <w:rPr>
                <w:sz w:val="20"/>
                <w:szCs w:val="20"/>
              </w:rPr>
              <w:t>Uncertain</w:t>
            </w:r>
          </w:p>
        </w:tc>
        <w:tc>
          <w:tcPr>
            <w:tcW w:w="2687" w:type="dxa"/>
            <w:tcBorders>
              <w:left w:val="double" w:sz="4" w:space="0" w:color="00313C"/>
            </w:tcBorders>
          </w:tcPr>
          <w:p w14:paraId="171BF9AA" w14:textId="19BD8DAB" w:rsidR="001C147E" w:rsidRPr="00C758C4" w:rsidRDefault="001C147E" w:rsidP="003C6BA5">
            <w:pPr>
              <w:rPr>
                <w:sz w:val="20"/>
                <w:szCs w:val="20"/>
              </w:rPr>
            </w:pPr>
            <w:r w:rsidRPr="00C758C4">
              <w:rPr>
                <w:sz w:val="20"/>
                <w:szCs w:val="20"/>
              </w:rPr>
              <w:t>No information available</w:t>
            </w:r>
          </w:p>
        </w:tc>
      </w:tr>
      <w:tr w:rsidR="00C22D6B" w:rsidRPr="00C758C4" w14:paraId="7B3A8CCA" w14:textId="24F67B10" w:rsidTr="00C22D6B">
        <w:tc>
          <w:tcPr>
            <w:tcW w:w="1413" w:type="dxa"/>
            <w:tcBorders>
              <w:right w:val="double" w:sz="4" w:space="0" w:color="00313C"/>
            </w:tcBorders>
          </w:tcPr>
          <w:p w14:paraId="04419C58" w14:textId="10CF0A97" w:rsidR="00C22D6B" w:rsidRPr="00C758C4" w:rsidRDefault="00C22D6B" w:rsidP="00C22D6B">
            <w:pPr>
              <w:rPr>
                <w:sz w:val="20"/>
                <w:szCs w:val="20"/>
              </w:rPr>
            </w:pPr>
            <w:r w:rsidRPr="00C758C4">
              <w:rPr>
                <w:sz w:val="20"/>
                <w:szCs w:val="20"/>
              </w:rPr>
              <w:t>Timor Sea MOU Box</w:t>
            </w:r>
          </w:p>
        </w:tc>
        <w:tc>
          <w:tcPr>
            <w:tcW w:w="1276" w:type="dxa"/>
            <w:tcBorders>
              <w:left w:val="double" w:sz="4" w:space="0" w:color="00313C"/>
            </w:tcBorders>
            <w:shd w:val="clear" w:color="auto" w:fill="FF0000"/>
          </w:tcPr>
          <w:p w14:paraId="64178507" w14:textId="72477F36" w:rsidR="00C22D6B" w:rsidRPr="00C758C4" w:rsidRDefault="00C22D6B" w:rsidP="00C22D6B">
            <w:pPr>
              <w:jc w:val="center"/>
              <w:rPr>
                <w:sz w:val="20"/>
                <w:szCs w:val="20"/>
              </w:rPr>
            </w:pPr>
            <w:r w:rsidRPr="00C758C4">
              <w:rPr>
                <w:sz w:val="20"/>
                <w:szCs w:val="20"/>
              </w:rPr>
              <w:t>Unlikely</w:t>
            </w:r>
          </w:p>
        </w:tc>
        <w:tc>
          <w:tcPr>
            <w:tcW w:w="1417" w:type="dxa"/>
            <w:tcBorders>
              <w:right w:val="double" w:sz="4" w:space="0" w:color="00313C"/>
            </w:tcBorders>
            <w:shd w:val="clear" w:color="auto" w:fill="FF0000"/>
          </w:tcPr>
          <w:p w14:paraId="75574C0F" w14:textId="37C93661" w:rsidR="00C22D6B" w:rsidRPr="00C758C4" w:rsidRDefault="00C22D6B" w:rsidP="00C22D6B">
            <w:pPr>
              <w:jc w:val="center"/>
              <w:rPr>
                <w:sz w:val="20"/>
                <w:szCs w:val="20"/>
              </w:rPr>
            </w:pPr>
            <w:r w:rsidRPr="00C758C4">
              <w:rPr>
                <w:sz w:val="20"/>
                <w:szCs w:val="20"/>
              </w:rPr>
              <w:t>Unlikely</w:t>
            </w:r>
          </w:p>
        </w:tc>
        <w:tc>
          <w:tcPr>
            <w:tcW w:w="1418" w:type="dxa"/>
            <w:tcBorders>
              <w:left w:val="double" w:sz="4" w:space="0" w:color="00313C"/>
            </w:tcBorders>
            <w:shd w:val="clear" w:color="auto" w:fill="FFFF00"/>
          </w:tcPr>
          <w:p w14:paraId="310DD895" w14:textId="74DC3D01" w:rsidR="00C22D6B" w:rsidRPr="00C758C4" w:rsidRDefault="00C22D6B" w:rsidP="00C22D6B">
            <w:pPr>
              <w:jc w:val="center"/>
              <w:rPr>
                <w:sz w:val="20"/>
                <w:szCs w:val="20"/>
              </w:rPr>
            </w:pPr>
            <w:r w:rsidRPr="00C758C4">
              <w:rPr>
                <w:sz w:val="20"/>
                <w:szCs w:val="20"/>
              </w:rPr>
              <w:t>Uncertain</w:t>
            </w:r>
          </w:p>
        </w:tc>
        <w:tc>
          <w:tcPr>
            <w:tcW w:w="1417" w:type="dxa"/>
            <w:tcBorders>
              <w:right w:val="double" w:sz="4" w:space="0" w:color="00313C"/>
            </w:tcBorders>
            <w:shd w:val="clear" w:color="auto" w:fill="FFFF00"/>
          </w:tcPr>
          <w:p w14:paraId="1074A56B" w14:textId="409912CE" w:rsidR="00C22D6B" w:rsidRPr="00C758C4" w:rsidRDefault="00C22D6B" w:rsidP="00C22D6B">
            <w:pPr>
              <w:jc w:val="center"/>
              <w:rPr>
                <w:sz w:val="20"/>
                <w:szCs w:val="20"/>
              </w:rPr>
            </w:pPr>
            <w:r w:rsidRPr="00C758C4">
              <w:rPr>
                <w:sz w:val="20"/>
                <w:szCs w:val="20"/>
              </w:rPr>
              <w:t>Uncertain</w:t>
            </w:r>
          </w:p>
        </w:tc>
        <w:tc>
          <w:tcPr>
            <w:tcW w:w="2687" w:type="dxa"/>
            <w:tcBorders>
              <w:left w:val="double" w:sz="4" w:space="0" w:color="00313C"/>
            </w:tcBorders>
          </w:tcPr>
          <w:p w14:paraId="1EDBCEF6" w14:textId="3B418C24" w:rsidR="00C22D6B" w:rsidRPr="00C758C4" w:rsidRDefault="00C22D6B" w:rsidP="00C22D6B">
            <w:pPr>
              <w:rPr>
                <w:sz w:val="20"/>
                <w:szCs w:val="20"/>
              </w:rPr>
            </w:pPr>
            <w:r w:rsidRPr="00C758C4">
              <w:rPr>
                <w:sz w:val="20"/>
                <w:szCs w:val="20"/>
              </w:rPr>
              <w:t>Skewes et al., 1999; Prescott et al, 2013</w:t>
            </w:r>
          </w:p>
        </w:tc>
      </w:tr>
    </w:tbl>
    <w:p w14:paraId="0A303A76" w14:textId="77777777" w:rsidR="003C6BA5" w:rsidRDefault="003C6BA5" w:rsidP="003C360D"/>
    <w:p w14:paraId="7D5FF9A5" w14:textId="77777777" w:rsidR="00DA6805" w:rsidRDefault="00DA6805" w:rsidP="00B81A0E">
      <w:pPr>
        <w:pStyle w:val="Heading3"/>
      </w:pPr>
      <w:bookmarkStart w:id="133" w:name="_Toc134967018"/>
      <w:bookmarkEnd w:id="129"/>
      <w:r>
        <w:t>Conservation status</w:t>
      </w:r>
      <w:bookmarkEnd w:id="133"/>
    </w:p>
    <w:p w14:paraId="3E5EB7D1" w14:textId="3CD03C2E" w:rsidR="000579C8" w:rsidRDefault="00B81A0E" w:rsidP="00A63EA4">
      <w:r w:rsidRPr="00673506">
        <w:t xml:space="preserve">The IUCN estimates there are approximately 1,711 described extant </w:t>
      </w:r>
      <w:r w:rsidR="00C15EDA">
        <w:t xml:space="preserve">sea cucumber </w:t>
      </w:r>
      <w:r w:rsidRPr="00673506">
        <w:t xml:space="preserve">species. They have assessed about 22% </w:t>
      </w:r>
      <w:r w:rsidR="00B05A06" w:rsidRPr="00673506">
        <w:t>(371)</w:t>
      </w:r>
      <w:r w:rsidR="00B05A06">
        <w:t xml:space="preserve"> </w:t>
      </w:r>
      <w:r w:rsidRPr="00673506">
        <w:t>of the species in the IUCN Red List, mostly commercial</w:t>
      </w:r>
      <w:r w:rsidR="00B05A06">
        <w:t>ly important</w:t>
      </w:r>
      <w:r w:rsidRPr="00673506">
        <w:t xml:space="preserve"> species. Of the species assessed so far, 7 are assessed as Endangered (EN), 9 as Vulnerable (VU), 111 as Least Concern (LC or LR/lc), and 244 as Data Deficient (DD)</w:t>
      </w:r>
      <w:r w:rsidR="00B05A06">
        <w:t>.</w:t>
      </w:r>
      <w:r>
        <w:t xml:space="preserve"> </w:t>
      </w:r>
      <w:r w:rsidR="00B05A06">
        <w:t>T</w:t>
      </w:r>
      <w:r>
        <w:t xml:space="preserve">he main threats </w:t>
      </w:r>
      <w:r w:rsidR="00B05A06">
        <w:t xml:space="preserve">are </w:t>
      </w:r>
      <w:r>
        <w:t>overfishing (Conand et al., 2013a, 2013b)</w:t>
      </w:r>
      <w:r w:rsidR="0041705D">
        <w:t xml:space="preserve">. </w:t>
      </w:r>
      <w:r w:rsidR="000579C8">
        <w:t>Most of those species listed are the larger, valuable and highly targeted species (Purcell et al., 2014), including the (Pacific) Black teatfish (</w:t>
      </w:r>
      <w:r w:rsidR="000579C8" w:rsidRPr="009D6AC5">
        <w:rPr>
          <w:i/>
          <w:iCs/>
        </w:rPr>
        <w:t>Holothuria whitmaei</w:t>
      </w:r>
      <w:r w:rsidR="000579C8">
        <w:t>) which is listed by the IUCN as Endangered (Conand et al., 2013a); and White teatfish (</w:t>
      </w:r>
      <w:r w:rsidR="000579C8" w:rsidRPr="009D2668">
        <w:rPr>
          <w:i/>
          <w:iCs/>
        </w:rPr>
        <w:t>Holothuria fuscogilva</w:t>
      </w:r>
      <w:r w:rsidR="000579C8">
        <w:t xml:space="preserve">) which is listed as Vulnerable (Conand et al., 2013b). Subsequently, </w:t>
      </w:r>
      <w:r w:rsidR="000579C8" w:rsidRPr="000E59B6">
        <w:t xml:space="preserve">three species belonging to the subgenus </w:t>
      </w:r>
      <w:r w:rsidR="000579C8" w:rsidRPr="00465FC5">
        <w:rPr>
          <w:i/>
          <w:iCs/>
        </w:rPr>
        <w:t>Holothuria (Microthele)</w:t>
      </w:r>
      <w:r w:rsidR="000579C8" w:rsidRPr="000E59B6">
        <w:t xml:space="preserve">: </w:t>
      </w:r>
      <w:r w:rsidR="000579C8">
        <w:t>White teatfish (</w:t>
      </w:r>
      <w:r w:rsidR="000579C8" w:rsidRPr="00465FC5">
        <w:rPr>
          <w:i/>
          <w:iCs/>
        </w:rPr>
        <w:t>Holothuria (Microthele) fuscogilva</w:t>
      </w:r>
      <w:r w:rsidR="000579C8">
        <w:t>)</w:t>
      </w:r>
      <w:r w:rsidR="000579C8" w:rsidRPr="000E59B6">
        <w:t xml:space="preserve">, </w:t>
      </w:r>
      <w:r w:rsidR="000579C8">
        <w:t>(Indian Ocean) Black teatfish (</w:t>
      </w:r>
      <w:r w:rsidR="000579C8" w:rsidRPr="00465FC5">
        <w:rPr>
          <w:i/>
          <w:iCs/>
        </w:rPr>
        <w:t>Holothuria (Microthele) nobilis</w:t>
      </w:r>
      <w:r w:rsidR="000579C8">
        <w:t xml:space="preserve">); </w:t>
      </w:r>
      <w:r w:rsidR="000579C8" w:rsidRPr="000E59B6">
        <w:t xml:space="preserve">and </w:t>
      </w:r>
      <w:r w:rsidR="000579C8">
        <w:t>(Pacific) Black teatfish (</w:t>
      </w:r>
      <w:r w:rsidR="000579C8" w:rsidRPr="00465FC5">
        <w:rPr>
          <w:i/>
          <w:iCs/>
        </w:rPr>
        <w:t>Holothuria (Microthele) whitmaei</w:t>
      </w:r>
      <w:r w:rsidR="000579C8">
        <w:t>)</w:t>
      </w:r>
      <w:r w:rsidR="000579C8" w:rsidRPr="000E59B6">
        <w:t xml:space="preserve"> </w:t>
      </w:r>
      <w:r w:rsidR="000579C8" w:rsidRPr="00F10234">
        <w:t>were listed on Appendix II</w:t>
      </w:r>
      <w:r w:rsidR="000579C8">
        <w:t xml:space="preserve"> of CITES in June </w:t>
      </w:r>
      <w:r w:rsidR="000579C8" w:rsidRPr="00F10234">
        <w:t>20</w:t>
      </w:r>
      <w:r w:rsidR="000579C8">
        <w:t>19 (CITES, 2019)</w:t>
      </w:r>
      <w:r w:rsidR="000579C8" w:rsidRPr="00F10234">
        <w:t>.</w:t>
      </w:r>
    </w:p>
    <w:p w14:paraId="05F05C3F" w14:textId="148BEF66" w:rsidR="00C06BE6" w:rsidRDefault="00C06BE6" w:rsidP="00C06BE6">
      <w:r>
        <w:t xml:space="preserve">Black teatfish was listed as </w:t>
      </w:r>
      <w:r w:rsidRPr="00055005">
        <w:t>Endangered primarily due to its widespread targeting throughout its range as a high value</w:t>
      </w:r>
      <w:r>
        <w:t xml:space="preserve"> species</w:t>
      </w:r>
      <w:r w:rsidRPr="00055005">
        <w:t>.</w:t>
      </w:r>
      <w:r>
        <w:t xml:space="preserve"> </w:t>
      </w:r>
      <w:r w:rsidRPr="00055005">
        <w:t xml:space="preserve">It was considered to have declined by </w:t>
      </w:r>
      <w:r>
        <w:t>more than 60-90% in the majority of its range (at least 70%), and it was considered overexploited in other parts of its range</w:t>
      </w:r>
      <w:r w:rsidR="005E31EF">
        <w:t xml:space="preserve"> </w:t>
      </w:r>
      <w:r w:rsidR="005E31EF" w:rsidRPr="00055005">
        <w:t>(Conand et al., 2013</w:t>
      </w:r>
      <w:r w:rsidR="005E31EF">
        <w:t>b</w:t>
      </w:r>
      <w:r w:rsidR="005E31EF" w:rsidRPr="00055005">
        <w:t>)</w:t>
      </w:r>
      <w:r>
        <w:t xml:space="preserve">. </w:t>
      </w:r>
    </w:p>
    <w:p w14:paraId="7CD43160" w14:textId="3FDFB043" w:rsidR="00DA6805" w:rsidRPr="00055005" w:rsidRDefault="00C06BE6" w:rsidP="00B81A0E">
      <w:r>
        <w:t xml:space="preserve">White teatfish were listed as Vulnerable due to is </w:t>
      </w:r>
      <w:r w:rsidRPr="00055005">
        <w:t>widespread targeting throughout its range as a high value</w:t>
      </w:r>
      <w:r>
        <w:t xml:space="preserve"> species. It was considered to have declined by more than 60-80% in at least 30% of its range, and </w:t>
      </w:r>
      <w:r w:rsidR="005E31EF">
        <w:t>was</w:t>
      </w:r>
      <w:r>
        <w:t xml:space="preserve"> considered overexploited in at least 40% of it</w:t>
      </w:r>
      <w:r w:rsidR="005E31EF">
        <w:t>s</w:t>
      </w:r>
      <w:r>
        <w:t xml:space="preserve"> range although exact declines </w:t>
      </w:r>
      <w:r w:rsidR="005E31EF">
        <w:t xml:space="preserve">were </w:t>
      </w:r>
      <w:r>
        <w:t xml:space="preserve">difficult to estimate. </w:t>
      </w:r>
      <w:r w:rsidR="005E31EF">
        <w:t>G</w:t>
      </w:r>
      <w:r>
        <w:t xml:space="preserve">lobal declines </w:t>
      </w:r>
      <w:r w:rsidR="005E31EF">
        <w:t xml:space="preserve">were </w:t>
      </w:r>
      <w:r>
        <w:t xml:space="preserve">estimated to be between 30%-50% based on estimates of depletion and overexploitation across its range. </w:t>
      </w:r>
      <w:r w:rsidR="005E31EF">
        <w:t>I</w:t>
      </w:r>
      <w:r w:rsidR="00055005" w:rsidRPr="00055005">
        <w:t xml:space="preserve">t was acknowledged that </w:t>
      </w:r>
      <w:r w:rsidR="005E31EF">
        <w:t xml:space="preserve">there is some refuge in deeper waters for this species, and that </w:t>
      </w:r>
      <w:r w:rsidR="00857ABA">
        <w:t xml:space="preserve">there </w:t>
      </w:r>
      <w:r w:rsidR="005E31EF">
        <w:t>was</w:t>
      </w:r>
      <w:r w:rsidR="00857ABA">
        <w:t xml:space="preserve"> </w:t>
      </w:r>
      <w:r w:rsidR="00055005" w:rsidRPr="00055005">
        <w:t xml:space="preserve">considerable uncertainty </w:t>
      </w:r>
      <w:r w:rsidR="000F5B16">
        <w:t xml:space="preserve">regarding </w:t>
      </w:r>
      <w:r w:rsidR="00DA6805" w:rsidRPr="00055005">
        <w:t>the impact of fishing (Conand et al., 2013</w:t>
      </w:r>
      <w:r w:rsidR="005E31EF">
        <w:t>b</w:t>
      </w:r>
      <w:r w:rsidR="00DA6805" w:rsidRPr="00055005">
        <w:t>).</w:t>
      </w:r>
    </w:p>
    <w:p w14:paraId="014BD2FD" w14:textId="77777777" w:rsidR="00DD488F" w:rsidRDefault="00DD488F" w:rsidP="00DD488F">
      <w:pPr>
        <w:pStyle w:val="Heading1"/>
      </w:pPr>
      <w:bookmarkStart w:id="134" w:name="_Toc189055280"/>
      <w:r>
        <w:lastRenderedPageBreak/>
        <w:t>Management</w:t>
      </w:r>
      <w:bookmarkEnd w:id="134"/>
    </w:p>
    <w:p w14:paraId="293C451A" w14:textId="676FB3FB" w:rsidR="00EF2F42" w:rsidRDefault="00F4289F" w:rsidP="00EF2F42">
      <w:r>
        <w:t>In t</w:t>
      </w:r>
      <w:r w:rsidR="00EF2F42">
        <w:t>he early stages the modern fisheries were characterised by a general lack of fishery knowledge and limited management oversight and control</w:t>
      </w:r>
      <w:r w:rsidR="00E103E9">
        <w:t>,</w:t>
      </w:r>
      <w:r w:rsidR="00EF2F42">
        <w:t xml:space="preserve"> with most of the emphasis on developmental fishery provisions </w:t>
      </w:r>
      <w:r w:rsidR="00E103E9">
        <w:t xml:space="preserve">to </w:t>
      </w:r>
      <w:r w:rsidR="00EF2F42">
        <w:t>encourag</w:t>
      </w:r>
      <w:r w:rsidR="00E103E9">
        <w:t>e</w:t>
      </w:r>
      <w:r w:rsidR="00EF2F42">
        <w:t xml:space="preserve"> fishery participation and development</w:t>
      </w:r>
      <w:r w:rsidR="00C15EDA">
        <w:t>; for example</w:t>
      </w:r>
      <w:r w:rsidR="00EF2F42">
        <w:t xml:space="preserve"> in the QSCF, permits were granted to any applicant depending on their capacity to process product, and their business plans (</w:t>
      </w:r>
      <w:r w:rsidR="0036521C">
        <w:t>Breen, 2001</w:t>
      </w:r>
      <w:r w:rsidR="00EF2F42">
        <w:t>), and in the CSF there were minimum fishing day provisions to maintain licences (</w:t>
      </w:r>
      <w:r w:rsidR="0036521C">
        <w:t>AFMA, 2004</w:t>
      </w:r>
      <w:r w:rsidR="00EF2F42">
        <w:t xml:space="preserve">). </w:t>
      </w:r>
    </w:p>
    <w:p w14:paraId="0833B3F7" w14:textId="435885E4" w:rsidR="00EF2F42" w:rsidRDefault="00EF2F42" w:rsidP="00EF2F42">
      <w:r>
        <w:t xml:space="preserve">As reports of overexploitation of Sandfish and Black teatfish occurred in the early 1990s, fisheries agencies and scientists </w:t>
      </w:r>
      <w:r w:rsidR="00E103E9">
        <w:t xml:space="preserve">needed </w:t>
      </w:r>
      <w:r>
        <w:t xml:space="preserve">to “play catchup”. Effort was capped, controls imposed, and, by the late 1990s, most </w:t>
      </w:r>
      <w:r w:rsidR="00E103E9">
        <w:t xml:space="preserve">of the eastern </w:t>
      </w:r>
      <w:r>
        <w:t xml:space="preserve">Sandfish and Black teatfish fisheries were closed. </w:t>
      </w:r>
      <w:r w:rsidR="00E103E9">
        <w:t>Subsequently, m</w:t>
      </w:r>
      <w:r>
        <w:t xml:space="preserve">ost of the current input and output controls in Australian fisheries were implemented by the early 2000s. Fisheries access </w:t>
      </w:r>
      <w:r w:rsidRPr="00676797">
        <w:t xml:space="preserve">consolidated from multiple entitlement holders to </w:t>
      </w:r>
      <w:r>
        <w:t>few</w:t>
      </w:r>
      <w:r w:rsidR="00E103E9">
        <w:t>er</w:t>
      </w:r>
      <w:r w:rsidRPr="00676797">
        <w:t xml:space="preserve"> </w:t>
      </w:r>
      <w:r w:rsidR="00E103E9">
        <w:t>‘</w:t>
      </w:r>
      <w:r w:rsidRPr="00676797">
        <w:t>main operators</w:t>
      </w:r>
      <w:r w:rsidR="00E103E9">
        <w:t>’</w:t>
      </w:r>
      <w:r>
        <w:t xml:space="preserve"> in all Australian jurisdictions except the Torres Strait and Timor MOU Box. As species controls tightened, the catch diversified and focused on quality and value adding products.</w:t>
      </w:r>
    </w:p>
    <w:p w14:paraId="2E1FA599" w14:textId="03876B21" w:rsidR="00DD488F" w:rsidRDefault="00DD488F" w:rsidP="00DD488F">
      <w:pPr>
        <w:pStyle w:val="Heading2"/>
      </w:pPr>
      <w:bookmarkStart w:id="135" w:name="_Toc189055281"/>
      <w:r>
        <w:t>Current management</w:t>
      </w:r>
      <w:bookmarkEnd w:id="135"/>
      <w:r>
        <w:t xml:space="preserve"> </w:t>
      </w:r>
    </w:p>
    <w:p w14:paraId="09DA50F4" w14:textId="45007160" w:rsidR="00014175" w:rsidRDefault="00014175" w:rsidP="00DD488F">
      <w:r>
        <w:t xml:space="preserve">Catch limits are the primary harvest control rule, as well as size limits and spatial closures for most </w:t>
      </w:r>
      <w:r w:rsidR="0006467B">
        <w:t xml:space="preserve">Australian </w:t>
      </w:r>
      <w:r w:rsidR="005E31EF">
        <w:t>teatfish</w:t>
      </w:r>
      <w:r w:rsidR="00E103E9">
        <w:t xml:space="preserve"> </w:t>
      </w:r>
      <w:r>
        <w:t>fisheries</w:t>
      </w:r>
      <w:r w:rsidR="00E103E9">
        <w:t>.</w:t>
      </w:r>
      <w:r w:rsidR="0085326B">
        <w:t xml:space="preserve"> </w:t>
      </w:r>
      <w:r w:rsidR="001671A7">
        <w:t xml:space="preserve">The three east </w:t>
      </w:r>
      <w:r w:rsidR="00371FCD">
        <w:t>coast</w:t>
      </w:r>
      <w:r w:rsidR="001671A7">
        <w:t xml:space="preserve"> fisheries </w:t>
      </w:r>
      <w:r w:rsidR="00371FCD">
        <w:t xml:space="preserve">that primarily target Black teatfish and White teatfish </w:t>
      </w:r>
      <w:r w:rsidR="001671A7">
        <w:t xml:space="preserve">all have individual species based TACs </w:t>
      </w:r>
      <w:r w:rsidR="00371FCD">
        <w:t>(</w:t>
      </w:r>
      <w:r w:rsidR="00371FCD">
        <w:fldChar w:fldCharType="begin"/>
      </w:r>
      <w:r w:rsidR="00371FCD">
        <w:instrText xml:space="preserve"> REF _Ref151104626 \h </w:instrText>
      </w:r>
      <w:r w:rsidR="00371FCD">
        <w:fldChar w:fldCharType="separate"/>
      </w:r>
      <w:r w:rsidR="007B2A78">
        <w:t xml:space="preserve">Table </w:t>
      </w:r>
      <w:r w:rsidR="007B2A78">
        <w:rPr>
          <w:noProof/>
        </w:rPr>
        <w:t>11</w:t>
      </w:r>
      <w:r w:rsidR="00371FCD">
        <w:fldChar w:fldCharType="end"/>
      </w:r>
      <w:r w:rsidR="00371FCD">
        <w:t>).</w:t>
      </w:r>
      <w:r w:rsidR="003B7798">
        <w:t xml:space="preserve"> In the NTTF the species are managed </w:t>
      </w:r>
      <w:r w:rsidR="003B7798" w:rsidRPr="0085326B">
        <w:t>within a Total Allowable Combined Catch (TACC) (i.e. species basket)</w:t>
      </w:r>
      <w:r w:rsidR="003B7798">
        <w:t>, and in WA there are no catch limits (effort limits only), however catch i</w:t>
      </w:r>
      <w:r w:rsidR="00F4289F">
        <w:t>s</w:t>
      </w:r>
      <w:r w:rsidR="003B7798">
        <w:t xml:space="preserve"> negligible.</w:t>
      </w:r>
    </w:p>
    <w:p w14:paraId="2AC28142" w14:textId="1983B707" w:rsidR="00014175" w:rsidRDefault="0085326B" w:rsidP="000B5A6E">
      <w:pPr>
        <w:pStyle w:val="Caption"/>
      </w:pPr>
      <w:bookmarkStart w:id="136" w:name="_Ref151104626"/>
      <w:bookmarkStart w:id="137" w:name="_Toc174091521"/>
      <w:bookmarkStart w:id="138" w:name="_Toc189055311"/>
      <w:r>
        <w:t xml:space="preserve">Table </w:t>
      </w:r>
      <w:fldSimple w:instr=" SEQ Table \* ARABIC ">
        <w:r w:rsidR="007B2A78">
          <w:rPr>
            <w:noProof/>
          </w:rPr>
          <w:t>11</w:t>
        </w:r>
      </w:fldSimple>
      <w:bookmarkEnd w:id="136"/>
      <w:r w:rsidR="00014175">
        <w:t xml:space="preserve">. TACs (annual catch in </w:t>
      </w:r>
      <w:r w:rsidR="00B64833">
        <w:t>tonnes</w:t>
      </w:r>
      <w:r w:rsidR="00014175">
        <w:t xml:space="preserve"> per year) applied</w:t>
      </w:r>
      <w:r w:rsidR="002B19BB">
        <w:t xml:space="preserve"> to Black teatfish and White teatfish </w:t>
      </w:r>
      <w:r w:rsidR="00014175">
        <w:t>in Australian fisheries</w:t>
      </w:r>
      <w:r w:rsidR="00B64833">
        <w:t>.</w:t>
      </w:r>
      <w:r w:rsidR="00014175">
        <w:t xml:space="preserve"> </w:t>
      </w:r>
      <w:r w:rsidR="00B64833">
        <w:t xml:space="preserve">Weights </w:t>
      </w:r>
      <w:r w:rsidR="00B173CA">
        <w:t>are</w:t>
      </w:r>
      <w:r w:rsidR="00B64833">
        <w:t xml:space="preserve"> generally </w:t>
      </w:r>
      <w:r>
        <w:t>applied</w:t>
      </w:r>
      <w:r w:rsidR="00B64833">
        <w:t xml:space="preserve"> as wet gutted weight (see discussion in text about fishery weights)</w:t>
      </w:r>
      <w:bookmarkEnd w:id="137"/>
      <w:r w:rsidR="002B19BB">
        <w:t>.</w:t>
      </w:r>
      <w:bookmarkEnd w:id="138"/>
    </w:p>
    <w:tbl>
      <w:tblPr>
        <w:tblStyle w:val="TableProfessional"/>
        <w:tblW w:w="0" w:type="auto"/>
        <w:tblLook w:val="0620" w:firstRow="1" w:lastRow="0" w:firstColumn="0" w:lastColumn="0" w:noHBand="1" w:noVBand="1"/>
      </w:tblPr>
      <w:tblGrid>
        <w:gridCol w:w="2544"/>
        <w:gridCol w:w="3685"/>
        <w:gridCol w:w="3393"/>
      </w:tblGrid>
      <w:tr w:rsidR="00014175" w:rsidRPr="00014175" w14:paraId="369001DE" w14:textId="77777777" w:rsidTr="005E31EF">
        <w:trPr>
          <w:cnfStyle w:val="100000000000" w:firstRow="1" w:lastRow="0" w:firstColumn="0" w:lastColumn="0" w:oddVBand="0" w:evenVBand="0" w:oddHBand="0" w:evenHBand="0" w:firstRowFirstColumn="0" w:firstRowLastColumn="0" w:lastRowFirstColumn="0" w:lastRowLastColumn="0"/>
        </w:trPr>
        <w:tc>
          <w:tcPr>
            <w:tcW w:w="2544" w:type="dxa"/>
          </w:tcPr>
          <w:p w14:paraId="02E58F6E" w14:textId="77777777" w:rsidR="00014175" w:rsidRPr="00014175" w:rsidRDefault="00014175" w:rsidP="004D7A53">
            <w:pPr>
              <w:rPr>
                <w:color w:val="FFFFFF" w:themeColor="background1"/>
                <w:sz w:val="20"/>
                <w:szCs w:val="20"/>
              </w:rPr>
            </w:pPr>
            <w:r w:rsidRPr="00014175">
              <w:rPr>
                <w:color w:val="FFFFFF" w:themeColor="background1"/>
                <w:sz w:val="20"/>
                <w:szCs w:val="20"/>
              </w:rPr>
              <w:t>Fishery</w:t>
            </w:r>
          </w:p>
        </w:tc>
        <w:tc>
          <w:tcPr>
            <w:tcW w:w="3685" w:type="dxa"/>
          </w:tcPr>
          <w:p w14:paraId="3BBC2941" w14:textId="4577490A" w:rsidR="00014175" w:rsidRPr="00014175" w:rsidRDefault="005E31EF" w:rsidP="004D7A53">
            <w:pPr>
              <w:rPr>
                <w:color w:val="FFFFFF" w:themeColor="background1"/>
                <w:sz w:val="20"/>
                <w:szCs w:val="20"/>
              </w:rPr>
            </w:pPr>
            <w:r>
              <w:rPr>
                <w:color w:val="FFFFFF" w:themeColor="background1"/>
                <w:sz w:val="20"/>
                <w:szCs w:val="20"/>
              </w:rPr>
              <w:t>Black teatfish</w:t>
            </w:r>
          </w:p>
        </w:tc>
        <w:tc>
          <w:tcPr>
            <w:tcW w:w="3393" w:type="dxa"/>
          </w:tcPr>
          <w:p w14:paraId="3C878898" w14:textId="67EF2326" w:rsidR="00014175" w:rsidRPr="00014175" w:rsidRDefault="005E31EF" w:rsidP="004D7A53">
            <w:pPr>
              <w:rPr>
                <w:color w:val="FFFFFF" w:themeColor="background1"/>
                <w:sz w:val="20"/>
                <w:szCs w:val="20"/>
              </w:rPr>
            </w:pPr>
            <w:r>
              <w:rPr>
                <w:color w:val="FFFFFF" w:themeColor="background1"/>
                <w:sz w:val="20"/>
                <w:szCs w:val="20"/>
              </w:rPr>
              <w:t>White teatfish</w:t>
            </w:r>
          </w:p>
        </w:tc>
      </w:tr>
      <w:tr w:rsidR="008E00F7" w:rsidRPr="00014175" w14:paraId="349FF985" w14:textId="77777777" w:rsidTr="005E31EF">
        <w:tc>
          <w:tcPr>
            <w:tcW w:w="2544" w:type="dxa"/>
          </w:tcPr>
          <w:p w14:paraId="4DA46289" w14:textId="77777777" w:rsidR="008E00F7" w:rsidRPr="00014175" w:rsidRDefault="008E00F7" w:rsidP="008E00F7">
            <w:pPr>
              <w:rPr>
                <w:sz w:val="20"/>
                <w:szCs w:val="20"/>
              </w:rPr>
            </w:pPr>
            <w:r w:rsidRPr="00014175">
              <w:rPr>
                <w:sz w:val="20"/>
                <w:szCs w:val="20"/>
              </w:rPr>
              <w:t>QSCF</w:t>
            </w:r>
          </w:p>
        </w:tc>
        <w:tc>
          <w:tcPr>
            <w:tcW w:w="3685" w:type="dxa"/>
          </w:tcPr>
          <w:p w14:paraId="36650726" w14:textId="12D87EE0" w:rsidR="008E00F7" w:rsidRPr="002E73A9" w:rsidRDefault="008E00F7" w:rsidP="008E00F7">
            <w:pPr>
              <w:pStyle w:val="Default"/>
              <w:rPr>
                <w:sz w:val="20"/>
                <w:szCs w:val="20"/>
              </w:rPr>
            </w:pPr>
            <w:r>
              <w:rPr>
                <w:sz w:val="20"/>
                <w:szCs w:val="20"/>
              </w:rPr>
              <w:t>30 t TAC</w:t>
            </w:r>
          </w:p>
        </w:tc>
        <w:tc>
          <w:tcPr>
            <w:tcW w:w="3393" w:type="dxa"/>
          </w:tcPr>
          <w:p w14:paraId="5CD00D6D" w14:textId="4F863D15" w:rsidR="008E00F7" w:rsidRPr="00014175" w:rsidRDefault="008E00F7" w:rsidP="008E00F7">
            <w:pPr>
              <w:rPr>
                <w:sz w:val="20"/>
                <w:szCs w:val="20"/>
              </w:rPr>
            </w:pPr>
            <w:r>
              <w:rPr>
                <w:sz w:val="20"/>
                <w:szCs w:val="20"/>
              </w:rPr>
              <w:t>53 t TAC</w:t>
            </w:r>
          </w:p>
        </w:tc>
      </w:tr>
      <w:tr w:rsidR="008E00F7" w:rsidRPr="00014175" w14:paraId="1AA8D224" w14:textId="77777777" w:rsidTr="005E31EF">
        <w:tc>
          <w:tcPr>
            <w:tcW w:w="2544" w:type="dxa"/>
          </w:tcPr>
          <w:p w14:paraId="783444DF" w14:textId="77777777" w:rsidR="008E00F7" w:rsidRPr="00014175" w:rsidRDefault="008E00F7" w:rsidP="008E00F7">
            <w:pPr>
              <w:rPr>
                <w:sz w:val="20"/>
                <w:szCs w:val="20"/>
              </w:rPr>
            </w:pPr>
            <w:r w:rsidRPr="00014175">
              <w:rPr>
                <w:sz w:val="20"/>
                <w:szCs w:val="20"/>
              </w:rPr>
              <w:t>TSBDMF</w:t>
            </w:r>
          </w:p>
        </w:tc>
        <w:tc>
          <w:tcPr>
            <w:tcW w:w="3685" w:type="dxa"/>
          </w:tcPr>
          <w:p w14:paraId="08430BE3" w14:textId="16880349" w:rsidR="008E00F7" w:rsidRPr="00014175" w:rsidRDefault="008E00F7" w:rsidP="008E00F7">
            <w:pPr>
              <w:rPr>
                <w:sz w:val="20"/>
                <w:szCs w:val="20"/>
              </w:rPr>
            </w:pPr>
            <w:r>
              <w:rPr>
                <w:sz w:val="20"/>
                <w:szCs w:val="20"/>
              </w:rPr>
              <w:t>20 t TAC</w:t>
            </w:r>
          </w:p>
        </w:tc>
        <w:tc>
          <w:tcPr>
            <w:tcW w:w="3393" w:type="dxa"/>
          </w:tcPr>
          <w:p w14:paraId="0F2BB419" w14:textId="6BE21D60" w:rsidR="008E00F7" w:rsidRPr="00014175" w:rsidRDefault="008E00F7" w:rsidP="008E00F7">
            <w:pPr>
              <w:pStyle w:val="Default"/>
              <w:rPr>
                <w:sz w:val="20"/>
                <w:szCs w:val="20"/>
              </w:rPr>
            </w:pPr>
            <w:r>
              <w:rPr>
                <w:sz w:val="20"/>
                <w:szCs w:val="20"/>
              </w:rPr>
              <w:t>15 t TAC</w:t>
            </w:r>
          </w:p>
        </w:tc>
      </w:tr>
      <w:tr w:rsidR="008E00F7" w:rsidRPr="00014175" w14:paraId="4CCD5FAC" w14:textId="77777777" w:rsidTr="005E31EF">
        <w:tc>
          <w:tcPr>
            <w:tcW w:w="2544" w:type="dxa"/>
          </w:tcPr>
          <w:p w14:paraId="59926540" w14:textId="77777777" w:rsidR="008E00F7" w:rsidRPr="00014175" w:rsidRDefault="008E00F7" w:rsidP="008E00F7">
            <w:pPr>
              <w:rPr>
                <w:sz w:val="20"/>
                <w:szCs w:val="20"/>
              </w:rPr>
            </w:pPr>
            <w:r w:rsidRPr="00014175">
              <w:rPr>
                <w:sz w:val="20"/>
                <w:szCs w:val="20"/>
              </w:rPr>
              <w:t>CSF</w:t>
            </w:r>
          </w:p>
        </w:tc>
        <w:tc>
          <w:tcPr>
            <w:tcW w:w="3685" w:type="dxa"/>
          </w:tcPr>
          <w:p w14:paraId="60432E9A" w14:textId="7AF2CBED" w:rsidR="008E00F7" w:rsidRPr="00014175" w:rsidRDefault="008E00F7" w:rsidP="008E00F7">
            <w:pPr>
              <w:rPr>
                <w:sz w:val="20"/>
                <w:szCs w:val="20"/>
              </w:rPr>
            </w:pPr>
            <w:r>
              <w:rPr>
                <w:sz w:val="20"/>
                <w:szCs w:val="20"/>
              </w:rPr>
              <w:t>1</w:t>
            </w:r>
            <w:r w:rsidRPr="002E73A9">
              <w:rPr>
                <w:sz w:val="20"/>
                <w:szCs w:val="20"/>
              </w:rPr>
              <w:t xml:space="preserve"> t TAC</w:t>
            </w:r>
          </w:p>
        </w:tc>
        <w:tc>
          <w:tcPr>
            <w:tcW w:w="3393" w:type="dxa"/>
          </w:tcPr>
          <w:p w14:paraId="0C5FA86F" w14:textId="5C8DE868" w:rsidR="008E00F7" w:rsidRPr="00014175" w:rsidRDefault="008E00F7" w:rsidP="008E00F7">
            <w:pPr>
              <w:rPr>
                <w:sz w:val="20"/>
                <w:szCs w:val="20"/>
              </w:rPr>
            </w:pPr>
            <w:r>
              <w:rPr>
                <w:sz w:val="20"/>
                <w:szCs w:val="20"/>
              </w:rPr>
              <w:t>4 t TAC</w:t>
            </w:r>
          </w:p>
        </w:tc>
      </w:tr>
      <w:tr w:rsidR="008E00F7" w:rsidRPr="00014175" w14:paraId="72962607" w14:textId="77777777" w:rsidTr="005E31EF">
        <w:tc>
          <w:tcPr>
            <w:tcW w:w="2544" w:type="dxa"/>
          </w:tcPr>
          <w:p w14:paraId="7DDC2FE8" w14:textId="77777777" w:rsidR="008E00F7" w:rsidRPr="00014175" w:rsidRDefault="008E00F7" w:rsidP="008E00F7">
            <w:pPr>
              <w:rPr>
                <w:sz w:val="20"/>
                <w:szCs w:val="20"/>
              </w:rPr>
            </w:pPr>
            <w:r w:rsidRPr="00014175">
              <w:rPr>
                <w:sz w:val="20"/>
                <w:szCs w:val="20"/>
              </w:rPr>
              <w:t>NTTF</w:t>
            </w:r>
          </w:p>
        </w:tc>
        <w:tc>
          <w:tcPr>
            <w:tcW w:w="3685" w:type="dxa"/>
          </w:tcPr>
          <w:p w14:paraId="0326E31A" w14:textId="266FC5BC" w:rsidR="008E00F7" w:rsidRPr="00014175" w:rsidRDefault="008E00F7" w:rsidP="008E00F7">
            <w:pPr>
              <w:rPr>
                <w:sz w:val="20"/>
                <w:szCs w:val="20"/>
              </w:rPr>
            </w:pPr>
            <w:r>
              <w:rPr>
                <w:sz w:val="20"/>
                <w:szCs w:val="20"/>
              </w:rPr>
              <w:t xml:space="preserve">Part of a </w:t>
            </w:r>
            <w:r w:rsidRPr="006456C7">
              <w:rPr>
                <w:sz w:val="20"/>
                <w:szCs w:val="20"/>
              </w:rPr>
              <w:t>246 t</w:t>
            </w:r>
            <w:r>
              <w:rPr>
                <w:sz w:val="20"/>
                <w:szCs w:val="20"/>
              </w:rPr>
              <w:t xml:space="preserve"> TACC (no trigger)</w:t>
            </w:r>
            <w:r w:rsidRPr="00D577B6">
              <w:rPr>
                <w:sz w:val="20"/>
                <w:szCs w:val="20"/>
                <w:vertAlign w:val="superscript"/>
              </w:rPr>
              <w:t xml:space="preserve"> 1</w:t>
            </w:r>
          </w:p>
        </w:tc>
        <w:tc>
          <w:tcPr>
            <w:tcW w:w="3393" w:type="dxa"/>
          </w:tcPr>
          <w:p w14:paraId="05E30DD4" w14:textId="5C2F758A" w:rsidR="008E00F7" w:rsidRPr="00014175" w:rsidRDefault="008E00F7" w:rsidP="008E00F7">
            <w:pPr>
              <w:rPr>
                <w:sz w:val="20"/>
                <w:szCs w:val="20"/>
              </w:rPr>
            </w:pPr>
            <w:r>
              <w:rPr>
                <w:sz w:val="20"/>
                <w:szCs w:val="20"/>
              </w:rPr>
              <w:t xml:space="preserve">Part of a </w:t>
            </w:r>
            <w:r w:rsidRPr="006456C7">
              <w:rPr>
                <w:sz w:val="20"/>
                <w:szCs w:val="20"/>
              </w:rPr>
              <w:t>246 t</w:t>
            </w:r>
            <w:r>
              <w:rPr>
                <w:sz w:val="20"/>
                <w:szCs w:val="20"/>
              </w:rPr>
              <w:t xml:space="preserve"> TACC (no trigger)</w:t>
            </w:r>
            <w:r w:rsidRPr="00D577B6">
              <w:rPr>
                <w:sz w:val="20"/>
                <w:szCs w:val="20"/>
                <w:vertAlign w:val="superscript"/>
              </w:rPr>
              <w:t xml:space="preserve"> 1</w:t>
            </w:r>
          </w:p>
        </w:tc>
      </w:tr>
      <w:tr w:rsidR="008E00F7" w:rsidRPr="00014175" w14:paraId="3AC8C168" w14:textId="77777777" w:rsidTr="005E31EF">
        <w:tc>
          <w:tcPr>
            <w:tcW w:w="2544" w:type="dxa"/>
          </w:tcPr>
          <w:p w14:paraId="053DCB3B" w14:textId="77777777" w:rsidR="008E00F7" w:rsidRPr="00014175" w:rsidRDefault="008E00F7" w:rsidP="008E00F7">
            <w:pPr>
              <w:rPr>
                <w:sz w:val="20"/>
                <w:szCs w:val="20"/>
              </w:rPr>
            </w:pPr>
            <w:r w:rsidRPr="00014175">
              <w:rPr>
                <w:sz w:val="20"/>
                <w:szCs w:val="20"/>
              </w:rPr>
              <w:t>WASCF</w:t>
            </w:r>
          </w:p>
        </w:tc>
        <w:tc>
          <w:tcPr>
            <w:tcW w:w="3685" w:type="dxa"/>
          </w:tcPr>
          <w:p w14:paraId="2EAA41F8" w14:textId="68182116" w:rsidR="008E00F7" w:rsidRPr="00014175" w:rsidRDefault="00ED1F66" w:rsidP="008E00F7">
            <w:pPr>
              <w:rPr>
                <w:sz w:val="20"/>
                <w:szCs w:val="20"/>
              </w:rPr>
            </w:pPr>
            <w:r>
              <w:rPr>
                <w:sz w:val="20"/>
                <w:szCs w:val="20"/>
              </w:rPr>
              <w:t>Effort limits only</w:t>
            </w:r>
          </w:p>
        </w:tc>
        <w:tc>
          <w:tcPr>
            <w:tcW w:w="3393" w:type="dxa"/>
          </w:tcPr>
          <w:p w14:paraId="54B18F06" w14:textId="6F7E2142" w:rsidR="008E00F7" w:rsidRPr="00014175" w:rsidRDefault="00ED1F66" w:rsidP="008E00F7">
            <w:pPr>
              <w:rPr>
                <w:sz w:val="20"/>
                <w:szCs w:val="20"/>
              </w:rPr>
            </w:pPr>
            <w:r>
              <w:rPr>
                <w:sz w:val="20"/>
                <w:szCs w:val="20"/>
              </w:rPr>
              <w:t>Effort limits only</w:t>
            </w:r>
          </w:p>
        </w:tc>
      </w:tr>
    </w:tbl>
    <w:p w14:paraId="6E1A40DE" w14:textId="209AFF27" w:rsidR="00014175" w:rsidRDefault="00D577B6" w:rsidP="00D577B6">
      <w:pPr>
        <w:rPr>
          <w:sz w:val="20"/>
          <w:szCs w:val="20"/>
        </w:rPr>
      </w:pPr>
      <w:r w:rsidRPr="0085326B">
        <w:rPr>
          <w:sz w:val="20"/>
          <w:szCs w:val="20"/>
          <w:vertAlign w:val="superscript"/>
        </w:rPr>
        <w:t>1</w:t>
      </w:r>
      <w:r w:rsidR="0085326B">
        <w:rPr>
          <w:sz w:val="20"/>
          <w:szCs w:val="20"/>
        </w:rPr>
        <w:t xml:space="preserve"> In these cases, t</w:t>
      </w:r>
      <w:r w:rsidRPr="0085326B">
        <w:rPr>
          <w:sz w:val="20"/>
          <w:szCs w:val="20"/>
        </w:rPr>
        <w:t>he</w:t>
      </w:r>
      <w:r w:rsidRPr="00B173CA">
        <w:rPr>
          <w:sz w:val="20"/>
          <w:szCs w:val="20"/>
        </w:rPr>
        <w:t xml:space="preserve"> species are managed within a </w:t>
      </w:r>
      <w:r w:rsidR="006456C7" w:rsidRPr="00B173CA">
        <w:rPr>
          <w:sz w:val="20"/>
          <w:szCs w:val="20"/>
        </w:rPr>
        <w:t>Total Allowable Combined Catch (TACC)</w:t>
      </w:r>
      <w:r w:rsidRPr="00B173CA">
        <w:rPr>
          <w:sz w:val="20"/>
          <w:szCs w:val="20"/>
        </w:rPr>
        <w:t xml:space="preserve"> (i.e. species basket)</w:t>
      </w:r>
      <w:r w:rsidR="002E73A9" w:rsidRPr="00B173CA">
        <w:rPr>
          <w:sz w:val="20"/>
          <w:szCs w:val="20"/>
        </w:rPr>
        <w:t xml:space="preserve">, </w:t>
      </w:r>
      <w:r w:rsidR="006456C7" w:rsidRPr="00B173CA">
        <w:rPr>
          <w:sz w:val="20"/>
          <w:szCs w:val="20"/>
        </w:rPr>
        <w:t xml:space="preserve">sometimes with </w:t>
      </w:r>
      <w:r w:rsidRPr="00B173CA">
        <w:rPr>
          <w:sz w:val="20"/>
          <w:szCs w:val="20"/>
        </w:rPr>
        <w:t xml:space="preserve">trigger levels (in brackets). </w:t>
      </w:r>
    </w:p>
    <w:p w14:paraId="5C5E1737" w14:textId="782EDCB0" w:rsidR="00044D06" w:rsidRDefault="00044D06" w:rsidP="002F29FE">
      <w:pPr>
        <w:pStyle w:val="Heading3"/>
      </w:pPr>
      <w:r>
        <w:t>Size limits</w:t>
      </w:r>
    </w:p>
    <w:p w14:paraId="102D16BB" w14:textId="114034C7" w:rsidR="00ED1F66" w:rsidRDefault="003D4E64" w:rsidP="00ED1F66">
      <w:r>
        <w:t xml:space="preserve">Size limits in Australian fisheries for Black and White teatfish are shown in </w:t>
      </w:r>
      <w:r>
        <w:fldChar w:fldCharType="begin"/>
      </w:r>
      <w:r>
        <w:instrText xml:space="preserve"> REF _Ref168152647 \h </w:instrText>
      </w:r>
      <w:r>
        <w:fldChar w:fldCharType="separate"/>
      </w:r>
      <w:r w:rsidR="007B2A78">
        <w:t xml:space="preserve">Table </w:t>
      </w:r>
      <w:r w:rsidR="007B2A78">
        <w:rPr>
          <w:noProof/>
        </w:rPr>
        <w:t>12</w:t>
      </w:r>
      <w:r>
        <w:fldChar w:fldCharType="end"/>
      </w:r>
      <w:r>
        <w:t>.</w:t>
      </w:r>
      <w:r w:rsidR="00ED1F66">
        <w:t xml:space="preserve"> Size limits have generally been set so that animals can mature </w:t>
      </w:r>
      <w:r w:rsidR="003B7798">
        <w:t xml:space="preserve">and breed </w:t>
      </w:r>
      <w:r w:rsidR="00ED1F66">
        <w:t>before they are fished</w:t>
      </w:r>
      <w:r w:rsidR="003B7798">
        <w:t xml:space="preserve"> (</w:t>
      </w:r>
      <w:r w:rsidR="003B7798" w:rsidRPr="003B7798">
        <w:t>Prince</w:t>
      </w:r>
      <w:r w:rsidR="003B7798">
        <w:t xml:space="preserve"> and </w:t>
      </w:r>
      <w:r w:rsidR="003B7798" w:rsidRPr="003B7798">
        <w:t>Hordyk, 2019</w:t>
      </w:r>
      <w:r w:rsidR="003B7798">
        <w:t>)</w:t>
      </w:r>
      <w:r w:rsidR="00ED1F66">
        <w:t>. The only reliable estimates of size at first sexual maturity for teatfish are for New Caledonia, with estimates of the length at which 50% are mature (TL50) of 26 cm for Black teatfish and 32 cm for White teatfish (Conand, 1993). Though an earlier work by the same author listed TL50 as 22.7cm and 32.4cm for Black teatfish and White teatfish respectively (Conand, 1981). That study found, for Black teatfish at least, that the onset of sexual maturity coincided with the change in colour pattern from the mottled white juvenile form. Juveniles are not often observed during scientific surveys, and presumably this is true for fishers as well. Th</w:t>
      </w:r>
      <w:r w:rsidR="003B7798">
        <w:t xml:space="preserve">ere are sometimes </w:t>
      </w:r>
      <w:r w:rsidR="00ED1F66">
        <w:t xml:space="preserve">juvenile teatfish </w:t>
      </w:r>
      <w:r w:rsidR="003B7798">
        <w:t xml:space="preserve">observed </w:t>
      </w:r>
      <w:r w:rsidR="00ED1F66">
        <w:t>in the catch, but only in a fishery where the exploitation rate is extremely high, and fishers search among coral crevices for sea cucumbers</w:t>
      </w:r>
      <w:r w:rsidR="007D5F54">
        <w:t xml:space="preserve"> (</w:t>
      </w:r>
      <w:r w:rsidR="007D5F54" w:rsidRPr="007D5F54">
        <w:t>Prescott</w:t>
      </w:r>
      <w:r w:rsidR="007D5F54">
        <w:t xml:space="preserve"> et al., </w:t>
      </w:r>
      <w:r w:rsidR="007D5F54" w:rsidRPr="007D5F54">
        <w:t>2013</w:t>
      </w:r>
      <w:r w:rsidR="007D5F54">
        <w:t>)</w:t>
      </w:r>
      <w:r w:rsidR="00ED1F66">
        <w:t>.</w:t>
      </w:r>
    </w:p>
    <w:p w14:paraId="66F41422" w14:textId="41DF0E31" w:rsidR="00044D06" w:rsidRDefault="003D4E64" w:rsidP="000B5A6E">
      <w:pPr>
        <w:pStyle w:val="Caption"/>
      </w:pPr>
      <w:bookmarkStart w:id="139" w:name="_Ref168152647"/>
      <w:bookmarkStart w:id="140" w:name="_Toc174091522"/>
      <w:bookmarkStart w:id="141" w:name="_Toc189055312"/>
      <w:r>
        <w:lastRenderedPageBreak/>
        <w:t xml:space="preserve">Table </w:t>
      </w:r>
      <w:fldSimple w:instr=" SEQ Table \* ARABIC ">
        <w:r w:rsidR="007B2A78">
          <w:rPr>
            <w:noProof/>
          </w:rPr>
          <w:t>12</w:t>
        </w:r>
      </w:fldSimple>
      <w:bookmarkEnd w:id="139"/>
      <w:r w:rsidR="00014175">
        <w:t>.</w:t>
      </w:r>
      <w:r w:rsidR="00067FCA">
        <w:t xml:space="preserve"> </w:t>
      </w:r>
      <w:r w:rsidR="00014175">
        <w:t xml:space="preserve"> </w:t>
      </w:r>
      <w:r w:rsidR="00E0153A">
        <w:t xml:space="preserve">Minimum size limits </w:t>
      </w:r>
      <w:r w:rsidR="00B64833">
        <w:t xml:space="preserve">(MSL: in cm total length) </w:t>
      </w:r>
      <w:r w:rsidR="00E0153A">
        <w:t xml:space="preserve">applied </w:t>
      </w:r>
      <w:r w:rsidR="002B19BB">
        <w:t xml:space="preserve">to Black teatfish and White teatfish </w:t>
      </w:r>
      <w:r w:rsidR="00E0153A">
        <w:t xml:space="preserve">in Australian sea cucumber fisheries. </w:t>
      </w:r>
      <w:r w:rsidR="00B64833">
        <w:t>MSL</w:t>
      </w:r>
      <w:r w:rsidR="00E0153A">
        <w:t xml:space="preserve"> are generally applied to live animals.</w:t>
      </w:r>
      <w:bookmarkEnd w:id="140"/>
      <w:bookmarkEnd w:id="141"/>
      <w:r w:rsidR="00E0153A">
        <w:t xml:space="preserve"> </w:t>
      </w:r>
    </w:p>
    <w:tbl>
      <w:tblPr>
        <w:tblStyle w:val="TableProfessional"/>
        <w:tblW w:w="0" w:type="auto"/>
        <w:tblLook w:val="0620" w:firstRow="1" w:lastRow="0" w:firstColumn="0" w:lastColumn="0" w:noHBand="1" w:noVBand="1"/>
      </w:tblPr>
      <w:tblGrid>
        <w:gridCol w:w="3207"/>
        <w:gridCol w:w="2268"/>
        <w:gridCol w:w="2268"/>
      </w:tblGrid>
      <w:tr w:rsidR="00014175" w:rsidRPr="00E67C72" w14:paraId="19D206C7" w14:textId="77777777" w:rsidTr="00B173CA">
        <w:trPr>
          <w:cnfStyle w:val="100000000000" w:firstRow="1" w:lastRow="0" w:firstColumn="0" w:lastColumn="0" w:oddVBand="0" w:evenVBand="0" w:oddHBand="0" w:evenHBand="0" w:firstRowFirstColumn="0" w:firstRowLastColumn="0" w:lastRowFirstColumn="0" w:lastRowLastColumn="0"/>
        </w:trPr>
        <w:tc>
          <w:tcPr>
            <w:tcW w:w="3207" w:type="dxa"/>
          </w:tcPr>
          <w:p w14:paraId="7E28B149" w14:textId="604FF1A2" w:rsidR="00320FBF" w:rsidRPr="00E67C72" w:rsidRDefault="00320FBF" w:rsidP="00DD488F">
            <w:pPr>
              <w:rPr>
                <w:b/>
                <w:bCs/>
                <w:color w:val="FFFFFF" w:themeColor="background1"/>
                <w:sz w:val="20"/>
                <w:szCs w:val="20"/>
              </w:rPr>
            </w:pPr>
            <w:r w:rsidRPr="00E67C72">
              <w:rPr>
                <w:b/>
                <w:bCs/>
                <w:color w:val="FFFFFF" w:themeColor="background1"/>
                <w:sz w:val="20"/>
                <w:szCs w:val="20"/>
              </w:rPr>
              <w:t>Fishery</w:t>
            </w:r>
          </w:p>
        </w:tc>
        <w:tc>
          <w:tcPr>
            <w:tcW w:w="2268" w:type="dxa"/>
          </w:tcPr>
          <w:p w14:paraId="7A26351A" w14:textId="28746366" w:rsidR="00320FBF" w:rsidRPr="00E67C72" w:rsidRDefault="00C339D1" w:rsidP="00B173CA">
            <w:pPr>
              <w:jc w:val="center"/>
              <w:rPr>
                <w:b/>
                <w:bCs/>
                <w:color w:val="FFFFFF" w:themeColor="background1"/>
                <w:sz w:val="20"/>
                <w:szCs w:val="20"/>
              </w:rPr>
            </w:pPr>
            <w:r>
              <w:rPr>
                <w:b/>
                <w:bCs/>
                <w:color w:val="FFFFFF" w:themeColor="background1"/>
                <w:sz w:val="20"/>
                <w:szCs w:val="20"/>
              </w:rPr>
              <w:t>Black teatfish</w:t>
            </w:r>
          </w:p>
        </w:tc>
        <w:tc>
          <w:tcPr>
            <w:tcW w:w="2268" w:type="dxa"/>
          </w:tcPr>
          <w:p w14:paraId="26D022C1" w14:textId="324B7631" w:rsidR="00320FBF" w:rsidRPr="00E67C72" w:rsidRDefault="00C339D1" w:rsidP="00B173CA">
            <w:pPr>
              <w:jc w:val="center"/>
              <w:rPr>
                <w:b/>
                <w:bCs/>
                <w:color w:val="FFFFFF" w:themeColor="background1"/>
                <w:sz w:val="20"/>
                <w:szCs w:val="20"/>
              </w:rPr>
            </w:pPr>
            <w:r>
              <w:rPr>
                <w:b/>
                <w:bCs/>
                <w:color w:val="FFFFFF" w:themeColor="background1"/>
                <w:sz w:val="20"/>
                <w:szCs w:val="20"/>
              </w:rPr>
              <w:t>White teatfish</w:t>
            </w:r>
          </w:p>
        </w:tc>
      </w:tr>
      <w:tr w:rsidR="00B173CA" w:rsidRPr="00014175" w14:paraId="6520E4EB" w14:textId="77777777" w:rsidTr="00B173CA">
        <w:tc>
          <w:tcPr>
            <w:tcW w:w="3207" w:type="dxa"/>
          </w:tcPr>
          <w:p w14:paraId="295AD0C5" w14:textId="1FD8D570" w:rsidR="00320FBF" w:rsidRPr="00014175" w:rsidRDefault="00E0153A" w:rsidP="00DD488F">
            <w:pPr>
              <w:rPr>
                <w:sz w:val="20"/>
                <w:szCs w:val="20"/>
              </w:rPr>
            </w:pPr>
            <w:r w:rsidRPr="00014175">
              <w:rPr>
                <w:sz w:val="20"/>
                <w:szCs w:val="20"/>
              </w:rPr>
              <w:t>QSCF</w:t>
            </w:r>
          </w:p>
        </w:tc>
        <w:tc>
          <w:tcPr>
            <w:tcW w:w="2268" w:type="dxa"/>
          </w:tcPr>
          <w:p w14:paraId="1C07CC31" w14:textId="106F5436" w:rsidR="00320FBF" w:rsidRPr="00014175" w:rsidRDefault="001B6144" w:rsidP="00B173CA">
            <w:pPr>
              <w:pStyle w:val="Default"/>
              <w:jc w:val="center"/>
              <w:rPr>
                <w:sz w:val="20"/>
                <w:szCs w:val="20"/>
              </w:rPr>
            </w:pPr>
            <w:r>
              <w:rPr>
                <w:sz w:val="20"/>
                <w:szCs w:val="20"/>
              </w:rPr>
              <w:t>30</w:t>
            </w:r>
          </w:p>
        </w:tc>
        <w:tc>
          <w:tcPr>
            <w:tcW w:w="2268" w:type="dxa"/>
          </w:tcPr>
          <w:p w14:paraId="7231373C" w14:textId="3FED4E71" w:rsidR="00320FBF" w:rsidRPr="00014175" w:rsidRDefault="001B6144" w:rsidP="00B173CA">
            <w:pPr>
              <w:jc w:val="center"/>
              <w:rPr>
                <w:sz w:val="20"/>
                <w:szCs w:val="20"/>
              </w:rPr>
            </w:pPr>
            <w:r>
              <w:rPr>
                <w:sz w:val="20"/>
                <w:szCs w:val="20"/>
              </w:rPr>
              <w:t>40</w:t>
            </w:r>
          </w:p>
        </w:tc>
      </w:tr>
      <w:tr w:rsidR="00B173CA" w:rsidRPr="00014175" w14:paraId="27597103" w14:textId="77777777" w:rsidTr="00B173CA">
        <w:tc>
          <w:tcPr>
            <w:tcW w:w="3207" w:type="dxa"/>
          </w:tcPr>
          <w:p w14:paraId="39FAE968" w14:textId="33FC1B65" w:rsidR="00320FBF" w:rsidRPr="00014175" w:rsidRDefault="00E0153A" w:rsidP="00DD488F">
            <w:pPr>
              <w:rPr>
                <w:sz w:val="20"/>
                <w:szCs w:val="20"/>
              </w:rPr>
            </w:pPr>
            <w:r w:rsidRPr="00014175">
              <w:rPr>
                <w:sz w:val="20"/>
                <w:szCs w:val="20"/>
              </w:rPr>
              <w:t>TSBDMF</w:t>
            </w:r>
          </w:p>
        </w:tc>
        <w:tc>
          <w:tcPr>
            <w:tcW w:w="2268" w:type="dxa"/>
          </w:tcPr>
          <w:p w14:paraId="69D9130B" w14:textId="44594E55" w:rsidR="00320FBF" w:rsidRPr="00014175" w:rsidRDefault="001B6144" w:rsidP="00B173CA">
            <w:pPr>
              <w:jc w:val="center"/>
              <w:rPr>
                <w:sz w:val="20"/>
                <w:szCs w:val="20"/>
              </w:rPr>
            </w:pPr>
            <w:r>
              <w:rPr>
                <w:sz w:val="20"/>
                <w:szCs w:val="20"/>
              </w:rPr>
              <w:t>25</w:t>
            </w:r>
          </w:p>
        </w:tc>
        <w:tc>
          <w:tcPr>
            <w:tcW w:w="2268" w:type="dxa"/>
          </w:tcPr>
          <w:p w14:paraId="47BC8C26" w14:textId="23773331" w:rsidR="00320FBF" w:rsidRPr="00014175" w:rsidRDefault="001B6144" w:rsidP="00B173CA">
            <w:pPr>
              <w:jc w:val="center"/>
              <w:rPr>
                <w:sz w:val="20"/>
                <w:szCs w:val="20"/>
              </w:rPr>
            </w:pPr>
            <w:r>
              <w:rPr>
                <w:sz w:val="20"/>
                <w:szCs w:val="20"/>
              </w:rPr>
              <w:t>32</w:t>
            </w:r>
          </w:p>
        </w:tc>
      </w:tr>
      <w:tr w:rsidR="00B173CA" w:rsidRPr="00014175" w14:paraId="34AE7888" w14:textId="77777777" w:rsidTr="00B173CA">
        <w:tc>
          <w:tcPr>
            <w:tcW w:w="3207" w:type="dxa"/>
          </w:tcPr>
          <w:p w14:paraId="2D514673" w14:textId="254F52D0" w:rsidR="00320FBF" w:rsidRPr="00014175" w:rsidRDefault="00E0153A" w:rsidP="00DD488F">
            <w:pPr>
              <w:rPr>
                <w:sz w:val="20"/>
                <w:szCs w:val="20"/>
              </w:rPr>
            </w:pPr>
            <w:r w:rsidRPr="00014175">
              <w:rPr>
                <w:sz w:val="20"/>
                <w:szCs w:val="20"/>
              </w:rPr>
              <w:t>CSF</w:t>
            </w:r>
            <w:r w:rsidR="004F5E59">
              <w:rPr>
                <w:i/>
                <w:iCs/>
                <w:sz w:val="20"/>
                <w:szCs w:val="20"/>
                <w:vertAlign w:val="superscript"/>
              </w:rPr>
              <w:t xml:space="preserve"> a</w:t>
            </w:r>
          </w:p>
        </w:tc>
        <w:tc>
          <w:tcPr>
            <w:tcW w:w="2268" w:type="dxa"/>
          </w:tcPr>
          <w:p w14:paraId="220872C2" w14:textId="0AA9AB1B" w:rsidR="00320FBF" w:rsidRPr="00014175" w:rsidRDefault="004F5E59" w:rsidP="00B173CA">
            <w:pPr>
              <w:jc w:val="center"/>
              <w:rPr>
                <w:sz w:val="20"/>
                <w:szCs w:val="20"/>
              </w:rPr>
            </w:pPr>
            <w:r>
              <w:rPr>
                <w:sz w:val="20"/>
                <w:szCs w:val="20"/>
              </w:rPr>
              <w:t>25</w:t>
            </w:r>
          </w:p>
        </w:tc>
        <w:tc>
          <w:tcPr>
            <w:tcW w:w="2268" w:type="dxa"/>
          </w:tcPr>
          <w:p w14:paraId="3927532B" w14:textId="239BAC97" w:rsidR="00320FBF" w:rsidRPr="00014175" w:rsidRDefault="004F5E59" w:rsidP="00B173CA">
            <w:pPr>
              <w:jc w:val="center"/>
              <w:rPr>
                <w:sz w:val="20"/>
                <w:szCs w:val="20"/>
              </w:rPr>
            </w:pPr>
            <w:r>
              <w:rPr>
                <w:sz w:val="20"/>
                <w:szCs w:val="20"/>
              </w:rPr>
              <w:t>32</w:t>
            </w:r>
          </w:p>
        </w:tc>
      </w:tr>
      <w:tr w:rsidR="00B173CA" w:rsidRPr="00014175" w14:paraId="05715FED" w14:textId="77777777" w:rsidTr="00B173CA">
        <w:tc>
          <w:tcPr>
            <w:tcW w:w="3207" w:type="dxa"/>
          </w:tcPr>
          <w:p w14:paraId="2452C011" w14:textId="0A0E69EA" w:rsidR="00320FBF" w:rsidRPr="00014175" w:rsidRDefault="00E0153A" w:rsidP="00DD488F">
            <w:pPr>
              <w:rPr>
                <w:sz w:val="20"/>
                <w:szCs w:val="20"/>
              </w:rPr>
            </w:pPr>
            <w:r w:rsidRPr="00014175">
              <w:rPr>
                <w:sz w:val="20"/>
                <w:szCs w:val="20"/>
              </w:rPr>
              <w:t>NTTF</w:t>
            </w:r>
          </w:p>
        </w:tc>
        <w:tc>
          <w:tcPr>
            <w:tcW w:w="2268" w:type="dxa"/>
          </w:tcPr>
          <w:p w14:paraId="159F0AAB" w14:textId="68564735" w:rsidR="00320FBF" w:rsidRPr="00014175" w:rsidRDefault="001B6144" w:rsidP="00B173CA">
            <w:pPr>
              <w:jc w:val="center"/>
              <w:rPr>
                <w:sz w:val="20"/>
                <w:szCs w:val="20"/>
              </w:rPr>
            </w:pPr>
            <w:r>
              <w:rPr>
                <w:sz w:val="20"/>
                <w:szCs w:val="20"/>
              </w:rPr>
              <w:t>26</w:t>
            </w:r>
          </w:p>
        </w:tc>
        <w:tc>
          <w:tcPr>
            <w:tcW w:w="2268" w:type="dxa"/>
          </w:tcPr>
          <w:p w14:paraId="11690855" w14:textId="14BF9E87" w:rsidR="00320FBF" w:rsidRPr="00014175" w:rsidRDefault="001B6144" w:rsidP="00B173CA">
            <w:pPr>
              <w:jc w:val="center"/>
              <w:rPr>
                <w:sz w:val="20"/>
                <w:szCs w:val="20"/>
              </w:rPr>
            </w:pPr>
            <w:r>
              <w:rPr>
                <w:sz w:val="20"/>
                <w:szCs w:val="20"/>
              </w:rPr>
              <w:t>32</w:t>
            </w:r>
          </w:p>
        </w:tc>
      </w:tr>
      <w:tr w:rsidR="00B173CA" w:rsidRPr="00014175" w14:paraId="0ABF0656" w14:textId="77777777" w:rsidTr="00B173CA">
        <w:tc>
          <w:tcPr>
            <w:tcW w:w="3207" w:type="dxa"/>
          </w:tcPr>
          <w:p w14:paraId="6979BFAB" w14:textId="4EBDFB74" w:rsidR="00320FBF" w:rsidRPr="00014175" w:rsidRDefault="00E0153A" w:rsidP="00DD488F">
            <w:pPr>
              <w:rPr>
                <w:sz w:val="20"/>
                <w:szCs w:val="20"/>
              </w:rPr>
            </w:pPr>
            <w:r w:rsidRPr="00014175">
              <w:rPr>
                <w:sz w:val="20"/>
                <w:szCs w:val="20"/>
              </w:rPr>
              <w:t>WASCF</w:t>
            </w:r>
            <w:r w:rsidR="004F5E59">
              <w:rPr>
                <w:i/>
                <w:iCs/>
                <w:sz w:val="20"/>
                <w:szCs w:val="20"/>
                <w:vertAlign w:val="superscript"/>
              </w:rPr>
              <w:t xml:space="preserve"> b</w:t>
            </w:r>
          </w:p>
        </w:tc>
        <w:tc>
          <w:tcPr>
            <w:tcW w:w="2268" w:type="dxa"/>
          </w:tcPr>
          <w:p w14:paraId="7EBAE247" w14:textId="06EA267F" w:rsidR="00320FBF" w:rsidRPr="00014175" w:rsidRDefault="001B6144" w:rsidP="00B173CA">
            <w:pPr>
              <w:jc w:val="center"/>
              <w:rPr>
                <w:sz w:val="20"/>
                <w:szCs w:val="20"/>
              </w:rPr>
            </w:pPr>
            <w:r w:rsidRPr="001B6144">
              <w:rPr>
                <w:sz w:val="20"/>
                <w:szCs w:val="20"/>
              </w:rPr>
              <w:t>26</w:t>
            </w:r>
          </w:p>
        </w:tc>
        <w:tc>
          <w:tcPr>
            <w:tcW w:w="2268" w:type="dxa"/>
          </w:tcPr>
          <w:p w14:paraId="6287B1DB" w14:textId="69645F4A" w:rsidR="00320FBF" w:rsidRPr="00014175" w:rsidRDefault="001B6144" w:rsidP="00B173CA">
            <w:pPr>
              <w:jc w:val="center"/>
              <w:rPr>
                <w:sz w:val="20"/>
                <w:szCs w:val="20"/>
              </w:rPr>
            </w:pPr>
            <w:r>
              <w:rPr>
                <w:sz w:val="20"/>
                <w:szCs w:val="20"/>
              </w:rPr>
              <w:t>32</w:t>
            </w:r>
          </w:p>
        </w:tc>
      </w:tr>
    </w:tbl>
    <w:p w14:paraId="5C8FDE3C" w14:textId="77ECFF42" w:rsidR="00044D06" w:rsidRDefault="00600883" w:rsidP="00DD488F">
      <w:pPr>
        <w:rPr>
          <w:sz w:val="20"/>
          <w:szCs w:val="20"/>
        </w:rPr>
      </w:pPr>
      <w:r w:rsidRPr="00600883">
        <w:rPr>
          <w:i/>
          <w:iCs/>
          <w:sz w:val="20"/>
          <w:szCs w:val="20"/>
          <w:vertAlign w:val="superscript"/>
        </w:rPr>
        <w:t>a</w:t>
      </w:r>
      <w:r w:rsidR="00E0153A" w:rsidRPr="00014175">
        <w:rPr>
          <w:sz w:val="20"/>
          <w:szCs w:val="20"/>
        </w:rPr>
        <w:t xml:space="preserve"> </w:t>
      </w:r>
      <w:r>
        <w:rPr>
          <w:sz w:val="20"/>
          <w:szCs w:val="20"/>
        </w:rPr>
        <w:t>V</w:t>
      </w:r>
      <w:r w:rsidRPr="00600883">
        <w:rPr>
          <w:sz w:val="20"/>
          <w:szCs w:val="20"/>
        </w:rPr>
        <w:t>oluntary via memorandum of understanding</w:t>
      </w:r>
      <w:r>
        <w:rPr>
          <w:sz w:val="20"/>
          <w:szCs w:val="20"/>
        </w:rPr>
        <w:t xml:space="preserve"> </w:t>
      </w:r>
      <w:r>
        <w:rPr>
          <w:sz w:val="20"/>
          <w:szCs w:val="20"/>
        </w:rPr>
        <w:br/>
      </w:r>
      <w:r w:rsidR="004F5E59">
        <w:rPr>
          <w:i/>
          <w:iCs/>
          <w:sz w:val="20"/>
          <w:szCs w:val="20"/>
          <w:vertAlign w:val="superscript"/>
        </w:rPr>
        <w:t>b</w:t>
      </w:r>
      <w:r>
        <w:rPr>
          <w:sz w:val="20"/>
          <w:szCs w:val="20"/>
        </w:rPr>
        <w:t xml:space="preserve"> V</w:t>
      </w:r>
      <w:r w:rsidRPr="00600883">
        <w:rPr>
          <w:sz w:val="20"/>
          <w:szCs w:val="20"/>
        </w:rPr>
        <w:t>oluntary via harvest strategy</w:t>
      </w:r>
    </w:p>
    <w:p w14:paraId="4A60BA18" w14:textId="77777777" w:rsidR="00332296" w:rsidRDefault="00332296" w:rsidP="00332296"/>
    <w:p w14:paraId="629389D7" w14:textId="7BB808AF" w:rsidR="0036521C" w:rsidRDefault="0036521C" w:rsidP="0036521C">
      <w:pPr>
        <w:pStyle w:val="Heading3"/>
      </w:pPr>
      <w:r>
        <w:t>Harvest strategies</w:t>
      </w:r>
    </w:p>
    <w:p w14:paraId="4CB5CB1F" w14:textId="1A304012" w:rsidR="00044D06" w:rsidRDefault="0036521C" w:rsidP="00DD488F">
      <w:r>
        <w:t>Currently nearly all Australian sea cucumber fisheries have Harvest strateg</w:t>
      </w:r>
      <w:r w:rsidR="00AC31A3">
        <w:t>ies (HS)</w:t>
      </w:r>
      <w:r>
        <w:t xml:space="preserve"> implemented (except for the NTTF and Timor Sea MOU Box fishery), though with varying levels of complexity</w:t>
      </w:r>
      <w:r w:rsidR="0041705D">
        <w:t xml:space="preserve">. </w:t>
      </w:r>
      <w:r>
        <w:t>The oldest is the CSF H</w:t>
      </w:r>
      <w:r w:rsidR="00AC31A3">
        <w:t>S</w:t>
      </w:r>
      <w:r>
        <w:t xml:space="preserve"> which was implemented in </w:t>
      </w:r>
      <w:r w:rsidRPr="005C2E11">
        <w:t>2008</w:t>
      </w:r>
      <w:r w:rsidR="004B680C">
        <w:t>.</w:t>
      </w:r>
      <w:r>
        <w:t xml:space="preserve"> </w:t>
      </w:r>
      <w:r w:rsidR="004B680C">
        <w:t>I</w:t>
      </w:r>
      <w:r>
        <w:t xml:space="preserve">t has </w:t>
      </w:r>
      <w:r w:rsidRPr="005C2E11">
        <w:t>no formal objectives</w:t>
      </w:r>
      <w:r>
        <w:t xml:space="preserve">, </w:t>
      </w:r>
      <w:r w:rsidRPr="005C2E11">
        <w:t>and comprises conservative TACs</w:t>
      </w:r>
      <w:r>
        <w:t xml:space="preserve"> and </w:t>
      </w:r>
      <w:r w:rsidRPr="005C2E11">
        <w:t xml:space="preserve">trigger </w:t>
      </w:r>
      <w:r>
        <w:t>limits</w:t>
      </w:r>
      <w:r w:rsidRPr="005C2E11">
        <w:t xml:space="preserve"> (based on catches), and a SESSF Tier 4 rule</w:t>
      </w:r>
      <w:r>
        <w:t xml:space="preserve"> </w:t>
      </w:r>
      <w:r w:rsidRPr="005C2E11">
        <w:t>to adjust the TACs for all species CPUE and current catch</w:t>
      </w:r>
      <w:r w:rsidR="009862D0">
        <w:t xml:space="preserve"> (AFMA, 200</w:t>
      </w:r>
      <w:r w:rsidR="00D43E84">
        <w:t>8</w:t>
      </w:r>
      <w:r w:rsidR="009862D0">
        <w:t>)</w:t>
      </w:r>
      <w:r w:rsidRPr="005C2E11">
        <w:t>.</w:t>
      </w:r>
      <w:r>
        <w:t xml:space="preserve"> </w:t>
      </w:r>
      <w:r w:rsidR="00AC31A3">
        <w:t xml:space="preserve">It is likely that this HS will be reviewed in the next few years. </w:t>
      </w:r>
    </w:p>
    <w:p w14:paraId="73AA1AE9" w14:textId="5D99F12A" w:rsidR="00B616FA" w:rsidRDefault="00AC31A3" w:rsidP="00DD488F">
      <w:r>
        <w:t>The TSBDMF and QSCF HS were implemented in 2019 and 2021</w:t>
      </w:r>
      <w:r w:rsidR="004B680C">
        <w:t>,</w:t>
      </w:r>
      <w:r>
        <w:t xml:space="preserve"> respectively. Both have a tiered structure with higher level harvest control rules for primary target species (</w:t>
      </w:r>
      <w:r w:rsidR="00ED1F66">
        <w:t>including Black teatfish and White teatfish</w:t>
      </w:r>
      <w:r>
        <w:t>), and “default” BLIMs of 0.4B</w:t>
      </w:r>
      <w:r w:rsidRPr="009862D0">
        <w:rPr>
          <w:vertAlign w:val="subscript"/>
        </w:rPr>
        <w:t>0</w:t>
      </w:r>
      <w:r>
        <w:t xml:space="preserve"> and 0.2B</w:t>
      </w:r>
      <w:r w:rsidRPr="009862D0">
        <w:rPr>
          <w:vertAlign w:val="subscript"/>
        </w:rPr>
        <w:t>0</w:t>
      </w:r>
      <w:r>
        <w:t xml:space="preserve"> respectively (</w:t>
      </w:r>
      <w:r w:rsidR="009862D0">
        <w:t>AFMA, 2019; DAF, 2021)</w:t>
      </w:r>
      <w:r w:rsidR="00B616FA">
        <w:t xml:space="preserve">. </w:t>
      </w:r>
    </w:p>
    <w:p w14:paraId="13DEA3A8" w14:textId="77777777" w:rsidR="00CB172F" w:rsidRPr="00333C6F" w:rsidRDefault="00CB172F" w:rsidP="00250D68">
      <w:pPr>
        <w:pStyle w:val="Heading2"/>
      </w:pPr>
      <w:bookmarkStart w:id="142" w:name="_Toc150334028"/>
      <w:bookmarkStart w:id="143" w:name="_Toc189055282"/>
      <w:r w:rsidRPr="00333C6F">
        <w:t>EPBC</w:t>
      </w:r>
      <w:r>
        <w:t>/</w:t>
      </w:r>
      <w:r w:rsidRPr="00333C6F">
        <w:t>WTO</w:t>
      </w:r>
      <w:bookmarkEnd w:id="142"/>
      <w:bookmarkEnd w:id="143"/>
    </w:p>
    <w:p w14:paraId="2F4FC4FB" w14:textId="199AEA05" w:rsidR="00CB172F" w:rsidRDefault="00CB172F" w:rsidP="00CB172F">
      <w:r>
        <w:t xml:space="preserve">The </w:t>
      </w:r>
      <w:r w:rsidRPr="009B4CB2">
        <w:rPr>
          <w:i/>
          <w:iCs/>
        </w:rPr>
        <w:t>Environment Protection and Biodiversity Conservation Act 1999</w:t>
      </w:r>
      <w:r>
        <w:t xml:space="preserve"> (EPBC Act) requires the Australian Government to assess the environmental performance of fisheries and promote ecologically sustainable fisheries management (DAWE, 2021</w:t>
      </w:r>
      <w:r w:rsidR="001A6018">
        <w:t>b</w:t>
      </w:r>
      <w:r>
        <w:t>; DCCEEW, 2023</w:t>
      </w:r>
      <w:r w:rsidR="000E0A8F">
        <w:t>a</w:t>
      </w:r>
      <w:r>
        <w:t>). DCCEEW</w:t>
      </w:r>
      <w:r w:rsidR="00F4289F">
        <w:t>’s</w:t>
      </w:r>
      <w:r>
        <w:t xml:space="preserve"> (the Department) primary role is to evaluate the environmental performance of fisheries, including:</w:t>
      </w:r>
    </w:p>
    <w:p w14:paraId="2244AA6D" w14:textId="77777777" w:rsidR="00CB172F" w:rsidRDefault="00CB172F" w:rsidP="00CB172F">
      <w:pPr>
        <w:pStyle w:val="ListParagraph"/>
        <w:numPr>
          <w:ilvl w:val="0"/>
          <w:numId w:val="38"/>
        </w:numPr>
      </w:pPr>
      <w:r>
        <w:t>the strategic assessment of fisheries under Part 10 of the EPBC Act</w:t>
      </w:r>
    </w:p>
    <w:p w14:paraId="3F4AD7E3" w14:textId="77777777" w:rsidR="00CB172F" w:rsidRDefault="00CB172F" w:rsidP="00CB172F">
      <w:pPr>
        <w:pStyle w:val="ListParagraph"/>
        <w:numPr>
          <w:ilvl w:val="0"/>
          <w:numId w:val="38"/>
        </w:numPr>
      </w:pPr>
      <w:r>
        <w:t>assessments relating to impacts on protected marine species under Part 13 and</w:t>
      </w:r>
    </w:p>
    <w:p w14:paraId="3548F376" w14:textId="77777777" w:rsidR="00CB172F" w:rsidRDefault="00CB172F" w:rsidP="00CB172F">
      <w:pPr>
        <w:pStyle w:val="ListParagraph"/>
        <w:numPr>
          <w:ilvl w:val="0"/>
          <w:numId w:val="38"/>
        </w:numPr>
      </w:pPr>
      <w:r>
        <w:t>assessments for the purpose of export approval under Part 13A.</w:t>
      </w:r>
    </w:p>
    <w:p w14:paraId="4AB0C118" w14:textId="664C58D7" w:rsidR="00CB172F" w:rsidRDefault="00CB172F" w:rsidP="00CB172F">
      <w:r>
        <w:t xml:space="preserve">These assessments </w:t>
      </w:r>
      <w:r w:rsidR="004B680C">
        <w:t xml:space="preserve">aim to </w:t>
      </w:r>
      <w:r>
        <w:t>ensure that, over time, fisheries are managed in an ecologically sustainable way. The assessments are conducted against the 2nd edition of the Guidelines for the Ecologically Sustainable Management of Fisheries (the Guidelines),</w:t>
      </w:r>
      <w:r w:rsidRPr="00297F27">
        <w:t xml:space="preserve"> </w:t>
      </w:r>
      <w:r w:rsidRPr="00113003">
        <w:t>and in doing so, also consider all public comments received on the application.</w:t>
      </w:r>
      <w:r>
        <w:t xml:space="preserve"> The Guidelines outline specific principles and objectives designed to ensure a strategic and transparent way of evaluating the ecological sustainability of fishery management arrangements. </w:t>
      </w:r>
    </w:p>
    <w:p w14:paraId="79EC9DA4" w14:textId="2B2CBEE8" w:rsidR="00CB172F" w:rsidRDefault="00CB172F" w:rsidP="00CB172F">
      <w:r>
        <w:t xml:space="preserve">The Departments’ assessment forms the basis for approvals granted under Parts 13 and 13A of the EPBC Act, and also forms the basis for the Australian CITES Scientific Authority’s Non-Detriment Finding for CITES species harvested in this fishery. A positive finding under this process results in the granting of a Wildlife trade operations (WTO) certificate for each species exported. </w:t>
      </w:r>
    </w:p>
    <w:p w14:paraId="05689A50" w14:textId="77777777" w:rsidR="00CB172F" w:rsidRDefault="00CB172F" w:rsidP="00CB172F">
      <w:r w:rsidRPr="00C86F77">
        <w:t xml:space="preserve">The assessments are conducted against the 2nd edition of the Guidelines for the Ecologically Sustainable Management of Fisheries (the Guidelines). </w:t>
      </w:r>
      <w:r>
        <w:t xml:space="preserve">This is an assessment against 2 </w:t>
      </w:r>
      <w:r w:rsidRPr="00333C6F">
        <w:rPr>
          <w:b/>
          <w:bCs/>
          <w:i/>
          <w:iCs/>
        </w:rPr>
        <w:t>Principles</w:t>
      </w:r>
      <w:r>
        <w:t xml:space="preserve"> with underlying </w:t>
      </w:r>
      <w:r w:rsidRPr="00333C6F">
        <w:rPr>
          <w:b/>
          <w:bCs/>
          <w:i/>
          <w:iCs/>
        </w:rPr>
        <w:t>Objectives</w:t>
      </w:r>
      <w:r>
        <w:t xml:space="preserve">. Each Objective has </w:t>
      </w:r>
      <w:r w:rsidRPr="00333C6F">
        <w:rPr>
          <w:b/>
          <w:bCs/>
          <w:i/>
          <w:iCs/>
        </w:rPr>
        <w:t>Information requirements</w:t>
      </w:r>
      <w:r>
        <w:t xml:space="preserve">, </w:t>
      </w:r>
      <w:r w:rsidRPr="00333C6F">
        <w:rPr>
          <w:b/>
          <w:bCs/>
          <w:i/>
          <w:iCs/>
        </w:rPr>
        <w:t>Assessment</w:t>
      </w:r>
      <w:r>
        <w:t xml:space="preserve">, and </w:t>
      </w:r>
      <w:r w:rsidRPr="00333C6F">
        <w:rPr>
          <w:b/>
          <w:bCs/>
          <w:i/>
          <w:iCs/>
        </w:rPr>
        <w:t>Management responses</w:t>
      </w:r>
      <w:r>
        <w:t xml:space="preserve"> criteria.</w:t>
      </w:r>
    </w:p>
    <w:p w14:paraId="18F49AC0" w14:textId="77777777" w:rsidR="00CB172F" w:rsidRDefault="00CB172F" w:rsidP="00CB172F">
      <w:pPr>
        <w:ind w:left="720"/>
      </w:pPr>
      <w:r>
        <w:lastRenderedPageBreak/>
        <w:t>PRINCIPLE 1. A fishery must be conducted in a manner that does not lead to over-fishing, or for those stocks that are over-fished, the fishery must be conducted such that there is a high degree of probability the stock(s) will recover.</w:t>
      </w:r>
    </w:p>
    <w:p w14:paraId="7AE16740" w14:textId="77777777" w:rsidR="00CB172F" w:rsidRDefault="00CB172F" w:rsidP="00CB172F">
      <w:pPr>
        <w:ind w:left="720"/>
      </w:pPr>
      <w:r>
        <w:t xml:space="preserve">Objective 1. The fishery shall be conducted at catch levels that maintain ecologically viable stock levels at an agreed point or range, </w:t>
      </w:r>
      <w:r w:rsidRPr="00F22B79">
        <w:t>with acceptable levels of probability.</w:t>
      </w:r>
    </w:p>
    <w:p w14:paraId="34430899" w14:textId="77777777" w:rsidR="00CB172F" w:rsidRPr="00F22B79" w:rsidRDefault="00CB172F" w:rsidP="00CB172F">
      <w:pPr>
        <w:ind w:left="720"/>
      </w:pPr>
      <w:r>
        <w:t xml:space="preserve">Objective 2. Where the fished stock(s) are below a defined reference point, the fishery will be managed to promote recovery to ecologically viable stock levels </w:t>
      </w:r>
      <w:r w:rsidRPr="00F22B79">
        <w:t>within nominated timeframes.</w:t>
      </w:r>
    </w:p>
    <w:p w14:paraId="0AADA349" w14:textId="77777777" w:rsidR="00CB172F" w:rsidRDefault="00CB172F" w:rsidP="00CB172F">
      <w:pPr>
        <w:ind w:left="720"/>
      </w:pPr>
      <w:r>
        <w:t>PRINCIPLE 2. Fishing operations should be managed to minimise their impact on the structure, productivity, function and biological diversity of the ecosystem.</w:t>
      </w:r>
    </w:p>
    <w:p w14:paraId="425DE8DB" w14:textId="77777777" w:rsidR="00CB172F" w:rsidRDefault="00CB172F" w:rsidP="00CB172F">
      <w:pPr>
        <w:ind w:left="720"/>
      </w:pPr>
      <w:r>
        <w:t>Objective 1. The fishery is conducted in a manner that does not threaten bycatch species.</w:t>
      </w:r>
    </w:p>
    <w:p w14:paraId="27BB0263" w14:textId="77777777" w:rsidR="00CB172F" w:rsidRDefault="00CB172F" w:rsidP="00CB172F">
      <w:pPr>
        <w:ind w:left="720"/>
      </w:pPr>
      <w:r>
        <w:t>Objective 2. The fishery is conducted in a manner that avoids mortality of, or injuries to, endangered, threatened or protected species and avoids or minimises impacts on threatened ecological communities.</w:t>
      </w:r>
    </w:p>
    <w:p w14:paraId="4C5747DC" w14:textId="77777777" w:rsidR="00CB172F" w:rsidRDefault="00CB172F" w:rsidP="00CB172F">
      <w:pPr>
        <w:ind w:left="720"/>
      </w:pPr>
      <w:r>
        <w:t>Objective 3. The fishery is conducted, in a manner that minimises the impact of fishing operations on the ecosystem generally.</w:t>
      </w:r>
    </w:p>
    <w:p w14:paraId="4B6CB018" w14:textId="0211630C" w:rsidR="00CB172F" w:rsidRDefault="00CB172F" w:rsidP="00CB172F">
      <w:r w:rsidRPr="00C15EDA">
        <w:t xml:space="preserve">The agency submissions and resulting strategic assessments have </w:t>
      </w:r>
      <w:r w:rsidR="00C15EDA">
        <w:t xml:space="preserve">an established history of improvement to </w:t>
      </w:r>
      <w:r w:rsidRPr="00C15EDA">
        <w:t xml:space="preserve">fishery </w:t>
      </w:r>
      <w:r w:rsidR="00C15EDA">
        <w:t xml:space="preserve">sustainability </w:t>
      </w:r>
      <w:r w:rsidRPr="00C15EDA">
        <w:t xml:space="preserve">and management, and </w:t>
      </w:r>
      <w:r w:rsidR="00C15EDA">
        <w:t xml:space="preserve">has been </w:t>
      </w:r>
      <w:r w:rsidRPr="00C15EDA">
        <w:t>pivotal to promoting sustainable fishing in Australian export fisheries</w:t>
      </w:r>
      <w:r>
        <w:t>.</w:t>
      </w:r>
    </w:p>
    <w:p w14:paraId="45935401" w14:textId="77777777" w:rsidR="0018417D" w:rsidRDefault="0018417D" w:rsidP="00DD488F"/>
    <w:p w14:paraId="51111FC1" w14:textId="77777777" w:rsidR="00DD488F" w:rsidRDefault="00DD488F" w:rsidP="00DD488F">
      <w:pPr>
        <w:pStyle w:val="Heading1"/>
      </w:pPr>
      <w:bookmarkStart w:id="144" w:name="_Toc189055283"/>
      <w:r>
        <w:lastRenderedPageBreak/>
        <w:t>Conclusions and recommendations</w:t>
      </w:r>
      <w:bookmarkEnd w:id="144"/>
    </w:p>
    <w:p w14:paraId="4EFBA723" w14:textId="77777777" w:rsidR="00853BB7" w:rsidRDefault="00853BB7" w:rsidP="00853BB7">
      <w:pPr>
        <w:pStyle w:val="Heading2"/>
      </w:pPr>
      <w:bookmarkStart w:id="145" w:name="_Toc189055284"/>
      <w:r>
        <w:t>Information gaps</w:t>
      </w:r>
      <w:bookmarkEnd w:id="145"/>
    </w:p>
    <w:p w14:paraId="3EBAACA0" w14:textId="6EBAF480" w:rsidR="007D5F54" w:rsidRDefault="007D5F54" w:rsidP="007D5F54">
      <w:r>
        <w:t xml:space="preserve">Information gaps and research priorities for the three east coast fisheries that target Black teatfish and White teatfish are contained in separate jurisdictional reports, however some common themes are discussed below. </w:t>
      </w:r>
    </w:p>
    <w:p w14:paraId="08E3E8BE" w14:textId="7737582A" w:rsidR="00853BB7" w:rsidRDefault="00C0092D" w:rsidP="00853BB7">
      <w:r>
        <w:t>Given the above assessment framework, the</w:t>
      </w:r>
      <w:r w:rsidR="00853BB7">
        <w:t xml:space="preserve"> most pressing information gap</w:t>
      </w:r>
      <w:r w:rsidR="00870D35">
        <w:t>s</w:t>
      </w:r>
      <w:r w:rsidR="00853BB7">
        <w:t xml:space="preserve"> for </w:t>
      </w:r>
      <w:r w:rsidR="00870D35">
        <w:t xml:space="preserve">teatfish </w:t>
      </w:r>
      <w:r w:rsidR="00853BB7">
        <w:t>species in Australian fisheries is the assessment of the status of fishery populations in relation to virgin biomass, B</w:t>
      </w:r>
      <w:r w:rsidR="00853BB7" w:rsidRPr="00B616FA">
        <w:rPr>
          <w:vertAlign w:val="subscript"/>
        </w:rPr>
        <w:t>0</w:t>
      </w:r>
      <w:r w:rsidR="00853BB7">
        <w:t xml:space="preserve"> and </w:t>
      </w:r>
      <w:r>
        <w:t xml:space="preserve">against </w:t>
      </w:r>
      <w:r w:rsidR="00853BB7">
        <w:t xml:space="preserve">nominal estimates of </w:t>
      </w:r>
      <w:r w:rsidR="00870D35">
        <w:t>B</w:t>
      </w:r>
      <w:r w:rsidR="00870D35" w:rsidRPr="00290642">
        <w:rPr>
          <w:i/>
          <w:iCs/>
        </w:rPr>
        <w:t>lim</w:t>
      </w:r>
      <w:r w:rsidR="00870D35">
        <w:t xml:space="preserve"> </w:t>
      </w:r>
      <w:r>
        <w:t>for</w:t>
      </w:r>
      <w:r w:rsidR="00853BB7">
        <w:t xml:space="preserve"> each fishery</w:t>
      </w:r>
      <w:r w:rsidR="00870D35">
        <w:t>, especially for the CSF and to a lesser extent the QSCF</w:t>
      </w:r>
      <w:r w:rsidR="00853BB7">
        <w:t>. Th</w:t>
      </w:r>
      <w:r w:rsidR="007D5F54">
        <w:t xml:space="preserve">ese uncertainties </w:t>
      </w:r>
      <w:r w:rsidR="00853BB7">
        <w:t xml:space="preserve">can be </w:t>
      </w:r>
      <w:r w:rsidR="007D5F54">
        <w:t xml:space="preserve">addressed </w:t>
      </w:r>
      <w:r w:rsidR="00853BB7">
        <w:t xml:space="preserve">through population surveys, and/or </w:t>
      </w:r>
      <w:r w:rsidR="00870D35">
        <w:t xml:space="preserve">ongoing </w:t>
      </w:r>
      <w:r w:rsidR="00853BB7">
        <w:t xml:space="preserve">stock assessment modelling using available fishery dependent and independent data. </w:t>
      </w:r>
    </w:p>
    <w:p w14:paraId="2A64684A" w14:textId="1B5903D0" w:rsidR="00853BB7" w:rsidRDefault="00853BB7" w:rsidP="00853BB7">
      <w:r>
        <w:t xml:space="preserve">Related to this is an understanding of appropriate levels of </w:t>
      </w:r>
      <w:r w:rsidR="000B4EE5">
        <w:t>B</w:t>
      </w:r>
      <w:r w:rsidR="000B4EE5" w:rsidRPr="00290642">
        <w:rPr>
          <w:i/>
          <w:iCs/>
        </w:rPr>
        <w:t>lim</w:t>
      </w:r>
      <w:r w:rsidR="000B4EE5">
        <w:t xml:space="preserve"> </w:t>
      </w:r>
      <w:r>
        <w:t xml:space="preserve">and </w:t>
      </w:r>
      <w:r w:rsidR="000B4EE5">
        <w:t>B</w:t>
      </w:r>
      <w:r w:rsidR="000B4EE5" w:rsidRPr="000B4EE5">
        <w:rPr>
          <w:i/>
          <w:iCs/>
        </w:rPr>
        <w:t>targ</w:t>
      </w:r>
      <w:r w:rsidR="000B4EE5">
        <w:t xml:space="preserve"> </w:t>
      </w:r>
      <w:r>
        <w:t xml:space="preserve">for </w:t>
      </w:r>
      <w:r w:rsidR="00C0092D">
        <w:t xml:space="preserve">application in </w:t>
      </w:r>
      <w:r>
        <w:t>sea cucumber fisher</w:t>
      </w:r>
      <w:r w:rsidR="00C0092D">
        <w:t>y HS</w:t>
      </w:r>
      <w:r>
        <w:t xml:space="preserve"> – currently there are multiple levels designated in various jurisdictions (e.g. </w:t>
      </w:r>
      <w:r w:rsidR="000B4EE5">
        <w:t>B</w:t>
      </w:r>
      <w:r w:rsidR="000B4EE5" w:rsidRPr="00290642">
        <w:rPr>
          <w:i/>
          <w:iCs/>
        </w:rPr>
        <w:t>lim</w:t>
      </w:r>
      <w:r w:rsidR="000B4EE5">
        <w:t xml:space="preserve"> </w:t>
      </w:r>
      <w:r>
        <w:t xml:space="preserve">is designated as </w:t>
      </w:r>
      <w:r w:rsidR="007D5F54">
        <w:t>20%</w:t>
      </w:r>
      <w:r>
        <w:t>B</w:t>
      </w:r>
      <w:r w:rsidRPr="00C0092D">
        <w:rPr>
          <w:vertAlign w:val="subscript"/>
        </w:rPr>
        <w:t>0</w:t>
      </w:r>
      <w:r>
        <w:t xml:space="preserve">, </w:t>
      </w:r>
      <w:r w:rsidR="007D5F54">
        <w:t>30%</w:t>
      </w:r>
      <w:r>
        <w:t>B</w:t>
      </w:r>
      <w:r w:rsidRPr="00C0092D">
        <w:rPr>
          <w:vertAlign w:val="subscript"/>
        </w:rPr>
        <w:t>0</w:t>
      </w:r>
      <w:r>
        <w:t xml:space="preserve"> and </w:t>
      </w:r>
      <w:r w:rsidR="007D5F54">
        <w:t>40%</w:t>
      </w:r>
      <w:r>
        <w:t>B</w:t>
      </w:r>
      <w:r w:rsidRPr="00C0092D">
        <w:rPr>
          <w:vertAlign w:val="subscript"/>
        </w:rPr>
        <w:t>0</w:t>
      </w:r>
      <w:r>
        <w:t xml:space="preserve"> in the QSCF, WASCF and TSBDMF </w:t>
      </w:r>
      <w:r w:rsidR="00C0092D">
        <w:t>HS</w:t>
      </w:r>
      <w:r w:rsidR="0045158D">
        <w:t>,</w:t>
      </w:r>
      <w:r w:rsidR="00C0092D">
        <w:t xml:space="preserve"> </w:t>
      </w:r>
      <w:r>
        <w:t>respectively</w:t>
      </w:r>
      <w:r w:rsidR="00C0092D">
        <w:t>)</w:t>
      </w:r>
      <w:r>
        <w:t xml:space="preserve">. This will be better developed through the stock assessment modelling and </w:t>
      </w:r>
      <w:r w:rsidR="00C0092D">
        <w:t xml:space="preserve">by applying </w:t>
      </w:r>
      <w:r>
        <w:t>MSE to assess the efficacy of current HS.</w:t>
      </w:r>
    </w:p>
    <w:p w14:paraId="69019940" w14:textId="7D9BD04A" w:rsidR="00853BB7" w:rsidRDefault="00853BB7" w:rsidP="00853BB7">
      <w:r>
        <w:t xml:space="preserve">Size/age at maturity, growth and natural mortality of targeted sea cucumber species are all important inputs into population models – and these are poorly understood for </w:t>
      </w:r>
      <w:r w:rsidR="00870D35">
        <w:t xml:space="preserve">local teatfish populations, and </w:t>
      </w:r>
      <w:r>
        <w:t xml:space="preserve">sea cucumbers in general. </w:t>
      </w:r>
    </w:p>
    <w:p w14:paraId="7D611931" w14:textId="78B981C2" w:rsidR="00853BB7" w:rsidRDefault="00853BB7" w:rsidP="00853BB7">
      <w:r>
        <w:t xml:space="preserve">The impact of climate change will remain an important </w:t>
      </w:r>
      <w:r w:rsidR="000363D5">
        <w:t xml:space="preserve">information </w:t>
      </w:r>
      <w:r>
        <w:t>need for sustainable fisheries</w:t>
      </w:r>
      <w:r w:rsidR="0045158D">
        <w:t>.</w:t>
      </w:r>
      <w:r>
        <w:t xml:space="preserve"> </w:t>
      </w:r>
      <w:r w:rsidR="0045158D">
        <w:t>H</w:t>
      </w:r>
      <w:r>
        <w:t>owever, in terms of maintaining populations at low risk levels, it is not essential for the proper operation of a reactive HS – more so for an understanding of ecosystems and the potential for adaptation of human systems to address threat and opportunities.</w:t>
      </w:r>
    </w:p>
    <w:p w14:paraId="19D6D2D8" w14:textId="4E9727FB" w:rsidR="00C0092D" w:rsidRDefault="00C0092D" w:rsidP="00C0092D">
      <w:r>
        <w:t xml:space="preserve">Accurate conversion ratios for different processed forms is critical for the application of fishery dependent and independent (surveys) data to the assessment and management of sea cucumber fisheries, and for traceability to export data. </w:t>
      </w:r>
      <w:r w:rsidR="00870D35">
        <w:t>Some c</w:t>
      </w:r>
      <w:r>
        <w:t xml:space="preserve">onversion factors are available for </w:t>
      </w:r>
      <w:r w:rsidR="00870D35">
        <w:t>both species, h</w:t>
      </w:r>
      <w:r>
        <w:t>owever</w:t>
      </w:r>
      <w:r w:rsidR="0045158D">
        <w:t>,</w:t>
      </w:r>
      <w:r>
        <w:t xml:space="preserve"> live to par-boiled and frozen for both species should be verified. </w:t>
      </w:r>
    </w:p>
    <w:p w14:paraId="1DC41803" w14:textId="3D642E21" w:rsidR="00A943B2" w:rsidRPr="00FB37B4" w:rsidRDefault="00DD488F" w:rsidP="00DD488F">
      <w:pPr>
        <w:pStyle w:val="Heading1notnumbered"/>
      </w:pPr>
      <w:bookmarkStart w:id="146" w:name="_Toc189055285"/>
      <w:r>
        <w:lastRenderedPageBreak/>
        <w:t>References</w:t>
      </w:r>
      <w:bookmarkEnd w:id="146"/>
    </w:p>
    <w:p w14:paraId="364D9441" w14:textId="13971725" w:rsidR="00C0785C" w:rsidRDefault="00C0785C" w:rsidP="003F09A1">
      <w:bookmarkStart w:id="147" w:name="_Hlk161088375"/>
      <w:r>
        <w:t xml:space="preserve">ABC, 2021. </w:t>
      </w:r>
      <w:r w:rsidRPr="00C0785C">
        <w:t>Skippers shocked by influx of Indonesian fishing boats in protected waters close to Australian mainland, 2021. ABC News.</w:t>
      </w:r>
      <w:r>
        <w:t xml:space="preserve"> </w:t>
      </w:r>
      <w:hyperlink r:id="rId37" w:history="1">
        <w:r w:rsidRPr="00C54C73">
          <w:rPr>
            <w:rStyle w:val="Hyperlink"/>
          </w:rPr>
          <w:t>https://www.abc.net.au/news/2021-10-14/illegal-fishing-boat-influx-off-australian-mainland/100530120</w:t>
        </w:r>
      </w:hyperlink>
      <w:r>
        <w:t xml:space="preserve"> accessed 1/10/2023</w:t>
      </w:r>
    </w:p>
    <w:bookmarkEnd w:id="147"/>
    <w:p w14:paraId="59AD7FBA" w14:textId="2FBF182B" w:rsidR="00203BE2" w:rsidRDefault="00203BE2" w:rsidP="00203BE2">
      <w:r>
        <w:t xml:space="preserve">ABC, 2023a. </w:t>
      </w:r>
      <w:r w:rsidRPr="00185E19">
        <w:t>Resurgence of illegal Indonesian fishers 'unacceptable' as companies say stocks are suffering</w:t>
      </w:r>
      <w:r>
        <w:t xml:space="preserve"> </w:t>
      </w:r>
      <w:hyperlink r:id="rId38" w:history="1">
        <w:r w:rsidRPr="00B7610B">
          <w:rPr>
            <w:rStyle w:val="Hyperlink"/>
          </w:rPr>
          <w:t>https://www.abc.net.au/news/2023-11-19/illegal-indonesian-fishers-resurgence-northern-australia-/103063244</w:t>
        </w:r>
      </w:hyperlink>
      <w:r>
        <w:t xml:space="preserve"> Accessed 20/11/2023</w:t>
      </w:r>
    </w:p>
    <w:p w14:paraId="4050E747" w14:textId="47A3F670" w:rsidR="00203BE2" w:rsidRPr="00CE1AA4" w:rsidRDefault="00203BE2" w:rsidP="00203BE2">
      <w:bookmarkStart w:id="148" w:name="_Hlk161088358"/>
      <w:r w:rsidRPr="00CE1AA4">
        <w:t>ABC, 2023</w:t>
      </w:r>
      <w:r>
        <w:t>b</w:t>
      </w:r>
      <w:r w:rsidRPr="00CE1AA4">
        <w:t>. Foreign illegal fishing boats on the increase, Torres Strait Islanders say, amid calls for an investigation. ABC News. [https://www.abc.net.au/news/2023-01-31/illegal-foreign-fishing-boats-increase-torres-strait-islanders/101910034]</w:t>
      </w:r>
    </w:p>
    <w:p w14:paraId="3B145499" w14:textId="77777777" w:rsidR="00A0428C" w:rsidRDefault="00A0428C" w:rsidP="00A0428C">
      <w:bookmarkStart w:id="149" w:name="_Hlk161072136"/>
      <w:bookmarkEnd w:id="148"/>
      <w:r>
        <w:t>Adhuri, D.S., 2013. Traditional and ‘modern’ trepang fisheries on the border of the Indonesian and Australian fishing zones, in: Clark, M., May, S.K. (Eds.), Macassan History and Heritage, Journeys, Encounters and Influences. ANU Press, pp. 183–204.</w:t>
      </w:r>
    </w:p>
    <w:bookmarkEnd w:id="149"/>
    <w:p w14:paraId="1F04A0DA" w14:textId="43392EC3" w:rsidR="00F93970" w:rsidRDefault="00F93970" w:rsidP="001F4AAC">
      <w:r>
        <w:t xml:space="preserve">ADF, 2024. </w:t>
      </w:r>
      <w:r w:rsidRPr="00F93970">
        <w:t>Australian Faunal Directory</w:t>
      </w:r>
      <w:r>
        <w:t xml:space="preserve">. </w:t>
      </w:r>
      <w:hyperlink r:id="rId39" w:history="1">
        <w:r w:rsidRPr="00796ED6">
          <w:rPr>
            <w:rStyle w:val="Hyperlink"/>
          </w:rPr>
          <w:t>https://www.biodiversity.org.au/afd/taxa/Holothuria_%28Microthele%29</w:t>
        </w:r>
      </w:hyperlink>
      <w:r>
        <w:t xml:space="preserve"> Accessed 1/6/2024</w:t>
      </w:r>
    </w:p>
    <w:p w14:paraId="362F7C2A" w14:textId="3A74699E" w:rsidR="0036521C" w:rsidRDefault="0036521C" w:rsidP="001F4AAC">
      <w:r w:rsidRPr="0036521C">
        <w:t>AFMA, 2004. Coral Sea Fishery Statement of Management Arrangements. AFMA.</w:t>
      </w:r>
    </w:p>
    <w:p w14:paraId="326EF87C" w14:textId="77777777" w:rsidR="00D43E84" w:rsidRDefault="00D43E84" w:rsidP="00203BE2">
      <w:r w:rsidRPr="00D43E84">
        <w:t xml:space="preserve">AFMA, 2008. Coral Sea Fishery Hand Collection Sector: Sea Cucumber Harvest Strategy. </w:t>
      </w:r>
    </w:p>
    <w:p w14:paraId="78A4CF91" w14:textId="77777777" w:rsidR="001A6018" w:rsidRDefault="001A6018" w:rsidP="00203BE2">
      <w:r w:rsidRPr="001A6018">
        <w:t xml:space="preserve">AFMA, 2019. Torres Strait Beche-de-mer Fishery Harvest Strategy. </w:t>
      </w:r>
    </w:p>
    <w:p w14:paraId="77FA1A6F" w14:textId="14255E71" w:rsidR="00203BE2" w:rsidRPr="00CE1AA4" w:rsidRDefault="00203BE2" w:rsidP="00203BE2">
      <w:bookmarkStart w:id="150" w:name="_Hlk161088411"/>
      <w:r w:rsidRPr="00CE1AA4">
        <w:t>AFMA, 2020. Unlicensed fish receiver fined in the Torres Strait [https://www.afma.gov.au/news/unlicensed-fish-receiver-fined-torres-strait]</w:t>
      </w:r>
    </w:p>
    <w:p w14:paraId="288FB079" w14:textId="77777777" w:rsidR="00D62356" w:rsidRDefault="00D62356" w:rsidP="000363D5">
      <w:bookmarkStart w:id="151" w:name="_Hlk161087985"/>
      <w:bookmarkEnd w:id="150"/>
      <w:r w:rsidRPr="00D62356">
        <w:t xml:space="preserve">AFMA, 2021. Coral Sea Fishery. Management Arrangement, Booklet 2021. Australian Fisheries Management Authority, Canberra. </w:t>
      </w:r>
    </w:p>
    <w:p w14:paraId="4BAACD01" w14:textId="77777777" w:rsidR="00D62356" w:rsidRDefault="00D62356" w:rsidP="00D62356">
      <w:bookmarkStart w:id="152" w:name="_Hlk161087997"/>
      <w:bookmarkEnd w:id="151"/>
      <w:r w:rsidRPr="00536D2F">
        <w:t>AFMA, 2023. AFMA submission for reassessment of the Torres Strait Bêche-de-mer Fishery under the EPBC Act June 2023. Australian Fisheries Management Authority Canberra, Australia.</w:t>
      </w:r>
    </w:p>
    <w:bookmarkEnd w:id="152"/>
    <w:p w14:paraId="071AA06B" w14:textId="0824B654" w:rsidR="00203BE2" w:rsidRPr="00632830" w:rsidRDefault="00203BE2" w:rsidP="00203BE2">
      <w:r w:rsidRPr="00632830">
        <w:t xml:space="preserve">AIMS, 2023. Coral bleaching events. </w:t>
      </w:r>
      <w:hyperlink r:id="rId40" w:anchor=":~:text=Mass%20bleaching%20events%20on%20the,bleaching%20events%20around%20those%20times" w:history="1">
        <w:r w:rsidRPr="00632830">
          <w:rPr>
            <w:rStyle w:val="Hyperlink"/>
          </w:rPr>
          <w:t>https://www.aims.gov.au/research-topics/environmental-issues/coral-bleaching/coral-bleaching-events#:~:text=Mass%20bleaching%20events%20on%20the,bleaching%20events%20around%20those%20times</w:t>
        </w:r>
      </w:hyperlink>
      <w:r w:rsidRPr="00632830">
        <w:t>. Accessed 1/8/2023</w:t>
      </w:r>
    </w:p>
    <w:p w14:paraId="42D0EDC2" w14:textId="7C6F3831" w:rsidR="006F71AC" w:rsidRDefault="006F71AC" w:rsidP="000363D5">
      <w:bookmarkStart w:id="153" w:name="_Hlk161072287"/>
      <w:r w:rsidRPr="006F71AC">
        <w:t xml:space="preserve">Akamine, J., 2001. Holothurian Exploitation in the Philippines: Continuities and Discontinuities. Tropics 10, 591–607. </w:t>
      </w:r>
      <w:hyperlink r:id="rId41" w:history="1">
        <w:r w:rsidRPr="00320D06">
          <w:rPr>
            <w:rStyle w:val="Hyperlink"/>
          </w:rPr>
          <w:t>https://doi.org/10.3759/tropics.10.591</w:t>
        </w:r>
      </w:hyperlink>
    </w:p>
    <w:bookmarkEnd w:id="153"/>
    <w:p w14:paraId="75D44ECB" w14:textId="04300EA0" w:rsidR="009D57FA" w:rsidRDefault="009D57FA" w:rsidP="000363D5">
      <w:r w:rsidRPr="009D57FA">
        <w:t xml:space="preserve">Akamine, J., 2024. The McDonaldization of the sea cucumber: Changes in foodways of an ancient delicacy in Northeastern Asia, in: The World of Sea Cucumbers. Elsevier, pp. 51–63. </w:t>
      </w:r>
      <w:hyperlink r:id="rId42" w:history="1">
        <w:r w:rsidRPr="00DF450B">
          <w:rPr>
            <w:rStyle w:val="Hyperlink"/>
          </w:rPr>
          <w:t>https://doi.org/10.1016/B978-0-323-95377-1.00013-8</w:t>
        </w:r>
      </w:hyperlink>
    </w:p>
    <w:p w14:paraId="5913AF3A" w14:textId="46C10471" w:rsidR="000363D5" w:rsidRPr="00632830" w:rsidRDefault="000363D5" w:rsidP="000363D5">
      <w:r w:rsidRPr="00632830">
        <w:t>Anderson, S.C., Flemming, J.M., Watson, R., Lotze, H.K., 2011. Serial exploitation of global sea cucumber fisheries: Serial exploitation of sea cucumbers. Fish and Fisheries 12, 317–339. https://doi.org/10.1111/j.1467-2979.2010.00397.x</w:t>
      </w:r>
    </w:p>
    <w:p w14:paraId="0166FE5F" w14:textId="27BDC4B1" w:rsidR="001F4AAC" w:rsidRDefault="001F4AAC" w:rsidP="001F4AAC">
      <w:bookmarkStart w:id="154" w:name="_Hlk161073528"/>
      <w:r>
        <w:t>Anderson, A. 2000. Slow boats from China. Issues in the prehistory of Indo-Pacific seafaring. Pp. 13-50. In O’Connor, S.&amp;Veth, P. (eds) East of the Wallace Line: studies of past and present maritime cultures of the Indo-Pacific region. Modern Quaternary Research in Southeast Asia 16. (AA Balkema Press: Rotterdam)</w:t>
      </w:r>
    </w:p>
    <w:p w14:paraId="3AD70B31" w14:textId="77777777" w:rsidR="0020085B" w:rsidRDefault="0020085B" w:rsidP="0020085B">
      <w:bookmarkStart w:id="155" w:name="_Hlk161072608"/>
      <w:bookmarkEnd w:id="154"/>
      <w:r>
        <w:t>Anon. 1946. Pearl shell, beche-de-mer and trochus industry of Northern Australia. Commonwealth of Australia, Department of Commerce and Agriculture, Commonwealth Fisheries Office, Economic Report No.1, Sydney. 105pp.</w:t>
      </w:r>
    </w:p>
    <w:bookmarkEnd w:id="155"/>
    <w:p w14:paraId="7BA91CB4" w14:textId="42B00A05" w:rsidR="00006594" w:rsidRPr="00632830" w:rsidRDefault="00006594" w:rsidP="00006594">
      <w:r w:rsidRPr="00632830">
        <w:lastRenderedPageBreak/>
        <w:t>Asha, P.S., Muthiah, P., 2005. Effects of temperature, salinity and pH on larval growth, survival and development of the sea cucumber Holothuria spinifera Theel. Aquaculture 250, 823–829. https://doi.org/10.1016/j.aquaculture.2005.04.075</w:t>
      </w:r>
    </w:p>
    <w:p w14:paraId="0A10CA99" w14:textId="77777777" w:rsidR="004B12C9" w:rsidRDefault="004B12C9" w:rsidP="000363D5">
      <w:r w:rsidRPr="004B12C9">
        <w:t xml:space="preserve">Babcock, R., Mundy, C., Keesing, J., Oliver, J., 1992. Predictable and unpredictable spawning events: In situ behavioural data from free-spawning coral reef invertebrates. Invertebrate Reproduction &amp; Development - INVERTEBR REPROD DEV 22, 213–227. https://doi.org/10.1080/07924259.1992.9672274 </w:t>
      </w:r>
    </w:p>
    <w:p w14:paraId="2F6EC121" w14:textId="726AE645" w:rsidR="000363D5" w:rsidRPr="00632830" w:rsidRDefault="000363D5" w:rsidP="000363D5">
      <w:r w:rsidRPr="00632830">
        <w:t>Barclay, K., Fabinyi, M., Kinch, J., Foale, S., 2019. Governability of High-Value Fisheries in Low-Income Contexts: a Case Study of the Sea Cucumber Fishery in Papua New Guinea. Hum Ecol 47, 381–396. https://doi.org/10.1007/s10745-019-00078-8</w:t>
      </w:r>
    </w:p>
    <w:p w14:paraId="7A70AA5C" w14:textId="77777777" w:rsidR="003E0D10" w:rsidRDefault="003E0D10" w:rsidP="003E0D10">
      <w:bookmarkStart w:id="156" w:name="_Hlk161073588"/>
      <w:r>
        <w:t>Beckett, J., 1977. The Torres Strait Islanders and the pearling industry: a case of internal colonialism. Aboriginal History 1. https://doi.org/10.22459/AH.01.2011.04</w:t>
      </w:r>
    </w:p>
    <w:bookmarkEnd w:id="156"/>
    <w:p w14:paraId="0E7C94A1" w14:textId="77777777" w:rsidR="00263ABB" w:rsidRDefault="00263ABB" w:rsidP="00A0428C">
      <w:r w:rsidRPr="00263ABB">
        <w:t xml:space="preserve">Bellchambers, L., Meeuwig, J., Evans, S., Legendre, P., 2011. Modelling habitat associations of 14 species of holothurians from an unfished coral atoll: implications for fisheries management. Aquatic Biology 14, 57–66. https://doi.org/10.3354/ab00381 </w:t>
      </w:r>
    </w:p>
    <w:p w14:paraId="71BCE83F" w14:textId="77777777" w:rsidR="000B19DC" w:rsidRPr="00632830" w:rsidRDefault="000B19DC" w:rsidP="000B19DC">
      <w:r w:rsidRPr="00632830">
        <w:t>Benzie, J.A.H., Uthicke, S., 2003. Stock size of bêche-de-mer, recruitment patterns and gene flow in black teatfish, and recovery of overfished black teatfish stocks in the Great Barrier Reef. Australian Institute of Marine Sciences, Townsville, Qld.</w:t>
      </w:r>
    </w:p>
    <w:p w14:paraId="4A12F332" w14:textId="33EC52D1" w:rsidR="00A0428C" w:rsidRDefault="00A0428C" w:rsidP="00A0428C">
      <w:r>
        <w:t>Blair, S., Hall, N., 2013. Travelling the ‘Malay Road’: Recognising the heritage significance of the Macassan maritime trade route, in: Clark, M., May, S.K. (Eds.), Macassan History and Heritage, Journeys, Encounters and Influences. ANU Press, pp. 205–226.</w:t>
      </w:r>
    </w:p>
    <w:p w14:paraId="61DDC81E" w14:textId="2EBD02AF" w:rsidR="00A0428C" w:rsidRDefault="00A0428C" w:rsidP="00A0428C">
      <w:bookmarkStart w:id="157" w:name="_Hlk161072183"/>
      <w:r>
        <w:t>Bolton, G.C., 1970. A thousand miles away : a history of North Queensland to 1920. Australian National University Press.</w:t>
      </w:r>
    </w:p>
    <w:bookmarkEnd w:id="157"/>
    <w:p w14:paraId="6FE1C9C3" w14:textId="77777777" w:rsidR="00D43E84" w:rsidRDefault="00D43E84" w:rsidP="00D43E84">
      <w:r w:rsidRPr="00D43E84">
        <w:t xml:space="preserve">Breen, S., 2001. Queensland East Coast Beche-de-mer Fishery Statement of Management Arrangements. </w:t>
      </w:r>
      <w:r>
        <w:t>Queensland Fisheries Service</w:t>
      </w:r>
    </w:p>
    <w:p w14:paraId="3B0C1985" w14:textId="77777777" w:rsidR="00923A51" w:rsidRPr="00632830" w:rsidRDefault="00923A51" w:rsidP="00923A51">
      <w:r w:rsidRPr="00632830">
        <w:t>Buccheri, E., Foellmer, M.W., Christensen, B.A., Langis, P., Ritter, S., Wolf, E., Freeman, A.S., 2019. Variation in Righting Times of Holothuria atra, Stichopus chloronotus, and Holothuria edulis in Response to Increased Seawater Temperatures on Heron Reef in the Southern GBR. Journal of Marine Sciences 2019, e6179705. https://doi.org/10.1155/2019/6179705</w:t>
      </w:r>
    </w:p>
    <w:p w14:paraId="3F903665" w14:textId="77777777" w:rsidR="00E265EB" w:rsidRPr="00CE1AA4" w:rsidRDefault="00E265EB" w:rsidP="00E265EB">
      <w:r w:rsidRPr="00CE1AA4">
        <w:t>Butler, I., D’Alberto, B., Tuynman, H., 2022. Torres Strait Bêche-de-mer and Trochus fisheries: Fishery status reports 2022, in: Fishery Status Reports 2022. Australian Bureau of Agricultural and Resource Economics and Sciences, Canberra.</w:t>
      </w:r>
    </w:p>
    <w:p w14:paraId="3603C963" w14:textId="77777777" w:rsidR="006345E1" w:rsidRPr="006345E1" w:rsidRDefault="006345E1" w:rsidP="006345E1">
      <w:r w:rsidRPr="006345E1">
        <w:t>Burgy, L., Purcell, S.W., 2024. Growth, behaviour and survival of cultured juvenile teatfish (</w:t>
      </w:r>
      <w:r w:rsidRPr="006345E1">
        <w:rPr>
          <w:i/>
          <w:iCs/>
        </w:rPr>
        <w:t>Holothuria fuscogilva</w:t>
      </w:r>
      <w:r w:rsidRPr="006345E1">
        <w:t xml:space="preserve"> and </w:t>
      </w:r>
      <w:r w:rsidRPr="006345E1">
        <w:rPr>
          <w:i/>
          <w:iCs/>
        </w:rPr>
        <w:t>H. whitmaei</w:t>
      </w:r>
      <w:r w:rsidRPr="006345E1">
        <w:t>) in French Polynesia. SPC Beche-de-mer Information Bulletin.</w:t>
      </w:r>
    </w:p>
    <w:p w14:paraId="28DD41BF" w14:textId="20EAA8F6" w:rsidR="003F09A1" w:rsidRDefault="003F09A1" w:rsidP="003F09A1">
      <w:r w:rsidRPr="004D4319">
        <w:t xml:space="preserve">Bryce, C., Marsh, L., 2009. Echinodermata (Asteroidea, Echinoidea and Holothuroidea) of Mermaid (Rowley Shoals), Scott and Seringapatam Reefs, Western Australia. Records of the Western Australian Museum, Supplement 77, 209. </w:t>
      </w:r>
      <w:hyperlink r:id="rId43" w:history="1">
        <w:r w:rsidRPr="002835B0">
          <w:rPr>
            <w:rStyle w:val="Hyperlink"/>
          </w:rPr>
          <w:t>https://doi.org/10.18195/issn.0313-122x.77.2009.209-220</w:t>
        </w:r>
      </w:hyperlink>
    </w:p>
    <w:p w14:paraId="4EBDFD56" w14:textId="499FFC6E" w:rsidR="00263ABB" w:rsidRDefault="00263ABB" w:rsidP="007A300E">
      <w:r w:rsidRPr="00263ABB">
        <w:t xml:space="preserve">Byrne, M., Rowe, F., Uthicke, S., 2010. Molecular taxonomy, phylogeny and evolution in the family Stichopodidae (Aspidochirotida: Holothuroidea) based on COI and 16S mitochondrial DNA. Molecular Phylogenetics and Evolution 56, 1068–1081. </w:t>
      </w:r>
      <w:hyperlink r:id="rId44" w:history="1">
        <w:r w:rsidRPr="00B7610B">
          <w:rPr>
            <w:rStyle w:val="Hyperlink"/>
          </w:rPr>
          <w:t>https://doi.org/10.1016/j.ympev.2010.04.013</w:t>
        </w:r>
      </w:hyperlink>
    </w:p>
    <w:p w14:paraId="0B80554C" w14:textId="77777777" w:rsidR="000B19DC" w:rsidRPr="00632830" w:rsidRDefault="000B19DC" w:rsidP="000B19DC">
      <w:bookmarkStart w:id="158" w:name="_Hlk139464504"/>
      <w:r w:rsidRPr="00632830">
        <w:t>Ceccarelli, D.M., McKinnon, A.D., Andréfouët, S., Allain, V., Young, J., Gledhill, D.C., Flynn, A., Bax, N.J., Beaman, R., Borsa, P., et al., 2013. The coral sea: physical environment, ecosystem status and biodiversity assets. Adv. Mar. Biol. 66, 213–290.</w:t>
      </w:r>
    </w:p>
    <w:bookmarkEnd w:id="158"/>
    <w:p w14:paraId="2683B8B5" w14:textId="3D42DC5B" w:rsidR="004B12C9" w:rsidRDefault="004B12C9" w:rsidP="004B12C9">
      <w:r w:rsidRPr="00632830">
        <w:t xml:space="preserve">Cheng, C., Wu, F., Ren, C., Jiang, X., Zhang, X., Li, X., Luo, P., Hu, C., Chen, T., 2021. Aquaculture of the tropical sea cucumber, Stichopus monotuberculatus: Induced spawning, detailed records of gonadal and embryonic development, and improvements in larval breeding by digestive enzyme supply in diet. Aquaculture 540, 736690. </w:t>
      </w:r>
      <w:hyperlink r:id="rId45" w:history="1">
        <w:r w:rsidR="000B19DC" w:rsidRPr="00B749D0">
          <w:rPr>
            <w:rStyle w:val="Hyperlink"/>
          </w:rPr>
          <w:t>https://doi.org/10.1016/j.aquaculture.2021.736690</w:t>
        </w:r>
      </w:hyperlink>
    </w:p>
    <w:p w14:paraId="2E9EEF0D" w14:textId="349C6EDA" w:rsidR="00774064" w:rsidRDefault="00774064" w:rsidP="00774064">
      <w:bookmarkStart w:id="159" w:name="_Hlk161074767"/>
      <w:r>
        <w:lastRenderedPageBreak/>
        <w:t>Chester</w:t>
      </w:r>
      <w:r w:rsidR="002015B7">
        <w:t>,</w:t>
      </w:r>
      <w:r>
        <w:t xml:space="preserve"> H.H. 1870. Account of a visit to Warrior Island in September and October 1870 with a description of the pearl fishery on the Warrior Reef. Report accompanying a letter to the Colonial Secretary dated 20 October 1870. QSA, Col/A151, 3425 of 1870.</w:t>
      </w:r>
    </w:p>
    <w:bookmarkEnd w:id="159"/>
    <w:p w14:paraId="39D6F365" w14:textId="2DDA669A" w:rsidR="000B19DC" w:rsidRPr="00632830" w:rsidRDefault="000B19DC" w:rsidP="00774064">
      <w:r w:rsidRPr="00632830">
        <w:t>Chieu, H.D., Premachandra, H.K.A., Powell, D., Knibb, W., 2023. Genome-wide SNP analyses reveal a substantial gene flow and isolated-genetic structure of sea cucumber Holothuria leucospilota populations in Western Central Pacific. Fisheries Research 264, 106718. https://doi.org/10.1016/j.fishres.2023.106718</w:t>
      </w:r>
    </w:p>
    <w:p w14:paraId="7F0772CB" w14:textId="77777777" w:rsidR="006F71AC" w:rsidRDefault="006F71AC" w:rsidP="007A300E">
      <w:r w:rsidRPr="006F71AC">
        <w:t xml:space="preserve">Choo, P.-S., 2008. Population status, fisheries and trade of sea cucumbers in Asia. </w:t>
      </w:r>
    </w:p>
    <w:p w14:paraId="28FBCE35" w14:textId="7263F052" w:rsidR="000B19DC" w:rsidRDefault="000B19DC" w:rsidP="007A300E">
      <w:r w:rsidRPr="000B19DC">
        <w:t>Choukroun, M., Harrison, H., Hoey, A., Prachett, M., 2021. Coral Sea - Coral Reef Health Project: In situ measurements of water temperature and current flow (Report to the Director of National Parks). JCU, Townsville.</w:t>
      </w:r>
    </w:p>
    <w:p w14:paraId="6B5F1BB7" w14:textId="397A6EDC" w:rsidR="007A300E" w:rsidRDefault="007A300E" w:rsidP="007A300E">
      <w:r w:rsidRPr="00BC2D6E">
        <w:t>CITES, 1973. Convention on International Trade in Endangered Species of Wild Fauna and Flora.</w:t>
      </w:r>
    </w:p>
    <w:p w14:paraId="23FC4768" w14:textId="77777777" w:rsidR="007A300E" w:rsidRDefault="007A300E" w:rsidP="007A300E">
      <w:r w:rsidRPr="0032393D">
        <w:t>CITES, 2011. Non-detriment findings. Conf. 16.7 (Rev. CoP 17).</w:t>
      </w:r>
    </w:p>
    <w:p w14:paraId="33C49C5C" w14:textId="77777777" w:rsidR="00A90C83" w:rsidRPr="00A90C83" w:rsidRDefault="00A90C83" w:rsidP="00A90C83">
      <w:bookmarkStart w:id="160" w:name="_Hlk174099559"/>
      <w:r w:rsidRPr="00A90C83">
        <w:t>CITES, 2019. Consideration of proposals for amendment of appendices i and ii. Cop18 prop. 45.</w:t>
      </w:r>
    </w:p>
    <w:p w14:paraId="180C77DF" w14:textId="77777777" w:rsidR="009D57FA" w:rsidRDefault="009D57FA" w:rsidP="00923A51">
      <w:r w:rsidRPr="009D57FA">
        <w:t>CITES, 2022. Consideration of proposals for amendment of appendices I and II. CoP19 Prop. 42 (Rev. 1).</w:t>
      </w:r>
    </w:p>
    <w:bookmarkEnd w:id="160"/>
    <w:p w14:paraId="4BFE315D" w14:textId="491725A8" w:rsidR="00923A51" w:rsidRPr="00632830" w:rsidRDefault="00923A51" w:rsidP="00923A51">
      <w:r w:rsidRPr="00632830">
        <w:t>Collard, M., Eeckhaut, I., Dehairs, F., Dubois, P., 2014. Acid–base physiology response to ocean acidification of two ecologically and economically important holothuroids from contrasting habitats, Holothuria scabra and Holothuria parva. Environmental Science and Pollution Research 21, 13602–13614. https://doi.org/10.1007/s11356-014-3259-z</w:t>
      </w:r>
    </w:p>
    <w:p w14:paraId="48CABB06" w14:textId="457EB09E" w:rsidR="00B64833" w:rsidRDefault="00B64833" w:rsidP="00E83E9E">
      <w:r w:rsidRPr="00B64833">
        <w:t>Conand, C., 1981. Sexual cycle of three commercially important holothurian species (Echinodermata) from the lagoon of New Caledonia 21.</w:t>
      </w:r>
    </w:p>
    <w:p w14:paraId="39E23843" w14:textId="77777777" w:rsidR="006B14A1" w:rsidRDefault="006B14A1" w:rsidP="000363D5">
      <w:r w:rsidRPr="006B14A1">
        <w:t>Conand, C., 1988. Comparison between estimations of growth and mortality of two stichopodid holothurians. Proceeding 6th Intern Coral Reef Symp 2, 661–665.</w:t>
      </w:r>
    </w:p>
    <w:p w14:paraId="74A036D3" w14:textId="77777777" w:rsidR="00276A80" w:rsidRPr="00632830" w:rsidRDefault="00276A80" w:rsidP="00276A80">
      <w:r w:rsidRPr="00632830">
        <w:t>Conand, C., 1993. Reproductive biology of the holothurians from the major communities of the New Caledonian Lagoon. Marine Biology 116, 439–450. https://doi.org/10.1007/BF00350061</w:t>
      </w:r>
    </w:p>
    <w:p w14:paraId="050133FF" w14:textId="67F15276" w:rsidR="00263ABB" w:rsidRDefault="00263ABB" w:rsidP="000363D5">
      <w:r w:rsidRPr="00263ABB">
        <w:t>Conand, C., 1998. Holothurians, in: Carpenter, K.E., Niem, V.H. (Eds.), United Nations Food and Agriculture Organization Species Identification Guide for Fishery Purposes. The Living Marine Resources of the Western Central Pacific, Vol. 2, Cephalopods, Crustaceans, Holothurians and Sharks. Food and Agriculture Organization of the United Nations, Rome.</w:t>
      </w:r>
    </w:p>
    <w:p w14:paraId="42E7979E" w14:textId="77777777" w:rsidR="00DA65FD" w:rsidRDefault="00DA65FD" w:rsidP="000363D5">
      <w:r w:rsidRPr="00DA65FD">
        <w:t xml:space="preserve">Conand, C. 2008. Population status, fisheries and trade of sea cucumbers in Africa and the Indian Ocean. In V. Toral-Granda, A. Lovatelli and M. Vasconcellos (eds). Sea cucumbers. A global review of fisheries and trade. FAO Fisheries and Aquaculture Technical Paper. No. 516. Rome, FAO. pp. 143–193. </w:t>
      </w:r>
    </w:p>
    <w:p w14:paraId="31979F80" w14:textId="77777777" w:rsidR="00D213B5" w:rsidRDefault="00D213B5" w:rsidP="00D213B5">
      <w:r>
        <w:t xml:space="preserve">Conand, C., Gamboa, R., Purcell, S. &amp; Toral-Granda, V., 2013a. </w:t>
      </w:r>
      <w:r w:rsidRPr="00E4456D">
        <w:rPr>
          <w:i/>
          <w:iCs/>
        </w:rPr>
        <w:t>Holothuria whitmaei</w:t>
      </w:r>
      <w:r>
        <w:t>. The IUCN Red List of Threatened Species 2013: e.T180440A1630988. http://dx.doi.org/10.2305/IUCN.UK.2013-1.RLTS.T180440A1630988.en</w:t>
      </w:r>
    </w:p>
    <w:p w14:paraId="20CEAFC5" w14:textId="79DC6B59" w:rsidR="00D213B5" w:rsidRDefault="00D213B5" w:rsidP="00D213B5">
      <w:r>
        <w:t xml:space="preserve">Conand, C., Purcell, S. &amp; Gamboa, R., 2013b. </w:t>
      </w:r>
      <w:r w:rsidRPr="00E4456D">
        <w:rPr>
          <w:i/>
          <w:iCs/>
        </w:rPr>
        <w:t>Holothuria fuscogilva</w:t>
      </w:r>
      <w:r>
        <w:t xml:space="preserve">. The IUCN Red List of Threatened Species 2013: e.T200715A2681354. </w:t>
      </w:r>
      <w:hyperlink r:id="rId46" w:history="1">
        <w:r w:rsidRPr="00C20E56">
          <w:rPr>
            <w:rStyle w:val="Hyperlink"/>
          </w:rPr>
          <w:t>http://dx.doi.org/10.2305/IUCN.UK.2013-1.RLTS.T200715A2681354.en</w:t>
        </w:r>
      </w:hyperlink>
    </w:p>
    <w:p w14:paraId="3F95BF7C" w14:textId="09A850B8" w:rsidR="00AB248B" w:rsidRDefault="00AB248B" w:rsidP="0020085B">
      <w:r w:rsidRPr="00AB248B">
        <w:t>DAF, 2020. Status report for reassessment and approval under protected species and export provisions of the Environment Protection and Biodiversity Conservation Act 1999. Fisheries Queensland, Department of Agriculture and Fisheries.</w:t>
      </w:r>
    </w:p>
    <w:p w14:paraId="734300D5" w14:textId="77777777" w:rsidR="006844F5" w:rsidRDefault="006844F5" w:rsidP="006844F5">
      <w:bookmarkStart w:id="161" w:name="_Hlk161072575"/>
      <w:r w:rsidRPr="001A6018">
        <w:t>DAF, 2021. Queensland Harvest Strategy Policy V 2.01 (No. FIS/2020/5464).</w:t>
      </w:r>
    </w:p>
    <w:p w14:paraId="5BE9F85A" w14:textId="1E00D02A" w:rsidR="000F5D65" w:rsidRDefault="000F5D65" w:rsidP="0020085B">
      <w:r w:rsidRPr="000F5D65">
        <w:t>Dai</w:t>
      </w:r>
      <w:r>
        <w:t>,</w:t>
      </w:r>
      <w:r w:rsidRPr="000F5D65">
        <w:t xml:space="preserve"> Y</w:t>
      </w:r>
      <w:r>
        <w:t>.,</w:t>
      </w:r>
      <w:r w:rsidRPr="000F5D65">
        <w:t xml:space="preserve"> 2002</w:t>
      </w:r>
      <w:r>
        <w:t>.</w:t>
      </w:r>
      <w:r w:rsidRPr="000F5D65">
        <w:t xml:space="preserve"> Food Culture and Overseas Trade: The Trepang between China and Southeast Asia during the Qing Dynasty. In: Wu DYH, Cheung SCH, eds. The globalization of Chinese food. Honolulu: University of Hawaii Press. pp 21–42.</w:t>
      </w:r>
    </w:p>
    <w:p w14:paraId="089902A5" w14:textId="33FBBF63" w:rsidR="0020085B" w:rsidRDefault="0020085B" w:rsidP="0020085B">
      <w:r w:rsidRPr="00F01BF5">
        <w:t>Daily Telegraph</w:t>
      </w:r>
      <w:r>
        <w:t xml:space="preserve">, 1932. </w:t>
      </w:r>
      <w:r w:rsidRPr="00F01BF5">
        <w:t>Killing of 5 japs. Reported, Daily Telegraph</w:t>
      </w:r>
      <w:r>
        <w:t xml:space="preserve"> </w:t>
      </w:r>
      <w:r w:rsidRPr="00F01BF5">
        <w:t>29 September</w:t>
      </w:r>
      <w:r>
        <w:t>, 1932</w:t>
      </w:r>
      <w:r w:rsidRPr="00F01BF5">
        <w:t>.</w:t>
      </w:r>
    </w:p>
    <w:bookmarkEnd w:id="161"/>
    <w:p w14:paraId="65AEFC8B" w14:textId="035E03F7" w:rsidR="00E83E9E" w:rsidRDefault="00E83E9E" w:rsidP="00E83E9E">
      <w:r>
        <w:lastRenderedPageBreak/>
        <w:t>DAWE. 2018. Commonwealth Fisheries Harvest Strategy Policy. Department of Agriculture and Water Resources, Canberra.</w:t>
      </w:r>
    </w:p>
    <w:p w14:paraId="051B3F49" w14:textId="0CCB7A18" w:rsidR="00E83E9E" w:rsidRPr="000E0A8F" w:rsidRDefault="00E83E9E" w:rsidP="00E83E9E">
      <w:r w:rsidRPr="000E0A8F">
        <w:t>DAWE, 2021</w:t>
      </w:r>
      <w:r w:rsidR="007A300E" w:rsidRPr="000E0A8F">
        <w:t>a</w:t>
      </w:r>
      <w:r w:rsidRPr="000E0A8F">
        <w:t>. Assessment of the Coral Sea Fishery. DAWE.</w:t>
      </w:r>
    </w:p>
    <w:p w14:paraId="511B0771" w14:textId="77777777" w:rsidR="007A300E" w:rsidRDefault="007A300E" w:rsidP="007A300E">
      <w:r w:rsidRPr="000E0A8F">
        <w:t>DAWE, 2021b. Assessment of the Queensland Sea Cucumber Fishery (East Coast).</w:t>
      </w:r>
    </w:p>
    <w:p w14:paraId="5A902741" w14:textId="18B9AF36" w:rsidR="001A6018" w:rsidRPr="000E0A8F" w:rsidRDefault="001A6018" w:rsidP="001A6018">
      <w:pPr>
        <w:rPr>
          <w:rStyle w:val="Hyperlink"/>
        </w:rPr>
      </w:pPr>
      <w:bookmarkStart w:id="162" w:name="_Hlk139462359"/>
      <w:r w:rsidRPr="000E0A8F">
        <w:t xml:space="preserve">DCCEEW, 2023a. Fisheries Assessments. Accessed 1/6/2023. </w:t>
      </w:r>
      <w:hyperlink r:id="rId47" w:history="1">
        <w:r w:rsidRPr="000E0A8F">
          <w:rPr>
            <w:rStyle w:val="Hyperlink"/>
          </w:rPr>
          <w:t>https://www.dcceew.gov.au/environment/marine/publications/factsheet-fisheries-assessments</w:t>
        </w:r>
      </w:hyperlink>
    </w:p>
    <w:p w14:paraId="1B62CE34" w14:textId="4196272D" w:rsidR="001A6018" w:rsidRDefault="001A6018" w:rsidP="001A6018">
      <w:r w:rsidRPr="000E0A8F">
        <w:t xml:space="preserve">DCCEEW, 2023b. Convention on International Trade in Endangered Species of Wild Fauna And Flora (CITES) </w:t>
      </w:r>
      <w:hyperlink r:id="rId48" w:anchor="sustainable-international-trade" w:history="1">
        <w:r w:rsidRPr="000E0A8F">
          <w:rPr>
            <w:rStyle w:val="Hyperlink"/>
          </w:rPr>
          <w:t>https://www.dcceew.gov.au/environment/wildlife-trade/cites#sustainable-international-trade</w:t>
        </w:r>
      </w:hyperlink>
      <w:r w:rsidRPr="000E0A8F">
        <w:rPr>
          <w:rStyle w:val="Hyperlink"/>
        </w:rPr>
        <w:t xml:space="preserve">; </w:t>
      </w:r>
      <w:hyperlink r:id="rId49" w:anchor="australias-stricter-domestic-measures" w:history="1">
        <w:r w:rsidRPr="000E0A8F">
          <w:rPr>
            <w:rStyle w:val="Hyperlink"/>
          </w:rPr>
          <w:t>https://www.dcceew.gov.au/environment/wildlife-trade/cites#australias-stricter-domestic-measures</w:t>
        </w:r>
      </w:hyperlink>
    </w:p>
    <w:p w14:paraId="50518ADA" w14:textId="77777777" w:rsidR="00A361CC" w:rsidRDefault="00A361CC" w:rsidP="00276A80">
      <w:r w:rsidRPr="00A361CC">
        <w:t>DEH, 2005. Assessment of the Torres Strait Beche-de-mer Fishery. Department of the Environment and Heritage.</w:t>
      </w:r>
    </w:p>
    <w:p w14:paraId="206F3D38" w14:textId="14BA761A" w:rsidR="00276A80" w:rsidRPr="00632830" w:rsidRDefault="00276A80" w:rsidP="00276A80">
      <w:r w:rsidRPr="00632830">
        <w:t>De la Rosa Castillo, J.E., Gamboa-Álvarez, M., Ponce-Márquez, M., López-Rocha, J., 2023. Active rolling movement record of the sea cucumber Astichopus multifidus 30, 135–143.</w:t>
      </w:r>
    </w:p>
    <w:bookmarkEnd w:id="162"/>
    <w:p w14:paraId="5FFFFD33" w14:textId="310AB892" w:rsidR="00080750" w:rsidRDefault="00080750" w:rsidP="00E83E9E">
      <w:r w:rsidRPr="00080750">
        <w:t>DiBattista, J.D., Travers, M.J., Moore, G.I., Evans, R.D., Newman, S.J., Feng, M., Moyle, S.D., Gorton, R.J., Saunders, T., Berry, O., 2017. Seascape genomics reveals fine-scale patterns of dispersal for a reef fish along the ecologically divergent coast of Northwestern Australia. Molecular Ecology 26, 6206–6223. https://doi.org/10.1111/mec.14352</w:t>
      </w:r>
    </w:p>
    <w:p w14:paraId="315FF9C6" w14:textId="6D0E7DE0" w:rsidR="00E83E9E" w:rsidRDefault="00E83E9E" w:rsidP="00E83E9E">
      <w:r>
        <w:t>Dichmont, C.M., Fulton, E., Punt, A.E., Little, L.R., Dowling, N., Gorton, R., Sporcic, M., Smith, D.C., Haddon, M., Klaer, N., 2017. Operationalising the risk- cost-catch trade-off (Fisheries Research and Development Corporation Project 2012-202). CSIRO Oceans and Atmosphere.</w:t>
      </w:r>
    </w:p>
    <w:p w14:paraId="5438ECD1" w14:textId="77777777" w:rsidR="006266A8" w:rsidRDefault="006266A8" w:rsidP="00006594">
      <w:bookmarkStart w:id="163" w:name="_Hlk161088249"/>
      <w:r w:rsidRPr="006266A8">
        <w:t xml:space="preserve">DITT, 2021. Northern Territory Trepang Fishery Ecological Risk Assessment 2021. Department of Industry, Tourism and Trade. </w:t>
      </w:r>
    </w:p>
    <w:p w14:paraId="58517B65" w14:textId="7BF1CB74" w:rsidR="00B340D7" w:rsidRDefault="00B340D7" w:rsidP="00006594">
      <w:bookmarkStart w:id="164" w:name="_Hlk161087965"/>
      <w:bookmarkEnd w:id="163"/>
      <w:r w:rsidRPr="00B340D7">
        <w:t>DPIF, 2008. Annual status report 2008 - East Coast Beche-de-mer Fishery. Queensland Department of Primary Industry and Fisheries.</w:t>
      </w:r>
    </w:p>
    <w:bookmarkEnd w:id="164"/>
    <w:p w14:paraId="3F1E1037" w14:textId="523BE60C" w:rsidR="00006594" w:rsidRPr="00632830" w:rsidRDefault="00006594" w:rsidP="00006594">
      <w:r w:rsidRPr="00632830">
        <w:t>Dutra, L.X.C., Sporcic, M., Murphy, N., 2021. Ecological Risk Assessment for the Effects of Fishing. Report for Torres Strait Fishery: Bêche-de-mer Fishery 2016- 2020 (Report for the Australian Fisheries Management Authority). CSIRO Oceans and Atmosphere.</w:t>
      </w:r>
    </w:p>
    <w:p w14:paraId="78738BE4" w14:textId="77777777" w:rsidR="006B14A1" w:rsidRDefault="006B14A1" w:rsidP="003F09A1">
      <w:r w:rsidRPr="006B14A1">
        <w:t>Ebert, T.A., 1978. Growth and Size of the Tropical Sea Cucumber Holothuria (Halodeima) atra Jager at Enewetak Atoll, Marshall Islands! PACIFIC SCIENCE 32.</w:t>
      </w:r>
    </w:p>
    <w:p w14:paraId="1E562A16" w14:textId="44F56B72" w:rsidR="003E65B0" w:rsidRDefault="003E65B0" w:rsidP="003F09A1">
      <w:r w:rsidRPr="003E65B0">
        <w:t>Ebert, T.A., 2020. Growth and survival of postsettlement sea urchins, in: Lawrence, J.M. (Ed.), Sea Urchins: Biology and Ecology, Fourth Edition. Elsevier, pp. 95–134. https://doi.org/10.1016/S0167-9309(07)80070-6</w:t>
      </w:r>
    </w:p>
    <w:p w14:paraId="0C154F39" w14:textId="2137E5B1" w:rsidR="003F09A1" w:rsidRDefault="003F09A1" w:rsidP="003F09A1">
      <w:r w:rsidRPr="00F62C5E">
        <w:t>Edgar, G.J., Ceccarelli, D., Stuart-Smith, R.D., Cooper, A.T., 2019. Biodiversity surveys of the Elizabeth and Middleton Reefs Marine National Park Reserve, 2013 and 2018.</w:t>
      </w:r>
    </w:p>
    <w:p w14:paraId="3557F400" w14:textId="77777777" w:rsidR="00006594" w:rsidRPr="00CE1AA4" w:rsidRDefault="00006594" w:rsidP="00006594">
      <w:r w:rsidRPr="00CE1AA4">
        <w:t>Eeckhaut, I., Parmentier, E., Becker, P., Da Silva, S.G. and Jangoux, M., 2004. Parasites and biotic diseases in field and cultivated sea cucumbers. In: A. Lovatelli, C. Conand, S. Purcell, S. Uthicke, J.F. Hamel and A. Mercier (eds), Advances in sea cucumber aquaculture and management. Fisheries Technical Paper No. 463, Food and Agriculture Organization of the United Nations, Rome.</w:t>
      </w:r>
    </w:p>
    <w:p w14:paraId="36F73B79" w14:textId="77777777" w:rsidR="000363D5" w:rsidRPr="00632830" w:rsidRDefault="000363D5" w:rsidP="000363D5">
      <w:r w:rsidRPr="00632830">
        <w:t>Eriksson, H., Österblom, H., Crona, B., Troell, M., Andrew, N., Wilen, J., Folke, C., 2015. Contagious exploitation of marine resources. Frontiers in Ecology and the Environment 13, 435–440. https://doi.org/10.1890/140312</w:t>
      </w:r>
    </w:p>
    <w:p w14:paraId="4C8540F7" w14:textId="77777777" w:rsidR="000363D5" w:rsidRPr="00632830" w:rsidRDefault="000363D5" w:rsidP="000363D5">
      <w:r w:rsidRPr="00632830">
        <w:t>Fabinyi, M., Barclay, K., Eriksson, H., 2017. Chinese Trader Perceptions on Sourcing and Consumption of Endangered Seafood. Frontiers in Marine Science 4. https://doi.org/10.3389/fmars.2017.00181</w:t>
      </w:r>
    </w:p>
    <w:p w14:paraId="064B3C8A" w14:textId="50EC22DF" w:rsidR="000E59F3" w:rsidRDefault="000E59F3" w:rsidP="000E59F3">
      <w:r w:rsidRPr="009A4901">
        <w:t>FAO</w:t>
      </w:r>
      <w:r>
        <w:t>.</w:t>
      </w:r>
      <w:r w:rsidRPr="009A4901">
        <w:t xml:space="preserve"> 2019. Report of the </w:t>
      </w:r>
      <w:r w:rsidR="00196923">
        <w:t>S</w:t>
      </w:r>
      <w:r w:rsidRPr="009A4901">
        <w:t>ixth FAO Expert Advisory Panel for the Assessment of Proposals to Amend Appendices I and II of CITES Concerning Commercially-exploited Aquatic Species, FAO Fisheries and Aquaculture Report No. 1255. FAO, Rome.</w:t>
      </w:r>
    </w:p>
    <w:p w14:paraId="3A6D5C6A" w14:textId="08A7BE31" w:rsidR="000F58AA" w:rsidRDefault="000F58AA" w:rsidP="00C77DF2">
      <w:r w:rsidRPr="000F58AA">
        <w:lastRenderedPageBreak/>
        <w:t>FAO, 2022. Report of the Seventh FAO Expert Advisory Panel for the Assessment of the Proposals to Amend Appendices I and II of CITES Concerning Commercially-Exploited Aquatic Species, FAO Fisheries and Aquaculture Report No. 1389. FAO, Rome. https://doi.org/10.4060/cc1931en</w:t>
      </w:r>
    </w:p>
    <w:p w14:paraId="24FBD13A" w14:textId="56BA0C0E" w:rsidR="003D48E9" w:rsidRDefault="003D48E9" w:rsidP="00C77DF2">
      <w:r w:rsidRPr="003D48E9">
        <w:t>FAO. 2023. Fishery and Aquaculture Statistics. Global capture production 1950-2021 (FishStatJ). In: FAO Fisheries and Aquaculture Division [online]. Rome. Updated 2023. www.fao.org/fishery/en/statistics/software/fishstatj</w:t>
      </w:r>
    </w:p>
    <w:p w14:paraId="0E4E7335" w14:textId="77777777" w:rsidR="00A0428C" w:rsidRDefault="00A0428C" w:rsidP="00A0428C">
      <w:bookmarkStart w:id="165" w:name="_Hlk161073503"/>
      <w:r>
        <w:t>Finlay, R., 2004. How Not to (Re)Write World History: Gavin Menzies and the Chinese Discovery of America. Journal of World History 15, 229–242. https://doi.org/10.1353/jwh.2004.0018</w:t>
      </w:r>
    </w:p>
    <w:bookmarkEnd w:id="165"/>
    <w:p w14:paraId="6A531343" w14:textId="77777777" w:rsidR="007A300E" w:rsidRDefault="007A300E" w:rsidP="007A300E">
      <w:r w:rsidRPr="0033681E">
        <w:t>Fisheries Agency of Japan, 2015. NDF Guidelines for Aquatic Species.</w:t>
      </w:r>
    </w:p>
    <w:p w14:paraId="1E9EA2AB" w14:textId="418F0DF9" w:rsidR="00346CE3" w:rsidRDefault="00346CE3" w:rsidP="000B19DC">
      <w:r w:rsidRPr="00346CE3">
        <w:t>Flinders, M</w:t>
      </w:r>
      <w:r>
        <w:t xml:space="preserve">., </w:t>
      </w:r>
      <w:r w:rsidRPr="00346CE3">
        <w:t>1814</w:t>
      </w:r>
      <w:r>
        <w:t xml:space="preserve">. </w:t>
      </w:r>
      <w:r w:rsidRPr="00346CE3">
        <w:t>A Voyage to Terra Australis</w:t>
      </w:r>
      <w:r>
        <w:t>.</w:t>
      </w:r>
      <w:r w:rsidRPr="00346CE3">
        <w:t xml:space="preserve"> G. and W. Nicol, 1814 ed. In two volumes, with an Atlas (3 volumes)</w:t>
      </w:r>
      <w:r>
        <w:t xml:space="preserve"> </w:t>
      </w:r>
      <w:r w:rsidRPr="00346CE3">
        <w:t>London.</w:t>
      </w:r>
    </w:p>
    <w:p w14:paraId="11B6056A" w14:textId="4385DAC7" w:rsidR="000B19DC" w:rsidRPr="00632830" w:rsidRDefault="000B19DC" w:rsidP="000B19DC">
      <w:r w:rsidRPr="00632830">
        <w:t xml:space="preserve">Fontoura, L., D’Agata, S., Gamoyo, M., Barneche, D.R., Luiz, O.J., Madin, E.M.P., Eggertsen, L., Maina, J.M., 2022. Protecting connectivity promotes successful biodiversity and fisheries conservation. Science 375, 336–340. </w:t>
      </w:r>
      <w:hyperlink r:id="rId50" w:history="1">
        <w:r w:rsidRPr="00632830">
          <w:rPr>
            <w:rStyle w:val="Hyperlink"/>
          </w:rPr>
          <w:t>https://doi.org/10.1126/science.abg4351</w:t>
        </w:r>
      </w:hyperlink>
    </w:p>
    <w:p w14:paraId="18419F98" w14:textId="74F4ACFD" w:rsidR="00E33A97" w:rsidRDefault="00E33A97" w:rsidP="003E0D10">
      <w:bookmarkStart w:id="166" w:name="_Hlk161072162"/>
      <w:r w:rsidRPr="00E33A97">
        <w:t>Fox, J., Sen, S., 2002. A study of socio-economic issues facing traditional Indonesian fishers who access the MOU Box. Canberra, Environment Australia.</w:t>
      </w:r>
    </w:p>
    <w:bookmarkEnd w:id="166"/>
    <w:p w14:paraId="67DD13D5" w14:textId="77777777" w:rsidR="00864BE9" w:rsidRPr="00864BE9" w:rsidRDefault="00864BE9" w:rsidP="00864BE9">
      <w:r w:rsidRPr="00864BE9">
        <w:t>Friedman, K., Tekanene, M., 2005. White teatfish at Kiribati sea cucumber hatchery: Local technicians getting them out again. SPC Beche-de-Mer Information Bulletin 21, 32–33.</w:t>
      </w:r>
    </w:p>
    <w:p w14:paraId="188144D7" w14:textId="425DA18B" w:rsidR="004B12C9" w:rsidRDefault="004B12C9" w:rsidP="00D53939">
      <w:r w:rsidRPr="004B12C9">
        <w:t>Friedman, K., Eriksson, H., Tardy, E., Pakoa, K., 2010. Management of sea cucumber stocks: patterns of vulnerability and recovery of sea cucumber stocks impacted by fishing: Management of sea cucumber stocks. Fish and Fisheries 12, 75–93. https://doi.org/10.1111/j.1467-2979.2010.00384.x</w:t>
      </w:r>
    </w:p>
    <w:p w14:paraId="261D19A0" w14:textId="22F2559A" w:rsidR="00D53939" w:rsidRDefault="00D53939" w:rsidP="00D53939">
      <w:r w:rsidRPr="00D53939">
        <w:t xml:space="preserve">Frierson, T., Mueller, K., Mireles, C., Groth, S., Carson, H., Hebert, K., 2024. Dynamic history and status of fisheries for the sea cucumbers </w:t>
      </w:r>
      <w:r w:rsidRPr="00D53939">
        <w:rPr>
          <w:i/>
          <w:iCs/>
        </w:rPr>
        <w:t>Apostichopus californicus</w:t>
      </w:r>
      <w:r w:rsidRPr="00D53939">
        <w:t xml:space="preserve"> and </w:t>
      </w:r>
      <w:r w:rsidRPr="00D53939">
        <w:rPr>
          <w:i/>
          <w:iCs/>
        </w:rPr>
        <w:t>Apostichopus parvimensis</w:t>
      </w:r>
      <w:r w:rsidRPr="00D53939">
        <w:t xml:space="preserve"> on the west coast of the United States, in: The World of Sea Cucumbers. Elsevier, pp. 687–699. https://doi.org/10.1016/B978-0-323-95377-1.00045-X</w:t>
      </w:r>
    </w:p>
    <w:p w14:paraId="0A258035" w14:textId="77777777" w:rsidR="006F71AC" w:rsidRDefault="006F71AC" w:rsidP="00923A51">
      <w:r w:rsidRPr="006F71AC">
        <w:t xml:space="preserve">Fu, X.-M., Zhang, M.-Q., Shao, C.-L., Li, G.-Q., Bai, H., Dai, G.-L., Chen, Q.-W., Kong, W., Fu, X.-J., Wang, C.-Y., 2016. Chinese Marine Materia Medica Resources: Status and Potential. Marine Drugs 14, 46. https://doi.org/10.3390/md14030046 </w:t>
      </w:r>
    </w:p>
    <w:p w14:paraId="727FBBD9" w14:textId="015A8ED0" w:rsidR="00923A51" w:rsidRPr="00632830" w:rsidRDefault="00923A51" w:rsidP="00923A51">
      <w:r w:rsidRPr="00632830">
        <w:t>Fulton, E.A., van Putten, E.I., Dutra, L., Melbourne-Thomas, J., Ogier, E., Thomas, L., Rayns, N., Murphy, R., Butler, I., Ghebrezgabhier, D., Hobday, A.J., 2021. Guidance on Adaptation of Commonwealth Fisheries management to climate change (CSIRO Report for FRDC). FRDC, Hobart.</w:t>
      </w:r>
    </w:p>
    <w:p w14:paraId="1700A3D8" w14:textId="3D16A116" w:rsidR="00FC6FB3" w:rsidRDefault="00FC6FB3" w:rsidP="003E0D10">
      <w:bookmarkStart w:id="167" w:name="_Hlk161072368"/>
      <w:r w:rsidRPr="00FC6FB3">
        <w:t>Ganter, R., 1990. The Pearl-shellers of Torres Strait: Resource Use, Development and Decline, 1860s-1960s. Melbourne University Press.</w:t>
      </w:r>
    </w:p>
    <w:bookmarkEnd w:id="167"/>
    <w:p w14:paraId="6A8ECE5A" w14:textId="77777777" w:rsidR="000B19DC" w:rsidRPr="00632830" w:rsidRDefault="000B19DC" w:rsidP="000B19DC">
      <w:r w:rsidRPr="00632830">
        <w:t>Gardner, M.G., Fitch, A.J., Li, X., 2012. Population genetic structure of Sea Cucumbers (bêche-de-mer) in northern Australia 47.</w:t>
      </w:r>
    </w:p>
    <w:p w14:paraId="2E5509E9" w14:textId="7326F048" w:rsidR="00D43E84" w:rsidRDefault="00D43E84" w:rsidP="00C77DF2">
      <w:bookmarkStart w:id="168" w:name="_Hlk151550743"/>
      <w:r>
        <w:t xml:space="preserve">GBRF. 2022. </w:t>
      </w:r>
      <w:r w:rsidRPr="00D43E84">
        <w:t>Drones, AI and e-DNA keeping tabs on Great Barrier Reef and animal health https://www.barrierreef.org/news/news/drones-ai-and-edna-keeping-tabs-on-great-barrier-reef-and-animal-health</w:t>
      </w:r>
    </w:p>
    <w:bookmarkEnd w:id="168"/>
    <w:p w14:paraId="6F81EBA4" w14:textId="1924A830" w:rsidR="004B12C9" w:rsidRDefault="004B12C9" w:rsidP="00C77DF2">
      <w:r w:rsidRPr="004B12C9">
        <w:t xml:space="preserve">González-Durán, E., Hernández-Flores, A., Seijo, J.C., Cuevas-Jiménez, A., Moreno-Enriquez, A., 2018. Bioeconomics of the Allee effect in fisheries targeting sedentary resources. ICES Journal of Marine Science 75, 1362–1373. https://doi.org/10.1093/icesjms/fsy018 </w:t>
      </w:r>
    </w:p>
    <w:p w14:paraId="07B50CDE" w14:textId="77777777" w:rsidR="00006594" w:rsidRPr="00632830" w:rsidRDefault="00006594" w:rsidP="00006594">
      <w:r w:rsidRPr="00632830">
        <w:t>González-Durán, E., Hernández-Flores, Á., Headley, M.D., Canul, J.D., 2021. On the effects of temperature and pH on tropical and temperate holothurians. Conserv Physiol 9, coab092. https://doi.org/10.1093/conphys/coab092</w:t>
      </w:r>
    </w:p>
    <w:p w14:paraId="03EE3184" w14:textId="06910851" w:rsidR="00807544" w:rsidRDefault="00807544" w:rsidP="00C77DF2">
      <w:bookmarkStart w:id="169" w:name="_Hlk161076680"/>
      <w:r w:rsidRPr="00807544">
        <w:t xml:space="preserve">Haddon, A.C., Rivers, W.H.R., Seligman, C.G., Myers, C.S., McDougall, W., Ray, S.H., Wilkin, A., 1901. Reports of the Cambridge Anthropological Expedition to Torres Straits. Cambridge [Eng.]: The University Press. </w:t>
      </w:r>
    </w:p>
    <w:bookmarkEnd w:id="169"/>
    <w:p w14:paraId="6ABE8B26" w14:textId="1886BC30" w:rsidR="00C77DF2" w:rsidRDefault="00C77DF2" w:rsidP="00C77DF2">
      <w:r>
        <w:lastRenderedPageBreak/>
        <w:t>Hamel, J.-F. and Mercier, A. 2008. Population status, fisheries and trade of sea cucumbers in temperate areas of the Northern Hemisphere. In V. Toral-Granda, A. Lovatelli and M. Vasconcellos (eds). Sea cucumbers. A global review of fisheries and trade. FAO Fisheries and Aquaculture Technical Paper. No. 516. Rome, FAO. pp. 257-291.</w:t>
      </w:r>
    </w:p>
    <w:p w14:paraId="05FEEBD3" w14:textId="77777777" w:rsidR="00006594" w:rsidRPr="00CE1AA4" w:rsidRDefault="00006594" w:rsidP="00006594">
      <w:bookmarkStart w:id="170" w:name="_Hlk144465217"/>
      <w:r w:rsidRPr="00CE1AA4">
        <w:t xml:space="preserve">Hammond, A.R., Meyers, L., Purcell, S.W., 2020. Not so sluggish: movement and sediment turnover of the world’s heaviest holothuroid, </w:t>
      </w:r>
      <w:r w:rsidRPr="00CE1AA4">
        <w:rPr>
          <w:i/>
          <w:iCs/>
        </w:rPr>
        <w:t>Thelenota anax</w:t>
      </w:r>
      <w:r w:rsidRPr="00CE1AA4">
        <w:t>. Mar Biol 167, 60. https://doi.org/10.1007/s00227-020-3671-5</w:t>
      </w:r>
    </w:p>
    <w:p w14:paraId="1C4C43E0" w14:textId="77777777" w:rsidR="006B14A1" w:rsidRDefault="006B14A1" w:rsidP="000363D5">
      <w:r w:rsidRPr="006B14A1">
        <w:t xml:space="preserve">Hammond, A., Purcell, S., 2023. Limited long-term movement and slow growth of the sea cucumber </w:t>
      </w:r>
      <w:r w:rsidRPr="006F7BC4">
        <w:rPr>
          <w:i/>
          <w:iCs/>
        </w:rPr>
        <w:t>Pearsonothuria graeffei</w:t>
      </w:r>
      <w:r w:rsidRPr="006B14A1">
        <w:t xml:space="preserve">. Mar. Ecol. Prog. Ser. 704, 1–14. https://doi.org/10.3354/meps14240 </w:t>
      </w:r>
    </w:p>
    <w:p w14:paraId="657B2CA4" w14:textId="4A193C0D" w:rsidR="00587590" w:rsidRPr="00587590" w:rsidRDefault="00587590" w:rsidP="00587590">
      <w:bookmarkStart w:id="171" w:name="_Hlk161088223"/>
      <w:r w:rsidRPr="00587590">
        <w:t xml:space="preserve">Hammond, A.R., Purcell, S.W., 2024. Length–Weight and Body Condition Relationships of the Exploited Sea Cucumber </w:t>
      </w:r>
      <w:r w:rsidRPr="006F7BC4">
        <w:rPr>
          <w:i/>
          <w:iCs/>
        </w:rPr>
        <w:t>Pearsonothuria graeffei</w:t>
      </w:r>
      <w:r w:rsidRPr="00587590">
        <w:t xml:space="preserve">. Journal of Marine Science and Engineering 12, 371. </w:t>
      </w:r>
      <w:hyperlink r:id="rId51" w:history="1">
        <w:r w:rsidRPr="00587590">
          <w:rPr>
            <w:rStyle w:val="Hyperlink"/>
          </w:rPr>
          <w:t>https://doi.org/10.3390/jmse12030371</w:t>
        </w:r>
      </w:hyperlink>
    </w:p>
    <w:p w14:paraId="5055B305" w14:textId="74D14B3C" w:rsidR="00222439" w:rsidRDefault="00222439" w:rsidP="004B12C9">
      <w:r w:rsidRPr="00222439">
        <w:t>Hart, A.M., Murphy, D.M., Fabris, F.F., 2022. Western Australian sea cucumber resource assessment report (No. Fisheries Research Report No. 324). Department of Primary Industries and Regional Development, Western Australia.</w:t>
      </w:r>
    </w:p>
    <w:bookmarkEnd w:id="171"/>
    <w:p w14:paraId="069E4794" w14:textId="77777777" w:rsidR="006266A8" w:rsidRDefault="006266A8" w:rsidP="004B12C9">
      <w:r w:rsidRPr="006266A8">
        <w:t xml:space="preserve">Harris, P.T., Bridge, T.C.L., Beaman, R.J., Webster, J.M., Nichol, S.L., Brooke, B.P., 2013. Submerged banks in the Great Barrier Reef, Australia, greatly increase available coral reef habitat. ICES Journal of Marine Science 70, 284–293. https://doi.org/10.1093/icesjms/fss165 </w:t>
      </w:r>
    </w:p>
    <w:p w14:paraId="37DD9895" w14:textId="34C70ADF" w:rsidR="00923A51" w:rsidRDefault="00923A51" w:rsidP="004B12C9">
      <w:r w:rsidRPr="00923A51">
        <w:t xml:space="preserve">Hobday, A., Oliver, E., Sen Gupta, A., Benthuysen, J., Burrows, M., Donat, M., Holbrook, N., Moore, P., Thomsen, M., Wernberg, T., Smale, D., 2018. Categorizing and Naming Marine Heatwaves. Oceanog 31. </w:t>
      </w:r>
      <w:hyperlink r:id="rId52" w:history="1">
        <w:r w:rsidRPr="00320D06">
          <w:rPr>
            <w:rStyle w:val="Hyperlink"/>
          </w:rPr>
          <w:t>https://doi.org/10.5670/oceanog.2018.205</w:t>
        </w:r>
      </w:hyperlink>
    </w:p>
    <w:p w14:paraId="62DF019D" w14:textId="562A8282" w:rsidR="004B12C9" w:rsidRPr="00632830" w:rsidRDefault="004B12C9" w:rsidP="004B12C9">
      <w:r w:rsidRPr="00632830">
        <w:t xml:space="preserve">Hu, C., Xu, Y., Wen, J., Zhang, L., Fan, S., Su, T., 2010. Larval development and juvenile growth of the sea cucumber </w:t>
      </w:r>
      <w:r w:rsidRPr="006F7BC4">
        <w:rPr>
          <w:i/>
          <w:iCs/>
        </w:rPr>
        <w:t>Stichopus sp.</w:t>
      </w:r>
      <w:r w:rsidRPr="00632830">
        <w:t xml:space="preserve"> (Curry fish). Aquaculture 300, 73–79. https://doi.org/10.1016/j.aquaculture.2009.09.033</w:t>
      </w:r>
    </w:p>
    <w:p w14:paraId="34BA995F" w14:textId="77777777" w:rsidR="004B12C9" w:rsidRPr="00632830" w:rsidRDefault="004B12C9" w:rsidP="004B12C9">
      <w:r w:rsidRPr="00632830">
        <w:t xml:space="preserve">Hu, C., Li, H., Xia, J., Zhang, L., Luo, P., Fan, S., Peng, P., Yang, H., Wen, J., 2013. Spawning, larval development and juvenile growth of the sea cucumber </w:t>
      </w:r>
      <w:r w:rsidRPr="006F7BC4">
        <w:rPr>
          <w:i/>
          <w:iCs/>
        </w:rPr>
        <w:t>Stichopus horrens</w:t>
      </w:r>
      <w:r w:rsidRPr="00632830">
        <w:t>. Aquaculture 404–405, 47–54. https://doi.org/10.1016/j.aquaculture.2013.04.007</w:t>
      </w:r>
    </w:p>
    <w:p w14:paraId="5817ABC6" w14:textId="28E29730" w:rsidR="00923A51" w:rsidRDefault="00923A51" w:rsidP="00923A51">
      <w:r w:rsidRPr="00923A51">
        <w:t>Hughes T.P., Anderson K.D., Connolly S.R., et al., 2018. Spatial and temporal patterns of mass bleaching of corals in the Anthropocene. Science 359: 80-83.</w:t>
      </w:r>
    </w:p>
    <w:p w14:paraId="5557AA1E" w14:textId="0FD777B2" w:rsidR="00923A51" w:rsidRPr="00CE1AA4" w:rsidRDefault="00923A51" w:rsidP="00923A51">
      <w:r w:rsidRPr="00CE1AA4">
        <w:t>IPCC, 2019. Technical Summary. The Ocean and Cryosphere in a Changing Climate: Special Report of the Intergovernmental Panel on Climate Change, 1st ed. Cambridge University Press. https://doi.org/10.1017/9781009157964</w:t>
      </w:r>
    </w:p>
    <w:p w14:paraId="2FB3D6A4" w14:textId="17727056" w:rsidR="000363D5" w:rsidRPr="00632830" w:rsidRDefault="000363D5" w:rsidP="000363D5">
      <w:r w:rsidRPr="00632830">
        <w:t>IUCN, 2023. The IUCN Red List of Threatened Species. Version 2022-2. &lt;https://www.iucnredlist.org&gt;</w:t>
      </w:r>
    </w:p>
    <w:bookmarkEnd w:id="170"/>
    <w:p w14:paraId="02B61F1D" w14:textId="77777777" w:rsidR="004B12C9" w:rsidRDefault="004B12C9" w:rsidP="006C1CE3">
      <w:r w:rsidRPr="004B12C9">
        <w:t xml:space="preserve">Hutchings, J.A., 2015. Thresholds for impaired species recovery. Proceedings of the Royal Society B: Biological Sciences 282, 20150654. https://doi.org/10.1098/rspb.2015.0654 </w:t>
      </w:r>
    </w:p>
    <w:p w14:paraId="52A49A9A" w14:textId="77777777" w:rsidR="00080750" w:rsidRPr="00632830" w:rsidRDefault="00080750" w:rsidP="00080750">
      <w:r w:rsidRPr="00632830">
        <w:t>Johnson, J.E., Welch, D.J., Marshall, P.A., Day, J., Marshall, N., Steinberg, C.R., Benthuysen, J.A., Sun, C., Brodie, J., Marsh, H., Hamann, M., Simpfendorfer, C., 2018. Characterising the values and connectivity of the northeast Australia seascape: Great Barrier Reef, Torres Strait, Coral Sea and Great Sandy Strait. Report to the National Environmental Science Program. Reef and Rainforest Research Centre Limited, Cairns (81 pp).</w:t>
      </w:r>
    </w:p>
    <w:p w14:paraId="02FC33AA" w14:textId="77777777" w:rsidR="00006594" w:rsidRPr="00CE1AA4" w:rsidRDefault="00006594" w:rsidP="00006594">
      <w:r w:rsidRPr="00CE1AA4">
        <w:t>Johnson, J.E., Welch, D.J., 2016. Climate change implications for Torres Strait fisheries: assessing vulnerability to inform adaptation. Climatic Change 135:611-624.</w:t>
      </w:r>
    </w:p>
    <w:p w14:paraId="537AB104" w14:textId="57602634" w:rsidR="00AA1D10" w:rsidRDefault="00AA1D10" w:rsidP="00923A51">
      <w:r w:rsidRPr="00AA1D10">
        <w:t xml:space="preserve">Kalashnikov, V.Z., 2024. History of the fishery and aquaculture of the sea cucumber </w:t>
      </w:r>
      <w:r w:rsidRPr="006F7BC4">
        <w:rPr>
          <w:i/>
          <w:iCs/>
        </w:rPr>
        <w:t>Apostichopus japonicus</w:t>
      </w:r>
      <w:r w:rsidRPr="00AA1D10">
        <w:t xml:space="preserve"> in Russia, in: The World of Sea Cucumbers. Elsevier, pp. 775–782. https://doi.org/10.1016/B978-0-323-95377-1.00026-6</w:t>
      </w:r>
    </w:p>
    <w:p w14:paraId="7A92ACE3" w14:textId="3D0A6969" w:rsidR="00E96280" w:rsidRDefault="00E96280" w:rsidP="00923A51">
      <w:r w:rsidRPr="00E96280">
        <w:lastRenderedPageBreak/>
        <w:t>Karan, D., Fulanda, B., Mkare, T., Wambua, S., 2024. A peek into the population genetics of white teatfish (</w:t>
      </w:r>
      <w:r w:rsidRPr="006F7BC4">
        <w:rPr>
          <w:i/>
          <w:iCs/>
        </w:rPr>
        <w:t>Holothuria fuscogilva</w:t>
      </w:r>
      <w:r w:rsidRPr="00E96280">
        <w:t>) of Kenya’s south coast. Mol Biol Rep 51, 397. https://doi.org/10.1007/s11033-024-09310-1</w:t>
      </w:r>
    </w:p>
    <w:p w14:paraId="75795A19" w14:textId="13E60677" w:rsidR="00923A51" w:rsidRPr="00632830" w:rsidRDefault="00923A51" w:rsidP="00923A51">
      <w:r w:rsidRPr="00632830">
        <w:t>Khalil, M., Doo, S.S., Stuhr, M., Westphal, H., 2023. Long-term physiological responses to combined ocean acidification and warming show energetic trade-offs in an asterinid starfish. Coral Reefs. https://doi.org/10.1007/s00338-023-02388-2</w:t>
      </w:r>
    </w:p>
    <w:p w14:paraId="690E2A23" w14:textId="302812A3" w:rsidR="0062221A" w:rsidRDefault="0062221A" w:rsidP="006C1CE3">
      <w:r w:rsidRPr="0062221A">
        <w:t xml:space="preserve">Kalashnikov, V.Z., 2024. History of the fishery and aquaculture of the sea cucumber </w:t>
      </w:r>
      <w:r w:rsidRPr="0062221A">
        <w:rPr>
          <w:i/>
          <w:iCs/>
        </w:rPr>
        <w:t>Apostichopus japonicus</w:t>
      </w:r>
      <w:r w:rsidRPr="0062221A">
        <w:t xml:space="preserve"> in Russia, in: The World of Sea Cucumbers. Elsevier, pp. 775–782. https://doi.org/10.1016/B978-0-323-95377-1.00026-6</w:t>
      </w:r>
    </w:p>
    <w:p w14:paraId="70F9D319" w14:textId="25E1F8AF" w:rsidR="006C1CE3" w:rsidRDefault="006C1CE3" w:rsidP="006C1CE3">
      <w:bookmarkStart w:id="172" w:name="_Hlk161072691"/>
      <w:r>
        <w:t>Kinch, J.; Purcell, S.; Uthicke, S.; Friedman, K. 2008. Population status, fisheries and trade of sea cucumbers in the Western Central Pacific. In V. Toral-Granda, A. Lovatelli and M. Vasconcellos. Sea cucumbers. A global review of fisheries and trade. FAO Fisheries and Aquaculture Technical Paper. No. 516. Rome, FAO. pp. 7–55.</w:t>
      </w:r>
    </w:p>
    <w:bookmarkEnd w:id="172"/>
    <w:p w14:paraId="1888DD87" w14:textId="03CFC719" w:rsidR="00AD569C" w:rsidRDefault="00AD569C" w:rsidP="00AD569C">
      <w:r>
        <w:t>Koningsberger</w:t>
      </w:r>
      <w:r w:rsidR="003E0D10">
        <w:t>,</w:t>
      </w:r>
      <w:r>
        <w:t xml:space="preserve"> J</w:t>
      </w:r>
      <w:r w:rsidR="003E0D10">
        <w:t>.</w:t>
      </w:r>
      <w:r>
        <w:t>C</w:t>
      </w:r>
      <w:r w:rsidR="003E0D10">
        <w:t>.,</w:t>
      </w:r>
      <w:r>
        <w:t xml:space="preserve"> 1904</w:t>
      </w:r>
      <w:r w:rsidR="003E0D10">
        <w:t>.</w:t>
      </w:r>
      <w:r>
        <w:t xml:space="preserve"> Tripang en Tripangvisscherij in Nederlandsch- Indie. Batavia: G. Kolff &amp; Co. 72 p.</w:t>
      </w:r>
    </w:p>
    <w:p w14:paraId="7B1853B3" w14:textId="77777777" w:rsidR="0025760C" w:rsidRPr="00632830" w:rsidRDefault="0025760C" w:rsidP="0025760C">
      <w:r w:rsidRPr="00632830">
        <w:t>Koopman, M., Knuckey, I.A., 2021</w:t>
      </w:r>
      <w:r w:rsidRPr="0025760C">
        <w:rPr>
          <w:i/>
          <w:iCs/>
        </w:rPr>
        <w:t>a</w:t>
      </w:r>
      <w:r w:rsidRPr="00632830">
        <w:t>. Biomass survey of Black Teatfish in Zone 2 of the Queensland Sea Cucumber Fishery (East Coast). Fishwell Consulting.</w:t>
      </w:r>
    </w:p>
    <w:p w14:paraId="6F4FF522" w14:textId="77777777" w:rsidR="0025760C" w:rsidRDefault="0025760C" w:rsidP="0025760C">
      <w:r w:rsidRPr="00307961">
        <w:t>Koopman, M., Knuckey, I., 2021</w:t>
      </w:r>
      <w:r w:rsidRPr="0025760C">
        <w:rPr>
          <w:i/>
          <w:iCs/>
        </w:rPr>
        <w:t>b</w:t>
      </w:r>
      <w:r w:rsidRPr="00307961">
        <w:t>. Options to survey White Teatfish (</w:t>
      </w:r>
      <w:r w:rsidRPr="00307961">
        <w:rPr>
          <w:i/>
          <w:iCs/>
        </w:rPr>
        <w:t>Holothuria fuscogilva</w:t>
      </w:r>
      <w:r w:rsidRPr="00307961">
        <w:t>) in the Queensland Sea Cucumber Fishery (East Coast) (Report to the Department of Agriculture, Water and the Environment).</w:t>
      </w:r>
    </w:p>
    <w:p w14:paraId="502AD6A1" w14:textId="1931CEC9" w:rsidR="0020085B" w:rsidRDefault="0020085B" w:rsidP="0020085B">
      <w:bookmarkStart w:id="173" w:name="_Hlk161072705"/>
      <w:r>
        <w:t>Laade, W. 1966. The Islands of Torres Strait. Bulletin of the International Committee on Urgent Anthropological Research, 8: 111–114.</w:t>
      </w:r>
      <w:r w:rsidRPr="00263ABB">
        <w:t xml:space="preserve"> </w:t>
      </w:r>
    </w:p>
    <w:bookmarkEnd w:id="173"/>
    <w:p w14:paraId="4C597367" w14:textId="16BB5C17" w:rsidR="00276A80" w:rsidRDefault="00276A80" w:rsidP="00276A80">
      <w:r>
        <w:t>Leis, J.M., 2015. Is Dispersal of Larval Reef Fishes Passive? In: Ecology of Fishes on Coral Reefs. (ed. C. Mora). Cambridge University Press, Cambridge, U.K., pp. 223–226.</w:t>
      </w:r>
    </w:p>
    <w:p w14:paraId="235631A9" w14:textId="77777777" w:rsidR="006F71AC" w:rsidRDefault="006F71AC" w:rsidP="00276A80">
      <w:r w:rsidRPr="006F71AC">
        <w:t xml:space="preserve">Liu, G., Sun, J., Liu, S., 2015. Chapter 2 - From Fisheries Toward Aquaculture, in: Yang, H., Hamel, J.-F., Mercier, A. (Eds.), Developments in Aquaculture and Fisheries Science. Elsevier, pp. 25–35. https://doi.org/10.1016/B978-0-12-799953-1.00002-7 </w:t>
      </w:r>
    </w:p>
    <w:p w14:paraId="4E9DE227" w14:textId="25270FFA" w:rsidR="001F5B33" w:rsidRDefault="001F5B33" w:rsidP="001F5B33">
      <w:bookmarkStart w:id="174" w:name="_Hlk161072515"/>
      <w:r w:rsidRPr="00263ABB">
        <w:t xml:space="preserve">Liu, H., Shen, M., 2021. Characterization and phylogenetic analysis of the complete mitochondrial genome of prickly redfish </w:t>
      </w:r>
      <w:r w:rsidRPr="008D725D">
        <w:rPr>
          <w:i/>
          <w:iCs/>
        </w:rPr>
        <w:t>Thelenota ananas</w:t>
      </w:r>
      <w:r w:rsidRPr="00263ABB">
        <w:t xml:space="preserve"> (Jaeger, 1833). Mitochondrial DNA B Resour 6, 2275–2277. </w:t>
      </w:r>
      <w:hyperlink r:id="rId53" w:history="1">
        <w:r w:rsidRPr="00B7610B">
          <w:rPr>
            <w:rStyle w:val="Hyperlink"/>
          </w:rPr>
          <w:t>https://doi.org/10.1080/23802359.2021.1920509</w:t>
        </w:r>
      </w:hyperlink>
    </w:p>
    <w:p w14:paraId="3F9E5DA7" w14:textId="77777777" w:rsidR="00FC6FB3" w:rsidRDefault="00FC6FB3" w:rsidP="00276A80">
      <w:r w:rsidRPr="00FC6FB3">
        <w:t xml:space="preserve">Lloyd, R.J., 2016. Fathoming the reef: a history of European perspectives on the Great Barrier Reef from Cook to GBRMPA. </w:t>
      </w:r>
    </w:p>
    <w:p w14:paraId="6E49D3E6" w14:textId="77777777" w:rsidR="00774064" w:rsidRDefault="00774064" w:rsidP="00276A80">
      <w:bookmarkStart w:id="175" w:name="_Hlk161073706"/>
      <w:bookmarkStart w:id="176" w:name="_Hlk161073561"/>
      <w:bookmarkEnd w:id="174"/>
      <w:r w:rsidRPr="00774064">
        <w:t>Long, B., Skewes, T., Dennis, D., Poiner, I., Pitcher, C., Taranto, T., Manson, F., Polon, F., Karre, B., Evans, C., others, 1996. Distribution and abundance of beche-de-mer on Torres Strait reefs (Final Report to the Queensland Fisheries Management Authority).</w:t>
      </w:r>
    </w:p>
    <w:bookmarkEnd w:id="175"/>
    <w:p w14:paraId="7022C320" w14:textId="1590C7B3" w:rsidR="003E0D10" w:rsidRDefault="003E0D10" w:rsidP="00276A80">
      <w:r>
        <w:t>MacGillivray, J., 1862. Wanderings in Tropical Australia, Sydney Morning Herald, January-March 1862.</w:t>
      </w:r>
    </w:p>
    <w:bookmarkEnd w:id="176"/>
    <w:p w14:paraId="00A495F2" w14:textId="77777777" w:rsidR="003E0D10" w:rsidRDefault="003E0D10" w:rsidP="003E0D10">
      <w:r>
        <w:t>MacGillivray, J., Busk, G., Forbes, E., Latham, R.G., White, A., 1852. Narrative of the voyage of H.M.S. Rattlesnake, commanded by the late Captain Owen Stanley during the years 1846-50 : to which is added Mr. E.B. Kennedy’s expedition for the exploration of the Cape York Peninsula /. T. &amp; W. Boone, London :</w:t>
      </w:r>
    </w:p>
    <w:p w14:paraId="76903281" w14:textId="0561358D" w:rsidR="00346CE3" w:rsidRDefault="00346CE3" w:rsidP="003E0D10">
      <w:bookmarkStart w:id="177" w:name="_Hlk161072079"/>
      <w:r w:rsidRPr="00346CE3">
        <w:t xml:space="preserve">Macknight, C. C. 1976 The Voyage to Marege’: Macassan trepangers in northern Australia, Carlton, Vic.: Melbourne University Press. </w:t>
      </w:r>
    </w:p>
    <w:bookmarkEnd w:id="177"/>
    <w:p w14:paraId="6D88BD69" w14:textId="10A32B2B" w:rsidR="00AA1D10" w:rsidRDefault="00AA1D10" w:rsidP="003E0D10">
      <w:r w:rsidRPr="00AA1D10">
        <w:t>Macknight, C., 2011. The view from Marege’: Australian knowledge of Makassar and the impact of the trepang industry across two centuries. AH 35. https://doi.org/10.22459/AH.35.2011.06</w:t>
      </w:r>
    </w:p>
    <w:p w14:paraId="77E13CC5" w14:textId="76607581" w:rsidR="003E0D10" w:rsidRDefault="003E0D10" w:rsidP="003E0D10">
      <w:r>
        <w:t>Macknight, C., 2013. Studying trepangers, in: Clark, M., May, S.K. (Eds.), Macassan History and Heritage, Journeys, Encounters and Influences. ANU Press, pp. 19–40.</w:t>
      </w:r>
    </w:p>
    <w:p w14:paraId="32493E34" w14:textId="120A9E53" w:rsidR="007C7BC8" w:rsidRDefault="007C7BC8" w:rsidP="001F4AAC">
      <w:r w:rsidRPr="007C7BC8">
        <w:t>Mitchell, S. 1994. Culture Contact and Indigenous Economies on the Cobourg Peninsula, Northwestern Arnhem Land, PhD dissertation, Department of Anthropology, Northern Territory University, Darwin</w:t>
      </w:r>
    </w:p>
    <w:p w14:paraId="7456D624" w14:textId="56C08208" w:rsidR="001F4AAC" w:rsidRDefault="001F4AAC" w:rsidP="001F4AAC">
      <w:r w:rsidRPr="004D4319">
        <w:lastRenderedPageBreak/>
        <w:t>Marsh, L., 2000. Echinoderms of Christmas Island. Records of the Western Australian Museum Supplement No. 59: 97-101 5.</w:t>
      </w:r>
    </w:p>
    <w:p w14:paraId="48570E69" w14:textId="77777777" w:rsidR="0020085B" w:rsidRDefault="0020085B" w:rsidP="00923A51">
      <w:bookmarkStart w:id="178" w:name="_Hlk161072666"/>
      <w:bookmarkStart w:id="179" w:name="_Hlk139462593"/>
      <w:r w:rsidRPr="0020085B">
        <w:t xml:space="preserve">Menzies, G. (2002) 1421 The Year China Discovered the World, Bantam Books, London.: 632 pp </w:t>
      </w:r>
    </w:p>
    <w:p w14:paraId="4D9C25F5" w14:textId="7B417356" w:rsidR="00AA1D10" w:rsidRDefault="00AA1D10" w:rsidP="00923A51">
      <w:bookmarkStart w:id="180" w:name="_Hlk174100294"/>
      <w:bookmarkEnd w:id="178"/>
      <w:r w:rsidRPr="00AA1D10">
        <w:t>Merriam-Webster.com Dictionary, Merriam-Webster, “Bêche-de-mer.” https://www.merriam-webster.com/dictionary/b%C3%AAche-de-mer. Accessed 8 Aug. 2024.</w:t>
      </w:r>
    </w:p>
    <w:bookmarkEnd w:id="180"/>
    <w:p w14:paraId="13957CC7" w14:textId="1211BD69" w:rsidR="00923A51" w:rsidRPr="00632830" w:rsidRDefault="00923A51" w:rsidP="00923A51">
      <w:r w:rsidRPr="00632830">
        <w:t>McInnes, K. et al., 2015, Wet Tropics Cluster Report, Climate Change in Australia Projections for Australia’s Natural Resource Management Regions: Cluster Reports, eds. Ekström, M. et al., CSIRO and Bureau of Meteorology, Australia.</w:t>
      </w:r>
    </w:p>
    <w:p w14:paraId="2A60C4EF" w14:textId="77777777" w:rsidR="00080750" w:rsidRPr="00632830" w:rsidRDefault="00080750" w:rsidP="00080750">
      <w:r w:rsidRPr="00632830">
        <w:t>MSC, 2022. MSC Fisheries Certification Process and Guidance v3.0. Marine Stewardship Council.</w:t>
      </w:r>
    </w:p>
    <w:p w14:paraId="72136860" w14:textId="77777777" w:rsidR="00FC6FB3" w:rsidRPr="00CE1AA4" w:rsidRDefault="00FC6FB3" w:rsidP="00FC6FB3">
      <w:bookmarkStart w:id="181" w:name="_Hlk161072405"/>
      <w:bookmarkEnd w:id="179"/>
      <w:r w:rsidRPr="00CE1AA4">
        <w:t>Mullins, S., 1992. The Torres Strait Beche-De-Mer Fishery: A Question of Timing. The Great Circle 14, 21–30.</w:t>
      </w:r>
    </w:p>
    <w:p w14:paraId="6D9815A5" w14:textId="77777777" w:rsidR="00FC6FB3" w:rsidRPr="00CE1AA4" w:rsidRDefault="00FC6FB3" w:rsidP="00FC6FB3">
      <w:r w:rsidRPr="00CE1AA4">
        <w:t>Mullins, S., 1995. Torres Strait: a history of colonial occupation and culture contact, 1864-1897. Central Queensland University Press, Rockhampton, Qld.</w:t>
      </w:r>
    </w:p>
    <w:p w14:paraId="287ADB14" w14:textId="6B91854B" w:rsidR="0020085B" w:rsidRDefault="0020085B" w:rsidP="007A300E">
      <w:r w:rsidRPr="0020085B">
        <w:t xml:space="preserve">Mullins, S., 2012. Company Boats, Sailing Dinghies and Passenger Fish: Fathoming Torres Strait Islander Participation in the Maritime Economy. Labour History 39–58. </w:t>
      </w:r>
      <w:hyperlink r:id="rId54" w:history="1">
        <w:r w:rsidRPr="0033284D">
          <w:rPr>
            <w:rStyle w:val="Hyperlink"/>
          </w:rPr>
          <w:t>https://doi.org/10.5263/labourhistory.103.0039</w:t>
        </w:r>
      </w:hyperlink>
    </w:p>
    <w:bookmarkEnd w:id="181"/>
    <w:p w14:paraId="4C0E2BBB" w14:textId="7DE07F26" w:rsidR="007A300E" w:rsidRDefault="007A300E" w:rsidP="007A300E">
      <w:r w:rsidRPr="0033681E">
        <w:t>Mundy-Taylor, V., Crook, V., Foster, S., Fowler, S., Sant, G., Rice, J., 2014. CITES Non-detriment Findings Guidance for Shark Species (2nd, Revised Version). A Framework to assist Authorities in making Non-detriment Findings (NDFs) for species listed in CITES Appendix II (Report prepared for the Germany Federal Agency for Nature Conservation (Bundesamt für Naturschutz, BfN).). TRAFFIC.</w:t>
      </w:r>
    </w:p>
    <w:p w14:paraId="695AEE26" w14:textId="77777777" w:rsidR="004B12C9" w:rsidRDefault="004B12C9" w:rsidP="001F4AAC">
      <w:r w:rsidRPr="004B12C9">
        <w:t xml:space="preserve">Murphy, N., Skewes, T., Filewood, F., David, C., Seden, P., Jones, A., 2011. The recovery of the Holothuria scabra (sandfish) population on Warrior Reef, Torres Strait (CSIRO Wealth from Oceans Flagship Final Report, CSIRO, Cleveland). </w:t>
      </w:r>
    </w:p>
    <w:p w14:paraId="54DC64AD" w14:textId="77777777" w:rsidR="008D41B4" w:rsidRPr="00CE1AA4" w:rsidRDefault="008D41B4" w:rsidP="008D41B4">
      <w:r w:rsidRPr="00CE1AA4">
        <w:t>Murphy, N., Skewes, T., McLeod, I., Dovers, E., Carr, S., 2012. Reef Gardens in Torres Strait-Community based management in action 2012.</w:t>
      </w:r>
    </w:p>
    <w:p w14:paraId="33F718E3" w14:textId="77777777" w:rsidR="0094284F" w:rsidRPr="000E0A8F" w:rsidRDefault="0094284F" w:rsidP="0094284F">
      <w:bookmarkStart w:id="182" w:name="_Hlk144467483"/>
      <w:r w:rsidRPr="000E0A8F">
        <w:t>Murphy, N., Plaganyi, E., Edgar, S., Salee, K., Skewes, T., 2021a. Stock survey of sea cucumbers in East Torres Strait (Final report.). CSIRO, Australia.</w:t>
      </w:r>
    </w:p>
    <w:p w14:paraId="481534B1" w14:textId="77777777" w:rsidR="005B358D" w:rsidRPr="00CE1AA4" w:rsidRDefault="005B358D" w:rsidP="005B358D">
      <w:bookmarkStart w:id="183" w:name="_Hlk161088325"/>
      <w:bookmarkEnd w:id="182"/>
      <w:r w:rsidRPr="00CE1AA4">
        <w:t>Murphy, N.E., Skewes, T.D., Edgar, S., Salee, K., Plaganyi, E.E., 2021b. Successful use of a remotely operated vehicle to survey deep-reef habitats for white teatfish (</w:t>
      </w:r>
      <w:r w:rsidRPr="00CE1AA4">
        <w:rPr>
          <w:i/>
          <w:iCs/>
        </w:rPr>
        <w:t>Holothuria fuscogilva</w:t>
      </w:r>
      <w:r w:rsidRPr="00CE1AA4">
        <w:t>) in Torres Strait, Australia. SPC Beche-de-Mer Information Bulletin 41, 4.</w:t>
      </w:r>
    </w:p>
    <w:p w14:paraId="3F17467D" w14:textId="176522A4" w:rsidR="005B358D" w:rsidRPr="000E0A8F" w:rsidRDefault="005B358D" w:rsidP="005B358D">
      <w:bookmarkStart w:id="184" w:name="_Hlk161087429"/>
      <w:r w:rsidRPr="000E0A8F">
        <w:t>Murphy, N.E., Skewes, T.D., Plagányi, É.E., 2021</w:t>
      </w:r>
      <w:r>
        <w:t>c</w:t>
      </w:r>
      <w:r w:rsidRPr="000E0A8F">
        <w:t xml:space="preserve">. Updated conversion ratios for beche-de-mer species in Torres Strait, Australia. SPC Beche-de-mer Information Bulletin #41 – March 2021 3. </w:t>
      </w:r>
    </w:p>
    <w:bookmarkEnd w:id="184"/>
    <w:p w14:paraId="1B112506" w14:textId="72932AEB" w:rsidR="00BD09A9" w:rsidRDefault="00BD09A9" w:rsidP="001F4AAC">
      <w:r w:rsidRPr="00BD09A9">
        <w:t>Murphy</w:t>
      </w:r>
      <w:r>
        <w:t>,</w:t>
      </w:r>
      <w:r w:rsidRPr="00BD09A9">
        <w:t xml:space="preserve"> N</w:t>
      </w:r>
      <w:r>
        <w:t>.</w:t>
      </w:r>
      <w:r w:rsidRPr="00BD09A9">
        <w:t>E</w:t>
      </w:r>
      <w:r>
        <w:t>.</w:t>
      </w:r>
      <w:r w:rsidRPr="00BD09A9">
        <w:t>, Plaganyi</w:t>
      </w:r>
      <w:r>
        <w:t>,</w:t>
      </w:r>
      <w:r w:rsidRPr="00BD09A9">
        <w:t xml:space="preserve"> E</w:t>
      </w:r>
      <w:r>
        <w:t>.</w:t>
      </w:r>
      <w:r w:rsidRPr="00BD09A9">
        <w:t>E</w:t>
      </w:r>
      <w:r>
        <w:t>.</w:t>
      </w:r>
      <w:r w:rsidRPr="00BD09A9">
        <w:t>, Dutra</w:t>
      </w:r>
      <w:r>
        <w:t>,</w:t>
      </w:r>
      <w:r w:rsidRPr="00BD09A9">
        <w:t xml:space="preserve"> L</w:t>
      </w:r>
      <w:r>
        <w:t>.</w:t>
      </w:r>
      <w:r w:rsidRPr="00BD09A9">
        <w:t xml:space="preserve"> and Skewes</w:t>
      </w:r>
      <w:r>
        <w:t>,</w:t>
      </w:r>
      <w:r w:rsidRPr="00BD09A9">
        <w:t xml:space="preserve"> T</w:t>
      </w:r>
      <w:r>
        <w:t>.</w:t>
      </w:r>
      <w:r w:rsidRPr="00BD09A9">
        <w:t>D</w:t>
      </w:r>
      <w:r>
        <w:t xml:space="preserve">., </w:t>
      </w:r>
      <w:r w:rsidRPr="00BD09A9">
        <w:t>2024</w:t>
      </w:r>
      <w:r>
        <w:t>.</w:t>
      </w:r>
      <w:r w:rsidRPr="00BD09A9">
        <w:t xml:space="preserve"> Size frequency program for Black teatfish. CSIRO, Australia. 69 pp.</w:t>
      </w:r>
    </w:p>
    <w:p w14:paraId="2281C125" w14:textId="32023DFF" w:rsidR="00203BE2" w:rsidRDefault="00203BE2" w:rsidP="001F4AAC">
      <w:r w:rsidRPr="00203BE2">
        <w:t>Noriega, R., Keller, K., Butler, I., Curtotti, R., 2022. Coral Sea Fishery: Fishery status reports 2022, in: Fishery Status Reports 2022. Australian Bureau of Agricultural and Resource Economics and Sciences, Canberra.</w:t>
      </w:r>
    </w:p>
    <w:bookmarkEnd w:id="183"/>
    <w:p w14:paraId="1B075F66" w14:textId="7FB01E27" w:rsidR="001F4AAC" w:rsidRDefault="001F4AAC" w:rsidP="001F4AAC">
      <w:r w:rsidRPr="00DF2798">
        <w:t>O’Loughlin, P.M., Harding, C., Paulay, G., 2016. The sea cucumbers of Camden Sound in northwest Australia, including four new species (Echinodermata: Holothuroidea). Memoirs of Museum Victoria 75: 7–52.)</w:t>
      </w:r>
    </w:p>
    <w:p w14:paraId="55DF9CBD" w14:textId="3DCADC5F" w:rsidR="0025760C" w:rsidRDefault="0025760C" w:rsidP="0025760C">
      <w:r w:rsidRPr="00886A0A">
        <w:t xml:space="preserve">Oury, N., Léopold, M., Magalon, H., 2019. Isolation and characterization of microsatellite loci from three widespread tropical sea cucumbers of the genus Holothuria (Echinodermata, Holothuroidea), and cross-amplification among them. Mol Biol Rep 46, 3501–3510. </w:t>
      </w:r>
      <w:hyperlink r:id="rId55" w:history="1">
        <w:r w:rsidRPr="00C24355">
          <w:rPr>
            <w:rStyle w:val="Hyperlink"/>
          </w:rPr>
          <w:t>https://doi.org/10.1007/s11033-019-04747-1</w:t>
        </w:r>
      </w:hyperlink>
    </w:p>
    <w:p w14:paraId="461691F9" w14:textId="0EF62B14" w:rsidR="00923A51" w:rsidRDefault="00923A51" w:rsidP="006C1CE3">
      <w:r w:rsidRPr="00923A51">
        <w:t>Pecl, G., Ward, T., Doubleday, Z., Clarke, S., Day, J., Dixon, C., Frusher, S., Gibbs, P., Hobday, A., Hutchinson, N., Jennings, S., Jones, K., Li, X., Spooner, D., Stoklosa, R., 2014. Rapid assessment of fisheries species sensitivity to climate change. Climatic Change 127. https://doi.org/10.1007/s10584-014-1284-z</w:t>
      </w:r>
    </w:p>
    <w:p w14:paraId="5708B4DD" w14:textId="75C54968" w:rsidR="00346CE3" w:rsidRDefault="00346CE3" w:rsidP="006C1CE3">
      <w:bookmarkStart w:id="185" w:name="_Hlk161072102"/>
      <w:r w:rsidRPr="00346CE3">
        <w:lastRenderedPageBreak/>
        <w:t xml:space="preserve">Péron, </w:t>
      </w:r>
      <w:r>
        <w:t xml:space="preserve">F., 1816. </w:t>
      </w:r>
      <w:r w:rsidRPr="00346CE3">
        <w:t>"Voyage de découvertes aux terres australes" (‘Voyage of Discovery to the Southern Lands’, three volumes, Paris, 1807–1816)</w:t>
      </w:r>
    </w:p>
    <w:bookmarkEnd w:id="185"/>
    <w:p w14:paraId="4DAB337F" w14:textId="05A99D6B" w:rsidR="00276A80" w:rsidRDefault="00276A80" w:rsidP="006C1CE3">
      <w:r w:rsidRPr="00276A80">
        <w:t>Perry, R.I., Walters, C.J., Boutillier, J.A., 1999. A framework for providing scientific advice for the management of new and developing invertebrate fisheries. Reviews in fish biology and fisheries 9, 125–150.</w:t>
      </w:r>
    </w:p>
    <w:p w14:paraId="6F53D971" w14:textId="26134E2F" w:rsidR="0062221A" w:rsidRDefault="0062221A" w:rsidP="006C1CE3">
      <w:r w:rsidRPr="0062221A">
        <w:t>Phelps Bondaroff, T.N., Morrow, F., 2024. Sea cucumber crime, in: The World of Sea Cucumbers. Elsevier, pp. 171–198. https://doi.org/10.1016/B978-0-323-95377-1.00009-6</w:t>
      </w:r>
    </w:p>
    <w:p w14:paraId="5A85FC55" w14:textId="77777777" w:rsidR="00E265EB" w:rsidRPr="00632830" w:rsidRDefault="00E265EB" w:rsidP="00E265EB">
      <w:r w:rsidRPr="00632830">
        <w:t>Pitcher, C.R., Doherty, P., Arnold, P., Hooper, J., Gribble, N., et al., 2007. Seabed biodiversity on the continental shelf of the Great Barrier Reef World Heritage Area (AIMS/CSIRO/QM/QDPI CRC Reef Research Task Final Report). CSIRO Marine and Atmospheric Research, Cleveland, Qld.</w:t>
      </w:r>
    </w:p>
    <w:p w14:paraId="4CD0B08B" w14:textId="77777777" w:rsidR="00006594" w:rsidRPr="00632830" w:rsidRDefault="00006594" w:rsidP="00006594">
      <w:r w:rsidRPr="00632830">
        <w:t>Plagányi, É.E., Skewes, T.D., Dowling, N.A., Haddon, M., 2013. Risk management tools for sustainable fisheries management under changing climate: a sea cucumber example. Climatic Change 119, 181–197. https://doi.org/10.1007/s10584-012-0596-0</w:t>
      </w:r>
    </w:p>
    <w:p w14:paraId="7D11A1EE" w14:textId="77777777" w:rsidR="00006594" w:rsidRPr="00632830" w:rsidRDefault="00006594" w:rsidP="00006594">
      <w:r w:rsidRPr="00632830">
        <w:t>Plagányi, É.E., Skewes, T., Murphy, N., Pascual, R., Fischer, M., 2015. Crop rotations in the sea: Increasing returns and reducing risk of collapse in sea cucumber fisheries. Proceedings of the National Academy of Sciences 112, 6760–6765. https://doi.org/10.1073/pnas.1406689112</w:t>
      </w:r>
    </w:p>
    <w:p w14:paraId="38D5CD9E" w14:textId="77777777" w:rsidR="00D62356" w:rsidRDefault="00D62356" w:rsidP="006266A8">
      <w:bookmarkStart w:id="186" w:name="_Hlk161088022"/>
      <w:r w:rsidRPr="00D62356">
        <w:t xml:space="preserve">Plaganyi, E., Murphy, N., Skewes, T., Fischer, M., Dutra, L., Dowling, N., Miller, M., 2019. Harvest Strategies for the Torres Strait Bêche-de-mer (sea cucumber) Fishery (CSIRO Final Report), AFMA Project 2016/0823. Brisbane. </w:t>
      </w:r>
    </w:p>
    <w:bookmarkEnd w:id="186"/>
    <w:p w14:paraId="61BCE372" w14:textId="05643F49" w:rsidR="003B7798" w:rsidRDefault="003B7798" w:rsidP="006266A8">
      <w:r w:rsidRPr="003B7798">
        <w:t>Prescott, J., Vogel, C., Pollock, K., Hyson, S., Oktaviani, D., Panggabean, A.S., 2013. Estimating sea cucumber abundance and exploitation rates using removal methods. Mar. Freshwater Res. 64, 599–608. https://doi.org/10.1071/MF12081</w:t>
      </w:r>
    </w:p>
    <w:p w14:paraId="7D586692" w14:textId="63FF5E5A" w:rsidR="006266A8" w:rsidRDefault="006266A8" w:rsidP="006266A8">
      <w:r w:rsidRPr="00E33A97">
        <w:t xml:space="preserve">Prescott, J., Zhou, S., Prasetyo, A.P., 2015. Soft bodies make estimation hard: correlations among body dimensions and weights of multiple species of sea cucumbers. Mar. Freshwater Res. 66, 857–865. </w:t>
      </w:r>
      <w:hyperlink r:id="rId56" w:history="1">
        <w:r w:rsidRPr="00CA2FEE">
          <w:rPr>
            <w:rStyle w:val="Hyperlink"/>
          </w:rPr>
          <w:t>https://doi.org/10.1071/MF14146</w:t>
        </w:r>
      </w:hyperlink>
    </w:p>
    <w:p w14:paraId="6EBC2F02" w14:textId="4948454D" w:rsidR="00B30D81" w:rsidRDefault="00B30D81" w:rsidP="006C1CE3">
      <w:bookmarkStart w:id="187" w:name="_Hlk161087740"/>
      <w:r w:rsidRPr="00B30D81">
        <w:t>Prescott, J., Riwu, J., Stacey, N., Prasetyo, A., 2016. An unlikely partnership: fishers’ participation in a small-scale fishery data collection program in the Timor Sea. Rev Fish Biol Fisheries 26, 679–692. https://doi.org/10.1007/s11160-015-9417-7</w:t>
      </w:r>
    </w:p>
    <w:p w14:paraId="10A6E585" w14:textId="4F905290" w:rsidR="00E33A97" w:rsidRDefault="00E33A97" w:rsidP="006C1CE3">
      <w:r w:rsidRPr="00E33A97">
        <w:t>Prescott, J., Riwu, J., Prasetyo, A.P., Stacey, N., 2017. The money side of livelihoods: Economics of an unregulated small-scale Indonesian sea cucumber fishery in the Timor Sea. Marine Policy 82, 197–205. https://doi.org/10.1016/j.marpol.2017.03.033</w:t>
      </w:r>
    </w:p>
    <w:bookmarkEnd w:id="187"/>
    <w:p w14:paraId="7C0FF253" w14:textId="0A8F858C" w:rsidR="006207C2" w:rsidRDefault="006207C2" w:rsidP="000363D5">
      <w:r>
        <w:t xml:space="preserve">Preston, G. L., 1993. Beche-de-mer. In Wright, A. and L. Hill (eds). Nearshore Marine Resources of the South Pacific. Forum Fisheries Agency, Honiara, Solomon Islands 21 pp. </w:t>
      </w:r>
    </w:p>
    <w:p w14:paraId="407FD4D1" w14:textId="05B94DE1" w:rsidR="003B7798" w:rsidRDefault="003B7798" w:rsidP="000363D5">
      <w:r w:rsidRPr="003B7798">
        <w:t>Prince, J., Hordyk, A., 2019. What to do when you have almost nothing: A simple quantitative prescription for managing extremely data-poor fisheries. Fish and Fisheries 20, 224–238. https://doi.org/10.1111/faf.12335</w:t>
      </w:r>
    </w:p>
    <w:p w14:paraId="0A11054A" w14:textId="0BCD54E4" w:rsidR="006B14A1" w:rsidRDefault="006B14A1" w:rsidP="000363D5">
      <w:r w:rsidRPr="006B14A1">
        <w:t xml:space="preserve">Purcell, S.W., Blockmans, B.F., Nash, W.J., 2006. Efficacy of chemical markers and physical tags for large-scale release of an exploited holothurian. Journal of Experimental Marine Biology and Ecology 334, 283–293. </w:t>
      </w:r>
      <w:hyperlink r:id="rId57" w:history="1">
        <w:r w:rsidRPr="00B7610B">
          <w:rPr>
            <w:rStyle w:val="Hyperlink"/>
          </w:rPr>
          <w:t>https://doi.org/10.1016/j.jembe.2006.02.007</w:t>
        </w:r>
      </w:hyperlink>
    </w:p>
    <w:p w14:paraId="535316DF" w14:textId="65766517" w:rsidR="000363D5" w:rsidRPr="00632830" w:rsidRDefault="000363D5" w:rsidP="000363D5">
      <w:r w:rsidRPr="00632830">
        <w:t>Purcell, S.W., Mercier, A., Conand, C., Hamel, J.-F., Toral-Granda, M.V., Lovatelli, A., Uthicke, S., 2013. Sea cucumber fisheries: global analysis of stocks, management measures and drivers of overfishing: Management of sea cucumber fisheries. Fish and Fisheries 14, 34–59. https://doi.org/10.1111/j.1467-2979.2011.00443.x</w:t>
      </w:r>
    </w:p>
    <w:p w14:paraId="4E428D78" w14:textId="77777777" w:rsidR="000363D5" w:rsidRPr="00632830" w:rsidRDefault="000363D5" w:rsidP="000363D5">
      <w:r w:rsidRPr="00632830">
        <w:t>Purcell, S.W., Polidoro, B.A., Hamel, J.-F., Gamboa, R.U., Mercier, A., 2014. The cost of being valuable: predictors of extinction risk in marine invertebrates exploited as luxury seafood. Proceedings of the Royal Society B: Biological Sciences 281, 20133296–20133296. https://doi.org/10.1098/rspb.2013.3296</w:t>
      </w:r>
    </w:p>
    <w:p w14:paraId="1C980875" w14:textId="77777777" w:rsidR="00006594" w:rsidRPr="000E0A8F" w:rsidRDefault="00006594" w:rsidP="00006594">
      <w:r w:rsidRPr="000E0A8F">
        <w:lastRenderedPageBreak/>
        <w:t>Purcell, S.W., Conand, C., Uthicke, S., Byrne, M., 2016a. Ecological roles of exploited sea cucumbers: a review. Oceanography and Marine Biology: An Annual Review</w:t>
      </w:r>
    </w:p>
    <w:p w14:paraId="4561AC18" w14:textId="16B6C7F3" w:rsidR="006B14A1" w:rsidRDefault="006B14A1" w:rsidP="006C1CE3">
      <w:r w:rsidRPr="000E0A8F">
        <w:t>Purcell, S., Piddocke, T., Dalton, S., Wang, Y., 2016</w:t>
      </w:r>
      <w:r w:rsidR="00006594" w:rsidRPr="000E0A8F">
        <w:t>b</w:t>
      </w:r>
      <w:r w:rsidRPr="000E0A8F">
        <w:t xml:space="preserve">. Movement and growth of the coral reef holothuroids </w:t>
      </w:r>
      <w:r w:rsidRPr="00602BAB">
        <w:rPr>
          <w:i/>
          <w:iCs/>
        </w:rPr>
        <w:t>Bohadschia argus</w:t>
      </w:r>
      <w:r w:rsidRPr="000E0A8F">
        <w:t xml:space="preserve"> and </w:t>
      </w:r>
      <w:r w:rsidRPr="000E0A8F">
        <w:rPr>
          <w:i/>
          <w:iCs/>
        </w:rPr>
        <w:t>Thelenota ananas</w:t>
      </w:r>
      <w:r w:rsidRPr="000E0A8F">
        <w:t>. Mar. Ecol. Prog. Ser. 551, 201–214. https://doi.org/10.3354/meps11720</w:t>
      </w:r>
    </w:p>
    <w:p w14:paraId="0CFAEC92" w14:textId="77777777" w:rsidR="009A4A9B" w:rsidRDefault="009A4A9B" w:rsidP="009A4A9B">
      <w:r w:rsidRPr="00886A0A">
        <w:t>Purcell, S.W., Ngaluafe, P., Wang, G., Lalavanua, W., 2017. Market value of flower teatfish (“pentard”): A highly exploited Indian Ocean holothuroid. Beche-de-Mer information bulletin 5.</w:t>
      </w:r>
    </w:p>
    <w:p w14:paraId="79E2E4D3" w14:textId="39D1EC43" w:rsidR="006C1CE3" w:rsidRDefault="006C1CE3" w:rsidP="006C1CE3">
      <w:r w:rsidRPr="002503E8">
        <w:t>Purcell, S.W., Williamson, D.H., Ngaluafe, P., 2018. Chinese market prices of beche-de-mer: Implications for fisheries and aquaculture. Marine Policy 91, 58–65. https://doi.org/10.1016/j.marpol.2018.02.005</w:t>
      </w:r>
    </w:p>
    <w:p w14:paraId="0B09E4FB" w14:textId="6412AE49" w:rsidR="00263ABB" w:rsidRPr="000E0A8F" w:rsidRDefault="00263ABB" w:rsidP="00263ABB">
      <w:bookmarkStart w:id="188" w:name="_Hlk145417655"/>
      <w:r w:rsidRPr="000E0A8F">
        <w:t>Purcell, S.W., Lovatelli, A., González-Wangüemert, M., Solís-Marín, F.A., Samyn, Y., Conand, C., 2023</w:t>
      </w:r>
      <w:r w:rsidR="000E0A8F" w:rsidRPr="000E0A8F">
        <w:t>a</w:t>
      </w:r>
      <w:r w:rsidRPr="000E0A8F">
        <w:t>. Commercially important sea cucumbers of the world – Second edition., FAO Species Catalogue for Fishery Purposes No. 6, Rev. 1. FAO, Rome. https://doi.org/10.4060/cc5230en</w:t>
      </w:r>
    </w:p>
    <w:bookmarkEnd w:id="188"/>
    <w:p w14:paraId="49048F87" w14:textId="77777777" w:rsidR="0094284F" w:rsidRPr="000E0A8F" w:rsidRDefault="0094284F" w:rsidP="0094284F">
      <w:r w:rsidRPr="000E0A8F">
        <w:t xml:space="preserve">Purcell, S.W., Rallings, S.L., Hammond, A.R., 2023b. Long-term home ranging in the large sea cucumber, </w:t>
      </w:r>
      <w:r w:rsidRPr="000E0A8F">
        <w:rPr>
          <w:i/>
          <w:iCs/>
        </w:rPr>
        <w:t>Holothuria fuscopunctata</w:t>
      </w:r>
      <w:r w:rsidRPr="000E0A8F">
        <w:t>. Coral Reefs. https://doi.org/10.1007/s00338-023-02413-4</w:t>
      </w:r>
    </w:p>
    <w:p w14:paraId="55072241" w14:textId="5226D382" w:rsidR="00F95953" w:rsidRDefault="00F95953" w:rsidP="007A300E">
      <w:r>
        <w:t>Queensland Museum, 2011. Wild Guide to Moreton Bay. 443 p Queensland Museum, Brisbane.</w:t>
      </w:r>
    </w:p>
    <w:p w14:paraId="3E9570E2" w14:textId="73BA8181" w:rsidR="004B12C9" w:rsidRDefault="004B12C9" w:rsidP="007A300E">
      <w:r w:rsidRPr="000E0A8F">
        <w:t>Ramírez-González, J., Moity, N., Andrade-Vera, S., Reyes, H., 2020. Overexploitation and</w:t>
      </w:r>
      <w:r w:rsidRPr="004B12C9">
        <w:t xml:space="preserve"> More Than a Decade of Failed Management Leads to No Recovery of the Galápagos Sea Cucumber Fishery. Front. Mar. Sci. 7, 554314. https://doi.org/10.3389/fmars.2020.554314 </w:t>
      </w:r>
    </w:p>
    <w:p w14:paraId="385851E8" w14:textId="70834873" w:rsidR="00863F9B" w:rsidRDefault="00863F9B" w:rsidP="007A300E">
      <w:r w:rsidRPr="00863F9B">
        <w:t>Rees, M., Colquhoun, J., Smith, L., Heyward, A., 2003. Surveys of trochus, holothuria, giant clams and the coral communities at Ashmore reef, Cartier reef and Mermaid reef, north-western Australia (Report for the Department of Environment and Heritage). AIMS.</w:t>
      </w:r>
    </w:p>
    <w:p w14:paraId="1BE44E89" w14:textId="657AF00F" w:rsidR="00080750" w:rsidRDefault="00080750" w:rsidP="007A300E">
      <w:r w:rsidRPr="00080750">
        <w:t>Reiss, H., Hoarau, G., Dickey-Collas, M., Wolff, W.J., 2009. Genetic population structure of marine fish: mismatch between biological and fisheries management units. Fish and Fisheries 10, 361–395. https://doi.org/10.1111/j.1467-2979.2008.00324.x</w:t>
      </w:r>
    </w:p>
    <w:p w14:paraId="028E3D37" w14:textId="337B4A76" w:rsidR="006B14A1" w:rsidRDefault="006B14A1" w:rsidP="007A300E">
      <w:r w:rsidRPr="006B14A1">
        <w:t xml:space="preserve">Rodríguez-Barreras, R., Serrano-Torres, S., Macías-Reyes, D., 2014. A study of two tagging methods in the Caribbean sea cucumber Holothuria mexicana. Marine Biodiversity Records 7, e118. https://doi.org/10.1017/S1755267214001171 </w:t>
      </w:r>
    </w:p>
    <w:p w14:paraId="6A6DD01E" w14:textId="5F05A882" w:rsidR="004B12C9" w:rsidRDefault="004B12C9" w:rsidP="007A300E">
      <w:r w:rsidRPr="004B12C9">
        <w:t>Romero-Gallardo, S., Velázquez-Abunader, I., López-Rocha, J.A., Garza-Gisholt, E., 2018. Natural mortality estimates throughout the life history of the sea cucumber Isostichopus Badionotus (Holothuroidea: Aspidochirotida). PeerJ 6, e5235. https://doi.org/10.7717/peerj.5235</w:t>
      </w:r>
    </w:p>
    <w:p w14:paraId="433A51C7" w14:textId="37E1BF1F" w:rsidR="007A300E" w:rsidRDefault="007A300E" w:rsidP="007A300E">
      <w:r w:rsidRPr="006D0554">
        <w:t>Rosser, A.R., Haywood, M.J., 2002. Guidance For CITES Scientific Authorities: Checklist to assist in making non-detriment findings for Appendix II exports. IUCN, Gland, Switzerland and Cambridge, UK.</w:t>
      </w:r>
    </w:p>
    <w:p w14:paraId="3558A101" w14:textId="77777777" w:rsidR="00FC6FB3" w:rsidRDefault="00FC6FB3" w:rsidP="00FC6FB3">
      <w:bookmarkStart w:id="189" w:name="_Hlk161072485"/>
      <w:r w:rsidRPr="006415A3">
        <w:t>Ryle, P.A., 2000. Decline and recovery of a rural coastal town: Cooktown 1873-1999 (phd). James Cook University. https://doi.org/10/10Chapter_8.pdf</w:t>
      </w:r>
    </w:p>
    <w:bookmarkEnd w:id="189"/>
    <w:p w14:paraId="2FCD4297" w14:textId="77777777" w:rsidR="000B19DC" w:rsidRPr="00632830" w:rsidRDefault="000B19DC" w:rsidP="000B19DC">
      <w:r w:rsidRPr="00632830">
        <w:t>Saint-Cast, F., 2008. Multiple time-scale modelling of the circulation in Torres Strait—Australia. Continental Shelf Research 28, 2214–2240. https://doi.org/10.1016/j.csr.2008.03.035</w:t>
      </w:r>
    </w:p>
    <w:p w14:paraId="6AD7619D" w14:textId="09B6D431" w:rsidR="00080750" w:rsidRDefault="00080750" w:rsidP="00080750">
      <w:r>
        <w:t>Sale, P.F., Van Lavieren, H., Ablan Lagman, M.C., Atema, J., Butler, M., Fauvelot, C., Hogan, J.D., Jones, G.P., Lindeman, K.C., Paris, C.B., Steneck, R., Stewart, H.L. (2010) Preserving Reef Connectivity: A Handbook for Marine Protected Area Managers. Connectivity Working Group, Coral Reef Targeted Research &amp; Capacity Building for Management Program, UNUINWEH.</w:t>
      </w:r>
    </w:p>
    <w:p w14:paraId="6F97DCA7" w14:textId="445E25A7" w:rsidR="001F4AAC" w:rsidRDefault="001F4AAC" w:rsidP="001F4AAC">
      <w:r w:rsidRPr="00DF2798">
        <w:t>Sampey, A., Marsh, L.M., 2015. Kimberley marine biota. Historical data: echinoderms. Rec West Aust Mus Sup 84, 207. https://doi.org/10.18195/issn.0313-122x.84.2015.207-246</w:t>
      </w:r>
    </w:p>
    <w:p w14:paraId="6A1B685C" w14:textId="77777777" w:rsidR="00FC6FB3" w:rsidRDefault="00FC6FB3" w:rsidP="00FC6FB3">
      <w:bookmarkStart w:id="190" w:name="_Hlk161072468"/>
      <w:r w:rsidRPr="00C46549">
        <w:t>Saville-Kent, W., 1893. The Great Barrier Reef of Australia: its products and potentialities. John Currey, O’Neil, Melbourne.</w:t>
      </w:r>
    </w:p>
    <w:bookmarkEnd w:id="190"/>
    <w:p w14:paraId="3AD70B55" w14:textId="77777777" w:rsidR="00923A51" w:rsidRPr="00632830" w:rsidRDefault="00923A51" w:rsidP="00923A51">
      <w:r w:rsidRPr="00632830">
        <w:t xml:space="preserve">Scannella, D., Bono, G., Di Lorenzo, M., Di Maio, F., Falsone, F., Gancitano, V., Garofalo, G., Geraci, M.L., Lauria, V., Mancuso, M., Quattrocchi, F., Sardo, G., Titone, A., Vitale, S., Fiorentino, F., Massi, D., 2022. How </w:t>
      </w:r>
      <w:r w:rsidRPr="00632830">
        <w:lastRenderedPageBreak/>
        <w:t>does climate change affect a fishable resource? The case of the royal sea cucumber (Parastichopus regalis) in the central Mediterranean Sea. Frontiers in Marine Science 9.</w:t>
      </w:r>
    </w:p>
    <w:p w14:paraId="6694D1A7" w14:textId="3D43FE15" w:rsidR="003F09A1" w:rsidRDefault="001F4AAC" w:rsidP="007B2ECC">
      <w:bookmarkStart w:id="191" w:name="_Hlk161072327"/>
      <w:r w:rsidRPr="001F4AAC">
        <w:t>Schwerdtner Máñez, K., Ferse, S.C.A., 2010. The History of Makassan Trepang Fishing and Trade. PLoS ONE 5, e11346. https://doi.org/10.1371/journal.pone.0011346</w:t>
      </w:r>
    </w:p>
    <w:bookmarkEnd w:id="191"/>
    <w:p w14:paraId="6FF5E4B6" w14:textId="77777777" w:rsidR="0094284F" w:rsidRPr="00CE1AA4" w:rsidRDefault="0094284F" w:rsidP="0094284F">
      <w:r w:rsidRPr="00CE1AA4">
        <w:t>Schneider, K., Silverman, J., Woolsey, E., Eriksson, H., Byrne, M., Caldeira, K., 2011. Potential influence of sea cucumbers on coral reef CaCO3 budget: A case study at One Tree Reef. J. Geophys. Res. 116, G04032. https://doi.org/10.1029/2011JG001755</w:t>
      </w:r>
    </w:p>
    <w:p w14:paraId="4754117A" w14:textId="78ACCC3A" w:rsidR="0094284F" w:rsidRPr="00CE1AA4" w:rsidRDefault="0094284F" w:rsidP="0094284F">
      <w:r w:rsidRPr="00CE1AA4">
        <w:t xml:space="preserve">Schneiders, A., Van Daele, T., Van Landuyt, W., Van Reeth, W., 2012. Biodiversity and ecosystem services: Complementary approaches for ecosystem management? Ecological Indicators 21, 123–133. </w:t>
      </w:r>
      <w:hyperlink r:id="rId58" w:history="1">
        <w:r w:rsidRPr="00CE1AA4">
          <w:rPr>
            <w:rStyle w:val="Hyperlink"/>
          </w:rPr>
          <w:t>https://doi.org/10.1016/j.ecolind.2011.06.021</w:t>
        </w:r>
      </w:hyperlink>
    </w:p>
    <w:p w14:paraId="51523F73" w14:textId="77777777" w:rsidR="00DA65FD" w:rsidRDefault="00DA65FD" w:rsidP="0094284F">
      <w:r w:rsidRPr="00DA65FD">
        <w:t xml:space="preserve">Shelley, C., 1985. The potential for re-introduction of a bêche-de-mer fishery in Torres Strait, in: Haines, G., Williams, G., Coates, D. (Eds.), Torres Strait Fisheries Seminar; Port Moresby (Papua New Guinea)11 Feb 1985. Australian Government Publishing Service, pp. 140–150. </w:t>
      </w:r>
    </w:p>
    <w:p w14:paraId="401A5596" w14:textId="138E3349" w:rsidR="0094284F" w:rsidRDefault="0094284F" w:rsidP="0094284F">
      <w:r w:rsidRPr="006B14A1">
        <w:t xml:space="preserve">Shiell, G.R., Uthicke, S., 2006. Reproduction of the commercial sea cucumber Holothuria whitmaei [Holothuroidea: Aspidochirotida] in the Indian and Pacific Ocean regions of Australia. Marine Biology 148, 973–986. https://doi.org/10.1007/s00227-005-0113-3 </w:t>
      </w:r>
    </w:p>
    <w:p w14:paraId="59FA19CA" w14:textId="77777777" w:rsidR="00504521" w:rsidRDefault="00504521" w:rsidP="00504521">
      <w:bookmarkStart w:id="192" w:name="_Hlk161075656"/>
      <w:r w:rsidRPr="001F2217">
        <w:t xml:space="preserve">Shnukal, A., 2004. The post-contact created environment in the Torres Strait Central Islands. Memoirs of the Queensland Museum Cultural Heritage Series 3(1), 317–346. </w:t>
      </w:r>
    </w:p>
    <w:p w14:paraId="70D1B24E" w14:textId="1C6215C3" w:rsidR="00CD077D" w:rsidRDefault="00CD077D" w:rsidP="001F4AAC">
      <w:bookmarkStart w:id="193" w:name="_Hlk174101605"/>
      <w:bookmarkEnd w:id="192"/>
      <w:r w:rsidRPr="00CD077D">
        <w:t>Shnukal, A., 2015. Variation in Torres Strait Creole: a preliminary discussion 1.8M, 155-175 pages. https://doi.org/10.15144/PL-A72.155</w:t>
      </w:r>
    </w:p>
    <w:bookmarkEnd w:id="193"/>
    <w:p w14:paraId="2EBD60ED" w14:textId="729C4A0C" w:rsidR="007A300E" w:rsidRDefault="007A300E" w:rsidP="001F4AAC">
      <w:r w:rsidRPr="007A300E">
        <w:t xml:space="preserve">Simpfendorfer, C.A., Rigby, C., 2016. Pacific NDF template for Scalloped Hammerhead </w:t>
      </w:r>
      <w:r w:rsidRPr="007A300E">
        <w:rPr>
          <w:i/>
          <w:iCs/>
        </w:rPr>
        <w:t>S. lewini</w:t>
      </w:r>
      <w:r>
        <w:t xml:space="preserve"> </w:t>
      </w:r>
      <w:r w:rsidRPr="007A300E">
        <w:t>(Report to CITES). James Cook University.</w:t>
      </w:r>
    </w:p>
    <w:p w14:paraId="6A2A0D62" w14:textId="62668F74" w:rsidR="00263ABB" w:rsidRDefault="00263ABB" w:rsidP="001F4AAC">
      <w:r w:rsidRPr="00263ABB">
        <w:t>Skewes, T., Dennis, D., Jacobs, D.R., Gordon, S.R., Taranto, T.J., Haywood, M., Pitcher, C.R., Smith, G.P., Milton, D., Poiner, I., 1999. Survey and stock size estimates of the shallow reef (0-15 m deep) and shoal area (15-50 m deep) marine resources and habitat mapping within the Timor Sea MOU74 box. Volume 1: Stock estimates and stock status.</w:t>
      </w:r>
    </w:p>
    <w:p w14:paraId="220A4810" w14:textId="77777777" w:rsidR="00E265EB" w:rsidRPr="00CE1AA4" w:rsidRDefault="00E265EB" w:rsidP="00E265EB">
      <w:r w:rsidRPr="00CE1AA4">
        <w:t>Skewes, T., Plagányi, É., Murphy, N., Pascual, R., Fischer, M., 2014. Evaluating rotational harvest strategies for sea cucumber fisheries. FRDC Final Report. Canberra. 192 pp.</w:t>
      </w:r>
    </w:p>
    <w:p w14:paraId="350CA3FD" w14:textId="77777777" w:rsidR="00263ABB" w:rsidRPr="00632830" w:rsidRDefault="00263ABB" w:rsidP="00263ABB">
      <w:bookmarkStart w:id="194" w:name="_Hlk161088294"/>
      <w:r w:rsidRPr="00632830">
        <w:t>Skewes, T.D., Persson, S., 2017. Coral Sea sea cucumber survey (A report for Parks Australia.). Tim Skewes Consulting.</w:t>
      </w:r>
    </w:p>
    <w:p w14:paraId="618F8B1D" w14:textId="77777777" w:rsidR="006266A8" w:rsidRDefault="006266A8" w:rsidP="000B19DC">
      <w:bookmarkStart w:id="195" w:name="_Hlk145418709"/>
      <w:bookmarkEnd w:id="194"/>
      <w:r w:rsidRPr="006266A8">
        <w:t xml:space="preserve">Skewes, T., Brewer, D., 2019. Moreton Bay sea cucumber: Assessment of ecological sustainability (A Report for the Quandamooka Yoolooburrabee Aboriginal Corporation). Tim Skewes Consulting, Brisbane. </w:t>
      </w:r>
    </w:p>
    <w:p w14:paraId="227CEBFD" w14:textId="2FDA4FF0" w:rsidR="000B19DC" w:rsidRPr="00632830" w:rsidRDefault="000B19DC" w:rsidP="000B19DC">
      <w:r w:rsidRPr="00632830">
        <w:t xml:space="preserve">Skillings, D.J., Bird, C.E., Toonen, R.J., 2011. Gateways to Hawai‘i: Genetic Population Structure of the Tropical Sea Cucumber </w:t>
      </w:r>
      <w:r w:rsidRPr="00632830">
        <w:rPr>
          <w:i/>
          <w:iCs/>
        </w:rPr>
        <w:t>Holothuria atra</w:t>
      </w:r>
      <w:r w:rsidRPr="00632830">
        <w:t xml:space="preserve">. Journal of Marine Biology 2011, 1–16. </w:t>
      </w:r>
      <w:hyperlink r:id="rId59" w:history="1">
        <w:r w:rsidRPr="00632830">
          <w:rPr>
            <w:rStyle w:val="Hyperlink"/>
          </w:rPr>
          <w:t>https://doi.org/10.1155/2011/783030</w:t>
        </w:r>
      </w:hyperlink>
    </w:p>
    <w:p w14:paraId="65CA92EA" w14:textId="77777777" w:rsidR="00A361CC" w:rsidRDefault="00A361CC" w:rsidP="00A361CC">
      <w:r w:rsidRPr="00C52420">
        <w:t>Smith, A., 2018. The “forgotten people”: When death came to the Torres Strait [WWW Document]. CNN. URL https://www.cnn.com/2018/05/25/asia/aboriginal-massacre-australia-intl/index.html (accessed 6.28.23).</w:t>
      </w:r>
    </w:p>
    <w:p w14:paraId="6CD8CB74" w14:textId="12ABA1AF" w:rsidR="000B19DC" w:rsidRPr="00632830" w:rsidRDefault="000B19DC" w:rsidP="000B19DC">
      <w:r w:rsidRPr="00632830">
        <w:t xml:space="preserve">So, J.J., Uthicke, S., Hamel, J.-F., Mercier, A., 2011. Genetic population structure in a commercial marine invertebrate with long-lived lecithotrophic larvae: </w:t>
      </w:r>
      <w:r w:rsidRPr="00632830">
        <w:rPr>
          <w:i/>
          <w:iCs/>
        </w:rPr>
        <w:t>Cucumaria frondosa</w:t>
      </w:r>
      <w:r w:rsidRPr="00632830">
        <w:t xml:space="preserve"> (Echinodermata: Holothuroidea). Marine Biology 158, 859–870. https://doi.org/10.1007/s00227-010-1613-3</w:t>
      </w:r>
    </w:p>
    <w:p w14:paraId="0C13CD98" w14:textId="77777777" w:rsidR="00DA65FD" w:rsidRDefault="00DA65FD" w:rsidP="004B12C9">
      <w:bookmarkStart w:id="196" w:name="_Hlk161072209"/>
      <w:r w:rsidRPr="00DA65FD">
        <w:t xml:space="preserve">Sumner, R., 1981. A noisome business‐the trepang trade and Queensland. Journal of Australian Studies 5, 61–70. https://doi.org/10.1080/14443058109386837 </w:t>
      </w:r>
    </w:p>
    <w:p w14:paraId="74348698" w14:textId="68548BB1" w:rsidR="009D57FA" w:rsidRDefault="009D57FA" w:rsidP="004B12C9">
      <w:bookmarkStart w:id="197" w:name="_Hlk173500065"/>
      <w:bookmarkEnd w:id="196"/>
      <w:r w:rsidRPr="009D57FA">
        <w:t xml:space="preserve">Sutherland, H., 2000. Trepang and wangkang; The China trade of eighteenth-century Makassar c.1720s-1840s. Bijdragen tot de taal-, land- en volkenkunde / Journal of the Humanities and Social Sciences of Southeast Asia 156. </w:t>
      </w:r>
      <w:hyperlink r:id="rId60" w:history="1">
        <w:r w:rsidRPr="00DF450B">
          <w:rPr>
            <w:rStyle w:val="Hyperlink"/>
          </w:rPr>
          <w:t>https://doi.org/10.1163/22134379-90003835</w:t>
        </w:r>
      </w:hyperlink>
    </w:p>
    <w:p w14:paraId="3822D95E" w14:textId="103FA1F2" w:rsidR="004B12C9" w:rsidRPr="00632830" w:rsidRDefault="004B12C9" w:rsidP="004B12C9">
      <w:r w:rsidRPr="00632830">
        <w:lastRenderedPageBreak/>
        <w:t>Tanita, I., Sanda, T., Iwasaki, T., Ohno, K., Yoshikuni, M., 2023. Artificial rearing of Actinopyga lecanora (Holothuroidea: Holothuriida) with spawning induction using relaxin: Lecithotrophic short larval period. Aquaculture 567, 739226. https://doi.org/10.1016/j.aquaculture.2022.739226</w:t>
      </w:r>
    </w:p>
    <w:bookmarkEnd w:id="195"/>
    <w:bookmarkEnd w:id="197"/>
    <w:p w14:paraId="5C089E45" w14:textId="5012C71E" w:rsidR="000B19DC" w:rsidRDefault="000B19DC" w:rsidP="001F4AAC">
      <w:r w:rsidRPr="000B19DC">
        <w:t>Thomas, C.J., Lambrechts, J., Wolanski, E., Traag, V.A., Blondel, V.D., Deleersnijder, E., Hanert, E., 2014. Numerical modelling and graph theory tools to study ecological connectivity in the Great Barrier Reef. Ecological Modelling 272, 160–174. https://doi.org/10.1016/j.ecolmodel.2013.10.002</w:t>
      </w:r>
    </w:p>
    <w:p w14:paraId="16DFF613" w14:textId="77777777" w:rsidR="001F2217" w:rsidRDefault="001F2217" w:rsidP="001F4AAC">
      <w:bookmarkStart w:id="198" w:name="_Hlk161074803"/>
      <w:r w:rsidRPr="001F2217">
        <w:t xml:space="preserve">Thomassin, A., 2019. ‘Ina ngalmun lagau malu’ (This Part of the Sea Belongs to Us): Politics, Sea rights and Fisheries Co-management in Zenadh Kes (Torres Strait). </w:t>
      </w:r>
    </w:p>
    <w:bookmarkEnd w:id="198"/>
    <w:p w14:paraId="114A07E7" w14:textId="55B188F5" w:rsidR="001F4AAC" w:rsidRDefault="001F4AAC" w:rsidP="001F4AAC">
      <w:r w:rsidRPr="00A2354C">
        <w:t>To, A.W.L., 2018. Trade patterns of beche-de-mer at the global hub for trade and consumption – an update for Hong Kong.</w:t>
      </w:r>
    </w:p>
    <w:p w14:paraId="69C65E7A" w14:textId="351B757E" w:rsidR="00E83E9E" w:rsidRDefault="00A25A8C" w:rsidP="00A25A8C">
      <w:r>
        <w:t>Toral-Granda,V.</w:t>
      </w:r>
      <w:r w:rsidR="0062221A">
        <w:t>,</w:t>
      </w:r>
      <w:r>
        <w:t xml:space="preserve"> 2008. Population status, fisheries and trade of sea cucumbers in Latin America and the Caribbean. In V. Toral-Granda, A. Lovatelli and M. Vasconcellos (eds). Sea cucumbers. A global review of fisheries and trade. FAO Fisheries and Aquaculture Technical Paper. No. 516. Rome, FAO. 2008. pp. 213–229.</w:t>
      </w:r>
    </w:p>
    <w:p w14:paraId="663E49EB" w14:textId="5DC4F053" w:rsidR="00276A80" w:rsidRDefault="00276A80" w:rsidP="0062221A">
      <w:r w:rsidRPr="00276A80">
        <w:t>Treml, E., Ford, J., Black, K., Swearer, S., 2015. Identifying the key biophysical drivers, connectivity outcomes, and metapopulation consequences of larval dispersal in the sea. Movement Ecology 3. https://doi.org/10.1186/s40462-015-0045-6</w:t>
      </w:r>
    </w:p>
    <w:p w14:paraId="72E0F233" w14:textId="07F89379" w:rsidR="0062221A" w:rsidRDefault="0062221A" w:rsidP="0062221A">
      <w:r>
        <w:t>Tuwo, A., 2004. Status of sea cucumber fisheries and farming in Indonesia. In A. Lovatelli, C. Conand, S. Purcell, S. Uthicke, J.- F. Hamel, &amp; A. Mercier (Eds.), Advances in sea cucumber aquaculture and management (pp. 49e55). FAO Fisheries Technical Paper No. 463, FAO, Rome</w:t>
      </w:r>
    </w:p>
    <w:p w14:paraId="7DD1E4CE" w14:textId="53961412" w:rsidR="00080750" w:rsidRDefault="00080750" w:rsidP="00F25A82">
      <w:r w:rsidRPr="00080750">
        <w:t>Underwood, J.N., Travers, M.J., Gilmour, J.P., 2012. Subtle genetic structure reveals restricted connectivity among populations of a coral reef fish inhabiting remote atolls: Restricted Connectivity Among Remote Atolls. Ecology and Evolution 2, 666–679. https://doi.org/10.1002/ece3.80</w:t>
      </w:r>
    </w:p>
    <w:p w14:paraId="594C9637" w14:textId="7E75873B" w:rsidR="006B14A1" w:rsidRDefault="006B14A1" w:rsidP="00F25A82">
      <w:r w:rsidRPr="006B14A1">
        <w:t>Uthicke, S., Benzie, J.A.H., 2000. Allozyme electrophoresis indicates high gene flow between populations of Holothuria (Microthele) nobilis (Holothuroidea: Aspidochirotida) on the Great Barrier Reef. Marine Biology 137, 819–825. https://doi.org/10.1007/s002270000393</w:t>
      </w:r>
    </w:p>
    <w:p w14:paraId="2EBC6BDC" w14:textId="77777777" w:rsidR="0094284F" w:rsidRPr="00CE1AA4" w:rsidRDefault="0094284F" w:rsidP="0094284F">
      <w:r w:rsidRPr="00CE1AA4">
        <w:t>Uthicke, S., 2001. Nutrient regeneration by abundant coral reef holothurians. Journal of Experimental Marine Biology and Ecology 265, 153–170. https://doi.org/10.1016/S0022-0981(01)00329-X</w:t>
      </w:r>
    </w:p>
    <w:p w14:paraId="130DE780" w14:textId="155C9119" w:rsidR="000B19DC" w:rsidRPr="00632830" w:rsidRDefault="000B19DC" w:rsidP="000B19DC">
      <w:r w:rsidRPr="00632830">
        <w:t>Uthicke, S., Benzie, J., 2001. Restricted gene flow between Holothuria scabra (Echinodermata: Holothuroidea) populations along the north-east coast of Australia and the Solomon Islands. Mar. Ecol. Prog. Ser. 216, 109–117. https://doi.org/10.3354/meps216109</w:t>
      </w:r>
    </w:p>
    <w:p w14:paraId="4C5614D0" w14:textId="12ECC24A" w:rsidR="008D41B4" w:rsidRDefault="008D41B4" w:rsidP="000B19DC">
      <w:r w:rsidRPr="008D41B4">
        <w:t>Uthicke, S., Benzie, J.A.H., 2003. Gene flow and population history in high dispersal marine invertebrates: mitochondrial DNA analysis of Holothuria nobilis (Echinodermata: Holothuroidea) populations from the Indo-Pacific. Molecular Ecology 12, 2635–2648. https://doi.org/10.1046/j.1365-294X.2003.01954.x</w:t>
      </w:r>
    </w:p>
    <w:p w14:paraId="6F6F0752" w14:textId="6FFAE0A7" w:rsidR="00807544" w:rsidRPr="001C1A9A" w:rsidRDefault="00807544" w:rsidP="000B19DC">
      <w:bookmarkStart w:id="199" w:name="_Hlk161086363"/>
      <w:r w:rsidRPr="001C1A9A">
        <w:t xml:space="preserve">Uthicke, S., 2004. Overfishing of holothurians: lessons from the Great Barrier Reef (In Lovatelli A, Conand C, Purcell S, Uthicke S, Hamel J-F and Mercier A (eds). Advances in Sea Cucumber Aquaculture and Management No. Fisheries Technical Paper, 463). FAO, Rome. </w:t>
      </w:r>
    </w:p>
    <w:bookmarkEnd w:id="199"/>
    <w:p w14:paraId="5D35B086" w14:textId="640358B5" w:rsidR="000B19DC" w:rsidRPr="001C1A9A" w:rsidRDefault="000B19DC" w:rsidP="000B19DC">
      <w:r w:rsidRPr="001C1A9A">
        <w:t>Uthicke, S., Purcell, S., 2004. Preservation of genetic diversity in restocking of the sea cucumber Holothuria scabra investigated by allozyme electrophoresis. Canadian Journal of Fisheries and Aquatic Sciences 61, 519–528. https://doi.org/10.1139/f04-013</w:t>
      </w:r>
    </w:p>
    <w:p w14:paraId="4B1056DF" w14:textId="09181627" w:rsidR="003E65B0" w:rsidRDefault="003E65B0" w:rsidP="00F25A82">
      <w:r w:rsidRPr="001C1A9A">
        <w:t>Uthicke, S., Welch, D., Benzie, J.A.H., 2004</w:t>
      </w:r>
      <w:r w:rsidR="00655380">
        <w:t>a</w:t>
      </w:r>
      <w:r w:rsidRPr="001C1A9A">
        <w:t>. Slow Growth and Lack of Recovery in Overfished Holothurians on the Great Barrier Reef: Evidence from DNA Fingerprints and Repeated Large-Scale Surveys. Conservation Biology 18, 1395–1404. https://doi.org/10.1111/j.1523-1739.2004.00309.x</w:t>
      </w:r>
      <w:r w:rsidRPr="003E65B0">
        <w:t xml:space="preserve"> </w:t>
      </w:r>
    </w:p>
    <w:p w14:paraId="11FF677F" w14:textId="7C169DB9" w:rsidR="00655380" w:rsidRDefault="00655380" w:rsidP="00F25A82">
      <w:r w:rsidRPr="00655380">
        <w:t>Uthicke, S., O’Hara, T.D., Byrne, M., 2004</w:t>
      </w:r>
      <w:r>
        <w:t>b</w:t>
      </w:r>
      <w:r w:rsidRPr="00655380">
        <w:t>. Species composition and molecular phylogeny of the Indo-Pacific teatfish (Echinodermata : Holothuroidea) bêche-de-mer fishery. Mar. Freshwater Res. 55, 837–848. https://doi.org/10.1071/MF04226</w:t>
      </w:r>
    </w:p>
    <w:p w14:paraId="4CFED649" w14:textId="2EC4C088" w:rsidR="008D41B4" w:rsidRDefault="008D41B4" w:rsidP="00F25A82">
      <w:r w:rsidRPr="008D41B4">
        <w:lastRenderedPageBreak/>
        <w:t>Uthicke, S., Schaffelke, B., Byrne, M., 2009</w:t>
      </w:r>
      <w:r w:rsidR="009A4A9B">
        <w:t>a</w:t>
      </w:r>
      <w:r w:rsidRPr="008D41B4">
        <w:t>. A boom–bust phylum? Ecological and evolutionary consequences of density variations in echinoderms. Ecological Monographs 79, 3–24.</w:t>
      </w:r>
    </w:p>
    <w:p w14:paraId="4345CB87" w14:textId="679DE0C4" w:rsidR="009A4A9B" w:rsidRDefault="009A4A9B" w:rsidP="009A4A9B">
      <w:r w:rsidRPr="009A4A9B">
        <w:t>Uthicke, S., Byrne, M., Conand, C., 2009</w:t>
      </w:r>
      <w:r>
        <w:t>b</w:t>
      </w:r>
      <w:r w:rsidRPr="009A4A9B">
        <w:t>. Genetic barcoding of commercial Bêche-de-mer species (Echinodermata: Holothuroidea). Molecular Ecology Resources 10, 634–646. https://doi.org/10.1111/j.1755-0998.2009.02826.x</w:t>
      </w:r>
    </w:p>
    <w:p w14:paraId="643C1C35" w14:textId="77777777" w:rsidR="0094284F" w:rsidRPr="00CE1AA4" w:rsidRDefault="0094284F" w:rsidP="0094284F">
      <w:r w:rsidRPr="00CE1AA4">
        <w:t>Vidal-Ramirez, F., Dove, S., 2016. Diurnal effects of Holothuria atra on seawater carbonate chemistry in a sedimentary environment. Journal of Experimental Marine Biology and Ecology 474, 156–163. https://doi.org/10.1016/j.jembe.2015.10.007</w:t>
      </w:r>
    </w:p>
    <w:p w14:paraId="63A46548" w14:textId="68D9D96D" w:rsidR="00F25A82" w:rsidRDefault="00F25A82" w:rsidP="00F25A82">
      <w:r w:rsidRPr="00A24A1B">
        <w:t xml:space="preserve">Wesley, D., O’connor, S., Fenner, J.N., 2016. Re-evaluating the timing of the Indonesian trepang industry in north-west Arnhem Land: chronological investigations at Malara (Anuru Bay A). Archaeology in Oceania 51, 169–195. </w:t>
      </w:r>
      <w:hyperlink r:id="rId61" w:history="1">
        <w:r w:rsidRPr="00CF7BF8">
          <w:rPr>
            <w:rStyle w:val="Hyperlink"/>
          </w:rPr>
          <w:t>https://doi.org/10.1002/arco.5091</w:t>
        </w:r>
      </w:hyperlink>
    </w:p>
    <w:p w14:paraId="474053EC" w14:textId="5DF6F48D" w:rsidR="000B19DC" w:rsidRPr="00632830" w:rsidRDefault="000B19DC" w:rsidP="000B19DC">
      <w:bookmarkStart w:id="200" w:name="_Hlk145417226"/>
      <w:r w:rsidRPr="00632830">
        <w:t xml:space="preserve">Wolanski, E., Lambrechts, J., Thomas, C., Deleersnijder, E., 2013. The net water circulation through Torres strait. Continental Shelf Research 64, 66–74. </w:t>
      </w:r>
      <w:hyperlink r:id="rId62" w:history="1">
        <w:r w:rsidRPr="00632830">
          <w:rPr>
            <w:rStyle w:val="Hyperlink"/>
          </w:rPr>
          <w:t>https://doi.org/10.1016/j.csr.2013.05.013</w:t>
        </w:r>
      </w:hyperlink>
    </w:p>
    <w:p w14:paraId="665EC957" w14:textId="77777777" w:rsidR="0094284F" w:rsidRPr="00CE1AA4" w:rsidRDefault="0094284F" w:rsidP="0094284F">
      <w:r w:rsidRPr="00CE1AA4">
        <w:t>Wolfe, K., Vidal‐Ramirez, F., Dove, S., Deaker, D., Byrne, M., 2017. Altered sediment biota and lagoon habitat carbonate dynamics due to sea cucumber bioturbation in a high-pCO2 environment. Global Change Biology 24, 465–480. https://doi.org/10.1111/gcb.13826</w:t>
      </w:r>
    </w:p>
    <w:p w14:paraId="4B233F44" w14:textId="0CFAA049" w:rsidR="0030371E" w:rsidRDefault="0030371E" w:rsidP="000363D5">
      <w:r w:rsidRPr="0030371E">
        <w:t>Wolfe, K., Byrne, M., 2022. Overview of the Great Barrier Reef sea cucumber fishery with focus on vulnerable and endangered species. Biological Conservation 266, 109451. https://doi.org/10.1016/j.biocon.2022.109451</w:t>
      </w:r>
    </w:p>
    <w:p w14:paraId="6F88F66F" w14:textId="1FBDB05A" w:rsidR="000363D5" w:rsidRPr="00632830" w:rsidRDefault="000363D5" w:rsidP="000363D5">
      <w:r w:rsidRPr="00632830">
        <w:t>Yang, H., Bai, Y., 2015. Chapter 1 - Apostichopus japonicus in the Life of Chinese People, in: Yang, H., Hamel, J.-F., Mercier, A. (Eds.), Developments in Aquaculture and Fisheries Science. Elsevier, pp. 1–23. https://doi.org/10.1016/B978-0-12-799953-1.00001-5</w:t>
      </w:r>
    </w:p>
    <w:bookmarkEnd w:id="200"/>
    <w:p w14:paraId="343CD4C3" w14:textId="77777777" w:rsidR="00006594" w:rsidRPr="00632830" w:rsidRDefault="00006594" w:rsidP="00006594">
      <w:r w:rsidRPr="00632830">
        <w:t xml:space="preserve">Yuan, X., Shao, S., Dupont, S., Meng, L., Liu, Y., Wang, L., 2015. Impact of CO2-driven acidification on the development of the sea cucumber </w:t>
      </w:r>
      <w:r w:rsidRPr="00632830">
        <w:rPr>
          <w:i/>
          <w:iCs/>
        </w:rPr>
        <w:t>Apostichopus japonicus</w:t>
      </w:r>
      <w:r w:rsidRPr="00632830">
        <w:t xml:space="preserve"> (Selenka) (Echinodermata: Holothuroidea). Mar Pollut Bull 95, 195–199. https://doi.org/10.1016/j.marpolbul.2015.04.021</w:t>
      </w:r>
    </w:p>
    <w:p w14:paraId="65E98F62" w14:textId="77777777" w:rsidR="00006594" w:rsidRDefault="00006594" w:rsidP="00006594">
      <w:r w:rsidRPr="00632830">
        <w:t xml:space="preserve">Yuan, X., McCoy, S.J., Du, Y., Widdicombe, S., Hall-Spencer, J.M., 2018. Physiological and Behavioral Plasticity of the Sea Cucumber </w:t>
      </w:r>
      <w:r w:rsidRPr="00632830">
        <w:rPr>
          <w:i/>
          <w:iCs/>
        </w:rPr>
        <w:t>Holothuria forskali</w:t>
      </w:r>
      <w:r w:rsidRPr="00632830">
        <w:t xml:space="preserve"> (Echinodermata, Holothuroidea) to Acidified Seawater. Frontiers in Physiology 9.</w:t>
      </w:r>
    </w:p>
    <w:p w14:paraId="1DC418E4" w14:textId="77777777" w:rsidR="00A943B2" w:rsidRDefault="00A943B2" w:rsidP="00AF37BE"/>
    <w:p w14:paraId="1DC418E5" w14:textId="77777777" w:rsidR="00A943B2" w:rsidRDefault="00A943B2" w:rsidP="00840B15">
      <w:pPr>
        <w:sectPr w:rsidR="00A943B2" w:rsidSect="00E67C72">
          <w:headerReference w:type="default" r:id="rId63"/>
          <w:pgSz w:w="11906" w:h="16838" w:code="9"/>
          <w:pgMar w:top="1134" w:right="1134" w:bottom="1134" w:left="1134" w:header="510" w:footer="624" w:gutter="0"/>
          <w:pgNumType w:start="1"/>
          <w:cols w:space="284"/>
          <w:docGrid w:linePitch="360"/>
        </w:sectPr>
      </w:pPr>
    </w:p>
    <w:p w14:paraId="1DC418E6" w14:textId="77777777" w:rsidR="00A943B2" w:rsidRPr="00AF37BE" w:rsidRDefault="00B220FA" w:rsidP="00B220FA">
      <w:r>
        <w:rPr>
          <w:noProof/>
        </w:rPr>
        <w:lastRenderedPageBreak/>
        <mc:AlternateContent>
          <mc:Choice Requires="wps">
            <w:drawing>
              <wp:anchor distT="0" distB="0" distL="114300" distR="114300" simplePos="0" relativeHeight="251667968" behindDoc="0" locked="0" layoutInCell="1" allowOverlap="1" wp14:anchorId="1DC41902" wp14:editId="607E5D45">
                <wp:simplePos x="0" y="0"/>
                <wp:positionH relativeFrom="page">
                  <wp:align>right</wp:align>
                </wp:positionH>
                <wp:positionV relativeFrom="paragraph">
                  <wp:posOffset>55245</wp:posOffset>
                </wp:positionV>
                <wp:extent cx="7524750" cy="219075"/>
                <wp:effectExtent l="0" t="0" r="19050" b="28575"/>
                <wp:wrapNone/>
                <wp:docPr id="70" name="Rectangle 70"/>
                <wp:cNvGraphicFramePr/>
                <a:graphic xmlns:a="http://schemas.openxmlformats.org/drawingml/2006/main">
                  <a:graphicData uri="http://schemas.microsoft.com/office/word/2010/wordprocessingShape">
                    <wps:wsp>
                      <wps:cNvSpPr/>
                      <wps:spPr>
                        <a:xfrm>
                          <a:off x="0" y="0"/>
                          <a:ext cx="7524750" cy="219075"/>
                        </a:xfrm>
                        <a:prstGeom prst="rect">
                          <a:avLst/>
                        </a:prstGeom>
                        <a:solidFill>
                          <a:srgbClr val="0066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8A1D26" id="Rectangle 70" o:spid="_x0000_s1026" style="position:absolute;margin-left:541.3pt;margin-top:4.35pt;width:592.5pt;height:17.25pt;z-index:251667968;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" fillcolor="#069" strokecolor="#1f4d78 [1604]" strokeweight="1pt">
                <w10:wrap anchorx="page"/>
              </v:rect>
            </w:pict>
          </mc:Fallback>
        </mc:AlternateContent>
      </w:r>
    </w:p>
    <w:tbl>
      <w:tblPr>
        <w:tblpPr w:leftFromText="180" w:rightFromText="180" w:vertAnchor="text" w:horzAnchor="margin" w:tblpY="973"/>
        <w:tblW w:w="0" w:type="auto"/>
        <w:tblLook w:val="01E0" w:firstRow="1" w:lastRow="1" w:firstColumn="1" w:lastColumn="1" w:noHBand="0" w:noVBand="0"/>
      </w:tblPr>
      <w:tblGrid>
        <w:gridCol w:w="6237"/>
      </w:tblGrid>
      <w:tr w:rsidR="00B220FA" w14:paraId="1DC418EC" w14:textId="77777777" w:rsidTr="00B220FA">
        <w:tc>
          <w:tcPr>
            <w:tcW w:w="6237" w:type="dxa"/>
          </w:tcPr>
          <w:p w14:paraId="1DC418E7" w14:textId="699A1EC7" w:rsidR="00B220FA" w:rsidRDefault="00B220FA" w:rsidP="00B220FA">
            <w:pPr>
              <w:pStyle w:val="BackCoverContactDetails"/>
            </w:pPr>
            <w:r w:rsidRPr="00B220FA">
              <w:t>CONTACT</w:t>
            </w:r>
          </w:p>
          <w:p w14:paraId="1DC418E8" w14:textId="77777777" w:rsidR="00B220FA" w:rsidRPr="00840B15" w:rsidRDefault="00B220FA" w:rsidP="00B220FA">
            <w:pPr>
              <w:pStyle w:val="BackCoverContactDetails"/>
            </w:pPr>
            <w:r>
              <w:t>Tim Skewes Consulting</w:t>
            </w:r>
          </w:p>
          <w:p w14:paraId="1DC418E9" w14:textId="77777777" w:rsidR="00B220FA" w:rsidRDefault="00B220FA" w:rsidP="00B220FA">
            <w:pPr>
              <w:pStyle w:val="BackCoverContactDetails"/>
            </w:pPr>
            <w:r>
              <w:t xml:space="preserve">m </w:t>
            </w:r>
            <w:r>
              <w:tab/>
              <w:t>+61 0419 382 697</w:t>
            </w:r>
          </w:p>
          <w:p w14:paraId="1DC418EA" w14:textId="77777777" w:rsidR="00B220FA" w:rsidRDefault="00B220FA" w:rsidP="00B220FA">
            <w:pPr>
              <w:pStyle w:val="BackCoverContactDetails"/>
            </w:pPr>
            <w:r w:rsidRPr="00840B15">
              <w:t>e</w:t>
            </w:r>
            <w:r>
              <w:t xml:space="preserve"> </w:t>
            </w:r>
            <w:r>
              <w:tab/>
            </w:r>
            <w:r>
              <w:tab/>
              <w:t>timskewes@</w:t>
            </w:r>
            <w:r w:rsidR="00D3162F">
              <w:t>outlook.com</w:t>
            </w:r>
          </w:p>
          <w:p w14:paraId="1DC418EB" w14:textId="77777777" w:rsidR="00B220FA" w:rsidRDefault="00B220FA" w:rsidP="00B220FA">
            <w:pPr>
              <w:pStyle w:val="BackCoverContactDetails"/>
            </w:pPr>
          </w:p>
        </w:tc>
      </w:tr>
    </w:tbl>
    <w:p w14:paraId="1DC418ED" w14:textId="77777777" w:rsidR="00B220FA" w:rsidRDefault="00B220FA" w:rsidP="00B220FA"/>
    <w:p w14:paraId="1DC418EE" w14:textId="77777777" w:rsidR="00A14107" w:rsidRPr="006C2F7A" w:rsidRDefault="00B220FA" w:rsidP="00B220FA">
      <w:pPr>
        <w:rPr>
          <w:sz w:val="18"/>
        </w:rPr>
      </w:pPr>
      <w:r>
        <w:rPr>
          <w:noProof/>
          <w:sz w:val="18"/>
        </w:rPr>
        <w:drawing>
          <wp:anchor distT="0" distB="0" distL="114300" distR="114300" simplePos="0" relativeHeight="251665920" behindDoc="1" locked="0" layoutInCell="1" allowOverlap="1" wp14:anchorId="1DC41904" wp14:editId="1DC41905">
            <wp:simplePos x="0" y="0"/>
            <wp:positionH relativeFrom="page">
              <wp:posOffset>9525</wp:posOffset>
            </wp:positionH>
            <wp:positionV relativeFrom="paragraph">
              <wp:posOffset>4882516</wp:posOffset>
            </wp:positionV>
            <wp:extent cx="7552690" cy="306705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waves-006.jpg"/>
                    <pic:cNvPicPr/>
                  </pic:nvPicPr>
                  <pic:blipFill rotWithShape="1">
                    <a:blip r:embed="rId64" cstate="print">
                      <a:extLst>
                        <a:ext uri="{28A0092B-C50C-407E-A947-70E740481C1C}">
                          <a14:useLocalDpi xmlns:a14="http://schemas.microsoft.com/office/drawing/2010/main"/>
                        </a:ext>
                      </a:extLst>
                    </a:blip>
                    <a:srcRect/>
                    <a:stretch/>
                  </pic:blipFill>
                  <pic:spPr bwMode="auto">
                    <a:xfrm>
                      <a:off x="0" y="0"/>
                      <a:ext cx="7553325" cy="30673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A14107" w:rsidRPr="006C2F7A" w:rsidSect="00E67C72">
      <w:headerReference w:type="even" r:id="rId65"/>
      <w:footerReference w:type="even" r:id="rId66"/>
      <w:type w:val="evenPage"/>
      <w:pgSz w:w="11906" w:h="16838" w:code="9"/>
      <w:pgMar w:top="1134" w:right="1134" w:bottom="1134" w:left="1134" w:header="510" w:footer="62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75399F" w14:textId="77777777" w:rsidR="00B2118D" w:rsidRDefault="00B2118D" w:rsidP="009964E7">
      <w:r>
        <w:separator/>
      </w:r>
    </w:p>
    <w:p w14:paraId="5F3069B8" w14:textId="77777777" w:rsidR="00B2118D" w:rsidRDefault="00B2118D"/>
  </w:endnote>
  <w:endnote w:type="continuationSeparator" w:id="0">
    <w:p w14:paraId="4AA4F567" w14:textId="77777777" w:rsidR="00B2118D" w:rsidRDefault="00B2118D" w:rsidP="009964E7">
      <w:r>
        <w:continuationSeparator/>
      </w:r>
    </w:p>
    <w:p w14:paraId="35673BDF" w14:textId="77777777" w:rsidR="00B2118D" w:rsidRDefault="00B211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ollo MT Std">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272F6" w14:textId="77777777" w:rsidR="002B4915" w:rsidRDefault="002B49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CellMar>
        <w:left w:w="0" w:type="dxa"/>
        <w:right w:w="0" w:type="dxa"/>
      </w:tblCellMar>
      <w:tblLook w:val="00A0" w:firstRow="1" w:lastRow="0" w:firstColumn="1" w:lastColumn="0" w:noHBand="0" w:noVBand="0"/>
    </w:tblPr>
    <w:tblGrid>
      <w:gridCol w:w="9239"/>
    </w:tblGrid>
    <w:tr w:rsidR="00655388" w:rsidRPr="00CD5B9E" w14:paraId="1DC41912" w14:textId="77777777" w:rsidTr="00CD5B9E">
      <w:trPr>
        <w:trHeight w:hRule="exact" w:val="737"/>
      </w:trPr>
      <w:tc>
        <w:tcPr>
          <w:tcW w:w="9239" w:type="dxa"/>
          <w:vAlign w:val="bottom"/>
        </w:tcPr>
        <w:p w14:paraId="1DC41911" w14:textId="77777777" w:rsidR="00655388" w:rsidRPr="00CD5B9E" w:rsidRDefault="00655388" w:rsidP="00782488">
          <w:pPr>
            <w:pStyle w:val="Footer"/>
          </w:pPr>
        </w:p>
      </w:tc>
    </w:tr>
    <w:tr w:rsidR="00655388" w:rsidRPr="00CD5B9E" w14:paraId="1DC41914" w14:textId="77777777" w:rsidTr="00CD5B9E">
      <w:trPr>
        <w:trHeight w:val="113"/>
      </w:trPr>
      <w:tc>
        <w:tcPr>
          <w:tcW w:w="9239" w:type="dxa"/>
        </w:tcPr>
        <w:p w14:paraId="1DC41913" w14:textId="77777777" w:rsidR="00655388" w:rsidRPr="00CD5B9E" w:rsidRDefault="00655388">
          <w:pPr>
            <w:pStyle w:val="Footer"/>
          </w:pPr>
        </w:p>
      </w:tc>
    </w:tr>
  </w:tbl>
  <w:p w14:paraId="1DC41915" w14:textId="77777777" w:rsidR="00655388" w:rsidRDefault="006553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6B986" w14:textId="77777777" w:rsidR="002B4915" w:rsidRDefault="002B491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41919" w14:textId="77850E51" w:rsidR="00655388" w:rsidRPr="00B220FA" w:rsidRDefault="006E67BD" w:rsidP="006E67BD">
    <w:pPr>
      <w:pStyle w:val="Footer"/>
      <w:tabs>
        <w:tab w:val="clear" w:pos="4513"/>
        <w:tab w:val="clear" w:pos="9026"/>
      </w:tabs>
    </w:pPr>
    <w:r>
      <w:rPr>
        <w:rStyle w:val="PageNumber"/>
      </w:rPr>
      <w:fldChar w:fldCharType="begin"/>
    </w:r>
    <w:r>
      <w:rPr>
        <w:rStyle w:val="PageNumber"/>
      </w:rPr>
      <w:instrText xml:space="preserve"> PAGE </w:instrText>
    </w:r>
    <w:r>
      <w:rPr>
        <w:rStyle w:val="PageNumber"/>
      </w:rPr>
      <w:fldChar w:fldCharType="separate"/>
    </w:r>
    <w:r w:rsidR="00D3162F">
      <w:rPr>
        <w:rStyle w:val="PageNumber"/>
        <w:noProof/>
      </w:rPr>
      <w:t>14</w:t>
    </w:r>
    <w:r>
      <w:rPr>
        <w:rStyle w:val="PageNumber"/>
      </w:rPr>
      <w:fldChar w:fldCharType="end"/>
    </w:r>
    <w:r>
      <w:rPr>
        <w:rStyle w:val="PageNumber"/>
      </w:rPr>
      <w:t xml:space="preserve">   |  </w:t>
    </w:r>
    <w:r w:rsidR="00BA2024" w:rsidRPr="00BA2024">
      <w:rPr>
        <w:noProof/>
      </w:rPr>
      <w:t xml:space="preserve">Expert Advice </w:t>
    </w:r>
    <w:r w:rsidR="0052265B">
      <w:rPr>
        <w:noProof/>
      </w:rPr>
      <w:t xml:space="preserve">for </w:t>
    </w:r>
    <w:r w:rsidR="00BA2024" w:rsidRPr="00BA2024">
      <w:rPr>
        <w:noProof/>
      </w:rPr>
      <w:t xml:space="preserve">Australian </w:t>
    </w:r>
    <w:r w:rsidR="00BE5D4B" w:rsidRPr="00BE5D4B">
      <w:rPr>
        <w:noProof/>
      </w:rPr>
      <w:t>Teatfish</w:t>
    </w:r>
    <w:r w:rsidR="00BA2024" w:rsidRPr="00BA2024">
      <w:rPr>
        <w:noProof/>
      </w:rPr>
      <w:t xml:space="preserve"> Fisheries</w:t>
    </w:r>
    <w:r w:rsidR="00BA2024">
      <w:rPr>
        <w:noProof/>
      </w:rPr>
      <w:t xml:space="preserve">: </w:t>
    </w:r>
    <w:r w:rsidR="00EA010B">
      <w:rPr>
        <w:noProof/>
      </w:rPr>
      <w:t>National report</w:t>
    </w:r>
    <w:r w:rsidR="00BA2024">
      <w:rPr>
        <w:noProof/>
      </w:rPr>
      <w:t xml:space="preserve"> </w:t>
    </w:r>
    <w:r w:rsidR="00BA2024">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4191A" w14:textId="67EE04D4" w:rsidR="00655388" w:rsidRDefault="00BA2024" w:rsidP="004A575F">
    <w:pPr>
      <w:pStyle w:val="Footer"/>
      <w:tabs>
        <w:tab w:val="clear" w:pos="4513"/>
        <w:tab w:val="clear" w:pos="9026"/>
      </w:tabs>
      <w:jc w:val="right"/>
    </w:pPr>
    <w:r w:rsidRPr="00BA2024">
      <w:rPr>
        <w:noProof/>
      </w:rPr>
      <w:t xml:space="preserve">Expert Advice </w:t>
    </w:r>
    <w:r w:rsidR="0052265B">
      <w:rPr>
        <w:noProof/>
      </w:rPr>
      <w:t xml:space="preserve">for </w:t>
    </w:r>
    <w:r w:rsidRPr="00BA2024">
      <w:rPr>
        <w:noProof/>
      </w:rPr>
      <w:t>Australian</w:t>
    </w:r>
    <w:r w:rsidRPr="00BE5D4B">
      <w:rPr>
        <w:noProof/>
      </w:rPr>
      <w:t xml:space="preserve"> </w:t>
    </w:r>
    <w:r w:rsidR="00BE5D4B" w:rsidRPr="00BE5D4B">
      <w:rPr>
        <w:noProof/>
      </w:rPr>
      <w:t>Teatfish</w:t>
    </w:r>
    <w:r w:rsidRPr="00BA2024">
      <w:rPr>
        <w:noProof/>
      </w:rPr>
      <w:t xml:space="preserve"> Fisheries</w:t>
    </w:r>
    <w:r>
      <w:rPr>
        <w:noProof/>
      </w:rPr>
      <w:t xml:space="preserve">: </w:t>
    </w:r>
    <w:r w:rsidR="00EA010B">
      <w:rPr>
        <w:noProof/>
      </w:rPr>
      <w:t>National report</w:t>
    </w:r>
    <w:r>
      <w:rPr>
        <w:noProof/>
      </w:rPr>
      <w:t xml:space="preserve"> </w:t>
    </w:r>
    <w:r w:rsidR="00655388">
      <w:t xml:space="preserve"> |  </w:t>
    </w:r>
    <w:r w:rsidR="00270A2A">
      <w:rPr>
        <w:rStyle w:val="PageNumber"/>
      </w:rPr>
      <w:fldChar w:fldCharType="begin"/>
    </w:r>
    <w:r w:rsidR="00655388">
      <w:rPr>
        <w:rStyle w:val="PageNumber"/>
      </w:rPr>
      <w:instrText xml:space="preserve"> PAGE </w:instrText>
    </w:r>
    <w:r w:rsidR="00270A2A">
      <w:rPr>
        <w:rStyle w:val="PageNumber"/>
      </w:rPr>
      <w:fldChar w:fldCharType="separate"/>
    </w:r>
    <w:r w:rsidR="00D3162F">
      <w:rPr>
        <w:rStyle w:val="PageNumber"/>
        <w:noProof/>
      </w:rPr>
      <w:t>11</w:t>
    </w:r>
    <w:r w:rsidR="00270A2A">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93659" w14:textId="4948C7CE" w:rsidR="00E83E9E" w:rsidRPr="00E83E9E" w:rsidRDefault="00E83E9E" w:rsidP="00E83E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E801D0" w14:textId="77777777" w:rsidR="00B2118D" w:rsidRDefault="00B2118D" w:rsidP="009964E7">
      <w:r>
        <w:separator/>
      </w:r>
    </w:p>
    <w:p w14:paraId="499A8BD6" w14:textId="77777777" w:rsidR="00B2118D" w:rsidRDefault="00B2118D"/>
  </w:footnote>
  <w:footnote w:type="continuationSeparator" w:id="0">
    <w:p w14:paraId="3EA59848" w14:textId="77777777" w:rsidR="00B2118D" w:rsidRDefault="00B2118D" w:rsidP="009964E7">
      <w:r>
        <w:continuationSeparator/>
      </w:r>
    </w:p>
    <w:p w14:paraId="71CFDFBD" w14:textId="77777777" w:rsidR="00B2118D" w:rsidRDefault="00B2118D"/>
  </w:footnote>
  <w:footnote w:id="1">
    <w:p w14:paraId="7021A45C" w14:textId="6FDB8D3A" w:rsidR="002018E9" w:rsidRDefault="002018E9" w:rsidP="002018E9">
      <w:pPr>
        <w:pStyle w:val="FootnoteText"/>
      </w:pPr>
      <w:r>
        <w:rPr>
          <w:rStyle w:val="FootnoteReference"/>
        </w:rPr>
        <w:footnoteRef/>
      </w:r>
      <w:r>
        <w:t xml:space="preserve"> Adding to the confusion, the term ‘koro batu’ and ‘koro susu’ are common contemporary Indonesian names Black teatfish and White teatfish respectively</w:t>
      </w:r>
      <w:r w:rsidR="007C7BC8">
        <w:t>, whereas ‘koro’ is an old Maccassan word meaning “</w:t>
      </w:r>
      <w:r w:rsidR="007C7BC8" w:rsidRPr="007C7BC8">
        <w:t>wrinkled</w:t>
      </w:r>
      <w:r w:rsidR="007C7BC8">
        <w:t>”</w:t>
      </w:r>
      <w:r w:rsidR="007C7BC8" w:rsidRPr="007C7BC8">
        <w:t xml:space="preserve"> or </w:t>
      </w:r>
      <w:r w:rsidR="007C7BC8">
        <w:t>“</w:t>
      </w:r>
      <w:r w:rsidR="007C7BC8" w:rsidRPr="007C7BC8">
        <w:t>shrunk</w:t>
      </w:r>
      <w:r w:rsidR="007C7BC8">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54937" w14:textId="77777777" w:rsidR="002B4915" w:rsidRDefault="002B49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866F6" w14:textId="77777777" w:rsidR="002B4915" w:rsidRDefault="002B49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04CF9" w14:textId="33419EEF" w:rsidR="002B4915" w:rsidRDefault="002B491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41918" w14:textId="77777777" w:rsidR="00655388" w:rsidRDefault="00655388" w:rsidP="002A47D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4191B" w14:textId="77777777" w:rsidR="00655388" w:rsidRDefault="00655388" w:rsidP="002A47D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86006" w14:textId="77777777" w:rsidR="00E83E9E" w:rsidRDefault="00E83E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60A9B14"/>
    <w:lvl w:ilvl="0">
      <w:start w:val="1"/>
      <w:numFmt w:val="bullet"/>
      <w:pStyle w:val="ListNumber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5"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6" w15:restartNumberingAfterBreak="0">
    <w:nsid w:val="07487E3C"/>
    <w:multiLevelType w:val="hybridMultilevel"/>
    <w:tmpl w:val="8486954A"/>
    <w:lvl w:ilvl="0" w:tplc="FFFFFFFF">
      <w:start w:val="1"/>
      <w:numFmt w:val="upperLetter"/>
      <w:lvlText w:val="%1."/>
      <w:lvlJc w:val="left"/>
      <w:pPr>
        <w:ind w:left="1080" w:hanging="360"/>
      </w:pPr>
    </w:lvl>
    <w:lvl w:ilvl="1" w:tplc="0C090015">
      <w:start w:val="1"/>
      <w:numFmt w:val="upp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082F1D05"/>
    <w:multiLevelType w:val="hybridMultilevel"/>
    <w:tmpl w:val="FA960D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A2E42B9"/>
    <w:multiLevelType w:val="hybridMultilevel"/>
    <w:tmpl w:val="E594F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CA1200A"/>
    <w:multiLevelType w:val="hybridMultilevel"/>
    <w:tmpl w:val="C324F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CAA001A"/>
    <w:multiLevelType w:val="hybridMultilevel"/>
    <w:tmpl w:val="0C7A17BE"/>
    <w:lvl w:ilvl="0" w:tplc="FFFFFFFF">
      <w:start w:val="1"/>
      <w:numFmt w:val="upperLetter"/>
      <w:lvlText w:val="%1."/>
      <w:lvlJc w:val="left"/>
      <w:pPr>
        <w:ind w:left="1080" w:hanging="360"/>
      </w:pPr>
    </w:lvl>
    <w:lvl w:ilvl="1" w:tplc="0C090015">
      <w:start w:val="1"/>
      <w:numFmt w:val="upp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0DC26E57"/>
    <w:multiLevelType w:val="hybridMultilevel"/>
    <w:tmpl w:val="86AE655C"/>
    <w:lvl w:ilvl="0" w:tplc="0C090001">
      <w:start w:val="1"/>
      <w:numFmt w:val="bullet"/>
      <w:lvlText w:val=""/>
      <w:lvlJc w:val="left"/>
      <w:pPr>
        <w:ind w:left="720" w:hanging="360"/>
      </w:pPr>
      <w:rPr>
        <w:rFonts w:ascii="Symbol" w:hAnsi="Symbol" w:hint="default"/>
      </w:rPr>
    </w:lvl>
    <w:lvl w:ilvl="1" w:tplc="065065FE">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EB3AD3"/>
    <w:multiLevelType w:val="hybridMultilevel"/>
    <w:tmpl w:val="E6EA2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1050236"/>
    <w:multiLevelType w:val="multilevel"/>
    <w:tmpl w:val="FD7E8B74"/>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5" w15:restartNumberingAfterBreak="0">
    <w:nsid w:val="217C4FC3"/>
    <w:multiLevelType w:val="hybridMultilevel"/>
    <w:tmpl w:val="D9A89B4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7" w15:restartNumberingAfterBreak="0">
    <w:nsid w:val="291A7573"/>
    <w:multiLevelType w:val="hybridMultilevel"/>
    <w:tmpl w:val="FB1E62EE"/>
    <w:lvl w:ilvl="0" w:tplc="FFFFFFFF">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9EB686C"/>
    <w:multiLevelType w:val="hybridMultilevel"/>
    <w:tmpl w:val="6EAA11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5D44D4C"/>
    <w:multiLevelType w:val="hybridMultilevel"/>
    <w:tmpl w:val="4D4CBD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1" w15:restartNumberingAfterBreak="0">
    <w:nsid w:val="3CAC5008"/>
    <w:multiLevelType w:val="hybridMultilevel"/>
    <w:tmpl w:val="BF7C9994"/>
    <w:lvl w:ilvl="0" w:tplc="FFFFFFFF">
      <w:start w:val="1"/>
      <w:numFmt w:val="lowerRoman"/>
      <w:lvlText w:val="%1."/>
      <w:lvlJc w:val="right"/>
      <w:pPr>
        <w:ind w:left="720" w:hanging="360"/>
      </w:pPr>
    </w:lvl>
    <w:lvl w:ilvl="1" w:tplc="FFFFFFFF">
      <w:start w:val="1"/>
      <w:numFmt w:val="upp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FAD10DB"/>
    <w:multiLevelType w:val="hybridMultilevel"/>
    <w:tmpl w:val="AD62F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265682E"/>
    <w:multiLevelType w:val="multilevel"/>
    <w:tmpl w:val="D9CAA11C"/>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pStyle w:val="ListBullet3"/>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24" w15:restartNumberingAfterBreak="0">
    <w:nsid w:val="448729FD"/>
    <w:multiLevelType w:val="hybridMultilevel"/>
    <w:tmpl w:val="29DC2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2763B65"/>
    <w:multiLevelType w:val="hybridMultilevel"/>
    <w:tmpl w:val="947CD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4173E47"/>
    <w:multiLevelType w:val="hybridMultilevel"/>
    <w:tmpl w:val="BF7C9994"/>
    <w:lvl w:ilvl="0" w:tplc="0C09001B">
      <w:start w:val="1"/>
      <w:numFmt w:val="lowerRoman"/>
      <w:lvlText w:val="%1."/>
      <w:lvlJc w:val="right"/>
      <w:pPr>
        <w:ind w:left="720" w:hanging="360"/>
      </w:pPr>
    </w:lvl>
    <w:lvl w:ilvl="1" w:tplc="3B58EE72">
      <w:start w:val="1"/>
      <w:numFmt w:val="upp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59450E0"/>
    <w:multiLevelType w:val="hybridMultilevel"/>
    <w:tmpl w:val="E58CED3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8" w15:restartNumberingAfterBreak="0">
    <w:nsid w:val="59444BE6"/>
    <w:multiLevelType w:val="multilevel"/>
    <w:tmpl w:val="0F405858"/>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9" w15:restartNumberingAfterBreak="0">
    <w:nsid w:val="5A1767B6"/>
    <w:multiLevelType w:val="multilevel"/>
    <w:tmpl w:val="A83EDF48"/>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30"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1" w15:restartNumberingAfterBreak="0">
    <w:nsid w:val="63E91B6E"/>
    <w:multiLevelType w:val="hybridMultilevel"/>
    <w:tmpl w:val="0414B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4E1523C"/>
    <w:multiLevelType w:val="hybridMultilevel"/>
    <w:tmpl w:val="3BEA0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6063429"/>
    <w:multiLevelType w:val="multilevel"/>
    <w:tmpl w:val="3C8E6CBE"/>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4" w15:restartNumberingAfterBreak="0">
    <w:nsid w:val="66813A3B"/>
    <w:multiLevelType w:val="hybridMultilevel"/>
    <w:tmpl w:val="5BFA1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DA240A7"/>
    <w:multiLevelType w:val="hybridMultilevel"/>
    <w:tmpl w:val="FC608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22001F6"/>
    <w:multiLevelType w:val="hybridMultilevel"/>
    <w:tmpl w:val="D4543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F150DF7"/>
    <w:multiLevelType w:val="hybridMultilevel"/>
    <w:tmpl w:val="3D02DD8E"/>
    <w:lvl w:ilvl="0" w:tplc="0DD892D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69776589">
    <w:abstractNumId w:val="5"/>
  </w:num>
  <w:num w:numId="2" w16cid:durableId="99105671">
    <w:abstractNumId w:val="4"/>
  </w:num>
  <w:num w:numId="3" w16cid:durableId="1577931085">
    <w:abstractNumId w:val="3"/>
  </w:num>
  <w:num w:numId="4" w16cid:durableId="1389064668">
    <w:abstractNumId w:val="2"/>
  </w:num>
  <w:num w:numId="5" w16cid:durableId="2012098961">
    <w:abstractNumId w:val="1"/>
  </w:num>
  <w:num w:numId="6" w16cid:durableId="61678587">
    <w:abstractNumId w:val="23"/>
  </w:num>
  <w:num w:numId="7" w16cid:durableId="626863099">
    <w:abstractNumId w:val="14"/>
  </w:num>
  <w:num w:numId="8" w16cid:durableId="992830069">
    <w:abstractNumId w:val="13"/>
  </w:num>
  <w:num w:numId="9" w16cid:durableId="768231833">
    <w:abstractNumId w:val="29"/>
  </w:num>
  <w:num w:numId="10" w16cid:durableId="1192261084">
    <w:abstractNumId w:val="28"/>
  </w:num>
  <w:num w:numId="11" w16cid:durableId="2129468638">
    <w:abstractNumId w:val="20"/>
  </w:num>
  <w:num w:numId="12" w16cid:durableId="1114592653">
    <w:abstractNumId w:val="16"/>
  </w:num>
  <w:num w:numId="13" w16cid:durableId="1162238082">
    <w:abstractNumId w:val="30"/>
  </w:num>
  <w:num w:numId="14" w16cid:durableId="1983851609">
    <w:abstractNumId w:val="0"/>
  </w:num>
  <w:num w:numId="15" w16cid:durableId="2095860029">
    <w:abstractNumId w:val="28"/>
  </w:num>
  <w:num w:numId="16" w16cid:durableId="1181512497">
    <w:abstractNumId w:val="33"/>
  </w:num>
  <w:num w:numId="17" w16cid:durableId="1918201479">
    <w:abstractNumId w:val="37"/>
  </w:num>
  <w:num w:numId="18" w16cid:durableId="589461853">
    <w:abstractNumId w:val="28"/>
  </w:num>
  <w:num w:numId="19" w16cid:durableId="20671841">
    <w:abstractNumId w:val="15"/>
  </w:num>
  <w:num w:numId="20" w16cid:durableId="4202487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48335929">
    <w:abstractNumId w:val="32"/>
  </w:num>
  <w:num w:numId="22" w16cid:durableId="9112206">
    <w:abstractNumId w:val="9"/>
  </w:num>
  <w:num w:numId="23" w16cid:durableId="439955487">
    <w:abstractNumId w:val="28"/>
  </w:num>
  <w:num w:numId="24" w16cid:durableId="1434982065">
    <w:abstractNumId w:val="25"/>
  </w:num>
  <w:num w:numId="25" w16cid:durableId="929000061">
    <w:abstractNumId w:val="8"/>
  </w:num>
  <w:num w:numId="26" w16cid:durableId="1468936822">
    <w:abstractNumId w:val="28"/>
  </w:num>
  <w:num w:numId="27" w16cid:durableId="22483628">
    <w:abstractNumId w:val="7"/>
  </w:num>
  <w:num w:numId="28" w16cid:durableId="724717282">
    <w:abstractNumId w:val="28"/>
  </w:num>
  <w:num w:numId="29" w16cid:durableId="1683821060">
    <w:abstractNumId w:val="34"/>
  </w:num>
  <w:num w:numId="30" w16cid:durableId="1084759912">
    <w:abstractNumId w:val="26"/>
  </w:num>
  <w:num w:numId="31" w16cid:durableId="176895708">
    <w:abstractNumId w:val="6"/>
  </w:num>
  <w:num w:numId="32" w16cid:durableId="120267477">
    <w:abstractNumId w:val="10"/>
  </w:num>
  <w:num w:numId="33" w16cid:durableId="243685900">
    <w:abstractNumId w:val="22"/>
  </w:num>
  <w:num w:numId="34" w16cid:durableId="1074620097">
    <w:abstractNumId w:val="19"/>
  </w:num>
  <w:num w:numId="35" w16cid:durableId="1539006008">
    <w:abstractNumId w:val="24"/>
  </w:num>
  <w:num w:numId="36" w16cid:durableId="1635328675">
    <w:abstractNumId w:val="11"/>
  </w:num>
  <w:num w:numId="37" w16cid:durableId="1431125978">
    <w:abstractNumId w:val="18"/>
  </w:num>
  <w:num w:numId="38" w16cid:durableId="266428328">
    <w:abstractNumId w:val="31"/>
  </w:num>
  <w:num w:numId="39" w16cid:durableId="1512335392">
    <w:abstractNumId w:val="28"/>
  </w:num>
  <w:num w:numId="40" w16cid:durableId="1115293336">
    <w:abstractNumId w:val="28"/>
  </w:num>
  <w:num w:numId="41" w16cid:durableId="1976374258">
    <w:abstractNumId w:val="35"/>
  </w:num>
  <w:num w:numId="42" w16cid:durableId="1562787282">
    <w:abstractNumId w:val="36"/>
  </w:num>
  <w:num w:numId="43" w16cid:durableId="1496725264">
    <w:abstractNumId w:val="12"/>
  </w:num>
  <w:num w:numId="44" w16cid:durableId="68581403">
    <w:abstractNumId w:val="21"/>
  </w:num>
  <w:num w:numId="45" w16cid:durableId="750584105">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evenAndOddHeaders/>
  <w:drawingGridHorizontalSpacing w:val="100"/>
  <w:displayHorizontalDrawingGridEvery w:val="2"/>
  <w:characterSpacingControl w:val="doNotCompress"/>
  <w:hdrShapeDefaults>
    <o:shapedefaults v:ext="edit" spidmax="2050">
      <o:colormru v:ext="edit" colors="#ddd,#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urChosen" w:val="Core"/>
    <w:docVar w:name="CoverChosen" w:val="Standard"/>
  </w:docVars>
  <w:rsids>
    <w:rsidRoot w:val="00760C02"/>
    <w:rsid w:val="00000EEA"/>
    <w:rsid w:val="00001864"/>
    <w:rsid w:val="00002141"/>
    <w:rsid w:val="00002632"/>
    <w:rsid w:val="00002AA7"/>
    <w:rsid w:val="000031E1"/>
    <w:rsid w:val="0000345D"/>
    <w:rsid w:val="00003F23"/>
    <w:rsid w:val="00006594"/>
    <w:rsid w:val="0001174A"/>
    <w:rsid w:val="000117E3"/>
    <w:rsid w:val="00011FC6"/>
    <w:rsid w:val="000126EB"/>
    <w:rsid w:val="00012BBA"/>
    <w:rsid w:val="000135D8"/>
    <w:rsid w:val="00013CBA"/>
    <w:rsid w:val="00014175"/>
    <w:rsid w:val="00015E82"/>
    <w:rsid w:val="00016B4E"/>
    <w:rsid w:val="0001775B"/>
    <w:rsid w:val="00017952"/>
    <w:rsid w:val="000207FC"/>
    <w:rsid w:val="000245AC"/>
    <w:rsid w:val="00024F6E"/>
    <w:rsid w:val="00025FD5"/>
    <w:rsid w:val="0002686D"/>
    <w:rsid w:val="00030ED4"/>
    <w:rsid w:val="00031469"/>
    <w:rsid w:val="000316D4"/>
    <w:rsid w:val="0003217B"/>
    <w:rsid w:val="00032C10"/>
    <w:rsid w:val="000331D4"/>
    <w:rsid w:val="00036134"/>
    <w:rsid w:val="0003634F"/>
    <w:rsid w:val="000363D5"/>
    <w:rsid w:val="00040CCC"/>
    <w:rsid w:val="00042A1A"/>
    <w:rsid w:val="00043876"/>
    <w:rsid w:val="000443E1"/>
    <w:rsid w:val="00044D06"/>
    <w:rsid w:val="00046533"/>
    <w:rsid w:val="00046878"/>
    <w:rsid w:val="0005048B"/>
    <w:rsid w:val="00051219"/>
    <w:rsid w:val="00051456"/>
    <w:rsid w:val="0005226F"/>
    <w:rsid w:val="0005371F"/>
    <w:rsid w:val="00053E83"/>
    <w:rsid w:val="00054585"/>
    <w:rsid w:val="00054FC5"/>
    <w:rsid w:val="00055005"/>
    <w:rsid w:val="0005572E"/>
    <w:rsid w:val="00056FD0"/>
    <w:rsid w:val="000579C8"/>
    <w:rsid w:val="00057E1A"/>
    <w:rsid w:val="00061607"/>
    <w:rsid w:val="00062D40"/>
    <w:rsid w:val="00064612"/>
    <w:rsid w:val="0006467B"/>
    <w:rsid w:val="00065130"/>
    <w:rsid w:val="000667A4"/>
    <w:rsid w:val="00067203"/>
    <w:rsid w:val="00067FCA"/>
    <w:rsid w:val="00074DFE"/>
    <w:rsid w:val="00075774"/>
    <w:rsid w:val="00075B0B"/>
    <w:rsid w:val="000768CE"/>
    <w:rsid w:val="00080750"/>
    <w:rsid w:val="00080F8C"/>
    <w:rsid w:val="000815C2"/>
    <w:rsid w:val="00083CBE"/>
    <w:rsid w:val="0008565A"/>
    <w:rsid w:val="0008578F"/>
    <w:rsid w:val="00085DC0"/>
    <w:rsid w:val="00087ADA"/>
    <w:rsid w:val="00091B86"/>
    <w:rsid w:val="0009340C"/>
    <w:rsid w:val="00093685"/>
    <w:rsid w:val="000953B0"/>
    <w:rsid w:val="000979AD"/>
    <w:rsid w:val="000A3931"/>
    <w:rsid w:val="000A6F40"/>
    <w:rsid w:val="000B0A3D"/>
    <w:rsid w:val="000B1470"/>
    <w:rsid w:val="000B19DC"/>
    <w:rsid w:val="000B24F1"/>
    <w:rsid w:val="000B3486"/>
    <w:rsid w:val="000B4EE5"/>
    <w:rsid w:val="000B5A6E"/>
    <w:rsid w:val="000B5B3A"/>
    <w:rsid w:val="000B7103"/>
    <w:rsid w:val="000C02C0"/>
    <w:rsid w:val="000C05F1"/>
    <w:rsid w:val="000C0940"/>
    <w:rsid w:val="000C0E41"/>
    <w:rsid w:val="000C3553"/>
    <w:rsid w:val="000C3C96"/>
    <w:rsid w:val="000C4051"/>
    <w:rsid w:val="000C5523"/>
    <w:rsid w:val="000C6042"/>
    <w:rsid w:val="000C61C0"/>
    <w:rsid w:val="000C7D15"/>
    <w:rsid w:val="000D0298"/>
    <w:rsid w:val="000D0798"/>
    <w:rsid w:val="000D0AC6"/>
    <w:rsid w:val="000D19DE"/>
    <w:rsid w:val="000D2209"/>
    <w:rsid w:val="000D436B"/>
    <w:rsid w:val="000D47BF"/>
    <w:rsid w:val="000D6D2F"/>
    <w:rsid w:val="000D6F32"/>
    <w:rsid w:val="000E0A8F"/>
    <w:rsid w:val="000E1CF3"/>
    <w:rsid w:val="000E2422"/>
    <w:rsid w:val="000E599F"/>
    <w:rsid w:val="000E59F3"/>
    <w:rsid w:val="000E5F4D"/>
    <w:rsid w:val="000E65EF"/>
    <w:rsid w:val="000F1CC9"/>
    <w:rsid w:val="000F1EC3"/>
    <w:rsid w:val="000F1FE4"/>
    <w:rsid w:val="000F3B49"/>
    <w:rsid w:val="000F58AA"/>
    <w:rsid w:val="000F5B16"/>
    <w:rsid w:val="000F5D65"/>
    <w:rsid w:val="000F7157"/>
    <w:rsid w:val="00101A2A"/>
    <w:rsid w:val="0010478F"/>
    <w:rsid w:val="00104FBD"/>
    <w:rsid w:val="001053A7"/>
    <w:rsid w:val="00106788"/>
    <w:rsid w:val="001067F0"/>
    <w:rsid w:val="001068F9"/>
    <w:rsid w:val="00106912"/>
    <w:rsid w:val="00107D28"/>
    <w:rsid w:val="001100D4"/>
    <w:rsid w:val="00111D03"/>
    <w:rsid w:val="0011346D"/>
    <w:rsid w:val="0011470B"/>
    <w:rsid w:val="00114B30"/>
    <w:rsid w:val="0011556F"/>
    <w:rsid w:val="00116C3E"/>
    <w:rsid w:val="00117E59"/>
    <w:rsid w:val="0012201E"/>
    <w:rsid w:val="00123BCC"/>
    <w:rsid w:val="00123FD7"/>
    <w:rsid w:val="001247E7"/>
    <w:rsid w:val="001249CC"/>
    <w:rsid w:val="00125212"/>
    <w:rsid w:val="0013089B"/>
    <w:rsid w:val="00131037"/>
    <w:rsid w:val="00131453"/>
    <w:rsid w:val="00132F76"/>
    <w:rsid w:val="0013384F"/>
    <w:rsid w:val="0013444E"/>
    <w:rsid w:val="00134FC3"/>
    <w:rsid w:val="001362D8"/>
    <w:rsid w:val="00136B7F"/>
    <w:rsid w:val="00140793"/>
    <w:rsid w:val="00141D5A"/>
    <w:rsid w:val="00150A34"/>
    <w:rsid w:val="00154168"/>
    <w:rsid w:val="0015605C"/>
    <w:rsid w:val="00156178"/>
    <w:rsid w:val="00156A1B"/>
    <w:rsid w:val="00157AAE"/>
    <w:rsid w:val="00161BB6"/>
    <w:rsid w:val="001639DA"/>
    <w:rsid w:val="00165042"/>
    <w:rsid w:val="00166875"/>
    <w:rsid w:val="001671A7"/>
    <w:rsid w:val="00167A20"/>
    <w:rsid w:val="001708B3"/>
    <w:rsid w:val="00173C4D"/>
    <w:rsid w:val="001749A5"/>
    <w:rsid w:val="00174A49"/>
    <w:rsid w:val="00175388"/>
    <w:rsid w:val="0017690D"/>
    <w:rsid w:val="00177270"/>
    <w:rsid w:val="001772D6"/>
    <w:rsid w:val="001831CB"/>
    <w:rsid w:val="00183C81"/>
    <w:rsid w:val="0018417D"/>
    <w:rsid w:val="001848A0"/>
    <w:rsid w:val="00185829"/>
    <w:rsid w:val="00185E19"/>
    <w:rsid w:val="001863C7"/>
    <w:rsid w:val="00190E0B"/>
    <w:rsid w:val="00190EAA"/>
    <w:rsid w:val="00191756"/>
    <w:rsid w:val="00192E59"/>
    <w:rsid w:val="00193162"/>
    <w:rsid w:val="00194542"/>
    <w:rsid w:val="00195301"/>
    <w:rsid w:val="00196146"/>
    <w:rsid w:val="00196923"/>
    <w:rsid w:val="001A1020"/>
    <w:rsid w:val="001A15D0"/>
    <w:rsid w:val="001A33E2"/>
    <w:rsid w:val="001A6018"/>
    <w:rsid w:val="001B00A0"/>
    <w:rsid w:val="001B073B"/>
    <w:rsid w:val="001B23ED"/>
    <w:rsid w:val="001B34DE"/>
    <w:rsid w:val="001B6144"/>
    <w:rsid w:val="001B6CB5"/>
    <w:rsid w:val="001B79DA"/>
    <w:rsid w:val="001B7BF3"/>
    <w:rsid w:val="001C07F5"/>
    <w:rsid w:val="001C147E"/>
    <w:rsid w:val="001C1A9A"/>
    <w:rsid w:val="001C22DB"/>
    <w:rsid w:val="001C273A"/>
    <w:rsid w:val="001C3137"/>
    <w:rsid w:val="001C38A7"/>
    <w:rsid w:val="001C540A"/>
    <w:rsid w:val="001C5CA5"/>
    <w:rsid w:val="001C5F73"/>
    <w:rsid w:val="001C663B"/>
    <w:rsid w:val="001C7286"/>
    <w:rsid w:val="001D26CF"/>
    <w:rsid w:val="001D36DC"/>
    <w:rsid w:val="001D3C4A"/>
    <w:rsid w:val="001D4D59"/>
    <w:rsid w:val="001D4DB0"/>
    <w:rsid w:val="001D6A2D"/>
    <w:rsid w:val="001D713C"/>
    <w:rsid w:val="001D7484"/>
    <w:rsid w:val="001E0A37"/>
    <w:rsid w:val="001E0E6D"/>
    <w:rsid w:val="001E2D97"/>
    <w:rsid w:val="001E30E8"/>
    <w:rsid w:val="001E4C59"/>
    <w:rsid w:val="001E531C"/>
    <w:rsid w:val="001F02B8"/>
    <w:rsid w:val="001F0318"/>
    <w:rsid w:val="001F0B30"/>
    <w:rsid w:val="001F0D80"/>
    <w:rsid w:val="001F20C7"/>
    <w:rsid w:val="001F2217"/>
    <w:rsid w:val="001F4AAC"/>
    <w:rsid w:val="001F5B33"/>
    <w:rsid w:val="001F5BFF"/>
    <w:rsid w:val="0020034E"/>
    <w:rsid w:val="0020085B"/>
    <w:rsid w:val="00200F81"/>
    <w:rsid w:val="002012FA"/>
    <w:rsid w:val="002015B0"/>
    <w:rsid w:val="002015B7"/>
    <w:rsid w:val="002015FF"/>
    <w:rsid w:val="002018E9"/>
    <w:rsid w:val="00201C06"/>
    <w:rsid w:val="00203214"/>
    <w:rsid w:val="00203BE2"/>
    <w:rsid w:val="00206859"/>
    <w:rsid w:val="00207117"/>
    <w:rsid w:val="002101A4"/>
    <w:rsid w:val="002109F9"/>
    <w:rsid w:val="002129C2"/>
    <w:rsid w:val="002137D2"/>
    <w:rsid w:val="0021380B"/>
    <w:rsid w:val="00214440"/>
    <w:rsid w:val="00215132"/>
    <w:rsid w:val="002154A2"/>
    <w:rsid w:val="002156C8"/>
    <w:rsid w:val="00215A08"/>
    <w:rsid w:val="002164DF"/>
    <w:rsid w:val="00220C22"/>
    <w:rsid w:val="00221A8F"/>
    <w:rsid w:val="00221D5A"/>
    <w:rsid w:val="00222439"/>
    <w:rsid w:val="0022431B"/>
    <w:rsid w:val="002254A0"/>
    <w:rsid w:val="002256CA"/>
    <w:rsid w:val="002265B1"/>
    <w:rsid w:val="002274F9"/>
    <w:rsid w:val="002278DD"/>
    <w:rsid w:val="0023141D"/>
    <w:rsid w:val="00232B56"/>
    <w:rsid w:val="00234865"/>
    <w:rsid w:val="00234D34"/>
    <w:rsid w:val="0024102C"/>
    <w:rsid w:val="002418DA"/>
    <w:rsid w:val="00241BAC"/>
    <w:rsid w:val="002421F2"/>
    <w:rsid w:val="00246465"/>
    <w:rsid w:val="002503E8"/>
    <w:rsid w:val="00250D68"/>
    <w:rsid w:val="0025177C"/>
    <w:rsid w:val="00251DDE"/>
    <w:rsid w:val="00252CBB"/>
    <w:rsid w:val="00252F02"/>
    <w:rsid w:val="00254774"/>
    <w:rsid w:val="00254A34"/>
    <w:rsid w:val="0025760C"/>
    <w:rsid w:val="002579B2"/>
    <w:rsid w:val="00260CC9"/>
    <w:rsid w:val="00263A58"/>
    <w:rsid w:val="00263ABB"/>
    <w:rsid w:val="00267364"/>
    <w:rsid w:val="0026739B"/>
    <w:rsid w:val="00270A2A"/>
    <w:rsid w:val="0027184F"/>
    <w:rsid w:val="00271DD8"/>
    <w:rsid w:val="0027341E"/>
    <w:rsid w:val="00273A31"/>
    <w:rsid w:val="00274483"/>
    <w:rsid w:val="00274DF1"/>
    <w:rsid w:val="00274FEA"/>
    <w:rsid w:val="00275968"/>
    <w:rsid w:val="00276A80"/>
    <w:rsid w:val="00276E3E"/>
    <w:rsid w:val="00277240"/>
    <w:rsid w:val="00277610"/>
    <w:rsid w:val="00277A23"/>
    <w:rsid w:val="00280E4B"/>
    <w:rsid w:val="00281697"/>
    <w:rsid w:val="00281C79"/>
    <w:rsid w:val="00282936"/>
    <w:rsid w:val="00282C05"/>
    <w:rsid w:val="002852DB"/>
    <w:rsid w:val="00285F27"/>
    <w:rsid w:val="00287AF6"/>
    <w:rsid w:val="00287FBB"/>
    <w:rsid w:val="0029026E"/>
    <w:rsid w:val="0029371B"/>
    <w:rsid w:val="00293EB0"/>
    <w:rsid w:val="00294FF4"/>
    <w:rsid w:val="00295558"/>
    <w:rsid w:val="0029555A"/>
    <w:rsid w:val="00295D01"/>
    <w:rsid w:val="002962FE"/>
    <w:rsid w:val="0029760F"/>
    <w:rsid w:val="002A0531"/>
    <w:rsid w:val="002A06D0"/>
    <w:rsid w:val="002A0CF2"/>
    <w:rsid w:val="002A3CD5"/>
    <w:rsid w:val="002A47DB"/>
    <w:rsid w:val="002A5A18"/>
    <w:rsid w:val="002A5D8F"/>
    <w:rsid w:val="002A658F"/>
    <w:rsid w:val="002B0622"/>
    <w:rsid w:val="002B0755"/>
    <w:rsid w:val="002B19BB"/>
    <w:rsid w:val="002B1CCC"/>
    <w:rsid w:val="002B2EF6"/>
    <w:rsid w:val="002B3E6E"/>
    <w:rsid w:val="002B4524"/>
    <w:rsid w:val="002B48CB"/>
    <w:rsid w:val="002B4915"/>
    <w:rsid w:val="002B6C63"/>
    <w:rsid w:val="002B780F"/>
    <w:rsid w:val="002C4D96"/>
    <w:rsid w:val="002C54A6"/>
    <w:rsid w:val="002C60FB"/>
    <w:rsid w:val="002D0BA3"/>
    <w:rsid w:val="002D19CD"/>
    <w:rsid w:val="002D688F"/>
    <w:rsid w:val="002E00BA"/>
    <w:rsid w:val="002E0C1E"/>
    <w:rsid w:val="002E3B33"/>
    <w:rsid w:val="002E3BB0"/>
    <w:rsid w:val="002E5B88"/>
    <w:rsid w:val="002E6619"/>
    <w:rsid w:val="002E73A9"/>
    <w:rsid w:val="002E7AB1"/>
    <w:rsid w:val="002E7DC9"/>
    <w:rsid w:val="002F0071"/>
    <w:rsid w:val="002F06CC"/>
    <w:rsid w:val="002F0AFD"/>
    <w:rsid w:val="002F2255"/>
    <w:rsid w:val="002F29FE"/>
    <w:rsid w:val="002F5550"/>
    <w:rsid w:val="002F6563"/>
    <w:rsid w:val="002F79D5"/>
    <w:rsid w:val="002F7A19"/>
    <w:rsid w:val="0030147E"/>
    <w:rsid w:val="00301C5C"/>
    <w:rsid w:val="003036A2"/>
    <w:rsid w:val="0030371E"/>
    <w:rsid w:val="003053C7"/>
    <w:rsid w:val="003059EB"/>
    <w:rsid w:val="00305D03"/>
    <w:rsid w:val="003062DD"/>
    <w:rsid w:val="00306A4B"/>
    <w:rsid w:val="003076CA"/>
    <w:rsid w:val="00307B3C"/>
    <w:rsid w:val="00310421"/>
    <w:rsid w:val="003139EB"/>
    <w:rsid w:val="00313CAE"/>
    <w:rsid w:val="00315CA5"/>
    <w:rsid w:val="0031605A"/>
    <w:rsid w:val="00320FBF"/>
    <w:rsid w:val="003210D5"/>
    <w:rsid w:val="00322128"/>
    <w:rsid w:val="00322BA1"/>
    <w:rsid w:val="0032796C"/>
    <w:rsid w:val="00331731"/>
    <w:rsid w:val="00331803"/>
    <w:rsid w:val="00332296"/>
    <w:rsid w:val="00333EED"/>
    <w:rsid w:val="003352A9"/>
    <w:rsid w:val="0033551F"/>
    <w:rsid w:val="0033617E"/>
    <w:rsid w:val="00336192"/>
    <w:rsid w:val="00336929"/>
    <w:rsid w:val="003371A7"/>
    <w:rsid w:val="00340806"/>
    <w:rsid w:val="00340AF1"/>
    <w:rsid w:val="00340BDF"/>
    <w:rsid w:val="00341FFE"/>
    <w:rsid w:val="003425BE"/>
    <w:rsid w:val="0034344A"/>
    <w:rsid w:val="003450A8"/>
    <w:rsid w:val="003461B2"/>
    <w:rsid w:val="00346CE3"/>
    <w:rsid w:val="0035340C"/>
    <w:rsid w:val="00355B43"/>
    <w:rsid w:val="00356179"/>
    <w:rsid w:val="00357251"/>
    <w:rsid w:val="003579A8"/>
    <w:rsid w:val="00357F24"/>
    <w:rsid w:val="00361EE2"/>
    <w:rsid w:val="0036319D"/>
    <w:rsid w:val="00363261"/>
    <w:rsid w:val="0036521C"/>
    <w:rsid w:val="0037028C"/>
    <w:rsid w:val="00371FCD"/>
    <w:rsid w:val="00372223"/>
    <w:rsid w:val="003771C4"/>
    <w:rsid w:val="0037763B"/>
    <w:rsid w:val="003829D4"/>
    <w:rsid w:val="00383ADF"/>
    <w:rsid w:val="00387974"/>
    <w:rsid w:val="00390015"/>
    <w:rsid w:val="003910FE"/>
    <w:rsid w:val="0039270B"/>
    <w:rsid w:val="00392839"/>
    <w:rsid w:val="003939C2"/>
    <w:rsid w:val="00395EF5"/>
    <w:rsid w:val="0039729E"/>
    <w:rsid w:val="003A0A9E"/>
    <w:rsid w:val="003A0BB0"/>
    <w:rsid w:val="003A12EB"/>
    <w:rsid w:val="003A2FF2"/>
    <w:rsid w:val="003A3052"/>
    <w:rsid w:val="003A3919"/>
    <w:rsid w:val="003A476E"/>
    <w:rsid w:val="003A4AF4"/>
    <w:rsid w:val="003A647C"/>
    <w:rsid w:val="003A710E"/>
    <w:rsid w:val="003B027A"/>
    <w:rsid w:val="003B0EEA"/>
    <w:rsid w:val="003B1238"/>
    <w:rsid w:val="003B1394"/>
    <w:rsid w:val="003B184C"/>
    <w:rsid w:val="003B4380"/>
    <w:rsid w:val="003B528C"/>
    <w:rsid w:val="003B58A6"/>
    <w:rsid w:val="003B66DC"/>
    <w:rsid w:val="003B7798"/>
    <w:rsid w:val="003C360D"/>
    <w:rsid w:val="003C40B6"/>
    <w:rsid w:val="003C6592"/>
    <w:rsid w:val="003C6BA5"/>
    <w:rsid w:val="003C7209"/>
    <w:rsid w:val="003D160C"/>
    <w:rsid w:val="003D48E9"/>
    <w:rsid w:val="003D4E64"/>
    <w:rsid w:val="003D62C9"/>
    <w:rsid w:val="003D641F"/>
    <w:rsid w:val="003D6565"/>
    <w:rsid w:val="003D778D"/>
    <w:rsid w:val="003E0D10"/>
    <w:rsid w:val="003E1F0A"/>
    <w:rsid w:val="003E27E2"/>
    <w:rsid w:val="003E3972"/>
    <w:rsid w:val="003E61F2"/>
    <w:rsid w:val="003E65B0"/>
    <w:rsid w:val="003F061A"/>
    <w:rsid w:val="003F09A1"/>
    <w:rsid w:val="003F0A6B"/>
    <w:rsid w:val="003F160B"/>
    <w:rsid w:val="003F1806"/>
    <w:rsid w:val="003F1FBD"/>
    <w:rsid w:val="003F40FC"/>
    <w:rsid w:val="003F556B"/>
    <w:rsid w:val="003F5D0E"/>
    <w:rsid w:val="003F6083"/>
    <w:rsid w:val="003F6EAD"/>
    <w:rsid w:val="00400655"/>
    <w:rsid w:val="0040108B"/>
    <w:rsid w:val="00401C9F"/>
    <w:rsid w:val="00403530"/>
    <w:rsid w:val="00405DE0"/>
    <w:rsid w:val="00406311"/>
    <w:rsid w:val="004070AA"/>
    <w:rsid w:val="00410CB7"/>
    <w:rsid w:val="00411649"/>
    <w:rsid w:val="00412553"/>
    <w:rsid w:val="004134DD"/>
    <w:rsid w:val="00413F9E"/>
    <w:rsid w:val="0041517D"/>
    <w:rsid w:val="00415A80"/>
    <w:rsid w:val="00416DF7"/>
    <w:rsid w:val="0041705D"/>
    <w:rsid w:val="004209C2"/>
    <w:rsid w:val="00420CC0"/>
    <w:rsid w:val="004213AA"/>
    <w:rsid w:val="00424719"/>
    <w:rsid w:val="004254EA"/>
    <w:rsid w:val="00425B20"/>
    <w:rsid w:val="00426E97"/>
    <w:rsid w:val="00427350"/>
    <w:rsid w:val="004279E5"/>
    <w:rsid w:val="00430717"/>
    <w:rsid w:val="00432E04"/>
    <w:rsid w:val="00432F51"/>
    <w:rsid w:val="00434F45"/>
    <w:rsid w:val="004362E3"/>
    <w:rsid w:val="00436D45"/>
    <w:rsid w:val="00440CFE"/>
    <w:rsid w:val="00441D99"/>
    <w:rsid w:val="004435E5"/>
    <w:rsid w:val="00444967"/>
    <w:rsid w:val="00444D4A"/>
    <w:rsid w:val="0044502C"/>
    <w:rsid w:val="004459B1"/>
    <w:rsid w:val="004475A6"/>
    <w:rsid w:val="00447D43"/>
    <w:rsid w:val="00450B7D"/>
    <w:rsid w:val="00450C41"/>
    <w:rsid w:val="00450FE5"/>
    <w:rsid w:val="0045158D"/>
    <w:rsid w:val="00452196"/>
    <w:rsid w:val="00454AAC"/>
    <w:rsid w:val="00455807"/>
    <w:rsid w:val="004564AB"/>
    <w:rsid w:val="00457440"/>
    <w:rsid w:val="00457731"/>
    <w:rsid w:val="0046209B"/>
    <w:rsid w:val="00462182"/>
    <w:rsid w:val="00463797"/>
    <w:rsid w:val="00463ED6"/>
    <w:rsid w:val="0046498F"/>
    <w:rsid w:val="00465920"/>
    <w:rsid w:val="00466556"/>
    <w:rsid w:val="004666B7"/>
    <w:rsid w:val="00467438"/>
    <w:rsid w:val="004703B1"/>
    <w:rsid w:val="004712A8"/>
    <w:rsid w:val="00471843"/>
    <w:rsid w:val="00471DED"/>
    <w:rsid w:val="00474BEE"/>
    <w:rsid w:val="00475BB5"/>
    <w:rsid w:val="00475EB7"/>
    <w:rsid w:val="004764C3"/>
    <w:rsid w:val="004766E5"/>
    <w:rsid w:val="004779F4"/>
    <w:rsid w:val="004826CF"/>
    <w:rsid w:val="00482E39"/>
    <w:rsid w:val="0048374F"/>
    <w:rsid w:val="00483F64"/>
    <w:rsid w:val="0048493F"/>
    <w:rsid w:val="00485E3D"/>
    <w:rsid w:val="0048768F"/>
    <w:rsid w:val="00487D3D"/>
    <w:rsid w:val="00491125"/>
    <w:rsid w:val="00491B05"/>
    <w:rsid w:val="00492547"/>
    <w:rsid w:val="00492643"/>
    <w:rsid w:val="0049399A"/>
    <w:rsid w:val="00494587"/>
    <w:rsid w:val="00494743"/>
    <w:rsid w:val="00494AA6"/>
    <w:rsid w:val="0049606A"/>
    <w:rsid w:val="004963B3"/>
    <w:rsid w:val="004A067D"/>
    <w:rsid w:val="004A31F1"/>
    <w:rsid w:val="004A4110"/>
    <w:rsid w:val="004A575F"/>
    <w:rsid w:val="004A6FCA"/>
    <w:rsid w:val="004A7FA7"/>
    <w:rsid w:val="004B06FF"/>
    <w:rsid w:val="004B0859"/>
    <w:rsid w:val="004B12C9"/>
    <w:rsid w:val="004B1330"/>
    <w:rsid w:val="004B14EA"/>
    <w:rsid w:val="004B162C"/>
    <w:rsid w:val="004B1BD7"/>
    <w:rsid w:val="004B2DAA"/>
    <w:rsid w:val="004B4A35"/>
    <w:rsid w:val="004B5AC9"/>
    <w:rsid w:val="004B680C"/>
    <w:rsid w:val="004C08B6"/>
    <w:rsid w:val="004C0D00"/>
    <w:rsid w:val="004C14AB"/>
    <w:rsid w:val="004C3462"/>
    <w:rsid w:val="004C5772"/>
    <w:rsid w:val="004D0A90"/>
    <w:rsid w:val="004D139E"/>
    <w:rsid w:val="004D1B6B"/>
    <w:rsid w:val="004D1CE2"/>
    <w:rsid w:val="004D2536"/>
    <w:rsid w:val="004D27A2"/>
    <w:rsid w:val="004D3628"/>
    <w:rsid w:val="004D4319"/>
    <w:rsid w:val="004D44AC"/>
    <w:rsid w:val="004D5ED7"/>
    <w:rsid w:val="004D778F"/>
    <w:rsid w:val="004E1262"/>
    <w:rsid w:val="004E3049"/>
    <w:rsid w:val="004E3E7A"/>
    <w:rsid w:val="004E411B"/>
    <w:rsid w:val="004E443D"/>
    <w:rsid w:val="004E513A"/>
    <w:rsid w:val="004E54BB"/>
    <w:rsid w:val="004E5C69"/>
    <w:rsid w:val="004E60D0"/>
    <w:rsid w:val="004F12A6"/>
    <w:rsid w:val="004F1565"/>
    <w:rsid w:val="004F1878"/>
    <w:rsid w:val="004F2304"/>
    <w:rsid w:val="004F26F8"/>
    <w:rsid w:val="004F47BF"/>
    <w:rsid w:val="004F4CC9"/>
    <w:rsid w:val="004F5E59"/>
    <w:rsid w:val="004F75D8"/>
    <w:rsid w:val="00502588"/>
    <w:rsid w:val="005025FE"/>
    <w:rsid w:val="00503295"/>
    <w:rsid w:val="00504521"/>
    <w:rsid w:val="00504585"/>
    <w:rsid w:val="005062B1"/>
    <w:rsid w:val="00506DDE"/>
    <w:rsid w:val="00507DEA"/>
    <w:rsid w:val="005136AD"/>
    <w:rsid w:val="005138BA"/>
    <w:rsid w:val="00513923"/>
    <w:rsid w:val="00514112"/>
    <w:rsid w:val="00516657"/>
    <w:rsid w:val="00520CB5"/>
    <w:rsid w:val="005211AF"/>
    <w:rsid w:val="005213E2"/>
    <w:rsid w:val="00521BB8"/>
    <w:rsid w:val="0052265B"/>
    <w:rsid w:val="00523D29"/>
    <w:rsid w:val="005273F0"/>
    <w:rsid w:val="005276C2"/>
    <w:rsid w:val="00532DA8"/>
    <w:rsid w:val="0053348F"/>
    <w:rsid w:val="00534DD8"/>
    <w:rsid w:val="005357EB"/>
    <w:rsid w:val="00536D2F"/>
    <w:rsid w:val="005379CE"/>
    <w:rsid w:val="005406F8"/>
    <w:rsid w:val="0054169B"/>
    <w:rsid w:val="005417D2"/>
    <w:rsid w:val="005422E4"/>
    <w:rsid w:val="00542F39"/>
    <w:rsid w:val="00543721"/>
    <w:rsid w:val="00544161"/>
    <w:rsid w:val="0054436C"/>
    <w:rsid w:val="005445DC"/>
    <w:rsid w:val="00544E36"/>
    <w:rsid w:val="00545CF8"/>
    <w:rsid w:val="00550E4D"/>
    <w:rsid w:val="00550F69"/>
    <w:rsid w:val="005523C6"/>
    <w:rsid w:val="005535C1"/>
    <w:rsid w:val="0055400A"/>
    <w:rsid w:val="005558AD"/>
    <w:rsid w:val="00560CD3"/>
    <w:rsid w:val="005610A0"/>
    <w:rsid w:val="005616AE"/>
    <w:rsid w:val="00566567"/>
    <w:rsid w:val="005668C6"/>
    <w:rsid w:val="00571AAC"/>
    <w:rsid w:val="00571ADF"/>
    <w:rsid w:val="00571CEA"/>
    <w:rsid w:val="00571F91"/>
    <w:rsid w:val="00573567"/>
    <w:rsid w:val="00581B23"/>
    <w:rsid w:val="00581C8A"/>
    <w:rsid w:val="005871BD"/>
    <w:rsid w:val="00587590"/>
    <w:rsid w:val="005900A1"/>
    <w:rsid w:val="00590B01"/>
    <w:rsid w:val="005935E5"/>
    <w:rsid w:val="0059459B"/>
    <w:rsid w:val="00596181"/>
    <w:rsid w:val="0059663C"/>
    <w:rsid w:val="005969A3"/>
    <w:rsid w:val="005A0224"/>
    <w:rsid w:val="005A0BA6"/>
    <w:rsid w:val="005A1201"/>
    <w:rsid w:val="005A12B0"/>
    <w:rsid w:val="005A1933"/>
    <w:rsid w:val="005A35B2"/>
    <w:rsid w:val="005A3671"/>
    <w:rsid w:val="005A3F38"/>
    <w:rsid w:val="005A62C9"/>
    <w:rsid w:val="005A68C6"/>
    <w:rsid w:val="005A6C20"/>
    <w:rsid w:val="005A6F02"/>
    <w:rsid w:val="005B170A"/>
    <w:rsid w:val="005B2B2E"/>
    <w:rsid w:val="005B358D"/>
    <w:rsid w:val="005B753C"/>
    <w:rsid w:val="005B7DF9"/>
    <w:rsid w:val="005C1B4B"/>
    <w:rsid w:val="005C2541"/>
    <w:rsid w:val="005C71E9"/>
    <w:rsid w:val="005C74EB"/>
    <w:rsid w:val="005D1F13"/>
    <w:rsid w:val="005D1FA3"/>
    <w:rsid w:val="005D2148"/>
    <w:rsid w:val="005D313A"/>
    <w:rsid w:val="005D49E0"/>
    <w:rsid w:val="005D5D01"/>
    <w:rsid w:val="005D7700"/>
    <w:rsid w:val="005D7C9B"/>
    <w:rsid w:val="005E0BBD"/>
    <w:rsid w:val="005E31EF"/>
    <w:rsid w:val="005E3E52"/>
    <w:rsid w:val="005E41FC"/>
    <w:rsid w:val="005E4C69"/>
    <w:rsid w:val="005E7012"/>
    <w:rsid w:val="005F09DD"/>
    <w:rsid w:val="005F0DA6"/>
    <w:rsid w:val="005F32AD"/>
    <w:rsid w:val="005F41CD"/>
    <w:rsid w:val="005F573F"/>
    <w:rsid w:val="005F7C32"/>
    <w:rsid w:val="00600883"/>
    <w:rsid w:val="00601BED"/>
    <w:rsid w:val="00602BAB"/>
    <w:rsid w:val="00605880"/>
    <w:rsid w:val="006065A9"/>
    <w:rsid w:val="00606D28"/>
    <w:rsid w:val="006075B1"/>
    <w:rsid w:val="00607651"/>
    <w:rsid w:val="006101EB"/>
    <w:rsid w:val="006103AF"/>
    <w:rsid w:val="00610C1D"/>
    <w:rsid w:val="006122B7"/>
    <w:rsid w:val="006131D3"/>
    <w:rsid w:val="00616D39"/>
    <w:rsid w:val="00617C07"/>
    <w:rsid w:val="0062003D"/>
    <w:rsid w:val="00620635"/>
    <w:rsid w:val="006207C2"/>
    <w:rsid w:val="00620AB1"/>
    <w:rsid w:val="00620C5C"/>
    <w:rsid w:val="0062221A"/>
    <w:rsid w:val="00622516"/>
    <w:rsid w:val="0062286A"/>
    <w:rsid w:val="006246A6"/>
    <w:rsid w:val="00625AA3"/>
    <w:rsid w:val="00625BAE"/>
    <w:rsid w:val="006266A8"/>
    <w:rsid w:val="00626D9F"/>
    <w:rsid w:val="00627195"/>
    <w:rsid w:val="006309C0"/>
    <w:rsid w:val="00630E7C"/>
    <w:rsid w:val="006345E1"/>
    <w:rsid w:val="0063556A"/>
    <w:rsid w:val="00635618"/>
    <w:rsid w:val="0063561B"/>
    <w:rsid w:val="0064042D"/>
    <w:rsid w:val="00641AEC"/>
    <w:rsid w:val="00644E2E"/>
    <w:rsid w:val="0064524B"/>
    <w:rsid w:val="006456C7"/>
    <w:rsid w:val="006469A4"/>
    <w:rsid w:val="00647D0F"/>
    <w:rsid w:val="006502E6"/>
    <w:rsid w:val="00650A8F"/>
    <w:rsid w:val="00650C07"/>
    <w:rsid w:val="00651877"/>
    <w:rsid w:val="00655380"/>
    <w:rsid w:val="00655388"/>
    <w:rsid w:val="00655D42"/>
    <w:rsid w:val="00656199"/>
    <w:rsid w:val="006575BA"/>
    <w:rsid w:val="00660133"/>
    <w:rsid w:val="00660A3F"/>
    <w:rsid w:val="006611E0"/>
    <w:rsid w:val="00661F21"/>
    <w:rsid w:val="0066243E"/>
    <w:rsid w:val="00664D3A"/>
    <w:rsid w:val="00666B96"/>
    <w:rsid w:val="00667442"/>
    <w:rsid w:val="00672573"/>
    <w:rsid w:val="006741FE"/>
    <w:rsid w:val="006745DF"/>
    <w:rsid w:val="00675060"/>
    <w:rsid w:val="006759C2"/>
    <w:rsid w:val="0067631B"/>
    <w:rsid w:val="00676831"/>
    <w:rsid w:val="006772DE"/>
    <w:rsid w:val="00677A9F"/>
    <w:rsid w:val="00681CA4"/>
    <w:rsid w:val="00682027"/>
    <w:rsid w:val="006821B2"/>
    <w:rsid w:val="006839AA"/>
    <w:rsid w:val="006844F5"/>
    <w:rsid w:val="006858AE"/>
    <w:rsid w:val="00685B63"/>
    <w:rsid w:val="00690252"/>
    <w:rsid w:val="00690290"/>
    <w:rsid w:val="00693391"/>
    <w:rsid w:val="00694E1A"/>
    <w:rsid w:val="00695A1E"/>
    <w:rsid w:val="006A25BB"/>
    <w:rsid w:val="006A4E81"/>
    <w:rsid w:val="006A5D0B"/>
    <w:rsid w:val="006A617B"/>
    <w:rsid w:val="006B0039"/>
    <w:rsid w:val="006B10B6"/>
    <w:rsid w:val="006B1377"/>
    <w:rsid w:val="006B14A1"/>
    <w:rsid w:val="006B1D22"/>
    <w:rsid w:val="006B2726"/>
    <w:rsid w:val="006B340A"/>
    <w:rsid w:val="006B57B2"/>
    <w:rsid w:val="006C0244"/>
    <w:rsid w:val="006C0EDC"/>
    <w:rsid w:val="006C109B"/>
    <w:rsid w:val="006C180F"/>
    <w:rsid w:val="006C1CE3"/>
    <w:rsid w:val="006C2F7A"/>
    <w:rsid w:val="006C35F8"/>
    <w:rsid w:val="006C3A95"/>
    <w:rsid w:val="006C4214"/>
    <w:rsid w:val="006C4365"/>
    <w:rsid w:val="006C63D3"/>
    <w:rsid w:val="006C6985"/>
    <w:rsid w:val="006D1B2D"/>
    <w:rsid w:val="006D1E80"/>
    <w:rsid w:val="006D2050"/>
    <w:rsid w:val="006D445E"/>
    <w:rsid w:val="006D555F"/>
    <w:rsid w:val="006D7E28"/>
    <w:rsid w:val="006E17CD"/>
    <w:rsid w:val="006E1E89"/>
    <w:rsid w:val="006E23B6"/>
    <w:rsid w:val="006E25AB"/>
    <w:rsid w:val="006E3262"/>
    <w:rsid w:val="006E3A6D"/>
    <w:rsid w:val="006E4748"/>
    <w:rsid w:val="006E67BD"/>
    <w:rsid w:val="006E7746"/>
    <w:rsid w:val="006E7B3B"/>
    <w:rsid w:val="006E7F70"/>
    <w:rsid w:val="006F2A8A"/>
    <w:rsid w:val="006F4826"/>
    <w:rsid w:val="006F4B57"/>
    <w:rsid w:val="006F4D0E"/>
    <w:rsid w:val="006F60E3"/>
    <w:rsid w:val="006F71AC"/>
    <w:rsid w:val="006F738D"/>
    <w:rsid w:val="006F79C0"/>
    <w:rsid w:val="006F7BC4"/>
    <w:rsid w:val="00700738"/>
    <w:rsid w:val="007046E9"/>
    <w:rsid w:val="0070646A"/>
    <w:rsid w:val="00707997"/>
    <w:rsid w:val="0071029B"/>
    <w:rsid w:val="0071052E"/>
    <w:rsid w:val="00711762"/>
    <w:rsid w:val="0071333C"/>
    <w:rsid w:val="00716588"/>
    <w:rsid w:val="007167A0"/>
    <w:rsid w:val="00716E4F"/>
    <w:rsid w:val="00721552"/>
    <w:rsid w:val="007217BB"/>
    <w:rsid w:val="00723366"/>
    <w:rsid w:val="00726E5E"/>
    <w:rsid w:val="007327F4"/>
    <w:rsid w:val="007329BE"/>
    <w:rsid w:val="00732A99"/>
    <w:rsid w:val="0073450F"/>
    <w:rsid w:val="007367A7"/>
    <w:rsid w:val="00736C13"/>
    <w:rsid w:val="00736E1E"/>
    <w:rsid w:val="00736F0E"/>
    <w:rsid w:val="00737B3B"/>
    <w:rsid w:val="007445DB"/>
    <w:rsid w:val="0074569B"/>
    <w:rsid w:val="00750738"/>
    <w:rsid w:val="00750F33"/>
    <w:rsid w:val="007510E2"/>
    <w:rsid w:val="007513AA"/>
    <w:rsid w:val="00752314"/>
    <w:rsid w:val="00752473"/>
    <w:rsid w:val="00752903"/>
    <w:rsid w:val="00754EA0"/>
    <w:rsid w:val="00757B50"/>
    <w:rsid w:val="00757D44"/>
    <w:rsid w:val="0076034C"/>
    <w:rsid w:val="00760828"/>
    <w:rsid w:val="00760C02"/>
    <w:rsid w:val="00766BBE"/>
    <w:rsid w:val="00767521"/>
    <w:rsid w:val="0077054A"/>
    <w:rsid w:val="007707DB"/>
    <w:rsid w:val="0077236D"/>
    <w:rsid w:val="007732C9"/>
    <w:rsid w:val="007738F3"/>
    <w:rsid w:val="00774064"/>
    <w:rsid w:val="00774CB6"/>
    <w:rsid w:val="00775622"/>
    <w:rsid w:val="00776A3D"/>
    <w:rsid w:val="00782488"/>
    <w:rsid w:val="00783EF8"/>
    <w:rsid w:val="007843A8"/>
    <w:rsid w:val="007854D2"/>
    <w:rsid w:val="00785E49"/>
    <w:rsid w:val="00786637"/>
    <w:rsid w:val="00786A8D"/>
    <w:rsid w:val="00786B17"/>
    <w:rsid w:val="00787338"/>
    <w:rsid w:val="00787740"/>
    <w:rsid w:val="00787C90"/>
    <w:rsid w:val="0079083E"/>
    <w:rsid w:val="00790A1F"/>
    <w:rsid w:val="00790BD6"/>
    <w:rsid w:val="0079338A"/>
    <w:rsid w:val="0079353A"/>
    <w:rsid w:val="007935E3"/>
    <w:rsid w:val="00793B7A"/>
    <w:rsid w:val="00793C15"/>
    <w:rsid w:val="00793DA2"/>
    <w:rsid w:val="007A01EB"/>
    <w:rsid w:val="007A300E"/>
    <w:rsid w:val="007A57D4"/>
    <w:rsid w:val="007A6929"/>
    <w:rsid w:val="007B0567"/>
    <w:rsid w:val="007B13AE"/>
    <w:rsid w:val="007B1848"/>
    <w:rsid w:val="007B2475"/>
    <w:rsid w:val="007B249F"/>
    <w:rsid w:val="007B2A78"/>
    <w:rsid w:val="007B2ECC"/>
    <w:rsid w:val="007B4EF1"/>
    <w:rsid w:val="007C1DF4"/>
    <w:rsid w:val="007C20BD"/>
    <w:rsid w:val="007C5394"/>
    <w:rsid w:val="007C6BB9"/>
    <w:rsid w:val="007C7BC8"/>
    <w:rsid w:val="007D1B60"/>
    <w:rsid w:val="007D2E6D"/>
    <w:rsid w:val="007D43F2"/>
    <w:rsid w:val="007D5501"/>
    <w:rsid w:val="007D5F54"/>
    <w:rsid w:val="007D63A2"/>
    <w:rsid w:val="007D7CFA"/>
    <w:rsid w:val="007D7F23"/>
    <w:rsid w:val="007E073D"/>
    <w:rsid w:val="007E12B8"/>
    <w:rsid w:val="007E260F"/>
    <w:rsid w:val="007E35CB"/>
    <w:rsid w:val="007E3B22"/>
    <w:rsid w:val="007E407D"/>
    <w:rsid w:val="007E43DB"/>
    <w:rsid w:val="007E4B05"/>
    <w:rsid w:val="007E530F"/>
    <w:rsid w:val="007E69B2"/>
    <w:rsid w:val="007E7002"/>
    <w:rsid w:val="007E7417"/>
    <w:rsid w:val="007F16A8"/>
    <w:rsid w:val="007F345A"/>
    <w:rsid w:val="007F349B"/>
    <w:rsid w:val="007F3D5E"/>
    <w:rsid w:val="007F6036"/>
    <w:rsid w:val="007F6149"/>
    <w:rsid w:val="007F618C"/>
    <w:rsid w:val="007F688D"/>
    <w:rsid w:val="008016E0"/>
    <w:rsid w:val="00802325"/>
    <w:rsid w:val="00806F44"/>
    <w:rsid w:val="00807544"/>
    <w:rsid w:val="00807954"/>
    <w:rsid w:val="008116F3"/>
    <w:rsid w:val="00812E7D"/>
    <w:rsid w:val="008155E9"/>
    <w:rsid w:val="00815DBC"/>
    <w:rsid w:val="008160E6"/>
    <w:rsid w:val="00816F1C"/>
    <w:rsid w:val="008175AA"/>
    <w:rsid w:val="00817C35"/>
    <w:rsid w:val="008223E0"/>
    <w:rsid w:val="008223E7"/>
    <w:rsid w:val="00823EAB"/>
    <w:rsid w:val="00824D54"/>
    <w:rsid w:val="00825693"/>
    <w:rsid w:val="00825FB7"/>
    <w:rsid w:val="00825FD7"/>
    <w:rsid w:val="00826D20"/>
    <w:rsid w:val="008278D1"/>
    <w:rsid w:val="00830718"/>
    <w:rsid w:val="00830E5C"/>
    <w:rsid w:val="008314EA"/>
    <w:rsid w:val="00831517"/>
    <w:rsid w:val="008336A9"/>
    <w:rsid w:val="008368DC"/>
    <w:rsid w:val="0083799A"/>
    <w:rsid w:val="008402E9"/>
    <w:rsid w:val="00840460"/>
    <w:rsid w:val="008408C1"/>
    <w:rsid w:val="00840B15"/>
    <w:rsid w:val="008413D6"/>
    <w:rsid w:val="008418D5"/>
    <w:rsid w:val="00843A62"/>
    <w:rsid w:val="00843B68"/>
    <w:rsid w:val="00846F7B"/>
    <w:rsid w:val="0084763A"/>
    <w:rsid w:val="008503AA"/>
    <w:rsid w:val="0085234E"/>
    <w:rsid w:val="0085326B"/>
    <w:rsid w:val="00853BB7"/>
    <w:rsid w:val="00854E3D"/>
    <w:rsid w:val="00857ABA"/>
    <w:rsid w:val="008601C5"/>
    <w:rsid w:val="00863F9A"/>
    <w:rsid w:val="00863F9B"/>
    <w:rsid w:val="00864041"/>
    <w:rsid w:val="00864126"/>
    <w:rsid w:val="00864BE9"/>
    <w:rsid w:val="00865F66"/>
    <w:rsid w:val="00866230"/>
    <w:rsid w:val="00867518"/>
    <w:rsid w:val="008704E4"/>
    <w:rsid w:val="00870639"/>
    <w:rsid w:val="00870D35"/>
    <w:rsid w:val="008716BF"/>
    <w:rsid w:val="00873E0B"/>
    <w:rsid w:val="00874374"/>
    <w:rsid w:val="00876062"/>
    <w:rsid w:val="00880650"/>
    <w:rsid w:val="00880DE8"/>
    <w:rsid w:val="00881CF9"/>
    <w:rsid w:val="00884295"/>
    <w:rsid w:val="00884802"/>
    <w:rsid w:val="00885437"/>
    <w:rsid w:val="00886A0A"/>
    <w:rsid w:val="00887124"/>
    <w:rsid w:val="008879C1"/>
    <w:rsid w:val="00887AD9"/>
    <w:rsid w:val="00890BD7"/>
    <w:rsid w:val="00891A6E"/>
    <w:rsid w:val="008941B7"/>
    <w:rsid w:val="008951FB"/>
    <w:rsid w:val="008968EB"/>
    <w:rsid w:val="00897689"/>
    <w:rsid w:val="00897FEE"/>
    <w:rsid w:val="008A0B93"/>
    <w:rsid w:val="008A33E8"/>
    <w:rsid w:val="008A3A56"/>
    <w:rsid w:val="008A405E"/>
    <w:rsid w:val="008A4DD1"/>
    <w:rsid w:val="008A51A2"/>
    <w:rsid w:val="008A51C6"/>
    <w:rsid w:val="008A51D2"/>
    <w:rsid w:val="008A59F6"/>
    <w:rsid w:val="008B1306"/>
    <w:rsid w:val="008B16AE"/>
    <w:rsid w:val="008B20B7"/>
    <w:rsid w:val="008B25BD"/>
    <w:rsid w:val="008B76F8"/>
    <w:rsid w:val="008B7AF1"/>
    <w:rsid w:val="008C0C10"/>
    <w:rsid w:val="008C3EB9"/>
    <w:rsid w:val="008C4700"/>
    <w:rsid w:val="008C60E3"/>
    <w:rsid w:val="008C61DD"/>
    <w:rsid w:val="008C62D3"/>
    <w:rsid w:val="008D41B4"/>
    <w:rsid w:val="008D45E2"/>
    <w:rsid w:val="008D5E56"/>
    <w:rsid w:val="008D6268"/>
    <w:rsid w:val="008D725D"/>
    <w:rsid w:val="008D7985"/>
    <w:rsid w:val="008D7D57"/>
    <w:rsid w:val="008E00F7"/>
    <w:rsid w:val="008E1F9A"/>
    <w:rsid w:val="008E2488"/>
    <w:rsid w:val="008E36EC"/>
    <w:rsid w:val="008E3A6A"/>
    <w:rsid w:val="008E5CE3"/>
    <w:rsid w:val="008E6121"/>
    <w:rsid w:val="008E7AF5"/>
    <w:rsid w:val="008F10C0"/>
    <w:rsid w:val="008F1194"/>
    <w:rsid w:val="008F273A"/>
    <w:rsid w:val="008F3A7C"/>
    <w:rsid w:val="008F5FA6"/>
    <w:rsid w:val="008F62AF"/>
    <w:rsid w:val="008F64BD"/>
    <w:rsid w:val="008F7027"/>
    <w:rsid w:val="008F7A9C"/>
    <w:rsid w:val="00900503"/>
    <w:rsid w:val="00900825"/>
    <w:rsid w:val="00900EDA"/>
    <w:rsid w:val="0090290A"/>
    <w:rsid w:val="00905D34"/>
    <w:rsid w:val="0091299A"/>
    <w:rsid w:val="00914412"/>
    <w:rsid w:val="00914764"/>
    <w:rsid w:val="0091539C"/>
    <w:rsid w:val="00917822"/>
    <w:rsid w:val="0091794B"/>
    <w:rsid w:val="009234A0"/>
    <w:rsid w:val="009238C0"/>
    <w:rsid w:val="00923A51"/>
    <w:rsid w:val="00924D99"/>
    <w:rsid w:val="00925EA7"/>
    <w:rsid w:val="00925EE3"/>
    <w:rsid w:val="0092796F"/>
    <w:rsid w:val="00927E07"/>
    <w:rsid w:val="009317F7"/>
    <w:rsid w:val="00931898"/>
    <w:rsid w:val="009328FC"/>
    <w:rsid w:val="00933D7D"/>
    <w:rsid w:val="00934E20"/>
    <w:rsid w:val="00935CA1"/>
    <w:rsid w:val="009360C5"/>
    <w:rsid w:val="009403B7"/>
    <w:rsid w:val="009425FA"/>
    <w:rsid w:val="0094284F"/>
    <w:rsid w:val="00944443"/>
    <w:rsid w:val="00945373"/>
    <w:rsid w:val="0094621E"/>
    <w:rsid w:val="009472D8"/>
    <w:rsid w:val="00950842"/>
    <w:rsid w:val="00950F6B"/>
    <w:rsid w:val="0095379F"/>
    <w:rsid w:val="0095540B"/>
    <w:rsid w:val="00957152"/>
    <w:rsid w:val="0096064B"/>
    <w:rsid w:val="009630AE"/>
    <w:rsid w:val="00963568"/>
    <w:rsid w:val="00964D16"/>
    <w:rsid w:val="009704B0"/>
    <w:rsid w:val="00971145"/>
    <w:rsid w:val="00972036"/>
    <w:rsid w:val="00974A57"/>
    <w:rsid w:val="00974E0F"/>
    <w:rsid w:val="00975B22"/>
    <w:rsid w:val="00981739"/>
    <w:rsid w:val="009826BB"/>
    <w:rsid w:val="00983F19"/>
    <w:rsid w:val="009862D0"/>
    <w:rsid w:val="00987853"/>
    <w:rsid w:val="00987990"/>
    <w:rsid w:val="009904BB"/>
    <w:rsid w:val="00991044"/>
    <w:rsid w:val="009920D4"/>
    <w:rsid w:val="0099432F"/>
    <w:rsid w:val="009952EB"/>
    <w:rsid w:val="00995D43"/>
    <w:rsid w:val="009964E7"/>
    <w:rsid w:val="009A180F"/>
    <w:rsid w:val="009A20E5"/>
    <w:rsid w:val="009A42B9"/>
    <w:rsid w:val="009A4A9B"/>
    <w:rsid w:val="009A5DB6"/>
    <w:rsid w:val="009A623A"/>
    <w:rsid w:val="009A6F26"/>
    <w:rsid w:val="009B2065"/>
    <w:rsid w:val="009B2DFF"/>
    <w:rsid w:val="009B312E"/>
    <w:rsid w:val="009B3319"/>
    <w:rsid w:val="009B4B17"/>
    <w:rsid w:val="009B532B"/>
    <w:rsid w:val="009B5A1A"/>
    <w:rsid w:val="009B6B20"/>
    <w:rsid w:val="009B7560"/>
    <w:rsid w:val="009B77E9"/>
    <w:rsid w:val="009C094A"/>
    <w:rsid w:val="009C26E7"/>
    <w:rsid w:val="009C3E19"/>
    <w:rsid w:val="009C4684"/>
    <w:rsid w:val="009C532F"/>
    <w:rsid w:val="009C5DC9"/>
    <w:rsid w:val="009D08AB"/>
    <w:rsid w:val="009D366D"/>
    <w:rsid w:val="009D3EE1"/>
    <w:rsid w:val="009D4E5F"/>
    <w:rsid w:val="009D57FA"/>
    <w:rsid w:val="009D7E49"/>
    <w:rsid w:val="009E1201"/>
    <w:rsid w:val="009E310F"/>
    <w:rsid w:val="009E3E67"/>
    <w:rsid w:val="009E51CE"/>
    <w:rsid w:val="009E5237"/>
    <w:rsid w:val="009E5D82"/>
    <w:rsid w:val="009E734D"/>
    <w:rsid w:val="009F0667"/>
    <w:rsid w:val="009F0EAA"/>
    <w:rsid w:val="009F187E"/>
    <w:rsid w:val="009F268C"/>
    <w:rsid w:val="009F38A2"/>
    <w:rsid w:val="009F3ABF"/>
    <w:rsid w:val="009F42AB"/>
    <w:rsid w:val="009F4ABF"/>
    <w:rsid w:val="009F53FD"/>
    <w:rsid w:val="009F5A9B"/>
    <w:rsid w:val="009F78CB"/>
    <w:rsid w:val="009F79DC"/>
    <w:rsid w:val="009F7EB9"/>
    <w:rsid w:val="00A00A06"/>
    <w:rsid w:val="00A0309C"/>
    <w:rsid w:val="00A0428C"/>
    <w:rsid w:val="00A0599B"/>
    <w:rsid w:val="00A11F52"/>
    <w:rsid w:val="00A12D93"/>
    <w:rsid w:val="00A1330F"/>
    <w:rsid w:val="00A14107"/>
    <w:rsid w:val="00A14776"/>
    <w:rsid w:val="00A20DBC"/>
    <w:rsid w:val="00A2259B"/>
    <w:rsid w:val="00A22FF4"/>
    <w:rsid w:val="00A2354C"/>
    <w:rsid w:val="00A24A1B"/>
    <w:rsid w:val="00A258C6"/>
    <w:rsid w:val="00A25A8C"/>
    <w:rsid w:val="00A32B9F"/>
    <w:rsid w:val="00A32EDC"/>
    <w:rsid w:val="00A348B8"/>
    <w:rsid w:val="00A35817"/>
    <w:rsid w:val="00A361CC"/>
    <w:rsid w:val="00A36C54"/>
    <w:rsid w:val="00A40CC4"/>
    <w:rsid w:val="00A410CD"/>
    <w:rsid w:val="00A41431"/>
    <w:rsid w:val="00A4301D"/>
    <w:rsid w:val="00A448E8"/>
    <w:rsid w:val="00A500CA"/>
    <w:rsid w:val="00A502B4"/>
    <w:rsid w:val="00A50B01"/>
    <w:rsid w:val="00A510D4"/>
    <w:rsid w:val="00A51997"/>
    <w:rsid w:val="00A523A7"/>
    <w:rsid w:val="00A52C01"/>
    <w:rsid w:val="00A52EB2"/>
    <w:rsid w:val="00A55391"/>
    <w:rsid w:val="00A56B95"/>
    <w:rsid w:val="00A63318"/>
    <w:rsid w:val="00A638A0"/>
    <w:rsid w:val="00A63EA4"/>
    <w:rsid w:val="00A65512"/>
    <w:rsid w:val="00A66975"/>
    <w:rsid w:val="00A67BA9"/>
    <w:rsid w:val="00A70DD1"/>
    <w:rsid w:val="00A716CA"/>
    <w:rsid w:val="00A7351E"/>
    <w:rsid w:val="00A7397B"/>
    <w:rsid w:val="00A751DB"/>
    <w:rsid w:val="00A7751E"/>
    <w:rsid w:val="00A80CFF"/>
    <w:rsid w:val="00A81299"/>
    <w:rsid w:val="00A82227"/>
    <w:rsid w:val="00A847E1"/>
    <w:rsid w:val="00A859CE"/>
    <w:rsid w:val="00A85A37"/>
    <w:rsid w:val="00A85C20"/>
    <w:rsid w:val="00A86058"/>
    <w:rsid w:val="00A86985"/>
    <w:rsid w:val="00A90BD5"/>
    <w:rsid w:val="00A90C83"/>
    <w:rsid w:val="00A913BD"/>
    <w:rsid w:val="00A9310F"/>
    <w:rsid w:val="00A934C9"/>
    <w:rsid w:val="00A943B2"/>
    <w:rsid w:val="00A9602E"/>
    <w:rsid w:val="00A96C59"/>
    <w:rsid w:val="00A97A61"/>
    <w:rsid w:val="00AA0222"/>
    <w:rsid w:val="00AA09E9"/>
    <w:rsid w:val="00AA1199"/>
    <w:rsid w:val="00AA1D10"/>
    <w:rsid w:val="00AA3C49"/>
    <w:rsid w:val="00AA44D8"/>
    <w:rsid w:val="00AA4BB9"/>
    <w:rsid w:val="00AA6640"/>
    <w:rsid w:val="00AB07A4"/>
    <w:rsid w:val="00AB181B"/>
    <w:rsid w:val="00AB248B"/>
    <w:rsid w:val="00AB2A9A"/>
    <w:rsid w:val="00AB2E64"/>
    <w:rsid w:val="00AB4D11"/>
    <w:rsid w:val="00AB4D75"/>
    <w:rsid w:val="00AB530D"/>
    <w:rsid w:val="00AB7429"/>
    <w:rsid w:val="00AC2955"/>
    <w:rsid w:val="00AC31A3"/>
    <w:rsid w:val="00AC3B3A"/>
    <w:rsid w:val="00AC3B69"/>
    <w:rsid w:val="00AC3E58"/>
    <w:rsid w:val="00AC43BF"/>
    <w:rsid w:val="00AC6720"/>
    <w:rsid w:val="00AC6D8A"/>
    <w:rsid w:val="00AC7B79"/>
    <w:rsid w:val="00AC7ECD"/>
    <w:rsid w:val="00AD0766"/>
    <w:rsid w:val="00AD083F"/>
    <w:rsid w:val="00AD15DC"/>
    <w:rsid w:val="00AD1953"/>
    <w:rsid w:val="00AD2170"/>
    <w:rsid w:val="00AD275A"/>
    <w:rsid w:val="00AD3D6D"/>
    <w:rsid w:val="00AD569C"/>
    <w:rsid w:val="00AD6303"/>
    <w:rsid w:val="00AD6A2A"/>
    <w:rsid w:val="00AD7F00"/>
    <w:rsid w:val="00AE0559"/>
    <w:rsid w:val="00AE22BA"/>
    <w:rsid w:val="00AE2906"/>
    <w:rsid w:val="00AE3B5F"/>
    <w:rsid w:val="00AE3CFD"/>
    <w:rsid w:val="00AE3E3C"/>
    <w:rsid w:val="00AE55D2"/>
    <w:rsid w:val="00AE7106"/>
    <w:rsid w:val="00AF06CB"/>
    <w:rsid w:val="00AF0CF5"/>
    <w:rsid w:val="00AF1A45"/>
    <w:rsid w:val="00AF1B84"/>
    <w:rsid w:val="00AF37BE"/>
    <w:rsid w:val="00AF4D16"/>
    <w:rsid w:val="00AF5B4A"/>
    <w:rsid w:val="00AF6215"/>
    <w:rsid w:val="00AF77BC"/>
    <w:rsid w:val="00B03428"/>
    <w:rsid w:val="00B035CC"/>
    <w:rsid w:val="00B03E6F"/>
    <w:rsid w:val="00B05A06"/>
    <w:rsid w:val="00B06606"/>
    <w:rsid w:val="00B068D9"/>
    <w:rsid w:val="00B06E83"/>
    <w:rsid w:val="00B0700E"/>
    <w:rsid w:val="00B07621"/>
    <w:rsid w:val="00B103CA"/>
    <w:rsid w:val="00B14087"/>
    <w:rsid w:val="00B173CA"/>
    <w:rsid w:val="00B17772"/>
    <w:rsid w:val="00B2118D"/>
    <w:rsid w:val="00B2160B"/>
    <w:rsid w:val="00B220FA"/>
    <w:rsid w:val="00B222AD"/>
    <w:rsid w:val="00B23316"/>
    <w:rsid w:val="00B23BC5"/>
    <w:rsid w:val="00B23CE0"/>
    <w:rsid w:val="00B2406B"/>
    <w:rsid w:val="00B24500"/>
    <w:rsid w:val="00B25252"/>
    <w:rsid w:val="00B268F6"/>
    <w:rsid w:val="00B27F8E"/>
    <w:rsid w:val="00B30D81"/>
    <w:rsid w:val="00B340D7"/>
    <w:rsid w:val="00B34418"/>
    <w:rsid w:val="00B3452A"/>
    <w:rsid w:val="00B34F64"/>
    <w:rsid w:val="00B36ABB"/>
    <w:rsid w:val="00B36D05"/>
    <w:rsid w:val="00B37314"/>
    <w:rsid w:val="00B4068E"/>
    <w:rsid w:val="00B42790"/>
    <w:rsid w:val="00B45BA2"/>
    <w:rsid w:val="00B45E08"/>
    <w:rsid w:val="00B51E8B"/>
    <w:rsid w:val="00B52DC7"/>
    <w:rsid w:val="00B53061"/>
    <w:rsid w:val="00B5338E"/>
    <w:rsid w:val="00B547B9"/>
    <w:rsid w:val="00B5561F"/>
    <w:rsid w:val="00B55F0E"/>
    <w:rsid w:val="00B5645D"/>
    <w:rsid w:val="00B601DF"/>
    <w:rsid w:val="00B606BB"/>
    <w:rsid w:val="00B616FA"/>
    <w:rsid w:val="00B63486"/>
    <w:rsid w:val="00B64833"/>
    <w:rsid w:val="00B718F1"/>
    <w:rsid w:val="00B71B22"/>
    <w:rsid w:val="00B71D2F"/>
    <w:rsid w:val="00B74CC6"/>
    <w:rsid w:val="00B77ED2"/>
    <w:rsid w:val="00B80087"/>
    <w:rsid w:val="00B816CE"/>
    <w:rsid w:val="00B81A0E"/>
    <w:rsid w:val="00B827FF"/>
    <w:rsid w:val="00B8283F"/>
    <w:rsid w:val="00B84011"/>
    <w:rsid w:val="00B8445D"/>
    <w:rsid w:val="00B845B0"/>
    <w:rsid w:val="00B846E1"/>
    <w:rsid w:val="00B87971"/>
    <w:rsid w:val="00B9000E"/>
    <w:rsid w:val="00B9010E"/>
    <w:rsid w:val="00B9061C"/>
    <w:rsid w:val="00B90A67"/>
    <w:rsid w:val="00B93351"/>
    <w:rsid w:val="00B93FAF"/>
    <w:rsid w:val="00B96AC7"/>
    <w:rsid w:val="00B96DBD"/>
    <w:rsid w:val="00B9744A"/>
    <w:rsid w:val="00BA080F"/>
    <w:rsid w:val="00BA0D89"/>
    <w:rsid w:val="00BA2024"/>
    <w:rsid w:val="00BA3D2A"/>
    <w:rsid w:val="00BA5741"/>
    <w:rsid w:val="00BA6106"/>
    <w:rsid w:val="00BA6C89"/>
    <w:rsid w:val="00BA6EC0"/>
    <w:rsid w:val="00BB618F"/>
    <w:rsid w:val="00BC2074"/>
    <w:rsid w:val="00BC46FA"/>
    <w:rsid w:val="00BC5C2A"/>
    <w:rsid w:val="00BC622C"/>
    <w:rsid w:val="00BD0597"/>
    <w:rsid w:val="00BD0813"/>
    <w:rsid w:val="00BD09A9"/>
    <w:rsid w:val="00BD241F"/>
    <w:rsid w:val="00BD2A7B"/>
    <w:rsid w:val="00BD403D"/>
    <w:rsid w:val="00BD7002"/>
    <w:rsid w:val="00BD7DEF"/>
    <w:rsid w:val="00BE3C7B"/>
    <w:rsid w:val="00BE5A0C"/>
    <w:rsid w:val="00BE5D4B"/>
    <w:rsid w:val="00BF24EE"/>
    <w:rsid w:val="00BF2E42"/>
    <w:rsid w:val="00BF6512"/>
    <w:rsid w:val="00BF67B5"/>
    <w:rsid w:val="00C00544"/>
    <w:rsid w:val="00C0092D"/>
    <w:rsid w:val="00C01878"/>
    <w:rsid w:val="00C0365C"/>
    <w:rsid w:val="00C0427F"/>
    <w:rsid w:val="00C04923"/>
    <w:rsid w:val="00C06BE6"/>
    <w:rsid w:val="00C0785C"/>
    <w:rsid w:val="00C102B5"/>
    <w:rsid w:val="00C11624"/>
    <w:rsid w:val="00C13FC4"/>
    <w:rsid w:val="00C14296"/>
    <w:rsid w:val="00C152AD"/>
    <w:rsid w:val="00C15EDA"/>
    <w:rsid w:val="00C21D84"/>
    <w:rsid w:val="00C22D6B"/>
    <w:rsid w:val="00C23138"/>
    <w:rsid w:val="00C235CA"/>
    <w:rsid w:val="00C25CB9"/>
    <w:rsid w:val="00C26A4E"/>
    <w:rsid w:val="00C27641"/>
    <w:rsid w:val="00C30CED"/>
    <w:rsid w:val="00C31C00"/>
    <w:rsid w:val="00C32E7A"/>
    <w:rsid w:val="00C339D1"/>
    <w:rsid w:val="00C409BF"/>
    <w:rsid w:val="00C422BC"/>
    <w:rsid w:val="00C42B47"/>
    <w:rsid w:val="00C4395A"/>
    <w:rsid w:val="00C44906"/>
    <w:rsid w:val="00C44BBE"/>
    <w:rsid w:val="00C469A4"/>
    <w:rsid w:val="00C46DA2"/>
    <w:rsid w:val="00C46DF8"/>
    <w:rsid w:val="00C507C3"/>
    <w:rsid w:val="00C519DE"/>
    <w:rsid w:val="00C51EB3"/>
    <w:rsid w:val="00C52188"/>
    <w:rsid w:val="00C5358D"/>
    <w:rsid w:val="00C545AE"/>
    <w:rsid w:val="00C54A36"/>
    <w:rsid w:val="00C56AB8"/>
    <w:rsid w:val="00C56D03"/>
    <w:rsid w:val="00C57A1B"/>
    <w:rsid w:val="00C607F8"/>
    <w:rsid w:val="00C61603"/>
    <w:rsid w:val="00C61F5E"/>
    <w:rsid w:val="00C62BBB"/>
    <w:rsid w:val="00C6302E"/>
    <w:rsid w:val="00C63B3B"/>
    <w:rsid w:val="00C64AD3"/>
    <w:rsid w:val="00C64E96"/>
    <w:rsid w:val="00C661EF"/>
    <w:rsid w:val="00C66A8B"/>
    <w:rsid w:val="00C731E8"/>
    <w:rsid w:val="00C758C4"/>
    <w:rsid w:val="00C770B0"/>
    <w:rsid w:val="00C77DF2"/>
    <w:rsid w:val="00C814CC"/>
    <w:rsid w:val="00C82860"/>
    <w:rsid w:val="00C832E2"/>
    <w:rsid w:val="00C83B2F"/>
    <w:rsid w:val="00C83DF8"/>
    <w:rsid w:val="00C858FA"/>
    <w:rsid w:val="00C86711"/>
    <w:rsid w:val="00C8699C"/>
    <w:rsid w:val="00C86A37"/>
    <w:rsid w:val="00C86C49"/>
    <w:rsid w:val="00C878DE"/>
    <w:rsid w:val="00C922CF"/>
    <w:rsid w:val="00C92818"/>
    <w:rsid w:val="00C945DD"/>
    <w:rsid w:val="00C962CE"/>
    <w:rsid w:val="00CA090A"/>
    <w:rsid w:val="00CA0DC9"/>
    <w:rsid w:val="00CA391F"/>
    <w:rsid w:val="00CA4205"/>
    <w:rsid w:val="00CA43A1"/>
    <w:rsid w:val="00CA4E97"/>
    <w:rsid w:val="00CA5249"/>
    <w:rsid w:val="00CB172F"/>
    <w:rsid w:val="00CB206D"/>
    <w:rsid w:val="00CB2DEC"/>
    <w:rsid w:val="00CB59D1"/>
    <w:rsid w:val="00CB7702"/>
    <w:rsid w:val="00CB7C6B"/>
    <w:rsid w:val="00CC0F54"/>
    <w:rsid w:val="00CC1C18"/>
    <w:rsid w:val="00CC3D0D"/>
    <w:rsid w:val="00CC6FA2"/>
    <w:rsid w:val="00CD077D"/>
    <w:rsid w:val="00CD23DC"/>
    <w:rsid w:val="00CD33C4"/>
    <w:rsid w:val="00CD4424"/>
    <w:rsid w:val="00CD5567"/>
    <w:rsid w:val="00CD5730"/>
    <w:rsid w:val="00CD5B9E"/>
    <w:rsid w:val="00CD60B1"/>
    <w:rsid w:val="00CE03E8"/>
    <w:rsid w:val="00CE17A5"/>
    <w:rsid w:val="00CE1E1F"/>
    <w:rsid w:val="00CE6D6D"/>
    <w:rsid w:val="00CF1C3C"/>
    <w:rsid w:val="00CF1F0A"/>
    <w:rsid w:val="00CF561E"/>
    <w:rsid w:val="00CF6520"/>
    <w:rsid w:val="00CF65CD"/>
    <w:rsid w:val="00CF7499"/>
    <w:rsid w:val="00CF7B71"/>
    <w:rsid w:val="00D00253"/>
    <w:rsid w:val="00D0352F"/>
    <w:rsid w:val="00D044DD"/>
    <w:rsid w:val="00D062EE"/>
    <w:rsid w:val="00D105D7"/>
    <w:rsid w:val="00D11503"/>
    <w:rsid w:val="00D1325F"/>
    <w:rsid w:val="00D14796"/>
    <w:rsid w:val="00D15411"/>
    <w:rsid w:val="00D1613E"/>
    <w:rsid w:val="00D16D7D"/>
    <w:rsid w:val="00D17ACB"/>
    <w:rsid w:val="00D20077"/>
    <w:rsid w:val="00D213B5"/>
    <w:rsid w:val="00D223F7"/>
    <w:rsid w:val="00D23445"/>
    <w:rsid w:val="00D238E7"/>
    <w:rsid w:val="00D244DF"/>
    <w:rsid w:val="00D26EB7"/>
    <w:rsid w:val="00D308B0"/>
    <w:rsid w:val="00D308D9"/>
    <w:rsid w:val="00D30DD9"/>
    <w:rsid w:val="00D3162F"/>
    <w:rsid w:val="00D31E8A"/>
    <w:rsid w:val="00D32306"/>
    <w:rsid w:val="00D33F15"/>
    <w:rsid w:val="00D35CF6"/>
    <w:rsid w:val="00D366A3"/>
    <w:rsid w:val="00D36D7B"/>
    <w:rsid w:val="00D41F65"/>
    <w:rsid w:val="00D4229E"/>
    <w:rsid w:val="00D42799"/>
    <w:rsid w:val="00D43E84"/>
    <w:rsid w:val="00D53002"/>
    <w:rsid w:val="00D53601"/>
    <w:rsid w:val="00D53939"/>
    <w:rsid w:val="00D54B23"/>
    <w:rsid w:val="00D55E6D"/>
    <w:rsid w:val="00D5699B"/>
    <w:rsid w:val="00D572EB"/>
    <w:rsid w:val="00D577B6"/>
    <w:rsid w:val="00D61B6D"/>
    <w:rsid w:val="00D61F41"/>
    <w:rsid w:val="00D62356"/>
    <w:rsid w:val="00D62C77"/>
    <w:rsid w:val="00D62DA7"/>
    <w:rsid w:val="00D679DE"/>
    <w:rsid w:val="00D7081E"/>
    <w:rsid w:val="00D726E8"/>
    <w:rsid w:val="00D73D5C"/>
    <w:rsid w:val="00D743B6"/>
    <w:rsid w:val="00D74957"/>
    <w:rsid w:val="00D75842"/>
    <w:rsid w:val="00D773FC"/>
    <w:rsid w:val="00D77F94"/>
    <w:rsid w:val="00D80059"/>
    <w:rsid w:val="00D81B3B"/>
    <w:rsid w:val="00D84113"/>
    <w:rsid w:val="00D85BE6"/>
    <w:rsid w:val="00D86132"/>
    <w:rsid w:val="00D87EE3"/>
    <w:rsid w:val="00D9043C"/>
    <w:rsid w:val="00D917ED"/>
    <w:rsid w:val="00D92C08"/>
    <w:rsid w:val="00D92DC5"/>
    <w:rsid w:val="00D92E2E"/>
    <w:rsid w:val="00D94F12"/>
    <w:rsid w:val="00D95A2E"/>
    <w:rsid w:val="00D971C7"/>
    <w:rsid w:val="00DA1A87"/>
    <w:rsid w:val="00DA5BE2"/>
    <w:rsid w:val="00DA65FD"/>
    <w:rsid w:val="00DA6805"/>
    <w:rsid w:val="00DA798E"/>
    <w:rsid w:val="00DB2075"/>
    <w:rsid w:val="00DB3FDB"/>
    <w:rsid w:val="00DB525D"/>
    <w:rsid w:val="00DB55B9"/>
    <w:rsid w:val="00DB6479"/>
    <w:rsid w:val="00DB6EE5"/>
    <w:rsid w:val="00DC15A6"/>
    <w:rsid w:val="00DC3CE7"/>
    <w:rsid w:val="00DC429C"/>
    <w:rsid w:val="00DC461B"/>
    <w:rsid w:val="00DC5857"/>
    <w:rsid w:val="00DC607A"/>
    <w:rsid w:val="00DC64A8"/>
    <w:rsid w:val="00DC7058"/>
    <w:rsid w:val="00DC739A"/>
    <w:rsid w:val="00DD0466"/>
    <w:rsid w:val="00DD0B18"/>
    <w:rsid w:val="00DD29DC"/>
    <w:rsid w:val="00DD2F76"/>
    <w:rsid w:val="00DD488F"/>
    <w:rsid w:val="00DD4DF2"/>
    <w:rsid w:val="00DD4F5E"/>
    <w:rsid w:val="00DD75C5"/>
    <w:rsid w:val="00DE09D9"/>
    <w:rsid w:val="00DE0E29"/>
    <w:rsid w:val="00DE1C54"/>
    <w:rsid w:val="00DE1FE6"/>
    <w:rsid w:val="00DE30A8"/>
    <w:rsid w:val="00DE63F9"/>
    <w:rsid w:val="00DF06F7"/>
    <w:rsid w:val="00DF1D35"/>
    <w:rsid w:val="00DF238C"/>
    <w:rsid w:val="00DF2798"/>
    <w:rsid w:val="00DF4393"/>
    <w:rsid w:val="00DF6530"/>
    <w:rsid w:val="00DF6834"/>
    <w:rsid w:val="00E0153A"/>
    <w:rsid w:val="00E021E3"/>
    <w:rsid w:val="00E037BD"/>
    <w:rsid w:val="00E04447"/>
    <w:rsid w:val="00E047F3"/>
    <w:rsid w:val="00E04C34"/>
    <w:rsid w:val="00E06970"/>
    <w:rsid w:val="00E079CA"/>
    <w:rsid w:val="00E103E9"/>
    <w:rsid w:val="00E109D5"/>
    <w:rsid w:val="00E1167F"/>
    <w:rsid w:val="00E12D85"/>
    <w:rsid w:val="00E15CA5"/>
    <w:rsid w:val="00E20A2C"/>
    <w:rsid w:val="00E21951"/>
    <w:rsid w:val="00E22258"/>
    <w:rsid w:val="00E251B6"/>
    <w:rsid w:val="00E25821"/>
    <w:rsid w:val="00E265EB"/>
    <w:rsid w:val="00E26884"/>
    <w:rsid w:val="00E313DA"/>
    <w:rsid w:val="00E31B0D"/>
    <w:rsid w:val="00E3264E"/>
    <w:rsid w:val="00E32837"/>
    <w:rsid w:val="00E32A95"/>
    <w:rsid w:val="00E33A97"/>
    <w:rsid w:val="00E34923"/>
    <w:rsid w:val="00E34CA5"/>
    <w:rsid w:val="00E34F20"/>
    <w:rsid w:val="00E35165"/>
    <w:rsid w:val="00E35E89"/>
    <w:rsid w:val="00E360DF"/>
    <w:rsid w:val="00E36862"/>
    <w:rsid w:val="00E404F9"/>
    <w:rsid w:val="00E4087F"/>
    <w:rsid w:val="00E414CC"/>
    <w:rsid w:val="00E422EF"/>
    <w:rsid w:val="00E4491D"/>
    <w:rsid w:val="00E4594E"/>
    <w:rsid w:val="00E467E7"/>
    <w:rsid w:val="00E46C05"/>
    <w:rsid w:val="00E50622"/>
    <w:rsid w:val="00E50F60"/>
    <w:rsid w:val="00E539E7"/>
    <w:rsid w:val="00E542AE"/>
    <w:rsid w:val="00E60C57"/>
    <w:rsid w:val="00E614EE"/>
    <w:rsid w:val="00E64323"/>
    <w:rsid w:val="00E645DC"/>
    <w:rsid w:val="00E66BA4"/>
    <w:rsid w:val="00E6786C"/>
    <w:rsid w:val="00E67C72"/>
    <w:rsid w:val="00E70443"/>
    <w:rsid w:val="00E7082E"/>
    <w:rsid w:val="00E7088C"/>
    <w:rsid w:val="00E7095D"/>
    <w:rsid w:val="00E709E2"/>
    <w:rsid w:val="00E72FFF"/>
    <w:rsid w:val="00E7779A"/>
    <w:rsid w:val="00E80AC0"/>
    <w:rsid w:val="00E80CC5"/>
    <w:rsid w:val="00E81CC9"/>
    <w:rsid w:val="00E825CA"/>
    <w:rsid w:val="00E839E3"/>
    <w:rsid w:val="00E83E9E"/>
    <w:rsid w:val="00E84118"/>
    <w:rsid w:val="00E84B8C"/>
    <w:rsid w:val="00E857E0"/>
    <w:rsid w:val="00E86486"/>
    <w:rsid w:val="00E86979"/>
    <w:rsid w:val="00E87617"/>
    <w:rsid w:val="00E9028A"/>
    <w:rsid w:val="00E909DE"/>
    <w:rsid w:val="00E91998"/>
    <w:rsid w:val="00E92CEE"/>
    <w:rsid w:val="00E92EF9"/>
    <w:rsid w:val="00E9412B"/>
    <w:rsid w:val="00E94A61"/>
    <w:rsid w:val="00E96280"/>
    <w:rsid w:val="00E9718E"/>
    <w:rsid w:val="00EA010B"/>
    <w:rsid w:val="00EA1519"/>
    <w:rsid w:val="00EA1D11"/>
    <w:rsid w:val="00EA3214"/>
    <w:rsid w:val="00EA46E1"/>
    <w:rsid w:val="00EA5496"/>
    <w:rsid w:val="00EA5E1A"/>
    <w:rsid w:val="00EA7DCF"/>
    <w:rsid w:val="00EB0069"/>
    <w:rsid w:val="00EB0407"/>
    <w:rsid w:val="00EB0536"/>
    <w:rsid w:val="00EB2587"/>
    <w:rsid w:val="00EB3953"/>
    <w:rsid w:val="00EB42A8"/>
    <w:rsid w:val="00EB5601"/>
    <w:rsid w:val="00EC0992"/>
    <w:rsid w:val="00EC21D9"/>
    <w:rsid w:val="00EC36CB"/>
    <w:rsid w:val="00EC501A"/>
    <w:rsid w:val="00EC526F"/>
    <w:rsid w:val="00EC5C01"/>
    <w:rsid w:val="00EC5C30"/>
    <w:rsid w:val="00EC664B"/>
    <w:rsid w:val="00ED0A75"/>
    <w:rsid w:val="00ED1F66"/>
    <w:rsid w:val="00ED2E0F"/>
    <w:rsid w:val="00ED3276"/>
    <w:rsid w:val="00ED43EC"/>
    <w:rsid w:val="00EE19C9"/>
    <w:rsid w:val="00EE5FA8"/>
    <w:rsid w:val="00EF08E3"/>
    <w:rsid w:val="00EF1E6C"/>
    <w:rsid w:val="00EF2E4D"/>
    <w:rsid w:val="00EF2F42"/>
    <w:rsid w:val="00EF3427"/>
    <w:rsid w:val="00EF5074"/>
    <w:rsid w:val="00EF5DFC"/>
    <w:rsid w:val="00F0097B"/>
    <w:rsid w:val="00F020F8"/>
    <w:rsid w:val="00F0269D"/>
    <w:rsid w:val="00F0278D"/>
    <w:rsid w:val="00F06653"/>
    <w:rsid w:val="00F078C4"/>
    <w:rsid w:val="00F10410"/>
    <w:rsid w:val="00F10924"/>
    <w:rsid w:val="00F12B93"/>
    <w:rsid w:val="00F14083"/>
    <w:rsid w:val="00F1548E"/>
    <w:rsid w:val="00F15CEC"/>
    <w:rsid w:val="00F16569"/>
    <w:rsid w:val="00F178DE"/>
    <w:rsid w:val="00F17EF3"/>
    <w:rsid w:val="00F20441"/>
    <w:rsid w:val="00F22B79"/>
    <w:rsid w:val="00F24E19"/>
    <w:rsid w:val="00F24E3F"/>
    <w:rsid w:val="00F25A82"/>
    <w:rsid w:val="00F26641"/>
    <w:rsid w:val="00F31ECF"/>
    <w:rsid w:val="00F33635"/>
    <w:rsid w:val="00F34445"/>
    <w:rsid w:val="00F34BA8"/>
    <w:rsid w:val="00F35877"/>
    <w:rsid w:val="00F36E5A"/>
    <w:rsid w:val="00F40B38"/>
    <w:rsid w:val="00F4289F"/>
    <w:rsid w:val="00F43209"/>
    <w:rsid w:val="00F44087"/>
    <w:rsid w:val="00F444B7"/>
    <w:rsid w:val="00F44EDC"/>
    <w:rsid w:val="00F45304"/>
    <w:rsid w:val="00F469A2"/>
    <w:rsid w:val="00F46AB9"/>
    <w:rsid w:val="00F46B5A"/>
    <w:rsid w:val="00F46CC7"/>
    <w:rsid w:val="00F50E71"/>
    <w:rsid w:val="00F519E6"/>
    <w:rsid w:val="00F52633"/>
    <w:rsid w:val="00F53DC4"/>
    <w:rsid w:val="00F55E57"/>
    <w:rsid w:val="00F57032"/>
    <w:rsid w:val="00F605C7"/>
    <w:rsid w:val="00F6104A"/>
    <w:rsid w:val="00F62C5E"/>
    <w:rsid w:val="00F63B4D"/>
    <w:rsid w:val="00F63CAE"/>
    <w:rsid w:val="00F65292"/>
    <w:rsid w:val="00F66234"/>
    <w:rsid w:val="00F7159F"/>
    <w:rsid w:val="00F74BDE"/>
    <w:rsid w:val="00F755F0"/>
    <w:rsid w:val="00F75B70"/>
    <w:rsid w:val="00F75CA3"/>
    <w:rsid w:val="00F7609A"/>
    <w:rsid w:val="00F76B77"/>
    <w:rsid w:val="00F770F8"/>
    <w:rsid w:val="00F80238"/>
    <w:rsid w:val="00F83572"/>
    <w:rsid w:val="00F8357C"/>
    <w:rsid w:val="00F83AEE"/>
    <w:rsid w:val="00F84910"/>
    <w:rsid w:val="00F85A90"/>
    <w:rsid w:val="00F85E4C"/>
    <w:rsid w:val="00F8601E"/>
    <w:rsid w:val="00F86215"/>
    <w:rsid w:val="00F86688"/>
    <w:rsid w:val="00F8713D"/>
    <w:rsid w:val="00F87ECD"/>
    <w:rsid w:val="00F90B68"/>
    <w:rsid w:val="00F90F5B"/>
    <w:rsid w:val="00F91888"/>
    <w:rsid w:val="00F91C6A"/>
    <w:rsid w:val="00F91D01"/>
    <w:rsid w:val="00F927FD"/>
    <w:rsid w:val="00F9319C"/>
    <w:rsid w:val="00F93970"/>
    <w:rsid w:val="00F947AE"/>
    <w:rsid w:val="00F94C64"/>
    <w:rsid w:val="00F94EF4"/>
    <w:rsid w:val="00F95953"/>
    <w:rsid w:val="00F96652"/>
    <w:rsid w:val="00F973C8"/>
    <w:rsid w:val="00F97FDA"/>
    <w:rsid w:val="00FA0A5E"/>
    <w:rsid w:val="00FA0B37"/>
    <w:rsid w:val="00FA1C4A"/>
    <w:rsid w:val="00FA26DE"/>
    <w:rsid w:val="00FA2BA1"/>
    <w:rsid w:val="00FA3625"/>
    <w:rsid w:val="00FA4ADD"/>
    <w:rsid w:val="00FA59D0"/>
    <w:rsid w:val="00FA64DA"/>
    <w:rsid w:val="00FA652A"/>
    <w:rsid w:val="00FA7D7E"/>
    <w:rsid w:val="00FB37B4"/>
    <w:rsid w:val="00FB4C0B"/>
    <w:rsid w:val="00FB5BF5"/>
    <w:rsid w:val="00FB6C47"/>
    <w:rsid w:val="00FB702E"/>
    <w:rsid w:val="00FB7E2B"/>
    <w:rsid w:val="00FB7F6D"/>
    <w:rsid w:val="00FC1729"/>
    <w:rsid w:val="00FC21E2"/>
    <w:rsid w:val="00FC2995"/>
    <w:rsid w:val="00FC2F36"/>
    <w:rsid w:val="00FC345F"/>
    <w:rsid w:val="00FC4B72"/>
    <w:rsid w:val="00FC4D89"/>
    <w:rsid w:val="00FC5206"/>
    <w:rsid w:val="00FC6DE9"/>
    <w:rsid w:val="00FC6FB3"/>
    <w:rsid w:val="00FD028C"/>
    <w:rsid w:val="00FD2217"/>
    <w:rsid w:val="00FD36A4"/>
    <w:rsid w:val="00FD5AA1"/>
    <w:rsid w:val="00FD5DE4"/>
    <w:rsid w:val="00FD6F08"/>
    <w:rsid w:val="00FD76CC"/>
    <w:rsid w:val="00FE097C"/>
    <w:rsid w:val="00FE0CF9"/>
    <w:rsid w:val="00FE3F4D"/>
    <w:rsid w:val="00FE45A9"/>
    <w:rsid w:val="00FE5074"/>
    <w:rsid w:val="00FE5D9A"/>
    <w:rsid w:val="00FE5DBC"/>
    <w:rsid w:val="00FE6FDC"/>
    <w:rsid w:val="00FE71D7"/>
    <w:rsid w:val="00FF014F"/>
    <w:rsid w:val="00FF03D7"/>
    <w:rsid w:val="00FF3AF7"/>
    <w:rsid w:val="00FF6451"/>
    <w:rsid w:val="00FF793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dd,#f8f8f8"/>
    </o:shapedefaults>
    <o:shapelayout v:ext="edit">
      <o:idmap v:ext="edit" data="2"/>
    </o:shapelayout>
  </w:shapeDefaults>
  <w:decimalSymbol w:val="."/>
  <w:listSeparator w:val=","/>
  <w14:docId w14:val="1DC417C1"/>
  <w15:chartTrackingRefBased/>
  <w15:docId w15:val="{C2673445-8396-4128-8D19-1981F49F0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71" w:qFormat="1"/>
    <w:lsdException w:name="heading 6" w:uiPriority="9" w:qFormat="1"/>
    <w:lsdException w:name="heading 7" w:uiPriority="9" w:qFormat="1"/>
    <w:lsdException w:name="heading 8" w:uiPriority="9" w:qFormat="1"/>
    <w:lsdException w:name="heading 9"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qFormat="1"/>
    <w:lsdException w:name="List Number" w:locked="1" w:semiHidden="1"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qFormat="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488F"/>
    <w:pPr>
      <w:spacing w:after="120"/>
    </w:pPr>
    <w:rPr>
      <w:color w:val="000000"/>
      <w:sz w:val="22"/>
      <w:szCs w:val="22"/>
    </w:rPr>
  </w:style>
  <w:style w:type="paragraph" w:styleId="Heading1">
    <w:name w:val="heading 1"/>
    <w:basedOn w:val="Normal"/>
    <w:next w:val="Normal"/>
    <w:link w:val="Heading1Char"/>
    <w:uiPriority w:val="9"/>
    <w:qFormat/>
    <w:rsid w:val="00FB37B4"/>
    <w:pPr>
      <w:keepNext/>
      <w:keepLines/>
      <w:pageBreakBefore/>
      <w:numPr>
        <w:numId w:val="15"/>
      </w:numPr>
      <w:tabs>
        <w:tab w:val="left" w:pos="851"/>
      </w:tabs>
      <w:spacing w:after="720" w:line="480" w:lineRule="exact"/>
      <w:ind w:left="851" w:hanging="851"/>
      <w:outlineLvl w:val="0"/>
    </w:pPr>
    <w:rPr>
      <w:rFonts w:eastAsia="Times New Roman"/>
      <w:b/>
      <w:bCs/>
      <w:color w:val="000000" w:themeColor="text1"/>
      <w:sz w:val="44"/>
      <w:szCs w:val="28"/>
    </w:rPr>
  </w:style>
  <w:style w:type="paragraph" w:styleId="Heading2">
    <w:name w:val="heading 2"/>
    <w:basedOn w:val="Normal"/>
    <w:next w:val="Normal"/>
    <w:link w:val="Heading2Char"/>
    <w:uiPriority w:val="9"/>
    <w:qFormat/>
    <w:rsid w:val="004D1B6B"/>
    <w:pPr>
      <w:keepNext/>
      <w:numPr>
        <w:ilvl w:val="1"/>
        <w:numId w:val="15"/>
      </w:numPr>
      <w:tabs>
        <w:tab w:val="left" w:pos="851"/>
      </w:tabs>
      <w:spacing w:before="360" w:after="240"/>
      <w:outlineLvl w:val="1"/>
    </w:pPr>
    <w:rPr>
      <w:rFonts w:eastAsia="Times New Roman"/>
      <w:b/>
      <w:bCs/>
      <w:color w:val="000000" w:themeColor="text1"/>
      <w:sz w:val="32"/>
      <w:szCs w:val="26"/>
    </w:rPr>
  </w:style>
  <w:style w:type="paragraph" w:styleId="Heading3">
    <w:name w:val="heading 3"/>
    <w:basedOn w:val="Heading2"/>
    <w:next w:val="Normal"/>
    <w:link w:val="Heading3Char"/>
    <w:uiPriority w:val="9"/>
    <w:qFormat/>
    <w:rsid w:val="007A6929"/>
    <w:pPr>
      <w:numPr>
        <w:ilvl w:val="2"/>
      </w:numPr>
      <w:outlineLvl w:val="2"/>
    </w:pPr>
    <w:rPr>
      <w:b w:val="0"/>
      <w:color w:val="auto"/>
      <w:sz w:val="26"/>
    </w:rPr>
  </w:style>
  <w:style w:type="paragraph" w:styleId="Heading4">
    <w:name w:val="heading 4"/>
    <w:basedOn w:val="Normal"/>
    <w:next w:val="Normal"/>
    <w:link w:val="Heading4Char"/>
    <w:uiPriority w:val="9"/>
    <w:qFormat/>
    <w:rsid w:val="00503295"/>
    <w:pPr>
      <w:outlineLvl w:val="3"/>
    </w:pPr>
    <w:rPr>
      <w:b/>
      <w:bCs/>
      <w:i/>
      <w:iCs/>
      <w:u w:val="single"/>
    </w:rPr>
  </w:style>
  <w:style w:type="paragraph" w:styleId="Heading5">
    <w:name w:val="heading 5"/>
    <w:basedOn w:val="Normal"/>
    <w:next w:val="Normal"/>
    <w:link w:val="Heading5Char"/>
    <w:uiPriority w:val="1"/>
    <w:qFormat/>
    <w:rsid w:val="003F1FBD"/>
    <w:pPr>
      <w:keepNext/>
      <w:keepLines/>
      <w:spacing w:before="240"/>
      <w:outlineLvl w:val="4"/>
    </w:pPr>
    <w:rPr>
      <w:rFonts w:eastAsia="Times New Roman"/>
      <w:b/>
    </w:rPr>
  </w:style>
  <w:style w:type="paragraph" w:styleId="Heading6">
    <w:name w:val="heading 6"/>
    <w:basedOn w:val="Normal"/>
    <w:next w:val="Normal"/>
    <w:link w:val="Heading6Char"/>
    <w:uiPriority w:val="9"/>
    <w:qFormat/>
    <w:rsid w:val="001249CC"/>
    <w:pPr>
      <w:keepNext/>
      <w:keepLines/>
      <w:spacing w:before="200"/>
      <w:outlineLvl w:val="5"/>
    </w:pPr>
    <w:rPr>
      <w:rFonts w:eastAsia="Times New Roman"/>
      <w:i/>
      <w:iCs/>
    </w:rPr>
  </w:style>
  <w:style w:type="paragraph" w:styleId="Heading7">
    <w:name w:val="heading 7"/>
    <w:basedOn w:val="Normal"/>
    <w:next w:val="Normal"/>
    <w:link w:val="Heading7Char"/>
    <w:uiPriority w:val="9"/>
    <w:qFormat/>
    <w:locked/>
    <w:rsid w:val="00DB55B9"/>
    <w:pPr>
      <w:spacing w:before="240" w:after="60"/>
      <w:outlineLvl w:val="6"/>
    </w:pPr>
    <w:rPr>
      <w:szCs w:val="24"/>
    </w:rPr>
  </w:style>
  <w:style w:type="paragraph" w:styleId="Heading8">
    <w:name w:val="heading 8"/>
    <w:basedOn w:val="Normal"/>
    <w:next w:val="Normal"/>
    <w:link w:val="Heading8Char"/>
    <w:uiPriority w:val="9"/>
    <w:qFormat/>
    <w:locked/>
    <w:rsid w:val="00DB55B9"/>
    <w:pPr>
      <w:spacing w:before="240" w:after="60"/>
      <w:outlineLvl w:val="7"/>
    </w:pPr>
    <w:rPr>
      <w:i/>
      <w:iCs/>
      <w:szCs w:val="24"/>
    </w:rPr>
  </w:style>
  <w:style w:type="paragraph" w:styleId="Heading9">
    <w:name w:val="heading 9"/>
    <w:aliases w:val="Appendix Heading 1"/>
    <w:basedOn w:val="AppendixHeading1base"/>
    <w:next w:val="Normal"/>
    <w:link w:val="Heading9Char"/>
    <w:uiPriority w:val="9"/>
    <w:qFormat/>
    <w:locked/>
    <w:rsid w:val="00D366A3"/>
    <w:pPr>
      <w:spacing w:after="1080"/>
      <w:outlineLvl w:val="8"/>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FB37B4"/>
    <w:rPr>
      <w:rFonts w:eastAsia="Times New Roman"/>
      <w:b/>
      <w:bCs/>
      <w:color w:val="000000" w:themeColor="text1"/>
      <w:sz w:val="44"/>
      <w:szCs w:val="28"/>
    </w:rPr>
  </w:style>
  <w:style w:type="character" w:customStyle="1" w:styleId="Heading2Char">
    <w:name w:val="Heading 2 Char"/>
    <w:basedOn w:val="DefaultParagraphFont"/>
    <w:link w:val="Heading2"/>
    <w:uiPriority w:val="9"/>
    <w:locked/>
    <w:rsid w:val="004D1B6B"/>
    <w:rPr>
      <w:rFonts w:eastAsia="Times New Roman"/>
      <w:b/>
      <w:bCs/>
      <w:color w:val="000000" w:themeColor="text1"/>
      <w:sz w:val="32"/>
      <w:szCs w:val="26"/>
    </w:rPr>
  </w:style>
  <w:style w:type="character" w:customStyle="1" w:styleId="Heading3Char">
    <w:name w:val="Heading 3 Char"/>
    <w:basedOn w:val="DefaultParagraphFont"/>
    <w:link w:val="Heading3"/>
    <w:uiPriority w:val="9"/>
    <w:locked/>
    <w:rsid w:val="007A6929"/>
    <w:rPr>
      <w:rFonts w:eastAsia="Times New Roman"/>
      <w:bCs/>
      <w:sz w:val="26"/>
      <w:szCs w:val="26"/>
    </w:rPr>
  </w:style>
  <w:style w:type="character" w:customStyle="1" w:styleId="Heading4Char">
    <w:name w:val="Heading 4 Char"/>
    <w:basedOn w:val="DefaultParagraphFont"/>
    <w:link w:val="Heading4"/>
    <w:uiPriority w:val="9"/>
    <w:locked/>
    <w:rsid w:val="00503295"/>
    <w:rPr>
      <w:b/>
      <w:bCs/>
      <w:i/>
      <w:iCs/>
      <w:color w:val="000000"/>
      <w:sz w:val="22"/>
      <w:szCs w:val="22"/>
      <w:u w:val="single"/>
    </w:rPr>
  </w:style>
  <w:style w:type="character" w:customStyle="1" w:styleId="Heading5Char">
    <w:name w:val="Heading 5 Char"/>
    <w:basedOn w:val="DefaultParagraphFont"/>
    <w:link w:val="Heading5"/>
    <w:uiPriority w:val="1"/>
    <w:locked/>
    <w:rsid w:val="00DB55B9"/>
    <w:rPr>
      <w:rFonts w:eastAsia="Times New Roman" w:cs="Times New Roman"/>
      <w:b/>
      <w:color w:val="000000"/>
    </w:rPr>
  </w:style>
  <w:style w:type="character" w:customStyle="1" w:styleId="Heading6Char">
    <w:name w:val="Heading 6 Char"/>
    <w:basedOn w:val="DefaultParagraphFont"/>
    <w:link w:val="Heading6"/>
    <w:uiPriority w:val="99"/>
    <w:semiHidden/>
    <w:locked/>
    <w:rsid w:val="00DB55B9"/>
    <w:rPr>
      <w:rFonts w:eastAsia="Times New Roman" w:cs="Times New Roman"/>
      <w:i/>
      <w:iCs/>
      <w:color w:val="000000"/>
    </w:rPr>
  </w:style>
  <w:style w:type="character" w:customStyle="1" w:styleId="Heading7Char">
    <w:name w:val="Heading 7 Char"/>
    <w:basedOn w:val="DefaultParagraphFont"/>
    <w:link w:val="Heading7"/>
    <w:uiPriority w:val="99"/>
    <w:semiHidden/>
    <w:locked/>
    <w:rsid w:val="00DB55B9"/>
    <w:rPr>
      <w:rFonts w:ascii="Calibri" w:eastAsia="Calibri" w:hAnsi="Calibri" w:cs="Times New Roman"/>
      <w:color w:val="000000"/>
      <w:sz w:val="24"/>
      <w:szCs w:val="24"/>
    </w:rPr>
  </w:style>
  <w:style w:type="character" w:customStyle="1" w:styleId="Heading8Char">
    <w:name w:val="Heading 8 Char"/>
    <w:basedOn w:val="DefaultParagraphFont"/>
    <w:link w:val="Heading8"/>
    <w:uiPriority w:val="99"/>
    <w:semiHidden/>
    <w:locked/>
    <w:rsid w:val="00DB55B9"/>
    <w:rPr>
      <w:rFonts w:ascii="Calibri" w:eastAsia="Calibri" w:hAnsi="Calibri" w:cs="Times New Roman"/>
      <w:i/>
      <w:iCs/>
      <w:color w:val="000000"/>
      <w:sz w:val="24"/>
      <w:szCs w:val="24"/>
    </w:rPr>
  </w:style>
  <w:style w:type="character" w:customStyle="1" w:styleId="Heading9Char">
    <w:name w:val="Heading 9 Char"/>
    <w:aliases w:val="Appendix Heading 1 Char"/>
    <w:basedOn w:val="DefaultParagraphFont"/>
    <w:link w:val="Heading9"/>
    <w:uiPriority w:val="10"/>
    <w:locked/>
    <w:rsid w:val="00D366A3"/>
    <w:rPr>
      <w:rFonts w:eastAsia="Times New Roman"/>
      <w:b/>
      <w:bCs/>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Normal"/>
    <w:link w:val="FooterChar"/>
    <w:uiPriority w:val="99"/>
    <w:unhideWhenUsed/>
    <w:rsid w:val="00782488"/>
    <w:pPr>
      <w:tabs>
        <w:tab w:val="center" w:pos="4513"/>
        <w:tab w:val="right" w:pos="9026"/>
      </w:tabs>
      <w:spacing w:after="0" w:line="220" w:lineRule="atLeast"/>
    </w:pPr>
    <w:rPr>
      <w:color w:val="auto"/>
      <w:sz w:val="16"/>
    </w:rPr>
  </w:style>
  <w:style w:type="character" w:customStyle="1" w:styleId="FooterChar">
    <w:name w:val="Footer Char"/>
    <w:basedOn w:val="DefaultParagraphFont"/>
    <w:link w:val="Footer"/>
    <w:uiPriority w:val="99"/>
    <w:locked/>
    <w:rsid w:val="00DB55B9"/>
    <w:rPr>
      <w:rFonts w:eastAsia="Calibri"/>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Normal"/>
    <w:uiPriority w:val="2"/>
    <w:qFormat/>
    <w:rsid w:val="00273A31"/>
    <w:pPr>
      <w:numPr>
        <w:numId w:val="6"/>
      </w:numPr>
      <w:tabs>
        <w:tab w:val="clear" w:pos="199"/>
        <w:tab w:val="left" w:pos="397"/>
      </w:tabs>
      <w:ind w:left="397" w:hanging="397"/>
      <w:contextualSpacing/>
    </w:pPr>
  </w:style>
  <w:style w:type="paragraph" w:styleId="ListNumber">
    <w:name w:val="List Number"/>
    <w:basedOn w:val="Normal"/>
    <w:uiPriority w:val="2"/>
    <w:qFormat/>
    <w:rsid w:val="00273A31"/>
    <w:pPr>
      <w:numPr>
        <w:numId w:val="9"/>
      </w:numPr>
      <w:tabs>
        <w:tab w:val="clear" w:pos="227"/>
        <w:tab w:val="left" w:pos="397"/>
      </w:tabs>
      <w:ind w:left="397" w:hanging="397"/>
    </w:pPr>
  </w:style>
  <w:style w:type="paragraph" w:styleId="ListBullet2">
    <w:name w:val="List Bullet 2"/>
    <w:basedOn w:val="ListBullet"/>
    <w:uiPriority w:val="2"/>
    <w:qFormat/>
    <w:rsid w:val="00273A31"/>
    <w:pPr>
      <w:numPr>
        <w:ilvl w:val="1"/>
      </w:numPr>
      <w:tabs>
        <w:tab w:val="clear" w:pos="397"/>
        <w:tab w:val="left" w:pos="794"/>
      </w:tabs>
      <w:ind w:left="794" w:hanging="360"/>
    </w:pPr>
  </w:style>
  <w:style w:type="paragraph" w:styleId="TOC1">
    <w:name w:val="toc 1"/>
    <w:basedOn w:val="Normal"/>
    <w:next w:val="Normal"/>
    <w:uiPriority w:val="39"/>
    <w:unhideWhenUsed/>
    <w:rsid w:val="00B220FA"/>
    <w:pPr>
      <w:pBdr>
        <w:top w:val="single" w:sz="4" w:space="1" w:color="41B6E6"/>
        <w:left w:val="single" w:sz="4" w:space="4" w:color="41B6E6"/>
        <w:bottom w:val="single" w:sz="4" w:space="1" w:color="41B6E6"/>
        <w:right w:val="single" w:sz="4" w:space="4" w:color="41B6E6"/>
      </w:pBdr>
      <w:shd w:val="clear" w:color="auto" w:fill="41B6E6"/>
      <w:tabs>
        <w:tab w:val="left" w:pos="737"/>
        <w:tab w:val="right" w:pos="9639"/>
      </w:tabs>
      <w:spacing w:before="240" w:after="180"/>
    </w:pPr>
    <w:rPr>
      <w:b/>
      <w:noProof/>
      <w:color w:val="auto"/>
    </w:rPr>
  </w:style>
  <w:style w:type="paragraph" w:styleId="TOC2">
    <w:name w:val="toc 2"/>
    <w:basedOn w:val="Normal"/>
    <w:next w:val="Normal"/>
    <w:uiPriority w:val="39"/>
    <w:unhideWhenUsed/>
    <w:rsid w:val="00B220FA"/>
    <w:pPr>
      <w:tabs>
        <w:tab w:val="left" w:pos="737"/>
        <w:tab w:val="right" w:leader="dot" w:pos="9639"/>
      </w:tabs>
      <w:spacing w:before="120" w:after="0"/>
      <w:ind w:right="284"/>
    </w:pPr>
    <w:rPr>
      <w:color w:val="auto"/>
    </w:rPr>
  </w:style>
  <w:style w:type="table" w:styleId="TableGrid">
    <w:name w:val="Table Grid"/>
    <w:basedOn w:val="TableNormal"/>
    <w:uiPriority w:val="39"/>
    <w:rsid w:val="006F4826"/>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Normal"/>
    <w:next w:val="Normal"/>
    <w:uiPriority w:val="39"/>
    <w:unhideWhenUsed/>
    <w:rsid w:val="00B220FA"/>
    <w:pPr>
      <w:tabs>
        <w:tab w:val="left" w:pos="1304"/>
        <w:tab w:val="right" w:leader="dot" w:pos="9639"/>
      </w:tabs>
      <w:spacing w:before="60" w:after="0"/>
      <w:ind w:left="737" w:right="284"/>
    </w:pPr>
    <w:rPr>
      <w:color w:val="auto"/>
    </w:rPr>
  </w:style>
  <w:style w:type="paragraph" w:customStyle="1" w:styleId="CoverTitle">
    <w:name w:val="CoverTitle"/>
    <w:basedOn w:val="Normal"/>
    <w:uiPriority w:val="12"/>
    <w:qFormat/>
    <w:rsid w:val="00D366A3"/>
    <w:pPr>
      <w:spacing w:after="170" w:line="216" w:lineRule="auto"/>
    </w:pPr>
    <w:rPr>
      <w:rFonts w:eastAsia="Times New Roman"/>
      <w:b/>
      <w:color w:val="000000" w:themeColor="text1"/>
      <w:spacing w:val="5"/>
      <w:kern w:val="28"/>
      <w:sz w:val="80"/>
      <w:szCs w:val="52"/>
    </w:rPr>
  </w:style>
  <w:style w:type="paragraph" w:customStyle="1" w:styleId="PartTitle">
    <w:name w:val="PartTitle"/>
    <w:basedOn w:val="Normal"/>
    <w:uiPriority w:val="15"/>
    <w:qFormat/>
    <w:rsid w:val="00D366A3"/>
    <w:pPr>
      <w:tabs>
        <w:tab w:val="left" w:pos="2552"/>
      </w:tabs>
      <w:spacing w:after="0" w:line="1000" w:lineRule="exact"/>
      <w:ind w:left="2552" w:hanging="2552"/>
      <w:outlineLvl w:val="0"/>
    </w:pPr>
    <w:rPr>
      <w:b/>
      <w:color w:val="000000" w:themeColor="text1"/>
      <w:sz w:val="80"/>
    </w:rPr>
  </w:style>
  <w:style w:type="paragraph" w:customStyle="1" w:styleId="PartSubtitle">
    <w:name w:val="PartSubtitle"/>
    <w:basedOn w:val="PartTitle"/>
    <w:uiPriority w:val="15"/>
    <w:qFormat/>
    <w:rsid w:val="00D366A3"/>
    <w:pPr>
      <w:spacing w:before="360" w:after="240" w:line="340" w:lineRule="atLeast"/>
      <w:outlineLvl w:val="9"/>
    </w:pPr>
    <w:rPr>
      <w:b w:val="0"/>
      <w:sz w:val="34"/>
    </w:rPr>
  </w:style>
  <w:style w:type="paragraph" w:customStyle="1" w:styleId="ListofFiguresandTablesTOCHeading">
    <w:name w:val="List of Figures and Tables TOC Heading"/>
    <w:basedOn w:val="TOCHeading"/>
    <w:uiPriority w:val="14"/>
    <w:qFormat/>
    <w:rsid w:val="00064612"/>
  </w:style>
  <w:style w:type="paragraph" w:styleId="ListBullet3">
    <w:name w:val="List Bullet 3"/>
    <w:basedOn w:val="ListBullet2"/>
    <w:uiPriority w:val="99"/>
    <w:semiHidden/>
    <w:rsid w:val="00273A31"/>
    <w:pPr>
      <w:numPr>
        <w:ilvl w:val="2"/>
      </w:numPr>
      <w:tabs>
        <w:tab w:val="clear" w:pos="595"/>
        <w:tab w:val="clear" w:pos="794"/>
        <w:tab w:val="left" w:pos="1191"/>
      </w:tabs>
      <w:ind w:left="2320" w:firstLine="0"/>
    </w:pPr>
  </w:style>
  <w:style w:type="paragraph" w:styleId="FootnoteText">
    <w:name w:val="footnote text"/>
    <w:basedOn w:val="Normal"/>
    <w:link w:val="FootnoteTextChar"/>
    <w:uiPriority w:val="9"/>
    <w:qFormat/>
    <w:rsid w:val="007A01EB"/>
    <w:pPr>
      <w:spacing w:after="0" w:line="180" w:lineRule="atLeast"/>
    </w:pPr>
    <w:rPr>
      <w:sz w:val="16"/>
      <w:szCs w:val="20"/>
    </w:rPr>
  </w:style>
  <w:style w:type="character" w:customStyle="1" w:styleId="FootnoteTextChar">
    <w:name w:val="Footnote Text Char"/>
    <w:basedOn w:val="DefaultParagraphFont"/>
    <w:link w:val="FootnoteText"/>
    <w:uiPriority w:val="9"/>
    <w:locked/>
    <w:rsid w:val="00DB55B9"/>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Source">
    <w:name w:val="Source"/>
    <w:basedOn w:val="Normal"/>
    <w:next w:val="Normal"/>
    <w:uiPriority w:val="6"/>
    <w:qFormat/>
    <w:rsid w:val="00064612"/>
    <w:pPr>
      <w:tabs>
        <w:tab w:val="left" w:pos="539"/>
      </w:tabs>
      <w:spacing w:line="180" w:lineRule="atLeast"/>
      <w:ind w:left="624" w:hanging="624"/>
    </w:pPr>
    <w:rPr>
      <w:sz w:val="16"/>
      <w:szCs w:val="20"/>
    </w:rPr>
  </w:style>
  <w:style w:type="table" w:customStyle="1" w:styleId="TableCSIRO">
    <w:name w:val="Table_CSIRO"/>
    <w:uiPriority w:val="99"/>
    <w:rsid w:val="0091299A"/>
    <w:tblPr>
      <w:tblStyleRowBandSize w:val="1"/>
      <w:tblStyleColBandSize w:val="1"/>
      <w:tblInd w:w="113" w:type="dxa"/>
      <w:tblBorders>
        <w:bottom w:val="single" w:sz="12" w:space="0" w:color="000000"/>
      </w:tblBorders>
      <w:tblCellMar>
        <w:top w:w="57" w:type="dxa"/>
        <w:left w:w="85" w:type="dxa"/>
        <w:bottom w:w="57" w:type="dxa"/>
        <w:right w:w="85" w:type="dxa"/>
      </w:tblCellMar>
    </w:tblPr>
  </w:style>
  <w:style w:type="paragraph" w:customStyle="1" w:styleId="TableText">
    <w:name w:val="TableText"/>
    <w:basedOn w:val="Normal"/>
    <w:uiPriority w:val="5"/>
    <w:qFormat/>
    <w:rsid w:val="007A6929"/>
    <w:pPr>
      <w:spacing w:after="57" w:line="220" w:lineRule="atLeast"/>
    </w:pPr>
    <w:rPr>
      <w:sz w:val="20"/>
    </w:rPr>
  </w:style>
  <w:style w:type="paragraph" w:customStyle="1" w:styleId="TableBullet">
    <w:name w:val="TableBullet"/>
    <w:basedOn w:val="TableText"/>
    <w:uiPriority w:val="5"/>
    <w:qFormat/>
    <w:rsid w:val="006131D3"/>
    <w:pPr>
      <w:numPr>
        <w:numId w:val="8"/>
      </w:numPr>
    </w:pPr>
  </w:style>
  <w:style w:type="paragraph" w:customStyle="1" w:styleId="RowHeading">
    <w:name w:val="RowHeading"/>
    <w:basedOn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basedOn w:val="Normal"/>
    <w:uiPriority w:val="12"/>
    <w:qFormat/>
    <w:rsid w:val="00D366A3"/>
    <w:pPr>
      <w:numPr>
        <w:ilvl w:val="1"/>
      </w:numPr>
      <w:spacing w:after="170" w:line="340" w:lineRule="atLeast"/>
    </w:pPr>
    <w:rPr>
      <w:rFonts w:eastAsia="Times New Roman"/>
      <w:iCs/>
      <w:color w:val="000000" w:themeColor="text1"/>
      <w:spacing w:val="15"/>
      <w:sz w:val="34"/>
      <w:szCs w:val="24"/>
    </w:rPr>
  </w:style>
  <w:style w:type="paragraph" w:customStyle="1" w:styleId="BackCoverContactDetails">
    <w:name w:val="BackCover ContactDetails"/>
    <w:basedOn w:val="Normal"/>
    <w:uiPriority w:val="18"/>
    <w:qFormat/>
    <w:rsid w:val="00B220FA"/>
    <w:pPr>
      <w:tabs>
        <w:tab w:val="left" w:pos="199"/>
      </w:tabs>
      <w:spacing w:after="0"/>
    </w:pPr>
  </w:style>
  <w:style w:type="paragraph" w:styleId="TOCHeading">
    <w:name w:val="TOC Heading"/>
    <w:basedOn w:val="Heading1"/>
    <w:next w:val="Normal"/>
    <w:link w:val="TOCHeadingChar"/>
    <w:uiPriority w:val="19"/>
    <w:qFormat/>
    <w:rsid w:val="00462182"/>
    <w:pPr>
      <w:pageBreakBefore w:val="0"/>
      <w:numPr>
        <w:numId w:val="0"/>
      </w:numPr>
      <w:tabs>
        <w:tab w:val="clear" w:pos="851"/>
      </w:tabs>
      <w:spacing w:before="480" w:after="240"/>
      <w:outlineLvl w:val="1"/>
    </w:pPr>
    <w:rPr>
      <w:bCs w:val="0"/>
    </w:rPr>
  </w:style>
  <w:style w:type="character" w:styleId="Hyperlink">
    <w:name w:val="Hyperlink"/>
    <w:basedOn w:val="DefaultParagraphFont"/>
    <w:uiPriority w:val="99"/>
    <w:qFormat/>
    <w:rsid w:val="00B220FA"/>
    <w:rPr>
      <w:rFonts w:cs="Times New Roman"/>
      <w:color w:val="2F5496" w:themeColor="accent5" w:themeShade="BF"/>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Normal"/>
    <w:next w:val="Normal"/>
    <w:link w:val="CaptionChar"/>
    <w:qFormat/>
    <w:rsid w:val="000B5A6E"/>
    <w:pPr>
      <w:spacing w:before="240" w:after="200"/>
    </w:pPr>
    <w:rPr>
      <w:b/>
      <w:bCs/>
      <w:color w:val="000000" w:themeColor="text1"/>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366A3"/>
    <w:rPr>
      <w:rFonts w:cs="Times New Roman"/>
      <w:color w:val="auto"/>
    </w:rPr>
  </w:style>
  <w:style w:type="paragraph" w:customStyle="1" w:styleId="Heading1notnumbered">
    <w:name w:val="Heading 1 not numbered"/>
    <w:basedOn w:val="Heading1"/>
    <w:uiPriority w:val="1"/>
    <w:rsid w:val="00FB37B4"/>
    <w:pPr>
      <w:numPr>
        <w:numId w:val="0"/>
      </w:numPr>
    </w:pPr>
  </w:style>
  <w:style w:type="paragraph" w:customStyle="1" w:styleId="Heading3notnumbered">
    <w:name w:val="Heading 3 not numbered"/>
    <w:basedOn w:val="Heading3"/>
    <w:uiPriority w:val="1"/>
    <w:qFormat/>
    <w:rsid w:val="00752314"/>
    <w:pPr>
      <w:numPr>
        <w:ilvl w:val="0"/>
        <w:numId w:val="0"/>
      </w:numPr>
    </w:pPr>
  </w:style>
  <w:style w:type="paragraph" w:customStyle="1" w:styleId="Heading2notnumbered">
    <w:name w:val="Heading 2 not numbered"/>
    <w:basedOn w:val="Heading2"/>
    <w:uiPriority w:val="1"/>
    <w:qFormat/>
    <w:rsid w:val="00752314"/>
    <w:pPr>
      <w:numPr>
        <w:ilvl w:val="0"/>
        <w:numId w:val="0"/>
      </w:numPr>
    </w:pPr>
  </w:style>
  <w:style w:type="paragraph" w:customStyle="1" w:styleId="Heading1noTOC">
    <w:name w:val="Heading 1 no TOC"/>
    <w:basedOn w:val="Heading1notnumbered"/>
    <w:uiPriority w:val="1"/>
    <w:qFormat/>
    <w:rsid w:val="00F91888"/>
  </w:style>
  <w:style w:type="character" w:customStyle="1" w:styleId="TOCHeadingChar">
    <w:name w:val="TOC Heading Char"/>
    <w:basedOn w:val="DefaultParagraphFont"/>
    <w:link w:val="TOCHeading"/>
    <w:uiPriority w:val="19"/>
    <w:semiHidden/>
    <w:locked/>
    <w:rsid w:val="00DB55B9"/>
    <w:rPr>
      <w:rFonts w:eastAsia="Times New Roman" w:cs="Times New Roman"/>
      <w:b/>
      <w:color w:val="41B6E6"/>
      <w:sz w:val="44"/>
      <w:szCs w:val="28"/>
    </w:rPr>
  </w:style>
  <w:style w:type="paragraph" w:styleId="BlockText">
    <w:name w:val="Block Text"/>
    <w:basedOn w:val="Normal"/>
    <w:uiPriority w:val="99"/>
    <w:semiHidden/>
    <w:locked/>
    <w:rsid w:val="00E251B6"/>
    <w:pPr>
      <w:ind w:left="1440" w:right="1440"/>
    </w:pPr>
  </w:style>
  <w:style w:type="paragraph" w:styleId="BodyText">
    <w:name w:val="Body Text"/>
    <w:basedOn w:val="Normal"/>
    <w:link w:val="BodyTextChar"/>
    <w:uiPriority w:val="99"/>
    <w:semiHidden/>
    <w:locked/>
    <w:rsid w:val="00E251B6"/>
  </w:style>
  <w:style w:type="character" w:customStyle="1" w:styleId="BodyTextChar">
    <w:name w:val="Body Text Char"/>
    <w:basedOn w:val="DefaultParagraphFont"/>
    <w:link w:val="BodyText"/>
    <w:uiPriority w:val="99"/>
    <w:semiHidden/>
    <w:locked/>
    <w:rsid w:val="00DB55B9"/>
    <w:rPr>
      <w:rFonts w:eastAsia="Calibri"/>
      <w:color w:val="000000"/>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qFormat/>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Normal"/>
    <w:uiPriority w:val="99"/>
    <w:semiHidden/>
    <w:locked/>
    <w:rsid w:val="00E251B6"/>
    <w:pPr>
      <w:numPr>
        <w:numId w:val="3"/>
      </w:numPr>
    </w:pPr>
  </w:style>
  <w:style w:type="paragraph" w:styleId="ListNumber4">
    <w:name w:val="List Number 4"/>
    <w:basedOn w:val="Normal"/>
    <w:uiPriority w:val="99"/>
    <w:semiHidden/>
    <w:locked/>
    <w:rsid w:val="00E251B6"/>
    <w:pPr>
      <w:numPr>
        <w:numId w:val="4"/>
      </w:numPr>
    </w:pPr>
  </w:style>
  <w:style w:type="paragraph" w:styleId="ListNumber5">
    <w:name w:val="List Number 5"/>
    <w:basedOn w:val="Normal"/>
    <w:uiPriority w:val="99"/>
    <w:semiHidden/>
    <w:locked/>
    <w:rsid w:val="00E251B6"/>
    <w:pPr>
      <w:numPr>
        <w:numId w:val="5"/>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qFormat/>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366A3"/>
    <w:pPr>
      <w:spacing w:before="180" w:after="60"/>
    </w:pPr>
    <w:rPr>
      <w:rFonts w:eastAsia="Times New Roman"/>
      <w:bCs/>
      <w:color w:val="000000" w:themeColor="text1"/>
      <w:sz w:val="24"/>
      <w:szCs w:val="26"/>
      <w:lang w:eastAsia="en-US"/>
    </w:rPr>
  </w:style>
  <w:style w:type="paragraph" w:customStyle="1" w:styleId="BusinessUnitName">
    <w:name w:val="Business Unit Name"/>
    <w:uiPriority w:val="12"/>
    <w:qFormat/>
    <w:rsid w:val="00897FEE"/>
    <w:rPr>
      <w:b/>
      <w:caps/>
      <w:noProof/>
      <w:color w:val="FFFFFF"/>
      <w:spacing w:val="16"/>
      <w:sz w:val="22"/>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semiHidden/>
    <w:locked/>
    <w:rsid w:val="00AD275A"/>
    <w:rPr>
      <w:sz w:val="20"/>
      <w:szCs w:val="20"/>
    </w:rPr>
  </w:style>
  <w:style w:type="character" w:customStyle="1" w:styleId="CommentTextChar">
    <w:name w:val="Comment Text Char"/>
    <w:basedOn w:val="DefaultParagraphFont"/>
    <w:link w:val="CommentText"/>
    <w:uiPriority w:val="99"/>
    <w:semiHidden/>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lang w:val="en-AU" w:eastAsia="en-US" w:bidi="ar-SA"/>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Normal"/>
    <w:next w:val="Normal"/>
    <w:uiPriority w:val="99"/>
    <w:locked/>
    <w:rsid w:val="00B34418"/>
    <w:pPr>
      <w:tabs>
        <w:tab w:val="right" w:leader="dot" w:pos="9639"/>
      </w:tabs>
      <w:ind w:right="284"/>
    </w:pPr>
  </w:style>
  <w:style w:type="paragraph" w:styleId="TOAHeading">
    <w:name w:val="toa heading"/>
    <w:basedOn w:val="Normal"/>
    <w:next w:val="Normal"/>
    <w:uiPriority w:val="99"/>
    <w:semiHidden/>
    <w:locked/>
    <w:rsid w:val="00AD275A"/>
    <w:pPr>
      <w:spacing w:before="120"/>
    </w:pPr>
    <w:rPr>
      <w:rFonts w:ascii="Arial" w:hAnsi="Arial" w:cs="Arial"/>
      <w:b/>
      <w:bCs/>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8"/>
      </w:numPr>
    </w:pPr>
  </w:style>
  <w:style w:type="numbering" w:customStyle="1" w:styleId="Sources">
    <w:name w:val="Sources"/>
    <w:rsid w:val="008861FC"/>
    <w:pPr>
      <w:numPr>
        <w:numId w:val="7"/>
      </w:numPr>
    </w:pPr>
  </w:style>
  <w:style w:type="numbering" w:styleId="1ai">
    <w:name w:val="Outline List 1"/>
    <w:basedOn w:val="NoList"/>
    <w:uiPriority w:val="99"/>
    <w:semiHidden/>
    <w:unhideWhenUsed/>
    <w:locked/>
    <w:rsid w:val="008861FC"/>
    <w:pPr>
      <w:numPr>
        <w:numId w:val="12"/>
      </w:numPr>
    </w:pPr>
  </w:style>
  <w:style w:type="numbering" w:styleId="111111">
    <w:name w:val="Outline List 2"/>
    <w:basedOn w:val="NoList"/>
    <w:uiPriority w:val="99"/>
    <w:semiHidden/>
    <w:unhideWhenUsed/>
    <w:locked/>
    <w:rsid w:val="008861FC"/>
    <w:pPr>
      <w:numPr>
        <w:numId w:val="11"/>
      </w:numPr>
    </w:pPr>
  </w:style>
  <w:style w:type="numbering" w:customStyle="1" w:styleId="Bullets">
    <w:name w:val="Bullets"/>
    <w:rsid w:val="008861FC"/>
    <w:pPr>
      <w:numPr>
        <w:numId w:val="6"/>
      </w:numPr>
    </w:pPr>
  </w:style>
  <w:style w:type="numbering" w:customStyle="1" w:styleId="Numbers">
    <w:name w:val="Numbers"/>
    <w:rsid w:val="008861FC"/>
    <w:pPr>
      <w:numPr>
        <w:numId w:val="9"/>
      </w:numPr>
    </w:pPr>
  </w:style>
  <w:style w:type="numbering" w:styleId="ArticleSection">
    <w:name w:val="Outline List 3"/>
    <w:basedOn w:val="NoList"/>
    <w:uiPriority w:val="99"/>
    <w:semiHidden/>
    <w:unhideWhenUsed/>
    <w:locked/>
    <w:rsid w:val="008861FC"/>
    <w:pPr>
      <w:numPr>
        <w:numId w:val="13"/>
      </w:numPr>
    </w:pPr>
  </w:style>
  <w:style w:type="paragraph" w:customStyle="1" w:styleId="AppendixHeading1base">
    <w:name w:val="Appendix Heading 1 base"/>
    <w:uiPriority w:val="20"/>
    <w:semiHidden/>
    <w:qFormat/>
    <w:rsid w:val="005C1B4B"/>
    <w:pPr>
      <w:keepNext/>
      <w:pageBreakBefore/>
      <w:numPr>
        <w:numId w:val="16"/>
      </w:numPr>
      <w:tabs>
        <w:tab w:val="left" w:pos="2268"/>
      </w:tabs>
    </w:pPr>
    <w:rPr>
      <w:rFonts w:eastAsia="Times New Roman"/>
      <w:b/>
      <w:bCs/>
      <w:color w:val="41B6E6"/>
      <w:sz w:val="44"/>
      <w:szCs w:val="28"/>
    </w:rPr>
  </w:style>
  <w:style w:type="paragraph" w:customStyle="1" w:styleId="AppendixHeading2">
    <w:name w:val="Appendix Heading 2"/>
    <w:basedOn w:val="Heading2"/>
    <w:uiPriority w:val="11"/>
    <w:qFormat/>
    <w:rsid w:val="007738F3"/>
    <w:pPr>
      <w:numPr>
        <w:numId w:val="16"/>
      </w:numPr>
    </w:pPr>
  </w:style>
  <w:style w:type="paragraph" w:customStyle="1" w:styleId="AppendixHeading3">
    <w:name w:val="Appendix Heading 3"/>
    <w:basedOn w:val="Heading3"/>
    <w:uiPriority w:val="11"/>
    <w:qFormat/>
    <w:rsid w:val="00655388"/>
    <w:pPr>
      <w:numPr>
        <w:numId w:val="16"/>
      </w:numPr>
      <w:ind w:left="0" w:firstLine="0"/>
    </w:pPr>
  </w:style>
  <w:style w:type="paragraph" w:customStyle="1" w:styleId="AppendixHeading4">
    <w:name w:val="Appendix Heading 4"/>
    <w:basedOn w:val="Heading4"/>
    <w:uiPriority w:val="11"/>
    <w:qFormat/>
    <w:rsid w:val="00880650"/>
  </w:style>
  <w:style w:type="paragraph" w:customStyle="1" w:styleId="Equation">
    <w:name w:val="Equation"/>
    <w:basedOn w:val="Normal"/>
    <w:next w:val="Normal"/>
    <w:uiPriority w:val="7"/>
    <w:qFormat/>
    <w:rsid w:val="00B93FAF"/>
    <w:pPr>
      <w:tabs>
        <w:tab w:val="right" w:pos="7938"/>
      </w:tabs>
      <w:spacing w:before="284" w:after="284"/>
      <w:ind w:left="567"/>
    </w:pPr>
    <w:rPr>
      <w:rFonts w:eastAsia="Times New Roman"/>
      <w:color w:val="auto"/>
      <w:szCs w:val="24"/>
      <w:lang w:eastAsia="en-US"/>
    </w:rPr>
  </w:style>
  <w:style w:type="paragraph" w:customStyle="1" w:styleId="Reference">
    <w:name w:val="Reference"/>
    <w:basedOn w:val="Normal"/>
    <w:uiPriority w:val="9"/>
    <w:qFormat/>
    <w:rsid w:val="007F16A8"/>
    <w:pPr>
      <w:ind w:left="567" w:hanging="567"/>
    </w:pPr>
  </w:style>
  <w:style w:type="paragraph" w:styleId="ListNumber2">
    <w:name w:val="List Number 2"/>
    <w:basedOn w:val="Normal"/>
    <w:uiPriority w:val="2"/>
    <w:qFormat/>
    <w:locked/>
    <w:rsid w:val="0005371F"/>
    <w:pPr>
      <w:numPr>
        <w:numId w:val="14"/>
      </w:numPr>
      <w:tabs>
        <w:tab w:val="left" w:pos="794"/>
      </w:tabs>
      <w:ind w:left="794" w:hanging="397"/>
      <w:contextualSpacing/>
    </w:pPr>
  </w:style>
  <w:style w:type="character" w:customStyle="1" w:styleId="Italics">
    <w:name w:val="Italics"/>
    <w:basedOn w:val="DefaultParagraphFont"/>
    <w:uiPriority w:val="3"/>
    <w:qFormat/>
    <w:rsid w:val="0005371F"/>
    <w:rPr>
      <w:i/>
    </w:rPr>
  </w:style>
  <w:style w:type="character" w:styleId="IntenseReference">
    <w:name w:val="Intense Reference"/>
    <w:basedOn w:val="DefaultParagraphFont"/>
    <w:uiPriority w:val="32"/>
    <w:qFormat/>
    <w:rsid w:val="00B220FA"/>
    <w:rPr>
      <w:b/>
      <w:bCs/>
      <w:smallCaps/>
      <w:color w:val="auto"/>
      <w:spacing w:val="5"/>
    </w:rPr>
  </w:style>
  <w:style w:type="character" w:styleId="IntenseEmphasis">
    <w:name w:val="Intense Emphasis"/>
    <w:basedOn w:val="DefaultParagraphFont"/>
    <w:uiPriority w:val="21"/>
    <w:qFormat/>
    <w:rsid w:val="00B220FA"/>
    <w:rPr>
      <w:i/>
      <w:iCs/>
      <w:color w:val="auto"/>
    </w:rPr>
  </w:style>
  <w:style w:type="paragraph" w:styleId="IntenseQuote">
    <w:name w:val="Intense Quote"/>
    <w:basedOn w:val="Normal"/>
    <w:next w:val="Normal"/>
    <w:link w:val="IntenseQuoteChar"/>
    <w:uiPriority w:val="30"/>
    <w:qFormat/>
    <w:rsid w:val="00B220FA"/>
    <w:pPr>
      <w:pBdr>
        <w:top w:val="single" w:sz="4" w:space="10" w:color="5B9BD5" w:themeColor="accent1"/>
        <w:bottom w:val="single" w:sz="4" w:space="10" w:color="5B9BD5" w:themeColor="accent1"/>
      </w:pBdr>
      <w:spacing w:before="360" w:after="360"/>
      <w:ind w:left="864" w:right="864"/>
      <w:jc w:val="center"/>
    </w:pPr>
    <w:rPr>
      <w:i/>
      <w:iCs/>
      <w:color w:val="auto"/>
    </w:rPr>
  </w:style>
  <w:style w:type="character" w:customStyle="1" w:styleId="IntenseQuoteChar">
    <w:name w:val="Intense Quote Char"/>
    <w:basedOn w:val="DefaultParagraphFont"/>
    <w:link w:val="IntenseQuote"/>
    <w:uiPriority w:val="30"/>
    <w:rsid w:val="00B220FA"/>
    <w:rPr>
      <w:i/>
      <w:iCs/>
      <w:sz w:val="22"/>
      <w:szCs w:val="22"/>
    </w:rPr>
  </w:style>
  <w:style w:type="character" w:styleId="SubtleEmphasis">
    <w:name w:val="Subtle Emphasis"/>
    <w:basedOn w:val="DefaultParagraphFont"/>
    <w:uiPriority w:val="19"/>
    <w:qFormat/>
    <w:rsid w:val="00B220FA"/>
    <w:rPr>
      <w:i/>
      <w:iCs/>
      <w:color w:val="404040" w:themeColor="text1" w:themeTint="BF"/>
      <w:sz w:val="28"/>
    </w:rPr>
  </w:style>
  <w:style w:type="paragraph" w:styleId="Title">
    <w:name w:val="Title"/>
    <w:basedOn w:val="Normal"/>
    <w:next w:val="Normal"/>
    <w:link w:val="TitleChar"/>
    <w:uiPriority w:val="99"/>
    <w:qFormat/>
    <w:rsid w:val="00DD488F"/>
    <w:pPr>
      <w:spacing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99"/>
    <w:rsid w:val="00DD488F"/>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DD488F"/>
    <w:pPr>
      <w:ind w:left="720"/>
      <w:contextualSpacing/>
    </w:pPr>
  </w:style>
  <w:style w:type="character" w:customStyle="1" w:styleId="CaptionChar">
    <w:name w:val="Caption Char"/>
    <w:link w:val="Caption"/>
    <w:rsid w:val="000B5A6E"/>
    <w:rPr>
      <w:b/>
      <w:bCs/>
      <w:color w:val="000000" w:themeColor="text1"/>
      <w:szCs w:val="18"/>
    </w:rPr>
  </w:style>
  <w:style w:type="table" w:styleId="GridTable1Light">
    <w:name w:val="Grid Table 1 Light"/>
    <w:basedOn w:val="TableNormal"/>
    <w:uiPriority w:val="46"/>
    <w:rsid w:val="00392839"/>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4D4319"/>
    <w:rPr>
      <w:color w:val="605E5C"/>
      <w:shd w:val="clear" w:color="auto" w:fill="E1DFDD"/>
    </w:rPr>
  </w:style>
  <w:style w:type="character" w:customStyle="1" w:styleId="A7">
    <w:name w:val="A7"/>
    <w:uiPriority w:val="99"/>
    <w:rsid w:val="009A5DB6"/>
    <w:rPr>
      <w:rFonts w:cs="Apollo MT Std"/>
      <w:color w:val="000000"/>
      <w:sz w:val="22"/>
      <w:szCs w:val="22"/>
    </w:rPr>
  </w:style>
  <w:style w:type="paragraph" w:customStyle="1" w:styleId="Default">
    <w:name w:val="Default"/>
    <w:rsid w:val="00E0153A"/>
    <w:pPr>
      <w:autoSpaceDE w:val="0"/>
      <w:autoSpaceDN w:val="0"/>
      <w:adjustRightInd w:val="0"/>
    </w:pPr>
    <w:rPr>
      <w:rFonts w:cs="Calibri"/>
      <w:color w:val="000000"/>
      <w:sz w:val="24"/>
      <w:szCs w:val="24"/>
    </w:rPr>
  </w:style>
  <w:style w:type="table" w:styleId="GridTable4">
    <w:name w:val="Grid Table 4"/>
    <w:basedOn w:val="TableNormal"/>
    <w:uiPriority w:val="49"/>
    <w:rsid w:val="00E67C7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340BDF"/>
    <w:rPr>
      <w:color w:val="000000"/>
      <w:sz w:val="22"/>
      <w:szCs w:val="22"/>
    </w:rPr>
  </w:style>
  <w:style w:type="character" w:customStyle="1" w:styleId="cf01">
    <w:name w:val="cf01"/>
    <w:basedOn w:val="DefaultParagraphFont"/>
    <w:rsid w:val="0069029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715">
      <w:bodyDiv w:val="1"/>
      <w:marLeft w:val="0"/>
      <w:marRight w:val="0"/>
      <w:marTop w:val="0"/>
      <w:marBottom w:val="0"/>
      <w:divBdr>
        <w:top w:val="none" w:sz="0" w:space="0" w:color="auto"/>
        <w:left w:val="none" w:sz="0" w:space="0" w:color="auto"/>
        <w:bottom w:val="none" w:sz="0" w:space="0" w:color="auto"/>
        <w:right w:val="none" w:sz="0" w:space="0" w:color="auto"/>
      </w:divBdr>
    </w:div>
    <w:div w:id="7409744">
      <w:bodyDiv w:val="1"/>
      <w:marLeft w:val="0"/>
      <w:marRight w:val="0"/>
      <w:marTop w:val="0"/>
      <w:marBottom w:val="0"/>
      <w:divBdr>
        <w:top w:val="none" w:sz="0" w:space="0" w:color="auto"/>
        <w:left w:val="none" w:sz="0" w:space="0" w:color="auto"/>
        <w:bottom w:val="none" w:sz="0" w:space="0" w:color="auto"/>
        <w:right w:val="none" w:sz="0" w:space="0" w:color="auto"/>
      </w:divBdr>
      <w:divsChild>
        <w:div w:id="1827284591">
          <w:marLeft w:val="480"/>
          <w:marRight w:val="0"/>
          <w:marTop w:val="0"/>
          <w:marBottom w:val="0"/>
          <w:divBdr>
            <w:top w:val="none" w:sz="0" w:space="0" w:color="auto"/>
            <w:left w:val="none" w:sz="0" w:space="0" w:color="auto"/>
            <w:bottom w:val="none" w:sz="0" w:space="0" w:color="auto"/>
            <w:right w:val="none" w:sz="0" w:space="0" w:color="auto"/>
          </w:divBdr>
          <w:divsChild>
            <w:div w:id="134482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5819">
      <w:bodyDiv w:val="1"/>
      <w:marLeft w:val="0"/>
      <w:marRight w:val="0"/>
      <w:marTop w:val="0"/>
      <w:marBottom w:val="0"/>
      <w:divBdr>
        <w:top w:val="none" w:sz="0" w:space="0" w:color="auto"/>
        <w:left w:val="none" w:sz="0" w:space="0" w:color="auto"/>
        <w:bottom w:val="none" w:sz="0" w:space="0" w:color="auto"/>
        <w:right w:val="none" w:sz="0" w:space="0" w:color="auto"/>
      </w:divBdr>
      <w:divsChild>
        <w:div w:id="759720460">
          <w:marLeft w:val="480"/>
          <w:marRight w:val="0"/>
          <w:marTop w:val="0"/>
          <w:marBottom w:val="0"/>
          <w:divBdr>
            <w:top w:val="none" w:sz="0" w:space="0" w:color="auto"/>
            <w:left w:val="none" w:sz="0" w:space="0" w:color="auto"/>
            <w:bottom w:val="none" w:sz="0" w:space="0" w:color="auto"/>
            <w:right w:val="none" w:sz="0" w:space="0" w:color="auto"/>
          </w:divBdr>
          <w:divsChild>
            <w:div w:id="84412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1231">
      <w:bodyDiv w:val="1"/>
      <w:marLeft w:val="0"/>
      <w:marRight w:val="0"/>
      <w:marTop w:val="0"/>
      <w:marBottom w:val="0"/>
      <w:divBdr>
        <w:top w:val="none" w:sz="0" w:space="0" w:color="auto"/>
        <w:left w:val="none" w:sz="0" w:space="0" w:color="auto"/>
        <w:bottom w:val="none" w:sz="0" w:space="0" w:color="auto"/>
        <w:right w:val="none" w:sz="0" w:space="0" w:color="auto"/>
      </w:divBdr>
      <w:divsChild>
        <w:div w:id="512375475">
          <w:marLeft w:val="480"/>
          <w:marRight w:val="0"/>
          <w:marTop w:val="0"/>
          <w:marBottom w:val="0"/>
          <w:divBdr>
            <w:top w:val="none" w:sz="0" w:space="0" w:color="auto"/>
            <w:left w:val="none" w:sz="0" w:space="0" w:color="auto"/>
            <w:bottom w:val="none" w:sz="0" w:space="0" w:color="auto"/>
            <w:right w:val="none" w:sz="0" w:space="0" w:color="auto"/>
          </w:divBdr>
          <w:divsChild>
            <w:div w:id="23763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45035">
      <w:bodyDiv w:val="1"/>
      <w:marLeft w:val="0"/>
      <w:marRight w:val="0"/>
      <w:marTop w:val="0"/>
      <w:marBottom w:val="0"/>
      <w:divBdr>
        <w:top w:val="none" w:sz="0" w:space="0" w:color="auto"/>
        <w:left w:val="none" w:sz="0" w:space="0" w:color="auto"/>
        <w:bottom w:val="none" w:sz="0" w:space="0" w:color="auto"/>
        <w:right w:val="none" w:sz="0" w:space="0" w:color="auto"/>
      </w:divBdr>
      <w:divsChild>
        <w:div w:id="1839493318">
          <w:marLeft w:val="480"/>
          <w:marRight w:val="0"/>
          <w:marTop w:val="0"/>
          <w:marBottom w:val="0"/>
          <w:divBdr>
            <w:top w:val="none" w:sz="0" w:space="0" w:color="auto"/>
            <w:left w:val="none" w:sz="0" w:space="0" w:color="auto"/>
            <w:bottom w:val="none" w:sz="0" w:space="0" w:color="auto"/>
            <w:right w:val="none" w:sz="0" w:space="0" w:color="auto"/>
          </w:divBdr>
          <w:divsChild>
            <w:div w:id="158907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30591">
      <w:bodyDiv w:val="1"/>
      <w:marLeft w:val="0"/>
      <w:marRight w:val="0"/>
      <w:marTop w:val="0"/>
      <w:marBottom w:val="0"/>
      <w:divBdr>
        <w:top w:val="none" w:sz="0" w:space="0" w:color="auto"/>
        <w:left w:val="none" w:sz="0" w:space="0" w:color="auto"/>
        <w:bottom w:val="none" w:sz="0" w:space="0" w:color="auto"/>
        <w:right w:val="none" w:sz="0" w:space="0" w:color="auto"/>
      </w:divBdr>
      <w:divsChild>
        <w:div w:id="687407311">
          <w:marLeft w:val="480"/>
          <w:marRight w:val="0"/>
          <w:marTop w:val="0"/>
          <w:marBottom w:val="0"/>
          <w:divBdr>
            <w:top w:val="none" w:sz="0" w:space="0" w:color="auto"/>
            <w:left w:val="none" w:sz="0" w:space="0" w:color="auto"/>
            <w:bottom w:val="none" w:sz="0" w:space="0" w:color="auto"/>
            <w:right w:val="none" w:sz="0" w:space="0" w:color="auto"/>
          </w:divBdr>
          <w:divsChild>
            <w:div w:id="151067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5322">
      <w:bodyDiv w:val="1"/>
      <w:marLeft w:val="0"/>
      <w:marRight w:val="0"/>
      <w:marTop w:val="0"/>
      <w:marBottom w:val="0"/>
      <w:divBdr>
        <w:top w:val="none" w:sz="0" w:space="0" w:color="auto"/>
        <w:left w:val="none" w:sz="0" w:space="0" w:color="auto"/>
        <w:bottom w:val="none" w:sz="0" w:space="0" w:color="auto"/>
        <w:right w:val="none" w:sz="0" w:space="0" w:color="auto"/>
      </w:divBdr>
      <w:divsChild>
        <w:div w:id="554195614">
          <w:marLeft w:val="480"/>
          <w:marRight w:val="0"/>
          <w:marTop w:val="0"/>
          <w:marBottom w:val="0"/>
          <w:divBdr>
            <w:top w:val="none" w:sz="0" w:space="0" w:color="auto"/>
            <w:left w:val="none" w:sz="0" w:space="0" w:color="auto"/>
            <w:bottom w:val="none" w:sz="0" w:space="0" w:color="auto"/>
            <w:right w:val="none" w:sz="0" w:space="0" w:color="auto"/>
          </w:divBdr>
          <w:divsChild>
            <w:div w:id="17837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3344">
      <w:bodyDiv w:val="1"/>
      <w:marLeft w:val="0"/>
      <w:marRight w:val="0"/>
      <w:marTop w:val="0"/>
      <w:marBottom w:val="0"/>
      <w:divBdr>
        <w:top w:val="none" w:sz="0" w:space="0" w:color="auto"/>
        <w:left w:val="none" w:sz="0" w:space="0" w:color="auto"/>
        <w:bottom w:val="none" w:sz="0" w:space="0" w:color="auto"/>
        <w:right w:val="none" w:sz="0" w:space="0" w:color="auto"/>
      </w:divBdr>
      <w:divsChild>
        <w:div w:id="1432972195">
          <w:marLeft w:val="480"/>
          <w:marRight w:val="0"/>
          <w:marTop w:val="0"/>
          <w:marBottom w:val="0"/>
          <w:divBdr>
            <w:top w:val="none" w:sz="0" w:space="0" w:color="auto"/>
            <w:left w:val="none" w:sz="0" w:space="0" w:color="auto"/>
            <w:bottom w:val="none" w:sz="0" w:space="0" w:color="auto"/>
            <w:right w:val="none" w:sz="0" w:space="0" w:color="auto"/>
          </w:divBdr>
          <w:divsChild>
            <w:div w:id="111077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8574">
      <w:bodyDiv w:val="1"/>
      <w:marLeft w:val="0"/>
      <w:marRight w:val="0"/>
      <w:marTop w:val="0"/>
      <w:marBottom w:val="0"/>
      <w:divBdr>
        <w:top w:val="none" w:sz="0" w:space="0" w:color="auto"/>
        <w:left w:val="none" w:sz="0" w:space="0" w:color="auto"/>
        <w:bottom w:val="none" w:sz="0" w:space="0" w:color="auto"/>
        <w:right w:val="none" w:sz="0" w:space="0" w:color="auto"/>
      </w:divBdr>
      <w:divsChild>
        <w:div w:id="752582138">
          <w:marLeft w:val="480"/>
          <w:marRight w:val="0"/>
          <w:marTop w:val="0"/>
          <w:marBottom w:val="0"/>
          <w:divBdr>
            <w:top w:val="none" w:sz="0" w:space="0" w:color="auto"/>
            <w:left w:val="none" w:sz="0" w:space="0" w:color="auto"/>
            <w:bottom w:val="none" w:sz="0" w:space="0" w:color="auto"/>
            <w:right w:val="none" w:sz="0" w:space="0" w:color="auto"/>
          </w:divBdr>
          <w:divsChild>
            <w:div w:id="123627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7763">
      <w:bodyDiv w:val="1"/>
      <w:marLeft w:val="0"/>
      <w:marRight w:val="0"/>
      <w:marTop w:val="0"/>
      <w:marBottom w:val="0"/>
      <w:divBdr>
        <w:top w:val="none" w:sz="0" w:space="0" w:color="auto"/>
        <w:left w:val="none" w:sz="0" w:space="0" w:color="auto"/>
        <w:bottom w:val="none" w:sz="0" w:space="0" w:color="auto"/>
        <w:right w:val="none" w:sz="0" w:space="0" w:color="auto"/>
      </w:divBdr>
      <w:divsChild>
        <w:div w:id="105393912">
          <w:marLeft w:val="480"/>
          <w:marRight w:val="0"/>
          <w:marTop w:val="0"/>
          <w:marBottom w:val="0"/>
          <w:divBdr>
            <w:top w:val="none" w:sz="0" w:space="0" w:color="auto"/>
            <w:left w:val="none" w:sz="0" w:space="0" w:color="auto"/>
            <w:bottom w:val="none" w:sz="0" w:space="0" w:color="auto"/>
            <w:right w:val="none" w:sz="0" w:space="0" w:color="auto"/>
          </w:divBdr>
          <w:divsChild>
            <w:div w:id="15912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4695">
      <w:bodyDiv w:val="1"/>
      <w:marLeft w:val="0"/>
      <w:marRight w:val="0"/>
      <w:marTop w:val="0"/>
      <w:marBottom w:val="0"/>
      <w:divBdr>
        <w:top w:val="none" w:sz="0" w:space="0" w:color="auto"/>
        <w:left w:val="none" w:sz="0" w:space="0" w:color="auto"/>
        <w:bottom w:val="none" w:sz="0" w:space="0" w:color="auto"/>
        <w:right w:val="none" w:sz="0" w:space="0" w:color="auto"/>
      </w:divBdr>
      <w:divsChild>
        <w:div w:id="542253702">
          <w:marLeft w:val="480"/>
          <w:marRight w:val="0"/>
          <w:marTop w:val="0"/>
          <w:marBottom w:val="0"/>
          <w:divBdr>
            <w:top w:val="none" w:sz="0" w:space="0" w:color="auto"/>
            <w:left w:val="none" w:sz="0" w:space="0" w:color="auto"/>
            <w:bottom w:val="none" w:sz="0" w:space="0" w:color="auto"/>
            <w:right w:val="none" w:sz="0" w:space="0" w:color="auto"/>
          </w:divBdr>
          <w:divsChild>
            <w:div w:id="150798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90290">
      <w:bodyDiv w:val="1"/>
      <w:marLeft w:val="0"/>
      <w:marRight w:val="0"/>
      <w:marTop w:val="0"/>
      <w:marBottom w:val="0"/>
      <w:divBdr>
        <w:top w:val="none" w:sz="0" w:space="0" w:color="auto"/>
        <w:left w:val="none" w:sz="0" w:space="0" w:color="auto"/>
        <w:bottom w:val="none" w:sz="0" w:space="0" w:color="auto"/>
        <w:right w:val="none" w:sz="0" w:space="0" w:color="auto"/>
      </w:divBdr>
      <w:divsChild>
        <w:div w:id="451631657">
          <w:marLeft w:val="480"/>
          <w:marRight w:val="0"/>
          <w:marTop w:val="0"/>
          <w:marBottom w:val="0"/>
          <w:divBdr>
            <w:top w:val="none" w:sz="0" w:space="0" w:color="auto"/>
            <w:left w:val="none" w:sz="0" w:space="0" w:color="auto"/>
            <w:bottom w:val="none" w:sz="0" w:space="0" w:color="auto"/>
            <w:right w:val="none" w:sz="0" w:space="0" w:color="auto"/>
          </w:divBdr>
          <w:divsChild>
            <w:div w:id="100987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7399">
      <w:bodyDiv w:val="1"/>
      <w:marLeft w:val="0"/>
      <w:marRight w:val="0"/>
      <w:marTop w:val="0"/>
      <w:marBottom w:val="0"/>
      <w:divBdr>
        <w:top w:val="none" w:sz="0" w:space="0" w:color="auto"/>
        <w:left w:val="none" w:sz="0" w:space="0" w:color="auto"/>
        <w:bottom w:val="none" w:sz="0" w:space="0" w:color="auto"/>
        <w:right w:val="none" w:sz="0" w:space="0" w:color="auto"/>
      </w:divBdr>
      <w:divsChild>
        <w:div w:id="1151751781">
          <w:marLeft w:val="480"/>
          <w:marRight w:val="0"/>
          <w:marTop w:val="0"/>
          <w:marBottom w:val="0"/>
          <w:divBdr>
            <w:top w:val="none" w:sz="0" w:space="0" w:color="auto"/>
            <w:left w:val="none" w:sz="0" w:space="0" w:color="auto"/>
            <w:bottom w:val="none" w:sz="0" w:space="0" w:color="auto"/>
            <w:right w:val="none" w:sz="0" w:space="0" w:color="auto"/>
          </w:divBdr>
          <w:divsChild>
            <w:div w:id="102848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41232">
      <w:bodyDiv w:val="1"/>
      <w:marLeft w:val="0"/>
      <w:marRight w:val="0"/>
      <w:marTop w:val="0"/>
      <w:marBottom w:val="0"/>
      <w:divBdr>
        <w:top w:val="none" w:sz="0" w:space="0" w:color="auto"/>
        <w:left w:val="none" w:sz="0" w:space="0" w:color="auto"/>
        <w:bottom w:val="none" w:sz="0" w:space="0" w:color="auto"/>
        <w:right w:val="none" w:sz="0" w:space="0" w:color="auto"/>
      </w:divBdr>
    </w:div>
    <w:div w:id="208498361">
      <w:bodyDiv w:val="1"/>
      <w:marLeft w:val="0"/>
      <w:marRight w:val="0"/>
      <w:marTop w:val="0"/>
      <w:marBottom w:val="0"/>
      <w:divBdr>
        <w:top w:val="none" w:sz="0" w:space="0" w:color="auto"/>
        <w:left w:val="none" w:sz="0" w:space="0" w:color="auto"/>
        <w:bottom w:val="none" w:sz="0" w:space="0" w:color="auto"/>
        <w:right w:val="none" w:sz="0" w:space="0" w:color="auto"/>
      </w:divBdr>
      <w:divsChild>
        <w:div w:id="749697279">
          <w:marLeft w:val="480"/>
          <w:marRight w:val="0"/>
          <w:marTop w:val="0"/>
          <w:marBottom w:val="0"/>
          <w:divBdr>
            <w:top w:val="none" w:sz="0" w:space="0" w:color="auto"/>
            <w:left w:val="none" w:sz="0" w:space="0" w:color="auto"/>
            <w:bottom w:val="none" w:sz="0" w:space="0" w:color="auto"/>
            <w:right w:val="none" w:sz="0" w:space="0" w:color="auto"/>
          </w:divBdr>
          <w:divsChild>
            <w:div w:id="31438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53431">
      <w:bodyDiv w:val="1"/>
      <w:marLeft w:val="0"/>
      <w:marRight w:val="0"/>
      <w:marTop w:val="0"/>
      <w:marBottom w:val="0"/>
      <w:divBdr>
        <w:top w:val="none" w:sz="0" w:space="0" w:color="auto"/>
        <w:left w:val="none" w:sz="0" w:space="0" w:color="auto"/>
        <w:bottom w:val="none" w:sz="0" w:space="0" w:color="auto"/>
        <w:right w:val="none" w:sz="0" w:space="0" w:color="auto"/>
      </w:divBdr>
      <w:divsChild>
        <w:div w:id="1481385390">
          <w:marLeft w:val="480"/>
          <w:marRight w:val="0"/>
          <w:marTop w:val="0"/>
          <w:marBottom w:val="0"/>
          <w:divBdr>
            <w:top w:val="none" w:sz="0" w:space="0" w:color="auto"/>
            <w:left w:val="none" w:sz="0" w:space="0" w:color="auto"/>
            <w:bottom w:val="none" w:sz="0" w:space="0" w:color="auto"/>
            <w:right w:val="none" w:sz="0" w:space="0" w:color="auto"/>
          </w:divBdr>
          <w:divsChild>
            <w:div w:id="206039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76114">
      <w:bodyDiv w:val="1"/>
      <w:marLeft w:val="0"/>
      <w:marRight w:val="0"/>
      <w:marTop w:val="0"/>
      <w:marBottom w:val="0"/>
      <w:divBdr>
        <w:top w:val="none" w:sz="0" w:space="0" w:color="auto"/>
        <w:left w:val="none" w:sz="0" w:space="0" w:color="auto"/>
        <w:bottom w:val="none" w:sz="0" w:space="0" w:color="auto"/>
        <w:right w:val="none" w:sz="0" w:space="0" w:color="auto"/>
      </w:divBdr>
      <w:divsChild>
        <w:div w:id="1720133522">
          <w:marLeft w:val="480"/>
          <w:marRight w:val="0"/>
          <w:marTop w:val="0"/>
          <w:marBottom w:val="0"/>
          <w:divBdr>
            <w:top w:val="none" w:sz="0" w:space="0" w:color="auto"/>
            <w:left w:val="none" w:sz="0" w:space="0" w:color="auto"/>
            <w:bottom w:val="none" w:sz="0" w:space="0" w:color="auto"/>
            <w:right w:val="none" w:sz="0" w:space="0" w:color="auto"/>
          </w:divBdr>
          <w:divsChild>
            <w:div w:id="208505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2166">
      <w:bodyDiv w:val="1"/>
      <w:marLeft w:val="0"/>
      <w:marRight w:val="0"/>
      <w:marTop w:val="0"/>
      <w:marBottom w:val="0"/>
      <w:divBdr>
        <w:top w:val="none" w:sz="0" w:space="0" w:color="auto"/>
        <w:left w:val="none" w:sz="0" w:space="0" w:color="auto"/>
        <w:bottom w:val="none" w:sz="0" w:space="0" w:color="auto"/>
        <w:right w:val="none" w:sz="0" w:space="0" w:color="auto"/>
      </w:divBdr>
      <w:divsChild>
        <w:div w:id="797382378">
          <w:marLeft w:val="480"/>
          <w:marRight w:val="0"/>
          <w:marTop w:val="0"/>
          <w:marBottom w:val="0"/>
          <w:divBdr>
            <w:top w:val="none" w:sz="0" w:space="0" w:color="auto"/>
            <w:left w:val="none" w:sz="0" w:space="0" w:color="auto"/>
            <w:bottom w:val="none" w:sz="0" w:space="0" w:color="auto"/>
            <w:right w:val="none" w:sz="0" w:space="0" w:color="auto"/>
          </w:divBdr>
          <w:divsChild>
            <w:div w:id="117607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830002">
      <w:bodyDiv w:val="1"/>
      <w:marLeft w:val="0"/>
      <w:marRight w:val="0"/>
      <w:marTop w:val="0"/>
      <w:marBottom w:val="0"/>
      <w:divBdr>
        <w:top w:val="none" w:sz="0" w:space="0" w:color="auto"/>
        <w:left w:val="none" w:sz="0" w:space="0" w:color="auto"/>
        <w:bottom w:val="none" w:sz="0" w:space="0" w:color="auto"/>
        <w:right w:val="none" w:sz="0" w:space="0" w:color="auto"/>
      </w:divBdr>
      <w:divsChild>
        <w:div w:id="1785609311">
          <w:marLeft w:val="480"/>
          <w:marRight w:val="0"/>
          <w:marTop w:val="0"/>
          <w:marBottom w:val="0"/>
          <w:divBdr>
            <w:top w:val="none" w:sz="0" w:space="0" w:color="auto"/>
            <w:left w:val="none" w:sz="0" w:space="0" w:color="auto"/>
            <w:bottom w:val="none" w:sz="0" w:space="0" w:color="auto"/>
            <w:right w:val="none" w:sz="0" w:space="0" w:color="auto"/>
          </w:divBdr>
          <w:divsChild>
            <w:div w:id="201957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3153">
      <w:bodyDiv w:val="1"/>
      <w:marLeft w:val="0"/>
      <w:marRight w:val="0"/>
      <w:marTop w:val="0"/>
      <w:marBottom w:val="0"/>
      <w:divBdr>
        <w:top w:val="none" w:sz="0" w:space="0" w:color="auto"/>
        <w:left w:val="none" w:sz="0" w:space="0" w:color="auto"/>
        <w:bottom w:val="none" w:sz="0" w:space="0" w:color="auto"/>
        <w:right w:val="none" w:sz="0" w:space="0" w:color="auto"/>
      </w:divBdr>
      <w:divsChild>
        <w:div w:id="1134642451">
          <w:marLeft w:val="480"/>
          <w:marRight w:val="0"/>
          <w:marTop w:val="0"/>
          <w:marBottom w:val="0"/>
          <w:divBdr>
            <w:top w:val="none" w:sz="0" w:space="0" w:color="auto"/>
            <w:left w:val="none" w:sz="0" w:space="0" w:color="auto"/>
            <w:bottom w:val="none" w:sz="0" w:space="0" w:color="auto"/>
            <w:right w:val="none" w:sz="0" w:space="0" w:color="auto"/>
          </w:divBdr>
          <w:divsChild>
            <w:div w:id="86313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074761">
      <w:bodyDiv w:val="1"/>
      <w:marLeft w:val="0"/>
      <w:marRight w:val="0"/>
      <w:marTop w:val="0"/>
      <w:marBottom w:val="0"/>
      <w:divBdr>
        <w:top w:val="none" w:sz="0" w:space="0" w:color="auto"/>
        <w:left w:val="none" w:sz="0" w:space="0" w:color="auto"/>
        <w:bottom w:val="none" w:sz="0" w:space="0" w:color="auto"/>
        <w:right w:val="none" w:sz="0" w:space="0" w:color="auto"/>
      </w:divBdr>
      <w:divsChild>
        <w:div w:id="730883743">
          <w:marLeft w:val="480"/>
          <w:marRight w:val="0"/>
          <w:marTop w:val="0"/>
          <w:marBottom w:val="0"/>
          <w:divBdr>
            <w:top w:val="none" w:sz="0" w:space="0" w:color="auto"/>
            <w:left w:val="none" w:sz="0" w:space="0" w:color="auto"/>
            <w:bottom w:val="none" w:sz="0" w:space="0" w:color="auto"/>
            <w:right w:val="none" w:sz="0" w:space="0" w:color="auto"/>
          </w:divBdr>
          <w:divsChild>
            <w:div w:id="2843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534485">
      <w:bodyDiv w:val="1"/>
      <w:marLeft w:val="0"/>
      <w:marRight w:val="0"/>
      <w:marTop w:val="0"/>
      <w:marBottom w:val="0"/>
      <w:divBdr>
        <w:top w:val="none" w:sz="0" w:space="0" w:color="auto"/>
        <w:left w:val="none" w:sz="0" w:space="0" w:color="auto"/>
        <w:bottom w:val="none" w:sz="0" w:space="0" w:color="auto"/>
        <w:right w:val="none" w:sz="0" w:space="0" w:color="auto"/>
      </w:divBdr>
      <w:divsChild>
        <w:div w:id="731775540">
          <w:marLeft w:val="480"/>
          <w:marRight w:val="0"/>
          <w:marTop w:val="0"/>
          <w:marBottom w:val="0"/>
          <w:divBdr>
            <w:top w:val="none" w:sz="0" w:space="0" w:color="auto"/>
            <w:left w:val="none" w:sz="0" w:space="0" w:color="auto"/>
            <w:bottom w:val="none" w:sz="0" w:space="0" w:color="auto"/>
            <w:right w:val="none" w:sz="0" w:space="0" w:color="auto"/>
          </w:divBdr>
          <w:divsChild>
            <w:div w:id="36066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4732">
      <w:bodyDiv w:val="1"/>
      <w:marLeft w:val="0"/>
      <w:marRight w:val="0"/>
      <w:marTop w:val="0"/>
      <w:marBottom w:val="0"/>
      <w:divBdr>
        <w:top w:val="none" w:sz="0" w:space="0" w:color="auto"/>
        <w:left w:val="none" w:sz="0" w:space="0" w:color="auto"/>
        <w:bottom w:val="none" w:sz="0" w:space="0" w:color="auto"/>
        <w:right w:val="none" w:sz="0" w:space="0" w:color="auto"/>
      </w:divBdr>
      <w:divsChild>
        <w:div w:id="791747163">
          <w:marLeft w:val="480"/>
          <w:marRight w:val="0"/>
          <w:marTop w:val="0"/>
          <w:marBottom w:val="0"/>
          <w:divBdr>
            <w:top w:val="none" w:sz="0" w:space="0" w:color="auto"/>
            <w:left w:val="none" w:sz="0" w:space="0" w:color="auto"/>
            <w:bottom w:val="none" w:sz="0" w:space="0" w:color="auto"/>
            <w:right w:val="none" w:sz="0" w:space="0" w:color="auto"/>
          </w:divBdr>
          <w:divsChild>
            <w:div w:id="202671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82990">
      <w:bodyDiv w:val="1"/>
      <w:marLeft w:val="0"/>
      <w:marRight w:val="0"/>
      <w:marTop w:val="0"/>
      <w:marBottom w:val="0"/>
      <w:divBdr>
        <w:top w:val="none" w:sz="0" w:space="0" w:color="auto"/>
        <w:left w:val="none" w:sz="0" w:space="0" w:color="auto"/>
        <w:bottom w:val="none" w:sz="0" w:space="0" w:color="auto"/>
        <w:right w:val="none" w:sz="0" w:space="0" w:color="auto"/>
      </w:divBdr>
      <w:divsChild>
        <w:div w:id="1500071898">
          <w:marLeft w:val="480"/>
          <w:marRight w:val="0"/>
          <w:marTop w:val="0"/>
          <w:marBottom w:val="0"/>
          <w:divBdr>
            <w:top w:val="none" w:sz="0" w:space="0" w:color="auto"/>
            <w:left w:val="none" w:sz="0" w:space="0" w:color="auto"/>
            <w:bottom w:val="none" w:sz="0" w:space="0" w:color="auto"/>
            <w:right w:val="none" w:sz="0" w:space="0" w:color="auto"/>
          </w:divBdr>
          <w:divsChild>
            <w:div w:id="45386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108379">
      <w:bodyDiv w:val="1"/>
      <w:marLeft w:val="0"/>
      <w:marRight w:val="0"/>
      <w:marTop w:val="0"/>
      <w:marBottom w:val="0"/>
      <w:divBdr>
        <w:top w:val="none" w:sz="0" w:space="0" w:color="auto"/>
        <w:left w:val="none" w:sz="0" w:space="0" w:color="auto"/>
        <w:bottom w:val="none" w:sz="0" w:space="0" w:color="auto"/>
        <w:right w:val="none" w:sz="0" w:space="0" w:color="auto"/>
      </w:divBdr>
      <w:divsChild>
        <w:div w:id="1954551897">
          <w:marLeft w:val="480"/>
          <w:marRight w:val="0"/>
          <w:marTop w:val="0"/>
          <w:marBottom w:val="0"/>
          <w:divBdr>
            <w:top w:val="none" w:sz="0" w:space="0" w:color="auto"/>
            <w:left w:val="none" w:sz="0" w:space="0" w:color="auto"/>
            <w:bottom w:val="none" w:sz="0" w:space="0" w:color="auto"/>
            <w:right w:val="none" w:sz="0" w:space="0" w:color="auto"/>
          </w:divBdr>
          <w:divsChild>
            <w:div w:id="152613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64367">
      <w:bodyDiv w:val="1"/>
      <w:marLeft w:val="0"/>
      <w:marRight w:val="0"/>
      <w:marTop w:val="0"/>
      <w:marBottom w:val="0"/>
      <w:divBdr>
        <w:top w:val="none" w:sz="0" w:space="0" w:color="auto"/>
        <w:left w:val="none" w:sz="0" w:space="0" w:color="auto"/>
        <w:bottom w:val="none" w:sz="0" w:space="0" w:color="auto"/>
        <w:right w:val="none" w:sz="0" w:space="0" w:color="auto"/>
      </w:divBdr>
      <w:divsChild>
        <w:div w:id="381903075">
          <w:marLeft w:val="480"/>
          <w:marRight w:val="0"/>
          <w:marTop w:val="0"/>
          <w:marBottom w:val="0"/>
          <w:divBdr>
            <w:top w:val="none" w:sz="0" w:space="0" w:color="auto"/>
            <w:left w:val="none" w:sz="0" w:space="0" w:color="auto"/>
            <w:bottom w:val="none" w:sz="0" w:space="0" w:color="auto"/>
            <w:right w:val="none" w:sz="0" w:space="0" w:color="auto"/>
          </w:divBdr>
          <w:divsChild>
            <w:div w:id="154232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110269">
      <w:bodyDiv w:val="1"/>
      <w:marLeft w:val="0"/>
      <w:marRight w:val="0"/>
      <w:marTop w:val="0"/>
      <w:marBottom w:val="0"/>
      <w:divBdr>
        <w:top w:val="none" w:sz="0" w:space="0" w:color="auto"/>
        <w:left w:val="none" w:sz="0" w:space="0" w:color="auto"/>
        <w:bottom w:val="none" w:sz="0" w:space="0" w:color="auto"/>
        <w:right w:val="none" w:sz="0" w:space="0" w:color="auto"/>
      </w:divBdr>
      <w:divsChild>
        <w:div w:id="493763405">
          <w:marLeft w:val="480"/>
          <w:marRight w:val="0"/>
          <w:marTop w:val="0"/>
          <w:marBottom w:val="0"/>
          <w:divBdr>
            <w:top w:val="none" w:sz="0" w:space="0" w:color="auto"/>
            <w:left w:val="none" w:sz="0" w:space="0" w:color="auto"/>
            <w:bottom w:val="none" w:sz="0" w:space="0" w:color="auto"/>
            <w:right w:val="none" w:sz="0" w:space="0" w:color="auto"/>
          </w:divBdr>
          <w:divsChild>
            <w:div w:id="97918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133593">
      <w:bodyDiv w:val="1"/>
      <w:marLeft w:val="0"/>
      <w:marRight w:val="0"/>
      <w:marTop w:val="0"/>
      <w:marBottom w:val="0"/>
      <w:divBdr>
        <w:top w:val="none" w:sz="0" w:space="0" w:color="auto"/>
        <w:left w:val="none" w:sz="0" w:space="0" w:color="auto"/>
        <w:bottom w:val="none" w:sz="0" w:space="0" w:color="auto"/>
        <w:right w:val="none" w:sz="0" w:space="0" w:color="auto"/>
      </w:divBdr>
      <w:divsChild>
        <w:div w:id="796022791">
          <w:marLeft w:val="480"/>
          <w:marRight w:val="0"/>
          <w:marTop w:val="0"/>
          <w:marBottom w:val="0"/>
          <w:divBdr>
            <w:top w:val="none" w:sz="0" w:space="0" w:color="auto"/>
            <w:left w:val="none" w:sz="0" w:space="0" w:color="auto"/>
            <w:bottom w:val="none" w:sz="0" w:space="0" w:color="auto"/>
            <w:right w:val="none" w:sz="0" w:space="0" w:color="auto"/>
          </w:divBdr>
          <w:divsChild>
            <w:div w:id="24369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969658">
      <w:bodyDiv w:val="1"/>
      <w:marLeft w:val="0"/>
      <w:marRight w:val="0"/>
      <w:marTop w:val="0"/>
      <w:marBottom w:val="0"/>
      <w:divBdr>
        <w:top w:val="none" w:sz="0" w:space="0" w:color="auto"/>
        <w:left w:val="none" w:sz="0" w:space="0" w:color="auto"/>
        <w:bottom w:val="none" w:sz="0" w:space="0" w:color="auto"/>
        <w:right w:val="none" w:sz="0" w:space="0" w:color="auto"/>
      </w:divBdr>
      <w:divsChild>
        <w:div w:id="1355350033">
          <w:marLeft w:val="480"/>
          <w:marRight w:val="0"/>
          <w:marTop w:val="0"/>
          <w:marBottom w:val="0"/>
          <w:divBdr>
            <w:top w:val="none" w:sz="0" w:space="0" w:color="auto"/>
            <w:left w:val="none" w:sz="0" w:space="0" w:color="auto"/>
            <w:bottom w:val="none" w:sz="0" w:space="0" w:color="auto"/>
            <w:right w:val="none" w:sz="0" w:space="0" w:color="auto"/>
          </w:divBdr>
          <w:divsChild>
            <w:div w:id="27848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002050">
      <w:bodyDiv w:val="1"/>
      <w:marLeft w:val="0"/>
      <w:marRight w:val="0"/>
      <w:marTop w:val="0"/>
      <w:marBottom w:val="0"/>
      <w:divBdr>
        <w:top w:val="none" w:sz="0" w:space="0" w:color="auto"/>
        <w:left w:val="none" w:sz="0" w:space="0" w:color="auto"/>
        <w:bottom w:val="none" w:sz="0" w:space="0" w:color="auto"/>
        <w:right w:val="none" w:sz="0" w:space="0" w:color="auto"/>
      </w:divBdr>
      <w:divsChild>
        <w:div w:id="1515918511">
          <w:marLeft w:val="480"/>
          <w:marRight w:val="0"/>
          <w:marTop w:val="0"/>
          <w:marBottom w:val="0"/>
          <w:divBdr>
            <w:top w:val="none" w:sz="0" w:space="0" w:color="auto"/>
            <w:left w:val="none" w:sz="0" w:space="0" w:color="auto"/>
            <w:bottom w:val="none" w:sz="0" w:space="0" w:color="auto"/>
            <w:right w:val="none" w:sz="0" w:space="0" w:color="auto"/>
          </w:divBdr>
          <w:divsChild>
            <w:div w:id="209697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860738">
      <w:bodyDiv w:val="1"/>
      <w:marLeft w:val="0"/>
      <w:marRight w:val="0"/>
      <w:marTop w:val="0"/>
      <w:marBottom w:val="0"/>
      <w:divBdr>
        <w:top w:val="none" w:sz="0" w:space="0" w:color="auto"/>
        <w:left w:val="none" w:sz="0" w:space="0" w:color="auto"/>
        <w:bottom w:val="none" w:sz="0" w:space="0" w:color="auto"/>
        <w:right w:val="none" w:sz="0" w:space="0" w:color="auto"/>
      </w:divBdr>
      <w:divsChild>
        <w:div w:id="1367179007">
          <w:marLeft w:val="480"/>
          <w:marRight w:val="0"/>
          <w:marTop w:val="0"/>
          <w:marBottom w:val="0"/>
          <w:divBdr>
            <w:top w:val="none" w:sz="0" w:space="0" w:color="auto"/>
            <w:left w:val="none" w:sz="0" w:space="0" w:color="auto"/>
            <w:bottom w:val="none" w:sz="0" w:space="0" w:color="auto"/>
            <w:right w:val="none" w:sz="0" w:space="0" w:color="auto"/>
          </w:divBdr>
          <w:divsChild>
            <w:div w:id="11641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04773">
      <w:bodyDiv w:val="1"/>
      <w:marLeft w:val="0"/>
      <w:marRight w:val="0"/>
      <w:marTop w:val="0"/>
      <w:marBottom w:val="0"/>
      <w:divBdr>
        <w:top w:val="none" w:sz="0" w:space="0" w:color="auto"/>
        <w:left w:val="none" w:sz="0" w:space="0" w:color="auto"/>
        <w:bottom w:val="none" w:sz="0" w:space="0" w:color="auto"/>
        <w:right w:val="none" w:sz="0" w:space="0" w:color="auto"/>
      </w:divBdr>
      <w:divsChild>
        <w:div w:id="110632349">
          <w:marLeft w:val="480"/>
          <w:marRight w:val="0"/>
          <w:marTop w:val="0"/>
          <w:marBottom w:val="0"/>
          <w:divBdr>
            <w:top w:val="none" w:sz="0" w:space="0" w:color="auto"/>
            <w:left w:val="none" w:sz="0" w:space="0" w:color="auto"/>
            <w:bottom w:val="none" w:sz="0" w:space="0" w:color="auto"/>
            <w:right w:val="none" w:sz="0" w:space="0" w:color="auto"/>
          </w:divBdr>
          <w:divsChild>
            <w:div w:id="173870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447764">
      <w:bodyDiv w:val="1"/>
      <w:marLeft w:val="0"/>
      <w:marRight w:val="0"/>
      <w:marTop w:val="0"/>
      <w:marBottom w:val="0"/>
      <w:divBdr>
        <w:top w:val="none" w:sz="0" w:space="0" w:color="auto"/>
        <w:left w:val="none" w:sz="0" w:space="0" w:color="auto"/>
        <w:bottom w:val="none" w:sz="0" w:space="0" w:color="auto"/>
        <w:right w:val="none" w:sz="0" w:space="0" w:color="auto"/>
      </w:divBdr>
      <w:divsChild>
        <w:div w:id="579295486">
          <w:marLeft w:val="480"/>
          <w:marRight w:val="0"/>
          <w:marTop w:val="0"/>
          <w:marBottom w:val="0"/>
          <w:divBdr>
            <w:top w:val="none" w:sz="0" w:space="0" w:color="auto"/>
            <w:left w:val="none" w:sz="0" w:space="0" w:color="auto"/>
            <w:bottom w:val="none" w:sz="0" w:space="0" w:color="auto"/>
            <w:right w:val="none" w:sz="0" w:space="0" w:color="auto"/>
          </w:divBdr>
          <w:divsChild>
            <w:div w:id="7059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144306">
      <w:bodyDiv w:val="1"/>
      <w:marLeft w:val="0"/>
      <w:marRight w:val="0"/>
      <w:marTop w:val="0"/>
      <w:marBottom w:val="0"/>
      <w:divBdr>
        <w:top w:val="none" w:sz="0" w:space="0" w:color="auto"/>
        <w:left w:val="none" w:sz="0" w:space="0" w:color="auto"/>
        <w:bottom w:val="none" w:sz="0" w:space="0" w:color="auto"/>
        <w:right w:val="none" w:sz="0" w:space="0" w:color="auto"/>
      </w:divBdr>
      <w:divsChild>
        <w:div w:id="409039580">
          <w:marLeft w:val="480"/>
          <w:marRight w:val="0"/>
          <w:marTop w:val="0"/>
          <w:marBottom w:val="0"/>
          <w:divBdr>
            <w:top w:val="none" w:sz="0" w:space="0" w:color="auto"/>
            <w:left w:val="none" w:sz="0" w:space="0" w:color="auto"/>
            <w:bottom w:val="none" w:sz="0" w:space="0" w:color="auto"/>
            <w:right w:val="none" w:sz="0" w:space="0" w:color="auto"/>
          </w:divBdr>
          <w:divsChild>
            <w:div w:id="184478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837228">
      <w:bodyDiv w:val="1"/>
      <w:marLeft w:val="0"/>
      <w:marRight w:val="0"/>
      <w:marTop w:val="0"/>
      <w:marBottom w:val="0"/>
      <w:divBdr>
        <w:top w:val="none" w:sz="0" w:space="0" w:color="auto"/>
        <w:left w:val="none" w:sz="0" w:space="0" w:color="auto"/>
        <w:bottom w:val="none" w:sz="0" w:space="0" w:color="auto"/>
        <w:right w:val="none" w:sz="0" w:space="0" w:color="auto"/>
      </w:divBdr>
      <w:divsChild>
        <w:div w:id="448400419">
          <w:marLeft w:val="480"/>
          <w:marRight w:val="0"/>
          <w:marTop w:val="0"/>
          <w:marBottom w:val="0"/>
          <w:divBdr>
            <w:top w:val="none" w:sz="0" w:space="0" w:color="auto"/>
            <w:left w:val="none" w:sz="0" w:space="0" w:color="auto"/>
            <w:bottom w:val="none" w:sz="0" w:space="0" w:color="auto"/>
            <w:right w:val="none" w:sz="0" w:space="0" w:color="auto"/>
          </w:divBdr>
          <w:divsChild>
            <w:div w:id="191033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13236">
      <w:bodyDiv w:val="1"/>
      <w:marLeft w:val="0"/>
      <w:marRight w:val="0"/>
      <w:marTop w:val="0"/>
      <w:marBottom w:val="0"/>
      <w:divBdr>
        <w:top w:val="none" w:sz="0" w:space="0" w:color="auto"/>
        <w:left w:val="none" w:sz="0" w:space="0" w:color="auto"/>
        <w:bottom w:val="none" w:sz="0" w:space="0" w:color="auto"/>
        <w:right w:val="none" w:sz="0" w:space="0" w:color="auto"/>
      </w:divBdr>
      <w:divsChild>
        <w:div w:id="976303218">
          <w:marLeft w:val="480"/>
          <w:marRight w:val="0"/>
          <w:marTop w:val="0"/>
          <w:marBottom w:val="0"/>
          <w:divBdr>
            <w:top w:val="none" w:sz="0" w:space="0" w:color="auto"/>
            <w:left w:val="none" w:sz="0" w:space="0" w:color="auto"/>
            <w:bottom w:val="none" w:sz="0" w:space="0" w:color="auto"/>
            <w:right w:val="none" w:sz="0" w:space="0" w:color="auto"/>
          </w:divBdr>
          <w:divsChild>
            <w:div w:id="107879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6202">
      <w:bodyDiv w:val="1"/>
      <w:marLeft w:val="0"/>
      <w:marRight w:val="0"/>
      <w:marTop w:val="0"/>
      <w:marBottom w:val="0"/>
      <w:divBdr>
        <w:top w:val="none" w:sz="0" w:space="0" w:color="auto"/>
        <w:left w:val="none" w:sz="0" w:space="0" w:color="auto"/>
        <w:bottom w:val="none" w:sz="0" w:space="0" w:color="auto"/>
        <w:right w:val="none" w:sz="0" w:space="0" w:color="auto"/>
      </w:divBdr>
      <w:divsChild>
        <w:div w:id="74087607">
          <w:marLeft w:val="480"/>
          <w:marRight w:val="0"/>
          <w:marTop w:val="0"/>
          <w:marBottom w:val="0"/>
          <w:divBdr>
            <w:top w:val="none" w:sz="0" w:space="0" w:color="auto"/>
            <w:left w:val="none" w:sz="0" w:space="0" w:color="auto"/>
            <w:bottom w:val="none" w:sz="0" w:space="0" w:color="auto"/>
            <w:right w:val="none" w:sz="0" w:space="0" w:color="auto"/>
          </w:divBdr>
          <w:divsChild>
            <w:div w:id="180553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363176">
      <w:bodyDiv w:val="1"/>
      <w:marLeft w:val="0"/>
      <w:marRight w:val="0"/>
      <w:marTop w:val="0"/>
      <w:marBottom w:val="0"/>
      <w:divBdr>
        <w:top w:val="none" w:sz="0" w:space="0" w:color="auto"/>
        <w:left w:val="none" w:sz="0" w:space="0" w:color="auto"/>
        <w:bottom w:val="none" w:sz="0" w:space="0" w:color="auto"/>
        <w:right w:val="none" w:sz="0" w:space="0" w:color="auto"/>
      </w:divBdr>
      <w:divsChild>
        <w:div w:id="21709392">
          <w:marLeft w:val="480"/>
          <w:marRight w:val="0"/>
          <w:marTop w:val="0"/>
          <w:marBottom w:val="0"/>
          <w:divBdr>
            <w:top w:val="none" w:sz="0" w:space="0" w:color="auto"/>
            <w:left w:val="none" w:sz="0" w:space="0" w:color="auto"/>
            <w:bottom w:val="none" w:sz="0" w:space="0" w:color="auto"/>
            <w:right w:val="none" w:sz="0" w:space="0" w:color="auto"/>
          </w:divBdr>
          <w:divsChild>
            <w:div w:id="214619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564615">
      <w:bodyDiv w:val="1"/>
      <w:marLeft w:val="0"/>
      <w:marRight w:val="0"/>
      <w:marTop w:val="0"/>
      <w:marBottom w:val="0"/>
      <w:divBdr>
        <w:top w:val="none" w:sz="0" w:space="0" w:color="auto"/>
        <w:left w:val="none" w:sz="0" w:space="0" w:color="auto"/>
        <w:bottom w:val="none" w:sz="0" w:space="0" w:color="auto"/>
        <w:right w:val="none" w:sz="0" w:space="0" w:color="auto"/>
      </w:divBdr>
      <w:divsChild>
        <w:div w:id="1620449629">
          <w:marLeft w:val="480"/>
          <w:marRight w:val="0"/>
          <w:marTop w:val="0"/>
          <w:marBottom w:val="0"/>
          <w:divBdr>
            <w:top w:val="none" w:sz="0" w:space="0" w:color="auto"/>
            <w:left w:val="none" w:sz="0" w:space="0" w:color="auto"/>
            <w:bottom w:val="none" w:sz="0" w:space="0" w:color="auto"/>
            <w:right w:val="none" w:sz="0" w:space="0" w:color="auto"/>
          </w:divBdr>
          <w:divsChild>
            <w:div w:id="57082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716508">
      <w:bodyDiv w:val="1"/>
      <w:marLeft w:val="0"/>
      <w:marRight w:val="0"/>
      <w:marTop w:val="0"/>
      <w:marBottom w:val="0"/>
      <w:divBdr>
        <w:top w:val="none" w:sz="0" w:space="0" w:color="auto"/>
        <w:left w:val="none" w:sz="0" w:space="0" w:color="auto"/>
        <w:bottom w:val="none" w:sz="0" w:space="0" w:color="auto"/>
        <w:right w:val="none" w:sz="0" w:space="0" w:color="auto"/>
      </w:divBdr>
      <w:divsChild>
        <w:div w:id="1477910795">
          <w:marLeft w:val="480"/>
          <w:marRight w:val="0"/>
          <w:marTop w:val="0"/>
          <w:marBottom w:val="0"/>
          <w:divBdr>
            <w:top w:val="none" w:sz="0" w:space="0" w:color="auto"/>
            <w:left w:val="none" w:sz="0" w:space="0" w:color="auto"/>
            <w:bottom w:val="none" w:sz="0" w:space="0" w:color="auto"/>
            <w:right w:val="none" w:sz="0" w:space="0" w:color="auto"/>
          </w:divBdr>
          <w:divsChild>
            <w:div w:id="80466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82399">
      <w:bodyDiv w:val="1"/>
      <w:marLeft w:val="0"/>
      <w:marRight w:val="0"/>
      <w:marTop w:val="0"/>
      <w:marBottom w:val="0"/>
      <w:divBdr>
        <w:top w:val="none" w:sz="0" w:space="0" w:color="auto"/>
        <w:left w:val="none" w:sz="0" w:space="0" w:color="auto"/>
        <w:bottom w:val="none" w:sz="0" w:space="0" w:color="auto"/>
        <w:right w:val="none" w:sz="0" w:space="0" w:color="auto"/>
      </w:divBdr>
    </w:div>
    <w:div w:id="658657081">
      <w:bodyDiv w:val="1"/>
      <w:marLeft w:val="0"/>
      <w:marRight w:val="0"/>
      <w:marTop w:val="0"/>
      <w:marBottom w:val="0"/>
      <w:divBdr>
        <w:top w:val="none" w:sz="0" w:space="0" w:color="auto"/>
        <w:left w:val="none" w:sz="0" w:space="0" w:color="auto"/>
        <w:bottom w:val="none" w:sz="0" w:space="0" w:color="auto"/>
        <w:right w:val="none" w:sz="0" w:space="0" w:color="auto"/>
      </w:divBdr>
      <w:divsChild>
        <w:div w:id="536747248">
          <w:marLeft w:val="480"/>
          <w:marRight w:val="0"/>
          <w:marTop w:val="0"/>
          <w:marBottom w:val="0"/>
          <w:divBdr>
            <w:top w:val="none" w:sz="0" w:space="0" w:color="auto"/>
            <w:left w:val="none" w:sz="0" w:space="0" w:color="auto"/>
            <w:bottom w:val="none" w:sz="0" w:space="0" w:color="auto"/>
            <w:right w:val="none" w:sz="0" w:space="0" w:color="auto"/>
          </w:divBdr>
          <w:divsChild>
            <w:div w:id="197540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238722">
      <w:bodyDiv w:val="1"/>
      <w:marLeft w:val="0"/>
      <w:marRight w:val="0"/>
      <w:marTop w:val="0"/>
      <w:marBottom w:val="0"/>
      <w:divBdr>
        <w:top w:val="none" w:sz="0" w:space="0" w:color="auto"/>
        <w:left w:val="none" w:sz="0" w:space="0" w:color="auto"/>
        <w:bottom w:val="none" w:sz="0" w:space="0" w:color="auto"/>
        <w:right w:val="none" w:sz="0" w:space="0" w:color="auto"/>
      </w:divBdr>
      <w:divsChild>
        <w:div w:id="335765862">
          <w:marLeft w:val="480"/>
          <w:marRight w:val="0"/>
          <w:marTop w:val="0"/>
          <w:marBottom w:val="0"/>
          <w:divBdr>
            <w:top w:val="none" w:sz="0" w:space="0" w:color="auto"/>
            <w:left w:val="none" w:sz="0" w:space="0" w:color="auto"/>
            <w:bottom w:val="none" w:sz="0" w:space="0" w:color="auto"/>
            <w:right w:val="none" w:sz="0" w:space="0" w:color="auto"/>
          </w:divBdr>
          <w:divsChild>
            <w:div w:id="181359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447636">
      <w:bodyDiv w:val="1"/>
      <w:marLeft w:val="0"/>
      <w:marRight w:val="0"/>
      <w:marTop w:val="0"/>
      <w:marBottom w:val="0"/>
      <w:divBdr>
        <w:top w:val="none" w:sz="0" w:space="0" w:color="auto"/>
        <w:left w:val="none" w:sz="0" w:space="0" w:color="auto"/>
        <w:bottom w:val="none" w:sz="0" w:space="0" w:color="auto"/>
        <w:right w:val="none" w:sz="0" w:space="0" w:color="auto"/>
      </w:divBdr>
      <w:divsChild>
        <w:div w:id="1571231536">
          <w:marLeft w:val="480"/>
          <w:marRight w:val="0"/>
          <w:marTop w:val="0"/>
          <w:marBottom w:val="0"/>
          <w:divBdr>
            <w:top w:val="none" w:sz="0" w:space="0" w:color="auto"/>
            <w:left w:val="none" w:sz="0" w:space="0" w:color="auto"/>
            <w:bottom w:val="none" w:sz="0" w:space="0" w:color="auto"/>
            <w:right w:val="none" w:sz="0" w:space="0" w:color="auto"/>
          </w:divBdr>
          <w:divsChild>
            <w:div w:id="84856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239579">
      <w:bodyDiv w:val="1"/>
      <w:marLeft w:val="0"/>
      <w:marRight w:val="0"/>
      <w:marTop w:val="0"/>
      <w:marBottom w:val="0"/>
      <w:divBdr>
        <w:top w:val="none" w:sz="0" w:space="0" w:color="auto"/>
        <w:left w:val="none" w:sz="0" w:space="0" w:color="auto"/>
        <w:bottom w:val="none" w:sz="0" w:space="0" w:color="auto"/>
        <w:right w:val="none" w:sz="0" w:space="0" w:color="auto"/>
      </w:divBdr>
      <w:divsChild>
        <w:div w:id="324164405">
          <w:marLeft w:val="480"/>
          <w:marRight w:val="0"/>
          <w:marTop w:val="0"/>
          <w:marBottom w:val="0"/>
          <w:divBdr>
            <w:top w:val="none" w:sz="0" w:space="0" w:color="auto"/>
            <w:left w:val="none" w:sz="0" w:space="0" w:color="auto"/>
            <w:bottom w:val="none" w:sz="0" w:space="0" w:color="auto"/>
            <w:right w:val="none" w:sz="0" w:space="0" w:color="auto"/>
          </w:divBdr>
          <w:divsChild>
            <w:div w:id="38190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158416">
      <w:bodyDiv w:val="1"/>
      <w:marLeft w:val="0"/>
      <w:marRight w:val="0"/>
      <w:marTop w:val="0"/>
      <w:marBottom w:val="0"/>
      <w:divBdr>
        <w:top w:val="none" w:sz="0" w:space="0" w:color="auto"/>
        <w:left w:val="none" w:sz="0" w:space="0" w:color="auto"/>
        <w:bottom w:val="none" w:sz="0" w:space="0" w:color="auto"/>
        <w:right w:val="none" w:sz="0" w:space="0" w:color="auto"/>
      </w:divBdr>
      <w:divsChild>
        <w:div w:id="2047219708">
          <w:marLeft w:val="480"/>
          <w:marRight w:val="0"/>
          <w:marTop w:val="0"/>
          <w:marBottom w:val="0"/>
          <w:divBdr>
            <w:top w:val="none" w:sz="0" w:space="0" w:color="auto"/>
            <w:left w:val="none" w:sz="0" w:space="0" w:color="auto"/>
            <w:bottom w:val="none" w:sz="0" w:space="0" w:color="auto"/>
            <w:right w:val="none" w:sz="0" w:space="0" w:color="auto"/>
          </w:divBdr>
          <w:divsChild>
            <w:div w:id="121820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507827">
      <w:bodyDiv w:val="1"/>
      <w:marLeft w:val="0"/>
      <w:marRight w:val="0"/>
      <w:marTop w:val="0"/>
      <w:marBottom w:val="0"/>
      <w:divBdr>
        <w:top w:val="none" w:sz="0" w:space="0" w:color="auto"/>
        <w:left w:val="none" w:sz="0" w:space="0" w:color="auto"/>
        <w:bottom w:val="none" w:sz="0" w:space="0" w:color="auto"/>
        <w:right w:val="none" w:sz="0" w:space="0" w:color="auto"/>
      </w:divBdr>
      <w:divsChild>
        <w:div w:id="724063275">
          <w:marLeft w:val="480"/>
          <w:marRight w:val="0"/>
          <w:marTop w:val="0"/>
          <w:marBottom w:val="0"/>
          <w:divBdr>
            <w:top w:val="none" w:sz="0" w:space="0" w:color="auto"/>
            <w:left w:val="none" w:sz="0" w:space="0" w:color="auto"/>
            <w:bottom w:val="none" w:sz="0" w:space="0" w:color="auto"/>
            <w:right w:val="none" w:sz="0" w:space="0" w:color="auto"/>
          </w:divBdr>
          <w:divsChild>
            <w:div w:id="53997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1402">
      <w:bodyDiv w:val="1"/>
      <w:marLeft w:val="0"/>
      <w:marRight w:val="0"/>
      <w:marTop w:val="0"/>
      <w:marBottom w:val="0"/>
      <w:divBdr>
        <w:top w:val="none" w:sz="0" w:space="0" w:color="auto"/>
        <w:left w:val="none" w:sz="0" w:space="0" w:color="auto"/>
        <w:bottom w:val="none" w:sz="0" w:space="0" w:color="auto"/>
        <w:right w:val="none" w:sz="0" w:space="0" w:color="auto"/>
      </w:divBdr>
      <w:divsChild>
        <w:div w:id="1058288014">
          <w:marLeft w:val="480"/>
          <w:marRight w:val="0"/>
          <w:marTop w:val="0"/>
          <w:marBottom w:val="0"/>
          <w:divBdr>
            <w:top w:val="none" w:sz="0" w:space="0" w:color="auto"/>
            <w:left w:val="none" w:sz="0" w:space="0" w:color="auto"/>
            <w:bottom w:val="none" w:sz="0" w:space="0" w:color="auto"/>
            <w:right w:val="none" w:sz="0" w:space="0" w:color="auto"/>
          </w:divBdr>
          <w:divsChild>
            <w:div w:id="17029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576175">
      <w:bodyDiv w:val="1"/>
      <w:marLeft w:val="0"/>
      <w:marRight w:val="0"/>
      <w:marTop w:val="0"/>
      <w:marBottom w:val="0"/>
      <w:divBdr>
        <w:top w:val="none" w:sz="0" w:space="0" w:color="auto"/>
        <w:left w:val="none" w:sz="0" w:space="0" w:color="auto"/>
        <w:bottom w:val="none" w:sz="0" w:space="0" w:color="auto"/>
        <w:right w:val="none" w:sz="0" w:space="0" w:color="auto"/>
      </w:divBdr>
      <w:divsChild>
        <w:div w:id="1466509242">
          <w:marLeft w:val="480"/>
          <w:marRight w:val="0"/>
          <w:marTop w:val="0"/>
          <w:marBottom w:val="0"/>
          <w:divBdr>
            <w:top w:val="none" w:sz="0" w:space="0" w:color="auto"/>
            <w:left w:val="none" w:sz="0" w:space="0" w:color="auto"/>
            <w:bottom w:val="none" w:sz="0" w:space="0" w:color="auto"/>
            <w:right w:val="none" w:sz="0" w:space="0" w:color="auto"/>
          </w:divBdr>
          <w:divsChild>
            <w:div w:id="85511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136262">
      <w:bodyDiv w:val="1"/>
      <w:marLeft w:val="0"/>
      <w:marRight w:val="0"/>
      <w:marTop w:val="0"/>
      <w:marBottom w:val="0"/>
      <w:divBdr>
        <w:top w:val="none" w:sz="0" w:space="0" w:color="auto"/>
        <w:left w:val="none" w:sz="0" w:space="0" w:color="auto"/>
        <w:bottom w:val="none" w:sz="0" w:space="0" w:color="auto"/>
        <w:right w:val="none" w:sz="0" w:space="0" w:color="auto"/>
      </w:divBdr>
      <w:divsChild>
        <w:div w:id="980117566">
          <w:marLeft w:val="480"/>
          <w:marRight w:val="0"/>
          <w:marTop w:val="0"/>
          <w:marBottom w:val="0"/>
          <w:divBdr>
            <w:top w:val="none" w:sz="0" w:space="0" w:color="auto"/>
            <w:left w:val="none" w:sz="0" w:space="0" w:color="auto"/>
            <w:bottom w:val="none" w:sz="0" w:space="0" w:color="auto"/>
            <w:right w:val="none" w:sz="0" w:space="0" w:color="auto"/>
          </w:divBdr>
          <w:divsChild>
            <w:div w:id="111674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093689">
      <w:bodyDiv w:val="1"/>
      <w:marLeft w:val="0"/>
      <w:marRight w:val="0"/>
      <w:marTop w:val="0"/>
      <w:marBottom w:val="0"/>
      <w:divBdr>
        <w:top w:val="none" w:sz="0" w:space="0" w:color="auto"/>
        <w:left w:val="none" w:sz="0" w:space="0" w:color="auto"/>
        <w:bottom w:val="none" w:sz="0" w:space="0" w:color="auto"/>
        <w:right w:val="none" w:sz="0" w:space="0" w:color="auto"/>
      </w:divBdr>
      <w:divsChild>
        <w:div w:id="1105229366">
          <w:marLeft w:val="480"/>
          <w:marRight w:val="0"/>
          <w:marTop w:val="0"/>
          <w:marBottom w:val="0"/>
          <w:divBdr>
            <w:top w:val="none" w:sz="0" w:space="0" w:color="auto"/>
            <w:left w:val="none" w:sz="0" w:space="0" w:color="auto"/>
            <w:bottom w:val="none" w:sz="0" w:space="0" w:color="auto"/>
            <w:right w:val="none" w:sz="0" w:space="0" w:color="auto"/>
          </w:divBdr>
          <w:divsChild>
            <w:div w:id="5413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605513">
      <w:bodyDiv w:val="1"/>
      <w:marLeft w:val="0"/>
      <w:marRight w:val="0"/>
      <w:marTop w:val="0"/>
      <w:marBottom w:val="0"/>
      <w:divBdr>
        <w:top w:val="none" w:sz="0" w:space="0" w:color="auto"/>
        <w:left w:val="none" w:sz="0" w:space="0" w:color="auto"/>
        <w:bottom w:val="none" w:sz="0" w:space="0" w:color="auto"/>
        <w:right w:val="none" w:sz="0" w:space="0" w:color="auto"/>
      </w:divBdr>
      <w:divsChild>
        <w:div w:id="517695536">
          <w:marLeft w:val="480"/>
          <w:marRight w:val="0"/>
          <w:marTop w:val="0"/>
          <w:marBottom w:val="0"/>
          <w:divBdr>
            <w:top w:val="none" w:sz="0" w:space="0" w:color="auto"/>
            <w:left w:val="none" w:sz="0" w:space="0" w:color="auto"/>
            <w:bottom w:val="none" w:sz="0" w:space="0" w:color="auto"/>
            <w:right w:val="none" w:sz="0" w:space="0" w:color="auto"/>
          </w:divBdr>
          <w:divsChild>
            <w:div w:id="3733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607152">
      <w:bodyDiv w:val="1"/>
      <w:marLeft w:val="0"/>
      <w:marRight w:val="0"/>
      <w:marTop w:val="0"/>
      <w:marBottom w:val="0"/>
      <w:divBdr>
        <w:top w:val="none" w:sz="0" w:space="0" w:color="auto"/>
        <w:left w:val="none" w:sz="0" w:space="0" w:color="auto"/>
        <w:bottom w:val="none" w:sz="0" w:space="0" w:color="auto"/>
        <w:right w:val="none" w:sz="0" w:space="0" w:color="auto"/>
      </w:divBdr>
      <w:divsChild>
        <w:div w:id="235674477">
          <w:marLeft w:val="480"/>
          <w:marRight w:val="0"/>
          <w:marTop w:val="0"/>
          <w:marBottom w:val="0"/>
          <w:divBdr>
            <w:top w:val="none" w:sz="0" w:space="0" w:color="auto"/>
            <w:left w:val="none" w:sz="0" w:space="0" w:color="auto"/>
            <w:bottom w:val="none" w:sz="0" w:space="0" w:color="auto"/>
            <w:right w:val="none" w:sz="0" w:space="0" w:color="auto"/>
          </w:divBdr>
          <w:divsChild>
            <w:div w:id="34120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1737">
      <w:bodyDiv w:val="1"/>
      <w:marLeft w:val="0"/>
      <w:marRight w:val="0"/>
      <w:marTop w:val="0"/>
      <w:marBottom w:val="0"/>
      <w:divBdr>
        <w:top w:val="none" w:sz="0" w:space="0" w:color="auto"/>
        <w:left w:val="none" w:sz="0" w:space="0" w:color="auto"/>
        <w:bottom w:val="none" w:sz="0" w:space="0" w:color="auto"/>
        <w:right w:val="none" w:sz="0" w:space="0" w:color="auto"/>
      </w:divBdr>
      <w:divsChild>
        <w:div w:id="1083527208">
          <w:marLeft w:val="480"/>
          <w:marRight w:val="0"/>
          <w:marTop w:val="0"/>
          <w:marBottom w:val="0"/>
          <w:divBdr>
            <w:top w:val="none" w:sz="0" w:space="0" w:color="auto"/>
            <w:left w:val="none" w:sz="0" w:space="0" w:color="auto"/>
            <w:bottom w:val="none" w:sz="0" w:space="0" w:color="auto"/>
            <w:right w:val="none" w:sz="0" w:space="0" w:color="auto"/>
          </w:divBdr>
          <w:divsChild>
            <w:div w:id="79633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353832">
      <w:bodyDiv w:val="1"/>
      <w:marLeft w:val="0"/>
      <w:marRight w:val="0"/>
      <w:marTop w:val="0"/>
      <w:marBottom w:val="0"/>
      <w:divBdr>
        <w:top w:val="none" w:sz="0" w:space="0" w:color="auto"/>
        <w:left w:val="none" w:sz="0" w:space="0" w:color="auto"/>
        <w:bottom w:val="none" w:sz="0" w:space="0" w:color="auto"/>
        <w:right w:val="none" w:sz="0" w:space="0" w:color="auto"/>
      </w:divBdr>
      <w:divsChild>
        <w:div w:id="716006034">
          <w:marLeft w:val="480"/>
          <w:marRight w:val="0"/>
          <w:marTop w:val="0"/>
          <w:marBottom w:val="0"/>
          <w:divBdr>
            <w:top w:val="none" w:sz="0" w:space="0" w:color="auto"/>
            <w:left w:val="none" w:sz="0" w:space="0" w:color="auto"/>
            <w:bottom w:val="none" w:sz="0" w:space="0" w:color="auto"/>
            <w:right w:val="none" w:sz="0" w:space="0" w:color="auto"/>
          </w:divBdr>
          <w:divsChild>
            <w:div w:id="179532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98153">
      <w:bodyDiv w:val="1"/>
      <w:marLeft w:val="0"/>
      <w:marRight w:val="0"/>
      <w:marTop w:val="0"/>
      <w:marBottom w:val="0"/>
      <w:divBdr>
        <w:top w:val="none" w:sz="0" w:space="0" w:color="auto"/>
        <w:left w:val="none" w:sz="0" w:space="0" w:color="auto"/>
        <w:bottom w:val="none" w:sz="0" w:space="0" w:color="auto"/>
        <w:right w:val="none" w:sz="0" w:space="0" w:color="auto"/>
      </w:divBdr>
      <w:divsChild>
        <w:div w:id="1609778712">
          <w:marLeft w:val="480"/>
          <w:marRight w:val="0"/>
          <w:marTop w:val="0"/>
          <w:marBottom w:val="0"/>
          <w:divBdr>
            <w:top w:val="none" w:sz="0" w:space="0" w:color="auto"/>
            <w:left w:val="none" w:sz="0" w:space="0" w:color="auto"/>
            <w:bottom w:val="none" w:sz="0" w:space="0" w:color="auto"/>
            <w:right w:val="none" w:sz="0" w:space="0" w:color="auto"/>
          </w:divBdr>
          <w:divsChild>
            <w:div w:id="202193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862672227">
      <w:bodyDiv w:val="1"/>
      <w:marLeft w:val="0"/>
      <w:marRight w:val="0"/>
      <w:marTop w:val="0"/>
      <w:marBottom w:val="0"/>
      <w:divBdr>
        <w:top w:val="none" w:sz="0" w:space="0" w:color="auto"/>
        <w:left w:val="none" w:sz="0" w:space="0" w:color="auto"/>
        <w:bottom w:val="none" w:sz="0" w:space="0" w:color="auto"/>
        <w:right w:val="none" w:sz="0" w:space="0" w:color="auto"/>
      </w:divBdr>
      <w:divsChild>
        <w:div w:id="1106314902">
          <w:marLeft w:val="480"/>
          <w:marRight w:val="0"/>
          <w:marTop w:val="0"/>
          <w:marBottom w:val="0"/>
          <w:divBdr>
            <w:top w:val="none" w:sz="0" w:space="0" w:color="auto"/>
            <w:left w:val="none" w:sz="0" w:space="0" w:color="auto"/>
            <w:bottom w:val="none" w:sz="0" w:space="0" w:color="auto"/>
            <w:right w:val="none" w:sz="0" w:space="0" w:color="auto"/>
          </w:divBdr>
          <w:divsChild>
            <w:div w:id="88587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800751">
      <w:bodyDiv w:val="1"/>
      <w:marLeft w:val="0"/>
      <w:marRight w:val="0"/>
      <w:marTop w:val="0"/>
      <w:marBottom w:val="0"/>
      <w:divBdr>
        <w:top w:val="none" w:sz="0" w:space="0" w:color="auto"/>
        <w:left w:val="none" w:sz="0" w:space="0" w:color="auto"/>
        <w:bottom w:val="none" w:sz="0" w:space="0" w:color="auto"/>
        <w:right w:val="none" w:sz="0" w:space="0" w:color="auto"/>
      </w:divBdr>
    </w:div>
    <w:div w:id="898394352">
      <w:bodyDiv w:val="1"/>
      <w:marLeft w:val="0"/>
      <w:marRight w:val="0"/>
      <w:marTop w:val="0"/>
      <w:marBottom w:val="0"/>
      <w:divBdr>
        <w:top w:val="none" w:sz="0" w:space="0" w:color="auto"/>
        <w:left w:val="none" w:sz="0" w:space="0" w:color="auto"/>
        <w:bottom w:val="none" w:sz="0" w:space="0" w:color="auto"/>
        <w:right w:val="none" w:sz="0" w:space="0" w:color="auto"/>
      </w:divBdr>
      <w:divsChild>
        <w:div w:id="1218660201">
          <w:marLeft w:val="480"/>
          <w:marRight w:val="0"/>
          <w:marTop w:val="0"/>
          <w:marBottom w:val="0"/>
          <w:divBdr>
            <w:top w:val="none" w:sz="0" w:space="0" w:color="auto"/>
            <w:left w:val="none" w:sz="0" w:space="0" w:color="auto"/>
            <w:bottom w:val="none" w:sz="0" w:space="0" w:color="auto"/>
            <w:right w:val="none" w:sz="0" w:space="0" w:color="auto"/>
          </w:divBdr>
          <w:divsChild>
            <w:div w:id="35804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47063">
      <w:bodyDiv w:val="1"/>
      <w:marLeft w:val="0"/>
      <w:marRight w:val="0"/>
      <w:marTop w:val="0"/>
      <w:marBottom w:val="0"/>
      <w:divBdr>
        <w:top w:val="none" w:sz="0" w:space="0" w:color="auto"/>
        <w:left w:val="none" w:sz="0" w:space="0" w:color="auto"/>
        <w:bottom w:val="none" w:sz="0" w:space="0" w:color="auto"/>
        <w:right w:val="none" w:sz="0" w:space="0" w:color="auto"/>
      </w:divBdr>
      <w:divsChild>
        <w:div w:id="1377390118">
          <w:marLeft w:val="480"/>
          <w:marRight w:val="0"/>
          <w:marTop w:val="0"/>
          <w:marBottom w:val="0"/>
          <w:divBdr>
            <w:top w:val="none" w:sz="0" w:space="0" w:color="auto"/>
            <w:left w:val="none" w:sz="0" w:space="0" w:color="auto"/>
            <w:bottom w:val="none" w:sz="0" w:space="0" w:color="auto"/>
            <w:right w:val="none" w:sz="0" w:space="0" w:color="auto"/>
          </w:divBdr>
          <w:divsChild>
            <w:div w:id="169168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641146">
      <w:bodyDiv w:val="1"/>
      <w:marLeft w:val="0"/>
      <w:marRight w:val="0"/>
      <w:marTop w:val="0"/>
      <w:marBottom w:val="0"/>
      <w:divBdr>
        <w:top w:val="none" w:sz="0" w:space="0" w:color="auto"/>
        <w:left w:val="none" w:sz="0" w:space="0" w:color="auto"/>
        <w:bottom w:val="none" w:sz="0" w:space="0" w:color="auto"/>
        <w:right w:val="none" w:sz="0" w:space="0" w:color="auto"/>
      </w:divBdr>
      <w:divsChild>
        <w:div w:id="636375094">
          <w:marLeft w:val="480"/>
          <w:marRight w:val="0"/>
          <w:marTop w:val="0"/>
          <w:marBottom w:val="0"/>
          <w:divBdr>
            <w:top w:val="none" w:sz="0" w:space="0" w:color="auto"/>
            <w:left w:val="none" w:sz="0" w:space="0" w:color="auto"/>
            <w:bottom w:val="none" w:sz="0" w:space="0" w:color="auto"/>
            <w:right w:val="none" w:sz="0" w:space="0" w:color="auto"/>
          </w:divBdr>
          <w:divsChild>
            <w:div w:id="103469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279671">
      <w:bodyDiv w:val="1"/>
      <w:marLeft w:val="0"/>
      <w:marRight w:val="0"/>
      <w:marTop w:val="0"/>
      <w:marBottom w:val="0"/>
      <w:divBdr>
        <w:top w:val="none" w:sz="0" w:space="0" w:color="auto"/>
        <w:left w:val="none" w:sz="0" w:space="0" w:color="auto"/>
        <w:bottom w:val="none" w:sz="0" w:space="0" w:color="auto"/>
        <w:right w:val="none" w:sz="0" w:space="0" w:color="auto"/>
      </w:divBdr>
      <w:divsChild>
        <w:div w:id="367267252">
          <w:marLeft w:val="480"/>
          <w:marRight w:val="0"/>
          <w:marTop w:val="0"/>
          <w:marBottom w:val="0"/>
          <w:divBdr>
            <w:top w:val="none" w:sz="0" w:space="0" w:color="auto"/>
            <w:left w:val="none" w:sz="0" w:space="0" w:color="auto"/>
            <w:bottom w:val="none" w:sz="0" w:space="0" w:color="auto"/>
            <w:right w:val="none" w:sz="0" w:space="0" w:color="auto"/>
          </w:divBdr>
          <w:divsChild>
            <w:div w:id="200744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36900">
      <w:bodyDiv w:val="1"/>
      <w:marLeft w:val="0"/>
      <w:marRight w:val="0"/>
      <w:marTop w:val="0"/>
      <w:marBottom w:val="0"/>
      <w:divBdr>
        <w:top w:val="none" w:sz="0" w:space="0" w:color="auto"/>
        <w:left w:val="none" w:sz="0" w:space="0" w:color="auto"/>
        <w:bottom w:val="none" w:sz="0" w:space="0" w:color="auto"/>
        <w:right w:val="none" w:sz="0" w:space="0" w:color="auto"/>
      </w:divBdr>
      <w:divsChild>
        <w:div w:id="1723168177">
          <w:marLeft w:val="480"/>
          <w:marRight w:val="0"/>
          <w:marTop w:val="0"/>
          <w:marBottom w:val="0"/>
          <w:divBdr>
            <w:top w:val="none" w:sz="0" w:space="0" w:color="auto"/>
            <w:left w:val="none" w:sz="0" w:space="0" w:color="auto"/>
            <w:bottom w:val="none" w:sz="0" w:space="0" w:color="auto"/>
            <w:right w:val="none" w:sz="0" w:space="0" w:color="auto"/>
          </w:divBdr>
          <w:divsChild>
            <w:div w:id="201957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925086">
      <w:bodyDiv w:val="1"/>
      <w:marLeft w:val="0"/>
      <w:marRight w:val="0"/>
      <w:marTop w:val="0"/>
      <w:marBottom w:val="0"/>
      <w:divBdr>
        <w:top w:val="none" w:sz="0" w:space="0" w:color="auto"/>
        <w:left w:val="none" w:sz="0" w:space="0" w:color="auto"/>
        <w:bottom w:val="none" w:sz="0" w:space="0" w:color="auto"/>
        <w:right w:val="none" w:sz="0" w:space="0" w:color="auto"/>
      </w:divBdr>
      <w:divsChild>
        <w:div w:id="1490250487">
          <w:marLeft w:val="480"/>
          <w:marRight w:val="0"/>
          <w:marTop w:val="0"/>
          <w:marBottom w:val="0"/>
          <w:divBdr>
            <w:top w:val="none" w:sz="0" w:space="0" w:color="auto"/>
            <w:left w:val="none" w:sz="0" w:space="0" w:color="auto"/>
            <w:bottom w:val="none" w:sz="0" w:space="0" w:color="auto"/>
            <w:right w:val="none" w:sz="0" w:space="0" w:color="auto"/>
          </w:divBdr>
          <w:divsChild>
            <w:div w:id="136309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971365">
      <w:bodyDiv w:val="1"/>
      <w:marLeft w:val="0"/>
      <w:marRight w:val="0"/>
      <w:marTop w:val="0"/>
      <w:marBottom w:val="0"/>
      <w:divBdr>
        <w:top w:val="none" w:sz="0" w:space="0" w:color="auto"/>
        <w:left w:val="none" w:sz="0" w:space="0" w:color="auto"/>
        <w:bottom w:val="none" w:sz="0" w:space="0" w:color="auto"/>
        <w:right w:val="none" w:sz="0" w:space="0" w:color="auto"/>
      </w:divBdr>
      <w:divsChild>
        <w:div w:id="1463578466">
          <w:marLeft w:val="480"/>
          <w:marRight w:val="0"/>
          <w:marTop w:val="0"/>
          <w:marBottom w:val="0"/>
          <w:divBdr>
            <w:top w:val="none" w:sz="0" w:space="0" w:color="auto"/>
            <w:left w:val="none" w:sz="0" w:space="0" w:color="auto"/>
            <w:bottom w:val="none" w:sz="0" w:space="0" w:color="auto"/>
            <w:right w:val="none" w:sz="0" w:space="0" w:color="auto"/>
          </w:divBdr>
          <w:divsChild>
            <w:div w:id="122706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35760">
      <w:bodyDiv w:val="1"/>
      <w:marLeft w:val="0"/>
      <w:marRight w:val="0"/>
      <w:marTop w:val="0"/>
      <w:marBottom w:val="0"/>
      <w:divBdr>
        <w:top w:val="none" w:sz="0" w:space="0" w:color="auto"/>
        <w:left w:val="none" w:sz="0" w:space="0" w:color="auto"/>
        <w:bottom w:val="none" w:sz="0" w:space="0" w:color="auto"/>
        <w:right w:val="none" w:sz="0" w:space="0" w:color="auto"/>
      </w:divBdr>
      <w:divsChild>
        <w:div w:id="1359627263">
          <w:marLeft w:val="480"/>
          <w:marRight w:val="0"/>
          <w:marTop w:val="0"/>
          <w:marBottom w:val="0"/>
          <w:divBdr>
            <w:top w:val="none" w:sz="0" w:space="0" w:color="auto"/>
            <w:left w:val="none" w:sz="0" w:space="0" w:color="auto"/>
            <w:bottom w:val="none" w:sz="0" w:space="0" w:color="auto"/>
            <w:right w:val="none" w:sz="0" w:space="0" w:color="auto"/>
          </w:divBdr>
          <w:divsChild>
            <w:div w:id="101523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699522">
      <w:bodyDiv w:val="1"/>
      <w:marLeft w:val="0"/>
      <w:marRight w:val="0"/>
      <w:marTop w:val="0"/>
      <w:marBottom w:val="0"/>
      <w:divBdr>
        <w:top w:val="none" w:sz="0" w:space="0" w:color="auto"/>
        <w:left w:val="none" w:sz="0" w:space="0" w:color="auto"/>
        <w:bottom w:val="none" w:sz="0" w:space="0" w:color="auto"/>
        <w:right w:val="none" w:sz="0" w:space="0" w:color="auto"/>
      </w:divBdr>
      <w:divsChild>
        <w:div w:id="1375346832">
          <w:marLeft w:val="480"/>
          <w:marRight w:val="0"/>
          <w:marTop w:val="0"/>
          <w:marBottom w:val="0"/>
          <w:divBdr>
            <w:top w:val="none" w:sz="0" w:space="0" w:color="auto"/>
            <w:left w:val="none" w:sz="0" w:space="0" w:color="auto"/>
            <w:bottom w:val="none" w:sz="0" w:space="0" w:color="auto"/>
            <w:right w:val="none" w:sz="0" w:space="0" w:color="auto"/>
          </w:divBdr>
          <w:divsChild>
            <w:div w:id="123728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820936">
      <w:bodyDiv w:val="1"/>
      <w:marLeft w:val="0"/>
      <w:marRight w:val="0"/>
      <w:marTop w:val="0"/>
      <w:marBottom w:val="0"/>
      <w:divBdr>
        <w:top w:val="none" w:sz="0" w:space="0" w:color="auto"/>
        <w:left w:val="none" w:sz="0" w:space="0" w:color="auto"/>
        <w:bottom w:val="none" w:sz="0" w:space="0" w:color="auto"/>
        <w:right w:val="none" w:sz="0" w:space="0" w:color="auto"/>
      </w:divBdr>
      <w:divsChild>
        <w:div w:id="1327830603">
          <w:marLeft w:val="480"/>
          <w:marRight w:val="0"/>
          <w:marTop w:val="0"/>
          <w:marBottom w:val="0"/>
          <w:divBdr>
            <w:top w:val="none" w:sz="0" w:space="0" w:color="auto"/>
            <w:left w:val="none" w:sz="0" w:space="0" w:color="auto"/>
            <w:bottom w:val="none" w:sz="0" w:space="0" w:color="auto"/>
            <w:right w:val="none" w:sz="0" w:space="0" w:color="auto"/>
          </w:divBdr>
          <w:divsChild>
            <w:div w:id="81422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14782">
      <w:bodyDiv w:val="1"/>
      <w:marLeft w:val="0"/>
      <w:marRight w:val="0"/>
      <w:marTop w:val="0"/>
      <w:marBottom w:val="0"/>
      <w:divBdr>
        <w:top w:val="none" w:sz="0" w:space="0" w:color="auto"/>
        <w:left w:val="none" w:sz="0" w:space="0" w:color="auto"/>
        <w:bottom w:val="none" w:sz="0" w:space="0" w:color="auto"/>
        <w:right w:val="none" w:sz="0" w:space="0" w:color="auto"/>
      </w:divBdr>
      <w:divsChild>
        <w:div w:id="1603681946">
          <w:marLeft w:val="480"/>
          <w:marRight w:val="0"/>
          <w:marTop w:val="0"/>
          <w:marBottom w:val="0"/>
          <w:divBdr>
            <w:top w:val="none" w:sz="0" w:space="0" w:color="auto"/>
            <w:left w:val="none" w:sz="0" w:space="0" w:color="auto"/>
            <w:bottom w:val="none" w:sz="0" w:space="0" w:color="auto"/>
            <w:right w:val="none" w:sz="0" w:space="0" w:color="auto"/>
          </w:divBdr>
          <w:divsChild>
            <w:div w:id="186740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92107">
      <w:bodyDiv w:val="1"/>
      <w:marLeft w:val="0"/>
      <w:marRight w:val="0"/>
      <w:marTop w:val="0"/>
      <w:marBottom w:val="0"/>
      <w:divBdr>
        <w:top w:val="none" w:sz="0" w:space="0" w:color="auto"/>
        <w:left w:val="none" w:sz="0" w:space="0" w:color="auto"/>
        <w:bottom w:val="none" w:sz="0" w:space="0" w:color="auto"/>
        <w:right w:val="none" w:sz="0" w:space="0" w:color="auto"/>
      </w:divBdr>
      <w:divsChild>
        <w:div w:id="810637707">
          <w:marLeft w:val="480"/>
          <w:marRight w:val="0"/>
          <w:marTop w:val="0"/>
          <w:marBottom w:val="0"/>
          <w:divBdr>
            <w:top w:val="none" w:sz="0" w:space="0" w:color="auto"/>
            <w:left w:val="none" w:sz="0" w:space="0" w:color="auto"/>
            <w:bottom w:val="none" w:sz="0" w:space="0" w:color="auto"/>
            <w:right w:val="none" w:sz="0" w:space="0" w:color="auto"/>
          </w:divBdr>
          <w:divsChild>
            <w:div w:id="134867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173517">
      <w:bodyDiv w:val="1"/>
      <w:marLeft w:val="0"/>
      <w:marRight w:val="0"/>
      <w:marTop w:val="0"/>
      <w:marBottom w:val="0"/>
      <w:divBdr>
        <w:top w:val="none" w:sz="0" w:space="0" w:color="auto"/>
        <w:left w:val="none" w:sz="0" w:space="0" w:color="auto"/>
        <w:bottom w:val="none" w:sz="0" w:space="0" w:color="auto"/>
        <w:right w:val="none" w:sz="0" w:space="0" w:color="auto"/>
      </w:divBdr>
      <w:divsChild>
        <w:div w:id="1905481989">
          <w:marLeft w:val="480"/>
          <w:marRight w:val="0"/>
          <w:marTop w:val="0"/>
          <w:marBottom w:val="0"/>
          <w:divBdr>
            <w:top w:val="none" w:sz="0" w:space="0" w:color="auto"/>
            <w:left w:val="none" w:sz="0" w:space="0" w:color="auto"/>
            <w:bottom w:val="none" w:sz="0" w:space="0" w:color="auto"/>
            <w:right w:val="none" w:sz="0" w:space="0" w:color="auto"/>
          </w:divBdr>
          <w:divsChild>
            <w:div w:id="18353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21306">
      <w:bodyDiv w:val="1"/>
      <w:marLeft w:val="0"/>
      <w:marRight w:val="0"/>
      <w:marTop w:val="0"/>
      <w:marBottom w:val="0"/>
      <w:divBdr>
        <w:top w:val="none" w:sz="0" w:space="0" w:color="auto"/>
        <w:left w:val="none" w:sz="0" w:space="0" w:color="auto"/>
        <w:bottom w:val="none" w:sz="0" w:space="0" w:color="auto"/>
        <w:right w:val="none" w:sz="0" w:space="0" w:color="auto"/>
      </w:divBdr>
      <w:divsChild>
        <w:div w:id="669868517">
          <w:marLeft w:val="480"/>
          <w:marRight w:val="0"/>
          <w:marTop w:val="0"/>
          <w:marBottom w:val="0"/>
          <w:divBdr>
            <w:top w:val="none" w:sz="0" w:space="0" w:color="auto"/>
            <w:left w:val="none" w:sz="0" w:space="0" w:color="auto"/>
            <w:bottom w:val="none" w:sz="0" w:space="0" w:color="auto"/>
            <w:right w:val="none" w:sz="0" w:space="0" w:color="auto"/>
          </w:divBdr>
          <w:divsChild>
            <w:div w:id="39874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182099">
      <w:bodyDiv w:val="1"/>
      <w:marLeft w:val="0"/>
      <w:marRight w:val="0"/>
      <w:marTop w:val="0"/>
      <w:marBottom w:val="0"/>
      <w:divBdr>
        <w:top w:val="none" w:sz="0" w:space="0" w:color="auto"/>
        <w:left w:val="none" w:sz="0" w:space="0" w:color="auto"/>
        <w:bottom w:val="none" w:sz="0" w:space="0" w:color="auto"/>
        <w:right w:val="none" w:sz="0" w:space="0" w:color="auto"/>
      </w:divBdr>
      <w:divsChild>
        <w:div w:id="32507703">
          <w:marLeft w:val="480"/>
          <w:marRight w:val="0"/>
          <w:marTop w:val="0"/>
          <w:marBottom w:val="0"/>
          <w:divBdr>
            <w:top w:val="none" w:sz="0" w:space="0" w:color="auto"/>
            <w:left w:val="none" w:sz="0" w:space="0" w:color="auto"/>
            <w:bottom w:val="none" w:sz="0" w:space="0" w:color="auto"/>
            <w:right w:val="none" w:sz="0" w:space="0" w:color="auto"/>
          </w:divBdr>
          <w:divsChild>
            <w:div w:id="146638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485668">
      <w:bodyDiv w:val="1"/>
      <w:marLeft w:val="0"/>
      <w:marRight w:val="0"/>
      <w:marTop w:val="0"/>
      <w:marBottom w:val="0"/>
      <w:divBdr>
        <w:top w:val="none" w:sz="0" w:space="0" w:color="auto"/>
        <w:left w:val="none" w:sz="0" w:space="0" w:color="auto"/>
        <w:bottom w:val="none" w:sz="0" w:space="0" w:color="auto"/>
        <w:right w:val="none" w:sz="0" w:space="0" w:color="auto"/>
      </w:divBdr>
    </w:div>
    <w:div w:id="1140734916">
      <w:bodyDiv w:val="1"/>
      <w:marLeft w:val="0"/>
      <w:marRight w:val="0"/>
      <w:marTop w:val="0"/>
      <w:marBottom w:val="0"/>
      <w:divBdr>
        <w:top w:val="none" w:sz="0" w:space="0" w:color="auto"/>
        <w:left w:val="none" w:sz="0" w:space="0" w:color="auto"/>
        <w:bottom w:val="none" w:sz="0" w:space="0" w:color="auto"/>
        <w:right w:val="none" w:sz="0" w:space="0" w:color="auto"/>
      </w:divBdr>
      <w:divsChild>
        <w:div w:id="549194571">
          <w:marLeft w:val="480"/>
          <w:marRight w:val="0"/>
          <w:marTop w:val="0"/>
          <w:marBottom w:val="0"/>
          <w:divBdr>
            <w:top w:val="none" w:sz="0" w:space="0" w:color="auto"/>
            <w:left w:val="none" w:sz="0" w:space="0" w:color="auto"/>
            <w:bottom w:val="none" w:sz="0" w:space="0" w:color="auto"/>
            <w:right w:val="none" w:sz="0" w:space="0" w:color="auto"/>
          </w:divBdr>
          <w:divsChild>
            <w:div w:id="50548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04287">
      <w:bodyDiv w:val="1"/>
      <w:marLeft w:val="0"/>
      <w:marRight w:val="0"/>
      <w:marTop w:val="0"/>
      <w:marBottom w:val="0"/>
      <w:divBdr>
        <w:top w:val="none" w:sz="0" w:space="0" w:color="auto"/>
        <w:left w:val="none" w:sz="0" w:space="0" w:color="auto"/>
        <w:bottom w:val="none" w:sz="0" w:space="0" w:color="auto"/>
        <w:right w:val="none" w:sz="0" w:space="0" w:color="auto"/>
      </w:divBdr>
      <w:divsChild>
        <w:div w:id="457996935">
          <w:marLeft w:val="480"/>
          <w:marRight w:val="0"/>
          <w:marTop w:val="0"/>
          <w:marBottom w:val="0"/>
          <w:divBdr>
            <w:top w:val="none" w:sz="0" w:space="0" w:color="auto"/>
            <w:left w:val="none" w:sz="0" w:space="0" w:color="auto"/>
            <w:bottom w:val="none" w:sz="0" w:space="0" w:color="auto"/>
            <w:right w:val="none" w:sz="0" w:space="0" w:color="auto"/>
          </w:divBdr>
          <w:divsChild>
            <w:div w:id="12292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456678">
      <w:bodyDiv w:val="1"/>
      <w:marLeft w:val="0"/>
      <w:marRight w:val="0"/>
      <w:marTop w:val="0"/>
      <w:marBottom w:val="0"/>
      <w:divBdr>
        <w:top w:val="none" w:sz="0" w:space="0" w:color="auto"/>
        <w:left w:val="none" w:sz="0" w:space="0" w:color="auto"/>
        <w:bottom w:val="none" w:sz="0" w:space="0" w:color="auto"/>
        <w:right w:val="none" w:sz="0" w:space="0" w:color="auto"/>
      </w:divBdr>
      <w:divsChild>
        <w:div w:id="993144510">
          <w:marLeft w:val="480"/>
          <w:marRight w:val="0"/>
          <w:marTop w:val="0"/>
          <w:marBottom w:val="0"/>
          <w:divBdr>
            <w:top w:val="none" w:sz="0" w:space="0" w:color="auto"/>
            <w:left w:val="none" w:sz="0" w:space="0" w:color="auto"/>
            <w:bottom w:val="none" w:sz="0" w:space="0" w:color="auto"/>
            <w:right w:val="none" w:sz="0" w:space="0" w:color="auto"/>
          </w:divBdr>
          <w:divsChild>
            <w:div w:id="30516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921516">
      <w:bodyDiv w:val="1"/>
      <w:marLeft w:val="0"/>
      <w:marRight w:val="0"/>
      <w:marTop w:val="0"/>
      <w:marBottom w:val="0"/>
      <w:divBdr>
        <w:top w:val="none" w:sz="0" w:space="0" w:color="auto"/>
        <w:left w:val="none" w:sz="0" w:space="0" w:color="auto"/>
        <w:bottom w:val="none" w:sz="0" w:space="0" w:color="auto"/>
        <w:right w:val="none" w:sz="0" w:space="0" w:color="auto"/>
      </w:divBdr>
    </w:div>
    <w:div w:id="1208225737">
      <w:bodyDiv w:val="1"/>
      <w:marLeft w:val="0"/>
      <w:marRight w:val="0"/>
      <w:marTop w:val="0"/>
      <w:marBottom w:val="0"/>
      <w:divBdr>
        <w:top w:val="none" w:sz="0" w:space="0" w:color="auto"/>
        <w:left w:val="none" w:sz="0" w:space="0" w:color="auto"/>
        <w:bottom w:val="none" w:sz="0" w:space="0" w:color="auto"/>
        <w:right w:val="none" w:sz="0" w:space="0" w:color="auto"/>
      </w:divBdr>
      <w:divsChild>
        <w:div w:id="298804917">
          <w:marLeft w:val="480"/>
          <w:marRight w:val="0"/>
          <w:marTop w:val="0"/>
          <w:marBottom w:val="0"/>
          <w:divBdr>
            <w:top w:val="none" w:sz="0" w:space="0" w:color="auto"/>
            <w:left w:val="none" w:sz="0" w:space="0" w:color="auto"/>
            <w:bottom w:val="none" w:sz="0" w:space="0" w:color="auto"/>
            <w:right w:val="none" w:sz="0" w:space="0" w:color="auto"/>
          </w:divBdr>
          <w:divsChild>
            <w:div w:id="73112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8112">
      <w:bodyDiv w:val="1"/>
      <w:marLeft w:val="0"/>
      <w:marRight w:val="0"/>
      <w:marTop w:val="0"/>
      <w:marBottom w:val="0"/>
      <w:divBdr>
        <w:top w:val="none" w:sz="0" w:space="0" w:color="auto"/>
        <w:left w:val="none" w:sz="0" w:space="0" w:color="auto"/>
        <w:bottom w:val="none" w:sz="0" w:space="0" w:color="auto"/>
        <w:right w:val="none" w:sz="0" w:space="0" w:color="auto"/>
      </w:divBdr>
      <w:divsChild>
        <w:div w:id="1420636042">
          <w:marLeft w:val="480"/>
          <w:marRight w:val="0"/>
          <w:marTop w:val="0"/>
          <w:marBottom w:val="0"/>
          <w:divBdr>
            <w:top w:val="none" w:sz="0" w:space="0" w:color="auto"/>
            <w:left w:val="none" w:sz="0" w:space="0" w:color="auto"/>
            <w:bottom w:val="none" w:sz="0" w:space="0" w:color="auto"/>
            <w:right w:val="none" w:sz="0" w:space="0" w:color="auto"/>
          </w:divBdr>
          <w:divsChild>
            <w:div w:id="58853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724239">
      <w:bodyDiv w:val="1"/>
      <w:marLeft w:val="0"/>
      <w:marRight w:val="0"/>
      <w:marTop w:val="0"/>
      <w:marBottom w:val="0"/>
      <w:divBdr>
        <w:top w:val="none" w:sz="0" w:space="0" w:color="auto"/>
        <w:left w:val="none" w:sz="0" w:space="0" w:color="auto"/>
        <w:bottom w:val="none" w:sz="0" w:space="0" w:color="auto"/>
        <w:right w:val="none" w:sz="0" w:space="0" w:color="auto"/>
      </w:divBdr>
    </w:div>
    <w:div w:id="1229727346">
      <w:bodyDiv w:val="1"/>
      <w:marLeft w:val="0"/>
      <w:marRight w:val="0"/>
      <w:marTop w:val="0"/>
      <w:marBottom w:val="0"/>
      <w:divBdr>
        <w:top w:val="none" w:sz="0" w:space="0" w:color="auto"/>
        <w:left w:val="none" w:sz="0" w:space="0" w:color="auto"/>
        <w:bottom w:val="none" w:sz="0" w:space="0" w:color="auto"/>
        <w:right w:val="none" w:sz="0" w:space="0" w:color="auto"/>
      </w:divBdr>
      <w:divsChild>
        <w:div w:id="63569928">
          <w:marLeft w:val="480"/>
          <w:marRight w:val="0"/>
          <w:marTop w:val="0"/>
          <w:marBottom w:val="0"/>
          <w:divBdr>
            <w:top w:val="none" w:sz="0" w:space="0" w:color="auto"/>
            <w:left w:val="none" w:sz="0" w:space="0" w:color="auto"/>
            <w:bottom w:val="none" w:sz="0" w:space="0" w:color="auto"/>
            <w:right w:val="none" w:sz="0" w:space="0" w:color="auto"/>
          </w:divBdr>
          <w:divsChild>
            <w:div w:id="64273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346445">
      <w:bodyDiv w:val="1"/>
      <w:marLeft w:val="0"/>
      <w:marRight w:val="0"/>
      <w:marTop w:val="0"/>
      <w:marBottom w:val="0"/>
      <w:divBdr>
        <w:top w:val="none" w:sz="0" w:space="0" w:color="auto"/>
        <w:left w:val="none" w:sz="0" w:space="0" w:color="auto"/>
        <w:bottom w:val="none" w:sz="0" w:space="0" w:color="auto"/>
        <w:right w:val="none" w:sz="0" w:space="0" w:color="auto"/>
      </w:divBdr>
      <w:divsChild>
        <w:div w:id="1589773524">
          <w:marLeft w:val="480"/>
          <w:marRight w:val="0"/>
          <w:marTop w:val="0"/>
          <w:marBottom w:val="0"/>
          <w:divBdr>
            <w:top w:val="none" w:sz="0" w:space="0" w:color="auto"/>
            <w:left w:val="none" w:sz="0" w:space="0" w:color="auto"/>
            <w:bottom w:val="none" w:sz="0" w:space="0" w:color="auto"/>
            <w:right w:val="none" w:sz="0" w:space="0" w:color="auto"/>
          </w:divBdr>
          <w:divsChild>
            <w:div w:id="3704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50131">
      <w:bodyDiv w:val="1"/>
      <w:marLeft w:val="0"/>
      <w:marRight w:val="0"/>
      <w:marTop w:val="0"/>
      <w:marBottom w:val="0"/>
      <w:divBdr>
        <w:top w:val="none" w:sz="0" w:space="0" w:color="auto"/>
        <w:left w:val="none" w:sz="0" w:space="0" w:color="auto"/>
        <w:bottom w:val="none" w:sz="0" w:space="0" w:color="auto"/>
        <w:right w:val="none" w:sz="0" w:space="0" w:color="auto"/>
      </w:divBdr>
    </w:div>
    <w:div w:id="1295715572">
      <w:bodyDiv w:val="1"/>
      <w:marLeft w:val="0"/>
      <w:marRight w:val="0"/>
      <w:marTop w:val="0"/>
      <w:marBottom w:val="0"/>
      <w:divBdr>
        <w:top w:val="none" w:sz="0" w:space="0" w:color="auto"/>
        <w:left w:val="none" w:sz="0" w:space="0" w:color="auto"/>
        <w:bottom w:val="none" w:sz="0" w:space="0" w:color="auto"/>
        <w:right w:val="none" w:sz="0" w:space="0" w:color="auto"/>
      </w:divBdr>
      <w:divsChild>
        <w:div w:id="147475233">
          <w:marLeft w:val="480"/>
          <w:marRight w:val="0"/>
          <w:marTop w:val="0"/>
          <w:marBottom w:val="0"/>
          <w:divBdr>
            <w:top w:val="none" w:sz="0" w:space="0" w:color="auto"/>
            <w:left w:val="none" w:sz="0" w:space="0" w:color="auto"/>
            <w:bottom w:val="none" w:sz="0" w:space="0" w:color="auto"/>
            <w:right w:val="none" w:sz="0" w:space="0" w:color="auto"/>
          </w:divBdr>
          <w:divsChild>
            <w:div w:id="82447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523046">
      <w:bodyDiv w:val="1"/>
      <w:marLeft w:val="0"/>
      <w:marRight w:val="0"/>
      <w:marTop w:val="0"/>
      <w:marBottom w:val="0"/>
      <w:divBdr>
        <w:top w:val="none" w:sz="0" w:space="0" w:color="auto"/>
        <w:left w:val="none" w:sz="0" w:space="0" w:color="auto"/>
        <w:bottom w:val="none" w:sz="0" w:space="0" w:color="auto"/>
        <w:right w:val="none" w:sz="0" w:space="0" w:color="auto"/>
      </w:divBdr>
      <w:divsChild>
        <w:div w:id="1790970169">
          <w:marLeft w:val="480"/>
          <w:marRight w:val="0"/>
          <w:marTop w:val="0"/>
          <w:marBottom w:val="0"/>
          <w:divBdr>
            <w:top w:val="none" w:sz="0" w:space="0" w:color="auto"/>
            <w:left w:val="none" w:sz="0" w:space="0" w:color="auto"/>
            <w:bottom w:val="none" w:sz="0" w:space="0" w:color="auto"/>
            <w:right w:val="none" w:sz="0" w:space="0" w:color="auto"/>
          </w:divBdr>
          <w:divsChild>
            <w:div w:id="76168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146722">
      <w:bodyDiv w:val="1"/>
      <w:marLeft w:val="0"/>
      <w:marRight w:val="0"/>
      <w:marTop w:val="0"/>
      <w:marBottom w:val="0"/>
      <w:divBdr>
        <w:top w:val="none" w:sz="0" w:space="0" w:color="auto"/>
        <w:left w:val="none" w:sz="0" w:space="0" w:color="auto"/>
        <w:bottom w:val="none" w:sz="0" w:space="0" w:color="auto"/>
        <w:right w:val="none" w:sz="0" w:space="0" w:color="auto"/>
      </w:divBdr>
      <w:divsChild>
        <w:div w:id="1962958530">
          <w:marLeft w:val="480"/>
          <w:marRight w:val="0"/>
          <w:marTop w:val="0"/>
          <w:marBottom w:val="0"/>
          <w:divBdr>
            <w:top w:val="none" w:sz="0" w:space="0" w:color="auto"/>
            <w:left w:val="none" w:sz="0" w:space="0" w:color="auto"/>
            <w:bottom w:val="none" w:sz="0" w:space="0" w:color="auto"/>
            <w:right w:val="none" w:sz="0" w:space="0" w:color="auto"/>
          </w:divBdr>
          <w:divsChild>
            <w:div w:id="128499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298365">
      <w:bodyDiv w:val="1"/>
      <w:marLeft w:val="0"/>
      <w:marRight w:val="0"/>
      <w:marTop w:val="0"/>
      <w:marBottom w:val="0"/>
      <w:divBdr>
        <w:top w:val="none" w:sz="0" w:space="0" w:color="auto"/>
        <w:left w:val="none" w:sz="0" w:space="0" w:color="auto"/>
        <w:bottom w:val="none" w:sz="0" w:space="0" w:color="auto"/>
        <w:right w:val="none" w:sz="0" w:space="0" w:color="auto"/>
      </w:divBdr>
    </w:div>
    <w:div w:id="1343245779">
      <w:bodyDiv w:val="1"/>
      <w:marLeft w:val="0"/>
      <w:marRight w:val="0"/>
      <w:marTop w:val="0"/>
      <w:marBottom w:val="0"/>
      <w:divBdr>
        <w:top w:val="none" w:sz="0" w:space="0" w:color="auto"/>
        <w:left w:val="none" w:sz="0" w:space="0" w:color="auto"/>
        <w:bottom w:val="none" w:sz="0" w:space="0" w:color="auto"/>
        <w:right w:val="none" w:sz="0" w:space="0" w:color="auto"/>
      </w:divBdr>
      <w:divsChild>
        <w:div w:id="1887835903">
          <w:marLeft w:val="480"/>
          <w:marRight w:val="0"/>
          <w:marTop w:val="0"/>
          <w:marBottom w:val="0"/>
          <w:divBdr>
            <w:top w:val="none" w:sz="0" w:space="0" w:color="auto"/>
            <w:left w:val="none" w:sz="0" w:space="0" w:color="auto"/>
            <w:bottom w:val="none" w:sz="0" w:space="0" w:color="auto"/>
            <w:right w:val="none" w:sz="0" w:space="0" w:color="auto"/>
          </w:divBdr>
          <w:divsChild>
            <w:div w:id="45437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92043">
      <w:bodyDiv w:val="1"/>
      <w:marLeft w:val="0"/>
      <w:marRight w:val="0"/>
      <w:marTop w:val="0"/>
      <w:marBottom w:val="0"/>
      <w:divBdr>
        <w:top w:val="none" w:sz="0" w:space="0" w:color="auto"/>
        <w:left w:val="none" w:sz="0" w:space="0" w:color="auto"/>
        <w:bottom w:val="none" w:sz="0" w:space="0" w:color="auto"/>
        <w:right w:val="none" w:sz="0" w:space="0" w:color="auto"/>
      </w:divBdr>
      <w:divsChild>
        <w:div w:id="1459683400">
          <w:marLeft w:val="480"/>
          <w:marRight w:val="0"/>
          <w:marTop w:val="0"/>
          <w:marBottom w:val="0"/>
          <w:divBdr>
            <w:top w:val="none" w:sz="0" w:space="0" w:color="auto"/>
            <w:left w:val="none" w:sz="0" w:space="0" w:color="auto"/>
            <w:bottom w:val="none" w:sz="0" w:space="0" w:color="auto"/>
            <w:right w:val="none" w:sz="0" w:space="0" w:color="auto"/>
          </w:divBdr>
          <w:divsChild>
            <w:div w:id="162707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16235">
      <w:bodyDiv w:val="1"/>
      <w:marLeft w:val="0"/>
      <w:marRight w:val="0"/>
      <w:marTop w:val="0"/>
      <w:marBottom w:val="0"/>
      <w:divBdr>
        <w:top w:val="none" w:sz="0" w:space="0" w:color="auto"/>
        <w:left w:val="none" w:sz="0" w:space="0" w:color="auto"/>
        <w:bottom w:val="none" w:sz="0" w:space="0" w:color="auto"/>
        <w:right w:val="none" w:sz="0" w:space="0" w:color="auto"/>
      </w:divBdr>
      <w:divsChild>
        <w:div w:id="1938170761">
          <w:marLeft w:val="480"/>
          <w:marRight w:val="0"/>
          <w:marTop w:val="0"/>
          <w:marBottom w:val="0"/>
          <w:divBdr>
            <w:top w:val="none" w:sz="0" w:space="0" w:color="auto"/>
            <w:left w:val="none" w:sz="0" w:space="0" w:color="auto"/>
            <w:bottom w:val="none" w:sz="0" w:space="0" w:color="auto"/>
            <w:right w:val="none" w:sz="0" w:space="0" w:color="auto"/>
          </w:divBdr>
          <w:divsChild>
            <w:div w:id="205935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198525">
      <w:bodyDiv w:val="1"/>
      <w:marLeft w:val="0"/>
      <w:marRight w:val="0"/>
      <w:marTop w:val="0"/>
      <w:marBottom w:val="0"/>
      <w:divBdr>
        <w:top w:val="none" w:sz="0" w:space="0" w:color="auto"/>
        <w:left w:val="none" w:sz="0" w:space="0" w:color="auto"/>
        <w:bottom w:val="none" w:sz="0" w:space="0" w:color="auto"/>
        <w:right w:val="none" w:sz="0" w:space="0" w:color="auto"/>
      </w:divBdr>
      <w:divsChild>
        <w:div w:id="414864922">
          <w:marLeft w:val="480"/>
          <w:marRight w:val="0"/>
          <w:marTop w:val="0"/>
          <w:marBottom w:val="0"/>
          <w:divBdr>
            <w:top w:val="none" w:sz="0" w:space="0" w:color="auto"/>
            <w:left w:val="none" w:sz="0" w:space="0" w:color="auto"/>
            <w:bottom w:val="none" w:sz="0" w:space="0" w:color="auto"/>
            <w:right w:val="none" w:sz="0" w:space="0" w:color="auto"/>
          </w:divBdr>
          <w:divsChild>
            <w:div w:id="169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266017">
      <w:bodyDiv w:val="1"/>
      <w:marLeft w:val="0"/>
      <w:marRight w:val="0"/>
      <w:marTop w:val="0"/>
      <w:marBottom w:val="0"/>
      <w:divBdr>
        <w:top w:val="none" w:sz="0" w:space="0" w:color="auto"/>
        <w:left w:val="none" w:sz="0" w:space="0" w:color="auto"/>
        <w:bottom w:val="none" w:sz="0" w:space="0" w:color="auto"/>
        <w:right w:val="none" w:sz="0" w:space="0" w:color="auto"/>
      </w:divBdr>
      <w:divsChild>
        <w:div w:id="2129470545">
          <w:marLeft w:val="480"/>
          <w:marRight w:val="0"/>
          <w:marTop w:val="0"/>
          <w:marBottom w:val="0"/>
          <w:divBdr>
            <w:top w:val="none" w:sz="0" w:space="0" w:color="auto"/>
            <w:left w:val="none" w:sz="0" w:space="0" w:color="auto"/>
            <w:bottom w:val="none" w:sz="0" w:space="0" w:color="auto"/>
            <w:right w:val="none" w:sz="0" w:space="0" w:color="auto"/>
          </w:divBdr>
          <w:divsChild>
            <w:div w:id="105442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486967931">
      <w:bodyDiv w:val="1"/>
      <w:marLeft w:val="0"/>
      <w:marRight w:val="0"/>
      <w:marTop w:val="0"/>
      <w:marBottom w:val="0"/>
      <w:divBdr>
        <w:top w:val="none" w:sz="0" w:space="0" w:color="auto"/>
        <w:left w:val="none" w:sz="0" w:space="0" w:color="auto"/>
        <w:bottom w:val="none" w:sz="0" w:space="0" w:color="auto"/>
        <w:right w:val="none" w:sz="0" w:space="0" w:color="auto"/>
      </w:divBdr>
      <w:divsChild>
        <w:div w:id="349525220">
          <w:marLeft w:val="480"/>
          <w:marRight w:val="0"/>
          <w:marTop w:val="0"/>
          <w:marBottom w:val="0"/>
          <w:divBdr>
            <w:top w:val="none" w:sz="0" w:space="0" w:color="auto"/>
            <w:left w:val="none" w:sz="0" w:space="0" w:color="auto"/>
            <w:bottom w:val="none" w:sz="0" w:space="0" w:color="auto"/>
            <w:right w:val="none" w:sz="0" w:space="0" w:color="auto"/>
          </w:divBdr>
          <w:divsChild>
            <w:div w:id="109367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352955">
      <w:bodyDiv w:val="1"/>
      <w:marLeft w:val="0"/>
      <w:marRight w:val="0"/>
      <w:marTop w:val="0"/>
      <w:marBottom w:val="0"/>
      <w:divBdr>
        <w:top w:val="none" w:sz="0" w:space="0" w:color="auto"/>
        <w:left w:val="none" w:sz="0" w:space="0" w:color="auto"/>
        <w:bottom w:val="none" w:sz="0" w:space="0" w:color="auto"/>
        <w:right w:val="none" w:sz="0" w:space="0" w:color="auto"/>
      </w:divBdr>
      <w:divsChild>
        <w:div w:id="1797720420">
          <w:marLeft w:val="480"/>
          <w:marRight w:val="0"/>
          <w:marTop w:val="0"/>
          <w:marBottom w:val="0"/>
          <w:divBdr>
            <w:top w:val="none" w:sz="0" w:space="0" w:color="auto"/>
            <w:left w:val="none" w:sz="0" w:space="0" w:color="auto"/>
            <w:bottom w:val="none" w:sz="0" w:space="0" w:color="auto"/>
            <w:right w:val="none" w:sz="0" w:space="0" w:color="auto"/>
          </w:divBdr>
          <w:divsChild>
            <w:div w:id="34216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419942">
      <w:bodyDiv w:val="1"/>
      <w:marLeft w:val="0"/>
      <w:marRight w:val="0"/>
      <w:marTop w:val="0"/>
      <w:marBottom w:val="0"/>
      <w:divBdr>
        <w:top w:val="none" w:sz="0" w:space="0" w:color="auto"/>
        <w:left w:val="none" w:sz="0" w:space="0" w:color="auto"/>
        <w:bottom w:val="none" w:sz="0" w:space="0" w:color="auto"/>
        <w:right w:val="none" w:sz="0" w:space="0" w:color="auto"/>
      </w:divBdr>
      <w:divsChild>
        <w:div w:id="1841041808">
          <w:marLeft w:val="480"/>
          <w:marRight w:val="0"/>
          <w:marTop w:val="0"/>
          <w:marBottom w:val="0"/>
          <w:divBdr>
            <w:top w:val="none" w:sz="0" w:space="0" w:color="auto"/>
            <w:left w:val="none" w:sz="0" w:space="0" w:color="auto"/>
            <w:bottom w:val="none" w:sz="0" w:space="0" w:color="auto"/>
            <w:right w:val="none" w:sz="0" w:space="0" w:color="auto"/>
          </w:divBdr>
          <w:divsChild>
            <w:div w:id="204520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157912">
      <w:bodyDiv w:val="1"/>
      <w:marLeft w:val="0"/>
      <w:marRight w:val="0"/>
      <w:marTop w:val="0"/>
      <w:marBottom w:val="0"/>
      <w:divBdr>
        <w:top w:val="none" w:sz="0" w:space="0" w:color="auto"/>
        <w:left w:val="none" w:sz="0" w:space="0" w:color="auto"/>
        <w:bottom w:val="none" w:sz="0" w:space="0" w:color="auto"/>
        <w:right w:val="none" w:sz="0" w:space="0" w:color="auto"/>
      </w:divBdr>
    </w:div>
    <w:div w:id="1522548458">
      <w:bodyDiv w:val="1"/>
      <w:marLeft w:val="0"/>
      <w:marRight w:val="0"/>
      <w:marTop w:val="0"/>
      <w:marBottom w:val="0"/>
      <w:divBdr>
        <w:top w:val="none" w:sz="0" w:space="0" w:color="auto"/>
        <w:left w:val="none" w:sz="0" w:space="0" w:color="auto"/>
        <w:bottom w:val="none" w:sz="0" w:space="0" w:color="auto"/>
        <w:right w:val="none" w:sz="0" w:space="0" w:color="auto"/>
      </w:divBdr>
      <w:divsChild>
        <w:div w:id="1225603665">
          <w:marLeft w:val="480"/>
          <w:marRight w:val="0"/>
          <w:marTop w:val="0"/>
          <w:marBottom w:val="0"/>
          <w:divBdr>
            <w:top w:val="none" w:sz="0" w:space="0" w:color="auto"/>
            <w:left w:val="none" w:sz="0" w:space="0" w:color="auto"/>
            <w:bottom w:val="none" w:sz="0" w:space="0" w:color="auto"/>
            <w:right w:val="none" w:sz="0" w:space="0" w:color="auto"/>
          </w:divBdr>
          <w:divsChild>
            <w:div w:id="114435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971315">
      <w:bodyDiv w:val="1"/>
      <w:marLeft w:val="0"/>
      <w:marRight w:val="0"/>
      <w:marTop w:val="0"/>
      <w:marBottom w:val="0"/>
      <w:divBdr>
        <w:top w:val="none" w:sz="0" w:space="0" w:color="auto"/>
        <w:left w:val="none" w:sz="0" w:space="0" w:color="auto"/>
        <w:bottom w:val="none" w:sz="0" w:space="0" w:color="auto"/>
        <w:right w:val="none" w:sz="0" w:space="0" w:color="auto"/>
      </w:divBdr>
      <w:divsChild>
        <w:div w:id="1540780543">
          <w:marLeft w:val="480"/>
          <w:marRight w:val="0"/>
          <w:marTop w:val="0"/>
          <w:marBottom w:val="0"/>
          <w:divBdr>
            <w:top w:val="none" w:sz="0" w:space="0" w:color="auto"/>
            <w:left w:val="none" w:sz="0" w:space="0" w:color="auto"/>
            <w:bottom w:val="none" w:sz="0" w:space="0" w:color="auto"/>
            <w:right w:val="none" w:sz="0" w:space="0" w:color="auto"/>
          </w:divBdr>
          <w:divsChild>
            <w:div w:id="128924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598860">
      <w:bodyDiv w:val="1"/>
      <w:marLeft w:val="0"/>
      <w:marRight w:val="0"/>
      <w:marTop w:val="0"/>
      <w:marBottom w:val="0"/>
      <w:divBdr>
        <w:top w:val="none" w:sz="0" w:space="0" w:color="auto"/>
        <w:left w:val="none" w:sz="0" w:space="0" w:color="auto"/>
        <w:bottom w:val="none" w:sz="0" w:space="0" w:color="auto"/>
        <w:right w:val="none" w:sz="0" w:space="0" w:color="auto"/>
      </w:divBdr>
      <w:divsChild>
        <w:div w:id="964846745">
          <w:marLeft w:val="480"/>
          <w:marRight w:val="0"/>
          <w:marTop w:val="0"/>
          <w:marBottom w:val="0"/>
          <w:divBdr>
            <w:top w:val="none" w:sz="0" w:space="0" w:color="auto"/>
            <w:left w:val="none" w:sz="0" w:space="0" w:color="auto"/>
            <w:bottom w:val="none" w:sz="0" w:space="0" w:color="auto"/>
            <w:right w:val="none" w:sz="0" w:space="0" w:color="auto"/>
          </w:divBdr>
          <w:divsChild>
            <w:div w:id="68532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798037">
      <w:bodyDiv w:val="1"/>
      <w:marLeft w:val="0"/>
      <w:marRight w:val="0"/>
      <w:marTop w:val="0"/>
      <w:marBottom w:val="0"/>
      <w:divBdr>
        <w:top w:val="none" w:sz="0" w:space="0" w:color="auto"/>
        <w:left w:val="none" w:sz="0" w:space="0" w:color="auto"/>
        <w:bottom w:val="none" w:sz="0" w:space="0" w:color="auto"/>
        <w:right w:val="none" w:sz="0" w:space="0" w:color="auto"/>
      </w:divBdr>
      <w:divsChild>
        <w:div w:id="1857381332">
          <w:marLeft w:val="480"/>
          <w:marRight w:val="0"/>
          <w:marTop w:val="0"/>
          <w:marBottom w:val="0"/>
          <w:divBdr>
            <w:top w:val="none" w:sz="0" w:space="0" w:color="auto"/>
            <w:left w:val="none" w:sz="0" w:space="0" w:color="auto"/>
            <w:bottom w:val="none" w:sz="0" w:space="0" w:color="auto"/>
            <w:right w:val="none" w:sz="0" w:space="0" w:color="auto"/>
          </w:divBdr>
          <w:divsChild>
            <w:div w:id="69076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072068">
      <w:bodyDiv w:val="1"/>
      <w:marLeft w:val="0"/>
      <w:marRight w:val="0"/>
      <w:marTop w:val="0"/>
      <w:marBottom w:val="0"/>
      <w:divBdr>
        <w:top w:val="none" w:sz="0" w:space="0" w:color="auto"/>
        <w:left w:val="none" w:sz="0" w:space="0" w:color="auto"/>
        <w:bottom w:val="none" w:sz="0" w:space="0" w:color="auto"/>
        <w:right w:val="none" w:sz="0" w:space="0" w:color="auto"/>
      </w:divBdr>
      <w:divsChild>
        <w:div w:id="623737527">
          <w:marLeft w:val="480"/>
          <w:marRight w:val="0"/>
          <w:marTop w:val="0"/>
          <w:marBottom w:val="0"/>
          <w:divBdr>
            <w:top w:val="none" w:sz="0" w:space="0" w:color="auto"/>
            <w:left w:val="none" w:sz="0" w:space="0" w:color="auto"/>
            <w:bottom w:val="none" w:sz="0" w:space="0" w:color="auto"/>
            <w:right w:val="none" w:sz="0" w:space="0" w:color="auto"/>
          </w:divBdr>
          <w:divsChild>
            <w:div w:id="149271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390601">
      <w:bodyDiv w:val="1"/>
      <w:marLeft w:val="0"/>
      <w:marRight w:val="0"/>
      <w:marTop w:val="0"/>
      <w:marBottom w:val="0"/>
      <w:divBdr>
        <w:top w:val="none" w:sz="0" w:space="0" w:color="auto"/>
        <w:left w:val="none" w:sz="0" w:space="0" w:color="auto"/>
        <w:bottom w:val="none" w:sz="0" w:space="0" w:color="auto"/>
        <w:right w:val="none" w:sz="0" w:space="0" w:color="auto"/>
      </w:divBdr>
      <w:divsChild>
        <w:div w:id="1091901154">
          <w:marLeft w:val="480"/>
          <w:marRight w:val="0"/>
          <w:marTop w:val="0"/>
          <w:marBottom w:val="0"/>
          <w:divBdr>
            <w:top w:val="none" w:sz="0" w:space="0" w:color="auto"/>
            <w:left w:val="none" w:sz="0" w:space="0" w:color="auto"/>
            <w:bottom w:val="none" w:sz="0" w:space="0" w:color="auto"/>
            <w:right w:val="none" w:sz="0" w:space="0" w:color="auto"/>
          </w:divBdr>
          <w:divsChild>
            <w:div w:id="131945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237807">
      <w:bodyDiv w:val="1"/>
      <w:marLeft w:val="0"/>
      <w:marRight w:val="0"/>
      <w:marTop w:val="0"/>
      <w:marBottom w:val="0"/>
      <w:divBdr>
        <w:top w:val="none" w:sz="0" w:space="0" w:color="auto"/>
        <w:left w:val="none" w:sz="0" w:space="0" w:color="auto"/>
        <w:bottom w:val="none" w:sz="0" w:space="0" w:color="auto"/>
        <w:right w:val="none" w:sz="0" w:space="0" w:color="auto"/>
      </w:divBdr>
      <w:divsChild>
        <w:div w:id="820273645">
          <w:marLeft w:val="480"/>
          <w:marRight w:val="0"/>
          <w:marTop w:val="0"/>
          <w:marBottom w:val="0"/>
          <w:divBdr>
            <w:top w:val="none" w:sz="0" w:space="0" w:color="auto"/>
            <w:left w:val="none" w:sz="0" w:space="0" w:color="auto"/>
            <w:bottom w:val="none" w:sz="0" w:space="0" w:color="auto"/>
            <w:right w:val="none" w:sz="0" w:space="0" w:color="auto"/>
          </w:divBdr>
          <w:divsChild>
            <w:div w:id="73670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03333">
      <w:bodyDiv w:val="1"/>
      <w:marLeft w:val="0"/>
      <w:marRight w:val="0"/>
      <w:marTop w:val="0"/>
      <w:marBottom w:val="0"/>
      <w:divBdr>
        <w:top w:val="none" w:sz="0" w:space="0" w:color="auto"/>
        <w:left w:val="none" w:sz="0" w:space="0" w:color="auto"/>
        <w:bottom w:val="none" w:sz="0" w:space="0" w:color="auto"/>
        <w:right w:val="none" w:sz="0" w:space="0" w:color="auto"/>
      </w:divBdr>
      <w:divsChild>
        <w:div w:id="1658997461">
          <w:marLeft w:val="480"/>
          <w:marRight w:val="0"/>
          <w:marTop w:val="0"/>
          <w:marBottom w:val="0"/>
          <w:divBdr>
            <w:top w:val="none" w:sz="0" w:space="0" w:color="auto"/>
            <w:left w:val="none" w:sz="0" w:space="0" w:color="auto"/>
            <w:bottom w:val="none" w:sz="0" w:space="0" w:color="auto"/>
            <w:right w:val="none" w:sz="0" w:space="0" w:color="auto"/>
          </w:divBdr>
          <w:divsChild>
            <w:div w:id="11936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13712">
      <w:bodyDiv w:val="1"/>
      <w:marLeft w:val="0"/>
      <w:marRight w:val="0"/>
      <w:marTop w:val="0"/>
      <w:marBottom w:val="0"/>
      <w:divBdr>
        <w:top w:val="none" w:sz="0" w:space="0" w:color="auto"/>
        <w:left w:val="none" w:sz="0" w:space="0" w:color="auto"/>
        <w:bottom w:val="none" w:sz="0" w:space="0" w:color="auto"/>
        <w:right w:val="none" w:sz="0" w:space="0" w:color="auto"/>
      </w:divBdr>
      <w:divsChild>
        <w:div w:id="40179693">
          <w:marLeft w:val="480"/>
          <w:marRight w:val="0"/>
          <w:marTop w:val="0"/>
          <w:marBottom w:val="0"/>
          <w:divBdr>
            <w:top w:val="none" w:sz="0" w:space="0" w:color="auto"/>
            <w:left w:val="none" w:sz="0" w:space="0" w:color="auto"/>
            <w:bottom w:val="none" w:sz="0" w:space="0" w:color="auto"/>
            <w:right w:val="none" w:sz="0" w:space="0" w:color="auto"/>
          </w:divBdr>
          <w:divsChild>
            <w:div w:id="158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907819">
      <w:bodyDiv w:val="1"/>
      <w:marLeft w:val="0"/>
      <w:marRight w:val="0"/>
      <w:marTop w:val="0"/>
      <w:marBottom w:val="0"/>
      <w:divBdr>
        <w:top w:val="none" w:sz="0" w:space="0" w:color="auto"/>
        <w:left w:val="none" w:sz="0" w:space="0" w:color="auto"/>
        <w:bottom w:val="none" w:sz="0" w:space="0" w:color="auto"/>
        <w:right w:val="none" w:sz="0" w:space="0" w:color="auto"/>
      </w:divBdr>
      <w:divsChild>
        <w:div w:id="1418863537">
          <w:marLeft w:val="480"/>
          <w:marRight w:val="0"/>
          <w:marTop w:val="0"/>
          <w:marBottom w:val="0"/>
          <w:divBdr>
            <w:top w:val="none" w:sz="0" w:space="0" w:color="auto"/>
            <w:left w:val="none" w:sz="0" w:space="0" w:color="auto"/>
            <w:bottom w:val="none" w:sz="0" w:space="0" w:color="auto"/>
            <w:right w:val="none" w:sz="0" w:space="0" w:color="auto"/>
          </w:divBdr>
          <w:divsChild>
            <w:div w:id="125567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369646">
      <w:bodyDiv w:val="1"/>
      <w:marLeft w:val="0"/>
      <w:marRight w:val="0"/>
      <w:marTop w:val="0"/>
      <w:marBottom w:val="0"/>
      <w:divBdr>
        <w:top w:val="none" w:sz="0" w:space="0" w:color="auto"/>
        <w:left w:val="none" w:sz="0" w:space="0" w:color="auto"/>
        <w:bottom w:val="none" w:sz="0" w:space="0" w:color="auto"/>
        <w:right w:val="none" w:sz="0" w:space="0" w:color="auto"/>
      </w:divBdr>
    </w:div>
    <w:div w:id="1694066803">
      <w:bodyDiv w:val="1"/>
      <w:marLeft w:val="0"/>
      <w:marRight w:val="0"/>
      <w:marTop w:val="0"/>
      <w:marBottom w:val="0"/>
      <w:divBdr>
        <w:top w:val="none" w:sz="0" w:space="0" w:color="auto"/>
        <w:left w:val="none" w:sz="0" w:space="0" w:color="auto"/>
        <w:bottom w:val="none" w:sz="0" w:space="0" w:color="auto"/>
        <w:right w:val="none" w:sz="0" w:space="0" w:color="auto"/>
      </w:divBdr>
      <w:divsChild>
        <w:div w:id="313412949">
          <w:marLeft w:val="480"/>
          <w:marRight w:val="0"/>
          <w:marTop w:val="0"/>
          <w:marBottom w:val="0"/>
          <w:divBdr>
            <w:top w:val="none" w:sz="0" w:space="0" w:color="auto"/>
            <w:left w:val="none" w:sz="0" w:space="0" w:color="auto"/>
            <w:bottom w:val="none" w:sz="0" w:space="0" w:color="auto"/>
            <w:right w:val="none" w:sz="0" w:space="0" w:color="auto"/>
          </w:divBdr>
          <w:divsChild>
            <w:div w:id="19205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382321">
      <w:bodyDiv w:val="1"/>
      <w:marLeft w:val="0"/>
      <w:marRight w:val="0"/>
      <w:marTop w:val="0"/>
      <w:marBottom w:val="0"/>
      <w:divBdr>
        <w:top w:val="none" w:sz="0" w:space="0" w:color="auto"/>
        <w:left w:val="none" w:sz="0" w:space="0" w:color="auto"/>
        <w:bottom w:val="none" w:sz="0" w:space="0" w:color="auto"/>
        <w:right w:val="none" w:sz="0" w:space="0" w:color="auto"/>
      </w:divBdr>
      <w:divsChild>
        <w:div w:id="811142054">
          <w:marLeft w:val="480"/>
          <w:marRight w:val="0"/>
          <w:marTop w:val="0"/>
          <w:marBottom w:val="0"/>
          <w:divBdr>
            <w:top w:val="none" w:sz="0" w:space="0" w:color="auto"/>
            <w:left w:val="none" w:sz="0" w:space="0" w:color="auto"/>
            <w:bottom w:val="none" w:sz="0" w:space="0" w:color="auto"/>
            <w:right w:val="none" w:sz="0" w:space="0" w:color="auto"/>
          </w:divBdr>
          <w:divsChild>
            <w:div w:id="102212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4095">
      <w:bodyDiv w:val="1"/>
      <w:marLeft w:val="0"/>
      <w:marRight w:val="0"/>
      <w:marTop w:val="0"/>
      <w:marBottom w:val="0"/>
      <w:divBdr>
        <w:top w:val="none" w:sz="0" w:space="0" w:color="auto"/>
        <w:left w:val="none" w:sz="0" w:space="0" w:color="auto"/>
        <w:bottom w:val="none" w:sz="0" w:space="0" w:color="auto"/>
        <w:right w:val="none" w:sz="0" w:space="0" w:color="auto"/>
      </w:divBdr>
    </w:div>
    <w:div w:id="1722317359">
      <w:bodyDiv w:val="1"/>
      <w:marLeft w:val="0"/>
      <w:marRight w:val="0"/>
      <w:marTop w:val="0"/>
      <w:marBottom w:val="0"/>
      <w:divBdr>
        <w:top w:val="none" w:sz="0" w:space="0" w:color="auto"/>
        <w:left w:val="none" w:sz="0" w:space="0" w:color="auto"/>
        <w:bottom w:val="none" w:sz="0" w:space="0" w:color="auto"/>
        <w:right w:val="none" w:sz="0" w:space="0" w:color="auto"/>
      </w:divBdr>
      <w:divsChild>
        <w:div w:id="1819564501">
          <w:marLeft w:val="480"/>
          <w:marRight w:val="0"/>
          <w:marTop w:val="0"/>
          <w:marBottom w:val="0"/>
          <w:divBdr>
            <w:top w:val="none" w:sz="0" w:space="0" w:color="auto"/>
            <w:left w:val="none" w:sz="0" w:space="0" w:color="auto"/>
            <w:bottom w:val="none" w:sz="0" w:space="0" w:color="auto"/>
            <w:right w:val="none" w:sz="0" w:space="0" w:color="auto"/>
          </w:divBdr>
          <w:divsChild>
            <w:div w:id="89647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94808">
      <w:bodyDiv w:val="1"/>
      <w:marLeft w:val="0"/>
      <w:marRight w:val="0"/>
      <w:marTop w:val="0"/>
      <w:marBottom w:val="0"/>
      <w:divBdr>
        <w:top w:val="none" w:sz="0" w:space="0" w:color="auto"/>
        <w:left w:val="none" w:sz="0" w:space="0" w:color="auto"/>
        <w:bottom w:val="none" w:sz="0" w:space="0" w:color="auto"/>
        <w:right w:val="none" w:sz="0" w:space="0" w:color="auto"/>
      </w:divBdr>
      <w:divsChild>
        <w:div w:id="1942376323">
          <w:marLeft w:val="480"/>
          <w:marRight w:val="0"/>
          <w:marTop w:val="0"/>
          <w:marBottom w:val="0"/>
          <w:divBdr>
            <w:top w:val="none" w:sz="0" w:space="0" w:color="auto"/>
            <w:left w:val="none" w:sz="0" w:space="0" w:color="auto"/>
            <w:bottom w:val="none" w:sz="0" w:space="0" w:color="auto"/>
            <w:right w:val="none" w:sz="0" w:space="0" w:color="auto"/>
          </w:divBdr>
          <w:divsChild>
            <w:div w:id="176338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78000">
      <w:bodyDiv w:val="1"/>
      <w:marLeft w:val="0"/>
      <w:marRight w:val="0"/>
      <w:marTop w:val="0"/>
      <w:marBottom w:val="0"/>
      <w:divBdr>
        <w:top w:val="none" w:sz="0" w:space="0" w:color="auto"/>
        <w:left w:val="none" w:sz="0" w:space="0" w:color="auto"/>
        <w:bottom w:val="none" w:sz="0" w:space="0" w:color="auto"/>
        <w:right w:val="none" w:sz="0" w:space="0" w:color="auto"/>
      </w:divBdr>
      <w:divsChild>
        <w:div w:id="1687557231">
          <w:marLeft w:val="480"/>
          <w:marRight w:val="0"/>
          <w:marTop w:val="0"/>
          <w:marBottom w:val="0"/>
          <w:divBdr>
            <w:top w:val="none" w:sz="0" w:space="0" w:color="auto"/>
            <w:left w:val="none" w:sz="0" w:space="0" w:color="auto"/>
            <w:bottom w:val="none" w:sz="0" w:space="0" w:color="auto"/>
            <w:right w:val="none" w:sz="0" w:space="0" w:color="auto"/>
          </w:divBdr>
          <w:divsChild>
            <w:div w:id="11580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638787">
      <w:bodyDiv w:val="1"/>
      <w:marLeft w:val="0"/>
      <w:marRight w:val="0"/>
      <w:marTop w:val="0"/>
      <w:marBottom w:val="0"/>
      <w:divBdr>
        <w:top w:val="none" w:sz="0" w:space="0" w:color="auto"/>
        <w:left w:val="none" w:sz="0" w:space="0" w:color="auto"/>
        <w:bottom w:val="none" w:sz="0" w:space="0" w:color="auto"/>
        <w:right w:val="none" w:sz="0" w:space="0" w:color="auto"/>
      </w:divBdr>
      <w:divsChild>
        <w:div w:id="1114136275">
          <w:marLeft w:val="480"/>
          <w:marRight w:val="0"/>
          <w:marTop w:val="0"/>
          <w:marBottom w:val="0"/>
          <w:divBdr>
            <w:top w:val="none" w:sz="0" w:space="0" w:color="auto"/>
            <w:left w:val="none" w:sz="0" w:space="0" w:color="auto"/>
            <w:bottom w:val="none" w:sz="0" w:space="0" w:color="auto"/>
            <w:right w:val="none" w:sz="0" w:space="0" w:color="auto"/>
          </w:divBdr>
          <w:divsChild>
            <w:div w:id="204304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0567">
      <w:bodyDiv w:val="1"/>
      <w:marLeft w:val="0"/>
      <w:marRight w:val="0"/>
      <w:marTop w:val="0"/>
      <w:marBottom w:val="0"/>
      <w:divBdr>
        <w:top w:val="none" w:sz="0" w:space="0" w:color="auto"/>
        <w:left w:val="none" w:sz="0" w:space="0" w:color="auto"/>
        <w:bottom w:val="none" w:sz="0" w:space="0" w:color="auto"/>
        <w:right w:val="none" w:sz="0" w:space="0" w:color="auto"/>
      </w:divBdr>
      <w:divsChild>
        <w:div w:id="852842708">
          <w:marLeft w:val="480"/>
          <w:marRight w:val="0"/>
          <w:marTop w:val="0"/>
          <w:marBottom w:val="0"/>
          <w:divBdr>
            <w:top w:val="none" w:sz="0" w:space="0" w:color="auto"/>
            <w:left w:val="none" w:sz="0" w:space="0" w:color="auto"/>
            <w:bottom w:val="none" w:sz="0" w:space="0" w:color="auto"/>
            <w:right w:val="none" w:sz="0" w:space="0" w:color="auto"/>
          </w:divBdr>
          <w:divsChild>
            <w:div w:id="99256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530752">
      <w:bodyDiv w:val="1"/>
      <w:marLeft w:val="0"/>
      <w:marRight w:val="0"/>
      <w:marTop w:val="0"/>
      <w:marBottom w:val="0"/>
      <w:divBdr>
        <w:top w:val="none" w:sz="0" w:space="0" w:color="auto"/>
        <w:left w:val="none" w:sz="0" w:space="0" w:color="auto"/>
        <w:bottom w:val="none" w:sz="0" w:space="0" w:color="auto"/>
        <w:right w:val="none" w:sz="0" w:space="0" w:color="auto"/>
      </w:divBdr>
      <w:divsChild>
        <w:div w:id="964969002">
          <w:marLeft w:val="480"/>
          <w:marRight w:val="0"/>
          <w:marTop w:val="0"/>
          <w:marBottom w:val="0"/>
          <w:divBdr>
            <w:top w:val="none" w:sz="0" w:space="0" w:color="auto"/>
            <w:left w:val="none" w:sz="0" w:space="0" w:color="auto"/>
            <w:bottom w:val="none" w:sz="0" w:space="0" w:color="auto"/>
            <w:right w:val="none" w:sz="0" w:space="0" w:color="auto"/>
          </w:divBdr>
          <w:divsChild>
            <w:div w:id="38784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463559">
      <w:bodyDiv w:val="1"/>
      <w:marLeft w:val="0"/>
      <w:marRight w:val="0"/>
      <w:marTop w:val="0"/>
      <w:marBottom w:val="0"/>
      <w:divBdr>
        <w:top w:val="none" w:sz="0" w:space="0" w:color="auto"/>
        <w:left w:val="none" w:sz="0" w:space="0" w:color="auto"/>
        <w:bottom w:val="none" w:sz="0" w:space="0" w:color="auto"/>
        <w:right w:val="none" w:sz="0" w:space="0" w:color="auto"/>
      </w:divBdr>
      <w:divsChild>
        <w:div w:id="1562592460">
          <w:marLeft w:val="480"/>
          <w:marRight w:val="0"/>
          <w:marTop w:val="0"/>
          <w:marBottom w:val="0"/>
          <w:divBdr>
            <w:top w:val="none" w:sz="0" w:space="0" w:color="auto"/>
            <w:left w:val="none" w:sz="0" w:space="0" w:color="auto"/>
            <w:bottom w:val="none" w:sz="0" w:space="0" w:color="auto"/>
            <w:right w:val="none" w:sz="0" w:space="0" w:color="auto"/>
          </w:divBdr>
          <w:divsChild>
            <w:div w:id="9575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487835">
      <w:bodyDiv w:val="1"/>
      <w:marLeft w:val="0"/>
      <w:marRight w:val="0"/>
      <w:marTop w:val="0"/>
      <w:marBottom w:val="0"/>
      <w:divBdr>
        <w:top w:val="none" w:sz="0" w:space="0" w:color="auto"/>
        <w:left w:val="none" w:sz="0" w:space="0" w:color="auto"/>
        <w:bottom w:val="none" w:sz="0" w:space="0" w:color="auto"/>
        <w:right w:val="none" w:sz="0" w:space="0" w:color="auto"/>
      </w:divBdr>
      <w:divsChild>
        <w:div w:id="1720594235">
          <w:marLeft w:val="480"/>
          <w:marRight w:val="0"/>
          <w:marTop w:val="0"/>
          <w:marBottom w:val="0"/>
          <w:divBdr>
            <w:top w:val="none" w:sz="0" w:space="0" w:color="auto"/>
            <w:left w:val="none" w:sz="0" w:space="0" w:color="auto"/>
            <w:bottom w:val="none" w:sz="0" w:space="0" w:color="auto"/>
            <w:right w:val="none" w:sz="0" w:space="0" w:color="auto"/>
          </w:divBdr>
          <w:divsChild>
            <w:div w:id="112724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111063">
      <w:bodyDiv w:val="1"/>
      <w:marLeft w:val="0"/>
      <w:marRight w:val="0"/>
      <w:marTop w:val="0"/>
      <w:marBottom w:val="0"/>
      <w:divBdr>
        <w:top w:val="none" w:sz="0" w:space="0" w:color="auto"/>
        <w:left w:val="none" w:sz="0" w:space="0" w:color="auto"/>
        <w:bottom w:val="none" w:sz="0" w:space="0" w:color="auto"/>
        <w:right w:val="none" w:sz="0" w:space="0" w:color="auto"/>
      </w:divBdr>
      <w:divsChild>
        <w:div w:id="1030884833">
          <w:marLeft w:val="480"/>
          <w:marRight w:val="0"/>
          <w:marTop w:val="0"/>
          <w:marBottom w:val="0"/>
          <w:divBdr>
            <w:top w:val="none" w:sz="0" w:space="0" w:color="auto"/>
            <w:left w:val="none" w:sz="0" w:space="0" w:color="auto"/>
            <w:bottom w:val="none" w:sz="0" w:space="0" w:color="auto"/>
            <w:right w:val="none" w:sz="0" w:space="0" w:color="auto"/>
          </w:divBdr>
          <w:divsChild>
            <w:div w:id="28031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9951">
      <w:bodyDiv w:val="1"/>
      <w:marLeft w:val="0"/>
      <w:marRight w:val="0"/>
      <w:marTop w:val="0"/>
      <w:marBottom w:val="0"/>
      <w:divBdr>
        <w:top w:val="none" w:sz="0" w:space="0" w:color="auto"/>
        <w:left w:val="none" w:sz="0" w:space="0" w:color="auto"/>
        <w:bottom w:val="none" w:sz="0" w:space="0" w:color="auto"/>
        <w:right w:val="none" w:sz="0" w:space="0" w:color="auto"/>
      </w:divBdr>
      <w:divsChild>
        <w:div w:id="1524857587">
          <w:marLeft w:val="480"/>
          <w:marRight w:val="0"/>
          <w:marTop w:val="0"/>
          <w:marBottom w:val="0"/>
          <w:divBdr>
            <w:top w:val="none" w:sz="0" w:space="0" w:color="auto"/>
            <w:left w:val="none" w:sz="0" w:space="0" w:color="auto"/>
            <w:bottom w:val="none" w:sz="0" w:space="0" w:color="auto"/>
            <w:right w:val="none" w:sz="0" w:space="0" w:color="auto"/>
          </w:divBdr>
          <w:divsChild>
            <w:div w:id="128426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11579">
      <w:bodyDiv w:val="1"/>
      <w:marLeft w:val="0"/>
      <w:marRight w:val="0"/>
      <w:marTop w:val="0"/>
      <w:marBottom w:val="0"/>
      <w:divBdr>
        <w:top w:val="none" w:sz="0" w:space="0" w:color="auto"/>
        <w:left w:val="none" w:sz="0" w:space="0" w:color="auto"/>
        <w:bottom w:val="none" w:sz="0" w:space="0" w:color="auto"/>
        <w:right w:val="none" w:sz="0" w:space="0" w:color="auto"/>
      </w:divBdr>
      <w:divsChild>
        <w:div w:id="1733187573">
          <w:marLeft w:val="480"/>
          <w:marRight w:val="0"/>
          <w:marTop w:val="0"/>
          <w:marBottom w:val="0"/>
          <w:divBdr>
            <w:top w:val="none" w:sz="0" w:space="0" w:color="auto"/>
            <w:left w:val="none" w:sz="0" w:space="0" w:color="auto"/>
            <w:bottom w:val="none" w:sz="0" w:space="0" w:color="auto"/>
            <w:right w:val="none" w:sz="0" w:space="0" w:color="auto"/>
          </w:divBdr>
          <w:divsChild>
            <w:div w:id="1486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819270">
      <w:bodyDiv w:val="1"/>
      <w:marLeft w:val="0"/>
      <w:marRight w:val="0"/>
      <w:marTop w:val="0"/>
      <w:marBottom w:val="0"/>
      <w:divBdr>
        <w:top w:val="none" w:sz="0" w:space="0" w:color="auto"/>
        <w:left w:val="none" w:sz="0" w:space="0" w:color="auto"/>
        <w:bottom w:val="none" w:sz="0" w:space="0" w:color="auto"/>
        <w:right w:val="none" w:sz="0" w:space="0" w:color="auto"/>
      </w:divBdr>
      <w:divsChild>
        <w:div w:id="1610316485">
          <w:marLeft w:val="480"/>
          <w:marRight w:val="0"/>
          <w:marTop w:val="0"/>
          <w:marBottom w:val="0"/>
          <w:divBdr>
            <w:top w:val="none" w:sz="0" w:space="0" w:color="auto"/>
            <w:left w:val="none" w:sz="0" w:space="0" w:color="auto"/>
            <w:bottom w:val="none" w:sz="0" w:space="0" w:color="auto"/>
            <w:right w:val="none" w:sz="0" w:space="0" w:color="auto"/>
          </w:divBdr>
          <w:divsChild>
            <w:div w:id="154101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376748">
      <w:bodyDiv w:val="1"/>
      <w:marLeft w:val="0"/>
      <w:marRight w:val="0"/>
      <w:marTop w:val="0"/>
      <w:marBottom w:val="0"/>
      <w:divBdr>
        <w:top w:val="none" w:sz="0" w:space="0" w:color="auto"/>
        <w:left w:val="none" w:sz="0" w:space="0" w:color="auto"/>
        <w:bottom w:val="none" w:sz="0" w:space="0" w:color="auto"/>
        <w:right w:val="none" w:sz="0" w:space="0" w:color="auto"/>
      </w:divBdr>
      <w:divsChild>
        <w:div w:id="450901689">
          <w:marLeft w:val="480"/>
          <w:marRight w:val="0"/>
          <w:marTop w:val="0"/>
          <w:marBottom w:val="0"/>
          <w:divBdr>
            <w:top w:val="none" w:sz="0" w:space="0" w:color="auto"/>
            <w:left w:val="none" w:sz="0" w:space="0" w:color="auto"/>
            <w:bottom w:val="none" w:sz="0" w:space="0" w:color="auto"/>
            <w:right w:val="none" w:sz="0" w:space="0" w:color="auto"/>
          </w:divBdr>
          <w:divsChild>
            <w:div w:id="41289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08869">
      <w:bodyDiv w:val="1"/>
      <w:marLeft w:val="0"/>
      <w:marRight w:val="0"/>
      <w:marTop w:val="0"/>
      <w:marBottom w:val="0"/>
      <w:divBdr>
        <w:top w:val="none" w:sz="0" w:space="0" w:color="auto"/>
        <w:left w:val="none" w:sz="0" w:space="0" w:color="auto"/>
        <w:bottom w:val="none" w:sz="0" w:space="0" w:color="auto"/>
        <w:right w:val="none" w:sz="0" w:space="0" w:color="auto"/>
      </w:divBdr>
      <w:divsChild>
        <w:div w:id="876239431">
          <w:marLeft w:val="480"/>
          <w:marRight w:val="0"/>
          <w:marTop w:val="0"/>
          <w:marBottom w:val="0"/>
          <w:divBdr>
            <w:top w:val="none" w:sz="0" w:space="0" w:color="auto"/>
            <w:left w:val="none" w:sz="0" w:space="0" w:color="auto"/>
            <w:bottom w:val="none" w:sz="0" w:space="0" w:color="auto"/>
            <w:right w:val="none" w:sz="0" w:space="0" w:color="auto"/>
          </w:divBdr>
          <w:divsChild>
            <w:div w:id="162780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48384">
      <w:bodyDiv w:val="1"/>
      <w:marLeft w:val="0"/>
      <w:marRight w:val="0"/>
      <w:marTop w:val="0"/>
      <w:marBottom w:val="0"/>
      <w:divBdr>
        <w:top w:val="none" w:sz="0" w:space="0" w:color="auto"/>
        <w:left w:val="none" w:sz="0" w:space="0" w:color="auto"/>
        <w:bottom w:val="none" w:sz="0" w:space="0" w:color="auto"/>
        <w:right w:val="none" w:sz="0" w:space="0" w:color="auto"/>
      </w:divBdr>
      <w:divsChild>
        <w:div w:id="2099784713">
          <w:marLeft w:val="480"/>
          <w:marRight w:val="0"/>
          <w:marTop w:val="0"/>
          <w:marBottom w:val="0"/>
          <w:divBdr>
            <w:top w:val="none" w:sz="0" w:space="0" w:color="auto"/>
            <w:left w:val="none" w:sz="0" w:space="0" w:color="auto"/>
            <w:bottom w:val="none" w:sz="0" w:space="0" w:color="auto"/>
            <w:right w:val="none" w:sz="0" w:space="0" w:color="auto"/>
          </w:divBdr>
          <w:divsChild>
            <w:div w:id="114801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98879">
      <w:bodyDiv w:val="1"/>
      <w:marLeft w:val="0"/>
      <w:marRight w:val="0"/>
      <w:marTop w:val="0"/>
      <w:marBottom w:val="0"/>
      <w:divBdr>
        <w:top w:val="none" w:sz="0" w:space="0" w:color="auto"/>
        <w:left w:val="none" w:sz="0" w:space="0" w:color="auto"/>
        <w:bottom w:val="none" w:sz="0" w:space="0" w:color="auto"/>
        <w:right w:val="none" w:sz="0" w:space="0" w:color="auto"/>
      </w:divBdr>
      <w:divsChild>
        <w:div w:id="133832706">
          <w:marLeft w:val="480"/>
          <w:marRight w:val="0"/>
          <w:marTop w:val="0"/>
          <w:marBottom w:val="0"/>
          <w:divBdr>
            <w:top w:val="none" w:sz="0" w:space="0" w:color="auto"/>
            <w:left w:val="none" w:sz="0" w:space="0" w:color="auto"/>
            <w:bottom w:val="none" w:sz="0" w:space="0" w:color="auto"/>
            <w:right w:val="none" w:sz="0" w:space="0" w:color="auto"/>
          </w:divBdr>
          <w:divsChild>
            <w:div w:id="69693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584292">
      <w:bodyDiv w:val="1"/>
      <w:marLeft w:val="0"/>
      <w:marRight w:val="0"/>
      <w:marTop w:val="0"/>
      <w:marBottom w:val="0"/>
      <w:divBdr>
        <w:top w:val="none" w:sz="0" w:space="0" w:color="auto"/>
        <w:left w:val="none" w:sz="0" w:space="0" w:color="auto"/>
        <w:bottom w:val="none" w:sz="0" w:space="0" w:color="auto"/>
        <w:right w:val="none" w:sz="0" w:space="0" w:color="auto"/>
      </w:divBdr>
      <w:divsChild>
        <w:div w:id="23869860">
          <w:marLeft w:val="480"/>
          <w:marRight w:val="0"/>
          <w:marTop w:val="0"/>
          <w:marBottom w:val="0"/>
          <w:divBdr>
            <w:top w:val="none" w:sz="0" w:space="0" w:color="auto"/>
            <w:left w:val="none" w:sz="0" w:space="0" w:color="auto"/>
            <w:bottom w:val="none" w:sz="0" w:space="0" w:color="auto"/>
            <w:right w:val="none" w:sz="0" w:space="0" w:color="auto"/>
          </w:divBdr>
          <w:divsChild>
            <w:div w:id="68321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585151">
      <w:bodyDiv w:val="1"/>
      <w:marLeft w:val="0"/>
      <w:marRight w:val="0"/>
      <w:marTop w:val="0"/>
      <w:marBottom w:val="0"/>
      <w:divBdr>
        <w:top w:val="none" w:sz="0" w:space="0" w:color="auto"/>
        <w:left w:val="none" w:sz="0" w:space="0" w:color="auto"/>
        <w:bottom w:val="none" w:sz="0" w:space="0" w:color="auto"/>
        <w:right w:val="none" w:sz="0" w:space="0" w:color="auto"/>
      </w:divBdr>
      <w:divsChild>
        <w:div w:id="293095742">
          <w:marLeft w:val="480"/>
          <w:marRight w:val="0"/>
          <w:marTop w:val="0"/>
          <w:marBottom w:val="0"/>
          <w:divBdr>
            <w:top w:val="none" w:sz="0" w:space="0" w:color="auto"/>
            <w:left w:val="none" w:sz="0" w:space="0" w:color="auto"/>
            <w:bottom w:val="none" w:sz="0" w:space="0" w:color="auto"/>
            <w:right w:val="none" w:sz="0" w:space="0" w:color="auto"/>
          </w:divBdr>
          <w:divsChild>
            <w:div w:id="15188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51798">
      <w:bodyDiv w:val="1"/>
      <w:marLeft w:val="0"/>
      <w:marRight w:val="0"/>
      <w:marTop w:val="0"/>
      <w:marBottom w:val="0"/>
      <w:divBdr>
        <w:top w:val="none" w:sz="0" w:space="0" w:color="auto"/>
        <w:left w:val="none" w:sz="0" w:space="0" w:color="auto"/>
        <w:bottom w:val="none" w:sz="0" w:space="0" w:color="auto"/>
        <w:right w:val="none" w:sz="0" w:space="0" w:color="auto"/>
      </w:divBdr>
      <w:divsChild>
        <w:div w:id="1169902850">
          <w:marLeft w:val="480"/>
          <w:marRight w:val="0"/>
          <w:marTop w:val="0"/>
          <w:marBottom w:val="0"/>
          <w:divBdr>
            <w:top w:val="none" w:sz="0" w:space="0" w:color="auto"/>
            <w:left w:val="none" w:sz="0" w:space="0" w:color="auto"/>
            <w:bottom w:val="none" w:sz="0" w:space="0" w:color="auto"/>
            <w:right w:val="none" w:sz="0" w:space="0" w:color="auto"/>
          </w:divBdr>
          <w:divsChild>
            <w:div w:id="179968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56111">
      <w:bodyDiv w:val="1"/>
      <w:marLeft w:val="0"/>
      <w:marRight w:val="0"/>
      <w:marTop w:val="0"/>
      <w:marBottom w:val="0"/>
      <w:divBdr>
        <w:top w:val="none" w:sz="0" w:space="0" w:color="auto"/>
        <w:left w:val="none" w:sz="0" w:space="0" w:color="auto"/>
        <w:bottom w:val="none" w:sz="0" w:space="0" w:color="auto"/>
        <w:right w:val="none" w:sz="0" w:space="0" w:color="auto"/>
      </w:divBdr>
    </w:div>
    <w:div w:id="1956407450">
      <w:bodyDiv w:val="1"/>
      <w:marLeft w:val="0"/>
      <w:marRight w:val="0"/>
      <w:marTop w:val="0"/>
      <w:marBottom w:val="0"/>
      <w:divBdr>
        <w:top w:val="none" w:sz="0" w:space="0" w:color="auto"/>
        <w:left w:val="none" w:sz="0" w:space="0" w:color="auto"/>
        <w:bottom w:val="none" w:sz="0" w:space="0" w:color="auto"/>
        <w:right w:val="none" w:sz="0" w:space="0" w:color="auto"/>
      </w:divBdr>
      <w:divsChild>
        <w:div w:id="1888755020">
          <w:marLeft w:val="480"/>
          <w:marRight w:val="0"/>
          <w:marTop w:val="0"/>
          <w:marBottom w:val="0"/>
          <w:divBdr>
            <w:top w:val="none" w:sz="0" w:space="0" w:color="auto"/>
            <w:left w:val="none" w:sz="0" w:space="0" w:color="auto"/>
            <w:bottom w:val="none" w:sz="0" w:space="0" w:color="auto"/>
            <w:right w:val="none" w:sz="0" w:space="0" w:color="auto"/>
          </w:divBdr>
          <w:divsChild>
            <w:div w:id="59586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30898">
      <w:bodyDiv w:val="1"/>
      <w:marLeft w:val="0"/>
      <w:marRight w:val="0"/>
      <w:marTop w:val="0"/>
      <w:marBottom w:val="0"/>
      <w:divBdr>
        <w:top w:val="none" w:sz="0" w:space="0" w:color="auto"/>
        <w:left w:val="none" w:sz="0" w:space="0" w:color="auto"/>
        <w:bottom w:val="none" w:sz="0" w:space="0" w:color="auto"/>
        <w:right w:val="none" w:sz="0" w:space="0" w:color="auto"/>
      </w:divBdr>
      <w:divsChild>
        <w:div w:id="700663295">
          <w:marLeft w:val="480"/>
          <w:marRight w:val="0"/>
          <w:marTop w:val="0"/>
          <w:marBottom w:val="0"/>
          <w:divBdr>
            <w:top w:val="none" w:sz="0" w:space="0" w:color="auto"/>
            <w:left w:val="none" w:sz="0" w:space="0" w:color="auto"/>
            <w:bottom w:val="none" w:sz="0" w:space="0" w:color="auto"/>
            <w:right w:val="none" w:sz="0" w:space="0" w:color="auto"/>
          </w:divBdr>
          <w:divsChild>
            <w:div w:id="81757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667000">
      <w:bodyDiv w:val="1"/>
      <w:marLeft w:val="0"/>
      <w:marRight w:val="0"/>
      <w:marTop w:val="0"/>
      <w:marBottom w:val="0"/>
      <w:divBdr>
        <w:top w:val="none" w:sz="0" w:space="0" w:color="auto"/>
        <w:left w:val="none" w:sz="0" w:space="0" w:color="auto"/>
        <w:bottom w:val="none" w:sz="0" w:space="0" w:color="auto"/>
        <w:right w:val="none" w:sz="0" w:space="0" w:color="auto"/>
      </w:divBdr>
      <w:divsChild>
        <w:div w:id="561210348">
          <w:marLeft w:val="480"/>
          <w:marRight w:val="0"/>
          <w:marTop w:val="0"/>
          <w:marBottom w:val="0"/>
          <w:divBdr>
            <w:top w:val="none" w:sz="0" w:space="0" w:color="auto"/>
            <w:left w:val="none" w:sz="0" w:space="0" w:color="auto"/>
            <w:bottom w:val="none" w:sz="0" w:space="0" w:color="auto"/>
            <w:right w:val="none" w:sz="0" w:space="0" w:color="auto"/>
          </w:divBdr>
          <w:divsChild>
            <w:div w:id="55916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79372">
      <w:bodyDiv w:val="1"/>
      <w:marLeft w:val="0"/>
      <w:marRight w:val="0"/>
      <w:marTop w:val="0"/>
      <w:marBottom w:val="0"/>
      <w:divBdr>
        <w:top w:val="none" w:sz="0" w:space="0" w:color="auto"/>
        <w:left w:val="none" w:sz="0" w:space="0" w:color="auto"/>
        <w:bottom w:val="none" w:sz="0" w:space="0" w:color="auto"/>
        <w:right w:val="none" w:sz="0" w:space="0" w:color="auto"/>
      </w:divBdr>
    </w:div>
    <w:div w:id="2014793656">
      <w:bodyDiv w:val="1"/>
      <w:marLeft w:val="0"/>
      <w:marRight w:val="0"/>
      <w:marTop w:val="0"/>
      <w:marBottom w:val="0"/>
      <w:divBdr>
        <w:top w:val="none" w:sz="0" w:space="0" w:color="auto"/>
        <w:left w:val="none" w:sz="0" w:space="0" w:color="auto"/>
        <w:bottom w:val="none" w:sz="0" w:space="0" w:color="auto"/>
        <w:right w:val="none" w:sz="0" w:space="0" w:color="auto"/>
      </w:divBdr>
      <w:divsChild>
        <w:div w:id="295721606">
          <w:marLeft w:val="480"/>
          <w:marRight w:val="0"/>
          <w:marTop w:val="0"/>
          <w:marBottom w:val="0"/>
          <w:divBdr>
            <w:top w:val="none" w:sz="0" w:space="0" w:color="auto"/>
            <w:left w:val="none" w:sz="0" w:space="0" w:color="auto"/>
            <w:bottom w:val="none" w:sz="0" w:space="0" w:color="auto"/>
            <w:right w:val="none" w:sz="0" w:space="0" w:color="auto"/>
          </w:divBdr>
          <w:divsChild>
            <w:div w:id="90206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914019">
      <w:bodyDiv w:val="1"/>
      <w:marLeft w:val="0"/>
      <w:marRight w:val="0"/>
      <w:marTop w:val="0"/>
      <w:marBottom w:val="0"/>
      <w:divBdr>
        <w:top w:val="none" w:sz="0" w:space="0" w:color="auto"/>
        <w:left w:val="none" w:sz="0" w:space="0" w:color="auto"/>
        <w:bottom w:val="none" w:sz="0" w:space="0" w:color="auto"/>
        <w:right w:val="none" w:sz="0" w:space="0" w:color="auto"/>
      </w:divBdr>
      <w:divsChild>
        <w:div w:id="2040814581">
          <w:marLeft w:val="480"/>
          <w:marRight w:val="0"/>
          <w:marTop w:val="0"/>
          <w:marBottom w:val="0"/>
          <w:divBdr>
            <w:top w:val="none" w:sz="0" w:space="0" w:color="auto"/>
            <w:left w:val="none" w:sz="0" w:space="0" w:color="auto"/>
            <w:bottom w:val="none" w:sz="0" w:space="0" w:color="auto"/>
            <w:right w:val="none" w:sz="0" w:space="0" w:color="auto"/>
          </w:divBdr>
          <w:divsChild>
            <w:div w:id="162569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623887">
      <w:bodyDiv w:val="1"/>
      <w:marLeft w:val="0"/>
      <w:marRight w:val="0"/>
      <w:marTop w:val="0"/>
      <w:marBottom w:val="0"/>
      <w:divBdr>
        <w:top w:val="none" w:sz="0" w:space="0" w:color="auto"/>
        <w:left w:val="none" w:sz="0" w:space="0" w:color="auto"/>
        <w:bottom w:val="none" w:sz="0" w:space="0" w:color="auto"/>
        <w:right w:val="none" w:sz="0" w:space="0" w:color="auto"/>
      </w:divBdr>
      <w:divsChild>
        <w:div w:id="1482380494">
          <w:marLeft w:val="480"/>
          <w:marRight w:val="0"/>
          <w:marTop w:val="0"/>
          <w:marBottom w:val="0"/>
          <w:divBdr>
            <w:top w:val="none" w:sz="0" w:space="0" w:color="auto"/>
            <w:left w:val="none" w:sz="0" w:space="0" w:color="auto"/>
            <w:bottom w:val="none" w:sz="0" w:space="0" w:color="auto"/>
            <w:right w:val="none" w:sz="0" w:space="0" w:color="auto"/>
          </w:divBdr>
          <w:divsChild>
            <w:div w:id="27383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064702">
      <w:bodyDiv w:val="1"/>
      <w:marLeft w:val="0"/>
      <w:marRight w:val="0"/>
      <w:marTop w:val="0"/>
      <w:marBottom w:val="0"/>
      <w:divBdr>
        <w:top w:val="none" w:sz="0" w:space="0" w:color="auto"/>
        <w:left w:val="none" w:sz="0" w:space="0" w:color="auto"/>
        <w:bottom w:val="none" w:sz="0" w:space="0" w:color="auto"/>
        <w:right w:val="none" w:sz="0" w:space="0" w:color="auto"/>
      </w:divBdr>
      <w:divsChild>
        <w:div w:id="1765764610">
          <w:marLeft w:val="480"/>
          <w:marRight w:val="0"/>
          <w:marTop w:val="0"/>
          <w:marBottom w:val="0"/>
          <w:divBdr>
            <w:top w:val="none" w:sz="0" w:space="0" w:color="auto"/>
            <w:left w:val="none" w:sz="0" w:space="0" w:color="auto"/>
            <w:bottom w:val="none" w:sz="0" w:space="0" w:color="auto"/>
            <w:right w:val="none" w:sz="0" w:space="0" w:color="auto"/>
          </w:divBdr>
          <w:divsChild>
            <w:div w:id="899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93020">
      <w:bodyDiv w:val="1"/>
      <w:marLeft w:val="0"/>
      <w:marRight w:val="0"/>
      <w:marTop w:val="0"/>
      <w:marBottom w:val="0"/>
      <w:divBdr>
        <w:top w:val="none" w:sz="0" w:space="0" w:color="auto"/>
        <w:left w:val="none" w:sz="0" w:space="0" w:color="auto"/>
        <w:bottom w:val="none" w:sz="0" w:space="0" w:color="auto"/>
        <w:right w:val="none" w:sz="0" w:space="0" w:color="auto"/>
      </w:divBdr>
      <w:divsChild>
        <w:div w:id="878933363">
          <w:marLeft w:val="480"/>
          <w:marRight w:val="0"/>
          <w:marTop w:val="0"/>
          <w:marBottom w:val="0"/>
          <w:divBdr>
            <w:top w:val="none" w:sz="0" w:space="0" w:color="auto"/>
            <w:left w:val="none" w:sz="0" w:space="0" w:color="auto"/>
            <w:bottom w:val="none" w:sz="0" w:space="0" w:color="auto"/>
            <w:right w:val="none" w:sz="0" w:space="0" w:color="auto"/>
          </w:divBdr>
          <w:divsChild>
            <w:div w:id="172393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88017">
      <w:bodyDiv w:val="1"/>
      <w:marLeft w:val="0"/>
      <w:marRight w:val="0"/>
      <w:marTop w:val="0"/>
      <w:marBottom w:val="0"/>
      <w:divBdr>
        <w:top w:val="none" w:sz="0" w:space="0" w:color="auto"/>
        <w:left w:val="none" w:sz="0" w:space="0" w:color="auto"/>
        <w:bottom w:val="none" w:sz="0" w:space="0" w:color="auto"/>
        <w:right w:val="none" w:sz="0" w:space="0" w:color="auto"/>
      </w:divBdr>
      <w:divsChild>
        <w:div w:id="614480246">
          <w:marLeft w:val="480"/>
          <w:marRight w:val="0"/>
          <w:marTop w:val="0"/>
          <w:marBottom w:val="0"/>
          <w:divBdr>
            <w:top w:val="none" w:sz="0" w:space="0" w:color="auto"/>
            <w:left w:val="none" w:sz="0" w:space="0" w:color="auto"/>
            <w:bottom w:val="none" w:sz="0" w:space="0" w:color="auto"/>
            <w:right w:val="none" w:sz="0" w:space="0" w:color="auto"/>
          </w:divBdr>
          <w:divsChild>
            <w:div w:id="210830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07401">
      <w:bodyDiv w:val="1"/>
      <w:marLeft w:val="0"/>
      <w:marRight w:val="0"/>
      <w:marTop w:val="0"/>
      <w:marBottom w:val="0"/>
      <w:divBdr>
        <w:top w:val="none" w:sz="0" w:space="0" w:color="auto"/>
        <w:left w:val="none" w:sz="0" w:space="0" w:color="auto"/>
        <w:bottom w:val="none" w:sz="0" w:space="0" w:color="auto"/>
        <w:right w:val="none" w:sz="0" w:space="0" w:color="auto"/>
      </w:divBdr>
      <w:divsChild>
        <w:div w:id="1486629530">
          <w:marLeft w:val="480"/>
          <w:marRight w:val="0"/>
          <w:marTop w:val="0"/>
          <w:marBottom w:val="0"/>
          <w:divBdr>
            <w:top w:val="none" w:sz="0" w:space="0" w:color="auto"/>
            <w:left w:val="none" w:sz="0" w:space="0" w:color="auto"/>
            <w:bottom w:val="none" w:sz="0" w:space="0" w:color="auto"/>
            <w:right w:val="none" w:sz="0" w:space="0" w:color="auto"/>
          </w:divBdr>
          <w:divsChild>
            <w:div w:id="122572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903500">
      <w:bodyDiv w:val="1"/>
      <w:marLeft w:val="0"/>
      <w:marRight w:val="0"/>
      <w:marTop w:val="0"/>
      <w:marBottom w:val="0"/>
      <w:divBdr>
        <w:top w:val="none" w:sz="0" w:space="0" w:color="auto"/>
        <w:left w:val="none" w:sz="0" w:space="0" w:color="auto"/>
        <w:bottom w:val="none" w:sz="0" w:space="0" w:color="auto"/>
        <w:right w:val="none" w:sz="0" w:space="0" w:color="auto"/>
      </w:divBdr>
    </w:div>
    <w:div w:id="2093815983">
      <w:bodyDiv w:val="1"/>
      <w:marLeft w:val="0"/>
      <w:marRight w:val="0"/>
      <w:marTop w:val="0"/>
      <w:marBottom w:val="0"/>
      <w:divBdr>
        <w:top w:val="none" w:sz="0" w:space="0" w:color="auto"/>
        <w:left w:val="none" w:sz="0" w:space="0" w:color="auto"/>
        <w:bottom w:val="none" w:sz="0" w:space="0" w:color="auto"/>
        <w:right w:val="none" w:sz="0" w:space="0" w:color="auto"/>
      </w:divBdr>
      <w:divsChild>
        <w:div w:id="652948777">
          <w:marLeft w:val="480"/>
          <w:marRight w:val="0"/>
          <w:marTop w:val="0"/>
          <w:marBottom w:val="0"/>
          <w:divBdr>
            <w:top w:val="none" w:sz="0" w:space="0" w:color="auto"/>
            <w:left w:val="none" w:sz="0" w:space="0" w:color="auto"/>
            <w:bottom w:val="none" w:sz="0" w:space="0" w:color="auto"/>
            <w:right w:val="none" w:sz="0" w:space="0" w:color="auto"/>
          </w:divBdr>
          <w:divsChild>
            <w:div w:id="130550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435034">
      <w:bodyDiv w:val="1"/>
      <w:marLeft w:val="0"/>
      <w:marRight w:val="0"/>
      <w:marTop w:val="0"/>
      <w:marBottom w:val="0"/>
      <w:divBdr>
        <w:top w:val="none" w:sz="0" w:space="0" w:color="auto"/>
        <w:left w:val="none" w:sz="0" w:space="0" w:color="auto"/>
        <w:bottom w:val="none" w:sz="0" w:space="0" w:color="auto"/>
        <w:right w:val="none" w:sz="0" w:space="0" w:color="auto"/>
      </w:divBdr>
      <w:divsChild>
        <w:div w:id="1289120665">
          <w:marLeft w:val="480"/>
          <w:marRight w:val="0"/>
          <w:marTop w:val="0"/>
          <w:marBottom w:val="0"/>
          <w:divBdr>
            <w:top w:val="none" w:sz="0" w:space="0" w:color="auto"/>
            <w:left w:val="none" w:sz="0" w:space="0" w:color="auto"/>
            <w:bottom w:val="none" w:sz="0" w:space="0" w:color="auto"/>
            <w:right w:val="none" w:sz="0" w:space="0" w:color="auto"/>
          </w:divBdr>
          <w:divsChild>
            <w:div w:id="99183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912006">
      <w:bodyDiv w:val="1"/>
      <w:marLeft w:val="0"/>
      <w:marRight w:val="0"/>
      <w:marTop w:val="0"/>
      <w:marBottom w:val="0"/>
      <w:divBdr>
        <w:top w:val="none" w:sz="0" w:space="0" w:color="auto"/>
        <w:left w:val="none" w:sz="0" w:space="0" w:color="auto"/>
        <w:bottom w:val="none" w:sz="0" w:space="0" w:color="auto"/>
        <w:right w:val="none" w:sz="0" w:space="0" w:color="auto"/>
      </w:divBdr>
      <w:divsChild>
        <w:div w:id="1087192592">
          <w:marLeft w:val="480"/>
          <w:marRight w:val="0"/>
          <w:marTop w:val="0"/>
          <w:marBottom w:val="0"/>
          <w:divBdr>
            <w:top w:val="none" w:sz="0" w:space="0" w:color="auto"/>
            <w:left w:val="none" w:sz="0" w:space="0" w:color="auto"/>
            <w:bottom w:val="none" w:sz="0" w:space="0" w:color="auto"/>
            <w:right w:val="none" w:sz="0" w:space="0" w:color="auto"/>
          </w:divBdr>
          <w:divsChild>
            <w:div w:id="74599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882406">
      <w:bodyDiv w:val="1"/>
      <w:marLeft w:val="0"/>
      <w:marRight w:val="0"/>
      <w:marTop w:val="0"/>
      <w:marBottom w:val="0"/>
      <w:divBdr>
        <w:top w:val="none" w:sz="0" w:space="0" w:color="auto"/>
        <w:left w:val="none" w:sz="0" w:space="0" w:color="auto"/>
        <w:bottom w:val="none" w:sz="0" w:space="0" w:color="auto"/>
        <w:right w:val="none" w:sz="0" w:space="0" w:color="auto"/>
      </w:divBdr>
      <w:divsChild>
        <w:div w:id="638607840">
          <w:marLeft w:val="480"/>
          <w:marRight w:val="0"/>
          <w:marTop w:val="0"/>
          <w:marBottom w:val="0"/>
          <w:divBdr>
            <w:top w:val="none" w:sz="0" w:space="0" w:color="auto"/>
            <w:left w:val="none" w:sz="0" w:space="0" w:color="auto"/>
            <w:bottom w:val="none" w:sz="0" w:space="0" w:color="auto"/>
            <w:right w:val="none" w:sz="0" w:space="0" w:color="auto"/>
          </w:divBdr>
          <w:divsChild>
            <w:div w:id="91744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10738">
      <w:bodyDiv w:val="1"/>
      <w:marLeft w:val="0"/>
      <w:marRight w:val="0"/>
      <w:marTop w:val="0"/>
      <w:marBottom w:val="0"/>
      <w:divBdr>
        <w:top w:val="none" w:sz="0" w:space="0" w:color="auto"/>
        <w:left w:val="none" w:sz="0" w:space="0" w:color="auto"/>
        <w:bottom w:val="none" w:sz="0" w:space="0" w:color="auto"/>
        <w:right w:val="none" w:sz="0" w:space="0" w:color="auto"/>
      </w:divBdr>
      <w:divsChild>
        <w:div w:id="1732607925">
          <w:marLeft w:val="480"/>
          <w:marRight w:val="0"/>
          <w:marTop w:val="0"/>
          <w:marBottom w:val="0"/>
          <w:divBdr>
            <w:top w:val="none" w:sz="0" w:space="0" w:color="auto"/>
            <w:left w:val="none" w:sz="0" w:space="0" w:color="auto"/>
            <w:bottom w:val="none" w:sz="0" w:space="0" w:color="auto"/>
            <w:right w:val="none" w:sz="0" w:space="0" w:color="auto"/>
          </w:divBdr>
          <w:divsChild>
            <w:div w:id="65106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rcgis.com/apps/dashboards/7d7167d11e4e4c4496ced8cafacb0fed" TargetMode="External"/><Relationship Id="rId21" Type="http://schemas.openxmlformats.org/officeDocument/2006/relationships/image" Target="media/image5.jpeg"/><Relationship Id="rId34" Type="http://schemas.openxmlformats.org/officeDocument/2006/relationships/image" Target="media/image16.png"/><Relationship Id="rId42" Type="http://schemas.openxmlformats.org/officeDocument/2006/relationships/hyperlink" Target="https://doi.org/10.1016/B978-0-323-95377-1.00013-8" TargetMode="External"/><Relationship Id="rId47" Type="http://schemas.openxmlformats.org/officeDocument/2006/relationships/hyperlink" Target="https://www.dcceew.gov.au/environment/marine/publications/factsheet-fisheries-assessments" TargetMode="External"/><Relationship Id="rId50" Type="http://schemas.openxmlformats.org/officeDocument/2006/relationships/hyperlink" Target="https://doi.org/10.1126/science.abg4351" TargetMode="External"/><Relationship Id="rId55" Type="http://schemas.openxmlformats.org/officeDocument/2006/relationships/hyperlink" Target="https://doi.org/10.1007/s11033-019-04747-1" TargetMode="External"/><Relationship Id="rId63" Type="http://schemas.openxmlformats.org/officeDocument/2006/relationships/header" Target="header5.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1.png"/><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4.jpeg"/><Relationship Id="rId37" Type="http://schemas.openxmlformats.org/officeDocument/2006/relationships/hyperlink" Target="https://www.abc.net.au/news/2021-10-14/illegal-fishing-boat-influx-off-australian-mainland/100530120" TargetMode="External"/><Relationship Id="rId40" Type="http://schemas.openxmlformats.org/officeDocument/2006/relationships/hyperlink" Target="https://www.aims.gov.au/research-topics/environmental-issues/coral-bleaching/coral-bleaching-events" TargetMode="External"/><Relationship Id="rId45" Type="http://schemas.openxmlformats.org/officeDocument/2006/relationships/hyperlink" Target="https://doi.org/10.1016/j.aquaculture.2021.736690" TargetMode="External"/><Relationship Id="rId53" Type="http://schemas.openxmlformats.org/officeDocument/2006/relationships/hyperlink" Target="https://doi.org/10.1080/23802359.2021.1920509" TargetMode="External"/><Relationship Id="rId58" Type="http://schemas.openxmlformats.org/officeDocument/2006/relationships/hyperlink" Target="https://doi.org/10.1016/j.ecolind.2011.06.021" TargetMode="External"/><Relationship Id="rId66" Type="http://schemas.openxmlformats.org/officeDocument/2006/relationships/footer" Target="footer6.xml"/><Relationship Id="rId5" Type="http://schemas.openxmlformats.org/officeDocument/2006/relationships/webSettings" Target="webSettings.xml"/><Relationship Id="rId61" Type="http://schemas.openxmlformats.org/officeDocument/2006/relationships/hyperlink" Target="https://doi.org/10.1002/arco.5091" TargetMode="External"/><Relationship Id="rId19" Type="http://schemas.openxmlformats.org/officeDocument/2006/relationships/image" Target="media/image3.jpeg"/><Relationship Id="rId14" Type="http://schemas.openxmlformats.org/officeDocument/2006/relationships/footer" Target="footer3.xml"/><Relationship Id="rId22" Type="http://schemas.openxmlformats.org/officeDocument/2006/relationships/hyperlink" Target="http://www.csiro.au/connie3"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s://doi.org/10.18195/issn.0313-122x.77.2009.209-220" TargetMode="External"/><Relationship Id="rId48" Type="http://schemas.openxmlformats.org/officeDocument/2006/relationships/hyperlink" Target="https://www.dcceew.gov.au/environment/wildlife-trade/cites" TargetMode="External"/><Relationship Id="rId56" Type="http://schemas.openxmlformats.org/officeDocument/2006/relationships/hyperlink" Target="https://doi.org/10.1071/MF14146" TargetMode="External"/><Relationship Id="rId64" Type="http://schemas.openxmlformats.org/officeDocument/2006/relationships/image" Target="media/image19.jpeg"/><Relationship Id="rId8" Type="http://schemas.openxmlformats.org/officeDocument/2006/relationships/image" Target="media/image1.png"/><Relationship Id="rId51" Type="http://schemas.openxmlformats.org/officeDocument/2006/relationships/hyperlink" Target="https://doi.org/10.3390/jmse12030371"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hyperlink" Target="https://www.abc.net.au/news/2023-11-19/illegal-indonesian-fishers-resurgence-northern-australia-/103063244" TargetMode="External"/><Relationship Id="rId46" Type="http://schemas.openxmlformats.org/officeDocument/2006/relationships/hyperlink" Target="http://dx.doi.org/10.2305/IUCN.UK.2013-1.RLTS.T200715A2681354.en" TargetMode="External"/><Relationship Id="rId59" Type="http://schemas.openxmlformats.org/officeDocument/2006/relationships/hyperlink" Target="https://doi.org/10.1155/2011/783030" TargetMode="External"/><Relationship Id="rId67"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hyperlink" Target="https://doi.org/10.3759/tropics.10.591" TargetMode="External"/><Relationship Id="rId54" Type="http://schemas.openxmlformats.org/officeDocument/2006/relationships/hyperlink" Target="https://doi.org/10.5263/labourhistory.103.0039" TargetMode="External"/><Relationship Id="rId62" Type="http://schemas.openxmlformats.org/officeDocument/2006/relationships/hyperlink" Target="https://doi.org/10.1016/j.csr.2013.05.01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6.jpeg"/><Relationship Id="rId28" Type="http://schemas.openxmlformats.org/officeDocument/2006/relationships/image" Target="media/image10.emf"/><Relationship Id="rId36" Type="http://schemas.openxmlformats.org/officeDocument/2006/relationships/image" Target="media/image18.jpeg"/><Relationship Id="rId49" Type="http://schemas.openxmlformats.org/officeDocument/2006/relationships/hyperlink" Target="https://www.dcceew.gov.au/environment/wildlife-trade/cites" TargetMode="External"/><Relationship Id="rId57" Type="http://schemas.openxmlformats.org/officeDocument/2006/relationships/hyperlink" Target="https://doi.org/10.1016/j.jembe.2006.02.007" TargetMode="External"/><Relationship Id="rId10" Type="http://schemas.openxmlformats.org/officeDocument/2006/relationships/header" Target="header2.xml"/><Relationship Id="rId31" Type="http://schemas.openxmlformats.org/officeDocument/2006/relationships/image" Target="media/image13.png"/><Relationship Id="rId44" Type="http://schemas.openxmlformats.org/officeDocument/2006/relationships/hyperlink" Target="https://doi.org/10.1016/j.ympev.2010.04.013" TargetMode="External"/><Relationship Id="rId52" Type="http://schemas.openxmlformats.org/officeDocument/2006/relationships/hyperlink" Target="https://doi.org/10.5670/oceanog.2018.205" TargetMode="External"/><Relationship Id="rId60" Type="http://schemas.openxmlformats.org/officeDocument/2006/relationships/hyperlink" Target="https://doi.org/10.1163/22134379-90003835" TargetMode="External"/><Relationship Id="rId65"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png"/><Relationship Id="rId39" Type="http://schemas.openxmlformats.org/officeDocument/2006/relationships/hyperlink" Target="https://www.biodiversity.org.au/afd/taxa/Holothuria_%28Microthele%2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msk\AppData\Roaming\Microsoft\Templates\Basic_blac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2D770-8742-4E67-A9BA-E94AF68DB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Basic_black.dotx</Template>
  <TotalTime>8248</TotalTime>
  <Pages>64</Pages>
  <Words>28576</Words>
  <Characters>162886</Characters>
  <Application>Microsoft Office Word</Application>
  <DocSecurity>0</DocSecurity>
  <Lines>1357</Lines>
  <Paragraphs>382</Paragraphs>
  <ScaleCrop>false</ScaleCrop>
  <HeadingPairs>
    <vt:vector size="2" baseType="variant">
      <vt:variant>
        <vt:lpstr>Title</vt:lpstr>
      </vt:variant>
      <vt:variant>
        <vt:i4>1</vt:i4>
      </vt:variant>
    </vt:vector>
  </HeadingPairs>
  <TitlesOfParts>
    <vt:vector size="1" baseType="lpstr">
      <vt:lpstr>Report</vt:lpstr>
    </vt:vector>
  </TitlesOfParts>
  <Company>Tim Skewes Consulting</Company>
  <LinksUpToDate>false</LinksUpToDate>
  <CharactersWithSpaces>191080</CharactersWithSpaces>
  <SharedDoc>false</SharedDoc>
  <HLinks>
    <vt:vector size="138" baseType="variant">
      <vt:variant>
        <vt:i4>1703995</vt:i4>
      </vt:variant>
      <vt:variant>
        <vt:i4>146</vt:i4>
      </vt:variant>
      <vt:variant>
        <vt:i4>0</vt:i4>
      </vt:variant>
      <vt:variant>
        <vt:i4>5</vt:i4>
      </vt:variant>
      <vt:variant>
        <vt:lpwstr/>
      </vt:variant>
      <vt:variant>
        <vt:lpwstr>_Toc320199176</vt:lpwstr>
      </vt:variant>
      <vt:variant>
        <vt:i4>1507377</vt:i4>
      </vt:variant>
      <vt:variant>
        <vt:i4>137</vt:i4>
      </vt:variant>
      <vt:variant>
        <vt:i4>0</vt:i4>
      </vt:variant>
      <vt:variant>
        <vt:i4>5</vt:i4>
      </vt:variant>
      <vt:variant>
        <vt:lpwstr/>
      </vt:variant>
      <vt:variant>
        <vt:lpwstr>_Toc316900483</vt:lpwstr>
      </vt:variant>
      <vt:variant>
        <vt:i4>1507377</vt:i4>
      </vt:variant>
      <vt:variant>
        <vt:i4>131</vt:i4>
      </vt:variant>
      <vt:variant>
        <vt:i4>0</vt:i4>
      </vt:variant>
      <vt:variant>
        <vt:i4>5</vt:i4>
      </vt:variant>
      <vt:variant>
        <vt:lpwstr/>
      </vt:variant>
      <vt:variant>
        <vt:lpwstr>_Toc316900482</vt:lpwstr>
      </vt:variant>
      <vt:variant>
        <vt:i4>1507377</vt:i4>
      </vt:variant>
      <vt:variant>
        <vt:i4>125</vt:i4>
      </vt:variant>
      <vt:variant>
        <vt:i4>0</vt:i4>
      </vt:variant>
      <vt:variant>
        <vt:i4>5</vt:i4>
      </vt:variant>
      <vt:variant>
        <vt:lpwstr/>
      </vt:variant>
      <vt:variant>
        <vt:lpwstr>_Toc316900481</vt:lpwstr>
      </vt:variant>
      <vt:variant>
        <vt:i4>1703995</vt:i4>
      </vt:variant>
      <vt:variant>
        <vt:i4>116</vt:i4>
      </vt:variant>
      <vt:variant>
        <vt:i4>0</vt:i4>
      </vt:variant>
      <vt:variant>
        <vt:i4>5</vt:i4>
      </vt:variant>
      <vt:variant>
        <vt:lpwstr/>
      </vt:variant>
      <vt:variant>
        <vt:lpwstr>_Toc320199172</vt:lpwstr>
      </vt:variant>
      <vt:variant>
        <vt:i4>1572913</vt:i4>
      </vt:variant>
      <vt:variant>
        <vt:i4>107</vt:i4>
      </vt:variant>
      <vt:variant>
        <vt:i4>0</vt:i4>
      </vt:variant>
      <vt:variant>
        <vt:i4>5</vt:i4>
      </vt:variant>
      <vt:variant>
        <vt:lpwstr/>
      </vt:variant>
      <vt:variant>
        <vt:lpwstr>_Toc316900479</vt:lpwstr>
      </vt:variant>
      <vt:variant>
        <vt:i4>1572913</vt:i4>
      </vt:variant>
      <vt:variant>
        <vt:i4>101</vt:i4>
      </vt:variant>
      <vt:variant>
        <vt:i4>0</vt:i4>
      </vt:variant>
      <vt:variant>
        <vt:i4>5</vt:i4>
      </vt:variant>
      <vt:variant>
        <vt:lpwstr/>
      </vt:variant>
      <vt:variant>
        <vt:lpwstr>_Toc316900478</vt:lpwstr>
      </vt:variant>
      <vt:variant>
        <vt:i4>1572913</vt:i4>
      </vt:variant>
      <vt:variant>
        <vt:i4>95</vt:i4>
      </vt:variant>
      <vt:variant>
        <vt:i4>0</vt:i4>
      </vt:variant>
      <vt:variant>
        <vt:i4>5</vt:i4>
      </vt:variant>
      <vt:variant>
        <vt:lpwstr/>
      </vt:variant>
      <vt:variant>
        <vt:lpwstr>_Toc316900477</vt:lpwstr>
      </vt:variant>
      <vt:variant>
        <vt:i4>1376308</vt:i4>
      </vt:variant>
      <vt:variant>
        <vt:i4>86</vt:i4>
      </vt:variant>
      <vt:variant>
        <vt:i4>0</vt:i4>
      </vt:variant>
      <vt:variant>
        <vt:i4>5</vt:i4>
      </vt:variant>
      <vt:variant>
        <vt:lpwstr/>
      </vt:variant>
      <vt:variant>
        <vt:lpwstr>_Toc316902183</vt:lpwstr>
      </vt:variant>
      <vt:variant>
        <vt:i4>1376308</vt:i4>
      </vt:variant>
      <vt:variant>
        <vt:i4>80</vt:i4>
      </vt:variant>
      <vt:variant>
        <vt:i4>0</vt:i4>
      </vt:variant>
      <vt:variant>
        <vt:i4>5</vt:i4>
      </vt:variant>
      <vt:variant>
        <vt:lpwstr/>
      </vt:variant>
      <vt:variant>
        <vt:lpwstr>_Toc316902182</vt:lpwstr>
      </vt:variant>
      <vt:variant>
        <vt:i4>1376308</vt:i4>
      </vt:variant>
      <vt:variant>
        <vt:i4>74</vt:i4>
      </vt:variant>
      <vt:variant>
        <vt:i4>0</vt:i4>
      </vt:variant>
      <vt:variant>
        <vt:i4>5</vt:i4>
      </vt:variant>
      <vt:variant>
        <vt:lpwstr/>
      </vt:variant>
      <vt:variant>
        <vt:lpwstr>_Toc316902181</vt:lpwstr>
      </vt:variant>
      <vt:variant>
        <vt:i4>1376308</vt:i4>
      </vt:variant>
      <vt:variant>
        <vt:i4>68</vt:i4>
      </vt:variant>
      <vt:variant>
        <vt:i4>0</vt:i4>
      </vt:variant>
      <vt:variant>
        <vt:i4>5</vt:i4>
      </vt:variant>
      <vt:variant>
        <vt:lpwstr/>
      </vt:variant>
      <vt:variant>
        <vt:lpwstr>_Toc316902180</vt:lpwstr>
      </vt:variant>
      <vt:variant>
        <vt:i4>1703988</vt:i4>
      </vt:variant>
      <vt:variant>
        <vt:i4>62</vt:i4>
      </vt:variant>
      <vt:variant>
        <vt:i4>0</vt:i4>
      </vt:variant>
      <vt:variant>
        <vt:i4>5</vt:i4>
      </vt:variant>
      <vt:variant>
        <vt:lpwstr/>
      </vt:variant>
      <vt:variant>
        <vt:lpwstr>_Toc316902179</vt:lpwstr>
      </vt:variant>
      <vt:variant>
        <vt:i4>1703988</vt:i4>
      </vt:variant>
      <vt:variant>
        <vt:i4>56</vt:i4>
      </vt:variant>
      <vt:variant>
        <vt:i4>0</vt:i4>
      </vt:variant>
      <vt:variant>
        <vt:i4>5</vt:i4>
      </vt:variant>
      <vt:variant>
        <vt:lpwstr/>
      </vt:variant>
      <vt:variant>
        <vt:lpwstr>_Toc316902178</vt:lpwstr>
      </vt:variant>
      <vt:variant>
        <vt:i4>1703988</vt:i4>
      </vt:variant>
      <vt:variant>
        <vt:i4>50</vt:i4>
      </vt:variant>
      <vt:variant>
        <vt:i4>0</vt:i4>
      </vt:variant>
      <vt:variant>
        <vt:i4>5</vt:i4>
      </vt:variant>
      <vt:variant>
        <vt:lpwstr/>
      </vt:variant>
      <vt:variant>
        <vt:lpwstr>_Toc316902177</vt:lpwstr>
      </vt:variant>
      <vt:variant>
        <vt:i4>1703988</vt:i4>
      </vt:variant>
      <vt:variant>
        <vt:i4>44</vt:i4>
      </vt:variant>
      <vt:variant>
        <vt:i4>0</vt:i4>
      </vt:variant>
      <vt:variant>
        <vt:i4>5</vt:i4>
      </vt:variant>
      <vt:variant>
        <vt:lpwstr/>
      </vt:variant>
      <vt:variant>
        <vt:lpwstr>_Toc316902176</vt:lpwstr>
      </vt:variant>
      <vt:variant>
        <vt:i4>1703988</vt:i4>
      </vt:variant>
      <vt:variant>
        <vt:i4>38</vt:i4>
      </vt:variant>
      <vt:variant>
        <vt:i4>0</vt:i4>
      </vt:variant>
      <vt:variant>
        <vt:i4>5</vt:i4>
      </vt:variant>
      <vt:variant>
        <vt:lpwstr/>
      </vt:variant>
      <vt:variant>
        <vt:lpwstr>_Toc316902175</vt:lpwstr>
      </vt:variant>
      <vt:variant>
        <vt:i4>1703988</vt:i4>
      </vt:variant>
      <vt:variant>
        <vt:i4>32</vt:i4>
      </vt:variant>
      <vt:variant>
        <vt:i4>0</vt:i4>
      </vt:variant>
      <vt:variant>
        <vt:i4>5</vt:i4>
      </vt:variant>
      <vt:variant>
        <vt:lpwstr/>
      </vt:variant>
      <vt:variant>
        <vt:lpwstr>_Toc316902174</vt:lpwstr>
      </vt:variant>
      <vt:variant>
        <vt:i4>1703988</vt:i4>
      </vt:variant>
      <vt:variant>
        <vt:i4>26</vt:i4>
      </vt:variant>
      <vt:variant>
        <vt:i4>0</vt:i4>
      </vt:variant>
      <vt:variant>
        <vt:i4>5</vt:i4>
      </vt:variant>
      <vt:variant>
        <vt:lpwstr/>
      </vt:variant>
      <vt:variant>
        <vt:lpwstr>_Toc316902173</vt:lpwstr>
      </vt:variant>
      <vt:variant>
        <vt:i4>1703988</vt:i4>
      </vt:variant>
      <vt:variant>
        <vt:i4>20</vt:i4>
      </vt:variant>
      <vt:variant>
        <vt:i4>0</vt:i4>
      </vt:variant>
      <vt:variant>
        <vt:i4>5</vt:i4>
      </vt:variant>
      <vt:variant>
        <vt:lpwstr/>
      </vt:variant>
      <vt:variant>
        <vt:lpwstr>_Toc316902172</vt:lpwstr>
      </vt:variant>
      <vt:variant>
        <vt:i4>1703988</vt:i4>
      </vt:variant>
      <vt:variant>
        <vt:i4>14</vt:i4>
      </vt:variant>
      <vt:variant>
        <vt:i4>0</vt:i4>
      </vt:variant>
      <vt:variant>
        <vt:i4>5</vt:i4>
      </vt:variant>
      <vt:variant>
        <vt:lpwstr/>
      </vt:variant>
      <vt:variant>
        <vt:lpwstr>_Toc316902171</vt:lpwstr>
      </vt:variant>
      <vt:variant>
        <vt:i4>1703988</vt:i4>
      </vt:variant>
      <vt:variant>
        <vt:i4>8</vt:i4>
      </vt:variant>
      <vt:variant>
        <vt:i4>0</vt:i4>
      </vt:variant>
      <vt:variant>
        <vt:i4>5</vt:i4>
      </vt:variant>
      <vt:variant>
        <vt:lpwstr/>
      </vt:variant>
      <vt:variant>
        <vt:lpwstr>_Toc316902170</vt:lpwstr>
      </vt:variant>
      <vt:variant>
        <vt:i4>1769524</vt:i4>
      </vt:variant>
      <vt:variant>
        <vt:i4>2</vt:i4>
      </vt:variant>
      <vt:variant>
        <vt:i4>0</vt:i4>
      </vt:variant>
      <vt:variant>
        <vt:i4>5</vt:i4>
      </vt:variant>
      <vt:variant>
        <vt:lpwstr/>
      </vt:variant>
      <vt:variant>
        <vt:lpwstr>_Toc316902169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subject/>
  <dc:creator>Timothy Skewes</dc:creator>
  <cp:keywords/>
  <cp:lastModifiedBy>Tim Skewes</cp:lastModifiedBy>
  <cp:revision>107</cp:revision>
  <cp:lastPrinted>2025-01-29T05:01:00Z</cp:lastPrinted>
  <dcterms:created xsi:type="dcterms:W3CDTF">2023-11-23T04:29:00Z</dcterms:created>
  <dcterms:modified xsi:type="dcterms:W3CDTF">2025-01-29T05:01:00Z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0x010100529B7581109BE041A80104B7BC62AE32</vt:lpwstr>
  </property>
</Properties>
</file>