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050"/>
        <w:tblW w:w="0" w:type="auto"/>
        <w:tblLook w:val="01E0" w:firstRow="1" w:lastRow="1" w:firstColumn="1" w:lastColumn="1" w:noHBand="0" w:noVBand="0"/>
      </w:tblPr>
      <w:tblGrid>
        <w:gridCol w:w="9638"/>
      </w:tblGrid>
      <w:tr w:rsidR="00A943B2" w:rsidRPr="00716588" w14:paraId="1DC417C7" w14:textId="77777777" w:rsidTr="00D366A3">
        <w:tc>
          <w:tcPr>
            <w:tcW w:w="9638" w:type="dxa"/>
          </w:tcPr>
          <w:p w14:paraId="13F3DB95" w14:textId="2BE41C23" w:rsidR="00DD488F" w:rsidRDefault="0022714C" w:rsidP="00D366A3">
            <w:pPr>
              <w:pStyle w:val="CoverSubtitle"/>
              <w:rPr>
                <w:b/>
                <w:iCs w:val="0"/>
                <w:spacing w:val="5"/>
                <w:kern w:val="28"/>
                <w:sz w:val="80"/>
                <w:szCs w:val="52"/>
              </w:rPr>
            </w:pPr>
            <w:r w:rsidRPr="0022714C">
              <w:rPr>
                <w:b/>
                <w:iCs w:val="0"/>
                <w:spacing w:val="5"/>
                <w:kern w:val="28"/>
                <w:sz w:val="80"/>
                <w:szCs w:val="52"/>
              </w:rPr>
              <w:t xml:space="preserve">Expert advice for the assessment of Australian </w:t>
            </w:r>
            <w:r w:rsidR="00E65578">
              <w:rPr>
                <w:b/>
                <w:iCs w:val="0"/>
                <w:spacing w:val="5"/>
                <w:kern w:val="28"/>
                <w:sz w:val="80"/>
                <w:szCs w:val="52"/>
              </w:rPr>
              <w:t>teatfish</w:t>
            </w:r>
            <w:r w:rsidRPr="0022714C">
              <w:rPr>
                <w:b/>
                <w:iCs w:val="0"/>
                <w:spacing w:val="5"/>
                <w:kern w:val="28"/>
                <w:sz w:val="80"/>
                <w:szCs w:val="52"/>
              </w:rPr>
              <w:t xml:space="preserve"> (</w:t>
            </w:r>
            <w:r w:rsidRPr="0022714C">
              <w:rPr>
                <w:b/>
                <w:i/>
                <w:spacing w:val="5"/>
                <w:kern w:val="28"/>
                <w:sz w:val="80"/>
                <w:szCs w:val="52"/>
              </w:rPr>
              <w:t xml:space="preserve">Holothuria </w:t>
            </w:r>
            <w:r w:rsidR="00E65578">
              <w:rPr>
                <w:b/>
                <w:i/>
                <w:spacing w:val="5"/>
                <w:kern w:val="28"/>
                <w:sz w:val="80"/>
                <w:szCs w:val="52"/>
              </w:rPr>
              <w:t xml:space="preserve">whitmaei </w:t>
            </w:r>
            <w:r w:rsidR="00E65578" w:rsidRPr="00E65578">
              <w:rPr>
                <w:b/>
                <w:iCs w:val="0"/>
                <w:spacing w:val="5"/>
                <w:kern w:val="28"/>
                <w:sz w:val="80"/>
                <w:szCs w:val="52"/>
              </w:rPr>
              <w:t>and</w:t>
            </w:r>
            <w:r w:rsidR="00E65578">
              <w:rPr>
                <w:b/>
                <w:i/>
                <w:spacing w:val="5"/>
                <w:kern w:val="28"/>
                <w:sz w:val="80"/>
                <w:szCs w:val="52"/>
              </w:rPr>
              <w:t xml:space="preserve"> H. fuscogilva</w:t>
            </w:r>
            <w:r w:rsidRPr="0022714C">
              <w:rPr>
                <w:b/>
                <w:iCs w:val="0"/>
                <w:spacing w:val="5"/>
                <w:kern w:val="28"/>
                <w:sz w:val="80"/>
                <w:szCs w:val="52"/>
              </w:rPr>
              <w:t>) Fisheries</w:t>
            </w:r>
            <w:r w:rsidR="00CC2110">
              <w:rPr>
                <w:b/>
                <w:iCs w:val="0"/>
                <w:spacing w:val="5"/>
                <w:kern w:val="28"/>
                <w:sz w:val="80"/>
                <w:szCs w:val="52"/>
              </w:rPr>
              <w:t>:</w:t>
            </w:r>
            <w:r w:rsidRPr="0022714C">
              <w:rPr>
                <w:b/>
                <w:iCs w:val="0"/>
                <w:spacing w:val="5"/>
                <w:kern w:val="28"/>
                <w:sz w:val="80"/>
                <w:szCs w:val="52"/>
              </w:rPr>
              <w:t xml:space="preserve"> Queensland Sea Cucumber Fishery (East Coast)</w:t>
            </w:r>
          </w:p>
          <w:p w14:paraId="1DC417C2" w14:textId="63F52FBB" w:rsidR="00A943B2" w:rsidRPr="00945373" w:rsidRDefault="00DD488F" w:rsidP="00D366A3">
            <w:pPr>
              <w:pStyle w:val="CoverSubtitle"/>
            </w:pPr>
            <w:r>
              <w:t>A r</w:t>
            </w:r>
            <w:r w:rsidRPr="00DD488F">
              <w:t>eport for Australia’s Scientific Authority for the Convention of International Trade in Endangered Species of Wild Fauna and Flora (CITES)</w:t>
            </w:r>
          </w:p>
          <w:p w14:paraId="1DC417C3" w14:textId="40903C46" w:rsidR="00A943B2" w:rsidRPr="00945373" w:rsidRDefault="00A943B2" w:rsidP="00D366A3">
            <w:pPr>
              <w:rPr>
                <w:color w:val="auto"/>
              </w:rPr>
            </w:pPr>
          </w:p>
          <w:p w14:paraId="1DC417C4" w14:textId="183962A9" w:rsidR="00A943B2" w:rsidRPr="00945373" w:rsidRDefault="00A159CD" w:rsidP="00D366A3">
            <w:pPr>
              <w:rPr>
                <w:color w:val="auto"/>
              </w:rPr>
            </w:pPr>
            <w:r>
              <w:rPr>
                <w:color w:val="auto"/>
              </w:rPr>
              <w:t>Timothy Skewes</w:t>
            </w:r>
            <w:r w:rsidRPr="00945373">
              <w:rPr>
                <w:color w:val="auto"/>
              </w:rPr>
              <w:br/>
            </w:r>
            <w:r w:rsidR="009D2668">
              <w:rPr>
                <w:color w:val="auto"/>
              </w:rPr>
              <w:t>June</w:t>
            </w:r>
            <w:r w:rsidR="00DD488F">
              <w:rPr>
                <w:color w:val="auto"/>
              </w:rPr>
              <w:t xml:space="preserve"> 202</w:t>
            </w:r>
            <w:r w:rsidR="0022714C">
              <w:rPr>
                <w:color w:val="auto"/>
              </w:rPr>
              <w:t>4</w:t>
            </w:r>
          </w:p>
          <w:p w14:paraId="1DC417C6" w14:textId="67C3C95A" w:rsidR="00A943B2" w:rsidRPr="00D366A3" w:rsidRDefault="00A943B2" w:rsidP="00E65578">
            <w:pPr>
              <w:rPr>
                <w:rStyle w:val="PartNumber"/>
              </w:rPr>
            </w:pPr>
            <w:r w:rsidRPr="00945373">
              <w:rPr>
                <w:color w:val="auto"/>
              </w:rPr>
              <w:br/>
            </w:r>
            <w:r w:rsidR="00DD488F" w:rsidRPr="00DD488F">
              <w:rPr>
                <w:color w:val="auto"/>
              </w:rPr>
              <w:t>The Department of Climate Change, Energy, the Environment and Water</w:t>
            </w:r>
          </w:p>
        </w:tc>
      </w:tr>
    </w:tbl>
    <w:p w14:paraId="1DC417CA" w14:textId="29A3AF32" w:rsidR="007E7002" w:rsidRPr="00905D34" w:rsidRDefault="007E7002" w:rsidP="00905D34"/>
    <w:p w14:paraId="005F80B8" w14:textId="77777777" w:rsidR="001D7484" w:rsidRDefault="001D7484">
      <w:pPr>
        <w:spacing w:after="0"/>
      </w:pPr>
      <w:r>
        <w:br w:type="page"/>
      </w:r>
    </w:p>
    <w:p w14:paraId="3E478A64" w14:textId="77777777" w:rsidR="00BB2B66" w:rsidRDefault="00BB2B66" w:rsidP="00BB2B66">
      <w:pPr>
        <w:pStyle w:val="VersoPageHeading"/>
      </w:pPr>
      <w:r>
        <w:lastRenderedPageBreak/>
        <w:t>Citation</w:t>
      </w:r>
    </w:p>
    <w:p w14:paraId="5994E2F6" w14:textId="0077BE22" w:rsidR="00BB2B66" w:rsidRDefault="00BB2B66" w:rsidP="00BB2B66">
      <w:bookmarkStart w:id="0" w:name="_Hlk165369301"/>
      <w:r>
        <w:t>Skewes TD (202</w:t>
      </w:r>
      <w:r w:rsidR="0022714C">
        <w:t>4</w:t>
      </w:r>
      <w:r>
        <w:t xml:space="preserve">) </w:t>
      </w:r>
      <w:r w:rsidR="00E65578" w:rsidRPr="00E65578">
        <w:t>Expert advice for the assessment of Australian teatfish (</w:t>
      </w:r>
      <w:r w:rsidR="00E65578" w:rsidRPr="00E65578">
        <w:rPr>
          <w:i/>
          <w:iCs/>
        </w:rPr>
        <w:t>Holothuria whitmaei</w:t>
      </w:r>
      <w:r w:rsidR="00E65578" w:rsidRPr="00E65578">
        <w:t xml:space="preserve"> and </w:t>
      </w:r>
      <w:r w:rsidR="00E65578" w:rsidRPr="00E65578">
        <w:rPr>
          <w:i/>
          <w:iCs/>
        </w:rPr>
        <w:t>H. fuscogilva</w:t>
      </w:r>
      <w:r w:rsidR="00E65578" w:rsidRPr="00E65578">
        <w:t>) Fisheries</w:t>
      </w:r>
      <w:r w:rsidR="00E65578">
        <w:t>:</w:t>
      </w:r>
      <w:bookmarkEnd w:id="0"/>
      <w:r w:rsidR="0022714C" w:rsidRPr="0022714C">
        <w:t xml:space="preserve"> Queensland Sea Cucumber Fishery (East Coast)</w:t>
      </w:r>
      <w:r>
        <w:t xml:space="preserve">. A Report for </w:t>
      </w:r>
      <w:r w:rsidRPr="00DD488F">
        <w:rPr>
          <w:color w:val="auto"/>
        </w:rPr>
        <w:t>The Department of Climate Change, Energy, the Environment and Water</w:t>
      </w:r>
      <w:r>
        <w:rPr>
          <w:color w:val="auto"/>
        </w:rPr>
        <w:t>.</w:t>
      </w:r>
      <w:r>
        <w:t xml:space="preserve"> Tim Skewes Consulting, Australia.</w:t>
      </w:r>
    </w:p>
    <w:p w14:paraId="3FD3DFE4" w14:textId="77777777" w:rsidR="00BB2B66" w:rsidRDefault="00BB2B66" w:rsidP="00BB2B66">
      <w:pPr>
        <w:rPr>
          <w:rFonts w:eastAsiaTheme="minorEastAsia"/>
          <w:noProof/>
        </w:rPr>
      </w:pPr>
    </w:p>
    <w:p w14:paraId="3E411694" w14:textId="77777777" w:rsidR="00BB2B66" w:rsidRDefault="00BB2B66" w:rsidP="00BB2B66">
      <w:pPr>
        <w:rPr>
          <w:rFonts w:eastAsiaTheme="minorEastAsia"/>
          <w:noProof/>
          <w:color w:val="auto"/>
        </w:rPr>
      </w:pPr>
      <w:r>
        <w:rPr>
          <w:rFonts w:eastAsiaTheme="minorEastAsia"/>
          <w:noProof/>
        </w:rPr>
        <w:t xml:space="preserve">Tim Skewes Consulting </w:t>
      </w:r>
      <w:r>
        <w:rPr>
          <w:rFonts w:eastAsiaTheme="minorEastAsia" w:cstheme="minorHAnsi"/>
          <w:noProof/>
          <w:color w:val="212121"/>
          <w:shd w:val="clear" w:color="auto" w:fill="FFFFFF"/>
        </w:rPr>
        <w:t>acknowledges the Traditional Owners of the lands that we live and work on across Australia and pays its respect to Elders past and present.</w:t>
      </w:r>
    </w:p>
    <w:p w14:paraId="620C030E" w14:textId="77777777" w:rsidR="00BB2B66" w:rsidRDefault="00BB2B66" w:rsidP="00BB2B66">
      <w:pPr>
        <w:pStyle w:val="VersoPageHeading"/>
      </w:pPr>
    </w:p>
    <w:p w14:paraId="01DE2162" w14:textId="77777777" w:rsidR="00BB2B66" w:rsidRDefault="00BB2B66" w:rsidP="00BB2B66">
      <w:pPr>
        <w:pStyle w:val="VersoPageHeading"/>
      </w:pPr>
      <w:r>
        <w:t>Copyright and disclaimer</w:t>
      </w:r>
    </w:p>
    <w:p w14:paraId="41B3524A" w14:textId="77777777" w:rsidR="00BB2B66" w:rsidRPr="00B601DF" w:rsidRDefault="00BB2B66" w:rsidP="00BB2B66">
      <w:pPr>
        <w:rPr>
          <w:rStyle w:val="Italics"/>
        </w:rPr>
      </w:pPr>
      <w:r w:rsidRPr="00B601DF">
        <w:rPr>
          <w:rStyle w:val="Italics"/>
        </w:rPr>
        <w:t>This work is licensed under the Creative Commons Attribution 4.0 International License. To view a copy of this license, visit http://creativecommons.org/licenses/by/4.0/ or send a letter to Creative Commons, PO Box 1866, Mountain View, CA 94042, USA.</w:t>
      </w:r>
    </w:p>
    <w:p w14:paraId="1768C8BD" w14:textId="77777777" w:rsidR="00BB2B66" w:rsidRDefault="00BB2B66" w:rsidP="00BB2B66">
      <w:r>
        <w:rPr>
          <w:noProof/>
        </w:rPr>
        <w:drawing>
          <wp:inline distT="0" distB="0" distL="0" distR="0" wp14:anchorId="02FC55A0" wp14:editId="2104422B">
            <wp:extent cx="838200" cy="29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8x31.png"/>
                    <pic:cNvPicPr/>
                  </pic:nvPicPr>
                  <pic:blipFill>
                    <a:blip r:embed="rId11">
                      <a:extLst>
                        <a:ext uri="{28A0092B-C50C-407E-A947-70E740481C1C}">
                          <a14:useLocalDpi xmlns:a14="http://schemas.microsoft.com/office/drawing/2010/main"/>
                        </a:ext>
                      </a:extLst>
                    </a:blip>
                    <a:stretch>
                      <a:fillRect/>
                    </a:stretch>
                  </pic:blipFill>
                  <pic:spPr>
                    <a:xfrm>
                      <a:off x="0" y="0"/>
                      <a:ext cx="838200" cy="295275"/>
                    </a:xfrm>
                    <a:prstGeom prst="rect">
                      <a:avLst/>
                    </a:prstGeom>
                  </pic:spPr>
                </pic:pic>
              </a:graphicData>
            </a:graphic>
          </wp:inline>
        </w:drawing>
      </w:r>
    </w:p>
    <w:p w14:paraId="29E9BBB3" w14:textId="77777777" w:rsidR="00BB2B66" w:rsidRDefault="00BB2B66" w:rsidP="00BB2B66"/>
    <w:p w14:paraId="06D28EFC" w14:textId="77777777" w:rsidR="00BB2B66" w:rsidRDefault="00BB2B66" w:rsidP="00BB2B66">
      <w:pPr>
        <w:pStyle w:val="VersoPageHeading"/>
      </w:pPr>
      <w:r>
        <w:t>Important disclaimer</w:t>
      </w:r>
    </w:p>
    <w:p w14:paraId="56C3FB90" w14:textId="77777777" w:rsidR="00BB2B66" w:rsidRPr="00B601DF" w:rsidRDefault="00BB2B66" w:rsidP="00BB2B66">
      <w:pPr>
        <w:rPr>
          <w:rStyle w:val="Italics"/>
        </w:rPr>
      </w:pPr>
      <w:r w:rsidRPr="00B601DF">
        <w:rPr>
          <w:rStyle w:val="Italics"/>
        </w:rPr>
        <w:t>Tim Skewes Consulting advises that the information contained within are general statements based on scientific research. The information may be unsuitable to be used in any specific purpose. No actions should be made based on that information without considering expert professional, scientific and technical advice. To the extent permitted by law, Tim Skewes Consulting excludes all liability to any person for any consequences, including but not limited to all losses, damages, costs, expenses and any other compensation, arising directly or indirectly from using any information contained in this publication.</w:t>
      </w:r>
    </w:p>
    <w:p w14:paraId="1DC417D9" w14:textId="77777777" w:rsidR="00A943B2" w:rsidRDefault="00A943B2">
      <w:pPr>
        <w:spacing w:after="200"/>
      </w:pPr>
    </w:p>
    <w:p w14:paraId="1DC417DA" w14:textId="77777777" w:rsidR="00A943B2" w:rsidRPr="00DD488F" w:rsidRDefault="00A943B2" w:rsidP="00DD488F">
      <w:pPr>
        <w:sectPr w:rsidR="00A943B2" w:rsidRPr="00DD488F" w:rsidSect="005D5D01">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106" w:right="1134" w:bottom="1134" w:left="1134" w:header="510" w:footer="624" w:gutter="0"/>
          <w:pgNumType w:fmt="lowerRoman" w:start="1"/>
          <w:cols w:space="284"/>
          <w:titlePg/>
          <w:docGrid w:linePitch="360"/>
        </w:sectPr>
      </w:pPr>
    </w:p>
    <w:p w14:paraId="1DC417E0" w14:textId="77777777" w:rsidR="00A943B2" w:rsidRDefault="00A943B2" w:rsidP="00A60F4F">
      <w:pPr>
        <w:pStyle w:val="Heading1noTOC"/>
      </w:pPr>
      <w:r w:rsidRPr="00890BD7">
        <w:lastRenderedPageBreak/>
        <w:t>Contents</w:t>
      </w:r>
    </w:p>
    <w:p w14:paraId="3D92CF05" w14:textId="017C60AD" w:rsidR="00D773A1" w:rsidRDefault="00270A2A">
      <w:pPr>
        <w:pStyle w:val="TOC2"/>
        <w:rPr>
          <w:rFonts w:asciiTheme="minorHAnsi" w:eastAsiaTheme="minorEastAsia" w:hAnsiTheme="minorHAnsi" w:cstheme="minorBidi"/>
          <w:noProof/>
          <w:kern w:val="2"/>
          <w:sz w:val="24"/>
          <w:szCs w:val="24"/>
          <w14:ligatures w14:val="standardContextual"/>
        </w:rPr>
      </w:pPr>
      <w:r>
        <w:rPr>
          <w:b/>
          <w:color w:val="FFFFFF"/>
          <w:spacing w:val="-7"/>
          <w:shd w:val="clear" w:color="auto" w:fill="E6E6E6"/>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Pr>
          <w:b/>
          <w:color w:val="FFFFFF"/>
          <w:spacing w:val="-7"/>
          <w:shd w:val="clear" w:color="auto" w:fill="E6E6E6"/>
        </w:rPr>
        <w:fldChar w:fldCharType="separate"/>
      </w:r>
      <w:hyperlink w:anchor="_Toc189044924" w:history="1">
        <w:r w:rsidR="00D773A1" w:rsidRPr="00FA4727">
          <w:rPr>
            <w:rStyle w:val="Hyperlink"/>
            <w:noProof/>
          </w:rPr>
          <w:t>Acronyms</w:t>
        </w:r>
        <w:r w:rsidR="00D773A1">
          <w:rPr>
            <w:noProof/>
            <w:webHidden/>
          </w:rPr>
          <w:tab/>
        </w:r>
        <w:r w:rsidR="00D773A1">
          <w:rPr>
            <w:noProof/>
            <w:webHidden/>
          </w:rPr>
          <w:fldChar w:fldCharType="begin"/>
        </w:r>
        <w:r w:rsidR="00D773A1">
          <w:rPr>
            <w:noProof/>
            <w:webHidden/>
          </w:rPr>
          <w:instrText xml:space="preserve"> PAGEREF _Toc189044924 \h </w:instrText>
        </w:r>
        <w:r w:rsidR="00D773A1">
          <w:rPr>
            <w:noProof/>
            <w:webHidden/>
          </w:rPr>
        </w:r>
        <w:r w:rsidR="00D773A1">
          <w:rPr>
            <w:noProof/>
            <w:webHidden/>
          </w:rPr>
          <w:fldChar w:fldCharType="separate"/>
        </w:r>
        <w:r w:rsidR="004263D8">
          <w:rPr>
            <w:noProof/>
            <w:webHidden/>
          </w:rPr>
          <w:t>vii</w:t>
        </w:r>
        <w:r w:rsidR="00D773A1">
          <w:rPr>
            <w:noProof/>
            <w:webHidden/>
          </w:rPr>
          <w:fldChar w:fldCharType="end"/>
        </w:r>
      </w:hyperlink>
    </w:p>
    <w:p w14:paraId="441CD6C5" w14:textId="0F9D33BE"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25" w:history="1">
        <w:r w:rsidRPr="00FA4727">
          <w:rPr>
            <w:rStyle w:val="Hyperlink"/>
            <w:noProof/>
          </w:rPr>
          <w:t>1</w:t>
        </w:r>
        <w:r>
          <w:rPr>
            <w:rFonts w:asciiTheme="minorHAnsi" w:eastAsiaTheme="minorEastAsia" w:hAnsiTheme="minorHAnsi" w:cstheme="minorBidi"/>
            <w:noProof/>
            <w:kern w:val="2"/>
            <w:sz w:val="24"/>
            <w:szCs w:val="24"/>
            <w14:ligatures w14:val="standardContextual"/>
          </w:rPr>
          <w:tab/>
        </w:r>
        <w:r w:rsidRPr="00FA4727">
          <w:rPr>
            <w:rStyle w:val="Hyperlink"/>
            <w:noProof/>
          </w:rPr>
          <w:t>Background</w:t>
        </w:r>
        <w:r>
          <w:rPr>
            <w:noProof/>
            <w:webHidden/>
          </w:rPr>
          <w:tab/>
        </w:r>
        <w:r>
          <w:rPr>
            <w:noProof/>
            <w:webHidden/>
          </w:rPr>
          <w:fldChar w:fldCharType="begin"/>
        </w:r>
        <w:r>
          <w:rPr>
            <w:noProof/>
            <w:webHidden/>
          </w:rPr>
          <w:instrText xml:space="preserve"> PAGEREF _Toc189044925 \h </w:instrText>
        </w:r>
        <w:r>
          <w:rPr>
            <w:noProof/>
            <w:webHidden/>
          </w:rPr>
        </w:r>
        <w:r>
          <w:rPr>
            <w:noProof/>
            <w:webHidden/>
          </w:rPr>
          <w:fldChar w:fldCharType="separate"/>
        </w:r>
        <w:r w:rsidR="004263D8">
          <w:rPr>
            <w:noProof/>
            <w:webHidden/>
          </w:rPr>
          <w:t>1</w:t>
        </w:r>
        <w:r>
          <w:rPr>
            <w:noProof/>
            <w:webHidden/>
          </w:rPr>
          <w:fldChar w:fldCharType="end"/>
        </w:r>
      </w:hyperlink>
    </w:p>
    <w:p w14:paraId="2168293F" w14:textId="74747E60"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26" w:history="1">
        <w:r w:rsidRPr="00FA4727">
          <w:rPr>
            <w:rStyle w:val="Hyperlink"/>
            <w:noProof/>
          </w:rPr>
          <w:t>1.1</w:t>
        </w:r>
        <w:r>
          <w:rPr>
            <w:rFonts w:asciiTheme="minorHAnsi" w:eastAsiaTheme="minorEastAsia" w:hAnsiTheme="minorHAnsi" w:cstheme="minorBidi"/>
            <w:noProof/>
            <w:kern w:val="2"/>
            <w:sz w:val="24"/>
            <w:szCs w:val="24"/>
            <w14:ligatures w14:val="standardContextual"/>
          </w:rPr>
          <w:tab/>
        </w:r>
        <w:r w:rsidRPr="00FA4727">
          <w:rPr>
            <w:rStyle w:val="Hyperlink"/>
            <w:noProof/>
          </w:rPr>
          <w:t>The fishery</w:t>
        </w:r>
        <w:r>
          <w:rPr>
            <w:noProof/>
            <w:webHidden/>
          </w:rPr>
          <w:tab/>
        </w:r>
        <w:r>
          <w:rPr>
            <w:noProof/>
            <w:webHidden/>
          </w:rPr>
          <w:fldChar w:fldCharType="begin"/>
        </w:r>
        <w:r>
          <w:rPr>
            <w:noProof/>
            <w:webHidden/>
          </w:rPr>
          <w:instrText xml:space="preserve"> PAGEREF _Toc189044926 \h </w:instrText>
        </w:r>
        <w:r>
          <w:rPr>
            <w:noProof/>
            <w:webHidden/>
          </w:rPr>
        </w:r>
        <w:r>
          <w:rPr>
            <w:noProof/>
            <w:webHidden/>
          </w:rPr>
          <w:fldChar w:fldCharType="separate"/>
        </w:r>
        <w:r w:rsidR="004263D8">
          <w:rPr>
            <w:noProof/>
            <w:webHidden/>
          </w:rPr>
          <w:t>1</w:t>
        </w:r>
        <w:r>
          <w:rPr>
            <w:noProof/>
            <w:webHidden/>
          </w:rPr>
          <w:fldChar w:fldCharType="end"/>
        </w:r>
      </w:hyperlink>
    </w:p>
    <w:p w14:paraId="34031C05" w14:textId="75600AF6"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27" w:history="1">
        <w:r w:rsidRPr="00FA4727">
          <w:rPr>
            <w:rStyle w:val="Hyperlink"/>
            <w:noProof/>
          </w:rPr>
          <w:t>1.2</w:t>
        </w:r>
        <w:r>
          <w:rPr>
            <w:rFonts w:asciiTheme="minorHAnsi" w:eastAsiaTheme="minorEastAsia" w:hAnsiTheme="minorHAnsi" w:cstheme="minorBidi"/>
            <w:noProof/>
            <w:kern w:val="2"/>
            <w:sz w:val="24"/>
            <w:szCs w:val="24"/>
            <w14:ligatures w14:val="standardContextual"/>
          </w:rPr>
          <w:tab/>
        </w:r>
        <w:r w:rsidRPr="00FA4727">
          <w:rPr>
            <w:rStyle w:val="Hyperlink"/>
            <w:noProof/>
          </w:rPr>
          <w:t>Marine parks</w:t>
        </w:r>
        <w:r>
          <w:rPr>
            <w:noProof/>
            <w:webHidden/>
          </w:rPr>
          <w:tab/>
        </w:r>
        <w:r>
          <w:rPr>
            <w:noProof/>
            <w:webHidden/>
          </w:rPr>
          <w:fldChar w:fldCharType="begin"/>
        </w:r>
        <w:r>
          <w:rPr>
            <w:noProof/>
            <w:webHidden/>
          </w:rPr>
          <w:instrText xml:space="preserve"> PAGEREF _Toc189044927 \h </w:instrText>
        </w:r>
        <w:r>
          <w:rPr>
            <w:noProof/>
            <w:webHidden/>
          </w:rPr>
        </w:r>
        <w:r>
          <w:rPr>
            <w:noProof/>
            <w:webHidden/>
          </w:rPr>
          <w:fldChar w:fldCharType="separate"/>
        </w:r>
        <w:r w:rsidR="004263D8">
          <w:rPr>
            <w:noProof/>
            <w:webHidden/>
          </w:rPr>
          <w:t>5</w:t>
        </w:r>
        <w:r>
          <w:rPr>
            <w:noProof/>
            <w:webHidden/>
          </w:rPr>
          <w:fldChar w:fldCharType="end"/>
        </w:r>
      </w:hyperlink>
    </w:p>
    <w:p w14:paraId="7656C640" w14:textId="66625208"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28" w:history="1">
        <w:r w:rsidRPr="00FA4727">
          <w:rPr>
            <w:rStyle w:val="Hyperlink"/>
            <w:noProof/>
          </w:rPr>
          <w:t>2</w:t>
        </w:r>
        <w:r>
          <w:rPr>
            <w:rFonts w:asciiTheme="minorHAnsi" w:eastAsiaTheme="minorEastAsia" w:hAnsiTheme="minorHAnsi" w:cstheme="minorBidi"/>
            <w:noProof/>
            <w:kern w:val="2"/>
            <w:sz w:val="24"/>
            <w:szCs w:val="24"/>
            <w14:ligatures w14:val="standardContextual"/>
          </w:rPr>
          <w:tab/>
        </w:r>
        <w:r w:rsidRPr="00FA4727">
          <w:rPr>
            <w:rStyle w:val="Hyperlink"/>
            <w:noProof/>
          </w:rPr>
          <w:t>The species</w:t>
        </w:r>
        <w:r>
          <w:rPr>
            <w:noProof/>
            <w:webHidden/>
          </w:rPr>
          <w:tab/>
        </w:r>
        <w:r>
          <w:rPr>
            <w:noProof/>
            <w:webHidden/>
          </w:rPr>
          <w:fldChar w:fldCharType="begin"/>
        </w:r>
        <w:r>
          <w:rPr>
            <w:noProof/>
            <w:webHidden/>
          </w:rPr>
          <w:instrText xml:space="preserve"> PAGEREF _Toc189044928 \h </w:instrText>
        </w:r>
        <w:r>
          <w:rPr>
            <w:noProof/>
            <w:webHidden/>
          </w:rPr>
        </w:r>
        <w:r>
          <w:rPr>
            <w:noProof/>
            <w:webHidden/>
          </w:rPr>
          <w:fldChar w:fldCharType="separate"/>
        </w:r>
        <w:r w:rsidR="004263D8">
          <w:rPr>
            <w:noProof/>
            <w:webHidden/>
          </w:rPr>
          <w:t>7</w:t>
        </w:r>
        <w:r>
          <w:rPr>
            <w:noProof/>
            <w:webHidden/>
          </w:rPr>
          <w:fldChar w:fldCharType="end"/>
        </w:r>
      </w:hyperlink>
    </w:p>
    <w:p w14:paraId="7A008EAA" w14:textId="2FBC3883"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29" w:history="1">
        <w:r w:rsidRPr="00FA4727">
          <w:rPr>
            <w:rStyle w:val="Hyperlink"/>
            <w:noProof/>
          </w:rPr>
          <w:t>2.1</w:t>
        </w:r>
        <w:r>
          <w:rPr>
            <w:rFonts w:asciiTheme="minorHAnsi" w:eastAsiaTheme="minorEastAsia" w:hAnsiTheme="minorHAnsi" w:cstheme="minorBidi"/>
            <w:noProof/>
            <w:kern w:val="2"/>
            <w:sz w:val="24"/>
            <w:szCs w:val="24"/>
            <w14:ligatures w14:val="standardContextual"/>
          </w:rPr>
          <w:tab/>
        </w:r>
        <w:r w:rsidRPr="00FA4727">
          <w:rPr>
            <w:rStyle w:val="Hyperlink"/>
            <w:noProof/>
          </w:rPr>
          <w:t>Distribution within the QSCF</w:t>
        </w:r>
        <w:r>
          <w:rPr>
            <w:noProof/>
            <w:webHidden/>
          </w:rPr>
          <w:tab/>
        </w:r>
        <w:r>
          <w:rPr>
            <w:noProof/>
            <w:webHidden/>
          </w:rPr>
          <w:fldChar w:fldCharType="begin"/>
        </w:r>
        <w:r>
          <w:rPr>
            <w:noProof/>
            <w:webHidden/>
          </w:rPr>
          <w:instrText xml:space="preserve"> PAGEREF _Toc189044929 \h </w:instrText>
        </w:r>
        <w:r>
          <w:rPr>
            <w:noProof/>
            <w:webHidden/>
          </w:rPr>
        </w:r>
        <w:r>
          <w:rPr>
            <w:noProof/>
            <w:webHidden/>
          </w:rPr>
          <w:fldChar w:fldCharType="separate"/>
        </w:r>
        <w:r w:rsidR="004263D8">
          <w:rPr>
            <w:noProof/>
            <w:webHidden/>
          </w:rPr>
          <w:t>7</w:t>
        </w:r>
        <w:r>
          <w:rPr>
            <w:noProof/>
            <w:webHidden/>
          </w:rPr>
          <w:fldChar w:fldCharType="end"/>
        </w:r>
      </w:hyperlink>
    </w:p>
    <w:p w14:paraId="026E150F" w14:textId="7D9453ED"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30" w:history="1">
        <w:r w:rsidRPr="00FA4727">
          <w:rPr>
            <w:rStyle w:val="Hyperlink"/>
            <w:noProof/>
          </w:rPr>
          <w:t>2.2</w:t>
        </w:r>
        <w:r>
          <w:rPr>
            <w:rFonts w:asciiTheme="minorHAnsi" w:eastAsiaTheme="minorEastAsia" w:hAnsiTheme="minorHAnsi" w:cstheme="minorBidi"/>
            <w:noProof/>
            <w:kern w:val="2"/>
            <w:sz w:val="24"/>
            <w:szCs w:val="24"/>
            <w14:ligatures w14:val="standardContextual"/>
          </w:rPr>
          <w:tab/>
        </w:r>
        <w:r w:rsidRPr="00FA4727">
          <w:rPr>
            <w:rStyle w:val="Hyperlink"/>
            <w:noProof/>
          </w:rPr>
          <w:t>Population structure</w:t>
        </w:r>
        <w:r>
          <w:rPr>
            <w:noProof/>
            <w:webHidden/>
          </w:rPr>
          <w:tab/>
        </w:r>
        <w:r>
          <w:rPr>
            <w:noProof/>
            <w:webHidden/>
          </w:rPr>
          <w:fldChar w:fldCharType="begin"/>
        </w:r>
        <w:r>
          <w:rPr>
            <w:noProof/>
            <w:webHidden/>
          </w:rPr>
          <w:instrText xml:space="preserve"> PAGEREF _Toc189044930 \h </w:instrText>
        </w:r>
        <w:r>
          <w:rPr>
            <w:noProof/>
            <w:webHidden/>
          </w:rPr>
        </w:r>
        <w:r>
          <w:rPr>
            <w:noProof/>
            <w:webHidden/>
          </w:rPr>
          <w:fldChar w:fldCharType="separate"/>
        </w:r>
        <w:r w:rsidR="004263D8">
          <w:rPr>
            <w:noProof/>
            <w:webHidden/>
          </w:rPr>
          <w:t>10</w:t>
        </w:r>
        <w:r>
          <w:rPr>
            <w:noProof/>
            <w:webHidden/>
          </w:rPr>
          <w:fldChar w:fldCharType="end"/>
        </w:r>
      </w:hyperlink>
    </w:p>
    <w:p w14:paraId="542A9952" w14:textId="36F57BC1"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31" w:history="1">
        <w:r w:rsidRPr="00FA4727">
          <w:rPr>
            <w:rStyle w:val="Hyperlink"/>
            <w:noProof/>
          </w:rPr>
          <w:t>2.3</w:t>
        </w:r>
        <w:r>
          <w:rPr>
            <w:rFonts w:asciiTheme="minorHAnsi" w:eastAsiaTheme="minorEastAsia" w:hAnsiTheme="minorHAnsi" w:cstheme="minorBidi"/>
            <w:noProof/>
            <w:kern w:val="2"/>
            <w:sz w:val="24"/>
            <w:szCs w:val="24"/>
            <w14:ligatures w14:val="standardContextual"/>
          </w:rPr>
          <w:tab/>
        </w:r>
        <w:r w:rsidRPr="00FA4727">
          <w:rPr>
            <w:rStyle w:val="Hyperlink"/>
            <w:noProof/>
          </w:rPr>
          <w:t>Climate change</w:t>
        </w:r>
        <w:r>
          <w:rPr>
            <w:noProof/>
            <w:webHidden/>
          </w:rPr>
          <w:tab/>
        </w:r>
        <w:r>
          <w:rPr>
            <w:noProof/>
            <w:webHidden/>
          </w:rPr>
          <w:fldChar w:fldCharType="begin"/>
        </w:r>
        <w:r>
          <w:rPr>
            <w:noProof/>
            <w:webHidden/>
          </w:rPr>
          <w:instrText xml:space="preserve"> PAGEREF _Toc189044931 \h </w:instrText>
        </w:r>
        <w:r>
          <w:rPr>
            <w:noProof/>
            <w:webHidden/>
          </w:rPr>
        </w:r>
        <w:r>
          <w:rPr>
            <w:noProof/>
            <w:webHidden/>
          </w:rPr>
          <w:fldChar w:fldCharType="separate"/>
        </w:r>
        <w:r w:rsidR="004263D8">
          <w:rPr>
            <w:noProof/>
            <w:webHidden/>
          </w:rPr>
          <w:t>14</w:t>
        </w:r>
        <w:r>
          <w:rPr>
            <w:noProof/>
            <w:webHidden/>
          </w:rPr>
          <w:fldChar w:fldCharType="end"/>
        </w:r>
      </w:hyperlink>
    </w:p>
    <w:p w14:paraId="0148B377" w14:textId="5453A45F"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32" w:history="1">
        <w:r w:rsidRPr="00FA4727">
          <w:rPr>
            <w:rStyle w:val="Hyperlink"/>
            <w:noProof/>
          </w:rPr>
          <w:t>2.4</w:t>
        </w:r>
        <w:r>
          <w:rPr>
            <w:rFonts w:asciiTheme="minorHAnsi" w:eastAsiaTheme="minorEastAsia" w:hAnsiTheme="minorHAnsi" w:cstheme="minorBidi"/>
            <w:noProof/>
            <w:kern w:val="2"/>
            <w:sz w:val="24"/>
            <w:szCs w:val="24"/>
            <w14:ligatures w14:val="standardContextual"/>
          </w:rPr>
          <w:tab/>
        </w:r>
        <w:r w:rsidRPr="00FA4727">
          <w:rPr>
            <w:rStyle w:val="Hyperlink"/>
            <w:noProof/>
          </w:rPr>
          <w:t>Inherent vulnerability</w:t>
        </w:r>
        <w:r>
          <w:rPr>
            <w:noProof/>
            <w:webHidden/>
          </w:rPr>
          <w:tab/>
        </w:r>
        <w:r>
          <w:rPr>
            <w:noProof/>
            <w:webHidden/>
          </w:rPr>
          <w:fldChar w:fldCharType="begin"/>
        </w:r>
        <w:r>
          <w:rPr>
            <w:noProof/>
            <w:webHidden/>
          </w:rPr>
          <w:instrText xml:space="preserve"> PAGEREF _Toc189044932 \h </w:instrText>
        </w:r>
        <w:r>
          <w:rPr>
            <w:noProof/>
            <w:webHidden/>
          </w:rPr>
        </w:r>
        <w:r>
          <w:rPr>
            <w:noProof/>
            <w:webHidden/>
          </w:rPr>
          <w:fldChar w:fldCharType="separate"/>
        </w:r>
        <w:r w:rsidR="004263D8">
          <w:rPr>
            <w:noProof/>
            <w:webHidden/>
          </w:rPr>
          <w:t>17</w:t>
        </w:r>
        <w:r>
          <w:rPr>
            <w:noProof/>
            <w:webHidden/>
          </w:rPr>
          <w:fldChar w:fldCharType="end"/>
        </w:r>
      </w:hyperlink>
    </w:p>
    <w:p w14:paraId="5D198A16" w14:textId="4D1FEE69"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33" w:history="1">
        <w:r w:rsidRPr="00FA4727">
          <w:rPr>
            <w:rStyle w:val="Hyperlink"/>
            <w:noProof/>
          </w:rPr>
          <w:t>2.5</w:t>
        </w:r>
        <w:r>
          <w:rPr>
            <w:rFonts w:asciiTheme="minorHAnsi" w:eastAsiaTheme="minorEastAsia" w:hAnsiTheme="minorHAnsi" w:cstheme="minorBidi"/>
            <w:noProof/>
            <w:kern w:val="2"/>
            <w:sz w:val="24"/>
            <w:szCs w:val="24"/>
            <w14:ligatures w14:val="standardContextual"/>
          </w:rPr>
          <w:tab/>
        </w:r>
        <w:r w:rsidRPr="00FA4727">
          <w:rPr>
            <w:rStyle w:val="Hyperlink"/>
            <w:noProof/>
          </w:rPr>
          <w:t>Ecological role</w:t>
        </w:r>
        <w:r>
          <w:rPr>
            <w:noProof/>
            <w:webHidden/>
          </w:rPr>
          <w:tab/>
        </w:r>
        <w:r>
          <w:rPr>
            <w:noProof/>
            <w:webHidden/>
          </w:rPr>
          <w:fldChar w:fldCharType="begin"/>
        </w:r>
        <w:r>
          <w:rPr>
            <w:noProof/>
            <w:webHidden/>
          </w:rPr>
          <w:instrText xml:space="preserve"> PAGEREF _Toc189044933 \h </w:instrText>
        </w:r>
        <w:r>
          <w:rPr>
            <w:noProof/>
            <w:webHidden/>
          </w:rPr>
        </w:r>
        <w:r>
          <w:rPr>
            <w:noProof/>
            <w:webHidden/>
          </w:rPr>
          <w:fldChar w:fldCharType="separate"/>
        </w:r>
        <w:r w:rsidR="004263D8">
          <w:rPr>
            <w:noProof/>
            <w:webHidden/>
          </w:rPr>
          <w:t>18</w:t>
        </w:r>
        <w:r>
          <w:rPr>
            <w:noProof/>
            <w:webHidden/>
          </w:rPr>
          <w:fldChar w:fldCharType="end"/>
        </w:r>
      </w:hyperlink>
    </w:p>
    <w:p w14:paraId="37D34E21" w14:textId="659752EC"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34" w:history="1">
        <w:r w:rsidRPr="00FA4727">
          <w:rPr>
            <w:rStyle w:val="Hyperlink"/>
            <w:noProof/>
          </w:rPr>
          <w:t>3</w:t>
        </w:r>
        <w:r>
          <w:rPr>
            <w:rFonts w:asciiTheme="minorHAnsi" w:eastAsiaTheme="minorEastAsia" w:hAnsiTheme="minorHAnsi" w:cstheme="minorBidi"/>
            <w:noProof/>
            <w:kern w:val="2"/>
            <w:sz w:val="24"/>
            <w:szCs w:val="24"/>
            <w14:ligatures w14:val="standardContextual"/>
          </w:rPr>
          <w:tab/>
        </w:r>
        <w:r w:rsidRPr="00FA4727">
          <w:rPr>
            <w:rStyle w:val="Hyperlink"/>
            <w:noProof/>
          </w:rPr>
          <w:t>Harvest levels and trends</w:t>
        </w:r>
        <w:r>
          <w:rPr>
            <w:noProof/>
            <w:webHidden/>
          </w:rPr>
          <w:tab/>
        </w:r>
        <w:r>
          <w:rPr>
            <w:noProof/>
            <w:webHidden/>
          </w:rPr>
          <w:fldChar w:fldCharType="begin"/>
        </w:r>
        <w:r>
          <w:rPr>
            <w:noProof/>
            <w:webHidden/>
          </w:rPr>
          <w:instrText xml:space="preserve"> PAGEREF _Toc189044934 \h </w:instrText>
        </w:r>
        <w:r>
          <w:rPr>
            <w:noProof/>
            <w:webHidden/>
          </w:rPr>
        </w:r>
        <w:r>
          <w:rPr>
            <w:noProof/>
            <w:webHidden/>
          </w:rPr>
          <w:fldChar w:fldCharType="separate"/>
        </w:r>
        <w:r w:rsidR="004263D8">
          <w:rPr>
            <w:noProof/>
            <w:webHidden/>
          </w:rPr>
          <w:t>20</w:t>
        </w:r>
        <w:r>
          <w:rPr>
            <w:noProof/>
            <w:webHidden/>
          </w:rPr>
          <w:fldChar w:fldCharType="end"/>
        </w:r>
      </w:hyperlink>
    </w:p>
    <w:p w14:paraId="406908A7" w14:textId="526B798D"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35" w:history="1">
        <w:r w:rsidRPr="00FA4727">
          <w:rPr>
            <w:rStyle w:val="Hyperlink"/>
            <w:noProof/>
          </w:rPr>
          <w:t>3.1</w:t>
        </w:r>
        <w:r>
          <w:rPr>
            <w:rFonts w:asciiTheme="minorHAnsi" w:eastAsiaTheme="minorEastAsia" w:hAnsiTheme="minorHAnsi" w:cstheme="minorBidi"/>
            <w:noProof/>
            <w:kern w:val="2"/>
            <w:sz w:val="24"/>
            <w:szCs w:val="24"/>
            <w14:ligatures w14:val="standardContextual"/>
          </w:rPr>
          <w:tab/>
        </w:r>
        <w:r w:rsidRPr="00FA4727">
          <w:rPr>
            <w:rStyle w:val="Hyperlink"/>
            <w:noProof/>
          </w:rPr>
          <w:t>Historical fishery</w:t>
        </w:r>
        <w:r>
          <w:rPr>
            <w:noProof/>
            <w:webHidden/>
          </w:rPr>
          <w:tab/>
        </w:r>
        <w:r>
          <w:rPr>
            <w:noProof/>
            <w:webHidden/>
          </w:rPr>
          <w:fldChar w:fldCharType="begin"/>
        </w:r>
        <w:r>
          <w:rPr>
            <w:noProof/>
            <w:webHidden/>
          </w:rPr>
          <w:instrText xml:space="preserve"> PAGEREF _Toc189044935 \h </w:instrText>
        </w:r>
        <w:r>
          <w:rPr>
            <w:noProof/>
            <w:webHidden/>
          </w:rPr>
        </w:r>
        <w:r>
          <w:rPr>
            <w:noProof/>
            <w:webHidden/>
          </w:rPr>
          <w:fldChar w:fldCharType="separate"/>
        </w:r>
        <w:r w:rsidR="004263D8">
          <w:rPr>
            <w:noProof/>
            <w:webHidden/>
          </w:rPr>
          <w:t>20</w:t>
        </w:r>
        <w:r>
          <w:rPr>
            <w:noProof/>
            <w:webHidden/>
          </w:rPr>
          <w:fldChar w:fldCharType="end"/>
        </w:r>
      </w:hyperlink>
    </w:p>
    <w:p w14:paraId="187DBF25" w14:textId="55C27A1B"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36" w:history="1">
        <w:r w:rsidRPr="00FA4727">
          <w:rPr>
            <w:rStyle w:val="Hyperlink"/>
            <w:noProof/>
          </w:rPr>
          <w:t>3.2</w:t>
        </w:r>
        <w:r>
          <w:rPr>
            <w:rFonts w:asciiTheme="minorHAnsi" w:eastAsiaTheme="minorEastAsia" w:hAnsiTheme="minorHAnsi" w:cstheme="minorBidi"/>
            <w:noProof/>
            <w:kern w:val="2"/>
            <w:sz w:val="24"/>
            <w:szCs w:val="24"/>
            <w14:ligatures w14:val="standardContextual"/>
          </w:rPr>
          <w:tab/>
        </w:r>
        <w:r w:rsidRPr="00FA4727">
          <w:rPr>
            <w:rStyle w:val="Hyperlink"/>
            <w:noProof/>
          </w:rPr>
          <w:t>The modern QSCF</w:t>
        </w:r>
        <w:r>
          <w:rPr>
            <w:noProof/>
            <w:webHidden/>
          </w:rPr>
          <w:tab/>
        </w:r>
        <w:r>
          <w:rPr>
            <w:noProof/>
            <w:webHidden/>
          </w:rPr>
          <w:fldChar w:fldCharType="begin"/>
        </w:r>
        <w:r>
          <w:rPr>
            <w:noProof/>
            <w:webHidden/>
          </w:rPr>
          <w:instrText xml:space="preserve"> PAGEREF _Toc189044936 \h </w:instrText>
        </w:r>
        <w:r>
          <w:rPr>
            <w:noProof/>
            <w:webHidden/>
          </w:rPr>
        </w:r>
        <w:r>
          <w:rPr>
            <w:noProof/>
            <w:webHidden/>
          </w:rPr>
          <w:fldChar w:fldCharType="separate"/>
        </w:r>
        <w:r w:rsidR="004263D8">
          <w:rPr>
            <w:noProof/>
            <w:webHidden/>
          </w:rPr>
          <w:t>23</w:t>
        </w:r>
        <w:r>
          <w:rPr>
            <w:noProof/>
            <w:webHidden/>
          </w:rPr>
          <w:fldChar w:fldCharType="end"/>
        </w:r>
      </w:hyperlink>
    </w:p>
    <w:p w14:paraId="2B1AA511" w14:textId="64AB5D19"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37" w:history="1">
        <w:r w:rsidRPr="00FA4727">
          <w:rPr>
            <w:rStyle w:val="Hyperlink"/>
            <w:noProof/>
          </w:rPr>
          <w:t>3.3</w:t>
        </w:r>
        <w:r>
          <w:rPr>
            <w:rFonts w:asciiTheme="minorHAnsi" w:eastAsiaTheme="minorEastAsia" w:hAnsiTheme="minorHAnsi" w:cstheme="minorBidi"/>
            <w:noProof/>
            <w:kern w:val="2"/>
            <w:sz w:val="24"/>
            <w:szCs w:val="24"/>
            <w14:ligatures w14:val="standardContextual"/>
          </w:rPr>
          <w:tab/>
        </w:r>
        <w:r w:rsidRPr="00FA4727">
          <w:rPr>
            <w:rStyle w:val="Hyperlink"/>
            <w:noProof/>
          </w:rPr>
          <w:t>IUU</w:t>
        </w:r>
        <w:r>
          <w:rPr>
            <w:noProof/>
            <w:webHidden/>
          </w:rPr>
          <w:tab/>
        </w:r>
        <w:r>
          <w:rPr>
            <w:noProof/>
            <w:webHidden/>
          </w:rPr>
          <w:fldChar w:fldCharType="begin"/>
        </w:r>
        <w:r>
          <w:rPr>
            <w:noProof/>
            <w:webHidden/>
          </w:rPr>
          <w:instrText xml:space="preserve"> PAGEREF _Toc189044937 \h </w:instrText>
        </w:r>
        <w:r>
          <w:rPr>
            <w:noProof/>
            <w:webHidden/>
          </w:rPr>
        </w:r>
        <w:r>
          <w:rPr>
            <w:noProof/>
            <w:webHidden/>
          </w:rPr>
          <w:fldChar w:fldCharType="separate"/>
        </w:r>
        <w:r w:rsidR="004263D8">
          <w:rPr>
            <w:noProof/>
            <w:webHidden/>
          </w:rPr>
          <w:t>32</w:t>
        </w:r>
        <w:r>
          <w:rPr>
            <w:noProof/>
            <w:webHidden/>
          </w:rPr>
          <w:fldChar w:fldCharType="end"/>
        </w:r>
      </w:hyperlink>
    </w:p>
    <w:p w14:paraId="383B409D" w14:textId="5C29BC4C"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38" w:history="1">
        <w:r w:rsidRPr="00FA4727">
          <w:rPr>
            <w:rStyle w:val="Hyperlink"/>
            <w:noProof/>
          </w:rPr>
          <w:t>3.4</w:t>
        </w:r>
        <w:r>
          <w:rPr>
            <w:rFonts w:asciiTheme="minorHAnsi" w:eastAsiaTheme="minorEastAsia" w:hAnsiTheme="minorHAnsi" w:cstheme="minorBidi"/>
            <w:noProof/>
            <w:kern w:val="2"/>
            <w:sz w:val="24"/>
            <w:szCs w:val="24"/>
            <w14:ligatures w14:val="standardContextual"/>
          </w:rPr>
          <w:tab/>
        </w:r>
        <w:r w:rsidRPr="00FA4727">
          <w:rPr>
            <w:rStyle w:val="Hyperlink"/>
            <w:noProof/>
          </w:rPr>
          <w:t>Indigenous and Recreational fishing</w:t>
        </w:r>
        <w:r>
          <w:rPr>
            <w:noProof/>
            <w:webHidden/>
          </w:rPr>
          <w:tab/>
        </w:r>
        <w:r>
          <w:rPr>
            <w:noProof/>
            <w:webHidden/>
          </w:rPr>
          <w:fldChar w:fldCharType="begin"/>
        </w:r>
        <w:r>
          <w:rPr>
            <w:noProof/>
            <w:webHidden/>
          </w:rPr>
          <w:instrText xml:space="preserve"> PAGEREF _Toc189044938 \h </w:instrText>
        </w:r>
        <w:r>
          <w:rPr>
            <w:noProof/>
            <w:webHidden/>
          </w:rPr>
        </w:r>
        <w:r>
          <w:rPr>
            <w:noProof/>
            <w:webHidden/>
          </w:rPr>
          <w:fldChar w:fldCharType="separate"/>
        </w:r>
        <w:r w:rsidR="004263D8">
          <w:rPr>
            <w:noProof/>
            <w:webHidden/>
          </w:rPr>
          <w:t>33</w:t>
        </w:r>
        <w:r>
          <w:rPr>
            <w:noProof/>
            <w:webHidden/>
          </w:rPr>
          <w:fldChar w:fldCharType="end"/>
        </w:r>
      </w:hyperlink>
    </w:p>
    <w:p w14:paraId="542A8CCB" w14:textId="7CB310A3"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39" w:history="1">
        <w:r w:rsidRPr="00FA4727">
          <w:rPr>
            <w:rStyle w:val="Hyperlink"/>
            <w:noProof/>
          </w:rPr>
          <w:t>4</w:t>
        </w:r>
        <w:r>
          <w:rPr>
            <w:rFonts w:asciiTheme="minorHAnsi" w:eastAsiaTheme="minorEastAsia" w:hAnsiTheme="minorHAnsi" w:cstheme="minorBidi"/>
            <w:noProof/>
            <w:kern w:val="2"/>
            <w:sz w:val="24"/>
            <w:szCs w:val="24"/>
            <w14:ligatures w14:val="standardContextual"/>
          </w:rPr>
          <w:tab/>
        </w:r>
        <w:r w:rsidRPr="00FA4727">
          <w:rPr>
            <w:rStyle w:val="Hyperlink"/>
            <w:noProof/>
          </w:rPr>
          <w:t>Stock trends and stock assessments</w:t>
        </w:r>
        <w:r>
          <w:rPr>
            <w:noProof/>
            <w:webHidden/>
          </w:rPr>
          <w:tab/>
        </w:r>
        <w:r>
          <w:rPr>
            <w:noProof/>
            <w:webHidden/>
          </w:rPr>
          <w:fldChar w:fldCharType="begin"/>
        </w:r>
        <w:r>
          <w:rPr>
            <w:noProof/>
            <w:webHidden/>
          </w:rPr>
          <w:instrText xml:space="preserve"> PAGEREF _Toc189044939 \h </w:instrText>
        </w:r>
        <w:r>
          <w:rPr>
            <w:noProof/>
            <w:webHidden/>
          </w:rPr>
        </w:r>
        <w:r>
          <w:rPr>
            <w:noProof/>
            <w:webHidden/>
          </w:rPr>
          <w:fldChar w:fldCharType="separate"/>
        </w:r>
        <w:r w:rsidR="004263D8">
          <w:rPr>
            <w:noProof/>
            <w:webHidden/>
          </w:rPr>
          <w:t>34</w:t>
        </w:r>
        <w:r>
          <w:rPr>
            <w:noProof/>
            <w:webHidden/>
          </w:rPr>
          <w:fldChar w:fldCharType="end"/>
        </w:r>
      </w:hyperlink>
    </w:p>
    <w:p w14:paraId="7F6825B4" w14:textId="0E5425C3"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40" w:history="1">
        <w:r w:rsidRPr="00FA4727">
          <w:rPr>
            <w:rStyle w:val="Hyperlink"/>
            <w:noProof/>
          </w:rPr>
          <w:t>4.1</w:t>
        </w:r>
        <w:r>
          <w:rPr>
            <w:rFonts w:asciiTheme="minorHAnsi" w:eastAsiaTheme="minorEastAsia" w:hAnsiTheme="minorHAnsi" w:cstheme="minorBidi"/>
            <w:noProof/>
            <w:kern w:val="2"/>
            <w:sz w:val="24"/>
            <w:szCs w:val="24"/>
            <w14:ligatures w14:val="standardContextual"/>
          </w:rPr>
          <w:tab/>
        </w:r>
        <w:r w:rsidRPr="00FA4727">
          <w:rPr>
            <w:rStyle w:val="Hyperlink"/>
            <w:noProof/>
          </w:rPr>
          <w:t>Fishery independent surveys</w:t>
        </w:r>
        <w:r>
          <w:rPr>
            <w:noProof/>
            <w:webHidden/>
          </w:rPr>
          <w:tab/>
        </w:r>
        <w:r>
          <w:rPr>
            <w:noProof/>
            <w:webHidden/>
          </w:rPr>
          <w:fldChar w:fldCharType="begin"/>
        </w:r>
        <w:r>
          <w:rPr>
            <w:noProof/>
            <w:webHidden/>
          </w:rPr>
          <w:instrText xml:space="preserve"> PAGEREF _Toc189044940 \h </w:instrText>
        </w:r>
        <w:r>
          <w:rPr>
            <w:noProof/>
            <w:webHidden/>
          </w:rPr>
        </w:r>
        <w:r>
          <w:rPr>
            <w:noProof/>
            <w:webHidden/>
          </w:rPr>
          <w:fldChar w:fldCharType="separate"/>
        </w:r>
        <w:r w:rsidR="004263D8">
          <w:rPr>
            <w:noProof/>
            <w:webHidden/>
          </w:rPr>
          <w:t>34</w:t>
        </w:r>
        <w:r>
          <w:rPr>
            <w:noProof/>
            <w:webHidden/>
          </w:rPr>
          <w:fldChar w:fldCharType="end"/>
        </w:r>
      </w:hyperlink>
    </w:p>
    <w:p w14:paraId="597B620D" w14:textId="2FCB9AEC"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41" w:history="1">
        <w:r w:rsidRPr="00FA4727">
          <w:rPr>
            <w:rStyle w:val="Hyperlink"/>
            <w:noProof/>
          </w:rPr>
          <w:t>4.2</w:t>
        </w:r>
        <w:r>
          <w:rPr>
            <w:rFonts w:asciiTheme="minorHAnsi" w:eastAsiaTheme="minorEastAsia" w:hAnsiTheme="minorHAnsi" w:cstheme="minorBidi"/>
            <w:noProof/>
            <w:kern w:val="2"/>
            <w:sz w:val="24"/>
            <w:szCs w:val="24"/>
            <w14:ligatures w14:val="standardContextual"/>
          </w:rPr>
          <w:tab/>
        </w:r>
        <w:r w:rsidRPr="00FA4727">
          <w:rPr>
            <w:rStyle w:val="Hyperlink"/>
            <w:noProof/>
          </w:rPr>
          <w:t>Catch per unit effort (CPUE)</w:t>
        </w:r>
        <w:r>
          <w:rPr>
            <w:noProof/>
            <w:webHidden/>
          </w:rPr>
          <w:tab/>
        </w:r>
        <w:r>
          <w:rPr>
            <w:noProof/>
            <w:webHidden/>
          </w:rPr>
          <w:fldChar w:fldCharType="begin"/>
        </w:r>
        <w:r>
          <w:rPr>
            <w:noProof/>
            <w:webHidden/>
          </w:rPr>
          <w:instrText xml:space="preserve"> PAGEREF _Toc189044941 \h </w:instrText>
        </w:r>
        <w:r>
          <w:rPr>
            <w:noProof/>
            <w:webHidden/>
          </w:rPr>
        </w:r>
        <w:r>
          <w:rPr>
            <w:noProof/>
            <w:webHidden/>
          </w:rPr>
          <w:fldChar w:fldCharType="separate"/>
        </w:r>
        <w:r w:rsidR="004263D8">
          <w:rPr>
            <w:noProof/>
            <w:webHidden/>
          </w:rPr>
          <w:t>40</w:t>
        </w:r>
        <w:r>
          <w:rPr>
            <w:noProof/>
            <w:webHidden/>
          </w:rPr>
          <w:fldChar w:fldCharType="end"/>
        </w:r>
      </w:hyperlink>
    </w:p>
    <w:p w14:paraId="6D6D69B5" w14:textId="600B8D55"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42" w:history="1">
        <w:r w:rsidRPr="00FA4727">
          <w:rPr>
            <w:rStyle w:val="Hyperlink"/>
            <w:noProof/>
          </w:rPr>
          <w:t>4.3</w:t>
        </w:r>
        <w:r>
          <w:rPr>
            <w:rFonts w:asciiTheme="minorHAnsi" w:eastAsiaTheme="minorEastAsia" w:hAnsiTheme="minorHAnsi" w:cstheme="minorBidi"/>
            <w:noProof/>
            <w:kern w:val="2"/>
            <w:sz w:val="24"/>
            <w:szCs w:val="24"/>
            <w14:ligatures w14:val="standardContextual"/>
          </w:rPr>
          <w:tab/>
        </w:r>
        <w:r w:rsidRPr="00FA4727">
          <w:rPr>
            <w:rStyle w:val="Hyperlink"/>
            <w:noProof/>
          </w:rPr>
          <w:t>Stock assessments</w:t>
        </w:r>
        <w:r>
          <w:rPr>
            <w:noProof/>
            <w:webHidden/>
          </w:rPr>
          <w:tab/>
        </w:r>
        <w:r>
          <w:rPr>
            <w:noProof/>
            <w:webHidden/>
          </w:rPr>
          <w:fldChar w:fldCharType="begin"/>
        </w:r>
        <w:r>
          <w:rPr>
            <w:noProof/>
            <w:webHidden/>
          </w:rPr>
          <w:instrText xml:space="preserve"> PAGEREF _Toc189044942 \h </w:instrText>
        </w:r>
        <w:r>
          <w:rPr>
            <w:noProof/>
            <w:webHidden/>
          </w:rPr>
        </w:r>
        <w:r>
          <w:rPr>
            <w:noProof/>
            <w:webHidden/>
          </w:rPr>
          <w:fldChar w:fldCharType="separate"/>
        </w:r>
        <w:r w:rsidR="004263D8">
          <w:rPr>
            <w:noProof/>
            <w:webHidden/>
          </w:rPr>
          <w:t>43</w:t>
        </w:r>
        <w:r>
          <w:rPr>
            <w:noProof/>
            <w:webHidden/>
          </w:rPr>
          <w:fldChar w:fldCharType="end"/>
        </w:r>
      </w:hyperlink>
    </w:p>
    <w:p w14:paraId="197D2E8E" w14:textId="66B3EB8B"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43" w:history="1">
        <w:r w:rsidRPr="00FA4727">
          <w:rPr>
            <w:rStyle w:val="Hyperlink"/>
            <w:noProof/>
          </w:rPr>
          <w:t>4.4</w:t>
        </w:r>
        <w:r>
          <w:rPr>
            <w:rFonts w:asciiTheme="minorHAnsi" w:eastAsiaTheme="minorEastAsia" w:hAnsiTheme="minorHAnsi" w:cstheme="minorBidi"/>
            <w:noProof/>
            <w:kern w:val="2"/>
            <w:sz w:val="24"/>
            <w:szCs w:val="24"/>
            <w14:ligatures w14:val="standardContextual"/>
          </w:rPr>
          <w:tab/>
        </w:r>
        <w:r w:rsidRPr="00FA4727">
          <w:rPr>
            <w:rStyle w:val="Hyperlink"/>
            <w:noProof/>
          </w:rPr>
          <w:t>Ecological Risk Assessment (ERA)</w:t>
        </w:r>
        <w:r>
          <w:rPr>
            <w:noProof/>
            <w:webHidden/>
          </w:rPr>
          <w:tab/>
        </w:r>
        <w:r>
          <w:rPr>
            <w:noProof/>
            <w:webHidden/>
          </w:rPr>
          <w:fldChar w:fldCharType="begin"/>
        </w:r>
        <w:r>
          <w:rPr>
            <w:noProof/>
            <w:webHidden/>
          </w:rPr>
          <w:instrText xml:space="preserve"> PAGEREF _Toc189044943 \h </w:instrText>
        </w:r>
        <w:r>
          <w:rPr>
            <w:noProof/>
            <w:webHidden/>
          </w:rPr>
        </w:r>
        <w:r>
          <w:rPr>
            <w:noProof/>
            <w:webHidden/>
          </w:rPr>
          <w:fldChar w:fldCharType="separate"/>
        </w:r>
        <w:r w:rsidR="004263D8">
          <w:rPr>
            <w:noProof/>
            <w:webHidden/>
          </w:rPr>
          <w:t>47</w:t>
        </w:r>
        <w:r>
          <w:rPr>
            <w:noProof/>
            <w:webHidden/>
          </w:rPr>
          <w:fldChar w:fldCharType="end"/>
        </w:r>
      </w:hyperlink>
    </w:p>
    <w:p w14:paraId="726FC357" w14:textId="45988F22"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44" w:history="1">
        <w:r w:rsidRPr="00FA4727">
          <w:rPr>
            <w:rStyle w:val="Hyperlink"/>
            <w:noProof/>
          </w:rPr>
          <w:t>5</w:t>
        </w:r>
        <w:r>
          <w:rPr>
            <w:rFonts w:asciiTheme="minorHAnsi" w:eastAsiaTheme="minorEastAsia" w:hAnsiTheme="minorHAnsi" w:cstheme="minorBidi"/>
            <w:noProof/>
            <w:kern w:val="2"/>
            <w:sz w:val="24"/>
            <w:szCs w:val="24"/>
            <w14:ligatures w14:val="standardContextual"/>
          </w:rPr>
          <w:tab/>
        </w:r>
        <w:r w:rsidRPr="00FA4727">
          <w:rPr>
            <w:rStyle w:val="Hyperlink"/>
            <w:noProof/>
          </w:rPr>
          <w:t>Management</w:t>
        </w:r>
        <w:r>
          <w:rPr>
            <w:noProof/>
            <w:webHidden/>
          </w:rPr>
          <w:tab/>
        </w:r>
        <w:r>
          <w:rPr>
            <w:noProof/>
            <w:webHidden/>
          </w:rPr>
          <w:fldChar w:fldCharType="begin"/>
        </w:r>
        <w:r>
          <w:rPr>
            <w:noProof/>
            <w:webHidden/>
          </w:rPr>
          <w:instrText xml:space="preserve"> PAGEREF _Toc189044944 \h </w:instrText>
        </w:r>
        <w:r>
          <w:rPr>
            <w:noProof/>
            <w:webHidden/>
          </w:rPr>
        </w:r>
        <w:r>
          <w:rPr>
            <w:noProof/>
            <w:webHidden/>
          </w:rPr>
          <w:fldChar w:fldCharType="separate"/>
        </w:r>
        <w:r w:rsidR="004263D8">
          <w:rPr>
            <w:noProof/>
            <w:webHidden/>
          </w:rPr>
          <w:t>49</w:t>
        </w:r>
        <w:r>
          <w:rPr>
            <w:noProof/>
            <w:webHidden/>
          </w:rPr>
          <w:fldChar w:fldCharType="end"/>
        </w:r>
      </w:hyperlink>
    </w:p>
    <w:p w14:paraId="44A5E4EE" w14:textId="144D3E8B"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45" w:history="1">
        <w:r w:rsidRPr="00FA4727">
          <w:rPr>
            <w:rStyle w:val="Hyperlink"/>
            <w:noProof/>
          </w:rPr>
          <w:t>5.1</w:t>
        </w:r>
        <w:r>
          <w:rPr>
            <w:rFonts w:asciiTheme="minorHAnsi" w:eastAsiaTheme="minorEastAsia" w:hAnsiTheme="minorHAnsi" w:cstheme="minorBidi"/>
            <w:noProof/>
            <w:kern w:val="2"/>
            <w:sz w:val="24"/>
            <w:szCs w:val="24"/>
            <w14:ligatures w14:val="standardContextual"/>
          </w:rPr>
          <w:tab/>
        </w:r>
        <w:r w:rsidRPr="00FA4727">
          <w:rPr>
            <w:rStyle w:val="Hyperlink"/>
            <w:noProof/>
          </w:rPr>
          <w:t>Current management</w:t>
        </w:r>
        <w:r>
          <w:rPr>
            <w:noProof/>
            <w:webHidden/>
          </w:rPr>
          <w:tab/>
        </w:r>
        <w:r>
          <w:rPr>
            <w:noProof/>
            <w:webHidden/>
          </w:rPr>
          <w:fldChar w:fldCharType="begin"/>
        </w:r>
        <w:r>
          <w:rPr>
            <w:noProof/>
            <w:webHidden/>
          </w:rPr>
          <w:instrText xml:space="preserve"> PAGEREF _Toc189044945 \h </w:instrText>
        </w:r>
        <w:r>
          <w:rPr>
            <w:noProof/>
            <w:webHidden/>
          </w:rPr>
        </w:r>
        <w:r>
          <w:rPr>
            <w:noProof/>
            <w:webHidden/>
          </w:rPr>
          <w:fldChar w:fldCharType="separate"/>
        </w:r>
        <w:r w:rsidR="004263D8">
          <w:rPr>
            <w:noProof/>
            <w:webHidden/>
          </w:rPr>
          <w:t>49</w:t>
        </w:r>
        <w:r>
          <w:rPr>
            <w:noProof/>
            <w:webHidden/>
          </w:rPr>
          <w:fldChar w:fldCharType="end"/>
        </w:r>
      </w:hyperlink>
    </w:p>
    <w:p w14:paraId="2B4C4FE9" w14:textId="2899A95B"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46" w:history="1">
        <w:r w:rsidRPr="00FA4727">
          <w:rPr>
            <w:rStyle w:val="Hyperlink"/>
            <w:noProof/>
          </w:rPr>
          <w:t>5.2</w:t>
        </w:r>
        <w:r>
          <w:rPr>
            <w:rFonts w:asciiTheme="minorHAnsi" w:eastAsiaTheme="minorEastAsia" w:hAnsiTheme="minorHAnsi" w:cstheme="minorBidi"/>
            <w:noProof/>
            <w:kern w:val="2"/>
            <w:sz w:val="24"/>
            <w:szCs w:val="24"/>
            <w14:ligatures w14:val="standardContextual"/>
          </w:rPr>
          <w:tab/>
        </w:r>
        <w:r w:rsidRPr="00FA4727">
          <w:rPr>
            <w:rStyle w:val="Hyperlink"/>
            <w:noProof/>
          </w:rPr>
          <w:t>History of management</w:t>
        </w:r>
        <w:r>
          <w:rPr>
            <w:noProof/>
            <w:webHidden/>
          </w:rPr>
          <w:tab/>
        </w:r>
        <w:r>
          <w:rPr>
            <w:noProof/>
            <w:webHidden/>
          </w:rPr>
          <w:fldChar w:fldCharType="begin"/>
        </w:r>
        <w:r>
          <w:rPr>
            <w:noProof/>
            <w:webHidden/>
          </w:rPr>
          <w:instrText xml:space="preserve"> PAGEREF _Toc189044946 \h </w:instrText>
        </w:r>
        <w:r>
          <w:rPr>
            <w:noProof/>
            <w:webHidden/>
          </w:rPr>
        </w:r>
        <w:r>
          <w:rPr>
            <w:noProof/>
            <w:webHidden/>
          </w:rPr>
          <w:fldChar w:fldCharType="separate"/>
        </w:r>
        <w:r w:rsidR="004263D8">
          <w:rPr>
            <w:noProof/>
            <w:webHidden/>
          </w:rPr>
          <w:t>54</w:t>
        </w:r>
        <w:r>
          <w:rPr>
            <w:noProof/>
            <w:webHidden/>
          </w:rPr>
          <w:fldChar w:fldCharType="end"/>
        </w:r>
      </w:hyperlink>
    </w:p>
    <w:p w14:paraId="29A26221" w14:textId="4A819329"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47" w:history="1">
        <w:r w:rsidRPr="00FA4727">
          <w:rPr>
            <w:rStyle w:val="Hyperlink"/>
            <w:noProof/>
          </w:rPr>
          <w:t>5.3</w:t>
        </w:r>
        <w:r>
          <w:rPr>
            <w:rFonts w:asciiTheme="minorHAnsi" w:eastAsiaTheme="minorEastAsia" w:hAnsiTheme="minorHAnsi" w:cstheme="minorBidi"/>
            <w:noProof/>
            <w:kern w:val="2"/>
            <w:sz w:val="24"/>
            <w:szCs w:val="24"/>
            <w14:ligatures w14:val="standardContextual"/>
          </w:rPr>
          <w:tab/>
        </w:r>
        <w:r w:rsidRPr="00FA4727">
          <w:rPr>
            <w:rStyle w:val="Hyperlink"/>
            <w:noProof/>
          </w:rPr>
          <w:t>GBRMP</w:t>
        </w:r>
        <w:r>
          <w:rPr>
            <w:noProof/>
            <w:webHidden/>
          </w:rPr>
          <w:tab/>
        </w:r>
        <w:r>
          <w:rPr>
            <w:noProof/>
            <w:webHidden/>
          </w:rPr>
          <w:fldChar w:fldCharType="begin"/>
        </w:r>
        <w:r>
          <w:rPr>
            <w:noProof/>
            <w:webHidden/>
          </w:rPr>
          <w:instrText xml:space="preserve"> PAGEREF _Toc189044947 \h </w:instrText>
        </w:r>
        <w:r>
          <w:rPr>
            <w:noProof/>
            <w:webHidden/>
          </w:rPr>
        </w:r>
        <w:r>
          <w:rPr>
            <w:noProof/>
            <w:webHidden/>
          </w:rPr>
          <w:fldChar w:fldCharType="separate"/>
        </w:r>
        <w:r w:rsidR="004263D8">
          <w:rPr>
            <w:noProof/>
            <w:webHidden/>
          </w:rPr>
          <w:t>56</w:t>
        </w:r>
        <w:r>
          <w:rPr>
            <w:noProof/>
            <w:webHidden/>
          </w:rPr>
          <w:fldChar w:fldCharType="end"/>
        </w:r>
      </w:hyperlink>
    </w:p>
    <w:p w14:paraId="559B6693" w14:textId="177A00D2"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48" w:history="1">
        <w:r w:rsidRPr="00FA4727">
          <w:rPr>
            <w:rStyle w:val="Hyperlink"/>
            <w:noProof/>
          </w:rPr>
          <w:t>5.4</w:t>
        </w:r>
        <w:r>
          <w:rPr>
            <w:rFonts w:asciiTheme="minorHAnsi" w:eastAsiaTheme="minorEastAsia" w:hAnsiTheme="minorHAnsi" w:cstheme="minorBidi"/>
            <w:noProof/>
            <w:kern w:val="2"/>
            <w:sz w:val="24"/>
            <w:szCs w:val="24"/>
            <w14:ligatures w14:val="standardContextual"/>
          </w:rPr>
          <w:tab/>
        </w:r>
        <w:r w:rsidRPr="00FA4727">
          <w:rPr>
            <w:rStyle w:val="Hyperlink"/>
            <w:noProof/>
          </w:rPr>
          <w:t>Management of illegal, unreported and unregulated fishing (IUU)</w:t>
        </w:r>
        <w:r>
          <w:rPr>
            <w:noProof/>
            <w:webHidden/>
          </w:rPr>
          <w:tab/>
        </w:r>
        <w:r>
          <w:rPr>
            <w:noProof/>
            <w:webHidden/>
          </w:rPr>
          <w:fldChar w:fldCharType="begin"/>
        </w:r>
        <w:r>
          <w:rPr>
            <w:noProof/>
            <w:webHidden/>
          </w:rPr>
          <w:instrText xml:space="preserve"> PAGEREF _Toc189044948 \h </w:instrText>
        </w:r>
        <w:r>
          <w:rPr>
            <w:noProof/>
            <w:webHidden/>
          </w:rPr>
        </w:r>
        <w:r>
          <w:rPr>
            <w:noProof/>
            <w:webHidden/>
          </w:rPr>
          <w:fldChar w:fldCharType="separate"/>
        </w:r>
        <w:r w:rsidR="004263D8">
          <w:rPr>
            <w:noProof/>
            <w:webHidden/>
          </w:rPr>
          <w:t>56</w:t>
        </w:r>
        <w:r>
          <w:rPr>
            <w:noProof/>
            <w:webHidden/>
          </w:rPr>
          <w:fldChar w:fldCharType="end"/>
        </w:r>
      </w:hyperlink>
    </w:p>
    <w:p w14:paraId="45BB0665" w14:textId="084DDC4B"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49" w:history="1">
        <w:r w:rsidRPr="00FA4727">
          <w:rPr>
            <w:rStyle w:val="Hyperlink"/>
            <w:noProof/>
          </w:rPr>
          <w:t>5.5</w:t>
        </w:r>
        <w:r>
          <w:rPr>
            <w:rFonts w:asciiTheme="minorHAnsi" w:eastAsiaTheme="minorEastAsia" w:hAnsiTheme="minorHAnsi" w:cstheme="minorBidi"/>
            <w:noProof/>
            <w:kern w:val="2"/>
            <w:sz w:val="24"/>
            <w:szCs w:val="24"/>
            <w14:ligatures w14:val="standardContextual"/>
          </w:rPr>
          <w:tab/>
        </w:r>
        <w:r w:rsidRPr="00FA4727">
          <w:rPr>
            <w:rStyle w:val="Hyperlink"/>
            <w:noProof/>
          </w:rPr>
          <w:t>Management effectiveness (monitoring and compliance)</w:t>
        </w:r>
        <w:r>
          <w:rPr>
            <w:noProof/>
            <w:webHidden/>
          </w:rPr>
          <w:tab/>
        </w:r>
        <w:r>
          <w:rPr>
            <w:noProof/>
            <w:webHidden/>
          </w:rPr>
          <w:fldChar w:fldCharType="begin"/>
        </w:r>
        <w:r>
          <w:rPr>
            <w:noProof/>
            <w:webHidden/>
          </w:rPr>
          <w:instrText xml:space="preserve"> PAGEREF _Toc189044949 \h </w:instrText>
        </w:r>
        <w:r>
          <w:rPr>
            <w:noProof/>
            <w:webHidden/>
          </w:rPr>
        </w:r>
        <w:r>
          <w:rPr>
            <w:noProof/>
            <w:webHidden/>
          </w:rPr>
          <w:fldChar w:fldCharType="separate"/>
        </w:r>
        <w:r w:rsidR="004263D8">
          <w:rPr>
            <w:noProof/>
            <w:webHidden/>
          </w:rPr>
          <w:t>57</w:t>
        </w:r>
        <w:r>
          <w:rPr>
            <w:noProof/>
            <w:webHidden/>
          </w:rPr>
          <w:fldChar w:fldCharType="end"/>
        </w:r>
      </w:hyperlink>
    </w:p>
    <w:p w14:paraId="32F1273C" w14:textId="26C322F7"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50" w:history="1">
        <w:r w:rsidRPr="00FA4727">
          <w:rPr>
            <w:rStyle w:val="Hyperlink"/>
            <w:noProof/>
          </w:rPr>
          <w:t>6</w:t>
        </w:r>
        <w:r>
          <w:rPr>
            <w:rFonts w:asciiTheme="minorHAnsi" w:eastAsiaTheme="minorEastAsia" w:hAnsiTheme="minorHAnsi" w:cstheme="minorBidi"/>
            <w:noProof/>
            <w:kern w:val="2"/>
            <w:sz w:val="24"/>
            <w:szCs w:val="24"/>
            <w14:ligatures w14:val="standardContextual"/>
          </w:rPr>
          <w:tab/>
        </w:r>
        <w:r w:rsidRPr="00FA4727">
          <w:rPr>
            <w:rStyle w:val="Hyperlink"/>
            <w:noProof/>
          </w:rPr>
          <w:t>Conclusions and recommendations</w:t>
        </w:r>
        <w:r>
          <w:rPr>
            <w:noProof/>
            <w:webHidden/>
          </w:rPr>
          <w:tab/>
        </w:r>
        <w:r>
          <w:rPr>
            <w:noProof/>
            <w:webHidden/>
          </w:rPr>
          <w:fldChar w:fldCharType="begin"/>
        </w:r>
        <w:r>
          <w:rPr>
            <w:noProof/>
            <w:webHidden/>
          </w:rPr>
          <w:instrText xml:space="preserve"> PAGEREF _Toc189044950 \h </w:instrText>
        </w:r>
        <w:r>
          <w:rPr>
            <w:noProof/>
            <w:webHidden/>
          </w:rPr>
        </w:r>
        <w:r>
          <w:rPr>
            <w:noProof/>
            <w:webHidden/>
          </w:rPr>
          <w:fldChar w:fldCharType="separate"/>
        </w:r>
        <w:r w:rsidR="004263D8">
          <w:rPr>
            <w:noProof/>
            <w:webHidden/>
          </w:rPr>
          <w:t>58</w:t>
        </w:r>
        <w:r>
          <w:rPr>
            <w:noProof/>
            <w:webHidden/>
          </w:rPr>
          <w:fldChar w:fldCharType="end"/>
        </w:r>
      </w:hyperlink>
    </w:p>
    <w:p w14:paraId="687AFAC4" w14:textId="3D2D5271" w:rsidR="00D773A1" w:rsidRDefault="00D773A1">
      <w:pPr>
        <w:pStyle w:val="TOC3"/>
        <w:rPr>
          <w:rFonts w:asciiTheme="minorHAnsi" w:eastAsiaTheme="minorEastAsia" w:hAnsiTheme="minorHAnsi" w:cstheme="minorBidi"/>
          <w:noProof/>
          <w:kern w:val="2"/>
          <w:sz w:val="24"/>
          <w:szCs w:val="24"/>
          <w14:ligatures w14:val="standardContextual"/>
        </w:rPr>
      </w:pPr>
      <w:hyperlink w:anchor="_Toc189044951" w:history="1">
        <w:r w:rsidRPr="00FA4727">
          <w:rPr>
            <w:rStyle w:val="Hyperlink"/>
            <w:noProof/>
          </w:rPr>
          <w:t>6.1</w:t>
        </w:r>
        <w:r>
          <w:rPr>
            <w:rFonts w:asciiTheme="minorHAnsi" w:eastAsiaTheme="minorEastAsia" w:hAnsiTheme="minorHAnsi" w:cstheme="minorBidi"/>
            <w:noProof/>
            <w:kern w:val="2"/>
            <w:sz w:val="24"/>
            <w:szCs w:val="24"/>
            <w14:ligatures w14:val="standardContextual"/>
          </w:rPr>
          <w:tab/>
        </w:r>
        <w:r w:rsidRPr="00FA4727">
          <w:rPr>
            <w:rStyle w:val="Hyperlink"/>
            <w:noProof/>
          </w:rPr>
          <w:t>Recommendations</w:t>
        </w:r>
        <w:r>
          <w:rPr>
            <w:noProof/>
            <w:webHidden/>
          </w:rPr>
          <w:tab/>
        </w:r>
        <w:r>
          <w:rPr>
            <w:noProof/>
            <w:webHidden/>
          </w:rPr>
          <w:fldChar w:fldCharType="begin"/>
        </w:r>
        <w:r>
          <w:rPr>
            <w:noProof/>
            <w:webHidden/>
          </w:rPr>
          <w:instrText xml:space="preserve"> PAGEREF _Toc189044951 \h </w:instrText>
        </w:r>
        <w:r>
          <w:rPr>
            <w:noProof/>
            <w:webHidden/>
          </w:rPr>
        </w:r>
        <w:r>
          <w:rPr>
            <w:noProof/>
            <w:webHidden/>
          </w:rPr>
          <w:fldChar w:fldCharType="separate"/>
        </w:r>
        <w:r w:rsidR="004263D8">
          <w:rPr>
            <w:noProof/>
            <w:webHidden/>
          </w:rPr>
          <w:t>60</w:t>
        </w:r>
        <w:r>
          <w:rPr>
            <w:noProof/>
            <w:webHidden/>
          </w:rPr>
          <w:fldChar w:fldCharType="end"/>
        </w:r>
      </w:hyperlink>
    </w:p>
    <w:p w14:paraId="50F32677" w14:textId="09EA67DF"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52" w:history="1">
        <w:r w:rsidRPr="00FA4727">
          <w:rPr>
            <w:rStyle w:val="Hyperlink"/>
            <w:noProof/>
          </w:rPr>
          <w:t>References</w:t>
        </w:r>
        <w:r>
          <w:rPr>
            <w:noProof/>
            <w:webHidden/>
          </w:rPr>
          <w:tab/>
        </w:r>
        <w:r>
          <w:rPr>
            <w:noProof/>
            <w:webHidden/>
          </w:rPr>
          <w:fldChar w:fldCharType="begin"/>
        </w:r>
        <w:r>
          <w:rPr>
            <w:noProof/>
            <w:webHidden/>
          </w:rPr>
          <w:instrText xml:space="preserve"> PAGEREF _Toc189044952 \h </w:instrText>
        </w:r>
        <w:r>
          <w:rPr>
            <w:noProof/>
            <w:webHidden/>
          </w:rPr>
        </w:r>
        <w:r>
          <w:rPr>
            <w:noProof/>
            <w:webHidden/>
          </w:rPr>
          <w:fldChar w:fldCharType="separate"/>
        </w:r>
        <w:r w:rsidR="004263D8">
          <w:rPr>
            <w:noProof/>
            <w:webHidden/>
          </w:rPr>
          <w:t>63</w:t>
        </w:r>
        <w:r>
          <w:rPr>
            <w:noProof/>
            <w:webHidden/>
          </w:rPr>
          <w:fldChar w:fldCharType="end"/>
        </w:r>
      </w:hyperlink>
    </w:p>
    <w:p w14:paraId="1B178756" w14:textId="01B565BE"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53" w:history="1">
        <w:r w:rsidRPr="00FA4727">
          <w:rPr>
            <w:rStyle w:val="Hyperlink"/>
            <w:noProof/>
          </w:rPr>
          <w:t>Appendix A: Marine Park maps</w:t>
        </w:r>
        <w:r>
          <w:rPr>
            <w:noProof/>
            <w:webHidden/>
          </w:rPr>
          <w:tab/>
        </w:r>
        <w:r>
          <w:rPr>
            <w:noProof/>
            <w:webHidden/>
          </w:rPr>
          <w:fldChar w:fldCharType="begin"/>
        </w:r>
        <w:r>
          <w:rPr>
            <w:noProof/>
            <w:webHidden/>
          </w:rPr>
          <w:instrText xml:space="preserve"> PAGEREF _Toc189044953 \h </w:instrText>
        </w:r>
        <w:r>
          <w:rPr>
            <w:noProof/>
            <w:webHidden/>
          </w:rPr>
        </w:r>
        <w:r>
          <w:rPr>
            <w:noProof/>
            <w:webHidden/>
          </w:rPr>
          <w:fldChar w:fldCharType="separate"/>
        </w:r>
        <w:r w:rsidR="004263D8">
          <w:rPr>
            <w:noProof/>
            <w:webHidden/>
          </w:rPr>
          <w:t>73</w:t>
        </w:r>
        <w:r>
          <w:rPr>
            <w:noProof/>
            <w:webHidden/>
          </w:rPr>
          <w:fldChar w:fldCharType="end"/>
        </w:r>
      </w:hyperlink>
    </w:p>
    <w:p w14:paraId="70AFBB7E" w14:textId="356BFFB9"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54" w:history="1">
        <w:r w:rsidRPr="00FA4727">
          <w:rPr>
            <w:rStyle w:val="Hyperlink"/>
            <w:noProof/>
          </w:rPr>
          <w:t>Appendix B: Current modelling outputs</w:t>
        </w:r>
        <w:r>
          <w:rPr>
            <w:noProof/>
            <w:webHidden/>
          </w:rPr>
          <w:tab/>
        </w:r>
        <w:r>
          <w:rPr>
            <w:noProof/>
            <w:webHidden/>
          </w:rPr>
          <w:fldChar w:fldCharType="begin"/>
        </w:r>
        <w:r>
          <w:rPr>
            <w:noProof/>
            <w:webHidden/>
          </w:rPr>
          <w:instrText xml:space="preserve"> PAGEREF _Toc189044954 \h </w:instrText>
        </w:r>
        <w:r>
          <w:rPr>
            <w:noProof/>
            <w:webHidden/>
          </w:rPr>
        </w:r>
        <w:r>
          <w:rPr>
            <w:noProof/>
            <w:webHidden/>
          </w:rPr>
          <w:fldChar w:fldCharType="separate"/>
        </w:r>
        <w:r w:rsidR="004263D8">
          <w:rPr>
            <w:noProof/>
            <w:webHidden/>
          </w:rPr>
          <w:t>76</w:t>
        </w:r>
        <w:r>
          <w:rPr>
            <w:noProof/>
            <w:webHidden/>
          </w:rPr>
          <w:fldChar w:fldCharType="end"/>
        </w:r>
      </w:hyperlink>
    </w:p>
    <w:p w14:paraId="20B8B508" w14:textId="690A55D4"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55" w:history="1">
        <w:r w:rsidRPr="00FA4727">
          <w:rPr>
            <w:rStyle w:val="Hyperlink"/>
            <w:noProof/>
          </w:rPr>
          <w:t>Appendix C: Catch of the QSCF</w:t>
        </w:r>
        <w:r>
          <w:rPr>
            <w:noProof/>
            <w:webHidden/>
          </w:rPr>
          <w:tab/>
        </w:r>
        <w:r>
          <w:rPr>
            <w:noProof/>
            <w:webHidden/>
          </w:rPr>
          <w:fldChar w:fldCharType="begin"/>
        </w:r>
        <w:r>
          <w:rPr>
            <w:noProof/>
            <w:webHidden/>
          </w:rPr>
          <w:instrText xml:space="preserve"> PAGEREF _Toc189044955 \h </w:instrText>
        </w:r>
        <w:r>
          <w:rPr>
            <w:noProof/>
            <w:webHidden/>
          </w:rPr>
        </w:r>
        <w:r>
          <w:rPr>
            <w:noProof/>
            <w:webHidden/>
          </w:rPr>
          <w:fldChar w:fldCharType="separate"/>
        </w:r>
        <w:r w:rsidR="004263D8">
          <w:rPr>
            <w:noProof/>
            <w:webHidden/>
          </w:rPr>
          <w:t>78</w:t>
        </w:r>
        <w:r>
          <w:rPr>
            <w:noProof/>
            <w:webHidden/>
          </w:rPr>
          <w:fldChar w:fldCharType="end"/>
        </w:r>
      </w:hyperlink>
    </w:p>
    <w:p w14:paraId="6905A8E1" w14:textId="226F1B4C"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56" w:history="1">
        <w:r w:rsidRPr="00FA4727">
          <w:rPr>
            <w:rStyle w:val="Hyperlink"/>
            <w:noProof/>
          </w:rPr>
          <w:t>Appendix D: Logbook data treatment</w:t>
        </w:r>
        <w:r>
          <w:rPr>
            <w:noProof/>
            <w:webHidden/>
          </w:rPr>
          <w:tab/>
        </w:r>
        <w:r>
          <w:rPr>
            <w:noProof/>
            <w:webHidden/>
          </w:rPr>
          <w:fldChar w:fldCharType="begin"/>
        </w:r>
        <w:r>
          <w:rPr>
            <w:noProof/>
            <w:webHidden/>
          </w:rPr>
          <w:instrText xml:space="preserve"> PAGEREF _Toc189044956 \h </w:instrText>
        </w:r>
        <w:r>
          <w:rPr>
            <w:noProof/>
            <w:webHidden/>
          </w:rPr>
        </w:r>
        <w:r>
          <w:rPr>
            <w:noProof/>
            <w:webHidden/>
          </w:rPr>
          <w:fldChar w:fldCharType="separate"/>
        </w:r>
        <w:r w:rsidR="004263D8">
          <w:rPr>
            <w:noProof/>
            <w:webHidden/>
          </w:rPr>
          <w:t>79</w:t>
        </w:r>
        <w:r>
          <w:rPr>
            <w:noProof/>
            <w:webHidden/>
          </w:rPr>
          <w:fldChar w:fldCharType="end"/>
        </w:r>
      </w:hyperlink>
    </w:p>
    <w:p w14:paraId="192CA9B1" w14:textId="3D42D632" w:rsidR="00D773A1" w:rsidRDefault="00D773A1">
      <w:pPr>
        <w:pStyle w:val="TOC2"/>
        <w:rPr>
          <w:rFonts w:asciiTheme="minorHAnsi" w:eastAsiaTheme="minorEastAsia" w:hAnsiTheme="minorHAnsi" w:cstheme="minorBidi"/>
          <w:noProof/>
          <w:kern w:val="2"/>
          <w:sz w:val="24"/>
          <w:szCs w:val="24"/>
          <w14:ligatures w14:val="standardContextual"/>
        </w:rPr>
      </w:pPr>
      <w:hyperlink w:anchor="_Toc189044957" w:history="1">
        <w:r w:rsidRPr="00FA4727">
          <w:rPr>
            <w:rStyle w:val="Hyperlink"/>
            <w:noProof/>
          </w:rPr>
          <w:t>Appendix E: History of catch limits</w:t>
        </w:r>
        <w:r>
          <w:rPr>
            <w:noProof/>
            <w:webHidden/>
          </w:rPr>
          <w:tab/>
        </w:r>
        <w:r>
          <w:rPr>
            <w:noProof/>
            <w:webHidden/>
          </w:rPr>
          <w:fldChar w:fldCharType="begin"/>
        </w:r>
        <w:r>
          <w:rPr>
            <w:noProof/>
            <w:webHidden/>
          </w:rPr>
          <w:instrText xml:space="preserve"> PAGEREF _Toc189044957 \h </w:instrText>
        </w:r>
        <w:r>
          <w:rPr>
            <w:noProof/>
            <w:webHidden/>
          </w:rPr>
        </w:r>
        <w:r>
          <w:rPr>
            <w:noProof/>
            <w:webHidden/>
          </w:rPr>
          <w:fldChar w:fldCharType="separate"/>
        </w:r>
        <w:r w:rsidR="004263D8">
          <w:rPr>
            <w:noProof/>
            <w:webHidden/>
          </w:rPr>
          <w:t>83</w:t>
        </w:r>
        <w:r>
          <w:rPr>
            <w:noProof/>
            <w:webHidden/>
          </w:rPr>
          <w:fldChar w:fldCharType="end"/>
        </w:r>
      </w:hyperlink>
    </w:p>
    <w:p w14:paraId="1DC417EE" w14:textId="617698A1" w:rsidR="00A943B2" w:rsidRDefault="00270A2A" w:rsidP="00FE3F4D">
      <w:r>
        <w:rPr>
          <w:b/>
          <w:color w:val="FFFFFF"/>
          <w:spacing w:val="-7"/>
          <w:shd w:val="clear" w:color="auto" w:fill="E6E6E6"/>
        </w:rPr>
        <w:fldChar w:fldCharType="end"/>
      </w:r>
    </w:p>
    <w:p w14:paraId="1DC417EF" w14:textId="77777777" w:rsidR="00A943B2" w:rsidRDefault="00A943B2" w:rsidP="004712A8"/>
    <w:p w14:paraId="1DC417F0" w14:textId="77777777" w:rsidR="003053C7" w:rsidRPr="00AC3B3A" w:rsidRDefault="003053C7" w:rsidP="00732A99">
      <w:r>
        <w:br w:type="page"/>
      </w:r>
    </w:p>
    <w:p w14:paraId="1DC417F1" w14:textId="77777777" w:rsidR="00A943B2" w:rsidRDefault="004D139E" w:rsidP="00A60F4F">
      <w:pPr>
        <w:pStyle w:val="ListofFiguresandTablesTOCHeading"/>
      </w:pPr>
      <w:r>
        <w:lastRenderedPageBreak/>
        <w:t>F</w:t>
      </w:r>
      <w:r w:rsidR="00A943B2">
        <w:t>igures</w:t>
      </w:r>
    </w:p>
    <w:p w14:paraId="3DD28155" w14:textId="5643FA08" w:rsidR="00D773A1" w:rsidRDefault="00270A2A">
      <w:pPr>
        <w:pStyle w:val="TableofFigures"/>
        <w:rPr>
          <w:rFonts w:asciiTheme="minorHAnsi" w:eastAsiaTheme="minorEastAsia" w:hAnsiTheme="minorHAnsi" w:cstheme="minorBidi"/>
          <w:noProof/>
          <w:color w:val="auto"/>
          <w:kern w:val="2"/>
          <w:sz w:val="24"/>
          <w:szCs w:val="24"/>
          <w14:ligatures w14:val="standardContextual"/>
        </w:rPr>
      </w:pPr>
      <w:r>
        <w:rPr>
          <w:color w:val="2B579A"/>
          <w:shd w:val="clear" w:color="auto" w:fill="E6E6E6"/>
        </w:rPr>
        <w:fldChar w:fldCharType="begin"/>
      </w:r>
      <w:r w:rsidR="00A943B2">
        <w:instrText xml:space="preserve"> TOC \h \z \c "Figure" </w:instrText>
      </w:r>
      <w:r>
        <w:rPr>
          <w:color w:val="2B579A"/>
          <w:shd w:val="clear" w:color="auto" w:fill="E6E6E6"/>
        </w:rPr>
        <w:fldChar w:fldCharType="separate"/>
      </w:r>
      <w:hyperlink w:anchor="_Toc189044958" w:history="1">
        <w:r w:rsidR="00D773A1" w:rsidRPr="000A1AC6">
          <w:rPr>
            <w:rStyle w:val="Hyperlink"/>
            <w:noProof/>
          </w:rPr>
          <w:t>Figure 1. Map showing the boundary of the Queensland Sea Cucumber Fishery (East Coast) (QSCF) and reef features.</w:t>
        </w:r>
        <w:r w:rsidR="00D773A1">
          <w:rPr>
            <w:noProof/>
            <w:webHidden/>
          </w:rPr>
          <w:tab/>
        </w:r>
        <w:r w:rsidR="00D773A1">
          <w:rPr>
            <w:noProof/>
            <w:webHidden/>
          </w:rPr>
          <w:fldChar w:fldCharType="begin"/>
        </w:r>
        <w:r w:rsidR="00D773A1">
          <w:rPr>
            <w:noProof/>
            <w:webHidden/>
          </w:rPr>
          <w:instrText xml:space="preserve"> PAGEREF _Toc189044958 \h </w:instrText>
        </w:r>
        <w:r w:rsidR="00D773A1">
          <w:rPr>
            <w:noProof/>
            <w:webHidden/>
          </w:rPr>
        </w:r>
        <w:r w:rsidR="00D773A1">
          <w:rPr>
            <w:noProof/>
            <w:webHidden/>
          </w:rPr>
          <w:fldChar w:fldCharType="separate"/>
        </w:r>
        <w:r w:rsidR="004263D8">
          <w:rPr>
            <w:noProof/>
            <w:webHidden/>
          </w:rPr>
          <w:t>2</w:t>
        </w:r>
        <w:r w:rsidR="00D773A1">
          <w:rPr>
            <w:noProof/>
            <w:webHidden/>
          </w:rPr>
          <w:fldChar w:fldCharType="end"/>
        </w:r>
      </w:hyperlink>
    </w:p>
    <w:p w14:paraId="4FB86269" w14:textId="79D70AB2"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59" w:history="1">
        <w:r w:rsidRPr="000A1AC6">
          <w:rPr>
            <w:rStyle w:val="Hyperlink"/>
            <w:noProof/>
          </w:rPr>
          <w:t>Figure 2. Map showing the boundaries of the three sea cucumber fisheries in north-east Australia.</w:t>
        </w:r>
        <w:r>
          <w:rPr>
            <w:noProof/>
            <w:webHidden/>
          </w:rPr>
          <w:tab/>
        </w:r>
        <w:r>
          <w:rPr>
            <w:noProof/>
            <w:webHidden/>
          </w:rPr>
          <w:fldChar w:fldCharType="begin"/>
        </w:r>
        <w:r>
          <w:rPr>
            <w:noProof/>
            <w:webHidden/>
          </w:rPr>
          <w:instrText xml:space="preserve"> PAGEREF _Toc189044959 \h </w:instrText>
        </w:r>
        <w:r>
          <w:rPr>
            <w:noProof/>
            <w:webHidden/>
          </w:rPr>
        </w:r>
        <w:r>
          <w:rPr>
            <w:noProof/>
            <w:webHidden/>
          </w:rPr>
          <w:fldChar w:fldCharType="separate"/>
        </w:r>
        <w:r w:rsidR="004263D8">
          <w:rPr>
            <w:noProof/>
            <w:webHidden/>
          </w:rPr>
          <w:t>3</w:t>
        </w:r>
        <w:r>
          <w:rPr>
            <w:noProof/>
            <w:webHidden/>
          </w:rPr>
          <w:fldChar w:fldCharType="end"/>
        </w:r>
      </w:hyperlink>
    </w:p>
    <w:p w14:paraId="6FA42963" w14:textId="3F2A42E1"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60" w:history="1">
        <w:r w:rsidRPr="000A1AC6">
          <w:rPr>
            <w:rStyle w:val="Hyperlink"/>
            <w:noProof/>
          </w:rPr>
          <w:t>Figure 3. Frequency of fishing operation days by the number of species caught during that day for the QSCF for the period 1995-2023 (QSCF vessel logbook data).</w:t>
        </w:r>
        <w:r>
          <w:rPr>
            <w:noProof/>
            <w:webHidden/>
          </w:rPr>
          <w:tab/>
        </w:r>
        <w:r>
          <w:rPr>
            <w:noProof/>
            <w:webHidden/>
          </w:rPr>
          <w:fldChar w:fldCharType="begin"/>
        </w:r>
        <w:r>
          <w:rPr>
            <w:noProof/>
            <w:webHidden/>
          </w:rPr>
          <w:instrText xml:space="preserve"> PAGEREF _Toc189044960 \h </w:instrText>
        </w:r>
        <w:r>
          <w:rPr>
            <w:noProof/>
            <w:webHidden/>
          </w:rPr>
        </w:r>
        <w:r>
          <w:rPr>
            <w:noProof/>
            <w:webHidden/>
          </w:rPr>
          <w:fldChar w:fldCharType="separate"/>
        </w:r>
        <w:r w:rsidR="004263D8">
          <w:rPr>
            <w:noProof/>
            <w:webHidden/>
          </w:rPr>
          <w:t>4</w:t>
        </w:r>
        <w:r>
          <w:rPr>
            <w:noProof/>
            <w:webHidden/>
          </w:rPr>
          <w:fldChar w:fldCharType="end"/>
        </w:r>
      </w:hyperlink>
    </w:p>
    <w:p w14:paraId="07D4B39A" w14:textId="6E5314BC"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61" w:history="1">
        <w:r w:rsidRPr="000A1AC6">
          <w:rPr>
            <w:rStyle w:val="Hyperlink"/>
            <w:noProof/>
          </w:rPr>
          <w:t>Figure 4. Frequency of fishing operation days by the number of species caught during that day for the QSCF for the period 1995-2023 where Black teatfish was one of the species caught (QSCF vessel logbook data).</w:t>
        </w:r>
        <w:r>
          <w:rPr>
            <w:noProof/>
            <w:webHidden/>
          </w:rPr>
          <w:tab/>
        </w:r>
        <w:r>
          <w:rPr>
            <w:noProof/>
            <w:webHidden/>
          </w:rPr>
          <w:fldChar w:fldCharType="begin"/>
        </w:r>
        <w:r>
          <w:rPr>
            <w:noProof/>
            <w:webHidden/>
          </w:rPr>
          <w:instrText xml:space="preserve"> PAGEREF _Toc189044961 \h </w:instrText>
        </w:r>
        <w:r>
          <w:rPr>
            <w:noProof/>
            <w:webHidden/>
          </w:rPr>
        </w:r>
        <w:r>
          <w:rPr>
            <w:noProof/>
            <w:webHidden/>
          </w:rPr>
          <w:fldChar w:fldCharType="separate"/>
        </w:r>
        <w:r w:rsidR="004263D8">
          <w:rPr>
            <w:noProof/>
            <w:webHidden/>
          </w:rPr>
          <w:t>4</w:t>
        </w:r>
        <w:r>
          <w:rPr>
            <w:noProof/>
            <w:webHidden/>
          </w:rPr>
          <w:fldChar w:fldCharType="end"/>
        </w:r>
      </w:hyperlink>
    </w:p>
    <w:p w14:paraId="05FADF82" w14:textId="763714B2"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62" w:history="1">
        <w:r w:rsidRPr="000A1AC6">
          <w:rPr>
            <w:rStyle w:val="Hyperlink"/>
            <w:noProof/>
          </w:rPr>
          <w:t>Figure 5. Frequency of fishing operation days by the number of species caught during that day for the QSCF for the period 1995-2023 where White teatfish was one of the species caught (QSCF vessel logbook data).</w:t>
        </w:r>
        <w:r>
          <w:rPr>
            <w:noProof/>
            <w:webHidden/>
          </w:rPr>
          <w:tab/>
        </w:r>
        <w:r>
          <w:rPr>
            <w:noProof/>
            <w:webHidden/>
          </w:rPr>
          <w:fldChar w:fldCharType="begin"/>
        </w:r>
        <w:r>
          <w:rPr>
            <w:noProof/>
            <w:webHidden/>
          </w:rPr>
          <w:instrText xml:space="preserve"> PAGEREF _Toc189044962 \h </w:instrText>
        </w:r>
        <w:r>
          <w:rPr>
            <w:noProof/>
            <w:webHidden/>
          </w:rPr>
        </w:r>
        <w:r>
          <w:rPr>
            <w:noProof/>
            <w:webHidden/>
          </w:rPr>
          <w:fldChar w:fldCharType="separate"/>
        </w:r>
        <w:r w:rsidR="004263D8">
          <w:rPr>
            <w:noProof/>
            <w:webHidden/>
          </w:rPr>
          <w:t>4</w:t>
        </w:r>
        <w:r>
          <w:rPr>
            <w:noProof/>
            <w:webHidden/>
          </w:rPr>
          <w:fldChar w:fldCharType="end"/>
        </w:r>
      </w:hyperlink>
    </w:p>
    <w:p w14:paraId="045D396D" w14:textId="41AF7727"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63" w:history="1">
        <w:r w:rsidRPr="000A1AC6">
          <w:rPr>
            <w:rStyle w:val="Hyperlink"/>
            <w:noProof/>
          </w:rPr>
          <w:t>Figure 6. QSCF area and areas closed to fishing (Coral Sea Marine Park National Park Zones, Great Barrier Reef Marine Park no fishing zones (IUCN IA and II), and the Great Sandy Marine Park).</w:t>
        </w:r>
        <w:r>
          <w:rPr>
            <w:noProof/>
            <w:webHidden/>
          </w:rPr>
          <w:tab/>
        </w:r>
        <w:r>
          <w:rPr>
            <w:noProof/>
            <w:webHidden/>
          </w:rPr>
          <w:fldChar w:fldCharType="begin"/>
        </w:r>
        <w:r>
          <w:rPr>
            <w:noProof/>
            <w:webHidden/>
          </w:rPr>
          <w:instrText xml:space="preserve"> PAGEREF _Toc189044963 \h </w:instrText>
        </w:r>
        <w:r>
          <w:rPr>
            <w:noProof/>
            <w:webHidden/>
          </w:rPr>
        </w:r>
        <w:r>
          <w:rPr>
            <w:noProof/>
            <w:webHidden/>
          </w:rPr>
          <w:fldChar w:fldCharType="separate"/>
        </w:r>
        <w:r w:rsidR="004263D8">
          <w:rPr>
            <w:noProof/>
            <w:webHidden/>
          </w:rPr>
          <w:t>6</w:t>
        </w:r>
        <w:r>
          <w:rPr>
            <w:noProof/>
            <w:webHidden/>
          </w:rPr>
          <w:fldChar w:fldCharType="end"/>
        </w:r>
      </w:hyperlink>
    </w:p>
    <w:p w14:paraId="0770AABF" w14:textId="1F16C990"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64" w:history="1">
        <w:r w:rsidRPr="000A1AC6">
          <w:rPr>
            <w:rStyle w:val="Hyperlink"/>
            <w:noProof/>
          </w:rPr>
          <w:t>Figure 7. Average catch per day (kg/d) for Black teatfish by rotational zone for the period 1995-96 to 2022-23 (QSCF vessel logbook data).</w:t>
        </w:r>
        <w:r>
          <w:rPr>
            <w:noProof/>
            <w:webHidden/>
          </w:rPr>
          <w:tab/>
        </w:r>
        <w:r>
          <w:rPr>
            <w:noProof/>
            <w:webHidden/>
          </w:rPr>
          <w:fldChar w:fldCharType="begin"/>
        </w:r>
        <w:r>
          <w:rPr>
            <w:noProof/>
            <w:webHidden/>
          </w:rPr>
          <w:instrText xml:space="preserve"> PAGEREF _Toc189044964 \h </w:instrText>
        </w:r>
        <w:r>
          <w:rPr>
            <w:noProof/>
            <w:webHidden/>
          </w:rPr>
        </w:r>
        <w:r>
          <w:rPr>
            <w:noProof/>
            <w:webHidden/>
          </w:rPr>
          <w:fldChar w:fldCharType="separate"/>
        </w:r>
        <w:r w:rsidR="004263D8">
          <w:rPr>
            <w:noProof/>
            <w:webHidden/>
          </w:rPr>
          <w:t>7</w:t>
        </w:r>
        <w:r>
          <w:rPr>
            <w:noProof/>
            <w:webHidden/>
          </w:rPr>
          <w:fldChar w:fldCharType="end"/>
        </w:r>
      </w:hyperlink>
    </w:p>
    <w:p w14:paraId="085311F2" w14:textId="4248F256"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65" w:history="1">
        <w:r w:rsidRPr="000A1AC6">
          <w:rPr>
            <w:rStyle w:val="Hyperlink"/>
            <w:noProof/>
          </w:rPr>
          <w:t>Figure 8. Catch (tonnes landed wt) of Black teatfish by depth (m) rounded to the nearest 5 m for all catch data with depth recorded in the logbooks 2019-20 to 2023-24 (QSCF vessel logbook data).</w:t>
        </w:r>
        <w:r>
          <w:rPr>
            <w:noProof/>
            <w:webHidden/>
          </w:rPr>
          <w:tab/>
        </w:r>
        <w:r>
          <w:rPr>
            <w:noProof/>
            <w:webHidden/>
          </w:rPr>
          <w:fldChar w:fldCharType="begin"/>
        </w:r>
        <w:r>
          <w:rPr>
            <w:noProof/>
            <w:webHidden/>
          </w:rPr>
          <w:instrText xml:space="preserve"> PAGEREF _Toc189044965 \h </w:instrText>
        </w:r>
        <w:r>
          <w:rPr>
            <w:noProof/>
            <w:webHidden/>
          </w:rPr>
        </w:r>
        <w:r>
          <w:rPr>
            <w:noProof/>
            <w:webHidden/>
          </w:rPr>
          <w:fldChar w:fldCharType="separate"/>
        </w:r>
        <w:r w:rsidR="004263D8">
          <w:rPr>
            <w:noProof/>
            <w:webHidden/>
          </w:rPr>
          <w:t>8</w:t>
        </w:r>
        <w:r>
          <w:rPr>
            <w:noProof/>
            <w:webHidden/>
          </w:rPr>
          <w:fldChar w:fldCharType="end"/>
        </w:r>
      </w:hyperlink>
    </w:p>
    <w:p w14:paraId="75E418FF" w14:textId="3850CED9"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66" w:history="1">
        <w:r w:rsidRPr="000A1AC6">
          <w:rPr>
            <w:rStyle w:val="Hyperlink"/>
            <w:noProof/>
          </w:rPr>
          <w:t>Figure 9. Average catch per day (kg) for White teatfish catches by rotational zone for the period 1995-96 to 2022-23 (QSCF vessel logbook data).</w:t>
        </w:r>
        <w:r>
          <w:rPr>
            <w:noProof/>
            <w:webHidden/>
          </w:rPr>
          <w:tab/>
        </w:r>
        <w:r>
          <w:rPr>
            <w:noProof/>
            <w:webHidden/>
          </w:rPr>
          <w:fldChar w:fldCharType="begin"/>
        </w:r>
        <w:r>
          <w:rPr>
            <w:noProof/>
            <w:webHidden/>
          </w:rPr>
          <w:instrText xml:space="preserve"> PAGEREF _Toc189044966 \h </w:instrText>
        </w:r>
        <w:r>
          <w:rPr>
            <w:noProof/>
            <w:webHidden/>
          </w:rPr>
        </w:r>
        <w:r>
          <w:rPr>
            <w:noProof/>
            <w:webHidden/>
          </w:rPr>
          <w:fldChar w:fldCharType="separate"/>
        </w:r>
        <w:r w:rsidR="004263D8">
          <w:rPr>
            <w:noProof/>
            <w:webHidden/>
          </w:rPr>
          <w:t>9</w:t>
        </w:r>
        <w:r>
          <w:rPr>
            <w:noProof/>
            <w:webHidden/>
          </w:rPr>
          <w:fldChar w:fldCharType="end"/>
        </w:r>
      </w:hyperlink>
    </w:p>
    <w:p w14:paraId="4A9FF5A8" w14:textId="44B68358"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67" w:history="1">
        <w:r w:rsidRPr="000A1AC6">
          <w:rPr>
            <w:rStyle w:val="Hyperlink"/>
            <w:noProof/>
          </w:rPr>
          <w:t>Figure 10. Catch (tonnes landed wt) of White teatfish by depth (m) rounded to the nearest 5 m for all catch data with depth recorded in the logbooks 1995-96 to 2022-23 (QSCF vessel logbook data).</w:t>
        </w:r>
        <w:r>
          <w:rPr>
            <w:noProof/>
            <w:webHidden/>
          </w:rPr>
          <w:tab/>
        </w:r>
        <w:r>
          <w:rPr>
            <w:noProof/>
            <w:webHidden/>
          </w:rPr>
          <w:fldChar w:fldCharType="begin"/>
        </w:r>
        <w:r>
          <w:rPr>
            <w:noProof/>
            <w:webHidden/>
          </w:rPr>
          <w:instrText xml:space="preserve"> PAGEREF _Toc189044967 \h </w:instrText>
        </w:r>
        <w:r>
          <w:rPr>
            <w:noProof/>
            <w:webHidden/>
          </w:rPr>
        </w:r>
        <w:r>
          <w:rPr>
            <w:noProof/>
            <w:webHidden/>
          </w:rPr>
          <w:fldChar w:fldCharType="separate"/>
        </w:r>
        <w:r w:rsidR="004263D8">
          <w:rPr>
            <w:noProof/>
            <w:webHidden/>
          </w:rPr>
          <w:t>9</w:t>
        </w:r>
        <w:r>
          <w:rPr>
            <w:noProof/>
            <w:webHidden/>
          </w:rPr>
          <w:fldChar w:fldCharType="end"/>
        </w:r>
      </w:hyperlink>
    </w:p>
    <w:p w14:paraId="75A01428" w14:textId="3D51B586"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68" w:history="1">
        <w:r w:rsidRPr="000A1AC6">
          <w:rPr>
            <w:rStyle w:val="Hyperlink"/>
            <w:noProof/>
          </w:rPr>
          <w:t>Figure 11. Hourly water current magnitude and direction (9 m depth) during June full moon (4/06/2023; 13:00-14:00 - Top) and December new moon (12/12/2023; 00:00-01:00 - Bottom), monthly current average magnitude (middle) and monthly average direction (right) for June (winter) and December (summer) 2023. (AIMS eReefs Visualisation Portal: https://ereefs.aims.gov.au/ereefs-aims/gbr1/)</w:t>
        </w:r>
        <w:r>
          <w:rPr>
            <w:noProof/>
            <w:webHidden/>
          </w:rPr>
          <w:tab/>
        </w:r>
        <w:r>
          <w:rPr>
            <w:noProof/>
            <w:webHidden/>
          </w:rPr>
          <w:fldChar w:fldCharType="begin"/>
        </w:r>
        <w:r>
          <w:rPr>
            <w:noProof/>
            <w:webHidden/>
          </w:rPr>
          <w:instrText xml:space="preserve"> PAGEREF _Toc189044968 \h </w:instrText>
        </w:r>
        <w:r>
          <w:rPr>
            <w:noProof/>
            <w:webHidden/>
          </w:rPr>
        </w:r>
        <w:r>
          <w:rPr>
            <w:noProof/>
            <w:webHidden/>
          </w:rPr>
          <w:fldChar w:fldCharType="separate"/>
        </w:r>
        <w:r w:rsidR="004263D8">
          <w:rPr>
            <w:noProof/>
            <w:webHidden/>
          </w:rPr>
          <w:t>12</w:t>
        </w:r>
        <w:r>
          <w:rPr>
            <w:noProof/>
            <w:webHidden/>
          </w:rPr>
          <w:fldChar w:fldCharType="end"/>
        </w:r>
      </w:hyperlink>
    </w:p>
    <w:p w14:paraId="1932327A" w14:textId="5905D796"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69" w:history="1">
        <w:r w:rsidRPr="000A1AC6">
          <w:rPr>
            <w:rStyle w:val="Hyperlink"/>
            <w:noProof/>
          </w:rPr>
          <w:t>Figure 12. Fish Larval Connectivity on Coral Reefs: Spatial Distribution of Sinks, Sources &amp; Corridors (Fontoura et al., 2022) (https://www.arcgis.com/apps/dashboards/7d7167d11e4e4c4496ced8cafacb0fed)</w:t>
        </w:r>
        <w:r>
          <w:rPr>
            <w:noProof/>
            <w:webHidden/>
          </w:rPr>
          <w:tab/>
        </w:r>
        <w:r>
          <w:rPr>
            <w:noProof/>
            <w:webHidden/>
          </w:rPr>
          <w:fldChar w:fldCharType="begin"/>
        </w:r>
        <w:r>
          <w:rPr>
            <w:noProof/>
            <w:webHidden/>
          </w:rPr>
          <w:instrText xml:space="preserve"> PAGEREF _Toc189044969 \h </w:instrText>
        </w:r>
        <w:r>
          <w:rPr>
            <w:noProof/>
            <w:webHidden/>
          </w:rPr>
        </w:r>
        <w:r>
          <w:rPr>
            <w:noProof/>
            <w:webHidden/>
          </w:rPr>
          <w:fldChar w:fldCharType="separate"/>
        </w:r>
        <w:r w:rsidR="004263D8">
          <w:rPr>
            <w:noProof/>
            <w:webHidden/>
          </w:rPr>
          <w:t>13</w:t>
        </w:r>
        <w:r>
          <w:rPr>
            <w:noProof/>
            <w:webHidden/>
          </w:rPr>
          <w:fldChar w:fldCharType="end"/>
        </w:r>
      </w:hyperlink>
    </w:p>
    <w:p w14:paraId="35C7342F" w14:textId="55F3FED1"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70" w:history="1">
        <w:r w:rsidRPr="000A1AC6">
          <w:rPr>
            <w:rStyle w:val="Hyperlink"/>
            <w:noProof/>
          </w:rPr>
          <w:t>Figure 13. Projected vulnerabilities of components of the Reef ecosystem to climate change (GBRMPA, 2019)</w:t>
        </w:r>
        <w:r>
          <w:rPr>
            <w:noProof/>
            <w:webHidden/>
          </w:rPr>
          <w:tab/>
        </w:r>
        <w:r>
          <w:rPr>
            <w:noProof/>
            <w:webHidden/>
          </w:rPr>
          <w:fldChar w:fldCharType="begin"/>
        </w:r>
        <w:r>
          <w:rPr>
            <w:noProof/>
            <w:webHidden/>
          </w:rPr>
          <w:instrText xml:space="preserve"> PAGEREF _Toc189044970 \h </w:instrText>
        </w:r>
        <w:r>
          <w:rPr>
            <w:noProof/>
            <w:webHidden/>
          </w:rPr>
        </w:r>
        <w:r>
          <w:rPr>
            <w:noProof/>
            <w:webHidden/>
          </w:rPr>
          <w:fldChar w:fldCharType="separate"/>
        </w:r>
        <w:r w:rsidR="004263D8">
          <w:rPr>
            <w:noProof/>
            <w:webHidden/>
          </w:rPr>
          <w:t>15</w:t>
        </w:r>
        <w:r>
          <w:rPr>
            <w:noProof/>
            <w:webHidden/>
          </w:rPr>
          <w:fldChar w:fldCharType="end"/>
        </w:r>
      </w:hyperlink>
    </w:p>
    <w:p w14:paraId="3629BBF4" w14:textId="2BD8250C"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71" w:history="1">
        <w:r w:rsidRPr="000A1AC6">
          <w:rPr>
            <w:rStyle w:val="Hyperlink"/>
            <w:noProof/>
          </w:rPr>
          <w:t>Figure 14. Annual sea surface temperatures on the Great Barrier Reef between 1900 and 2018. Colour represents the range of average annual temperatures from a low of 26.9</w:t>
        </w:r>
        <w:r w:rsidRPr="000A1AC6">
          <w:rPr>
            <w:rStyle w:val="Hyperlink"/>
            <w:rFonts w:cs="Calibri"/>
            <w:noProof/>
          </w:rPr>
          <w:t>°</w:t>
        </w:r>
        <w:r w:rsidRPr="000A1AC6">
          <w:rPr>
            <w:rStyle w:val="Hyperlink"/>
            <w:noProof/>
          </w:rPr>
          <w:t xml:space="preserve"> (shades of blue) to a high of 29.1</w:t>
        </w:r>
        <w:r w:rsidRPr="000A1AC6">
          <w:rPr>
            <w:rStyle w:val="Hyperlink"/>
            <w:rFonts w:cs="Calibri"/>
            <w:noProof/>
          </w:rPr>
          <w:t>°</w:t>
        </w:r>
        <w:r w:rsidRPr="000A1AC6">
          <w:rPr>
            <w:rStyle w:val="Hyperlink"/>
            <w:noProof/>
          </w:rPr>
          <w:t xml:space="preserve"> (shades of red) (GBRMPA, 2019; using data from BoM)</w:t>
        </w:r>
        <w:r>
          <w:rPr>
            <w:noProof/>
            <w:webHidden/>
          </w:rPr>
          <w:tab/>
        </w:r>
        <w:r>
          <w:rPr>
            <w:noProof/>
            <w:webHidden/>
          </w:rPr>
          <w:fldChar w:fldCharType="begin"/>
        </w:r>
        <w:r>
          <w:rPr>
            <w:noProof/>
            <w:webHidden/>
          </w:rPr>
          <w:instrText xml:space="preserve"> PAGEREF _Toc189044971 \h </w:instrText>
        </w:r>
        <w:r>
          <w:rPr>
            <w:noProof/>
            <w:webHidden/>
          </w:rPr>
        </w:r>
        <w:r>
          <w:rPr>
            <w:noProof/>
            <w:webHidden/>
          </w:rPr>
          <w:fldChar w:fldCharType="separate"/>
        </w:r>
        <w:r w:rsidR="004263D8">
          <w:rPr>
            <w:noProof/>
            <w:webHidden/>
          </w:rPr>
          <w:t>15</w:t>
        </w:r>
        <w:r>
          <w:rPr>
            <w:noProof/>
            <w:webHidden/>
          </w:rPr>
          <w:fldChar w:fldCharType="end"/>
        </w:r>
      </w:hyperlink>
    </w:p>
    <w:p w14:paraId="7A1C410D" w14:textId="3367BB5C"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72" w:history="1">
        <w:r w:rsidRPr="000A1AC6">
          <w:rPr>
            <w:rStyle w:val="Hyperlink"/>
            <w:noProof/>
          </w:rPr>
          <w:t>Figure 15. Catch of the historic (pre-1950) Queensland sea cucumber fishery (including the GBR, Torres Strait and the Coral Sea) in tonnes gutted weight. Data are from Saville-Kent (1893), Sumner (1981) and Anon (1946). (after Uthicke, 2004).</w:t>
        </w:r>
        <w:r>
          <w:rPr>
            <w:noProof/>
            <w:webHidden/>
          </w:rPr>
          <w:tab/>
        </w:r>
        <w:r>
          <w:rPr>
            <w:noProof/>
            <w:webHidden/>
          </w:rPr>
          <w:fldChar w:fldCharType="begin"/>
        </w:r>
        <w:r>
          <w:rPr>
            <w:noProof/>
            <w:webHidden/>
          </w:rPr>
          <w:instrText xml:space="preserve"> PAGEREF _Toc189044972 \h </w:instrText>
        </w:r>
        <w:r>
          <w:rPr>
            <w:noProof/>
            <w:webHidden/>
          </w:rPr>
        </w:r>
        <w:r>
          <w:rPr>
            <w:noProof/>
            <w:webHidden/>
          </w:rPr>
          <w:fldChar w:fldCharType="separate"/>
        </w:r>
        <w:r w:rsidR="004263D8">
          <w:rPr>
            <w:noProof/>
            <w:webHidden/>
          </w:rPr>
          <w:t>22</w:t>
        </w:r>
        <w:r>
          <w:rPr>
            <w:noProof/>
            <w:webHidden/>
          </w:rPr>
          <w:fldChar w:fldCharType="end"/>
        </w:r>
      </w:hyperlink>
    </w:p>
    <w:p w14:paraId="28F87F84" w14:textId="5E82657E"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73" w:history="1">
        <w:r w:rsidRPr="000A1AC6">
          <w:rPr>
            <w:rStyle w:val="Hyperlink"/>
            <w:noProof/>
          </w:rPr>
          <w:t>Figure 16. Annual catch (tonnes landed wt) of Black teatfish in the QCSF for the period 1995-96 to 2022-23 (QSCF vessel logbook and Buyer return data). “C” = fishery closed for Black teatfish.</w:t>
        </w:r>
        <w:r>
          <w:rPr>
            <w:noProof/>
            <w:webHidden/>
          </w:rPr>
          <w:tab/>
        </w:r>
        <w:r>
          <w:rPr>
            <w:noProof/>
            <w:webHidden/>
          </w:rPr>
          <w:fldChar w:fldCharType="begin"/>
        </w:r>
        <w:r>
          <w:rPr>
            <w:noProof/>
            <w:webHidden/>
          </w:rPr>
          <w:instrText xml:space="preserve"> PAGEREF _Toc189044973 \h </w:instrText>
        </w:r>
        <w:r>
          <w:rPr>
            <w:noProof/>
            <w:webHidden/>
          </w:rPr>
        </w:r>
        <w:r>
          <w:rPr>
            <w:noProof/>
            <w:webHidden/>
          </w:rPr>
          <w:fldChar w:fldCharType="separate"/>
        </w:r>
        <w:r w:rsidR="004263D8">
          <w:rPr>
            <w:noProof/>
            <w:webHidden/>
          </w:rPr>
          <w:t>24</w:t>
        </w:r>
        <w:r>
          <w:rPr>
            <w:noProof/>
            <w:webHidden/>
          </w:rPr>
          <w:fldChar w:fldCharType="end"/>
        </w:r>
      </w:hyperlink>
    </w:p>
    <w:p w14:paraId="6040C517" w14:textId="0295AFB9"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74" w:history="1">
        <w:r w:rsidRPr="000A1AC6">
          <w:rPr>
            <w:rStyle w:val="Hyperlink"/>
            <w:noProof/>
          </w:rPr>
          <w:t>Figure 17. Catch (tonnes landed wt) of Black teatfish in QSCF for the period 1995-96 to 2022-23 in reporting grids that comprise 70% (green) and 90% (green and blue) of the catch is taken and the remainder in all other reporting grids (red). Grids are ordered from the north and west (QSCF vessel logbook and buyer return data).</w:t>
        </w:r>
        <w:r>
          <w:rPr>
            <w:noProof/>
            <w:webHidden/>
          </w:rPr>
          <w:tab/>
        </w:r>
        <w:r>
          <w:rPr>
            <w:noProof/>
            <w:webHidden/>
          </w:rPr>
          <w:fldChar w:fldCharType="begin"/>
        </w:r>
        <w:r>
          <w:rPr>
            <w:noProof/>
            <w:webHidden/>
          </w:rPr>
          <w:instrText xml:space="preserve"> PAGEREF _Toc189044974 \h </w:instrText>
        </w:r>
        <w:r>
          <w:rPr>
            <w:noProof/>
            <w:webHidden/>
          </w:rPr>
        </w:r>
        <w:r>
          <w:rPr>
            <w:noProof/>
            <w:webHidden/>
          </w:rPr>
          <w:fldChar w:fldCharType="separate"/>
        </w:r>
        <w:r w:rsidR="004263D8">
          <w:rPr>
            <w:noProof/>
            <w:webHidden/>
          </w:rPr>
          <w:t>25</w:t>
        </w:r>
        <w:r>
          <w:rPr>
            <w:noProof/>
            <w:webHidden/>
          </w:rPr>
          <w:fldChar w:fldCharType="end"/>
        </w:r>
      </w:hyperlink>
    </w:p>
    <w:p w14:paraId="2FD5F0E7" w14:textId="151E9CAA"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75" w:history="1">
        <w:r w:rsidRPr="000A1AC6">
          <w:rPr>
            <w:rStyle w:val="Hyperlink"/>
            <w:noProof/>
          </w:rPr>
          <w:t>Figure 18. Catch (tonnes landed wt) of Black teatfish for the period 1995-96 to 2022-23 in the QSCF by reporting grids that comprise 70% (green) and 90% (green and blue) of the catch and the remainder in all other reporting grids (red) A) before the implementation of the RHA in 2004, and B) after. Grids are ordered from the north and west. (QSCF vessel logbook and buyer return data).</w:t>
        </w:r>
        <w:r>
          <w:rPr>
            <w:noProof/>
            <w:webHidden/>
          </w:rPr>
          <w:tab/>
        </w:r>
        <w:r>
          <w:rPr>
            <w:noProof/>
            <w:webHidden/>
          </w:rPr>
          <w:fldChar w:fldCharType="begin"/>
        </w:r>
        <w:r>
          <w:rPr>
            <w:noProof/>
            <w:webHidden/>
          </w:rPr>
          <w:instrText xml:space="preserve"> PAGEREF _Toc189044975 \h </w:instrText>
        </w:r>
        <w:r>
          <w:rPr>
            <w:noProof/>
            <w:webHidden/>
          </w:rPr>
        </w:r>
        <w:r>
          <w:rPr>
            <w:noProof/>
            <w:webHidden/>
          </w:rPr>
          <w:fldChar w:fldCharType="separate"/>
        </w:r>
        <w:r w:rsidR="004263D8">
          <w:rPr>
            <w:noProof/>
            <w:webHidden/>
          </w:rPr>
          <w:t>26</w:t>
        </w:r>
        <w:r>
          <w:rPr>
            <w:noProof/>
            <w:webHidden/>
          </w:rPr>
          <w:fldChar w:fldCharType="end"/>
        </w:r>
      </w:hyperlink>
    </w:p>
    <w:p w14:paraId="3D8796D3" w14:textId="34B705E4"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76" w:history="1">
        <w:r w:rsidRPr="000A1AC6">
          <w:rPr>
            <w:rStyle w:val="Hyperlink"/>
            <w:noProof/>
          </w:rPr>
          <w:t>Figure 19. Catch (tonnes landed wt) of Black teatfish in QSCF for the period 1995-96 to 2022-23 in fishery reporting grids that comprise 70% (green) and 90% (green and blue) of the catch. (QSCF vessel logbook and buyer return data)</w:t>
        </w:r>
        <w:r>
          <w:rPr>
            <w:noProof/>
            <w:webHidden/>
          </w:rPr>
          <w:tab/>
        </w:r>
        <w:r>
          <w:rPr>
            <w:noProof/>
            <w:webHidden/>
          </w:rPr>
          <w:fldChar w:fldCharType="begin"/>
        </w:r>
        <w:r>
          <w:rPr>
            <w:noProof/>
            <w:webHidden/>
          </w:rPr>
          <w:instrText xml:space="preserve"> PAGEREF _Toc189044976 \h </w:instrText>
        </w:r>
        <w:r>
          <w:rPr>
            <w:noProof/>
            <w:webHidden/>
          </w:rPr>
        </w:r>
        <w:r>
          <w:rPr>
            <w:noProof/>
            <w:webHidden/>
          </w:rPr>
          <w:fldChar w:fldCharType="separate"/>
        </w:r>
        <w:r w:rsidR="004263D8">
          <w:rPr>
            <w:noProof/>
            <w:webHidden/>
          </w:rPr>
          <w:t>27</w:t>
        </w:r>
        <w:r>
          <w:rPr>
            <w:noProof/>
            <w:webHidden/>
          </w:rPr>
          <w:fldChar w:fldCharType="end"/>
        </w:r>
      </w:hyperlink>
    </w:p>
    <w:p w14:paraId="15B1EC61" w14:textId="3430E78B"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77" w:history="1">
        <w:r w:rsidRPr="000A1AC6">
          <w:rPr>
            <w:rStyle w:val="Hyperlink"/>
            <w:noProof/>
          </w:rPr>
          <w:t>Figure 20. Catch (tonnes landed wt) of Black teatfish in the QSCF by rotational zone for the period 1995-96 to 2022-23 (after Koopman and Knuckey, 2023). (QSCF vessel logbook and buyer return data).</w:t>
        </w:r>
        <w:r>
          <w:rPr>
            <w:noProof/>
            <w:webHidden/>
          </w:rPr>
          <w:tab/>
        </w:r>
        <w:r>
          <w:rPr>
            <w:noProof/>
            <w:webHidden/>
          </w:rPr>
          <w:fldChar w:fldCharType="begin"/>
        </w:r>
        <w:r>
          <w:rPr>
            <w:noProof/>
            <w:webHidden/>
          </w:rPr>
          <w:instrText xml:space="preserve"> PAGEREF _Toc189044977 \h </w:instrText>
        </w:r>
        <w:r>
          <w:rPr>
            <w:noProof/>
            <w:webHidden/>
          </w:rPr>
        </w:r>
        <w:r>
          <w:rPr>
            <w:noProof/>
            <w:webHidden/>
          </w:rPr>
          <w:fldChar w:fldCharType="separate"/>
        </w:r>
        <w:r w:rsidR="004263D8">
          <w:rPr>
            <w:noProof/>
            <w:webHidden/>
          </w:rPr>
          <w:t>27</w:t>
        </w:r>
        <w:r>
          <w:rPr>
            <w:noProof/>
            <w:webHidden/>
          </w:rPr>
          <w:fldChar w:fldCharType="end"/>
        </w:r>
      </w:hyperlink>
    </w:p>
    <w:p w14:paraId="65C602E7" w14:textId="620F2173"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78" w:history="1">
        <w:r w:rsidRPr="000A1AC6">
          <w:rPr>
            <w:rStyle w:val="Hyperlink"/>
            <w:noProof/>
          </w:rPr>
          <w:t>Figure 21. Annual catch (tonnes landed wt) of White teatfish in the QCSF for the period 1995-96 to 2022-23 (QSCF vessel logbook and buyer return data).</w:t>
        </w:r>
        <w:r>
          <w:rPr>
            <w:noProof/>
            <w:webHidden/>
          </w:rPr>
          <w:tab/>
        </w:r>
        <w:r>
          <w:rPr>
            <w:noProof/>
            <w:webHidden/>
          </w:rPr>
          <w:fldChar w:fldCharType="begin"/>
        </w:r>
        <w:r>
          <w:rPr>
            <w:noProof/>
            <w:webHidden/>
          </w:rPr>
          <w:instrText xml:space="preserve"> PAGEREF _Toc189044978 \h </w:instrText>
        </w:r>
        <w:r>
          <w:rPr>
            <w:noProof/>
            <w:webHidden/>
          </w:rPr>
        </w:r>
        <w:r>
          <w:rPr>
            <w:noProof/>
            <w:webHidden/>
          </w:rPr>
          <w:fldChar w:fldCharType="separate"/>
        </w:r>
        <w:r w:rsidR="004263D8">
          <w:rPr>
            <w:noProof/>
            <w:webHidden/>
          </w:rPr>
          <w:t>28</w:t>
        </w:r>
        <w:r>
          <w:rPr>
            <w:noProof/>
            <w:webHidden/>
          </w:rPr>
          <w:fldChar w:fldCharType="end"/>
        </w:r>
      </w:hyperlink>
    </w:p>
    <w:p w14:paraId="786A4490" w14:textId="37876561"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79" w:history="1">
        <w:r w:rsidRPr="000A1AC6">
          <w:rPr>
            <w:rStyle w:val="Hyperlink"/>
            <w:noProof/>
          </w:rPr>
          <w:t>Figure 22. Catch (tonnes landed wt) of White teatfish for the period 1995-96 to 2022-23 in reporting grids that comprise 70% (green) and 90% (green and blue) of the catch is taken and the remainder in all other reporting grids (red). Grids are ordered from the north and west. (QSCF vessel logbook and buyer return data).</w:t>
        </w:r>
        <w:r>
          <w:rPr>
            <w:noProof/>
            <w:webHidden/>
          </w:rPr>
          <w:tab/>
        </w:r>
        <w:r>
          <w:rPr>
            <w:noProof/>
            <w:webHidden/>
          </w:rPr>
          <w:fldChar w:fldCharType="begin"/>
        </w:r>
        <w:r>
          <w:rPr>
            <w:noProof/>
            <w:webHidden/>
          </w:rPr>
          <w:instrText xml:space="preserve"> PAGEREF _Toc189044979 \h </w:instrText>
        </w:r>
        <w:r>
          <w:rPr>
            <w:noProof/>
            <w:webHidden/>
          </w:rPr>
        </w:r>
        <w:r>
          <w:rPr>
            <w:noProof/>
            <w:webHidden/>
          </w:rPr>
          <w:fldChar w:fldCharType="separate"/>
        </w:r>
        <w:r w:rsidR="004263D8">
          <w:rPr>
            <w:noProof/>
            <w:webHidden/>
          </w:rPr>
          <w:t>29</w:t>
        </w:r>
        <w:r>
          <w:rPr>
            <w:noProof/>
            <w:webHidden/>
          </w:rPr>
          <w:fldChar w:fldCharType="end"/>
        </w:r>
      </w:hyperlink>
    </w:p>
    <w:p w14:paraId="1FD530B1" w14:textId="6ACE4063"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80" w:history="1">
        <w:r w:rsidRPr="000A1AC6">
          <w:rPr>
            <w:rStyle w:val="Hyperlink"/>
            <w:noProof/>
          </w:rPr>
          <w:t>Figure 23. Catch (tonnes landed wt) of White teatfish for the period 1995-96 to 2022-23 in the QSCF by reporting grids that comprise 70% (green) and 90% (green and blue) of the catch and the remainder in all other reporting grids (red) A) before the implementation of the RHA in 2004, and B) after. Grids are ordered from the north and west. (QSCF vessel logbook and buyer return data).</w:t>
        </w:r>
        <w:r>
          <w:rPr>
            <w:noProof/>
            <w:webHidden/>
          </w:rPr>
          <w:tab/>
        </w:r>
        <w:r>
          <w:rPr>
            <w:noProof/>
            <w:webHidden/>
          </w:rPr>
          <w:fldChar w:fldCharType="begin"/>
        </w:r>
        <w:r>
          <w:rPr>
            <w:noProof/>
            <w:webHidden/>
          </w:rPr>
          <w:instrText xml:space="preserve"> PAGEREF _Toc189044980 \h </w:instrText>
        </w:r>
        <w:r>
          <w:rPr>
            <w:noProof/>
            <w:webHidden/>
          </w:rPr>
        </w:r>
        <w:r>
          <w:rPr>
            <w:noProof/>
            <w:webHidden/>
          </w:rPr>
          <w:fldChar w:fldCharType="separate"/>
        </w:r>
        <w:r w:rsidR="004263D8">
          <w:rPr>
            <w:noProof/>
            <w:webHidden/>
          </w:rPr>
          <w:t>29</w:t>
        </w:r>
        <w:r>
          <w:rPr>
            <w:noProof/>
            <w:webHidden/>
          </w:rPr>
          <w:fldChar w:fldCharType="end"/>
        </w:r>
      </w:hyperlink>
    </w:p>
    <w:p w14:paraId="50B9AAD3" w14:textId="779CFBEF"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81" w:history="1">
        <w:r w:rsidRPr="000A1AC6">
          <w:rPr>
            <w:rStyle w:val="Hyperlink"/>
            <w:noProof/>
          </w:rPr>
          <w:t>Figure 24. Catch (tonnes landed wt) of White teatfish in QSCF for the period 1995-96 to 2022-23 in reporting grids that comprise 70% (green) and 90% (green and blue) of the catch. (QSCF vessel logbook and buyer return data)</w:t>
        </w:r>
        <w:r>
          <w:rPr>
            <w:noProof/>
            <w:webHidden/>
          </w:rPr>
          <w:tab/>
        </w:r>
        <w:r>
          <w:rPr>
            <w:noProof/>
            <w:webHidden/>
          </w:rPr>
          <w:fldChar w:fldCharType="begin"/>
        </w:r>
        <w:r>
          <w:rPr>
            <w:noProof/>
            <w:webHidden/>
          </w:rPr>
          <w:instrText xml:space="preserve"> PAGEREF _Toc189044981 \h </w:instrText>
        </w:r>
        <w:r>
          <w:rPr>
            <w:noProof/>
            <w:webHidden/>
          </w:rPr>
        </w:r>
        <w:r>
          <w:rPr>
            <w:noProof/>
            <w:webHidden/>
          </w:rPr>
          <w:fldChar w:fldCharType="separate"/>
        </w:r>
        <w:r w:rsidR="004263D8">
          <w:rPr>
            <w:noProof/>
            <w:webHidden/>
          </w:rPr>
          <w:t>31</w:t>
        </w:r>
        <w:r>
          <w:rPr>
            <w:noProof/>
            <w:webHidden/>
          </w:rPr>
          <w:fldChar w:fldCharType="end"/>
        </w:r>
      </w:hyperlink>
    </w:p>
    <w:p w14:paraId="7DDB4727" w14:textId="4D68D4D9"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82" w:history="1">
        <w:r w:rsidRPr="000A1AC6">
          <w:rPr>
            <w:rStyle w:val="Hyperlink"/>
            <w:noProof/>
          </w:rPr>
          <w:t>Figure 25. Catch (tonnes landed wt) of White teatfish by rotational zone for the period 1995-96 to 2022-23. (QSCF vessel logbook and buyer return data).</w:t>
        </w:r>
        <w:r>
          <w:rPr>
            <w:noProof/>
            <w:webHidden/>
          </w:rPr>
          <w:tab/>
        </w:r>
        <w:r>
          <w:rPr>
            <w:noProof/>
            <w:webHidden/>
          </w:rPr>
          <w:fldChar w:fldCharType="begin"/>
        </w:r>
        <w:r>
          <w:rPr>
            <w:noProof/>
            <w:webHidden/>
          </w:rPr>
          <w:instrText xml:space="preserve"> PAGEREF _Toc189044982 \h </w:instrText>
        </w:r>
        <w:r>
          <w:rPr>
            <w:noProof/>
            <w:webHidden/>
          </w:rPr>
        </w:r>
        <w:r>
          <w:rPr>
            <w:noProof/>
            <w:webHidden/>
          </w:rPr>
          <w:fldChar w:fldCharType="separate"/>
        </w:r>
        <w:r w:rsidR="004263D8">
          <w:rPr>
            <w:noProof/>
            <w:webHidden/>
          </w:rPr>
          <w:t>31</w:t>
        </w:r>
        <w:r>
          <w:rPr>
            <w:noProof/>
            <w:webHidden/>
          </w:rPr>
          <w:fldChar w:fldCharType="end"/>
        </w:r>
      </w:hyperlink>
    </w:p>
    <w:p w14:paraId="60458F96" w14:textId="0D2EE042"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83" w:history="1">
        <w:r w:rsidRPr="000A1AC6">
          <w:rPr>
            <w:rStyle w:val="Hyperlink"/>
            <w:noProof/>
          </w:rPr>
          <w:t>Figure 26. Location of sightings and apprehensions of Vietnamese based illegal fishing vessels (blue boats) for the period March 2016 and February 2017 (data supplied by AFMA).</w:t>
        </w:r>
        <w:r>
          <w:rPr>
            <w:noProof/>
            <w:webHidden/>
          </w:rPr>
          <w:tab/>
        </w:r>
        <w:r>
          <w:rPr>
            <w:noProof/>
            <w:webHidden/>
          </w:rPr>
          <w:fldChar w:fldCharType="begin"/>
        </w:r>
        <w:r>
          <w:rPr>
            <w:noProof/>
            <w:webHidden/>
          </w:rPr>
          <w:instrText xml:space="preserve"> PAGEREF _Toc189044983 \h </w:instrText>
        </w:r>
        <w:r>
          <w:rPr>
            <w:noProof/>
            <w:webHidden/>
          </w:rPr>
        </w:r>
        <w:r>
          <w:rPr>
            <w:noProof/>
            <w:webHidden/>
          </w:rPr>
          <w:fldChar w:fldCharType="separate"/>
        </w:r>
        <w:r w:rsidR="004263D8">
          <w:rPr>
            <w:noProof/>
            <w:webHidden/>
          </w:rPr>
          <w:t>32</w:t>
        </w:r>
        <w:r>
          <w:rPr>
            <w:noProof/>
            <w:webHidden/>
          </w:rPr>
          <w:fldChar w:fldCharType="end"/>
        </w:r>
      </w:hyperlink>
    </w:p>
    <w:p w14:paraId="67A26766" w14:textId="602D62DB"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84" w:history="1">
        <w:r w:rsidRPr="000A1AC6">
          <w:rPr>
            <w:rStyle w:val="Hyperlink"/>
            <w:noProof/>
          </w:rPr>
          <w:t>Figure 27. Average densities of Holothuria nobilis in four arbitrary sectors, and in green (Closed Reef) and blue (Open Reef) reefs of the Great Barrier Reef. Error bars indicate 1 SE. (from Benzie and Uthicke, 2003)</w:t>
        </w:r>
        <w:r>
          <w:rPr>
            <w:noProof/>
            <w:webHidden/>
          </w:rPr>
          <w:tab/>
        </w:r>
        <w:r>
          <w:rPr>
            <w:noProof/>
            <w:webHidden/>
          </w:rPr>
          <w:fldChar w:fldCharType="begin"/>
        </w:r>
        <w:r>
          <w:rPr>
            <w:noProof/>
            <w:webHidden/>
          </w:rPr>
          <w:instrText xml:space="preserve"> PAGEREF _Toc189044984 \h </w:instrText>
        </w:r>
        <w:r>
          <w:rPr>
            <w:noProof/>
            <w:webHidden/>
          </w:rPr>
        </w:r>
        <w:r>
          <w:rPr>
            <w:noProof/>
            <w:webHidden/>
          </w:rPr>
          <w:fldChar w:fldCharType="separate"/>
        </w:r>
        <w:r w:rsidR="004263D8">
          <w:rPr>
            <w:noProof/>
            <w:webHidden/>
          </w:rPr>
          <w:t>35</w:t>
        </w:r>
        <w:r>
          <w:rPr>
            <w:noProof/>
            <w:webHidden/>
          </w:rPr>
          <w:fldChar w:fldCharType="end"/>
        </w:r>
      </w:hyperlink>
    </w:p>
    <w:p w14:paraId="5C65A233" w14:textId="68BD216F"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85" w:history="1">
        <w:r w:rsidRPr="000A1AC6">
          <w:rPr>
            <w:rStyle w:val="Hyperlink"/>
            <w:noProof/>
          </w:rPr>
          <w:t>Figure 28. Black teatfish density during a survey on northern (top) and southern (bottom) reefs of the Great Barrier Reef. (from Benzie and Uthicke, 2003).</w:t>
        </w:r>
        <w:r>
          <w:rPr>
            <w:noProof/>
            <w:webHidden/>
          </w:rPr>
          <w:tab/>
        </w:r>
        <w:r>
          <w:rPr>
            <w:noProof/>
            <w:webHidden/>
          </w:rPr>
          <w:fldChar w:fldCharType="begin"/>
        </w:r>
        <w:r>
          <w:rPr>
            <w:noProof/>
            <w:webHidden/>
          </w:rPr>
          <w:instrText xml:space="preserve"> PAGEREF _Toc189044985 \h </w:instrText>
        </w:r>
        <w:r>
          <w:rPr>
            <w:noProof/>
            <w:webHidden/>
          </w:rPr>
        </w:r>
        <w:r>
          <w:rPr>
            <w:noProof/>
            <w:webHidden/>
          </w:rPr>
          <w:fldChar w:fldCharType="separate"/>
        </w:r>
        <w:r w:rsidR="004263D8">
          <w:rPr>
            <w:noProof/>
            <w:webHidden/>
          </w:rPr>
          <w:t>36</w:t>
        </w:r>
        <w:r>
          <w:rPr>
            <w:noProof/>
            <w:webHidden/>
          </w:rPr>
          <w:fldChar w:fldCharType="end"/>
        </w:r>
      </w:hyperlink>
    </w:p>
    <w:p w14:paraId="420C58D1" w14:textId="5700B8E5"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86" w:history="1">
        <w:r w:rsidRPr="000A1AC6">
          <w:rPr>
            <w:rStyle w:val="Hyperlink"/>
            <w:noProof/>
          </w:rPr>
          <w:t>Figure 29. Average densities of Holothuria nobilis on five green (Closed) and 15 blue (Open) reefs prior to the total closure of the fishery (Survey 1) and about 1 (Survey 2) and 2 (Survey 3) years after the closure. (from Benzie and Uthicke, 2003; Uthicke et al., 2004)</w:t>
        </w:r>
        <w:r>
          <w:rPr>
            <w:noProof/>
            <w:webHidden/>
          </w:rPr>
          <w:tab/>
        </w:r>
        <w:r>
          <w:rPr>
            <w:noProof/>
            <w:webHidden/>
          </w:rPr>
          <w:fldChar w:fldCharType="begin"/>
        </w:r>
        <w:r>
          <w:rPr>
            <w:noProof/>
            <w:webHidden/>
          </w:rPr>
          <w:instrText xml:space="preserve"> PAGEREF _Toc189044986 \h </w:instrText>
        </w:r>
        <w:r>
          <w:rPr>
            <w:noProof/>
            <w:webHidden/>
          </w:rPr>
        </w:r>
        <w:r>
          <w:rPr>
            <w:noProof/>
            <w:webHidden/>
          </w:rPr>
          <w:fldChar w:fldCharType="separate"/>
        </w:r>
        <w:r w:rsidR="004263D8">
          <w:rPr>
            <w:noProof/>
            <w:webHidden/>
          </w:rPr>
          <w:t>37</w:t>
        </w:r>
        <w:r>
          <w:rPr>
            <w:noProof/>
            <w:webHidden/>
          </w:rPr>
          <w:fldChar w:fldCharType="end"/>
        </w:r>
      </w:hyperlink>
    </w:p>
    <w:p w14:paraId="6EB81F0B" w14:textId="1E8492D8"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87" w:history="1">
        <w:r w:rsidRPr="000A1AC6">
          <w:rPr>
            <w:rStyle w:val="Hyperlink"/>
            <w:noProof/>
          </w:rPr>
          <w:t>Figure 30. Comparison of density estimates for Black teatfish (</w:t>
        </w:r>
        <w:r w:rsidRPr="000A1AC6">
          <w:rPr>
            <w:rStyle w:val="Hyperlink"/>
            <w:i/>
            <w:iCs/>
            <w:noProof/>
          </w:rPr>
          <w:t>H. whitmaei</w:t>
        </w:r>
        <w:r w:rsidRPr="000A1AC6">
          <w:rPr>
            <w:rStyle w:val="Hyperlink"/>
            <w:noProof/>
          </w:rPr>
          <w:t>) in preferred habitat from various studies/regions (see text for source references). Torres Strait mid and outer shelf reef “reef-top buffer” (a 200 m wide buffer around the inside of the reef margin) (Murphy et al., 2021a). FAO “Natural density”: Densities above 12.5 per Ha represent a “natural density” in “suitable habitat” (Kinch et al., 2008). Guidance from the Secretariat Pacific Community provides “rule of thumb” regional reference densities of 50 individuals per Ha for Black teatfish —estimated from the upper 25% of densities across 91 sites assessed in 17 countries over the period 2002–2012 (Pakoa et al., 2014). “Natural” density for Black teatfish in Western Australia include: 11.4 to 17.1 individuals/Ha (Ave 14) in “habitats occupied by Black teatfish” and likely represents minimum natural population densities for Ningaloo Reef (Shiell and Knott, 2010). (After Murphy et al., 2021)</w:t>
        </w:r>
        <w:r>
          <w:rPr>
            <w:noProof/>
            <w:webHidden/>
          </w:rPr>
          <w:tab/>
        </w:r>
        <w:r>
          <w:rPr>
            <w:noProof/>
            <w:webHidden/>
          </w:rPr>
          <w:fldChar w:fldCharType="begin"/>
        </w:r>
        <w:r>
          <w:rPr>
            <w:noProof/>
            <w:webHidden/>
          </w:rPr>
          <w:instrText xml:space="preserve"> PAGEREF _Toc189044987 \h </w:instrText>
        </w:r>
        <w:r>
          <w:rPr>
            <w:noProof/>
            <w:webHidden/>
          </w:rPr>
        </w:r>
        <w:r>
          <w:rPr>
            <w:noProof/>
            <w:webHidden/>
          </w:rPr>
          <w:fldChar w:fldCharType="separate"/>
        </w:r>
        <w:r w:rsidR="004263D8">
          <w:rPr>
            <w:noProof/>
            <w:webHidden/>
          </w:rPr>
          <w:t>39</w:t>
        </w:r>
        <w:r>
          <w:rPr>
            <w:noProof/>
            <w:webHidden/>
          </w:rPr>
          <w:fldChar w:fldCharType="end"/>
        </w:r>
      </w:hyperlink>
    </w:p>
    <w:p w14:paraId="288BD006" w14:textId="6FD43AA0"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88" w:history="1">
        <w:r w:rsidRPr="000A1AC6">
          <w:rPr>
            <w:rStyle w:val="Hyperlink"/>
            <w:noProof/>
          </w:rPr>
          <w:t>Figure 31. Annualised average catch per day (kg/d) of Black teatfish for the period 1995-96 to 2022-23 for vessels fishing in the QSCF on days when Black teatfish occurred in the catch (C=species closed to fishing) (QSCF vessel logbook and buyer returns data).</w:t>
        </w:r>
        <w:r>
          <w:rPr>
            <w:noProof/>
            <w:webHidden/>
          </w:rPr>
          <w:tab/>
        </w:r>
        <w:r>
          <w:rPr>
            <w:noProof/>
            <w:webHidden/>
          </w:rPr>
          <w:fldChar w:fldCharType="begin"/>
        </w:r>
        <w:r>
          <w:rPr>
            <w:noProof/>
            <w:webHidden/>
          </w:rPr>
          <w:instrText xml:space="preserve"> PAGEREF _Toc189044988 \h </w:instrText>
        </w:r>
        <w:r>
          <w:rPr>
            <w:noProof/>
            <w:webHidden/>
          </w:rPr>
        </w:r>
        <w:r>
          <w:rPr>
            <w:noProof/>
            <w:webHidden/>
          </w:rPr>
          <w:fldChar w:fldCharType="separate"/>
        </w:r>
        <w:r w:rsidR="004263D8">
          <w:rPr>
            <w:noProof/>
            <w:webHidden/>
          </w:rPr>
          <w:t>41</w:t>
        </w:r>
        <w:r>
          <w:rPr>
            <w:noProof/>
            <w:webHidden/>
          </w:rPr>
          <w:fldChar w:fldCharType="end"/>
        </w:r>
      </w:hyperlink>
    </w:p>
    <w:p w14:paraId="16B846BB" w14:textId="3576F717"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89" w:history="1">
        <w:r w:rsidRPr="000A1AC6">
          <w:rPr>
            <w:rStyle w:val="Hyperlink"/>
            <w:noProof/>
          </w:rPr>
          <w:t>Figure 32. Annualised average catch per hour (kg/hr) of Black teatfish for the period 1995-96 to 2022-23 for vessels fishing in the QSCF on days when Black teatfish occurred in the catch (C=species closed to fishing) (QSCF vessel logbook and buyer returns data) Note: 1995-96 is on a different scale.</w:t>
        </w:r>
        <w:r>
          <w:rPr>
            <w:noProof/>
            <w:webHidden/>
          </w:rPr>
          <w:tab/>
        </w:r>
        <w:r>
          <w:rPr>
            <w:noProof/>
            <w:webHidden/>
          </w:rPr>
          <w:fldChar w:fldCharType="begin"/>
        </w:r>
        <w:r>
          <w:rPr>
            <w:noProof/>
            <w:webHidden/>
          </w:rPr>
          <w:instrText xml:space="preserve"> PAGEREF _Toc189044989 \h </w:instrText>
        </w:r>
        <w:r>
          <w:rPr>
            <w:noProof/>
            <w:webHidden/>
          </w:rPr>
        </w:r>
        <w:r>
          <w:rPr>
            <w:noProof/>
            <w:webHidden/>
          </w:rPr>
          <w:fldChar w:fldCharType="separate"/>
        </w:r>
        <w:r w:rsidR="004263D8">
          <w:rPr>
            <w:noProof/>
            <w:webHidden/>
          </w:rPr>
          <w:t>41</w:t>
        </w:r>
        <w:r>
          <w:rPr>
            <w:noProof/>
            <w:webHidden/>
          </w:rPr>
          <w:fldChar w:fldCharType="end"/>
        </w:r>
      </w:hyperlink>
    </w:p>
    <w:p w14:paraId="367E3187" w14:textId="72A07F9E"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90" w:history="1">
        <w:r w:rsidRPr="000A1AC6">
          <w:rPr>
            <w:rStyle w:val="Hyperlink"/>
            <w:noProof/>
          </w:rPr>
          <w:t>Figure 33. Annualised average catch per data (kg/d) of White teatfish for the period 1995-96 to 2022-23 for vessels fishing in the QSCF on days (and years) when teatfish occurred in the catch (QSCF vessel logbook and buyer returns data).</w:t>
        </w:r>
        <w:r>
          <w:rPr>
            <w:noProof/>
            <w:webHidden/>
          </w:rPr>
          <w:tab/>
        </w:r>
        <w:r>
          <w:rPr>
            <w:noProof/>
            <w:webHidden/>
          </w:rPr>
          <w:fldChar w:fldCharType="begin"/>
        </w:r>
        <w:r>
          <w:rPr>
            <w:noProof/>
            <w:webHidden/>
          </w:rPr>
          <w:instrText xml:space="preserve"> PAGEREF _Toc189044990 \h </w:instrText>
        </w:r>
        <w:r>
          <w:rPr>
            <w:noProof/>
            <w:webHidden/>
          </w:rPr>
        </w:r>
        <w:r>
          <w:rPr>
            <w:noProof/>
            <w:webHidden/>
          </w:rPr>
          <w:fldChar w:fldCharType="separate"/>
        </w:r>
        <w:r w:rsidR="004263D8">
          <w:rPr>
            <w:noProof/>
            <w:webHidden/>
          </w:rPr>
          <w:t>42</w:t>
        </w:r>
        <w:r>
          <w:rPr>
            <w:noProof/>
            <w:webHidden/>
          </w:rPr>
          <w:fldChar w:fldCharType="end"/>
        </w:r>
      </w:hyperlink>
    </w:p>
    <w:p w14:paraId="223EC75C" w14:textId="27B4D813"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91" w:history="1">
        <w:r w:rsidRPr="000A1AC6">
          <w:rPr>
            <w:rStyle w:val="Hyperlink"/>
            <w:noProof/>
          </w:rPr>
          <w:t>Figure 34. Annualised average catch per hour (kg/hr) of White teatfish for the period 1995-96 to 2022-23 for vessels fishing in the QSCF on days when White teatfish occurred in the catch (QSCF vessel logbook and buyer returns data).</w:t>
        </w:r>
        <w:r>
          <w:rPr>
            <w:noProof/>
            <w:webHidden/>
          </w:rPr>
          <w:tab/>
        </w:r>
        <w:r>
          <w:rPr>
            <w:noProof/>
            <w:webHidden/>
          </w:rPr>
          <w:fldChar w:fldCharType="begin"/>
        </w:r>
        <w:r>
          <w:rPr>
            <w:noProof/>
            <w:webHidden/>
          </w:rPr>
          <w:instrText xml:space="preserve"> PAGEREF _Toc189044991 \h </w:instrText>
        </w:r>
        <w:r>
          <w:rPr>
            <w:noProof/>
            <w:webHidden/>
          </w:rPr>
        </w:r>
        <w:r>
          <w:rPr>
            <w:noProof/>
            <w:webHidden/>
          </w:rPr>
          <w:fldChar w:fldCharType="separate"/>
        </w:r>
        <w:r w:rsidR="004263D8">
          <w:rPr>
            <w:noProof/>
            <w:webHidden/>
          </w:rPr>
          <w:t>42</w:t>
        </w:r>
        <w:r>
          <w:rPr>
            <w:noProof/>
            <w:webHidden/>
          </w:rPr>
          <w:fldChar w:fldCharType="end"/>
        </w:r>
      </w:hyperlink>
    </w:p>
    <w:p w14:paraId="5D72DA8E" w14:textId="1CE9AAC2"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92" w:history="1">
        <w:r w:rsidRPr="000A1AC6">
          <w:rPr>
            <w:rStyle w:val="Hyperlink"/>
            <w:noProof/>
          </w:rPr>
          <w:t>Figure 35. Summary of performance statistics for sensitivity analysis for depletion risk (defined as probability of biomass being reduced below 40% of the comparable no-fishing biomass level, B0) (from Skewes et al., 2014).</w:t>
        </w:r>
        <w:r>
          <w:rPr>
            <w:noProof/>
            <w:webHidden/>
          </w:rPr>
          <w:tab/>
        </w:r>
        <w:r>
          <w:rPr>
            <w:noProof/>
            <w:webHidden/>
          </w:rPr>
          <w:fldChar w:fldCharType="begin"/>
        </w:r>
        <w:r>
          <w:rPr>
            <w:noProof/>
            <w:webHidden/>
          </w:rPr>
          <w:instrText xml:space="preserve"> PAGEREF _Toc189044992 \h </w:instrText>
        </w:r>
        <w:r>
          <w:rPr>
            <w:noProof/>
            <w:webHidden/>
          </w:rPr>
        </w:r>
        <w:r>
          <w:rPr>
            <w:noProof/>
            <w:webHidden/>
          </w:rPr>
          <w:fldChar w:fldCharType="separate"/>
        </w:r>
        <w:r w:rsidR="004263D8">
          <w:rPr>
            <w:noProof/>
            <w:webHidden/>
          </w:rPr>
          <w:t>45</w:t>
        </w:r>
        <w:r>
          <w:rPr>
            <w:noProof/>
            <w:webHidden/>
          </w:rPr>
          <w:fldChar w:fldCharType="end"/>
        </w:r>
      </w:hyperlink>
    </w:p>
    <w:p w14:paraId="1A375407" w14:textId="3ABF345A"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93" w:history="1">
        <w:r w:rsidRPr="000A1AC6">
          <w:rPr>
            <w:rStyle w:val="Hyperlink"/>
            <w:noProof/>
          </w:rPr>
          <w:t>Figure 36. Summary of performance statistics for management strategies for a) Depletion risk (defined as probability of biomass being reduced below 40% of the comparable no-fishing biomass level, B0). The “all zones” results assume fishing effort is spread evenly across all available zones (from Skewes et al., 2014).</w:t>
        </w:r>
        <w:r>
          <w:rPr>
            <w:noProof/>
            <w:webHidden/>
          </w:rPr>
          <w:tab/>
        </w:r>
        <w:r>
          <w:rPr>
            <w:noProof/>
            <w:webHidden/>
          </w:rPr>
          <w:fldChar w:fldCharType="begin"/>
        </w:r>
        <w:r>
          <w:rPr>
            <w:noProof/>
            <w:webHidden/>
          </w:rPr>
          <w:instrText xml:space="preserve"> PAGEREF _Toc189044993 \h </w:instrText>
        </w:r>
        <w:r>
          <w:rPr>
            <w:noProof/>
            <w:webHidden/>
          </w:rPr>
        </w:r>
        <w:r>
          <w:rPr>
            <w:noProof/>
            <w:webHidden/>
          </w:rPr>
          <w:fldChar w:fldCharType="separate"/>
        </w:r>
        <w:r w:rsidR="004263D8">
          <w:rPr>
            <w:noProof/>
            <w:webHidden/>
          </w:rPr>
          <w:t>46</w:t>
        </w:r>
        <w:r>
          <w:rPr>
            <w:noProof/>
            <w:webHidden/>
          </w:rPr>
          <w:fldChar w:fldCharType="end"/>
        </w:r>
      </w:hyperlink>
    </w:p>
    <w:p w14:paraId="579F4D3C" w14:textId="7372FA7F"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94" w:history="1">
        <w:r w:rsidRPr="000A1AC6">
          <w:rPr>
            <w:rStyle w:val="Hyperlink"/>
            <w:noProof/>
          </w:rPr>
          <w:t>Figure 37. Map of the QSCF showing 158 Rotational Harvest Arrangement (RHA) zones (which now also include the Coral Sea reefs as sperate zones), existing Burrowing Blackfish zones (BBFZ) and 3 QSCF offshore fishing zones (Ashmore and Boot, Suamarez and Marion Reefs). The remainder of the GBRMP area is divided into open and closed zones.</w:t>
        </w:r>
        <w:r>
          <w:rPr>
            <w:noProof/>
            <w:webHidden/>
          </w:rPr>
          <w:tab/>
        </w:r>
        <w:r>
          <w:rPr>
            <w:noProof/>
            <w:webHidden/>
          </w:rPr>
          <w:fldChar w:fldCharType="begin"/>
        </w:r>
        <w:r>
          <w:rPr>
            <w:noProof/>
            <w:webHidden/>
          </w:rPr>
          <w:instrText xml:space="preserve"> PAGEREF _Toc189044994 \h </w:instrText>
        </w:r>
        <w:r>
          <w:rPr>
            <w:noProof/>
            <w:webHidden/>
          </w:rPr>
        </w:r>
        <w:r>
          <w:rPr>
            <w:noProof/>
            <w:webHidden/>
          </w:rPr>
          <w:fldChar w:fldCharType="separate"/>
        </w:r>
        <w:r w:rsidR="004263D8">
          <w:rPr>
            <w:noProof/>
            <w:webHidden/>
          </w:rPr>
          <w:t>50</w:t>
        </w:r>
        <w:r>
          <w:rPr>
            <w:noProof/>
            <w:webHidden/>
          </w:rPr>
          <w:fldChar w:fldCharType="end"/>
        </w:r>
      </w:hyperlink>
    </w:p>
    <w:p w14:paraId="1562D596" w14:textId="444972D7"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95" w:history="1">
        <w:r w:rsidRPr="000A1AC6">
          <w:rPr>
            <w:rStyle w:val="Hyperlink"/>
            <w:noProof/>
          </w:rPr>
          <w:t>Figure 38. Monthly average currents during winter (June) and summer (December) for 2018 to 2023. (AIMS eReefs Visualisation Portal: https://ereefs.aims.gov.au/ereefs-aims/gbr1/)</w:t>
        </w:r>
        <w:r>
          <w:rPr>
            <w:noProof/>
            <w:webHidden/>
          </w:rPr>
          <w:tab/>
        </w:r>
        <w:r>
          <w:rPr>
            <w:noProof/>
            <w:webHidden/>
          </w:rPr>
          <w:fldChar w:fldCharType="begin"/>
        </w:r>
        <w:r>
          <w:rPr>
            <w:noProof/>
            <w:webHidden/>
          </w:rPr>
          <w:instrText xml:space="preserve"> PAGEREF _Toc189044995 \h </w:instrText>
        </w:r>
        <w:r>
          <w:rPr>
            <w:noProof/>
            <w:webHidden/>
          </w:rPr>
        </w:r>
        <w:r>
          <w:rPr>
            <w:noProof/>
            <w:webHidden/>
          </w:rPr>
          <w:fldChar w:fldCharType="separate"/>
        </w:r>
        <w:r w:rsidR="004263D8">
          <w:rPr>
            <w:noProof/>
            <w:webHidden/>
          </w:rPr>
          <w:t>77</w:t>
        </w:r>
        <w:r>
          <w:rPr>
            <w:noProof/>
            <w:webHidden/>
          </w:rPr>
          <w:fldChar w:fldCharType="end"/>
        </w:r>
      </w:hyperlink>
    </w:p>
    <w:p w14:paraId="0BA8865B" w14:textId="0DA8FE95"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96" w:history="1">
        <w:r w:rsidRPr="000A1AC6">
          <w:rPr>
            <w:rStyle w:val="Hyperlink"/>
            <w:noProof/>
          </w:rPr>
          <w:t>Figure 39. Total catch weight for years 2000-01 to 2021-22 for vessel logbook (Logbook) and Buyer returns (Buyer) data after application of Final_wt calculation (as above) to vessel logbook data.</w:t>
        </w:r>
        <w:r>
          <w:rPr>
            <w:noProof/>
            <w:webHidden/>
          </w:rPr>
          <w:tab/>
        </w:r>
        <w:r>
          <w:rPr>
            <w:noProof/>
            <w:webHidden/>
          </w:rPr>
          <w:fldChar w:fldCharType="begin"/>
        </w:r>
        <w:r>
          <w:rPr>
            <w:noProof/>
            <w:webHidden/>
          </w:rPr>
          <w:instrText xml:space="preserve"> PAGEREF _Toc189044996 \h </w:instrText>
        </w:r>
        <w:r>
          <w:rPr>
            <w:noProof/>
            <w:webHidden/>
          </w:rPr>
        </w:r>
        <w:r>
          <w:rPr>
            <w:noProof/>
            <w:webHidden/>
          </w:rPr>
          <w:fldChar w:fldCharType="separate"/>
        </w:r>
        <w:r w:rsidR="004263D8">
          <w:rPr>
            <w:noProof/>
            <w:webHidden/>
          </w:rPr>
          <w:t>80</w:t>
        </w:r>
        <w:r>
          <w:rPr>
            <w:noProof/>
            <w:webHidden/>
          </w:rPr>
          <w:fldChar w:fldCharType="end"/>
        </w:r>
      </w:hyperlink>
    </w:p>
    <w:p w14:paraId="571841EC" w14:textId="77777777" w:rsidR="00D773A1" w:rsidRDefault="00270A2A">
      <w:pPr>
        <w:pStyle w:val="TableofFigures"/>
        <w:rPr>
          <w:noProof/>
        </w:rPr>
      </w:pPr>
      <w:r>
        <w:rPr>
          <w:color w:val="2B579A"/>
          <w:shd w:val="clear" w:color="auto" w:fill="E6E6E6"/>
        </w:rPr>
        <w:fldChar w:fldCharType="end"/>
      </w:r>
      <w:r w:rsidR="005D5EF2" w:rsidRPr="005D5EF2">
        <w:rPr>
          <w:rStyle w:val="Hyperlink"/>
          <w:noProof/>
          <w:color w:val="000000" w:themeColor="text1"/>
        </w:rPr>
        <w:t>Tables</w:t>
      </w:r>
      <w:r w:rsidR="005D5EF2" w:rsidRPr="005D5EF2">
        <w:rPr>
          <w:rStyle w:val="Hyperlink"/>
          <w:rFonts w:eastAsia="Times New Roman"/>
          <w:b/>
          <w:noProof/>
          <w:color w:val="000000" w:themeColor="text1"/>
          <w:sz w:val="44"/>
          <w:szCs w:val="28"/>
        </w:rPr>
        <w:fldChar w:fldCharType="begin"/>
      </w:r>
      <w:r w:rsidR="005D5EF2" w:rsidRPr="005D5EF2">
        <w:rPr>
          <w:rStyle w:val="Hyperlink"/>
          <w:noProof/>
          <w:color w:val="000000" w:themeColor="text1"/>
        </w:rPr>
        <w:instrText xml:space="preserve"> TOC \h \z \c "Table" </w:instrText>
      </w:r>
      <w:r w:rsidR="005D5EF2" w:rsidRPr="005D5EF2">
        <w:rPr>
          <w:rStyle w:val="Hyperlink"/>
          <w:rFonts w:eastAsia="Times New Roman"/>
          <w:b/>
          <w:noProof/>
          <w:color w:val="000000" w:themeColor="text1"/>
          <w:sz w:val="44"/>
          <w:szCs w:val="28"/>
        </w:rPr>
        <w:fldChar w:fldCharType="separate"/>
      </w:r>
    </w:p>
    <w:p w14:paraId="58A5CF7A" w14:textId="2C72BE92"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97" w:history="1">
        <w:r w:rsidRPr="009449C2">
          <w:rPr>
            <w:rStyle w:val="Hyperlink"/>
            <w:noProof/>
          </w:rPr>
          <w:t>Table 1. Area of the QSCF, shelf, reef and dry reef habitats within the area of the QSCF, and areas closed to fishing (after Skewes et al., 2014, and with the addition of the CSMP closed areas and Ashmore and Boot Reefs).</w:t>
        </w:r>
        <w:r>
          <w:rPr>
            <w:noProof/>
            <w:webHidden/>
          </w:rPr>
          <w:tab/>
        </w:r>
        <w:r>
          <w:rPr>
            <w:noProof/>
            <w:webHidden/>
          </w:rPr>
          <w:fldChar w:fldCharType="begin"/>
        </w:r>
        <w:r>
          <w:rPr>
            <w:noProof/>
            <w:webHidden/>
          </w:rPr>
          <w:instrText xml:space="preserve"> PAGEREF _Toc189044997 \h </w:instrText>
        </w:r>
        <w:r>
          <w:rPr>
            <w:noProof/>
            <w:webHidden/>
          </w:rPr>
        </w:r>
        <w:r>
          <w:rPr>
            <w:noProof/>
            <w:webHidden/>
          </w:rPr>
          <w:fldChar w:fldCharType="separate"/>
        </w:r>
        <w:r w:rsidR="004263D8">
          <w:rPr>
            <w:noProof/>
            <w:webHidden/>
          </w:rPr>
          <w:t>5</w:t>
        </w:r>
        <w:r>
          <w:rPr>
            <w:noProof/>
            <w:webHidden/>
          </w:rPr>
          <w:fldChar w:fldCharType="end"/>
        </w:r>
      </w:hyperlink>
    </w:p>
    <w:p w14:paraId="6C1565DE" w14:textId="7D40E3D8"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98" w:history="1">
        <w:r w:rsidRPr="009449C2">
          <w:rPr>
            <w:rStyle w:val="Hyperlink"/>
            <w:noProof/>
          </w:rPr>
          <w:t>Table 2. Reported catch (t landed weight) of beche-de-mer in the QSCF between 1986/87 and 1994/95 (Damschke, 1997; Stutterd and Williams, 2003)</w:t>
        </w:r>
        <w:r>
          <w:rPr>
            <w:noProof/>
            <w:webHidden/>
          </w:rPr>
          <w:tab/>
        </w:r>
        <w:r>
          <w:rPr>
            <w:noProof/>
            <w:webHidden/>
          </w:rPr>
          <w:fldChar w:fldCharType="begin"/>
        </w:r>
        <w:r>
          <w:rPr>
            <w:noProof/>
            <w:webHidden/>
          </w:rPr>
          <w:instrText xml:space="preserve"> PAGEREF _Toc189044998 \h </w:instrText>
        </w:r>
        <w:r>
          <w:rPr>
            <w:noProof/>
            <w:webHidden/>
          </w:rPr>
        </w:r>
        <w:r>
          <w:rPr>
            <w:noProof/>
            <w:webHidden/>
          </w:rPr>
          <w:fldChar w:fldCharType="separate"/>
        </w:r>
        <w:r w:rsidR="004263D8">
          <w:rPr>
            <w:noProof/>
            <w:webHidden/>
          </w:rPr>
          <w:t>24</w:t>
        </w:r>
        <w:r>
          <w:rPr>
            <w:noProof/>
            <w:webHidden/>
          </w:rPr>
          <w:fldChar w:fldCharType="end"/>
        </w:r>
      </w:hyperlink>
    </w:p>
    <w:p w14:paraId="0BF1DABB" w14:textId="553E40B6"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4999" w:history="1">
        <w:r w:rsidRPr="009449C2">
          <w:rPr>
            <w:rStyle w:val="Hyperlink"/>
            <w:noProof/>
          </w:rPr>
          <w:t>Table 3. Catch of Black teatfish in three areas of the fishery, 1995-96 to 2022-23.</w:t>
        </w:r>
        <w:r>
          <w:rPr>
            <w:noProof/>
            <w:webHidden/>
          </w:rPr>
          <w:tab/>
        </w:r>
        <w:r>
          <w:rPr>
            <w:noProof/>
            <w:webHidden/>
          </w:rPr>
          <w:fldChar w:fldCharType="begin"/>
        </w:r>
        <w:r>
          <w:rPr>
            <w:noProof/>
            <w:webHidden/>
          </w:rPr>
          <w:instrText xml:space="preserve"> PAGEREF _Toc189044999 \h </w:instrText>
        </w:r>
        <w:r>
          <w:rPr>
            <w:noProof/>
            <w:webHidden/>
          </w:rPr>
        </w:r>
        <w:r>
          <w:rPr>
            <w:noProof/>
            <w:webHidden/>
          </w:rPr>
          <w:fldChar w:fldCharType="separate"/>
        </w:r>
        <w:r w:rsidR="004263D8">
          <w:rPr>
            <w:noProof/>
            <w:webHidden/>
          </w:rPr>
          <w:t>25</w:t>
        </w:r>
        <w:r>
          <w:rPr>
            <w:noProof/>
            <w:webHidden/>
          </w:rPr>
          <w:fldChar w:fldCharType="end"/>
        </w:r>
      </w:hyperlink>
    </w:p>
    <w:p w14:paraId="5860ECC2" w14:textId="146FFE49"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5000" w:history="1">
        <w:r w:rsidRPr="009449C2">
          <w:rPr>
            <w:rStyle w:val="Hyperlink"/>
            <w:noProof/>
          </w:rPr>
          <w:t>Table 4. Catch of White teatfish in four areas of the fishery.</w:t>
        </w:r>
        <w:r>
          <w:rPr>
            <w:noProof/>
            <w:webHidden/>
          </w:rPr>
          <w:tab/>
        </w:r>
        <w:r>
          <w:rPr>
            <w:noProof/>
            <w:webHidden/>
          </w:rPr>
          <w:fldChar w:fldCharType="begin"/>
        </w:r>
        <w:r>
          <w:rPr>
            <w:noProof/>
            <w:webHidden/>
          </w:rPr>
          <w:instrText xml:space="preserve"> PAGEREF _Toc189045000 \h </w:instrText>
        </w:r>
        <w:r>
          <w:rPr>
            <w:noProof/>
            <w:webHidden/>
          </w:rPr>
        </w:r>
        <w:r>
          <w:rPr>
            <w:noProof/>
            <w:webHidden/>
          </w:rPr>
          <w:fldChar w:fldCharType="separate"/>
        </w:r>
        <w:r w:rsidR="004263D8">
          <w:rPr>
            <w:noProof/>
            <w:webHidden/>
          </w:rPr>
          <w:t>28</w:t>
        </w:r>
        <w:r>
          <w:rPr>
            <w:noProof/>
            <w:webHidden/>
          </w:rPr>
          <w:fldChar w:fldCharType="end"/>
        </w:r>
      </w:hyperlink>
    </w:p>
    <w:p w14:paraId="1967AA7E" w14:textId="33107A8F"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5001" w:history="1">
        <w:r w:rsidRPr="009449C2">
          <w:rPr>
            <w:rStyle w:val="Hyperlink"/>
            <w:noProof/>
          </w:rPr>
          <w:t>Table 5. Catch estimate of a FFV apprehended at Saumarez Reef in February 2017, in gutted and salted and live whole weight (Skewes, 2017).</w:t>
        </w:r>
        <w:r>
          <w:rPr>
            <w:noProof/>
            <w:webHidden/>
          </w:rPr>
          <w:tab/>
        </w:r>
        <w:r>
          <w:rPr>
            <w:noProof/>
            <w:webHidden/>
          </w:rPr>
          <w:fldChar w:fldCharType="begin"/>
        </w:r>
        <w:r>
          <w:rPr>
            <w:noProof/>
            <w:webHidden/>
          </w:rPr>
          <w:instrText xml:space="preserve"> PAGEREF _Toc189045001 \h </w:instrText>
        </w:r>
        <w:r>
          <w:rPr>
            <w:noProof/>
            <w:webHidden/>
          </w:rPr>
        </w:r>
        <w:r>
          <w:rPr>
            <w:noProof/>
            <w:webHidden/>
          </w:rPr>
          <w:fldChar w:fldCharType="separate"/>
        </w:r>
        <w:r w:rsidR="004263D8">
          <w:rPr>
            <w:noProof/>
            <w:webHidden/>
          </w:rPr>
          <w:t>33</w:t>
        </w:r>
        <w:r>
          <w:rPr>
            <w:noProof/>
            <w:webHidden/>
          </w:rPr>
          <w:fldChar w:fldCharType="end"/>
        </w:r>
      </w:hyperlink>
    </w:p>
    <w:p w14:paraId="39045959" w14:textId="51C972FB"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5002" w:history="1">
        <w:r w:rsidRPr="009449C2">
          <w:rPr>
            <w:rStyle w:val="Hyperlink"/>
            <w:noProof/>
          </w:rPr>
          <w:t xml:space="preserve">Table 6. </w:t>
        </w:r>
        <w:r w:rsidRPr="009449C2">
          <w:rPr>
            <w:rStyle w:val="Hyperlink"/>
            <w:noProof/>
            <w:lang w:val="en-US"/>
          </w:rPr>
          <w:t>Average weights by species and product form from buyer returns, 2000-01 to 2021-22.</w:t>
        </w:r>
        <w:r>
          <w:rPr>
            <w:noProof/>
            <w:webHidden/>
          </w:rPr>
          <w:tab/>
        </w:r>
        <w:r>
          <w:rPr>
            <w:noProof/>
            <w:webHidden/>
          </w:rPr>
          <w:fldChar w:fldCharType="begin"/>
        </w:r>
        <w:r>
          <w:rPr>
            <w:noProof/>
            <w:webHidden/>
          </w:rPr>
          <w:instrText xml:space="preserve"> PAGEREF _Toc189045002 \h </w:instrText>
        </w:r>
        <w:r>
          <w:rPr>
            <w:noProof/>
            <w:webHidden/>
          </w:rPr>
        </w:r>
        <w:r>
          <w:rPr>
            <w:noProof/>
            <w:webHidden/>
          </w:rPr>
          <w:fldChar w:fldCharType="separate"/>
        </w:r>
        <w:r w:rsidR="004263D8">
          <w:rPr>
            <w:noProof/>
            <w:webHidden/>
          </w:rPr>
          <w:t>80</w:t>
        </w:r>
        <w:r>
          <w:rPr>
            <w:noProof/>
            <w:webHidden/>
          </w:rPr>
          <w:fldChar w:fldCharType="end"/>
        </w:r>
      </w:hyperlink>
    </w:p>
    <w:p w14:paraId="76E4804C" w14:textId="7A3BBF82" w:rsidR="00D773A1" w:rsidRDefault="00D773A1">
      <w:pPr>
        <w:pStyle w:val="TableofFigures"/>
        <w:rPr>
          <w:rFonts w:asciiTheme="minorHAnsi" w:eastAsiaTheme="minorEastAsia" w:hAnsiTheme="minorHAnsi" w:cstheme="minorBidi"/>
          <w:noProof/>
          <w:color w:val="auto"/>
          <w:kern w:val="2"/>
          <w:sz w:val="24"/>
          <w:szCs w:val="24"/>
          <w14:ligatures w14:val="standardContextual"/>
        </w:rPr>
      </w:pPr>
      <w:hyperlink w:anchor="_Toc189045003" w:history="1">
        <w:r w:rsidRPr="009449C2">
          <w:rPr>
            <w:rStyle w:val="Hyperlink"/>
            <w:noProof/>
          </w:rPr>
          <w:t>Table 7. Species names contained in the QSCF Logbook database, the number of records for each combination, and assigned species name for analysis.</w:t>
        </w:r>
        <w:r>
          <w:rPr>
            <w:noProof/>
            <w:webHidden/>
          </w:rPr>
          <w:tab/>
        </w:r>
        <w:r>
          <w:rPr>
            <w:noProof/>
            <w:webHidden/>
          </w:rPr>
          <w:fldChar w:fldCharType="begin"/>
        </w:r>
        <w:r>
          <w:rPr>
            <w:noProof/>
            <w:webHidden/>
          </w:rPr>
          <w:instrText xml:space="preserve"> PAGEREF _Toc189045003 \h </w:instrText>
        </w:r>
        <w:r>
          <w:rPr>
            <w:noProof/>
            <w:webHidden/>
          </w:rPr>
        </w:r>
        <w:r>
          <w:rPr>
            <w:noProof/>
            <w:webHidden/>
          </w:rPr>
          <w:fldChar w:fldCharType="separate"/>
        </w:r>
        <w:r w:rsidR="004263D8">
          <w:rPr>
            <w:noProof/>
            <w:webHidden/>
          </w:rPr>
          <w:t>81</w:t>
        </w:r>
        <w:r>
          <w:rPr>
            <w:noProof/>
            <w:webHidden/>
          </w:rPr>
          <w:fldChar w:fldCharType="end"/>
        </w:r>
      </w:hyperlink>
    </w:p>
    <w:p w14:paraId="7E7391B1" w14:textId="23FC25FB" w:rsidR="005D5EF2" w:rsidRPr="005D5EF2" w:rsidRDefault="005D5EF2" w:rsidP="005D5EF2">
      <w:pPr>
        <w:pStyle w:val="TableofFigures"/>
      </w:pPr>
      <w:r w:rsidRPr="005D5EF2">
        <w:rPr>
          <w:rStyle w:val="Hyperlink"/>
          <w:noProof/>
          <w:color w:val="000000" w:themeColor="text1"/>
        </w:rPr>
        <w:fldChar w:fldCharType="end"/>
      </w:r>
    </w:p>
    <w:p w14:paraId="0041DEEF" w14:textId="77777777" w:rsidR="00892D6F" w:rsidRDefault="00892D6F" w:rsidP="00A60F4F">
      <w:pPr>
        <w:pStyle w:val="Heading1notnumbered"/>
      </w:pPr>
      <w:bookmarkStart w:id="1" w:name="_Toc138018728"/>
      <w:bookmarkStart w:id="2" w:name="_Toc139374118"/>
      <w:bookmarkStart w:id="3" w:name="_Toc189044924"/>
      <w:r>
        <w:lastRenderedPageBreak/>
        <w:t>Acronyms</w:t>
      </w:r>
      <w:bookmarkEnd w:id="1"/>
      <w:bookmarkEnd w:id="2"/>
      <w:bookmarkEnd w:id="3"/>
    </w:p>
    <w:tbl>
      <w:tblPr>
        <w:tblStyle w:val="TableGrid"/>
        <w:tblW w:w="0" w:type="auto"/>
        <w:tblLook w:val="04A0" w:firstRow="1" w:lastRow="0" w:firstColumn="1" w:lastColumn="0" w:noHBand="0" w:noVBand="1"/>
      </w:tblPr>
      <w:tblGrid>
        <w:gridCol w:w="1413"/>
        <w:gridCol w:w="7603"/>
      </w:tblGrid>
      <w:tr w:rsidR="00892D6F" w:rsidRPr="00F20784" w14:paraId="37C0F779" w14:textId="77777777" w:rsidTr="000B319E">
        <w:tc>
          <w:tcPr>
            <w:tcW w:w="1413" w:type="dxa"/>
          </w:tcPr>
          <w:p w14:paraId="797FB254" w14:textId="77777777" w:rsidR="00892D6F" w:rsidRDefault="00892D6F" w:rsidP="000B319E">
            <w:r w:rsidRPr="00F20784">
              <w:t>AFMA</w:t>
            </w:r>
          </w:p>
        </w:tc>
        <w:tc>
          <w:tcPr>
            <w:tcW w:w="7603" w:type="dxa"/>
          </w:tcPr>
          <w:p w14:paraId="32E935C8" w14:textId="77777777" w:rsidR="00892D6F" w:rsidRDefault="00892D6F" w:rsidP="000B319E">
            <w:r w:rsidRPr="00F20784">
              <w:t>Australian Fisheries Management Authority</w:t>
            </w:r>
          </w:p>
        </w:tc>
      </w:tr>
      <w:tr w:rsidR="00892D6F" w:rsidRPr="00F20784" w14:paraId="785DA93E" w14:textId="77777777" w:rsidTr="000B319E">
        <w:tc>
          <w:tcPr>
            <w:tcW w:w="1413" w:type="dxa"/>
          </w:tcPr>
          <w:p w14:paraId="00E2B12E" w14:textId="77777777" w:rsidR="00892D6F" w:rsidRPr="00F20784" w:rsidRDefault="00892D6F" w:rsidP="000B319E">
            <w:r w:rsidRPr="000E5BFB">
              <w:t>ABARES</w:t>
            </w:r>
          </w:p>
        </w:tc>
        <w:tc>
          <w:tcPr>
            <w:tcW w:w="7603" w:type="dxa"/>
          </w:tcPr>
          <w:p w14:paraId="13B3EB7C" w14:textId="77777777" w:rsidR="00892D6F" w:rsidRPr="00F20784" w:rsidRDefault="00892D6F" w:rsidP="000B319E">
            <w:r w:rsidRPr="00133136">
              <w:t>Australian Bureau of Agricultural and Resource Economics and Sciences</w:t>
            </w:r>
          </w:p>
        </w:tc>
      </w:tr>
      <w:tr w:rsidR="00892D6F" w:rsidRPr="00F20784" w14:paraId="216C33E8" w14:textId="77777777" w:rsidTr="000B319E">
        <w:tc>
          <w:tcPr>
            <w:tcW w:w="1413" w:type="dxa"/>
          </w:tcPr>
          <w:p w14:paraId="3C32B9E1" w14:textId="77777777" w:rsidR="00892D6F" w:rsidRPr="000E5BFB" w:rsidRDefault="00892D6F" w:rsidP="000B319E">
            <w:r>
              <w:t>B</w:t>
            </w:r>
            <w:r w:rsidRPr="006973C4">
              <w:rPr>
                <w:vertAlign w:val="subscript"/>
              </w:rPr>
              <w:t>0</w:t>
            </w:r>
          </w:p>
        </w:tc>
        <w:tc>
          <w:tcPr>
            <w:tcW w:w="7603" w:type="dxa"/>
          </w:tcPr>
          <w:p w14:paraId="0111C2D6" w14:textId="77777777" w:rsidR="00892D6F" w:rsidRPr="00133136" w:rsidRDefault="00892D6F" w:rsidP="000B319E">
            <w:r>
              <w:t>Virgin biomass</w:t>
            </w:r>
          </w:p>
        </w:tc>
      </w:tr>
      <w:tr w:rsidR="00892D6F" w:rsidRPr="00F20784" w14:paraId="598C2530" w14:textId="77777777" w:rsidTr="000B319E">
        <w:tc>
          <w:tcPr>
            <w:tcW w:w="1413" w:type="dxa"/>
          </w:tcPr>
          <w:p w14:paraId="4F100C8B" w14:textId="6C10D88A" w:rsidR="00892D6F" w:rsidRPr="00F20784" w:rsidRDefault="00892D6F" w:rsidP="000B319E">
            <w:r>
              <w:t>B</w:t>
            </w:r>
            <w:r w:rsidR="00290642" w:rsidRPr="00290642">
              <w:rPr>
                <w:i/>
                <w:iCs/>
              </w:rPr>
              <w:t>lim</w:t>
            </w:r>
          </w:p>
        </w:tc>
        <w:tc>
          <w:tcPr>
            <w:tcW w:w="7603" w:type="dxa"/>
          </w:tcPr>
          <w:p w14:paraId="35BE1DDB" w14:textId="2999328D" w:rsidR="00892D6F" w:rsidRPr="00F20784" w:rsidRDefault="00892D6F" w:rsidP="000B319E">
            <w:r>
              <w:t xml:space="preserve">The biomass level </w:t>
            </w:r>
            <w:r w:rsidRPr="007532DB">
              <w:t>beyond which the risk to the stock is regarded as unacceptably high</w:t>
            </w:r>
            <w:r>
              <w:t xml:space="preserve"> (often related to </w:t>
            </w:r>
            <w:r w:rsidR="00290642">
              <w:t xml:space="preserve">the PRI - </w:t>
            </w:r>
            <w:r>
              <w:t>P</w:t>
            </w:r>
            <w:r w:rsidR="00290642">
              <w:t xml:space="preserve">oint of </w:t>
            </w:r>
            <w:r>
              <w:t>R</w:t>
            </w:r>
            <w:r w:rsidR="00290642">
              <w:t>ecruitment Impairment</w:t>
            </w:r>
            <w:r>
              <w:t>)</w:t>
            </w:r>
            <w:r w:rsidRPr="007532DB">
              <w:t>.</w:t>
            </w:r>
          </w:p>
        </w:tc>
      </w:tr>
      <w:tr w:rsidR="00892D6F" w:rsidRPr="00F20784" w14:paraId="79685894" w14:textId="77777777" w:rsidTr="000B319E">
        <w:tc>
          <w:tcPr>
            <w:tcW w:w="1413" w:type="dxa"/>
          </w:tcPr>
          <w:p w14:paraId="707B78FA" w14:textId="4A115A7B" w:rsidR="00892D6F" w:rsidRPr="007532DB" w:rsidRDefault="00892D6F" w:rsidP="000B319E">
            <w:r>
              <w:t>B</w:t>
            </w:r>
            <w:r w:rsidR="00290642" w:rsidRPr="00290642">
              <w:rPr>
                <w:i/>
                <w:iCs/>
              </w:rPr>
              <w:t>targ</w:t>
            </w:r>
          </w:p>
        </w:tc>
        <w:tc>
          <w:tcPr>
            <w:tcW w:w="7603" w:type="dxa"/>
          </w:tcPr>
          <w:p w14:paraId="4BDD0728" w14:textId="77777777" w:rsidR="00892D6F" w:rsidRPr="007532DB" w:rsidRDefault="00892D6F" w:rsidP="000B319E">
            <w:r>
              <w:t>T</w:t>
            </w:r>
            <w:r w:rsidRPr="007532DB">
              <w:t>he desired status of stocks</w:t>
            </w:r>
          </w:p>
        </w:tc>
      </w:tr>
      <w:tr w:rsidR="00892D6F" w:rsidRPr="00F20784" w14:paraId="433F0700" w14:textId="77777777" w:rsidTr="000B319E">
        <w:tc>
          <w:tcPr>
            <w:tcW w:w="1413" w:type="dxa"/>
          </w:tcPr>
          <w:p w14:paraId="331B17CF" w14:textId="77777777" w:rsidR="00892D6F" w:rsidRDefault="00892D6F" w:rsidP="000B319E">
            <w:r w:rsidRPr="00F20784">
              <w:t>CITES</w:t>
            </w:r>
          </w:p>
        </w:tc>
        <w:tc>
          <w:tcPr>
            <w:tcW w:w="7603" w:type="dxa"/>
          </w:tcPr>
          <w:p w14:paraId="316D255C" w14:textId="77777777" w:rsidR="00892D6F" w:rsidRDefault="00892D6F" w:rsidP="000B319E">
            <w:r w:rsidRPr="00F20784">
              <w:t>Convention on International Trade in Endangered Species of Wild Fauna and Flora</w:t>
            </w:r>
          </w:p>
        </w:tc>
      </w:tr>
      <w:tr w:rsidR="00892D6F" w:rsidRPr="00F20784" w14:paraId="7DB28504" w14:textId="77777777" w:rsidTr="000B319E">
        <w:tc>
          <w:tcPr>
            <w:tcW w:w="1413" w:type="dxa"/>
          </w:tcPr>
          <w:p w14:paraId="63FC56E7" w14:textId="77777777" w:rsidR="00892D6F" w:rsidRPr="00BA560E" w:rsidRDefault="00892D6F" w:rsidP="000B319E">
            <w:r w:rsidRPr="00BA560E">
              <w:t>CSF</w:t>
            </w:r>
          </w:p>
        </w:tc>
        <w:tc>
          <w:tcPr>
            <w:tcW w:w="7603" w:type="dxa"/>
          </w:tcPr>
          <w:p w14:paraId="629EB5D5" w14:textId="77777777" w:rsidR="00892D6F" w:rsidRDefault="00892D6F" w:rsidP="000B319E">
            <w:r w:rsidRPr="00BA560E">
              <w:t>Coral Sea Fishery</w:t>
            </w:r>
          </w:p>
        </w:tc>
      </w:tr>
      <w:tr w:rsidR="006272AB" w:rsidRPr="00F20784" w14:paraId="1686F579" w14:textId="77777777" w:rsidTr="000B319E">
        <w:tc>
          <w:tcPr>
            <w:tcW w:w="1413" w:type="dxa"/>
          </w:tcPr>
          <w:p w14:paraId="7CAF57C7" w14:textId="1111C85A" w:rsidR="006272AB" w:rsidRPr="00BA560E" w:rsidRDefault="006272AB" w:rsidP="006272AB">
            <w:r>
              <w:t>CSMP</w:t>
            </w:r>
          </w:p>
        </w:tc>
        <w:tc>
          <w:tcPr>
            <w:tcW w:w="7603" w:type="dxa"/>
          </w:tcPr>
          <w:p w14:paraId="6DC76BFF" w14:textId="723FDDDD" w:rsidR="006272AB" w:rsidRPr="00BA560E" w:rsidRDefault="006272AB" w:rsidP="006272AB">
            <w:r>
              <w:t>Coral Sea Marine Park</w:t>
            </w:r>
          </w:p>
        </w:tc>
      </w:tr>
      <w:tr w:rsidR="00892D6F" w:rsidRPr="00F20784" w14:paraId="4EEE5731" w14:textId="77777777" w:rsidTr="000B319E">
        <w:tc>
          <w:tcPr>
            <w:tcW w:w="1413" w:type="dxa"/>
          </w:tcPr>
          <w:p w14:paraId="44A5E616" w14:textId="77777777" w:rsidR="00892D6F" w:rsidRDefault="00892D6F" w:rsidP="000B319E">
            <w:r>
              <w:t>CSIRO</w:t>
            </w:r>
          </w:p>
        </w:tc>
        <w:tc>
          <w:tcPr>
            <w:tcW w:w="7603" w:type="dxa"/>
          </w:tcPr>
          <w:p w14:paraId="2B78A8BE" w14:textId="77777777" w:rsidR="00892D6F" w:rsidRDefault="00892D6F" w:rsidP="000B319E">
            <w:r>
              <w:t>Commonwealth Scientific and Industrial Research Organisation</w:t>
            </w:r>
          </w:p>
        </w:tc>
      </w:tr>
      <w:tr w:rsidR="00290642" w:rsidRPr="00F20784" w14:paraId="10E01F8F" w14:textId="77777777" w:rsidTr="000B319E">
        <w:tc>
          <w:tcPr>
            <w:tcW w:w="1413" w:type="dxa"/>
          </w:tcPr>
          <w:p w14:paraId="5614BF7D" w14:textId="6B25C8E7" w:rsidR="00290642" w:rsidRDefault="00290642" w:rsidP="000B319E">
            <w:r>
              <w:t>DAF</w:t>
            </w:r>
          </w:p>
        </w:tc>
        <w:tc>
          <w:tcPr>
            <w:tcW w:w="7603" w:type="dxa"/>
          </w:tcPr>
          <w:p w14:paraId="75030B94" w14:textId="102DF193" w:rsidR="00290642" w:rsidRDefault="00290642" w:rsidP="000B319E">
            <w:r>
              <w:t>Queensland Department of Agriculture and Fisheries</w:t>
            </w:r>
          </w:p>
        </w:tc>
      </w:tr>
      <w:tr w:rsidR="00290642" w:rsidRPr="00F20784" w14:paraId="22DEB336" w14:textId="77777777" w:rsidTr="000B319E">
        <w:tc>
          <w:tcPr>
            <w:tcW w:w="1413" w:type="dxa"/>
          </w:tcPr>
          <w:p w14:paraId="7DD26A45" w14:textId="4E7EFBE6" w:rsidR="00290642" w:rsidRDefault="00290642" w:rsidP="000B319E">
            <w:r>
              <w:t>DCCEEW</w:t>
            </w:r>
          </w:p>
        </w:tc>
        <w:tc>
          <w:tcPr>
            <w:tcW w:w="7603" w:type="dxa"/>
          </w:tcPr>
          <w:p w14:paraId="0C43DF6B" w14:textId="1FA653D6" w:rsidR="00290642" w:rsidRDefault="00290642" w:rsidP="000B319E">
            <w:r>
              <w:t xml:space="preserve">Commonwealth </w:t>
            </w:r>
            <w:r w:rsidRPr="00290642">
              <w:t>Department of Climate Change, Energy, the Environment and Water</w:t>
            </w:r>
          </w:p>
        </w:tc>
      </w:tr>
      <w:tr w:rsidR="00892D6F" w:rsidRPr="00F20784" w14:paraId="365D4FFB" w14:textId="77777777" w:rsidTr="000B319E">
        <w:tc>
          <w:tcPr>
            <w:tcW w:w="1413" w:type="dxa"/>
          </w:tcPr>
          <w:p w14:paraId="2893C84C" w14:textId="77777777" w:rsidR="00892D6F" w:rsidRDefault="00892D6F" w:rsidP="000B319E">
            <w:r w:rsidRPr="00E01C17">
              <w:t>EPBC Act</w:t>
            </w:r>
          </w:p>
        </w:tc>
        <w:tc>
          <w:tcPr>
            <w:tcW w:w="7603" w:type="dxa"/>
          </w:tcPr>
          <w:p w14:paraId="4877C8C0" w14:textId="77777777" w:rsidR="00892D6F" w:rsidRDefault="00892D6F" w:rsidP="000B319E">
            <w:r w:rsidRPr="00B200F5">
              <w:rPr>
                <w:i/>
                <w:iCs/>
              </w:rPr>
              <w:t>Environment Protection and Biodiversity Conservation Act 1999</w:t>
            </w:r>
            <w:r>
              <w:t>, including any Act amending, repealing or replacing the Act.</w:t>
            </w:r>
          </w:p>
        </w:tc>
      </w:tr>
      <w:tr w:rsidR="00892D6F" w:rsidRPr="00F20784" w14:paraId="23A0C74B" w14:textId="77777777" w:rsidTr="000B319E">
        <w:tc>
          <w:tcPr>
            <w:tcW w:w="1413" w:type="dxa"/>
          </w:tcPr>
          <w:p w14:paraId="5707BB4D" w14:textId="77777777" w:rsidR="00892D6F" w:rsidRDefault="00892D6F" w:rsidP="000B319E">
            <w:r w:rsidRPr="00F20784">
              <w:t>GBR</w:t>
            </w:r>
          </w:p>
        </w:tc>
        <w:tc>
          <w:tcPr>
            <w:tcW w:w="7603" w:type="dxa"/>
          </w:tcPr>
          <w:p w14:paraId="5EA96551" w14:textId="77777777" w:rsidR="00892D6F" w:rsidRDefault="00892D6F" w:rsidP="000B319E">
            <w:r w:rsidRPr="00F20784">
              <w:t>Great Barrier Reef</w:t>
            </w:r>
          </w:p>
        </w:tc>
      </w:tr>
      <w:tr w:rsidR="00AD41FE" w:rsidRPr="00F20784" w14:paraId="1A17F295" w14:textId="77777777" w:rsidTr="000B319E">
        <w:tc>
          <w:tcPr>
            <w:tcW w:w="1413" w:type="dxa"/>
          </w:tcPr>
          <w:p w14:paraId="01E4CB56" w14:textId="44813FED" w:rsidR="00AD41FE" w:rsidRPr="00F20784" w:rsidRDefault="00AD41FE" w:rsidP="000B319E">
            <w:r w:rsidRPr="001B2AFA">
              <w:t>GBRMP</w:t>
            </w:r>
          </w:p>
        </w:tc>
        <w:tc>
          <w:tcPr>
            <w:tcW w:w="7603" w:type="dxa"/>
          </w:tcPr>
          <w:p w14:paraId="41594E27" w14:textId="7A3A3ED9" w:rsidR="00AD41FE" w:rsidRPr="00F20784" w:rsidRDefault="00AD41FE" w:rsidP="000B319E">
            <w:r w:rsidRPr="001B2AFA">
              <w:t>Great Barrier Reef Marine P</w:t>
            </w:r>
            <w:r>
              <w:t>ark</w:t>
            </w:r>
          </w:p>
        </w:tc>
      </w:tr>
      <w:tr w:rsidR="00AD41FE" w:rsidRPr="00F20784" w14:paraId="2F7C5DE6" w14:textId="77777777" w:rsidTr="000B319E">
        <w:tc>
          <w:tcPr>
            <w:tcW w:w="1413" w:type="dxa"/>
          </w:tcPr>
          <w:p w14:paraId="5FBC5614" w14:textId="5AB9924E" w:rsidR="00AD41FE" w:rsidRPr="00F20784" w:rsidRDefault="00AD41FE" w:rsidP="00AD41FE">
            <w:r w:rsidRPr="001B2AFA">
              <w:t>GBRMP</w:t>
            </w:r>
            <w:r>
              <w:t>A</w:t>
            </w:r>
          </w:p>
        </w:tc>
        <w:tc>
          <w:tcPr>
            <w:tcW w:w="7603" w:type="dxa"/>
          </w:tcPr>
          <w:p w14:paraId="573F390C" w14:textId="0DADF706" w:rsidR="00AD41FE" w:rsidRPr="00F20784" w:rsidRDefault="00AD41FE" w:rsidP="00AD41FE">
            <w:r w:rsidRPr="001B2AFA">
              <w:t>Great Barrier Reef Marine P</w:t>
            </w:r>
            <w:r>
              <w:t>ark Authority</w:t>
            </w:r>
          </w:p>
        </w:tc>
      </w:tr>
      <w:tr w:rsidR="00892D6F" w:rsidRPr="00F20784" w14:paraId="301266A7" w14:textId="77777777" w:rsidTr="000B319E">
        <w:tc>
          <w:tcPr>
            <w:tcW w:w="1413" w:type="dxa"/>
          </w:tcPr>
          <w:p w14:paraId="6A0A4D2E" w14:textId="77777777" w:rsidR="00892D6F" w:rsidRDefault="00892D6F" w:rsidP="000B319E">
            <w:r>
              <w:t>HS</w:t>
            </w:r>
          </w:p>
        </w:tc>
        <w:tc>
          <w:tcPr>
            <w:tcW w:w="7603" w:type="dxa"/>
          </w:tcPr>
          <w:p w14:paraId="283FBBBF" w14:textId="77777777" w:rsidR="00892D6F" w:rsidRPr="00F20784" w:rsidRDefault="00892D6F" w:rsidP="000B319E">
            <w:r>
              <w:t>Harvest strategy</w:t>
            </w:r>
          </w:p>
        </w:tc>
      </w:tr>
      <w:tr w:rsidR="00892D6F" w:rsidRPr="00F20784" w14:paraId="17BCA9AC" w14:textId="77777777" w:rsidTr="000B319E">
        <w:tc>
          <w:tcPr>
            <w:tcW w:w="1413" w:type="dxa"/>
          </w:tcPr>
          <w:p w14:paraId="5059114D" w14:textId="77777777" w:rsidR="00892D6F" w:rsidRPr="00F20784" w:rsidRDefault="00892D6F" w:rsidP="000B319E">
            <w:r w:rsidRPr="00E01C17">
              <w:t>IUCN</w:t>
            </w:r>
          </w:p>
        </w:tc>
        <w:tc>
          <w:tcPr>
            <w:tcW w:w="7603" w:type="dxa"/>
          </w:tcPr>
          <w:p w14:paraId="03F98DAC" w14:textId="77777777" w:rsidR="00892D6F" w:rsidRPr="00F20784" w:rsidRDefault="00892D6F" w:rsidP="000B319E">
            <w:r w:rsidRPr="00E01C17">
              <w:t>International Union for the Conservation of Nature.</w:t>
            </w:r>
          </w:p>
        </w:tc>
      </w:tr>
      <w:tr w:rsidR="00CA1D49" w:rsidRPr="00F20784" w14:paraId="5E261B13" w14:textId="77777777" w:rsidTr="000B319E">
        <w:tc>
          <w:tcPr>
            <w:tcW w:w="1413" w:type="dxa"/>
          </w:tcPr>
          <w:p w14:paraId="4AA4DBC0" w14:textId="77777777" w:rsidR="00CA1D49" w:rsidRPr="00E01C17" w:rsidRDefault="00CA1D49" w:rsidP="000B319E">
            <w:r>
              <w:t>IUU</w:t>
            </w:r>
          </w:p>
        </w:tc>
        <w:tc>
          <w:tcPr>
            <w:tcW w:w="7603" w:type="dxa"/>
          </w:tcPr>
          <w:p w14:paraId="318F3662" w14:textId="77777777" w:rsidR="00CA1D49" w:rsidRPr="00E01C17" w:rsidRDefault="00CA1D49" w:rsidP="000B319E">
            <w:r w:rsidRPr="00833F67">
              <w:t>Illegal, unreported and unregulated fishing</w:t>
            </w:r>
          </w:p>
        </w:tc>
      </w:tr>
      <w:tr w:rsidR="00FD662D" w:rsidRPr="00F20784" w14:paraId="03153F96" w14:textId="77777777" w:rsidTr="000B319E">
        <w:tc>
          <w:tcPr>
            <w:tcW w:w="1413" w:type="dxa"/>
          </w:tcPr>
          <w:p w14:paraId="67192571" w14:textId="77777777" w:rsidR="00FD662D" w:rsidRDefault="00FD662D" w:rsidP="000B319E">
            <w:r>
              <w:t>Landed wt</w:t>
            </w:r>
          </w:p>
        </w:tc>
        <w:tc>
          <w:tcPr>
            <w:tcW w:w="7603" w:type="dxa"/>
          </w:tcPr>
          <w:p w14:paraId="4ABE56D0" w14:textId="721DAE95" w:rsidR="00FD662D" w:rsidRPr="00833F67" w:rsidRDefault="005D53DA" w:rsidP="000B319E">
            <w:r>
              <w:t xml:space="preserve">Fishery catch and catch limits are reported as landed weight. </w:t>
            </w:r>
            <w:r w:rsidR="00FD662D">
              <w:t xml:space="preserve">In the QSCF, landed weight </w:t>
            </w:r>
            <w:r>
              <w:t xml:space="preserve">is in </w:t>
            </w:r>
            <w:r w:rsidR="00FD662D">
              <w:t xml:space="preserve">gutted and </w:t>
            </w:r>
            <w:r w:rsidR="00FD662D" w:rsidRPr="00FD662D">
              <w:t xml:space="preserve">salted, </w:t>
            </w:r>
            <w:r w:rsidR="00FD662D">
              <w:t xml:space="preserve">or par-boiled and </w:t>
            </w:r>
            <w:r w:rsidR="00FD662D" w:rsidRPr="00FD662D">
              <w:t>frozen</w:t>
            </w:r>
            <w:r>
              <w:t xml:space="preserve"> product form</w:t>
            </w:r>
            <w:r w:rsidR="00FD662D">
              <w:t>.</w:t>
            </w:r>
          </w:p>
        </w:tc>
      </w:tr>
      <w:tr w:rsidR="00892D6F" w:rsidRPr="00F20784" w14:paraId="32694F1E" w14:textId="77777777" w:rsidTr="000B319E">
        <w:tc>
          <w:tcPr>
            <w:tcW w:w="1413" w:type="dxa"/>
          </w:tcPr>
          <w:p w14:paraId="213B11C8" w14:textId="77777777" w:rsidR="00892D6F" w:rsidRPr="00F20784" w:rsidRDefault="00892D6F" w:rsidP="000B319E">
            <w:r>
              <w:t>MSC</w:t>
            </w:r>
          </w:p>
        </w:tc>
        <w:tc>
          <w:tcPr>
            <w:tcW w:w="7603" w:type="dxa"/>
          </w:tcPr>
          <w:p w14:paraId="7225E258" w14:textId="77777777" w:rsidR="00892D6F" w:rsidRPr="00F20784" w:rsidRDefault="00892D6F" w:rsidP="000B319E">
            <w:r>
              <w:t>Marine Stewardship Council</w:t>
            </w:r>
          </w:p>
        </w:tc>
      </w:tr>
      <w:tr w:rsidR="00892D6F" w:rsidRPr="00F20784" w14:paraId="0E6525BC" w14:textId="77777777" w:rsidTr="000B319E">
        <w:tc>
          <w:tcPr>
            <w:tcW w:w="1413" w:type="dxa"/>
          </w:tcPr>
          <w:p w14:paraId="0D0D0333" w14:textId="77777777" w:rsidR="00892D6F" w:rsidRDefault="00892D6F" w:rsidP="000B319E">
            <w:r w:rsidRPr="00F20784">
              <w:t>MSL</w:t>
            </w:r>
          </w:p>
        </w:tc>
        <w:tc>
          <w:tcPr>
            <w:tcW w:w="7603" w:type="dxa"/>
          </w:tcPr>
          <w:p w14:paraId="47407213" w14:textId="77777777" w:rsidR="00892D6F" w:rsidRDefault="00892D6F" w:rsidP="000B319E">
            <w:r w:rsidRPr="00F20784">
              <w:t>Minimum Size Limit</w:t>
            </w:r>
          </w:p>
        </w:tc>
      </w:tr>
      <w:tr w:rsidR="00892D6F" w:rsidRPr="00F20784" w14:paraId="437D497C" w14:textId="77777777" w:rsidTr="000B319E">
        <w:tc>
          <w:tcPr>
            <w:tcW w:w="1413" w:type="dxa"/>
          </w:tcPr>
          <w:p w14:paraId="71962C17" w14:textId="77777777" w:rsidR="00892D6F" w:rsidRPr="00F20784" w:rsidRDefault="00892D6F" w:rsidP="000B319E">
            <w:r w:rsidRPr="00F20784">
              <w:t>NDF</w:t>
            </w:r>
          </w:p>
        </w:tc>
        <w:tc>
          <w:tcPr>
            <w:tcW w:w="7603" w:type="dxa"/>
          </w:tcPr>
          <w:p w14:paraId="292675AD" w14:textId="77777777" w:rsidR="00892D6F" w:rsidRPr="00F20784" w:rsidRDefault="00892D6F" w:rsidP="000B319E">
            <w:r>
              <w:t>CITES N</w:t>
            </w:r>
            <w:r w:rsidRPr="00F20784">
              <w:t>on-detriment finding</w:t>
            </w:r>
          </w:p>
        </w:tc>
      </w:tr>
      <w:tr w:rsidR="00892D6F" w:rsidRPr="00F20784" w14:paraId="4E914EF4" w14:textId="77777777" w:rsidTr="000B319E">
        <w:tc>
          <w:tcPr>
            <w:tcW w:w="1413" w:type="dxa"/>
          </w:tcPr>
          <w:p w14:paraId="03621A2D" w14:textId="77777777" w:rsidR="00892D6F" w:rsidRPr="00BA560E" w:rsidRDefault="00892D6F" w:rsidP="000B319E">
            <w:r w:rsidRPr="00BA560E">
              <w:t>QSCF</w:t>
            </w:r>
          </w:p>
        </w:tc>
        <w:tc>
          <w:tcPr>
            <w:tcW w:w="7603" w:type="dxa"/>
          </w:tcPr>
          <w:p w14:paraId="6592DF67" w14:textId="77777777" w:rsidR="00892D6F" w:rsidRPr="00F20784" w:rsidRDefault="00892D6F" w:rsidP="000B319E">
            <w:r w:rsidRPr="00BA560E">
              <w:t>Queensland Sea Cucumber Fishery (East Coast)</w:t>
            </w:r>
          </w:p>
        </w:tc>
      </w:tr>
      <w:tr w:rsidR="00120518" w:rsidRPr="00F20784" w14:paraId="225BDE1A" w14:textId="77777777" w:rsidTr="000B319E">
        <w:tc>
          <w:tcPr>
            <w:tcW w:w="1413" w:type="dxa"/>
          </w:tcPr>
          <w:p w14:paraId="469E7E68" w14:textId="03A00C9E" w:rsidR="00120518" w:rsidRPr="00BA560E" w:rsidRDefault="00120518" w:rsidP="000B319E">
            <w:r w:rsidRPr="00120518">
              <w:t>RHA</w:t>
            </w:r>
          </w:p>
        </w:tc>
        <w:tc>
          <w:tcPr>
            <w:tcW w:w="7603" w:type="dxa"/>
          </w:tcPr>
          <w:p w14:paraId="496427E8" w14:textId="1D35DD53" w:rsidR="00120518" w:rsidRPr="00BA560E" w:rsidRDefault="00120518" w:rsidP="000B319E">
            <w:r w:rsidRPr="00120518">
              <w:t>Rotational harvest arrangement</w:t>
            </w:r>
          </w:p>
        </w:tc>
      </w:tr>
      <w:tr w:rsidR="00892D6F" w:rsidRPr="00F20784" w14:paraId="4BB89030" w14:textId="77777777" w:rsidTr="000B319E">
        <w:tc>
          <w:tcPr>
            <w:tcW w:w="1413" w:type="dxa"/>
          </w:tcPr>
          <w:p w14:paraId="378ECCFE" w14:textId="77777777" w:rsidR="00892D6F" w:rsidRPr="00F20784" w:rsidRDefault="00892D6F" w:rsidP="000B319E">
            <w:r w:rsidRPr="00F20784">
              <w:t>SICA</w:t>
            </w:r>
          </w:p>
        </w:tc>
        <w:tc>
          <w:tcPr>
            <w:tcW w:w="7603" w:type="dxa"/>
          </w:tcPr>
          <w:p w14:paraId="7C5B0AC1" w14:textId="77777777" w:rsidR="00892D6F" w:rsidRPr="00F20784" w:rsidRDefault="00892D6F" w:rsidP="000B319E">
            <w:r w:rsidRPr="00F20784">
              <w:t>Scale Intensity Consequence Analysis</w:t>
            </w:r>
          </w:p>
        </w:tc>
      </w:tr>
      <w:tr w:rsidR="00892D6F" w:rsidRPr="00F20784" w14:paraId="6B2E2040" w14:textId="77777777" w:rsidTr="000B319E">
        <w:tc>
          <w:tcPr>
            <w:tcW w:w="1413" w:type="dxa"/>
          </w:tcPr>
          <w:p w14:paraId="028067DE" w14:textId="77777777" w:rsidR="00892D6F" w:rsidRPr="00F20784" w:rsidRDefault="00892D6F" w:rsidP="000B319E">
            <w:r w:rsidRPr="00F20784">
              <w:t>t</w:t>
            </w:r>
          </w:p>
        </w:tc>
        <w:tc>
          <w:tcPr>
            <w:tcW w:w="7603" w:type="dxa"/>
          </w:tcPr>
          <w:p w14:paraId="131D6EBE" w14:textId="77777777" w:rsidR="00892D6F" w:rsidRPr="00F20784" w:rsidRDefault="00892D6F" w:rsidP="000B319E">
            <w:r>
              <w:t>tonnes</w:t>
            </w:r>
          </w:p>
        </w:tc>
      </w:tr>
      <w:tr w:rsidR="00250200" w:rsidRPr="00F20784" w14:paraId="76752BB9" w14:textId="77777777" w:rsidTr="000B319E">
        <w:tc>
          <w:tcPr>
            <w:tcW w:w="1413" w:type="dxa"/>
          </w:tcPr>
          <w:p w14:paraId="0C8D6EC0" w14:textId="79F3D1F3" w:rsidR="00250200" w:rsidRPr="00BA560E" w:rsidRDefault="00250200" w:rsidP="000B319E">
            <w:r w:rsidRPr="001B2AFA">
              <w:t>TA</w:t>
            </w:r>
            <w:r>
              <w:t>C</w:t>
            </w:r>
          </w:p>
        </w:tc>
        <w:tc>
          <w:tcPr>
            <w:tcW w:w="7603" w:type="dxa"/>
          </w:tcPr>
          <w:p w14:paraId="28DE627D" w14:textId="4B2342CD" w:rsidR="00250200" w:rsidRPr="00BA560E" w:rsidRDefault="00250200" w:rsidP="000B319E">
            <w:r w:rsidRPr="001B2AFA">
              <w:t xml:space="preserve">Total </w:t>
            </w:r>
            <w:r w:rsidR="009D2668">
              <w:t>a</w:t>
            </w:r>
            <w:r w:rsidRPr="001B2AFA">
              <w:t xml:space="preserve">llowable </w:t>
            </w:r>
            <w:r w:rsidR="009D2668">
              <w:t>c</w:t>
            </w:r>
            <w:r w:rsidRPr="001B2AFA">
              <w:t>atch</w:t>
            </w:r>
          </w:p>
        </w:tc>
      </w:tr>
      <w:tr w:rsidR="0049060B" w:rsidRPr="00F20784" w14:paraId="1F6D8611" w14:textId="77777777" w:rsidTr="000B319E">
        <w:tc>
          <w:tcPr>
            <w:tcW w:w="1413" w:type="dxa"/>
          </w:tcPr>
          <w:p w14:paraId="59AB95B3" w14:textId="5652DECE" w:rsidR="0049060B" w:rsidRPr="001B2AFA" w:rsidRDefault="0049060B" w:rsidP="000B319E">
            <w:r>
              <w:t>TACC</w:t>
            </w:r>
          </w:p>
        </w:tc>
        <w:tc>
          <w:tcPr>
            <w:tcW w:w="7603" w:type="dxa"/>
          </w:tcPr>
          <w:p w14:paraId="269AE5C5" w14:textId="272EE9F0" w:rsidR="0049060B" w:rsidRPr="001B2AFA" w:rsidRDefault="0049060B" w:rsidP="000B319E">
            <w:r>
              <w:t>T</w:t>
            </w:r>
            <w:r w:rsidRPr="0049060B">
              <w:t>otal allowable commercial catch</w:t>
            </w:r>
          </w:p>
        </w:tc>
      </w:tr>
      <w:tr w:rsidR="00892D6F" w:rsidRPr="00F20784" w14:paraId="440A5E52" w14:textId="77777777" w:rsidTr="000B319E">
        <w:tc>
          <w:tcPr>
            <w:tcW w:w="1413" w:type="dxa"/>
          </w:tcPr>
          <w:p w14:paraId="6398350E" w14:textId="77777777" w:rsidR="00892D6F" w:rsidRPr="00BA560E" w:rsidRDefault="00892D6F" w:rsidP="000B319E">
            <w:r w:rsidRPr="00BA560E">
              <w:t>TSBDMF</w:t>
            </w:r>
          </w:p>
        </w:tc>
        <w:tc>
          <w:tcPr>
            <w:tcW w:w="7603" w:type="dxa"/>
          </w:tcPr>
          <w:p w14:paraId="61383306" w14:textId="77777777" w:rsidR="00892D6F" w:rsidRPr="00F20784" w:rsidRDefault="00892D6F" w:rsidP="000B319E">
            <w:r w:rsidRPr="00BA560E">
              <w:t>Torres Strait Beche-de-mer Fishery</w:t>
            </w:r>
          </w:p>
        </w:tc>
      </w:tr>
      <w:tr w:rsidR="00892D6F" w:rsidRPr="00F20784" w14:paraId="125C3784" w14:textId="77777777" w:rsidTr="000B319E">
        <w:tc>
          <w:tcPr>
            <w:tcW w:w="1413" w:type="dxa"/>
          </w:tcPr>
          <w:p w14:paraId="37D0F08A" w14:textId="77777777" w:rsidR="00892D6F" w:rsidRPr="00F20784" w:rsidRDefault="00892D6F" w:rsidP="000B319E">
            <w:r w:rsidRPr="00F20784">
              <w:t>WTO</w:t>
            </w:r>
          </w:p>
        </w:tc>
        <w:tc>
          <w:tcPr>
            <w:tcW w:w="7603" w:type="dxa"/>
          </w:tcPr>
          <w:p w14:paraId="65A8A8AF" w14:textId="77777777" w:rsidR="00892D6F" w:rsidRPr="00F20784" w:rsidRDefault="00892D6F" w:rsidP="000B319E">
            <w:r w:rsidRPr="00F20784">
              <w:t>Wildlife Trade Operation</w:t>
            </w:r>
          </w:p>
        </w:tc>
      </w:tr>
    </w:tbl>
    <w:p w14:paraId="1DC41801" w14:textId="77777777" w:rsidR="00A943B2" w:rsidRDefault="00A943B2" w:rsidP="00F91888"/>
    <w:p w14:paraId="1DC41802" w14:textId="77777777" w:rsidR="00B34418" w:rsidRDefault="00B34418" w:rsidP="00F91888">
      <w:pPr>
        <w:sectPr w:rsidR="00B34418" w:rsidSect="008418D5">
          <w:headerReference w:type="even" r:id="rId18"/>
          <w:headerReference w:type="default" r:id="rId19"/>
          <w:footerReference w:type="even" r:id="rId20"/>
          <w:footerReference w:type="default" r:id="rId21"/>
          <w:headerReference w:type="first" r:id="rId22"/>
          <w:type w:val="oddPage"/>
          <w:pgSz w:w="11906" w:h="16838" w:code="9"/>
          <w:pgMar w:top="1134" w:right="1134" w:bottom="1134" w:left="1134" w:header="510" w:footer="624" w:gutter="0"/>
          <w:pgNumType w:fmt="lowerRoman" w:start="3"/>
          <w:cols w:space="284"/>
          <w:docGrid w:linePitch="360"/>
        </w:sectPr>
      </w:pPr>
    </w:p>
    <w:p w14:paraId="338187D0" w14:textId="77777777" w:rsidR="00DD488F" w:rsidRDefault="00DD488F" w:rsidP="00A60F4F">
      <w:pPr>
        <w:pStyle w:val="Heading1"/>
      </w:pPr>
      <w:bookmarkStart w:id="5" w:name="_Toc189044925"/>
      <w:r w:rsidRPr="00A60F4F">
        <w:lastRenderedPageBreak/>
        <w:t>Background</w:t>
      </w:r>
      <w:bookmarkEnd w:id="5"/>
    </w:p>
    <w:p w14:paraId="038E0A88" w14:textId="158558E3" w:rsidR="00CA1D49" w:rsidRDefault="00CA1D49" w:rsidP="00CA1D49">
      <w:bookmarkStart w:id="6" w:name="_Hlk139376102"/>
      <w:bookmarkStart w:id="7" w:name="_Hlk138103755"/>
      <w:bookmarkStart w:id="8" w:name="_Hlk136955142"/>
      <w:r>
        <w:t>Sea cucumbers have been harvested for centuries to supply the Chinese market</w:t>
      </w:r>
      <w:r w:rsidR="003044E2">
        <w:t xml:space="preserve"> </w:t>
      </w:r>
      <w:r w:rsidR="003044E2" w:rsidRPr="0058051F">
        <w:t>(Yang and Bai, 2015</w:t>
      </w:r>
      <w:r w:rsidR="003044E2">
        <w:t>)</w:t>
      </w:r>
      <w:r>
        <w:t xml:space="preserve">. After a virtual hiatus of over three decades following the second world war, </w:t>
      </w:r>
      <w:bookmarkEnd w:id="6"/>
      <w:r>
        <w:t>global sea cucumber fisheries rapidly re-emerged from about 1980 in response to increasing demand from a resurgent China (Anderson et al</w:t>
      </w:r>
      <w:r w:rsidR="00290642">
        <w:t>.</w:t>
      </w:r>
      <w:r>
        <w:t xml:space="preserve">, 2011; Eriksson et al., 2015; Fabinyi et al., 2017). This early expansion phase was often poorly regulated and many sea cucumber fisheries were overexploited (Purcell et al., 2013), especially in developing countries (Barclay et al., 2019) and for high value species (Purcell et al., 2014). </w:t>
      </w:r>
    </w:p>
    <w:bookmarkEnd w:id="7"/>
    <w:p w14:paraId="7F96B0CD" w14:textId="28012964" w:rsidR="00CA1D49" w:rsidRPr="00F10234" w:rsidRDefault="00CA1D49" w:rsidP="00CA1D49">
      <w:r>
        <w:t xml:space="preserve">High demand, rapid and largely unregulated expansion and easy access has resulted in 16 species being listed as globally threatened (Vulnerable or Endangered; IUCN, 2023), many of them being the larger, valuable and highly targeted species (Purcell et al., 2014), including </w:t>
      </w:r>
      <w:r w:rsidR="0022714C">
        <w:t xml:space="preserve">the </w:t>
      </w:r>
      <w:r w:rsidR="009D6AC5">
        <w:t>(</w:t>
      </w:r>
      <w:r w:rsidR="0022714C">
        <w:t>Pacific</w:t>
      </w:r>
      <w:r w:rsidR="009D6AC5">
        <w:t>)</w:t>
      </w:r>
      <w:r w:rsidR="0022714C">
        <w:t xml:space="preserve"> Black teatfish </w:t>
      </w:r>
      <w:r>
        <w:t>(</w:t>
      </w:r>
      <w:r w:rsidR="009D6AC5" w:rsidRPr="009D6AC5">
        <w:rPr>
          <w:i/>
          <w:iCs/>
        </w:rPr>
        <w:t>Holothuria whitmaei</w:t>
      </w:r>
      <w:r>
        <w:t>) which is listed by the IUCN as Endangered (Conand et al., 2013a)</w:t>
      </w:r>
      <w:r w:rsidR="009D6AC5">
        <w:t>; and White teatfish (</w:t>
      </w:r>
      <w:r w:rsidR="009D6AC5" w:rsidRPr="009D2668">
        <w:rPr>
          <w:i/>
          <w:iCs/>
        </w:rPr>
        <w:t>Holothuria fuscogilva</w:t>
      </w:r>
      <w:r w:rsidR="009D6AC5">
        <w:t>) which is listed as Vulnerable (Conand et al., 2013b)</w:t>
      </w:r>
      <w:r>
        <w:t xml:space="preserve">. Subsequently, </w:t>
      </w:r>
      <w:r w:rsidR="000E59B6" w:rsidRPr="000E59B6">
        <w:t xml:space="preserve">three species belonging to the subgenus </w:t>
      </w:r>
      <w:r w:rsidR="000E59B6" w:rsidRPr="00465FC5">
        <w:rPr>
          <w:i/>
          <w:iCs/>
        </w:rPr>
        <w:t>Holothuria (Microthele)</w:t>
      </w:r>
      <w:r w:rsidR="000E59B6" w:rsidRPr="000E59B6">
        <w:t xml:space="preserve">: </w:t>
      </w:r>
      <w:r w:rsidR="000E59B6">
        <w:t>White teatfish (</w:t>
      </w:r>
      <w:r w:rsidR="000E59B6" w:rsidRPr="00465FC5">
        <w:rPr>
          <w:i/>
          <w:iCs/>
        </w:rPr>
        <w:t>Holothuria (Microthele) fuscogilva</w:t>
      </w:r>
      <w:r w:rsidR="000E59B6">
        <w:t>)</w:t>
      </w:r>
      <w:r w:rsidR="000E59B6" w:rsidRPr="000E59B6">
        <w:t xml:space="preserve">, </w:t>
      </w:r>
      <w:r w:rsidR="000E59B6">
        <w:t>(Indian Ocean) Black teatfish (</w:t>
      </w:r>
      <w:r w:rsidR="000E59B6" w:rsidRPr="00465FC5">
        <w:rPr>
          <w:i/>
          <w:iCs/>
        </w:rPr>
        <w:t>Holothuria (Microthele) nobilis</w:t>
      </w:r>
      <w:r w:rsidR="000E59B6">
        <w:t xml:space="preserve">); </w:t>
      </w:r>
      <w:r w:rsidR="000E59B6" w:rsidRPr="000E59B6">
        <w:t xml:space="preserve">and </w:t>
      </w:r>
      <w:r w:rsidR="000E59B6">
        <w:t>(Pacific) Black teatfish (</w:t>
      </w:r>
      <w:r w:rsidR="000E59B6" w:rsidRPr="00465FC5">
        <w:rPr>
          <w:i/>
          <w:iCs/>
        </w:rPr>
        <w:t>Holothuria (Microthele) whitmaei</w:t>
      </w:r>
      <w:r w:rsidR="000E59B6">
        <w:t>)</w:t>
      </w:r>
      <w:r w:rsidR="000E59B6" w:rsidRPr="000E59B6">
        <w:t xml:space="preserve"> </w:t>
      </w:r>
      <w:r w:rsidRPr="00F10234">
        <w:t>were listed on Appendix II</w:t>
      </w:r>
      <w:r>
        <w:t xml:space="preserve"> of CITES </w:t>
      </w:r>
      <w:r w:rsidR="000E59B6">
        <w:t xml:space="preserve">in June </w:t>
      </w:r>
      <w:r w:rsidRPr="00F10234">
        <w:t>20</w:t>
      </w:r>
      <w:r w:rsidR="000E59B6">
        <w:t>19</w:t>
      </w:r>
      <w:r w:rsidR="003216DD">
        <w:t xml:space="preserve"> (CITES, 20</w:t>
      </w:r>
      <w:r w:rsidR="000E59B6">
        <w:t>19</w:t>
      </w:r>
      <w:r w:rsidR="003216DD">
        <w:t>)</w:t>
      </w:r>
      <w:r w:rsidRPr="00F10234">
        <w:t>.</w:t>
      </w:r>
    </w:p>
    <w:p w14:paraId="5309A5FA" w14:textId="5372877D" w:rsidR="00CA1D49" w:rsidRDefault="00CA1D49" w:rsidP="00CA1D49">
      <w:r>
        <w:t xml:space="preserve">With the listing of species in Appendix II of CITES, member countries, of which Australia is one, must carry out a non-detriment finding (NDF) for any listed species before </w:t>
      </w:r>
      <w:r w:rsidR="00B35C27">
        <w:t>it</w:t>
      </w:r>
      <w:r>
        <w:t xml:space="preserve"> can be exported. This is based on the principle that: “</w:t>
      </w:r>
      <w:r w:rsidRPr="002C0FE1">
        <w:t>An export permit shall only be granted when</w:t>
      </w:r>
      <w:r>
        <w:t xml:space="preserve">… </w:t>
      </w:r>
      <w:r w:rsidRPr="002E329A">
        <w:t>a Scientific Authority of the State of export has advised</w:t>
      </w:r>
      <w:r>
        <w:t xml:space="preserve"> </w:t>
      </w:r>
      <w:bookmarkStart w:id="9" w:name="_Hlk132635174"/>
      <w:r w:rsidRPr="002E329A">
        <w:rPr>
          <w:b/>
          <w:bCs/>
          <w:i/>
          <w:iCs/>
        </w:rPr>
        <w:t>that such export will not be detrimental to the survival of that species</w:t>
      </w:r>
      <w:bookmarkEnd w:id="9"/>
      <w:r>
        <w:rPr>
          <w:b/>
          <w:bCs/>
          <w:i/>
          <w:iCs/>
        </w:rPr>
        <w:t>”</w:t>
      </w:r>
      <w:r>
        <w:t xml:space="preserve"> (CITES, 1973: Article IV, paragraph 2a). Furthermore, the Scientific Authority must monitor and “limit” the export… “</w:t>
      </w:r>
      <w:r w:rsidRPr="002C0FE1">
        <w:rPr>
          <w:b/>
          <w:bCs/>
          <w:i/>
          <w:iCs/>
        </w:rPr>
        <w:t>in order to maintain that species throughout its range at a level consistent with its role in the ecosystems in which it occurs and well above the level at which that species might become eligible for inclusion in Appendix I</w:t>
      </w:r>
      <w:r>
        <w:t>”</w:t>
      </w:r>
      <w:r w:rsidRPr="00F75C6C">
        <w:t xml:space="preserve"> </w:t>
      </w:r>
      <w:r>
        <w:t>(CITES, 1973: Article IV, paragraph 3).</w:t>
      </w:r>
    </w:p>
    <w:p w14:paraId="69329B48" w14:textId="115D657F" w:rsidR="006957E2" w:rsidRDefault="006957E2" w:rsidP="006957E2">
      <w:r>
        <w:t>Australia has several sea cucumber fisheries in State and Commonwealth waters across northern Australia, including the Queensland Sea Cucumber Fishery (East Coast) (QSCF)</w:t>
      </w:r>
      <w:r w:rsidR="00EB0A5C">
        <w:t xml:space="preserve"> that includes the Great Barrier Reef (GBR) and some offshore reefs (Ashmore, Boot, Saumarez and Marion Reefs)</w:t>
      </w:r>
      <w:r>
        <w:t xml:space="preserve">. This fishery mirrors sea cucumber fisheries globally in that it is primarily focussed on exporting dried sea cucumber product (beche-de-mer) to meet demand from China. It is relatively small scale (though Australia’s largest sea cucumber fishery) and multispecies in nature. </w:t>
      </w:r>
    </w:p>
    <w:p w14:paraId="542EC081" w14:textId="4434E37C" w:rsidR="00167A7C" w:rsidRDefault="00CA1D49" w:rsidP="00556055">
      <w:r w:rsidRPr="00F10234">
        <w:t xml:space="preserve">This report </w:t>
      </w:r>
      <w:r>
        <w:t xml:space="preserve">sets out to provide information that may be suitable for addressing the information requirements of an NDF for </w:t>
      </w:r>
      <w:r w:rsidR="00465FC5">
        <w:t xml:space="preserve">Black teatfish and White teatfish </w:t>
      </w:r>
      <w:r>
        <w:t xml:space="preserve">in the </w:t>
      </w:r>
      <w:r w:rsidR="00F86E10">
        <w:t>QSCF.</w:t>
      </w:r>
      <w:r w:rsidR="003216DD">
        <w:t xml:space="preserve"> </w:t>
      </w:r>
      <w:r w:rsidR="00556055" w:rsidRPr="00EF6DAB">
        <w:t>Most of th</w:t>
      </w:r>
      <w:r w:rsidR="003216DD">
        <w:t>e</w:t>
      </w:r>
      <w:r w:rsidR="00556055" w:rsidRPr="00EF6DAB">
        <w:t xml:space="preserve"> information was sourced from published scientific papers and reports, </w:t>
      </w:r>
      <w:r w:rsidR="00EB0A5C">
        <w:t xml:space="preserve">from </w:t>
      </w:r>
      <w:r w:rsidR="00556055" w:rsidRPr="00EF6DAB">
        <w:t xml:space="preserve">fishery assessment and synthesis reports by the state and federal </w:t>
      </w:r>
      <w:r w:rsidR="004C3779">
        <w:t xml:space="preserve">fishery </w:t>
      </w:r>
      <w:r w:rsidR="00556055" w:rsidRPr="00EF6DAB">
        <w:t>management agencies</w:t>
      </w:r>
      <w:r w:rsidR="00EB0A5C">
        <w:t>, and from f</w:t>
      </w:r>
      <w:r w:rsidR="00556055" w:rsidRPr="00EF6DAB">
        <w:t xml:space="preserve">ishery commercial vessel logbook and buyer logbook data for the period 20/08/1995 to </w:t>
      </w:r>
      <w:r w:rsidR="00A43192">
        <w:t>6</w:t>
      </w:r>
      <w:r w:rsidR="00556055" w:rsidRPr="00EF6DAB">
        <w:t>/</w:t>
      </w:r>
      <w:r w:rsidR="00A43192">
        <w:t>12</w:t>
      </w:r>
      <w:r w:rsidR="00556055" w:rsidRPr="00EF6DAB">
        <w:t xml:space="preserve">/2023 supplied by </w:t>
      </w:r>
      <w:r w:rsidR="00167A7C" w:rsidRPr="00EF6DAB">
        <w:t xml:space="preserve">Queensland </w:t>
      </w:r>
      <w:r w:rsidR="006957E2">
        <w:t>Department of Agriculture and Fisheries (DAF)</w:t>
      </w:r>
      <w:r w:rsidR="00556055" w:rsidRPr="00EF6DAB">
        <w:t>.</w:t>
      </w:r>
      <w:r w:rsidR="00167A7C" w:rsidRPr="00EF6DAB">
        <w:t xml:space="preserve"> </w:t>
      </w:r>
      <w:r w:rsidR="001776E8">
        <w:t>Ashmore and Boot Reefs were not included in the QSCF area until 2019, but were fished under a Queensland Developmental licence (on a 3 year rotation) beginning in 2008-09 – the catches taken under the developmental licence were also supplied by DAF and are included in this analysis.</w:t>
      </w:r>
      <w:r w:rsidR="00EB0A5C">
        <w:t xml:space="preserve"> F</w:t>
      </w:r>
      <w:r w:rsidR="00EF6DAB" w:rsidRPr="00EF6DAB">
        <w:t xml:space="preserve">or </w:t>
      </w:r>
      <w:r w:rsidR="00EB0A5C">
        <w:t xml:space="preserve">a more detailed description </w:t>
      </w:r>
      <w:r w:rsidR="00EF6DAB" w:rsidRPr="00EF6DAB">
        <w:t>of vessel logbook and buyer returns data, see Appendix D.</w:t>
      </w:r>
    </w:p>
    <w:p w14:paraId="3A8DFB16" w14:textId="77777777" w:rsidR="00892D6F" w:rsidRDefault="00892D6F" w:rsidP="00A60F4F">
      <w:pPr>
        <w:pStyle w:val="Heading2"/>
      </w:pPr>
      <w:bookmarkStart w:id="10" w:name="_Toc138269039"/>
      <w:bookmarkStart w:id="11" w:name="_Toc139374120"/>
      <w:bookmarkStart w:id="12" w:name="_Toc189044926"/>
      <w:bookmarkEnd w:id="8"/>
      <w:r>
        <w:t xml:space="preserve">The </w:t>
      </w:r>
      <w:r w:rsidRPr="00A60F4F">
        <w:t>fishery</w:t>
      </w:r>
      <w:bookmarkEnd w:id="10"/>
      <w:bookmarkEnd w:id="11"/>
      <w:bookmarkEnd w:id="12"/>
    </w:p>
    <w:p w14:paraId="04D072CA" w14:textId="41EB7FA9" w:rsidR="00CA1D49" w:rsidRDefault="00CA1D49" w:rsidP="00CA1D49">
      <w:r>
        <w:t xml:space="preserve">Sea cucumbers have been fished </w:t>
      </w:r>
      <w:r w:rsidR="005C0C4E">
        <w:t xml:space="preserve">on the Queensland east coast </w:t>
      </w:r>
      <w:r>
        <w:t>since</w:t>
      </w:r>
      <w:r w:rsidR="005C0C4E">
        <w:t xml:space="preserve"> the </w:t>
      </w:r>
      <w:r w:rsidR="00233772">
        <w:t>early</w:t>
      </w:r>
      <w:r w:rsidR="005C0C4E">
        <w:t xml:space="preserve"> </w:t>
      </w:r>
      <w:r>
        <w:t>18</w:t>
      </w:r>
      <w:r w:rsidR="005C0C4E">
        <w:t>00</w:t>
      </w:r>
      <w:r w:rsidR="00635036">
        <w:t>’</w:t>
      </w:r>
      <w:r w:rsidR="005C0C4E">
        <w:t>s</w:t>
      </w:r>
      <w:r>
        <w:t xml:space="preserve"> when the first Sydney-based beche-de-mer fish</w:t>
      </w:r>
      <w:r w:rsidR="005C0C4E">
        <w:t>ers</w:t>
      </w:r>
      <w:r>
        <w:t xml:space="preserve"> </w:t>
      </w:r>
      <w:r w:rsidR="005C0C4E">
        <w:t>began catching and processing sea cucumbers on mostly island</w:t>
      </w:r>
      <w:r w:rsidR="003771C6">
        <w:t>-</w:t>
      </w:r>
      <w:r w:rsidR="005C0C4E">
        <w:t>based processing stations, and exporting the product to Indonesian ports (</w:t>
      </w:r>
      <w:r w:rsidR="00233772">
        <w:t>Ganter, 199</w:t>
      </w:r>
      <w:r w:rsidR="005543C0">
        <w:t>4</w:t>
      </w:r>
      <w:r w:rsidR="00233772">
        <w:t>; Sumner, 1981</w:t>
      </w:r>
      <w:r w:rsidR="005C0C4E">
        <w:t>)</w:t>
      </w:r>
      <w:r>
        <w:t xml:space="preserve">. This early phase of the fishery lasted until about </w:t>
      </w:r>
      <w:r w:rsidR="00233772">
        <w:t xml:space="preserve">1850 (Mullins, 1992). </w:t>
      </w:r>
      <w:bookmarkStart w:id="13" w:name="_Hlk145397444"/>
      <w:r w:rsidR="007458F8">
        <w:t xml:space="preserve">The fishery </w:t>
      </w:r>
      <w:r w:rsidR="003216DD">
        <w:t xml:space="preserve">became active again </w:t>
      </w:r>
      <w:r w:rsidR="007458F8">
        <w:t xml:space="preserve">in the early 1860s, including an expansion </w:t>
      </w:r>
      <w:r w:rsidR="00EB0A5C">
        <w:t>in</w:t>
      </w:r>
      <w:r w:rsidR="007458F8">
        <w:t>to Torres Strait,</w:t>
      </w:r>
      <w:r w:rsidR="00EB0A5C">
        <w:t xml:space="preserve"> </w:t>
      </w:r>
      <w:r w:rsidR="007458F8">
        <w:t>as part of a broader western Pacific maritime trade, exporting products directly to China and nearby ports (Mullins, 1992; 1995</w:t>
      </w:r>
      <w:r w:rsidR="006957E2">
        <w:t>;</w:t>
      </w:r>
      <w:r w:rsidR="007458F8">
        <w:t xml:space="preserve"> Ganter, 199</w:t>
      </w:r>
      <w:r w:rsidR="009807F8">
        <w:t>4</w:t>
      </w:r>
      <w:r w:rsidR="007458F8">
        <w:t xml:space="preserve">), with this phase of the fishery lasting up until about </w:t>
      </w:r>
      <w:r>
        <w:t>the second world war (</w:t>
      </w:r>
      <w:r w:rsidRPr="00042E91">
        <w:t>Uthi</w:t>
      </w:r>
      <w:r>
        <w:t>c</w:t>
      </w:r>
      <w:r w:rsidRPr="00042E91">
        <w:t>ke</w:t>
      </w:r>
      <w:r>
        <w:t>,</w:t>
      </w:r>
      <w:r w:rsidRPr="00042E91">
        <w:t xml:space="preserve"> 2004)</w:t>
      </w:r>
      <w:r w:rsidR="00EB0A5C">
        <w:t>.</w:t>
      </w:r>
      <w:bookmarkEnd w:id="13"/>
    </w:p>
    <w:p w14:paraId="58CD8023" w14:textId="58B00105" w:rsidR="00087651" w:rsidRDefault="005C0C4E" w:rsidP="00DD488F">
      <w:r>
        <w:lastRenderedPageBreak/>
        <w:t xml:space="preserve">The (modern) </w:t>
      </w:r>
      <w:r w:rsidR="001B2AFA">
        <w:t>QSCF</w:t>
      </w:r>
      <w:r w:rsidR="00F86E10">
        <w:t xml:space="preserve"> began</w:t>
      </w:r>
      <w:r w:rsidR="001B2AFA">
        <w:t xml:space="preserve"> in the </w:t>
      </w:r>
      <w:r w:rsidR="008778E6">
        <w:t>mid-</w:t>
      </w:r>
      <w:r w:rsidR="00A170F2">
        <w:t>1980s and</w:t>
      </w:r>
      <w:r w:rsidR="007458F8">
        <w:t xml:space="preserve"> </w:t>
      </w:r>
      <w:r w:rsidR="007458F8" w:rsidRPr="001B2AFA">
        <w:t>operates in</w:t>
      </w:r>
      <w:r w:rsidR="007458F8">
        <w:t xml:space="preserve"> </w:t>
      </w:r>
      <w:r w:rsidR="00F86E10">
        <w:t xml:space="preserve">a </w:t>
      </w:r>
      <w:r w:rsidR="00130E8C">
        <w:t>5</w:t>
      </w:r>
      <w:r w:rsidR="00CB2A97">
        <w:t>46</w:t>
      </w:r>
      <w:r w:rsidR="00130E8C">
        <w:t>,000 km</w:t>
      </w:r>
      <w:r w:rsidR="00130E8C" w:rsidRPr="006748FF">
        <w:rPr>
          <w:vertAlign w:val="superscript"/>
        </w:rPr>
        <w:t>2</w:t>
      </w:r>
      <w:r w:rsidR="00130E8C">
        <w:t xml:space="preserve"> area </w:t>
      </w:r>
      <w:r w:rsidR="00D57845">
        <w:t>of</w:t>
      </w:r>
      <w:r w:rsidR="00D57845" w:rsidRPr="00D57845">
        <w:t xml:space="preserve"> Queensland and Commonwealth waters</w:t>
      </w:r>
      <w:r w:rsidR="00D57845">
        <w:t xml:space="preserve"> </w:t>
      </w:r>
      <w:r w:rsidR="003216DD">
        <w:t xml:space="preserve">adjacent to the Queensland east coast </w:t>
      </w:r>
      <w:r w:rsidR="001B2AFA" w:rsidRPr="001B2AFA">
        <w:t>from Cape York to Tin Can Bay</w:t>
      </w:r>
      <w:r w:rsidR="00CB2A97">
        <w:rPr>
          <w:noProof/>
        </w:rPr>
        <w:t xml:space="preserve"> </w:t>
      </w:r>
      <w:r w:rsidR="00D57845">
        <w:rPr>
          <w:noProof/>
        </w:rPr>
        <w:t xml:space="preserve">which </w:t>
      </w:r>
      <w:r w:rsidR="00CB2A97">
        <w:rPr>
          <w:noProof/>
        </w:rPr>
        <w:t>includ</w:t>
      </w:r>
      <w:r w:rsidR="00D57845">
        <w:rPr>
          <w:noProof/>
        </w:rPr>
        <w:t xml:space="preserve">es most of </w:t>
      </w:r>
      <w:r w:rsidR="00CB2A97">
        <w:rPr>
          <w:noProof/>
        </w:rPr>
        <w:t>the GBR</w:t>
      </w:r>
      <w:r w:rsidR="00D57845">
        <w:rPr>
          <w:noProof/>
        </w:rPr>
        <w:t>,</w:t>
      </w:r>
      <w:r w:rsidR="00CB2A97">
        <w:rPr>
          <w:noProof/>
        </w:rPr>
        <w:t xml:space="preserve"> and </w:t>
      </w:r>
      <w:r w:rsidR="00D57845">
        <w:rPr>
          <w:noProof/>
        </w:rPr>
        <w:t xml:space="preserve">the </w:t>
      </w:r>
      <w:r w:rsidR="00CB2A97">
        <w:rPr>
          <w:noProof/>
        </w:rPr>
        <w:t xml:space="preserve">Coral Sea reefs of </w:t>
      </w:r>
      <w:r w:rsidR="00CB2A97">
        <w:t>Ashmore, Boot, Marion and Saumarez Reefs</w:t>
      </w:r>
      <w:r w:rsidR="00D57845">
        <w:t xml:space="preserve"> (</w:t>
      </w:r>
      <w:fldSimple w:instr=" REF _Ref140208953 ">
        <w:r w:rsidR="004263D8">
          <w:t xml:space="preserve">Figure </w:t>
        </w:r>
        <w:r w:rsidR="004263D8">
          <w:rPr>
            <w:noProof/>
          </w:rPr>
          <w:t>1</w:t>
        </w:r>
      </w:fldSimple>
      <w:r w:rsidR="00D57845">
        <w:rPr>
          <w:noProof/>
        </w:rPr>
        <w:t>)</w:t>
      </w:r>
      <w:r w:rsidR="00573E6D">
        <w:rPr>
          <w:noProof/>
        </w:rPr>
        <w:t xml:space="preserve">. </w:t>
      </w:r>
      <w:r w:rsidR="00CA1D49" w:rsidRPr="005852CF">
        <w:t xml:space="preserve">The </w:t>
      </w:r>
      <w:r w:rsidR="00AD41FE">
        <w:t xml:space="preserve">Torres Strait Beche-de-mer Fishery (TSBDMF) </w:t>
      </w:r>
      <w:r w:rsidR="00CA1D49">
        <w:t xml:space="preserve">is adjacent to its </w:t>
      </w:r>
      <w:r w:rsidR="00AD41FE">
        <w:t xml:space="preserve">northern </w:t>
      </w:r>
      <w:r w:rsidR="00CA1D49">
        <w:t xml:space="preserve">border, and the Coral Sea </w:t>
      </w:r>
      <w:r w:rsidR="003216DD">
        <w:t>F</w:t>
      </w:r>
      <w:r w:rsidR="00CA1D49">
        <w:t xml:space="preserve">ishery (CSF) </w:t>
      </w:r>
      <w:r w:rsidR="00CA1D49" w:rsidRPr="005852CF">
        <w:t xml:space="preserve">is </w:t>
      </w:r>
      <w:r w:rsidR="00AD41FE">
        <w:t xml:space="preserve">adjacent </w:t>
      </w:r>
      <w:r w:rsidR="00CA1D49" w:rsidRPr="005852CF">
        <w:t xml:space="preserve">to </w:t>
      </w:r>
      <w:r w:rsidR="00AD41FE">
        <w:t xml:space="preserve">its </w:t>
      </w:r>
      <w:r w:rsidR="00CA1D49">
        <w:t xml:space="preserve">east </w:t>
      </w:r>
      <w:r w:rsidR="00AD41FE">
        <w:t>border</w:t>
      </w:r>
      <w:r w:rsidR="00CA1D49">
        <w:t xml:space="preserve"> (</w:t>
      </w:r>
      <w:fldSimple w:instr=" REF _Ref137037686 ">
        <w:r w:rsidR="004263D8">
          <w:t xml:space="preserve">Figure </w:t>
        </w:r>
        <w:r w:rsidR="004263D8">
          <w:rPr>
            <w:noProof/>
          </w:rPr>
          <w:t>2</w:t>
        </w:r>
      </w:fldSimple>
      <w:r w:rsidR="00CA1D49">
        <w:t>)</w:t>
      </w:r>
      <w:r w:rsidR="00CA1D49" w:rsidRPr="005852CF">
        <w:t>.</w:t>
      </w:r>
    </w:p>
    <w:p w14:paraId="40AA017B" w14:textId="55874A19" w:rsidR="006272AB" w:rsidRDefault="00CA1D49" w:rsidP="006957E2">
      <w:r>
        <w:t xml:space="preserve">The </w:t>
      </w:r>
      <w:r w:rsidR="006272AB">
        <w:t>fishery is ma</w:t>
      </w:r>
      <w:r>
        <w:t>nage</w:t>
      </w:r>
      <w:r w:rsidR="006272AB">
        <w:t>d by the Queensland Government</w:t>
      </w:r>
      <w:r w:rsidR="006957E2">
        <w:t xml:space="preserve">, through Fisheries Queensland which sits within </w:t>
      </w:r>
      <w:r w:rsidR="008778E6">
        <w:t xml:space="preserve">the </w:t>
      </w:r>
      <w:r w:rsidR="008778E6" w:rsidRPr="008778E6">
        <w:t>Department of Agriculture and Fisheries</w:t>
      </w:r>
      <w:r w:rsidR="008778E6">
        <w:t xml:space="preserve"> (</w:t>
      </w:r>
      <w:r w:rsidR="006957E2">
        <w:t>DAF</w:t>
      </w:r>
      <w:r w:rsidR="008778E6">
        <w:t>)</w:t>
      </w:r>
      <w:r w:rsidR="006957E2">
        <w:t xml:space="preserve">. </w:t>
      </w:r>
      <w:r w:rsidR="006272AB">
        <w:t xml:space="preserve">It is a relatively small State fishery with a limited participation base </w:t>
      </w:r>
      <w:r w:rsidR="003216DD">
        <w:t>–</w:t>
      </w:r>
      <w:r w:rsidR="006272AB">
        <w:t xml:space="preserve"> </w:t>
      </w:r>
      <w:r w:rsidR="003216DD">
        <w:t xml:space="preserve">with </w:t>
      </w:r>
      <w:r w:rsidR="006272AB">
        <w:t xml:space="preserve">18 transferable licences </w:t>
      </w:r>
      <w:r w:rsidR="00D57845">
        <w:t xml:space="preserve">currently </w:t>
      </w:r>
      <w:r w:rsidR="006272AB">
        <w:t>owned by only two operators.</w:t>
      </w:r>
      <w:r w:rsidR="006272AB" w:rsidRPr="006272AB">
        <w:t xml:space="preserve"> </w:t>
      </w:r>
      <w:r w:rsidR="006272AB" w:rsidRPr="001B2AFA">
        <w:t>The commercial QSCF ha</w:t>
      </w:r>
      <w:r w:rsidR="00426131">
        <w:t>d</w:t>
      </w:r>
      <w:r w:rsidR="006272AB" w:rsidRPr="001B2AFA">
        <w:t xml:space="preserve"> an estimated Gross Value of Production of $4</w:t>
      </w:r>
      <w:r w:rsidR="006272AB">
        <w:t>.7M</w:t>
      </w:r>
      <w:r w:rsidR="006272AB" w:rsidRPr="001B2AFA">
        <w:t xml:space="preserve"> in 2009</w:t>
      </w:r>
      <w:r w:rsidR="006272AB">
        <w:t xml:space="preserve"> (DAF, 2021</w:t>
      </w:r>
      <w:r w:rsidR="00B137C8">
        <w:t>a</w:t>
      </w:r>
      <w:r w:rsidR="006272AB">
        <w:t>)</w:t>
      </w:r>
      <w:r w:rsidR="006272AB" w:rsidRPr="001B2AFA">
        <w:t>.</w:t>
      </w:r>
    </w:p>
    <w:p w14:paraId="2D3B2920" w14:textId="2CFE08B9" w:rsidR="00130E8C" w:rsidRDefault="004B6CCE" w:rsidP="00DD488F">
      <w:r>
        <w:rPr>
          <w:noProof/>
        </w:rPr>
        <w:drawing>
          <wp:inline distT="0" distB="0" distL="0" distR="0" wp14:anchorId="1C293D5A" wp14:editId="2993AA98">
            <wp:extent cx="5472000" cy="6323928"/>
            <wp:effectExtent l="0" t="0" r="0" b="1270"/>
            <wp:docPr id="88364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41270" name="Picture 883641270"/>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472000" cy="6323928"/>
                    </a:xfrm>
                    <a:prstGeom prst="rect">
                      <a:avLst/>
                    </a:prstGeom>
                    <a:ln>
                      <a:noFill/>
                    </a:ln>
                    <a:extLst>
                      <a:ext uri="{53640926-AAD7-44D8-BBD7-CCE9431645EC}">
                        <a14:shadowObscured xmlns:a14="http://schemas.microsoft.com/office/drawing/2010/main"/>
                      </a:ext>
                    </a:extLst>
                  </pic:spPr>
                </pic:pic>
              </a:graphicData>
            </a:graphic>
          </wp:inline>
        </w:drawing>
      </w:r>
    </w:p>
    <w:p w14:paraId="12A44AB1" w14:textId="7052A2E7" w:rsidR="00130E8C" w:rsidRDefault="00AD41FE" w:rsidP="0096672D">
      <w:pPr>
        <w:pStyle w:val="Caption"/>
      </w:pPr>
      <w:bookmarkStart w:id="14" w:name="_Ref140208953"/>
      <w:bookmarkStart w:id="15" w:name="_Toc189044958"/>
      <w:r>
        <w:t xml:space="preserve">Figure </w:t>
      </w:r>
      <w:fldSimple w:instr=" SEQ Figure \* ARABIC ">
        <w:r w:rsidR="004263D8">
          <w:rPr>
            <w:noProof/>
          </w:rPr>
          <w:t>1</w:t>
        </w:r>
      </w:fldSimple>
      <w:bookmarkEnd w:id="14"/>
      <w:r>
        <w:t>.</w:t>
      </w:r>
      <w:r w:rsidRPr="00AD41FE">
        <w:t xml:space="preserve"> Map </w:t>
      </w:r>
      <w:r w:rsidR="006957E2">
        <w:t xml:space="preserve">showing the boundary </w:t>
      </w:r>
      <w:r w:rsidRPr="00AD41FE">
        <w:t>of the Queensland Sea Cucumber Fishery</w:t>
      </w:r>
      <w:r w:rsidR="006957E2">
        <w:t xml:space="preserve"> (East Coast)</w:t>
      </w:r>
      <w:r w:rsidRPr="00AD41FE">
        <w:t xml:space="preserve"> (</w:t>
      </w:r>
      <w:r>
        <w:t>QSCF</w:t>
      </w:r>
      <w:r w:rsidRPr="00AD41FE">
        <w:t>)</w:t>
      </w:r>
      <w:r w:rsidR="0088638D">
        <w:t xml:space="preserve"> and reef features.</w:t>
      </w:r>
      <w:bookmarkEnd w:id="15"/>
      <w:r w:rsidRPr="00AD41FE">
        <w:t xml:space="preserve"> </w:t>
      </w:r>
    </w:p>
    <w:p w14:paraId="708B9B6D" w14:textId="77777777" w:rsidR="00130E8C" w:rsidRDefault="00130E8C" w:rsidP="00DD488F"/>
    <w:p w14:paraId="378B1FAD" w14:textId="26DB844E" w:rsidR="00892D6F" w:rsidRDefault="00871BF9" w:rsidP="00892D6F">
      <w:r>
        <w:rPr>
          <w:noProof/>
        </w:rPr>
        <w:lastRenderedPageBreak/>
        <w:drawing>
          <wp:inline distT="0" distB="0" distL="0" distR="0" wp14:anchorId="7A645ED5" wp14:editId="40D71234">
            <wp:extent cx="5400000" cy="4820978"/>
            <wp:effectExtent l="0" t="0" r="0" b="0"/>
            <wp:docPr id="2129205693" name="Picture 2"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05693" name="Picture 2" descr="A map of the north and south america&#10;&#10;Description automatically generated"/>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400000" cy="4820978"/>
                    </a:xfrm>
                    <a:prstGeom prst="rect">
                      <a:avLst/>
                    </a:prstGeom>
                    <a:ln>
                      <a:noFill/>
                    </a:ln>
                    <a:extLst>
                      <a:ext uri="{53640926-AAD7-44D8-BBD7-CCE9431645EC}">
                        <a14:shadowObscured xmlns:a14="http://schemas.microsoft.com/office/drawing/2010/main"/>
                      </a:ext>
                    </a:extLst>
                  </pic:spPr>
                </pic:pic>
              </a:graphicData>
            </a:graphic>
          </wp:inline>
        </w:drawing>
      </w:r>
    </w:p>
    <w:p w14:paraId="6F4B0304" w14:textId="7898EB05" w:rsidR="00892D6F" w:rsidRDefault="00892D6F" w:rsidP="0096672D">
      <w:pPr>
        <w:pStyle w:val="Caption"/>
      </w:pPr>
      <w:bookmarkStart w:id="16" w:name="_Ref137037686"/>
      <w:bookmarkStart w:id="17" w:name="_Toc138269066"/>
      <w:bookmarkStart w:id="18" w:name="_Toc139374145"/>
      <w:bookmarkStart w:id="19" w:name="_Toc189044959"/>
      <w:r>
        <w:t xml:space="preserve">Figure </w:t>
      </w:r>
      <w:fldSimple w:instr=" SEQ Figure \* ARABIC ">
        <w:r w:rsidR="004263D8">
          <w:rPr>
            <w:noProof/>
          </w:rPr>
          <w:t>2</w:t>
        </w:r>
      </w:fldSimple>
      <w:bookmarkEnd w:id="16"/>
      <w:r>
        <w:t xml:space="preserve">. </w:t>
      </w:r>
      <w:r w:rsidR="006957E2">
        <w:t>Map showing the boundaries of t</w:t>
      </w:r>
      <w:r>
        <w:t xml:space="preserve">he three sea cucumber fisheries in </w:t>
      </w:r>
      <w:r w:rsidR="006957E2">
        <w:t>north-east</w:t>
      </w:r>
      <w:r>
        <w:t xml:space="preserve"> Australia.</w:t>
      </w:r>
      <w:bookmarkEnd w:id="17"/>
      <w:bookmarkEnd w:id="18"/>
      <w:bookmarkEnd w:id="19"/>
    </w:p>
    <w:p w14:paraId="759FDAEA" w14:textId="77777777" w:rsidR="00E64866" w:rsidRDefault="00E64866" w:rsidP="003817D1"/>
    <w:p w14:paraId="105EC6C3" w14:textId="4019C003" w:rsidR="00176393" w:rsidRDefault="003817D1" w:rsidP="003817D1">
      <w:bookmarkStart w:id="20" w:name="_Hlk145401372"/>
      <w:r>
        <w:t xml:space="preserve">Currently, the fishery is fished by </w:t>
      </w:r>
      <w:r w:rsidR="003216DD">
        <w:t xml:space="preserve">a limited number of </w:t>
      </w:r>
      <w:r>
        <w:t>motherships</w:t>
      </w:r>
      <w:r w:rsidR="0093272C">
        <w:t xml:space="preserve"> (up to 4 typically)</w:t>
      </w:r>
      <w:r>
        <w:t xml:space="preserve">, </w:t>
      </w:r>
      <w:r w:rsidR="00C935B7">
        <w:t>with up to 4 (but usually 2</w:t>
      </w:r>
      <w:r w:rsidR="0093272C">
        <w:t xml:space="preserve"> or 3</w:t>
      </w:r>
      <w:r w:rsidR="00C935B7">
        <w:t xml:space="preserve">) tender </w:t>
      </w:r>
      <w:r w:rsidR="003216DD">
        <w:t>vessels</w:t>
      </w:r>
      <w:r>
        <w:t xml:space="preserve"> </w:t>
      </w:r>
      <w:r w:rsidR="003216DD">
        <w:t xml:space="preserve">carrying </w:t>
      </w:r>
      <w:r w:rsidR="00C935B7">
        <w:t xml:space="preserve">up to 6 (usually </w:t>
      </w:r>
      <w:r>
        <w:t>2-4</w:t>
      </w:r>
      <w:r w:rsidR="00C935B7">
        <w:t>)</w:t>
      </w:r>
      <w:r>
        <w:t xml:space="preserve"> divers</w:t>
      </w:r>
      <w:r w:rsidR="0093272C">
        <w:t xml:space="preserve"> (only 4 of which can be in the water at one time)</w:t>
      </w:r>
      <w:r>
        <w:t xml:space="preserve">, either free diving or using surface supply hookah equipment, on trips that </w:t>
      </w:r>
      <w:r w:rsidR="00E70B13">
        <w:t xml:space="preserve">usually </w:t>
      </w:r>
      <w:r>
        <w:t xml:space="preserve">last between </w:t>
      </w:r>
      <w:r w:rsidR="00E70B13">
        <w:t>10</w:t>
      </w:r>
      <w:r>
        <w:t xml:space="preserve"> and </w:t>
      </w:r>
      <w:r w:rsidR="00E70B13">
        <w:t>20</w:t>
      </w:r>
      <w:r>
        <w:t xml:space="preserve"> days</w:t>
      </w:r>
      <w:r w:rsidR="006957E2">
        <w:t xml:space="preserve"> (</w:t>
      </w:r>
      <w:r w:rsidR="008356C7">
        <w:t>Breen, 2001; DAF, 2021</w:t>
      </w:r>
      <w:r w:rsidR="009807F8">
        <w:t>a</w:t>
      </w:r>
      <w:r w:rsidR="008356C7">
        <w:t xml:space="preserve">; </w:t>
      </w:r>
      <w:r w:rsidR="00D57845">
        <w:t>v</w:t>
      </w:r>
      <w:r w:rsidR="008356C7">
        <w:t xml:space="preserve">essel </w:t>
      </w:r>
      <w:r w:rsidR="00D57845">
        <w:t>l</w:t>
      </w:r>
      <w:r w:rsidR="008356C7">
        <w:t>ogbook data)</w:t>
      </w:r>
      <w:r>
        <w:t>. Sea cucumbers are usually partially processed on board the motherships by salting or partial boiling and freezing. Product is landed and transhipped to mainland processing facilities, where they are processed into various products p</w:t>
      </w:r>
      <w:r w:rsidRPr="009F6EDA">
        <w:t xml:space="preserve">redominantly </w:t>
      </w:r>
      <w:r w:rsidR="00274EA8">
        <w:t xml:space="preserve">for </w:t>
      </w:r>
      <w:r w:rsidRPr="009F6EDA">
        <w:t>export to Asian market</w:t>
      </w:r>
      <w:r>
        <w:t>s,</w:t>
      </w:r>
      <w:r w:rsidRPr="009F6EDA">
        <w:t xml:space="preserve"> with minimal supply to the domestic market </w:t>
      </w:r>
      <w:r>
        <w:t>(</w:t>
      </w:r>
      <w:r w:rsidR="006905CC">
        <w:t>DAF, 2021</w:t>
      </w:r>
      <w:r w:rsidR="006A3EF9">
        <w:t>a</w:t>
      </w:r>
      <w:r>
        <w:t>).</w:t>
      </w:r>
      <w:r w:rsidR="00176393" w:rsidRPr="00176393">
        <w:t xml:space="preserve"> </w:t>
      </w:r>
    </w:p>
    <w:bookmarkEnd w:id="20"/>
    <w:p w14:paraId="15F37B3D" w14:textId="3D92780D" w:rsidR="00C65F68" w:rsidRPr="009B23F7" w:rsidRDefault="00176393" w:rsidP="003817D1">
      <w:r>
        <w:t>During a single day, fishing operations will catch between 1 and 12 species, however about half the time a fishing operation will only catch a single species during that day (</w:t>
      </w:r>
      <w:r w:rsidR="006905CC">
        <w:t xml:space="preserve">primarily </w:t>
      </w:r>
      <w:r>
        <w:t xml:space="preserve">when fishing </w:t>
      </w:r>
      <w:r w:rsidR="00274EA8">
        <w:t xml:space="preserve">for </w:t>
      </w:r>
      <w:r>
        <w:t xml:space="preserve">Burrowing </w:t>
      </w:r>
      <w:r w:rsidRPr="009B23F7">
        <w:t>blackfish) (</w:t>
      </w:r>
      <w:r w:rsidR="001F158C" w:rsidRPr="009B23F7">
        <w:fldChar w:fldCharType="begin"/>
      </w:r>
      <w:r w:rsidR="001F158C" w:rsidRPr="009B23F7">
        <w:instrText xml:space="preserve"> REF _Ref142580134 </w:instrText>
      </w:r>
      <w:r w:rsidR="009B23F7">
        <w:instrText xml:space="preserve"> \* MERGEFORMAT </w:instrText>
      </w:r>
      <w:r w:rsidR="001F158C" w:rsidRPr="009B23F7">
        <w:fldChar w:fldCharType="separate"/>
      </w:r>
      <w:r w:rsidR="004263D8">
        <w:t xml:space="preserve">Figure </w:t>
      </w:r>
      <w:r w:rsidR="004263D8">
        <w:rPr>
          <w:noProof/>
        </w:rPr>
        <w:t>3</w:t>
      </w:r>
      <w:r w:rsidR="001F158C" w:rsidRPr="009B23F7">
        <w:rPr>
          <w:noProof/>
        </w:rPr>
        <w:fldChar w:fldCharType="end"/>
      </w:r>
      <w:r w:rsidRPr="009B23F7">
        <w:t xml:space="preserve">). </w:t>
      </w:r>
    </w:p>
    <w:p w14:paraId="71EB4544" w14:textId="5437B2DA" w:rsidR="009B23F7" w:rsidRPr="009B23F7" w:rsidRDefault="006A3EF9" w:rsidP="003817D1">
      <w:r w:rsidRPr="009B23F7">
        <w:t>D</w:t>
      </w:r>
      <w:r w:rsidR="00176393" w:rsidRPr="009B23F7">
        <w:t xml:space="preserve">uring fishing operations where </w:t>
      </w:r>
      <w:r w:rsidR="00FB1757" w:rsidRPr="009B23F7">
        <w:t>Black teatfish</w:t>
      </w:r>
      <w:r w:rsidR="00176393" w:rsidRPr="009B23F7">
        <w:t xml:space="preserve"> was one of the species caught, </w:t>
      </w:r>
      <w:r w:rsidR="009B23F7" w:rsidRPr="009B23F7">
        <w:t>it</w:t>
      </w:r>
      <w:r w:rsidR="00176393" w:rsidRPr="009B23F7">
        <w:t xml:space="preserve"> was </w:t>
      </w:r>
      <w:r w:rsidR="009B23F7" w:rsidRPr="009B23F7">
        <w:t>often</w:t>
      </w:r>
      <w:r w:rsidR="008523A6">
        <w:t xml:space="preserve"> (41% of the time)</w:t>
      </w:r>
      <w:r w:rsidR="009B23F7" w:rsidRPr="009B23F7">
        <w:t xml:space="preserve"> </w:t>
      </w:r>
      <w:r w:rsidR="00176393" w:rsidRPr="009B23F7">
        <w:t>the only species in the catch</w:t>
      </w:r>
      <w:r w:rsidR="009B23F7" w:rsidRPr="009B23F7">
        <w:t xml:space="preserve"> (</w:t>
      </w:r>
      <w:fldSimple w:instr=" REF _Ref142580230  \* MERGEFORMAT ">
        <w:r w:rsidR="004263D8">
          <w:t xml:space="preserve">Figure </w:t>
        </w:r>
        <w:r w:rsidR="004263D8">
          <w:rPr>
            <w:noProof/>
          </w:rPr>
          <w:t>4</w:t>
        </w:r>
      </w:fldSimple>
      <w:r w:rsidR="009B23F7" w:rsidRPr="009B23F7">
        <w:t>)</w:t>
      </w:r>
      <w:r w:rsidR="00176393" w:rsidRPr="009B23F7">
        <w:t xml:space="preserve"> – </w:t>
      </w:r>
      <w:r w:rsidR="009B23F7" w:rsidRPr="009B23F7">
        <w:t>this is especially so during the early phase of the modern fishery (before the year 2000)</w:t>
      </w:r>
      <w:r w:rsidR="00176393" w:rsidRPr="009B23F7">
        <w:t xml:space="preserve">. </w:t>
      </w:r>
      <w:r w:rsidR="00E64866" w:rsidRPr="009B23F7">
        <w:t xml:space="preserve">This reflects </w:t>
      </w:r>
      <w:r w:rsidR="009B23F7" w:rsidRPr="009B23F7">
        <w:t xml:space="preserve">the highly targeted status of Black teatfish in the early fishery </w:t>
      </w:r>
      <w:r w:rsidRPr="009B23F7">
        <w:t>(DAF, 2021a</w:t>
      </w:r>
      <w:r w:rsidR="00E64866" w:rsidRPr="009B23F7">
        <w:t>;</w:t>
      </w:r>
      <w:r w:rsidRPr="009B23F7">
        <w:t xml:space="preserve"> Skewes et al</w:t>
      </w:r>
      <w:r w:rsidR="00E64866" w:rsidRPr="009B23F7">
        <w:t>.</w:t>
      </w:r>
      <w:r w:rsidRPr="009B23F7">
        <w:t>, 2014)</w:t>
      </w:r>
      <w:r w:rsidR="00176393" w:rsidRPr="009B23F7">
        <w:t>.</w:t>
      </w:r>
      <w:r w:rsidR="00E64866" w:rsidRPr="009B23F7">
        <w:t xml:space="preserve"> </w:t>
      </w:r>
    </w:p>
    <w:p w14:paraId="380DA718" w14:textId="64F8DC05" w:rsidR="00176393" w:rsidRDefault="009B23F7" w:rsidP="003817D1">
      <w:r w:rsidRPr="009B23F7">
        <w:t xml:space="preserve">While White teatfish were the only species targeted about </w:t>
      </w:r>
      <w:r w:rsidR="008523A6">
        <w:t>24%</w:t>
      </w:r>
      <w:r w:rsidRPr="009B23F7">
        <w:t xml:space="preserve"> of the time it was caught, often it was </w:t>
      </w:r>
      <w:r w:rsidR="00274EA8" w:rsidRPr="009B23F7">
        <w:t xml:space="preserve">caught </w:t>
      </w:r>
      <w:r w:rsidRPr="009B23F7">
        <w:t xml:space="preserve">as part of a multispecies catch (often with other </w:t>
      </w:r>
      <w:r w:rsidR="007D18CC" w:rsidRPr="009B23F7">
        <w:t>deep-water</w:t>
      </w:r>
      <w:r w:rsidRPr="009B23F7">
        <w:t xml:space="preserve"> species such as Prickly redfish)</w:t>
      </w:r>
      <w:r w:rsidR="00176393" w:rsidRPr="009B23F7">
        <w:t xml:space="preserve"> (</w:t>
      </w:r>
      <w:r w:rsidR="001F158C" w:rsidRPr="009B23F7">
        <w:fldChar w:fldCharType="begin"/>
      </w:r>
      <w:r w:rsidR="001F158C" w:rsidRPr="009B23F7">
        <w:instrText xml:space="preserve"> REF _Ref142582712 </w:instrText>
      </w:r>
      <w:r w:rsidR="00FB1757" w:rsidRPr="009B23F7">
        <w:instrText xml:space="preserve"> \* MERGEFORMAT </w:instrText>
      </w:r>
      <w:r w:rsidR="001F158C" w:rsidRPr="009B23F7">
        <w:fldChar w:fldCharType="separate"/>
      </w:r>
      <w:r w:rsidR="004263D8">
        <w:t xml:space="preserve">Figure </w:t>
      </w:r>
      <w:r w:rsidR="004263D8">
        <w:rPr>
          <w:noProof/>
        </w:rPr>
        <w:t>5</w:t>
      </w:r>
      <w:r w:rsidR="001F158C" w:rsidRPr="009B23F7">
        <w:rPr>
          <w:noProof/>
        </w:rPr>
        <w:fldChar w:fldCharType="end"/>
      </w:r>
      <w:r w:rsidR="00176393" w:rsidRPr="009B23F7">
        <w:t>).</w:t>
      </w:r>
      <w:r w:rsidR="00176393">
        <w:t xml:space="preserve"> </w:t>
      </w:r>
    </w:p>
    <w:p w14:paraId="3C88CA0A" w14:textId="14F17C65" w:rsidR="00892D6F" w:rsidRDefault="00523169" w:rsidP="00E64866">
      <w:pPr>
        <w:pStyle w:val="Caption"/>
        <w:keepNext/>
      </w:pPr>
      <w:r>
        <w:rPr>
          <w:noProof/>
        </w:rPr>
        <w:lastRenderedPageBreak/>
        <w:drawing>
          <wp:inline distT="0" distB="0" distL="0" distR="0" wp14:anchorId="0C1BF7DC" wp14:editId="42F9BCCD">
            <wp:extent cx="4057702" cy="2340000"/>
            <wp:effectExtent l="0" t="0" r="0" b="3175"/>
            <wp:docPr id="77173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b="4514"/>
                    <a:stretch/>
                  </pic:blipFill>
                  <pic:spPr bwMode="auto">
                    <a:xfrm>
                      <a:off x="0" y="0"/>
                      <a:ext cx="4057702"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4CC113C2" w14:textId="553C750E" w:rsidR="003817D1" w:rsidRDefault="003817D1" w:rsidP="0096672D">
      <w:pPr>
        <w:pStyle w:val="Caption"/>
      </w:pPr>
      <w:bookmarkStart w:id="21" w:name="_Ref142580134"/>
      <w:bookmarkStart w:id="22" w:name="_Toc189044960"/>
      <w:r>
        <w:t xml:space="preserve">Figure </w:t>
      </w:r>
      <w:fldSimple w:instr=" SEQ Figure \* ARABIC ">
        <w:r w:rsidR="004263D8">
          <w:rPr>
            <w:noProof/>
          </w:rPr>
          <w:t>3</w:t>
        </w:r>
      </w:fldSimple>
      <w:bookmarkEnd w:id="21"/>
      <w:r>
        <w:t>. Frequency of fish</w:t>
      </w:r>
      <w:r w:rsidR="00E051C8">
        <w:t>ing</w:t>
      </w:r>
      <w:r>
        <w:t xml:space="preserve"> operation days by the number of species caught during that day for the QSCF for the period 1995-2023 (</w:t>
      </w:r>
      <w:r w:rsidR="006905CC">
        <w:t>QSCF vessel</w:t>
      </w:r>
      <w:r>
        <w:t xml:space="preserve"> logbook data).</w:t>
      </w:r>
      <w:bookmarkEnd w:id="22"/>
    </w:p>
    <w:p w14:paraId="2348860F" w14:textId="77777777" w:rsidR="00E051C8" w:rsidRDefault="00E051C8" w:rsidP="00E051C8"/>
    <w:p w14:paraId="65F575E1" w14:textId="6FF6FC18" w:rsidR="00E051C8" w:rsidRDefault="00523169" w:rsidP="00E64866">
      <w:pPr>
        <w:keepNext/>
      </w:pPr>
      <w:r>
        <w:rPr>
          <w:noProof/>
        </w:rPr>
        <w:drawing>
          <wp:inline distT="0" distB="0" distL="0" distR="0" wp14:anchorId="5FA96ADB" wp14:editId="34051B6C">
            <wp:extent cx="4102456" cy="2340000"/>
            <wp:effectExtent l="0" t="0" r="0" b="3175"/>
            <wp:docPr id="2140209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b="5555"/>
                    <a:stretch/>
                  </pic:blipFill>
                  <pic:spPr bwMode="auto">
                    <a:xfrm>
                      <a:off x="0" y="0"/>
                      <a:ext cx="4102456"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406298D3" w14:textId="1A9A2034" w:rsidR="00E051C8" w:rsidRDefault="00E051C8" w:rsidP="0096672D">
      <w:pPr>
        <w:pStyle w:val="Caption"/>
      </w:pPr>
      <w:bookmarkStart w:id="23" w:name="_Ref142580230"/>
      <w:bookmarkStart w:id="24" w:name="_Toc189044961"/>
      <w:r>
        <w:t xml:space="preserve">Figure </w:t>
      </w:r>
      <w:fldSimple w:instr=" SEQ Figure \* ARABIC ">
        <w:r w:rsidR="004263D8">
          <w:rPr>
            <w:noProof/>
          </w:rPr>
          <w:t>4</w:t>
        </w:r>
      </w:fldSimple>
      <w:bookmarkEnd w:id="23"/>
      <w:r>
        <w:t xml:space="preserve">. Frequency of fishing operation days by the number of species caught during that day for the QSCF for the period 1995-2023 where </w:t>
      </w:r>
      <w:r w:rsidR="00523169">
        <w:t>Black teatfish</w:t>
      </w:r>
      <w:r>
        <w:t xml:space="preserve"> was one of the species caught (</w:t>
      </w:r>
      <w:r w:rsidR="006905CC">
        <w:t>QSCF vessel logbook data</w:t>
      </w:r>
      <w:r>
        <w:t>).</w:t>
      </w:r>
      <w:bookmarkEnd w:id="24"/>
    </w:p>
    <w:p w14:paraId="75F0D3D0" w14:textId="77777777" w:rsidR="00E64866" w:rsidRPr="00E64866" w:rsidRDefault="00E64866" w:rsidP="00E64866"/>
    <w:p w14:paraId="79FA4C64" w14:textId="74852991" w:rsidR="00E051C8" w:rsidRDefault="00523169" w:rsidP="00E64866">
      <w:pPr>
        <w:keepNext/>
      </w:pPr>
      <w:r>
        <w:rPr>
          <w:noProof/>
        </w:rPr>
        <w:drawing>
          <wp:inline distT="0" distB="0" distL="0" distR="0" wp14:anchorId="0E75F085" wp14:editId="7F38759E">
            <wp:extent cx="4072511" cy="2340000"/>
            <wp:effectExtent l="0" t="0" r="4445" b="3175"/>
            <wp:docPr id="46486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b="4861"/>
                    <a:stretch/>
                  </pic:blipFill>
                  <pic:spPr bwMode="auto">
                    <a:xfrm>
                      <a:off x="0" y="0"/>
                      <a:ext cx="4072511"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119D7D91" w14:textId="4658B46E" w:rsidR="00176393" w:rsidRDefault="00176393" w:rsidP="0096672D">
      <w:pPr>
        <w:pStyle w:val="Caption"/>
      </w:pPr>
      <w:bookmarkStart w:id="25" w:name="_Ref142582712"/>
      <w:bookmarkStart w:id="26" w:name="_Toc189044962"/>
      <w:r>
        <w:t xml:space="preserve">Figure </w:t>
      </w:r>
      <w:fldSimple w:instr=" SEQ Figure \* ARABIC ">
        <w:r w:rsidR="004263D8">
          <w:rPr>
            <w:noProof/>
          </w:rPr>
          <w:t>5</w:t>
        </w:r>
      </w:fldSimple>
      <w:bookmarkEnd w:id="25"/>
      <w:r>
        <w:t xml:space="preserve">. Frequency of fishing operation days by the number of species caught during that day for the QSCF for the period 1995-2023 where </w:t>
      </w:r>
      <w:r w:rsidR="00523169">
        <w:t>White teatfish</w:t>
      </w:r>
      <w:r>
        <w:t xml:space="preserve"> was one of the species caught (</w:t>
      </w:r>
      <w:r w:rsidR="006905CC">
        <w:t>QSCF vessel logbook data</w:t>
      </w:r>
      <w:r>
        <w:t>).</w:t>
      </w:r>
      <w:bookmarkEnd w:id="26"/>
    </w:p>
    <w:p w14:paraId="29FE5716" w14:textId="455B42AB" w:rsidR="00CA1D49" w:rsidRDefault="003817D1" w:rsidP="00A60F4F">
      <w:pPr>
        <w:pStyle w:val="Heading3"/>
      </w:pPr>
      <w:r>
        <w:lastRenderedPageBreak/>
        <w:t xml:space="preserve">Fishery </w:t>
      </w:r>
      <w:r w:rsidRPr="00A60F4F">
        <w:t>h</w:t>
      </w:r>
      <w:r w:rsidR="00B91E92" w:rsidRPr="00A60F4F">
        <w:t>abitat</w:t>
      </w:r>
    </w:p>
    <w:p w14:paraId="12F82EE5" w14:textId="198CAACC" w:rsidR="003817D1" w:rsidRDefault="003817D1" w:rsidP="003817D1">
      <w:r>
        <w:t>Fishery habitat for most commercial sea cucumber species in the QSCF is primarily restricted to reef structures</w:t>
      </w:r>
      <w:r w:rsidR="0024223C">
        <w:t xml:space="preserve"> </w:t>
      </w:r>
      <w:r>
        <w:t>– with the exception of Burrowing blackfish (</w:t>
      </w:r>
      <w:r w:rsidRPr="009E07BA">
        <w:rPr>
          <w:i/>
          <w:iCs/>
        </w:rPr>
        <w:t>Actinopyga spinea</w:t>
      </w:r>
      <w:r>
        <w:t xml:space="preserve">) which is caught in </w:t>
      </w:r>
      <w:r w:rsidR="000D27E8">
        <w:t xml:space="preserve">deep </w:t>
      </w:r>
      <w:r w:rsidR="0024223C">
        <w:t xml:space="preserve">sandy </w:t>
      </w:r>
      <w:r>
        <w:t>inter-reefal benthic habitats (</w:t>
      </w:r>
      <w:r w:rsidR="00E64866">
        <w:t>Skewes et al., 2014; DAF, 2021a</w:t>
      </w:r>
      <w:r>
        <w:t xml:space="preserve">). </w:t>
      </w:r>
    </w:p>
    <w:p w14:paraId="562BB62C" w14:textId="3ACE7BAD" w:rsidR="003817D1" w:rsidRDefault="003817D1" w:rsidP="003817D1">
      <w:r>
        <w:t>As for</w:t>
      </w:r>
      <w:r w:rsidRPr="0024223C">
        <w:rPr>
          <w:iCs/>
        </w:rPr>
        <w:t xml:space="preserve"> </w:t>
      </w:r>
      <w:r w:rsidR="0024223C" w:rsidRPr="0024223C">
        <w:rPr>
          <w:iCs/>
        </w:rPr>
        <w:t>teatfish</w:t>
      </w:r>
      <w:r>
        <w:t xml:space="preserve"> species, these are almost exclusively caught on reef structures</w:t>
      </w:r>
      <w:r w:rsidR="0024223C">
        <w:t xml:space="preserve"> (including deep reefs for White teatfish)</w:t>
      </w:r>
      <w:r>
        <w:t xml:space="preserve">, and rarely occur in </w:t>
      </w:r>
      <w:r w:rsidR="0024223C">
        <w:t xml:space="preserve">open </w:t>
      </w:r>
      <w:r>
        <w:t xml:space="preserve">inter-reefal seabed habitats – during a broad and extensive survey of the inter-reefal seabed of the GBRMP area in the early 2000’s, at almost </w:t>
      </w:r>
      <w:r w:rsidRPr="00F77722">
        <w:t>1,500 sites</w:t>
      </w:r>
      <w:r>
        <w:t xml:space="preserve">, no </w:t>
      </w:r>
      <w:r w:rsidR="0024223C">
        <w:t xml:space="preserve">teatfish </w:t>
      </w:r>
      <w:r>
        <w:t>were observed in trawls, dredges or video (Pitcher et al., 2007). (The most common commercial species in the inter</w:t>
      </w:r>
      <w:r w:rsidR="00E64866">
        <w:t>-</w:t>
      </w:r>
      <w:r>
        <w:t xml:space="preserve">reefal was </w:t>
      </w:r>
      <w:r w:rsidR="00F22874">
        <w:t>Burrowing</w:t>
      </w:r>
      <w:r>
        <w:t xml:space="preserve"> blackfish (</w:t>
      </w:r>
      <w:r w:rsidRPr="00DD781F">
        <w:rPr>
          <w:i/>
          <w:iCs/>
        </w:rPr>
        <w:t>A. spinea</w:t>
      </w:r>
      <w:r>
        <w:t xml:space="preserve">), </w:t>
      </w:r>
      <w:r w:rsidRPr="00A31848">
        <w:t>Dragonfish</w:t>
      </w:r>
      <w:r>
        <w:t xml:space="preserve"> (</w:t>
      </w:r>
      <w:r w:rsidRPr="00DD781F">
        <w:rPr>
          <w:i/>
          <w:iCs/>
        </w:rPr>
        <w:t xml:space="preserve">Stichopus </w:t>
      </w:r>
      <w:r w:rsidRPr="00986425">
        <w:rPr>
          <w:i/>
          <w:iCs/>
        </w:rPr>
        <w:t>horrens</w:t>
      </w:r>
      <w:r>
        <w:t>)</w:t>
      </w:r>
      <w:r w:rsidRPr="00986425">
        <w:t xml:space="preserve">, </w:t>
      </w:r>
      <w:r>
        <w:t>and Ocellated curryfish (</w:t>
      </w:r>
      <w:r w:rsidRPr="00986425">
        <w:rPr>
          <w:i/>
          <w:iCs/>
        </w:rPr>
        <w:t>S</w:t>
      </w:r>
      <w:r>
        <w:rPr>
          <w:i/>
          <w:iCs/>
        </w:rPr>
        <w:t>.</w:t>
      </w:r>
      <w:r w:rsidRPr="00986425">
        <w:rPr>
          <w:i/>
          <w:iCs/>
        </w:rPr>
        <w:t xml:space="preserve"> </w:t>
      </w:r>
      <w:r w:rsidRPr="00DD781F">
        <w:rPr>
          <w:i/>
          <w:iCs/>
        </w:rPr>
        <w:t>ocellatus</w:t>
      </w:r>
      <w:r>
        <w:t>)</w:t>
      </w:r>
      <w:r w:rsidRPr="00986425">
        <w:t xml:space="preserve"> </w:t>
      </w:r>
      <w:r>
        <w:t>(Pitcher et al., 2007)</w:t>
      </w:r>
      <w:r w:rsidR="00E64866">
        <w:t>)</w:t>
      </w:r>
      <w:r>
        <w:t xml:space="preserve">. </w:t>
      </w:r>
    </w:p>
    <w:p w14:paraId="41D783E9" w14:textId="004A2EA1" w:rsidR="00342088" w:rsidRDefault="00CA1D49" w:rsidP="00CA1D49">
      <w:r>
        <w:t xml:space="preserve">The total area of </w:t>
      </w:r>
      <w:r w:rsidR="00342088">
        <w:t xml:space="preserve">reef features </w:t>
      </w:r>
      <w:r>
        <w:t xml:space="preserve">in the </w:t>
      </w:r>
      <w:r w:rsidR="00342088">
        <w:t xml:space="preserve">QSCF </w:t>
      </w:r>
      <w:r w:rsidR="00FF50A9">
        <w:t xml:space="preserve">is approximately </w:t>
      </w:r>
      <w:r w:rsidR="00342088">
        <w:t>26</w:t>
      </w:r>
      <w:r w:rsidR="00FF50A9">
        <w:t>,000</w:t>
      </w:r>
      <w:r w:rsidR="00342088">
        <w:t xml:space="preserve"> </w:t>
      </w:r>
      <w:r w:rsidR="00FF50A9">
        <w:t>km</w:t>
      </w:r>
      <w:r w:rsidR="00FF50A9" w:rsidRPr="00FF50A9">
        <w:rPr>
          <w:vertAlign w:val="superscript"/>
        </w:rPr>
        <w:t>2</w:t>
      </w:r>
      <w:r w:rsidR="00342088">
        <w:t xml:space="preserve"> (GBRMPA; Beaman et al., 2010; Skewes et al., 2014</w:t>
      </w:r>
      <w:r w:rsidR="00342088" w:rsidRPr="00AF599F">
        <w:t>)</w:t>
      </w:r>
      <w:r w:rsidR="00AF599F" w:rsidRPr="00AF599F">
        <w:t xml:space="preserve"> (</w:t>
      </w:r>
      <w:fldSimple w:instr=" REF _Ref142611992 ">
        <w:r w:rsidR="004263D8">
          <w:t xml:space="preserve">Table </w:t>
        </w:r>
        <w:r w:rsidR="004263D8">
          <w:rPr>
            <w:noProof/>
          </w:rPr>
          <w:t>1</w:t>
        </w:r>
      </w:fldSimple>
      <w:r w:rsidR="00AF599F" w:rsidRPr="00AF599F">
        <w:t>)</w:t>
      </w:r>
      <w:r w:rsidR="00342088" w:rsidRPr="00AF599F">
        <w:t>.</w:t>
      </w:r>
      <w:r w:rsidR="00342088">
        <w:t xml:space="preserve"> This compares to </w:t>
      </w:r>
      <w:r w:rsidR="00CF11A3" w:rsidRPr="00CF11A3">
        <w:t>2,010</w:t>
      </w:r>
      <w:r w:rsidR="00CF11A3">
        <w:t xml:space="preserve"> </w:t>
      </w:r>
      <w:r w:rsidR="00FF50A9">
        <w:t>km</w:t>
      </w:r>
      <w:r w:rsidR="00FF50A9" w:rsidRPr="00FF50A9">
        <w:rPr>
          <w:vertAlign w:val="superscript"/>
        </w:rPr>
        <w:t>2</w:t>
      </w:r>
      <w:r w:rsidRPr="002503EF">
        <w:t xml:space="preserve"> of </w:t>
      </w:r>
      <w:r>
        <w:t xml:space="preserve">reef habitat </w:t>
      </w:r>
      <w:r w:rsidR="00342088">
        <w:t xml:space="preserve">in the TSBDMF </w:t>
      </w:r>
      <w:r>
        <w:t>(Murphy et al., 2021</w:t>
      </w:r>
      <w:r w:rsidR="009C7DFE">
        <w:t>a</w:t>
      </w:r>
      <w:r>
        <w:t>)</w:t>
      </w:r>
      <w:r w:rsidR="00342088">
        <w:t xml:space="preserve">, and </w:t>
      </w:r>
      <w:r w:rsidR="00342088" w:rsidRPr="005605D6">
        <w:t>1</w:t>
      </w:r>
      <w:r w:rsidR="00FF50A9">
        <w:t>,</w:t>
      </w:r>
      <w:r w:rsidR="00342088" w:rsidRPr="005605D6">
        <w:t xml:space="preserve">663 </w:t>
      </w:r>
      <w:r w:rsidR="00FF50A9">
        <w:t>km</w:t>
      </w:r>
      <w:r w:rsidR="00FF50A9" w:rsidRPr="00FF50A9">
        <w:rPr>
          <w:vertAlign w:val="superscript"/>
        </w:rPr>
        <w:t>2</w:t>
      </w:r>
      <w:r w:rsidR="00342088">
        <w:t xml:space="preserve"> of shallow (&lt; 20 m deep) reef habitat in the CSF</w:t>
      </w:r>
      <w:r>
        <w:t xml:space="preserve"> </w:t>
      </w:r>
      <w:r w:rsidR="00342088">
        <w:t>(</w:t>
      </w:r>
      <w:r w:rsidR="00FF50A9">
        <w:t>Skewes and Persson, 2017;</w:t>
      </w:r>
      <w:r w:rsidR="00DE6679">
        <w:t xml:space="preserve"> Skewes 2024b</w:t>
      </w:r>
      <w:r w:rsidR="00342088">
        <w:t xml:space="preserve">). </w:t>
      </w:r>
    </w:p>
    <w:p w14:paraId="51BBD39B" w14:textId="266A8D36" w:rsidR="00FF50A9" w:rsidRPr="00FF50A9" w:rsidRDefault="00AF599F" w:rsidP="006905CC">
      <w:pPr>
        <w:pStyle w:val="Caption"/>
        <w:keepNext/>
      </w:pPr>
      <w:bookmarkStart w:id="27" w:name="_Ref142611992"/>
      <w:bookmarkStart w:id="28" w:name="_Toc381829599"/>
      <w:bookmarkStart w:id="29" w:name="_Toc144450264"/>
      <w:bookmarkStart w:id="30" w:name="_Toc189044997"/>
      <w:r>
        <w:t xml:space="preserve">Table </w:t>
      </w:r>
      <w:fldSimple w:instr=" SEQ Table \* ARABIC ">
        <w:r w:rsidR="004263D8">
          <w:rPr>
            <w:noProof/>
          </w:rPr>
          <w:t>1</w:t>
        </w:r>
      </w:fldSimple>
      <w:bookmarkEnd w:id="27"/>
      <w:r w:rsidR="00FF50A9" w:rsidRPr="00FF50A9">
        <w:t>. Area of the</w:t>
      </w:r>
      <w:r>
        <w:t xml:space="preserve"> QSCF</w:t>
      </w:r>
      <w:r w:rsidR="00FF50A9" w:rsidRPr="00FF50A9">
        <w:t xml:space="preserve">, shelf, reef and dry reef habitats within the area of the </w:t>
      </w:r>
      <w:r w:rsidR="00FF50A9">
        <w:t>QS</w:t>
      </w:r>
      <w:r w:rsidR="002A185A">
        <w:t>C</w:t>
      </w:r>
      <w:r w:rsidR="00FF50A9">
        <w:t>F</w:t>
      </w:r>
      <w:r w:rsidR="00FF50A9" w:rsidRPr="00FF50A9">
        <w:t>, and areas closed to fishing</w:t>
      </w:r>
      <w:r w:rsidR="00FF50A9">
        <w:t xml:space="preserve"> (</w:t>
      </w:r>
      <w:r w:rsidR="002A185A">
        <w:t>a</w:t>
      </w:r>
      <w:r w:rsidR="00FF50A9">
        <w:t xml:space="preserve">fter Skewes et al., 2014, and with the addition </w:t>
      </w:r>
      <w:r w:rsidR="00203503">
        <w:t>of the CSMP closed areas</w:t>
      </w:r>
      <w:r w:rsidR="0055026A">
        <w:t xml:space="preserve"> and Ashmore an</w:t>
      </w:r>
      <w:r w:rsidR="00913EC3">
        <w:t>d</w:t>
      </w:r>
      <w:r w:rsidR="0055026A">
        <w:t xml:space="preserve"> Boot Reefs</w:t>
      </w:r>
      <w:r w:rsidR="00913EC3">
        <w:t>)</w:t>
      </w:r>
      <w:r w:rsidR="00FF50A9" w:rsidRPr="00FF50A9">
        <w:t>.</w:t>
      </w:r>
      <w:bookmarkEnd w:id="28"/>
      <w:bookmarkEnd w:id="29"/>
      <w:bookmarkEnd w:id="30"/>
    </w:p>
    <w:tbl>
      <w:tblPr>
        <w:tblStyle w:val="GridTable4"/>
        <w:tblW w:w="0" w:type="auto"/>
        <w:tblLook w:val="0420" w:firstRow="1" w:lastRow="0" w:firstColumn="0" w:lastColumn="0" w:noHBand="0" w:noVBand="1"/>
      </w:tblPr>
      <w:tblGrid>
        <w:gridCol w:w="2211"/>
        <w:gridCol w:w="1814"/>
        <w:gridCol w:w="1814"/>
        <w:gridCol w:w="1814"/>
      </w:tblGrid>
      <w:tr w:rsidR="00FF50A9" w:rsidRPr="00FF50A9" w14:paraId="42B347AE" w14:textId="77777777" w:rsidTr="00FF50A9">
        <w:trPr>
          <w:cnfStyle w:val="100000000000" w:firstRow="1" w:lastRow="0" w:firstColumn="0" w:lastColumn="0" w:oddVBand="0" w:evenVBand="0" w:oddHBand="0" w:evenHBand="0" w:firstRowFirstColumn="0" w:firstRowLastColumn="0" w:lastRowFirstColumn="0" w:lastRowLastColumn="0"/>
        </w:trPr>
        <w:tc>
          <w:tcPr>
            <w:tcW w:w="2211" w:type="dxa"/>
          </w:tcPr>
          <w:p w14:paraId="2DB1C6B0" w14:textId="77777777" w:rsidR="00FF50A9" w:rsidRPr="00FF50A9" w:rsidRDefault="00FF50A9" w:rsidP="00CF4157">
            <w:pPr>
              <w:keepNext/>
              <w:rPr>
                <w:color w:val="FFFFFF" w:themeColor="background1"/>
                <w:sz w:val="20"/>
                <w:szCs w:val="20"/>
              </w:rPr>
            </w:pPr>
            <w:r w:rsidRPr="00FF50A9">
              <w:rPr>
                <w:color w:val="FFFFFF" w:themeColor="background1"/>
                <w:sz w:val="20"/>
                <w:szCs w:val="20"/>
              </w:rPr>
              <w:t>Fishery area</w:t>
            </w:r>
          </w:p>
        </w:tc>
        <w:tc>
          <w:tcPr>
            <w:tcW w:w="1814" w:type="dxa"/>
          </w:tcPr>
          <w:p w14:paraId="18201E90" w14:textId="77777777" w:rsidR="00FF50A9" w:rsidRPr="00FF50A9" w:rsidRDefault="00FF50A9" w:rsidP="00CB2A97">
            <w:pPr>
              <w:keepNext/>
              <w:jc w:val="center"/>
              <w:rPr>
                <w:color w:val="FFFFFF" w:themeColor="background1"/>
                <w:sz w:val="20"/>
                <w:szCs w:val="20"/>
              </w:rPr>
            </w:pPr>
            <w:r w:rsidRPr="00FF50A9">
              <w:rPr>
                <w:color w:val="FFFFFF" w:themeColor="background1"/>
                <w:sz w:val="20"/>
                <w:szCs w:val="20"/>
              </w:rPr>
              <w:t>Total area</w:t>
            </w:r>
          </w:p>
          <w:p w14:paraId="23413EE0" w14:textId="77777777" w:rsidR="00FF50A9" w:rsidRPr="00FF50A9" w:rsidRDefault="00FF50A9" w:rsidP="00CB2A97">
            <w:pPr>
              <w:keepNext/>
              <w:jc w:val="center"/>
              <w:rPr>
                <w:color w:val="FFFFFF" w:themeColor="background1"/>
                <w:sz w:val="20"/>
                <w:szCs w:val="20"/>
              </w:rPr>
            </w:pPr>
            <w:r w:rsidRPr="00FF50A9">
              <w:rPr>
                <w:color w:val="FFFFFF" w:themeColor="background1"/>
                <w:sz w:val="20"/>
                <w:szCs w:val="20"/>
              </w:rPr>
              <w:t>(km</w:t>
            </w:r>
            <w:r w:rsidRPr="00FF50A9">
              <w:rPr>
                <w:color w:val="FFFFFF" w:themeColor="background1"/>
                <w:sz w:val="20"/>
                <w:szCs w:val="20"/>
                <w:vertAlign w:val="superscript"/>
              </w:rPr>
              <w:t>2</w:t>
            </w:r>
            <w:r w:rsidRPr="00FF50A9">
              <w:rPr>
                <w:color w:val="FFFFFF" w:themeColor="background1"/>
                <w:sz w:val="20"/>
                <w:szCs w:val="20"/>
              </w:rPr>
              <w:t>)</w:t>
            </w:r>
          </w:p>
        </w:tc>
        <w:tc>
          <w:tcPr>
            <w:tcW w:w="1814" w:type="dxa"/>
          </w:tcPr>
          <w:p w14:paraId="1915D292" w14:textId="77777777" w:rsidR="00FF50A9" w:rsidRPr="00FF50A9" w:rsidRDefault="00FF50A9" w:rsidP="00CB2A97">
            <w:pPr>
              <w:keepNext/>
              <w:jc w:val="center"/>
              <w:rPr>
                <w:color w:val="FFFFFF" w:themeColor="background1"/>
                <w:sz w:val="20"/>
                <w:szCs w:val="20"/>
              </w:rPr>
            </w:pPr>
            <w:r w:rsidRPr="00FF50A9">
              <w:rPr>
                <w:color w:val="FFFFFF" w:themeColor="background1"/>
                <w:sz w:val="20"/>
                <w:szCs w:val="20"/>
              </w:rPr>
              <w:t>Closed to fishing</w:t>
            </w:r>
          </w:p>
          <w:p w14:paraId="753BF18B" w14:textId="77777777" w:rsidR="00FF50A9" w:rsidRPr="00FF50A9" w:rsidRDefault="00FF50A9" w:rsidP="00CB2A97">
            <w:pPr>
              <w:keepNext/>
              <w:jc w:val="center"/>
              <w:rPr>
                <w:color w:val="FFFFFF" w:themeColor="background1"/>
                <w:sz w:val="20"/>
                <w:szCs w:val="20"/>
              </w:rPr>
            </w:pPr>
            <w:r w:rsidRPr="00FF50A9">
              <w:rPr>
                <w:color w:val="FFFFFF" w:themeColor="background1"/>
                <w:sz w:val="20"/>
                <w:szCs w:val="20"/>
              </w:rPr>
              <w:t>(km</w:t>
            </w:r>
            <w:r w:rsidRPr="00FF50A9">
              <w:rPr>
                <w:color w:val="FFFFFF" w:themeColor="background1"/>
                <w:sz w:val="20"/>
                <w:szCs w:val="20"/>
                <w:vertAlign w:val="superscript"/>
              </w:rPr>
              <w:t>2</w:t>
            </w:r>
            <w:r w:rsidRPr="00FF50A9">
              <w:rPr>
                <w:color w:val="FFFFFF" w:themeColor="background1"/>
                <w:sz w:val="20"/>
                <w:szCs w:val="20"/>
              </w:rPr>
              <w:t>)</w:t>
            </w:r>
          </w:p>
        </w:tc>
        <w:tc>
          <w:tcPr>
            <w:tcW w:w="1814" w:type="dxa"/>
          </w:tcPr>
          <w:p w14:paraId="17AE5EC7" w14:textId="77777777" w:rsidR="00FF50A9" w:rsidRPr="00FF50A9" w:rsidRDefault="00FF50A9" w:rsidP="00CB2A97">
            <w:pPr>
              <w:keepNext/>
              <w:jc w:val="center"/>
              <w:rPr>
                <w:color w:val="FFFFFF" w:themeColor="background1"/>
                <w:sz w:val="20"/>
                <w:szCs w:val="20"/>
              </w:rPr>
            </w:pPr>
            <w:r w:rsidRPr="00FF50A9">
              <w:rPr>
                <w:color w:val="FFFFFF" w:themeColor="background1"/>
                <w:sz w:val="20"/>
                <w:szCs w:val="20"/>
              </w:rPr>
              <w:t>Closed to fishing</w:t>
            </w:r>
          </w:p>
          <w:p w14:paraId="1776C6BF" w14:textId="77777777" w:rsidR="00FF50A9" w:rsidRPr="00FF50A9" w:rsidRDefault="00FF50A9" w:rsidP="00CB2A97">
            <w:pPr>
              <w:keepNext/>
              <w:jc w:val="center"/>
              <w:rPr>
                <w:color w:val="FFFFFF" w:themeColor="background1"/>
                <w:sz w:val="20"/>
                <w:szCs w:val="20"/>
              </w:rPr>
            </w:pPr>
            <w:r w:rsidRPr="00FF50A9">
              <w:rPr>
                <w:color w:val="FFFFFF" w:themeColor="background1"/>
                <w:sz w:val="20"/>
                <w:szCs w:val="20"/>
              </w:rPr>
              <w:t>(%)</w:t>
            </w:r>
          </w:p>
        </w:tc>
      </w:tr>
      <w:tr w:rsidR="0055026A" w:rsidRPr="0055026A" w14:paraId="3083F5F6" w14:textId="77777777" w:rsidTr="00FF50A9">
        <w:trPr>
          <w:cnfStyle w:val="000000100000" w:firstRow="0" w:lastRow="0" w:firstColumn="0" w:lastColumn="0" w:oddVBand="0" w:evenVBand="0" w:oddHBand="1" w:evenHBand="0" w:firstRowFirstColumn="0" w:firstRowLastColumn="0" w:lastRowFirstColumn="0" w:lastRowLastColumn="0"/>
        </w:trPr>
        <w:tc>
          <w:tcPr>
            <w:tcW w:w="2211" w:type="dxa"/>
          </w:tcPr>
          <w:p w14:paraId="72D1C430" w14:textId="77777777" w:rsidR="0055026A" w:rsidRPr="00FF50A9" w:rsidRDefault="0055026A" w:rsidP="0055026A">
            <w:pPr>
              <w:keepNext/>
              <w:rPr>
                <w:bCs/>
                <w:sz w:val="20"/>
                <w:szCs w:val="20"/>
              </w:rPr>
            </w:pPr>
            <w:r w:rsidRPr="00FF50A9">
              <w:rPr>
                <w:bCs/>
                <w:sz w:val="20"/>
                <w:szCs w:val="20"/>
              </w:rPr>
              <w:t>Fishery area</w:t>
            </w:r>
          </w:p>
        </w:tc>
        <w:tc>
          <w:tcPr>
            <w:tcW w:w="1814" w:type="dxa"/>
          </w:tcPr>
          <w:p w14:paraId="74604771" w14:textId="4342F8B1" w:rsidR="0055026A" w:rsidRPr="0055026A" w:rsidRDefault="00323C42" w:rsidP="0055026A">
            <w:pPr>
              <w:keepNext/>
              <w:jc w:val="right"/>
              <w:rPr>
                <w:sz w:val="20"/>
                <w:szCs w:val="20"/>
              </w:rPr>
            </w:pPr>
            <w:r w:rsidRPr="00323C42">
              <w:rPr>
                <w:sz w:val="20"/>
                <w:szCs w:val="20"/>
              </w:rPr>
              <w:t>546,155.8</w:t>
            </w:r>
          </w:p>
        </w:tc>
        <w:tc>
          <w:tcPr>
            <w:tcW w:w="1814" w:type="dxa"/>
          </w:tcPr>
          <w:p w14:paraId="2CA1AA5F" w14:textId="4AAE70A3" w:rsidR="0055026A" w:rsidRPr="0055026A" w:rsidRDefault="0055026A" w:rsidP="0055026A">
            <w:pPr>
              <w:keepNext/>
              <w:jc w:val="right"/>
              <w:rPr>
                <w:sz w:val="20"/>
                <w:szCs w:val="20"/>
              </w:rPr>
            </w:pPr>
            <w:r w:rsidRPr="0055026A">
              <w:rPr>
                <w:sz w:val="20"/>
                <w:szCs w:val="20"/>
              </w:rPr>
              <w:t>132,252.0</w:t>
            </w:r>
          </w:p>
        </w:tc>
        <w:tc>
          <w:tcPr>
            <w:tcW w:w="1814" w:type="dxa"/>
          </w:tcPr>
          <w:p w14:paraId="5111BCC7" w14:textId="7B342C7B" w:rsidR="0055026A" w:rsidRPr="0055026A" w:rsidRDefault="0055026A" w:rsidP="0055026A">
            <w:pPr>
              <w:keepNext/>
              <w:jc w:val="right"/>
              <w:rPr>
                <w:sz w:val="20"/>
                <w:szCs w:val="20"/>
              </w:rPr>
            </w:pPr>
            <w:r w:rsidRPr="0055026A">
              <w:rPr>
                <w:sz w:val="20"/>
                <w:szCs w:val="20"/>
              </w:rPr>
              <w:t>24.2</w:t>
            </w:r>
          </w:p>
        </w:tc>
      </w:tr>
      <w:tr w:rsidR="00FF50A9" w:rsidRPr="00FF50A9" w14:paraId="47481032" w14:textId="77777777" w:rsidTr="00FF50A9">
        <w:tc>
          <w:tcPr>
            <w:tcW w:w="2211" w:type="dxa"/>
          </w:tcPr>
          <w:p w14:paraId="517FA5C6" w14:textId="77777777" w:rsidR="00FF50A9" w:rsidRPr="00FF50A9" w:rsidRDefault="00FF50A9" w:rsidP="00CF4157">
            <w:pPr>
              <w:keepNext/>
              <w:rPr>
                <w:bCs/>
                <w:sz w:val="20"/>
                <w:szCs w:val="20"/>
              </w:rPr>
            </w:pPr>
            <w:r w:rsidRPr="00FF50A9">
              <w:rPr>
                <w:bCs/>
                <w:sz w:val="20"/>
                <w:szCs w:val="20"/>
              </w:rPr>
              <w:t>Shelf</w:t>
            </w:r>
            <w:r w:rsidRPr="00FF50A9">
              <w:rPr>
                <w:bCs/>
                <w:sz w:val="20"/>
                <w:szCs w:val="20"/>
                <w:vertAlign w:val="superscript"/>
              </w:rPr>
              <w:t>1</w:t>
            </w:r>
          </w:p>
        </w:tc>
        <w:tc>
          <w:tcPr>
            <w:tcW w:w="1814" w:type="dxa"/>
          </w:tcPr>
          <w:p w14:paraId="29077ABE" w14:textId="77777777" w:rsidR="00FF50A9" w:rsidRPr="00FF50A9" w:rsidRDefault="00FF50A9" w:rsidP="00CF4157">
            <w:pPr>
              <w:keepNext/>
              <w:jc w:val="right"/>
              <w:rPr>
                <w:sz w:val="20"/>
                <w:szCs w:val="20"/>
              </w:rPr>
            </w:pPr>
            <w:r w:rsidRPr="00FF50A9">
              <w:rPr>
                <w:sz w:val="20"/>
                <w:szCs w:val="20"/>
              </w:rPr>
              <w:t>232,323</w:t>
            </w:r>
          </w:p>
        </w:tc>
        <w:tc>
          <w:tcPr>
            <w:tcW w:w="1814" w:type="dxa"/>
          </w:tcPr>
          <w:p w14:paraId="1EFC8E63" w14:textId="77777777" w:rsidR="00FF50A9" w:rsidRPr="00FF50A9" w:rsidRDefault="00FF50A9" w:rsidP="00CF4157">
            <w:pPr>
              <w:keepNext/>
              <w:jc w:val="right"/>
              <w:rPr>
                <w:sz w:val="20"/>
                <w:szCs w:val="20"/>
              </w:rPr>
            </w:pPr>
            <w:r w:rsidRPr="00FF50A9">
              <w:rPr>
                <w:sz w:val="20"/>
                <w:szCs w:val="20"/>
              </w:rPr>
              <w:t>67,285</w:t>
            </w:r>
          </w:p>
        </w:tc>
        <w:tc>
          <w:tcPr>
            <w:tcW w:w="1814" w:type="dxa"/>
          </w:tcPr>
          <w:p w14:paraId="59EF2AC1" w14:textId="77777777" w:rsidR="00FF50A9" w:rsidRPr="00FF50A9" w:rsidRDefault="00FF50A9" w:rsidP="00CF4157">
            <w:pPr>
              <w:keepNext/>
              <w:jc w:val="right"/>
              <w:rPr>
                <w:sz w:val="20"/>
                <w:szCs w:val="20"/>
              </w:rPr>
            </w:pPr>
            <w:r w:rsidRPr="00FF50A9">
              <w:rPr>
                <w:sz w:val="20"/>
                <w:szCs w:val="20"/>
              </w:rPr>
              <w:t>29.0</w:t>
            </w:r>
          </w:p>
        </w:tc>
      </w:tr>
      <w:tr w:rsidR="0055026A" w:rsidRPr="00FF50A9" w14:paraId="38AB419B" w14:textId="77777777" w:rsidTr="00FF50A9">
        <w:trPr>
          <w:cnfStyle w:val="000000100000" w:firstRow="0" w:lastRow="0" w:firstColumn="0" w:lastColumn="0" w:oddVBand="0" w:evenVBand="0" w:oddHBand="1" w:evenHBand="0" w:firstRowFirstColumn="0" w:firstRowLastColumn="0" w:lastRowFirstColumn="0" w:lastRowLastColumn="0"/>
        </w:trPr>
        <w:tc>
          <w:tcPr>
            <w:tcW w:w="2211" w:type="dxa"/>
          </w:tcPr>
          <w:p w14:paraId="32A21F16" w14:textId="77777777" w:rsidR="0055026A" w:rsidRPr="00FF50A9" w:rsidRDefault="0055026A" w:rsidP="0055026A">
            <w:pPr>
              <w:keepNext/>
              <w:rPr>
                <w:bCs/>
                <w:sz w:val="20"/>
                <w:szCs w:val="20"/>
              </w:rPr>
            </w:pPr>
            <w:r w:rsidRPr="00FF50A9">
              <w:rPr>
                <w:bCs/>
                <w:sz w:val="20"/>
                <w:szCs w:val="20"/>
              </w:rPr>
              <w:t>Reef</w:t>
            </w:r>
            <w:r w:rsidRPr="00FF50A9">
              <w:rPr>
                <w:bCs/>
                <w:sz w:val="20"/>
                <w:szCs w:val="20"/>
                <w:vertAlign w:val="superscript"/>
              </w:rPr>
              <w:t>2</w:t>
            </w:r>
          </w:p>
        </w:tc>
        <w:tc>
          <w:tcPr>
            <w:tcW w:w="1814" w:type="dxa"/>
          </w:tcPr>
          <w:p w14:paraId="108F6F6E" w14:textId="07134834" w:rsidR="0055026A" w:rsidRPr="00FF50A9" w:rsidRDefault="0055026A" w:rsidP="0055026A">
            <w:pPr>
              <w:keepNext/>
              <w:jc w:val="right"/>
              <w:rPr>
                <w:sz w:val="20"/>
                <w:szCs w:val="20"/>
              </w:rPr>
            </w:pPr>
            <w:r w:rsidRPr="0055026A">
              <w:rPr>
                <w:sz w:val="20"/>
                <w:szCs w:val="20"/>
              </w:rPr>
              <w:t>26,791.8</w:t>
            </w:r>
          </w:p>
        </w:tc>
        <w:tc>
          <w:tcPr>
            <w:tcW w:w="1814" w:type="dxa"/>
          </w:tcPr>
          <w:p w14:paraId="69B279AB" w14:textId="0174B454" w:rsidR="0055026A" w:rsidRPr="00FF50A9" w:rsidRDefault="0055026A" w:rsidP="0055026A">
            <w:pPr>
              <w:keepNext/>
              <w:jc w:val="right"/>
              <w:rPr>
                <w:sz w:val="20"/>
                <w:szCs w:val="20"/>
              </w:rPr>
            </w:pPr>
            <w:r w:rsidRPr="0055026A">
              <w:rPr>
                <w:sz w:val="20"/>
                <w:szCs w:val="20"/>
              </w:rPr>
              <w:t>8,654.9</w:t>
            </w:r>
          </w:p>
        </w:tc>
        <w:tc>
          <w:tcPr>
            <w:tcW w:w="1814" w:type="dxa"/>
          </w:tcPr>
          <w:p w14:paraId="7EF2837D" w14:textId="4EB20FF4" w:rsidR="0055026A" w:rsidRPr="00FF50A9" w:rsidRDefault="0055026A" w:rsidP="0055026A">
            <w:pPr>
              <w:keepNext/>
              <w:jc w:val="right"/>
              <w:rPr>
                <w:sz w:val="20"/>
                <w:szCs w:val="20"/>
              </w:rPr>
            </w:pPr>
            <w:r w:rsidRPr="0055026A">
              <w:rPr>
                <w:sz w:val="20"/>
                <w:szCs w:val="20"/>
              </w:rPr>
              <w:t>32.3</w:t>
            </w:r>
          </w:p>
        </w:tc>
      </w:tr>
      <w:tr w:rsidR="00FF50A9" w:rsidRPr="00FF50A9" w14:paraId="75AB6896" w14:textId="77777777" w:rsidTr="00FF50A9">
        <w:tc>
          <w:tcPr>
            <w:tcW w:w="2211" w:type="dxa"/>
          </w:tcPr>
          <w:p w14:paraId="1D00A011" w14:textId="77777777" w:rsidR="00FF50A9" w:rsidRPr="00FF50A9" w:rsidRDefault="00FF50A9" w:rsidP="00CF4157">
            <w:pPr>
              <w:keepNext/>
              <w:rPr>
                <w:bCs/>
                <w:sz w:val="20"/>
                <w:szCs w:val="20"/>
              </w:rPr>
            </w:pPr>
            <w:r w:rsidRPr="00FF50A9">
              <w:rPr>
                <w:bCs/>
                <w:sz w:val="20"/>
                <w:szCs w:val="20"/>
              </w:rPr>
              <w:t>Dry reef</w:t>
            </w:r>
            <w:r w:rsidRPr="00FF50A9">
              <w:rPr>
                <w:bCs/>
                <w:sz w:val="20"/>
                <w:szCs w:val="20"/>
                <w:vertAlign w:val="superscript"/>
              </w:rPr>
              <w:t>3</w:t>
            </w:r>
          </w:p>
        </w:tc>
        <w:tc>
          <w:tcPr>
            <w:tcW w:w="1814" w:type="dxa"/>
          </w:tcPr>
          <w:p w14:paraId="3C096DF7" w14:textId="2E304F64" w:rsidR="00FF50A9" w:rsidRPr="00FF50A9" w:rsidRDefault="00FB1B9F" w:rsidP="00CF4157">
            <w:pPr>
              <w:keepNext/>
              <w:jc w:val="right"/>
              <w:rPr>
                <w:sz w:val="20"/>
                <w:szCs w:val="20"/>
              </w:rPr>
            </w:pPr>
            <w:r w:rsidRPr="00FB1B9F">
              <w:rPr>
                <w:sz w:val="20"/>
                <w:szCs w:val="20"/>
              </w:rPr>
              <w:t>6262</w:t>
            </w:r>
          </w:p>
        </w:tc>
        <w:tc>
          <w:tcPr>
            <w:tcW w:w="1814" w:type="dxa"/>
          </w:tcPr>
          <w:p w14:paraId="50CC62A3" w14:textId="5FD94CED" w:rsidR="00FF50A9" w:rsidRPr="00FF50A9" w:rsidRDefault="00FF50A9" w:rsidP="00CF4157">
            <w:pPr>
              <w:keepNext/>
              <w:jc w:val="right"/>
              <w:rPr>
                <w:sz w:val="20"/>
                <w:szCs w:val="20"/>
              </w:rPr>
            </w:pPr>
            <w:r w:rsidRPr="00FF50A9">
              <w:rPr>
                <w:sz w:val="20"/>
                <w:szCs w:val="20"/>
              </w:rPr>
              <w:t>23</w:t>
            </w:r>
            <w:r w:rsidR="00FB1B9F">
              <w:rPr>
                <w:sz w:val="20"/>
                <w:szCs w:val="20"/>
              </w:rPr>
              <w:t>87</w:t>
            </w:r>
          </w:p>
        </w:tc>
        <w:tc>
          <w:tcPr>
            <w:tcW w:w="1814" w:type="dxa"/>
          </w:tcPr>
          <w:p w14:paraId="4BF0F31C" w14:textId="37B2D871" w:rsidR="00FF50A9" w:rsidRPr="00FF50A9" w:rsidRDefault="00FF50A9" w:rsidP="00CF4157">
            <w:pPr>
              <w:keepNext/>
              <w:jc w:val="right"/>
              <w:rPr>
                <w:sz w:val="20"/>
                <w:szCs w:val="20"/>
              </w:rPr>
            </w:pPr>
            <w:r w:rsidRPr="00FF50A9">
              <w:rPr>
                <w:sz w:val="20"/>
                <w:szCs w:val="20"/>
              </w:rPr>
              <w:t>3</w:t>
            </w:r>
            <w:r w:rsidR="00FB1B9F">
              <w:rPr>
                <w:sz w:val="20"/>
                <w:szCs w:val="20"/>
              </w:rPr>
              <w:t>8</w:t>
            </w:r>
            <w:r w:rsidRPr="00FF50A9">
              <w:rPr>
                <w:sz w:val="20"/>
                <w:szCs w:val="20"/>
              </w:rPr>
              <w:t>.</w:t>
            </w:r>
            <w:r w:rsidR="00FB1B9F">
              <w:rPr>
                <w:sz w:val="20"/>
                <w:szCs w:val="20"/>
              </w:rPr>
              <w:t>1</w:t>
            </w:r>
          </w:p>
        </w:tc>
      </w:tr>
    </w:tbl>
    <w:p w14:paraId="7E2095C5" w14:textId="192ACF98" w:rsidR="00FF50A9" w:rsidRPr="004C47A1" w:rsidRDefault="00FF50A9" w:rsidP="00CF4157">
      <w:pPr>
        <w:pStyle w:val="NoSpacing"/>
        <w:keepNext/>
        <w:rPr>
          <w:sz w:val="18"/>
          <w:szCs w:val="18"/>
        </w:rPr>
      </w:pPr>
      <w:r w:rsidRPr="00FF50A9">
        <w:rPr>
          <w:sz w:val="18"/>
          <w:szCs w:val="18"/>
          <w:vertAlign w:val="superscript"/>
        </w:rPr>
        <w:t>1</w:t>
      </w:r>
      <w:r w:rsidRPr="00FF50A9">
        <w:rPr>
          <w:sz w:val="18"/>
          <w:szCs w:val="18"/>
        </w:rPr>
        <w:t xml:space="preserve"> Shelf is a zone adjacent to a continent (or around an island) extending from the low water line to a depth at which there is usually a marked shelf edge (GBRMPA</w:t>
      </w:r>
      <w:r w:rsidRPr="004C47A1">
        <w:rPr>
          <w:sz w:val="18"/>
          <w:szCs w:val="18"/>
        </w:rPr>
        <w:t>).</w:t>
      </w:r>
      <w:r w:rsidR="004C47A1" w:rsidRPr="004C47A1">
        <w:rPr>
          <w:sz w:val="18"/>
          <w:szCs w:val="18"/>
        </w:rPr>
        <w:t xml:space="preserve"> An estimate of the area of “submerged banks” on the GBR is 41,000 km2 (Harris et al., 2013).</w:t>
      </w:r>
    </w:p>
    <w:p w14:paraId="431EA50C" w14:textId="77777777" w:rsidR="00FF50A9" w:rsidRPr="00FF50A9" w:rsidRDefault="00FF50A9" w:rsidP="00CF4157">
      <w:pPr>
        <w:pStyle w:val="NoSpacing"/>
        <w:keepNext/>
        <w:rPr>
          <w:sz w:val="18"/>
          <w:szCs w:val="18"/>
        </w:rPr>
      </w:pPr>
      <w:r w:rsidRPr="00FF50A9">
        <w:rPr>
          <w:sz w:val="18"/>
          <w:szCs w:val="18"/>
          <w:vertAlign w:val="superscript"/>
        </w:rPr>
        <w:t>2</w:t>
      </w:r>
      <w:r w:rsidRPr="00FF50A9">
        <w:rPr>
          <w:sz w:val="18"/>
          <w:szCs w:val="18"/>
        </w:rPr>
        <w:t xml:space="preserve"> Reefs are rock/coral lying at or near the sea surface. Generally the boundaries of reef areas were mapped to show the outer-most extent of each coral reef that could be observed in Landsat imagery (3dGBR – Beaman, 2010; GBRMPA).</w:t>
      </w:r>
    </w:p>
    <w:p w14:paraId="07AC6B11" w14:textId="4313B568" w:rsidR="00FF50A9" w:rsidRPr="00FF50A9" w:rsidRDefault="00FF50A9" w:rsidP="0055026A">
      <w:pPr>
        <w:pStyle w:val="NoSpacing"/>
        <w:keepNext/>
        <w:rPr>
          <w:sz w:val="18"/>
          <w:szCs w:val="18"/>
        </w:rPr>
      </w:pPr>
      <w:r w:rsidRPr="00FF50A9">
        <w:rPr>
          <w:sz w:val="18"/>
          <w:szCs w:val="18"/>
          <w:vertAlign w:val="superscript"/>
        </w:rPr>
        <w:t>3</w:t>
      </w:r>
      <w:r w:rsidRPr="00FF50A9">
        <w:rPr>
          <w:sz w:val="18"/>
          <w:szCs w:val="18"/>
        </w:rPr>
        <w:t xml:space="preserve"> Dry-reef are reefs exposed during tidal fluctuations from HAT to LAT (3dGBR – Beaman, 2010; GBRMPA).</w:t>
      </w:r>
    </w:p>
    <w:p w14:paraId="6875FB95" w14:textId="0DE739C8" w:rsidR="00A177B7" w:rsidRDefault="000156BC" w:rsidP="008D08E6">
      <w:pPr>
        <w:pStyle w:val="Heading2"/>
      </w:pPr>
      <w:bookmarkStart w:id="31" w:name="_Toc189044927"/>
      <w:r>
        <w:t xml:space="preserve">Marine </w:t>
      </w:r>
      <w:r w:rsidR="00751F65" w:rsidRPr="008D08E6">
        <w:t>p</w:t>
      </w:r>
      <w:r w:rsidRPr="008D08E6">
        <w:t>ark</w:t>
      </w:r>
      <w:r w:rsidR="00751F65" w:rsidRPr="008D08E6">
        <w:t>s</w:t>
      </w:r>
      <w:bookmarkEnd w:id="31"/>
    </w:p>
    <w:p w14:paraId="6765479A" w14:textId="4A488A63" w:rsidR="00E91998" w:rsidRDefault="00515C67" w:rsidP="00DD488F">
      <w:r>
        <w:t xml:space="preserve">The QSCF includes all the waters </w:t>
      </w:r>
      <w:r w:rsidRPr="001B2AFA">
        <w:t>of the Great Barrier Reef Marine P</w:t>
      </w:r>
      <w:r>
        <w:t xml:space="preserve">ark </w:t>
      </w:r>
      <w:r w:rsidRPr="001B2AFA">
        <w:t>(GBRMP)</w:t>
      </w:r>
      <w:r w:rsidRPr="00515C67">
        <w:t xml:space="preserve"> </w:t>
      </w:r>
      <w:r w:rsidR="003E5651" w:rsidRPr="003E5651">
        <w:t>and Ashmore, Boot</w:t>
      </w:r>
      <w:r w:rsidR="003E5651">
        <w:t xml:space="preserve">, </w:t>
      </w:r>
      <w:r>
        <w:t>Marion and Saumarez Reefs of the Coral Sea Marine Park (CSMP)</w:t>
      </w:r>
      <w:r w:rsidR="006E33C9">
        <w:t xml:space="preserve">, and </w:t>
      </w:r>
      <w:r w:rsidR="00751F65">
        <w:t>the Great Sandy Strait Marine Park (GSMP)</w:t>
      </w:r>
      <w:r w:rsidR="006E33C9">
        <w:t xml:space="preserve"> (fishing is allowed in the GSMP under permit – however none are currently granted)</w:t>
      </w:r>
      <w:r w:rsidR="00751F65">
        <w:t xml:space="preserve"> </w:t>
      </w:r>
      <w:r>
        <w:t xml:space="preserve">(Appendix A; </w:t>
      </w:r>
      <w:r>
        <w:rPr>
          <w:color w:val="2B579A"/>
          <w:shd w:val="clear" w:color="auto" w:fill="E6E6E6"/>
        </w:rPr>
        <w:fldChar w:fldCharType="begin"/>
      </w:r>
      <w:r>
        <w:instrText xml:space="preserve"> REF _Ref141189447 \h </w:instrText>
      </w:r>
      <w:r>
        <w:rPr>
          <w:color w:val="2B579A"/>
          <w:shd w:val="clear" w:color="auto" w:fill="E6E6E6"/>
        </w:rPr>
      </w:r>
      <w:r>
        <w:rPr>
          <w:color w:val="2B579A"/>
          <w:shd w:val="clear" w:color="auto" w:fill="E6E6E6"/>
        </w:rPr>
        <w:fldChar w:fldCharType="separate"/>
      </w:r>
      <w:r w:rsidR="004263D8">
        <w:t xml:space="preserve">Figure </w:t>
      </w:r>
      <w:r w:rsidR="004263D8">
        <w:rPr>
          <w:noProof/>
        </w:rPr>
        <w:t>6</w:t>
      </w:r>
      <w:r>
        <w:rPr>
          <w:color w:val="2B579A"/>
          <w:shd w:val="clear" w:color="auto" w:fill="E6E6E6"/>
        </w:rPr>
        <w:fldChar w:fldCharType="end"/>
      </w:r>
      <w:r>
        <w:t xml:space="preserve">). </w:t>
      </w:r>
      <w:r w:rsidR="00877980">
        <w:t xml:space="preserve">The </w:t>
      </w:r>
      <w:r>
        <w:t xml:space="preserve">closed areas of the GBRMP </w:t>
      </w:r>
      <w:r w:rsidR="00877980">
        <w:t>w</w:t>
      </w:r>
      <w:r>
        <w:t>ere progressively implemented between 1983 (5.3% no take) and 2004 (36.4%) (GBRMPA, 2003; McCook et al., 2010)</w:t>
      </w:r>
      <w:r w:rsidR="00877980">
        <w:t xml:space="preserve">. </w:t>
      </w:r>
      <w:r>
        <w:t xml:space="preserve">The CSMP closed area on Marion reef was implemented in </w:t>
      </w:r>
      <w:r w:rsidR="000B1AAF">
        <w:t>2018</w:t>
      </w:r>
      <w:r w:rsidR="00367AED">
        <w:t xml:space="preserve"> (</w:t>
      </w:r>
      <w:r w:rsidR="00E654AA">
        <w:t>Director of National Parks</w:t>
      </w:r>
      <w:r w:rsidR="00367AED">
        <w:t>, 2018)</w:t>
      </w:r>
      <w:r w:rsidR="000B1AAF">
        <w:t xml:space="preserve">. </w:t>
      </w:r>
    </w:p>
    <w:p w14:paraId="0B6CBCAE" w14:textId="439818FF" w:rsidR="00C24174" w:rsidRDefault="00A937D8" w:rsidP="00C24174">
      <w:r>
        <w:t xml:space="preserve">The </w:t>
      </w:r>
      <w:r w:rsidR="00D07C61">
        <w:t>protect</w:t>
      </w:r>
      <w:r w:rsidR="00515C67">
        <w:t xml:space="preserve">ed areas of the three marine parks cover about </w:t>
      </w:r>
      <w:r w:rsidR="00AF599F">
        <w:t>26</w:t>
      </w:r>
      <w:r w:rsidR="00515C67">
        <w:t xml:space="preserve">% of the total </w:t>
      </w:r>
      <w:r w:rsidR="00AF599F">
        <w:t xml:space="preserve">QSCF </w:t>
      </w:r>
      <w:r w:rsidR="00515C67">
        <w:t xml:space="preserve">fishery area, and about </w:t>
      </w:r>
      <w:r w:rsidRPr="00C24174">
        <w:t>3</w:t>
      </w:r>
      <w:r w:rsidR="00AF599F" w:rsidRPr="00C24174">
        <w:t>5</w:t>
      </w:r>
      <w:r w:rsidRPr="00C24174">
        <w:t>% of</w:t>
      </w:r>
      <w:r w:rsidR="00515C67" w:rsidRPr="00C24174">
        <w:t xml:space="preserve"> the </w:t>
      </w:r>
      <w:r w:rsidRPr="00C24174">
        <w:t>reef</w:t>
      </w:r>
      <w:r w:rsidR="00515C67" w:rsidRPr="00C24174">
        <w:t>s</w:t>
      </w:r>
      <w:r w:rsidRPr="00C24174">
        <w:t xml:space="preserve"> </w:t>
      </w:r>
      <w:r w:rsidR="00515C67" w:rsidRPr="00C24174">
        <w:t xml:space="preserve">within the </w:t>
      </w:r>
      <w:r w:rsidR="00D07C61" w:rsidRPr="00C24174">
        <w:t>QSCF</w:t>
      </w:r>
      <w:r w:rsidRPr="00C24174">
        <w:t xml:space="preserve"> </w:t>
      </w:r>
      <w:r w:rsidR="00D07C61" w:rsidRPr="00C24174">
        <w:t>(</w:t>
      </w:r>
      <w:r w:rsidR="00AF2893" w:rsidRPr="00C24174">
        <w:rPr>
          <w:color w:val="2B579A"/>
          <w:shd w:val="clear" w:color="auto" w:fill="E6E6E6"/>
        </w:rPr>
        <w:fldChar w:fldCharType="begin"/>
      </w:r>
      <w:r w:rsidR="00AF2893" w:rsidRPr="00C24174">
        <w:instrText xml:space="preserve"> REF _Ref142611992 </w:instrText>
      </w:r>
      <w:r w:rsidR="00C24174">
        <w:instrText xml:space="preserve"> \* MERGEFORMAT </w:instrText>
      </w:r>
      <w:r w:rsidR="00AF2893" w:rsidRPr="00C24174">
        <w:rPr>
          <w:color w:val="2B579A"/>
          <w:shd w:val="clear" w:color="auto" w:fill="E6E6E6"/>
        </w:rPr>
        <w:fldChar w:fldCharType="separate"/>
      </w:r>
      <w:r w:rsidR="004263D8">
        <w:t xml:space="preserve">Table </w:t>
      </w:r>
      <w:r w:rsidR="004263D8">
        <w:rPr>
          <w:noProof/>
        </w:rPr>
        <w:t>1</w:t>
      </w:r>
      <w:r w:rsidR="00AF2893" w:rsidRPr="00C24174">
        <w:rPr>
          <w:color w:val="2B579A"/>
          <w:shd w:val="clear" w:color="auto" w:fill="E6E6E6"/>
        </w:rPr>
        <w:fldChar w:fldCharType="end"/>
      </w:r>
      <w:r w:rsidR="00AF599F" w:rsidRPr="00C24174">
        <w:t xml:space="preserve">, </w:t>
      </w:r>
      <w:r w:rsidR="00D07C61" w:rsidRPr="00C24174">
        <w:rPr>
          <w:color w:val="2B579A"/>
          <w:shd w:val="clear" w:color="auto" w:fill="E6E6E6"/>
        </w:rPr>
        <w:fldChar w:fldCharType="begin"/>
      </w:r>
      <w:r w:rsidR="00D07C61" w:rsidRPr="00C24174">
        <w:instrText xml:space="preserve"> REF _Ref141189447 \h </w:instrText>
      </w:r>
      <w:r w:rsidR="00C24174">
        <w:instrText xml:space="preserve"> \* MERGEFORMAT </w:instrText>
      </w:r>
      <w:r w:rsidR="00D07C61" w:rsidRPr="00C24174">
        <w:rPr>
          <w:color w:val="2B579A"/>
          <w:shd w:val="clear" w:color="auto" w:fill="E6E6E6"/>
        </w:rPr>
      </w:r>
      <w:r w:rsidR="00D07C61" w:rsidRPr="00C24174">
        <w:rPr>
          <w:color w:val="2B579A"/>
          <w:shd w:val="clear" w:color="auto" w:fill="E6E6E6"/>
        </w:rPr>
        <w:fldChar w:fldCharType="separate"/>
      </w:r>
      <w:r w:rsidR="004263D8">
        <w:t xml:space="preserve">Figure </w:t>
      </w:r>
      <w:r w:rsidR="004263D8">
        <w:rPr>
          <w:noProof/>
        </w:rPr>
        <w:t>6</w:t>
      </w:r>
      <w:r w:rsidR="00D07C61" w:rsidRPr="00C24174">
        <w:rPr>
          <w:color w:val="2B579A"/>
          <w:shd w:val="clear" w:color="auto" w:fill="E6E6E6"/>
        </w:rPr>
        <w:fldChar w:fldCharType="end"/>
      </w:r>
      <w:r w:rsidR="00D07C61" w:rsidRPr="00C24174">
        <w:t>).</w:t>
      </w:r>
      <w:r w:rsidR="00C24174" w:rsidRPr="00C24174">
        <w:t xml:space="preserve"> Analysis of nearest neighbour distances for GBR reefs indicate that the reserve network has maintained dispersal distances between reefs, with 90% of fished reefs within 20 km of a no-take reef (McCook et al., 2010).</w:t>
      </w:r>
    </w:p>
    <w:p w14:paraId="5DFB4118" w14:textId="01A95F84" w:rsidR="0081123A" w:rsidRDefault="0081123A" w:rsidP="00DD488F"/>
    <w:p w14:paraId="27EA78DF" w14:textId="45DBE499" w:rsidR="00530752" w:rsidRDefault="00676338" w:rsidP="00DD488F">
      <w:r>
        <w:rPr>
          <w:noProof/>
        </w:rPr>
        <w:lastRenderedPageBreak/>
        <w:drawing>
          <wp:inline distT="0" distB="0" distL="0" distR="0" wp14:anchorId="1FDD88FE" wp14:editId="14EA652F">
            <wp:extent cx="5605200" cy="6480000"/>
            <wp:effectExtent l="0" t="0" r="0" b="0"/>
            <wp:docPr id="1993892220" name="Picture 3"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92220" name="Picture 3" descr="A close-up of a map&#10;&#10;Description automatically generated"/>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605200" cy="6480000"/>
                    </a:xfrm>
                    <a:prstGeom prst="rect">
                      <a:avLst/>
                    </a:prstGeom>
                    <a:ln>
                      <a:noFill/>
                    </a:ln>
                    <a:extLst>
                      <a:ext uri="{53640926-AAD7-44D8-BBD7-CCE9431645EC}">
                        <a14:shadowObscured xmlns:a14="http://schemas.microsoft.com/office/drawing/2010/main"/>
                      </a:ext>
                    </a:extLst>
                  </pic:spPr>
                </pic:pic>
              </a:graphicData>
            </a:graphic>
          </wp:inline>
        </w:drawing>
      </w:r>
    </w:p>
    <w:p w14:paraId="5A016126" w14:textId="6C6198DD" w:rsidR="00530752" w:rsidRDefault="00530752" w:rsidP="0096672D">
      <w:pPr>
        <w:pStyle w:val="Caption"/>
      </w:pPr>
      <w:bookmarkStart w:id="32" w:name="_Ref141189447"/>
      <w:bookmarkStart w:id="33" w:name="_Toc189044963"/>
      <w:r>
        <w:t xml:space="preserve">Figure </w:t>
      </w:r>
      <w:fldSimple w:instr=" SEQ Figure \* ARABIC ">
        <w:r w:rsidR="004263D8">
          <w:rPr>
            <w:noProof/>
          </w:rPr>
          <w:t>6</w:t>
        </w:r>
      </w:fldSimple>
      <w:bookmarkStart w:id="34" w:name="_Hlk151027361"/>
      <w:bookmarkEnd w:id="32"/>
      <w:r>
        <w:t>. QSCF area and areas closed to fishing (C</w:t>
      </w:r>
      <w:r w:rsidR="0045250F">
        <w:t xml:space="preserve">oral </w:t>
      </w:r>
      <w:r>
        <w:t>S</w:t>
      </w:r>
      <w:r w:rsidR="0045250F">
        <w:t xml:space="preserve">ea </w:t>
      </w:r>
      <w:r>
        <w:t>M</w:t>
      </w:r>
      <w:r w:rsidR="0045250F">
        <w:t xml:space="preserve">arine </w:t>
      </w:r>
      <w:r>
        <w:t>P</w:t>
      </w:r>
      <w:r w:rsidR="0045250F">
        <w:t>ark</w:t>
      </w:r>
      <w:r>
        <w:t xml:space="preserve"> National Park Zones</w:t>
      </w:r>
      <w:r w:rsidR="0045250F">
        <w:t>,</w:t>
      </w:r>
      <w:r>
        <w:t xml:space="preserve"> G</w:t>
      </w:r>
      <w:r w:rsidR="0045250F">
        <w:t xml:space="preserve">reat </w:t>
      </w:r>
      <w:r>
        <w:t>B</w:t>
      </w:r>
      <w:r w:rsidR="0045250F">
        <w:t xml:space="preserve">arrier </w:t>
      </w:r>
      <w:r>
        <w:t>R</w:t>
      </w:r>
      <w:r w:rsidR="0045250F">
        <w:t xml:space="preserve">eef </w:t>
      </w:r>
      <w:r>
        <w:t>M</w:t>
      </w:r>
      <w:r w:rsidR="0045250F">
        <w:t xml:space="preserve">arine </w:t>
      </w:r>
      <w:r>
        <w:t>P</w:t>
      </w:r>
      <w:r w:rsidR="0045250F">
        <w:t>ark</w:t>
      </w:r>
      <w:r>
        <w:t xml:space="preserve"> </w:t>
      </w:r>
      <w:r w:rsidR="0045250F">
        <w:t>n</w:t>
      </w:r>
      <w:r>
        <w:t xml:space="preserve">o fishing zones (IUCN </w:t>
      </w:r>
      <w:r w:rsidR="00CB2EB6">
        <w:t>I</w:t>
      </w:r>
      <w:r>
        <w:t>A and II</w:t>
      </w:r>
      <w:r w:rsidR="0045250F">
        <w:t>), and the Great Sandy Marine Park</w:t>
      </w:r>
      <w:r>
        <w:t>)</w:t>
      </w:r>
      <w:bookmarkEnd w:id="34"/>
      <w:r>
        <w:t>.</w:t>
      </w:r>
      <w:bookmarkEnd w:id="33"/>
    </w:p>
    <w:p w14:paraId="6EBF0B69" w14:textId="77777777" w:rsidR="00395DB3" w:rsidRDefault="00395DB3" w:rsidP="00395DB3"/>
    <w:p w14:paraId="097F35F0" w14:textId="77777777" w:rsidR="00892D6F" w:rsidRPr="00A60F4F" w:rsidRDefault="00892D6F" w:rsidP="000A6D1F">
      <w:pPr>
        <w:pStyle w:val="Heading1"/>
        <w:ind w:left="851" w:hanging="851"/>
      </w:pPr>
      <w:bookmarkStart w:id="35" w:name="_Toc138269041"/>
      <w:bookmarkStart w:id="36" w:name="_Toc139374121"/>
      <w:bookmarkStart w:id="37" w:name="_Toc189044928"/>
      <w:r w:rsidRPr="00A60F4F">
        <w:lastRenderedPageBreak/>
        <w:t xml:space="preserve">The </w:t>
      </w:r>
      <w:r w:rsidRPr="008D08E6">
        <w:t>species</w:t>
      </w:r>
      <w:bookmarkEnd w:id="35"/>
      <w:bookmarkEnd w:id="36"/>
      <w:bookmarkEnd w:id="37"/>
    </w:p>
    <w:p w14:paraId="7A950CA7" w14:textId="799B88DB" w:rsidR="00892D6F" w:rsidRDefault="00892D6F" w:rsidP="008D08E6">
      <w:pPr>
        <w:pStyle w:val="Heading2"/>
      </w:pPr>
      <w:bookmarkStart w:id="38" w:name="_Toc138269042"/>
      <w:bookmarkStart w:id="39" w:name="_Toc139374122"/>
      <w:bookmarkStart w:id="40" w:name="_Toc189044929"/>
      <w:r>
        <w:t xml:space="preserve">Distribution </w:t>
      </w:r>
      <w:r w:rsidRPr="008D08E6">
        <w:t>within</w:t>
      </w:r>
      <w:r>
        <w:t xml:space="preserve"> the </w:t>
      </w:r>
      <w:bookmarkEnd w:id="38"/>
      <w:bookmarkEnd w:id="39"/>
      <w:r w:rsidR="00B41EFC">
        <w:t>QSCF</w:t>
      </w:r>
      <w:bookmarkEnd w:id="40"/>
    </w:p>
    <w:p w14:paraId="2050662A" w14:textId="65A9183E" w:rsidR="00892D6F" w:rsidRDefault="0024223C" w:rsidP="00A87F05">
      <w:pPr>
        <w:pStyle w:val="Heading3"/>
        <w:ind w:left="851" w:hanging="851"/>
      </w:pPr>
      <w:r>
        <w:t>Black teatfish</w:t>
      </w:r>
    </w:p>
    <w:p w14:paraId="2257B89F" w14:textId="7E188569" w:rsidR="00220A7F" w:rsidRDefault="00C12ED0" w:rsidP="00D0176E">
      <w:r>
        <w:t>Black teatfish</w:t>
      </w:r>
      <w:r w:rsidR="00220A7F">
        <w:t xml:space="preserve"> are found throughout the </w:t>
      </w:r>
      <w:r w:rsidR="00AF599F">
        <w:t>QSCF</w:t>
      </w:r>
      <w:r w:rsidR="00220A7F">
        <w:t xml:space="preserve"> area. </w:t>
      </w:r>
      <w:r w:rsidR="00AF599F">
        <w:t xml:space="preserve">They have been caught by the fishery in almost every </w:t>
      </w:r>
      <w:r w:rsidR="00D76696">
        <w:t>rotational fishing zone throughout the fishery</w:t>
      </w:r>
      <w:r w:rsidR="00274EA8">
        <w:t xml:space="preserve"> (see Section 5.1.1. for background on rotational fishing zones)</w:t>
      </w:r>
      <w:r w:rsidR="00D76696">
        <w:t xml:space="preserve">, though they appear to be more common (using fishery catch per day as a rough proxy of density) in the </w:t>
      </w:r>
      <w:r w:rsidR="00E03821">
        <w:t xml:space="preserve">northern and southern </w:t>
      </w:r>
      <w:r w:rsidR="00D76696">
        <w:t>GBR reefs</w:t>
      </w:r>
      <w:r w:rsidR="00E03821">
        <w:t xml:space="preserve"> (though patchy in the south)</w:t>
      </w:r>
      <w:r w:rsidR="00D76696">
        <w:t xml:space="preserve"> (</w:t>
      </w:r>
      <w:fldSimple w:instr=" REF _Ref142423764 ">
        <w:r w:rsidR="004263D8">
          <w:t xml:space="preserve">Figure </w:t>
        </w:r>
        <w:r w:rsidR="004263D8">
          <w:rPr>
            <w:noProof/>
          </w:rPr>
          <w:t>7</w:t>
        </w:r>
      </w:fldSimple>
      <w:r w:rsidR="00D76696">
        <w:t>)</w:t>
      </w:r>
      <w:r w:rsidR="00295D20">
        <w:t xml:space="preserve"> – however </w:t>
      </w:r>
      <w:r w:rsidR="00414408">
        <w:t xml:space="preserve">the catch per day for reefs between Townsville and Cooktown may be lower due to depletion before 1995. </w:t>
      </w:r>
      <w:r w:rsidR="00E03821">
        <w:t xml:space="preserve">They have not been fished </w:t>
      </w:r>
      <w:r w:rsidR="00414408">
        <w:t>o</w:t>
      </w:r>
      <w:r w:rsidR="00E03821">
        <w:t xml:space="preserve">n </w:t>
      </w:r>
      <w:r w:rsidR="00D76696">
        <w:t xml:space="preserve">the </w:t>
      </w:r>
      <w:r w:rsidR="00A46EBC">
        <w:t>three</w:t>
      </w:r>
      <w:r w:rsidR="00D76696">
        <w:t xml:space="preserve"> offshore reefs, </w:t>
      </w:r>
      <w:r w:rsidR="00A46EBC">
        <w:t xml:space="preserve">Ashmore, </w:t>
      </w:r>
      <w:r w:rsidR="00D76696">
        <w:t>Saumarez and M</w:t>
      </w:r>
      <w:r w:rsidR="00E24207">
        <w:t>a</w:t>
      </w:r>
      <w:r w:rsidR="00D76696">
        <w:t>rion Reef (</w:t>
      </w:r>
      <w:fldSimple w:instr=" REF _Ref142423764 ">
        <w:r w:rsidR="004263D8">
          <w:t xml:space="preserve">Figure </w:t>
        </w:r>
        <w:r w:rsidR="004263D8">
          <w:rPr>
            <w:noProof/>
          </w:rPr>
          <w:t>7</w:t>
        </w:r>
      </w:fldSimple>
      <w:r w:rsidR="00D76696">
        <w:t xml:space="preserve">). </w:t>
      </w:r>
    </w:p>
    <w:p w14:paraId="59BDDAF5" w14:textId="716670D1" w:rsidR="00274EA8" w:rsidRDefault="00414408" w:rsidP="00D0176E">
      <w:r>
        <w:t xml:space="preserve">This pattern matches that seen during broadscale surveys (Benzie and Uthicke, 2003; </w:t>
      </w:r>
      <w:r w:rsidR="00FB6BA5">
        <w:t xml:space="preserve">Uthicke et al., 2004; </w:t>
      </w:r>
      <w:r>
        <w:t>Knuckey and Koopman, 2016; Koopman and Knuckey, 2021</w:t>
      </w:r>
      <w:r w:rsidR="00FB6BA5">
        <w:t>; Skewes and Persson, 2017</w:t>
      </w:r>
      <w:r>
        <w:t xml:space="preserve">). </w:t>
      </w:r>
    </w:p>
    <w:p w14:paraId="1887E0B6" w14:textId="389B9D7E" w:rsidR="00B41EFC" w:rsidRDefault="009906D3" w:rsidP="006905CC">
      <w:pPr>
        <w:keepNext/>
      </w:pPr>
      <w:r>
        <w:rPr>
          <w:noProof/>
        </w:rPr>
        <w:drawing>
          <wp:inline distT="0" distB="0" distL="0" distR="0" wp14:anchorId="44F5C01E" wp14:editId="27E846A1">
            <wp:extent cx="4833047" cy="5580000"/>
            <wp:effectExtent l="0" t="0" r="5715" b="1905"/>
            <wp:docPr id="665049911" name="Picture 1" descr="A map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49911" name="Picture 1" descr="A map of the pacific ocean&#10;&#10;Description automatically generated"/>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4833047" cy="5580000"/>
                    </a:xfrm>
                    <a:prstGeom prst="rect">
                      <a:avLst/>
                    </a:prstGeom>
                    <a:ln>
                      <a:noFill/>
                    </a:ln>
                    <a:extLst>
                      <a:ext uri="{53640926-AAD7-44D8-BBD7-CCE9431645EC}">
                        <a14:shadowObscured xmlns:a14="http://schemas.microsoft.com/office/drawing/2010/main"/>
                      </a:ext>
                    </a:extLst>
                  </pic:spPr>
                </pic:pic>
              </a:graphicData>
            </a:graphic>
          </wp:inline>
        </w:drawing>
      </w:r>
    </w:p>
    <w:p w14:paraId="2FC45A58" w14:textId="57AE13DA" w:rsidR="00B41EFC" w:rsidRDefault="00B41EFC" w:rsidP="0096672D">
      <w:pPr>
        <w:pStyle w:val="Caption"/>
      </w:pPr>
      <w:bookmarkStart w:id="41" w:name="_Ref142423764"/>
      <w:bookmarkStart w:id="42" w:name="_Toc189044964"/>
      <w:r>
        <w:t xml:space="preserve">Figure </w:t>
      </w:r>
      <w:fldSimple w:instr=" SEQ Figure \* ARABIC ">
        <w:r w:rsidR="004263D8">
          <w:rPr>
            <w:noProof/>
          </w:rPr>
          <w:t>7</w:t>
        </w:r>
      </w:fldSimple>
      <w:bookmarkEnd w:id="41"/>
      <w:r>
        <w:t xml:space="preserve">. </w:t>
      </w:r>
      <w:r w:rsidR="008E3DA6">
        <w:t>Average c</w:t>
      </w:r>
      <w:r w:rsidRPr="00AA2B5D">
        <w:t xml:space="preserve">atch </w:t>
      </w:r>
      <w:r w:rsidR="00220A7F">
        <w:t xml:space="preserve">per day </w:t>
      </w:r>
      <w:r w:rsidR="008E3DA6">
        <w:t>(kg</w:t>
      </w:r>
      <w:r w:rsidR="009906D3">
        <w:t>/d</w:t>
      </w:r>
      <w:r w:rsidR="008E3DA6">
        <w:t xml:space="preserve">) </w:t>
      </w:r>
      <w:r w:rsidR="00D0176E">
        <w:t xml:space="preserve">for </w:t>
      </w:r>
      <w:r w:rsidR="00FE3A4E">
        <w:t>Black teatfish</w:t>
      </w:r>
      <w:r w:rsidRPr="00AA2B5D">
        <w:t xml:space="preserve"> </w:t>
      </w:r>
      <w:r w:rsidR="008E3DA6">
        <w:t xml:space="preserve">by rotational zone for the period </w:t>
      </w:r>
      <w:r w:rsidR="00D479DA">
        <w:t xml:space="preserve">1995-96 to 2022-23 </w:t>
      </w:r>
      <w:r w:rsidR="006905CC">
        <w:t>(QSCF vessel logbook data)</w:t>
      </w:r>
      <w:r w:rsidRPr="00AA2B5D">
        <w:t>.</w:t>
      </w:r>
      <w:bookmarkEnd w:id="42"/>
    </w:p>
    <w:p w14:paraId="15FF3ACB" w14:textId="22FAAD44" w:rsidR="00CD12B5" w:rsidRDefault="00414408" w:rsidP="00DC5D6D">
      <w:r>
        <w:lastRenderedPageBreak/>
        <w:t xml:space="preserve">Black teatfish </w:t>
      </w:r>
      <w:r w:rsidR="00367AED">
        <w:t>are exclusively found associated with reef structures and are rare or absent in the deeper inter-reefal shelf areas of the GBR (Pitcher et al., 2007). T</w:t>
      </w:r>
      <w:r w:rsidR="00367AED" w:rsidRPr="00D0176E">
        <w:t xml:space="preserve">heir </w:t>
      </w:r>
      <w:r w:rsidR="00367AED">
        <w:t xml:space="preserve">documented </w:t>
      </w:r>
      <w:r w:rsidR="00367AED" w:rsidRPr="00D0176E">
        <w:t>habitat preference</w:t>
      </w:r>
      <w:r w:rsidR="00367AED">
        <w:t xml:space="preserve"> is for </w:t>
      </w:r>
      <w:r w:rsidR="00DC5D6D">
        <w:t xml:space="preserve">on reef flats, reef slopes and sandy seagrass beds between 0 and 20 m </w:t>
      </w:r>
      <w:r w:rsidR="00367AED">
        <w:t>(Purcell et al., 2023</w:t>
      </w:r>
      <w:r w:rsidR="00236B55">
        <w:t>a</w:t>
      </w:r>
      <w:r w:rsidR="00367AED">
        <w:t>), and in the QSCF</w:t>
      </w:r>
      <w:r w:rsidR="00367AED" w:rsidRPr="00D0176E">
        <w:t xml:space="preserve">, they are mostly caught </w:t>
      </w:r>
      <w:r w:rsidR="0060719B">
        <w:t xml:space="preserve">in waters shallower than 20 m </w:t>
      </w:r>
      <w:r w:rsidR="0060719B" w:rsidRPr="00D0176E">
        <w:t>(</w:t>
      </w:r>
      <w:r w:rsidR="0060719B" w:rsidRPr="00D0176E">
        <w:rPr>
          <w:color w:val="2B579A"/>
          <w:shd w:val="clear" w:color="auto" w:fill="E6E6E6"/>
        </w:rPr>
        <w:fldChar w:fldCharType="begin"/>
      </w:r>
      <w:r w:rsidR="0060719B" w:rsidRPr="00D0176E">
        <w:instrText xml:space="preserve"> REF _Ref142423936 \h  \* MERGEFORMAT </w:instrText>
      </w:r>
      <w:r w:rsidR="0060719B" w:rsidRPr="00D0176E">
        <w:rPr>
          <w:color w:val="2B579A"/>
          <w:shd w:val="clear" w:color="auto" w:fill="E6E6E6"/>
        </w:rPr>
      </w:r>
      <w:r w:rsidR="0060719B" w:rsidRPr="00D0176E">
        <w:rPr>
          <w:color w:val="2B579A"/>
          <w:shd w:val="clear" w:color="auto" w:fill="E6E6E6"/>
        </w:rPr>
        <w:fldChar w:fldCharType="separate"/>
      </w:r>
      <w:r w:rsidR="004263D8">
        <w:t>Figure 8</w:t>
      </w:r>
      <w:r w:rsidR="0060719B" w:rsidRPr="00D0176E">
        <w:rPr>
          <w:color w:val="2B579A"/>
          <w:shd w:val="clear" w:color="auto" w:fill="E6E6E6"/>
        </w:rPr>
        <w:fldChar w:fldCharType="end"/>
      </w:r>
      <w:r w:rsidR="0060719B" w:rsidRPr="00D0176E">
        <w:t>)</w:t>
      </w:r>
      <w:r w:rsidR="00CD12B5">
        <w:t xml:space="preserve">. However, their habitat preference appears to differ across their range within the QSCF – with the shallow reef top </w:t>
      </w:r>
      <w:r w:rsidR="00295D20">
        <w:t>preferred</w:t>
      </w:r>
      <w:r w:rsidR="00CD12B5">
        <w:t xml:space="preserve"> in the north, and both the shallow reef top and deeper reef edge habitats in the south (Koopman and Knuckey, 2021)</w:t>
      </w:r>
      <w:r w:rsidR="00367AED">
        <w:t xml:space="preserve"> </w:t>
      </w:r>
      <w:r w:rsidR="00CD12B5">
        <w:t xml:space="preserve">(indeed the catch at depth data illustrated in </w:t>
      </w:r>
      <w:r w:rsidR="00CD12B5">
        <w:fldChar w:fldCharType="begin"/>
      </w:r>
      <w:r w:rsidR="00CD12B5">
        <w:instrText xml:space="preserve"> REF _Ref142423936 \h </w:instrText>
      </w:r>
      <w:r w:rsidR="00CD12B5">
        <w:fldChar w:fldCharType="separate"/>
      </w:r>
      <w:r w:rsidR="004263D8">
        <w:t xml:space="preserve">Figure </w:t>
      </w:r>
      <w:r w:rsidR="004263D8">
        <w:rPr>
          <w:noProof/>
        </w:rPr>
        <w:t>8</w:t>
      </w:r>
      <w:r w:rsidR="00CD12B5">
        <w:fldChar w:fldCharType="end"/>
      </w:r>
      <w:r w:rsidR="00CD12B5">
        <w:t xml:space="preserve"> primarily reflects the southern GBR depth distribution, as most of the catch</w:t>
      </w:r>
      <w:r w:rsidR="006C43C5">
        <w:t>-depth</w:t>
      </w:r>
      <w:r w:rsidR="00CD12B5">
        <w:t xml:space="preserve"> records were from that region).</w:t>
      </w:r>
    </w:p>
    <w:p w14:paraId="1ACAAC9A" w14:textId="77777777" w:rsidR="00B41EFC" w:rsidRPr="00AA2B5D" w:rsidRDefault="00B41EFC" w:rsidP="00B41EFC"/>
    <w:p w14:paraId="4B4BB832" w14:textId="71629AAB" w:rsidR="0081123A" w:rsidRDefault="0034044E" w:rsidP="0081123A">
      <w:r>
        <w:rPr>
          <w:noProof/>
        </w:rPr>
        <w:drawing>
          <wp:inline distT="0" distB="0" distL="0" distR="0" wp14:anchorId="77DC029B" wp14:editId="0A6D8DDE">
            <wp:extent cx="4680000" cy="2535440"/>
            <wp:effectExtent l="0" t="0" r="6350" b="0"/>
            <wp:docPr id="10354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680000" cy="2535440"/>
                    </a:xfrm>
                    <a:prstGeom prst="rect">
                      <a:avLst/>
                    </a:prstGeom>
                    <a:noFill/>
                  </pic:spPr>
                </pic:pic>
              </a:graphicData>
            </a:graphic>
          </wp:inline>
        </w:drawing>
      </w:r>
    </w:p>
    <w:p w14:paraId="32E63B05" w14:textId="29FCAA47" w:rsidR="0081123A" w:rsidRPr="00220A7F" w:rsidRDefault="0081123A" w:rsidP="0096672D">
      <w:pPr>
        <w:pStyle w:val="Caption"/>
      </w:pPr>
      <w:bookmarkStart w:id="43" w:name="_Ref142423936"/>
      <w:bookmarkStart w:id="44" w:name="_Toc189044965"/>
      <w:r>
        <w:t xml:space="preserve">Figure </w:t>
      </w:r>
      <w:fldSimple w:instr=" SEQ Figure \* ARABIC ">
        <w:r w:rsidR="004263D8">
          <w:rPr>
            <w:noProof/>
          </w:rPr>
          <w:t>8</w:t>
        </w:r>
      </w:fldSimple>
      <w:bookmarkEnd w:id="43"/>
      <w:r>
        <w:t xml:space="preserve">. </w:t>
      </w:r>
      <w:r w:rsidRPr="00220A7F">
        <w:t>Catch (t</w:t>
      </w:r>
      <w:r w:rsidR="007A5281">
        <w:t>onnes landed wt</w:t>
      </w:r>
      <w:r w:rsidRPr="00220A7F">
        <w:t xml:space="preserve">) of </w:t>
      </w:r>
      <w:r w:rsidR="00D177B6">
        <w:t>Black teatfish</w:t>
      </w:r>
      <w:r w:rsidRPr="00220A7F">
        <w:t xml:space="preserve"> by depth (m) rounded to the nearest 5 m</w:t>
      </w:r>
      <w:r w:rsidR="00220A7F">
        <w:t xml:space="preserve"> </w:t>
      </w:r>
      <w:r w:rsidR="00D0176E">
        <w:t xml:space="preserve">for all catch data with depth recorded in the logbooks </w:t>
      </w:r>
      <w:r w:rsidR="00CD12B5">
        <w:t>2019-20</w:t>
      </w:r>
      <w:r w:rsidR="00D479DA">
        <w:t xml:space="preserve"> to 202</w:t>
      </w:r>
      <w:r w:rsidR="00CD12B5">
        <w:t>3</w:t>
      </w:r>
      <w:r w:rsidR="00D479DA">
        <w:t>-2</w:t>
      </w:r>
      <w:r w:rsidR="00CD12B5">
        <w:t>4</w:t>
      </w:r>
      <w:r w:rsidR="00D479DA">
        <w:t xml:space="preserve"> </w:t>
      </w:r>
      <w:r w:rsidR="006905CC">
        <w:t>(QSCF vessel logbook data)</w:t>
      </w:r>
      <w:r w:rsidRPr="00220A7F">
        <w:t>.</w:t>
      </w:r>
      <w:bookmarkEnd w:id="44"/>
    </w:p>
    <w:p w14:paraId="6BDD60CA" w14:textId="77777777" w:rsidR="00B41EFC" w:rsidRDefault="00B41EFC" w:rsidP="00892D6F">
      <w:pPr>
        <w:rPr>
          <w:sz w:val="23"/>
          <w:szCs w:val="23"/>
        </w:rPr>
      </w:pPr>
    </w:p>
    <w:p w14:paraId="0A2267FF" w14:textId="2DEB2C2B" w:rsidR="00892D6F" w:rsidRPr="00892D6F" w:rsidRDefault="0024223C" w:rsidP="00A87F05">
      <w:pPr>
        <w:pStyle w:val="Heading3"/>
        <w:ind w:left="851" w:hanging="851"/>
      </w:pPr>
      <w:r>
        <w:t>White teatfish</w:t>
      </w:r>
    </w:p>
    <w:p w14:paraId="284E6F58" w14:textId="2D817EB0" w:rsidR="00E24207" w:rsidRDefault="003C48D7" w:rsidP="006B354F">
      <w:r>
        <w:t xml:space="preserve">White teatfish are found throughout the </w:t>
      </w:r>
      <w:r w:rsidR="00E24207">
        <w:t xml:space="preserve">QSCF </w:t>
      </w:r>
      <w:r>
        <w:t>but appear to have a higher density in the northern regions of the GBR (using catch per day as a proxy for density)</w:t>
      </w:r>
      <w:r w:rsidR="006B354F">
        <w:t xml:space="preserve">, north of about Townsville at 19° 30’S </w:t>
      </w:r>
      <w:r w:rsidR="001767A4">
        <w:t>and on the three offshore reefs</w:t>
      </w:r>
      <w:r w:rsidR="00E24207">
        <w:t xml:space="preserve"> (</w:t>
      </w:r>
      <w:fldSimple w:instr=" REF _Ref142613278 ">
        <w:r w:rsidR="004263D8" w:rsidRPr="0096672D">
          <w:t xml:space="preserve">Figure </w:t>
        </w:r>
        <w:r w:rsidR="004263D8">
          <w:rPr>
            <w:noProof/>
          </w:rPr>
          <w:t>9</w:t>
        </w:r>
      </w:fldSimple>
      <w:r w:rsidR="001A7663">
        <w:rPr>
          <w:noProof/>
        </w:rPr>
        <w:t xml:space="preserve">; </w:t>
      </w:r>
      <w:r w:rsidR="001A7663">
        <w:t>Koopman and Knuckey, 2021b</w:t>
      </w:r>
      <w:r w:rsidR="00E24207">
        <w:t>).</w:t>
      </w:r>
      <w:r w:rsidR="00A83E17">
        <w:t xml:space="preserve"> </w:t>
      </w:r>
    </w:p>
    <w:p w14:paraId="12CF8B5A" w14:textId="1AD58250" w:rsidR="00F05CFD" w:rsidRPr="009F4DBE" w:rsidRDefault="001A7663" w:rsidP="009F4DBE">
      <w:r w:rsidRPr="009F4DBE">
        <w:t xml:space="preserve">Their documented habitat preference is for outer barrier reef slopes, reef passes and sandy areas in semi-sheltered reef habitats in 10 to 50 m water depth (Purcell et al., 2023a). In the QSCF, </w:t>
      </w:r>
      <w:r w:rsidR="00607866" w:rsidRPr="009F4DBE">
        <w:t>fishers report</w:t>
      </w:r>
      <w:r w:rsidR="009F4DBE" w:rsidRPr="009F4DBE">
        <w:t>, and the fine scale logbook data confirms,</w:t>
      </w:r>
      <w:r w:rsidR="00607866" w:rsidRPr="009F4DBE">
        <w:t xml:space="preserve"> that </w:t>
      </w:r>
      <w:r w:rsidRPr="009F4DBE">
        <w:t xml:space="preserve">most of the fishery catch </w:t>
      </w:r>
      <w:r w:rsidR="00607866" w:rsidRPr="009F4DBE">
        <w:t xml:space="preserve">between Townsville and about </w:t>
      </w:r>
      <w:r w:rsidR="009F4DBE" w:rsidRPr="009F4DBE">
        <w:t xml:space="preserve">Cape Flattery </w:t>
      </w:r>
      <w:r w:rsidR="00607866" w:rsidRPr="009F4DBE">
        <w:t>(1</w:t>
      </w:r>
      <w:r w:rsidR="009F4DBE" w:rsidRPr="009F4DBE">
        <w:t>5</w:t>
      </w:r>
      <w:r w:rsidR="00607866" w:rsidRPr="009F4DBE">
        <w:t>°S</w:t>
      </w:r>
      <w:r w:rsidR="009F4DBE" w:rsidRPr="009F4DBE">
        <w:t>)</w:t>
      </w:r>
      <w:r w:rsidR="00607866" w:rsidRPr="009F4DBE">
        <w:t xml:space="preserve"> </w:t>
      </w:r>
      <w:r w:rsidRPr="009F4DBE">
        <w:t xml:space="preserve">is </w:t>
      </w:r>
      <w:r w:rsidR="009F4DBE" w:rsidRPr="009F4DBE">
        <w:t xml:space="preserve">taken from </w:t>
      </w:r>
      <w:r w:rsidR="00295D20">
        <w:t xml:space="preserve">deep </w:t>
      </w:r>
      <w:r w:rsidR="009F4DBE" w:rsidRPr="009F4DBE">
        <w:t xml:space="preserve">reef edges or features associated with reefs; whereas north of that </w:t>
      </w:r>
      <w:r w:rsidR="00295D20">
        <w:t xml:space="preserve">they are </w:t>
      </w:r>
      <w:r w:rsidR="009F4DBE" w:rsidRPr="009F4DBE">
        <w:t>mostly taken in</w:t>
      </w:r>
      <w:r w:rsidRPr="009F4DBE">
        <w:t xml:space="preserve"> </w:t>
      </w:r>
      <w:r w:rsidR="009F4DBE" w:rsidRPr="009F4DBE">
        <w:t>deep</w:t>
      </w:r>
      <w:r w:rsidR="00295D20">
        <w:t>er</w:t>
      </w:r>
      <w:r w:rsidR="009F4DBE" w:rsidRPr="009F4DBE">
        <w:t xml:space="preserve"> </w:t>
      </w:r>
      <w:r w:rsidRPr="009F4DBE">
        <w:t xml:space="preserve">waters on the landward side of outer </w:t>
      </w:r>
      <w:r w:rsidR="009F4DBE" w:rsidRPr="009F4DBE">
        <w:t>barrier reefs</w:t>
      </w:r>
      <w:r w:rsidRPr="009F4DBE">
        <w:t xml:space="preserve">, associated with bottom features </w:t>
      </w:r>
      <w:r w:rsidR="00295D20">
        <w:t>colloquially called</w:t>
      </w:r>
      <w:r w:rsidRPr="009F4DBE">
        <w:t xml:space="preserve"> “sinkies” and “tabletops” (Koopman and Knuckey, 2021b). </w:t>
      </w:r>
    </w:p>
    <w:p w14:paraId="6412596F" w14:textId="73F9D68C" w:rsidR="00E24207" w:rsidRPr="00D0176E" w:rsidRDefault="009F4DBE" w:rsidP="001A7663">
      <w:r>
        <w:t xml:space="preserve">Throughout </w:t>
      </w:r>
      <w:r w:rsidR="00E24207">
        <w:t>the QSCF</w:t>
      </w:r>
      <w:r w:rsidR="00E24207" w:rsidRPr="00D0176E">
        <w:t xml:space="preserve">, they are mostly caught between </w:t>
      </w:r>
      <w:r w:rsidR="0034044E">
        <w:t>20</w:t>
      </w:r>
      <w:r w:rsidR="00E24207" w:rsidRPr="00D0176E">
        <w:t xml:space="preserve"> and </w:t>
      </w:r>
      <w:r w:rsidR="0034044E">
        <w:t>30</w:t>
      </w:r>
      <w:r w:rsidR="00E24207" w:rsidRPr="00D0176E">
        <w:t xml:space="preserve"> m depth (</w:t>
      </w:r>
      <w:fldSimple w:instr=" REF _Ref142613753 ">
        <w:r w:rsidR="004263D8">
          <w:t xml:space="preserve">Figure </w:t>
        </w:r>
        <w:r w:rsidR="004263D8">
          <w:rPr>
            <w:noProof/>
          </w:rPr>
          <w:t>10</w:t>
        </w:r>
      </w:fldSimple>
      <w:r w:rsidR="00E24207" w:rsidRPr="00D0176E">
        <w:t>)</w:t>
      </w:r>
      <w:r w:rsidR="001A7663">
        <w:t>, with over 80% of the catch coming from 15–30 m depth (Koopman and Knuckey, 2021b)</w:t>
      </w:r>
      <w:r>
        <w:t xml:space="preserve"> – though this depth range may be truncated due to diving depth restrictions</w:t>
      </w:r>
      <w:r w:rsidR="00E24207">
        <w:t xml:space="preserve">. </w:t>
      </w:r>
      <w:r w:rsidR="00335F4A">
        <w:t>Surveys in east Torres Strait using underwater video transects have found that 72% of the White teatfish population was in deep (&gt;20 m deep) reef associated habitats, though none were seen deeper than 37 m (Murphy et al.</w:t>
      </w:r>
      <w:r w:rsidR="00295D20">
        <w:t>,</w:t>
      </w:r>
      <w:r w:rsidR="00335F4A">
        <w:t xml:space="preserve"> 2021</w:t>
      </w:r>
      <w:r w:rsidR="00295D20">
        <w:t>a</w:t>
      </w:r>
      <w:r w:rsidR="00335F4A">
        <w:rPr>
          <w:i/>
          <w:iCs/>
        </w:rPr>
        <w:t xml:space="preserve">; </w:t>
      </w:r>
      <w:r w:rsidR="00335F4A">
        <w:t>Murphy et al.</w:t>
      </w:r>
      <w:r w:rsidR="00295D20">
        <w:t>,</w:t>
      </w:r>
      <w:r w:rsidR="00335F4A">
        <w:t xml:space="preserve"> 2021</w:t>
      </w:r>
      <w:r w:rsidR="00295D20">
        <w:t>b</w:t>
      </w:r>
      <w:r w:rsidR="00335F4A">
        <w:t>).</w:t>
      </w:r>
    </w:p>
    <w:p w14:paraId="5D1491FD" w14:textId="5B598300" w:rsidR="00D0176E" w:rsidRDefault="006A5376" w:rsidP="006905CC">
      <w:pPr>
        <w:keepNext/>
      </w:pPr>
      <w:r>
        <w:rPr>
          <w:noProof/>
        </w:rPr>
        <w:lastRenderedPageBreak/>
        <w:drawing>
          <wp:inline distT="0" distB="0" distL="0" distR="0" wp14:anchorId="140387D8" wp14:editId="231C296A">
            <wp:extent cx="4845571" cy="5580000"/>
            <wp:effectExtent l="0" t="0" r="0" b="1905"/>
            <wp:docPr id="540858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58700" name="Picture 540858700"/>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4845571" cy="5580000"/>
                    </a:xfrm>
                    <a:prstGeom prst="rect">
                      <a:avLst/>
                    </a:prstGeom>
                    <a:ln>
                      <a:noFill/>
                    </a:ln>
                    <a:extLst>
                      <a:ext uri="{53640926-AAD7-44D8-BBD7-CCE9431645EC}">
                        <a14:shadowObscured xmlns:a14="http://schemas.microsoft.com/office/drawing/2010/main"/>
                      </a:ext>
                    </a:extLst>
                  </pic:spPr>
                </pic:pic>
              </a:graphicData>
            </a:graphic>
          </wp:inline>
        </w:drawing>
      </w:r>
    </w:p>
    <w:p w14:paraId="79EA39F8" w14:textId="0926DB84" w:rsidR="00D0176E" w:rsidRPr="0096672D" w:rsidRDefault="008E3DA6" w:rsidP="0096672D">
      <w:pPr>
        <w:pStyle w:val="Caption"/>
      </w:pPr>
      <w:bookmarkStart w:id="45" w:name="_Ref142613278"/>
      <w:bookmarkStart w:id="46" w:name="_Toc189044966"/>
      <w:r w:rsidRPr="0096672D">
        <w:t xml:space="preserve">Figure </w:t>
      </w:r>
      <w:fldSimple w:instr=" SEQ Figure \* ARABIC ">
        <w:r w:rsidR="004263D8">
          <w:rPr>
            <w:noProof/>
          </w:rPr>
          <w:t>9</w:t>
        </w:r>
      </w:fldSimple>
      <w:bookmarkEnd w:id="45"/>
      <w:r w:rsidRPr="0096672D">
        <w:t xml:space="preserve">. Average catch per day (kg) for </w:t>
      </w:r>
      <w:r w:rsidR="00FE3A4E">
        <w:t>White teatfish</w:t>
      </w:r>
      <w:r w:rsidRPr="0096672D">
        <w:t xml:space="preserve"> catches by rotational zone for the period </w:t>
      </w:r>
      <w:r w:rsidR="00D479DA">
        <w:t xml:space="preserve">1995-96 to 2022-23 </w:t>
      </w:r>
      <w:r w:rsidR="006905CC">
        <w:t>(QSCF vessel logbook data).</w:t>
      </w:r>
      <w:bookmarkEnd w:id="46"/>
    </w:p>
    <w:p w14:paraId="0765CD02" w14:textId="5C25650B" w:rsidR="0096672D" w:rsidRDefault="00702A38" w:rsidP="0096672D">
      <w:pPr>
        <w:keepNext/>
      </w:pPr>
      <w:r>
        <w:rPr>
          <w:noProof/>
        </w:rPr>
        <w:drawing>
          <wp:inline distT="0" distB="0" distL="0" distR="0" wp14:anchorId="634C0D1C" wp14:editId="49CEF1B9">
            <wp:extent cx="4680000" cy="2532718"/>
            <wp:effectExtent l="0" t="0" r="6350" b="1270"/>
            <wp:docPr id="1161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680000" cy="2532718"/>
                    </a:xfrm>
                    <a:prstGeom prst="rect">
                      <a:avLst/>
                    </a:prstGeom>
                    <a:noFill/>
                  </pic:spPr>
                </pic:pic>
              </a:graphicData>
            </a:graphic>
          </wp:inline>
        </w:drawing>
      </w:r>
    </w:p>
    <w:p w14:paraId="4D3F72FF" w14:textId="7178C432" w:rsidR="00D0176E" w:rsidRPr="00220A7F" w:rsidRDefault="00D0176E" w:rsidP="0096672D">
      <w:pPr>
        <w:pStyle w:val="Caption"/>
      </w:pPr>
      <w:bookmarkStart w:id="47" w:name="_Ref142613753"/>
      <w:bookmarkStart w:id="48" w:name="_Toc189044967"/>
      <w:r>
        <w:t xml:space="preserve">Figure </w:t>
      </w:r>
      <w:fldSimple w:instr=" SEQ Figure \* ARABIC ">
        <w:r w:rsidR="004263D8">
          <w:rPr>
            <w:noProof/>
          </w:rPr>
          <w:t>10</w:t>
        </w:r>
      </w:fldSimple>
      <w:bookmarkEnd w:id="47"/>
      <w:r>
        <w:t xml:space="preserve">. </w:t>
      </w:r>
      <w:r w:rsidRPr="00220A7F">
        <w:t>Catch (t</w:t>
      </w:r>
      <w:r w:rsidR="007A5281">
        <w:t>onnes landed wt</w:t>
      </w:r>
      <w:r w:rsidRPr="00220A7F">
        <w:t xml:space="preserve">) of </w:t>
      </w:r>
      <w:r w:rsidR="00702A38">
        <w:t>White teatfish</w:t>
      </w:r>
      <w:r w:rsidRPr="00220A7F">
        <w:t xml:space="preserve"> by depth (m) rounded to the nearest 5 m</w:t>
      </w:r>
      <w:r>
        <w:t xml:space="preserve"> for all catch data with depth recorded in the logbooks </w:t>
      </w:r>
      <w:r w:rsidR="00D479DA">
        <w:t xml:space="preserve">1995-96 to 2022-23 </w:t>
      </w:r>
      <w:r w:rsidR="006905CC">
        <w:t>(QSCF vessel logbook data)</w:t>
      </w:r>
      <w:r w:rsidRPr="00220A7F">
        <w:t>.</w:t>
      </w:r>
      <w:bookmarkEnd w:id="48"/>
    </w:p>
    <w:p w14:paraId="2030026E" w14:textId="77777777" w:rsidR="00892D6F" w:rsidRDefault="00892D6F" w:rsidP="008D08E6">
      <w:pPr>
        <w:pStyle w:val="Heading2"/>
      </w:pPr>
      <w:bookmarkStart w:id="49" w:name="_Toc138269043"/>
      <w:bookmarkStart w:id="50" w:name="_Toc139374123"/>
      <w:bookmarkStart w:id="51" w:name="_Toc189044930"/>
      <w:r w:rsidRPr="008D08E6">
        <w:lastRenderedPageBreak/>
        <w:t>Population</w:t>
      </w:r>
      <w:r>
        <w:t xml:space="preserve"> structure</w:t>
      </w:r>
      <w:bookmarkEnd w:id="49"/>
      <w:bookmarkEnd w:id="50"/>
      <w:bookmarkEnd w:id="51"/>
    </w:p>
    <w:p w14:paraId="23E5C992" w14:textId="56D57734" w:rsidR="0024223C" w:rsidRDefault="0024223C" w:rsidP="0024223C">
      <w:pPr>
        <w:pStyle w:val="Heading3"/>
        <w:ind w:left="851" w:hanging="851"/>
      </w:pPr>
      <w:r>
        <w:t>Black teatfish</w:t>
      </w:r>
    </w:p>
    <w:p w14:paraId="2AF64CD7" w14:textId="1761ACD5" w:rsidR="00757484" w:rsidRDefault="00295D20" w:rsidP="006758B6">
      <w:r w:rsidRPr="00974F19">
        <w:t xml:space="preserve">The stock structure of </w:t>
      </w:r>
      <w:r>
        <w:t>Black teatfish in the QSCF has been the focus of some study</w:t>
      </w:r>
      <w:r w:rsidRPr="00974F19">
        <w:t>.</w:t>
      </w:r>
      <w:r>
        <w:t xml:space="preserve"> </w:t>
      </w:r>
      <w:r w:rsidR="000A0706">
        <w:t>Genetic s</w:t>
      </w:r>
      <w:r w:rsidR="00952E82" w:rsidRPr="00952E82">
        <w:t xml:space="preserve">tudies using </w:t>
      </w:r>
      <w:r w:rsidR="000A0706">
        <w:t xml:space="preserve">allozymes </w:t>
      </w:r>
      <w:r w:rsidR="00395C37" w:rsidRPr="00952E82">
        <w:t>(Uthicke and Benzie, 200</w:t>
      </w:r>
      <w:r w:rsidR="00395C37">
        <w:t>0</w:t>
      </w:r>
      <w:r w:rsidR="00395C37" w:rsidRPr="00952E82">
        <w:t>)</w:t>
      </w:r>
      <w:r w:rsidR="00395C37">
        <w:t xml:space="preserve"> and m</w:t>
      </w:r>
      <w:r w:rsidR="00395C37" w:rsidRPr="000A0706">
        <w:t>itochondrial DNA</w:t>
      </w:r>
      <w:r w:rsidR="00395C37" w:rsidRPr="00952E82">
        <w:t xml:space="preserve"> (Uthicke and Benzie, 2003)</w:t>
      </w:r>
      <w:r w:rsidR="00395C37">
        <w:t xml:space="preserve"> </w:t>
      </w:r>
      <w:r w:rsidR="00952E82" w:rsidRPr="00952E82">
        <w:t xml:space="preserve">showed no significant genetic structure </w:t>
      </w:r>
      <w:r w:rsidR="00395C37">
        <w:t xml:space="preserve">of Black teatfish </w:t>
      </w:r>
      <w:r w:rsidR="006758B6">
        <w:t>populations</w:t>
      </w:r>
      <w:r w:rsidR="00395C37">
        <w:t xml:space="preserve"> </w:t>
      </w:r>
      <w:r w:rsidR="00952E82" w:rsidRPr="00952E82">
        <w:t xml:space="preserve">within the GBR </w:t>
      </w:r>
      <w:r w:rsidR="006758B6">
        <w:t xml:space="preserve">indicating </w:t>
      </w:r>
      <w:r w:rsidR="00952E82" w:rsidRPr="00952E82">
        <w:t xml:space="preserve">high contemporary levels of gene flow. </w:t>
      </w:r>
      <w:r w:rsidR="006758B6">
        <w:t xml:space="preserve">There was </w:t>
      </w:r>
      <w:r w:rsidR="00952E82" w:rsidRPr="00952E82">
        <w:t xml:space="preserve">also </w:t>
      </w:r>
      <w:r w:rsidR="006758B6">
        <w:t xml:space="preserve">a </w:t>
      </w:r>
      <w:r w:rsidR="00952E82" w:rsidRPr="00952E82">
        <w:t>suggest</w:t>
      </w:r>
      <w:r w:rsidR="006758B6">
        <w:t>ion of</w:t>
      </w:r>
      <w:r w:rsidR="00952E82" w:rsidRPr="00952E82">
        <w:t xml:space="preserve"> high gene flow between the GBR, the Coral Sea and western Australia</w:t>
      </w:r>
      <w:r w:rsidR="00E76DAB">
        <w:t>. H</w:t>
      </w:r>
      <w:r w:rsidR="00952E82" w:rsidRPr="00952E82">
        <w:t xml:space="preserve">owever, it </w:t>
      </w:r>
      <w:r w:rsidR="006758B6">
        <w:t xml:space="preserve">was postulated that the </w:t>
      </w:r>
      <w:r w:rsidR="00952E82" w:rsidRPr="00952E82">
        <w:t xml:space="preserve">population genetic structures </w:t>
      </w:r>
      <w:r w:rsidR="006758B6">
        <w:t>observed between eastern and western Australia at least were</w:t>
      </w:r>
      <w:r w:rsidR="00952E82" w:rsidRPr="00952E82">
        <w:t xml:space="preserve"> likely formed prior to the last ice age</w:t>
      </w:r>
      <w:r w:rsidR="006758B6">
        <w:t xml:space="preserve"> </w:t>
      </w:r>
      <w:r w:rsidR="006758B6" w:rsidRPr="00952E82">
        <w:t>(Uthicke and Benzie, 2003)</w:t>
      </w:r>
      <w:r w:rsidR="00952E82" w:rsidRPr="00952E82">
        <w:t>.</w:t>
      </w:r>
      <w:r w:rsidR="006758B6">
        <w:t xml:space="preserve"> There were</w:t>
      </w:r>
      <w:r w:rsidR="00757484" w:rsidRPr="00757484">
        <w:t xml:space="preserve"> other factors that may have contributed to mask evidence of fragmentation in </w:t>
      </w:r>
      <w:r w:rsidR="006758B6">
        <w:t xml:space="preserve">Australian </w:t>
      </w:r>
      <w:r w:rsidR="00702A38">
        <w:t>Black teatfish</w:t>
      </w:r>
      <w:r w:rsidR="006758B6">
        <w:t xml:space="preserve"> populations, including slow mutation rates of genetic markers and high contemporary gene flow </w:t>
      </w:r>
      <w:r w:rsidR="006758B6" w:rsidRPr="00952E82">
        <w:t>(Uthicke and Benzie, 2003</w:t>
      </w:r>
      <w:r w:rsidR="006758B6">
        <w:t>)</w:t>
      </w:r>
      <w:r w:rsidR="00757484" w:rsidRPr="00757484">
        <w:t>.</w:t>
      </w:r>
    </w:p>
    <w:p w14:paraId="33E20880" w14:textId="1C394A75" w:rsidR="007D204F" w:rsidRDefault="00301A87" w:rsidP="006758B6">
      <w:r>
        <w:t xml:space="preserve">However, high genetic connectivity does not infer high demographic connectivity, where populations are highly connected by significant levels of recruitment (Johnson et al., 2018). </w:t>
      </w:r>
      <w:r w:rsidR="007D204F">
        <w:t>Counter to the evidence of high gene flow, slow recovery of depleted populations, even in habitats adjacent to high density populations, has indicated restricted demographic connectivity among Black teatfish populations (</w:t>
      </w:r>
      <w:r w:rsidR="007D204F" w:rsidRPr="00952E82">
        <w:t>Uthicke and Benzie, 2003</w:t>
      </w:r>
      <w:r w:rsidR="007D204F">
        <w:t xml:space="preserve">; </w:t>
      </w:r>
      <w:r w:rsidR="007D204F" w:rsidRPr="006758B6">
        <w:t>Johnson et al., 2018</w:t>
      </w:r>
      <w:r w:rsidR="007D204F">
        <w:t>)</w:t>
      </w:r>
    </w:p>
    <w:p w14:paraId="7C2C3AF8" w14:textId="6C31D881" w:rsidR="0024223C" w:rsidRDefault="0024223C" w:rsidP="0024223C">
      <w:pPr>
        <w:pStyle w:val="Heading3"/>
        <w:ind w:left="851" w:hanging="851"/>
      </w:pPr>
      <w:r>
        <w:t>White teatfish</w:t>
      </w:r>
    </w:p>
    <w:p w14:paraId="4FBF89CF" w14:textId="2D1C6476" w:rsidR="00A67080" w:rsidRDefault="00295D20" w:rsidP="00A26B98">
      <w:r>
        <w:t xml:space="preserve">The population structure of White teatfish is </w:t>
      </w:r>
      <w:r w:rsidRPr="00974F19">
        <w:t>unknown</w:t>
      </w:r>
      <w:r>
        <w:t>, however</w:t>
      </w:r>
      <w:r w:rsidR="00A67080">
        <w:t>, we can make inferences based on proxies, such as genetic studies on other species; and the b</w:t>
      </w:r>
      <w:r w:rsidR="00A67080" w:rsidRPr="00BF3E25">
        <w:t>iological and oceanographic</w:t>
      </w:r>
      <w:r w:rsidR="00A67080">
        <w:t xml:space="preserve"> drivers of population connectivity (e.g. adult population movements, distance between suitable benthic habitats, larval duration, survival, and propagule current delivery vectors) (</w:t>
      </w:r>
      <w:r w:rsidR="00A67080" w:rsidRPr="00D5061E">
        <w:t>Treml et al., 2015</w:t>
      </w:r>
      <w:r w:rsidR="00A67080">
        <w:t xml:space="preserve">; </w:t>
      </w:r>
      <w:r w:rsidR="00A67080" w:rsidRPr="00665325">
        <w:t>Choukroun</w:t>
      </w:r>
      <w:r w:rsidR="00A67080">
        <w:t xml:space="preserve"> et al., </w:t>
      </w:r>
      <w:r w:rsidR="00A67080" w:rsidRPr="00665325">
        <w:t>2021</w:t>
      </w:r>
      <w:r w:rsidR="00A67080">
        <w:t xml:space="preserve">). </w:t>
      </w:r>
    </w:p>
    <w:p w14:paraId="065FC014" w14:textId="70329DA0" w:rsidR="00A26B98" w:rsidRDefault="00301A87" w:rsidP="00A26B98">
      <w:r>
        <w:t xml:space="preserve">Studies of </w:t>
      </w:r>
      <w:r w:rsidRPr="0083019C">
        <w:t xml:space="preserve">deep water archipelagic species </w:t>
      </w:r>
      <w:r>
        <w:t xml:space="preserve">(e.g. Lollyfish, </w:t>
      </w:r>
      <w:r w:rsidRPr="00230A7D">
        <w:rPr>
          <w:i/>
          <w:iCs/>
        </w:rPr>
        <w:t>H. atra</w:t>
      </w:r>
      <w:r>
        <w:t xml:space="preserve"> </w:t>
      </w:r>
      <w:r w:rsidRPr="0083019C">
        <w:t>(Skillings et al.</w:t>
      </w:r>
      <w:r>
        <w:t>,</w:t>
      </w:r>
      <w:r w:rsidRPr="0083019C">
        <w:t xml:space="preserve"> 2011)</w:t>
      </w:r>
      <w:r>
        <w:t xml:space="preserve">) and </w:t>
      </w:r>
      <w:r w:rsidRPr="0083019C">
        <w:t>offshore shelf species</w:t>
      </w:r>
      <w:r>
        <w:t xml:space="preserve"> (e.g.</w:t>
      </w:r>
      <w:r w:rsidRPr="0083019C">
        <w:t xml:space="preserve"> </w:t>
      </w:r>
      <w:r w:rsidRPr="002C5992">
        <w:rPr>
          <w:i/>
          <w:iCs/>
        </w:rPr>
        <w:t>Cucumaria frondos</w:t>
      </w:r>
      <w:r>
        <w:rPr>
          <w:i/>
          <w:iCs/>
        </w:rPr>
        <w:t>a</w:t>
      </w:r>
      <w:r>
        <w:t xml:space="preserve"> (</w:t>
      </w:r>
      <w:r w:rsidRPr="0083019C">
        <w:t>So et al.</w:t>
      </w:r>
      <w:r>
        <w:t>,</w:t>
      </w:r>
      <w:r w:rsidRPr="0083019C">
        <w:t xml:space="preserve"> 2011)</w:t>
      </w:r>
      <w:r>
        <w:t xml:space="preserve">, and </w:t>
      </w:r>
      <w:r w:rsidRPr="002C5992">
        <w:rPr>
          <w:i/>
          <w:iCs/>
        </w:rPr>
        <w:t>H. leucospilota</w:t>
      </w:r>
      <w:r>
        <w:t xml:space="preserve"> (</w:t>
      </w:r>
      <w:r w:rsidRPr="00B91ECF">
        <w:t>Chieu</w:t>
      </w:r>
      <w:r>
        <w:t xml:space="preserve"> et al., 2023)) </w:t>
      </w:r>
      <w:r w:rsidRPr="0083019C">
        <w:t>have shown high population connectivity across large distances (1,000s of km).</w:t>
      </w:r>
      <w:r>
        <w:t xml:space="preserve"> </w:t>
      </w:r>
      <w:r w:rsidR="00CA1D49">
        <w:t xml:space="preserve">Given the habitat preferences for </w:t>
      </w:r>
      <w:r w:rsidR="0024223C">
        <w:t>White teatfish</w:t>
      </w:r>
      <w:r w:rsidR="00CA1D49">
        <w:t>,</w:t>
      </w:r>
      <w:r w:rsidR="007D204F">
        <w:t xml:space="preserve"> </w:t>
      </w:r>
      <w:r w:rsidR="00CA1D49">
        <w:t>they would likely be aligned with the offshore species in showing high population genetic connectivity across broad regions.</w:t>
      </w:r>
      <w:r>
        <w:t xml:space="preserve"> </w:t>
      </w:r>
    </w:p>
    <w:p w14:paraId="3FFFC83A" w14:textId="77777777" w:rsidR="00892D6F" w:rsidRPr="002C5992" w:rsidRDefault="00892D6F" w:rsidP="00A87F05">
      <w:pPr>
        <w:pStyle w:val="Heading3"/>
        <w:ind w:left="851" w:hanging="851"/>
      </w:pPr>
      <w:r w:rsidRPr="002C5992">
        <w:t>Biological and oceanographic information</w:t>
      </w:r>
    </w:p>
    <w:p w14:paraId="4274D8F4" w14:textId="4348C6AA" w:rsidR="00CA1D49" w:rsidRDefault="00CA1D49" w:rsidP="00CA1D49">
      <w:r>
        <w:t xml:space="preserve">In the absence of appropriate genetic studies, population structure and connectivity can </w:t>
      </w:r>
      <w:r w:rsidR="00A26B98">
        <w:t xml:space="preserve">also </w:t>
      </w:r>
      <w:r>
        <w:t>be inferred using biological and oceanographic information, and by the development of coupled biological-oceanographic models (e.g. CONNIE (</w:t>
      </w:r>
      <w:hyperlink r:id="rId33" w:history="1">
        <w:r w:rsidRPr="004E70E5">
          <w:rPr>
            <w:rStyle w:val="Hyperlink"/>
          </w:rPr>
          <w:t>http://www.csiro.au/connie</w:t>
        </w:r>
      </w:hyperlink>
      <w:r>
        <w:t>)) (</w:t>
      </w:r>
      <w:r w:rsidRPr="00665325">
        <w:t>Choukroun</w:t>
      </w:r>
      <w:r>
        <w:t xml:space="preserve"> et al., </w:t>
      </w:r>
      <w:r w:rsidRPr="00665325">
        <w:t>2021</w:t>
      </w:r>
      <w:r>
        <w:t>;</w:t>
      </w:r>
      <w:r w:rsidRPr="004E42BB">
        <w:t xml:space="preserve"> </w:t>
      </w:r>
      <w:r w:rsidRPr="000D21DC">
        <w:t>Fontoura</w:t>
      </w:r>
      <w:r>
        <w:t xml:space="preserve"> et al., 2022). </w:t>
      </w:r>
    </w:p>
    <w:p w14:paraId="17B3D6B8" w14:textId="77777777" w:rsidR="00CA1D49" w:rsidRPr="00B455BD" w:rsidRDefault="00CA1D49" w:rsidP="00CA1D49">
      <w:pPr>
        <w:rPr>
          <w:u w:val="single"/>
        </w:rPr>
      </w:pPr>
      <w:r w:rsidRPr="00B455BD">
        <w:rPr>
          <w:i/>
          <w:iCs/>
          <w:u w:val="single"/>
        </w:rPr>
        <w:t>Adult biology</w:t>
      </w:r>
    </w:p>
    <w:p w14:paraId="69410EA8" w14:textId="785CE598" w:rsidR="00CA1D49" w:rsidRDefault="00CA1D49" w:rsidP="00CA1D49">
      <w:r>
        <w:t>Sea cucumbers are benthic with a generally low mobility, with annual displacements of 100 m or less (Purcell et al., 2016</w:t>
      </w:r>
      <w:r w:rsidR="00236B55">
        <w:t>b</w:t>
      </w:r>
      <w:r>
        <w:t>; Hammond et al., 2020</w:t>
      </w:r>
      <w:r w:rsidR="00A26B98">
        <w:t>; Purcell et al., 20</w:t>
      </w:r>
      <w:r w:rsidR="00236B55">
        <w:t>2</w:t>
      </w:r>
      <w:r w:rsidR="00A26B98">
        <w:t>3</w:t>
      </w:r>
      <w:r w:rsidR="00236B55">
        <w:t>b</w:t>
      </w:r>
      <w:r>
        <w:t xml:space="preserve">). However, the ability of adult sea cucumbers to move larger distances </w:t>
      </w:r>
      <w:r w:rsidR="00A42430">
        <w:t xml:space="preserve">may also be </w:t>
      </w:r>
      <w:r>
        <w:t>underestimated (</w:t>
      </w:r>
      <w:r w:rsidRPr="005B7440">
        <w:t>De la Rosa Castillo</w:t>
      </w:r>
      <w:r>
        <w:t xml:space="preserve">, 2023). </w:t>
      </w:r>
      <w:r w:rsidR="00A42430">
        <w:t xml:space="preserve">In any case, </w:t>
      </w:r>
      <w:r>
        <w:t xml:space="preserve">the </w:t>
      </w:r>
      <w:r w:rsidR="003722F1">
        <w:t xml:space="preserve">teatfish populations in the </w:t>
      </w:r>
      <w:r w:rsidR="00A42430">
        <w:t xml:space="preserve">QSCF </w:t>
      </w:r>
      <w:r>
        <w:t xml:space="preserve">are very likely restricted to the reef </w:t>
      </w:r>
      <w:r w:rsidR="003722F1">
        <w:t xml:space="preserve">or reef system </w:t>
      </w:r>
      <w:r>
        <w:t>on which they</w:t>
      </w:r>
      <w:r w:rsidR="003722F1">
        <w:t xml:space="preserve"> settle</w:t>
      </w:r>
      <w:r>
        <w:t xml:space="preserve">. </w:t>
      </w:r>
    </w:p>
    <w:p w14:paraId="2E01E374" w14:textId="68EAABAD" w:rsidR="00066A28" w:rsidRPr="00B455BD" w:rsidRDefault="00066A28" w:rsidP="00CA1D49">
      <w:pPr>
        <w:rPr>
          <w:i/>
          <w:iCs/>
          <w:u w:val="single"/>
        </w:rPr>
      </w:pPr>
      <w:bookmarkStart w:id="52" w:name="_Hlk171094008"/>
      <w:r w:rsidRPr="00B455BD">
        <w:rPr>
          <w:i/>
          <w:iCs/>
          <w:u w:val="single"/>
        </w:rPr>
        <w:t>Spawning timing</w:t>
      </w:r>
    </w:p>
    <w:p w14:paraId="71DC22EA" w14:textId="3CEC4F00" w:rsidR="007D241E" w:rsidRDefault="009E59C0" w:rsidP="007D241E">
      <w:r>
        <w:t>Black teatfish</w:t>
      </w:r>
      <w:r w:rsidR="00E22DFA">
        <w:t xml:space="preserve"> has </w:t>
      </w:r>
      <w:r w:rsidR="00C97B9D">
        <w:t xml:space="preserve">been reliably </w:t>
      </w:r>
      <w:r w:rsidR="00E22DFA">
        <w:t xml:space="preserve">recorded as spawning </w:t>
      </w:r>
      <w:r w:rsidR="00C97B9D">
        <w:t>during w</w:t>
      </w:r>
      <w:r w:rsidR="00074755">
        <w:t xml:space="preserve">inter </w:t>
      </w:r>
      <w:r w:rsidR="00C97B9D">
        <w:t>(April to June) on the GBR (Shiell and Uthicke, 2006) and in New Caledonia (Conand 1993)</w:t>
      </w:r>
      <w:r w:rsidR="00074755">
        <w:t xml:space="preserve"> – although it has also </w:t>
      </w:r>
      <w:r w:rsidR="00B200F5">
        <w:t xml:space="preserve">been </w:t>
      </w:r>
      <w:r w:rsidR="00074755">
        <w:t>recorded as spawning during the northern hemisphere sum</w:t>
      </w:r>
      <w:r w:rsidR="00C97B9D">
        <w:t>mer (April to August)</w:t>
      </w:r>
      <w:r w:rsidR="00074755">
        <w:t xml:space="preserve"> in Guam (Richmond, 1996)</w:t>
      </w:r>
      <w:r w:rsidR="00C97B9D">
        <w:t>, and a single record of a Black teatfish male has been recorded as spawning soon after the full moon in December on the GBR (Babcock et al., 1992)</w:t>
      </w:r>
      <w:r w:rsidR="00074755">
        <w:t>.</w:t>
      </w:r>
      <w:r>
        <w:t xml:space="preserve"> </w:t>
      </w:r>
      <w:r w:rsidR="006F0C98">
        <w:t xml:space="preserve">Black teatfish </w:t>
      </w:r>
      <w:r w:rsidR="003722F1">
        <w:t>are</w:t>
      </w:r>
      <w:r w:rsidR="006F0C98">
        <w:t xml:space="preserve"> one of the few holothurians that spawn in winter, with this being a </w:t>
      </w:r>
      <w:r w:rsidR="006F0C98">
        <w:lastRenderedPageBreak/>
        <w:t>key driver for assessments of high vulnerability to climate change for this species</w:t>
      </w:r>
      <w:r w:rsidR="00F7274B">
        <w:t xml:space="preserve"> (</w:t>
      </w:r>
      <w:r w:rsidR="00F7274B" w:rsidRPr="00F7274B">
        <w:t>Welch and Johnson, 2013</w:t>
      </w:r>
      <w:r w:rsidR="00F7274B">
        <w:t>)</w:t>
      </w:r>
      <w:r w:rsidR="006F0C98">
        <w:t xml:space="preserve">. It may be that some spawning </w:t>
      </w:r>
      <w:r w:rsidR="00B200F5">
        <w:t xml:space="preserve">occurs </w:t>
      </w:r>
      <w:r w:rsidR="004841A6">
        <w:t xml:space="preserve">outside the winter established period, with some mature gonads present throughout the year and limited field observations of summer spawning, though only by males </w:t>
      </w:r>
      <w:r w:rsidR="007D241E">
        <w:t>(</w:t>
      </w:r>
      <w:r w:rsidR="004841A6">
        <w:t>Babcock et al., 1992; Shiell and Uthicke, 2006)</w:t>
      </w:r>
      <w:r w:rsidR="007D241E">
        <w:t>.</w:t>
      </w:r>
      <w:r w:rsidR="003722F1">
        <w:t xml:space="preserve"> </w:t>
      </w:r>
      <w:r w:rsidR="007D241E">
        <w:t>Th</w:t>
      </w:r>
      <w:r w:rsidR="003722F1">
        <w:t>is</w:t>
      </w:r>
      <w:r w:rsidR="007D241E">
        <w:t xml:space="preserve"> inverse timing has been suggested as an adaptation to the competition with other species (Conad, 1993)</w:t>
      </w:r>
      <w:r w:rsidR="00717274">
        <w:t xml:space="preserve"> or as a strategy to avoid cro</w:t>
      </w:r>
      <w:r w:rsidR="00B200F5">
        <w:t>s</w:t>
      </w:r>
      <w:r w:rsidR="00717274">
        <w:t xml:space="preserve">s </w:t>
      </w:r>
      <w:r w:rsidR="004841A6">
        <w:t>fertilisation</w:t>
      </w:r>
      <w:r w:rsidR="00717274">
        <w:t xml:space="preserve"> with closely related White teatfish (Sheill and Uthicke, 2006)</w:t>
      </w:r>
      <w:r w:rsidR="007D241E">
        <w:t>.</w:t>
      </w:r>
    </w:p>
    <w:p w14:paraId="54203A56" w14:textId="4E988EA0" w:rsidR="003F001A" w:rsidRDefault="00017927" w:rsidP="00017927">
      <w:r>
        <w:t xml:space="preserve">Not only are Black teatfish one of the few winter spawning aspidochirote holothurians, they </w:t>
      </w:r>
      <w:r w:rsidR="00BA0D15">
        <w:t xml:space="preserve">may </w:t>
      </w:r>
      <w:r>
        <w:t xml:space="preserve">also have an unusual model of gonad development, </w:t>
      </w:r>
      <w:r w:rsidR="00BA0D15">
        <w:t xml:space="preserve">the so called Tubule Recruitment Model (TRM) </w:t>
      </w:r>
      <w:r>
        <w:t>where tubules mature progressively from anterior to the posterior region of the gonad</w:t>
      </w:r>
      <w:r w:rsidR="00BA0D15">
        <w:t xml:space="preserve"> </w:t>
      </w:r>
      <w:r w:rsidR="004841A6">
        <w:t>with at least four stages of gametogenesis present at any one time</w:t>
      </w:r>
      <w:r w:rsidR="00966FAD">
        <w:t xml:space="preserve"> (Smiley, 1988; </w:t>
      </w:r>
      <w:r w:rsidR="00966FAD" w:rsidRPr="0022191C">
        <w:t>Shiell</w:t>
      </w:r>
      <w:r w:rsidR="00966FAD">
        <w:t xml:space="preserve"> and </w:t>
      </w:r>
      <w:r w:rsidR="00966FAD" w:rsidRPr="0022191C">
        <w:t>Uthicke, 2006</w:t>
      </w:r>
      <w:r w:rsidR="00966FAD">
        <w:t>)</w:t>
      </w:r>
      <w:r>
        <w:t xml:space="preserve">. </w:t>
      </w:r>
      <w:r w:rsidR="00864D71">
        <w:t>This is in contrast to most other sea cucumbers (including White teatfish) where all gonad tubules are generally at a similar stage in development, even though the reinitiation of gametogenesis in spawned and unspawned tubules can occur, resulting in overlapping generations of immature and relict oocytes (</w:t>
      </w:r>
      <w:r w:rsidR="00864D71" w:rsidRPr="00966FAD">
        <w:t>Ramofafia</w:t>
      </w:r>
      <w:r w:rsidR="00864D71">
        <w:t xml:space="preserve"> et al., 2000; </w:t>
      </w:r>
      <w:r w:rsidR="00864D71" w:rsidRPr="00966FAD">
        <w:t>Ramofafia</w:t>
      </w:r>
      <w:r w:rsidR="00864D71">
        <w:t xml:space="preserve"> and </w:t>
      </w:r>
      <w:r w:rsidR="00864D71" w:rsidRPr="00966FAD">
        <w:t>Byrne, 2001</w:t>
      </w:r>
      <w:r w:rsidR="00864D71">
        <w:t xml:space="preserve">). </w:t>
      </w:r>
      <w:r w:rsidR="003F001A">
        <w:t xml:space="preserve">Other features of Black teatfish reproduction on the GBR include </w:t>
      </w:r>
      <w:r w:rsidR="00864D71">
        <w:t xml:space="preserve">a </w:t>
      </w:r>
      <w:r w:rsidR="003F001A">
        <w:t xml:space="preserve">high fecundity and a male skewed sex ratio (Uthicke and Benzie, 2000; </w:t>
      </w:r>
      <w:r w:rsidR="003F001A" w:rsidRPr="0022191C">
        <w:t>Shiell</w:t>
      </w:r>
      <w:r w:rsidR="003F001A">
        <w:t xml:space="preserve"> and </w:t>
      </w:r>
      <w:r w:rsidR="003F001A" w:rsidRPr="0022191C">
        <w:t>Uthicke, 2006</w:t>
      </w:r>
      <w:r w:rsidR="003F001A">
        <w:t>).</w:t>
      </w:r>
    </w:p>
    <w:p w14:paraId="6FB2FC03" w14:textId="2DB85F05" w:rsidR="00066A28" w:rsidRDefault="009E59C0" w:rsidP="00CA1D49">
      <w:r>
        <w:t xml:space="preserve">White teatfish </w:t>
      </w:r>
      <w:r w:rsidR="00C97B9D">
        <w:t>is documented as spawning during summer (November to January) in New Caledonia (Conand, 1993), and late winter to spring (Aug</w:t>
      </w:r>
      <w:r w:rsidR="0022191C">
        <w:t>ust</w:t>
      </w:r>
      <w:r w:rsidR="00C97B9D">
        <w:t xml:space="preserve"> to Oct</w:t>
      </w:r>
      <w:r w:rsidR="0022191C">
        <w:t>ober</w:t>
      </w:r>
      <w:r w:rsidR="00C97B9D">
        <w:t>) in the Solomon Islands (Ramofafia et al., 2000).</w:t>
      </w:r>
      <w:r w:rsidR="006F0C98">
        <w:t xml:space="preserve"> This may indicate some plasticity of breeding seasonality for White teatfish – </w:t>
      </w:r>
      <w:r w:rsidR="00864D71">
        <w:t xml:space="preserve">therefore </w:t>
      </w:r>
      <w:r w:rsidR="006F0C98">
        <w:t xml:space="preserve">local studies are </w:t>
      </w:r>
      <w:r w:rsidR="00864D71">
        <w:t>likely required</w:t>
      </w:r>
      <w:r w:rsidR="006F0C98">
        <w:t>.</w:t>
      </w:r>
      <w:r w:rsidR="00864D71">
        <w:t xml:space="preserve"> Additionally, th</w:t>
      </w:r>
      <w:r w:rsidR="007D241E">
        <w:t xml:space="preserve">e </w:t>
      </w:r>
      <w:r w:rsidR="00864D71">
        <w:t xml:space="preserve">QSCF area </w:t>
      </w:r>
      <w:r w:rsidR="007D241E">
        <w:t xml:space="preserve">covers a </w:t>
      </w:r>
      <w:r w:rsidR="00864D71">
        <w:t xml:space="preserve">large </w:t>
      </w:r>
      <w:r w:rsidR="007D241E">
        <w:t xml:space="preserve">latitudinal range, and it could be that there is variation in the timing of spawning within the fishery area. </w:t>
      </w:r>
    </w:p>
    <w:p w14:paraId="7FDC3D9C" w14:textId="77777777" w:rsidR="00CA1D49" w:rsidRPr="00B455BD" w:rsidRDefault="00CA1D49" w:rsidP="00CA1D49">
      <w:pPr>
        <w:rPr>
          <w:i/>
          <w:iCs/>
          <w:u w:val="single"/>
        </w:rPr>
      </w:pPr>
      <w:bookmarkStart w:id="53" w:name="_Hlk137507114"/>
      <w:bookmarkEnd w:id="52"/>
      <w:r w:rsidRPr="00B455BD">
        <w:rPr>
          <w:i/>
          <w:iCs/>
          <w:u w:val="single"/>
        </w:rPr>
        <w:t>Larval biology</w:t>
      </w:r>
    </w:p>
    <w:p w14:paraId="3F34902B" w14:textId="38BFD912" w:rsidR="00CA1D49" w:rsidRDefault="00CA1D49" w:rsidP="004F249B">
      <w:bookmarkStart w:id="54" w:name="_Hlk137507092"/>
      <w:bookmarkEnd w:id="53"/>
      <w:r>
        <w:t xml:space="preserve">Empirical estimates of larval dispersal are key to assessing metapopulation connectivity, especially within a </w:t>
      </w:r>
      <w:r w:rsidRPr="009E59C0">
        <w:t xml:space="preserve">demographic context (Carson et al., 2011). </w:t>
      </w:r>
      <w:bookmarkEnd w:id="54"/>
      <w:r w:rsidR="009E59C0" w:rsidRPr="009E59C0">
        <w:t xml:space="preserve">Teatfish </w:t>
      </w:r>
      <w:r>
        <w:t xml:space="preserve">species </w:t>
      </w:r>
      <w:r w:rsidR="001572A3">
        <w:t xml:space="preserve">larval biology </w:t>
      </w:r>
      <w:r w:rsidR="00C07C94">
        <w:t>i</w:t>
      </w:r>
      <w:r w:rsidR="001572A3">
        <w:t xml:space="preserve">s </w:t>
      </w:r>
      <w:r w:rsidR="00C07C94">
        <w:t>reasonably well</w:t>
      </w:r>
      <w:r w:rsidR="001572A3">
        <w:t xml:space="preserve"> studied</w:t>
      </w:r>
      <w:r w:rsidR="00C07C94">
        <w:t xml:space="preserve"> - </w:t>
      </w:r>
      <w:r w:rsidR="001572A3">
        <w:t xml:space="preserve">their </w:t>
      </w:r>
      <w:r>
        <w:t>larvae are planktonic and planktotrophic (</w:t>
      </w:r>
      <w:r w:rsidRPr="00D91453">
        <w:t>feeding on small</w:t>
      </w:r>
      <w:r>
        <w:t>,</w:t>
      </w:r>
      <w:r w:rsidRPr="00D91453">
        <w:t xml:space="preserve"> suspended material in the water column</w:t>
      </w:r>
      <w:r>
        <w:t>)</w:t>
      </w:r>
      <w:bookmarkStart w:id="55" w:name="_Hlk144293983"/>
      <w:r w:rsidR="001572A3">
        <w:t xml:space="preserve"> (Tanita et al., 2023)</w:t>
      </w:r>
      <w:bookmarkEnd w:id="55"/>
      <w:r>
        <w:t xml:space="preserve">. </w:t>
      </w:r>
      <w:r w:rsidR="004F249B">
        <w:t>L</w:t>
      </w:r>
      <w:r>
        <w:t xml:space="preserve">arval duration </w:t>
      </w:r>
      <w:r w:rsidR="004F249B">
        <w:t xml:space="preserve">has been recorded as between 2 and 4 weeks for White teatfish (Friedman and Tekanene, 2005; Burgy and Purcell, 2024) </w:t>
      </w:r>
      <w:r w:rsidR="00C07C94">
        <w:t xml:space="preserve">and </w:t>
      </w:r>
      <w:r w:rsidR="004F249B">
        <w:t xml:space="preserve">between 3 and 7 weeks </w:t>
      </w:r>
      <w:r w:rsidR="00C07C94">
        <w:t xml:space="preserve">for Black teatfish </w:t>
      </w:r>
      <w:r w:rsidR="004F249B">
        <w:t xml:space="preserve">(though longer periods are from </w:t>
      </w:r>
      <w:r w:rsidR="006F0C98">
        <w:t xml:space="preserve">a study in </w:t>
      </w:r>
      <w:r w:rsidR="00C07C94">
        <w:t>Japan</w:t>
      </w:r>
      <w:r w:rsidR="006F0C98">
        <w:t xml:space="preserve"> that may have lower temperatures</w:t>
      </w:r>
      <w:r w:rsidR="004F249B">
        <w:t>)</w:t>
      </w:r>
      <w:r w:rsidR="00C07C94">
        <w:t xml:space="preserve"> (</w:t>
      </w:r>
      <w:r w:rsidR="004F249B">
        <w:t>Nguyen et</w:t>
      </w:r>
      <w:r w:rsidR="006F0C98">
        <w:t xml:space="preserve"> </w:t>
      </w:r>
      <w:r w:rsidR="004F249B">
        <w:t xml:space="preserve">al., 2021; Martinez &amp; Richmond, 1998; </w:t>
      </w:r>
      <w:r w:rsidR="00C07C94">
        <w:t>Minami, 2011)</w:t>
      </w:r>
      <w:r>
        <w:t xml:space="preserve">. </w:t>
      </w:r>
    </w:p>
    <w:p w14:paraId="0C82FB5A" w14:textId="5FBEB9D0" w:rsidR="00892D6F" w:rsidRPr="00B455BD" w:rsidRDefault="00892D6F" w:rsidP="00892D6F">
      <w:pPr>
        <w:rPr>
          <w:u w:val="single"/>
        </w:rPr>
      </w:pPr>
      <w:r w:rsidRPr="00B455BD">
        <w:rPr>
          <w:i/>
          <w:iCs/>
          <w:u w:val="single"/>
        </w:rPr>
        <w:t xml:space="preserve">Currents within </w:t>
      </w:r>
      <w:r w:rsidR="0081123A" w:rsidRPr="00B455BD">
        <w:rPr>
          <w:i/>
          <w:iCs/>
          <w:u w:val="single"/>
        </w:rPr>
        <w:t>the GBR</w:t>
      </w:r>
    </w:p>
    <w:p w14:paraId="3C53BEE6" w14:textId="53A7C9FB" w:rsidR="00DD488F" w:rsidRPr="007D7E24" w:rsidRDefault="00173290" w:rsidP="00DD488F">
      <w:r w:rsidRPr="00173290">
        <w:t>The currents</w:t>
      </w:r>
      <w:r w:rsidR="00684844">
        <w:t xml:space="preserve"> of the GBR </w:t>
      </w:r>
      <w:r w:rsidRPr="00173290">
        <w:t>are driven by the wind, tides, and temperature and salinity gradients</w:t>
      </w:r>
      <w:r w:rsidR="0033383F">
        <w:t xml:space="preserve"> (</w:t>
      </w:r>
      <w:bookmarkStart w:id="56" w:name="_Hlk165619611"/>
      <w:r w:rsidR="0033383F" w:rsidRPr="0033383F">
        <w:t>Saint-Amand</w:t>
      </w:r>
      <w:r w:rsidR="0033383F">
        <w:t xml:space="preserve"> et al., </w:t>
      </w:r>
      <w:r w:rsidR="0033383F" w:rsidRPr="0033383F">
        <w:t>2023</w:t>
      </w:r>
      <w:bookmarkEnd w:id="56"/>
      <w:r w:rsidR="00EF3E58">
        <w:t xml:space="preserve">; CSIRO-eReefs, </w:t>
      </w:r>
      <w:hyperlink r:id="rId34" w:history="1">
        <w:r w:rsidR="00B200F5" w:rsidRPr="00350999">
          <w:rPr>
            <w:rStyle w:val="Hyperlink"/>
          </w:rPr>
          <w:t>https://research.csiro.au/ereefs/models/models-about/models-hydrodynamics/</w:t>
        </w:r>
      </w:hyperlink>
      <w:r w:rsidR="0033383F">
        <w:t>)</w:t>
      </w:r>
      <w:r w:rsidRPr="00173290">
        <w:t xml:space="preserve">. </w:t>
      </w:r>
      <w:r w:rsidR="006D176B">
        <w:t xml:space="preserve">Hydrodynamic model visualisation within the </w:t>
      </w:r>
      <w:r w:rsidR="006D176B" w:rsidRPr="006D176B">
        <w:t xml:space="preserve">AIMS eReefs Visualisation Portal </w:t>
      </w:r>
      <w:r w:rsidR="006D176B">
        <w:t>(</w:t>
      </w:r>
      <w:hyperlink r:id="rId35" w:history="1">
        <w:r w:rsidR="006D176B" w:rsidRPr="00A75E5C">
          <w:rPr>
            <w:rStyle w:val="Hyperlink"/>
          </w:rPr>
          <w:t>https://ereefs.aims.gov.au/ereefs-aims</w:t>
        </w:r>
      </w:hyperlink>
      <w:r w:rsidR="006D176B">
        <w:t xml:space="preserve">) shows </w:t>
      </w:r>
      <w:r w:rsidR="006E0E2B">
        <w:t xml:space="preserve">short term (hourly) current vectors are dominated by tidal ebb and flow, especially in the southern </w:t>
      </w:r>
      <w:r w:rsidR="003C088E">
        <w:t xml:space="preserve">(Broad Sound and Swains reefs) and </w:t>
      </w:r>
      <w:r w:rsidR="006E0E2B">
        <w:t xml:space="preserve">northern </w:t>
      </w:r>
      <w:r w:rsidR="003C088E">
        <w:t xml:space="preserve">(Shelburne Bay and southern entrance to Torres Strait) sections </w:t>
      </w:r>
      <w:r w:rsidR="006E0E2B">
        <w:t>of the GBR, where tidal current speeds of over 2 kts are typical (</w:t>
      </w:r>
      <w:fldSimple w:instr=" REF _Ref170308514 ">
        <w:r w:rsidR="004263D8">
          <w:t xml:space="preserve">Figure </w:t>
        </w:r>
        <w:r w:rsidR="004263D8">
          <w:rPr>
            <w:noProof/>
          </w:rPr>
          <w:t>11</w:t>
        </w:r>
      </w:fldSimple>
      <w:r w:rsidR="006E0E2B">
        <w:t xml:space="preserve">). These </w:t>
      </w:r>
      <w:r w:rsidRPr="00173290">
        <w:t>tidal currents flip back and forth</w:t>
      </w:r>
      <w:r w:rsidR="006E0E2B">
        <w:t xml:space="preserve"> on daily cycles, </w:t>
      </w:r>
      <w:r w:rsidRPr="00173290">
        <w:t xml:space="preserve">mixing of the water </w:t>
      </w:r>
      <w:r w:rsidR="006E0E2B">
        <w:t xml:space="preserve">column and </w:t>
      </w:r>
      <w:r w:rsidRPr="00173290">
        <w:t xml:space="preserve">causing sediment in inshore areas to be </w:t>
      </w:r>
      <w:r w:rsidR="006E0E2B">
        <w:t>resuspended</w:t>
      </w:r>
      <w:r w:rsidRPr="00173290">
        <w:t xml:space="preserve">. </w:t>
      </w:r>
      <w:r w:rsidR="007D7E24">
        <w:t xml:space="preserve">They are generally more widespread during summer than </w:t>
      </w:r>
      <w:r w:rsidR="007D7E24" w:rsidRPr="007D7E24">
        <w:rPr>
          <w:color w:val="auto"/>
        </w:rPr>
        <w:t xml:space="preserve">winter (see </w:t>
      </w:r>
      <w:r w:rsidR="007D7E24">
        <w:rPr>
          <w:color w:val="auto"/>
        </w:rPr>
        <w:t xml:space="preserve">monthly </w:t>
      </w:r>
      <w:r w:rsidR="007D7E24" w:rsidRPr="007D7E24">
        <w:rPr>
          <w:color w:val="auto"/>
        </w:rPr>
        <w:t>average magnitude,</w:t>
      </w:r>
      <w:r w:rsidR="00864D71">
        <w:rPr>
          <w:color w:val="auto"/>
        </w:rPr>
        <w:t xml:space="preserve"> </w:t>
      </w:r>
      <w:r w:rsidR="00864D71">
        <w:rPr>
          <w:color w:val="auto"/>
        </w:rPr>
        <w:fldChar w:fldCharType="begin"/>
      </w:r>
      <w:r w:rsidR="00864D71">
        <w:rPr>
          <w:color w:val="auto"/>
        </w:rPr>
        <w:instrText xml:space="preserve"> REF _Ref170308514 </w:instrText>
      </w:r>
      <w:r w:rsidR="00864D71">
        <w:rPr>
          <w:color w:val="auto"/>
        </w:rPr>
        <w:fldChar w:fldCharType="separate"/>
      </w:r>
      <w:r w:rsidR="004263D8">
        <w:t xml:space="preserve">Figure </w:t>
      </w:r>
      <w:r w:rsidR="004263D8">
        <w:rPr>
          <w:noProof/>
        </w:rPr>
        <w:t>11</w:t>
      </w:r>
      <w:r w:rsidR="00864D71">
        <w:rPr>
          <w:color w:val="auto"/>
        </w:rPr>
        <w:fldChar w:fldCharType="end"/>
      </w:r>
      <w:r w:rsidR="007D7E24" w:rsidRPr="007D7E24">
        <w:t>).</w:t>
      </w:r>
      <w:r w:rsidR="00864D71">
        <w:t xml:space="preserve"> </w:t>
      </w:r>
    </w:p>
    <w:p w14:paraId="121F0D40" w14:textId="42514BEB" w:rsidR="006D176B" w:rsidRDefault="006D176B" w:rsidP="006D176B">
      <w:r>
        <w:t>As for longer</w:t>
      </w:r>
      <w:r w:rsidR="006C7F42">
        <w:t>-</w:t>
      </w:r>
      <w:r>
        <w:t>term water movements</w:t>
      </w:r>
      <w:r w:rsidR="00C130DE">
        <w:t xml:space="preserve">, </w:t>
      </w:r>
      <w:r>
        <w:t xml:space="preserve">average water </w:t>
      </w:r>
      <w:r w:rsidR="006C7F42">
        <w:t xml:space="preserve">direction </w:t>
      </w:r>
      <w:r>
        <w:t>inside the GBR lagoon rarely exceed</w:t>
      </w:r>
      <w:r w:rsidR="00B200F5">
        <w:t>s</w:t>
      </w:r>
      <w:r>
        <w:t xml:space="preserve"> 0.3</w:t>
      </w:r>
      <w:r w:rsidR="00B200F5">
        <w:t> </w:t>
      </w:r>
      <w:r>
        <w:t>m.s</w:t>
      </w:r>
      <w:r w:rsidRPr="00A843A8">
        <w:rPr>
          <w:vertAlign w:val="superscript"/>
        </w:rPr>
        <w:t>-1</w:t>
      </w:r>
      <w:r w:rsidR="00914092">
        <w:t xml:space="preserve"> (0.6 kts)</w:t>
      </w:r>
      <w:r>
        <w:t xml:space="preserve"> </w:t>
      </w:r>
      <w:r w:rsidR="006C7F42">
        <w:t xml:space="preserve">in summer or winter, </w:t>
      </w:r>
      <w:r w:rsidR="00914092">
        <w:t>and more commonly was less than 0.1 m.s</w:t>
      </w:r>
      <w:r w:rsidR="00914092" w:rsidRPr="008C73AF">
        <w:rPr>
          <w:vertAlign w:val="superscript"/>
        </w:rPr>
        <w:t>-1</w:t>
      </w:r>
      <w:r w:rsidR="00914092">
        <w:t xml:space="preserve"> (0.2 kts) </w:t>
      </w:r>
      <w:r>
        <w:t xml:space="preserve">and are </w:t>
      </w:r>
      <w:r w:rsidR="008C73AF">
        <w:t xml:space="preserve">predominantly </w:t>
      </w:r>
      <w:r>
        <w:t>southerly in the southern GBR and northerly in the north</w:t>
      </w:r>
      <w:r w:rsidR="00C130DE">
        <w:t xml:space="preserve"> (</w:t>
      </w:r>
      <w:fldSimple w:instr=" REF _Ref170308514 ">
        <w:r w:rsidR="004263D8">
          <w:t xml:space="preserve">Figure </w:t>
        </w:r>
        <w:r w:rsidR="004263D8">
          <w:rPr>
            <w:noProof/>
          </w:rPr>
          <w:t>11</w:t>
        </w:r>
      </w:fldSimple>
      <w:r w:rsidR="008C73AF" w:rsidRPr="00914092">
        <w:t xml:space="preserve">, </w:t>
      </w:r>
      <w:r w:rsidR="008C73AF">
        <w:t>Appendix B</w:t>
      </w:r>
      <w:r w:rsidR="00C130DE">
        <w:t>)</w:t>
      </w:r>
      <w:r w:rsidR="008C73AF">
        <w:t>, especially during winter</w:t>
      </w:r>
      <w:r w:rsidR="006D0009">
        <w:t>, driven by seasonal SE trade winds</w:t>
      </w:r>
      <w:r w:rsidR="008C73AF">
        <w:t>.</w:t>
      </w:r>
      <w:r>
        <w:t xml:space="preserve"> </w:t>
      </w:r>
    </w:p>
    <w:p w14:paraId="0898C47D" w14:textId="685D0441" w:rsidR="00682A44" w:rsidRDefault="00682A44" w:rsidP="00682A44">
      <w:r>
        <w:t xml:space="preserve">Currents </w:t>
      </w:r>
      <w:r w:rsidR="008C73AF">
        <w:t xml:space="preserve">immediately outside the </w:t>
      </w:r>
      <w:r>
        <w:t xml:space="preserve">GBR lagoon are dominated by the </w:t>
      </w:r>
      <w:r w:rsidR="008C73AF">
        <w:t xml:space="preserve">southward EAC and </w:t>
      </w:r>
      <w:r>
        <w:t xml:space="preserve">northward Hiri </w:t>
      </w:r>
      <w:r w:rsidR="008C73AF">
        <w:t>Current. I</w:t>
      </w:r>
      <w:r>
        <w:t xml:space="preserve">n summer, these boundary currents </w:t>
      </w:r>
      <w:r w:rsidR="006D0009">
        <w:t xml:space="preserve">(the EAC especially) </w:t>
      </w:r>
      <w:r>
        <w:t xml:space="preserve">are stronger with averaged monthly speeds exceeding </w:t>
      </w:r>
      <w:r w:rsidR="008C73AF">
        <w:t>0.8 m.s</w:t>
      </w:r>
      <w:r w:rsidR="008C73AF" w:rsidRPr="00A843A8">
        <w:rPr>
          <w:vertAlign w:val="superscript"/>
        </w:rPr>
        <w:t>-1</w:t>
      </w:r>
      <w:r>
        <w:t xml:space="preserve"> (</w:t>
      </w:r>
      <w:r w:rsidR="008C73AF">
        <w:t>1.5 kts</w:t>
      </w:r>
      <w:r>
        <w:t xml:space="preserve">) </w:t>
      </w:r>
      <w:r w:rsidR="00FC2035">
        <w:t>(</w:t>
      </w:r>
      <w:fldSimple w:instr=" REF _Ref170308514 ">
        <w:r w:rsidR="004263D8">
          <w:t xml:space="preserve">Figure </w:t>
        </w:r>
        <w:r w:rsidR="004263D8">
          <w:rPr>
            <w:noProof/>
          </w:rPr>
          <w:t>11</w:t>
        </w:r>
      </w:fldSimple>
      <w:r w:rsidR="008C73AF" w:rsidRPr="008C73AF">
        <w:t xml:space="preserve">, </w:t>
      </w:r>
      <w:r>
        <w:t>Appendix B</w:t>
      </w:r>
      <w:r w:rsidR="008C73AF">
        <w:t>)</w:t>
      </w:r>
      <w:r>
        <w:t xml:space="preserve">. </w:t>
      </w:r>
      <w:r w:rsidR="006D0009">
        <w:t>The bifurcation point is at about Cape Melville (14</w:t>
      </w:r>
      <w:r w:rsidR="006D0009">
        <w:rPr>
          <w:rFonts w:cs="Calibri"/>
        </w:rPr>
        <w:t>°</w:t>
      </w:r>
      <w:r w:rsidR="006D0009">
        <w:t>S) in winter but moves south to about Cape Tribulation (16</w:t>
      </w:r>
      <w:r w:rsidR="006D0009">
        <w:rPr>
          <w:rFonts w:cs="Calibri"/>
        </w:rPr>
        <w:t>°</w:t>
      </w:r>
      <w:r w:rsidR="006D0009">
        <w:t xml:space="preserve">S) during summer. </w:t>
      </w:r>
    </w:p>
    <w:p w14:paraId="025CD55A" w14:textId="16CB9EE8" w:rsidR="006D0009" w:rsidRDefault="006D0009" w:rsidP="00682A44">
      <w:r>
        <w:t xml:space="preserve">This indicates that the </w:t>
      </w:r>
      <w:r w:rsidR="001C7C98">
        <w:t>transport</w:t>
      </w:r>
      <w:r>
        <w:t xml:space="preserve"> of planktonic larvae with one month larval duration would be on the scale of </w:t>
      </w:r>
      <w:r w:rsidR="001C7C98">
        <w:t xml:space="preserve">~200 km or less (given that reefs are known to cause </w:t>
      </w:r>
      <w:r w:rsidR="001C7C98" w:rsidRPr="001C7C98">
        <w:t>a “sticky water” effect</w:t>
      </w:r>
      <w:r w:rsidR="001C7C98">
        <w:t xml:space="preserve">; </w:t>
      </w:r>
      <w:r w:rsidR="001C7C98" w:rsidRPr="001C7C98">
        <w:t>Wolanski et al., 2013)</w:t>
      </w:r>
      <w:r w:rsidR="001C7C98">
        <w:t xml:space="preserve"> withing the GBR lagoon, but that longer distances would be possible if larvae were transported outside the GBR lagoon boundary.</w:t>
      </w:r>
    </w:p>
    <w:tbl>
      <w:tblPr>
        <w:tblStyle w:val="TableGrid"/>
        <w:tblW w:w="9209" w:type="dxa"/>
        <w:tblLayout w:type="fixed"/>
        <w:tblCellMar>
          <w:left w:w="0" w:type="dxa"/>
          <w:right w:w="0" w:type="dxa"/>
        </w:tblCellMar>
        <w:tblLook w:val="04A0" w:firstRow="1" w:lastRow="0" w:firstColumn="1" w:lastColumn="0" w:noHBand="0" w:noVBand="1"/>
      </w:tblPr>
      <w:tblGrid>
        <w:gridCol w:w="298"/>
        <w:gridCol w:w="2958"/>
        <w:gridCol w:w="2976"/>
        <w:gridCol w:w="2977"/>
      </w:tblGrid>
      <w:tr w:rsidR="00657535" w:rsidRPr="000D187A" w14:paraId="5FC0C870" w14:textId="77777777" w:rsidTr="000B319E">
        <w:tc>
          <w:tcPr>
            <w:tcW w:w="298" w:type="dxa"/>
          </w:tcPr>
          <w:p w14:paraId="2F3F9070" w14:textId="77777777" w:rsidR="00657535" w:rsidRPr="000D187A" w:rsidRDefault="00657535" w:rsidP="008C73AF">
            <w:pPr>
              <w:keepNext/>
              <w:spacing w:after="0"/>
              <w:jc w:val="center"/>
            </w:pPr>
          </w:p>
        </w:tc>
        <w:tc>
          <w:tcPr>
            <w:tcW w:w="2958" w:type="dxa"/>
          </w:tcPr>
          <w:p w14:paraId="3494D215" w14:textId="77777777" w:rsidR="00657535" w:rsidRPr="000D187A" w:rsidRDefault="00657535" w:rsidP="008C73AF">
            <w:pPr>
              <w:keepNext/>
              <w:spacing w:after="0"/>
              <w:jc w:val="center"/>
            </w:pPr>
            <w:r>
              <w:t>Hourly</w:t>
            </w:r>
          </w:p>
        </w:tc>
        <w:tc>
          <w:tcPr>
            <w:tcW w:w="2976" w:type="dxa"/>
          </w:tcPr>
          <w:p w14:paraId="4C4C4EB6" w14:textId="77777777" w:rsidR="00657535" w:rsidRPr="000D187A" w:rsidRDefault="00657535" w:rsidP="008C73AF">
            <w:pPr>
              <w:keepNext/>
              <w:spacing w:after="0"/>
              <w:jc w:val="center"/>
            </w:pPr>
            <w:r>
              <w:t>Monthly – av. magnitude</w:t>
            </w:r>
          </w:p>
        </w:tc>
        <w:tc>
          <w:tcPr>
            <w:tcW w:w="2977" w:type="dxa"/>
          </w:tcPr>
          <w:p w14:paraId="26748937" w14:textId="77777777" w:rsidR="00657535" w:rsidRPr="000D187A" w:rsidRDefault="00657535" w:rsidP="008C73AF">
            <w:pPr>
              <w:keepNext/>
              <w:spacing w:after="0"/>
              <w:jc w:val="center"/>
            </w:pPr>
            <w:r>
              <w:t>Monthly – av. direction</w:t>
            </w:r>
          </w:p>
        </w:tc>
      </w:tr>
      <w:tr w:rsidR="00657535" w:rsidRPr="000D187A" w14:paraId="2499FD2A" w14:textId="77777777" w:rsidTr="000B319E">
        <w:trPr>
          <w:cantSplit/>
          <w:trHeight w:val="4643"/>
        </w:trPr>
        <w:tc>
          <w:tcPr>
            <w:tcW w:w="298" w:type="dxa"/>
            <w:textDirection w:val="btLr"/>
          </w:tcPr>
          <w:p w14:paraId="01D65924" w14:textId="77777777" w:rsidR="00657535" w:rsidRPr="0016397B" w:rsidRDefault="00657535" w:rsidP="00657535">
            <w:pPr>
              <w:spacing w:after="0"/>
              <w:ind w:left="113" w:right="113"/>
              <w:jc w:val="center"/>
            </w:pPr>
            <w:r w:rsidRPr="0016397B">
              <w:t>June</w:t>
            </w:r>
            <w:r>
              <w:t xml:space="preserve"> 2023</w:t>
            </w:r>
          </w:p>
        </w:tc>
        <w:tc>
          <w:tcPr>
            <w:tcW w:w="2958" w:type="dxa"/>
          </w:tcPr>
          <w:p w14:paraId="17267580" w14:textId="77777777" w:rsidR="00657535" w:rsidRPr="000D187A" w:rsidRDefault="00657535" w:rsidP="00657535">
            <w:pPr>
              <w:spacing w:after="0"/>
            </w:pPr>
            <w:r w:rsidRPr="00C61238">
              <w:rPr>
                <w:noProof/>
              </w:rPr>
              <w:drawing>
                <wp:inline distT="0" distB="0" distL="0" distR="0" wp14:anchorId="03E40095" wp14:editId="36572FBB">
                  <wp:extent cx="1996604" cy="3096000"/>
                  <wp:effectExtent l="0" t="0" r="3810" b="9525"/>
                  <wp:docPr id="1135897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97132"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996604" cy="3096000"/>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Pr>
          <w:p w14:paraId="3976648D" w14:textId="77777777" w:rsidR="00657535" w:rsidRPr="000D187A" w:rsidRDefault="00657535" w:rsidP="00657535">
            <w:pPr>
              <w:spacing w:after="0"/>
            </w:pPr>
            <w:r>
              <w:rPr>
                <w:noProof/>
              </w:rPr>
              <w:drawing>
                <wp:inline distT="0" distB="0" distL="0" distR="0" wp14:anchorId="0DA36332" wp14:editId="403E6FE3">
                  <wp:extent cx="2017024" cy="3096000"/>
                  <wp:effectExtent l="0" t="0" r="2540" b="0"/>
                  <wp:docPr id="1922714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017024" cy="30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14:paraId="0DFC56C8" w14:textId="77777777" w:rsidR="00657535" w:rsidRPr="000D187A" w:rsidRDefault="00657535" w:rsidP="00657535">
            <w:pPr>
              <w:spacing w:after="0"/>
            </w:pPr>
            <w:r>
              <w:rPr>
                <w:noProof/>
              </w:rPr>
              <w:drawing>
                <wp:inline distT="0" distB="0" distL="0" distR="0" wp14:anchorId="264E68A7" wp14:editId="41F3C7A2">
                  <wp:extent cx="1992972" cy="3096000"/>
                  <wp:effectExtent l="0" t="0" r="7620" b="0"/>
                  <wp:docPr id="9587228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992972" cy="309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7535" w:rsidRPr="000D187A" w14:paraId="6262D075" w14:textId="77777777" w:rsidTr="000B319E">
        <w:trPr>
          <w:cantSplit/>
          <w:trHeight w:val="1134"/>
        </w:trPr>
        <w:tc>
          <w:tcPr>
            <w:tcW w:w="298" w:type="dxa"/>
            <w:textDirection w:val="btLr"/>
          </w:tcPr>
          <w:p w14:paraId="42920B2D" w14:textId="77777777" w:rsidR="00657535" w:rsidRPr="0016397B" w:rsidRDefault="00657535" w:rsidP="00657535">
            <w:pPr>
              <w:spacing w:after="0"/>
              <w:ind w:left="113" w:right="113"/>
              <w:jc w:val="center"/>
            </w:pPr>
            <w:r w:rsidRPr="0016397B">
              <w:t>December</w:t>
            </w:r>
            <w:r>
              <w:t xml:space="preserve"> 2023</w:t>
            </w:r>
          </w:p>
        </w:tc>
        <w:tc>
          <w:tcPr>
            <w:tcW w:w="2958" w:type="dxa"/>
          </w:tcPr>
          <w:p w14:paraId="77C38BCB" w14:textId="77777777" w:rsidR="00657535" w:rsidRPr="000D187A" w:rsidRDefault="00657535" w:rsidP="00657535">
            <w:pPr>
              <w:spacing w:after="0"/>
            </w:pPr>
            <w:r w:rsidRPr="009907AA">
              <w:rPr>
                <w:noProof/>
              </w:rPr>
              <w:drawing>
                <wp:inline distT="0" distB="0" distL="0" distR="0" wp14:anchorId="231BD030" wp14:editId="6D932B5F">
                  <wp:extent cx="2038350" cy="3095625"/>
                  <wp:effectExtent l="0" t="0" r="0" b="9525"/>
                  <wp:docPr id="1348164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64560"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038350" cy="3095625"/>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Pr>
          <w:p w14:paraId="23D6F1C5" w14:textId="77777777" w:rsidR="00657535" w:rsidRPr="000D187A" w:rsidRDefault="00657535" w:rsidP="00657535">
            <w:pPr>
              <w:spacing w:after="0"/>
            </w:pPr>
            <w:r>
              <w:rPr>
                <w:noProof/>
              </w:rPr>
              <w:drawing>
                <wp:inline distT="0" distB="0" distL="0" distR="0" wp14:anchorId="326AFB5B" wp14:editId="2C4BA8B0">
                  <wp:extent cx="2012400" cy="3096000"/>
                  <wp:effectExtent l="0" t="0" r="6985" b="9525"/>
                  <wp:docPr id="275988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2012400" cy="30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14:paraId="0805D256" w14:textId="77777777" w:rsidR="00657535" w:rsidRPr="000D187A" w:rsidRDefault="00657535" w:rsidP="00657535">
            <w:pPr>
              <w:spacing w:after="0"/>
            </w:pPr>
            <w:r>
              <w:rPr>
                <w:noProof/>
              </w:rPr>
              <w:drawing>
                <wp:inline distT="0" distB="0" distL="0" distR="0" wp14:anchorId="388A27F8" wp14:editId="4845794F">
                  <wp:extent cx="1992972" cy="3096000"/>
                  <wp:effectExtent l="0" t="0" r="7620" b="0"/>
                  <wp:docPr id="2081166888" name="Picture 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71262" name="Picture 4" descr="A screenshot of a map&#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992972" cy="309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EA53D3" w14:textId="1DECE2DF" w:rsidR="008B0D53" w:rsidRDefault="008B0D53" w:rsidP="008B0D53">
      <w:pPr>
        <w:pStyle w:val="Caption"/>
      </w:pPr>
      <w:bookmarkStart w:id="57" w:name="_Ref170308514"/>
      <w:bookmarkStart w:id="58" w:name="_Toc189044968"/>
      <w:r>
        <w:t xml:space="preserve">Figure </w:t>
      </w:r>
      <w:fldSimple w:instr=" SEQ Figure \* ARABIC ">
        <w:r w:rsidR="004263D8">
          <w:rPr>
            <w:noProof/>
          </w:rPr>
          <w:t>11</w:t>
        </w:r>
      </w:fldSimple>
      <w:bookmarkEnd w:id="57"/>
      <w:r>
        <w:t xml:space="preserve">. Hourly water current magnitude and direction (9 m depth) during June full moon (4/06/2023; 13:00-14:00 - Top) and December new moon (12/12/2023; 00:00-01:00 - Bottom), monthly current average magnitude (middle) and monthly average direction (right) for June (winter) and December (summer) 2023. </w:t>
      </w:r>
      <w:r w:rsidRPr="002B5D82">
        <w:t xml:space="preserve">(AIMS eReefs Visualisation Portal: </w:t>
      </w:r>
      <w:hyperlink r:id="rId42" w:history="1">
        <w:r w:rsidR="00B200F5" w:rsidRPr="00350999">
          <w:rPr>
            <w:rStyle w:val="Hyperlink"/>
          </w:rPr>
          <w:t>https://ereefs.aims.gov.au/ereefs-aims/gbr1/</w:t>
        </w:r>
      </w:hyperlink>
      <w:r w:rsidRPr="002B5D82">
        <w:t>)</w:t>
      </w:r>
      <w:bookmarkEnd w:id="58"/>
    </w:p>
    <w:p w14:paraId="0F532E5A" w14:textId="77777777" w:rsidR="002B1220" w:rsidRPr="00B455BD" w:rsidRDefault="002B1220" w:rsidP="002B1220">
      <w:pPr>
        <w:rPr>
          <w:i/>
          <w:iCs/>
          <w:u w:val="single"/>
        </w:rPr>
      </w:pPr>
      <w:r w:rsidRPr="00B455BD">
        <w:rPr>
          <w:i/>
          <w:iCs/>
          <w:u w:val="single"/>
        </w:rPr>
        <w:t>Links with neighbouring regions</w:t>
      </w:r>
    </w:p>
    <w:p w14:paraId="23E46B30" w14:textId="77777777" w:rsidR="00E76E07" w:rsidRDefault="002B1220" w:rsidP="000627CD">
      <w:r>
        <w:t>Broader scale b</w:t>
      </w:r>
      <w:r w:rsidR="000627CD">
        <w:t xml:space="preserve">iophysical </w:t>
      </w:r>
      <w:r w:rsidR="000627CD" w:rsidRPr="009703D6">
        <w:t>model</w:t>
      </w:r>
      <w:r w:rsidR="000627CD">
        <w:t>s</w:t>
      </w:r>
      <w:r w:rsidR="000627CD" w:rsidRPr="009703D6">
        <w:t xml:space="preserve"> </w:t>
      </w:r>
      <w:r>
        <w:t xml:space="preserve">also </w:t>
      </w:r>
      <w:r w:rsidR="000627CD" w:rsidRPr="009703D6">
        <w:t xml:space="preserve">predicted </w:t>
      </w:r>
      <w:r w:rsidR="000627CD">
        <w:t xml:space="preserve">strong </w:t>
      </w:r>
      <w:r w:rsidR="000627CD" w:rsidRPr="009703D6">
        <w:t xml:space="preserve">connections from the Coral Sea reefs </w:t>
      </w:r>
      <w:r w:rsidR="000627CD">
        <w:t xml:space="preserve">and </w:t>
      </w:r>
      <w:r w:rsidR="000627CD" w:rsidRPr="009703D6">
        <w:t>GBR</w:t>
      </w:r>
      <w:r w:rsidR="000627CD">
        <w:t>,</w:t>
      </w:r>
      <w:r w:rsidR="000627CD" w:rsidRPr="009703D6">
        <w:t xml:space="preserve"> which is consistent </w:t>
      </w:r>
      <w:r w:rsidR="000627CD">
        <w:t xml:space="preserve">with </w:t>
      </w:r>
      <w:r w:rsidR="000627CD" w:rsidRPr="009703D6">
        <w:t>the dominant westerly current flow in the Coral Sea</w:t>
      </w:r>
      <w:r w:rsidR="000627CD">
        <w:t xml:space="preserve"> (</w:t>
      </w:r>
      <w:r w:rsidR="000627CD" w:rsidRPr="009703D6">
        <w:t>Choukroun et al., 2021</w:t>
      </w:r>
      <w:r w:rsidR="000627CD">
        <w:t>). Connectivity for larvae with a 30-day pelagic larval duration showed strong connectivity between the Coral Sea and GBR, and between the northern GBR and Torres Strait, but the offshore reefs of the Coral Sea (e.g. Mellish Reef) were less connected.</w:t>
      </w:r>
      <w:r w:rsidR="000627CD" w:rsidRPr="009703D6">
        <w:t xml:space="preserve"> Connectivity from northern </w:t>
      </w:r>
      <w:r w:rsidR="000627CD">
        <w:t>Coral Sea</w:t>
      </w:r>
      <w:r w:rsidR="000627CD" w:rsidRPr="009703D6">
        <w:t xml:space="preserve"> reefs (Osprey and Bougainville</w:t>
      </w:r>
      <w:r w:rsidR="000627CD">
        <w:t xml:space="preserve"> Reefs</w:t>
      </w:r>
      <w:r w:rsidR="000627CD" w:rsidRPr="009703D6">
        <w:t>) to the northern GBR was among the strongest connections observed in the model</w:t>
      </w:r>
      <w:r w:rsidR="000627CD">
        <w:t xml:space="preserve"> (t</w:t>
      </w:r>
      <w:r w:rsidR="000627CD" w:rsidRPr="009703D6">
        <w:t>he study d</w:t>
      </w:r>
      <w:r w:rsidR="000627CD">
        <w:t>i</w:t>
      </w:r>
      <w:r w:rsidR="000627CD" w:rsidRPr="009703D6">
        <w:t>d not test for connections from the GBR to the Coral Sea</w:t>
      </w:r>
      <w:r w:rsidR="000627CD">
        <w:t>)</w:t>
      </w:r>
      <w:r w:rsidR="000627CD" w:rsidRPr="009703D6">
        <w:t xml:space="preserve"> (Choukroun et al., 2021).</w:t>
      </w:r>
      <w:r w:rsidR="000627CD">
        <w:t xml:space="preserve"> </w:t>
      </w:r>
    </w:p>
    <w:p w14:paraId="20D2D305" w14:textId="0AD4223C" w:rsidR="00AF2FA8" w:rsidRDefault="00AF2FA8" w:rsidP="00AF2FA8">
      <w:r>
        <w:t>A recent study on broadscale connectivity of larval fishes in northeastern Australia (</w:t>
      </w:r>
      <w:r w:rsidRPr="000D21DC">
        <w:t>Fontoura</w:t>
      </w:r>
      <w:r>
        <w:t xml:space="preserve"> et al., 2022) indicated that many reefs in the Coral Sea act as source reefs for recruitment of fish populations to the </w:t>
      </w:r>
      <w:r>
        <w:lastRenderedPageBreak/>
        <w:t xml:space="preserve">GBR; and that the Torres Strait reefs were largely considered sink populations that rely on </w:t>
      </w:r>
      <w:r w:rsidR="007D2DDE">
        <w:t xml:space="preserve">the </w:t>
      </w:r>
      <w:r>
        <w:t xml:space="preserve">reefs of the </w:t>
      </w:r>
      <w:r w:rsidRPr="002B1220">
        <w:t>northern GBR for recruitment. Internally the GBR was a complex mix of source and sink reefs (</w:t>
      </w:r>
      <w:r w:rsidR="00484196">
        <w:fldChar w:fldCharType="begin"/>
      </w:r>
      <w:r w:rsidR="00484196">
        <w:instrText xml:space="preserve"> REF _Ref151553156 \h </w:instrText>
      </w:r>
      <w:r w:rsidR="00484196">
        <w:fldChar w:fldCharType="separate"/>
      </w:r>
      <w:r w:rsidR="004263D8" w:rsidRPr="00892D6F">
        <w:t xml:space="preserve">Figure </w:t>
      </w:r>
      <w:r w:rsidR="004263D8">
        <w:rPr>
          <w:noProof/>
        </w:rPr>
        <w:t>12</w:t>
      </w:r>
      <w:r w:rsidR="00484196">
        <w:fldChar w:fldCharType="end"/>
      </w:r>
      <w:r w:rsidRPr="002B1220">
        <w:t>).</w:t>
      </w:r>
      <w:r>
        <w:t xml:space="preserve"> Connectivity for larvae with a 30-day pelagic larval duration showed strong connectivity between the northern GBR and Torres Strait. </w:t>
      </w:r>
    </w:p>
    <w:p w14:paraId="52F636C4" w14:textId="7945F9E5" w:rsidR="00AF2FA8" w:rsidRDefault="00AF2FA8" w:rsidP="00AF2FA8">
      <w:r>
        <w:t xml:space="preserve">Connectivity on broader scales, such as between the </w:t>
      </w:r>
      <w:r w:rsidR="002B1220">
        <w:t xml:space="preserve">GBR </w:t>
      </w:r>
      <w:r>
        <w:t>and Indian Oceans through the Torres Strait, is not well understood (Ceccarelli, 2013). However, the low net flows through Torres Strait would indicate it is a barrier to demographic scale recruitment between eastern and northern Australian benthic populations (</w:t>
      </w:r>
      <w:r w:rsidRPr="0075544B">
        <w:t>Saint-Cast, 200</w:t>
      </w:r>
      <w:r>
        <w:t>8; Wolanski et al., 2013).</w:t>
      </w:r>
    </w:p>
    <w:p w14:paraId="749A5319" w14:textId="128E6F04" w:rsidR="00892D6F" w:rsidRPr="00892D6F" w:rsidRDefault="00892D6F" w:rsidP="00892D6F"/>
    <w:p w14:paraId="3225E355" w14:textId="77777777" w:rsidR="000D55D6" w:rsidRPr="00484196" w:rsidRDefault="000D55D6" w:rsidP="00484196">
      <w:bookmarkStart w:id="59" w:name="_Ref144397920"/>
      <w:r w:rsidRPr="00892D6F">
        <w:rPr>
          <w:noProof/>
        </w:rPr>
        <w:drawing>
          <wp:inline distT="0" distB="0" distL="0" distR="0" wp14:anchorId="728F0672" wp14:editId="73F74A0F">
            <wp:extent cx="3951091" cy="4185285"/>
            <wp:effectExtent l="0" t="0" r="0" b="571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43"/>
                    <a:stretch>
                      <a:fillRect/>
                    </a:stretch>
                  </pic:blipFill>
                  <pic:spPr>
                    <a:xfrm>
                      <a:off x="0" y="0"/>
                      <a:ext cx="3954420" cy="4188811"/>
                    </a:xfrm>
                    <a:prstGeom prst="rect">
                      <a:avLst/>
                    </a:prstGeom>
                  </pic:spPr>
                </pic:pic>
              </a:graphicData>
            </a:graphic>
          </wp:inline>
        </w:drawing>
      </w:r>
      <w:r w:rsidRPr="00892D6F">
        <w:t xml:space="preserve"> </w:t>
      </w:r>
      <w:r w:rsidRPr="00892D6F">
        <w:rPr>
          <w:noProof/>
        </w:rPr>
        <w:drawing>
          <wp:inline distT="0" distB="0" distL="0" distR="0" wp14:anchorId="70E10B05" wp14:editId="4BC46437">
            <wp:extent cx="1352550" cy="1524000"/>
            <wp:effectExtent l="0" t="0" r="0" b="0"/>
            <wp:docPr id="39108758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87580" name="Picture 1" descr="A black screen with white text&#10;&#10;Description automatically generated with low confidenc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1352739" cy="1524213"/>
                    </a:xfrm>
                    <a:prstGeom prst="rect">
                      <a:avLst/>
                    </a:prstGeom>
                    <a:ln>
                      <a:noFill/>
                    </a:ln>
                    <a:extLst>
                      <a:ext uri="{53640926-AAD7-44D8-BBD7-CCE9431645EC}">
                        <a14:shadowObscured xmlns:a14="http://schemas.microsoft.com/office/drawing/2010/main"/>
                      </a:ext>
                    </a:extLst>
                  </pic:spPr>
                </pic:pic>
              </a:graphicData>
            </a:graphic>
          </wp:inline>
        </w:drawing>
      </w:r>
    </w:p>
    <w:p w14:paraId="52981744" w14:textId="36CAC5EE" w:rsidR="00892D6F" w:rsidRPr="00892D6F" w:rsidRDefault="00892D6F" w:rsidP="0096672D">
      <w:pPr>
        <w:pStyle w:val="Caption"/>
      </w:pPr>
      <w:bookmarkStart w:id="60" w:name="_Ref151553156"/>
      <w:bookmarkStart w:id="61" w:name="_Toc189044969"/>
      <w:r w:rsidRPr="00892D6F">
        <w:t xml:space="preserve">Figure </w:t>
      </w:r>
      <w:fldSimple w:instr=" SEQ Figure \* ARABIC ">
        <w:r w:rsidR="004263D8">
          <w:rPr>
            <w:noProof/>
          </w:rPr>
          <w:t>12</w:t>
        </w:r>
      </w:fldSimple>
      <w:bookmarkEnd w:id="59"/>
      <w:bookmarkEnd w:id="60"/>
      <w:r w:rsidRPr="00892D6F">
        <w:t>. Fish Larval Connectivity on Coral Reefs: Spatial Distribution of Sinks, Sources &amp; Corridors (Fontoura et al., 2022) (</w:t>
      </w:r>
      <w:hyperlink r:id="rId45" w:history="1">
        <w:r w:rsidRPr="00892D6F">
          <w:rPr>
            <w:rStyle w:val="Hyperlink"/>
          </w:rPr>
          <w:t>https://www.arcgis.com/apps/dashboards/7d7167d11e4e4c4496ced8cafacb0fed</w:t>
        </w:r>
      </w:hyperlink>
      <w:r w:rsidR="00B200F5" w:rsidRPr="00B200F5">
        <w:t>)</w:t>
      </w:r>
      <w:bookmarkEnd w:id="61"/>
    </w:p>
    <w:p w14:paraId="2FC17FD8" w14:textId="77777777" w:rsidR="00892D6F" w:rsidRPr="00892D6F" w:rsidRDefault="00892D6F" w:rsidP="00A87F05">
      <w:pPr>
        <w:pStyle w:val="Heading3"/>
        <w:ind w:left="851" w:hanging="851"/>
      </w:pPr>
      <w:r w:rsidRPr="00892D6F">
        <w:t>Population structure - conclusions</w:t>
      </w:r>
    </w:p>
    <w:p w14:paraId="7722A08B" w14:textId="451BC564" w:rsidR="0081123A" w:rsidRDefault="00301A87" w:rsidP="00AF2FA8">
      <w:r>
        <w:t xml:space="preserve">Information available </w:t>
      </w:r>
      <w:r w:rsidR="00AF2FA8">
        <w:t xml:space="preserve">would support a </w:t>
      </w:r>
      <w:r w:rsidR="00E76E07">
        <w:t xml:space="preserve">relatively </w:t>
      </w:r>
      <w:r w:rsidR="00AF2FA8">
        <w:t xml:space="preserve">well-mixed population of both species in </w:t>
      </w:r>
      <w:r w:rsidR="0081123A">
        <w:t>the QSCF</w:t>
      </w:r>
      <w:r w:rsidR="00E76E07">
        <w:t xml:space="preserve"> over the medium to long term</w:t>
      </w:r>
      <w:r w:rsidR="0081123A">
        <w:t xml:space="preserve">. </w:t>
      </w:r>
      <w:r>
        <w:t>However, there is likely to be more localised demographic connectivity due to relatively restricted larval transport and significant levels of self-seeding for reefs in the QSCF</w:t>
      </w:r>
      <w:r w:rsidR="00B200F5">
        <w:t>.</w:t>
      </w:r>
    </w:p>
    <w:p w14:paraId="3C34E4AD" w14:textId="27637D7C" w:rsidR="007D204F" w:rsidRDefault="007D204F" w:rsidP="007D204F">
      <w:r>
        <w:t>On the GBR, studies of coral dispersal and connectivity ha</w:t>
      </w:r>
      <w:r w:rsidR="00B200F5">
        <w:t>ve</w:t>
      </w:r>
      <w:r>
        <w:t xml:space="preserve"> shown, for coral species with comparable larval durations as </w:t>
      </w:r>
      <w:r w:rsidR="00864D71">
        <w:t>teatfish</w:t>
      </w:r>
      <w:r>
        <w:t>, that the formulation of “e</w:t>
      </w:r>
      <w:r w:rsidRPr="002F3166">
        <w:t>quivalent reef community configuration</w:t>
      </w:r>
      <w:r>
        <w:t xml:space="preserve">s” that might serve as distinct operational management units are of the order of 10’s to 100’s of km, with smaller units closer to the coast and along the inshore-offshore gradient (Thomas et al., 2014). </w:t>
      </w:r>
    </w:p>
    <w:p w14:paraId="13083367" w14:textId="48BE7DD8" w:rsidR="00F04874" w:rsidRPr="00F04874" w:rsidRDefault="00AF2FA8" w:rsidP="00AF2FA8">
      <w:r>
        <w:t xml:space="preserve">There is also likely to be some significant connectivity between </w:t>
      </w:r>
      <w:r w:rsidR="0081123A">
        <w:t xml:space="preserve">the </w:t>
      </w:r>
      <w:r w:rsidR="002B1220">
        <w:t xml:space="preserve">adjacent Coral Sea reefs and the GBR, and between the </w:t>
      </w:r>
      <w:r w:rsidR="0081123A">
        <w:t xml:space="preserve">northern GBR and </w:t>
      </w:r>
      <w:r>
        <w:t xml:space="preserve">Torres Strait reefs, but available evidence suggests that </w:t>
      </w:r>
      <w:r w:rsidR="00F04874">
        <w:t xml:space="preserve">the northern GBR </w:t>
      </w:r>
      <w:r w:rsidR="00B200F5">
        <w:t xml:space="preserve">reefs </w:t>
      </w:r>
      <w:r>
        <w:t>are more likely to be s</w:t>
      </w:r>
      <w:r w:rsidR="00F04874">
        <w:t>ource</w:t>
      </w:r>
      <w:r>
        <w:t xml:space="preserve"> populations (</w:t>
      </w:r>
      <w:r w:rsidR="00DE0510">
        <w:t xml:space="preserve">Appendix B; </w:t>
      </w:r>
      <w:r w:rsidRPr="000D21DC">
        <w:t>Fontoura</w:t>
      </w:r>
      <w:r>
        <w:t xml:space="preserve"> et al., 2022). There may also be some variability to this connectivity on annual and seasonal scales</w:t>
      </w:r>
      <w:r w:rsidR="00E76E07">
        <w:t xml:space="preserve"> (Appendix B)</w:t>
      </w:r>
      <w:r>
        <w:t xml:space="preserve">, due to the effect and </w:t>
      </w:r>
      <w:r>
        <w:lastRenderedPageBreak/>
        <w:t>timing and strength of the monsoon (</w:t>
      </w:r>
      <w:r w:rsidRPr="0075544B">
        <w:t>Saint-Cast, 200</w:t>
      </w:r>
      <w:r>
        <w:t>8; Murphy et al., 201</w:t>
      </w:r>
      <w:r w:rsidR="0069474A">
        <w:t>2</w:t>
      </w:r>
      <w:r>
        <w:t xml:space="preserve">) and other stochastic factors (Uthicke et al., 2009). </w:t>
      </w:r>
    </w:p>
    <w:p w14:paraId="2168D240" w14:textId="596CFC68" w:rsidR="00AF2FA8" w:rsidRDefault="00AF2FA8" w:rsidP="00AF2FA8">
      <w:r w:rsidRPr="009E59C0">
        <w:t xml:space="preserve">Therefore, the population structure of both </w:t>
      </w:r>
      <w:r w:rsidR="00864D71">
        <w:t>t</w:t>
      </w:r>
      <w:r w:rsidR="009E59C0" w:rsidRPr="009E59C0">
        <w:t>eatfish</w:t>
      </w:r>
      <w:r w:rsidR="006B724F" w:rsidRPr="00CB2A97">
        <w:rPr>
          <w:i/>
        </w:rPr>
        <w:t xml:space="preserve"> </w:t>
      </w:r>
      <w:r>
        <w:t xml:space="preserve">species in the </w:t>
      </w:r>
      <w:r w:rsidR="00F04874">
        <w:t>QSCF</w:t>
      </w:r>
      <w:r>
        <w:t xml:space="preserve"> is likely to</w:t>
      </w:r>
      <w:r w:rsidR="00B200F5">
        <w:t xml:space="preserve"> be</w:t>
      </w:r>
      <w:r>
        <w:t xml:space="preserve"> </w:t>
      </w:r>
      <w:r w:rsidRPr="008D53AE">
        <w:t>considered as “</w:t>
      </w:r>
      <w:r>
        <w:t>l</w:t>
      </w:r>
      <w:r w:rsidRPr="0062664E">
        <w:t>ocal populations with maximum connectivity within the meta-population</w:t>
      </w:r>
      <w:r>
        <w:t xml:space="preserve">” </w:t>
      </w:r>
      <w:r w:rsidRPr="008D53AE">
        <w:t xml:space="preserve">(or Type </w:t>
      </w:r>
      <w:r>
        <w:t>D</w:t>
      </w:r>
      <w:r w:rsidRPr="008D53AE">
        <w:t xml:space="preserve"> stock structure according to the Marine Stewardship Council population structure classification system; MSC, 2022).</w:t>
      </w:r>
      <w:r>
        <w:t xml:space="preserve"> In this case, management of the </w:t>
      </w:r>
      <w:r w:rsidR="00F04874">
        <w:t xml:space="preserve">QSCF </w:t>
      </w:r>
      <w:r>
        <w:t xml:space="preserve">as a single stock </w:t>
      </w:r>
      <w:r w:rsidRPr="00974F19">
        <w:t xml:space="preserve">is </w:t>
      </w:r>
      <w:r>
        <w:t>appropriate, but with consideration of</w:t>
      </w:r>
      <w:r w:rsidR="00E76E07">
        <w:t xml:space="preserve"> population dynamics on the scale of 50-100 km to maintain local density</w:t>
      </w:r>
      <w:r>
        <w:t xml:space="preserve"> and </w:t>
      </w:r>
      <w:r w:rsidR="00E76E07">
        <w:t xml:space="preserve">for </w:t>
      </w:r>
      <w:r>
        <w:t xml:space="preserve">ecological considerations. </w:t>
      </w:r>
    </w:p>
    <w:p w14:paraId="149DD975" w14:textId="77777777" w:rsidR="00892D6F" w:rsidRDefault="00892D6F" w:rsidP="008D08E6">
      <w:pPr>
        <w:pStyle w:val="Heading2"/>
        <w:ind w:left="851" w:hanging="851"/>
      </w:pPr>
      <w:bookmarkStart w:id="62" w:name="_Toc138269044"/>
      <w:bookmarkStart w:id="63" w:name="_Toc139374124"/>
      <w:bookmarkStart w:id="64" w:name="_Toc189044931"/>
      <w:r>
        <w:t>Climate change</w:t>
      </w:r>
      <w:bookmarkEnd w:id="62"/>
      <w:bookmarkEnd w:id="63"/>
      <w:bookmarkEnd w:id="64"/>
    </w:p>
    <w:p w14:paraId="06AC15EE" w14:textId="7488AD58" w:rsidR="00892D6F" w:rsidRDefault="00892D6F" w:rsidP="00A87F05">
      <w:pPr>
        <w:pStyle w:val="Heading3"/>
        <w:ind w:left="851" w:hanging="851"/>
      </w:pPr>
      <w:r>
        <w:t>C</w:t>
      </w:r>
      <w:r w:rsidRPr="004D489C">
        <w:t xml:space="preserve">limate change in </w:t>
      </w:r>
      <w:r w:rsidR="00F04874">
        <w:t>GBR</w:t>
      </w:r>
    </w:p>
    <w:p w14:paraId="2D0767E6" w14:textId="5E61FCB5" w:rsidR="00AF2FA8" w:rsidRDefault="00AF2FA8" w:rsidP="00AF2FA8">
      <w:r>
        <w:t>Climate change stressors in marine environments include increased sea temperature (and so-called marine heat waves), sea level rise, ocean acidification, changes to ocean current patterns, and increased storm intensity</w:t>
      </w:r>
      <w:r w:rsidR="006A0970">
        <w:t xml:space="preserve"> (IPCC, 2019)</w:t>
      </w:r>
      <w:r>
        <w:t xml:space="preserve">. Natural climate variability in Australia’s Tropical Pacific Ocean region is </w:t>
      </w:r>
      <w:r w:rsidR="00A734CC">
        <w:t xml:space="preserve">also </w:t>
      </w:r>
      <w:r>
        <w:t>associated with El Niño and La Niña events, which now occurs on top of the warming trend with the potential to modify climate-ocean interactions with flow-on effects for Australia’s climate (NESP, 2018).</w:t>
      </w:r>
    </w:p>
    <w:p w14:paraId="21DAF5EA" w14:textId="7F5B075E" w:rsidR="00C6237C" w:rsidRDefault="00C6237C" w:rsidP="00864D71">
      <w:r>
        <w:t xml:space="preserve">The GBR region is particularly vulnerable </w:t>
      </w:r>
      <w:r w:rsidR="00B200F5">
        <w:t xml:space="preserve">to </w:t>
      </w:r>
      <w:r>
        <w:t>changing climate, with the primary concern being the impacts on habitat-forming species, such as corals, seagrasses and mangroves (</w:t>
      </w:r>
      <w:r w:rsidR="00484196">
        <w:fldChar w:fldCharType="begin"/>
      </w:r>
      <w:r w:rsidR="00484196">
        <w:instrText xml:space="preserve"> REF _Ref151553223 \h </w:instrText>
      </w:r>
      <w:r w:rsidR="00484196">
        <w:fldChar w:fldCharType="separate"/>
      </w:r>
      <w:r w:rsidR="004263D8">
        <w:t xml:space="preserve">Figure </w:t>
      </w:r>
      <w:r w:rsidR="004263D8">
        <w:rPr>
          <w:noProof/>
        </w:rPr>
        <w:t>13</w:t>
      </w:r>
      <w:r w:rsidR="00484196">
        <w:fldChar w:fldCharType="end"/>
      </w:r>
      <w:r>
        <w:t>; GBRMPA, 2019). Severe impacts that reduce the abundance or condition of habitats</w:t>
      </w:r>
      <w:r w:rsidR="00283677">
        <w:t xml:space="preserve"> will</w:t>
      </w:r>
      <w:r>
        <w:t xml:space="preserve"> have flow-on effects to dependent species and communities</w:t>
      </w:r>
      <w:r w:rsidR="00283677">
        <w:t xml:space="preserve">. </w:t>
      </w:r>
    </w:p>
    <w:p w14:paraId="3D20D057" w14:textId="0A087C50" w:rsidR="00864D71" w:rsidRDefault="00864D71" w:rsidP="00864D71">
      <w:r w:rsidRPr="00864D71">
        <w:t>There is an observed warming trend in both air and sea-surface temperatures in north</w:t>
      </w:r>
      <w:r w:rsidR="00B200F5">
        <w:t>-</w:t>
      </w:r>
      <w:r w:rsidRPr="00864D71">
        <w:t>easter</w:t>
      </w:r>
      <w:r w:rsidR="00B200F5">
        <w:t>n</w:t>
      </w:r>
      <w:r w:rsidRPr="00864D71">
        <w:t xml:space="preserve"> Australia, and regional projections include warmer sea-surface temperatures. This warming has occurred at 0.08–0.12 °C per decade since 1950 (NESP, 2018), with the GBR region warming by 0.8 degrees in the same period (Figure 14; Lough et al., 2018) and is predicted to be 2.3 ± 0.5 °C by 2070 under the business as usual (RCP 8.5) scenario (IPCC, 2019).</w:t>
      </w:r>
    </w:p>
    <w:p w14:paraId="35D416D2" w14:textId="77777777" w:rsidR="00301A87" w:rsidRDefault="00301A87" w:rsidP="00301A87">
      <w:r>
        <w:t>Sea levels have risen on average 2.1 mm/yr over 1966–2009 and 3.1 mm/yr over 1993–2009 around Australia, after accounting for the influence of the El Niño and the effects of vertical land movements due to glacial rebound, the effects of natural climate variability and changes in atmospheric pressure (McInnes et al., 2015). Mean sea level will continue to rise as a result of climate change, and height of extreme sea-level events will also increase (NESP, 2018)</w:t>
      </w:r>
      <w:r w:rsidRPr="006827A8">
        <w:t xml:space="preserve">. </w:t>
      </w:r>
    </w:p>
    <w:p w14:paraId="247C34DB" w14:textId="77777777" w:rsidR="00301A87" w:rsidRDefault="00301A87" w:rsidP="00301A87">
      <w:r>
        <w:t>Uptake of anthropogenic CO</w:t>
      </w:r>
      <w:r w:rsidRPr="008562E0">
        <w:rPr>
          <w:vertAlign w:val="subscript"/>
        </w:rPr>
        <w:t>2</w:t>
      </w:r>
      <w:r>
        <w:t xml:space="preserve"> into the oceans has led to a 0.1 unit change in the ocean’s surface water pH (to pH 8.1), which represents a 26 % increase in the concentration of hydrogen ions in seawater (IPCC, 2019). By 2030, pH change is projected to be another 0.08 units lower (to pH 8). By 2090, it is projected to be up to 0.15 units lower (to pH 7.95) for RCP4.5 and up to 0.32 units lower (to pH 7.8) for RCP8.5,</w:t>
      </w:r>
      <w:r w:rsidRPr="00767A56">
        <w:t xml:space="preserve"> </w:t>
      </w:r>
      <w:r>
        <w:t xml:space="preserve">representing an additional increase in hydrogen ion concentration of 40 and 100 % respectively (McInnes et al., 2015; </w:t>
      </w:r>
      <w:r w:rsidRPr="004F0B59">
        <w:t>IPCC, 2019</w:t>
      </w:r>
      <w:r>
        <w:t>). In north-eastern Australia, the pH has dropped by 0.085–0.095 between 1880–89 and 2000–09 (NESP, 2018), and is predicted to decrease by 0.31 by 2090 (</w:t>
      </w:r>
      <w:r w:rsidRPr="004F0B59">
        <w:t>IPCC, 2019</w:t>
      </w:r>
      <w:r>
        <w:t>).</w:t>
      </w:r>
    </w:p>
    <w:p w14:paraId="11E58A71" w14:textId="77777777" w:rsidR="00301A87" w:rsidRDefault="00301A87" w:rsidP="00301A87">
      <w:r w:rsidRPr="006827A8">
        <w:t>Rainfall is highly variable, with a strong influence from the El Niño–Southern Oscillation. A trend due to global warming cannot be identified in the observations. Rainfall will become more variable with more intense extreme events</w:t>
      </w:r>
      <w:r>
        <w:t xml:space="preserve"> (NESP, 2018).</w:t>
      </w:r>
    </w:p>
    <w:p w14:paraId="2DFCC654" w14:textId="77777777" w:rsidR="00301A87" w:rsidRDefault="00301A87" w:rsidP="00301A87">
      <w:r>
        <w:t>Projected changes in tropical cyclones predict that they will become less frequent but increase in intensity (McInnes et al., 2015). As a result, a marked increase in the frequency of the most intense cyclones (categories 4 and 5) is projected (GBRMPA, 2019).</w:t>
      </w:r>
    </w:p>
    <w:p w14:paraId="7105A441" w14:textId="04924707" w:rsidR="00301A87" w:rsidRDefault="00301A87" w:rsidP="00301A87">
      <w:r>
        <w:t>Impacts of climate change on the current patterns of north</w:t>
      </w:r>
      <w:r w:rsidR="00B200F5">
        <w:t>-</w:t>
      </w:r>
      <w:r>
        <w:t xml:space="preserve">eastern Australia are little understood (Johnson et al., 2018). However, modelling has indicated very little change in the strength or direction of the SEC current jets that flow through the Coral Sea. However, there may be a strengthening of the Gulf of Papua Gyre, and the EAC may slightly weaken in the top 50 m (Johnson et al., 2018). This may have some influence on currents in the GBR, but are difficult to forecast. </w:t>
      </w:r>
    </w:p>
    <w:p w14:paraId="1967B585" w14:textId="77777777" w:rsidR="000D55D6" w:rsidRPr="00484196" w:rsidRDefault="000D55D6" w:rsidP="00484196">
      <w:bookmarkStart w:id="65" w:name="_Ref142641230"/>
      <w:r w:rsidRPr="00C6237C">
        <w:rPr>
          <w:noProof/>
        </w:rPr>
        <w:lastRenderedPageBreak/>
        <w:drawing>
          <wp:inline distT="0" distB="0" distL="0" distR="0" wp14:anchorId="3AAB7706" wp14:editId="02D54BAA">
            <wp:extent cx="5248800" cy="3110400"/>
            <wp:effectExtent l="0" t="0" r="9525" b="0"/>
            <wp:docPr id="63866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62072" name=""/>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5248800" cy="3110400"/>
                    </a:xfrm>
                    <a:prstGeom prst="rect">
                      <a:avLst/>
                    </a:prstGeom>
                    <a:ln>
                      <a:noFill/>
                    </a:ln>
                    <a:extLst>
                      <a:ext uri="{53640926-AAD7-44D8-BBD7-CCE9431645EC}">
                        <a14:shadowObscured xmlns:a14="http://schemas.microsoft.com/office/drawing/2010/main"/>
                      </a:ext>
                    </a:extLst>
                  </pic:spPr>
                </pic:pic>
              </a:graphicData>
            </a:graphic>
          </wp:inline>
        </w:drawing>
      </w:r>
      <w:r w:rsidRPr="00484196">
        <w:rPr>
          <w:noProof/>
        </w:rPr>
        <w:drawing>
          <wp:inline distT="0" distB="0" distL="0" distR="0" wp14:anchorId="690DABBD" wp14:editId="4C825850">
            <wp:extent cx="5328000" cy="2521928"/>
            <wp:effectExtent l="0" t="0" r="6350" b="0"/>
            <wp:docPr id="990387806" name="Picture 1" descr="A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87806" name="Picture 1" descr="A graph with different colored bars&#10;&#10;Description automatically generated with medium confidence"/>
                    <pic:cNvPicPr/>
                  </pic:nvPicPr>
                  <pic:blipFill>
                    <a:blip r:embed="rId47"/>
                    <a:stretch>
                      <a:fillRect/>
                    </a:stretch>
                  </pic:blipFill>
                  <pic:spPr>
                    <a:xfrm>
                      <a:off x="0" y="0"/>
                      <a:ext cx="5328000" cy="2521928"/>
                    </a:xfrm>
                    <a:prstGeom prst="rect">
                      <a:avLst/>
                    </a:prstGeom>
                  </pic:spPr>
                </pic:pic>
              </a:graphicData>
            </a:graphic>
          </wp:inline>
        </w:drawing>
      </w:r>
    </w:p>
    <w:p w14:paraId="756289F7" w14:textId="7EE8A32F" w:rsidR="00C6237C" w:rsidRDefault="00C6237C" w:rsidP="0096672D">
      <w:pPr>
        <w:pStyle w:val="Caption"/>
      </w:pPr>
      <w:bookmarkStart w:id="66" w:name="_Ref151553223"/>
      <w:bookmarkStart w:id="67" w:name="_Toc189044970"/>
      <w:r>
        <w:t xml:space="preserve">Figure </w:t>
      </w:r>
      <w:fldSimple w:instr=" SEQ Figure \* ARABIC ">
        <w:r w:rsidR="004263D8">
          <w:rPr>
            <w:noProof/>
          </w:rPr>
          <w:t>13</w:t>
        </w:r>
      </w:fldSimple>
      <w:bookmarkEnd w:id="65"/>
      <w:bookmarkEnd w:id="66"/>
      <w:r>
        <w:t xml:space="preserve">. </w:t>
      </w:r>
      <w:r w:rsidRPr="00C6237C">
        <w:t>Projected vulnerabilities of components of the Reef ecosystem to climate change</w:t>
      </w:r>
      <w:r>
        <w:t xml:space="preserve"> (GBRMPA, 2019)</w:t>
      </w:r>
      <w:bookmarkEnd w:id="67"/>
    </w:p>
    <w:p w14:paraId="595300B1" w14:textId="77777777" w:rsidR="00864D71" w:rsidRPr="00864D71" w:rsidRDefault="00864D71" w:rsidP="00864D71"/>
    <w:p w14:paraId="252DD25A" w14:textId="77777777" w:rsidR="000D55D6" w:rsidRDefault="000D55D6" w:rsidP="00484196">
      <w:bookmarkStart w:id="68" w:name="_Ref142642315"/>
      <w:r w:rsidRPr="00983FD7">
        <w:rPr>
          <w:noProof/>
        </w:rPr>
        <w:drawing>
          <wp:inline distT="0" distB="0" distL="0" distR="0" wp14:anchorId="69EB8FE6" wp14:editId="0CFC5628">
            <wp:extent cx="6120130" cy="2099310"/>
            <wp:effectExtent l="0" t="0" r="0" b="0"/>
            <wp:docPr id="1567895297"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95297" name="Picture 1" descr="A close-up of a graph&#10;&#10;Description automatically generated"/>
                    <pic:cNvPicPr/>
                  </pic:nvPicPr>
                  <pic:blipFill>
                    <a:blip r:embed="rId48"/>
                    <a:stretch>
                      <a:fillRect/>
                    </a:stretch>
                  </pic:blipFill>
                  <pic:spPr>
                    <a:xfrm>
                      <a:off x="0" y="0"/>
                      <a:ext cx="6120130" cy="2099310"/>
                    </a:xfrm>
                    <a:prstGeom prst="rect">
                      <a:avLst/>
                    </a:prstGeom>
                  </pic:spPr>
                </pic:pic>
              </a:graphicData>
            </a:graphic>
          </wp:inline>
        </w:drawing>
      </w:r>
    </w:p>
    <w:p w14:paraId="73CB0D49" w14:textId="5D5BB296" w:rsidR="00983FD7" w:rsidRDefault="00983FD7" w:rsidP="0096672D">
      <w:pPr>
        <w:pStyle w:val="Caption"/>
      </w:pPr>
      <w:bookmarkStart w:id="69" w:name="_Ref151553224"/>
      <w:bookmarkStart w:id="70" w:name="_Toc189044971"/>
      <w:r>
        <w:t xml:space="preserve">Figure </w:t>
      </w:r>
      <w:fldSimple w:instr=" SEQ Figure \* ARABIC ">
        <w:r w:rsidR="004263D8">
          <w:rPr>
            <w:noProof/>
          </w:rPr>
          <w:t>14</w:t>
        </w:r>
      </w:fldSimple>
      <w:bookmarkEnd w:id="68"/>
      <w:bookmarkEnd w:id="69"/>
      <w:r>
        <w:t xml:space="preserve">. </w:t>
      </w:r>
      <w:r w:rsidRPr="00983FD7">
        <w:t>Annual sea surface temperatures on the Great Barrier Reef between 1900 and 2018</w:t>
      </w:r>
      <w:r w:rsidR="009A7168">
        <w:t>. C</w:t>
      </w:r>
      <w:r w:rsidR="009A7168" w:rsidRPr="009A7168">
        <w:t xml:space="preserve">olour </w:t>
      </w:r>
      <w:r w:rsidR="009A7168">
        <w:t>represents the range of average annual temperatures from a low of 26.9</w:t>
      </w:r>
      <w:r w:rsidR="009A7168">
        <w:rPr>
          <w:rFonts w:cs="Calibri"/>
        </w:rPr>
        <w:t>°</w:t>
      </w:r>
      <w:r w:rsidR="009A7168">
        <w:t xml:space="preserve"> (</w:t>
      </w:r>
      <w:r w:rsidR="009A7168" w:rsidRPr="009A7168">
        <w:t>shades of blue</w:t>
      </w:r>
      <w:r w:rsidR="009A7168">
        <w:t>) to a high of 29.1</w:t>
      </w:r>
      <w:r w:rsidR="009A7168">
        <w:rPr>
          <w:rFonts w:cs="Calibri"/>
        </w:rPr>
        <w:t>°</w:t>
      </w:r>
      <w:r w:rsidR="009A7168">
        <w:t xml:space="preserve"> (</w:t>
      </w:r>
      <w:r w:rsidR="009A7168" w:rsidRPr="009A7168">
        <w:t xml:space="preserve">shades of </w:t>
      </w:r>
      <w:r w:rsidR="009A7168">
        <w:t>red)</w:t>
      </w:r>
      <w:r>
        <w:t xml:space="preserve"> (GBRMPA, 2019</w:t>
      </w:r>
      <w:r w:rsidR="009A7168">
        <w:t>; using data from BoM)</w:t>
      </w:r>
      <w:bookmarkEnd w:id="70"/>
    </w:p>
    <w:p w14:paraId="02056718" w14:textId="77777777" w:rsidR="00892D6F" w:rsidRPr="004D489C" w:rsidRDefault="00892D6F" w:rsidP="00A87F05">
      <w:pPr>
        <w:pStyle w:val="Heading3"/>
        <w:ind w:left="851" w:hanging="851"/>
      </w:pPr>
      <w:r>
        <w:lastRenderedPageBreak/>
        <w:t>D</w:t>
      </w:r>
      <w:r w:rsidRPr="004D489C">
        <w:t>irect impacts</w:t>
      </w:r>
      <w:r>
        <w:t xml:space="preserve"> of climate change</w:t>
      </w:r>
    </w:p>
    <w:p w14:paraId="2450AAAF" w14:textId="77777777" w:rsidR="00892D6F" w:rsidRPr="00C27C8E" w:rsidRDefault="00892D6F" w:rsidP="00474ABF">
      <w:pPr>
        <w:pStyle w:val="Heading4"/>
      </w:pPr>
      <w:r w:rsidRPr="00C27C8E">
        <w:t>Temperature</w:t>
      </w:r>
    </w:p>
    <w:p w14:paraId="21928413" w14:textId="61A88606" w:rsidR="00AF2FA8" w:rsidRDefault="00AF2FA8" w:rsidP="00AF2FA8">
      <w:r>
        <w:t xml:space="preserve">Longer-term (&gt; a few weeks) experiments of the effect of raised temperature on sea cucumbers are sparse. Buccheri et al. (2019) found variability in the stress tolerance of three common tropical reef holothurians, </w:t>
      </w:r>
      <w:r w:rsidRPr="005B38BD">
        <w:rPr>
          <w:i/>
          <w:iCs/>
        </w:rPr>
        <w:t>Holothuria atra, Stichopus chloronotus,</w:t>
      </w:r>
      <w:r w:rsidRPr="005B38BD">
        <w:t xml:space="preserve"> and </w:t>
      </w:r>
      <w:r w:rsidR="00FA2497" w:rsidRPr="005B38BD">
        <w:rPr>
          <w:i/>
          <w:iCs/>
        </w:rPr>
        <w:t>H</w:t>
      </w:r>
      <w:r w:rsidR="00FA2497">
        <w:rPr>
          <w:i/>
          <w:iCs/>
        </w:rPr>
        <w:t>.</w:t>
      </w:r>
      <w:r w:rsidR="00FA2497" w:rsidRPr="005B38BD">
        <w:rPr>
          <w:i/>
          <w:iCs/>
        </w:rPr>
        <w:t xml:space="preserve"> </w:t>
      </w:r>
      <w:r w:rsidRPr="005B38BD">
        <w:rPr>
          <w:i/>
          <w:iCs/>
        </w:rPr>
        <w:t>edulis</w:t>
      </w:r>
      <w:r>
        <w:t>, to elevated temperat</w:t>
      </w:r>
      <w:r w:rsidR="000571D0">
        <w:t>ures</w:t>
      </w:r>
      <w:r>
        <w:t>, suggesting that species might respond differently to ocean warming. A study of a sea cucumber (</w:t>
      </w:r>
      <w:r w:rsidRPr="005B38BD">
        <w:rPr>
          <w:i/>
          <w:iCs/>
        </w:rPr>
        <w:t>Parastichopus regalis</w:t>
      </w:r>
      <w:r>
        <w:t xml:space="preserve">) in the central Mediterranean Sea indicated a range reduction and density decrease, possibly related to climate change temperature and pH changes. Although this finding was not conclusive due to other potentially detrimental factors (e.g. bottom trawling) (Scannella et al., 2022). </w:t>
      </w:r>
    </w:p>
    <w:p w14:paraId="0CE18D1F" w14:textId="77777777" w:rsidR="00AF2FA8" w:rsidRDefault="00AF2FA8" w:rsidP="00AF2FA8">
      <w:r>
        <w:t>Longer term experiments on starfish showed that adult mortality was not altered by increased temperature (Khalil et al., 2023). While they found that temperature regulated starfish physiology, the combination of high temperature and lower pH showed nonlinear and potentially synergistic effects on organismal physiology (e.g., metabolic rate). Indeed, elevated temperature allowed starfish to better cope with the adverse effect of lower pH on calcification and reduced skeletal dissolution (antagonistic interactive effects) interpreted as a result of energetic trade-offs.</w:t>
      </w:r>
    </w:p>
    <w:p w14:paraId="43EF84ED" w14:textId="77777777" w:rsidR="00AF2FA8" w:rsidRPr="00C27C8E" w:rsidRDefault="00AF2FA8" w:rsidP="00474ABF">
      <w:pPr>
        <w:pStyle w:val="Heading4"/>
      </w:pPr>
      <w:r w:rsidRPr="00C27C8E">
        <w:t>Ocean acidification</w:t>
      </w:r>
    </w:p>
    <w:p w14:paraId="56CB4772" w14:textId="05B42C23" w:rsidR="00AF2FA8" w:rsidRDefault="00AF2FA8" w:rsidP="00AF2FA8">
      <w:r>
        <w:t xml:space="preserve">Studies on several species have shown that adult sea cucumbers are largely resilient to projected future changes in pH (pH 7.8 by 2100; IPCC, 2019), but that larger changes can have negative impacts on the acid-base balance, energy consumption, grazing and growth rates of sea cucumbers (e.g. </w:t>
      </w:r>
      <w:r w:rsidRPr="0004122F">
        <w:rPr>
          <w:i/>
          <w:iCs/>
        </w:rPr>
        <w:t>H. scabra</w:t>
      </w:r>
      <w:r>
        <w:t xml:space="preserve">, </w:t>
      </w:r>
      <w:r w:rsidRPr="0004122F">
        <w:rPr>
          <w:i/>
          <w:iCs/>
        </w:rPr>
        <w:t>H. parva</w:t>
      </w:r>
      <w:r>
        <w:t xml:space="preserve">, </w:t>
      </w:r>
      <w:r w:rsidRPr="00FE76CF">
        <w:rPr>
          <w:i/>
          <w:iCs/>
        </w:rPr>
        <w:t>H. forskali</w:t>
      </w:r>
      <w:r>
        <w:t>,</w:t>
      </w:r>
      <w:r w:rsidRPr="00FE76CF">
        <w:t xml:space="preserve"> </w:t>
      </w:r>
      <w:r w:rsidRPr="0004122F">
        <w:rPr>
          <w:i/>
          <w:iCs/>
        </w:rPr>
        <w:t>Apostichopus</w:t>
      </w:r>
      <w:r w:rsidRPr="00A85071">
        <w:rPr>
          <w:i/>
          <w:iCs/>
        </w:rPr>
        <w:t xml:space="preserve"> japonicus</w:t>
      </w:r>
      <w:r>
        <w:t>) (Collard et al., 2014; Yuan et al. 201</w:t>
      </w:r>
      <w:r w:rsidR="00AD728A">
        <w:t>5</w:t>
      </w:r>
      <w:r>
        <w:t>; Yuan et al., 2018). L</w:t>
      </w:r>
      <w:r w:rsidRPr="00FE76CF">
        <w:t>ess-calcified sea cucumbers may be more tolerant to seawater acidification than other heavily calcified echinoderms</w:t>
      </w:r>
      <w:r>
        <w:t xml:space="preserve"> (Yuan et al., 2018).</w:t>
      </w:r>
    </w:p>
    <w:p w14:paraId="4F80C7F7" w14:textId="77777777" w:rsidR="00AF2FA8" w:rsidRDefault="00AF2FA8" w:rsidP="00AF2FA8">
      <w:r>
        <w:t xml:space="preserve">There has been some experimentation on the effect of changes in pH on holothurian larvae. For </w:t>
      </w:r>
      <w:r w:rsidRPr="00B30C6E">
        <w:rPr>
          <w:i/>
          <w:iCs/>
        </w:rPr>
        <w:t>H</w:t>
      </w:r>
      <w:r>
        <w:rPr>
          <w:i/>
          <w:iCs/>
        </w:rPr>
        <w:t>. </w:t>
      </w:r>
      <w:r w:rsidRPr="00B30C6E">
        <w:rPr>
          <w:i/>
          <w:iCs/>
        </w:rPr>
        <w:t>spinifera</w:t>
      </w:r>
      <w:r>
        <w:t>, larvae developed faster, grew better and had better survival rates at pH 7.8 (</w:t>
      </w:r>
      <w:r w:rsidRPr="004C017C">
        <w:t>Asha</w:t>
      </w:r>
      <w:r>
        <w:t xml:space="preserve"> and </w:t>
      </w:r>
      <w:r w:rsidRPr="004C017C">
        <w:t>Muthiah, 2005</w:t>
      </w:r>
      <w:r>
        <w:t xml:space="preserve">). For </w:t>
      </w:r>
      <w:r w:rsidRPr="00A85071">
        <w:rPr>
          <w:i/>
          <w:iCs/>
        </w:rPr>
        <w:t>A. japonicus</w:t>
      </w:r>
      <w:r>
        <w:t xml:space="preserve"> </w:t>
      </w:r>
      <w:r w:rsidRPr="00A85071">
        <w:t>a 0.62 unit decrease in pH had relatively small effects on early life-history compared to other echinoderms, leading to a maximum of 6% decrease in post-fertilization success</w:t>
      </w:r>
      <w:r>
        <w:t xml:space="preserve"> (</w:t>
      </w:r>
      <w:r w:rsidRPr="004C017C">
        <w:t>Yuan et al. 2015</w:t>
      </w:r>
      <w:r>
        <w:t>). This indicates that predicted changes in pH in the Coral Sea may not greatly impact larval survival, though more extreme changes may have a larger impact on larval survival (</w:t>
      </w:r>
      <w:r w:rsidRPr="00D60222">
        <w:t>González-Durán</w:t>
      </w:r>
      <w:r>
        <w:t xml:space="preserve"> et al., 2021). </w:t>
      </w:r>
    </w:p>
    <w:p w14:paraId="1A84299F" w14:textId="77777777" w:rsidR="00AF2FA8" w:rsidRPr="002C1034" w:rsidRDefault="00AF2FA8" w:rsidP="00474ABF">
      <w:pPr>
        <w:pStyle w:val="Heading4"/>
      </w:pPr>
      <w:r w:rsidRPr="002C1034">
        <w:t>Sea level rise</w:t>
      </w:r>
    </w:p>
    <w:p w14:paraId="5B3D78E6" w14:textId="3E125DCD" w:rsidR="00AF2FA8" w:rsidRDefault="00AF2FA8" w:rsidP="00AF2FA8">
      <w:r>
        <w:t xml:space="preserve">Sea level rise has been assessed as being mostly positive for shallow water species (e.g. </w:t>
      </w:r>
      <w:r w:rsidR="004B07E4">
        <w:t>Black teatfish</w:t>
      </w:r>
      <w:r>
        <w:t xml:space="preserve">) (Plaganyi et al. 2013) and is likely to be neutral for deeper water species such as </w:t>
      </w:r>
      <w:r w:rsidR="00667EB5">
        <w:t>White teatfish</w:t>
      </w:r>
      <w:r>
        <w:t>.</w:t>
      </w:r>
    </w:p>
    <w:p w14:paraId="6053FBF9" w14:textId="77777777" w:rsidR="00AF2FA8" w:rsidRPr="00864D71" w:rsidRDefault="00AF2FA8" w:rsidP="00AF2FA8">
      <w:pPr>
        <w:rPr>
          <w:i/>
          <w:iCs/>
          <w:u w:val="single"/>
        </w:rPr>
      </w:pPr>
      <w:r w:rsidRPr="00864D71">
        <w:rPr>
          <w:i/>
          <w:iCs/>
          <w:u w:val="single"/>
        </w:rPr>
        <w:t>Changes in cyclone frequency and intensity</w:t>
      </w:r>
    </w:p>
    <w:p w14:paraId="10F6794B" w14:textId="15907233" w:rsidR="00AF2FA8" w:rsidRDefault="00AF2FA8" w:rsidP="00AF2FA8">
      <w:r>
        <w:t xml:space="preserve">Shallow species </w:t>
      </w:r>
      <w:r w:rsidR="00864D71">
        <w:t xml:space="preserve">such as Black teatfish </w:t>
      </w:r>
      <w:r>
        <w:t xml:space="preserve">may be negatively impacted by scouring and dislocation by severe storms. Impacts to deeper water species such as </w:t>
      </w:r>
      <w:r w:rsidR="00864D71">
        <w:t xml:space="preserve">White teatfish </w:t>
      </w:r>
      <w:r>
        <w:t>are likely to be negligible.</w:t>
      </w:r>
      <w:r w:rsidR="00F35829">
        <w:t xml:space="preserve"> </w:t>
      </w:r>
    </w:p>
    <w:p w14:paraId="083B6841" w14:textId="77777777" w:rsidR="00892D6F" w:rsidRPr="004D489C" w:rsidRDefault="00892D6F" w:rsidP="00A87F05">
      <w:pPr>
        <w:pStyle w:val="Heading3"/>
        <w:ind w:left="851" w:hanging="851"/>
      </w:pPr>
      <w:r>
        <w:t xml:space="preserve">Indirect </w:t>
      </w:r>
      <w:r w:rsidRPr="004D489C">
        <w:t xml:space="preserve">impacts </w:t>
      </w:r>
      <w:r>
        <w:t>of climate change</w:t>
      </w:r>
    </w:p>
    <w:p w14:paraId="494330E6" w14:textId="6DA6213B" w:rsidR="00AF2FA8" w:rsidRDefault="00AF2FA8" w:rsidP="00AF2FA8">
      <w:r>
        <w:t xml:space="preserve">Repeated exposure to damaging marine heatwaves has already resulted in coral bleaching events </w:t>
      </w:r>
      <w:r w:rsidR="00BF6D91" w:rsidRPr="00BF6D91">
        <w:t xml:space="preserve">in </w:t>
      </w:r>
      <w:r w:rsidR="0067085C" w:rsidRPr="0067085C">
        <w:t>1998, 2002,2016, 2017, 2020 and 2022</w:t>
      </w:r>
      <w:r w:rsidR="00BF6D91">
        <w:t xml:space="preserve"> (</w:t>
      </w:r>
      <w:r w:rsidR="0067085C">
        <w:t>AIMS, 2023)</w:t>
      </w:r>
      <w:r>
        <w:t xml:space="preserve">, likely resulting in </w:t>
      </w:r>
      <w:r w:rsidR="00BF6D91">
        <w:t xml:space="preserve">at least short </w:t>
      </w:r>
      <w:r>
        <w:t>reductions in the cover of live coral</w:t>
      </w:r>
      <w:r w:rsidR="00BF6D91">
        <w:t xml:space="preserve">, and changes in coral community structure. </w:t>
      </w:r>
      <w:r>
        <w:t xml:space="preserve">In the longer term, this is likely to lead to irreversible changes in coral reef assemblages depending on the intensity and timing between successive thermal stress events (Hughes et al., 2018; Johnson et al., 2018). </w:t>
      </w:r>
    </w:p>
    <w:p w14:paraId="31B7BC99" w14:textId="253F8EA1" w:rsidR="00AF2FA8" w:rsidRDefault="00AF2FA8" w:rsidP="00AF2FA8">
      <w:r>
        <w:t>The impact of these changes to reefs and their benthic and fish communities on sea cucumbers is uncertain. Trophic effects are poorly understood</w:t>
      </w:r>
      <w:r w:rsidRPr="00F00747">
        <w:t xml:space="preserve"> </w:t>
      </w:r>
      <w:r>
        <w:t>but are likely to be impactful in the longer term (Fulton et al., 2018).</w:t>
      </w:r>
    </w:p>
    <w:p w14:paraId="629A4715" w14:textId="2AD6ABA2" w:rsidR="00892D6F" w:rsidRPr="00100EF6" w:rsidRDefault="00892D6F" w:rsidP="00A87F05">
      <w:pPr>
        <w:pStyle w:val="Heading3"/>
        <w:ind w:left="851" w:hanging="851"/>
      </w:pPr>
      <w:r>
        <w:lastRenderedPageBreak/>
        <w:t>V</w:t>
      </w:r>
      <w:r w:rsidRPr="00100EF6">
        <w:t xml:space="preserve">ulnerability of </w:t>
      </w:r>
      <w:r w:rsidR="00667EB5" w:rsidRPr="00667EB5">
        <w:t xml:space="preserve">teatfish </w:t>
      </w:r>
      <w:r w:rsidRPr="00100EF6">
        <w:t xml:space="preserve">species in </w:t>
      </w:r>
      <w:r w:rsidR="00FC47CC">
        <w:t>the QSCF</w:t>
      </w:r>
      <w:r w:rsidRPr="00100EF6">
        <w:t xml:space="preserve"> to climate change</w:t>
      </w:r>
    </w:p>
    <w:p w14:paraId="2DA1A1E0" w14:textId="6D4F7B0C" w:rsidR="00667EB5" w:rsidRDefault="00AF2FA8" w:rsidP="00AF2FA8">
      <w:bookmarkStart w:id="71" w:name="_Toc138269045"/>
      <w:bookmarkStart w:id="72" w:name="_Toc139374125"/>
      <w:r w:rsidRPr="005C73E8">
        <w:t xml:space="preserve">Black teatfish </w:t>
      </w:r>
      <w:r w:rsidR="00DF7774">
        <w:t xml:space="preserve">in Torres Strait </w:t>
      </w:r>
      <w:r w:rsidRPr="005C73E8">
        <w:t>w</w:t>
      </w:r>
      <w:r>
        <w:t>as</w:t>
      </w:r>
      <w:r w:rsidRPr="005C73E8">
        <w:t xml:space="preserve"> assessed as having a high vulnerability to climate change, mainly due to a low adaptive capacity related to winter spawning, low productivity and limited mobility (Johnson and Welch, 2016).</w:t>
      </w:r>
      <w:r>
        <w:t xml:space="preserve"> However, </w:t>
      </w:r>
      <w:r w:rsidR="00667EB5">
        <w:t xml:space="preserve">White teatfish </w:t>
      </w:r>
      <w:r>
        <w:t>are summer spawners and inhabit deeper water habitats, which may reduce climate change risks (Dutra et al., 2020).</w:t>
      </w:r>
      <w:r w:rsidR="00667EB5">
        <w:t xml:space="preserve"> </w:t>
      </w:r>
      <w:r>
        <w:t xml:space="preserve">The vulnerability of </w:t>
      </w:r>
      <w:r w:rsidR="00667EB5">
        <w:t xml:space="preserve">White teatfish </w:t>
      </w:r>
      <w:r>
        <w:t xml:space="preserve">to climate change stressors </w:t>
      </w:r>
      <w:r w:rsidR="00DF7774">
        <w:t xml:space="preserve">in the QSCF </w:t>
      </w:r>
      <w:r>
        <w:t xml:space="preserve">in the short to medium term would appear to be </w:t>
      </w:r>
      <w:r w:rsidR="00DF7774">
        <w:t>moderate</w:t>
      </w:r>
      <w:r>
        <w:t xml:space="preserve">, but with considerable uncertainty, especially for long term temperature changes and indirect impacts. </w:t>
      </w:r>
    </w:p>
    <w:p w14:paraId="188D946A" w14:textId="066D63FD" w:rsidR="00AF2FA8" w:rsidRDefault="00AF2FA8" w:rsidP="00AF2FA8">
      <w:r w:rsidRPr="00FE76CF">
        <w:t xml:space="preserve">There could </w:t>
      </w:r>
      <w:r>
        <w:t xml:space="preserve">also </w:t>
      </w:r>
      <w:r w:rsidRPr="00FE76CF">
        <w:t xml:space="preserve">be synergistic effects to consider. </w:t>
      </w:r>
      <w:r>
        <w:t>E</w:t>
      </w:r>
      <w:r w:rsidRPr="00FE76CF">
        <w:t>xperiments on starfish showed that the combination of high temperature and high pCO</w:t>
      </w:r>
      <w:r w:rsidRPr="004846FB">
        <w:rPr>
          <w:vertAlign w:val="subscript"/>
        </w:rPr>
        <w:t>2</w:t>
      </w:r>
      <w:r w:rsidRPr="00FE76CF">
        <w:t xml:space="preserve"> showed nonlinear and potentially synergistic effects on organismal physiology (e.g., metabolic rate)</w:t>
      </w:r>
      <w:r>
        <w:t xml:space="preserve"> (Khalil et al., 2023). In addition, shifts in ecosystem state can potentially go unnoticed and eventually undermine the sustainability of seemingly sustainable fisheries (Fulton et al., 2021). </w:t>
      </w:r>
    </w:p>
    <w:p w14:paraId="0A836A2C" w14:textId="77777777" w:rsidR="00AF2FA8" w:rsidRDefault="00AF2FA8" w:rsidP="00AF2FA8">
      <w:r>
        <w:t xml:space="preserve">It is increasingly important to develop models to link climatic effects over a range of life history components and critical habitats for fisheries (e.g. seagrasses, coral reefs) and quantify the resultant impact on fisheries productivity using alternative emission scenarios (Dutra et al., 2020). An integrated risk assessment of sea cucumbers in Torres Strait, based on a Management Strategy Evaluation (MSE) (Plagányi et al., 2013), found that status quo management would result in half the species falling below target levels, moderate risks of overall and local depletion, and significant changes in species composition. Three simple strategies (spatial rotation, closed areas, multi-species composition) were all successful in reducing these risks (Plagányi et al., 2013). </w:t>
      </w:r>
    </w:p>
    <w:p w14:paraId="64F235A8" w14:textId="77777777" w:rsidR="00892D6F" w:rsidRPr="00892D6F" w:rsidRDefault="00892D6F" w:rsidP="008D08E6">
      <w:pPr>
        <w:pStyle w:val="Heading2"/>
        <w:ind w:left="851" w:hanging="851"/>
      </w:pPr>
      <w:bookmarkStart w:id="73" w:name="_Toc189044932"/>
      <w:r w:rsidRPr="00892D6F">
        <w:t>Inherent vulnerability</w:t>
      </w:r>
      <w:bookmarkEnd w:id="71"/>
      <w:bookmarkEnd w:id="72"/>
      <w:bookmarkEnd w:id="73"/>
    </w:p>
    <w:p w14:paraId="1E29A409" w14:textId="7DEC101B" w:rsidR="00AF2FA8" w:rsidRDefault="00AF2FA8" w:rsidP="00AF2FA8">
      <w:bookmarkStart w:id="74" w:name="_Toc136158888"/>
      <w:bookmarkStart w:id="75" w:name="_Toc138269046"/>
      <w:bookmarkStart w:id="76" w:name="_Toc139374126"/>
      <w:r>
        <w:t>In the CITES context (CITES, 2011), “</w:t>
      </w:r>
      <w:r w:rsidR="000571D0">
        <w:t>i</w:t>
      </w:r>
      <w:r>
        <w:t xml:space="preserve">nherent </w:t>
      </w:r>
      <w:r w:rsidR="000571D0">
        <w:t>v</w:t>
      </w:r>
      <w:r w:rsidRPr="0016200C">
        <w:t>ulnerability</w:t>
      </w:r>
      <w:r>
        <w:t>”</w:t>
      </w:r>
      <w:r w:rsidRPr="0016200C">
        <w:t xml:space="preserve"> can be defined as the susceptibility to intrinsic or external effects that increase the risk of extinction, even when mitigating factors are taken into account. There are a number of taxon or case-specific biological and other factors that may affect the extinction risk associated with a given percentage decline, small population size or restricted area of distribution</w:t>
      </w:r>
      <w:r>
        <w:t xml:space="preserve"> (CITES, 2011). Many of these factors are poorly understood for </w:t>
      </w:r>
      <w:r w:rsidR="009E59C0">
        <w:t>Black and White teatfish</w:t>
      </w:r>
      <w:r>
        <w:t xml:space="preserve">, in particular. </w:t>
      </w:r>
    </w:p>
    <w:p w14:paraId="3E86BB1F" w14:textId="77777777" w:rsidR="00AF2FA8" w:rsidRPr="009A24E3" w:rsidRDefault="00AF2FA8" w:rsidP="00474ABF">
      <w:pPr>
        <w:pStyle w:val="Heading4"/>
      </w:pPr>
      <w:r w:rsidRPr="009A24E3">
        <w:t xml:space="preserve">Factors increasing </w:t>
      </w:r>
      <w:r>
        <w:t>i</w:t>
      </w:r>
      <w:r w:rsidRPr="009A24E3">
        <w:t>nherent vulnerability</w:t>
      </w:r>
    </w:p>
    <w:p w14:paraId="1C885F5B" w14:textId="54C52472" w:rsidR="00AF2FA8" w:rsidRDefault="00AF2FA8" w:rsidP="00A87F05">
      <w:pPr>
        <w:pStyle w:val="ListParagraph"/>
        <w:numPr>
          <w:ilvl w:val="0"/>
          <w:numId w:val="15"/>
        </w:numPr>
      </w:pPr>
      <w:r>
        <w:t>Both species are large, easily seen sea cucumbers</w:t>
      </w:r>
      <w:r w:rsidRPr="00923168">
        <w:t xml:space="preserve"> and </w:t>
      </w:r>
      <w:r>
        <w:t xml:space="preserve">are </w:t>
      </w:r>
      <w:r w:rsidRPr="00923168">
        <w:t>thus easily harvested</w:t>
      </w:r>
      <w:r>
        <w:t>.</w:t>
      </w:r>
    </w:p>
    <w:p w14:paraId="4D0AE19F" w14:textId="3514688A" w:rsidR="0067085C" w:rsidRDefault="00FB4445" w:rsidP="00A87F05">
      <w:pPr>
        <w:pStyle w:val="ListParagraph"/>
        <w:numPr>
          <w:ilvl w:val="0"/>
          <w:numId w:val="15"/>
        </w:numPr>
      </w:pPr>
      <w:r>
        <w:t xml:space="preserve">Both species are </w:t>
      </w:r>
      <w:r w:rsidR="0067085C">
        <w:t xml:space="preserve">high value species that </w:t>
      </w:r>
      <w:r w:rsidR="000571D0">
        <w:t>are</w:t>
      </w:r>
      <w:r w:rsidR="0067085C">
        <w:t xml:space="preserve"> consistently targeted by QSCF fishers (this report).</w:t>
      </w:r>
    </w:p>
    <w:p w14:paraId="53728584" w14:textId="7F866E37" w:rsidR="00AF2FA8" w:rsidRDefault="00AF2FA8" w:rsidP="00A87F05">
      <w:pPr>
        <w:pStyle w:val="ListParagraph"/>
        <w:numPr>
          <w:ilvl w:val="0"/>
          <w:numId w:val="15"/>
        </w:numPr>
      </w:pPr>
      <w:r>
        <w:t>G</w:t>
      </w:r>
      <w:r w:rsidRPr="00F30620">
        <w:t xml:space="preserve">eneration length </w:t>
      </w:r>
      <w:r>
        <w:t xml:space="preserve">for both species </w:t>
      </w:r>
      <w:r w:rsidRPr="00F30620">
        <w:t>is unknown</w:t>
      </w:r>
      <w:r>
        <w:t xml:space="preserve">, </w:t>
      </w:r>
      <w:r w:rsidRPr="00F30620">
        <w:t>but may be greater than several decades</w:t>
      </w:r>
      <w:r>
        <w:t xml:space="preserve"> (</w:t>
      </w:r>
      <w:r w:rsidRPr="00F30620">
        <w:t>Conand et al., 2013a</w:t>
      </w:r>
      <w:r>
        <w:t xml:space="preserve">; 2013b; </w:t>
      </w:r>
      <w:r w:rsidR="00BD717C">
        <w:t>Uthicke et al., 2004</w:t>
      </w:r>
      <w:r>
        <w:t>).</w:t>
      </w:r>
    </w:p>
    <w:p w14:paraId="6A5533B1" w14:textId="6C7DC720" w:rsidR="009E59C0" w:rsidRDefault="009E59C0" w:rsidP="000B319E">
      <w:pPr>
        <w:pStyle w:val="ListParagraph"/>
        <w:numPr>
          <w:ilvl w:val="0"/>
          <w:numId w:val="15"/>
        </w:numPr>
      </w:pPr>
      <w:r>
        <w:t>Both species have been considered as being of low productivity (FAO, 2019).</w:t>
      </w:r>
    </w:p>
    <w:p w14:paraId="6B7908E5" w14:textId="0E4F5FE4" w:rsidR="00AF2FA8" w:rsidRDefault="00AF2FA8" w:rsidP="00A87F05">
      <w:pPr>
        <w:pStyle w:val="ListParagraph"/>
        <w:numPr>
          <w:ilvl w:val="0"/>
          <w:numId w:val="15"/>
        </w:numPr>
      </w:pPr>
      <w:r>
        <w:t xml:space="preserve">There are likely to be depensation (Allee) effects on population productivity at low population density, primarily driven by low fertilisation success for widely distributed </w:t>
      </w:r>
      <w:r w:rsidRPr="007240A6">
        <w:t>spawning pair</w:t>
      </w:r>
      <w:r>
        <w:t>s</w:t>
      </w:r>
      <w:r w:rsidRPr="007240A6">
        <w:t xml:space="preserve"> </w:t>
      </w:r>
      <w:r>
        <w:t>(a dilution effect) (Uthicke, 2004). However, the characteristics of the “Allee effect threshold” (e.g. proportion of virgin biomass where low density begins to negatively affect population productivity</w:t>
      </w:r>
      <w:r w:rsidR="007A0583">
        <w:t>)</w:t>
      </w:r>
      <w:r>
        <w:t xml:space="preserve"> and “Allee threshold” </w:t>
      </w:r>
      <w:r w:rsidR="007A0583">
        <w:t>(</w:t>
      </w:r>
      <w:r>
        <w:t>where populations continue to decrease even when fishing ceases</w:t>
      </w:r>
      <w:r w:rsidR="007A0583">
        <w:t>)</w:t>
      </w:r>
      <w:r>
        <w:t xml:space="preserve"> are unknown for any sea cucumber population (Hutchings, 2015; </w:t>
      </w:r>
      <w:r w:rsidRPr="00616B99">
        <w:t>González-Durán</w:t>
      </w:r>
      <w:r>
        <w:t xml:space="preserve"> et al., 2018). Also, the persistence and recovery (albeit often slow) of heavily depleted sea cucumber populations would suggest the </w:t>
      </w:r>
      <w:r w:rsidRPr="00D153DD">
        <w:t>Allee threshold</w:t>
      </w:r>
      <w:r>
        <w:t xml:space="preserve"> is likely &lt;</w:t>
      </w:r>
      <w:r w:rsidR="00451338">
        <w:t>10%</w:t>
      </w:r>
      <w:r>
        <w:t xml:space="preserve"> B</w:t>
      </w:r>
      <w:r w:rsidRPr="00D153DD">
        <w:rPr>
          <w:vertAlign w:val="subscript"/>
        </w:rPr>
        <w:t>0</w:t>
      </w:r>
      <w:r>
        <w:t xml:space="preserve"> (Murphy et al., 2011</w:t>
      </w:r>
      <w:r w:rsidR="009C7DFE">
        <w:t>a</w:t>
      </w:r>
      <w:r>
        <w:t xml:space="preserve">; </w:t>
      </w:r>
      <w:r w:rsidRPr="00D153DD">
        <w:t>Ramírez-González</w:t>
      </w:r>
      <w:r>
        <w:t xml:space="preserve"> et al., 2020; Friedman </w:t>
      </w:r>
      <w:r>
        <w:rPr>
          <w:i/>
          <w:iCs/>
        </w:rPr>
        <w:t>et al</w:t>
      </w:r>
      <w:r>
        <w:t>., 201</w:t>
      </w:r>
      <w:r w:rsidR="00AD3B29">
        <w:t>0</w:t>
      </w:r>
      <w:r>
        <w:t>; Prescott et al., 2017; FAO, 2022).</w:t>
      </w:r>
    </w:p>
    <w:p w14:paraId="1D572145" w14:textId="079C3617" w:rsidR="00AF2FA8" w:rsidRDefault="00AF2FA8" w:rsidP="00A87F05">
      <w:pPr>
        <w:pStyle w:val="ListParagraph"/>
        <w:numPr>
          <w:ilvl w:val="0"/>
          <w:numId w:val="15"/>
        </w:numPr>
      </w:pPr>
      <w:r>
        <w:t xml:space="preserve">Larvae of both species are </w:t>
      </w:r>
      <w:r w:rsidR="0067085C">
        <w:t xml:space="preserve">likely </w:t>
      </w:r>
      <w:r>
        <w:t>planktotrophic, which has been described as a “high risk, high reward” strategy which may lead to high variability in recruitment (Uthicke et al., 2009).</w:t>
      </w:r>
    </w:p>
    <w:p w14:paraId="05C04365" w14:textId="77777777" w:rsidR="0005440D" w:rsidRDefault="00FB4445" w:rsidP="00A87F05">
      <w:pPr>
        <w:pStyle w:val="ListParagraph"/>
        <w:numPr>
          <w:ilvl w:val="0"/>
          <w:numId w:val="15"/>
        </w:numPr>
      </w:pPr>
      <w:r>
        <w:t>Black teatfish</w:t>
      </w:r>
      <w:r w:rsidR="00AF2FA8">
        <w:t xml:space="preserve"> is listed as Endangered under IUCN criteria because it is commercially exploited throughout its range, the population trend is declining, and IUCN estimates that populations have declined by 80-90% in at least 50% of the species’ range, and populations are overexploited in at least 30% of its range (Conand et al., 2013a).</w:t>
      </w:r>
      <w:r>
        <w:t xml:space="preserve"> </w:t>
      </w:r>
    </w:p>
    <w:p w14:paraId="32A41315" w14:textId="3BE624ED" w:rsidR="00AF2FA8" w:rsidRDefault="00FB4445" w:rsidP="00A87F05">
      <w:pPr>
        <w:pStyle w:val="ListParagraph"/>
        <w:numPr>
          <w:ilvl w:val="0"/>
          <w:numId w:val="15"/>
        </w:numPr>
      </w:pPr>
      <w:r>
        <w:t xml:space="preserve">White teatfish are listed </w:t>
      </w:r>
      <w:r w:rsidR="0005440D">
        <w:t xml:space="preserve">under IUCN criteria </w:t>
      </w:r>
      <w:r>
        <w:t>as Vulnerable</w:t>
      </w:r>
      <w:r w:rsidR="00AF2FA8">
        <w:t xml:space="preserve"> (Conand et al., 2013b).</w:t>
      </w:r>
      <w:r w:rsidR="00AF2FA8" w:rsidRPr="003E63C4">
        <w:t xml:space="preserve"> </w:t>
      </w:r>
    </w:p>
    <w:p w14:paraId="6040CB2C" w14:textId="6910A6BD" w:rsidR="00AF2FA8" w:rsidRDefault="00AF2FA8" w:rsidP="00A87F05">
      <w:pPr>
        <w:pStyle w:val="ListParagraph"/>
        <w:numPr>
          <w:ilvl w:val="0"/>
          <w:numId w:val="15"/>
        </w:numPr>
      </w:pPr>
      <w:r>
        <w:lastRenderedPageBreak/>
        <w:t xml:space="preserve">Both species </w:t>
      </w:r>
      <w:r w:rsidRPr="004765AA">
        <w:t xml:space="preserve">are reef-associated </w:t>
      </w:r>
      <w:r>
        <w:t>(</w:t>
      </w:r>
      <w:r w:rsidRPr="004765AA">
        <w:t>Purcell et al., 20</w:t>
      </w:r>
      <w:r w:rsidR="00AD3B29">
        <w:t>23a</w:t>
      </w:r>
      <w:r>
        <w:t xml:space="preserve">) </w:t>
      </w:r>
      <w:r w:rsidRPr="004765AA">
        <w:t>and will be impacted by declining reef health</w:t>
      </w:r>
      <w:r>
        <w:t xml:space="preserve"> associated with a range of pressures, including climate change (Hughes et al. 2018; see above)</w:t>
      </w:r>
      <w:r w:rsidRPr="004765AA">
        <w:t>.</w:t>
      </w:r>
    </w:p>
    <w:p w14:paraId="32E8F301" w14:textId="77777777" w:rsidR="00AF2FA8" w:rsidRPr="009A24E3" w:rsidRDefault="00AF2FA8" w:rsidP="00474ABF">
      <w:pPr>
        <w:pStyle w:val="Heading4"/>
      </w:pPr>
      <w:r w:rsidRPr="009A24E3">
        <w:t xml:space="preserve">Factors reducing </w:t>
      </w:r>
      <w:r>
        <w:t>i</w:t>
      </w:r>
      <w:r w:rsidRPr="009A24E3">
        <w:t>nherent vulnerability</w:t>
      </w:r>
    </w:p>
    <w:p w14:paraId="2DBF4448" w14:textId="7CE41660" w:rsidR="00AF2FA8" w:rsidRDefault="00AF2FA8" w:rsidP="00A87F05">
      <w:pPr>
        <w:pStyle w:val="ListParagraph"/>
        <w:numPr>
          <w:ilvl w:val="0"/>
          <w:numId w:val="16"/>
        </w:numPr>
      </w:pPr>
      <w:r>
        <w:t xml:space="preserve">Both species have a broad geographical range </w:t>
      </w:r>
      <w:r w:rsidR="0024223C">
        <w:t>regionally</w:t>
      </w:r>
      <w:r>
        <w:t xml:space="preserve"> (Conand et al., 2013a;</w:t>
      </w:r>
      <w:r w:rsidRPr="00F30620">
        <w:t xml:space="preserve"> </w:t>
      </w:r>
      <w:r>
        <w:t xml:space="preserve">2013b), and within </w:t>
      </w:r>
      <w:r w:rsidR="0067085C">
        <w:t>the Q</w:t>
      </w:r>
      <w:r w:rsidR="000571D0">
        <w:t>S</w:t>
      </w:r>
      <w:r w:rsidR="0067085C">
        <w:t>CF and adjacent fisheries</w:t>
      </w:r>
      <w:r>
        <w:t xml:space="preserve">. </w:t>
      </w:r>
    </w:p>
    <w:p w14:paraId="1DAB4C9C" w14:textId="3F78E89C" w:rsidR="00AF2FA8" w:rsidRDefault="00AF2FA8" w:rsidP="00A87F05">
      <w:pPr>
        <w:pStyle w:val="ListParagraph"/>
        <w:numPr>
          <w:ilvl w:val="0"/>
          <w:numId w:val="16"/>
        </w:numPr>
      </w:pPr>
      <w:r>
        <w:t>Both species appear to be resilient to local extirpation, even in heavily exploited fisheries (Prescott et al., 2017</w:t>
      </w:r>
      <w:r w:rsidR="00301A87">
        <w:t>; FAO, 2019</w:t>
      </w:r>
      <w:r>
        <w:t>).</w:t>
      </w:r>
    </w:p>
    <w:p w14:paraId="181CC67D" w14:textId="587FD888" w:rsidR="0007242B" w:rsidRDefault="0007242B" w:rsidP="00A87F05">
      <w:pPr>
        <w:pStyle w:val="ListParagraph"/>
        <w:numPr>
          <w:ilvl w:val="0"/>
          <w:numId w:val="16"/>
        </w:numPr>
      </w:pPr>
      <w:r>
        <w:t xml:space="preserve">There are </w:t>
      </w:r>
      <w:r w:rsidRPr="0007242B">
        <w:t xml:space="preserve">some examples of recovery </w:t>
      </w:r>
      <w:r w:rsidR="00301A87">
        <w:t xml:space="preserve">of </w:t>
      </w:r>
      <w:r w:rsidRPr="0007242B">
        <w:t>overfished teatfish stocks</w:t>
      </w:r>
      <w:r>
        <w:t xml:space="preserve"> (Skewes et al., 2009; </w:t>
      </w:r>
      <w:r w:rsidR="007A0583">
        <w:t>Knuckey</w:t>
      </w:r>
      <w:r>
        <w:t xml:space="preserve"> and Koopman, 2016; </w:t>
      </w:r>
      <w:r w:rsidRPr="0007242B">
        <w:t>Helidoniotis</w:t>
      </w:r>
      <w:r>
        <w:t>, 2021</w:t>
      </w:r>
      <w:r w:rsidR="007A0583">
        <w:t>a</w:t>
      </w:r>
      <w:r>
        <w:t>)</w:t>
      </w:r>
    </w:p>
    <w:p w14:paraId="4FA6B6F7" w14:textId="3DAC5A9B" w:rsidR="00AF2FA8" w:rsidRDefault="00AF2FA8" w:rsidP="00A87F05">
      <w:pPr>
        <w:pStyle w:val="ListParagraph"/>
        <w:numPr>
          <w:ilvl w:val="0"/>
          <w:numId w:val="16"/>
        </w:numPr>
      </w:pPr>
      <w:r>
        <w:t>Juveniles are very cryptic and rarely observed – offering protection from fishing for juvenile year classes (Prescott et al., 2013; CITES, 20</w:t>
      </w:r>
      <w:r w:rsidR="00FB4445">
        <w:t>19</w:t>
      </w:r>
      <w:r>
        <w:t>).</w:t>
      </w:r>
    </w:p>
    <w:p w14:paraId="49C607B5" w14:textId="41FB4764" w:rsidR="00AF2FA8" w:rsidRDefault="00FB4445" w:rsidP="00A87F05">
      <w:pPr>
        <w:pStyle w:val="ListParagraph"/>
        <w:numPr>
          <w:ilvl w:val="0"/>
          <w:numId w:val="16"/>
        </w:numPr>
      </w:pPr>
      <w:r>
        <w:t>White teatfish</w:t>
      </w:r>
      <w:r w:rsidR="00AF2FA8">
        <w:t xml:space="preserve"> inhabit</w:t>
      </w:r>
      <w:r>
        <w:t>s</w:t>
      </w:r>
      <w:r w:rsidR="00AF2FA8">
        <w:t xml:space="preserve"> deeper reef habitats so </w:t>
      </w:r>
      <w:r>
        <w:t>is</w:t>
      </w:r>
      <w:r w:rsidR="00AF2FA8">
        <w:t xml:space="preserve"> less susceptible to fishing</w:t>
      </w:r>
      <w:r w:rsidR="0067085C">
        <w:t xml:space="preserve">, </w:t>
      </w:r>
      <w:r w:rsidR="00AF2FA8">
        <w:t xml:space="preserve">though this effect will be reduced </w:t>
      </w:r>
      <w:r w:rsidR="006B724F">
        <w:t>with the use of</w:t>
      </w:r>
      <w:r w:rsidR="00AF2FA8">
        <w:t xml:space="preserve"> underwater breathing apparatus</w:t>
      </w:r>
      <w:r w:rsidR="007A0583">
        <w:t xml:space="preserve"> and modern depth sounders</w:t>
      </w:r>
      <w:r w:rsidR="00AF2FA8">
        <w:t xml:space="preserve"> in the </w:t>
      </w:r>
      <w:r w:rsidR="0067085C">
        <w:t>QSCF</w:t>
      </w:r>
      <w:r w:rsidR="00AF2FA8">
        <w:t xml:space="preserve"> (Purcell et al., 2014</w:t>
      </w:r>
      <w:r w:rsidR="007A0583">
        <w:t>; Koopman and Knuckey, 2021b</w:t>
      </w:r>
      <w:r w:rsidR="00AF2FA8">
        <w:t>).</w:t>
      </w:r>
    </w:p>
    <w:p w14:paraId="417EDECB" w14:textId="7F004F5B" w:rsidR="00AF2FA8" w:rsidRDefault="00AF2FA8" w:rsidP="00A87F05">
      <w:pPr>
        <w:pStyle w:val="ListParagraph"/>
        <w:numPr>
          <w:ilvl w:val="0"/>
          <w:numId w:val="16"/>
        </w:numPr>
      </w:pPr>
      <w:r>
        <w:t xml:space="preserve">There is unlikely to be significant </w:t>
      </w:r>
      <w:r w:rsidR="0067085C">
        <w:t xml:space="preserve">ongoing </w:t>
      </w:r>
      <w:r>
        <w:t>i</w:t>
      </w:r>
      <w:r w:rsidRPr="003408F2">
        <w:t>llegal, unreported and unregulated</w:t>
      </w:r>
      <w:r>
        <w:t xml:space="preserve"> (IUU) fishing for </w:t>
      </w:r>
      <w:r w:rsidR="00FB4445" w:rsidRPr="00FB4445">
        <w:t>teatfish</w:t>
      </w:r>
      <w:r>
        <w:t xml:space="preserve"> species in the </w:t>
      </w:r>
      <w:r w:rsidR="000C3590">
        <w:t>QSCF</w:t>
      </w:r>
      <w:r>
        <w:t xml:space="preserve"> (</w:t>
      </w:r>
      <w:r w:rsidR="00301A87">
        <w:t>see</w:t>
      </w:r>
      <w:r>
        <w:t xml:space="preserve"> </w:t>
      </w:r>
      <w:r w:rsidR="00301A87">
        <w:t xml:space="preserve">IUU section in this </w:t>
      </w:r>
      <w:r>
        <w:t>report).</w:t>
      </w:r>
    </w:p>
    <w:p w14:paraId="14414342" w14:textId="62913B01" w:rsidR="00B56C15" w:rsidRDefault="00B56C15" w:rsidP="00A87F05">
      <w:pPr>
        <w:pStyle w:val="ListParagraph"/>
        <w:numPr>
          <w:ilvl w:val="0"/>
          <w:numId w:val="16"/>
        </w:numPr>
      </w:pPr>
      <w:r>
        <w:t>Both species are likely to have a significant proportion of their population (</w:t>
      </w:r>
      <w:r w:rsidR="007A0583">
        <w:t>&gt;</w:t>
      </w:r>
      <w:r>
        <w:t xml:space="preserve">~30%) protected within a comprehensive system of closed MPAs throughout the </w:t>
      </w:r>
      <w:r w:rsidR="007A0583">
        <w:t xml:space="preserve">QSCF </w:t>
      </w:r>
      <w:r>
        <w:t>area.</w:t>
      </w:r>
    </w:p>
    <w:p w14:paraId="2036B8AC" w14:textId="683C7FFE" w:rsidR="00AF2FA8" w:rsidRDefault="00AF2FA8" w:rsidP="00AF2FA8">
      <w:r>
        <w:t xml:space="preserve">From the above, it </w:t>
      </w:r>
      <w:r w:rsidRPr="003408F2">
        <w:t xml:space="preserve">can be implied </w:t>
      </w:r>
      <w:r>
        <w:t>that both species have features that would support a range of</w:t>
      </w:r>
      <w:r w:rsidR="00FB4445">
        <w:t xml:space="preserve"> possible</w:t>
      </w:r>
      <w:r>
        <w:t xml:space="preserve"> inherent vulnerability findings, with </w:t>
      </w:r>
      <w:r w:rsidR="00FB4445">
        <w:t>White teatfish</w:t>
      </w:r>
      <w:r>
        <w:t xml:space="preserve"> having the most uncertainties. </w:t>
      </w:r>
      <w:r w:rsidR="00FB4445">
        <w:t xml:space="preserve">Black teatfish certainly are very susceptible to overexploitation, inhabit the shallow reef that is most susceptible to impacts (including climate change) </w:t>
      </w:r>
      <w:r w:rsidR="00760A0C">
        <w:t xml:space="preserve">and can take some time to recover, therefore a precautionary assessment of the </w:t>
      </w:r>
      <w:r w:rsidR="000571D0">
        <w:t>i</w:t>
      </w:r>
      <w:r w:rsidR="00760A0C">
        <w:t xml:space="preserve">nherent </w:t>
      </w:r>
      <w:r w:rsidR="000571D0">
        <w:t>v</w:t>
      </w:r>
      <w:r w:rsidR="00760A0C">
        <w:t xml:space="preserve">ulnerability of ‘high’ is likely warranted. White teatfish, on the other hand, probably </w:t>
      </w:r>
      <w:r>
        <w:t>has a lower inherent vulnerability than</w:t>
      </w:r>
      <w:r w:rsidR="00760A0C">
        <w:t xml:space="preserve"> Black teatfish</w:t>
      </w:r>
      <w:r>
        <w:t xml:space="preserve"> – it is less susceptible to fishing pressure, more persistent in catches, and </w:t>
      </w:r>
      <w:r w:rsidR="007A0583">
        <w:t xml:space="preserve">can </w:t>
      </w:r>
      <w:r>
        <w:t>maintain</w:t>
      </w:r>
      <w:r w:rsidR="000571D0">
        <w:t xml:space="preserve"> a</w:t>
      </w:r>
      <w:r w:rsidR="007A0583">
        <w:t xml:space="preserve"> relatively </w:t>
      </w:r>
      <w:r>
        <w:t>high catch rate</w:t>
      </w:r>
      <w:r w:rsidR="007A0583">
        <w:t xml:space="preserve"> over extended periods</w:t>
      </w:r>
      <w:r>
        <w:t xml:space="preserve"> (Skewes et al., 2014; FAO, 2019). In this case, given the resilience of </w:t>
      </w:r>
      <w:r w:rsidR="00C33AF4">
        <w:t xml:space="preserve">White teatfish </w:t>
      </w:r>
      <w:r>
        <w:t xml:space="preserve">in the </w:t>
      </w:r>
      <w:r w:rsidR="000C3590">
        <w:t>QSCF</w:t>
      </w:r>
      <w:r>
        <w:t xml:space="preserve"> to sustained fishing pressure</w:t>
      </w:r>
      <w:r w:rsidR="000C3590">
        <w:t xml:space="preserve"> for over 2 decades</w:t>
      </w:r>
      <w:r>
        <w:t xml:space="preserve">, the </w:t>
      </w:r>
      <w:r w:rsidR="000C3590">
        <w:t xml:space="preserve">potential for </w:t>
      </w:r>
      <w:r>
        <w:t xml:space="preserve">relatively high density of </w:t>
      </w:r>
      <w:r w:rsidR="00760A0C">
        <w:t xml:space="preserve">White teatfish </w:t>
      </w:r>
      <w:r>
        <w:t>in deep reef habitats (Murphy et al., 2021</w:t>
      </w:r>
      <w:r w:rsidR="009C7DFE">
        <w:t>a</w:t>
      </w:r>
      <w:r w:rsidR="007A0583">
        <w:t>; Koopman and Knuckey, 2021b</w:t>
      </w:r>
      <w:r>
        <w:t xml:space="preserve">), </w:t>
      </w:r>
      <w:r w:rsidR="00AF2893">
        <w:t xml:space="preserve">and extensive closed areas throughout the fishery area, </w:t>
      </w:r>
      <w:r>
        <w:t>a precautionary assessment of the Inherent Vulnerability of ‘</w:t>
      </w:r>
      <w:r w:rsidR="00760A0C">
        <w:t>medium-</w:t>
      </w:r>
      <w:r>
        <w:t xml:space="preserve">high’ for </w:t>
      </w:r>
      <w:r w:rsidR="00760A0C">
        <w:t xml:space="preserve">White teatfish </w:t>
      </w:r>
      <w:r>
        <w:t xml:space="preserve">in </w:t>
      </w:r>
      <w:r w:rsidR="000C3590">
        <w:t xml:space="preserve">the QSCF </w:t>
      </w:r>
      <w:r>
        <w:t xml:space="preserve">is recommended. </w:t>
      </w:r>
    </w:p>
    <w:p w14:paraId="3663BA82" w14:textId="77777777" w:rsidR="00892D6F" w:rsidRPr="00892D6F" w:rsidRDefault="00892D6F" w:rsidP="008D08E6">
      <w:pPr>
        <w:pStyle w:val="Heading2"/>
        <w:ind w:left="851" w:hanging="851"/>
      </w:pPr>
      <w:bookmarkStart w:id="77" w:name="_Toc189044933"/>
      <w:r w:rsidRPr="00892D6F">
        <w:t>Ecological role</w:t>
      </w:r>
      <w:bookmarkEnd w:id="74"/>
      <w:bookmarkEnd w:id="75"/>
      <w:bookmarkEnd w:id="76"/>
      <w:bookmarkEnd w:id="77"/>
    </w:p>
    <w:p w14:paraId="4DBBB5DC" w14:textId="77777777" w:rsidR="00AF2FA8" w:rsidRPr="001724B4" w:rsidRDefault="00AF2FA8" w:rsidP="00474ABF">
      <w:pPr>
        <w:pStyle w:val="Heading4"/>
      </w:pPr>
      <w:r w:rsidRPr="001724B4">
        <w:t>Effect on benthic habitats</w:t>
      </w:r>
    </w:p>
    <w:p w14:paraId="353C875F" w14:textId="33A46145" w:rsidR="00AF2FA8" w:rsidRDefault="00AF2FA8" w:rsidP="00AF2FA8">
      <w:r>
        <w:t>Holothuroids (i.e., class Holothuroidea) feed on the sea bottom, reducing the organic load and redistributing surface sediments</w:t>
      </w:r>
      <w:r w:rsidR="00B47398">
        <w:t xml:space="preserve"> (Uthicke, 1999; Hammond et al., 2020; Williamson et al., 2021)</w:t>
      </w:r>
      <w:r>
        <w:t>, making them bioremediators by enhancing the productivity of sea bottom life (for a comprehensive review of sea cucumber ecological role, see Purcell et al., 2016</w:t>
      </w:r>
      <w:r w:rsidR="00AD3B29">
        <w:t>a</w:t>
      </w:r>
      <w:r>
        <w:t>). This form of nutrient recycling is crucial in ecosystems with low nutrient levels, as in the Coral Sea (Ceccarelli et al., 2013). The depletion of holothuroids has also resulted in the hardening of the sea floor, thereby eliminating potential habitat for other benthic organisms (Bruckner et al., 2003).</w:t>
      </w:r>
    </w:p>
    <w:p w14:paraId="2F6BDF9A" w14:textId="26C74FAF" w:rsidR="00AF2FA8" w:rsidRDefault="00AF2FA8" w:rsidP="00AF2FA8">
      <w:r>
        <w:t>Sea cucumbers are known to be consumed by diverse predators from at least seven phyla, including 19 species of seastars, 17 crustaceans, several gastropods and around 30 species of fish (Purcell et al., 2016</w:t>
      </w:r>
      <w:r w:rsidR="00AD3B29">
        <w:t>a</w:t>
      </w:r>
      <w:r>
        <w:t xml:space="preserve">). Although there is little information regarding predators of </w:t>
      </w:r>
      <w:r w:rsidR="00B47398">
        <w:t>teatfish</w:t>
      </w:r>
      <w:r>
        <w:t>. For predators that rely heavily on sea cucumbers as a food source, depletion of sea cucumber populations is likely to have a negative impact (Purcell et al., 2016</w:t>
      </w:r>
      <w:r w:rsidR="00AD3B29">
        <w:t>a</w:t>
      </w:r>
      <w:r>
        <w:t>). Thus, overexploitation of sea cucumbers may result in a loss of biodiversity or abundance of these predator species or cause them to switch to other prey species, with potential cascading effects in the ecosystem (Purcell et al., 2016</w:t>
      </w:r>
      <w:r w:rsidR="00AD3B29">
        <w:t>a</w:t>
      </w:r>
      <w:r>
        <w:t>).</w:t>
      </w:r>
    </w:p>
    <w:p w14:paraId="083794AF" w14:textId="77777777" w:rsidR="00AF2FA8" w:rsidRPr="002B7388" w:rsidRDefault="00AF2FA8" w:rsidP="00474ABF">
      <w:pPr>
        <w:pStyle w:val="Heading4"/>
      </w:pPr>
      <w:r w:rsidRPr="002B7388">
        <w:lastRenderedPageBreak/>
        <w:t>Effect on local water chemistry</w:t>
      </w:r>
    </w:p>
    <w:p w14:paraId="574FB7A4" w14:textId="1E4E1C14" w:rsidR="00AF2FA8" w:rsidRDefault="00B47398" w:rsidP="00AF2FA8">
      <w:r>
        <w:t xml:space="preserve">Feeding and excretion by sea cucumbers also increase seawater quality and alkalinity, which contributes to local buffering of ocean acidification. </w:t>
      </w:r>
      <w:r w:rsidR="00AF2FA8">
        <w:t xml:space="preserve">Studies on several sea cucumber species (Curryfish - </w:t>
      </w:r>
      <w:r w:rsidR="00AF2FA8" w:rsidRPr="005A5086">
        <w:rPr>
          <w:i/>
          <w:iCs/>
        </w:rPr>
        <w:t>S</w:t>
      </w:r>
      <w:r w:rsidR="00AF2FA8">
        <w:rPr>
          <w:i/>
          <w:iCs/>
        </w:rPr>
        <w:t>tichopus</w:t>
      </w:r>
      <w:r w:rsidR="00AF2FA8" w:rsidRPr="005A5086">
        <w:rPr>
          <w:i/>
          <w:iCs/>
        </w:rPr>
        <w:t xml:space="preserve"> herrmanni</w:t>
      </w:r>
      <w:r w:rsidR="00AF2FA8">
        <w:rPr>
          <w:i/>
          <w:iCs/>
        </w:rPr>
        <w:t xml:space="preserve">, </w:t>
      </w:r>
      <w:r w:rsidR="00AF2FA8">
        <w:t xml:space="preserve">Lollyfish - </w:t>
      </w:r>
      <w:r w:rsidR="00AF2FA8" w:rsidRPr="005A5086">
        <w:rPr>
          <w:i/>
          <w:iCs/>
        </w:rPr>
        <w:t>H</w:t>
      </w:r>
      <w:r w:rsidR="00AF2FA8">
        <w:rPr>
          <w:i/>
          <w:iCs/>
        </w:rPr>
        <w:t>olothuria a</w:t>
      </w:r>
      <w:r w:rsidR="00AF2FA8" w:rsidRPr="005A5086">
        <w:rPr>
          <w:i/>
          <w:iCs/>
        </w:rPr>
        <w:t>tra</w:t>
      </w:r>
      <w:r w:rsidR="00AF2FA8">
        <w:rPr>
          <w:i/>
          <w:iCs/>
        </w:rPr>
        <w:t xml:space="preserve">, </w:t>
      </w:r>
      <w:r w:rsidR="00AF2FA8">
        <w:t xml:space="preserve">Snakefish - </w:t>
      </w:r>
      <w:r w:rsidR="00AF2FA8">
        <w:rPr>
          <w:i/>
          <w:iCs/>
        </w:rPr>
        <w:t>H. leucospilota</w:t>
      </w:r>
      <w:r w:rsidR="00AF2FA8">
        <w:t>) has shown they can affect local seawater alkalinity through their digestive processes and release of ammonia (Uthicke, 2001; Schneider et al., 2011</w:t>
      </w:r>
      <w:r w:rsidR="00AD3B29">
        <w:t>;</w:t>
      </w:r>
      <w:r w:rsidR="00AF2FA8">
        <w:t xml:space="preserve"> 2013; Wolfe et al., 2017; </w:t>
      </w:r>
      <w:r w:rsidR="00AF2FA8" w:rsidRPr="000E1C88">
        <w:t>Vidal-Ramirez</w:t>
      </w:r>
      <w:r w:rsidR="00AF2FA8">
        <w:t xml:space="preserve"> and</w:t>
      </w:r>
      <w:r w:rsidR="00AF2FA8" w:rsidRPr="000E1C88">
        <w:t xml:space="preserve"> Dove, 2016</w:t>
      </w:r>
      <w:r w:rsidR="00AF2FA8">
        <w:t xml:space="preserve">), potentially </w:t>
      </w:r>
      <w:r w:rsidR="00AF2FA8" w:rsidRPr="003408F2">
        <w:t xml:space="preserve">moderating </w:t>
      </w:r>
      <w:r w:rsidR="00AF2FA8">
        <w:t>ocean acidification and benefiting calcifying organisms such as corals, though the size and even direction of the net impact is dependent on water flushing rates and time of day.</w:t>
      </w:r>
    </w:p>
    <w:p w14:paraId="28450604" w14:textId="4B9E3150" w:rsidR="00AF2FA8" w:rsidRDefault="00AF2FA8" w:rsidP="00AF2FA8">
      <w:bookmarkStart w:id="78" w:name="_Hlk139437757"/>
      <w:r>
        <w:t>Wolfe et al. (2017) found that Curryfish (</w:t>
      </w:r>
      <w:r w:rsidRPr="005A5086">
        <w:rPr>
          <w:i/>
          <w:iCs/>
        </w:rPr>
        <w:t>S</w:t>
      </w:r>
      <w:r>
        <w:rPr>
          <w:i/>
          <w:iCs/>
        </w:rPr>
        <w:t>.</w:t>
      </w:r>
      <w:r w:rsidRPr="005A5086">
        <w:rPr>
          <w:i/>
          <w:iCs/>
        </w:rPr>
        <w:t xml:space="preserve"> herrmanni</w:t>
      </w:r>
      <w:r>
        <w:t>) had significant impacts on seawater chemistry through respiration, dissolution of CaCo</w:t>
      </w:r>
      <w:r w:rsidRPr="005A5086">
        <w:rPr>
          <w:vertAlign w:val="subscript"/>
        </w:rPr>
        <w:t>3</w:t>
      </w:r>
      <w:r>
        <w:t xml:space="preserve"> in the gut and by down grazing effects on algae and infauna. These actions contributed to increased reef dissolution during the day, but decreased dissolution at night when reef systems are most </w:t>
      </w:r>
      <w:r w:rsidRPr="005A5086">
        <w:t>vulnerable to dissolution</w:t>
      </w:r>
      <w:r>
        <w:t>.</w:t>
      </w:r>
      <w:r w:rsidRPr="005A5086">
        <w:t xml:space="preserve"> </w:t>
      </w:r>
      <w:r>
        <w:t xml:space="preserve">However, the effect was only measurable in closed </w:t>
      </w:r>
      <w:r w:rsidR="00E115AC">
        <w:t xml:space="preserve">mesocosm </w:t>
      </w:r>
      <w:r>
        <w:t>systems – Curryfish had little effect on seawater chemistry under flowing conditions. Another study on the effect of Lollyfish (</w:t>
      </w:r>
      <w:r w:rsidRPr="005A5086">
        <w:rPr>
          <w:i/>
          <w:iCs/>
        </w:rPr>
        <w:t>H</w:t>
      </w:r>
      <w:r>
        <w:rPr>
          <w:i/>
          <w:iCs/>
        </w:rPr>
        <w:t>.</w:t>
      </w:r>
      <w:r w:rsidRPr="005A5086">
        <w:rPr>
          <w:i/>
          <w:iCs/>
        </w:rPr>
        <w:t xml:space="preserve"> atra</w:t>
      </w:r>
      <w:r>
        <w:t xml:space="preserve">) </w:t>
      </w:r>
      <w:r w:rsidRPr="000E1C88">
        <w:t>on seawater carbonate chemistry</w:t>
      </w:r>
      <w:r>
        <w:t xml:space="preserve"> found that the feeding and excretion of that species may even exacerbate the impacts of acidification due to the dissolution of CaCO</w:t>
      </w:r>
      <w:r w:rsidRPr="005A5086">
        <w:rPr>
          <w:vertAlign w:val="subscript"/>
        </w:rPr>
        <w:t>3</w:t>
      </w:r>
      <w:r>
        <w:t xml:space="preserve"> resulting from their production of respiratory CO</w:t>
      </w:r>
      <w:r w:rsidRPr="00D61184">
        <w:rPr>
          <w:vertAlign w:val="subscript"/>
        </w:rPr>
        <w:t>2</w:t>
      </w:r>
      <w:r>
        <w:t xml:space="preserve"> (</w:t>
      </w:r>
      <w:r w:rsidRPr="000E1C88">
        <w:t>Vidal-Ramirez</w:t>
      </w:r>
      <w:r>
        <w:t xml:space="preserve"> and</w:t>
      </w:r>
      <w:r w:rsidRPr="000E1C88">
        <w:t xml:space="preserve"> Dove, 2016</w:t>
      </w:r>
      <w:r>
        <w:t xml:space="preserve">). </w:t>
      </w:r>
    </w:p>
    <w:bookmarkEnd w:id="78"/>
    <w:p w14:paraId="7B048F75" w14:textId="2387298A" w:rsidR="00AF2FA8" w:rsidRDefault="00AF2FA8" w:rsidP="00AF2FA8">
      <w:r>
        <w:t xml:space="preserve">It is likely then, given the dynamic nature of water currents in </w:t>
      </w:r>
      <w:r w:rsidR="000C3590">
        <w:t>the QSCF (this report)</w:t>
      </w:r>
      <w:r>
        <w:t xml:space="preserve">, and primarily slope and deeper reef habitats favoured by </w:t>
      </w:r>
      <w:r w:rsidR="00E115AC">
        <w:t xml:space="preserve">White teatfish </w:t>
      </w:r>
      <w:r>
        <w:t xml:space="preserve">(Purcell et al., </w:t>
      </w:r>
      <w:r w:rsidR="00CE4657">
        <w:t>2023a</w:t>
      </w:r>
      <w:r>
        <w:t>; Murphy et al., 2021</w:t>
      </w:r>
      <w:r w:rsidR="009C7DFE">
        <w:t>a</w:t>
      </w:r>
      <w:r>
        <w:t xml:space="preserve">), that local ameliorating effects on water chemistry by </w:t>
      </w:r>
      <w:r w:rsidR="00E115AC">
        <w:t>teatfish</w:t>
      </w:r>
      <w:r>
        <w:t xml:space="preserve"> would be modest at best.</w:t>
      </w:r>
    </w:p>
    <w:p w14:paraId="79006AB2" w14:textId="2A53A9F1" w:rsidR="00AF2FA8" w:rsidRPr="0012595D" w:rsidRDefault="00AF2FA8" w:rsidP="00AF2FA8">
      <w:pPr>
        <w:keepNext/>
        <w:rPr>
          <w:i/>
          <w:iCs/>
          <w:u w:val="single"/>
        </w:rPr>
      </w:pPr>
      <w:r w:rsidRPr="0012595D">
        <w:rPr>
          <w:i/>
          <w:iCs/>
          <w:u w:val="single"/>
        </w:rPr>
        <w:t xml:space="preserve">Ecological role in </w:t>
      </w:r>
      <w:r w:rsidR="000C3590" w:rsidRPr="0012595D">
        <w:rPr>
          <w:i/>
          <w:iCs/>
          <w:u w:val="single"/>
        </w:rPr>
        <w:t>the QSCF</w:t>
      </w:r>
    </w:p>
    <w:p w14:paraId="200A1DC9" w14:textId="24D118F6" w:rsidR="00AF2FA8" w:rsidRDefault="00AF2FA8" w:rsidP="00AF2FA8">
      <w:r>
        <w:t xml:space="preserve">The </w:t>
      </w:r>
      <w:r w:rsidR="0086319F">
        <w:t>QSCF</w:t>
      </w:r>
      <w:r>
        <w:t xml:space="preserve"> habitats that contain both </w:t>
      </w:r>
      <w:r w:rsidR="00E115AC">
        <w:t xml:space="preserve">teatfish species </w:t>
      </w:r>
      <w:r>
        <w:t xml:space="preserve">are </w:t>
      </w:r>
      <w:r w:rsidR="00E115AC">
        <w:t>predominantly found</w:t>
      </w:r>
      <w:r w:rsidR="000571D0">
        <w:t xml:space="preserve"> in</w:t>
      </w:r>
      <w:r w:rsidR="00E115AC">
        <w:t xml:space="preserve"> </w:t>
      </w:r>
      <w:r w:rsidR="0086319F">
        <w:t>the mid and outer</w:t>
      </w:r>
      <w:r w:rsidR="00E115AC">
        <w:t xml:space="preserve"> shelf regions </w:t>
      </w:r>
      <w:r w:rsidR="0086319F">
        <w:t xml:space="preserve">of the GBR </w:t>
      </w:r>
      <w:r>
        <w:t xml:space="preserve">and are </w:t>
      </w:r>
      <w:r w:rsidR="0086319F">
        <w:t xml:space="preserve">likely </w:t>
      </w:r>
      <w:r>
        <w:t xml:space="preserve">relatively oligotrophic. Nutrient recycling by larger sea cucumbers such as </w:t>
      </w:r>
      <w:r w:rsidR="00E115AC">
        <w:t xml:space="preserve">the teatfishes </w:t>
      </w:r>
      <w:r>
        <w:t xml:space="preserve">will therefore play an important role in reef functioning in this area. </w:t>
      </w:r>
    </w:p>
    <w:p w14:paraId="09E4B595" w14:textId="77777777" w:rsidR="00892D6F" w:rsidRPr="003423C5" w:rsidRDefault="00892D6F" w:rsidP="00DD488F"/>
    <w:p w14:paraId="73CF4675" w14:textId="77777777" w:rsidR="00DD488F" w:rsidRDefault="00DD488F" w:rsidP="000A6D1F">
      <w:pPr>
        <w:pStyle w:val="Heading1"/>
        <w:ind w:left="851" w:hanging="851"/>
      </w:pPr>
      <w:bookmarkStart w:id="79" w:name="_Toc189044934"/>
      <w:r>
        <w:lastRenderedPageBreak/>
        <w:t>Harvest levels and trends</w:t>
      </w:r>
      <w:bookmarkEnd w:id="79"/>
    </w:p>
    <w:p w14:paraId="2EE157A4" w14:textId="3C5C6084" w:rsidR="00675CB9" w:rsidRDefault="00675CB9" w:rsidP="00675CB9">
      <w:r w:rsidRPr="00675CB9">
        <w:rPr>
          <w:i/>
          <w:iCs/>
        </w:rPr>
        <w:t>A note on fishery catch weight</w:t>
      </w:r>
      <w:r>
        <w:t>. Sea cucumbers will change their weight depending on the time out of the water and processed state</w:t>
      </w:r>
      <w:r w:rsidR="00DE5B5D">
        <w:t xml:space="preserve"> (Murphy et al., 2021b)</w:t>
      </w:r>
      <w:r>
        <w:t>. Typically, sea cucumber fisheries collect catch weight information a</w:t>
      </w:r>
      <w:r w:rsidR="007A1C15">
        <w:t>t</w:t>
      </w:r>
      <w:r>
        <w:t xml:space="preserve"> the first opportunity for operators to reliably weigh the catch. In the case of the </w:t>
      </w:r>
      <w:r w:rsidR="00392F8D">
        <w:t xml:space="preserve">modern </w:t>
      </w:r>
      <w:r>
        <w:t xml:space="preserve">QSCF, this is when the product is partially processed (and stabilised) onboard the mother vessels, </w:t>
      </w:r>
      <w:r w:rsidR="00E115AC">
        <w:t xml:space="preserve">or landed at port, </w:t>
      </w:r>
      <w:r>
        <w:t xml:space="preserve">and </w:t>
      </w:r>
      <w:r w:rsidR="007B5498">
        <w:t>includes</w:t>
      </w:r>
      <w:r w:rsidR="00DE5B5D">
        <w:t xml:space="preserve"> gutted and </w:t>
      </w:r>
      <w:r>
        <w:t xml:space="preserve">salted, </w:t>
      </w:r>
      <w:r w:rsidR="007B5498">
        <w:t>or par-boiled and frozen forms</w:t>
      </w:r>
      <w:r w:rsidR="007A1C15">
        <w:t xml:space="preserve"> (with product form reported in the fishery logbook and catch disposal record</w:t>
      </w:r>
      <w:r w:rsidR="00E115AC">
        <w:t>s</w:t>
      </w:r>
      <w:r w:rsidR="007A1C15">
        <w:t>)</w:t>
      </w:r>
      <w:r w:rsidR="007B5498">
        <w:t xml:space="preserve">. </w:t>
      </w:r>
    </w:p>
    <w:p w14:paraId="2619190D" w14:textId="6B09B3F0" w:rsidR="00DE5B5D" w:rsidRDefault="00DE5B5D" w:rsidP="00675CB9">
      <w:r>
        <w:t xml:space="preserve">The QSCF catch and </w:t>
      </w:r>
      <w:r w:rsidR="000571D0" w:rsidRPr="00735B5D">
        <w:t xml:space="preserve">Total Allowable Catch </w:t>
      </w:r>
      <w:r w:rsidR="000571D0">
        <w:t>(</w:t>
      </w:r>
      <w:r>
        <w:t>TAC</w:t>
      </w:r>
      <w:r w:rsidR="000571D0">
        <w:t>)</w:t>
      </w:r>
      <w:r>
        <w:t xml:space="preserve"> </w:t>
      </w:r>
      <w:r w:rsidR="00E115AC">
        <w:t xml:space="preserve">therefore </w:t>
      </w:r>
      <w:r>
        <w:t xml:space="preserve">are reported as “landed weight” which includes both the gutted and salted, or par-boiled and frozen forms. </w:t>
      </w:r>
      <w:r w:rsidR="00FB190A">
        <w:t xml:space="preserve">Note that, prior to 2007, TACs were allocated as wet gutted weight. In 2007, the </w:t>
      </w:r>
      <w:r w:rsidR="000571D0">
        <w:t xml:space="preserve">overall </w:t>
      </w:r>
      <w:r w:rsidR="00FB190A" w:rsidRPr="00735B5D">
        <w:t xml:space="preserve">TAC </w:t>
      </w:r>
      <w:r w:rsidR="00FB190A">
        <w:t xml:space="preserve">reduced from 380 t to </w:t>
      </w:r>
      <w:r w:rsidR="00FB190A" w:rsidRPr="001B2AFA">
        <w:t xml:space="preserve">361 t </w:t>
      </w:r>
      <w:r w:rsidR="00FB190A">
        <w:t>“</w:t>
      </w:r>
      <w:r w:rsidR="00FB190A" w:rsidRPr="001B2AFA">
        <w:t>landed</w:t>
      </w:r>
      <w:r w:rsidR="00FB190A">
        <w:t>”</w:t>
      </w:r>
      <w:r w:rsidR="00FB190A" w:rsidRPr="001B2AFA">
        <w:t xml:space="preserve"> weight </w:t>
      </w:r>
      <w:r w:rsidR="00FB190A">
        <w:t xml:space="preserve">(gutted and </w:t>
      </w:r>
      <w:r w:rsidR="00FB190A" w:rsidRPr="001B2AFA">
        <w:t>salted or par</w:t>
      </w:r>
      <w:r w:rsidR="00FB190A">
        <w:t>-</w:t>
      </w:r>
      <w:r w:rsidR="00FB190A" w:rsidRPr="001B2AFA">
        <w:t>boiled and frozen)</w:t>
      </w:r>
      <w:r w:rsidR="00FB190A">
        <w:t xml:space="preserve"> (DPIF, 2008) (see management section below). </w:t>
      </w:r>
    </w:p>
    <w:p w14:paraId="1A6DBC0C" w14:textId="31E008D3" w:rsidR="00256052" w:rsidRDefault="00256052" w:rsidP="00675CB9">
      <w:r>
        <w:t>In this case, all survey data will need to be expressed as fishery landed weight (</w:t>
      </w:r>
      <w:r w:rsidR="00DE5B5D">
        <w:t xml:space="preserve">gutted and </w:t>
      </w:r>
      <w:r>
        <w:t xml:space="preserve">salted or par-boiled and frozen) for application to fishery </w:t>
      </w:r>
      <w:r w:rsidR="00F723BB">
        <w:t>assessments and to TACs</w:t>
      </w:r>
      <w:r w:rsidR="00C950DB">
        <w:t xml:space="preserve"> (or vice versa)</w:t>
      </w:r>
      <w:r>
        <w:t xml:space="preserve">. </w:t>
      </w:r>
      <w:r w:rsidR="00FB190A">
        <w:t>G</w:t>
      </w:r>
      <w:r w:rsidR="00DE5B5D">
        <w:t xml:space="preserve">utted and </w:t>
      </w:r>
      <w:r>
        <w:t>salted weight conversion factors are available for most fishery species</w:t>
      </w:r>
      <w:r w:rsidR="00F723BB">
        <w:t xml:space="preserve"> (including </w:t>
      </w:r>
      <w:r w:rsidR="00711B19">
        <w:t>Black teatfish and White teatfish</w:t>
      </w:r>
      <w:r w:rsidR="00F723BB">
        <w:t>)</w:t>
      </w:r>
      <w:r w:rsidR="009C7DFE">
        <w:t xml:space="preserve"> (Murphy et al., 2021b)</w:t>
      </w:r>
      <w:r>
        <w:t xml:space="preserve">, but par-boiled and frozen </w:t>
      </w:r>
      <w:r w:rsidR="009E0D8B">
        <w:t xml:space="preserve">weight </w:t>
      </w:r>
      <w:r w:rsidR="00FB190A">
        <w:t xml:space="preserve">conversion factors </w:t>
      </w:r>
      <w:r>
        <w:t xml:space="preserve">are not. </w:t>
      </w:r>
    </w:p>
    <w:p w14:paraId="7D447A07" w14:textId="1A618C04" w:rsidR="00CA3FD1" w:rsidRDefault="0037752F" w:rsidP="00675CB9">
      <w:r>
        <w:t xml:space="preserve">A related issue is that, </w:t>
      </w:r>
      <w:r w:rsidR="006622F8">
        <w:t xml:space="preserve">between 2001 and </w:t>
      </w:r>
      <w:r>
        <w:t>201</w:t>
      </w:r>
      <w:r w:rsidR="00256052">
        <w:t>1</w:t>
      </w:r>
      <w:r>
        <w:t>, catch in the</w:t>
      </w:r>
      <w:r w:rsidR="007A1C15">
        <w:t xml:space="preserve"> </w:t>
      </w:r>
      <w:r w:rsidR="00392F8D">
        <w:t>QSCF</w:t>
      </w:r>
      <w:r>
        <w:t xml:space="preserve"> logbooks was reported primarily as numbers</w:t>
      </w:r>
      <w:r w:rsidR="006622F8">
        <w:t>, though it was also reported as numbers and weight in the catch Buyers Reporting Logbook (CDR)</w:t>
      </w:r>
      <w:r>
        <w:t>. Th</w:t>
      </w:r>
      <w:r w:rsidR="006622F8">
        <w:t xml:space="preserve">e logbook data therefore </w:t>
      </w:r>
      <w:r w:rsidRPr="0037752F">
        <w:t>required the use of an estimated weight conversion factor</w:t>
      </w:r>
      <w:r>
        <w:t xml:space="preserve"> to convert </w:t>
      </w:r>
      <w:r w:rsidR="006622F8">
        <w:t xml:space="preserve">numbers </w:t>
      </w:r>
      <w:r>
        <w:t>to landed weight</w:t>
      </w:r>
      <w:r w:rsidRPr="0037752F">
        <w:t xml:space="preserve">. </w:t>
      </w:r>
      <w:r>
        <w:t xml:space="preserve">The conversion factors contained within the </w:t>
      </w:r>
      <w:r w:rsidR="006622F8">
        <w:t>logbook</w:t>
      </w:r>
      <w:r>
        <w:t xml:space="preserve"> data as obtained in </w:t>
      </w:r>
      <w:r w:rsidR="006622F8">
        <w:t>March 2023 did not have realistic conversion factors (they were listed as 1</w:t>
      </w:r>
      <w:r w:rsidR="007A1C15">
        <w:t xml:space="preserve"> kg each</w:t>
      </w:r>
      <w:r w:rsidR="006622F8">
        <w:t xml:space="preserve"> for all species). In this case, </w:t>
      </w:r>
      <w:r w:rsidRPr="0037752F">
        <w:t xml:space="preserve">the </w:t>
      </w:r>
      <w:r w:rsidR="006622F8">
        <w:t xml:space="preserve">CDR </w:t>
      </w:r>
      <w:r w:rsidRPr="0037752F">
        <w:t>provide</w:t>
      </w:r>
      <w:r w:rsidR="006622F8">
        <w:t>s</w:t>
      </w:r>
      <w:r w:rsidRPr="0037752F">
        <w:t xml:space="preserve"> a more accurate account of historical catch trends and</w:t>
      </w:r>
      <w:r w:rsidR="006622F8" w:rsidRPr="006622F8">
        <w:t xml:space="preserve"> monitor quota usage (</w:t>
      </w:r>
      <w:r w:rsidR="006622F8">
        <w:t>DAF, 2021a</w:t>
      </w:r>
      <w:r w:rsidR="006622F8" w:rsidRPr="006622F8">
        <w:t>)</w:t>
      </w:r>
      <w:r w:rsidR="006622F8">
        <w:t xml:space="preserve">. </w:t>
      </w:r>
      <w:r w:rsidR="00256052">
        <w:t>For</w:t>
      </w:r>
      <w:r w:rsidR="006622F8">
        <w:t xml:space="preserve"> this report, </w:t>
      </w:r>
      <w:r w:rsidR="00256052">
        <w:t>a</w:t>
      </w:r>
      <w:r w:rsidR="00256052" w:rsidRPr="00256052">
        <w:t>verage catch weight for each species was calculated from buyer returns, for each processed state separately</w:t>
      </w:r>
      <w:r w:rsidR="00256052">
        <w:t>, and were then used as conversion factors in the logbook data (for a full description of catch data treatment</w:t>
      </w:r>
      <w:r w:rsidR="00F723BB">
        <w:t xml:space="preserve"> including conversion factors</w:t>
      </w:r>
      <w:r w:rsidR="00256052">
        <w:t>, see Appendix D).</w:t>
      </w:r>
      <w:r w:rsidR="00F35829">
        <w:t xml:space="preserve"> </w:t>
      </w:r>
    </w:p>
    <w:p w14:paraId="572BC891" w14:textId="3E0571F9" w:rsidR="00C72FE1" w:rsidRDefault="00C72FE1" w:rsidP="00C72FE1">
      <w:pPr>
        <w:pStyle w:val="Heading2"/>
        <w:ind w:left="851" w:hanging="851"/>
      </w:pPr>
      <w:bookmarkStart w:id="80" w:name="_Toc189044935"/>
      <w:r>
        <w:t xml:space="preserve">Historical </w:t>
      </w:r>
      <w:r w:rsidR="00641375">
        <w:t>fishery</w:t>
      </w:r>
      <w:bookmarkEnd w:id="80"/>
    </w:p>
    <w:p w14:paraId="378C6A38" w14:textId="789F6B2A" w:rsidR="00582CA6" w:rsidRDefault="00582CA6" w:rsidP="00CC30C2">
      <w:r>
        <w:t xml:space="preserve">(For a </w:t>
      </w:r>
      <w:r w:rsidR="00C950DB">
        <w:t xml:space="preserve">more comprehensive </w:t>
      </w:r>
      <w:r>
        <w:t>account of historical fishing in Australia, see the National report)</w:t>
      </w:r>
    </w:p>
    <w:p w14:paraId="6D2AC71D" w14:textId="39E8EB01" w:rsidR="00CC30C2" w:rsidRDefault="00CC30C2" w:rsidP="00CC30C2">
      <w:r>
        <w:t>Sea cucumbers have been fished on the Australian east coast since the early 1800’s (Sumner, 1981; Ganter, 1990; Mullins, 1995). The earliest record of fishing was in 1804 when James Aicken collected several barrels of beche-de-mer from Wreck Reef in the Coral Sea</w:t>
      </w:r>
      <w:r w:rsidRPr="00AA1199">
        <w:t xml:space="preserve"> </w:t>
      </w:r>
      <w:r>
        <w:t>(Mullins, 1995), and in 1908, James Austen briefly operated a beche-de-mer station on Lady Elliott Island (</w:t>
      </w:r>
      <w:bookmarkStart w:id="81" w:name="_Hlk141186325"/>
      <w:r>
        <w:t>Sumner, 1981</w:t>
      </w:r>
      <w:bookmarkEnd w:id="81"/>
      <w:r>
        <w:t xml:space="preserve">). A few vessels are known to have been employed in the industry on Queensland's east coast in the 1820s, with </w:t>
      </w:r>
      <w:r w:rsidRPr="00467993">
        <w:t>10 tons of bêche-de-mer shipped from the Cooktown area to K</w:t>
      </w:r>
      <w:r>
        <w:t>u</w:t>
      </w:r>
      <w:r w:rsidRPr="00467993">
        <w:t>pang</w:t>
      </w:r>
      <w:r>
        <w:t xml:space="preserve"> i</w:t>
      </w:r>
      <w:r w:rsidRPr="00467993">
        <w:t xml:space="preserve">n 1827 </w:t>
      </w:r>
      <w:r>
        <w:t>(Ganter, 1990), and by the 1840s a regular Sydney-based fishery had developed (Mullins 1992; 1995). In 1845 there was a beche-de-mer station in the Holme islands group off Cape Grenville</w:t>
      </w:r>
      <w:r w:rsidR="00FB190A">
        <w:t xml:space="preserve"> </w:t>
      </w:r>
      <w:r>
        <w:t>process</w:t>
      </w:r>
      <w:r w:rsidR="00FB190A">
        <w:t>ing catch from the surrounding area (Mullins, 1992; 1995)</w:t>
      </w:r>
      <w:r>
        <w:t xml:space="preserve">. </w:t>
      </w:r>
      <w:r w:rsidR="00FB190A">
        <w:t>However,</w:t>
      </w:r>
      <w:r>
        <w:t xml:space="preserve"> by 1850, t</w:t>
      </w:r>
      <w:r w:rsidRPr="00B8260E">
        <w:t>h</w:t>
      </w:r>
      <w:r>
        <w:t xml:space="preserve">is </w:t>
      </w:r>
      <w:r w:rsidRPr="00B8260E">
        <w:t>industry appears to have all but died</w:t>
      </w:r>
      <w:r>
        <w:t xml:space="preserve"> out, due mostly to the closure of northern Australian outposts such as Port Essington, and the emergence of the profitable sandalwood industry in the South Pacific (</w:t>
      </w:r>
      <w:bookmarkStart w:id="82" w:name="_Hlk141186534"/>
      <w:r>
        <w:t>Mullins, 1992</w:t>
      </w:r>
      <w:bookmarkEnd w:id="82"/>
      <w:r>
        <w:t xml:space="preserve">). </w:t>
      </w:r>
    </w:p>
    <w:p w14:paraId="43477209" w14:textId="3CEA0C57" w:rsidR="00CC30C2" w:rsidRDefault="00CC30C2" w:rsidP="00CC30C2">
      <w:r>
        <w:t>The east coast fishery became active again in the early 1860s, this time as part of a broader western Pacific maritime trade, exporting a range of products directly to China and nearby ports (Mullins, 1992; 1995; Ganter, 1990). Sydney based maritime trader</w:t>
      </w:r>
      <w:r w:rsidR="009E45AE">
        <w:t>s</w:t>
      </w:r>
      <w:r>
        <w:t xml:space="preserve"> sailed regularly along the east coast picking up beche-de-mer and dropping off supplies (Mullins, 1995)</w:t>
      </w:r>
      <w:r w:rsidR="009E45AE">
        <w:t xml:space="preserve"> including </w:t>
      </w:r>
      <w:r>
        <w:t xml:space="preserve">expanding the fishery into Torres Strait. </w:t>
      </w:r>
    </w:p>
    <w:p w14:paraId="2D839086" w14:textId="12619578" w:rsidR="00CC30C2" w:rsidRDefault="00CC30C2" w:rsidP="00CC30C2">
      <w:r w:rsidRPr="006E7B3B">
        <w:t xml:space="preserve">After languishing almost entirely around 1870, </w:t>
      </w:r>
      <w:r>
        <w:t>the fishery</w:t>
      </w:r>
      <w:r w:rsidRPr="006E7B3B">
        <w:t xml:space="preserve"> </w:t>
      </w:r>
      <w:r w:rsidR="009E45AE">
        <w:t xml:space="preserve">again </w:t>
      </w:r>
      <w:r w:rsidRPr="006E7B3B">
        <w:t>revived with a rise in prices</w:t>
      </w:r>
      <w:r>
        <w:t xml:space="preserve">, resulting in </w:t>
      </w:r>
      <w:r w:rsidRPr="006E7B3B">
        <w:t xml:space="preserve">a flourishing export trade with Hong Kong and China, </w:t>
      </w:r>
      <w:r>
        <w:t>including</w:t>
      </w:r>
      <w:r w:rsidRPr="006E7B3B">
        <w:t xml:space="preserve"> a fleet of over 40 boats operating from ports north of Townsville</w:t>
      </w:r>
      <w:r>
        <w:t xml:space="preserve"> </w:t>
      </w:r>
      <w:r w:rsidRPr="006E7B3B">
        <w:t>(Bolton, 1970</w:t>
      </w:r>
      <w:r>
        <w:t xml:space="preserve">, </w:t>
      </w:r>
      <w:r w:rsidRPr="006E7B3B">
        <w:t>Sumner, 1981).</w:t>
      </w:r>
      <w:r>
        <w:t xml:space="preserve"> </w:t>
      </w:r>
      <w:r w:rsidRPr="006E7B3B">
        <w:t xml:space="preserve">By </w:t>
      </w:r>
      <w:r w:rsidR="009E45AE">
        <w:t>1880,</w:t>
      </w:r>
      <w:r w:rsidRPr="006E7B3B">
        <w:t xml:space="preserve"> beche-de-mer worth over £13,000 was shipped each year to this market </w:t>
      </w:r>
      <w:r w:rsidR="009E45AE">
        <w:t xml:space="preserve">with </w:t>
      </w:r>
      <w:r w:rsidRPr="006E7B3B">
        <w:t xml:space="preserve">Cooktown </w:t>
      </w:r>
      <w:r w:rsidR="009E45AE">
        <w:t>and Thursday Island as</w:t>
      </w:r>
      <w:r w:rsidRPr="006E7B3B">
        <w:t xml:space="preserve"> the headquarters of the industry</w:t>
      </w:r>
      <w:r>
        <w:t xml:space="preserve"> (</w:t>
      </w:r>
      <w:r w:rsidRPr="006E7B3B">
        <w:t xml:space="preserve">Bolton, </w:t>
      </w:r>
      <w:r w:rsidRPr="006E7B3B">
        <w:lastRenderedPageBreak/>
        <w:t>1970</w:t>
      </w:r>
      <w:r>
        <w:t>)</w:t>
      </w:r>
      <w:r w:rsidRPr="006E7B3B">
        <w:t xml:space="preserve">. </w:t>
      </w:r>
      <w:r>
        <w:t>Though records are patchy, exports during this period reached a peak between 1880 and 1890, operating mostly on the northern GBR and Torres Strait (</w:t>
      </w:r>
      <w:r w:rsidRPr="00C46549">
        <w:t>Saville-Kent, 1893</w:t>
      </w:r>
      <w:r>
        <w:t>; Ryle, 2000; Sumner, 1981). Over 100 boats were engaged in the fishery in 1889 (</w:t>
      </w:r>
      <w:r w:rsidRPr="00C46549">
        <w:t>Saville-Kent, 1893</w:t>
      </w:r>
      <w:r>
        <w:t>).</w:t>
      </w:r>
    </w:p>
    <w:p w14:paraId="67E52DCF" w14:textId="4E082BFC" w:rsidR="007674E3" w:rsidRDefault="007674E3" w:rsidP="007674E3">
      <w:r>
        <w:t>In 1890</w:t>
      </w:r>
      <w:r w:rsidR="000571D0">
        <w:t>,</w:t>
      </w:r>
      <w:r>
        <w:t xml:space="preserve"> values ranged from £150 per ton for Black teatfish to £20 per ton for the less well-regarded Sandfish (</w:t>
      </w:r>
      <w:r w:rsidR="00A0157D">
        <w:t>Saville-Kent, 1893</w:t>
      </w:r>
      <w:r>
        <w:t>). Due to a poisoning incident, Prickly redfish, dropped in price from £150 per ton in 1880 to only £20 by 1890 (Saville-Kent, 1893; Ryle, 2000).</w:t>
      </w:r>
    </w:p>
    <w:p w14:paraId="1C4D4CEC" w14:textId="58F3A7ED" w:rsidR="00C950DB" w:rsidRDefault="00CC30C2" w:rsidP="00CC30C2">
      <w:r>
        <w:t>Assessments of the health of the fishery at the time were optimistic, with government officials stating that there did not appear to be any signs of depletion of the fishery even up to 1890, and that the main fishery had reached no further south than Mackay (</w:t>
      </w:r>
      <w:r w:rsidRPr="00C46549">
        <w:t>Saville-Kent, 1893</w:t>
      </w:r>
      <w:r>
        <w:t>). It was thought that depleted reefs were being restocked by populations in deeper water, usually after a one-year duration (</w:t>
      </w:r>
      <w:r w:rsidRPr="00C46549">
        <w:t>Saville-Kent, 1893</w:t>
      </w:r>
      <w:r>
        <w:t>).</w:t>
      </w:r>
      <w:r w:rsidR="00C950DB">
        <w:t xml:space="preserve"> </w:t>
      </w:r>
    </w:p>
    <w:p w14:paraId="23F0C98E" w14:textId="167E17ED" w:rsidR="00CC30C2" w:rsidRDefault="00CC30C2" w:rsidP="00CC30C2">
      <w:r>
        <w:t>However, this optimistic viewpoint was soon proved incorrect, with fishers asserting the need to venture further afield toward PNG by as early as 1882 (Lloyd, 2016), and by the early 1890s the inner reefs were fished out and fishers were forced farther out into the Coral Sea, New Guinea, the Solomon Island</w:t>
      </w:r>
      <w:r w:rsidR="000571D0">
        <w:t>s</w:t>
      </w:r>
      <w:r>
        <w:t xml:space="preserve"> and the New Hebrides (present day Vanuatu) (</w:t>
      </w:r>
      <w:r w:rsidRPr="00C46549">
        <w:t>Saville-Kent, 1893</w:t>
      </w:r>
      <w:r>
        <w:t xml:space="preserve">, Lloyd, 2016). These regions were worked by larger ships staying out to sea for </w:t>
      </w:r>
      <w:r w:rsidR="00582CA6">
        <w:t xml:space="preserve">up to </w:t>
      </w:r>
      <w:r>
        <w:t>6 months (Bolton, 1970; Sumner, 1981). Catches fluctuated greatly after 1890 (Ryle, 2000)</w:t>
      </w:r>
      <w:r w:rsidR="00582CA6">
        <w:t xml:space="preserve"> with the </w:t>
      </w:r>
      <w:r>
        <w:t>fishery</w:t>
      </w:r>
      <w:r w:rsidR="00582CA6">
        <w:t>,</w:t>
      </w:r>
      <w:r>
        <w:t xml:space="preserve"> while known for some wealth, </w:t>
      </w:r>
      <w:r w:rsidR="00582CA6">
        <w:t xml:space="preserve">being </w:t>
      </w:r>
      <w:r>
        <w:t xml:space="preserve">largely associated with terror and drudgery (Llyod, 2016). </w:t>
      </w:r>
    </w:p>
    <w:p w14:paraId="6771145D" w14:textId="77777777" w:rsidR="00CC30C2" w:rsidRDefault="00CC30C2" w:rsidP="00CC30C2">
      <w:r>
        <w:t>By 1901 the fishery was in somewhat of a revival,</w:t>
      </w:r>
      <w:r w:rsidRPr="00584387">
        <w:t xml:space="preserve"> </w:t>
      </w:r>
      <w:r>
        <w:t xml:space="preserve">with 11 licensed vessels working out of Cooktown, and based on the reemergence of sea cucumbers on the GBR and also near Erub (Darnley I.) and Mer (Murray I.) in the Torres Strait (Llyod, 2016). By then, the beche-de-mer trade was almost entirely under the control of Japanese or Thursday Islanders (Sumner, 1981), and by 1908, it was rumoured that over fifty Japanese vessels operated in the area south of Cooktown (Ryle, 2000). </w:t>
      </w:r>
    </w:p>
    <w:p w14:paraId="7827346F" w14:textId="2835EF35" w:rsidR="00CC30C2" w:rsidRDefault="00582CA6" w:rsidP="00CC30C2">
      <w:r>
        <w:t xml:space="preserve">A </w:t>
      </w:r>
      <w:r w:rsidR="00CC30C2">
        <w:t>Royal Commission into the fishery in 1908 (Ryle, 2000) concluded that the industry had reached its 'zenith' in 1907 and grounds had been fished bare from New Guinea to Lady Elliot Island. They recommended a two-year closure. However, strong fishing interests and a government focused on economic development saw this recommendation remain unimplemented (Lloyd, 2016).</w:t>
      </w:r>
    </w:p>
    <w:p w14:paraId="131381CF" w14:textId="675A59BE" w:rsidR="00CC30C2" w:rsidRDefault="00CC30C2" w:rsidP="00CC30C2">
      <w:r>
        <w:t xml:space="preserve">While there are reports that the Queensland fishery ceased during the First World War (Sumner, 1981), this is not supported by available catch data - exports were still 300-700 t per year </w:t>
      </w:r>
      <w:r w:rsidR="00582CA6">
        <w:t xml:space="preserve">(dry weight) </w:t>
      </w:r>
      <w:r>
        <w:t xml:space="preserve">throughout the war (Anon, 1946), though much of this may have originated in Torres Strait, where fishing continued under a government subsidised </w:t>
      </w:r>
      <w:r w:rsidRPr="00546AC1">
        <w:t xml:space="preserve">company boat system </w:t>
      </w:r>
      <w:r>
        <w:t>(Mullins, 2012).</w:t>
      </w:r>
    </w:p>
    <w:p w14:paraId="6E67A2DC" w14:textId="30F288D4" w:rsidR="00CC30C2" w:rsidRDefault="00CC30C2" w:rsidP="00CC30C2">
      <w:r>
        <w:t>The beche-de-mer industry in Queensland limped on until the 1930s, but had ceased by the start of the Second World War (Sumner, 1981). There was a brief attempt at revival in 1946-7, but by the 1950s fishing activity had ceased altogether (Sumner, 1981).</w:t>
      </w:r>
    </w:p>
    <w:p w14:paraId="32568505" w14:textId="4B8EA2FF" w:rsidR="00CC30C2" w:rsidRDefault="00FD43FE" w:rsidP="00641375">
      <w:pPr>
        <w:pStyle w:val="Heading3"/>
      </w:pPr>
      <w:r>
        <w:t>Catch</w:t>
      </w:r>
    </w:p>
    <w:p w14:paraId="348F85EB" w14:textId="48A220AC" w:rsidR="00824182" w:rsidRPr="00454AAC" w:rsidRDefault="00824182" w:rsidP="00824182">
      <w:bookmarkStart w:id="83" w:name="_Hlk139381528"/>
      <w:bookmarkStart w:id="84" w:name="_Hlk161244334"/>
      <w:r>
        <w:t>R</w:t>
      </w:r>
      <w:r w:rsidRPr="00454AAC">
        <w:t xml:space="preserve">ecords </w:t>
      </w:r>
      <w:r>
        <w:t>of</w:t>
      </w:r>
      <w:r w:rsidRPr="00454AAC">
        <w:t xml:space="preserve"> the </w:t>
      </w:r>
      <w:r>
        <w:t xml:space="preserve">early “Queensland” </w:t>
      </w:r>
      <w:r w:rsidRPr="00454AAC">
        <w:t xml:space="preserve">fishery catch </w:t>
      </w:r>
      <w:r>
        <w:t xml:space="preserve">are </w:t>
      </w:r>
      <w:r w:rsidRPr="00454AAC">
        <w:t xml:space="preserve">only </w:t>
      </w:r>
      <w:r>
        <w:t>available from</w:t>
      </w:r>
      <w:r w:rsidRPr="00454AAC">
        <w:t xml:space="preserve"> 1878 and for about the next decade (Saville-Kent, 1893)</w:t>
      </w:r>
      <w:r>
        <w:t>.</w:t>
      </w:r>
      <w:r w:rsidRPr="00454AAC">
        <w:t xml:space="preserve"> </w:t>
      </w:r>
      <w:r>
        <w:t>They</w:t>
      </w:r>
      <w:r w:rsidRPr="00454AAC">
        <w:t xml:space="preserve"> start again </w:t>
      </w:r>
      <w:r>
        <w:t>when</w:t>
      </w:r>
      <w:r w:rsidRPr="00454AAC">
        <w:t xml:space="preserve"> the Commonwealth Year Books began recording exports after federation in 1901 (Anon, 1946). Uthicke (2004) </w:t>
      </w:r>
      <w:bookmarkEnd w:id="83"/>
      <w:r>
        <w:t>reconstructed</w:t>
      </w:r>
      <w:r w:rsidRPr="00454AAC">
        <w:t xml:space="preserve"> historical catches for the early </w:t>
      </w:r>
      <w:r>
        <w:t>“</w:t>
      </w:r>
      <w:r w:rsidRPr="00454AAC">
        <w:t>Queensland” fishery (</w:t>
      </w:r>
      <w:r w:rsidRPr="00454AAC">
        <w:fldChar w:fldCharType="begin"/>
      </w:r>
      <w:r w:rsidRPr="00454AAC">
        <w:instrText xml:space="preserve"> REF _Ref151431677 \h </w:instrText>
      </w:r>
      <w:r>
        <w:instrText xml:space="preserve"> \* MERGEFORMAT </w:instrText>
      </w:r>
      <w:r w:rsidRPr="00454AAC">
        <w:fldChar w:fldCharType="separate"/>
      </w:r>
      <w:r w:rsidR="004263D8">
        <w:t xml:space="preserve">Figure </w:t>
      </w:r>
      <w:r w:rsidR="004263D8">
        <w:rPr>
          <w:noProof/>
        </w:rPr>
        <w:t>15</w:t>
      </w:r>
      <w:r w:rsidRPr="00454AAC">
        <w:fldChar w:fldCharType="end"/>
      </w:r>
      <w:r w:rsidRPr="00454AAC">
        <w:t>) with data given in Saville-Kent (1893), Sumner (1981) and Anon (1946).</w:t>
      </w:r>
      <w:r>
        <w:t xml:space="preserve"> </w:t>
      </w:r>
      <w:r w:rsidRPr="00454AAC">
        <w:t>As the early export data were recorded as dry weight or value, several assumptions and conversions had to be made, and the author cautions that the data presented can only be taken as a rough estimate (Uthicke, 2004). Weight data was converted from dry-weight (beche-de-mer product) to landed (wet gutted) weight</w:t>
      </w:r>
      <w:r>
        <w:t>,</w:t>
      </w:r>
      <w:r w:rsidRPr="00454AAC">
        <w:t xml:space="preserve"> using a conversion factor of 7.6 (supposedly using </w:t>
      </w:r>
      <w:r>
        <w:t xml:space="preserve">conversion </w:t>
      </w:r>
      <w:r w:rsidRPr="00454AAC">
        <w:t xml:space="preserve">data for </w:t>
      </w:r>
      <w:r w:rsidRPr="00454AAC">
        <w:rPr>
          <w:i/>
          <w:iCs/>
        </w:rPr>
        <w:t>Holothuria nobilis</w:t>
      </w:r>
      <w:r w:rsidRPr="00454AAC">
        <w:t>)</w:t>
      </w:r>
      <w:r>
        <w:t>.</w:t>
      </w:r>
      <w:r w:rsidRPr="00454AAC">
        <w:t xml:space="preserve"> </w:t>
      </w:r>
      <w:r>
        <w:t>This is probably a r</w:t>
      </w:r>
      <w:r w:rsidRPr="00454AAC">
        <w:t>ealistic</w:t>
      </w:r>
      <w:r>
        <w:t xml:space="preserve"> conversion factor for a mixed species catch in any case, according to a</w:t>
      </w:r>
      <w:r w:rsidRPr="00454AAC">
        <w:t xml:space="preserve"> review of recent conversion factors (Murphy et al., 2021). </w:t>
      </w:r>
    </w:p>
    <w:p w14:paraId="01115062" w14:textId="7E708730" w:rsidR="00824182" w:rsidRDefault="00824182" w:rsidP="00824182">
      <w:pPr>
        <w:rPr>
          <w:rFonts w:asciiTheme="minorHAnsi" w:hAnsiTheme="minorHAnsi" w:cstheme="minorHAnsi"/>
        </w:rPr>
      </w:pPr>
      <w:r w:rsidRPr="00454AAC">
        <w:rPr>
          <w:rFonts w:asciiTheme="minorHAnsi" w:hAnsiTheme="minorHAnsi" w:cstheme="minorHAnsi"/>
        </w:rPr>
        <w:t xml:space="preserve">Also, for the years from 1901 to 1940, only the value of the </w:t>
      </w:r>
      <w:r>
        <w:rPr>
          <w:rFonts w:asciiTheme="minorHAnsi" w:hAnsiTheme="minorHAnsi" w:cstheme="minorHAnsi"/>
        </w:rPr>
        <w:t>catch</w:t>
      </w:r>
      <w:r w:rsidRPr="00454AAC">
        <w:rPr>
          <w:rFonts w:asciiTheme="minorHAnsi" w:hAnsiTheme="minorHAnsi" w:cstheme="minorHAnsi"/>
        </w:rPr>
        <w:t xml:space="preserve"> is reported. These values were converted to weight by assuming an average value of </w:t>
      </w:r>
      <w:r>
        <w:rPr>
          <w:rFonts w:asciiTheme="minorHAnsi" w:hAnsiTheme="minorHAnsi" w:cstheme="minorHAnsi"/>
        </w:rPr>
        <w:t>£</w:t>
      </w:r>
      <w:r w:rsidRPr="00454AAC">
        <w:rPr>
          <w:rFonts w:asciiTheme="minorHAnsi" w:hAnsiTheme="minorHAnsi" w:cstheme="minorHAnsi"/>
        </w:rPr>
        <w:t xml:space="preserve">4.4 </w:t>
      </w:r>
      <w:r>
        <w:rPr>
          <w:rFonts w:asciiTheme="minorHAnsi" w:hAnsiTheme="minorHAnsi" w:cstheme="minorHAnsi"/>
        </w:rPr>
        <w:t>(</w:t>
      </w:r>
      <w:r w:rsidRPr="00454AAC">
        <w:rPr>
          <w:rFonts w:asciiTheme="minorHAnsi" w:hAnsiTheme="minorHAnsi" w:cstheme="minorHAnsi"/>
        </w:rPr>
        <w:t>Australian Pound</w:t>
      </w:r>
      <w:r>
        <w:rPr>
          <w:rFonts w:asciiTheme="minorHAnsi" w:hAnsiTheme="minorHAnsi" w:cstheme="minorHAnsi"/>
        </w:rPr>
        <w:t>s)</w:t>
      </w:r>
      <w:r w:rsidRPr="00454AAC">
        <w:rPr>
          <w:rFonts w:asciiTheme="minorHAnsi" w:hAnsiTheme="minorHAnsi" w:cstheme="minorHAnsi"/>
        </w:rPr>
        <w:t xml:space="preserve"> per </w:t>
      </w:r>
      <w:r>
        <w:rPr>
          <w:rFonts w:asciiTheme="minorHAnsi" w:hAnsiTheme="minorHAnsi" w:cstheme="minorHAnsi"/>
        </w:rPr>
        <w:t>c</w:t>
      </w:r>
      <w:r w:rsidRPr="00454AAC">
        <w:rPr>
          <w:rFonts w:asciiTheme="minorHAnsi" w:hAnsiTheme="minorHAnsi" w:cstheme="minorHAnsi"/>
        </w:rPr>
        <w:t>wt (</w:t>
      </w:r>
      <w:r w:rsidRPr="001A5D90">
        <w:rPr>
          <w:rFonts w:asciiTheme="minorHAnsi" w:hAnsiTheme="minorHAnsi" w:cstheme="minorHAnsi"/>
        </w:rPr>
        <w:t>hundredweight</w:t>
      </w:r>
      <w:r>
        <w:rPr>
          <w:rFonts w:asciiTheme="minorHAnsi" w:hAnsiTheme="minorHAnsi" w:cstheme="minorHAnsi"/>
        </w:rPr>
        <w:t xml:space="preserve"> </w:t>
      </w:r>
      <w:r w:rsidRPr="00454AAC">
        <w:rPr>
          <w:rFonts w:asciiTheme="minorHAnsi" w:hAnsiTheme="minorHAnsi" w:cstheme="minorHAnsi"/>
        </w:rPr>
        <w:t>= 50.8 kg)</w:t>
      </w:r>
      <w:r>
        <w:rPr>
          <w:rFonts w:asciiTheme="minorHAnsi" w:hAnsiTheme="minorHAnsi" w:cstheme="minorHAnsi"/>
        </w:rPr>
        <w:t>;</w:t>
      </w:r>
      <w:r w:rsidRPr="00454AAC">
        <w:rPr>
          <w:rFonts w:asciiTheme="minorHAnsi" w:hAnsiTheme="minorHAnsi" w:cstheme="minorHAnsi"/>
        </w:rPr>
        <w:t xml:space="preserve"> this figure being the average </w:t>
      </w:r>
      <w:r>
        <w:rPr>
          <w:rFonts w:asciiTheme="minorHAnsi" w:hAnsiTheme="minorHAnsi" w:cstheme="minorHAnsi"/>
        </w:rPr>
        <w:t xml:space="preserve">value of exported sea cucumber </w:t>
      </w:r>
      <w:r w:rsidRPr="00454AAC">
        <w:rPr>
          <w:rFonts w:asciiTheme="minorHAnsi" w:hAnsiTheme="minorHAnsi" w:cstheme="minorHAnsi"/>
        </w:rPr>
        <w:t>for the period 1925</w:t>
      </w:r>
      <w:r>
        <w:rPr>
          <w:rFonts w:asciiTheme="minorHAnsi" w:hAnsiTheme="minorHAnsi" w:cstheme="minorHAnsi"/>
        </w:rPr>
        <w:t xml:space="preserve"> to</w:t>
      </w:r>
      <w:r w:rsidRPr="00454AAC">
        <w:rPr>
          <w:rFonts w:asciiTheme="minorHAnsi" w:hAnsiTheme="minorHAnsi" w:cstheme="minorHAnsi"/>
        </w:rPr>
        <w:t xml:space="preserve"> 1940</w:t>
      </w:r>
      <w:r>
        <w:rPr>
          <w:rFonts w:asciiTheme="minorHAnsi" w:hAnsiTheme="minorHAnsi" w:cstheme="minorHAnsi"/>
        </w:rPr>
        <w:t xml:space="preserve"> </w:t>
      </w:r>
      <w:r w:rsidRPr="00454AAC">
        <w:rPr>
          <w:rFonts w:asciiTheme="minorHAnsi" w:hAnsiTheme="minorHAnsi" w:cstheme="minorHAnsi"/>
        </w:rPr>
        <w:t xml:space="preserve">derived from Australian </w:t>
      </w:r>
      <w:r>
        <w:rPr>
          <w:rFonts w:asciiTheme="minorHAnsi" w:hAnsiTheme="minorHAnsi" w:cstheme="minorHAnsi"/>
        </w:rPr>
        <w:t xml:space="preserve">Commonwealth </w:t>
      </w:r>
      <w:r w:rsidRPr="00454AAC">
        <w:rPr>
          <w:rFonts w:asciiTheme="minorHAnsi" w:hAnsiTheme="minorHAnsi" w:cstheme="minorHAnsi"/>
        </w:rPr>
        <w:t xml:space="preserve">export data (Anon., 1946). </w:t>
      </w:r>
      <w:bookmarkStart w:id="85" w:name="_Hlk173725944"/>
      <w:r w:rsidRPr="00454AAC">
        <w:rPr>
          <w:rFonts w:asciiTheme="minorHAnsi" w:hAnsiTheme="minorHAnsi" w:cstheme="minorHAnsi"/>
        </w:rPr>
        <w:t>However</w:t>
      </w:r>
      <w:r>
        <w:rPr>
          <w:rFonts w:asciiTheme="minorHAnsi" w:hAnsiTheme="minorHAnsi" w:cstheme="minorHAnsi"/>
        </w:rPr>
        <w:t>,</w:t>
      </w:r>
      <w:r w:rsidRPr="00454AAC">
        <w:rPr>
          <w:rFonts w:asciiTheme="minorHAnsi" w:hAnsiTheme="minorHAnsi" w:cstheme="minorHAnsi"/>
        </w:rPr>
        <w:t xml:space="preserve"> </w:t>
      </w:r>
      <w:r>
        <w:rPr>
          <w:rFonts w:asciiTheme="minorHAnsi" w:hAnsiTheme="minorHAnsi" w:cstheme="minorHAnsi"/>
        </w:rPr>
        <w:t xml:space="preserve">this </w:t>
      </w:r>
      <w:r w:rsidRPr="00454AAC">
        <w:rPr>
          <w:rFonts w:asciiTheme="minorHAnsi" w:hAnsiTheme="minorHAnsi" w:cstheme="minorHAnsi"/>
        </w:rPr>
        <w:t xml:space="preserve">value may be too low </w:t>
      </w:r>
      <w:r>
        <w:rPr>
          <w:rFonts w:asciiTheme="minorHAnsi" w:hAnsiTheme="minorHAnsi" w:cstheme="minorHAnsi"/>
        </w:rPr>
        <w:t>as</w:t>
      </w:r>
      <w:r w:rsidRPr="00454AAC">
        <w:rPr>
          <w:rFonts w:asciiTheme="minorHAnsi" w:hAnsiTheme="minorHAnsi" w:cstheme="minorHAnsi"/>
        </w:rPr>
        <w:t xml:space="preserve"> </w:t>
      </w:r>
      <w:r>
        <w:rPr>
          <w:rFonts w:asciiTheme="minorHAnsi" w:hAnsiTheme="minorHAnsi" w:cstheme="minorHAnsi"/>
        </w:rPr>
        <w:t xml:space="preserve">the </w:t>
      </w:r>
      <w:r w:rsidRPr="00454AAC">
        <w:rPr>
          <w:rFonts w:asciiTheme="minorHAnsi" w:hAnsiTheme="minorHAnsi" w:cstheme="minorHAnsi"/>
        </w:rPr>
        <w:t xml:space="preserve">average </w:t>
      </w:r>
      <w:r w:rsidRPr="00454AAC">
        <w:rPr>
          <w:rFonts w:asciiTheme="minorHAnsi" w:hAnsiTheme="minorHAnsi" w:cstheme="minorHAnsi"/>
        </w:rPr>
        <w:lastRenderedPageBreak/>
        <w:t xml:space="preserve">price paid for sea cucumbers in Queensland in the years 1923 and 1928 was </w:t>
      </w:r>
      <w:r>
        <w:rPr>
          <w:rFonts w:asciiTheme="minorHAnsi" w:hAnsiTheme="minorHAnsi" w:cstheme="minorHAnsi"/>
        </w:rPr>
        <w:t>£</w:t>
      </w:r>
      <w:r w:rsidRPr="00454AAC">
        <w:rPr>
          <w:rFonts w:asciiTheme="minorHAnsi" w:hAnsiTheme="minorHAnsi" w:cstheme="minorHAnsi"/>
        </w:rPr>
        <w:t xml:space="preserve">9.36 per </w:t>
      </w:r>
      <w:r>
        <w:rPr>
          <w:rFonts w:asciiTheme="minorHAnsi" w:hAnsiTheme="minorHAnsi" w:cstheme="minorHAnsi"/>
        </w:rPr>
        <w:t>c</w:t>
      </w:r>
      <w:r w:rsidRPr="00454AAC">
        <w:rPr>
          <w:rFonts w:asciiTheme="minorHAnsi" w:hAnsiTheme="minorHAnsi" w:cstheme="minorHAnsi"/>
        </w:rPr>
        <w:t xml:space="preserve">wt (Sumner, 1981). </w:t>
      </w:r>
      <w:bookmarkEnd w:id="85"/>
      <w:r w:rsidRPr="00454AAC">
        <w:rPr>
          <w:rFonts w:asciiTheme="minorHAnsi" w:hAnsiTheme="minorHAnsi" w:cstheme="minorHAnsi"/>
        </w:rPr>
        <w:t>Applying th</w:t>
      </w:r>
      <w:r>
        <w:rPr>
          <w:rFonts w:asciiTheme="minorHAnsi" w:hAnsiTheme="minorHAnsi" w:cstheme="minorHAnsi"/>
        </w:rPr>
        <w:t>i</w:t>
      </w:r>
      <w:r w:rsidRPr="00454AAC">
        <w:rPr>
          <w:rFonts w:asciiTheme="minorHAnsi" w:hAnsiTheme="minorHAnsi" w:cstheme="minorHAnsi"/>
        </w:rPr>
        <w:t xml:space="preserve">s alternative </w:t>
      </w:r>
      <w:r>
        <w:rPr>
          <w:rFonts w:asciiTheme="minorHAnsi" w:hAnsiTheme="minorHAnsi" w:cstheme="minorHAnsi"/>
        </w:rPr>
        <w:t xml:space="preserve">valuation </w:t>
      </w:r>
      <w:r w:rsidRPr="00454AAC">
        <w:rPr>
          <w:rFonts w:asciiTheme="minorHAnsi" w:hAnsiTheme="minorHAnsi" w:cstheme="minorHAnsi"/>
        </w:rPr>
        <w:t xml:space="preserve">factor would reduce the </w:t>
      </w:r>
      <w:r>
        <w:rPr>
          <w:rFonts w:asciiTheme="minorHAnsi" w:hAnsiTheme="minorHAnsi" w:cstheme="minorHAnsi"/>
        </w:rPr>
        <w:t xml:space="preserve">1900-1940 </w:t>
      </w:r>
      <w:r w:rsidRPr="00454AAC">
        <w:rPr>
          <w:rFonts w:asciiTheme="minorHAnsi" w:hAnsiTheme="minorHAnsi" w:cstheme="minorHAnsi"/>
        </w:rPr>
        <w:t xml:space="preserve">estimated </w:t>
      </w:r>
      <w:r>
        <w:rPr>
          <w:rFonts w:asciiTheme="minorHAnsi" w:hAnsiTheme="minorHAnsi" w:cstheme="minorHAnsi"/>
        </w:rPr>
        <w:t xml:space="preserve">catch </w:t>
      </w:r>
      <w:r w:rsidRPr="00454AAC">
        <w:rPr>
          <w:rFonts w:asciiTheme="minorHAnsi" w:hAnsiTheme="minorHAnsi" w:cstheme="minorHAnsi"/>
        </w:rPr>
        <w:t xml:space="preserve">in Uthicke (2004) by </w:t>
      </w:r>
      <w:r>
        <w:rPr>
          <w:rFonts w:asciiTheme="minorHAnsi" w:hAnsiTheme="minorHAnsi" w:cstheme="minorHAnsi"/>
        </w:rPr>
        <w:t>over 50% - illustrating the uncertainty in the final output</w:t>
      </w:r>
      <w:r w:rsidRPr="00454AAC">
        <w:rPr>
          <w:rFonts w:asciiTheme="minorHAnsi" w:hAnsiTheme="minorHAnsi" w:cstheme="minorHAnsi"/>
        </w:rPr>
        <w:t xml:space="preserve">. </w:t>
      </w:r>
      <w:r>
        <w:rPr>
          <w:rFonts w:asciiTheme="minorHAnsi" w:hAnsiTheme="minorHAnsi" w:cstheme="minorHAnsi"/>
        </w:rPr>
        <w:t xml:space="preserve">It is also important to acknowledge that the reported catches are </w:t>
      </w:r>
      <w:r w:rsidR="00CB52A8">
        <w:rPr>
          <w:rFonts w:asciiTheme="minorHAnsi" w:hAnsiTheme="minorHAnsi" w:cstheme="minorHAnsi"/>
        </w:rPr>
        <w:t xml:space="preserve">also </w:t>
      </w:r>
      <w:r>
        <w:rPr>
          <w:rFonts w:asciiTheme="minorHAnsi" w:hAnsiTheme="minorHAnsi" w:cstheme="minorHAnsi"/>
        </w:rPr>
        <w:t xml:space="preserve">likely to </w:t>
      </w:r>
      <w:r w:rsidR="00CB52A8">
        <w:rPr>
          <w:rFonts w:asciiTheme="minorHAnsi" w:hAnsiTheme="minorHAnsi" w:cstheme="minorHAnsi"/>
        </w:rPr>
        <w:t xml:space="preserve">be </w:t>
      </w:r>
      <w:r>
        <w:rPr>
          <w:rFonts w:asciiTheme="minorHAnsi" w:hAnsiTheme="minorHAnsi" w:cstheme="minorHAnsi"/>
        </w:rPr>
        <w:t>an underestimate of actual fishery extractions, due to discarding and non-reporting.</w:t>
      </w:r>
    </w:p>
    <w:p w14:paraId="0C7C1669" w14:textId="77777777" w:rsidR="00824182" w:rsidRDefault="00824182" w:rsidP="00824182">
      <w:pPr>
        <w:rPr>
          <w:rFonts w:asciiTheme="minorHAnsi" w:hAnsiTheme="minorHAnsi" w:cstheme="minorHAnsi"/>
        </w:rPr>
      </w:pPr>
      <w:r>
        <w:rPr>
          <w:rFonts w:asciiTheme="minorHAnsi" w:hAnsiTheme="minorHAnsi" w:cstheme="minorHAnsi"/>
        </w:rPr>
        <w:t xml:space="preserve">In any case, the sea cucumber catch during the historical east coast fishery was very likely several times greater than its modern-day successors – the historical fishery was described as being fished in “vast quantities” over an extended period – with over 100 boats active in the fishery in the early 1880s, the majority based in Thursday Island and Cooktown (Saville-Kent, 1893). </w:t>
      </w:r>
    </w:p>
    <w:p w14:paraId="10456212" w14:textId="3837EB1E" w:rsidR="00824182" w:rsidRDefault="00824182" w:rsidP="00824182">
      <w:bookmarkStart w:id="86" w:name="_Hlk173835191"/>
      <w:r>
        <w:t>In the 1860’s a</w:t>
      </w:r>
      <w:r w:rsidRPr="00037151">
        <w:t xml:space="preserve"> whaler could catch up to 1300 teatfish on one trip</w:t>
      </w:r>
      <w:r>
        <w:t xml:space="preserve"> </w:t>
      </w:r>
      <w:r w:rsidRPr="00037151">
        <w:t>(</w:t>
      </w:r>
      <w:r>
        <w:t xml:space="preserve">MacGillivray, 1862; cited in </w:t>
      </w:r>
      <w:r w:rsidRPr="00037151">
        <w:t>Mullins, 1992)</w:t>
      </w:r>
      <w:r>
        <w:t>, and a</w:t>
      </w:r>
      <w:bookmarkEnd w:id="86"/>
      <w:r>
        <w:t xml:space="preserve"> good average catch rate for a fishing station on the northern GBR fishing grounds during the 1880s was 1 ton of dried beche-de-mer (approximately 7.6 t gutted) per month, working with four boats, carrying twenty to twenty-four men (</w:t>
      </w:r>
      <w:r w:rsidRPr="00C46549">
        <w:t>Saville-Kent, 1893</w:t>
      </w:r>
      <w:r>
        <w:t xml:space="preserve">). </w:t>
      </w:r>
      <w:r w:rsidRPr="00037151">
        <w:t>The curing process was labour intensive</w:t>
      </w:r>
      <w:r>
        <w:t xml:space="preserve"> – b</w:t>
      </w:r>
      <w:r w:rsidRPr="00037151">
        <w:t>etween 8,000 and 8,700 teatfish and 18,500 'red fish' were needed to make 1 ton</w:t>
      </w:r>
      <w:r>
        <w:t>, and a</w:t>
      </w:r>
      <w:r w:rsidRPr="00037151">
        <w:t xml:space="preserve"> whaler could catch up to 1300 teatfish on one trip</w:t>
      </w:r>
      <w:r>
        <w:t xml:space="preserve"> </w:t>
      </w:r>
      <w:r w:rsidRPr="00037151">
        <w:t>(</w:t>
      </w:r>
      <w:r>
        <w:t xml:space="preserve">MacGillivray, 1862; cited in </w:t>
      </w:r>
      <w:r w:rsidRPr="00037151">
        <w:t>Mullins, 1992)</w:t>
      </w:r>
      <w:r>
        <w:t>.</w:t>
      </w:r>
    </w:p>
    <w:p w14:paraId="50D0154B" w14:textId="4615125A" w:rsidR="00824182" w:rsidRDefault="00824182" w:rsidP="00824182">
      <w:r>
        <w:t>Most of the catch was picked up by walking the reef at the spring low tide, but the higher value species, including Black teatfish and Prickly redfish, was also obtained by free diving to a depth of 2 or 3 fathoms (</w:t>
      </w:r>
      <w:r w:rsidR="00CB186D">
        <w:t>3.7</w:t>
      </w:r>
      <w:r>
        <w:t>-</w:t>
      </w:r>
      <w:r w:rsidR="00CB186D">
        <w:t>5.5</w:t>
      </w:r>
      <w:r>
        <w:t xml:space="preserve"> m) (</w:t>
      </w:r>
      <w:r w:rsidRPr="00C46549">
        <w:t>Saville-Kent, 1893</w:t>
      </w:r>
      <w:r>
        <w:t>). G</w:t>
      </w:r>
      <w:r w:rsidRPr="00126190">
        <w:t>eneral</w:t>
      </w:r>
      <w:r>
        <w:t>ly</w:t>
      </w:r>
      <w:r w:rsidRPr="00126190">
        <w:t>, 9 fathoms (1</w:t>
      </w:r>
      <w:r>
        <w:t xml:space="preserve">6.5 </w:t>
      </w:r>
      <w:r w:rsidRPr="00126190">
        <w:t>m) was the maximum depth worked</w:t>
      </w:r>
      <w:r>
        <w:t xml:space="preserve"> (Sumner, 1881). </w:t>
      </w:r>
    </w:p>
    <w:p w14:paraId="5D8A5068" w14:textId="4D55D968" w:rsidR="00641375" w:rsidRDefault="00A0157D" w:rsidP="00641375">
      <w:pPr>
        <w:keepNext/>
      </w:pPr>
      <w:r>
        <w:rPr>
          <w:noProof/>
        </w:rPr>
        <w:drawing>
          <wp:inline distT="0" distB="0" distL="0" distR="0" wp14:anchorId="6BB81954" wp14:editId="42FD19D8">
            <wp:extent cx="5663565" cy="2743200"/>
            <wp:effectExtent l="0" t="0" r="0" b="0"/>
            <wp:docPr id="1860864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663565" cy="2743200"/>
                    </a:xfrm>
                    <a:prstGeom prst="rect">
                      <a:avLst/>
                    </a:prstGeom>
                    <a:noFill/>
                  </pic:spPr>
                </pic:pic>
              </a:graphicData>
            </a:graphic>
          </wp:inline>
        </w:drawing>
      </w:r>
    </w:p>
    <w:p w14:paraId="1E3B9ECB" w14:textId="7813A394" w:rsidR="00641375" w:rsidRDefault="00641375" w:rsidP="00641375">
      <w:pPr>
        <w:pStyle w:val="Caption"/>
      </w:pPr>
      <w:bookmarkStart w:id="87" w:name="_Ref151431677"/>
      <w:bookmarkStart w:id="88" w:name="_Toc153359858"/>
      <w:bookmarkStart w:id="89" w:name="_Toc189044972"/>
      <w:r>
        <w:t xml:space="preserve">Figure </w:t>
      </w:r>
      <w:fldSimple w:instr=" SEQ Figure \* ARABIC ">
        <w:r w:rsidR="004263D8">
          <w:rPr>
            <w:noProof/>
          </w:rPr>
          <w:t>15</w:t>
        </w:r>
      </w:fldSimple>
      <w:bookmarkEnd w:id="87"/>
      <w:r>
        <w:t xml:space="preserve">. </w:t>
      </w:r>
      <w:r w:rsidR="00824182">
        <w:t xml:space="preserve">Catch of the historic (pre-1950) Queensland sea cucumber fishery (including the GBR, Torres Strait and the Coral Sea) in tonnes gutted weight. Data are from Saville-Kent (1893), Sumner (1981) and Anon (1946). </w:t>
      </w:r>
      <w:r>
        <w:t>(</w:t>
      </w:r>
      <w:r w:rsidR="00A0157D">
        <w:t>after</w:t>
      </w:r>
      <w:r>
        <w:t xml:space="preserve"> Uthicke, 2004).</w:t>
      </w:r>
      <w:bookmarkEnd w:id="89"/>
      <w:r>
        <w:t xml:space="preserve"> </w:t>
      </w:r>
      <w:bookmarkEnd w:id="88"/>
    </w:p>
    <w:p w14:paraId="2260F604" w14:textId="0CED2CAF" w:rsidR="00824182" w:rsidRDefault="00824182" w:rsidP="00824182">
      <w:r>
        <w:t xml:space="preserve">Species composition of the catch of the initial phase of the Queensland fishery (1820-1850) is not known. Catch during the next fishing pulse during the 1880’s included Black teatfish, various species of </w:t>
      </w:r>
      <w:r w:rsidRPr="00584387">
        <w:rPr>
          <w:i/>
          <w:iCs/>
        </w:rPr>
        <w:t>Actinopyga</w:t>
      </w:r>
      <w:r>
        <w:t xml:space="preserve"> (“black and “red” varieties), White teatfish, Prickly redfish and Sandfish (in rough order of relative value)</w:t>
      </w:r>
      <w:r w:rsidRPr="002F0959">
        <w:t xml:space="preserve"> </w:t>
      </w:r>
      <w:r>
        <w:t>(</w:t>
      </w:r>
      <w:r w:rsidRPr="00C46549">
        <w:t>Saville-Kent, 1893</w:t>
      </w:r>
      <w:r>
        <w:t xml:space="preserve">). In 1890 values ranged from £150 per ton for Black teatfish, and £80 to £110 per ton for the black and red </w:t>
      </w:r>
      <w:r w:rsidRPr="008F442B">
        <w:rPr>
          <w:i/>
          <w:iCs/>
        </w:rPr>
        <w:t>Actinopygas</w:t>
      </w:r>
      <w:r>
        <w:t xml:space="preserve">; to £20 per ton for the less well-regarded Sandfish (Saville-Kent, 1893). Several “supplementary species” bulked up the catch, including other </w:t>
      </w:r>
      <w:r w:rsidRPr="00191756">
        <w:rPr>
          <w:i/>
          <w:iCs/>
        </w:rPr>
        <w:t>Actinopyga</w:t>
      </w:r>
      <w:r>
        <w:t xml:space="preserve"> (e.g. Stonefish) and some </w:t>
      </w:r>
      <w:r w:rsidRPr="00191756">
        <w:rPr>
          <w:i/>
          <w:iCs/>
        </w:rPr>
        <w:t>Bohadschia</w:t>
      </w:r>
      <w:r>
        <w:t xml:space="preserve"> (e.g. Leopardfish). However, most </w:t>
      </w:r>
      <w:r w:rsidRPr="00191756">
        <w:rPr>
          <w:i/>
          <w:iCs/>
        </w:rPr>
        <w:t>Bohadschia</w:t>
      </w:r>
      <w:r>
        <w:t xml:space="preserve"> (due to the expelling of cuverian tubules) and </w:t>
      </w:r>
      <w:r w:rsidRPr="00191756">
        <w:rPr>
          <w:i/>
          <w:iCs/>
        </w:rPr>
        <w:t>Stichopus</w:t>
      </w:r>
      <w:r>
        <w:t xml:space="preserve"> (due to easy disintegration) were generally not considered commercial. </w:t>
      </w:r>
      <w:r w:rsidR="00697631">
        <w:t>The total species count during the 1880’s was about 20 (</w:t>
      </w:r>
      <w:r w:rsidR="00697631" w:rsidRPr="00C46549">
        <w:t>Saville-Kent, 1893</w:t>
      </w:r>
      <w:r w:rsidR="00697631">
        <w:t>)</w:t>
      </w:r>
    </w:p>
    <w:p w14:paraId="7CCABB8F" w14:textId="1F0F60B9" w:rsidR="00824182" w:rsidRDefault="00824182" w:rsidP="00824182">
      <w:r>
        <w:t xml:space="preserve">Black teatfish was the highest value species at the time, and White teatfish was of only small commercial </w:t>
      </w:r>
      <w:r w:rsidR="00CB186D">
        <w:t xml:space="preserve">importance </w:t>
      </w:r>
      <w:r>
        <w:t>(presumably due to moderate value and “low abundance”) (</w:t>
      </w:r>
      <w:r w:rsidRPr="00C46549">
        <w:t>Saville-Kent, 1893</w:t>
      </w:r>
      <w:r>
        <w:t xml:space="preserve">). Prickly redfish was, at one time (around 1880), the highest value species, but a poisoning accident in 1881 (caused by </w:t>
      </w:r>
      <w:r>
        <w:lastRenderedPageBreak/>
        <w:t>processing the sea cucumber in a copper pot) reduced its value, and it never really regained its preeminent position (</w:t>
      </w:r>
      <w:r w:rsidRPr="00C46549">
        <w:t>Saville-Kent, 1893</w:t>
      </w:r>
      <w:r>
        <w:t>; Ryle, 2000). Sandfish was then considered a low value species, primarily due to the abundance of calcareous spicules on its integument (</w:t>
      </w:r>
      <w:r w:rsidRPr="00C46549">
        <w:t>Saville-Kent, 1893</w:t>
      </w:r>
      <w:r>
        <w:t>). Species composition during the third phase of the early fishery from 1900 to WWII is unknown.</w:t>
      </w:r>
    </w:p>
    <w:p w14:paraId="088A616D" w14:textId="2827762C" w:rsidR="00824182" w:rsidRDefault="00824182" w:rsidP="00824182">
      <w:r>
        <w:t xml:space="preserve">As for the catch proportions, there is no data. </w:t>
      </w:r>
      <w:r w:rsidR="005F6932">
        <w:t>However, a</w:t>
      </w:r>
      <w:r>
        <w:t xml:space="preserve">ll indications are that it was a broad multispecies catch (Saville Kent, 1893, Sumner, 1981). </w:t>
      </w:r>
      <w:r w:rsidR="00697631">
        <w:t>For example, while</w:t>
      </w:r>
      <w:r>
        <w:t xml:space="preserve"> the value of Black teatfish was £150 per ton in 1890, the average value of the catch for the period 1881-1889 was £90 per ton (Saville Kent, 1893), and the average value of the top 8 listed species was £79 per ton, indicating a well-mixed catch (Saville Kent, 1893). In any case, there is sufficient evidence to overturn the lingering </w:t>
      </w:r>
      <w:r w:rsidRPr="00D03138">
        <w:t>paradigm</w:t>
      </w:r>
      <w:r>
        <w:t xml:space="preserve"> of historical fisheries being focused on a single or even a small number of target species – more likely that fishers targeted a wide range of species, probably fishing down the value and accessibility chain over time to some extent – but certainly not leaving accessible commercial species unexploited over the period of the fishery.</w:t>
      </w:r>
    </w:p>
    <w:p w14:paraId="02040F44" w14:textId="4522A066" w:rsidR="00824182" w:rsidRDefault="00824182" w:rsidP="00824182">
      <w:r>
        <w:t>There is no evidence that any</w:t>
      </w:r>
      <w:r w:rsidR="005F6932">
        <w:t xml:space="preserve"> early </w:t>
      </w:r>
      <w:r>
        <w:t>beche-de-mer fishing operations used underwater diving equipment, and harvesting was generally restricted to 9 fathoms (16.5 m) (Saville-Kent, 1893; Sumner, 1981), though there is mention of weighted spears that could potentially increase the fishing depth. It is likely then that deeper water populations, particularly White teatfish and Prickly redfish would have been protected somewhat from heavy depletion during the historical fishery. Areas with extensive deep habitat, such as the Swains Reefs in the southern GBR may also have been relatively lightly fished – this area would have been very difficult for small sail powered vessels and even larger processing vessels to navigate and work, being exposed to the prevailing winds, waves and currents.</w:t>
      </w:r>
    </w:p>
    <w:p w14:paraId="1BD88B60" w14:textId="2BA7748C" w:rsidR="00B2069D" w:rsidRDefault="00697631" w:rsidP="00720AFA">
      <w:r>
        <w:t>I</w:t>
      </w:r>
      <w:r w:rsidR="00B2069D">
        <w:t xml:space="preserve">t is very likely that the Black teatfish population </w:t>
      </w:r>
      <w:r>
        <w:t>in the QSCF area</w:t>
      </w:r>
      <w:r w:rsidR="00B2069D">
        <w:t xml:space="preserve"> was heavily depleted during this early fishery. The status of White teatfish during this time is uncertain</w:t>
      </w:r>
      <w:r w:rsidR="007674E3">
        <w:t xml:space="preserve">, but likely to be less depleted due to its occurrence in deep habitats and </w:t>
      </w:r>
      <w:r>
        <w:t xml:space="preserve">apparently </w:t>
      </w:r>
      <w:r w:rsidR="007674E3">
        <w:t>low</w:t>
      </w:r>
      <w:r>
        <w:t>er</w:t>
      </w:r>
      <w:r w:rsidR="007674E3">
        <w:t xml:space="preserve"> levels of </w:t>
      </w:r>
      <w:r w:rsidR="00646E4D">
        <w:t>targeting</w:t>
      </w:r>
      <w:r w:rsidR="00B2069D">
        <w:t>.</w:t>
      </w:r>
    </w:p>
    <w:p w14:paraId="2A5740E3" w14:textId="166126AB" w:rsidR="00DD488F" w:rsidRDefault="00641375" w:rsidP="008D08E6">
      <w:pPr>
        <w:pStyle w:val="Heading2"/>
        <w:ind w:left="851" w:hanging="851"/>
      </w:pPr>
      <w:bookmarkStart w:id="90" w:name="_Toc189044936"/>
      <w:bookmarkEnd w:id="84"/>
      <w:r>
        <w:t>T</w:t>
      </w:r>
      <w:r w:rsidR="00CC30C2">
        <w:t>he modern QSCF</w:t>
      </w:r>
      <w:bookmarkEnd w:id="90"/>
    </w:p>
    <w:p w14:paraId="61CBE61E" w14:textId="0C995D93" w:rsidR="00392F8D" w:rsidRDefault="00AA76A7" w:rsidP="00392F8D">
      <w:r>
        <w:t xml:space="preserve">Note: </w:t>
      </w:r>
      <w:r w:rsidR="00392F8D">
        <w:t xml:space="preserve">All data reported </w:t>
      </w:r>
      <w:r>
        <w:t xml:space="preserve">in this section </w:t>
      </w:r>
      <w:r w:rsidR="00392F8D">
        <w:t>are as landed (gutted and salted or par-boiled and frozen) weight</w:t>
      </w:r>
      <w:r w:rsidR="00641375">
        <w:t xml:space="preserve"> unless otherwise specified</w:t>
      </w:r>
      <w:r w:rsidR="00392F8D">
        <w:t xml:space="preserve">. </w:t>
      </w:r>
    </w:p>
    <w:p w14:paraId="78AA84FF" w14:textId="3DAC1830" w:rsidR="00ED1532" w:rsidRDefault="0057589C" w:rsidP="00F0754F">
      <w:r>
        <w:t>S</w:t>
      </w:r>
      <w:r w:rsidR="00392F8D">
        <w:t xml:space="preserve">mall-scale “pilot” fishing operations began in the modern QSCF </w:t>
      </w:r>
      <w:r>
        <w:t xml:space="preserve">area </w:t>
      </w:r>
      <w:r w:rsidR="00392F8D">
        <w:t xml:space="preserve">in the late 1970s, </w:t>
      </w:r>
      <w:r>
        <w:t>and up to 1986, a few (&lt;5) fishing permits were issued annually to allow assessment of the feasibility of renewing a beche-de-mer industry on the Great Barrier Reef (Harriott, 1985</w:t>
      </w:r>
      <w:r w:rsidR="00CB186D">
        <w:t>;</w:t>
      </w:r>
      <w:r>
        <w:t xml:space="preserve"> </w:t>
      </w:r>
      <w:r w:rsidRPr="00BB3549">
        <w:t>Damschke</w:t>
      </w:r>
      <w:r>
        <w:t>, 1997; Breen, 2001). S</w:t>
      </w:r>
      <w:r w:rsidR="00392F8D">
        <w:t xml:space="preserve">ignificant catches did not occur until a boom in </w:t>
      </w:r>
      <w:r w:rsidR="00C22CEA">
        <w:t>effort</w:t>
      </w:r>
      <w:r w:rsidR="00392F8D">
        <w:t xml:space="preserve"> </w:t>
      </w:r>
      <w:r w:rsidR="00C22CEA">
        <w:t>in the late 1980s</w:t>
      </w:r>
      <w:r w:rsidR="00BC1E1A">
        <w:t xml:space="preserve"> (Damscke, 1997)</w:t>
      </w:r>
      <w:r>
        <w:t xml:space="preserve"> mirroring the global resurgence of sea cucumber fisheries driven by resurgent China</w:t>
      </w:r>
      <w:r w:rsidR="00A07D7C">
        <w:t xml:space="preserve"> </w:t>
      </w:r>
      <w:r w:rsidR="00A07D7C" w:rsidRPr="00A07D7C">
        <w:t>(Anderson et al., 2011; Eriksson et al., 2015)</w:t>
      </w:r>
      <w:r w:rsidR="00A07D7C">
        <w:t>.</w:t>
      </w:r>
    </w:p>
    <w:p w14:paraId="21C84BA2" w14:textId="7D5F5223" w:rsidR="00F0754F" w:rsidRDefault="00F0754F" w:rsidP="00F0754F">
      <w:r>
        <w:t xml:space="preserve">Most of the data used in this report comes from the </w:t>
      </w:r>
      <w:r w:rsidR="00C22CEA">
        <w:t xml:space="preserve">daily logbook </w:t>
      </w:r>
      <w:r w:rsidR="00AA073F">
        <w:t xml:space="preserve">(and later catch disposal records – CDR) </w:t>
      </w:r>
      <w:r w:rsidR="00C22CEA">
        <w:t>that was introduced in October 1995 that recorded daily catch, effort and location information (Damschke, 1997). There is some catch d</w:t>
      </w:r>
      <w:r>
        <w:t xml:space="preserve">ata </w:t>
      </w:r>
      <w:r w:rsidR="00C22CEA">
        <w:t xml:space="preserve">available </w:t>
      </w:r>
      <w:r>
        <w:t>before</w:t>
      </w:r>
      <w:r w:rsidR="00C22CEA">
        <w:t xml:space="preserve"> </w:t>
      </w:r>
      <w:r>
        <w:t>this</w:t>
      </w:r>
      <w:r w:rsidR="00C22CEA">
        <w:t>,</w:t>
      </w:r>
      <w:r>
        <w:t xml:space="preserve"> as detailed below</w:t>
      </w:r>
      <w:r w:rsidR="001F3579">
        <w:t xml:space="preserve"> (</w:t>
      </w:r>
      <w:fldSimple w:instr=" REF _Ref173154731 ">
        <w:r w:rsidR="004263D8">
          <w:t xml:space="preserve">Table </w:t>
        </w:r>
        <w:r w:rsidR="004263D8">
          <w:rPr>
            <w:noProof/>
          </w:rPr>
          <w:t>2</w:t>
        </w:r>
      </w:fldSimple>
      <w:r w:rsidR="001F3579">
        <w:t>)</w:t>
      </w:r>
      <w:r>
        <w:t xml:space="preserve">– with the </w:t>
      </w:r>
      <w:r w:rsidR="001F3579">
        <w:t xml:space="preserve">associated description </w:t>
      </w:r>
      <w:r w:rsidR="00AA073F">
        <w:t xml:space="preserve">(at least for the catch up to 1996/97) </w:t>
      </w:r>
      <w:r w:rsidR="001F3579">
        <w:t xml:space="preserve">that </w:t>
      </w:r>
      <w:r>
        <w:t xml:space="preserve">65% of the </w:t>
      </w:r>
      <w:r w:rsidR="00AA073F">
        <w:t>catch was</w:t>
      </w:r>
      <w:r w:rsidR="00FD3C51">
        <w:t xml:space="preserve"> Black teatfish, 20% was Sandfish and 15% other species, including White teatfish</w:t>
      </w:r>
      <w:r w:rsidR="001F3579">
        <w:t xml:space="preserve"> (Damschke, 1997)</w:t>
      </w:r>
      <w:r w:rsidR="00FD3C51">
        <w:t>. This early (pre 1995/96) catch has been sometimes reported as being all Black teatfish (e.g. Uthicke 2004</w:t>
      </w:r>
      <w:r w:rsidR="00310F8B">
        <w:t>; Skewes et al., 201</w:t>
      </w:r>
      <w:r w:rsidR="00AA073F">
        <w:t>4</w:t>
      </w:r>
      <w:r w:rsidR="00FD3C51">
        <w:t>) – probably in error.</w:t>
      </w:r>
      <w:r w:rsidR="001F3579">
        <w:t xml:space="preserve"> It is also </w:t>
      </w:r>
      <w:r w:rsidR="00A9642D">
        <w:t>very likely</w:t>
      </w:r>
      <w:r w:rsidR="001F3579">
        <w:t xml:space="preserve"> that the pre-1995/96 catch data is an underestimate of the actual catch, as </w:t>
      </w:r>
      <w:r w:rsidR="00A9642D">
        <w:t xml:space="preserve">there was fishing before 1987 and even </w:t>
      </w:r>
      <w:r w:rsidR="001F3579">
        <w:t xml:space="preserve">years with very low </w:t>
      </w:r>
      <w:r w:rsidR="00A9642D">
        <w:t xml:space="preserve">reported </w:t>
      </w:r>
      <w:r w:rsidR="001F3579">
        <w:t xml:space="preserve">catches had </w:t>
      </w:r>
      <w:r w:rsidR="00A9642D">
        <w:t>a high number of “</w:t>
      </w:r>
      <w:r w:rsidR="00AA073F">
        <w:t>A</w:t>
      </w:r>
      <w:r w:rsidR="00A9642D">
        <w:t>uthorities”</w:t>
      </w:r>
      <w:r w:rsidR="001A3F32">
        <w:t xml:space="preserve"> </w:t>
      </w:r>
      <w:r w:rsidR="00AA073F">
        <w:t>(permits or licences</w:t>
      </w:r>
      <w:r w:rsidR="00A9642D">
        <w:t>)</w:t>
      </w:r>
      <w:r w:rsidR="00937EC7">
        <w:t xml:space="preserve"> (</w:t>
      </w:r>
      <w:fldSimple w:instr=" REF _Ref173154731 ">
        <w:r w:rsidR="004263D8">
          <w:t xml:space="preserve">Table </w:t>
        </w:r>
        <w:r w:rsidR="004263D8">
          <w:rPr>
            <w:noProof/>
          </w:rPr>
          <w:t>2</w:t>
        </w:r>
      </w:fldSimple>
      <w:r w:rsidR="00937EC7">
        <w:rPr>
          <w:noProof/>
        </w:rPr>
        <w:t>)</w:t>
      </w:r>
      <w:r w:rsidR="001F3579">
        <w:t xml:space="preserve">. </w:t>
      </w:r>
    </w:p>
    <w:p w14:paraId="70CBBF40" w14:textId="77777777" w:rsidR="00C950DB" w:rsidRDefault="00C950DB" w:rsidP="00D54C0C">
      <w:bookmarkStart w:id="91" w:name="_Ref166089182"/>
      <w:r>
        <w:t>The species composition of the QSCF catch has varied over the years for a number of reasons, including species depletions, management intervention, changes in market value, emerging markets, and fishery and processing technology (Skewes et al., 2014;</w:t>
      </w:r>
      <w:r w:rsidRPr="0086319F">
        <w:t xml:space="preserve"> Eriksson</w:t>
      </w:r>
      <w:r>
        <w:t xml:space="preserve"> and </w:t>
      </w:r>
      <w:r w:rsidRPr="0086319F">
        <w:t>Byrne, 2015</w:t>
      </w:r>
      <w:r>
        <w:t>; Wolfe and Byrne, 2022; for all catch data, see Appendix C).</w:t>
      </w:r>
    </w:p>
    <w:p w14:paraId="48C790C0" w14:textId="77777777" w:rsidR="00C950DB" w:rsidRDefault="00C950DB" w:rsidP="00D54C0C"/>
    <w:p w14:paraId="55B43147" w14:textId="5AA1E6D3" w:rsidR="0049377F" w:rsidRDefault="006043E6" w:rsidP="00D773A1">
      <w:pPr>
        <w:pStyle w:val="Caption"/>
        <w:keepNext/>
      </w:pPr>
      <w:bookmarkStart w:id="92" w:name="_Ref173154731"/>
      <w:bookmarkStart w:id="93" w:name="_Toc189044998"/>
      <w:r>
        <w:lastRenderedPageBreak/>
        <w:t xml:space="preserve">Table </w:t>
      </w:r>
      <w:fldSimple w:instr=" SEQ Table \* ARABIC ">
        <w:r w:rsidR="004263D8">
          <w:rPr>
            <w:noProof/>
          </w:rPr>
          <w:t>2</w:t>
        </w:r>
      </w:fldSimple>
      <w:bookmarkEnd w:id="91"/>
      <w:bookmarkEnd w:id="92"/>
      <w:r>
        <w:t xml:space="preserve">. </w:t>
      </w:r>
      <w:r w:rsidR="00A07D7C">
        <w:t>Reported catch</w:t>
      </w:r>
      <w:r w:rsidRPr="006043E6">
        <w:t xml:space="preserve"> </w:t>
      </w:r>
      <w:r w:rsidR="00641375">
        <w:t xml:space="preserve">(t landed weight) </w:t>
      </w:r>
      <w:r w:rsidRPr="006043E6">
        <w:t>of beche-de-mer in the</w:t>
      </w:r>
      <w:r>
        <w:t xml:space="preserve"> QSCF between 198</w:t>
      </w:r>
      <w:r w:rsidR="00A07D7C">
        <w:t>6</w:t>
      </w:r>
      <w:r>
        <w:t>/8</w:t>
      </w:r>
      <w:r w:rsidR="00A07D7C">
        <w:t>7</w:t>
      </w:r>
      <w:r>
        <w:t xml:space="preserve"> and 1994/95 (Damschke, 1997; Stutterd and Williams, 2003)</w:t>
      </w:r>
      <w:bookmarkEnd w:id="93"/>
    </w:p>
    <w:tbl>
      <w:tblPr>
        <w:tblStyle w:val="GridTable4"/>
        <w:tblW w:w="0" w:type="auto"/>
        <w:tblLayout w:type="fixed"/>
        <w:tblLook w:val="0620" w:firstRow="1" w:lastRow="0" w:firstColumn="0" w:lastColumn="0" w:noHBand="1" w:noVBand="1"/>
      </w:tblPr>
      <w:tblGrid>
        <w:gridCol w:w="2405"/>
        <w:gridCol w:w="1985"/>
        <w:gridCol w:w="1985"/>
      </w:tblGrid>
      <w:tr w:rsidR="001F3579" w:rsidRPr="007A0F86" w14:paraId="37FEE438" w14:textId="5EBE2EEB" w:rsidTr="000B319E">
        <w:trPr>
          <w:cnfStyle w:val="100000000000" w:firstRow="1" w:lastRow="0" w:firstColumn="0" w:lastColumn="0" w:oddVBand="0" w:evenVBand="0" w:oddHBand="0" w:evenHBand="0" w:firstRowFirstColumn="0" w:firstRowLastColumn="0" w:lastRowFirstColumn="0" w:lastRowLastColumn="0"/>
          <w:trHeight w:val="146"/>
        </w:trPr>
        <w:tc>
          <w:tcPr>
            <w:tcW w:w="2405" w:type="dxa"/>
          </w:tcPr>
          <w:p w14:paraId="17313924" w14:textId="0101C2F9" w:rsidR="001F3579" w:rsidRPr="007A0F86" w:rsidRDefault="001F3579" w:rsidP="006043E6">
            <w:pPr>
              <w:pStyle w:val="ColumnHeading"/>
              <w:rPr>
                <w:b/>
                <w:sz w:val="22"/>
              </w:rPr>
            </w:pPr>
            <w:r w:rsidRPr="007A0F86">
              <w:rPr>
                <w:b/>
                <w:caps w:val="0"/>
                <w:sz w:val="22"/>
              </w:rPr>
              <w:t xml:space="preserve">Year </w:t>
            </w:r>
          </w:p>
        </w:tc>
        <w:tc>
          <w:tcPr>
            <w:tcW w:w="1985" w:type="dxa"/>
          </w:tcPr>
          <w:p w14:paraId="5669E83A" w14:textId="2B3C6943" w:rsidR="001F3579" w:rsidRPr="007A0F86" w:rsidRDefault="001F3579" w:rsidP="007A0F86">
            <w:pPr>
              <w:pStyle w:val="ColumnHeading"/>
              <w:jc w:val="center"/>
              <w:rPr>
                <w:b/>
                <w:sz w:val="22"/>
              </w:rPr>
            </w:pPr>
            <w:r>
              <w:rPr>
                <w:b/>
                <w:caps w:val="0"/>
                <w:sz w:val="22"/>
              </w:rPr>
              <w:t>Catch</w:t>
            </w:r>
            <w:r w:rsidR="00641375">
              <w:rPr>
                <w:b/>
                <w:caps w:val="0"/>
                <w:sz w:val="22"/>
              </w:rPr>
              <w:t xml:space="preserve"> (t)</w:t>
            </w:r>
          </w:p>
        </w:tc>
        <w:tc>
          <w:tcPr>
            <w:tcW w:w="1985" w:type="dxa"/>
          </w:tcPr>
          <w:p w14:paraId="411AC3EA" w14:textId="2EC081C9" w:rsidR="001F3579" w:rsidRPr="007A0F86" w:rsidRDefault="00F91F21" w:rsidP="007A0F86">
            <w:pPr>
              <w:pStyle w:val="ColumnHeading"/>
              <w:jc w:val="center"/>
              <w:rPr>
                <w:b/>
                <w:sz w:val="22"/>
              </w:rPr>
            </w:pPr>
            <w:r>
              <w:rPr>
                <w:b/>
                <w:caps w:val="0"/>
                <w:sz w:val="22"/>
              </w:rPr>
              <w:t>Authorities</w:t>
            </w:r>
          </w:p>
        </w:tc>
      </w:tr>
      <w:tr w:rsidR="0057589C" w:rsidRPr="0057589C" w14:paraId="2560486E" w14:textId="77777777" w:rsidTr="000B319E">
        <w:trPr>
          <w:trHeight w:val="146"/>
        </w:trPr>
        <w:tc>
          <w:tcPr>
            <w:tcW w:w="2405" w:type="dxa"/>
          </w:tcPr>
          <w:p w14:paraId="335D912E" w14:textId="6DEEC82F" w:rsidR="0057589C" w:rsidRPr="0057589C" w:rsidRDefault="0057589C" w:rsidP="006043E6">
            <w:pPr>
              <w:pStyle w:val="ColumnHeading"/>
              <w:rPr>
                <w:b w:val="0"/>
                <w:color w:val="auto"/>
                <w:sz w:val="22"/>
              </w:rPr>
            </w:pPr>
            <w:r w:rsidRPr="0057589C">
              <w:rPr>
                <w:b w:val="0"/>
                <w:color w:val="auto"/>
                <w:sz w:val="22"/>
              </w:rPr>
              <w:t>1986/87</w:t>
            </w:r>
          </w:p>
        </w:tc>
        <w:tc>
          <w:tcPr>
            <w:tcW w:w="1985" w:type="dxa"/>
          </w:tcPr>
          <w:p w14:paraId="27977332" w14:textId="5BECE330" w:rsidR="0057589C" w:rsidRPr="0057589C" w:rsidRDefault="00A07D7C" w:rsidP="00A07D7C">
            <w:pPr>
              <w:pStyle w:val="ColumnHeading"/>
              <w:jc w:val="center"/>
              <w:rPr>
                <w:b w:val="0"/>
                <w:color w:val="auto"/>
                <w:sz w:val="22"/>
              </w:rPr>
            </w:pPr>
            <w:r>
              <w:rPr>
                <w:b w:val="0"/>
                <w:color w:val="auto"/>
                <w:sz w:val="22"/>
              </w:rPr>
              <w:t>0</w:t>
            </w:r>
          </w:p>
        </w:tc>
        <w:tc>
          <w:tcPr>
            <w:tcW w:w="1985" w:type="dxa"/>
          </w:tcPr>
          <w:p w14:paraId="782B04B3" w14:textId="3F4E0F30" w:rsidR="0057589C" w:rsidRPr="0057589C" w:rsidRDefault="00A07D7C" w:rsidP="00A07D7C">
            <w:pPr>
              <w:pStyle w:val="ColumnHeading"/>
              <w:jc w:val="center"/>
              <w:rPr>
                <w:b w:val="0"/>
                <w:color w:val="auto"/>
                <w:sz w:val="22"/>
              </w:rPr>
            </w:pPr>
            <w:r>
              <w:rPr>
                <w:b w:val="0"/>
                <w:color w:val="auto"/>
                <w:sz w:val="22"/>
              </w:rPr>
              <w:t>6</w:t>
            </w:r>
          </w:p>
        </w:tc>
      </w:tr>
      <w:tr w:rsidR="001F3579" w:rsidRPr="007A0F86" w14:paraId="015EE6D6" w14:textId="2FB986BC" w:rsidTr="000B319E">
        <w:trPr>
          <w:trHeight w:val="146"/>
        </w:trPr>
        <w:tc>
          <w:tcPr>
            <w:tcW w:w="2405" w:type="dxa"/>
          </w:tcPr>
          <w:p w14:paraId="6EDDFE4C" w14:textId="2EEB8F1B" w:rsidR="001F3579" w:rsidRPr="007A0F86" w:rsidRDefault="001F3579" w:rsidP="006043E6">
            <w:pPr>
              <w:pStyle w:val="ColumnHeading"/>
              <w:rPr>
                <w:b w:val="0"/>
                <w:color w:val="auto"/>
                <w:sz w:val="22"/>
              </w:rPr>
            </w:pPr>
            <w:r w:rsidRPr="007A0F86">
              <w:rPr>
                <w:b w:val="0"/>
                <w:color w:val="auto"/>
                <w:sz w:val="22"/>
              </w:rPr>
              <w:t>1987/88</w:t>
            </w:r>
          </w:p>
        </w:tc>
        <w:tc>
          <w:tcPr>
            <w:tcW w:w="1985" w:type="dxa"/>
          </w:tcPr>
          <w:p w14:paraId="5571949B" w14:textId="15F44C50" w:rsidR="001F3579" w:rsidRPr="007A0F86" w:rsidRDefault="001F3579" w:rsidP="007A0F86">
            <w:pPr>
              <w:pStyle w:val="ColumnHeading"/>
              <w:jc w:val="center"/>
              <w:rPr>
                <w:b w:val="0"/>
                <w:color w:val="auto"/>
                <w:sz w:val="22"/>
              </w:rPr>
            </w:pPr>
            <w:r w:rsidRPr="007A0F86">
              <w:rPr>
                <w:b w:val="0"/>
                <w:color w:val="auto"/>
                <w:sz w:val="22"/>
              </w:rPr>
              <w:t>220</w:t>
            </w:r>
          </w:p>
        </w:tc>
        <w:tc>
          <w:tcPr>
            <w:tcW w:w="1985" w:type="dxa"/>
          </w:tcPr>
          <w:p w14:paraId="7B72A78B" w14:textId="4979F5B1" w:rsidR="001F3579" w:rsidRPr="007A0F86" w:rsidRDefault="00D83B06" w:rsidP="007A0F86">
            <w:pPr>
              <w:pStyle w:val="ColumnHeading"/>
              <w:jc w:val="center"/>
              <w:rPr>
                <w:b w:val="0"/>
                <w:color w:val="auto"/>
                <w:sz w:val="22"/>
              </w:rPr>
            </w:pPr>
            <w:r>
              <w:rPr>
                <w:b w:val="0"/>
                <w:color w:val="auto"/>
                <w:sz w:val="22"/>
              </w:rPr>
              <w:t>13</w:t>
            </w:r>
          </w:p>
        </w:tc>
      </w:tr>
      <w:tr w:rsidR="001F3579" w:rsidRPr="007A0F86" w14:paraId="0A4E33DD" w14:textId="4EF03609" w:rsidTr="000B319E">
        <w:trPr>
          <w:trHeight w:val="146"/>
        </w:trPr>
        <w:tc>
          <w:tcPr>
            <w:tcW w:w="2405" w:type="dxa"/>
          </w:tcPr>
          <w:p w14:paraId="1F95382B" w14:textId="49F30EFC" w:rsidR="001F3579" w:rsidRPr="007A0F86" w:rsidRDefault="001F3579" w:rsidP="006043E6">
            <w:pPr>
              <w:pStyle w:val="ColumnHeading"/>
              <w:rPr>
                <w:b w:val="0"/>
                <w:color w:val="auto"/>
                <w:sz w:val="22"/>
              </w:rPr>
            </w:pPr>
            <w:r w:rsidRPr="007A0F86">
              <w:rPr>
                <w:b w:val="0"/>
                <w:color w:val="auto"/>
                <w:sz w:val="22"/>
              </w:rPr>
              <w:t>1988/89</w:t>
            </w:r>
          </w:p>
        </w:tc>
        <w:tc>
          <w:tcPr>
            <w:tcW w:w="1985" w:type="dxa"/>
          </w:tcPr>
          <w:p w14:paraId="3A98930D" w14:textId="7297E7E8" w:rsidR="001F3579" w:rsidRPr="007A0F86" w:rsidRDefault="001F3579" w:rsidP="007A0F86">
            <w:pPr>
              <w:pStyle w:val="ColumnHeading"/>
              <w:jc w:val="center"/>
              <w:rPr>
                <w:b w:val="0"/>
                <w:color w:val="auto"/>
                <w:sz w:val="22"/>
              </w:rPr>
            </w:pPr>
            <w:r w:rsidRPr="007A0F86">
              <w:rPr>
                <w:b w:val="0"/>
                <w:color w:val="auto"/>
                <w:sz w:val="22"/>
              </w:rPr>
              <w:t>3</w:t>
            </w:r>
          </w:p>
        </w:tc>
        <w:tc>
          <w:tcPr>
            <w:tcW w:w="1985" w:type="dxa"/>
          </w:tcPr>
          <w:p w14:paraId="7055D1EE" w14:textId="3296EC8A" w:rsidR="001F3579" w:rsidRPr="007A0F86" w:rsidRDefault="00D83B06" w:rsidP="007A0F86">
            <w:pPr>
              <w:pStyle w:val="ColumnHeading"/>
              <w:jc w:val="center"/>
              <w:rPr>
                <w:b w:val="0"/>
                <w:color w:val="auto"/>
                <w:sz w:val="22"/>
              </w:rPr>
            </w:pPr>
            <w:r>
              <w:rPr>
                <w:b w:val="0"/>
                <w:color w:val="auto"/>
                <w:sz w:val="22"/>
              </w:rPr>
              <w:t>8</w:t>
            </w:r>
          </w:p>
        </w:tc>
      </w:tr>
      <w:tr w:rsidR="001F3579" w:rsidRPr="007A0F86" w14:paraId="2590E5DB" w14:textId="6196833F" w:rsidTr="000B319E">
        <w:trPr>
          <w:trHeight w:val="146"/>
        </w:trPr>
        <w:tc>
          <w:tcPr>
            <w:tcW w:w="2405" w:type="dxa"/>
          </w:tcPr>
          <w:p w14:paraId="6C6EF941" w14:textId="4A8B7BAD" w:rsidR="001F3579" w:rsidRPr="007A0F86" w:rsidRDefault="001F3579" w:rsidP="006043E6">
            <w:pPr>
              <w:pStyle w:val="ColumnHeading"/>
              <w:rPr>
                <w:b w:val="0"/>
                <w:color w:val="auto"/>
                <w:sz w:val="22"/>
              </w:rPr>
            </w:pPr>
            <w:r w:rsidRPr="007A0F86">
              <w:rPr>
                <w:b w:val="0"/>
                <w:color w:val="auto"/>
                <w:sz w:val="22"/>
              </w:rPr>
              <w:t>1989/90</w:t>
            </w:r>
          </w:p>
        </w:tc>
        <w:tc>
          <w:tcPr>
            <w:tcW w:w="1985" w:type="dxa"/>
          </w:tcPr>
          <w:p w14:paraId="785D1238" w14:textId="629F48B2" w:rsidR="001F3579" w:rsidRPr="007A0F86" w:rsidRDefault="001F3579" w:rsidP="007A0F86">
            <w:pPr>
              <w:pStyle w:val="ColumnHeading"/>
              <w:jc w:val="center"/>
              <w:rPr>
                <w:b w:val="0"/>
                <w:color w:val="auto"/>
                <w:sz w:val="22"/>
              </w:rPr>
            </w:pPr>
            <w:r w:rsidRPr="007A0F86">
              <w:rPr>
                <w:b w:val="0"/>
                <w:color w:val="auto"/>
                <w:sz w:val="22"/>
              </w:rPr>
              <w:t>5</w:t>
            </w:r>
          </w:p>
        </w:tc>
        <w:tc>
          <w:tcPr>
            <w:tcW w:w="1985" w:type="dxa"/>
          </w:tcPr>
          <w:p w14:paraId="6635F581" w14:textId="42FED0A9" w:rsidR="001F3579" w:rsidRPr="007A0F86" w:rsidRDefault="00D83B06" w:rsidP="007A0F86">
            <w:pPr>
              <w:pStyle w:val="ColumnHeading"/>
              <w:jc w:val="center"/>
              <w:rPr>
                <w:b w:val="0"/>
                <w:color w:val="auto"/>
                <w:sz w:val="22"/>
              </w:rPr>
            </w:pPr>
            <w:r>
              <w:rPr>
                <w:b w:val="0"/>
                <w:color w:val="auto"/>
                <w:sz w:val="22"/>
              </w:rPr>
              <w:t>11</w:t>
            </w:r>
          </w:p>
        </w:tc>
      </w:tr>
      <w:tr w:rsidR="001F3579" w:rsidRPr="007A0F86" w14:paraId="2EBFC517" w14:textId="1894A9C4" w:rsidTr="000B319E">
        <w:trPr>
          <w:trHeight w:val="146"/>
        </w:trPr>
        <w:tc>
          <w:tcPr>
            <w:tcW w:w="2405" w:type="dxa"/>
          </w:tcPr>
          <w:p w14:paraId="4415FAB8" w14:textId="6856E38C" w:rsidR="001F3579" w:rsidRPr="007A0F86" w:rsidRDefault="001F3579" w:rsidP="006043E6">
            <w:pPr>
              <w:pStyle w:val="ColumnHeading"/>
              <w:rPr>
                <w:b w:val="0"/>
                <w:color w:val="auto"/>
                <w:sz w:val="22"/>
              </w:rPr>
            </w:pPr>
            <w:r w:rsidRPr="007A0F86">
              <w:rPr>
                <w:b w:val="0"/>
                <w:color w:val="auto"/>
                <w:sz w:val="22"/>
              </w:rPr>
              <w:t>1990/91</w:t>
            </w:r>
          </w:p>
        </w:tc>
        <w:tc>
          <w:tcPr>
            <w:tcW w:w="1985" w:type="dxa"/>
          </w:tcPr>
          <w:p w14:paraId="1A4045BB" w14:textId="23D36FF9" w:rsidR="001F3579" w:rsidRPr="007A0F86" w:rsidRDefault="001F3579" w:rsidP="007A0F86">
            <w:pPr>
              <w:pStyle w:val="ColumnHeading"/>
              <w:jc w:val="center"/>
              <w:rPr>
                <w:b w:val="0"/>
                <w:color w:val="auto"/>
                <w:sz w:val="22"/>
              </w:rPr>
            </w:pPr>
            <w:r w:rsidRPr="007A0F86">
              <w:rPr>
                <w:b w:val="0"/>
                <w:color w:val="auto"/>
                <w:sz w:val="22"/>
              </w:rPr>
              <w:t>135</w:t>
            </w:r>
          </w:p>
        </w:tc>
        <w:tc>
          <w:tcPr>
            <w:tcW w:w="1985" w:type="dxa"/>
          </w:tcPr>
          <w:p w14:paraId="1A4186F8" w14:textId="745BD24A" w:rsidR="001F3579" w:rsidRPr="007A0F86" w:rsidRDefault="001F3579" w:rsidP="007A0F86">
            <w:pPr>
              <w:pStyle w:val="ColumnHeading"/>
              <w:jc w:val="center"/>
              <w:rPr>
                <w:b w:val="0"/>
                <w:color w:val="auto"/>
                <w:sz w:val="22"/>
              </w:rPr>
            </w:pPr>
            <w:r>
              <w:rPr>
                <w:b w:val="0"/>
                <w:color w:val="auto"/>
                <w:sz w:val="22"/>
              </w:rPr>
              <w:t>17</w:t>
            </w:r>
          </w:p>
        </w:tc>
      </w:tr>
      <w:tr w:rsidR="001F3579" w:rsidRPr="007A0F86" w14:paraId="3CA23C6B" w14:textId="6C2E6B5C" w:rsidTr="000B319E">
        <w:trPr>
          <w:trHeight w:val="146"/>
        </w:trPr>
        <w:tc>
          <w:tcPr>
            <w:tcW w:w="2405" w:type="dxa"/>
          </w:tcPr>
          <w:p w14:paraId="6EEF2CEF" w14:textId="132A6B55" w:rsidR="001F3579" w:rsidRPr="007A0F86" w:rsidRDefault="001F3579" w:rsidP="006043E6">
            <w:pPr>
              <w:pStyle w:val="ColumnHeading"/>
              <w:rPr>
                <w:b w:val="0"/>
                <w:color w:val="auto"/>
                <w:sz w:val="22"/>
              </w:rPr>
            </w:pPr>
            <w:r w:rsidRPr="007A0F86">
              <w:rPr>
                <w:b w:val="0"/>
                <w:color w:val="auto"/>
                <w:sz w:val="22"/>
              </w:rPr>
              <w:t>1991/92</w:t>
            </w:r>
          </w:p>
        </w:tc>
        <w:tc>
          <w:tcPr>
            <w:tcW w:w="1985" w:type="dxa"/>
          </w:tcPr>
          <w:p w14:paraId="689BD0B2" w14:textId="2B959727" w:rsidR="001F3579" w:rsidRPr="007A0F86" w:rsidRDefault="001F3579" w:rsidP="007A0F86">
            <w:pPr>
              <w:pStyle w:val="ColumnHeading"/>
              <w:jc w:val="center"/>
              <w:rPr>
                <w:b w:val="0"/>
                <w:color w:val="auto"/>
                <w:sz w:val="22"/>
              </w:rPr>
            </w:pPr>
            <w:r w:rsidRPr="007A0F86">
              <w:rPr>
                <w:b w:val="0"/>
                <w:color w:val="auto"/>
                <w:sz w:val="22"/>
              </w:rPr>
              <w:t>43</w:t>
            </w:r>
          </w:p>
        </w:tc>
        <w:tc>
          <w:tcPr>
            <w:tcW w:w="1985" w:type="dxa"/>
          </w:tcPr>
          <w:p w14:paraId="4BD9A507" w14:textId="571DA030" w:rsidR="001F3579" w:rsidRPr="007A0F86" w:rsidRDefault="001F3579" w:rsidP="007A0F86">
            <w:pPr>
              <w:pStyle w:val="ColumnHeading"/>
              <w:jc w:val="center"/>
              <w:rPr>
                <w:b w:val="0"/>
                <w:color w:val="auto"/>
                <w:sz w:val="22"/>
              </w:rPr>
            </w:pPr>
            <w:r>
              <w:rPr>
                <w:b w:val="0"/>
                <w:color w:val="auto"/>
                <w:sz w:val="22"/>
              </w:rPr>
              <w:t>29</w:t>
            </w:r>
          </w:p>
        </w:tc>
      </w:tr>
      <w:tr w:rsidR="001F3579" w:rsidRPr="007A0F86" w14:paraId="145E8B77" w14:textId="2901E709" w:rsidTr="000B319E">
        <w:trPr>
          <w:trHeight w:val="146"/>
        </w:trPr>
        <w:tc>
          <w:tcPr>
            <w:tcW w:w="2405" w:type="dxa"/>
          </w:tcPr>
          <w:p w14:paraId="26C29037" w14:textId="34CC62F4" w:rsidR="001F3579" w:rsidRPr="007A0F86" w:rsidRDefault="001F3579" w:rsidP="006043E6">
            <w:pPr>
              <w:pStyle w:val="ColumnHeading"/>
              <w:rPr>
                <w:b w:val="0"/>
                <w:color w:val="auto"/>
                <w:sz w:val="22"/>
              </w:rPr>
            </w:pPr>
            <w:r w:rsidRPr="007A0F86">
              <w:rPr>
                <w:b w:val="0"/>
                <w:color w:val="auto"/>
                <w:sz w:val="22"/>
              </w:rPr>
              <w:t>1992/93</w:t>
            </w:r>
          </w:p>
        </w:tc>
        <w:tc>
          <w:tcPr>
            <w:tcW w:w="1985" w:type="dxa"/>
          </w:tcPr>
          <w:p w14:paraId="11235AC9" w14:textId="7CA92E7B" w:rsidR="001F3579" w:rsidRPr="007A0F86" w:rsidRDefault="001F3579" w:rsidP="007A0F86">
            <w:pPr>
              <w:pStyle w:val="ColumnHeading"/>
              <w:jc w:val="center"/>
              <w:rPr>
                <w:b w:val="0"/>
                <w:color w:val="auto"/>
                <w:sz w:val="22"/>
              </w:rPr>
            </w:pPr>
            <w:r w:rsidRPr="007A0F86">
              <w:rPr>
                <w:b w:val="0"/>
                <w:color w:val="auto"/>
                <w:sz w:val="22"/>
              </w:rPr>
              <w:t>340</w:t>
            </w:r>
          </w:p>
        </w:tc>
        <w:tc>
          <w:tcPr>
            <w:tcW w:w="1985" w:type="dxa"/>
          </w:tcPr>
          <w:p w14:paraId="4909078E" w14:textId="12ABA5AE" w:rsidR="001F3579" w:rsidRPr="007A0F86" w:rsidRDefault="001F3579" w:rsidP="007A0F86">
            <w:pPr>
              <w:pStyle w:val="ColumnHeading"/>
              <w:jc w:val="center"/>
              <w:rPr>
                <w:b w:val="0"/>
                <w:color w:val="auto"/>
                <w:sz w:val="22"/>
              </w:rPr>
            </w:pPr>
            <w:r>
              <w:rPr>
                <w:b w:val="0"/>
                <w:color w:val="auto"/>
                <w:sz w:val="22"/>
              </w:rPr>
              <w:t>24</w:t>
            </w:r>
          </w:p>
        </w:tc>
      </w:tr>
      <w:tr w:rsidR="001F3579" w:rsidRPr="007A0F86" w14:paraId="3ED4C0FE" w14:textId="233A651E" w:rsidTr="000B319E">
        <w:trPr>
          <w:trHeight w:val="118"/>
        </w:trPr>
        <w:tc>
          <w:tcPr>
            <w:tcW w:w="2405" w:type="dxa"/>
          </w:tcPr>
          <w:p w14:paraId="48860871" w14:textId="77777777" w:rsidR="001F3579" w:rsidRPr="007A0F86" w:rsidRDefault="001F3579" w:rsidP="006043E6">
            <w:pPr>
              <w:pStyle w:val="ColumnHeading"/>
              <w:rPr>
                <w:b w:val="0"/>
                <w:color w:val="auto"/>
                <w:sz w:val="22"/>
              </w:rPr>
            </w:pPr>
            <w:r w:rsidRPr="007A0F86">
              <w:rPr>
                <w:b w:val="0"/>
                <w:color w:val="auto"/>
                <w:sz w:val="22"/>
              </w:rPr>
              <w:t xml:space="preserve">1993/94 </w:t>
            </w:r>
          </w:p>
        </w:tc>
        <w:tc>
          <w:tcPr>
            <w:tcW w:w="1985" w:type="dxa"/>
          </w:tcPr>
          <w:p w14:paraId="58FEB78F" w14:textId="2016A05D" w:rsidR="001F3579" w:rsidRPr="007A0F86" w:rsidRDefault="001F3579" w:rsidP="007A0F86">
            <w:pPr>
              <w:pStyle w:val="ColumnHeading"/>
              <w:jc w:val="center"/>
              <w:rPr>
                <w:b w:val="0"/>
                <w:color w:val="auto"/>
                <w:sz w:val="22"/>
              </w:rPr>
            </w:pPr>
            <w:r w:rsidRPr="007A0F86">
              <w:rPr>
                <w:b w:val="0"/>
                <w:color w:val="auto"/>
                <w:sz w:val="22"/>
              </w:rPr>
              <w:t>359</w:t>
            </w:r>
          </w:p>
        </w:tc>
        <w:tc>
          <w:tcPr>
            <w:tcW w:w="1985" w:type="dxa"/>
          </w:tcPr>
          <w:p w14:paraId="1245ED7E" w14:textId="360E6E6C" w:rsidR="001F3579" w:rsidRPr="007A0F86" w:rsidRDefault="001F3579" w:rsidP="007A0F86">
            <w:pPr>
              <w:pStyle w:val="ColumnHeading"/>
              <w:jc w:val="center"/>
              <w:rPr>
                <w:b w:val="0"/>
                <w:color w:val="auto"/>
                <w:sz w:val="22"/>
              </w:rPr>
            </w:pPr>
            <w:r>
              <w:rPr>
                <w:b w:val="0"/>
                <w:color w:val="auto"/>
                <w:sz w:val="22"/>
              </w:rPr>
              <w:t>24</w:t>
            </w:r>
          </w:p>
        </w:tc>
      </w:tr>
      <w:tr w:rsidR="001F3579" w:rsidRPr="007A0F86" w14:paraId="7DD954AE" w14:textId="708BF7D9" w:rsidTr="000B319E">
        <w:trPr>
          <w:trHeight w:val="118"/>
        </w:trPr>
        <w:tc>
          <w:tcPr>
            <w:tcW w:w="2405" w:type="dxa"/>
          </w:tcPr>
          <w:p w14:paraId="02FC942A" w14:textId="77777777" w:rsidR="001F3579" w:rsidRPr="007A0F86" w:rsidRDefault="001F3579" w:rsidP="006043E6">
            <w:pPr>
              <w:pStyle w:val="ColumnHeading"/>
              <w:rPr>
                <w:b w:val="0"/>
                <w:color w:val="auto"/>
                <w:sz w:val="22"/>
              </w:rPr>
            </w:pPr>
            <w:r w:rsidRPr="007A0F86">
              <w:rPr>
                <w:b w:val="0"/>
                <w:color w:val="auto"/>
                <w:sz w:val="22"/>
              </w:rPr>
              <w:t xml:space="preserve">1994/95 </w:t>
            </w:r>
          </w:p>
        </w:tc>
        <w:tc>
          <w:tcPr>
            <w:tcW w:w="1985" w:type="dxa"/>
          </w:tcPr>
          <w:p w14:paraId="2ECCB21A" w14:textId="46074609" w:rsidR="001F3579" w:rsidRPr="007A0F86" w:rsidRDefault="001F3579" w:rsidP="007A0F86">
            <w:pPr>
              <w:pStyle w:val="ColumnHeading"/>
              <w:jc w:val="center"/>
              <w:rPr>
                <w:b w:val="0"/>
                <w:color w:val="auto"/>
                <w:sz w:val="22"/>
              </w:rPr>
            </w:pPr>
            <w:r w:rsidRPr="007A0F86">
              <w:rPr>
                <w:b w:val="0"/>
                <w:color w:val="auto"/>
                <w:sz w:val="22"/>
              </w:rPr>
              <w:t>35</w:t>
            </w:r>
            <w:r>
              <w:rPr>
                <w:b w:val="0"/>
                <w:color w:val="auto"/>
                <w:sz w:val="22"/>
              </w:rPr>
              <w:t>8</w:t>
            </w:r>
          </w:p>
        </w:tc>
        <w:tc>
          <w:tcPr>
            <w:tcW w:w="1985" w:type="dxa"/>
          </w:tcPr>
          <w:p w14:paraId="44B022F6" w14:textId="6B90EF32" w:rsidR="001F3579" w:rsidRPr="007A0F86" w:rsidRDefault="001F3579" w:rsidP="007A0F86">
            <w:pPr>
              <w:pStyle w:val="ColumnHeading"/>
              <w:jc w:val="center"/>
              <w:rPr>
                <w:b w:val="0"/>
                <w:color w:val="auto"/>
                <w:sz w:val="22"/>
              </w:rPr>
            </w:pPr>
            <w:r>
              <w:rPr>
                <w:b w:val="0"/>
                <w:color w:val="auto"/>
                <w:sz w:val="22"/>
              </w:rPr>
              <w:t>19</w:t>
            </w:r>
          </w:p>
        </w:tc>
      </w:tr>
    </w:tbl>
    <w:p w14:paraId="529AC6BC" w14:textId="2322929F" w:rsidR="0049377F" w:rsidRDefault="0049377F" w:rsidP="00F0754F"/>
    <w:p w14:paraId="65E0D755" w14:textId="2B529C8C" w:rsidR="00AA2B5D" w:rsidRDefault="0030700C" w:rsidP="00A87F05">
      <w:pPr>
        <w:pStyle w:val="Heading3"/>
        <w:ind w:left="851" w:hanging="851"/>
      </w:pPr>
      <w:r>
        <w:t>Black teatfish</w:t>
      </w:r>
    </w:p>
    <w:p w14:paraId="00FCC1A7" w14:textId="734E1843" w:rsidR="00D70516" w:rsidRDefault="00C33AF4" w:rsidP="00AF2B40">
      <w:r>
        <w:t>Black teatfish</w:t>
      </w:r>
      <w:r w:rsidR="00AF2B40">
        <w:t xml:space="preserve"> </w:t>
      </w:r>
      <w:r w:rsidR="00A43ED1">
        <w:t xml:space="preserve">was an early focus of the fishery up until it was closed in October 1999 </w:t>
      </w:r>
      <w:r w:rsidR="0086319F">
        <w:t>(</w:t>
      </w:r>
      <w:r w:rsidR="00484196">
        <w:fldChar w:fldCharType="begin"/>
      </w:r>
      <w:r w:rsidR="00484196">
        <w:instrText xml:space="preserve"> REF _Ref151553276 \h </w:instrText>
      </w:r>
      <w:r w:rsidR="00484196">
        <w:fldChar w:fldCharType="separate"/>
      </w:r>
      <w:r w:rsidR="004263D8">
        <w:t xml:space="preserve">Figure </w:t>
      </w:r>
      <w:r w:rsidR="004263D8">
        <w:rPr>
          <w:noProof/>
        </w:rPr>
        <w:t>16</w:t>
      </w:r>
      <w:r w:rsidR="00484196">
        <w:fldChar w:fldCharType="end"/>
      </w:r>
      <w:r w:rsidR="0086319F">
        <w:t>)</w:t>
      </w:r>
      <w:r w:rsidR="00A43ED1">
        <w:t xml:space="preserve"> (</w:t>
      </w:r>
      <w:r w:rsidR="00436FE0">
        <w:t xml:space="preserve">Uthicke, 2004; </w:t>
      </w:r>
      <w:r w:rsidR="00A43ED1">
        <w:t>Skewes et al., 2014; Eriksson and Byrne, 2015)</w:t>
      </w:r>
      <w:r w:rsidR="00AF2B40">
        <w:t xml:space="preserve">. </w:t>
      </w:r>
      <w:r w:rsidR="00937EC7">
        <w:t xml:space="preserve">Available logbook data </w:t>
      </w:r>
      <w:r w:rsidR="00436FE0">
        <w:t xml:space="preserve">(from October 1995) </w:t>
      </w:r>
      <w:r w:rsidR="00937EC7">
        <w:t>shows c</w:t>
      </w:r>
      <w:r w:rsidR="00D70516" w:rsidRPr="00D70516">
        <w:t xml:space="preserve">atches of </w:t>
      </w:r>
      <w:r w:rsidR="00937EC7">
        <w:t xml:space="preserve">Black teatfish </w:t>
      </w:r>
      <w:r w:rsidR="00D70516" w:rsidRPr="00D70516">
        <w:t xml:space="preserve">peaked in </w:t>
      </w:r>
      <w:r w:rsidR="00937EC7">
        <w:t>1995-96</w:t>
      </w:r>
      <w:r w:rsidR="00D70516" w:rsidRPr="00D70516">
        <w:t xml:space="preserve"> at about </w:t>
      </w:r>
      <w:r w:rsidR="00937EC7">
        <w:t>14</w:t>
      </w:r>
      <w:r w:rsidR="00310F8B">
        <w:t>2</w:t>
      </w:r>
      <w:r w:rsidR="00D70516" w:rsidRPr="00D70516">
        <w:t xml:space="preserve"> t</w:t>
      </w:r>
      <w:r w:rsidR="00436FE0">
        <w:t>,</w:t>
      </w:r>
      <w:r w:rsidR="00BC1E1A">
        <w:t xml:space="preserve"> </w:t>
      </w:r>
      <w:r w:rsidR="00436FE0">
        <w:t>al</w:t>
      </w:r>
      <w:r w:rsidR="00BC1E1A">
        <w:t xml:space="preserve">though </w:t>
      </w:r>
      <w:r w:rsidR="00436FE0">
        <w:t xml:space="preserve">catches </w:t>
      </w:r>
      <w:r w:rsidR="00BC1E1A">
        <w:t>w</w:t>
      </w:r>
      <w:r w:rsidR="00436FE0">
        <w:t>ere</w:t>
      </w:r>
      <w:r w:rsidR="00BC1E1A">
        <w:t xml:space="preserve"> almost certainly greater in the years preceding this</w:t>
      </w:r>
      <w:r w:rsidR="00436FE0">
        <w:t>,</w:t>
      </w:r>
      <w:r w:rsidR="00436FE0" w:rsidRPr="00436FE0">
        <w:t xml:space="preserve"> </w:t>
      </w:r>
      <w:r w:rsidR="00436FE0">
        <w:t>potentially in the order of 300 t or more (Damschke, 1997,</w:t>
      </w:r>
      <w:r w:rsidR="00D54C0C" w:rsidRPr="00D54C0C">
        <w:t xml:space="preserve"> </w:t>
      </w:r>
      <w:fldSimple w:instr=" REF _Ref173154731 ">
        <w:r w:rsidR="004263D8">
          <w:t xml:space="preserve">Table </w:t>
        </w:r>
        <w:r w:rsidR="004263D8">
          <w:rPr>
            <w:noProof/>
          </w:rPr>
          <w:t>2</w:t>
        </w:r>
      </w:fldSimple>
      <w:r w:rsidR="00BC1E1A">
        <w:t>)</w:t>
      </w:r>
      <w:r w:rsidR="00436FE0">
        <w:t xml:space="preserve">. Annual catch </w:t>
      </w:r>
      <w:r w:rsidR="00436FE0" w:rsidRPr="00D70516">
        <w:t>drop</w:t>
      </w:r>
      <w:r w:rsidR="00436FE0">
        <w:t>ped</w:t>
      </w:r>
      <w:r w:rsidR="00D70516" w:rsidRPr="00D70516">
        <w:t xml:space="preserve"> to just over </w:t>
      </w:r>
      <w:r w:rsidR="00A9642D">
        <w:t>82</w:t>
      </w:r>
      <w:r w:rsidR="00D70516" w:rsidRPr="00D70516">
        <w:t xml:space="preserve"> t </w:t>
      </w:r>
      <w:r w:rsidR="00A9642D">
        <w:t xml:space="preserve">in the last full year of fishing in 1998-99 before the fishery was closed in </w:t>
      </w:r>
      <w:r w:rsidR="00A9642D" w:rsidRPr="001B2AFA">
        <w:t>October</w:t>
      </w:r>
      <w:r w:rsidR="00A9642D">
        <w:t xml:space="preserve"> 1999 </w:t>
      </w:r>
      <w:r w:rsidR="00D70516" w:rsidRPr="00D70516">
        <w:t>(</w:t>
      </w:r>
      <w:r w:rsidR="00484196">
        <w:fldChar w:fldCharType="begin"/>
      </w:r>
      <w:r w:rsidR="00484196">
        <w:instrText xml:space="preserve"> REF _Ref151553276 \h </w:instrText>
      </w:r>
      <w:r w:rsidR="00484196">
        <w:fldChar w:fldCharType="separate"/>
      </w:r>
      <w:r w:rsidR="004263D8">
        <w:t xml:space="preserve">Figure </w:t>
      </w:r>
      <w:r w:rsidR="004263D8">
        <w:rPr>
          <w:noProof/>
        </w:rPr>
        <w:t>16</w:t>
      </w:r>
      <w:r w:rsidR="00484196">
        <w:fldChar w:fldCharType="end"/>
      </w:r>
      <w:r w:rsidR="00D70516">
        <w:t>)</w:t>
      </w:r>
      <w:r w:rsidR="0086319F">
        <w:t>.</w:t>
      </w:r>
      <w:r w:rsidR="00A9642D">
        <w:t xml:space="preserve"> The catch since the fishery reopened in 2019-20 has been </w:t>
      </w:r>
      <w:r w:rsidR="009A77EC">
        <w:t xml:space="preserve">close to </w:t>
      </w:r>
      <w:r w:rsidR="00A9642D">
        <w:t xml:space="preserve">the </w:t>
      </w:r>
      <w:r w:rsidR="009A77EC">
        <w:t xml:space="preserve">current </w:t>
      </w:r>
      <w:r w:rsidR="00A9642D">
        <w:t>TAC of 30 t (</w:t>
      </w:r>
      <w:r w:rsidR="00A9642D">
        <w:fldChar w:fldCharType="begin"/>
      </w:r>
      <w:r w:rsidR="00A9642D">
        <w:instrText xml:space="preserve"> REF _Ref151553276 \h </w:instrText>
      </w:r>
      <w:r w:rsidR="00A9642D">
        <w:fldChar w:fldCharType="separate"/>
      </w:r>
      <w:r w:rsidR="004263D8">
        <w:t xml:space="preserve">Figure </w:t>
      </w:r>
      <w:r w:rsidR="004263D8">
        <w:rPr>
          <w:noProof/>
        </w:rPr>
        <w:t>16</w:t>
      </w:r>
      <w:r w:rsidR="00A9642D">
        <w:fldChar w:fldCharType="end"/>
      </w:r>
      <w:r w:rsidR="00A9642D">
        <w:t xml:space="preserve">). </w:t>
      </w:r>
    </w:p>
    <w:p w14:paraId="242A6AF8" w14:textId="62CEDE2F" w:rsidR="000D55D6" w:rsidRDefault="00002FA7" w:rsidP="00484196">
      <w:bookmarkStart w:id="94" w:name="_Ref142524759"/>
      <w:r>
        <w:rPr>
          <w:noProof/>
        </w:rPr>
        <w:drawing>
          <wp:inline distT="0" distB="0" distL="0" distR="0" wp14:anchorId="11DB966B" wp14:editId="274FFF2D">
            <wp:extent cx="5580000" cy="3055727"/>
            <wp:effectExtent l="0" t="0" r="1905" b="0"/>
            <wp:docPr id="11633474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580000" cy="3055727"/>
                    </a:xfrm>
                    <a:prstGeom prst="rect">
                      <a:avLst/>
                    </a:prstGeom>
                    <a:noFill/>
                  </pic:spPr>
                </pic:pic>
              </a:graphicData>
            </a:graphic>
          </wp:inline>
        </w:drawing>
      </w:r>
    </w:p>
    <w:p w14:paraId="476FC3F7" w14:textId="1E6510C2" w:rsidR="00AA2B5D" w:rsidRDefault="00AA2B5D" w:rsidP="0096672D">
      <w:pPr>
        <w:pStyle w:val="Caption"/>
      </w:pPr>
      <w:bookmarkStart w:id="95" w:name="_Ref151553276"/>
      <w:bookmarkStart w:id="96" w:name="_Toc189044973"/>
      <w:r>
        <w:t xml:space="preserve">Figure </w:t>
      </w:r>
      <w:fldSimple w:instr=" SEQ Figure \* ARABIC ">
        <w:r w:rsidR="004263D8">
          <w:rPr>
            <w:noProof/>
          </w:rPr>
          <w:t>16</w:t>
        </w:r>
      </w:fldSimple>
      <w:bookmarkEnd w:id="94"/>
      <w:bookmarkEnd w:id="95"/>
      <w:r>
        <w:t xml:space="preserve">. </w:t>
      </w:r>
      <w:r w:rsidRPr="00AA2B5D">
        <w:t>Annual catch (tonnes</w:t>
      </w:r>
      <w:r w:rsidR="00A2367A">
        <w:t xml:space="preserve"> landed wt</w:t>
      </w:r>
      <w:r w:rsidRPr="00AA2B5D">
        <w:t xml:space="preserve">) of </w:t>
      </w:r>
      <w:r w:rsidR="00C33AF4">
        <w:t>Black teatfish</w:t>
      </w:r>
      <w:r w:rsidR="00D0176E">
        <w:t xml:space="preserve"> in the QCSF</w:t>
      </w:r>
      <w:r w:rsidR="006905CC">
        <w:t xml:space="preserve"> for the period 1995-96 to 2022-23 (QSCF vessel logbook and </w:t>
      </w:r>
      <w:r w:rsidR="0086319F">
        <w:t>B</w:t>
      </w:r>
      <w:r w:rsidR="006905CC">
        <w:t>uyer return data)</w:t>
      </w:r>
      <w:r w:rsidR="00D0176E">
        <w:t>.</w:t>
      </w:r>
      <w:r w:rsidR="00E613A5">
        <w:t xml:space="preserve"> “C” = fishery closed for Black teatfish.</w:t>
      </w:r>
      <w:bookmarkEnd w:id="96"/>
    </w:p>
    <w:p w14:paraId="127714D0" w14:textId="5446087E" w:rsidR="006B1DBB" w:rsidRPr="006B1DBB" w:rsidRDefault="00822806" w:rsidP="00AA2B5D">
      <w:r w:rsidRPr="006B1DBB">
        <w:t xml:space="preserve">To identify </w:t>
      </w:r>
      <w:r w:rsidR="00971C33" w:rsidRPr="006B1DBB">
        <w:t xml:space="preserve">the spatial characteristic of </w:t>
      </w:r>
      <w:r w:rsidRPr="006B1DBB">
        <w:t xml:space="preserve">the </w:t>
      </w:r>
      <w:r w:rsidR="00B306A8">
        <w:t xml:space="preserve">Black teatfish </w:t>
      </w:r>
      <w:r w:rsidR="00971C33" w:rsidRPr="006B1DBB">
        <w:t xml:space="preserve">catch, </w:t>
      </w:r>
      <w:r w:rsidRPr="006B1DBB">
        <w:t xml:space="preserve">catches </w:t>
      </w:r>
      <w:r w:rsidR="00971C33" w:rsidRPr="006B1DBB">
        <w:t xml:space="preserve">in the vessel logbooks </w:t>
      </w:r>
      <w:r w:rsidRPr="006B1DBB">
        <w:t xml:space="preserve">were aggregated by </w:t>
      </w:r>
      <w:r w:rsidR="00971C33" w:rsidRPr="006B1DBB">
        <w:t xml:space="preserve">fishery reporting </w:t>
      </w:r>
      <w:r w:rsidRPr="006B1DBB">
        <w:t>grid</w:t>
      </w:r>
      <w:r w:rsidR="00B306A8">
        <w:t xml:space="preserve"> – these are </w:t>
      </w:r>
      <w:r w:rsidR="00971C33" w:rsidRPr="006B1DBB">
        <w:t xml:space="preserve">30nm x 30nm grids across Queensland </w:t>
      </w:r>
      <w:r w:rsidR="00B306A8">
        <w:t xml:space="preserve">waters </w:t>
      </w:r>
      <w:r w:rsidR="00971C33" w:rsidRPr="006B1DBB">
        <w:t>and are used by all fisheries to report the location of catches.</w:t>
      </w:r>
      <w:r w:rsidR="00334B38">
        <w:t xml:space="preserve"> </w:t>
      </w:r>
      <w:r w:rsidR="00971C33" w:rsidRPr="006B1DBB">
        <w:t xml:space="preserve">About 70% of the catch </w:t>
      </w:r>
      <w:r w:rsidR="00AA2B5D" w:rsidRPr="006B1DBB">
        <w:t>came from</w:t>
      </w:r>
      <w:r w:rsidR="00971C33" w:rsidRPr="006B1DBB">
        <w:t xml:space="preserve"> 1</w:t>
      </w:r>
      <w:r w:rsidR="00B306A8">
        <w:t>5</w:t>
      </w:r>
      <w:r w:rsidR="00971C33" w:rsidRPr="006B1DBB">
        <w:t xml:space="preserve"> grids</w:t>
      </w:r>
      <w:r w:rsidR="006B1DBB" w:rsidRPr="006B1DBB">
        <w:t xml:space="preserve"> (</w:t>
      </w:r>
      <w:r w:rsidR="00484196">
        <w:fldChar w:fldCharType="begin"/>
      </w:r>
      <w:r w:rsidR="00484196">
        <w:instrText xml:space="preserve"> REF _Ref151553337 \h </w:instrText>
      </w:r>
      <w:r w:rsidR="00484196">
        <w:fldChar w:fldCharType="separate"/>
      </w:r>
      <w:r w:rsidR="004263D8">
        <w:t xml:space="preserve">Figure </w:t>
      </w:r>
      <w:r w:rsidR="004263D8">
        <w:rPr>
          <w:noProof/>
        </w:rPr>
        <w:t>17</w:t>
      </w:r>
      <w:r w:rsidR="00484196">
        <w:fldChar w:fldCharType="end"/>
      </w:r>
      <w:r w:rsidR="006B1DBB" w:rsidRPr="006B1DBB">
        <w:t>), and those plus an additional 1</w:t>
      </w:r>
      <w:r w:rsidR="00B306A8">
        <w:t>8</w:t>
      </w:r>
      <w:r w:rsidR="006B1DBB" w:rsidRPr="006B1DBB">
        <w:t xml:space="preserve"> grids accounted for more </w:t>
      </w:r>
      <w:r w:rsidR="00AA2B5D" w:rsidRPr="006B1DBB">
        <w:t xml:space="preserve">than 90% of the catch </w:t>
      </w:r>
      <w:r w:rsidR="006B1DBB" w:rsidRPr="006B1DBB">
        <w:t>(</w:t>
      </w:r>
      <w:r w:rsidR="00484196">
        <w:fldChar w:fldCharType="begin"/>
      </w:r>
      <w:r w:rsidR="00484196">
        <w:instrText xml:space="preserve"> REF _Ref151553337 \h </w:instrText>
      </w:r>
      <w:r w:rsidR="00484196">
        <w:fldChar w:fldCharType="separate"/>
      </w:r>
      <w:r w:rsidR="004263D8">
        <w:t xml:space="preserve">Figure </w:t>
      </w:r>
      <w:r w:rsidR="004263D8">
        <w:rPr>
          <w:noProof/>
        </w:rPr>
        <w:t>17</w:t>
      </w:r>
      <w:r w:rsidR="00484196">
        <w:fldChar w:fldCharType="end"/>
      </w:r>
      <w:r w:rsidR="006B1DBB" w:rsidRPr="006B1DBB">
        <w:t>)</w:t>
      </w:r>
      <w:r w:rsidR="00363655">
        <w:t xml:space="preserve"> – which was about </w:t>
      </w:r>
      <w:r w:rsidR="00B306A8">
        <w:t>39</w:t>
      </w:r>
      <w:r w:rsidR="00363655">
        <w:t xml:space="preserve">% of all grids that had some </w:t>
      </w:r>
      <w:r w:rsidR="00B306A8">
        <w:t xml:space="preserve">Black teatfish </w:t>
      </w:r>
      <w:r w:rsidR="00363655">
        <w:t>catch</w:t>
      </w:r>
      <w:r w:rsidR="006F796C">
        <w:t xml:space="preserve"> in the QSCF</w:t>
      </w:r>
      <w:r w:rsidR="006B1DBB" w:rsidRPr="006B1DBB">
        <w:t>.</w:t>
      </w:r>
      <w:r w:rsidR="00AA2B5D" w:rsidRPr="006B1DBB">
        <w:t xml:space="preserve"> </w:t>
      </w:r>
    </w:p>
    <w:p w14:paraId="7FF75613" w14:textId="3071C06A" w:rsidR="00AA2B5D" w:rsidRDefault="006B1DBB" w:rsidP="00AA2B5D">
      <w:r w:rsidRPr="006B1DBB">
        <w:lastRenderedPageBreak/>
        <w:t xml:space="preserve">The highest catches occurred in the central </w:t>
      </w:r>
      <w:r w:rsidR="00B306A8">
        <w:t xml:space="preserve">and northern </w:t>
      </w:r>
      <w:r w:rsidRPr="006B1DBB">
        <w:t xml:space="preserve">GBR, </w:t>
      </w:r>
      <w:r w:rsidR="00B306A8">
        <w:t xml:space="preserve">north of </w:t>
      </w:r>
      <w:r w:rsidRPr="006B1DBB">
        <w:t>Townsville</w:t>
      </w:r>
      <w:r w:rsidR="00B306A8">
        <w:t xml:space="preserve"> (</w:t>
      </w:r>
      <w:fldSimple w:instr=" REF _Ref169260398 ">
        <w:r w:rsidR="004263D8">
          <w:t xml:space="preserve">Table </w:t>
        </w:r>
        <w:r w:rsidR="004263D8">
          <w:rPr>
            <w:noProof/>
          </w:rPr>
          <w:t>3</w:t>
        </w:r>
      </w:fldSimple>
      <w:r w:rsidR="00B306A8">
        <w:t>)</w:t>
      </w:r>
      <w:r w:rsidRPr="006B1DBB">
        <w:t xml:space="preserve">, with a single high catch grid in the </w:t>
      </w:r>
      <w:r w:rsidR="00B306A8">
        <w:t xml:space="preserve">southern </w:t>
      </w:r>
      <w:r w:rsidRPr="006B1DBB">
        <w:t>GBR (</w:t>
      </w:r>
      <w:fldSimple w:instr=" REF _Ref144419916  \* MERGEFORMAT ">
        <w:r w:rsidR="004263D8">
          <w:t xml:space="preserve">Figure </w:t>
        </w:r>
        <w:r w:rsidR="004263D8">
          <w:rPr>
            <w:noProof/>
          </w:rPr>
          <w:t>19</w:t>
        </w:r>
      </w:fldSimple>
      <w:r w:rsidRPr="006B1DBB">
        <w:t>). C</w:t>
      </w:r>
      <w:r w:rsidR="00AA2B5D" w:rsidRPr="006B1DBB">
        <w:t>atch by rotational zone</w:t>
      </w:r>
      <w:r w:rsidR="006F796C">
        <w:t xml:space="preserve"> (Section 5.1.1.)</w:t>
      </w:r>
      <w:r w:rsidR="00AA2B5D" w:rsidRPr="006B1DBB">
        <w:t xml:space="preserve"> also shows the majority of the catch coming from the central </w:t>
      </w:r>
      <w:r w:rsidR="00B306A8">
        <w:t xml:space="preserve">and northern </w:t>
      </w:r>
      <w:r w:rsidR="00AA2B5D" w:rsidRPr="006B1DBB">
        <w:t>region</w:t>
      </w:r>
      <w:r w:rsidR="00B306A8">
        <w:t>s</w:t>
      </w:r>
      <w:r w:rsidR="00AA2B5D" w:rsidRPr="006B1DBB">
        <w:t xml:space="preserve"> of the GBR (</w:t>
      </w:r>
      <w:fldSimple w:instr=" REF _Ref144419918  \* MERGEFORMAT ">
        <w:r w:rsidR="004263D8">
          <w:t xml:space="preserve">Figure </w:t>
        </w:r>
        <w:r w:rsidR="004263D8">
          <w:rPr>
            <w:noProof/>
          </w:rPr>
          <w:t>20</w:t>
        </w:r>
      </w:fldSimple>
      <w:r w:rsidR="00AA2B5D" w:rsidRPr="006B1DBB">
        <w:t>).</w:t>
      </w:r>
    </w:p>
    <w:p w14:paraId="5633B3D9" w14:textId="38150E6C" w:rsidR="00334B38" w:rsidRDefault="00334B38" w:rsidP="00D773A1">
      <w:pPr>
        <w:pStyle w:val="Caption"/>
        <w:keepNext/>
      </w:pPr>
      <w:bookmarkStart w:id="97" w:name="_Ref169260398"/>
      <w:bookmarkStart w:id="98" w:name="_Toc189044999"/>
      <w:r>
        <w:t xml:space="preserve">Table </w:t>
      </w:r>
      <w:fldSimple w:instr=" SEQ Table \* ARABIC ">
        <w:r w:rsidR="004263D8">
          <w:rPr>
            <w:noProof/>
          </w:rPr>
          <w:t>3</w:t>
        </w:r>
      </w:fldSimple>
      <w:bookmarkEnd w:id="97"/>
      <w:r>
        <w:t>. Catch of Black teatfish in three areas of the fishery, 1995-96 to 2022-23.</w:t>
      </w:r>
      <w:bookmarkEnd w:id="98"/>
    </w:p>
    <w:tbl>
      <w:tblPr>
        <w:tblStyle w:val="TableProfessional"/>
        <w:tblW w:w="0" w:type="auto"/>
        <w:tblLook w:val="0620" w:firstRow="1" w:lastRow="0" w:firstColumn="0" w:lastColumn="0" w:noHBand="1" w:noVBand="1"/>
      </w:tblPr>
      <w:tblGrid>
        <w:gridCol w:w="3207"/>
        <w:gridCol w:w="3207"/>
        <w:gridCol w:w="3208"/>
      </w:tblGrid>
      <w:tr w:rsidR="00334B38" w:rsidRPr="007A0F86" w14:paraId="49CE13FF" w14:textId="77777777" w:rsidTr="007322C4">
        <w:trPr>
          <w:cnfStyle w:val="100000000000" w:firstRow="1" w:lastRow="0" w:firstColumn="0" w:lastColumn="0" w:oddVBand="0" w:evenVBand="0" w:oddHBand="0" w:evenHBand="0" w:firstRowFirstColumn="0" w:firstRowLastColumn="0" w:lastRowFirstColumn="0" w:lastRowLastColumn="0"/>
        </w:trPr>
        <w:tc>
          <w:tcPr>
            <w:tcW w:w="3209" w:type="dxa"/>
          </w:tcPr>
          <w:p w14:paraId="188781C6" w14:textId="77777777" w:rsidR="00334B38" w:rsidRPr="007A0F86" w:rsidRDefault="00334B38" w:rsidP="007322C4">
            <w:pPr>
              <w:pStyle w:val="ColumnHeading"/>
              <w:rPr>
                <w:b w:val="0"/>
                <w:sz w:val="22"/>
              </w:rPr>
            </w:pPr>
            <w:r w:rsidRPr="007A0F86">
              <w:rPr>
                <w:b w:val="0"/>
                <w:sz w:val="22"/>
              </w:rPr>
              <w:t>Region</w:t>
            </w:r>
          </w:p>
        </w:tc>
        <w:tc>
          <w:tcPr>
            <w:tcW w:w="3209" w:type="dxa"/>
          </w:tcPr>
          <w:p w14:paraId="218A38A9" w14:textId="77777777" w:rsidR="00334B38" w:rsidRPr="007A0F86" w:rsidRDefault="00334B38" w:rsidP="007322C4">
            <w:pPr>
              <w:pStyle w:val="ColumnHeading"/>
              <w:rPr>
                <w:b w:val="0"/>
                <w:sz w:val="22"/>
              </w:rPr>
            </w:pPr>
            <w:r w:rsidRPr="007A0F86">
              <w:rPr>
                <w:b w:val="0"/>
                <w:sz w:val="22"/>
              </w:rPr>
              <w:t>Zones</w:t>
            </w:r>
          </w:p>
        </w:tc>
        <w:tc>
          <w:tcPr>
            <w:tcW w:w="3210" w:type="dxa"/>
          </w:tcPr>
          <w:p w14:paraId="4EAC79EB" w14:textId="77777777" w:rsidR="00334B38" w:rsidRPr="007A0F86" w:rsidRDefault="00334B38" w:rsidP="007322C4">
            <w:pPr>
              <w:pStyle w:val="ColumnHeading"/>
              <w:rPr>
                <w:b w:val="0"/>
                <w:sz w:val="22"/>
              </w:rPr>
            </w:pPr>
            <w:r w:rsidRPr="007A0F86">
              <w:rPr>
                <w:b w:val="0"/>
                <w:sz w:val="22"/>
              </w:rPr>
              <w:t>Catch (t)</w:t>
            </w:r>
          </w:p>
        </w:tc>
      </w:tr>
      <w:tr w:rsidR="00334B38" w:rsidRPr="007A0F86" w14:paraId="7B61FDAE" w14:textId="77777777" w:rsidTr="007322C4">
        <w:tc>
          <w:tcPr>
            <w:tcW w:w="3209" w:type="dxa"/>
          </w:tcPr>
          <w:p w14:paraId="01E1FF7F" w14:textId="77777777" w:rsidR="00334B38" w:rsidRPr="007A0F86" w:rsidRDefault="00334B38" w:rsidP="007322C4">
            <w:pPr>
              <w:pStyle w:val="ColumnHeading"/>
              <w:rPr>
                <w:b w:val="0"/>
                <w:color w:val="auto"/>
                <w:sz w:val="22"/>
              </w:rPr>
            </w:pPr>
            <w:r w:rsidRPr="007A0F86">
              <w:rPr>
                <w:b w:val="0"/>
                <w:caps w:val="0"/>
                <w:color w:val="auto"/>
                <w:sz w:val="22"/>
              </w:rPr>
              <w:t xml:space="preserve">Cooktown </w:t>
            </w:r>
            <w:r>
              <w:rPr>
                <w:b w:val="0"/>
                <w:caps w:val="0"/>
                <w:color w:val="auto"/>
                <w:sz w:val="22"/>
              </w:rPr>
              <w:t>N</w:t>
            </w:r>
            <w:r w:rsidRPr="007A0F86">
              <w:rPr>
                <w:b w:val="0"/>
                <w:caps w:val="0"/>
                <w:color w:val="auto"/>
                <w:sz w:val="22"/>
              </w:rPr>
              <w:t>th</w:t>
            </w:r>
          </w:p>
        </w:tc>
        <w:tc>
          <w:tcPr>
            <w:tcW w:w="3209" w:type="dxa"/>
          </w:tcPr>
          <w:p w14:paraId="56136727" w14:textId="77777777" w:rsidR="00334B38" w:rsidRPr="007A0F86" w:rsidRDefault="00334B38" w:rsidP="007322C4">
            <w:pPr>
              <w:pStyle w:val="ColumnHeading"/>
              <w:rPr>
                <w:b w:val="0"/>
                <w:color w:val="auto"/>
                <w:sz w:val="22"/>
              </w:rPr>
            </w:pPr>
            <w:r w:rsidRPr="007A0F86">
              <w:rPr>
                <w:b w:val="0"/>
                <w:color w:val="auto"/>
                <w:sz w:val="22"/>
              </w:rPr>
              <w:t>42</w:t>
            </w:r>
          </w:p>
        </w:tc>
        <w:tc>
          <w:tcPr>
            <w:tcW w:w="3210" w:type="dxa"/>
          </w:tcPr>
          <w:p w14:paraId="41692FF7" w14:textId="77777777" w:rsidR="00334B38" w:rsidRPr="007A0F86" w:rsidRDefault="00334B38" w:rsidP="007322C4">
            <w:pPr>
              <w:pStyle w:val="ColumnHeading"/>
              <w:rPr>
                <w:b w:val="0"/>
                <w:color w:val="auto"/>
                <w:sz w:val="22"/>
              </w:rPr>
            </w:pPr>
            <w:r w:rsidRPr="007A0F86">
              <w:rPr>
                <w:b w:val="0"/>
                <w:color w:val="auto"/>
                <w:sz w:val="22"/>
              </w:rPr>
              <w:t>293.2</w:t>
            </w:r>
          </w:p>
        </w:tc>
      </w:tr>
      <w:tr w:rsidR="00334B38" w:rsidRPr="007A0F86" w14:paraId="4490F73B" w14:textId="77777777" w:rsidTr="007322C4">
        <w:tc>
          <w:tcPr>
            <w:tcW w:w="3209" w:type="dxa"/>
          </w:tcPr>
          <w:p w14:paraId="794DEC13" w14:textId="77777777" w:rsidR="00334B38" w:rsidRPr="007A0F86" w:rsidRDefault="00334B38" w:rsidP="007322C4">
            <w:pPr>
              <w:pStyle w:val="ColumnHeading"/>
              <w:rPr>
                <w:b w:val="0"/>
                <w:color w:val="auto"/>
                <w:sz w:val="22"/>
              </w:rPr>
            </w:pPr>
            <w:r w:rsidRPr="007A0F86">
              <w:rPr>
                <w:b w:val="0"/>
                <w:caps w:val="0"/>
                <w:color w:val="auto"/>
                <w:sz w:val="22"/>
              </w:rPr>
              <w:t xml:space="preserve">Townsville to </w:t>
            </w:r>
            <w:r>
              <w:rPr>
                <w:b w:val="0"/>
                <w:caps w:val="0"/>
                <w:color w:val="auto"/>
                <w:sz w:val="22"/>
              </w:rPr>
              <w:t>C</w:t>
            </w:r>
            <w:r w:rsidRPr="007A0F86">
              <w:rPr>
                <w:b w:val="0"/>
                <w:caps w:val="0"/>
                <w:color w:val="auto"/>
                <w:sz w:val="22"/>
              </w:rPr>
              <w:t>ooktown</w:t>
            </w:r>
          </w:p>
        </w:tc>
        <w:tc>
          <w:tcPr>
            <w:tcW w:w="3209" w:type="dxa"/>
          </w:tcPr>
          <w:p w14:paraId="3D669C73" w14:textId="77777777" w:rsidR="00334B38" w:rsidRPr="007A0F86" w:rsidRDefault="00334B38" w:rsidP="007322C4">
            <w:pPr>
              <w:pStyle w:val="ColumnHeading"/>
              <w:rPr>
                <w:b w:val="0"/>
                <w:color w:val="auto"/>
                <w:sz w:val="22"/>
              </w:rPr>
            </w:pPr>
            <w:r w:rsidRPr="007A0F86">
              <w:rPr>
                <w:b w:val="0"/>
                <w:color w:val="auto"/>
                <w:sz w:val="22"/>
              </w:rPr>
              <w:t>28</w:t>
            </w:r>
          </w:p>
        </w:tc>
        <w:tc>
          <w:tcPr>
            <w:tcW w:w="3210" w:type="dxa"/>
          </w:tcPr>
          <w:p w14:paraId="248CB1E2" w14:textId="77777777" w:rsidR="00334B38" w:rsidRPr="007A0F86" w:rsidRDefault="00334B38" w:rsidP="007322C4">
            <w:pPr>
              <w:pStyle w:val="ColumnHeading"/>
              <w:rPr>
                <w:b w:val="0"/>
                <w:color w:val="auto"/>
                <w:sz w:val="22"/>
              </w:rPr>
            </w:pPr>
            <w:r w:rsidRPr="007A0F86">
              <w:rPr>
                <w:b w:val="0"/>
                <w:color w:val="auto"/>
                <w:sz w:val="22"/>
              </w:rPr>
              <w:t>194.6</w:t>
            </w:r>
          </w:p>
        </w:tc>
      </w:tr>
      <w:tr w:rsidR="00334B38" w:rsidRPr="007A0F86" w14:paraId="655C59EC" w14:textId="77777777" w:rsidTr="007322C4">
        <w:tc>
          <w:tcPr>
            <w:tcW w:w="3209" w:type="dxa"/>
          </w:tcPr>
          <w:p w14:paraId="08695AE5" w14:textId="77777777" w:rsidR="00334B38" w:rsidRPr="007A0F86" w:rsidRDefault="00334B38" w:rsidP="007322C4">
            <w:pPr>
              <w:pStyle w:val="ColumnHeading"/>
              <w:rPr>
                <w:b w:val="0"/>
                <w:color w:val="auto"/>
                <w:sz w:val="22"/>
              </w:rPr>
            </w:pPr>
            <w:r w:rsidRPr="007A0F86">
              <w:rPr>
                <w:b w:val="0"/>
                <w:caps w:val="0"/>
                <w:color w:val="auto"/>
                <w:sz w:val="22"/>
              </w:rPr>
              <w:t xml:space="preserve">Townsville </w:t>
            </w:r>
            <w:r>
              <w:rPr>
                <w:b w:val="0"/>
                <w:caps w:val="0"/>
                <w:color w:val="auto"/>
                <w:sz w:val="22"/>
              </w:rPr>
              <w:t>S</w:t>
            </w:r>
            <w:r w:rsidRPr="007A0F86">
              <w:rPr>
                <w:b w:val="0"/>
                <w:caps w:val="0"/>
                <w:color w:val="auto"/>
                <w:sz w:val="22"/>
              </w:rPr>
              <w:t>th</w:t>
            </w:r>
          </w:p>
        </w:tc>
        <w:tc>
          <w:tcPr>
            <w:tcW w:w="3209" w:type="dxa"/>
          </w:tcPr>
          <w:p w14:paraId="4CD0A91B" w14:textId="77777777" w:rsidR="00334B38" w:rsidRPr="007A0F86" w:rsidRDefault="00334B38" w:rsidP="007322C4">
            <w:pPr>
              <w:pStyle w:val="ColumnHeading"/>
              <w:rPr>
                <w:b w:val="0"/>
                <w:color w:val="auto"/>
                <w:sz w:val="22"/>
              </w:rPr>
            </w:pPr>
            <w:r w:rsidRPr="007A0F86">
              <w:rPr>
                <w:b w:val="0"/>
                <w:color w:val="auto"/>
                <w:sz w:val="22"/>
              </w:rPr>
              <w:t>61</w:t>
            </w:r>
          </w:p>
        </w:tc>
        <w:tc>
          <w:tcPr>
            <w:tcW w:w="3210" w:type="dxa"/>
          </w:tcPr>
          <w:p w14:paraId="7BF44733" w14:textId="77777777" w:rsidR="00334B38" w:rsidRPr="007A0F86" w:rsidRDefault="00334B38" w:rsidP="007322C4">
            <w:pPr>
              <w:pStyle w:val="ColumnHeading"/>
              <w:rPr>
                <w:b w:val="0"/>
                <w:color w:val="auto"/>
                <w:sz w:val="22"/>
              </w:rPr>
            </w:pPr>
            <w:r w:rsidRPr="007A0F86">
              <w:rPr>
                <w:b w:val="0"/>
                <w:color w:val="auto"/>
                <w:sz w:val="22"/>
              </w:rPr>
              <w:t>87.7</w:t>
            </w:r>
          </w:p>
        </w:tc>
      </w:tr>
    </w:tbl>
    <w:p w14:paraId="22F2B03E" w14:textId="77777777" w:rsidR="00334B38" w:rsidRDefault="00334B38" w:rsidP="00334B38"/>
    <w:p w14:paraId="07C91E3C" w14:textId="7EC136D0" w:rsidR="00334B38" w:rsidRDefault="00334B38" w:rsidP="00334B38">
      <w:r>
        <w:t xml:space="preserve">At least 81% of the Black teatfish catch recorded in fishery logbooks was caught before the implementation of the rotational </w:t>
      </w:r>
      <w:r w:rsidR="00120518">
        <w:t>harvest</w:t>
      </w:r>
      <w:r>
        <w:t xml:space="preserve"> </w:t>
      </w:r>
      <w:r w:rsidR="00120518">
        <w:t>arrangement</w:t>
      </w:r>
      <w:r>
        <w:t xml:space="preserve"> in 2004 (5+ years of fishing) (</w:t>
      </w:r>
      <w:r w:rsidR="00120518">
        <w:t>RHA</w:t>
      </w:r>
      <w:r>
        <w:t xml:space="preserve"> – Section 5.1.1.) compared to 19% after (four years of fishing). Even though the catch and number of fishing years was lower after 2004 (with the fishery only opened in 2019), the catch was taken over more grids after 2004 than before – with 90% of the catch taken in 24 grids before 2004 compared to 27 grids after 2004 (</w:t>
      </w:r>
      <w:r>
        <w:fldChar w:fldCharType="begin"/>
      </w:r>
      <w:r>
        <w:instrText xml:space="preserve"> REF _Ref151553398 \h </w:instrText>
      </w:r>
      <w:r>
        <w:fldChar w:fldCharType="separate"/>
      </w:r>
      <w:r w:rsidR="004263D8">
        <w:t xml:space="preserve">Figure </w:t>
      </w:r>
      <w:r w:rsidR="004263D8">
        <w:rPr>
          <w:noProof/>
        </w:rPr>
        <w:t>18</w:t>
      </w:r>
      <w:r>
        <w:fldChar w:fldCharType="end"/>
      </w:r>
      <w:r>
        <w:t>). Additionally, less fishing was carried out in northern zones and more in southern ones after 2004 (</w:t>
      </w:r>
      <w:r>
        <w:fldChar w:fldCharType="begin"/>
      </w:r>
      <w:r>
        <w:instrText xml:space="preserve"> REF _Ref151553398 \h </w:instrText>
      </w:r>
      <w:r>
        <w:fldChar w:fldCharType="separate"/>
      </w:r>
      <w:r w:rsidR="004263D8">
        <w:t xml:space="preserve">Figure </w:t>
      </w:r>
      <w:r w:rsidR="004263D8">
        <w:rPr>
          <w:noProof/>
        </w:rPr>
        <w:t>18</w:t>
      </w:r>
      <w:r>
        <w:fldChar w:fldCharType="end"/>
      </w:r>
      <w:r>
        <w:t>)</w:t>
      </w:r>
      <w:r w:rsidR="00C950DB">
        <w:t>.</w:t>
      </w:r>
    </w:p>
    <w:p w14:paraId="59A369E5" w14:textId="77777777" w:rsidR="001A3F32" w:rsidRDefault="001A3F32" w:rsidP="00334B38"/>
    <w:p w14:paraId="7DCE577B" w14:textId="47687F01" w:rsidR="000D55D6" w:rsidRDefault="008F6CFE" w:rsidP="00DA16D9">
      <w:bookmarkStart w:id="99" w:name="_Ref144419922"/>
      <w:r>
        <w:rPr>
          <w:noProof/>
        </w:rPr>
        <w:drawing>
          <wp:inline distT="0" distB="0" distL="0" distR="0" wp14:anchorId="0C5D8E0C" wp14:editId="3F07BFA5">
            <wp:extent cx="5580000" cy="2497509"/>
            <wp:effectExtent l="0" t="0" r="1905" b="0"/>
            <wp:docPr id="1960630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580000" cy="2497509"/>
                    </a:xfrm>
                    <a:prstGeom prst="rect">
                      <a:avLst/>
                    </a:prstGeom>
                    <a:noFill/>
                  </pic:spPr>
                </pic:pic>
              </a:graphicData>
            </a:graphic>
          </wp:inline>
        </w:drawing>
      </w:r>
    </w:p>
    <w:p w14:paraId="15D0F74D" w14:textId="16759030" w:rsidR="00AA2B5D" w:rsidRDefault="00AA2B5D" w:rsidP="0096672D">
      <w:pPr>
        <w:pStyle w:val="Caption"/>
      </w:pPr>
      <w:bookmarkStart w:id="100" w:name="_Ref151553337"/>
      <w:bookmarkStart w:id="101" w:name="_Toc189044974"/>
      <w:r>
        <w:t xml:space="preserve">Figure </w:t>
      </w:r>
      <w:fldSimple w:instr=" SEQ Figure \* ARABIC ">
        <w:r w:rsidR="004263D8">
          <w:rPr>
            <w:noProof/>
          </w:rPr>
          <w:t>17</w:t>
        </w:r>
      </w:fldSimple>
      <w:bookmarkEnd w:id="99"/>
      <w:bookmarkEnd w:id="100"/>
      <w:r>
        <w:t xml:space="preserve">. </w:t>
      </w:r>
      <w:r w:rsidRPr="00AA2B5D">
        <w:t>Catch (tonnes</w:t>
      </w:r>
      <w:r w:rsidR="00A2367A">
        <w:t xml:space="preserve"> landed wt</w:t>
      </w:r>
      <w:r w:rsidRPr="00AA2B5D">
        <w:t xml:space="preserve">) of </w:t>
      </w:r>
      <w:r w:rsidR="00F977E9">
        <w:t>Black teatfish</w:t>
      </w:r>
      <w:r w:rsidRPr="00AA2B5D">
        <w:t xml:space="preserve"> in </w:t>
      </w:r>
      <w:r w:rsidR="00D0176E">
        <w:t xml:space="preserve">QSCF </w:t>
      </w:r>
      <w:r w:rsidR="006905CC">
        <w:t xml:space="preserve">for the period 1995-96 to 2022-23 in </w:t>
      </w:r>
      <w:r w:rsidR="00D0176E">
        <w:t>r</w:t>
      </w:r>
      <w:r w:rsidRPr="00AA2B5D">
        <w:t>eporting grid</w:t>
      </w:r>
      <w:r w:rsidR="00D0176E">
        <w:t>s</w:t>
      </w:r>
      <w:r w:rsidRPr="00AA2B5D">
        <w:t xml:space="preserve"> that comprise 70% (green) and 90% (green and blue) </w:t>
      </w:r>
      <w:r w:rsidR="00D0176E" w:rsidRPr="00AA2B5D">
        <w:t>of th</w:t>
      </w:r>
      <w:r w:rsidR="00D0176E">
        <w:t>e</w:t>
      </w:r>
      <w:r w:rsidR="00D0176E" w:rsidRPr="00AA2B5D">
        <w:t xml:space="preserve"> catch is taken </w:t>
      </w:r>
      <w:r w:rsidRPr="00AA2B5D">
        <w:t xml:space="preserve">and </w:t>
      </w:r>
      <w:r w:rsidR="00D0176E">
        <w:t xml:space="preserve">the remainder in all </w:t>
      </w:r>
      <w:r w:rsidRPr="00AA2B5D">
        <w:t>other reporting grids</w:t>
      </w:r>
      <w:r w:rsidR="00D0176E">
        <w:t xml:space="preserve"> </w:t>
      </w:r>
      <w:r w:rsidR="00D0176E" w:rsidRPr="00AA2B5D">
        <w:t>(red)</w:t>
      </w:r>
      <w:r w:rsidRPr="00AA2B5D">
        <w:t xml:space="preserve">. Grids are ordered from the </w:t>
      </w:r>
      <w:r w:rsidR="008F6CFE">
        <w:t>north</w:t>
      </w:r>
      <w:r w:rsidRPr="00AA2B5D">
        <w:t xml:space="preserve"> and </w:t>
      </w:r>
      <w:r w:rsidR="008F6CFE">
        <w:t>west</w:t>
      </w:r>
      <w:r w:rsidR="00D0176E">
        <w:t xml:space="preserve"> </w:t>
      </w:r>
      <w:r w:rsidR="006905CC">
        <w:t>(QSCF vessel logbook and buyer return data)</w:t>
      </w:r>
      <w:r w:rsidRPr="00AA2B5D">
        <w:t>.</w:t>
      </w:r>
      <w:bookmarkEnd w:id="101"/>
    </w:p>
    <w:p w14:paraId="0EA23FD9" w14:textId="1D5C3A71" w:rsidR="00DB093C" w:rsidRDefault="008F6CFE" w:rsidP="00D773A1">
      <w:pPr>
        <w:keepNext/>
      </w:pPr>
      <w:r>
        <w:rPr>
          <w:noProof/>
        </w:rPr>
        <w:lastRenderedPageBreak/>
        <w:drawing>
          <wp:inline distT="0" distB="0" distL="0" distR="0" wp14:anchorId="2A07CBC1" wp14:editId="26C3C275">
            <wp:extent cx="5400000" cy="2416944"/>
            <wp:effectExtent l="0" t="0" r="0" b="2540"/>
            <wp:docPr id="1590682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400000" cy="2416944"/>
                    </a:xfrm>
                    <a:prstGeom prst="rect">
                      <a:avLst/>
                    </a:prstGeom>
                    <a:noFill/>
                  </pic:spPr>
                </pic:pic>
              </a:graphicData>
            </a:graphic>
          </wp:inline>
        </w:drawing>
      </w:r>
    </w:p>
    <w:p w14:paraId="55786905" w14:textId="1012B2B6" w:rsidR="000D55D6" w:rsidRDefault="008F6CFE" w:rsidP="00484196">
      <w:bookmarkStart w:id="102" w:name="_Ref144421712"/>
      <w:r>
        <w:rPr>
          <w:noProof/>
        </w:rPr>
        <w:drawing>
          <wp:inline distT="0" distB="0" distL="0" distR="0" wp14:anchorId="2B3F36E5" wp14:editId="26D7256E">
            <wp:extent cx="5398763" cy="2191385"/>
            <wp:effectExtent l="0" t="0" r="0" b="0"/>
            <wp:docPr id="1218105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t="10154"/>
                    <a:stretch/>
                  </pic:blipFill>
                  <pic:spPr bwMode="auto">
                    <a:xfrm>
                      <a:off x="0" y="0"/>
                      <a:ext cx="5400000" cy="2191887"/>
                    </a:xfrm>
                    <a:prstGeom prst="rect">
                      <a:avLst/>
                    </a:prstGeom>
                    <a:noFill/>
                    <a:ln>
                      <a:noFill/>
                    </a:ln>
                    <a:extLst>
                      <a:ext uri="{53640926-AAD7-44D8-BBD7-CCE9431645EC}">
                        <a14:shadowObscured xmlns:a14="http://schemas.microsoft.com/office/drawing/2010/main"/>
                      </a:ext>
                    </a:extLst>
                  </pic:spPr>
                </pic:pic>
              </a:graphicData>
            </a:graphic>
          </wp:inline>
        </w:drawing>
      </w:r>
    </w:p>
    <w:p w14:paraId="1DA68B20" w14:textId="15E059EF" w:rsidR="00363655" w:rsidRDefault="00363655" w:rsidP="00363655">
      <w:pPr>
        <w:pStyle w:val="Caption"/>
      </w:pPr>
      <w:bookmarkStart w:id="103" w:name="_Ref151553398"/>
      <w:bookmarkStart w:id="104" w:name="_Toc189044975"/>
      <w:r>
        <w:t xml:space="preserve">Figure </w:t>
      </w:r>
      <w:fldSimple w:instr=" SEQ Figure \* ARABIC ">
        <w:r w:rsidR="004263D8">
          <w:rPr>
            <w:noProof/>
          </w:rPr>
          <w:t>18</w:t>
        </w:r>
      </w:fldSimple>
      <w:bookmarkEnd w:id="102"/>
      <w:bookmarkEnd w:id="103"/>
      <w:r>
        <w:t xml:space="preserve">. </w:t>
      </w:r>
      <w:r w:rsidRPr="00AA2B5D">
        <w:t>Catch (tonnes</w:t>
      </w:r>
      <w:r w:rsidR="00A2367A">
        <w:t xml:space="preserve"> landed wt</w:t>
      </w:r>
      <w:r w:rsidRPr="00AA2B5D">
        <w:t xml:space="preserve">) of </w:t>
      </w:r>
      <w:r w:rsidR="00312317">
        <w:t>Black teatfish</w:t>
      </w:r>
      <w:r>
        <w:t xml:space="preserve"> for the period 1995-96 to 2022-23</w:t>
      </w:r>
      <w:r w:rsidRPr="00AA2B5D">
        <w:t xml:space="preserve"> in </w:t>
      </w:r>
      <w:r>
        <w:t>the QSCF by r</w:t>
      </w:r>
      <w:r w:rsidRPr="00AA2B5D">
        <w:t>eporting grid</w:t>
      </w:r>
      <w:r>
        <w:t>s</w:t>
      </w:r>
      <w:r w:rsidRPr="00AA2B5D">
        <w:t xml:space="preserve"> that comprise 70% (green) and 90% (green and blue) of th</w:t>
      </w:r>
      <w:r>
        <w:t>e</w:t>
      </w:r>
      <w:r w:rsidRPr="00AA2B5D">
        <w:t xml:space="preserve"> catch and </w:t>
      </w:r>
      <w:r>
        <w:t xml:space="preserve">the remainder in all </w:t>
      </w:r>
      <w:r w:rsidRPr="00AA2B5D">
        <w:t>other reporting grids</w:t>
      </w:r>
      <w:r>
        <w:t xml:space="preserve"> </w:t>
      </w:r>
      <w:r w:rsidRPr="00AA2B5D">
        <w:t>(red)</w:t>
      </w:r>
      <w:r>
        <w:t xml:space="preserve"> A) before the implementation of the </w:t>
      </w:r>
      <w:r w:rsidR="00120518">
        <w:t>RHA</w:t>
      </w:r>
      <w:r>
        <w:t xml:space="preserve"> in 2004, and B) after</w:t>
      </w:r>
      <w:r w:rsidRPr="00AA2B5D">
        <w:t xml:space="preserve">. Grids are ordered from the </w:t>
      </w:r>
      <w:r w:rsidR="008F6CFE">
        <w:t>north</w:t>
      </w:r>
      <w:r w:rsidRPr="00AA2B5D">
        <w:t xml:space="preserve"> and </w:t>
      </w:r>
      <w:r w:rsidR="008F6CFE">
        <w:t>west</w:t>
      </w:r>
      <w:r w:rsidRPr="00AA2B5D">
        <w:t>.</w:t>
      </w:r>
      <w:r>
        <w:t xml:space="preserve"> (QSCF vessel logbook and buyer return data).</w:t>
      </w:r>
      <w:bookmarkEnd w:id="104"/>
    </w:p>
    <w:p w14:paraId="3B8EC3AD" w14:textId="77777777" w:rsidR="001E7EF5" w:rsidRPr="001E7EF5" w:rsidRDefault="001E7EF5" w:rsidP="001E7EF5"/>
    <w:p w14:paraId="384E46CA" w14:textId="77777777" w:rsidR="00363655" w:rsidRDefault="00363655" w:rsidP="00363655">
      <w:pPr>
        <w:sectPr w:rsidR="00363655" w:rsidSect="00B34418">
          <w:headerReference w:type="even" r:id="rId54"/>
          <w:headerReference w:type="default" r:id="rId55"/>
          <w:headerReference w:type="first" r:id="rId56"/>
          <w:pgSz w:w="11906" w:h="16838" w:code="9"/>
          <w:pgMar w:top="1134" w:right="1134" w:bottom="1134" w:left="1134" w:header="510" w:footer="624" w:gutter="0"/>
          <w:pgNumType w:start="1"/>
          <w:cols w:space="284"/>
          <w:docGrid w:linePitch="360"/>
        </w:sectPr>
      </w:pPr>
    </w:p>
    <w:p w14:paraId="59A070C7" w14:textId="483EA917" w:rsidR="00220C14" w:rsidRDefault="00931175" w:rsidP="00484196">
      <w:r>
        <w:rPr>
          <w:noProof/>
        </w:rPr>
        <w:lastRenderedPageBreak/>
        <w:drawing>
          <wp:inline distT="0" distB="0" distL="0" distR="0" wp14:anchorId="26E9BCA9" wp14:editId="51EDB21F">
            <wp:extent cx="4392000" cy="5088293"/>
            <wp:effectExtent l="0" t="0" r="8890" b="0"/>
            <wp:docPr id="177385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58203" name="Picture 1773858203"/>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4392000" cy="5088293"/>
                    </a:xfrm>
                    <a:prstGeom prst="rect">
                      <a:avLst/>
                    </a:prstGeom>
                    <a:ln>
                      <a:noFill/>
                    </a:ln>
                    <a:extLst>
                      <a:ext uri="{53640926-AAD7-44D8-BBD7-CCE9431645EC}">
                        <a14:shadowObscured xmlns:a14="http://schemas.microsoft.com/office/drawing/2010/main"/>
                      </a:ext>
                    </a:extLst>
                  </pic:spPr>
                </pic:pic>
              </a:graphicData>
            </a:graphic>
          </wp:inline>
        </w:drawing>
      </w:r>
    </w:p>
    <w:p w14:paraId="5E2CA1A9" w14:textId="6393EBCE" w:rsidR="00595201" w:rsidRDefault="00595201" w:rsidP="00595201">
      <w:pPr>
        <w:pStyle w:val="Caption"/>
      </w:pPr>
      <w:bookmarkStart w:id="105" w:name="_Ref144419916"/>
      <w:bookmarkStart w:id="106" w:name="_Toc189044976"/>
      <w:r>
        <w:t xml:space="preserve">Figure </w:t>
      </w:r>
      <w:fldSimple w:instr=" SEQ Figure \* ARABIC ">
        <w:r w:rsidR="004263D8">
          <w:rPr>
            <w:noProof/>
          </w:rPr>
          <w:t>19</w:t>
        </w:r>
      </w:fldSimple>
      <w:bookmarkEnd w:id="105"/>
      <w:r w:rsidRPr="00595201">
        <w:t>. Catch (t</w:t>
      </w:r>
      <w:r w:rsidR="00A2367A">
        <w:t>onnes landed wt</w:t>
      </w:r>
      <w:r w:rsidRPr="00595201">
        <w:t xml:space="preserve">) of </w:t>
      </w:r>
      <w:r w:rsidR="00931175">
        <w:t>Black teatfish</w:t>
      </w:r>
      <w:r w:rsidRPr="00595201">
        <w:t xml:space="preserve"> in QSCF for the period 1995-96 to 2022-23 in </w:t>
      </w:r>
      <w:r w:rsidR="0066472D">
        <w:t xml:space="preserve">fishery </w:t>
      </w:r>
      <w:r w:rsidRPr="00595201">
        <w:t>reporting grids that comprise 70% (green) and 90% (green and blue) of the catch</w:t>
      </w:r>
      <w:r>
        <w:t>. (QSCF vessel logbook and buyer return data)</w:t>
      </w:r>
      <w:bookmarkEnd w:id="106"/>
    </w:p>
    <w:p w14:paraId="7592E21F" w14:textId="487C4D35" w:rsidR="00595201" w:rsidRDefault="00475BF1" w:rsidP="00484196">
      <w:r>
        <w:rPr>
          <w:noProof/>
        </w:rPr>
        <w:drawing>
          <wp:inline distT="0" distB="0" distL="0" distR="0" wp14:anchorId="63AACAD6" wp14:editId="4D019CEB">
            <wp:extent cx="4392000" cy="5085474"/>
            <wp:effectExtent l="0" t="0" r="8890" b="1270"/>
            <wp:docPr id="926280574" name="Picture 4" descr="A map of the coast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80574" name="Picture 4" descr="A map of the coast of the pacific ocean&#10;&#10;Description automatically generated"/>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4392000" cy="5085474"/>
                    </a:xfrm>
                    <a:prstGeom prst="rect">
                      <a:avLst/>
                    </a:prstGeom>
                    <a:ln>
                      <a:noFill/>
                    </a:ln>
                    <a:extLst>
                      <a:ext uri="{53640926-AAD7-44D8-BBD7-CCE9431645EC}">
                        <a14:shadowObscured xmlns:a14="http://schemas.microsoft.com/office/drawing/2010/main"/>
                      </a:ext>
                    </a:extLst>
                  </pic:spPr>
                </pic:pic>
              </a:graphicData>
            </a:graphic>
          </wp:inline>
        </w:drawing>
      </w:r>
    </w:p>
    <w:p w14:paraId="1EF9ADB5" w14:textId="712161E6" w:rsidR="00595201" w:rsidRDefault="00595201" w:rsidP="00595201">
      <w:pPr>
        <w:pStyle w:val="Caption"/>
      </w:pPr>
      <w:bookmarkStart w:id="107" w:name="_Ref144419918"/>
      <w:bookmarkStart w:id="108" w:name="_Toc189044977"/>
      <w:r>
        <w:t xml:space="preserve">Figure </w:t>
      </w:r>
      <w:fldSimple w:instr=" SEQ Figure \* ARABIC ">
        <w:r w:rsidR="004263D8">
          <w:rPr>
            <w:noProof/>
          </w:rPr>
          <w:t>20</w:t>
        </w:r>
      </w:fldSimple>
      <w:bookmarkEnd w:id="107"/>
      <w:r>
        <w:t xml:space="preserve">. </w:t>
      </w:r>
      <w:r w:rsidRPr="00AA2B5D">
        <w:t>Catch (t</w:t>
      </w:r>
      <w:r w:rsidR="00A2367A">
        <w:t>onnes landed wt</w:t>
      </w:r>
      <w:r w:rsidRPr="00AA2B5D">
        <w:t xml:space="preserve">) of </w:t>
      </w:r>
      <w:r w:rsidR="00475BF1">
        <w:t>Black teatfish</w:t>
      </w:r>
      <w:r w:rsidRPr="00AA2B5D">
        <w:t xml:space="preserve"> </w:t>
      </w:r>
      <w:r w:rsidR="005F0748">
        <w:t xml:space="preserve">in the QSCF </w:t>
      </w:r>
      <w:r w:rsidRPr="00AA2B5D">
        <w:t>by rotational zone</w:t>
      </w:r>
      <w:r>
        <w:t xml:space="preserve"> for the period 1995-96 to 2022-23 (after Koopman and Knuckey, 2023). (QSCF vessel logbook and buyer return data).</w:t>
      </w:r>
      <w:bookmarkEnd w:id="108"/>
    </w:p>
    <w:p w14:paraId="182F52F4" w14:textId="32573760" w:rsidR="00220C14" w:rsidRPr="00E733E6" w:rsidRDefault="00220C14" w:rsidP="00E733E6"/>
    <w:p w14:paraId="2DFE72EC" w14:textId="77777777" w:rsidR="00363655" w:rsidRDefault="00363655" w:rsidP="00AA2B5D">
      <w:pPr>
        <w:sectPr w:rsidR="00363655" w:rsidSect="005D5EF2">
          <w:pgSz w:w="16838" w:h="11906" w:orient="landscape" w:code="9"/>
          <w:pgMar w:top="1134" w:right="1134" w:bottom="1134" w:left="1134" w:header="510" w:footer="624" w:gutter="0"/>
          <w:cols w:num="2" w:space="284"/>
          <w:docGrid w:linePitch="360"/>
        </w:sectPr>
      </w:pPr>
    </w:p>
    <w:p w14:paraId="37487E9C" w14:textId="0E8C9E73" w:rsidR="00CC4C7F" w:rsidRDefault="0081758A" w:rsidP="00A87F05">
      <w:pPr>
        <w:pStyle w:val="Heading3"/>
        <w:ind w:left="851" w:hanging="851"/>
      </w:pPr>
      <w:r>
        <w:lastRenderedPageBreak/>
        <w:t>White teatfish</w:t>
      </w:r>
    </w:p>
    <w:p w14:paraId="68AC1AC9" w14:textId="2957180C" w:rsidR="00CC4C7F" w:rsidRDefault="001401FA" w:rsidP="00AA2B5D">
      <w:r>
        <w:t>White teatfish</w:t>
      </w:r>
      <w:r w:rsidR="00363655">
        <w:t xml:space="preserve"> </w:t>
      </w:r>
      <w:r w:rsidR="00D976D4">
        <w:t>were only a minor component of the catch before 1995-96 (Damschke, 1997), however catches increased rapidly with the decline and closure of the Black teatfish fishery in 1999</w:t>
      </w:r>
      <w:r w:rsidR="00334B38">
        <w:t xml:space="preserve"> (Uthicke, 2004)</w:t>
      </w:r>
      <w:r w:rsidR="00D976D4">
        <w:t>.</w:t>
      </w:r>
      <w:r w:rsidR="00363655">
        <w:t xml:space="preserve"> The highest annual catch was </w:t>
      </w:r>
      <w:r w:rsidR="006F5F02">
        <w:t>150. 6</w:t>
      </w:r>
      <w:r w:rsidR="00363655">
        <w:t xml:space="preserve"> t in 200</w:t>
      </w:r>
      <w:r w:rsidR="006F5F02">
        <w:t>0</w:t>
      </w:r>
      <w:r w:rsidR="00363655">
        <w:t>-0</w:t>
      </w:r>
      <w:r w:rsidR="006F5F02">
        <w:t>1 (</w:t>
      </w:r>
      <w:fldSimple w:instr=" REF _Ref144256649 ">
        <w:r w:rsidR="004263D8">
          <w:t xml:space="preserve">Figure </w:t>
        </w:r>
        <w:r w:rsidR="004263D8">
          <w:rPr>
            <w:noProof/>
          </w:rPr>
          <w:t>21</w:t>
        </w:r>
      </w:fldSimple>
      <w:r w:rsidR="006F5F02">
        <w:t>)</w:t>
      </w:r>
      <w:r w:rsidR="00363655">
        <w:t>.</w:t>
      </w:r>
      <w:r w:rsidR="004F3D28">
        <w:t xml:space="preserve"> </w:t>
      </w:r>
      <w:r w:rsidR="00467E7E">
        <w:t>Species level TACs for White teatfish were implemented in 1999-2000 (127 t)</w:t>
      </w:r>
      <w:r w:rsidR="00334B38">
        <w:t>, and c</w:t>
      </w:r>
      <w:r w:rsidR="00467E7E">
        <w:t xml:space="preserve">atches after the peak in 2000-01 reduced generally in synchrony with reductions in White teatfish TACs (see Management history section and Appendix </w:t>
      </w:r>
      <w:r w:rsidR="00DB0EB4">
        <w:t>E</w:t>
      </w:r>
      <w:r w:rsidR="00467E7E">
        <w:t>) to the current 53 t TAC which was implemented in 2011-1</w:t>
      </w:r>
      <w:r w:rsidR="00823511">
        <w:t>2</w:t>
      </w:r>
      <w:r w:rsidR="00467E7E">
        <w:t xml:space="preserve">. </w:t>
      </w:r>
    </w:p>
    <w:p w14:paraId="19381F48" w14:textId="3BD38E0B" w:rsidR="001C521E" w:rsidRPr="00A35B3F" w:rsidRDefault="00C33AF4" w:rsidP="006905CC">
      <w:pPr>
        <w:keepNext/>
      </w:pPr>
      <w:r>
        <w:rPr>
          <w:noProof/>
        </w:rPr>
        <w:drawing>
          <wp:inline distT="0" distB="0" distL="0" distR="0" wp14:anchorId="7F76FEB6" wp14:editId="30D741BC">
            <wp:extent cx="5578475" cy="2885875"/>
            <wp:effectExtent l="0" t="0" r="3175" b="0"/>
            <wp:docPr id="1088834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cstate="print">
                      <a:extLst>
                        <a:ext uri="{28A0092B-C50C-407E-A947-70E740481C1C}">
                          <a14:useLocalDpi xmlns:a14="http://schemas.microsoft.com/office/drawing/2010/main"/>
                        </a:ext>
                      </a:extLst>
                    </a:blip>
                    <a:srcRect t="2801" b="2905"/>
                    <a:stretch/>
                  </pic:blipFill>
                  <pic:spPr bwMode="auto">
                    <a:xfrm>
                      <a:off x="0" y="0"/>
                      <a:ext cx="5580000" cy="2886664"/>
                    </a:xfrm>
                    <a:prstGeom prst="rect">
                      <a:avLst/>
                    </a:prstGeom>
                    <a:noFill/>
                    <a:ln>
                      <a:noFill/>
                    </a:ln>
                    <a:extLst>
                      <a:ext uri="{53640926-AAD7-44D8-BBD7-CCE9431645EC}">
                        <a14:shadowObscured xmlns:a14="http://schemas.microsoft.com/office/drawing/2010/main"/>
                      </a:ext>
                    </a:extLst>
                  </pic:spPr>
                </pic:pic>
              </a:graphicData>
            </a:graphic>
          </wp:inline>
        </w:drawing>
      </w:r>
    </w:p>
    <w:p w14:paraId="2869D9B1" w14:textId="13FAA3FF" w:rsidR="00D0176E" w:rsidRDefault="00D0176E" w:rsidP="0096672D">
      <w:pPr>
        <w:pStyle w:val="Caption"/>
      </w:pPr>
      <w:bookmarkStart w:id="109" w:name="_Ref144256649"/>
      <w:bookmarkStart w:id="110" w:name="_Toc189044978"/>
      <w:r>
        <w:t xml:space="preserve">Figure </w:t>
      </w:r>
      <w:fldSimple w:instr=" SEQ Figure \* ARABIC ">
        <w:r w:rsidR="004263D8">
          <w:rPr>
            <w:noProof/>
          </w:rPr>
          <w:t>21</w:t>
        </w:r>
      </w:fldSimple>
      <w:bookmarkEnd w:id="109"/>
      <w:r>
        <w:t xml:space="preserve">. </w:t>
      </w:r>
      <w:r w:rsidRPr="00AA2B5D">
        <w:t>Annual catch (tonnes</w:t>
      </w:r>
      <w:r w:rsidR="00A2367A">
        <w:t xml:space="preserve"> landed wt</w:t>
      </w:r>
      <w:r w:rsidRPr="00AA2B5D">
        <w:t xml:space="preserve">) of </w:t>
      </w:r>
      <w:r w:rsidR="00C33AF4">
        <w:t>White teatfish</w:t>
      </w:r>
      <w:r>
        <w:t xml:space="preserve"> in the QCSF</w:t>
      </w:r>
      <w:r w:rsidR="006905CC">
        <w:t xml:space="preserve"> for the period 1995-96 to 2022-23 (QSCF vessel logbook and buyer return data)</w:t>
      </w:r>
      <w:r>
        <w:t>.</w:t>
      </w:r>
      <w:bookmarkEnd w:id="110"/>
    </w:p>
    <w:p w14:paraId="5D4184C9" w14:textId="7C1C9E60" w:rsidR="004F3D28" w:rsidRPr="00245B4D" w:rsidRDefault="004F3D28" w:rsidP="004F3D28">
      <w:r w:rsidRPr="00245B4D">
        <w:t xml:space="preserve">About 70% of the catch of </w:t>
      </w:r>
      <w:r w:rsidR="00245B4D" w:rsidRPr="00245B4D">
        <w:t>White teatfish</w:t>
      </w:r>
      <w:r w:rsidRPr="00245B4D">
        <w:t xml:space="preserve"> came from </w:t>
      </w:r>
      <w:r w:rsidR="00245B4D" w:rsidRPr="00245B4D">
        <w:t>13</w:t>
      </w:r>
      <w:r w:rsidRPr="00245B4D">
        <w:t xml:space="preserve"> grids (</w:t>
      </w:r>
      <w:r w:rsidR="001F158C" w:rsidRPr="00245B4D">
        <w:fldChar w:fldCharType="begin"/>
      </w:r>
      <w:r w:rsidR="001F158C" w:rsidRPr="00245B4D">
        <w:instrText xml:space="preserve"> REF _Ref144422378 </w:instrText>
      </w:r>
      <w:r w:rsidR="00BF7134" w:rsidRPr="00245B4D">
        <w:instrText xml:space="preserve"> \* MERGEFORMAT </w:instrText>
      </w:r>
      <w:r w:rsidR="001F158C" w:rsidRPr="00245B4D">
        <w:fldChar w:fldCharType="separate"/>
      </w:r>
      <w:r w:rsidR="004263D8">
        <w:t xml:space="preserve">Figure </w:t>
      </w:r>
      <w:r w:rsidR="004263D8">
        <w:rPr>
          <w:noProof/>
        </w:rPr>
        <w:t>22</w:t>
      </w:r>
      <w:r w:rsidR="001F158C" w:rsidRPr="00245B4D">
        <w:rPr>
          <w:noProof/>
        </w:rPr>
        <w:fldChar w:fldCharType="end"/>
      </w:r>
      <w:r w:rsidRPr="00245B4D">
        <w:t xml:space="preserve">), and those plus an additional </w:t>
      </w:r>
      <w:r w:rsidR="00245B4D" w:rsidRPr="00245B4D">
        <w:t>14</w:t>
      </w:r>
      <w:r w:rsidRPr="00245B4D">
        <w:t xml:space="preserve"> grids accounted for more than 90% of the catch – which was about 25% of all grids that had some </w:t>
      </w:r>
      <w:r w:rsidR="00245B4D" w:rsidRPr="00245B4D">
        <w:t>White teatfish ca</w:t>
      </w:r>
      <w:r w:rsidRPr="00245B4D">
        <w:t xml:space="preserve">tch. The highest catch was from grid </w:t>
      </w:r>
      <w:r w:rsidR="00245B4D" w:rsidRPr="00245B4D">
        <w:t>H12</w:t>
      </w:r>
      <w:r w:rsidR="00334B38">
        <w:t xml:space="preserve"> just north of Cooktown</w:t>
      </w:r>
      <w:r w:rsidRPr="00245B4D">
        <w:t xml:space="preserve"> at </w:t>
      </w:r>
      <w:r w:rsidR="00245B4D" w:rsidRPr="00245B4D">
        <w:t>176.9</w:t>
      </w:r>
      <w:r w:rsidRPr="00245B4D">
        <w:t xml:space="preserve"> t (</w:t>
      </w:r>
      <w:r w:rsidR="001F158C" w:rsidRPr="00245B4D">
        <w:fldChar w:fldCharType="begin"/>
      </w:r>
      <w:r w:rsidR="001F158C" w:rsidRPr="00245B4D">
        <w:instrText xml:space="preserve"> REF _Ref144422378 </w:instrText>
      </w:r>
      <w:r w:rsidR="00BF7134" w:rsidRPr="00245B4D">
        <w:instrText xml:space="preserve"> \* MERGEFORMAT </w:instrText>
      </w:r>
      <w:r w:rsidR="001F158C" w:rsidRPr="00245B4D">
        <w:fldChar w:fldCharType="separate"/>
      </w:r>
      <w:r w:rsidR="004263D8">
        <w:t xml:space="preserve">Figure </w:t>
      </w:r>
      <w:r w:rsidR="004263D8">
        <w:rPr>
          <w:noProof/>
        </w:rPr>
        <w:t>22</w:t>
      </w:r>
      <w:r w:rsidR="001F158C" w:rsidRPr="00245B4D">
        <w:rPr>
          <w:noProof/>
        </w:rPr>
        <w:fldChar w:fldCharType="end"/>
      </w:r>
      <w:r w:rsidRPr="00245B4D">
        <w:t xml:space="preserve">). </w:t>
      </w:r>
    </w:p>
    <w:p w14:paraId="358FFF84" w14:textId="1C3EEB27" w:rsidR="004F3D28" w:rsidRDefault="004F3D28" w:rsidP="004F3D28">
      <w:r w:rsidRPr="00245B4D">
        <w:t xml:space="preserve">The highest catches occurred in the central GBR, between Townsville and </w:t>
      </w:r>
      <w:r w:rsidR="00245B4D" w:rsidRPr="00245B4D">
        <w:t>Cape Melville</w:t>
      </w:r>
      <w:r w:rsidR="00334B38">
        <w:t xml:space="preserve"> (</w:t>
      </w:r>
      <w:r w:rsidR="00334B38" w:rsidRPr="009424C1">
        <w:t>1</w:t>
      </w:r>
      <w:r w:rsidR="00334B38">
        <w:t>4</w:t>
      </w:r>
      <w:r w:rsidR="00334B38" w:rsidRPr="009424C1">
        <w:t>˚S</w:t>
      </w:r>
      <w:r w:rsidR="00334B38">
        <w:t>)</w:t>
      </w:r>
      <w:r w:rsidRPr="00245B4D">
        <w:t>, with isolated high catch grids in the northern GBR (</w:t>
      </w:r>
      <w:r w:rsidR="001F158C" w:rsidRPr="00245B4D">
        <w:fldChar w:fldCharType="begin"/>
      </w:r>
      <w:r w:rsidR="001F158C" w:rsidRPr="00245B4D">
        <w:instrText xml:space="preserve"> REF _Ref144422727 </w:instrText>
      </w:r>
      <w:r w:rsidR="00BF7134" w:rsidRPr="00245B4D">
        <w:instrText xml:space="preserve"> \* MERGEFORMAT </w:instrText>
      </w:r>
      <w:r w:rsidR="001F158C" w:rsidRPr="00245B4D">
        <w:fldChar w:fldCharType="separate"/>
      </w:r>
      <w:r w:rsidR="004263D8">
        <w:t xml:space="preserve">Figure </w:t>
      </w:r>
      <w:r w:rsidR="004263D8">
        <w:rPr>
          <w:noProof/>
        </w:rPr>
        <w:t>24</w:t>
      </w:r>
      <w:r w:rsidR="001F158C" w:rsidRPr="00245B4D">
        <w:rPr>
          <w:noProof/>
        </w:rPr>
        <w:fldChar w:fldCharType="end"/>
      </w:r>
      <w:r w:rsidR="006E679B">
        <w:rPr>
          <w:noProof/>
        </w:rPr>
        <w:t xml:space="preserve">; </w:t>
      </w:r>
      <w:r w:rsidR="006E679B">
        <w:rPr>
          <w:noProof/>
        </w:rPr>
        <w:fldChar w:fldCharType="begin"/>
      </w:r>
      <w:r w:rsidR="006E679B">
        <w:rPr>
          <w:noProof/>
        </w:rPr>
        <w:instrText xml:space="preserve"> REF _Ref169521342 </w:instrText>
      </w:r>
      <w:r w:rsidR="006E679B">
        <w:rPr>
          <w:noProof/>
        </w:rPr>
        <w:fldChar w:fldCharType="separate"/>
      </w:r>
      <w:r w:rsidR="004263D8">
        <w:t xml:space="preserve">Table </w:t>
      </w:r>
      <w:r w:rsidR="004263D8">
        <w:rPr>
          <w:noProof/>
        </w:rPr>
        <w:t>4</w:t>
      </w:r>
      <w:r w:rsidR="006E679B">
        <w:rPr>
          <w:noProof/>
        </w:rPr>
        <w:fldChar w:fldCharType="end"/>
      </w:r>
      <w:r w:rsidRPr="00245B4D">
        <w:t xml:space="preserve">). Catch by </w:t>
      </w:r>
      <w:r w:rsidR="00120518">
        <w:t>RHA</w:t>
      </w:r>
      <w:r w:rsidRPr="00245B4D">
        <w:t xml:space="preserve"> zone also shows the majority of the catch coming from the central region of the GBR</w:t>
      </w:r>
      <w:r w:rsidR="00245B4D" w:rsidRPr="00245B4D">
        <w:t>, with significant catches in the northern GBR and offshore reefs</w:t>
      </w:r>
      <w:r w:rsidRPr="00245B4D">
        <w:t xml:space="preserve"> (</w:t>
      </w:r>
      <w:r w:rsidR="00245B4D" w:rsidRPr="00245B4D">
        <w:fldChar w:fldCharType="begin"/>
      </w:r>
      <w:r w:rsidR="00245B4D" w:rsidRPr="00245B4D">
        <w:instrText xml:space="preserve"> REF _Ref169521159 </w:instrText>
      </w:r>
      <w:r w:rsidR="00245B4D">
        <w:instrText xml:space="preserve"> \* MERGEFORMAT </w:instrText>
      </w:r>
      <w:r w:rsidR="00245B4D" w:rsidRPr="00245B4D">
        <w:fldChar w:fldCharType="separate"/>
      </w:r>
      <w:r w:rsidR="004263D8">
        <w:t xml:space="preserve">Figure </w:t>
      </w:r>
      <w:r w:rsidR="004263D8">
        <w:rPr>
          <w:noProof/>
        </w:rPr>
        <w:t>25</w:t>
      </w:r>
      <w:r w:rsidR="00245B4D" w:rsidRPr="00245B4D">
        <w:fldChar w:fldCharType="end"/>
      </w:r>
      <w:r w:rsidRPr="00245B4D">
        <w:t>).</w:t>
      </w:r>
      <w:r w:rsidR="006B354F">
        <w:t xml:space="preserve"> Very little catch comes from</w:t>
      </w:r>
      <w:r w:rsidR="00334B38">
        <w:t xml:space="preserve"> </w:t>
      </w:r>
      <w:r w:rsidR="006B354F">
        <w:tab/>
        <w:t xml:space="preserve">the southern GBR (south of Townsville at about </w:t>
      </w:r>
      <w:r w:rsidR="006B354F" w:rsidRPr="009424C1">
        <w:t>19˚ 30’S</w:t>
      </w:r>
      <w:r w:rsidR="006B354F">
        <w:t xml:space="preserve"> (</w:t>
      </w:r>
      <w:r w:rsidR="006B354F" w:rsidRPr="00245B4D">
        <w:fldChar w:fldCharType="begin"/>
      </w:r>
      <w:r w:rsidR="006B354F" w:rsidRPr="00245B4D">
        <w:instrText xml:space="preserve"> REF _Ref169521159 </w:instrText>
      </w:r>
      <w:r w:rsidR="006B354F">
        <w:instrText xml:space="preserve"> \* MERGEFORMAT </w:instrText>
      </w:r>
      <w:r w:rsidR="006B354F" w:rsidRPr="00245B4D">
        <w:fldChar w:fldCharType="separate"/>
      </w:r>
      <w:r w:rsidR="004263D8">
        <w:t xml:space="preserve">Figure </w:t>
      </w:r>
      <w:r w:rsidR="004263D8">
        <w:rPr>
          <w:noProof/>
        </w:rPr>
        <w:t>25</w:t>
      </w:r>
      <w:r w:rsidR="006B354F" w:rsidRPr="00245B4D">
        <w:fldChar w:fldCharType="end"/>
      </w:r>
      <w:r w:rsidR="006B354F">
        <w:t>; Koopman and Knuckey, 2021).</w:t>
      </w:r>
      <w:r w:rsidR="00E26581">
        <w:t xml:space="preserve"> The offshore reefs (Ashmore and Boot, Marion and Saumarez Reefs), while only making up 3 zones, still provide a significant level of catch (</w:t>
      </w:r>
      <w:r w:rsidR="00E26581">
        <w:rPr>
          <w:noProof/>
        </w:rPr>
        <w:fldChar w:fldCharType="begin"/>
      </w:r>
      <w:r w:rsidR="00E26581">
        <w:rPr>
          <w:noProof/>
        </w:rPr>
        <w:instrText xml:space="preserve"> REF _Ref169521342 </w:instrText>
      </w:r>
      <w:r w:rsidR="00E26581">
        <w:rPr>
          <w:noProof/>
        </w:rPr>
        <w:fldChar w:fldCharType="separate"/>
      </w:r>
      <w:r w:rsidR="004263D8">
        <w:t xml:space="preserve">Table </w:t>
      </w:r>
      <w:r w:rsidR="004263D8">
        <w:rPr>
          <w:noProof/>
        </w:rPr>
        <w:t>4</w:t>
      </w:r>
      <w:r w:rsidR="00E26581">
        <w:rPr>
          <w:noProof/>
        </w:rPr>
        <w:fldChar w:fldCharType="end"/>
      </w:r>
      <w:r w:rsidR="00E26581">
        <w:rPr>
          <w:noProof/>
        </w:rPr>
        <w:t>)</w:t>
      </w:r>
      <w:r w:rsidR="00E26581">
        <w:t xml:space="preserve">. </w:t>
      </w:r>
    </w:p>
    <w:p w14:paraId="52B3BC5D" w14:textId="0E8047C1" w:rsidR="004B1E0C" w:rsidRDefault="004B1E0C" w:rsidP="004B1E0C">
      <w:r>
        <w:t xml:space="preserve">About 43% of the White teatfish catch was caught before the implementation of the rotational zone scheme in 2004 (over nine years of fishing; </w:t>
      </w:r>
      <w:r>
        <w:fldChar w:fldCharType="begin"/>
      </w:r>
      <w:r>
        <w:instrText xml:space="preserve"> REF _Ref144256649 \h </w:instrText>
      </w:r>
      <w:r>
        <w:fldChar w:fldCharType="separate"/>
      </w:r>
      <w:r w:rsidR="004263D8">
        <w:t xml:space="preserve">Figure </w:t>
      </w:r>
      <w:r w:rsidR="004263D8">
        <w:rPr>
          <w:noProof/>
        </w:rPr>
        <w:t>21</w:t>
      </w:r>
      <w:r>
        <w:fldChar w:fldCharType="end"/>
      </w:r>
      <w:r>
        <w:t>) (</w:t>
      </w:r>
      <w:r w:rsidR="00120518">
        <w:t>RHA</w:t>
      </w:r>
      <w:r>
        <w:t xml:space="preserve"> – Section 5.1.1.) compared to 57% after (over 19 years of fishing; </w:t>
      </w:r>
      <w:r>
        <w:fldChar w:fldCharType="begin"/>
      </w:r>
      <w:r>
        <w:instrText xml:space="preserve"> REF _Ref144256649 \h </w:instrText>
      </w:r>
      <w:r>
        <w:fldChar w:fldCharType="separate"/>
      </w:r>
      <w:r w:rsidR="004263D8">
        <w:t xml:space="preserve">Figure </w:t>
      </w:r>
      <w:r w:rsidR="004263D8">
        <w:rPr>
          <w:noProof/>
        </w:rPr>
        <w:t>21</w:t>
      </w:r>
      <w:r>
        <w:fldChar w:fldCharType="end"/>
      </w:r>
      <w:r>
        <w:t>). The catch was taken over more grids after 2004 than before – with 90% of the catch taken in 18 grids before 2004 versus 30 grids after 2004 (</w:t>
      </w:r>
      <w:r>
        <w:fldChar w:fldCharType="begin"/>
      </w:r>
      <w:r>
        <w:instrText xml:space="preserve"> REF _Ref164697524 \h </w:instrText>
      </w:r>
      <w:r>
        <w:fldChar w:fldCharType="separate"/>
      </w:r>
      <w:r w:rsidR="004263D8">
        <w:t xml:space="preserve">Figure </w:t>
      </w:r>
      <w:r w:rsidR="004263D8">
        <w:rPr>
          <w:noProof/>
        </w:rPr>
        <w:t>23</w:t>
      </w:r>
      <w:r>
        <w:fldChar w:fldCharType="end"/>
      </w:r>
      <w:r>
        <w:t xml:space="preserve">). Before 2004, there was no significant harvest of White </w:t>
      </w:r>
      <w:r w:rsidR="000571D0">
        <w:t>t</w:t>
      </w:r>
      <w:r>
        <w:t>eatfish south of Townsville, and even after, the catch in the southern zone was 10% or less.</w:t>
      </w:r>
    </w:p>
    <w:p w14:paraId="1C2F10EC" w14:textId="4EC92DEE" w:rsidR="004B1E0C" w:rsidRDefault="004B1E0C" w:rsidP="004B1E0C">
      <w:pPr>
        <w:pStyle w:val="Caption"/>
      </w:pPr>
      <w:bookmarkStart w:id="111" w:name="_Ref169521342"/>
      <w:bookmarkStart w:id="112" w:name="_Toc189045000"/>
      <w:r>
        <w:t xml:space="preserve">Table </w:t>
      </w:r>
      <w:fldSimple w:instr=" SEQ Table \* ARABIC ">
        <w:r w:rsidR="004263D8">
          <w:rPr>
            <w:noProof/>
          </w:rPr>
          <w:t>4</w:t>
        </w:r>
      </w:fldSimple>
      <w:bookmarkEnd w:id="111"/>
      <w:r>
        <w:t xml:space="preserve">. Catch of White teatfish in </w:t>
      </w:r>
      <w:r w:rsidR="00A51B23">
        <w:t>four</w:t>
      </w:r>
      <w:r>
        <w:t xml:space="preserve"> areas of the fishery.</w:t>
      </w:r>
      <w:bookmarkEnd w:id="112"/>
    </w:p>
    <w:tbl>
      <w:tblPr>
        <w:tblStyle w:val="TableProfessional"/>
        <w:tblW w:w="0" w:type="auto"/>
        <w:tblLook w:val="0620" w:firstRow="1" w:lastRow="0" w:firstColumn="0" w:lastColumn="0" w:noHBand="1" w:noVBand="1"/>
      </w:tblPr>
      <w:tblGrid>
        <w:gridCol w:w="3207"/>
        <w:gridCol w:w="3207"/>
        <w:gridCol w:w="3208"/>
      </w:tblGrid>
      <w:tr w:rsidR="004B1E0C" w:rsidRPr="00E26581" w14:paraId="3C81942A" w14:textId="77777777" w:rsidTr="007322C4">
        <w:trPr>
          <w:cnfStyle w:val="100000000000" w:firstRow="1" w:lastRow="0" w:firstColumn="0" w:lastColumn="0" w:oddVBand="0" w:evenVBand="0" w:oddHBand="0" w:evenHBand="0" w:firstRowFirstColumn="0" w:firstRowLastColumn="0" w:lastRowFirstColumn="0" w:lastRowLastColumn="0"/>
        </w:trPr>
        <w:tc>
          <w:tcPr>
            <w:tcW w:w="3209" w:type="dxa"/>
          </w:tcPr>
          <w:p w14:paraId="54A8E21C" w14:textId="77777777" w:rsidR="004B1E0C" w:rsidRPr="00E26581" w:rsidRDefault="004B1E0C" w:rsidP="007322C4">
            <w:pPr>
              <w:pStyle w:val="ColumnHeading"/>
              <w:rPr>
                <w:b w:val="0"/>
                <w:sz w:val="22"/>
              </w:rPr>
            </w:pPr>
            <w:r w:rsidRPr="00E26581">
              <w:rPr>
                <w:b w:val="0"/>
                <w:sz w:val="22"/>
              </w:rPr>
              <w:t>Region</w:t>
            </w:r>
          </w:p>
        </w:tc>
        <w:tc>
          <w:tcPr>
            <w:tcW w:w="3209" w:type="dxa"/>
          </w:tcPr>
          <w:p w14:paraId="6DF724BC" w14:textId="77777777" w:rsidR="004B1E0C" w:rsidRPr="00E26581" w:rsidRDefault="004B1E0C" w:rsidP="00A51B23">
            <w:pPr>
              <w:pStyle w:val="ColumnHeading"/>
              <w:jc w:val="center"/>
              <w:rPr>
                <w:b w:val="0"/>
                <w:sz w:val="22"/>
              </w:rPr>
            </w:pPr>
            <w:r w:rsidRPr="00E26581">
              <w:rPr>
                <w:b w:val="0"/>
                <w:sz w:val="22"/>
              </w:rPr>
              <w:t>Zones</w:t>
            </w:r>
          </w:p>
        </w:tc>
        <w:tc>
          <w:tcPr>
            <w:tcW w:w="3210" w:type="dxa"/>
          </w:tcPr>
          <w:p w14:paraId="3D4934F6" w14:textId="77777777" w:rsidR="004B1E0C" w:rsidRPr="00E26581" w:rsidRDefault="004B1E0C" w:rsidP="00A51B23">
            <w:pPr>
              <w:pStyle w:val="ColumnHeading"/>
              <w:jc w:val="center"/>
              <w:rPr>
                <w:b w:val="0"/>
                <w:sz w:val="22"/>
              </w:rPr>
            </w:pPr>
            <w:r w:rsidRPr="00E26581">
              <w:rPr>
                <w:b w:val="0"/>
                <w:sz w:val="22"/>
              </w:rPr>
              <w:t>Catch (t)</w:t>
            </w:r>
          </w:p>
        </w:tc>
      </w:tr>
      <w:tr w:rsidR="004B1E0C" w:rsidRPr="00E26581" w14:paraId="35A74348" w14:textId="77777777" w:rsidTr="007322C4">
        <w:tc>
          <w:tcPr>
            <w:tcW w:w="3209" w:type="dxa"/>
          </w:tcPr>
          <w:p w14:paraId="521DDE15" w14:textId="744BD74A" w:rsidR="004B1E0C" w:rsidRPr="00E26581" w:rsidRDefault="006001FE" w:rsidP="007322C4">
            <w:pPr>
              <w:pStyle w:val="ColumnHeading"/>
              <w:rPr>
                <w:b w:val="0"/>
                <w:color w:val="auto"/>
                <w:sz w:val="22"/>
              </w:rPr>
            </w:pPr>
            <w:r w:rsidRPr="00E26581">
              <w:rPr>
                <w:b w:val="0"/>
                <w:caps w:val="0"/>
                <w:color w:val="auto"/>
                <w:sz w:val="22"/>
              </w:rPr>
              <w:t>Cooktown Nth</w:t>
            </w:r>
          </w:p>
        </w:tc>
        <w:tc>
          <w:tcPr>
            <w:tcW w:w="3209" w:type="dxa"/>
          </w:tcPr>
          <w:p w14:paraId="5EDDA8C3" w14:textId="77777777" w:rsidR="004B1E0C" w:rsidRPr="00E26581" w:rsidRDefault="004B1E0C" w:rsidP="00A51B23">
            <w:pPr>
              <w:pStyle w:val="ColumnHeading"/>
              <w:jc w:val="center"/>
              <w:rPr>
                <w:b w:val="0"/>
                <w:color w:val="auto"/>
                <w:sz w:val="22"/>
              </w:rPr>
            </w:pPr>
            <w:r w:rsidRPr="00E26581">
              <w:rPr>
                <w:b w:val="0"/>
                <w:color w:val="auto"/>
                <w:sz w:val="22"/>
              </w:rPr>
              <w:t>55</w:t>
            </w:r>
          </w:p>
        </w:tc>
        <w:tc>
          <w:tcPr>
            <w:tcW w:w="3210" w:type="dxa"/>
          </w:tcPr>
          <w:p w14:paraId="78A03892" w14:textId="77777777" w:rsidR="004B1E0C" w:rsidRPr="00E26581" w:rsidRDefault="004B1E0C" w:rsidP="00A51B23">
            <w:pPr>
              <w:pStyle w:val="ColumnHeading"/>
              <w:jc w:val="center"/>
              <w:rPr>
                <w:b w:val="0"/>
                <w:color w:val="auto"/>
                <w:sz w:val="22"/>
              </w:rPr>
            </w:pPr>
            <w:r w:rsidRPr="00E26581">
              <w:rPr>
                <w:b w:val="0"/>
                <w:color w:val="auto"/>
                <w:sz w:val="22"/>
              </w:rPr>
              <w:t>694.6</w:t>
            </w:r>
          </w:p>
        </w:tc>
      </w:tr>
      <w:tr w:rsidR="004B1E0C" w:rsidRPr="00E26581" w14:paraId="481F07F7" w14:textId="77777777" w:rsidTr="007322C4">
        <w:tc>
          <w:tcPr>
            <w:tcW w:w="3209" w:type="dxa"/>
          </w:tcPr>
          <w:p w14:paraId="6CCCFFF0" w14:textId="38BB7331" w:rsidR="004B1E0C" w:rsidRPr="00E26581" w:rsidRDefault="006001FE" w:rsidP="007322C4">
            <w:pPr>
              <w:pStyle w:val="ColumnHeading"/>
              <w:rPr>
                <w:b w:val="0"/>
                <w:color w:val="auto"/>
                <w:sz w:val="22"/>
              </w:rPr>
            </w:pPr>
            <w:r w:rsidRPr="00E26581">
              <w:rPr>
                <w:b w:val="0"/>
                <w:caps w:val="0"/>
                <w:color w:val="auto"/>
                <w:sz w:val="22"/>
              </w:rPr>
              <w:t>Townsville to Cooktown</w:t>
            </w:r>
          </w:p>
        </w:tc>
        <w:tc>
          <w:tcPr>
            <w:tcW w:w="3209" w:type="dxa"/>
          </w:tcPr>
          <w:p w14:paraId="0F8391C7" w14:textId="77777777" w:rsidR="004B1E0C" w:rsidRPr="00E26581" w:rsidRDefault="004B1E0C" w:rsidP="00A51B23">
            <w:pPr>
              <w:pStyle w:val="ColumnHeading"/>
              <w:jc w:val="center"/>
              <w:rPr>
                <w:b w:val="0"/>
                <w:color w:val="auto"/>
                <w:sz w:val="22"/>
              </w:rPr>
            </w:pPr>
            <w:r w:rsidRPr="00E26581">
              <w:rPr>
                <w:b w:val="0"/>
                <w:color w:val="auto"/>
                <w:sz w:val="22"/>
              </w:rPr>
              <w:t>35</w:t>
            </w:r>
          </w:p>
        </w:tc>
        <w:tc>
          <w:tcPr>
            <w:tcW w:w="3210" w:type="dxa"/>
          </w:tcPr>
          <w:p w14:paraId="457C2EDF" w14:textId="77777777" w:rsidR="004B1E0C" w:rsidRPr="00E26581" w:rsidRDefault="004B1E0C" w:rsidP="00A51B23">
            <w:pPr>
              <w:pStyle w:val="ColumnHeading"/>
              <w:jc w:val="center"/>
              <w:rPr>
                <w:b w:val="0"/>
                <w:color w:val="auto"/>
                <w:sz w:val="22"/>
              </w:rPr>
            </w:pPr>
            <w:r w:rsidRPr="00E26581">
              <w:rPr>
                <w:b w:val="0"/>
                <w:color w:val="auto"/>
                <w:sz w:val="22"/>
              </w:rPr>
              <w:t>712.6</w:t>
            </w:r>
          </w:p>
        </w:tc>
      </w:tr>
      <w:tr w:rsidR="004B1E0C" w:rsidRPr="00E26581" w14:paraId="38C00A40" w14:textId="77777777" w:rsidTr="007322C4">
        <w:tc>
          <w:tcPr>
            <w:tcW w:w="3209" w:type="dxa"/>
          </w:tcPr>
          <w:p w14:paraId="6981583C" w14:textId="5C77CBFA" w:rsidR="004B1E0C" w:rsidRPr="00E26581" w:rsidRDefault="006001FE" w:rsidP="007322C4">
            <w:pPr>
              <w:pStyle w:val="ColumnHeading"/>
              <w:rPr>
                <w:b w:val="0"/>
                <w:color w:val="auto"/>
                <w:sz w:val="22"/>
              </w:rPr>
            </w:pPr>
            <w:r w:rsidRPr="00E26581">
              <w:rPr>
                <w:b w:val="0"/>
                <w:caps w:val="0"/>
                <w:color w:val="auto"/>
                <w:sz w:val="22"/>
              </w:rPr>
              <w:t>Townsville Sth</w:t>
            </w:r>
          </w:p>
        </w:tc>
        <w:tc>
          <w:tcPr>
            <w:tcW w:w="3209" w:type="dxa"/>
          </w:tcPr>
          <w:p w14:paraId="2222D6E8" w14:textId="77777777" w:rsidR="004B1E0C" w:rsidRPr="00E26581" w:rsidRDefault="004B1E0C" w:rsidP="00A51B23">
            <w:pPr>
              <w:pStyle w:val="ColumnHeading"/>
              <w:jc w:val="center"/>
              <w:rPr>
                <w:b w:val="0"/>
                <w:color w:val="auto"/>
                <w:sz w:val="22"/>
              </w:rPr>
            </w:pPr>
            <w:r w:rsidRPr="00E26581">
              <w:rPr>
                <w:b w:val="0"/>
                <w:color w:val="auto"/>
                <w:sz w:val="22"/>
              </w:rPr>
              <w:t>78</w:t>
            </w:r>
          </w:p>
        </w:tc>
        <w:tc>
          <w:tcPr>
            <w:tcW w:w="3210" w:type="dxa"/>
          </w:tcPr>
          <w:p w14:paraId="2D9B4558" w14:textId="77777777" w:rsidR="004B1E0C" w:rsidRPr="00E26581" w:rsidRDefault="004B1E0C" w:rsidP="00A51B23">
            <w:pPr>
              <w:pStyle w:val="ColumnHeading"/>
              <w:jc w:val="center"/>
              <w:rPr>
                <w:b w:val="0"/>
                <w:color w:val="auto"/>
                <w:sz w:val="22"/>
              </w:rPr>
            </w:pPr>
            <w:r w:rsidRPr="00E26581">
              <w:rPr>
                <w:b w:val="0"/>
                <w:color w:val="auto"/>
                <w:sz w:val="22"/>
              </w:rPr>
              <w:t>164.5</w:t>
            </w:r>
          </w:p>
        </w:tc>
      </w:tr>
      <w:tr w:rsidR="004B1E0C" w:rsidRPr="00E26581" w14:paraId="30798E26" w14:textId="77777777" w:rsidTr="007322C4">
        <w:tc>
          <w:tcPr>
            <w:tcW w:w="3209" w:type="dxa"/>
          </w:tcPr>
          <w:p w14:paraId="3A560574" w14:textId="1694C2A7" w:rsidR="004B1E0C" w:rsidRPr="00E26581" w:rsidRDefault="006001FE" w:rsidP="007322C4">
            <w:pPr>
              <w:pStyle w:val="ColumnHeading"/>
              <w:rPr>
                <w:b w:val="0"/>
                <w:color w:val="auto"/>
                <w:sz w:val="22"/>
              </w:rPr>
            </w:pPr>
            <w:r w:rsidRPr="00E26581">
              <w:rPr>
                <w:b w:val="0"/>
                <w:caps w:val="0"/>
                <w:color w:val="auto"/>
                <w:sz w:val="22"/>
              </w:rPr>
              <w:t>Offshore reefs</w:t>
            </w:r>
          </w:p>
        </w:tc>
        <w:tc>
          <w:tcPr>
            <w:tcW w:w="3209" w:type="dxa"/>
          </w:tcPr>
          <w:p w14:paraId="111C0291" w14:textId="4B195F7A" w:rsidR="004B1E0C" w:rsidRPr="00E26581" w:rsidRDefault="00A51B23" w:rsidP="00A51B23">
            <w:pPr>
              <w:pStyle w:val="ColumnHeading"/>
              <w:jc w:val="center"/>
              <w:rPr>
                <w:b w:val="0"/>
                <w:color w:val="auto"/>
                <w:sz w:val="22"/>
              </w:rPr>
            </w:pPr>
            <w:r w:rsidRPr="00E26581">
              <w:rPr>
                <w:b w:val="0"/>
                <w:color w:val="auto"/>
                <w:sz w:val="22"/>
              </w:rPr>
              <w:t>3</w:t>
            </w:r>
          </w:p>
        </w:tc>
        <w:tc>
          <w:tcPr>
            <w:tcW w:w="3210" w:type="dxa"/>
          </w:tcPr>
          <w:p w14:paraId="7A9B3CD4" w14:textId="6A5E50E2" w:rsidR="004B1E0C" w:rsidRPr="00E26581" w:rsidRDefault="00A51B23" w:rsidP="00A51B23">
            <w:pPr>
              <w:pStyle w:val="ColumnHeading"/>
              <w:jc w:val="center"/>
              <w:rPr>
                <w:b w:val="0"/>
                <w:color w:val="auto"/>
                <w:sz w:val="22"/>
              </w:rPr>
            </w:pPr>
            <w:r w:rsidRPr="00E26581">
              <w:rPr>
                <w:b w:val="0"/>
                <w:color w:val="auto"/>
                <w:sz w:val="22"/>
              </w:rPr>
              <w:t>81.8</w:t>
            </w:r>
          </w:p>
        </w:tc>
      </w:tr>
    </w:tbl>
    <w:p w14:paraId="3A851636" w14:textId="78A75C67" w:rsidR="0032648E" w:rsidRDefault="008F6CFE" w:rsidP="00484196">
      <w:r>
        <w:rPr>
          <w:noProof/>
        </w:rPr>
        <w:lastRenderedPageBreak/>
        <w:drawing>
          <wp:inline distT="0" distB="0" distL="0" distR="0" wp14:anchorId="40238F5A" wp14:editId="37ED976F">
            <wp:extent cx="5580000" cy="2497509"/>
            <wp:effectExtent l="0" t="0" r="1905" b="0"/>
            <wp:docPr id="131778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580000" cy="2497509"/>
                    </a:xfrm>
                    <a:prstGeom prst="rect">
                      <a:avLst/>
                    </a:prstGeom>
                    <a:noFill/>
                  </pic:spPr>
                </pic:pic>
              </a:graphicData>
            </a:graphic>
          </wp:inline>
        </w:drawing>
      </w:r>
    </w:p>
    <w:p w14:paraId="5B290F02" w14:textId="7BFA9232" w:rsidR="00D70516" w:rsidRDefault="00D70516" w:rsidP="0096672D">
      <w:pPr>
        <w:pStyle w:val="Caption"/>
      </w:pPr>
      <w:bookmarkStart w:id="113" w:name="_Ref144422378"/>
      <w:bookmarkStart w:id="114" w:name="_Toc189044979"/>
      <w:r>
        <w:t xml:space="preserve">Figure </w:t>
      </w:r>
      <w:fldSimple w:instr=" SEQ Figure \* ARABIC ">
        <w:r w:rsidR="004263D8">
          <w:rPr>
            <w:noProof/>
          </w:rPr>
          <w:t>22</w:t>
        </w:r>
      </w:fldSimple>
      <w:bookmarkEnd w:id="113"/>
      <w:r>
        <w:t xml:space="preserve">. </w:t>
      </w:r>
      <w:r w:rsidR="00D0176E" w:rsidRPr="00AA2B5D">
        <w:t>Catch (tonnes</w:t>
      </w:r>
      <w:r w:rsidR="00A2367A">
        <w:t xml:space="preserve"> landed wt</w:t>
      </w:r>
      <w:r w:rsidR="00D0176E" w:rsidRPr="00AA2B5D">
        <w:t xml:space="preserve">) of </w:t>
      </w:r>
      <w:r w:rsidR="00FC2457">
        <w:t>White teatfish</w:t>
      </w:r>
      <w:r w:rsidR="00D0176E" w:rsidRPr="00AA2B5D">
        <w:t xml:space="preserve"> </w:t>
      </w:r>
      <w:r w:rsidR="006905CC">
        <w:t xml:space="preserve">for the period 1995-96 to 2022-23 </w:t>
      </w:r>
      <w:r w:rsidR="00D0176E" w:rsidRPr="00AA2B5D">
        <w:t xml:space="preserve">in </w:t>
      </w:r>
      <w:r w:rsidR="00D0176E">
        <w:t>r</w:t>
      </w:r>
      <w:r w:rsidR="00D0176E" w:rsidRPr="00AA2B5D">
        <w:t>eporting grid</w:t>
      </w:r>
      <w:r w:rsidR="00D0176E">
        <w:t>s</w:t>
      </w:r>
      <w:r w:rsidR="00D0176E" w:rsidRPr="00AA2B5D">
        <w:t xml:space="preserve"> that comprise 70% (green) and 90% (green and blue) of th</w:t>
      </w:r>
      <w:r w:rsidR="00D0176E">
        <w:t>e</w:t>
      </w:r>
      <w:r w:rsidR="00D0176E" w:rsidRPr="00AA2B5D">
        <w:t xml:space="preserve"> catch is taken and </w:t>
      </w:r>
      <w:r w:rsidR="00D0176E">
        <w:t xml:space="preserve">the remainder in all </w:t>
      </w:r>
      <w:r w:rsidR="00D0176E" w:rsidRPr="00AA2B5D">
        <w:t>other reporting grids</w:t>
      </w:r>
      <w:r w:rsidR="00D0176E">
        <w:t xml:space="preserve"> </w:t>
      </w:r>
      <w:r w:rsidR="00D0176E" w:rsidRPr="00AA2B5D">
        <w:t xml:space="preserve">(red). Grids are ordered from the </w:t>
      </w:r>
      <w:r w:rsidR="008F6CFE">
        <w:t>north</w:t>
      </w:r>
      <w:r w:rsidR="00D0176E" w:rsidRPr="00AA2B5D">
        <w:t xml:space="preserve"> and </w:t>
      </w:r>
      <w:r w:rsidR="008F6CFE">
        <w:t>west</w:t>
      </w:r>
      <w:r w:rsidR="00D0176E" w:rsidRPr="00AA2B5D">
        <w:t>.</w:t>
      </w:r>
      <w:r w:rsidR="006905CC">
        <w:t xml:space="preserve"> (QSCF vessel logbook and buyer return data).</w:t>
      </w:r>
      <w:bookmarkEnd w:id="114"/>
    </w:p>
    <w:p w14:paraId="188AECB4" w14:textId="77777777" w:rsidR="004F3D28" w:rsidRDefault="004F3D28" w:rsidP="00AA2B5D"/>
    <w:p w14:paraId="2FA14B7F" w14:textId="68E8ADB6" w:rsidR="007327AB" w:rsidRDefault="00270193" w:rsidP="00AA2B5D">
      <w:r>
        <w:rPr>
          <w:noProof/>
        </w:rPr>
        <w:drawing>
          <wp:inline distT="0" distB="0" distL="0" distR="0" wp14:anchorId="35979CAC" wp14:editId="415A153D">
            <wp:extent cx="5400000" cy="2416944"/>
            <wp:effectExtent l="0" t="0" r="0" b="2540"/>
            <wp:docPr id="746213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400000" cy="2416944"/>
                    </a:xfrm>
                    <a:prstGeom prst="rect">
                      <a:avLst/>
                    </a:prstGeom>
                    <a:noFill/>
                  </pic:spPr>
                </pic:pic>
              </a:graphicData>
            </a:graphic>
          </wp:inline>
        </w:drawing>
      </w:r>
    </w:p>
    <w:p w14:paraId="1B9DFD21" w14:textId="3539E473" w:rsidR="007327AB" w:rsidRDefault="00270193" w:rsidP="00AA2B5D">
      <w:r>
        <w:rPr>
          <w:noProof/>
        </w:rPr>
        <w:drawing>
          <wp:inline distT="0" distB="0" distL="0" distR="0" wp14:anchorId="1ABAC50C" wp14:editId="34266E16">
            <wp:extent cx="5399405" cy="2189296"/>
            <wp:effectExtent l="0" t="0" r="0" b="1905"/>
            <wp:docPr id="1892351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cstate="print">
                      <a:extLst>
                        <a:ext uri="{28A0092B-C50C-407E-A947-70E740481C1C}">
                          <a14:useLocalDpi xmlns:a14="http://schemas.microsoft.com/office/drawing/2010/main"/>
                        </a:ext>
                      </a:extLst>
                    </a:blip>
                    <a:srcRect t="10162"/>
                    <a:stretch/>
                  </pic:blipFill>
                  <pic:spPr bwMode="auto">
                    <a:xfrm>
                      <a:off x="0" y="0"/>
                      <a:ext cx="5400000" cy="2189537"/>
                    </a:xfrm>
                    <a:prstGeom prst="rect">
                      <a:avLst/>
                    </a:prstGeom>
                    <a:noFill/>
                    <a:ln>
                      <a:noFill/>
                    </a:ln>
                    <a:extLst>
                      <a:ext uri="{53640926-AAD7-44D8-BBD7-CCE9431645EC}">
                        <a14:shadowObscured xmlns:a14="http://schemas.microsoft.com/office/drawing/2010/main"/>
                      </a:ext>
                    </a:extLst>
                  </pic:spPr>
                </pic:pic>
              </a:graphicData>
            </a:graphic>
          </wp:inline>
        </w:drawing>
      </w:r>
    </w:p>
    <w:p w14:paraId="43E92DB0" w14:textId="74A1096B" w:rsidR="007327AB" w:rsidRDefault="00DB093C" w:rsidP="00DB093C">
      <w:pPr>
        <w:pStyle w:val="Caption"/>
      </w:pPr>
      <w:bookmarkStart w:id="115" w:name="_Ref164697524"/>
      <w:bookmarkStart w:id="116" w:name="_Toc189044980"/>
      <w:r>
        <w:t xml:space="preserve">Figure </w:t>
      </w:r>
      <w:fldSimple w:instr=" SEQ Figure \* ARABIC ">
        <w:r w:rsidR="004263D8">
          <w:rPr>
            <w:noProof/>
          </w:rPr>
          <w:t>23</w:t>
        </w:r>
      </w:fldSimple>
      <w:bookmarkEnd w:id="115"/>
      <w:r>
        <w:t>.</w:t>
      </w:r>
      <w:r w:rsidR="00F35829">
        <w:t xml:space="preserve"> </w:t>
      </w:r>
      <w:r w:rsidR="007327AB" w:rsidRPr="007327AB">
        <w:t xml:space="preserve">Catch (tonnes landed wt) of </w:t>
      </w:r>
      <w:r>
        <w:t>White</w:t>
      </w:r>
      <w:r w:rsidR="007327AB" w:rsidRPr="007327AB">
        <w:t xml:space="preserve"> teatfish for the period 1995-96 to 2022-23 in the QSCF by reporting grids that comprise 70% (green) and 90% (green and blue) of the catch and the remainder in all other reporting grids (red) A) before the implementation of the </w:t>
      </w:r>
      <w:r w:rsidR="00120518">
        <w:t>RHA</w:t>
      </w:r>
      <w:r w:rsidR="007327AB" w:rsidRPr="007327AB">
        <w:t xml:space="preserve"> in 2004, and B) after. Grids are ordered from the </w:t>
      </w:r>
      <w:r w:rsidR="00270193">
        <w:t>north and west</w:t>
      </w:r>
      <w:r w:rsidR="007327AB" w:rsidRPr="007327AB">
        <w:t>. (QSCF vessel logbook and buyer return data).</w:t>
      </w:r>
      <w:bookmarkEnd w:id="116"/>
    </w:p>
    <w:p w14:paraId="581C17B8" w14:textId="77777777" w:rsidR="007327AB" w:rsidRDefault="007327AB" w:rsidP="00AA2B5D"/>
    <w:p w14:paraId="01894F5B" w14:textId="77777777" w:rsidR="004B1E0C" w:rsidRDefault="004B1E0C" w:rsidP="004B1E0C">
      <w:r>
        <w:lastRenderedPageBreak/>
        <w:t xml:space="preserve">There are differences in the </w:t>
      </w:r>
      <w:r w:rsidRPr="009424C1">
        <w:t>location of catch</w:t>
      </w:r>
      <w:r>
        <w:t>es</w:t>
      </w:r>
      <w:r w:rsidRPr="009424C1">
        <w:t xml:space="preserve"> in relation to mapped reef </w:t>
      </w:r>
      <w:r>
        <w:t xml:space="preserve">features </w:t>
      </w:r>
      <w:r w:rsidRPr="009424C1">
        <w:t xml:space="preserve">across the fishery. </w:t>
      </w:r>
      <w:r>
        <w:t>South of about Cape Flattery (</w:t>
      </w:r>
      <w:r w:rsidRPr="009424C1">
        <w:t>1</w:t>
      </w:r>
      <w:r>
        <w:t>5</w:t>
      </w:r>
      <w:r w:rsidRPr="009424C1">
        <w:t>˚S</w:t>
      </w:r>
      <w:r>
        <w:t>) most of the catch came from habitats</w:t>
      </w:r>
      <w:r w:rsidRPr="009424C1">
        <w:t xml:space="preserve"> </w:t>
      </w:r>
      <w:r>
        <w:t xml:space="preserve">associated with reef </w:t>
      </w:r>
      <w:r w:rsidRPr="009424C1">
        <w:t xml:space="preserve">features, while </w:t>
      </w:r>
      <w:r>
        <w:t xml:space="preserve">north of that, </w:t>
      </w:r>
      <w:r w:rsidRPr="009424C1">
        <w:t xml:space="preserve">most of the catch was </w:t>
      </w:r>
      <w:r>
        <w:t xml:space="preserve">taken from deeper GBR lagoon areas just inside the </w:t>
      </w:r>
      <w:r w:rsidRPr="009424C1">
        <w:t xml:space="preserve">outer </w:t>
      </w:r>
      <w:r>
        <w:t xml:space="preserve">barrier </w:t>
      </w:r>
      <w:r w:rsidRPr="009424C1">
        <w:t>reef</w:t>
      </w:r>
      <w:r>
        <w:t>s</w:t>
      </w:r>
      <w:r w:rsidRPr="009424C1">
        <w:t xml:space="preserve"> </w:t>
      </w:r>
      <w:r>
        <w:t xml:space="preserve">in what is </w:t>
      </w:r>
      <w:r w:rsidRPr="009424C1">
        <w:t>know</w:t>
      </w:r>
      <w:r>
        <w:t>n</w:t>
      </w:r>
      <w:r w:rsidRPr="009424C1">
        <w:t xml:space="preserve"> to fishers as “paddock country”</w:t>
      </w:r>
      <w:r>
        <w:t xml:space="preserve"> (Koopman and Knuckey, 2021)</w:t>
      </w:r>
      <w:r w:rsidRPr="009424C1">
        <w:t xml:space="preserve">, </w:t>
      </w:r>
      <w:r>
        <w:t xml:space="preserve">usually associated with bottom features called “sinkies” and “tabletops” (Koopman and Knuckey, 2021). The exact extent of this habitat is not well defined, though some mapping products are available that could be used to do this (e.g. </w:t>
      </w:r>
      <w:r w:rsidRPr="00AF5351">
        <w:t>High-resolution depth model for the Great Barrier Reef - 30 m (2020)</w:t>
      </w:r>
      <w:r>
        <w:t xml:space="preserve">). </w:t>
      </w:r>
      <w:r w:rsidRPr="009424C1">
        <w:t xml:space="preserve">The distribution of White </w:t>
      </w:r>
      <w:r>
        <w:t>t</w:t>
      </w:r>
      <w:r w:rsidRPr="009424C1">
        <w:t xml:space="preserve">eatfish </w:t>
      </w:r>
      <w:r>
        <w:t>in the southern GBR (</w:t>
      </w:r>
      <w:r w:rsidRPr="009424C1">
        <w:t xml:space="preserve">south </w:t>
      </w:r>
      <w:r>
        <w:t xml:space="preserve">of Townsville) </w:t>
      </w:r>
      <w:r w:rsidRPr="009424C1">
        <w:t xml:space="preserve">are </w:t>
      </w:r>
      <w:r>
        <w:t xml:space="preserve">described as being </w:t>
      </w:r>
      <w:r w:rsidRPr="009424C1">
        <w:t>randomly distributed and in lower densities</w:t>
      </w:r>
      <w:r>
        <w:t xml:space="preserve"> (Koopman and Knuckey, 2021)</w:t>
      </w:r>
      <w:r w:rsidRPr="009424C1">
        <w:t>.</w:t>
      </w:r>
    </w:p>
    <w:p w14:paraId="657F35C9" w14:textId="77777777" w:rsidR="00334B38" w:rsidRDefault="00334B38" w:rsidP="00334B38">
      <w:pPr>
        <w:pStyle w:val="Heading3"/>
        <w:ind w:left="851" w:hanging="851"/>
      </w:pPr>
      <w:r>
        <w:t>Discards</w:t>
      </w:r>
    </w:p>
    <w:p w14:paraId="5C3F3C41" w14:textId="77777777" w:rsidR="00334B38" w:rsidRPr="003423C5" w:rsidRDefault="00334B38" w:rsidP="00334B38">
      <w:r>
        <w:t>There are no discards in the QSCF due to the highly selective nature of hand collection fisheries (DAF, 2021a).</w:t>
      </w:r>
    </w:p>
    <w:p w14:paraId="7973AB4A" w14:textId="77777777" w:rsidR="00334B38" w:rsidRDefault="00334B38" w:rsidP="00475BF1"/>
    <w:p w14:paraId="0FD8745E" w14:textId="77777777" w:rsidR="007327AB" w:rsidRDefault="007327AB" w:rsidP="00AA2B5D"/>
    <w:p w14:paraId="2BCEFD33" w14:textId="77777777" w:rsidR="007327AB" w:rsidRDefault="007327AB" w:rsidP="00AA2B5D">
      <w:pPr>
        <w:sectPr w:rsidR="007327AB" w:rsidSect="005D5EF2">
          <w:pgSz w:w="11906" w:h="16838" w:code="9"/>
          <w:pgMar w:top="1134" w:right="1134" w:bottom="1134" w:left="1134" w:header="510" w:footer="624" w:gutter="0"/>
          <w:cols w:space="284"/>
          <w:docGrid w:linePitch="360"/>
        </w:sectPr>
      </w:pPr>
    </w:p>
    <w:p w14:paraId="02970DE3" w14:textId="23E5D362" w:rsidR="004F3D28" w:rsidRDefault="00656A3E" w:rsidP="00270193">
      <w:r>
        <w:rPr>
          <w:noProof/>
        </w:rPr>
        <w:lastRenderedPageBreak/>
        <w:drawing>
          <wp:inline distT="0" distB="0" distL="0" distR="0" wp14:anchorId="42EB22F4" wp14:editId="354506E6">
            <wp:extent cx="4392000" cy="5082677"/>
            <wp:effectExtent l="0" t="0" r="8890" b="3810"/>
            <wp:docPr id="1159877967" name="Picture 2" descr="A map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77967" name="Picture 2" descr="A map of the pacific ocean&#10;&#10;Description automatically generated"/>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4392000" cy="5082677"/>
                    </a:xfrm>
                    <a:prstGeom prst="rect">
                      <a:avLst/>
                    </a:prstGeom>
                    <a:ln>
                      <a:noFill/>
                    </a:ln>
                    <a:extLst>
                      <a:ext uri="{53640926-AAD7-44D8-BBD7-CCE9431645EC}">
                        <a14:shadowObscured xmlns:a14="http://schemas.microsoft.com/office/drawing/2010/main"/>
                      </a:ext>
                    </a:extLst>
                  </pic:spPr>
                </pic:pic>
              </a:graphicData>
            </a:graphic>
          </wp:inline>
        </w:drawing>
      </w:r>
    </w:p>
    <w:p w14:paraId="547901F5" w14:textId="06F07DEF" w:rsidR="004F3D28" w:rsidRDefault="004F3D28" w:rsidP="004F3D28">
      <w:pPr>
        <w:pStyle w:val="Caption"/>
      </w:pPr>
      <w:bookmarkStart w:id="117" w:name="_Ref144422727"/>
      <w:bookmarkStart w:id="118" w:name="_Toc189044981"/>
      <w:r>
        <w:t xml:space="preserve">Figure </w:t>
      </w:r>
      <w:fldSimple w:instr=" SEQ Figure \* ARABIC ">
        <w:r w:rsidR="004263D8">
          <w:rPr>
            <w:noProof/>
          </w:rPr>
          <w:t>24</w:t>
        </w:r>
      </w:fldSimple>
      <w:bookmarkEnd w:id="117"/>
      <w:r>
        <w:t xml:space="preserve">. </w:t>
      </w:r>
      <w:r w:rsidRPr="004F3D28">
        <w:t>Catch (tonnes</w:t>
      </w:r>
      <w:r w:rsidR="00A2367A">
        <w:t xml:space="preserve"> landed wt</w:t>
      </w:r>
      <w:r w:rsidRPr="004F3D28">
        <w:t xml:space="preserve">) of </w:t>
      </w:r>
      <w:r w:rsidR="00656A3E">
        <w:t>White teatfish</w:t>
      </w:r>
      <w:r w:rsidRPr="004F3D28">
        <w:t xml:space="preserve"> in QSCF for the period 1995-96 to 2022-23 in reporting grids that comprise 70% (green) and 90% (green and blue) of the catch. (QSCF vessel logbook and buyer return data)</w:t>
      </w:r>
      <w:bookmarkEnd w:id="118"/>
    </w:p>
    <w:p w14:paraId="20D6801D" w14:textId="6672C6DD" w:rsidR="00D70516" w:rsidRDefault="00D70516" w:rsidP="00270193"/>
    <w:p w14:paraId="38898884" w14:textId="77777777" w:rsidR="002E4DDE" w:rsidRDefault="006A5376" w:rsidP="00270193">
      <w:bookmarkStart w:id="119" w:name="_Ref144422741"/>
      <w:r>
        <w:rPr>
          <w:noProof/>
        </w:rPr>
        <w:drawing>
          <wp:inline distT="0" distB="0" distL="0" distR="0" wp14:anchorId="6E7B0CCA" wp14:editId="4BDB4078">
            <wp:extent cx="4392000" cy="5132523"/>
            <wp:effectExtent l="0" t="0" r="8890" b="0"/>
            <wp:docPr id="1406174302" name="Picture 3" descr="A map of the southern hemisphe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4302" name="Picture 3" descr="A map of the southern hemisphere&#10;&#10;Description automatically generated with medium confidence"/>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4392000" cy="5132523"/>
                    </a:xfrm>
                    <a:prstGeom prst="rect">
                      <a:avLst/>
                    </a:prstGeom>
                    <a:ln>
                      <a:noFill/>
                    </a:ln>
                    <a:extLst>
                      <a:ext uri="{53640926-AAD7-44D8-BBD7-CCE9431645EC}">
                        <a14:shadowObscured xmlns:a14="http://schemas.microsoft.com/office/drawing/2010/main"/>
                      </a:ext>
                    </a:extLst>
                  </pic:spPr>
                </pic:pic>
              </a:graphicData>
            </a:graphic>
          </wp:inline>
        </w:drawing>
      </w:r>
    </w:p>
    <w:p w14:paraId="3F95317D" w14:textId="5C046FAF" w:rsidR="006905CC" w:rsidRDefault="006905CC" w:rsidP="006905CC">
      <w:pPr>
        <w:pStyle w:val="Caption"/>
      </w:pPr>
      <w:bookmarkStart w:id="120" w:name="_Ref169521159"/>
      <w:bookmarkStart w:id="121" w:name="_Toc189044982"/>
      <w:r>
        <w:t xml:space="preserve">Figure </w:t>
      </w:r>
      <w:fldSimple w:instr=" SEQ Figure \* ARABIC ">
        <w:r w:rsidR="004263D8">
          <w:rPr>
            <w:noProof/>
          </w:rPr>
          <w:t>25</w:t>
        </w:r>
      </w:fldSimple>
      <w:bookmarkEnd w:id="119"/>
      <w:bookmarkEnd w:id="120"/>
      <w:r>
        <w:t xml:space="preserve">. </w:t>
      </w:r>
      <w:r w:rsidRPr="00AA2B5D">
        <w:t>Catch (t</w:t>
      </w:r>
      <w:r w:rsidR="00A2367A">
        <w:t>onnes landed wt</w:t>
      </w:r>
      <w:r w:rsidRPr="00AA2B5D">
        <w:t xml:space="preserve">) of </w:t>
      </w:r>
      <w:r w:rsidR="006A5376">
        <w:t>White teatfish</w:t>
      </w:r>
      <w:r>
        <w:t xml:space="preserve"> </w:t>
      </w:r>
      <w:r w:rsidRPr="00AA2B5D">
        <w:t>by rotational zone</w:t>
      </w:r>
      <w:r>
        <w:t xml:space="preserve"> for the period 1995-96 to 2022-23. (QSCF vessel logbook and buyer return data).</w:t>
      </w:r>
      <w:bookmarkEnd w:id="121"/>
    </w:p>
    <w:p w14:paraId="5EA7A847" w14:textId="77777777" w:rsidR="006905CC" w:rsidRDefault="006905CC" w:rsidP="00270193"/>
    <w:p w14:paraId="3ED45469" w14:textId="77777777" w:rsidR="004F3D28" w:rsidRDefault="004F3D28" w:rsidP="00AA2B5D">
      <w:pPr>
        <w:sectPr w:rsidR="004F3D28" w:rsidSect="005D5EF2">
          <w:pgSz w:w="16838" w:h="11906" w:orient="landscape" w:code="9"/>
          <w:pgMar w:top="1134" w:right="1134" w:bottom="1134" w:left="1134" w:header="510" w:footer="624" w:gutter="0"/>
          <w:cols w:num="2" w:space="284"/>
          <w:docGrid w:linePitch="360"/>
        </w:sectPr>
      </w:pPr>
    </w:p>
    <w:p w14:paraId="55E909A2" w14:textId="6B7753F9" w:rsidR="00DD488F" w:rsidRDefault="00DD488F" w:rsidP="008D08E6">
      <w:pPr>
        <w:pStyle w:val="Heading2"/>
        <w:ind w:left="851" w:hanging="851"/>
      </w:pPr>
      <w:bookmarkStart w:id="122" w:name="_Toc189044937"/>
      <w:r>
        <w:lastRenderedPageBreak/>
        <w:t>IUU</w:t>
      </w:r>
      <w:bookmarkEnd w:id="122"/>
    </w:p>
    <w:p w14:paraId="655F4480" w14:textId="35F53440" w:rsidR="00CC4C7F" w:rsidRDefault="00370B59" w:rsidP="00CC4C7F">
      <w:r>
        <w:t>R</w:t>
      </w:r>
      <w:r w:rsidR="00CC4C7F" w:rsidRPr="0011552D">
        <w:t xml:space="preserve">eefs </w:t>
      </w:r>
      <w:r>
        <w:t>with</w:t>
      </w:r>
      <w:r w:rsidR="000571D0">
        <w:t>in</w:t>
      </w:r>
      <w:r>
        <w:t xml:space="preserve"> the QSCF </w:t>
      </w:r>
      <w:r w:rsidR="00CC4C7F" w:rsidRPr="0011552D">
        <w:t>have been subject to illegal fishing by foreign fishing vessels</w:t>
      </w:r>
      <w:r w:rsidR="00313FA7">
        <w:t xml:space="preserve"> (FFV)</w:t>
      </w:r>
      <w:r w:rsidR="00CC4C7F" w:rsidRPr="0011552D">
        <w:t xml:space="preserve">, predominantly Vietnamese based fishing vessels (blue boats) focused on sea cucumber. This activity resulted in </w:t>
      </w:r>
      <w:r w:rsidR="00CC4C7F">
        <w:t xml:space="preserve">15 </w:t>
      </w:r>
      <w:r w:rsidR="00313FA7">
        <w:t xml:space="preserve">FFV sightings </w:t>
      </w:r>
      <w:r>
        <w:t>within the QSCF area</w:t>
      </w:r>
      <w:r w:rsidR="00500B90">
        <w:t xml:space="preserve"> between March 2016 and February 2017</w:t>
      </w:r>
      <w:r>
        <w:t xml:space="preserve">, of which </w:t>
      </w:r>
      <w:r w:rsidR="00CC4C7F">
        <w:t xml:space="preserve">7 </w:t>
      </w:r>
      <w:r>
        <w:t>were apprehended</w:t>
      </w:r>
      <w:r w:rsidR="00CC4C7F">
        <w:t xml:space="preserve"> </w:t>
      </w:r>
      <w:r w:rsidR="0066472D">
        <w:t>(</w:t>
      </w:r>
      <w:r w:rsidR="0066472D">
        <w:rPr>
          <w:color w:val="2B579A"/>
          <w:shd w:val="clear" w:color="auto" w:fill="E6E6E6"/>
        </w:rPr>
        <w:fldChar w:fldCharType="begin"/>
      </w:r>
      <w:r w:rsidR="0066472D">
        <w:instrText xml:space="preserve"> REF _Ref144454963 \h </w:instrText>
      </w:r>
      <w:r w:rsidR="0066472D">
        <w:rPr>
          <w:color w:val="2B579A"/>
          <w:shd w:val="clear" w:color="auto" w:fill="E6E6E6"/>
        </w:rPr>
      </w:r>
      <w:r w:rsidR="0066472D">
        <w:rPr>
          <w:color w:val="2B579A"/>
          <w:shd w:val="clear" w:color="auto" w:fill="E6E6E6"/>
        </w:rPr>
        <w:fldChar w:fldCharType="separate"/>
      </w:r>
      <w:r w:rsidR="004263D8">
        <w:t xml:space="preserve">Figure </w:t>
      </w:r>
      <w:r w:rsidR="004263D8">
        <w:rPr>
          <w:noProof/>
        </w:rPr>
        <w:t>26</w:t>
      </w:r>
      <w:r w:rsidR="0066472D">
        <w:rPr>
          <w:color w:val="2B579A"/>
          <w:shd w:val="clear" w:color="auto" w:fill="E6E6E6"/>
        </w:rPr>
        <w:fldChar w:fldCharType="end"/>
      </w:r>
      <w:r w:rsidR="0066472D">
        <w:t xml:space="preserve">) </w:t>
      </w:r>
      <w:r w:rsidR="00CC4C7F" w:rsidRPr="0011552D">
        <w:t>(AFMA, unpublished data; Skewes, 2017).</w:t>
      </w:r>
      <w:r>
        <w:t xml:space="preserve"> </w:t>
      </w:r>
      <w:r w:rsidR="00313FA7">
        <w:t>Two of the sighting</w:t>
      </w:r>
      <w:r w:rsidR="0066472D">
        <w:t>s</w:t>
      </w:r>
      <w:r w:rsidR="00313FA7">
        <w:t xml:space="preserve">/apprehensions were </w:t>
      </w:r>
      <w:r w:rsidR="00DC3C6C">
        <w:t xml:space="preserve">in deep water off </w:t>
      </w:r>
      <w:r w:rsidR="00313FA7">
        <w:t xml:space="preserve">the northern GBR, four in the Swain Reefs area in the southern GBR, and the remainder on Saumarez Reef. </w:t>
      </w:r>
    </w:p>
    <w:p w14:paraId="366AE5A5" w14:textId="77777777" w:rsidR="00500B90" w:rsidRPr="0011552D" w:rsidRDefault="00500B90" w:rsidP="00CC4C7F"/>
    <w:p w14:paraId="3CD492DD" w14:textId="45C1BCA9" w:rsidR="00500B90" w:rsidRDefault="0019285E" w:rsidP="00CC4C7F">
      <w:r>
        <w:rPr>
          <w:noProof/>
        </w:rPr>
        <w:drawing>
          <wp:inline distT="0" distB="0" distL="0" distR="0" wp14:anchorId="346F6AA0" wp14:editId="1DB535BC">
            <wp:extent cx="4657725" cy="5405784"/>
            <wp:effectExtent l="0" t="0" r="0" b="4445"/>
            <wp:docPr id="369775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75273" name="Picture 369775273"/>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4666710" cy="5416212"/>
                    </a:xfrm>
                    <a:prstGeom prst="rect">
                      <a:avLst/>
                    </a:prstGeom>
                    <a:ln>
                      <a:noFill/>
                    </a:ln>
                    <a:extLst>
                      <a:ext uri="{53640926-AAD7-44D8-BBD7-CCE9431645EC}">
                        <a14:shadowObscured xmlns:a14="http://schemas.microsoft.com/office/drawing/2010/main"/>
                      </a:ext>
                    </a:extLst>
                  </pic:spPr>
                </pic:pic>
              </a:graphicData>
            </a:graphic>
          </wp:inline>
        </w:drawing>
      </w:r>
    </w:p>
    <w:p w14:paraId="7F9A216B" w14:textId="4AADDE83" w:rsidR="00500B90" w:rsidRDefault="00500B90" w:rsidP="00500B90">
      <w:pPr>
        <w:pStyle w:val="Caption"/>
      </w:pPr>
      <w:bookmarkStart w:id="123" w:name="_Ref144454963"/>
      <w:bookmarkStart w:id="124" w:name="_Toc189044983"/>
      <w:r>
        <w:t xml:space="preserve">Figure </w:t>
      </w:r>
      <w:fldSimple w:instr=" SEQ Figure \* ARABIC ">
        <w:r w:rsidR="004263D8">
          <w:rPr>
            <w:noProof/>
          </w:rPr>
          <w:t>26</w:t>
        </w:r>
      </w:fldSimple>
      <w:bookmarkEnd w:id="123"/>
      <w:r>
        <w:t xml:space="preserve">. Location of sightings and apprehensions of </w:t>
      </w:r>
      <w:r w:rsidRPr="0011552D">
        <w:t xml:space="preserve">Vietnamese based </w:t>
      </w:r>
      <w:r>
        <w:t xml:space="preserve">illegal </w:t>
      </w:r>
      <w:r w:rsidRPr="0011552D">
        <w:t>fishing vessels (blue boats)</w:t>
      </w:r>
      <w:r>
        <w:t xml:space="preserve"> for the period</w:t>
      </w:r>
      <w:r w:rsidRPr="0011552D">
        <w:t xml:space="preserve"> </w:t>
      </w:r>
      <w:r>
        <w:t>March 2016 and February 2017 (data supplied by AFMA).</w:t>
      </w:r>
      <w:bookmarkEnd w:id="124"/>
    </w:p>
    <w:p w14:paraId="6F77BEBA" w14:textId="77777777" w:rsidR="00500B90" w:rsidRDefault="00500B90" w:rsidP="00CC4C7F"/>
    <w:p w14:paraId="12D3E16E" w14:textId="5325E2B9" w:rsidR="00CC4C7F" w:rsidRDefault="00CC4C7F" w:rsidP="00CC4C7F">
      <w:r>
        <w:t xml:space="preserve">Of the </w:t>
      </w:r>
      <w:r w:rsidR="00313FA7">
        <w:t xml:space="preserve">7 </w:t>
      </w:r>
      <w:r>
        <w:t xml:space="preserve">vessels apprehended in the </w:t>
      </w:r>
      <w:r w:rsidR="00313FA7">
        <w:t>QSCF</w:t>
      </w:r>
      <w:r>
        <w:t xml:space="preserve"> area, the estimated catch on board was </w:t>
      </w:r>
      <w:r w:rsidR="00313FA7">
        <w:t>36.8</w:t>
      </w:r>
      <w:r>
        <w:t xml:space="preserve"> t (gutted and salted weight), at an average of 5.3 t per vessel (</w:t>
      </w:r>
      <w:r w:rsidRPr="0011552D">
        <w:t>AFMA, unpublished data</w:t>
      </w:r>
      <w:r>
        <w:t>)</w:t>
      </w:r>
      <w:r w:rsidR="00313FA7">
        <w:t xml:space="preserve"> – with most of this (25.4 t) coming from Saumarez Reef. </w:t>
      </w:r>
    </w:p>
    <w:p w14:paraId="34F33FC4" w14:textId="17F49A35" w:rsidR="00313FA7" w:rsidRDefault="00CC4C7F" w:rsidP="00313FA7">
      <w:r>
        <w:t xml:space="preserve">The species composition of the catch of two vessels apprehended at Saumarez Reef (within the QSCF) indicated that they were mainly targeting White teatfish </w:t>
      </w:r>
      <w:r w:rsidRPr="0011552D">
        <w:t>(86%)</w:t>
      </w:r>
      <w:r>
        <w:t xml:space="preserve">, with smaller quantities of Black teatfish </w:t>
      </w:r>
      <w:r w:rsidRPr="0011552D">
        <w:t xml:space="preserve">(10%) </w:t>
      </w:r>
      <w:r>
        <w:t xml:space="preserve">and only limited Prickly redfish </w:t>
      </w:r>
      <w:r w:rsidRPr="0011552D">
        <w:t>(2%)</w:t>
      </w:r>
      <w:r>
        <w:t xml:space="preserve"> (Skewes, 2017). </w:t>
      </w:r>
    </w:p>
    <w:p w14:paraId="622F680F" w14:textId="31F77715" w:rsidR="00CC4C7F" w:rsidRPr="0011552D" w:rsidRDefault="00CC4C7F" w:rsidP="00CC4C7F">
      <w:bookmarkStart w:id="125" w:name="_Hlk151125695"/>
      <w:r w:rsidRPr="0011552D">
        <w:lastRenderedPageBreak/>
        <w:t xml:space="preserve">As of about 2021, there had been no confirmed sightings of FFVs in the </w:t>
      </w:r>
      <w:r w:rsidR="00313FA7">
        <w:t>QSCF</w:t>
      </w:r>
      <w:r w:rsidRPr="0011552D">
        <w:t xml:space="preserve"> since 2017 (AFMA, pers. comm., reported in Noriega et al., 2022).</w:t>
      </w:r>
    </w:p>
    <w:p w14:paraId="4FB7F5AB" w14:textId="6F98C086" w:rsidR="00CC4C7F" w:rsidRPr="0011552D" w:rsidRDefault="00CC4C7F" w:rsidP="0096672D">
      <w:pPr>
        <w:pStyle w:val="Caption"/>
      </w:pPr>
      <w:bookmarkStart w:id="126" w:name="_Toc478729817"/>
      <w:bookmarkStart w:id="127" w:name="_Toc12536507"/>
      <w:bookmarkStart w:id="128" w:name="_Toc138269084"/>
      <w:bookmarkStart w:id="129" w:name="_Toc144450265"/>
      <w:bookmarkStart w:id="130" w:name="_Toc189045001"/>
      <w:bookmarkEnd w:id="125"/>
      <w:r w:rsidRPr="0011552D">
        <w:t xml:space="preserve">Table </w:t>
      </w:r>
      <w:fldSimple w:instr=" SEQ Table \* ARABIC ">
        <w:r w:rsidR="004263D8">
          <w:rPr>
            <w:noProof/>
          </w:rPr>
          <w:t>5</w:t>
        </w:r>
      </w:fldSimple>
      <w:r w:rsidRPr="0011552D">
        <w:t>.</w:t>
      </w:r>
      <w:r w:rsidR="00F35829">
        <w:t xml:space="preserve"> </w:t>
      </w:r>
      <w:r w:rsidRPr="0011552D">
        <w:t xml:space="preserve">Catch estimate of a FFV apprehended at Saumarez Reef in February 2017, in </w:t>
      </w:r>
      <w:r w:rsidR="00A2367A">
        <w:t xml:space="preserve">gutted </w:t>
      </w:r>
      <w:r w:rsidR="008A1B17">
        <w:t xml:space="preserve">and </w:t>
      </w:r>
      <w:r w:rsidRPr="0011552D">
        <w:t xml:space="preserve">salted and live </w:t>
      </w:r>
      <w:r w:rsidR="00A2367A">
        <w:t xml:space="preserve">whole </w:t>
      </w:r>
      <w:r w:rsidRPr="0011552D">
        <w:t>weight (Skewes, 2017).</w:t>
      </w:r>
      <w:bookmarkEnd w:id="126"/>
      <w:bookmarkEnd w:id="127"/>
      <w:bookmarkEnd w:id="128"/>
      <w:bookmarkEnd w:id="129"/>
      <w:bookmarkEnd w:id="130"/>
    </w:p>
    <w:tbl>
      <w:tblPr>
        <w:tblStyle w:val="GridTable4"/>
        <w:tblW w:w="8840" w:type="dxa"/>
        <w:tblLayout w:type="fixed"/>
        <w:tblLook w:val="0620" w:firstRow="1" w:lastRow="0" w:firstColumn="0" w:lastColumn="0" w:noHBand="1" w:noVBand="1"/>
      </w:tblPr>
      <w:tblGrid>
        <w:gridCol w:w="1757"/>
        <w:gridCol w:w="1011"/>
        <w:gridCol w:w="1012"/>
        <w:gridCol w:w="1012"/>
        <w:gridCol w:w="1012"/>
        <w:gridCol w:w="1012"/>
        <w:gridCol w:w="1012"/>
        <w:gridCol w:w="1012"/>
      </w:tblGrid>
      <w:tr w:rsidR="00CC4C7F" w:rsidRPr="0011552D" w14:paraId="087B2788" w14:textId="77777777" w:rsidTr="008A1B17">
        <w:trPr>
          <w:cnfStyle w:val="100000000000" w:firstRow="1" w:lastRow="0" w:firstColumn="0" w:lastColumn="0" w:oddVBand="0" w:evenVBand="0" w:oddHBand="0" w:evenHBand="0" w:firstRowFirstColumn="0" w:firstRowLastColumn="0" w:lastRowFirstColumn="0" w:lastRowLastColumn="0"/>
          <w:trHeight w:val="300"/>
        </w:trPr>
        <w:tc>
          <w:tcPr>
            <w:tcW w:w="1757" w:type="dxa"/>
            <w:vAlign w:val="bottom"/>
          </w:tcPr>
          <w:p w14:paraId="5F588260" w14:textId="77777777" w:rsidR="00CC4C7F" w:rsidRPr="0011552D" w:rsidRDefault="00CC4C7F" w:rsidP="000B319E">
            <w:pPr>
              <w:pStyle w:val="ColumnHeading"/>
              <w:rPr>
                <w:b/>
              </w:rPr>
            </w:pPr>
            <w:r w:rsidRPr="0011552D">
              <w:rPr>
                <w:b/>
              </w:rPr>
              <w:t>Catch (t)</w:t>
            </w:r>
          </w:p>
        </w:tc>
        <w:tc>
          <w:tcPr>
            <w:tcW w:w="1011" w:type="dxa"/>
            <w:noWrap/>
            <w:vAlign w:val="bottom"/>
          </w:tcPr>
          <w:p w14:paraId="618E943C" w14:textId="77777777" w:rsidR="00CC4C7F" w:rsidRPr="0011552D" w:rsidRDefault="00CC4C7F" w:rsidP="000B319E">
            <w:pPr>
              <w:pStyle w:val="ColumnHeading"/>
              <w:jc w:val="right"/>
              <w:rPr>
                <w:b/>
              </w:rPr>
            </w:pPr>
            <w:r w:rsidRPr="0011552D">
              <w:rPr>
                <w:b/>
              </w:rPr>
              <w:t>White teatfish</w:t>
            </w:r>
          </w:p>
        </w:tc>
        <w:tc>
          <w:tcPr>
            <w:tcW w:w="1012" w:type="dxa"/>
            <w:noWrap/>
            <w:vAlign w:val="bottom"/>
          </w:tcPr>
          <w:p w14:paraId="35D9A933" w14:textId="77777777" w:rsidR="00CC4C7F" w:rsidRPr="0011552D" w:rsidRDefault="00CC4C7F" w:rsidP="000B319E">
            <w:pPr>
              <w:pStyle w:val="ColumnHeading"/>
              <w:jc w:val="right"/>
              <w:rPr>
                <w:b/>
              </w:rPr>
            </w:pPr>
            <w:r w:rsidRPr="0011552D">
              <w:rPr>
                <w:b/>
              </w:rPr>
              <w:t>Black teatfish</w:t>
            </w:r>
          </w:p>
        </w:tc>
        <w:tc>
          <w:tcPr>
            <w:tcW w:w="1012" w:type="dxa"/>
            <w:noWrap/>
            <w:vAlign w:val="bottom"/>
          </w:tcPr>
          <w:p w14:paraId="7A3CD67A" w14:textId="77777777" w:rsidR="00CC4C7F" w:rsidRPr="0011552D" w:rsidRDefault="00CC4C7F" w:rsidP="000B319E">
            <w:pPr>
              <w:pStyle w:val="ColumnHeading"/>
              <w:jc w:val="right"/>
              <w:rPr>
                <w:b/>
              </w:rPr>
            </w:pPr>
            <w:r w:rsidRPr="0011552D">
              <w:rPr>
                <w:b/>
              </w:rPr>
              <w:t>Prickly redfish</w:t>
            </w:r>
          </w:p>
        </w:tc>
        <w:tc>
          <w:tcPr>
            <w:tcW w:w="1012" w:type="dxa"/>
            <w:noWrap/>
            <w:vAlign w:val="bottom"/>
          </w:tcPr>
          <w:p w14:paraId="0AFCF511" w14:textId="77777777" w:rsidR="00CC4C7F" w:rsidRPr="0011552D" w:rsidRDefault="00CC4C7F" w:rsidP="000B319E">
            <w:pPr>
              <w:pStyle w:val="ColumnHeading"/>
              <w:jc w:val="right"/>
              <w:rPr>
                <w:b/>
              </w:rPr>
            </w:pPr>
            <w:r w:rsidRPr="0011552D">
              <w:rPr>
                <w:b/>
              </w:rPr>
              <w:t>Leopard fish</w:t>
            </w:r>
          </w:p>
        </w:tc>
        <w:tc>
          <w:tcPr>
            <w:tcW w:w="1012" w:type="dxa"/>
            <w:noWrap/>
            <w:vAlign w:val="bottom"/>
          </w:tcPr>
          <w:p w14:paraId="255252A3" w14:textId="77777777" w:rsidR="00CC4C7F" w:rsidRPr="0011552D" w:rsidRDefault="00CC4C7F" w:rsidP="000B319E">
            <w:pPr>
              <w:pStyle w:val="ColumnHeading"/>
              <w:jc w:val="right"/>
              <w:rPr>
                <w:b/>
              </w:rPr>
            </w:pPr>
            <w:r w:rsidRPr="0011552D">
              <w:rPr>
                <w:b/>
              </w:rPr>
              <w:t>Redfish</w:t>
            </w:r>
          </w:p>
        </w:tc>
        <w:tc>
          <w:tcPr>
            <w:tcW w:w="1012" w:type="dxa"/>
            <w:noWrap/>
            <w:vAlign w:val="bottom"/>
          </w:tcPr>
          <w:p w14:paraId="6238F94D" w14:textId="77777777" w:rsidR="00CC4C7F" w:rsidRPr="0011552D" w:rsidRDefault="00CC4C7F" w:rsidP="000B319E">
            <w:pPr>
              <w:pStyle w:val="ColumnHeading"/>
              <w:jc w:val="right"/>
              <w:rPr>
                <w:b/>
              </w:rPr>
            </w:pPr>
            <w:r w:rsidRPr="0011552D">
              <w:rPr>
                <w:b/>
              </w:rPr>
              <w:t>Stone fish</w:t>
            </w:r>
          </w:p>
        </w:tc>
        <w:tc>
          <w:tcPr>
            <w:tcW w:w="1012" w:type="dxa"/>
            <w:vAlign w:val="bottom"/>
          </w:tcPr>
          <w:p w14:paraId="3EC0E0C1" w14:textId="77777777" w:rsidR="00CC4C7F" w:rsidRPr="0011552D" w:rsidRDefault="00CC4C7F" w:rsidP="000B319E">
            <w:pPr>
              <w:pStyle w:val="ColumnHeading"/>
              <w:jc w:val="right"/>
              <w:rPr>
                <w:b/>
              </w:rPr>
            </w:pPr>
            <w:r w:rsidRPr="0011552D">
              <w:rPr>
                <w:b/>
              </w:rPr>
              <w:t>Total</w:t>
            </w:r>
          </w:p>
        </w:tc>
      </w:tr>
      <w:tr w:rsidR="00CC4C7F" w:rsidRPr="0011552D" w14:paraId="4476031C" w14:textId="77777777" w:rsidTr="008A1B17">
        <w:trPr>
          <w:trHeight w:val="300"/>
        </w:trPr>
        <w:tc>
          <w:tcPr>
            <w:tcW w:w="1757" w:type="dxa"/>
            <w:vAlign w:val="bottom"/>
          </w:tcPr>
          <w:p w14:paraId="77A83098" w14:textId="761A0FC9" w:rsidR="00CC4C7F" w:rsidRPr="0011552D" w:rsidRDefault="008A1B17" w:rsidP="000B319E">
            <w:pPr>
              <w:pStyle w:val="TableText"/>
            </w:pPr>
            <w:r>
              <w:t>Gutted and salted</w:t>
            </w:r>
          </w:p>
        </w:tc>
        <w:tc>
          <w:tcPr>
            <w:tcW w:w="1011" w:type="dxa"/>
            <w:noWrap/>
          </w:tcPr>
          <w:p w14:paraId="0A5D2D29" w14:textId="77777777" w:rsidR="00CC4C7F" w:rsidRPr="0011552D" w:rsidRDefault="00CC4C7F" w:rsidP="000B319E">
            <w:pPr>
              <w:pStyle w:val="TableText"/>
              <w:jc w:val="right"/>
            </w:pPr>
            <w:r w:rsidRPr="0011552D">
              <w:t>5.32</w:t>
            </w:r>
          </w:p>
        </w:tc>
        <w:tc>
          <w:tcPr>
            <w:tcW w:w="1012" w:type="dxa"/>
            <w:noWrap/>
          </w:tcPr>
          <w:p w14:paraId="339A2DC6" w14:textId="77777777" w:rsidR="00CC4C7F" w:rsidRPr="0011552D" w:rsidRDefault="00CC4C7F" w:rsidP="000B319E">
            <w:pPr>
              <w:pStyle w:val="TableText"/>
              <w:jc w:val="right"/>
            </w:pPr>
            <w:r w:rsidRPr="0011552D">
              <w:t>0.61</w:t>
            </w:r>
          </w:p>
        </w:tc>
        <w:tc>
          <w:tcPr>
            <w:tcW w:w="1012" w:type="dxa"/>
            <w:noWrap/>
          </w:tcPr>
          <w:p w14:paraId="3CDAE164" w14:textId="77777777" w:rsidR="00CC4C7F" w:rsidRPr="0011552D" w:rsidRDefault="00CC4C7F" w:rsidP="000B319E">
            <w:pPr>
              <w:pStyle w:val="TableText"/>
              <w:jc w:val="right"/>
            </w:pPr>
            <w:r w:rsidRPr="0011552D">
              <w:t>0.12</w:t>
            </w:r>
          </w:p>
        </w:tc>
        <w:tc>
          <w:tcPr>
            <w:tcW w:w="1012" w:type="dxa"/>
            <w:noWrap/>
          </w:tcPr>
          <w:p w14:paraId="340598B7" w14:textId="77777777" w:rsidR="00CC4C7F" w:rsidRPr="0011552D" w:rsidRDefault="00CC4C7F" w:rsidP="000B319E">
            <w:pPr>
              <w:pStyle w:val="TableText"/>
              <w:jc w:val="right"/>
            </w:pPr>
            <w:r w:rsidRPr="0011552D">
              <w:t>0.05</w:t>
            </w:r>
          </w:p>
        </w:tc>
        <w:tc>
          <w:tcPr>
            <w:tcW w:w="1012" w:type="dxa"/>
            <w:noWrap/>
          </w:tcPr>
          <w:p w14:paraId="55C060B9" w14:textId="77777777" w:rsidR="00CC4C7F" w:rsidRPr="0011552D" w:rsidRDefault="00CC4C7F" w:rsidP="000B319E">
            <w:pPr>
              <w:pStyle w:val="TableText"/>
              <w:jc w:val="right"/>
            </w:pPr>
            <w:r w:rsidRPr="0011552D">
              <w:t>0.05</w:t>
            </w:r>
          </w:p>
        </w:tc>
        <w:tc>
          <w:tcPr>
            <w:tcW w:w="1012" w:type="dxa"/>
            <w:noWrap/>
          </w:tcPr>
          <w:p w14:paraId="504B748B" w14:textId="77777777" w:rsidR="00CC4C7F" w:rsidRPr="0011552D" w:rsidRDefault="00CC4C7F" w:rsidP="000B319E">
            <w:pPr>
              <w:pStyle w:val="TableText"/>
              <w:jc w:val="right"/>
            </w:pPr>
            <w:r w:rsidRPr="0011552D">
              <w:t>0.05</w:t>
            </w:r>
          </w:p>
        </w:tc>
        <w:tc>
          <w:tcPr>
            <w:tcW w:w="1012" w:type="dxa"/>
          </w:tcPr>
          <w:p w14:paraId="79C2E271" w14:textId="77777777" w:rsidR="00CC4C7F" w:rsidRPr="0011552D" w:rsidRDefault="00CC4C7F" w:rsidP="000B319E">
            <w:pPr>
              <w:pStyle w:val="TableText"/>
              <w:jc w:val="right"/>
            </w:pPr>
            <w:r w:rsidRPr="0011552D">
              <w:t>6.19</w:t>
            </w:r>
          </w:p>
        </w:tc>
      </w:tr>
      <w:tr w:rsidR="00CC4C7F" w:rsidRPr="0011552D" w14:paraId="2A0186F8" w14:textId="77777777" w:rsidTr="008A1B17">
        <w:trPr>
          <w:trHeight w:val="300"/>
        </w:trPr>
        <w:tc>
          <w:tcPr>
            <w:tcW w:w="1757" w:type="dxa"/>
          </w:tcPr>
          <w:p w14:paraId="7E621EF6" w14:textId="77777777" w:rsidR="00CC4C7F" w:rsidRPr="0011552D" w:rsidRDefault="00CC4C7F" w:rsidP="000B319E">
            <w:pPr>
              <w:pStyle w:val="TableText"/>
            </w:pPr>
            <w:r w:rsidRPr="0011552D">
              <w:t>Live weight</w:t>
            </w:r>
          </w:p>
        </w:tc>
        <w:tc>
          <w:tcPr>
            <w:tcW w:w="1011" w:type="dxa"/>
            <w:noWrap/>
            <w:hideMark/>
          </w:tcPr>
          <w:p w14:paraId="154AC2C0" w14:textId="77777777" w:rsidR="00CC4C7F" w:rsidRPr="0011552D" w:rsidRDefault="00CC4C7F" w:rsidP="000B319E">
            <w:pPr>
              <w:pStyle w:val="TableText"/>
              <w:jc w:val="right"/>
            </w:pPr>
            <w:r w:rsidRPr="0011552D">
              <w:t>12.26</w:t>
            </w:r>
          </w:p>
        </w:tc>
        <w:tc>
          <w:tcPr>
            <w:tcW w:w="1012" w:type="dxa"/>
            <w:noWrap/>
            <w:hideMark/>
          </w:tcPr>
          <w:p w14:paraId="701DEB22" w14:textId="77777777" w:rsidR="00CC4C7F" w:rsidRPr="0011552D" w:rsidRDefault="00CC4C7F" w:rsidP="000B319E">
            <w:pPr>
              <w:pStyle w:val="TableText"/>
              <w:jc w:val="right"/>
            </w:pPr>
            <w:r w:rsidRPr="0011552D">
              <w:t>1.15</w:t>
            </w:r>
          </w:p>
        </w:tc>
        <w:tc>
          <w:tcPr>
            <w:tcW w:w="1012" w:type="dxa"/>
            <w:noWrap/>
            <w:hideMark/>
          </w:tcPr>
          <w:p w14:paraId="46D257B6" w14:textId="77777777" w:rsidR="00CC4C7F" w:rsidRPr="0011552D" w:rsidRDefault="00CC4C7F" w:rsidP="000B319E">
            <w:pPr>
              <w:pStyle w:val="TableText"/>
              <w:jc w:val="right"/>
            </w:pPr>
            <w:r w:rsidRPr="0011552D">
              <w:t>0.24</w:t>
            </w:r>
          </w:p>
        </w:tc>
        <w:tc>
          <w:tcPr>
            <w:tcW w:w="1012" w:type="dxa"/>
            <w:noWrap/>
            <w:hideMark/>
          </w:tcPr>
          <w:p w14:paraId="0E7BAB60" w14:textId="77777777" w:rsidR="00CC4C7F" w:rsidRPr="0011552D" w:rsidRDefault="00CC4C7F" w:rsidP="000B319E">
            <w:pPr>
              <w:pStyle w:val="TableText"/>
              <w:jc w:val="right"/>
            </w:pPr>
            <w:r w:rsidRPr="0011552D">
              <w:t>0.11</w:t>
            </w:r>
          </w:p>
        </w:tc>
        <w:tc>
          <w:tcPr>
            <w:tcW w:w="1012" w:type="dxa"/>
            <w:noWrap/>
            <w:hideMark/>
          </w:tcPr>
          <w:p w14:paraId="396A3594" w14:textId="77777777" w:rsidR="00CC4C7F" w:rsidRPr="0011552D" w:rsidRDefault="00CC4C7F" w:rsidP="000B319E">
            <w:pPr>
              <w:pStyle w:val="TableText"/>
              <w:jc w:val="right"/>
            </w:pPr>
            <w:r w:rsidRPr="0011552D">
              <w:t>0.11</w:t>
            </w:r>
          </w:p>
        </w:tc>
        <w:tc>
          <w:tcPr>
            <w:tcW w:w="1012" w:type="dxa"/>
            <w:noWrap/>
            <w:hideMark/>
          </w:tcPr>
          <w:p w14:paraId="3A962EFB" w14:textId="77777777" w:rsidR="00CC4C7F" w:rsidRPr="0011552D" w:rsidRDefault="00CC4C7F" w:rsidP="000B319E">
            <w:pPr>
              <w:pStyle w:val="TableText"/>
              <w:jc w:val="right"/>
            </w:pPr>
            <w:r w:rsidRPr="0011552D">
              <w:t>0.11</w:t>
            </w:r>
          </w:p>
        </w:tc>
        <w:tc>
          <w:tcPr>
            <w:tcW w:w="1012" w:type="dxa"/>
          </w:tcPr>
          <w:p w14:paraId="2E952036" w14:textId="77777777" w:rsidR="00CC4C7F" w:rsidRPr="0011552D" w:rsidRDefault="00CC4C7F" w:rsidP="000B319E">
            <w:pPr>
              <w:pStyle w:val="TableText"/>
              <w:jc w:val="right"/>
            </w:pPr>
            <w:r w:rsidRPr="0011552D">
              <w:t>13.98</w:t>
            </w:r>
          </w:p>
        </w:tc>
      </w:tr>
    </w:tbl>
    <w:p w14:paraId="556C7FBE" w14:textId="77777777" w:rsidR="00500B90" w:rsidRDefault="00500B90" w:rsidP="00DC3C6C"/>
    <w:p w14:paraId="5AC89A31" w14:textId="7F45D96D" w:rsidR="006431AD" w:rsidRDefault="006431AD" w:rsidP="006431AD">
      <w:pPr>
        <w:pStyle w:val="Heading2"/>
      </w:pPr>
      <w:bookmarkStart w:id="131" w:name="_Toc189044938"/>
      <w:r>
        <w:t>Indigenous and Recreational fishing</w:t>
      </w:r>
      <w:bookmarkEnd w:id="131"/>
    </w:p>
    <w:p w14:paraId="682362B1" w14:textId="6207CC07" w:rsidR="00DD488F" w:rsidRDefault="006431AD" w:rsidP="00DC3C6C">
      <w:r>
        <w:t>Indigenous and r</w:t>
      </w:r>
      <w:r w:rsidR="00365B0B">
        <w:t xml:space="preserve">ecreational extractions </w:t>
      </w:r>
      <w:r>
        <w:t xml:space="preserve">from the QSCF area </w:t>
      </w:r>
      <w:r w:rsidR="00365B0B">
        <w:t xml:space="preserve">are unknown, but </w:t>
      </w:r>
      <w:r>
        <w:t>are l</w:t>
      </w:r>
      <w:r w:rsidR="00365B0B">
        <w:t>ikely to be negligible (DAF, 2021</w:t>
      </w:r>
      <w:r w:rsidR="00B137C8">
        <w:t>a</w:t>
      </w:r>
      <w:r w:rsidR="00365B0B">
        <w:t>).</w:t>
      </w:r>
      <w:r w:rsidR="00DC3C6C">
        <w:t xml:space="preserve"> The recreational take of sea cucumber has an overall </w:t>
      </w:r>
      <w:r w:rsidR="00DC3C6C" w:rsidRPr="00DC3C6C">
        <w:t>possession limit</w:t>
      </w:r>
      <w:r w:rsidR="00DC3C6C">
        <w:t xml:space="preserve"> of </w:t>
      </w:r>
      <w:r w:rsidR="00DC3C6C" w:rsidRPr="00DC3C6C">
        <w:t>5</w:t>
      </w:r>
      <w:r w:rsidR="00DC3C6C">
        <w:t xml:space="preserve">, and is prohibited south of Bowen, with </w:t>
      </w:r>
      <w:r w:rsidR="004B1E0C">
        <w:t>B</w:t>
      </w:r>
      <w:r w:rsidR="00DC3C6C">
        <w:t xml:space="preserve">lack teatfish and </w:t>
      </w:r>
      <w:r w:rsidR="004B1E0C">
        <w:t>W</w:t>
      </w:r>
      <w:r w:rsidR="00DC3C6C">
        <w:t>hite teatfish being no-take species throughout Queensland waters (DAF, 2021b).</w:t>
      </w:r>
    </w:p>
    <w:p w14:paraId="1F46F7F3" w14:textId="77777777" w:rsidR="00DD488F" w:rsidRDefault="00DD488F" w:rsidP="000A6D1F">
      <w:pPr>
        <w:pStyle w:val="Heading1"/>
        <w:ind w:left="851" w:hanging="851"/>
      </w:pPr>
      <w:bookmarkStart w:id="132" w:name="_Toc189044939"/>
      <w:r>
        <w:lastRenderedPageBreak/>
        <w:t>Stock trends and stock assessments</w:t>
      </w:r>
      <w:bookmarkEnd w:id="132"/>
    </w:p>
    <w:p w14:paraId="0422A19D" w14:textId="16EE0A2B" w:rsidR="00DD488F" w:rsidRDefault="00DD488F" w:rsidP="008D08E6">
      <w:pPr>
        <w:pStyle w:val="Heading2"/>
        <w:ind w:left="851" w:hanging="851"/>
      </w:pPr>
      <w:bookmarkStart w:id="133" w:name="_Toc189044940"/>
      <w:r>
        <w:t>Fishery independent surveys</w:t>
      </w:r>
      <w:bookmarkEnd w:id="133"/>
    </w:p>
    <w:p w14:paraId="69F6DA4A" w14:textId="4FFA7AEF" w:rsidR="00900253" w:rsidRDefault="00900253" w:rsidP="00040A7F">
      <w:r w:rsidRPr="00900253">
        <w:t>F</w:t>
      </w:r>
      <w:r>
        <w:t xml:space="preserve">ishery independent surveys (stock surveys) are expensive and technically and logistically demanding. </w:t>
      </w:r>
      <w:r w:rsidR="00461AB5">
        <w:t>They require careful consideration of objectives and planning, an adequate understanding of fishery habitats, expert knowledge of holothurian taxonomy and sufficient training in UVC techniques (Purcell</w:t>
      </w:r>
      <w:r w:rsidR="004B1E0C">
        <w:t xml:space="preserve"> et al.,</w:t>
      </w:r>
      <w:r w:rsidR="00461AB5">
        <w:t xml:space="preserve"> 2010).</w:t>
      </w:r>
      <w:r w:rsidR="00F35829">
        <w:t xml:space="preserve"> </w:t>
      </w:r>
      <w:r w:rsidR="00DC01B8">
        <w:t>Comprehensive s</w:t>
      </w:r>
      <w:r w:rsidR="00461AB5">
        <w:t xml:space="preserve">urveys of sea cucumber populations on shallow reef systems, essentially complex </w:t>
      </w:r>
      <w:r w:rsidR="00B53FA4">
        <w:t>3-dimensional</w:t>
      </w:r>
      <w:r w:rsidR="00461AB5">
        <w:t xml:space="preserve"> objects</w:t>
      </w:r>
      <w:r w:rsidR="00DC01B8">
        <w:t>,</w:t>
      </w:r>
      <w:r w:rsidR="00461AB5">
        <w:t xml:space="preserve"> </w:t>
      </w:r>
      <w:r w:rsidR="00DC01B8">
        <w:t xml:space="preserve">in a </w:t>
      </w:r>
      <w:r w:rsidR="00461AB5">
        <w:t xml:space="preserve">balanced and statistically legitimate fashion </w:t>
      </w:r>
      <w:r w:rsidR="00B53FA4">
        <w:t>are</w:t>
      </w:r>
      <w:r w:rsidR="00461AB5">
        <w:t xml:space="preserve"> rare</w:t>
      </w:r>
      <w:r w:rsidR="00B53FA4">
        <w:t>ly achieved</w:t>
      </w:r>
      <w:r w:rsidR="00461AB5">
        <w:t xml:space="preserve">. </w:t>
      </w:r>
      <w:r w:rsidR="00B53FA4">
        <w:t>In addition, s</w:t>
      </w:r>
      <w:r w:rsidR="00461AB5">
        <w:t>urveying deep habitat (</w:t>
      </w:r>
      <w:r w:rsidR="00567AAC">
        <w:t>&gt;</w:t>
      </w:r>
      <w:r w:rsidR="00461AB5">
        <w:t xml:space="preserve">20m) usually requires the use of underwater video equipment, adding to the expense and training required. </w:t>
      </w:r>
    </w:p>
    <w:p w14:paraId="5013EA29" w14:textId="5816F65F" w:rsidR="00040A7F" w:rsidRPr="00811482" w:rsidRDefault="00040A7F" w:rsidP="00040A7F">
      <w:r w:rsidRPr="00811482">
        <w:t xml:space="preserve">Sea cucumbers, </w:t>
      </w:r>
      <w:r w:rsidR="004B1E0C">
        <w:t xml:space="preserve">and </w:t>
      </w:r>
      <w:r w:rsidRPr="00811482">
        <w:t>particularly teatfish</w:t>
      </w:r>
      <w:r w:rsidR="00900253" w:rsidRPr="00811482">
        <w:t>es</w:t>
      </w:r>
      <w:r w:rsidRPr="00811482">
        <w:t xml:space="preserve">, </w:t>
      </w:r>
      <w:r w:rsidR="00900253" w:rsidRPr="00811482">
        <w:t xml:space="preserve">have </w:t>
      </w:r>
      <w:r w:rsidRPr="00811482">
        <w:t xml:space="preserve">variable densities across </w:t>
      </w:r>
      <w:r w:rsidR="00900253" w:rsidRPr="00811482">
        <w:t xml:space="preserve">depth </w:t>
      </w:r>
      <w:r w:rsidR="00DC01B8">
        <w:t xml:space="preserve">gradients </w:t>
      </w:r>
      <w:r w:rsidR="00900253" w:rsidRPr="00811482">
        <w:t xml:space="preserve">and </w:t>
      </w:r>
      <w:r w:rsidRPr="00811482">
        <w:t>reef morphometric habitats</w:t>
      </w:r>
      <w:r w:rsidR="00811482" w:rsidRPr="00811482">
        <w:t>,</w:t>
      </w:r>
      <w:r w:rsidRPr="00811482">
        <w:t xml:space="preserve"> and in relation to distance from terrigenous influence (across shelf)</w:t>
      </w:r>
      <w:r w:rsidR="004B1E0C">
        <w:t xml:space="preserve"> and even latitudinally</w:t>
      </w:r>
      <w:r w:rsidR="00811482">
        <w:t xml:space="preserve"> (Benzie and Uthicke, 2003; Murph et al., 2021; Purcell et al, 2023)</w:t>
      </w:r>
      <w:r w:rsidRPr="00811482">
        <w:t xml:space="preserve">. </w:t>
      </w:r>
      <w:r w:rsidR="004B1E0C">
        <w:t xml:space="preserve">Due to this, </w:t>
      </w:r>
      <w:r w:rsidR="00DC01B8">
        <w:t xml:space="preserve">and the difficulty and expense in carrying out comprehensive surveys, </w:t>
      </w:r>
      <w:r w:rsidR="004B1E0C">
        <w:t xml:space="preserve">there is </w:t>
      </w:r>
      <w:r w:rsidR="00DC01B8">
        <w:t xml:space="preserve">a wide </w:t>
      </w:r>
      <w:r w:rsidR="004B1E0C">
        <w:t xml:space="preserve">variation in sample design and survey approaches that makes </w:t>
      </w:r>
      <w:r w:rsidR="004B1E0C" w:rsidRPr="00811482">
        <w:t xml:space="preserve">comparisons of sea cucumber densities over time and between locations </w:t>
      </w:r>
      <w:r w:rsidR="004B1E0C">
        <w:t>difficult.</w:t>
      </w:r>
    </w:p>
    <w:p w14:paraId="5BA10252" w14:textId="040745E7" w:rsidR="00892D6F" w:rsidRDefault="0036551D" w:rsidP="00A87F05">
      <w:pPr>
        <w:pStyle w:val="Heading3"/>
        <w:ind w:left="851" w:hanging="851"/>
      </w:pPr>
      <w:r>
        <w:t>Black teatfish</w:t>
      </w:r>
    </w:p>
    <w:p w14:paraId="7FB17907" w14:textId="77777777" w:rsidR="00B061D3" w:rsidRPr="00B061D3" w:rsidRDefault="00B061D3" w:rsidP="00B061D3">
      <w:pPr>
        <w:rPr>
          <w:i/>
          <w:iCs/>
          <w:u w:val="single"/>
        </w:rPr>
      </w:pPr>
      <w:r w:rsidRPr="00B061D3">
        <w:rPr>
          <w:i/>
          <w:iCs/>
          <w:u w:val="single"/>
        </w:rPr>
        <w:t>1978-79</w:t>
      </w:r>
    </w:p>
    <w:p w14:paraId="567D08CA" w14:textId="78627C72" w:rsidR="00B061D3" w:rsidRDefault="00B061D3" w:rsidP="00B061D3">
      <w:r>
        <w:t>A holothurian resource survey was conducted at nine reefs of the central Great Barrier Reef (approx. between Townsville and Cairns) in 1978-79 (Harriott 1984; 1985). The survey initially compared two census methods, 500 m manta tows and 100 m SCUBA swims, to determine the distribution and abundance of reef dwelling holothurians. Manta tows were chosen as the most effective method although it was estimated that this method underestimated the “real population density” by a factor of 2 – 4 times. The survey was restricted to 10 m water depth.</w:t>
      </w:r>
    </w:p>
    <w:p w14:paraId="68C4FC16" w14:textId="766F93A8" w:rsidR="00284CAE" w:rsidRDefault="00B061D3" w:rsidP="00B061D3">
      <w:r>
        <w:t xml:space="preserve">The </w:t>
      </w:r>
      <w:r w:rsidR="00284CAE">
        <w:t>density</w:t>
      </w:r>
      <w:r>
        <w:t xml:space="preserve"> of </w:t>
      </w:r>
      <w:r w:rsidR="00284CAE">
        <w:t>commercial sea cucumbers</w:t>
      </w:r>
      <w:r>
        <w:t xml:space="preserve"> were estimated </w:t>
      </w:r>
      <w:r w:rsidR="00284CAE">
        <w:t xml:space="preserve">for four reef </w:t>
      </w:r>
      <w:r>
        <w:t>habitats: forereef slope, reef top, lagoon and consolidated backreef habitats. Only forereef slope and consolidated backreef habitats had significant (&gt;20</w:t>
      </w:r>
      <w:r w:rsidR="00DC01B8">
        <w:t xml:space="preserve"> per </w:t>
      </w:r>
      <w:r>
        <w:t xml:space="preserve">ha) abundances of </w:t>
      </w:r>
      <w:r w:rsidR="00284CAE">
        <w:t xml:space="preserve">commercial </w:t>
      </w:r>
      <w:r>
        <w:t xml:space="preserve">holothurians. </w:t>
      </w:r>
      <w:r w:rsidR="00284CAE">
        <w:t xml:space="preserve">The density of Black teatfish was generally low, with the highest density being </w:t>
      </w:r>
      <w:r w:rsidR="00284CAE" w:rsidRPr="00284CAE">
        <w:t>5.19</w:t>
      </w:r>
      <w:r w:rsidR="00284CAE">
        <w:t xml:space="preserve"> </w:t>
      </w:r>
      <w:r w:rsidR="00DC01B8">
        <w:t xml:space="preserve">per </w:t>
      </w:r>
      <w:r w:rsidR="00284CAE">
        <w:t xml:space="preserve">ha on </w:t>
      </w:r>
      <w:r w:rsidR="00284CAE" w:rsidRPr="00284CAE">
        <w:t>Pearl</w:t>
      </w:r>
      <w:r w:rsidR="00284CAE">
        <w:t xml:space="preserve"> Reef f</w:t>
      </w:r>
      <w:r w:rsidR="00284CAE" w:rsidRPr="00284CAE">
        <w:t>orereef slope</w:t>
      </w:r>
      <w:r w:rsidR="00284CAE">
        <w:t xml:space="preserve">, and average density on the 8 highest density reef-habitat combinations only being 1.8 </w:t>
      </w:r>
      <w:r w:rsidR="00DC01B8">
        <w:t xml:space="preserve">per </w:t>
      </w:r>
      <w:r w:rsidR="00284CAE">
        <w:t>ha (Harri</w:t>
      </w:r>
      <w:r w:rsidR="00635D53">
        <w:t>o</w:t>
      </w:r>
      <w:r w:rsidR="00284CAE">
        <w:t xml:space="preserve">tt, 1985). </w:t>
      </w:r>
    </w:p>
    <w:p w14:paraId="0EA3B06F" w14:textId="1DB2A086" w:rsidR="00B061D3" w:rsidRDefault="00B061D3" w:rsidP="00B061D3">
      <w:r>
        <w:t>Harriott (1985) concluded that given the relatively low densities of holothurians on the Great Barrier Reef and possible prohibitive wage costs (compared to the undeveloped countries) it was not likely that a beche-de-mer fishery would be viable on the reefs surveyed.</w:t>
      </w:r>
    </w:p>
    <w:p w14:paraId="375DFF4D" w14:textId="5D396B9A" w:rsidR="00C27C8E" w:rsidRPr="00C27C8E" w:rsidRDefault="004B6562" w:rsidP="00474ABF">
      <w:pPr>
        <w:pStyle w:val="Heading4"/>
      </w:pPr>
      <w:r>
        <w:t>1998-99</w:t>
      </w:r>
    </w:p>
    <w:p w14:paraId="067D76A4" w14:textId="2EBE226F" w:rsidR="00B7174F" w:rsidRPr="001B4D70" w:rsidRDefault="00196578" w:rsidP="00B7174F">
      <w:pPr>
        <w:pStyle w:val="BodyText"/>
        <w:rPr>
          <w:rFonts w:cstheme="minorHAnsi"/>
        </w:rPr>
      </w:pPr>
      <w:r w:rsidRPr="001B4D70">
        <w:t xml:space="preserve">A broadscale survey of the GBR focused on Black teatfish </w:t>
      </w:r>
      <w:r w:rsidR="00C27C8E" w:rsidRPr="001B4D70">
        <w:rPr>
          <w:rFonts w:cstheme="minorHAnsi"/>
        </w:rPr>
        <w:t xml:space="preserve">was carried out in </w:t>
      </w:r>
      <w:r w:rsidR="00167843" w:rsidRPr="001B4D70">
        <w:rPr>
          <w:rFonts w:cstheme="minorHAnsi"/>
        </w:rPr>
        <w:t>1998-</w:t>
      </w:r>
      <w:r w:rsidR="00C27C8E" w:rsidRPr="001B4D70">
        <w:rPr>
          <w:rFonts w:cstheme="minorHAnsi"/>
        </w:rPr>
        <w:t>99 (</w:t>
      </w:r>
      <w:r w:rsidR="00167843" w:rsidRPr="001B4D70">
        <w:rPr>
          <w:rFonts w:cstheme="minorHAnsi"/>
        </w:rPr>
        <w:t xml:space="preserve">Uthicke and Benzie, 2000; </w:t>
      </w:r>
      <w:r w:rsidR="00C27C8E" w:rsidRPr="001B4D70">
        <w:rPr>
          <w:rFonts w:cstheme="minorHAnsi"/>
        </w:rPr>
        <w:t>Benzie and Uthicke, 2003).</w:t>
      </w:r>
      <w:r w:rsidRPr="001B4D70">
        <w:t xml:space="preserve"> </w:t>
      </w:r>
      <w:r w:rsidR="00B7174F" w:rsidRPr="001B4D70">
        <w:rPr>
          <w:rFonts w:cstheme="minorHAnsi"/>
        </w:rPr>
        <w:t>Based on preliminary surveys</w:t>
      </w:r>
      <w:r w:rsidR="003433F8">
        <w:rPr>
          <w:rFonts w:cstheme="minorHAnsi"/>
        </w:rPr>
        <w:t xml:space="preserve"> showing low density of Black teatfish on nearshore reefs</w:t>
      </w:r>
      <w:r w:rsidR="00B7174F" w:rsidRPr="001B4D70">
        <w:rPr>
          <w:rFonts w:cstheme="minorHAnsi"/>
        </w:rPr>
        <w:t xml:space="preserve">, only the mid </w:t>
      </w:r>
      <w:r w:rsidR="003433F8">
        <w:rPr>
          <w:rFonts w:cstheme="minorHAnsi"/>
        </w:rPr>
        <w:t xml:space="preserve">shelf </w:t>
      </w:r>
      <w:r w:rsidR="00B7174F" w:rsidRPr="001B4D70">
        <w:rPr>
          <w:rFonts w:cstheme="minorHAnsi"/>
        </w:rPr>
        <w:t xml:space="preserve">and outer barrier reefs were included in the survey. The habitat for the survey was described as the “reef flat area”, though “areas with &gt; 60% sand cover were avoided” (Benzie and Uthicke, 2003) and “areas from the reef flat that are unlikely habitat” were excluded (Uthicke and Benzie, 2000). Other than that, it is not clear how sample locations were chosen (Knuckey and Koopman, 2016). </w:t>
      </w:r>
    </w:p>
    <w:p w14:paraId="0B37F92C" w14:textId="7FC7608E" w:rsidR="00B7174F" w:rsidRPr="001B4D70" w:rsidRDefault="00B7174F" w:rsidP="00C27C8E">
      <w:pPr>
        <w:pStyle w:val="BodyText"/>
      </w:pPr>
      <w:r w:rsidRPr="001B4D70">
        <w:t xml:space="preserve">The survey approach was </w:t>
      </w:r>
      <w:r w:rsidR="003433F8">
        <w:t xml:space="preserve">based on </w:t>
      </w:r>
      <w:r w:rsidRPr="001B4D70">
        <w:t>500m</w:t>
      </w:r>
      <w:r w:rsidR="00DB4275" w:rsidRPr="001B4D70">
        <w:rPr>
          <w:vertAlign w:val="superscript"/>
        </w:rPr>
        <w:t>2</w:t>
      </w:r>
      <w:r w:rsidRPr="001B4D70">
        <w:t xml:space="preserve"> manta tows, where Black teatfish and other species were counted, and individuals collected for size </w:t>
      </w:r>
      <w:r w:rsidR="003433F8">
        <w:t>measurement</w:t>
      </w:r>
      <w:r w:rsidRPr="001B4D70">
        <w:t>.</w:t>
      </w:r>
      <w:r w:rsidR="00DB4275" w:rsidRPr="001B4D70">
        <w:t xml:space="preserve"> Over a thousand manta tows at 157 locations on 72 r</w:t>
      </w:r>
      <w:r w:rsidR="001B4D70" w:rsidRPr="001B4D70">
        <w:t>e</w:t>
      </w:r>
      <w:r w:rsidR="00DB4275" w:rsidRPr="001B4D70">
        <w:t xml:space="preserve">efs were surveyed between </w:t>
      </w:r>
      <w:r w:rsidR="001B4D70" w:rsidRPr="001B4D70">
        <w:t xml:space="preserve">Cape Grenville </w:t>
      </w:r>
      <w:r w:rsidR="00A22EFE">
        <w:t>(</w:t>
      </w:r>
      <w:r w:rsidR="00A22EFE" w:rsidRPr="00A22EFE">
        <w:t>15˚S</w:t>
      </w:r>
      <w:r w:rsidR="00A22EFE">
        <w:t>)</w:t>
      </w:r>
      <w:r w:rsidR="00A22EFE" w:rsidRPr="00A22EFE">
        <w:t xml:space="preserve"> </w:t>
      </w:r>
      <w:r w:rsidR="001B4D70" w:rsidRPr="001B4D70">
        <w:t>and Keppell Island</w:t>
      </w:r>
      <w:r w:rsidR="00A22EFE">
        <w:t xml:space="preserve"> (23</w:t>
      </w:r>
      <w:r w:rsidR="00A22EFE" w:rsidRPr="00A22EFE">
        <w:t>˚S</w:t>
      </w:r>
      <w:r w:rsidR="00A22EFE">
        <w:t>)</w:t>
      </w:r>
      <w:r w:rsidR="00C556A4">
        <w:t xml:space="preserve"> (</w:t>
      </w:r>
      <w:r w:rsidR="00C556A4" w:rsidRPr="001B4D70">
        <w:rPr>
          <w:rFonts w:cstheme="minorHAnsi"/>
        </w:rPr>
        <w:t>Benzie and Uthicke, 2003</w:t>
      </w:r>
      <w:r w:rsidR="00C556A4">
        <w:rPr>
          <w:rFonts w:cstheme="minorHAnsi"/>
        </w:rPr>
        <w:t>)</w:t>
      </w:r>
      <w:r w:rsidR="001B4D70" w:rsidRPr="001B4D70">
        <w:t>.</w:t>
      </w:r>
    </w:p>
    <w:p w14:paraId="58E72686" w14:textId="52D44507" w:rsidR="00C27C8E" w:rsidRPr="001B4D70" w:rsidRDefault="00196578" w:rsidP="00C27C8E">
      <w:pPr>
        <w:pStyle w:val="BodyText"/>
        <w:rPr>
          <w:rFonts w:cstheme="minorHAnsi"/>
        </w:rPr>
      </w:pPr>
      <w:r w:rsidRPr="001B4D70">
        <w:lastRenderedPageBreak/>
        <w:t xml:space="preserve">Black teatfish </w:t>
      </w:r>
      <w:r w:rsidR="00C556A4">
        <w:t>were</w:t>
      </w:r>
      <w:r w:rsidRPr="001B4D70">
        <w:t xml:space="preserve"> observed on 5</w:t>
      </w:r>
      <w:r w:rsidR="003B4FAA" w:rsidRPr="001B4D70">
        <w:t>6</w:t>
      </w:r>
      <w:r w:rsidRPr="001B4D70">
        <w:t xml:space="preserve"> of 72 </w:t>
      </w:r>
      <w:r w:rsidRPr="001B4D70">
        <w:rPr>
          <w:rFonts w:cstheme="minorHAnsi"/>
        </w:rPr>
        <w:t xml:space="preserve">mid and outer shelf reefs </w:t>
      </w:r>
      <w:r w:rsidRPr="001B4D70">
        <w:t>sampled (</w:t>
      </w:r>
      <w:r w:rsidRPr="001B4D70">
        <w:fldChar w:fldCharType="begin"/>
      </w:r>
      <w:r w:rsidRPr="001B4D70">
        <w:instrText xml:space="preserve"> REF _Ref151553656 \h </w:instrText>
      </w:r>
      <w:r w:rsidR="00040A7F" w:rsidRPr="001B4D70">
        <w:instrText xml:space="preserve"> \* MERGEFORMAT </w:instrText>
      </w:r>
      <w:r w:rsidRPr="001B4D70">
        <w:fldChar w:fldCharType="separate"/>
      </w:r>
      <w:r w:rsidR="004263D8" w:rsidRPr="00A405F9">
        <w:t xml:space="preserve">Figure </w:t>
      </w:r>
      <w:r w:rsidR="004263D8">
        <w:rPr>
          <w:noProof/>
        </w:rPr>
        <w:t>28</w:t>
      </w:r>
      <w:r w:rsidRPr="001B4D70">
        <w:fldChar w:fldCharType="end"/>
      </w:r>
      <w:r w:rsidRPr="001B4D70">
        <w:t>).</w:t>
      </w:r>
      <w:r w:rsidR="00C27C8E" w:rsidRPr="001B4D70">
        <w:rPr>
          <w:rFonts w:cstheme="minorHAnsi"/>
        </w:rPr>
        <w:t xml:space="preserve"> </w:t>
      </w:r>
      <w:r w:rsidR="00B7174F" w:rsidRPr="001B4D70">
        <w:rPr>
          <w:rFonts w:cstheme="minorHAnsi"/>
        </w:rPr>
        <w:t xml:space="preserve">They were </w:t>
      </w:r>
      <w:r w:rsidR="00C27C8E" w:rsidRPr="001B4D70">
        <w:rPr>
          <w:rFonts w:cstheme="minorHAnsi"/>
        </w:rPr>
        <w:t xml:space="preserve">found in higher density on outer shelf and barrier </w:t>
      </w:r>
      <w:r w:rsidR="007530A7" w:rsidRPr="001B4D70">
        <w:rPr>
          <w:rFonts w:cstheme="minorHAnsi"/>
        </w:rPr>
        <w:t>reefs and</w:t>
      </w:r>
      <w:r w:rsidR="004B6562" w:rsidRPr="001B4D70">
        <w:rPr>
          <w:rFonts w:cstheme="minorHAnsi"/>
        </w:rPr>
        <w:t xml:space="preserve"> generally had </w:t>
      </w:r>
      <w:r w:rsidR="007530A7" w:rsidRPr="001B4D70">
        <w:rPr>
          <w:rFonts w:cstheme="minorHAnsi"/>
        </w:rPr>
        <w:t xml:space="preserve">a higher density </w:t>
      </w:r>
      <w:r w:rsidR="00C556A4">
        <w:rPr>
          <w:rFonts w:cstheme="minorHAnsi"/>
        </w:rPr>
        <w:t>o</w:t>
      </w:r>
      <w:r w:rsidR="007530A7" w:rsidRPr="001B4D70">
        <w:rPr>
          <w:rFonts w:cstheme="minorHAnsi"/>
        </w:rPr>
        <w:t xml:space="preserve">n reefs </w:t>
      </w:r>
      <w:r w:rsidR="003433F8" w:rsidRPr="003433F8">
        <w:rPr>
          <w:rFonts w:cstheme="minorHAnsi"/>
        </w:rPr>
        <w:t xml:space="preserve">north of Townsville, </w:t>
      </w:r>
      <w:r w:rsidR="003433F8">
        <w:rPr>
          <w:rFonts w:cstheme="minorHAnsi"/>
        </w:rPr>
        <w:t xml:space="preserve">with </w:t>
      </w:r>
      <w:r w:rsidR="003433F8" w:rsidRPr="003433F8">
        <w:rPr>
          <w:rFonts w:cstheme="minorHAnsi"/>
        </w:rPr>
        <w:t xml:space="preserve">the distribution south of this </w:t>
      </w:r>
      <w:r w:rsidR="003433F8">
        <w:rPr>
          <w:rFonts w:cstheme="minorHAnsi"/>
        </w:rPr>
        <w:t xml:space="preserve">being </w:t>
      </w:r>
      <w:r w:rsidR="003433F8" w:rsidRPr="003433F8">
        <w:rPr>
          <w:rFonts w:cstheme="minorHAnsi"/>
        </w:rPr>
        <w:t>patchy</w:t>
      </w:r>
      <w:r w:rsidR="00AB1B66">
        <w:rPr>
          <w:rFonts w:cstheme="minorHAnsi"/>
        </w:rPr>
        <w:t xml:space="preserve"> (</w:t>
      </w:r>
      <w:r w:rsidR="00AB1B66">
        <w:rPr>
          <w:rFonts w:cstheme="minorHAnsi"/>
        </w:rPr>
        <w:fldChar w:fldCharType="begin"/>
      </w:r>
      <w:r w:rsidR="00AB1B66">
        <w:rPr>
          <w:rFonts w:cstheme="minorHAnsi"/>
        </w:rPr>
        <w:instrText xml:space="preserve"> REF _Ref169570097 </w:instrText>
      </w:r>
      <w:r w:rsidR="00AB1B66">
        <w:rPr>
          <w:rFonts w:cstheme="minorHAnsi"/>
        </w:rPr>
        <w:fldChar w:fldCharType="separate"/>
      </w:r>
      <w:r w:rsidR="004263D8">
        <w:t xml:space="preserve">Figure </w:t>
      </w:r>
      <w:r w:rsidR="004263D8">
        <w:rPr>
          <w:noProof/>
        </w:rPr>
        <w:t>27</w:t>
      </w:r>
      <w:r w:rsidR="00AB1B66">
        <w:rPr>
          <w:rFonts w:cstheme="minorHAnsi"/>
        </w:rPr>
        <w:fldChar w:fldCharType="end"/>
      </w:r>
      <w:r w:rsidR="00AB1B66">
        <w:rPr>
          <w:rFonts w:cstheme="minorHAnsi"/>
        </w:rPr>
        <w:t>)</w:t>
      </w:r>
      <w:r w:rsidR="00C27C8E" w:rsidRPr="001B4D70">
        <w:rPr>
          <w:rFonts w:cstheme="minorHAnsi"/>
        </w:rPr>
        <w:t xml:space="preserve">. </w:t>
      </w:r>
    </w:p>
    <w:p w14:paraId="15832D5D" w14:textId="1C663948" w:rsidR="00C27C8E" w:rsidRPr="001B4D70" w:rsidRDefault="00C27C8E" w:rsidP="00196578">
      <w:pPr>
        <w:pStyle w:val="BodyText"/>
      </w:pPr>
      <w:r w:rsidRPr="001B4D70">
        <w:rPr>
          <w:rFonts w:cstheme="minorHAnsi"/>
        </w:rPr>
        <w:t xml:space="preserve">Density estimates from the </w:t>
      </w:r>
      <w:r w:rsidR="00196578" w:rsidRPr="001B4D70">
        <w:rPr>
          <w:rFonts w:cstheme="minorHAnsi"/>
        </w:rPr>
        <w:t xml:space="preserve">active </w:t>
      </w:r>
      <w:r w:rsidRPr="001B4D70">
        <w:rPr>
          <w:rFonts w:cstheme="minorHAnsi"/>
        </w:rPr>
        <w:t>fishery area (</w:t>
      </w:r>
      <w:r w:rsidR="00196578" w:rsidRPr="001B4D70">
        <w:rPr>
          <w:rFonts w:cstheme="minorHAnsi"/>
        </w:rPr>
        <w:t>Princess Charlotte Bay to Lucinda</w:t>
      </w:r>
      <w:r w:rsidR="00B67CB3">
        <w:rPr>
          <w:rFonts w:cstheme="minorHAnsi"/>
        </w:rPr>
        <w:t xml:space="preserve">, </w:t>
      </w:r>
      <w:r w:rsidR="00B67CB3" w:rsidRPr="001B4D70">
        <w:rPr>
          <w:rFonts w:cstheme="minorHAnsi"/>
        </w:rPr>
        <w:t>12-19°S</w:t>
      </w:r>
      <w:r w:rsidRPr="001B4D70">
        <w:rPr>
          <w:rFonts w:cstheme="minorHAnsi"/>
        </w:rPr>
        <w:t>) were</w:t>
      </w:r>
      <w:r w:rsidR="00196578" w:rsidRPr="001B4D70">
        <w:rPr>
          <w:rFonts w:cstheme="minorHAnsi"/>
        </w:rPr>
        <w:t xml:space="preserve"> used to assess stock status by comparing closed and open reefs (Benzie and Uthicke, 2003; Uthicke and Benzie, 2000). </w:t>
      </w:r>
      <w:r w:rsidRPr="001B4D70">
        <w:t xml:space="preserve">Black teatfish </w:t>
      </w:r>
      <w:r w:rsidR="000E0509">
        <w:t xml:space="preserve">density </w:t>
      </w:r>
      <w:r w:rsidRPr="001B4D70">
        <w:t xml:space="preserve">in the “main habitat” on closed reefs </w:t>
      </w:r>
      <w:r w:rsidR="00196578" w:rsidRPr="001B4D70">
        <w:t>was</w:t>
      </w:r>
      <w:r w:rsidRPr="001B4D70">
        <w:t xml:space="preserve"> 20.</w:t>
      </w:r>
      <w:r w:rsidR="00B96D27" w:rsidRPr="001B4D70">
        <w:t>88</w:t>
      </w:r>
      <w:r w:rsidRPr="001B4D70">
        <w:t xml:space="preserve"> </w:t>
      </w:r>
      <w:r w:rsidR="00DC01B8">
        <w:t>per h</w:t>
      </w:r>
      <w:r w:rsidRPr="001B4D70">
        <w:t>a (n=6, 95% confidence interval [CI] = 16.3–25.73)</w:t>
      </w:r>
      <w:r w:rsidR="00196578" w:rsidRPr="001B4D70">
        <w:t xml:space="preserve">, compared to </w:t>
      </w:r>
      <w:r w:rsidRPr="001B4D70">
        <w:t xml:space="preserve">the same habitat on ‘open reefs’ </w:t>
      </w:r>
      <w:r w:rsidR="00196578" w:rsidRPr="001B4D70">
        <w:t xml:space="preserve">of </w:t>
      </w:r>
      <w:r w:rsidRPr="001B4D70">
        <w:t>5.</w:t>
      </w:r>
      <w:r w:rsidR="00B96D27" w:rsidRPr="001B4D70">
        <w:t>52</w:t>
      </w:r>
      <w:r w:rsidRPr="001B4D70">
        <w:t xml:space="preserve"> </w:t>
      </w:r>
      <w:r w:rsidR="00DC01B8">
        <w:t>per h</w:t>
      </w:r>
      <w:r w:rsidRPr="001B4D70">
        <w:t>a (</w:t>
      </w:r>
      <w:r w:rsidR="00B96D27" w:rsidRPr="001B4D70">
        <w:t xml:space="preserve">n = 29, 95% CI = 2.84–8.20) </w:t>
      </w:r>
      <w:r w:rsidRPr="001B4D70">
        <w:t xml:space="preserve">indicating </w:t>
      </w:r>
      <w:r w:rsidR="0063594D">
        <w:rPr>
          <w:spacing w:val="-2"/>
        </w:rPr>
        <w:t>that</w:t>
      </w:r>
      <w:r w:rsidR="0063594D">
        <w:rPr>
          <w:spacing w:val="-11"/>
        </w:rPr>
        <w:t xml:space="preserve"> </w:t>
      </w:r>
      <w:r w:rsidR="0063594D">
        <w:rPr>
          <w:spacing w:val="-2"/>
        </w:rPr>
        <w:t>fishing</w:t>
      </w:r>
      <w:r w:rsidR="0063594D">
        <w:rPr>
          <w:spacing w:val="-11"/>
        </w:rPr>
        <w:t xml:space="preserve"> </w:t>
      </w:r>
      <w:r w:rsidR="0063594D">
        <w:rPr>
          <w:spacing w:val="-2"/>
        </w:rPr>
        <w:t>has</w:t>
      </w:r>
      <w:r w:rsidR="0063594D">
        <w:rPr>
          <w:spacing w:val="-11"/>
        </w:rPr>
        <w:t xml:space="preserve"> </w:t>
      </w:r>
      <w:r w:rsidR="0063594D">
        <w:rPr>
          <w:spacing w:val="-2"/>
        </w:rPr>
        <w:t>reduced</w:t>
      </w:r>
      <w:r w:rsidR="0063594D">
        <w:rPr>
          <w:spacing w:val="-11"/>
        </w:rPr>
        <w:t xml:space="preserve"> </w:t>
      </w:r>
      <w:r w:rsidR="0063594D">
        <w:rPr>
          <w:spacing w:val="-2"/>
        </w:rPr>
        <w:t>density</w:t>
      </w:r>
      <w:r w:rsidR="0063594D">
        <w:rPr>
          <w:spacing w:val="-11"/>
        </w:rPr>
        <w:t xml:space="preserve"> </w:t>
      </w:r>
      <w:r w:rsidR="0063594D">
        <w:rPr>
          <w:spacing w:val="-2"/>
        </w:rPr>
        <w:t xml:space="preserve">and </w:t>
      </w:r>
      <w:r w:rsidR="0063594D">
        <w:rPr>
          <w:spacing w:val="-4"/>
        </w:rPr>
        <w:t>biomass</w:t>
      </w:r>
      <w:r w:rsidR="0063594D">
        <w:rPr>
          <w:spacing w:val="-12"/>
        </w:rPr>
        <w:t xml:space="preserve"> </w:t>
      </w:r>
      <w:r w:rsidR="0063594D">
        <w:rPr>
          <w:spacing w:val="-4"/>
        </w:rPr>
        <w:t>by</w:t>
      </w:r>
      <w:r w:rsidR="0063594D">
        <w:rPr>
          <w:spacing w:val="-11"/>
        </w:rPr>
        <w:t xml:space="preserve"> </w:t>
      </w:r>
      <w:r w:rsidR="0063594D">
        <w:rPr>
          <w:spacing w:val="-4"/>
        </w:rPr>
        <w:t>at</w:t>
      </w:r>
      <w:r w:rsidR="0063594D">
        <w:rPr>
          <w:spacing w:val="-11"/>
        </w:rPr>
        <w:t xml:space="preserve"> </w:t>
      </w:r>
      <w:r w:rsidR="0063594D">
        <w:rPr>
          <w:spacing w:val="-4"/>
        </w:rPr>
        <w:t>least</w:t>
      </w:r>
      <w:r w:rsidR="0063594D">
        <w:rPr>
          <w:spacing w:val="-12"/>
        </w:rPr>
        <w:t xml:space="preserve"> </w:t>
      </w:r>
      <w:r w:rsidR="0063594D">
        <w:rPr>
          <w:spacing w:val="-4"/>
        </w:rPr>
        <w:t>75%</w:t>
      </w:r>
      <w:r w:rsidR="0063594D">
        <w:rPr>
          <w:spacing w:val="-11"/>
        </w:rPr>
        <w:t xml:space="preserve"> </w:t>
      </w:r>
      <w:r w:rsidR="0063594D">
        <w:rPr>
          <w:spacing w:val="-4"/>
        </w:rPr>
        <w:t>on</w:t>
      </w:r>
      <w:r w:rsidR="0063594D">
        <w:rPr>
          <w:spacing w:val="-11"/>
        </w:rPr>
        <w:t xml:space="preserve"> </w:t>
      </w:r>
      <w:r w:rsidR="0063594D">
        <w:rPr>
          <w:spacing w:val="-4"/>
        </w:rPr>
        <w:t>fished</w:t>
      </w:r>
      <w:r w:rsidR="0063594D">
        <w:rPr>
          <w:spacing w:val="-11"/>
        </w:rPr>
        <w:t xml:space="preserve"> </w:t>
      </w:r>
      <w:r w:rsidR="0063594D">
        <w:rPr>
          <w:spacing w:val="-4"/>
        </w:rPr>
        <w:t>reefs</w:t>
      </w:r>
      <w:r w:rsidRPr="001B4D70">
        <w:t xml:space="preserve"> (Uthicke and Benzie, 2000</w:t>
      </w:r>
      <w:r w:rsidR="00B96D27" w:rsidRPr="001B4D70">
        <w:t>; Uthicke et al., 2004</w:t>
      </w:r>
      <w:r w:rsidRPr="001B4D70">
        <w:t xml:space="preserve">). </w:t>
      </w:r>
    </w:p>
    <w:p w14:paraId="4EDF24D1" w14:textId="49F2791A" w:rsidR="00CD7F69" w:rsidRPr="001B4D70" w:rsidRDefault="00C556A4" w:rsidP="00CD7F69">
      <w:r>
        <w:t>T</w:t>
      </w:r>
      <w:r w:rsidR="006F468C" w:rsidRPr="001B4D70">
        <w:t>he</w:t>
      </w:r>
      <w:r w:rsidR="00C27C8E" w:rsidRPr="001B4D70">
        <w:t xml:space="preserve"> biomass </w:t>
      </w:r>
      <w:r>
        <w:t xml:space="preserve">estimate </w:t>
      </w:r>
      <w:r w:rsidR="00C27C8E" w:rsidRPr="001B4D70">
        <w:t xml:space="preserve">for the </w:t>
      </w:r>
      <w:r w:rsidR="006F468C" w:rsidRPr="001B4D70">
        <w:t xml:space="preserve">active </w:t>
      </w:r>
      <w:r w:rsidR="00C27C8E" w:rsidRPr="001B4D70">
        <w:t xml:space="preserve">fishery area </w:t>
      </w:r>
      <w:r w:rsidR="00485426" w:rsidRPr="001B4D70">
        <w:t xml:space="preserve">using </w:t>
      </w:r>
      <w:r w:rsidR="00196578" w:rsidRPr="001B4D70">
        <w:t xml:space="preserve">the above </w:t>
      </w:r>
      <w:r w:rsidR="00C36A4F" w:rsidRPr="001B4D70">
        <w:t xml:space="preserve">density estimates and estimates of “dry-reef area” (GBRMPA) </w:t>
      </w:r>
      <w:r>
        <w:t>w</w:t>
      </w:r>
      <w:r w:rsidR="00C36A4F" w:rsidRPr="001B4D70">
        <w:t>as</w:t>
      </w:r>
      <w:r w:rsidR="00C27C8E" w:rsidRPr="001B4D70">
        <w:t xml:space="preserve"> </w:t>
      </w:r>
      <w:r w:rsidR="00485426" w:rsidRPr="001B4D70">
        <w:t xml:space="preserve">2,518 t </w:t>
      </w:r>
      <w:r w:rsidR="006F468C" w:rsidRPr="001B4D70">
        <w:t>(gutted weight)</w:t>
      </w:r>
      <w:r w:rsidR="00C27C8E" w:rsidRPr="001B4D70">
        <w:t xml:space="preserve">, </w:t>
      </w:r>
      <w:r w:rsidR="00C36A4F" w:rsidRPr="001B4D70">
        <w:t>with</w:t>
      </w:r>
      <w:r w:rsidR="00C27C8E" w:rsidRPr="001B4D70">
        <w:t xml:space="preserve"> the </w:t>
      </w:r>
      <w:r w:rsidR="00485426" w:rsidRPr="001B4D70">
        <w:t>virgin (pre-modern fishery)</w:t>
      </w:r>
      <w:r w:rsidR="00C27C8E" w:rsidRPr="001B4D70">
        <w:t xml:space="preserve"> </w:t>
      </w:r>
      <w:r>
        <w:t xml:space="preserve">biomass estimate for </w:t>
      </w:r>
      <w:r w:rsidR="006F468C" w:rsidRPr="001B4D70">
        <w:t xml:space="preserve">the same area </w:t>
      </w:r>
      <w:r w:rsidR="00485426" w:rsidRPr="001B4D70">
        <w:t>as 5,585 t</w:t>
      </w:r>
      <w:r w:rsidR="00C27C8E" w:rsidRPr="001B4D70">
        <w:t>.</w:t>
      </w:r>
      <w:r w:rsidR="0063594D">
        <w:t xml:space="preserve"> T</w:t>
      </w:r>
      <w:r w:rsidR="00CD7F69" w:rsidRPr="001B4D70">
        <w:t xml:space="preserve">hey compared </w:t>
      </w:r>
      <w:r w:rsidR="0063594D">
        <w:t xml:space="preserve">this </w:t>
      </w:r>
      <w:r w:rsidR="00CD7F69" w:rsidRPr="001B4D70">
        <w:t xml:space="preserve">biomass reduction (~3000 t) to the estimated total amount fished up until the fishery closure in 1999 (approximately 2000-2500 t) and concluded that overall stock productivity was low and that annual harvest rates of &lt;10% </w:t>
      </w:r>
      <w:r w:rsidR="00872AC6" w:rsidRPr="001B4D70">
        <w:t xml:space="preserve">(and perhaps &lt;5%) </w:t>
      </w:r>
      <w:r w:rsidR="00CD7F69" w:rsidRPr="001B4D70">
        <w:t xml:space="preserve">of virgin biomass was enough to cause </w:t>
      </w:r>
      <w:r w:rsidR="00872AC6" w:rsidRPr="001B4D70">
        <w:t>“severe” overfishing</w:t>
      </w:r>
      <w:r w:rsidR="0063594D">
        <w:t xml:space="preserve"> </w:t>
      </w:r>
      <w:r w:rsidR="0063594D" w:rsidRPr="001B4D70">
        <w:t>(Benzie and Uthicke, 2003; Uthicke et al., 2004)</w:t>
      </w:r>
      <w:r w:rsidR="00872AC6" w:rsidRPr="001B4D70">
        <w:t>.</w:t>
      </w:r>
    </w:p>
    <w:p w14:paraId="427803E1" w14:textId="142FB331" w:rsidR="006F468C" w:rsidRDefault="006F468C" w:rsidP="00196578">
      <w:r w:rsidRPr="001B4D70">
        <w:t xml:space="preserve">The </w:t>
      </w:r>
      <w:r w:rsidR="00485426" w:rsidRPr="001B4D70">
        <w:t xml:space="preserve">estimated </w:t>
      </w:r>
      <w:r w:rsidRPr="001B4D70">
        <w:t xml:space="preserve">biomass of the entire GBR fishery area </w:t>
      </w:r>
      <w:r w:rsidR="00485426" w:rsidRPr="001B4D70">
        <w:t xml:space="preserve">(excluding the offshore reefs) from the survey </w:t>
      </w:r>
      <w:r w:rsidRPr="001B4D70">
        <w:t xml:space="preserve">was </w:t>
      </w:r>
      <w:r w:rsidR="0063594D" w:rsidRPr="001B4D70">
        <w:t>5,801 t (gutted weight)</w:t>
      </w:r>
      <w:r w:rsidR="009E2D77" w:rsidRPr="001B4D70">
        <w:t xml:space="preserve">; </w:t>
      </w:r>
      <w:r w:rsidR="00196578" w:rsidRPr="001B4D70">
        <w:t xml:space="preserve">with </w:t>
      </w:r>
      <w:r w:rsidR="009E2D77" w:rsidRPr="001B4D70">
        <w:t xml:space="preserve">the </w:t>
      </w:r>
      <w:r w:rsidR="00485426" w:rsidRPr="001B4D70">
        <w:t xml:space="preserve">virgin </w:t>
      </w:r>
      <w:r w:rsidR="009E2D77" w:rsidRPr="001B4D70">
        <w:t xml:space="preserve">biomass </w:t>
      </w:r>
      <w:r w:rsidR="00485426" w:rsidRPr="001B4D70">
        <w:t>estimated at 8,681 t</w:t>
      </w:r>
      <w:r w:rsidR="0063594D">
        <w:t xml:space="preserve"> </w:t>
      </w:r>
      <w:r w:rsidR="0063594D" w:rsidRPr="001B4D70">
        <w:t>(using the same approach as Uthicke et al., 2004 and using data from Benzie and Uthicke, 2003)</w:t>
      </w:r>
      <w:r w:rsidR="0063594D">
        <w:t xml:space="preserve"> </w:t>
      </w:r>
      <w:r w:rsidR="009E2D77" w:rsidRPr="001B4D70">
        <w:t>– an overall depletion</w:t>
      </w:r>
      <w:r w:rsidR="0063594D">
        <w:t xml:space="preserve"> of the GBR Black teatfish population</w:t>
      </w:r>
      <w:r w:rsidR="009E2D77" w:rsidRPr="001B4D70">
        <w:t xml:space="preserve"> </w:t>
      </w:r>
      <w:r w:rsidR="00485426" w:rsidRPr="001B4D70">
        <w:t xml:space="preserve">by the fishery by 1999 </w:t>
      </w:r>
      <w:r w:rsidR="009E2D77" w:rsidRPr="001B4D70">
        <w:t>of about one third</w:t>
      </w:r>
      <w:r w:rsidR="00485426" w:rsidRPr="001B4D70">
        <w:t xml:space="preserve"> (Skewes et al., 2014)</w:t>
      </w:r>
      <w:r w:rsidR="009E2D77" w:rsidRPr="001B4D70">
        <w:t>.</w:t>
      </w:r>
    </w:p>
    <w:p w14:paraId="210F27A6" w14:textId="77777777" w:rsidR="00AB1B66" w:rsidRDefault="00AB1B66" w:rsidP="00196578"/>
    <w:p w14:paraId="4A0BC80D" w14:textId="608A0244" w:rsidR="00AB1B66" w:rsidRDefault="00AB1B66" w:rsidP="00196578">
      <w:r w:rsidRPr="00AB1B66">
        <w:rPr>
          <w:noProof/>
        </w:rPr>
        <w:drawing>
          <wp:inline distT="0" distB="0" distL="0" distR="0" wp14:anchorId="2985C4C5" wp14:editId="1F05F25E">
            <wp:extent cx="4543425" cy="3554611"/>
            <wp:effectExtent l="0" t="0" r="0" b="8255"/>
            <wp:docPr id="61261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16374" name=""/>
                    <pic:cNvPicPr/>
                  </pic:nvPicPr>
                  <pic:blipFill>
                    <a:blip r:embed="rId66"/>
                    <a:stretch>
                      <a:fillRect/>
                    </a:stretch>
                  </pic:blipFill>
                  <pic:spPr>
                    <a:xfrm>
                      <a:off x="0" y="0"/>
                      <a:ext cx="4547667" cy="3557929"/>
                    </a:xfrm>
                    <a:prstGeom prst="rect">
                      <a:avLst/>
                    </a:prstGeom>
                  </pic:spPr>
                </pic:pic>
              </a:graphicData>
            </a:graphic>
          </wp:inline>
        </w:drawing>
      </w:r>
    </w:p>
    <w:p w14:paraId="3EFBC567" w14:textId="5AB3B8C6" w:rsidR="00AB1B66" w:rsidRDefault="00AB1B66" w:rsidP="00AB1B66">
      <w:pPr>
        <w:pStyle w:val="Caption"/>
      </w:pPr>
      <w:bookmarkStart w:id="134" w:name="_Ref169570097"/>
      <w:bookmarkStart w:id="135" w:name="_Toc189044984"/>
      <w:r>
        <w:t xml:space="preserve">Figure </w:t>
      </w:r>
      <w:fldSimple w:instr=" SEQ Figure \* ARABIC ">
        <w:r w:rsidR="004263D8">
          <w:rPr>
            <w:noProof/>
          </w:rPr>
          <w:t>27</w:t>
        </w:r>
      </w:fldSimple>
      <w:bookmarkEnd w:id="134"/>
      <w:r>
        <w:t>. Average densities of Holothuria nobilis in four arbitrary sectors, and in green (Closed Reef) and blue (Open Reef) reefs of the Great Barrier Reef. Error bars indicate 1 SE. (from Benzie and Uthicke, 2003)</w:t>
      </w:r>
      <w:bookmarkEnd w:id="135"/>
    </w:p>
    <w:p w14:paraId="326FC465" w14:textId="027E9149" w:rsidR="00B30C1B" w:rsidRPr="00822806" w:rsidRDefault="008A7CFB" w:rsidP="00BB27C6">
      <w:pPr>
        <w:rPr>
          <w:highlight w:val="yellow"/>
        </w:rPr>
      </w:pPr>
      <w:bookmarkStart w:id="136" w:name="_Ref142662631"/>
      <w:r w:rsidRPr="008A7CFB">
        <w:rPr>
          <w:noProof/>
        </w:rPr>
        <w:lastRenderedPageBreak/>
        <w:drawing>
          <wp:inline distT="0" distB="0" distL="0" distR="0" wp14:anchorId="0D703A81" wp14:editId="0F4A48CC">
            <wp:extent cx="5014800" cy="4269600"/>
            <wp:effectExtent l="0" t="0" r="0" b="0"/>
            <wp:docPr id="274156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56572" name=""/>
                    <pic:cNvPicPr/>
                  </pic:nvPicPr>
                  <pic:blipFill>
                    <a:blip r:embed="rId67"/>
                    <a:stretch>
                      <a:fillRect/>
                    </a:stretch>
                  </pic:blipFill>
                  <pic:spPr>
                    <a:xfrm>
                      <a:off x="0" y="0"/>
                      <a:ext cx="5014800" cy="4269600"/>
                    </a:xfrm>
                    <a:prstGeom prst="rect">
                      <a:avLst/>
                    </a:prstGeom>
                  </pic:spPr>
                </pic:pic>
              </a:graphicData>
            </a:graphic>
          </wp:inline>
        </w:drawing>
      </w:r>
      <w:r w:rsidRPr="008A7CFB">
        <w:rPr>
          <w:noProof/>
        </w:rPr>
        <w:drawing>
          <wp:inline distT="0" distB="0" distL="0" distR="0" wp14:anchorId="4C983FFC" wp14:editId="430F8B0A">
            <wp:extent cx="4993200" cy="3488400"/>
            <wp:effectExtent l="0" t="0" r="0" b="0"/>
            <wp:docPr id="1361681268" name="Picture 1" descr="A map of the eastern coa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81268" name="Picture 1" descr="A map of the eastern coast&#10;&#10;Description automatically generated with medium confidence"/>
                    <pic:cNvPicPr/>
                  </pic:nvPicPr>
                  <pic:blipFill>
                    <a:blip r:embed="rId68"/>
                    <a:stretch>
                      <a:fillRect/>
                    </a:stretch>
                  </pic:blipFill>
                  <pic:spPr>
                    <a:xfrm>
                      <a:off x="0" y="0"/>
                      <a:ext cx="4993200" cy="3488400"/>
                    </a:xfrm>
                    <a:prstGeom prst="rect">
                      <a:avLst/>
                    </a:prstGeom>
                  </pic:spPr>
                </pic:pic>
              </a:graphicData>
            </a:graphic>
          </wp:inline>
        </w:drawing>
      </w:r>
    </w:p>
    <w:p w14:paraId="0CFAF905" w14:textId="71079E2D" w:rsidR="00892D6F" w:rsidRDefault="00822806" w:rsidP="0096672D">
      <w:pPr>
        <w:pStyle w:val="Caption"/>
      </w:pPr>
      <w:bookmarkStart w:id="137" w:name="_Ref151553656"/>
      <w:bookmarkStart w:id="138" w:name="_Toc189044985"/>
      <w:r w:rsidRPr="00A405F9">
        <w:t xml:space="preserve">Figure </w:t>
      </w:r>
      <w:fldSimple w:instr=" SEQ Figure \* ARABIC ">
        <w:r w:rsidR="004263D8">
          <w:rPr>
            <w:noProof/>
          </w:rPr>
          <w:t>28</w:t>
        </w:r>
      </w:fldSimple>
      <w:bookmarkEnd w:id="136"/>
      <w:bookmarkEnd w:id="137"/>
      <w:r w:rsidRPr="00A405F9">
        <w:t xml:space="preserve">. </w:t>
      </w:r>
      <w:r w:rsidR="00752AAE">
        <w:t>Black teatfish</w:t>
      </w:r>
      <w:r w:rsidRPr="00A405F9">
        <w:t xml:space="preserve"> </w:t>
      </w:r>
      <w:r w:rsidR="00A405F9">
        <w:t xml:space="preserve">density during a </w:t>
      </w:r>
      <w:r w:rsidR="00752AAE">
        <w:t>s</w:t>
      </w:r>
      <w:r w:rsidR="00A405F9">
        <w:t xml:space="preserve">urvey </w:t>
      </w:r>
      <w:r w:rsidRPr="00A405F9">
        <w:t>on northern (</w:t>
      </w:r>
      <w:r w:rsidR="00635D53">
        <w:t>top</w:t>
      </w:r>
      <w:r w:rsidRPr="00A405F9">
        <w:t>) and southern (</w:t>
      </w:r>
      <w:r w:rsidR="00635D53">
        <w:t>bottom</w:t>
      </w:r>
      <w:r w:rsidRPr="00A405F9">
        <w:t xml:space="preserve">) reefs of the Great Barrier Reef. </w:t>
      </w:r>
      <w:r w:rsidR="00A405F9">
        <w:t>(f</w:t>
      </w:r>
      <w:r w:rsidRPr="00A405F9">
        <w:t>rom Benzie and Uthicke</w:t>
      </w:r>
      <w:r w:rsidR="00A405F9">
        <w:t xml:space="preserve">, </w:t>
      </w:r>
      <w:r w:rsidRPr="00A405F9">
        <w:t>2003).</w:t>
      </w:r>
      <w:bookmarkEnd w:id="138"/>
    </w:p>
    <w:p w14:paraId="32C4688E" w14:textId="7D5D0643" w:rsidR="00DF2E33" w:rsidRDefault="00DF2E33" w:rsidP="004B6562">
      <w:r w:rsidRPr="00E2248C">
        <w:t xml:space="preserve">The same </w:t>
      </w:r>
      <w:r w:rsidR="00DA06C3" w:rsidRPr="00E2248C">
        <w:t>researchers</w:t>
      </w:r>
      <w:r w:rsidRPr="00E2248C">
        <w:t xml:space="preserve"> resurveyed </w:t>
      </w:r>
      <w:r w:rsidR="004B6562" w:rsidRPr="00E2248C">
        <w:t xml:space="preserve">23 reefs </w:t>
      </w:r>
      <w:r w:rsidR="00167843" w:rsidRPr="00E2248C">
        <w:t xml:space="preserve">in the </w:t>
      </w:r>
      <w:r w:rsidR="004B6562" w:rsidRPr="00E2248C">
        <w:t xml:space="preserve">previously </w:t>
      </w:r>
      <w:r w:rsidR="00167843" w:rsidRPr="00E2248C">
        <w:t xml:space="preserve">active fishery area </w:t>
      </w:r>
      <w:r w:rsidRPr="00E2248C">
        <w:t xml:space="preserve">one </w:t>
      </w:r>
      <w:r w:rsidR="009E2D77" w:rsidRPr="00E2248C">
        <w:t xml:space="preserve">(2000) </w:t>
      </w:r>
      <w:r w:rsidRPr="00E2248C">
        <w:t xml:space="preserve">and two </w:t>
      </w:r>
      <w:r w:rsidR="009E2D77" w:rsidRPr="00E2248C">
        <w:t xml:space="preserve">(2001) </w:t>
      </w:r>
      <w:r w:rsidRPr="00E2248C">
        <w:t xml:space="preserve">years </w:t>
      </w:r>
      <w:r w:rsidR="00DA06C3" w:rsidRPr="00E2248C">
        <w:t xml:space="preserve">after the fishery closure in </w:t>
      </w:r>
      <w:r w:rsidR="009E2D77" w:rsidRPr="00E2248C">
        <w:t>1999</w:t>
      </w:r>
      <w:r w:rsidRPr="00E2248C">
        <w:t xml:space="preserve"> </w:t>
      </w:r>
      <w:r w:rsidR="004B6562" w:rsidRPr="00E2248C">
        <w:t xml:space="preserve">and </w:t>
      </w:r>
      <w:r w:rsidR="0043262A" w:rsidRPr="00E2248C">
        <w:t>though there was a slight increase in density on previously fished reefs, it was not statistically significant</w:t>
      </w:r>
      <w:r w:rsidR="004B6562" w:rsidRPr="00E2248C">
        <w:t xml:space="preserve"> </w:t>
      </w:r>
      <w:r w:rsidR="00E2248C" w:rsidRPr="00E2248C">
        <w:t>(</w:t>
      </w:r>
      <w:r w:rsidR="00E2248C" w:rsidRPr="00E2248C">
        <w:fldChar w:fldCharType="begin"/>
      </w:r>
      <w:r w:rsidR="00E2248C" w:rsidRPr="00E2248C">
        <w:instrText xml:space="preserve"> REF _Ref169571024 </w:instrText>
      </w:r>
      <w:r w:rsidR="00E2248C">
        <w:instrText xml:space="preserve"> \* MERGEFORMAT </w:instrText>
      </w:r>
      <w:r w:rsidR="00E2248C" w:rsidRPr="00E2248C">
        <w:fldChar w:fldCharType="separate"/>
      </w:r>
      <w:r w:rsidR="004263D8">
        <w:t xml:space="preserve">Figure </w:t>
      </w:r>
      <w:r w:rsidR="004263D8">
        <w:rPr>
          <w:noProof/>
        </w:rPr>
        <w:t>29</w:t>
      </w:r>
      <w:r w:rsidR="00E2248C" w:rsidRPr="00E2248C">
        <w:fldChar w:fldCharType="end"/>
      </w:r>
      <w:r w:rsidR="00E2248C" w:rsidRPr="00E2248C">
        <w:t xml:space="preserve">) </w:t>
      </w:r>
      <w:r w:rsidRPr="00E2248C">
        <w:t>(</w:t>
      </w:r>
      <w:r w:rsidR="00E2248C" w:rsidRPr="00E2248C">
        <w:t xml:space="preserve">Benzie and Uthicke, 2003; </w:t>
      </w:r>
      <w:r w:rsidRPr="00E2248C">
        <w:t>Uthicke et al., 2004).</w:t>
      </w:r>
    </w:p>
    <w:p w14:paraId="4CA5FF4C" w14:textId="77777777" w:rsidR="00E2248C" w:rsidRDefault="00E2248C" w:rsidP="004B6562"/>
    <w:p w14:paraId="07A997EE" w14:textId="322E3F20" w:rsidR="00E2248C" w:rsidRDefault="00E2248C" w:rsidP="004B6562">
      <w:r w:rsidRPr="00E2248C">
        <w:rPr>
          <w:noProof/>
        </w:rPr>
        <w:lastRenderedPageBreak/>
        <w:drawing>
          <wp:inline distT="0" distB="0" distL="0" distR="0" wp14:anchorId="33388252" wp14:editId="1B32A247">
            <wp:extent cx="4706007" cy="3181794"/>
            <wp:effectExtent l="0" t="0" r="0" b="0"/>
            <wp:docPr id="800204255" name="Picture 1" descr="A diagram of a line with a lin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4255" name="Picture 1" descr="A diagram of a line with a line in the middle&#10;&#10;Description automatically generated with medium confidence"/>
                    <pic:cNvPicPr/>
                  </pic:nvPicPr>
                  <pic:blipFill>
                    <a:blip r:embed="rId69"/>
                    <a:stretch>
                      <a:fillRect/>
                    </a:stretch>
                  </pic:blipFill>
                  <pic:spPr>
                    <a:xfrm>
                      <a:off x="0" y="0"/>
                      <a:ext cx="4706007" cy="3181794"/>
                    </a:xfrm>
                    <a:prstGeom prst="rect">
                      <a:avLst/>
                    </a:prstGeom>
                  </pic:spPr>
                </pic:pic>
              </a:graphicData>
            </a:graphic>
          </wp:inline>
        </w:drawing>
      </w:r>
    </w:p>
    <w:p w14:paraId="68668AB3" w14:textId="491DBB19" w:rsidR="00E2248C" w:rsidRDefault="00E2248C" w:rsidP="00E2248C">
      <w:pPr>
        <w:pStyle w:val="Caption"/>
      </w:pPr>
      <w:bookmarkStart w:id="139" w:name="_Ref169571024"/>
      <w:bookmarkStart w:id="140" w:name="_Toc189044986"/>
      <w:r>
        <w:t xml:space="preserve">Figure </w:t>
      </w:r>
      <w:fldSimple w:instr=" SEQ Figure \* ARABIC ">
        <w:r w:rsidR="004263D8">
          <w:rPr>
            <w:noProof/>
          </w:rPr>
          <w:t>29</w:t>
        </w:r>
      </w:fldSimple>
      <w:bookmarkEnd w:id="139"/>
      <w:r>
        <w:t xml:space="preserve">. </w:t>
      </w:r>
      <w:r w:rsidRPr="00E2248C">
        <w:t>Average densities of Holothuria nobilis on five green (Closed) and 15 blue (Open) reefs prior to the total closure of the fishery (Survey 1) and about 1 (Survey 2) and 2 (Survey 3) years after the closure</w:t>
      </w:r>
      <w:r>
        <w:t>. (from Benzie and Uthicke, 2003; Uthicke et al., 2004)</w:t>
      </w:r>
      <w:bookmarkEnd w:id="140"/>
    </w:p>
    <w:p w14:paraId="6E62C00B" w14:textId="66E51897" w:rsidR="005E4E85" w:rsidRPr="00474ABF" w:rsidRDefault="00DF2E33" w:rsidP="00474ABF">
      <w:pPr>
        <w:pStyle w:val="Heading4"/>
      </w:pPr>
      <w:r w:rsidRPr="00474ABF">
        <w:t>2015-2021</w:t>
      </w:r>
    </w:p>
    <w:p w14:paraId="3A0E4671" w14:textId="552F3BF7" w:rsidR="009A3274" w:rsidRDefault="00C556A4" w:rsidP="009A3274">
      <w:r>
        <w:t>A</w:t>
      </w:r>
      <w:r w:rsidR="009A3274">
        <w:t xml:space="preserve"> population biomass </w:t>
      </w:r>
      <w:r>
        <w:t xml:space="preserve">survey </w:t>
      </w:r>
      <w:r w:rsidR="009A3274">
        <w:t>of Black teatfish w</w:t>
      </w:r>
      <w:r>
        <w:t>as</w:t>
      </w:r>
      <w:r w:rsidR="009A3274">
        <w:t xml:space="preserve"> carried out in </w:t>
      </w:r>
      <w:r>
        <w:t xml:space="preserve">the northern (Zone 1 – north of </w:t>
      </w:r>
      <w:r w:rsidRPr="007530A7">
        <w:t>19°S</w:t>
      </w:r>
      <w:r>
        <w:t xml:space="preserve">) fishery area in </w:t>
      </w:r>
      <w:r w:rsidR="00FA1F95">
        <w:t>2015</w:t>
      </w:r>
      <w:r>
        <w:t>, 16 years after the fishery closure</w:t>
      </w:r>
      <w:r w:rsidR="00FA1F95">
        <w:t xml:space="preserve"> </w:t>
      </w:r>
      <w:r w:rsidR="009A3274">
        <w:t xml:space="preserve">(Knuckey and Koopman, 2016). </w:t>
      </w:r>
    </w:p>
    <w:p w14:paraId="35043BCE" w14:textId="660E30AF" w:rsidR="007530A7" w:rsidRDefault="0072531B" w:rsidP="00C27C8E">
      <w:pPr>
        <w:pStyle w:val="BodyText"/>
        <w:rPr>
          <w:rFonts w:cstheme="minorHAnsi"/>
        </w:rPr>
      </w:pPr>
      <w:r>
        <w:rPr>
          <w:rFonts w:cstheme="minorHAnsi"/>
        </w:rPr>
        <w:t xml:space="preserve">The </w:t>
      </w:r>
      <w:r w:rsidR="00C27C8E">
        <w:rPr>
          <w:rFonts w:cstheme="minorHAnsi"/>
        </w:rPr>
        <w:t xml:space="preserve">2015 </w:t>
      </w:r>
      <w:r w:rsidR="007530A7">
        <w:rPr>
          <w:rFonts w:cstheme="minorHAnsi"/>
        </w:rPr>
        <w:t>survey</w:t>
      </w:r>
      <w:r w:rsidR="00C27C8E">
        <w:rPr>
          <w:rFonts w:cstheme="minorHAnsi"/>
        </w:rPr>
        <w:t xml:space="preserve"> habitat </w:t>
      </w:r>
      <w:r w:rsidR="007530A7">
        <w:rPr>
          <w:rFonts w:cstheme="minorHAnsi"/>
        </w:rPr>
        <w:t xml:space="preserve">was defined as </w:t>
      </w:r>
      <w:r w:rsidR="00C556A4">
        <w:rPr>
          <w:rFonts w:cstheme="minorHAnsi"/>
        </w:rPr>
        <w:t xml:space="preserve">the </w:t>
      </w:r>
      <w:r w:rsidR="00C27C8E">
        <w:rPr>
          <w:rFonts w:cstheme="minorHAnsi"/>
        </w:rPr>
        <w:t xml:space="preserve">200 m </w:t>
      </w:r>
      <w:r w:rsidR="007530A7">
        <w:rPr>
          <w:rFonts w:cstheme="minorHAnsi"/>
        </w:rPr>
        <w:t xml:space="preserve">wide </w:t>
      </w:r>
      <w:r w:rsidR="00C27C8E">
        <w:rPr>
          <w:rFonts w:cstheme="minorHAnsi"/>
        </w:rPr>
        <w:t xml:space="preserve">buffer </w:t>
      </w:r>
      <w:r w:rsidR="004145AB">
        <w:rPr>
          <w:rFonts w:cstheme="minorHAnsi"/>
        </w:rPr>
        <w:t xml:space="preserve">50 m inside the </w:t>
      </w:r>
      <w:r w:rsidR="00C27C8E">
        <w:rPr>
          <w:rFonts w:cstheme="minorHAnsi"/>
        </w:rPr>
        <w:t xml:space="preserve">weather (SE facing) </w:t>
      </w:r>
      <w:r w:rsidR="00C556A4">
        <w:rPr>
          <w:rFonts w:cstheme="minorHAnsi"/>
        </w:rPr>
        <w:t xml:space="preserve">edge </w:t>
      </w:r>
      <w:r w:rsidR="00C27C8E">
        <w:rPr>
          <w:rFonts w:cstheme="minorHAnsi"/>
        </w:rPr>
        <w:t>of reefs &gt;1km</w:t>
      </w:r>
      <w:r w:rsidR="00C27C8E" w:rsidRPr="009858D3">
        <w:rPr>
          <w:rFonts w:cstheme="minorHAnsi"/>
          <w:vertAlign w:val="superscript"/>
        </w:rPr>
        <w:t>2</w:t>
      </w:r>
      <w:r w:rsidR="00E209E1">
        <w:rPr>
          <w:rFonts w:cstheme="minorHAnsi"/>
        </w:rPr>
        <w:t xml:space="preserve"> </w:t>
      </w:r>
      <w:r w:rsidR="00C556A4">
        <w:rPr>
          <w:rFonts w:cstheme="minorHAnsi"/>
        </w:rPr>
        <w:t xml:space="preserve">in size </w:t>
      </w:r>
      <w:r w:rsidR="00E209E1">
        <w:rPr>
          <w:rFonts w:cstheme="minorHAnsi"/>
        </w:rPr>
        <w:t>(</w:t>
      </w:r>
      <w:r w:rsidR="00E209E1">
        <w:t>Knuckey and Koopman, 2016).</w:t>
      </w:r>
      <w:r w:rsidR="00C27C8E">
        <w:rPr>
          <w:rFonts w:cstheme="minorHAnsi"/>
        </w:rPr>
        <w:t xml:space="preserve"> </w:t>
      </w:r>
      <w:r w:rsidR="004145AB">
        <w:rPr>
          <w:rFonts w:cstheme="minorHAnsi"/>
        </w:rPr>
        <w:t xml:space="preserve">This </w:t>
      </w:r>
      <w:r w:rsidR="008D72BA">
        <w:rPr>
          <w:rFonts w:cstheme="minorHAnsi"/>
        </w:rPr>
        <w:t xml:space="preserve">was </w:t>
      </w:r>
      <w:r w:rsidR="007530A7">
        <w:rPr>
          <w:rFonts w:cstheme="minorHAnsi"/>
        </w:rPr>
        <w:t>chosen as</w:t>
      </w:r>
      <w:r w:rsidR="004145AB">
        <w:rPr>
          <w:rFonts w:cstheme="minorHAnsi"/>
        </w:rPr>
        <w:t xml:space="preserve"> </w:t>
      </w:r>
      <w:r w:rsidR="007530A7">
        <w:rPr>
          <w:rFonts w:cstheme="minorHAnsi"/>
        </w:rPr>
        <w:t xml:space="preserve">the focus habitat as </w:t>
      </w:r>
      <w:r w:rsidR="004145AB">
        <w:rPr>
          <w:rFonts w:cstheme="minorHAnsi"/>
        </w:rPr>
        <w:t xml:space="preserve">it had been reported that Black teatfish had its highest density </w:t>
      </w:r>
      <w:r w:rsidR="007530A7">
        <w:rPr>
          <w:rFonts w:cstheme="minorHAnsi"/>
        </w:rPr>
        <w:t xml:space="preserve">in this habitat </w:t>
      </w:r>
      <w:r w:rsidR="004145AB">
        <w:rPr>
          <w:rFonts w:cstheme="minorHAnsi"/>
        </w:rPr>
        <w:t xml:space="preserve">in Torres Strait (Skewes et al., 2002; 2009; Murphy et al., 2021a) and that the fishery had focused on this habitat in the early fishery (R. Lowden, pers com </w:t>
      </w:r>
      <w:r w:rsidR="004145AB" w:rsidRPr="00FA1F95">
        <w:rPr>
          <w:rFonts w:cstheme="minorHAnsi"/>
          <w:i/>
          <w:iCs/>
        </w:rPr>
        <w:t>in</w:t>
      </w:r>
      <w:r w:rsidR="004145AB">
        <w:rPr>
          <w:rFonts w:cstheme="minorHAnsi"/>
        </w:rPr>
        <w:t xml:space="preserve"> Knuckey and Koopman, 2016). </w:t>
      </w:r>
    </w:p>
    <w:p w14:paraId="47BB6AB0" w14:textId="3E2A405E" w:rsidR="00C27C8E" w:rsidRDefault="007530A7" w:rsidP="00AB5986">
      <w:pPr>
        <w:pStyle w:val="BodyText"/>
        <w:rPr>
          <w:rFonts w:cstheme="minorHAnsi"/>
        </w:rPr>
      </w:pPr>
      <w:r>
        <w:rPr>
          <w:rFonts w:cstheme="minorHAnsi"/>
        </w:rPr>
        <w:t>The 2015 survey was primarily focused on the same “active fishery” area as the 199</w:t>
      </w:r>
      <w:r w:rsidR="00C556A4">
        <w:rPr>
          <w:rFonts w:cstheme="minorHAnsi"/>
        </w:rPr>
        <w:t>8-</w:t>
      </w:r>
      <w:r>
        <w:rPr>
          <w:rFonts w:cstheme="minorHAnsi"/>
        </w:rPr>
        <w:t xml:space="preserve">99 survey </w:t>
      </w:r>
      <w:r w:rsidR="00C556A4">
        <w:rPr>
          <w:rFonts w:cstheme="minorHAnsi"/>
        </w:rPr>
        <w:t xml:space="preserve">just before the </w:t>
      </w:r>
      <w:r>
        <w:rPr>
          <w:rFonts w:cstheme="minorHAnsi"/>
        </w:rPr>
        <w:t xml:space="preserve">Black teatfish </w:t>
      </w:r>
      <w:r w:rsidR="00C556A4">
        <w:rPr>
          <w:rFonts w:cstheme="minorHAnsi"/>
        </w:rPr>
        <w:t xml:space="preserve">fishery closed </w:t>
      </w:r>
      <w:r>
        <w:rPr>
          <w:rFonts w:cstheme="minorHAnsi"/>
        </w:rPr>
        <w:t>in 1999</w:t>
      </w:r>
      <w:r w:rsidR="00AB5986">
        <w:rPr>
          <w:rFonts w:cstheme="minorHAnsi"/>
        </w:rPr>
        <w:t xml:space="preserve">. This included reefs in two reef bioregions – the </w:t>
      </w:r>
      <w:r w:rsidR="00AB5986" w:rsidRPr="00AB5986">
        <w:rPr>
          <w:rFonts w:cstheme="minorHAnsi"/>
        </w:rPr>
        <w:t xml:space="preserve">Outer Barrier (RA2) </w:t>
      </w:r>
      <w:r w:rsidR="00AB5986">
        <w:rPr>
          <w:rFonts w:cstheme="minorHAnsi"/>
        </w:rPr>
        <w:t>south</w:t>
      </w:r>
      <w:r w:rsidR="00AB5986" w:rsidRPr="00AB5986">
        <w:rPr>
          <w:rFonts w:cstheme="minorHAnsi"/>
        </w:rPr>
        <w:t xml:space="preserve"> of 14</w:t>
      </w:r>
      <w:r w:rsidR="00AB5986">
        <w:rPr>
          <w:rFonts w:cs="Calibri"/>
        </w:rPr>
        <w:t>°</w:t>
      </w:r>
      <w:r w:rsidR="00AB5986" w:rsidRPr="00AB5986">
        <w:rPr>
          <w:rFonts w:cstheme="minorHAnsi"/>
        </w:rPr>
        <w:t>S</w:t>
      </w:r>
      <w:r w:rsidR="00AB5986">
        <w:rPr>
          <w:rFonts w:cstheme="minorHAnsi"/>
        </w:rPr>
        <w:t xml:space="preserve"> </w:t>
      </w:r>
      <w:r w:rsidR="00AB5986" w:rsidRPr="00AB5986">
        <w:rPr>
          <w:rFonts w:cstheme="minorHAnsi"/>
        </w:rPr>
        <w:t xml:space="preserve">and </w:t>
      </w:r>
      <w:r w:rsidR="00AB5986">
        <w:rPr>
          <w:rFonts w:cstheme="minorHAnsi"/>
        </w:rPr>
        <w:t xml:space="preserve">the </w:t>
      </w:r>
      <w:r w:rsidR="00AB5986" w:rsidRPr="00AB5986">
        <w:rPr>
          <w:rFonts w:cstheme="minorHAnsi"/>
        </w:rPr>
        <w:t>Exposed</w:t>
      </w:r>
      <w:r w:rsidR="00AB5986">
        <w:rPr>
          <w:rFonts w:cstheme="minorHAnsi"/>
        </w:rPr>
        <w:t xml:space="preserve"> </w:t>
      </w:r>
      <w:r w:rsidR="00AB5986" w:rsidRPr="00AB5986">
        <w:rPr>
          <w:rFonts w:cstheme="minorHAnsi"/>
        </w:rPr>
        <w:t xml:space="preserve">Mid Shelf </w:t>
      </w:r>
      <w:r w:rsidR="00AB5986">
        <w:rPr>
          <w:rFonts w:cstheme="minorHAnsi"/>
        </w:rPr>
        <w:t xml:space="preserve">(RG2) </w:t>
      </w:r>
      <w:r w:rsidR="00AB5986" w:rsidRPr="00AB5986">
        <w:rPr>
          <w:rFonts w:cstheme="minorHAnsi"/>
        </w:rPr>
        <w:t>bioregions</w:t>
      </w:r>
      <w:r w:rsidR="00D90E50">
        <w:rPr>
          <w:rFonts w:cstheme="minorHAnsi"/>
        </w:rPr>
        <w:t xml:space="preserve"> </w:t>
      </w:r>
      <w:r w:rsidR="00D90E50">
        <w:rPr>
          <w:sz w:val="23"/>
          <w:szCs w:val="23"/>
        </w:rPr>
        <w:t>(</w:t>
      </w:r>
      <w:r w:rsidR="00D90E50">
        <w:t>Kerrigan et al., 2010),</w:t>
      </w:r>
      <w:r w:rsidR="00107711">
        <w:rPr>
          <w:rFonts w:cstheme="minorHAnsi"/>
        </w:rPr>
        <w:t xml:space="preserve"> The survey design was based on a </w:t>
      </w:r>
      <w:r w:rsidR="00107711" w:rsidRPr="00107711">
        <w:rPr>
          <w:rFonts w:cstheme="minorHAnsi"/>
        </w:rPr>
        <w:t>random stratified survey</w:t>
      </w:r>
      <w:r w:rsidR="00107711">
        <w:rPr>
          <w:rFonts w:cstheme="minorHAnsi"/>
        </w:rPr>
        <w:t xml:space="preserve"> design. </w:t>
      </w:r>
      <w:r w:rsidR="00C27C8E">
        <w:rPr>
          <w:rFonts w:cstheme="minorHAnsi"/>
        </w:rPr>
        <w:t xml:space="preserve">This survey found: </w:t>
      </w:r>
    </w:p>
    <w:p w14:paraId="0FF536B8" w14:textId="74F2EE21" w:rsidR="00C27C8E" w:rsidRPr="0072531B" w:rsidRDefault="0072531B" w:rsidP="003163C7">
      <w:pPr>
        <w:pStyle w:val="BodyText"/>
        <w:numPr>
          <w:ilvl w:val="0"/>
          <w:numId w:val="36"/>
        </w:numPr>
        <w:spacing w:before="120" w:line="264" w:lineRule="auto"/>
        <w:rPr>
          <w:rFonts w:cstheme="minorHAnsi"/>
        </w:rPr>
      </w:pPr>
      <w:r>
        <w:rPr>
          <w:rFonts w:cstheme="minorHAnsi"/>
        </w:rPr>
        <w:t>The d</w:t>
      </w:r>
      <w:r w:rsidR="00C27C8E" w:rsidRPr="0072531B">
        <w:rPr>
          <w:rFonts w:cstheme="minorHAnsi"/>
        </w:rPr>
        <w:t>ensit</w:t>
      </w:r>
      <w:r>
        <w:rPr>
          <w:rFonts w:cstheme="minorHAnsi"/>
        </w:rPr>
        <w:t>y</w:t>
      </w:r>
      <w:r w:rsidR="00C27C8E" w:rsidRPr="0072531B">
        <w:rPr>
          <w:rFonts w:cstheme="minorHAnsi"/>
        </w:rPr>
        <w:t xml:space="preserve"> of Black teatfish</w:t>
      </w:r>
      <w:r w:rsidRPr="0072531B">
        <w:rPr>
          <w:rFonts w:cstheme="minorHAnsi"/>
        </w:rPr>
        <w:t xml:space="preserve"> in the</w:t>
      </w:r>
      <w:r w:rsidR="00AE5184">
        <w:rPr>
          <w:rFonts w:cstheme="minorHAnsi"/>
        </w:rPr>
        <w:t xml:space="preserve"> sampled </w:t>
      </w:r>
      <w:r w:rsidRPr="0072531B">
        <w:rPr>
          <w:rFonts w:cstheme="minorHAnsi"/>
        </w:rPr>
        <w:t>habita</w:t>
      </w:r>
      <w:r>
        <w:rPr>
          <w:rFonts w:cstheme="minorHAnsi"/>
        </w:rPr>
        <w:t>t was</w:t>
      </w:r>
      <w:r w:rsidR="00C27C8E" w:rsidRPr="0072531B">
        <w:rPr>
          <w:rFonts w:cstheme="minorHAnsi"/>
        </w:rPr>
        <w:t xml:space="preserve"> 13.5</w:t>
      </w:r>
      <w:r w:rsidR="00DC01B8">
        <w:rPr>
          <w:rFonts w:cstheme="minorHAnsi"/>
        </w:rPr>
        <w:t xml:space="preserve"> </w:t>
      </w:r>
      <w:r w:rsidR="000E0509">
        <w:rPr>
          <w:rFonts w:cstheme="minorHAnsi"/>
        </w:rPr>
        <w:t xml:space="preserve">per </w:t>
      </w:r>
      <w:r>
        <w:rPr>
          <w:rFonts w:cstheme="minorHAnsi"/>
        </w:rPr>
        <w:t xml:space="preserve">ha on </w:t>
      </w:r>
      <w:r w:rsidR="00C27C8E" w:rsidRPr="0072531B">
        <w:rPr>
          <w:rFonts w:cstheme="minorHAnsi"/>
        </w:rPr>
        <w:t xml:space="preserve">closed </w:t>
      </w:r>
      <w:r>
        <w:rPr>
          <w:rFonts w:cstheme="minorHAnsi"/>
        </w:rPr>
        <w:t>a</w:t>
      </w:r>
      <w:r w:rsidR="00C27C8E" w:rsidRPr="0072531B">
        <w:rPr>
          <w:rFonts w:cstheme="minorHAnsi"/>
        </w:rPr>
        <w:t>nd 12.5</w:t>
      </w:r>
      <w:r w:rsidR="000E0509">
        <w:rPr>
          <w:rFonts w:cstheme="minorHAnsi"/>
        </w:rPr>
        <w:t xml:space="preserve"> per </w:t>
      </w:r>
      <w:r>
        <w:rPr>
          <w:rFonts w:cstheme="minorHAnsi"/>
        </w:rPr>
        <w:t xml:space="preserve">ha on </w:t>
      </w:r>
      <w:r w:rsidR="00C27C8E" w:rsidRPr="0072531B">
        <w:rPr>
          <w:rFonts w:cstheme="minorHAnsi"/>
        </w:rPr>
        <w:t>open mid-shelf reefs</w:t>
      </w:r>
      <w:r>
        <w:rPr>
          <w:rFonts w:cstheme="minorHAnsi"/>
        </w:rPr>
        <w:t xml:space="preserve">; </w:t>
      </w:r>
      <w:r w:rsidR="00C27C8E" w:rsidRPr="0072531B">
        <w:rPr>
          <w:rFonts w:cstheme="minorHAnsi"/>
        </w:rPr>
        <w:t>and 27.0</w:t>
      </w:r>
      <w:r w:rsidR="000E0509">
        <w:rPr>
          <w:rFonts w:cstheme="minorHAnsi"/>
        </w:rPr>
        <w:t xml:space="preserve"> per </w:t>
      </w:r>
      <w:r>
        <w:rPr>
          <w:rFonts w:cstheme="minorHAnsi"/>
        </w:rPr>
        <w:t>ha</w:t>
      </w:r>
      <w:r w:rsidR="00C27C8E" w:rsidRPr="0072531B">
        <w:rPr>
          <w:rFonts w:cstheme="minorHAnsi"/>
        </w:rPr>
        <w:t xml:space="preserve"> </w:t>
      </w:r>
      <w:r>
        <w:rPr>
          <w:rFonts w:cstheme="minorHAnsi"/>
        </w:rPr>
        <w:t xml:space="preserve">on the </w:t>
      </w:r>
      <w:r w:rsidR="00C27C8E" w:rsidRPr="0072531B">
        <w:rPr>
          <w:rFonts w:cstheme="minorHAnsi"/>
        </w:rPr>
        <w:t xml:space="preserve">closed </w:t>
      </w:r>
      <w:r>
        <w:rPr>
          <w:rFonts w:cstheme="minorHAnsi"/>
        </w:rPr>
        <w:t xml:space="preserve">and </w:t>
      </w:r>
      <w:r w:rsidR="00C27C8E" w:rsidRPr="0072531B">
        <w:rPr>
          <w:rFonts w:cstheme="minorHAnsi"/>
        </w:rPr>
        <w:t>23.6</w:t>
      </w:r>
      <w:r w:rsidR="000E0509">
        <w:rPr>
          <w:rFonts w:cstheme="minorHAnsi"/>
        </w:rPr>
        <w:t xml:space="preserve"> per </w:t>
      </w:r>
      <w:r>
        <w:rPr>
          <w:rFonts w:cstheme="minorHAnsi"/>
        </w:rPr>
        <w:t xml:space="preserve">ha on </w:t>
      </w:r>
      <w:r w:rsidR="00C27C8E" w:rsidRPr="0072531B">
        <w:rPr>
          <w:rFonts w:cstheme="minorHAnsi"/>
        </w:rPr>
        <w:t xml:space="preserve">open outer barrier reefs. </w:t>
      </w:r>
    </w:p>
    <w:p w14:paraId="6D1896A0" w14:textId="688A539B" w:rsidR="0072531B" w:rsidRPr="0072531B" w:rsidRDefault="00C27C8E" w:rsidP="003163C7">
      <w:pPr>
        <w:pStyle w:val="BodyText"/>
        <w:numPr>
          <w:ilvl w:val="0"/>
          <w:numId w:val="32"/>
        </w:numPr>
        <w:spacing w:before="120" w:after="240" w:line="264" w:lineRule="auto"/>
        <w:rPr>
          <w:rFonts w:cstheme="minorHAnsi"/>
        </w:rPr>
      </w:pPr>
      <w:r w:rsidRPr="0072531B">
        <w:rPr>
          <w:rFonts w:cstheme="minorHAnsi"/>
        </w:rPr>
        <w:t xml:space="preserve">Overall, </w:t>
      </w:r>
      <w:r w:rsidR="0072531B" w:rsidRPr="0072531B">
        <w:rPr>
          <w:rFonts w:cstheme="minorHAnsi"/>
        </w:rPr>
        <w:t xml:space="preserve">the </w:t>
      </w:r>
      <w:r w:rsidRPr="0072531B">
        <w:rPr>
          <w:rFonts w:cstheme="minorHAnsi"/>
        </w:rPr>
        <w:t xml:space="preserve">total biomass </w:t>
      </w:r>
      <w:r w:rsidR="00AE5184">
        <w:rPr>
          <w:rFonts w:cstheme="minorHAnsi"/>
        </w:rPr>
        <w:t xml:space="preserve">estimate in the sampled habitat </w:t>
      </w:r>
      <w:r w:rsidR="0072531B" w:rsidRPr="0072531B">
        <w:rPr>
          <w:rFonts w:cstheme="minorHAnsi"/>
        </w:rPr>
        <w:t xml:space="preserve">was </w:t>
      </w:r>
      <w:r w:rsidRPr="0072531B">
        <w:rPr>
          <w:rFonts w:cstheme="minorHAnsi"/>
        </w:rPr>
        <w:t>379 t</w:t>
      </w:r>
      <w:r w:rsidR="00AE5184">
        <w:rPr>
          <w:rFonts w:cstheme="minorHAnsi"/>
        </w:rPr>
        <w:t xml:space="preserve"> </w:t>
      </w:r>
      <w:r w:rsidR="00AE5184" w:rsidRPr="0072531B">
        <w:rPr>
          <w:rFonts w:cstheme="minorHAnsi"/>
        </w:rPr>
        <w:t xml:space="preserve">(gutted weight) </w:t>
      </w:r>
      <w:r w:rsidR="0072531B" w:rsidRPr="0072531B">
        <w:rPr>
          <w:rFonts w:cstheme="minorHAnsi"/>
        </w:rPr>
        <w:t>(232–525 t 95% CI), which was 28 t (or about 7%) less than the “pre-fishing” biomass estimate of 407 t (202–612 t)</w:t>
      </w:r>
      <w:r w:rsidR="0072531B">
        <w:rPr>
          <w:rFonts w:cstheme="minorHAnsi"/>
        </w:rPr>
        <w:t>.</w:t>
      </w:r>
    </w:p>
    <w:p w14:paraId="4E1F287A" w14:textId="6BD3810C" w:rsidR="00C27C8E" w:rsidRDefault="00AE5184" w:rsidP="000D2D0C">
      <w:pPr>
        <w:pStyle w:val="BodyText"/>
        <w:spacing w:after="240"/>
        <w:rPr>
          <w:rFonts w:cstheme="minorHAnsi"/>
        </w:rPr>
      </w:pPr>
      <w:r>
        <w:rPr>
          <w:rFonts w:cstheme="minorHAnsi"/>
        </w:rPr>
        <w:t>T</w:t>
      </w:r>
      <w:r w:rsidR="00C27C8E">
        <w:rPr>
          <w:rFonts w:cstheme="minorHAnsi"/>
        </w:rPr>
        <w:t xml:space="preserve">he </w:t>
      </w:r>
      <w:r>
        <w:rPr>
          <w:rFonts w:cstheme="minorHAnsi"/>
        </w:rPr>
        <w:t xml:space="preserve">survey indicated that the </w:t>
      </w:r>
      <w:r w:rsidR="00C27C8E">
        <w:rPr>
          <w:rFonts w:cstheme="minorHAnsi"/>
        </w:rPr>
        <w:t xml:space="preserve">Black teatfish population </w:t>
      </w:r>
      <w:r>
        <w:rPr>
          <w:rFonts w:cstheme="minorHAnsi"/>
        </w:rPr>
        <w:t xml:space="preserve">on previously fished reefs </w:t>
      </w:r>
      <w:r w:rsidR="00C27C8E">
        <w:rPr>
          <w:rFonts w:cstheme="minorHAnsi"/>
        </w:rPr>
        <w:t xml:space="preserve">in the </w:t>
      </w:r>
      <w:r>
        <w:rPr>
          <w:rFonts w:cstheme="minorHAnsi"/>
        </w:rPr>
        <w:t xml:space="preserve">northern </w:t>
      </w:r>
      <w:r w:rsidR="00C27C8E">
        <w:rPr>
          <w:rFonts w:cstheme="minorHAnsi"/>
        </w:rPr>
        <w:t xml:space="preserve">GBR </w:t>
      </w:r>
      <w:r>
        <w:rPr>
          <w:rFonts w:cstheme="minorHAnsi"/>
        </w:rPr>
        <w:t xml:space="preserve">had </w:t>
      </w:r>
      <w:r w:rsidR="000D2D0C" w:rsidRPr="000D2D0C">
        <w:rPr>
          <w:rFonts w:cstheme="minorHAnsi"/>
        </w:rPr>
        <w:t>recovered to between 92.2% and 87.2% of those reefs that</w:t>
      </w:r>
      <w:r w:rsidR="000D2D0C">
        <w:rPr>
          <w:rFonts w:cstheme="minorHAnsi"/>
        </w:rPr>
        <w:t xml:space="preserve"> </w:t>
      </w:r>
      <w:r w:rsidR="000D2D0C" w:rsidRPr="000D2D0C">
        <w:rPr>
          <w:rFonts w:cstheme="minorHAnsi"/>
        </w:rPr>
        <w:t>had been closed to fishing</w:t>
      </w:r>
      <w:r w:rsidR="00C27C8E">
        <w:rPr>
          <w:rFonts w:cstheme="minorHAnsi"/>
        </w:rPr>
        <w:t xml:space="preserve">, therefore the fishery was opened in </w:t>
      </w:r>
      <w:r w:rsidR="0021743B">
        <w:rPr>
          <w:rFonts w:cstheme="minorHAnsi"/>
        </w:rPr>
        <w:t xml:space="preserve">July </w:t>
      </w:r>
      <w:r w:rsidR="00C27C8E">
        <w:rPr>
          <w:rFonts w:cstheme="minorHAnsi"/>
        </w:rPr>
        <w:t>2019 with a 30 t TAC</w:t>
      </w:r>
      <w:r w:rsidR="00B136AE">
        <w:rPr>
          <w:rFonts w:cstheme="minorHAnsi"/>
        </w:rPr>
        <w:t xml:space="preserve"> in accordance with the </w:t>
      </w:r>
      <w:r w:rsidR="00B136AE" w:rsidRPr="00B136AE">
        <w:rPr>
          <w:rFonts w:cstheme="minorHAnsi"/>
        </w:rPr>
        <w:t xml:space="preserve">QDAF’s </w:t>
      </w:r>
      <w:r w:rsidR="00B136AE">
        <w:rPr>
          <w:rFonts w:cstheme="minorHAnsi"/>
        </w:rPr>
        <w:t xml:space="preserve">Sea cucumber fishery </w:t>
      </w:r>
      <w:r w:rsidR="00B136AE" w:rsidRPr="00B136AE">
        <w:rPr>
          <w:rFonts w:cstheme="minorHAnsi"/>
        </w:rPr>
        <w:t>P</w:t>
      </w:r>
      <w:r w:rsidR="00B136AE">
        <w:rPr>
          <w:rFonts w:cstheme="minorHAnsi"/>
        </w:rPr>
        <w:t xml:space="preserve">erformance Management </w:t>
      </w:r>
      <w:r w:rsidR="00B136AE" w:rsidRPr="00B136AE">
        <w:rPr>
          <w:rFonts w:cstheme="minorHAnsi"/>
        </w:rPr>
        <w:t>S</w:t>
      </w:r>
      <w:r w:rsidR="00B136AE">
        <w:rPr>
          <w:rFonts w:cstheme="minorHAnsi"/>
        </w:rPr>
        <w:t>ystem (PMS) which was current at the time</w:t>
      </w:r>
      <w:r w:rsidR="00C27C8E">
        <w:rPr>
          <w:rFonts w:cstheme="minorHAnsi"/>
        </w:rPr>
        <w:t>.</w:t>
      </w:r>
      <w:r w:rsidR="00B136AE">
        <w:rPr>
          <w:rFonts w:cstheme="minorHAnsi"/>
        </w:rPr>
        <w:t xml:space="preserve"> It stipulated that closed fisheries could only be opened if the stock </w:t>
      </w:r>
      <w:r w:rsidR="00311DC8">
        <w:rPr>
          <w:rFonts w:cstheme="minorHAnsi"/>
        </w:rPr>
        <w:t>had been demonstrated to have</w:t>
      </w:r>
      <w:r w:rsidR="00311DC8" w:rsidRPr="00311DC8">
        <w:rPr>
          <w:rFonts w:cstheme="minorHAnsi"/>
        </w:rPr>
        <w:t xml:space="preserve"> reach</w:t>
      </w:r>
      <w:r w:rsidR="00311DC8">
        <w:rPr>
          <w:rFonts w:cstheme="minorHAnsi"/>
        </w:rPr>
        <w:t>ed</w:t>
      </w:r>
      <w:r w:rsidR="00311DC8" w:rsidRPr="00311DC8">
        <w:rPr>
          <w:rFonts w:cstheme="minorHAnsi"/>
        </w:rPr>
        <w:t xml:space="preserve"> 70% of its unfished biomass (</w:t>
      </w:r>
      <w:r w:rsidR="00311DC8">
        <w:rPr>
          <w:rFonts w:cstheme="minorHAnsi"/>
        </w:rPr>
        <w:t xml:space="preserve">which </w:t>
      </w:r>
      <w:r w:rsidR="00311DC8" w:rsidRPr="00311DC8">
        <w:rPr>
          <w:rFonts w:cstheme="minorHAnsi"/>
        </w:rPr>
        <w:t>may be based on comparison of fished versus historically unfished reefs)</w:t>
      </w:r>
      <w:r w:rsidR="00311DC8">
        <w:rPr>
          <w:rFonts w:cstheme="minorHAnsi"/>
        </w:rPr>
        <w:t>, and that h</w:t>
      </w:r>
      <w:r w:rsidR="00311DC8" w:rsidRPr="00311DC8">
        <w:rPr>
          <w:rFonts w:cstheme="minorHAnsi"/>
        </w:rPr>
        <w:t xml:space="preserve">arvest limit </w:t>
      </w:r>
      <w:r w:rsidR="00311DC8">
        <w:rPr>
          <w:rFonts w:cstheme="minorHAnsi"/>
        </w:rPr>
        <w:t xml:space="preserve">be </w:t>
      </w:r>
      <w:r w:rsidR="00311DC8" w:rsidRPr="00311DC8">
        <w:rPr>
          <w:rFonts w:cstheme="minorHAnsi"/>
        </w:rPr>
        <w:t>set at &lt;10% of estimated biomass</w:t>
      </w:r>
      <w:r w:rsidR="00311DC8">
        <w:rPr>
          <w:rFonts w:cstheme="minorHAnsi"/>
        </w:rPr>
        <w:t>.</w:t>
      </w:r>
    </w:p>
    <w:p w14:paraId="0DDBC529" w14:textId="7480C3C5" w:rsidR="00FA1F95" w:rsidRDefault="0072531B" w:rsidP="00AE5184">
      <w:pPr>
        <w:rPr>
          <w:rFonts w:cstheme="minorHAnsi"/>
        </w:rPr>
      </w:pPr>
      <w:r>
        <w:t>Note that th</w:t>
      </w:r>
      <w:r w:rsidR="004145AB">
        <w:t>e</w:t>
      </w:r>
      <w:r w:rsidR="003B4FAA">
        <w:t xml:space="preserve"> biomass estimate </w:t>
      </w:r>
      <w:r w:rsidR="004145AB">
        <w:t xml:space="preserve">for the 2015 survey </w:t>
      </w:r>
      <w:r>
        <w:t xml:space="preserve">was only </w:t>
      </w:r>
      <w:r w:rsidR="003B4FAA">
        <w:t xml:space="preserve">for the </w:t>
      </w:r>
      <w:r>
        <w:t>reef buffer strata of reefs &gt;1km</w:t>
      </w:r>
      <w:r w:rsidRPr="009858D3">
        <w:rPr>
          <w:vertAlign w:val="superscript"/>
        </w:rPr>
        <w:t>2</w:t>
      </w:r>
      <w:r>
        <w:t xml:space="preserve"> for </w:t>
      </w:r>
      <w:r w:rsidR="00AB5986">
        <w:t>t</w:t>
      </w:r>
      <w:r>
        <w:t xml:space="preserve">wo </w:t>
      </w:r>
      <w:r w:rsidR="00012E2C">
        <w:t xml:space="preserve">reef </w:t>
      </w:r>
      <w:r>
        <w:t>bioregion</w:t>
      </w:r>
      <w:r w:rsidR="00AB5986">
        <w:t>s</w:t>
      </w:r>
      <w:r>
        <w:t xml:space="preserve"> in the GBR</w:t>
      </w:r>
      <w:r w:rsidR="00AE5184">
        <w:t xml:space="preserve">, an area </w:t>
      </w:r>
      <w:r w:rsidR="00A2521F">
        <w:t xml:space="preserve">totalling </w:t>
      </w:r>
      <w:r>
        <w:t>18,365 ha</w:t>
      </w:r>
      <w:r w:rsidR="004145AB">
        <w:t>,</w:t>
      </w:r>
      <w:r>
        <w:t xml:space="preserve"> </w:t>
      </w:r>
      <w:r w:rsidR="00AE5184">
        <w:t xml:space="preserve">which was only 8.2% of the </w:t>
      </w:r>
      <w:r w:rsidR="00F61ACE">
        <w:t xml:space="preserve">estimated habitat </w:t>
      </w:r>
      <w:r w:rsidR="00F61ACE">
        <w:lastRenderedPageBreak/>
        <w:t>area for the 1998-99 survey in the “</w:t>
      </w:r>
      <w:r w:rsidR="007530A7">
        <w:t xml:space="preserve">active </w:t>
      </w:r>
      <w:r w:rsidR="00F61ACE">
        <w:t>fishery area” of 224,241 ha</w:t>
      </w:r>
      <w:r w:rsidR="004145AB">
        <w:t xml:space="preserve"> (</w:t>
      </w:r>
      <w:r w:rsidR="00F61ACE">
        <w:t>Benzie and Uthicke, 2003; GBRMPA)</w:t>
      </w:r>
      <w:r>
        <w:t>.</w:t>
      </w:r>
      <w:r w:rsidR="00F35829">
        <w:t xml:space="preserve"> </w:t>
      </w:r>
      <w:r>
        <w:t xml:space="preserve">Note also that the </w:t>
      </w:r>
      <w:r w:rsidR="00F61ACE">
        <w:t xml:space="preserve">estimate for the </w:t>
      </w:r>
      <w:r>
        <w:t xml:space="preserve">same habitat area (reef buffer) </w:t>
      </w:r>
      <w:r w:rsidR="00F61ACE">
        <w:t xml:space="preserve">applied </w:t>
      </w:r>
      <w:r w:rsidR="00A2521F">
        <w:t xml:space="preserve">in </w:t>
      </w:r>
      <w:r>
        <w:t xml:space="preserve">the </w:t>
      </w:r>
      <w:r w:rsidR="00A2521F">
        <w:t xml:space="preserve">east </w:t>
      </w:r>
      <w:r>
        <w:t xml:space="preserve">Torres Strait </w:t>
      </w:r>
      <w:r w:rsidR="00A2521F">
        <w:t xml:space="preserve">fishery </w:t>
      </w:r>
      <w:r>
        <w:t xml:space="preserve">was </w:t>
      </w:r>
      <w:r w:rsidR="00A2521F">
        <w:t>50,390</w:t>
      </w:r>
      <w:r>
        <w:t xml:space="preserve"> ha</w:t>
      </w:r>
      <w:r w:rsidR="00A2521F">
        <w:t xml:space="preserve"> (Skewes et al., 2004)</w:t>
      </w:r>
      <w:r>
        <w:t>.</w:t>
      </w:r>
      <w:r w:rsidR="00AE5184">
        <w:t xml:space="preserve"> </w:t>
      </w:r>
      <w:r w:rsidR="004145AB">
        <w:rPr>
          <w:rFonts w:cstheme="minorHAnsi"/>
        </w:rPr>
        <w:t>In this regard, t</w:t>
      </w:r>
      <w:r w:rsidR="00FA1F95">
        <w:rPr>
          <w:rFonts w:cstheme="minorHAnsi"/>
        </w:rPr>
        <w:t>he</w:t>
      </w:r>
      <w:r w:rsidR="00F61ACE">
        <w:rPr>
          <w:rFonts w:cstheme="minorHAnsi"/>
        </w:rPr>
        <w:t xml:space="preserve"> </w:t>
      </w:r>
      <w:r w:rsidR="004145AB">
        <w:rPr>
          <w:rFonts w:cstheme="minorHAnsi"/>
        </w:rPr>
        <w:t xml:space="preserve">2015 </w:t>
      </w:r>
      <w:r w:rsidR="00F61ACE">
        <w:rPr>
          <w:rFonts w:cstheme="minorHAnsi"/>
        </w:rPr>
        <w:t>survey</w:t>
      </w:r>
      <w:r w:rsidR="00FA1F95">
        <w:rPr>
          <w:rFonts w:cstheme="minorHAnsi"/>
        </w:rPr>
        <w:t xml:space="preserve"> biomass estimate </w:t>
      </w:r>
      <w:r w:rsidR="00AE5184">
        <w:rPr>
          <w:rFonts w:cstheme="minorHAnsi"/>
        </w:rPr>
        <w:t xml:space="preserve">was </w:t>
      </w:r>
      <w:r w:rsidR="00FA1F95">
        <w:rPr>
          <w:rFonts w:cstheme="minorHAnsi"/>
        </w:rPr>
        <w:t>considered as a</w:t>
      </w:r>
      <w:r w:rsidR="00AE5184">
        <w:rPr>
          <w:rFonts w:cstheme="minorHAnsi"/>
        </w:rPr>
        <w:t xml:space="preserve"> gross </w:t>
      </w:r>
      <w:r w:rsidR="00F61ACE">
        <w:rPr>
          <w:rFonts w:cstheme="minorHAnsi"/>
        </w:rPr>
        <w:t>underestimate</w:t>
      </w:r>
      <w:r w:rsidR="00FA1F95">
        <w:rPr>
          <w:rFonts w:cstheme="minorHAnsi"/>
        </w:rPr>
        <w:t xml:space="preserve"> – it </w:t>
      </w:r>
      <w:r w:rsidR="00AE5184">
        <w:rPr>
          <w:rFonts w:cstheme="minorHAnsi"/>
        </w:rPr>
        <w:t xml:space="preserve">included a </w:t>
      </w:r>
      <w:r w:rsidR="004145AB">
        <w:rPr>
          <w:rFonts w:cstheme="minorHAnsi"/>
        </w:rPr>
        <w:t xml:space="preserve">much smaller </w:t>
      </w:r>
      <w:r w:rsidR="00AE5184">
        <w:rPr>
          <w:rFonts w:cstheme="minorHAnsi"/>
        </w:rPr>
        <w:t xml:space="preserve">habitat area </w:t>
      </w:r>
      <w:r w:rsidR="004145AB">
        <w:rPr>
          <w:rFonts w:cstheme="minorHAnsi"/>
        </w:rPr>
        <w:t>than t</w:t>
      </w:r>
      <w:r w:rsidR="00FA1F95">
        <w:rPr>
          <w:rFonts w:cstheme="minorHAnsi"/>
        </w:rPr>
        <w:t xml:space="preserve">he </w:t>
      </w:r>
      <w:r w:rsidR="004145AB">
        <w:rPr>
          <w:rFonts w:cstheme="minorHAnsi"/>
        </w:rPr>
        <w:t xml:space="preserve">1999-98 </w:t>
      </w:r>
      <w:r w:rsidR="00AE5184">
        <w:rPr>
          <w:rFonts w:cstheme="minorHAnsi"/>
        </w:rPr>
        <w:t>survey and</w:t>
      </w:r>
      <w:r w:rsidR="00FA1F95">
        <w:rPr>
          <w:rFonts w:cstheme="minorHAnsi"/>
        </w:rPr>
        <w:t>, although the reef to</w:t>
      </w:r>
      <w:r w:rsidR="004145AB">
        <w:rPr>
          <w:rFonts w:cstheme="minorHAnsi"/>
        </w:rPr>
        <w:t>p</w:t>
      </w:r>
      <w:r w:rsidR="00FA1F95">
        <w:rPr>
          <w:rFonts w:cstheme="minorHAnsi"/>
        </w:rPr>
        <w:t xml:space="preserve"> buffer </w:t>
      </w:r>
      <w:r w:rsidR="004145AB">
        <w:rPr>
          <w:rFonts w:cstheme="minorHAnsi"/>
        </w:rPr>
        <w:t xml:space="preserve">habitat </w:t>
      </w:r>
      <w:r w:rsidR="00FA1F95">
        <w:rPr>
          <w:rFonts w:cstheme="minorHAnsi"/>
        </w:rPr>
        <w:t xml:space="preserve">had the highest </w:t>
      </w:r>
      <w:r w:rsidR="004145AB">
        <w:rPr>
          <w:rFonts w:cstheme="minorHAnsi"/>
        </w:rPr>
        <w:t>density</w:t>
      </w:r>
      <w:r w:rsidR="00FA1F95">
        <w:rPr>
          <w:rFonts w:cstheme="minorHAnsi"/>
        </w:rPr>
        <w:t xml:space="preserve"> </w:t>
      </w:r>
      <w:r w:rsidR="00AE5184">
        <w:rPr>
          <w:rFonts w:cstheme="minorHAnsi"/>
        </w:rPr>
        <w:t xml:space="preserve">of Black teatfish </w:t>
      </w:r>
      <w:r w:rsidR="00FA1F95">
        <w:rPr>
          <w:rFonts w:cstheme="minorHAnsi"/>
        </w:rPr>
        <w:t xml:space="preserve">in Torres Strait, it only contained </w:t>
      </w:r>
      <w:r w:rsidR="0028452E">
        <w:rPr>
          <w:rFonts w:cstheme="minorHAnsi"/>
        </w:rPr>
        <w:t>52%</w:t>
      </w:r>
      <w:r w:rsidR="00FA1F95">
        <w:rPr>
          <w:rFonts w:cstheme="minorHAnsi"/>
        </w:rPr>
        <w:t xml:space="preserve"> of the Black teatfish population (Skewes et al., 2002; 2009; Murphy et al., 2021a).</w:t>
      </w:r>
    </w:p>
    <w:p w14:paraId="45717FE9" w14:textId="0B625A40" w:rsidR="00311DC8" w:rsidRDefault="00AE5184" w:rsidP="00C27C8E">
      <w:pPr>
        <w:pStyle w:val="BodyText"/>
        <w:spacing w:after="240"/>
        <w:rPr>
          <w:rFonts w:cstheme="minorHAnsi"/>
        </w:rPr>
      </w:pPr>
      <w:r>
        <w:rPr>
          <w:rFonts w:cstheme="minorHAnsi"/>
        </w:rPr>
        <w:t xml:space="preserve">The restricted </w:t>
      </w:r>
      <w:r w:rsidR="00D90E50">
        <w:rPr>
          <w:rFonts w:cstheme="minorHAnsi"/>
        </w:rPr>
        <w:t>habitat</w:t>
      </w:r>
      <w:r>
        <w:rPr>
          <w:rFonts w:cstheme="minorHAnsi"/>
        </w:rPr>
        <w:t xml:space="preserve"> scope was justified </w:t>
      </w:r>
      <w:r w:rsidR="00D90E50">
        <w:rPr>
          <w:rFonts w:cstheme="minorHAnsi"/>
        </w:rPr>
        <w:t xml:space="preserve">by its primary objective of </w:t>
      </w:r>
      <w:r w:rsidR="003B5E90">
        <w:rPr>
          <w:rFonts w:cstheme="minorHAnsi"/>
        </w:rPr>
        <w:t>assess</w:t>
      </w:r>
      <w:r w:rsidR="00D90E50">
        <w:rPr>
          <w:rFonts w:cstheme="minorHAnsi"/>
        </w:rPr>
        <w:t xml:space="preserve">ing </w:t>
      </w:r>
      <w:r w:rsidR="003B5E90">
        <w:rPr>
          <w:rFonts w:cstheme="minorHAnsi"/>
        </w:rPr>
        <w:t xml:space="preserve">the difference between closed and previously open reefs – rather than producing a comprehensive population biomass estimate. </w:t>
      </w:r>
      <w:r w:rsidR="00311DC8">
        <w:rPr>
          <w:rFonts w:cstheme="minorHAnsi"/>
        </w:rPr>
        <w:t xml:space="preserve">In any case, </w:t>
      </w:r>
      <w:r w:rsidR="003163C7">
        <w:rPr>
          <w:rFonts w:cstheme="minorHAnsi"/>
        </w:rPr>
        <w:t xml:space="preserve">upon </w:t>
      </w:r>
      <w:r w:rsidR="00311DC8" w:rsidRPr="00311DC8">
        <w:rPr>
          <w:rFonts w:cstheme="minorHAnsi"/>
        </w:rPr>
        <w:t>opening of the fishery</w:t>
      </w:r>
      <w:r w:rsidR="003163C7">
        <w:rPr>
          <w:rFonts w:cstheme="minorHAnsi"/>
        </w:rPr>
        <w:t>,</w:t>
      </w:r>
      <w:r w:rsidR="00311DC8" w:rsidRPr="00311DC8">
        <w:rPr>
          <w:rFonts w:cstheme="minorHAnsi"/>
        </w:rPr>
        <w:t xml:space="preserve"> little commercial fishing </w:t>
      </w:r>
      <w:r w:rsidR="003163C7">
        <w:rPr>
          <w:rFonts w:cstheme="minorHAnsi"/>
        </w:rPr>
        <w:t xml:space="preserve">occurred </w:t>
      </w:r>
      <w:r w:rsidR="00311DC8" w:rsidRPr="00311DC8">
        <w:rPr>
          <w:rFonts w:cstheme="minorHAnsi"/>
        </w:rPr>
        <w:t xml:space="preserve">in </w:t>
      </w:r>
      <w:r w:rsidR="00D90E50">
        <w:rPr>
          <w:rFonts w:cstheme="minorHAnsi"/>
        </w:rPr>
        <w:t xml:space="preserve">the northern </w:t>
      </w:r>
      <w:r w:rsidR="00311DC8" w:rsidRPr="00311DC8">
        <w:rPr>
          <w:rFonts w:cstheme="minorHAnsi"/>
        </w:rPr>
        <w:t>‘Zone 1’</w:t>
      </w:r>
      <w:r w:rsidR="003163C7">
        <w:rPr>
          <w:rFonts w:cstheme="minorHAnsi"/>
        </w:rPr>
        <w:t xml:space="preserve">, and a survey of Zone 2 </w:t>
      </w:r>
      <w:r w:rsidR="00107711">
        <w:rPr>
          <w:rFonts w:cstheme="minorHAnsi"/>
        </w:rPr>
        <w:t xml:space="preserve">(the </w:t>
      </w:r>
      <w:r w:rsidR="00107711" w:rsidRPr="00107711">
        <w:rPr>
          <w:rFonts w:cstheme="minorHAnsi"/>
        </w:rPr>
        <w:t xml:space="preserve">fishery area </w:t>
      </w:r>
      <w:r w:rsidR="00107711">
        <w:rPr>
          <w:rFonts w:cstheme="minorHAnsi"/>
        </w:rPr>
        <w:t xml:space="preserve">south </w:t>
      </w:r>
      <w:r w:rsidR="00107711" w:rsidRPr="00107711">
        <w:rPr>
          <w:rFonts w:cstheme="minorHAnsi"/>
        </w:rPr>
        <w:t>of 19°S</w:t>
      </w:r>
      <w:r w:rsidR="00107711">
        <w:rPr>
          <w:rFonts w:cstheme="minorHAnsi"/>
        </w:rPr>
        <w:t>, excluding Saumarez and Marion Reefs)</w:t>
      </w:r>
      <w:r w:rsidR="00107711" w:rsidRPr="00107711">
        <w:rPr>
          <w:rFonts w:cstheme="minorHAnsi"/>
        </w:rPr>
        <w:t xml:space="preserve"> </w:t>
      </w:r>
      <w:r w:rsidR="003163C7">
        <w:rPr>
          <w:rFonts w:cstheme="minorHAnsi"/>
        </w:rPr>
        <w:t xml:space="preserve">was </w:t>
      </w:r>
      <w:r w:rsidR="009669F7">
        <w:rPr>
          <w:rFonts w:cstheme="minorHAnsi"/>
        </w:rPr>
        <w:t>stipulated</w:t>
      </w:r>
      <w:r w:rsidR="003163C7">
        <w:rPr>
          <w:rFonts w:cstheme="minorHAnsi"/>
        </w:rPr>
        <w:t xml:space="preserve"> (DAWE, 2020)</w:t>
      </w:r>
      <w:r w:rsidR="00311DC8" w:rsidRPr="00311DC8">
        <w:rPr>
          <w:rFonts w:cstheme="minorHAnsi"/>
        </w:rPr>
        <w:t>.</w:t>
      </w:r>
      <w:r w:rsidR="00107711">
        <w:rPr>
          <w:rFonts w:cstheme="minorHAnsi"/>
        </w:rPr>
        <w:t xml:space="preserve"> This was carried out in 2021 </w:t>
      </w:r>
      <w:r w:rsidR="00012E2C">
        <w:rPr>
          <w:rFonts w:cstheme="minorHAnsi"/>
        </w:rPr>
        <w:t>(</w:t>
      </w:r>
      <w:r w:rsidR="00012E2C" w:rsidRPr="00632830">
        <w:t>Koopman</w:t>
      </w:r>
      <w:r w:rsidR="00012E2C">
        <w:t xml:space="preserve"> and </w:t>
      </w:r>
      <w:r w:rsidR="00012E2C" w:rsidRPr="00632830">
        <w:t>Knuckey, 2021</w:t>
      </w:r>
      <w:r w:rsidR="00012E2C">
        <w:t>)</w:t>
      </w:r>
      <w:r w:rsidR="00107711">
        <w:rPr>
          <w:rFonts w:cstheme="minorHAnsi"/>
        </w:rPr>
        <w:t xml:space="preserve">. </w:t>
      </w:r>
    </w:p>
    <w:p w14:paraId="2EF256FF" w14:textId="762BAE25" w:rsidR="00107711" w:rsidRDefault="00D90E50" w:rsidP="00107711">
      <w:pPr>
        <w:pStyle w:val="BodyText"/>
        <w:spacing w:after="240"/>
        <w:rPr>
          <w:rFonts w:cstheme="minorHAnsi"/>
        </w:rPr>
      </w:pPr>
      <w:r>
        <w:rPr>
          <w:rFonts w:cstheme="minorHAnsi"/>
        </w:rPr>
        <w:t xml:space="preserve">The 2021 </w:t>
      </w:r>
      <w:r w:rsidR="00107711">
        <w:rPr>
          <w:rFonts w:cstheme="minorHAnsi"/>
        </w:rPr>
        <w:t xml:space="preserve">survey focused on two </w:t>
      </w:r>
      <w:r>
        <w:rPr>
          <w:rFonts w:cstheme="minorHAnsi"/>
        </w:rPr>
        <w:t xml:space="preserve">broad </w:t>
      </w:r>
      <w:r w:rsidR="00107711">
        <w:rPr>
          <w:rFonts w:cstheme="minorHAnsi"/>
        </w:rPr>
        <w:t xml:space="preserve">habitats, the reef </w:t>
      </w:r>
      <w:r w:rsidR="00280506">
        <w:rPr>
          <w:rFonts w:cstheme="minorHAnsi"/>
        </w:rPr>
        <w:t>top</w:t>
      </w:r>
      <w:r w:rsidR="00107711">
        <w:rPr>
          <w:rFonts w:cstheme="minorHAnsi"/>
        </w:rPr>
        <w:t xml:space="preserve"> </w:t>
      </w:r>
      <w:r w:rsidR="00354155">
        <w:rPr>
          <w:rFonts w:cstheme="minorHAnsi"/>
        </w:rPr>
        <w:t xml:space="preserve">(intertidal and inner lagoon) </w:t>
      </w:r>
      <w:r w:rsidR="00107711">
        <w:rPr>
          <w:rFonts w:cstheme="minorHAnsi"/>
        </w:rPr>
        <w:t>an</w:t>
      </w:r>
      <w:r w:rsidR="00280506">
        <w:rPr>
          <w:rFonts w:cstheme="minorHAnsi"/>
        </w:rPr>
        <w:t>d</w:t>
      </w:r>
      <w:r w:rsidR="00107711">
        <w:rPr>
          <w:rFonts w:cstheme="minorHAnsi"/>
        </w:rPr>
        <w:t xml:space="preserve"> </w:t>
      </w:r>
      <w:r w:rsidR="00354155">
        <w:rPr>
          <w:rFonts w:cstheme="minorHAnsi"/>
        </w:rPr>
        <w:t>deep reef (generally re</w:t>
      </w:r>
      <w:r w:rsidR="00280506">
        <w:rPr>
          <w:rFonts w:cstheme="minorHAnsi"/>
        </w:rPr>
        <w:t xml:space="preserve">ef </w:t>
      </w:r>
      <w:r w:rsidR="00107711">
        <w:rPr>
          <w:rFonts w:cstheme="minorHAnsi"/>
        </w:rPr>
        <w:t>slope</w:t>
      </w:r>
      <w:r w:rsidR="00354155">
        <w:rPr>
          <w:rFonts w:cstheme="minorHAnsi"/>
        </w:rPr>
        <w:t xml:space="preserve"> to 20 m deep) </w:t>
      </w:r>
      <w:r w:rsidR="00107711">
        <w:rPr>
          <w:rFonts w:cstheme="minorHAnsi"/>
        </w:rPr>
        <w:t>habit</w:t>
      </w:r>
      <w:r>
        <w:rPr>
          <w:rFonts w:cstheme="minorHAnsi"/>
        </w:rPr>
        <w:t>ats</w:t>
      </w:r>
      <w:r w:rsidR="00107711">
        <w:rPr>
          <w:rFonts w:cstheme="minorHAnsi"/>
        </w:rPr>
        <w:t>, based on o</w:t>
      </w:r>
      <w:r w:rsidR="00107711" w:rsidRPr="00107711">
        <w:rPr>
          <w:rFonts w:cstheme="minorHAnsi"/>
        </w:rPr>
        <w:t xml:space="preserve">bservations by industry </w:t>
      </w:r>
      <w:r w:rsidR="00107711">
        <w:rPr>
          <w:rFonts w:cstheme="minorHAnsi"/>
        </w:rPr>
        <w:t xml:space="preserve">that </w:t>
      </w:r>
      <w:r w:rsidR="00107711" w:rsidRPr="00107711">
        <w:rPr>
          <w:rFonts w:cstheme="minorHAnsi"/>
        </w:rPr>
        <w:t>suggest</w:t>
      </w:r>
      <w:r w:rsidR="00107711">
        <w:rPr>
          <w:rFonts w:cstheme="minorHAnsi"/>
        </w:rPr>
        <w:t xml:space="preserve">ed a significant proportion of the Black teatfish population </w:t>
      </w:r>
      <w:r>
        <w:rPr>
          <w:rFonts w:cstheme="minorHAnsi"/>
        </w:rPr>
        <w:t xml:space="preserve">in the southern GBR </w:t>
      </w:r>
      <w:r w:rsidR="00107711">
        <w:rPr>
          <w:rFonts w:cstheme="minorHAnsi"/>
        </w:rPr>
        <w:t xml:space="preserve">resided </w:t>
      </w:r>
      <w:r w:rsidR="00107711" w:rsidRPr="00107711">
        <w:rPr>
          <w:rFonts w:cstheme="minorHAnsi"/>
        </w:rPr>
        <w:t xml:space="preserve">in deeper water (15-20 m) </w:t>
      </w:r>
      <w:r w:rsidR="00012E2C">
        <w:rPr>
          <w:rFonts w:cstheme="minorHAnsi"/>
        </w:rPr>
        <w:t xml:space="preserve">due, it was postulated, to the </w:t>
      </w:r>
      <w:r w:rsidR="00012E2C">
        <w:t>greater tidal range in that area</w:t>
      </w:r>
      <w:r w:rsidR="00107711" w:rsidRPr="00107711">
        <w:rPr>
          <w:rFonts w:cstheme="minorHAnsi"/>
        </w:rPr>
        <w:t xml:space="preserve">. </w:t>
      </w:r>
    </w:p>
    <w:p w14:paraId="162BEF05" w14:textId="09F76B23" w:rsidR="00012E2C" w:rsidRDefault="00107711" w:rsidP="00C27C8E">
      <w:pPr>
        <w:pStyle w:val="BodyText"/>
        <w:spacing w:after="240"/>
      </w:pPr>
      <w:r>
        <w:rPr>
          <w:rFonts w:cstheme="minorHAnsi"/>
        </w:rPr>
        <w:t>The</w:t>
      </w:r>
      <w:r w:rsidR="00D90E50">
        <w:rPr>
          <w:rFonts w:cstheme="minorHAnsi"/>
        </w:rPr>
        <w:t xml:space="preserve"> survey was based on a </w:t>
      </w:r>
      <w:r w:rsidRPr="00107711">
        <w:rPr>
          <w:rFonts w:cstheme="minorHAnsi"/>
        </w:rPr>
        <w:t>random stratified survey</w:t>
      </w:r>
      <w:r>
        <w:rPr>
          <w:rFonts w:cstheme="minorHAnsi"/>
        </w:rPr>
        <w:t xml:space="preserve"> design</w:t>
      </w:r>
      <w:r w:rsidR="00A27891">
        <w:rPr>
          <w:rFonts w:cstheme="minorHAnsi"/>
        </w:rPr>
        <w:t xml:space="preserve"> and sampled 26 reefs</w:t>
      </w:r>
      <w:r>
        <w:rPr>
          <w:rFonts w:cstheme="minorHAnsi"/>
        </w:rPr>
        <w:t xml:space="preserve">. </w:t>
      </w:r>
      <w:r w:rsidR="00012E2C">
        <w:rPr>
          <w:rFonts w:cstheme="minorHAnsi"/>
        </w:rPr>
        <w:t xml:space="preserve">The survey area </w:t>
      </w:r>
      <w:r w:rsidR="00012E2C">
        <w:rPr>
          <w:sz w:val="23"/>
          <w:szCs w:val="23"/>
        </w:rPr>
        <w:t>roughly corresponded to six reef bioregions (</w:t>
      </w:r>
      <w:r w:rsidR="00012E2C">
        <w:t>Kerrigan et al., 2010)</w:t>
      </w:r>
      <w:r w:rsidR="00A27891">
        <w:t xml:space="preserve">, with an approximate survey area of 497,000 </w:t>
      </w:r>
      <w:r w:rsidR="00D90E50">
        <w:t>h</w:t>
      </w:r>
      <w:r w:rsidR="00A27891">
        <w:t>a (</w:t>
      </w:r>
      <w:r w:rsidR="00D90E50">
        <w:t>C</w:t>
      </w:r>
      <w:r w:rsidR="00A27891">
        <w:t>f</w:t>
      </w:r>
      <w:r w:rsidR="00D90E50">
        <w:t>.</w:t>
      </w:r>
      <w:r w:rsidR="00A27891">
        <w:t xml:space="preserve"> 18,365 ha for the </w:t>
      </w:r>
      <w:r w:rsidR="00D90E50">
        <w:t xml:space="preserve">northern </w:t>
      </w:r>
      <w:r w:rsidR="00A27891">
        <w:t>Zone 1 survey), of which about 28% was closed to fishing.</w:t>
      </w:r>
      <w:r w:rsidR="00012E2C">
        <w:t xml:space="preserve"> </w:t>
      </w:r>
    </w:p>
    <w:p w14:paraId="5EE4261C" w14:textId="115D5921" w:rsidR="009669F7" w:rsidRDefault="009669F7" w:rsidP="009669F7">
      <w:pPr>
        <w:pStyle w:val="BodyText"/>
        <w:rPr>
          <w:rFonts w:cstheme="minorHAnsi"/>
        </w:rPr>
      </w:pPr>
      <w:r>
        <w:rPr>
          <w:rFonts w:cstheme="minorHAnsi"/>
        </w:rPr>
        <w:t xml:space="preserve">The 2021 survey of Zone 2 found: </w:t>
      </w:r>
    </w:p>
    <w:p w14:paraId="7196D6DC" w14:textId="20434078" w:rsidR="009669F7" w:rsidRPr="0072531B" w:rsidRDefault="009669F7" w:rsidP="009669F7">
      <w:pPr>
        <w:pStyle w:val="BodyText"/>
        <w:numPr>
          <w:ilvl w:val="0"/>
          <w:numId w:val="36"/>
        </w:numPr>
        <w:spacing w:before="120" w:line="264" w:lineRule="auto"/>
        <w:rPr>
          <w:rFonts w:cstheme="minorHAnsi"/>
        </w:rPr>
      </w:pPr>
      <w:r>
        <w:rPr>
          <w:rFonts w:cstheme="minorHAnsi"/>
        </w:rPr>
        <w:t>The d</w:t>
      </w:r>
      <w:r w:rsidRPr="0072531B">
        <w:rPr>
          <w:rFonts w:cstheme="minorHAnsi"/>
        </w:rPr>
        <w:t>ensit</w:t>
      </w:r>
      <w:r>
        <w:rPr>
          <w:rFonts w:cstheme="minorHAnsi"/>
        </w:rPr>
        <w:t>y</w:t>
      </w:r>
      <w:r w:rsidRPr="0072531B">
        <w:rPr>
          <w:rFonts w:cstheme="minorHAnsi"/>
        </w:rPr>
        <w:t xml:space="preserve"> of Black teatfish </w:t>
      </w:r>
      <w:r w:rsidR="0056211A">
        <w:rPr>
          <w:rFonts w:cstheme="minorHAnsi"/>
        </w:rPr>
        <w:t>in the various stratum (reef bioregions) and habitat</w:t>
      </w:r>
      <w:r w:rsidR="00354155">
        <w:rPr>
          <w:rFonts w:cstheme="minorHAnsi"/>
        </w:rPr>
        <w:t>s</w:t>
      </w:r>
      <w:r w:rsidR="0056211A">
        <w:rPr>
          <w:rFonts w:cstheme="minorHAnsi"/>
        </w:rPr>
        <w:t xml:space="preserve"> (reef top and </w:t>
      </w:r>
      <w:r w:rsidR="00354155">
        <w:rPr>
          <w:rFonts w:cstheme="minorHAnsi"/>
        </w:rPr>
        <w:t>deep reef) ranged from zero to 19.04 per ha and we</w:t>
      </w:r>
      <w:r w:rsidR="00354155" w:rsidRPr="00354155">
        <w:rPr>
          <w:rFonts w:cstheme="minorHAnsi"/>
        </w:rPr>
        <w:t xml:space="preserve">re not consistently higher or lower in either the </w:t>
      </w:r>
      <w:r w:rsidR="00354155">
        <w:rPr>
          <w:rFonts w:cstheme="minorHAnsi"/>
        </w:rPr>
        <w:t>r</w:t>
      </w:r>
      <w:r w:rsidR="00354155" w:rsidRPr="00354155">
        <w:rPr>
          <w:rFonts w:cstheme="minorHAnsi"/>
        </w:rPr>
        <w:t xml:space="preserve">eef </w:t>
      </w:r>
      <w:r w:rsidR="00354155">
        <w:rPr>
          <w:rFonts w:cstheme="minorHAnsi"/>
        </w:rPr>
        <w:t>t</w:t>
      </w:r>
      <w:r w:rsidR="00354155" w:rsidRPr="00354155">
        <w:rPr>
          <w:rFonts w:cstheme="minorHAnsi"/>
        </w:rPr>
        <w:t xml:space="preserve">op or </w:t>
      </w:r>
      <w:r w:rsidR="00354155">
        <w:rPr>
          <w:rFonts w:cstheme="minorHAnsi"/>
        </w:rPr>
        <w:t>d</w:t>
      </w:r>
      <w:r w:rsidR="00354155" w:rsidRPr="00354155">
        <w:rPr>
          <w:rFonts w:cstheme="minorHAnsi"/>
        </w:rPr>
        <w:t xml:space="preserve">eep </w:t>
      </w:r>
      <w:r w:rsidR="00354155">
        <w:rPr>
          <w:rFonts w:cstheme="minorHAnsi"/>
        </w:rPr>
        <w:t>r</w:t>
      </w:r>
      <w:r w:rsidR="00354155" w:rsidRPr="00354155">
        <w:rPr>
          <w:rFonts w:cstheme="minorHAnsi"/>
        </w:rPr>
        <w:t>eef across strata</w:t>
      </w:r>
      <w:r w:rsidR="00354155">
        <w:rPr>
          <w:rFonts w:cstheme="minorHAnsi"/>
        </w:rPr>
        <w:t xml:space="preserve">. </w:t>
      </w:r>
      <w:r w:rsidR="00354155">
        <w:t>While both closed and open reefs were surveyed, (roughly in proportion to their area), the study authors did not report closed reefs separately.</w:t>
      </w:r>
    </w:p>
    <w:p w14:paraId="42BDBC32" w14:textId="2A5FE79C" w:rsidR="009669F7" w:rsidRDefault="009669F7" w:rsidP="009669F7">
      <w:pPr>
        <w:pStyle w:val="BodyText"/>
        <w:numPr>
          <w:ilvl w:val="0"/>
          <w:numId w:val="32"/>
        </w:numPr>
        <w:spacing w:before="120" w:after="240" w:line="264" w:lineRule="auto"/>
        <w:rPr>
          <w:rFonts w:cstheme="minorHAnsi"/>
        </w:rPr>
      </w:pPr>
      <w:r w:rsidRPr="0072531B">
        <w:rPr>
          <w:rFonts w:cstheme="minorHAnsi"/>
        </w:rPr>
        <w:t xml:space="preserve">Overall, the </w:t>
      </w:r>
      <w:r w:rsidR="00354155">
        <w:rPr>
          <w:rFonts w:cstheme="minorHAnsi"/>
        </w:rPr>
        <w:t xml:space="preserve">median </w:t>
      </w:r>
      <w:r w:rsidRPr="0072531B">
        <w:rPr>
          <w:rFonts w:cstheme="minorHAnsi"/>
        </w:rPr>
        <w:t>total biomass estimate</w:t>
      </w:r>
      <w:r w:rsidR="00354155">
        <w:rPr>
          <w:rFonts w:cstheme="minorHAnsi"/>
        </w:rPr>
        <w:t xml:space="preserve"> was </w:t>
      </w:r>
      <w:r w:rsidR="00354155" w:rsidRPr="00354155">
        <w:rPr>
          <w:rFonts w:cstheme="minorHAnsi"/>
        </w:rPr>
        <w:t>6</w:t>
      </w:r>
      <w:r w:rsidR="0034623E">
        <w:rPr>
          <w:rFonts w:cstheme="minorHAnsi"/>
        </w:rPr>
        <w:t>,</w:t>
      </w:r>
      <w:r w:rsidR="00354155" w:rsidRPr="00354155">
        <w:rPr>
          <w:rFonts w:cstheme="minorHAnsi"/>
        </w:rPr>
        <w:t xml:space="preserve">573 t </w:t>
      </w:r>
      <w:r w:rsidR="005D2768">
        <w:rPr>
          <w:rFonts w:cstheme="minorHAnsi"/>
        </w:rPr>
        <w:t>whole</w:t>
      </w:r>
      <w:r w:rsidR="005D2768" w:rsidRPr="0072531B">
        <w:rPr>
          <w:rFonts w:cstheme="minorHAnsi"/>
        </w:rPr>
        <w:t xml:space="preserve"> weight </w:t>
      </w:r>
      <w:r w:rsidR="00354155" w:rsidRPr="00354155">
        <w:rPr>
          <w:rFonts w:cstheme="minorHAnsi"/>
        </w:rPr>
        <w:t>(95%</w:t>
      </w:r>
      <w:r w:rsidR="00903D35">
        <w:rPr>
          <w:rFonts w:cstheme="minorHAnsi"/>
        </w:rPr>
        <w:t xml:space="preserve"> </w:t>
      </w:r>
      <w:r w:rsidR="00354155" w:rsidRPr="00354155">
        <w:rPr>
          <w:rFonts w:cstheme="minorHAnsi"/>
        </w:rPr>
        <w:t>CI 4</w:t>
      </w:r>
      <w:r w:rsidR="0034623E">
        <w:rPr>
          <w:rFonts w:cstheme="minorHAnsi"/>
        </w:rPr>
        <w:t>,</w:t>
      </w:r>
      <w:r w:rsidR="00354155" w:rsidRPr="00354155">
        <w:rPr>
          <w:rFonts w:cstheme="minorHAnsi"/>
        </w:rPr>
        <w:t>384–9</w:t>
      </w:r>
      <w:r w:rsidR="0034623E">
        <w:rPr>
          <w:rFonts w:cstheme="minorHAnsi"/>
        </w:rPr>
        <w:t>,</w:t>
      </w:r>
      <w:r w:rsidR="00354155" w:rsidRPr="00354155">
        <w:rPr>
          <w:rFonts w:cstheme="minorHAnsi"/>
        </w:rPr>
        <w:t>570 t)</w:t>
      </w:r>
      <w:r w:rsidR="00354155">
        <w:rPr>
          <w:rFonts w:cstheme="minorHAnsi"/>
        </w:rPr>
        <w:t xml:space="preserve"> for the fully stratified estimate</w:t>
      </w:r>
      <w:r w:rsidR="001A66A2">
        <w:rPr>
          <w:rFonts w:cstheme="minorHAnsi"/>
        </w:rPr>
        <w:t xml:space="preserve">, with over half of this </w:t>
      </w:r>
      <w:r w:rsidR="00903D35">
        <w:rPr>
          <w:rFonts w:cstheme="minorHAnsi"/>
        </w:rPr>
        <w:t xml:space="preserve">from </w:t>
      </w:r>
      <w:r w:rsidR="001A66A2">
        <w:rPr>
          <w:rFonts w:cstheme="minorHAnsi"/>
        </w:rPr>
        <w:t xml:space="preserve">a single stratum, the </w:t>
      </w:r>
      <w:r w:rsidR="001A66A2" w:rsidRPr="001A66A2">
        <w:rPr>
          <w:rFonts w:cstheme="minorHAnsi"/>
        </w:rPr>
        <w:t>Hard Line Reefs</w:t>
      </w:r>
      <w:r w:rsidR="001A66A2">
        <w:rPr>
          <w:rFonts w:cstheme="minorHAnsi"/>
        </w:rPr>
        <w:t xml:space="preserve"> (</w:t>
      </w:r>
      <w:r w:rsidR="001A66A2" w:rsidRPr="001A66A2">
        <w:rPr>
          <w:rFonts w:cstheme="minorHAnsi"/>
        </w:rPr>
        <w:t>RHL</w:t>
      </w:r>
      <w:r w:rsidR="001A66A2">
        <w:rPr>
          <w:rFonts w:cstheme="minorHAnsi"/>
        </w:rPr>
        <w:t>) reef bioregion</w:t>
      </w:r>
      <w:r w:rsidR="00354155" w:rsidRPr="00354155">
        <w:rPr>
          <w:rFonts w:cstheme="minorHAnsi"/>
        </w:rPr>
        <w:t>.</w:t>
      </w:r>
      <w:r w:rsidR="00C51185">
        <w:rPr>
          <w:rFonts w:cstheme="minorHAnsi"/>
        </w:rPr>
        <w:t xml:space="preserve"> </w:t>
      </w:r>
      <w:r w:rsidR="00903D35">
        <w:rPr>
          <w:rFonts w:cstheme="minorHAnsi"/>
        </w:rPr>
        <w:t>This equates to approximately 4</w:t>
      </w:r>
      <w:r w:rsidR="0034623E">
        <w:rPr>
          <w:rFonts w:cstheme="minorHAnsi"/>
        </w:rPr>
        <w:t>,</w:t>
      </w:r>
      <w:r w:rsidR="00903D35">
        <w:rPr>
          <w:rFonts w:cstheme="minorHAnsi"/>
        </w:rPr>
        <w:t xml:space="preserve">160 t </w:t>
      </w:r>
      <w:r w:rsidR="00903D35" w:rsidRPr="00354155">
        <w:rPr>
          <w:rFonts w:cstheme="minorHAnsi"/>
        </w:rPr>
        <w:t>(95%</w:t>
      </w:r>
      <w:r w:rsidR="00903D35">
        <w:rPr>
          <w:rFonts w:cstheme="minorHAnsi"/>
        </w:rPr>
        <w:t xml:space="preserve"> </w:t>
      </w:r>
      <w:r w:rsidR="00903D35" w:rsidRPr="00354155">
        <w:rPr>
          <w:rFonts w:cstheme="minorHAnsi"/>
        </w:rPr>
        <w:t xml:space="preserve">CI </w:t>
      </w:r>
      <w:r w:rsidR="00903D35">
        <w:rPr>
          <w:rFonts w:cstheme="minorHAnsi"/>
        </w:rPr>
        <w:t>2</w:t>
      </w:r>
      <w:r w:rsidR="0034623E">
        <w:rPr>
          <w:rFonts w:cstheme="minorHAnsi"/>
        </w:rPr>
        <w:t>,</w:t>
      </w:r>
      <w:r w:rsidR="00903D35">
        <w:rPr>
          <w:rFonts w:cstheme="minorHAnsi"/>
        </w:rPr>
        <w:t>775</w:t>
      </w:r>
      <w:r w:rsidR="00903D35" w:rsidRPr="00354155">
        <w:rPr>
          <w:rFonts w:cstheme="minorHAnsi"/>
        </w:rPr>
        <w:t>–</w:t>
      </w:r>
      <w:r w:rsidR="00903D35">
        <w:rPr>
          <w:rFonts w:cstheme="minorHAnsi"/>
        </w:rPr>
        <w:t>6</w:t>
      </w:r>
      <w:r w:rsidR="0034623E">
        <w:rPr>
          <w:rFonts w:cstheme="minorHAnsi"/>
        </w:rPr>
        <w:t>,</w:t>
      </w:r>
      <w:r w:rsidR="00903D35">
        <w:rPr>
          <w:rFonts w:cstheme="minorHAnsi"/>
        </w:rPr>
        <w:t>058</w:t>
      </w:r>
      <w:r w:rsidR="00903D35" w:rsidRPr="00354155">
        <w:rPr>
          <w:rFonts w:cstheme="minorHAnsi"/>
        </w:rPr>
        <w:t xml:space="preserve"> t)</w:t>
      </w:r>
      <w:r w:rsidR="00903D35">
        <w:rPr>
          <w:rFonts w:cstheme="minorHAnsi"/>
        </w:rPr>
        <w:t xml:space="preserve"> gutted weight using a conversion ratio of </w:t>
      </w:r>
      <w:r w:rsidR="00903D35">
        <w:t>0.677 (</w:t>
      </w:r>
      <w:r w:rsidR="00711B19">
        <w:t>Murphy et al., 2021b)</w:t>
      </w:r>
      <w:r w:rsidR="005B6BB0">
        <w:t>.</w:t>
      </w:r>
    </w:p>
    <w:p w14:paraId="27DB8B2C" w14:textId="27A98671" w:rsidR="00354155" w:rsidRPr="0072531B" w:rsidRDefault="00354155" w:rsidP="00354155">
      <w:pPr>
        <w:pStyle w:val="BodyText"/>
        <w:spacing w:before="120" w:after="240" w:line="264" w:lineRule="auto"/>
        <w:rPr>
          <w:rFonts w:cstheme="minorHAnsi"/>
        </w:rPr>
      </w:pPr>
      <w:r>
        <w:rPr>
          <w:rFonts w:cstheme="minorHAnsi"/>
        </w:rPr>
        <w:t xml:space="preserve">The combined </w:t>
      </w:r>
      <w:r w:rsidR="001A66A2">
        <w:rPr>
          <w:rFonts w:cstheme="minorHAnsi"/>
        </w:rPr>
        <w:t xml:space="preserve">fishery </w:t>
      </w:r>
      <w:r>
        <w:rPr>
          <w:rFonts w:cstheme="minorHAnsi"/>
        </w:rPr>
        <w:t>biomass for both survey’s</w:t>
      </w:r>
      <w:r w:rsidR="005D2768">
        <w:rPr>
          <w:rFonts w:cstheme="minorHAnsi"/>
        </w:rPr>
        <w:t>,</w:t>
      </w:r>
      <w:r>
        <w:rPr>
          <w:rFonts w:cstheme="minorHAnsi"/>
        </w:rPr>
        <w:t xml:space="preserve"> though using quite different approaches and with the Zone 1 biomass in particular for only a restricted area of potential habitat, was </w:t>
      </w:r>
      <w:r w:rsidR="0034623E" w:rsidRPr="0034623E">
        <w:rPr>
          <w:rFonts w:cstheme="minorHAnsi"/>
        </w:rPr>
        <w:t>4</w:t>
      </w:r>
      <w:r w:rsidR="0034623E">
        <w:rPr>
          <w:rFonts w:cstheme="minorHAnsi"/>
        </w:rPr>
        <w:t>,</w:t>
      </w:r>
      <w:r w:rsidR="0034623E" w:rsidRPr="0034623E">
        <w:rPr>
          <w:rFonts w:cstheme="minorHAnsi"/>
        </w:rPr>
        <w:t>384</w:t>
      </w:r>
      <w:r w:rsidR="0034623E">
        <w:rPr>
          <w:rFonts w:cstheme="minorHAnsi"/>
        </w:rPr>
        <w:t xml:space="preserve"> </w:t>
      </w:r>
      <w:r w:rsidR="001A66A2">
        <w:rPr>
          <w:rFonts w:cstheme="minorHAnsi"/>
        </w:rPr>
        <w:t xml:space="preserve">t </w:t>
      </w:r>
      <w:r w:rsidR="005D2768">
        <w:rPr>
          <w:rFonts w:cstheme="minorHAnsi"/>
        </w:rPr>
        <w:t xml:space="preserve">gutted weight </w:t>
      </w:r>
      <w:r w:rsidR="001A66A2">
        <w:rPr>
          <w:rFonts w:cstheme="minorHAnsi"/>
        </w:rPr>
        <w:t>(no confidence intervals available)</w:t>
      </w:r>
      <w:r w:rsidR="0034623E">
        <w:rPr>
          <w:rFonts w:cstheme="minorHAnsi"/>
        </w:rPr>
        <w:t xml:space="preserve"> (DAF, 2023)</w:t>
      </w:r>
      <w:r w:rsidR="00B46760">
        <w:rPr>
          <w:rFonts w:cstheme="minorHAnsi"/>
        </w:rPr>
        <w:t xml:space="preserve">, or 3,677 t landed weight (using a conversion ratio of </w:t>
      </w:r>
      <w:r w:rsidR="00B46760" w:rsidRPr="00B46760">
        <w:rPr>
          <w:rFonts w:cstheme="minorHAnsi"/>
        </w:rPr>
        <w:t>0.529</w:t>
      </w:r>
      <w:r w:rsidR="00B46760">
        <w:rPr>
          <w:rFonts w:cstheme="minorHAnsi"/>
        </w:rPr>
        <w:t xml:space="preserve"> (</w:t>
      </w:r>
      <w:r w:rsidR="00B46760">
        <w:t>Murphy et al., 2021b)</w:t>
      </w:r>
      <w:r w:rsidR="001A66A2">
        <w:rPr>
          <w:rFonts w:cstheme="minorHAnsi"/>
        </w:rPr>
        <w:t xml:space="preserve">. </w:t>
      </w:r>
    </w:p>
    <w:p w14:paraId="05462846" w14:textId="2F09CB09" w:rsidR="005153EE" w:rsidRDefault="00DF2E33" w:rsidP="00474ABF">
      <w:pPr>
        <w:pStyle w:val="Heading4"/>
      </w:pPr>
      <w:r>
        <w:t>Marion and Saumarez</w:t>
      </w:r>
      <w:r w:rsidR="002F31AB">
        <w:t xml:space="preserve"> Reefs</w:t>
      </w:r>
      <w:r>
        <w:t>, 2017</w:t>
      </w:r>
    </w:p>
    <w:p w14:paraId="774001C3" w14:textId="1F8FBAE3" w:rsidR="00722117" w:rsidRDefault="0001675B" w:rsidP="00B32BB9">
      <w:r>
        <w:t xml:space="preserve">A </w:t>
      </w:r>
      <w:r w:rsidR="00822806">
        <w:t>sea cucumber survey on eight different reefs in the Coral Sea</w:t>
      </w:r>
      <w:r>
        <w:t xml:space="preserve"> was carried out in 2017</w:t>
      </w:r>
      <w:r w:rsidR="00822806">
        <w:t>, which include</w:t>
      </w:r>
      <w:r w:rsidR="00FB6642">
        <w:t>d</w:t>
      </w:r>
      <w:r w:rsidR="00822806">
        <w:t xml:space="preserve"> Marion and Saumarez Reefs</w:t>
      </w:r>
      <w:r>
        <w:t xml:space="preserve"> (Skewes and Persson, 2017</w:t>
      </w:r>
      <w:r w:rsidRPr="003F28A3">
        <w:t>)</w:t>
      </w:r>
      <w:r w:rsidR="00822806" w:rsidRPr="003F28A3">
        <w:t>.</w:t>
      </w:r>
      <w:r w:rsidR="00722117" w:rsidRPr="003F28A3">
        <w:t xml:space="preserve"> </w:t>
      </w:r>
      <w:r w:rsidRPr="003F28A3">
        <w:t>It found</w:t>
      </w:r>
      <w:r w:rsidR="00722117" w:rsidRPr="003F28A3">
        <w:t xml:space="preserve"> overall reef densities of </w:t>
      </w:r>
      <w:r w:rsidR="00BA2C08" w:rsidRPr="003F28A3">
        <w:t>2.68</w:t>
      </w:r>
      <w:r w:rsidR="00A82756" w:rsidRPr="003F28A3">
        <w:t xml:space="preserve"> and </w:t>
      </w:r>
      <w:r w:rsidR="00BA2C08" w:rsidRPr="003F28A3">
        <w:t>1.22</w:t>
      </w:r>
      <w:r w:rsidR="00A82756" w:rsidRPr="003F28A3">
        <w:t xml:space="preserve"> </w:t>
      </w:r>
      <w:r w:rsidR="00BA2C08" w:rsidRPr="003F28A3">
        <w:t xml:space="preserve">per ha </w:t>
      </w:r>
      <w:r w:rsidR="00A82756" w:rsidRPr="003F28A3">
        <w:t>for Black teatfish</w:t>
      </w:r>
      <w:r w:rsidR="00722117" w:rsidRPr="003F28A3">
        <w:t xml:space="preserve"> </w:t>
      </w:r>
      <w:r w:rsidR="00FB6642" w:rsidRPr="003F28A3">
        <w:t xml:space="preserve">for Marion and Saumarez Reefs respectively </w:t>
      </w:r>
      <w:r w:rsidR="00722117" w:rsidRPr="003F28A3">
        <w:t xml:space="preserve">– with a standing stock estimate for both reefs at </w:t>
      </w:r>
      <w:r w:rsidR="00E409FE" w:rsidRPr="003F28A3">
        <w:t>59,196</w:t>
      </w:r>
      <w:r w:rsidR="00722117" w:rsidRPr="003F28A3">
        <w:t xml:space="preserve"> individuals and </w:t>
      </w:r>
      <w:r w:rsidR="00E409FE" w:rsidRPr="003F28A3">
        <w:t>56.8</w:t>
      </w:r>
      <w:r w:rsidR="00722117" w:rsidRPr="003F28A3">
        <w:t xml:space="preserve"> t </w:t>
      </w:r>
      <w:r w:rsidR="007E64CD" w:rsidRPr="003F28A3">
        <w:t>landed weight</w:t>
      </w:r>
      <w:r w:rsidR="00335882" w:rsidRPr="003F28A3">
        <w:t xml:space="preserve"> </w:t>
      </w:r>
      <w:r w:rsidR="00E409FE" w:rsidRPr="003F28A3">
        <w:t xml:space="preserve">(but with wide confidence intervals of </w:t>
      </w:r>
      <w:r w:rsidR="00E409FE" w:rsidRPr="003F28A3">
        <w:rPr>
          <w:rFonts w:cs="Calibri"/>
        </w:rPr>
        <w:t>±</w:t>
      </w:r>
      <w:r w:rsidR="00E409FE" w:rsidRPr="003F28A3">
        <w:t>81.9%, 90%CI)</w:t>
      </w:r>
      <w:r w:rsidR="00722117" w:rsidRPr="003F28A3">
        <w:t>.</w:t>
      </w:r>
    </w:p>
    <w:p w14:paraId="386BED4E" w14:textId="4FCB4741" w:rsidR="00E409FE" w:rsidRDefault="00E409FE" w:rsidP="00B32BB9">
      <w:r>
        <w:t xml:space="preserve">While the density of Black teatfish on these offshore reefs was </w:t>
      </w:r>
      <w:r w:rsidRPr="00E409FE">
        <w:t>lower than reefs in the Torres Strait and the GBR</w:t>
      </w:r>
      <w:r>
        <w:t xml:space="preserve">, they also noted that the biomass estimate was </w:t>
      </w:r>
      <w:r w:rsidR="005F7B27">
        <w:t xml:space="preserve">high </w:t>
      </w:r>
      <w:r>
        <w:t xml:space="preserve">in comparison to </w:t>
      </w:r>
      <w:r w:rsidR="005F7B27">
        <w:t>estimates of Black teatfish catch on those reefs by the QSCF</w:t>
      </w:r>
      <w:r w:rsidR="00DA15B3">
        <w:t xml:space="preserve"> (24 kg)</w:t>
      </w:r>
      <w:r w:rsidR="005F7B27">
        <w:t xml:space="preserve">, </w:t>
      </w:r>
      <w:r w:rsidR="005F7B27" w:rsidRPr="00726F96">
        <w:t xml:space="preserve">and the estimated catch for one apprehended FFV </w:t>
      </w:r>
      <w:r w:rsidR="00DA15B3">
        <w:t>(600 kg)</w:t>
      </w:r>
      <w:r w:rsidR="005F7B27" w:rsidRPr="00726F96">
        <w:t xml:space="preserve"> (Skewes, 2017).</w:t>
      </w:r>
    </w:p>
    <w:p w14:paraId="4127B1F8" w14:textId="68C01A28" w:rsidR="00B1784C" w:rsidRDefault="003F28A3" w:rsidP="00B1784C">
      <w:pPr>
        <w:pStyle w:val="Heading3"/>
      </w:pPr>
      <w:bookmarkStart w:id="141" w:name="_Hlk165800160"/>
      <w:r>
        <w:t>Density c</w:t>
      </w:r>
      <w:r w:rsidR="00B1784C">
        <w:t xml:space="preserve">omparisons to other Black teatfish </w:t>
      </w:r>
      <w:r>
        <w:t>surveys</w:t>
      </w:r>
    </w:p>
    <w:p w14:paraId="7523B690" w14:textId="01479691" w:rsidR="006F2948" w:rsidRPr="00500ADF" w:rsidRDefault="00A64882" w:rsidP="006F2948">
      <w:r w:rsidRPr="00811482">
        <w:t>Sea cucumbers, particularly teatfish</w:t>
      </w:r>
      <w:r>
        <w:t xml:space="preserve"> species</w:t>
      </w:r>
      <w:r w:rsidRPr="00811482">
        <w:t>, have variable densities across different depth and reef morphometric habitats, and in relation to distance from terrigenous influence (across shelf)</w:t>
      </w:r>
      <w:r>
        <w:t xml:space="preserve">, and </w:t>
      </w:r>
      <w:r>
        <w:lastRenderedPageBreak/>
        <w:t>latitudinally</w:t>
      </w:r>
      <w:r w:rsidRPr="00811482">
        <w:t>—and likely several other lesser-known gradients</w:t>
      </w:r>
      <w:r>
        <w:t xml:space="preserve"> (Benzie and Uthicke, 2003; Koopman and Knuckey, 2021; Murphy et al., 2021; Purcell et al., 2023)</w:t>
      </w:r>
      <w:r w:rsidRPr="00811482">
        <w:t xml:space="preserve">. </w:t>
      </w:r>
      <w:r w:rsidR="006F2948">
        <w:t>M</w:t>
      </w:r>
      <w:r w:rsidR="006F2948" w:rsidRPr="00500ADF">
        <w:t>onitoring surveys will be most useful when using the same sample design and survey approach, therefore comparisons of density over time likely indicate actual population status (within the bounds of statistical confidence). Other than that, surveys that include a comprehensive sampling of the entire reef suite of habitats will be most informative (e.g. Skewes et al., 1999; Murphy et al, 2021a; Koopman and Knuckey, 2021).</w:t>
      </w:r>
    </w:p>
    <w:p w14:paraId="092F49CF" w14:textId="7E45BE05" w:rsidR="008502A2" w:rsidRDefault="003F28A3" w:rsidP="00461AB5">
      <w:r>
        <w:t>Therefore,</w:t>
      </w:r>
      <w:r w:rsidR="008502A2">
        <w:t xml:space="preserve"> comparing survey densities</w:t>
      </w:r>
      <w:r w:rsidR="00500ADF">
        <w:t xml:space="preserve">, as well as against theoretical “thresholds” </w:t>
      </w:r>
      <w:r>
        <w:t>i</w:t>
      </w:r>
      <w:r w:rsidRPr="00811482">
        <w:t>s often compromised by differences in habitat delineation and sampling approaches</w:t>
      </w:r>
      <w:r w:rsidR="008502A2">
        <w:t xml:space="preserve">. </w:t>
      </w:r>
      <w:bookmarkStart w:id="142" w:name="_Hlk171199417"/>
      <w:r w:rsidR="008502A2">
        <w:t xml:space="preserve">Nevertheless, a comparison of the 2015 and 2021 </w:t>
      </w:r>
      <w:r>
        <w:t xml:space="preserve">survey densities </w:t>
      </w:r>
      <w:r w:rsidR="008502A2">
        <w:t>with other “comparison” densities is still informative to an extent</w:t>
      </w:r>
      <w:bookmarkEnd w:id="142"/>
      <w:r w:rsidR="006F2948">
        <w:t xml:space="preserve">, </w:t>
      </w:r>
      <w:r w:rsidR="008502A2">
        <w:t>and in this regard they are encouraging with respect to the relative health of the Black teatfish population on the GBR</w:t>
      </w:r>
      <w:r w:rsidR="006F2948">
        <w:t xml:space="preserve"> (</w:t>
      </w:r>
      <w:r w:rsidR="006F2948">
        <w:fldChar w:fldCharType="begin"/>
      </w:r>
      <w:r w:rsidR="006F2948">
        <w:instrText xml:space="preserve"> REF _Ref170478955 \h </w:instrText>
      </w:r>
      <w:r w:rsidR="006F2948">
        <w:fldChar w:fldCharType="separate"/>
      </w:r>
      <w:r w:rsidR="004263D8">
        <w:t xml:space="preserve">Figure </w:t>
      </w:r>
      <w:r w:rsidR="004263D8">
        <w:rPr>
          <w:noProof/>
        </w:rPr>
        <w:t>30</w:t>
      </w:r>
      <w:r w:rsidR="006F2948">
        <w:fldChar w:fldCharType="end"/>
      </w:r>
      <w:r w:rsidR="006F2948">
        <w:t>)</w:t>
      </w:r>
      <w:r w:rsidR="008502A2">
        <w:t>.</w:t>
      </w:r>
    </w:p>
    <w:p w14:paraId="35F8B115" w14:textId="77777777" w:rsidR="00B1784C" w:rsidRDefault="00B1784C" w:rsidP="00B32BB9"/>
    <w:p w14:paraId="7AB5D58E" w14:textId="77777777" w:rsidR="00B1784C" w:rsidRDefault="00B1784C" w:rsidP="00B1784C">
      <w:pPr>
        <w:pStyle w:val="BodyText"/>
        <w:spacing w:after="240"/>
        <w:rPr>
          <w:rFonts w:cstheme="minorHAnsi"/>
        </w:rPr>
      </w:pPr>
      <w:r>
        <w:rPr>
          <w:rFonts w:cstheme="minorHAnsi"/>
          <w:noProof/>
        </w:rPr>
        <w:drawing>
          <wp:inline distT="0" distB="0" distL="0" distR="0" wp14:anchorId="0E312A83" wp14:editId="250075D5">
            <wp:extent cx="5191125" cy="374074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209884" cy="3754262"/>
                    </a:xfrm>
                    <a:prstGeom prst="rect">
                      <a:avLst/>
                    </a:prstGeom>
                    <a:noFill/>
                    <a:ln>
                      <a:noFill/>
                    </a:ln>
                  </pic:spPr>
                </pic:pic>
              </a:graphicData>
            </a:graphic>
          </wp:inline>
        </w:drawing>
      </w:r>
    </w:p>
    <w:p w14:paraId="6ED3FBF2" w14:textId="40C4BDBB" w:rsidR="00500ADF" w:rsidRDefault="00245B4D" w:rsidP="00B64115">
      <w:pPr>
        <w:pStyle w:val="Caption"/>
      </w:pPr>
      <w:bookmarkStart w:id="143" w:name="_Ref170478955"/>
      <w:bookmarkStart w:id="144" w:name="_Toc47949181"/>
      <w:bookmarkStart w:id="145" w:name="_Toc73349361"/>
      <w:bookmarkStart w:id="146" w:name="_Toc189044987"/>
      <w:r>
        <w:t xml:space="preserve">Figure </w:t>
      </w:r>
      <w:fldSimple w:instr=" SEQ Figure \* ARABIC ">
        <w:r w:rsidR="004263D8">
          <w:rPr>
            <w:noProof/>
          </w:rPr>
          <w:t>30</w:t>
        </w:r>
      </w:fldSimple>
      <w:bookmarkEnd w:id="143"/>
      <w:r w:rsidR="00B1784C">
        <w:t xml:space="preserve">. </w:t>
      </w:r>
      <w:bookmarkStart w:id="147" w:name="_Hlk171199197"/>
      <w:r w:rsidR="00B1784C">
        <w:t>Comparison of density estimates for Black teatfish (</w:t>
      </w:r>
      <w:r w:rsidR="00B1784C" w:rsidRPr="009858D3">
        <w:rPr>
          <w:i/>
          <w:iCs/>
        </w:rPr>
        <w:t>H. whitmaei</w:t>
      </w:r>
      <w:r w:rsidR="00B1784C">
        <w:t>) in preferred habitat from various studies/regions (see text for source references).</w:t>
      </w:r>
      <w:bookmarkEnd w:id="144"/>
      <w:bookmarkEnd w:id="145"/>
      <w:r w:rsidR="00B64115">
        <w:t xml:space="preserve"> </w:t>
      </w:r>
      <w:r w:rsidR="00500ADF">
        <w:t>Torres Strait mid and outer shelf reef “reef-top buffer” (</w:t>
      </w:r>
      <w:r w:rsidR="00EB54B1" w:rsidRPr="00EB54B1">
        <w:t>a 200 m wide buffer around the inside of the reef margin)</w:t>
      </w:r>
      <w:r w:rsidR="00EB54B1">
        <w:t xml:space="preserve"> (Murphy et al., 2021a)</w:t>
      </w:r>
      <w:r w:rsidR="00B64115">
        <w:t xml:space="preserve">. </w:t>
      </w:r>
      <w:r w:rsidR="00500ADF">
        <w:t>FAO “Natural density”: Densities above 12.5 per Ha represent a “natural density” in “suitable habitat” (Kinch et al., 2008).</w:t>
      </w:r>
      <w:r w:rsidR="00B64115">
        <w:t xml:space="preserve"> </w:t>
      </w:r>
      <w:r w:rsidR="00500ADF" w:rsidRPr="00500ADF">
        <w:t>Guidance from the Secretariat Pacific Community provides “rule of thumb” regional reference densities of 50 individuals per Ha for Black teatfish —estimated from the upper 25% of densities across 91 sites assessed in 17 countries over the period 2002–2012 (Pakoa et al., 2014).</w:t>
      </w:r>
      <w:r w:rsidR="00B64115">
        <w:t xml:space="preserve"> </w:t>
      </w:r>
      <w:r w:rsidR="00500ADF" w:rsidRPr="00500ADF">
        <w:t>“</w:t>
      </w:r>
      <w:r w:rsidR="00500ADF">
        <w:t>N</w:t>
      </w:r>
      <w:r w:rsidR="00500ADF" w:rsidRPr="00500ADF">
        <w:t xml:space="preserve">atural” density for Black teatfish in Western Australia include: 11.4 to 17.1 individuals/Ha </w:t>
      </w:r>
      <w:r w:rsidR="00500ADF">
        <w:t xml:space="preserve">(Ave 14) </w:t>
      </w:r>
      <w:r w:rsidR="00500ADF" w:rsidRPr="00500ADF">
        <w:t>in “habitats occupied by Black teatfish” and likely represents minimum natural population densities for Ningaloo Reef (Shiell and Knott, 2010).</w:t>
      </w:r>
      <w:r w:rsidR="00B64115">
        <w:t xml:space="preserve"> (After Murphy et al., 2021)</w:t>
      </w:r>
      <w:bookmarkEnd w:id="146"/>
    </w:p>
    <w:bookmarkEnd w:id="141"/>
    <w:bookmarkEnd w:id="147"/>
    <w:p w14:paraId="2A6FBF44" w14:textId="535FCF3A" w:rsidR="00892D6F" w:rsidRDefault="009A3274" w:rsidP="00A87F05">
      <w:pPr>
        <w:pStyle w:val="Heading3"/>
        <w:ind w:left="851" w:hanging="851"/>
      </w:pPr>
      <w:r>
        <w:t>White teatfish</w:t>
      </w:r>
    </w:p>
    <w:p w14:paraId="1D9DCF4C" w14:textId="1B7017AE" w:rsidR="009A3274" w:rsidRDefault="007F285D" w:rsidP="009A3274">
      <w:r>
        <w:t>Broadscale s</w:t>
      </w:r>
      <w:r w:rsidR="009A3274">
        <w:t xml:space="preserve">urveys for White teatfish </w:t>
      </w:r>
      <w:r>
        <w:t xml:space="preserve">in the QSCF </w:t>
      </w:r>
      <w:r w:rsidR="009A3274">
        <w:t>have not been carried out, but</w:t>
      </w:r>
      <w:r w:rsidR="00976BB7">
        <w:t xml:space="preserve"> one has been scoped (Koopman and Knuckey, 2021b) and</w:t>
      </w:r>
      <w:r w:rsidR="009A3274">
        <w:t xml:space="preserve"> </w:t>
      </w:r>
      <w:r w:rsidR="00976BB7">
        <w:t xml:space="preserve">scheduled </w:t>
      </w:r>
      <w:r w:rsidR="009A3274">
        <w:t xml:space="preserve">for </w:t>
      </w:r>
      <w:r w:rsidR="00976BB7">
        <w:t xml:space="preserve">2023-24 according to the HS (DAF, 2021a), and may occur in </w:t>
      </w:r>
      <w:r w:rsidR="00307961">
        <w:t>late 2024 (Queensland Fisheries, pers comm.)</w:t>
      </w:r>
      <w:r w:rsidR="009A3274">
        <w:t xml:space="preserve">. </w:t>
      </w:r>
    </w:p>
    <w:p w14:paraId="77C5E97C" w14:textId="1CACB0FC" w:rsidR="00475E25" w:rsidRDefault="00307961" w:rsidP="00E92BD9">
      <w:r>
        <w:t>An options paper was prepared to underpin future White teatfish surveys on the QSCF (</w:t>
      </w:r>
      <w:bookmarkStart w:id="148" w:name="_Hlk169867385"/>
      <w:r w:rsidRPr="00307961">
        <w:t>Koopman</w:t>
      </w:r>
      <w:r>
        <w:t xml:space="preserve"> and </w:t>
      </w:r>
      <w:r w:rsidRPr="00307961">
        <w:t>Knuckey, 2021</w:t>
      </w:r>
      <w:r w:rsidRPr="00307961">
        <w:rPr>
          <w:i/>
          <w:iCs/>
        </w:rPr>
        <w:t>b</w:t>
      </w:r>
      <w:bookmarkEnd w:id="148"/>
      <w:r>
        <w:t>)</w:t>
      </w:r>
      <w:r w:rsidRPr="00307961">
        <w:t xml:space="preserve">. </w:t>
      </w:r>
      <w:r>
        <w:t xml:space="preserve">They also used available spatial fishery data and expert opinion from fishers at the time to delineate likely White teatfish habitat in the area of the fishery. </w:t>
      </w:r>
      <w:r w:rsidR="00475E25">
        <w:t xml:space="preserve">They provided a protocol for delineating </w:t>
      </w:r>
      <w:r w:rsidR="00475E25">
        <w:lastRenderedPageBreak/>
        <w:t>deepwater White teatfish habitat, options for surveying with underwater video (ROV, drop cameras and AUVs), and optimal sample design.</w:t>
      </w:r>
      <w:r w:rsidR="00E53D8A">
        <w:t xml:space="preserve"> Surveying a deep and dispersed species </w:t>
      </w:r>
      <w:r w:rsidR="00E92BD9">
        <w:t xml:space="preserve">such as this is challenging, however, developing deep water remote surveying techniques show some promise for carrying out efficient and effective population surveys of White teatfish. </w:t>
      </w:r>
    </w:p>
    <w:p w14:paraId="2DAD9B53" w14:textId="445C2958" w:rsidR="00610553" w:rsidRDefault="00976BB7" w:rsidP="00E92BD9">
      <w:r>
        <w:t>T</w:t>
      </w:r>
      <w:r w:rsidR="00610553">
        <w:t xml:space="preserve">he preferred </w:t>
      </w:r>
      <w:r>
        <w:t xml:space="preserve">options include those </w:t>
      </w:r>
      <w:r w:rsidR="00610553">
        <w:t xml:space="preserve">focused on </w:t>
      </w:r>
      <w:r>
        <w:t xml:space="preserve">primary </w:t>
      </w:r>
      <w:r w:rsidR="00610553">
        <w:t>White tea</w:t>
      </w:r>
      <w:r w:rsidR="008D72BA">
        <w:t>t</w:t>
      </w:r>
      <w:r w:rsidR="00610553">
        <w:t>fish habitat in the norther</w:t>
      </w:r>
      <w:r>
        <w:t>n</w:t>
      </w:r>
      <w:r w:rsidR="00610553">
        <w:t xml:space="preserve"> GBR</w:t>
      </w:r>
      <w:r>
        <w:t xml:space="preserve">, including deeper </w:t>
      </w:r>
      <w:r w:rsidR="00335F4A">
        <w:t>water habitats</w:t>
      </w:r>
      <w:r w:rsidR="00610553">
        <w:t xml:space="preserve"> called “sinkies”. </w:t>
      </w:r>
    </w:p>
    <w:p w14:paraId="477B21EA" w14:textId="54879DC8" w:rsidR="007F285D" w:rsidRPr="00335F4A" w:rsidRDefault="007F285D" w:rsidP="004B6C75">
      <w:pPr>
        <w:rPr>
          <w:i/>
          <w:iCs/>
          <w:u w:val="single"/>
        </w:rPr>
      </w:pPr>
      <w:r w:rsidRPr="00335F4A">
        <w:rPr>
          <w:i/>
          <w:iCs/>
          <w:u w:val="single"/>
        </w:rPr>
        <w:t>Marion and Saumarez Reefs, 2017</w:t>
      </w:r>
    </w:p>
    <w:p w14:paraId="14F2C0CB" w14:textId="3080F469" w:rsidR="004B6C75" w:rsidRDefault="00062088" w:rsidP="004B6C75">
      <w:r w:rsidRPr="00062088">
        <w:t xml:space="preserve">A sea cucumber survey on eight different reefs in the Coral Sea was carried out in 2017, which included Marion and Saumarez Reefs (Skewes and Persson, 2017). It found </w:t>
      </w:r>
      <w:r w:rsidR="002F31AB">
        <w:t xml:space="preserve">the </w:t>
      </w:r>
      <w:r w:rsidRPr="00062088">
        <w:t>overall reef densit</w:t>
      </w:r>
      <w:r w:rsidR="002F31AB">
        <w:t>y</w:t>
      </w:r>
      <w:r w:rsidRPr="00062088">
        <w:t xml:space="preserve"> </w:t>
      </w:r>
      <w:r w:rsidR="004B6C75">
        <w:t xml:space="preserve">of White teatfish on </w:t>
      </w:r>
      <w:r w:rsidRPr="00062088">
        <w:t xml:space="preserve">Marion </w:t>
      </w:r>
      <w:r w:rsidR="004B6C75">
        <w:t>Reef</w:t>
      </w:r>
      <w:r w:rsidR="002F31AB">
        <w:t xml:space="preserve"> was only 0.04</w:t>
      </w:r>
      <w:r w:rsidR="002F31AB" w:rsidRPr="00062088">
        <w:t xml:space="preserve"> </w:t>
      </w:r>
      <w:r w:rsidR="002F31AB">
        <w:t xml:space="preserve">per </w:t>
      </w:r>
      <w:r w:rsidR="000E0509">
        <w:t>h</w:t>
      </w:r>
      <w:r w:rsidR="002F31AB">
        <w:t>a</w:t>
      </w:r>
      <w:r w:rsidR="004B6C75">
        <w:t xml:space="preserve">, and White teatfish were not observed at all on </w:t>
      </w:r>
      <w:r w:rsidRPr="00062088">
        <w:t>Saumarez Reef</w:t>
      </w:r>
      <w:r w:rsidR="004B6C75">
        <w:t xml:space="preserve">. However, they did note that the survey was restricted </w:t>
      </w:r>
      <w:r w:rsidR="008D72BA">
        <w:t xml:space="preserve">to </w:t>
      </w:r>
      <w:r w:rsidR="004B6C75">
        <w:t>20 m</w:t>
      </w:r>
      <w:r w:rsidR="002F31AB">
        <w:t xml:space="preserve"> water depth</w:t>
      </w:r>
      <w:r w:rsidR="004B6C75">
        <w:t xml:space="preserve">, therefore the potential for </w:t>
      </w:r>
      <w:r w:rsidR="002F31AB">
        <w:t>W</w:t>
      </w:r>
      <w:r w:rsidR="004B6C75">
        <w:t xml:space="preserve">hite teatfish </w:t>
      </w:r>
      <w:r w:rsidR="002F31AB">
        <w:t xml:space="preserve">populations </w:t>
      </w:r>
      <w:r w:rsidR="004B6C75">
        <w:t>in deeper water could not be excluded. Indeed, the predominance of White teatfish in the catch of a FFV on Saumarez Reef</w:t>
      </w:r>
      <w:r w:rsidR="002F31AB">
        <w:t xml:space="preserve"> (Skewes, 2017)</w:t>
      </w:r>
      <w:r w:rsidR="004B6C75">
        <w:t xml:space="preserve">, together with the extensive areas of deep lagoon habitat in the 20 to 40 m depth range </w:t>
      </w:r>
      <w:r w:rsidR="002F31AB">
        <w:t xml:space="preserve">(Skewes and Persson, 2017) </w:t>
      </w:r>
      <w:r w:rsidR="004B6C75">
        <w:t xml:space="preserve">that may provide suitable habitat for a deep-water species such as White teatfish. Even so, they considered that the shallower habitats at least have been depleted, either by </w:t>
      </w:r>
      <w:r w:rsidR="002F31AB">
        <w:t>QSCF (55.8 t caught between 2000 and August 2021)</w:t>
      </w:r>
      <w:r w:rsidR="004B6C75">
        <w:t>, FFV</w:t>
      </w:r>
      <w:r w:rsidR="002F31AB">
        <w:t xml:space="preserve"> (probably 20 t or more in </w:t>
      </w:r>
      <w:r w:rsidR="00015048">
        <w:t>2016-</w:t>
      </w:r>
      <w:r w:rsidR="002F31AB">
        <w:t>17)</w:t>
      </w:r>
      <w:r w:rsidR="004B6C75">
        <w:t>, or a combination of the two.</w:t>
      </w:r>
    </w:p>
    <w:p w14:paraId="37BC5061" w14:textId="77777777" w:rsidR="005F3C7F" w:rsidRPr="00915689" w:rsidRDefault="005F3C7F" w:rsidP="005F3C7F">
      <w:pPr>
        <w:pStyle w:val="Heading2"/>
      </w:pPr>
      <w:bookmarkStart w:id="149" w:name="_Toc189044941"/>
      <w:r w:rsidRPr="00915689">
        <w:t>Catch per unit effort (CPUE)</w:t>
      </w:r>
      <w:bookmarkEnd w:id="149"/>
    </w:p>
    <w:p w14:paraId="4E646AE9" w14:textId="7C245AE7" w:rsidR="005F3C7F" w:rsidRDefault="005F3C7F" w:rsidP="005F3C7F">
      <w:r>
        <w:t xml:space="preserve">There are several limitations with respect to using catch per unit effort (CPUE) as a proxy for density/abundance for sea cucumber fisheries, including (but not limited to) hyperstability, differential targeting, spatial and habitat variations, and changes in fisher effort efficiency. </w:t>
      </w:r>
      <w:r w:rsidR="00564221">
        <w:t xml:space="preserve">This is especially true for White teatfish where the prospecting for new fishing grounds in the northern GBR deep “paddock” habitat by fishers has the potential to maintain catch rates. </w:t>
      </w:r>
      <w:r>
        <w:t xml:space="preserve">However, it is still likely that reduced fishery density/abundance </w:t>
      </w:r>
      <w:r w:rsidR="0068545D">
        <w:t xml:space="preserve">will </w:t>
      </w:r>
      <w:r>
        <w:t>re</w:t>
      </w:r>
      <w:r w:rsidR="0068545D">
        <w:t>sult in a</w:t>
      </w:r>
      <w:r>
        <w:t xml:space="preserve"> reduction in CPUE, especially over the long term</w:t>
      </w:r>
      <w:r w:rsidR="0068545D">
        <w:t xml:space="preserve"> (Uthicke, 2004)</w:t>
      </w:r>
      <w:r>
        <w:t xml:space="preserve">. </w:t>
      </w:r>
    </w:p>
    <w:p w14:paraId="54F914D2" w14:textId="35001210" w:rsidR="005F3C7F" w:rsidRDefault="005F3C7F" w:rsidP="005F3C7F">
      <w:pPr>
        <w:pStyle w:val="Heading3"/>
      </w:pPr>
      <w:r>
        <w:t>Black teatfish</w:t>
      </w:r>
    </w:p>
    <w:p w14:paraId="5ED9A469" w14:textId="722BE3B3" w:rsidR="00340050" w:rsidRDefault="005F3C7F" w:rsidP="005F3C7F">
      <w:r>
        <w:t xml:space="preserve">Catch per vessel per day of </w:t>
      </w:r>
      <w:r w:rsidR="0068545D">
        <w:t>Black teatfish</w:t>
      </w:r>
      <w:r>
        <w:t xml:space="preserve"> over the period 1995-</w:t>
      </w:r>
      <w:r w:rsidR="0068545D">
        <w:t xml:space="preserve">96 </w:t>
      </w:r>
      <w:r>
        <w:t xml:space="preserve">shows two distinct periods – one from 1995/96 to </w:t>
      </w:r>
      <w:r w:rsidR="0068545D">
        <w:t>when the fishery was closed in October 1999 from about 300 kg/vessel/day to about 50 kg/vessel/day</w:t>
      </w:r>
      <w:r w:rsidR="00340050">
        <w:t xml:space="preserve"> (</w:t>
      </w:r>
      <w:fldSimple w:instr=" REF _Ref151553854 ">
        <w:r w:rsidR="004263D8">
          <w:t xml:space="preserve">Figure </w:t>
        </w:r>
        <w:r w:rsidR="004263D8">
          <w:rPr>
            <w:noProof/>
          </w:rPr>
          <w:t>31</w:t>
        </w:r>
      </w:fldSimple>
      <w:r w:rsidR="00340050">
        <w:t>) being one of the main reasons that the fishery was closed (Uthicke, 2004)</w:t>
      </w:r>
      <w:r w:rsidR="0068545D">
        <w:t xml:space="preserve">. </w:t>
      </w:r>
      <w:r w:rsidR="00340050">
        <w:t>Catch rates after the fishery was reopened in 2019 has increased from about 150 kg/vessel/day to over 200 kg/vessel/day . Some logbook records also record hours fished, presumably as the addition of all diver hours in all tender vessels for that day. This data showed a very similar pattern to the catch per vessel per day output (</w:t>
      </w:r>
      <w:fldSimple w:instr=" REF _Ref151553866 ">
        <w:r w:rsidR="004263D8">
          <w:t xml:space="preserve">Figure </w:t>
        </w:r>
        <w:r w:rsidR="004263D8">
          <w:rPr>
            <w:noProof/>
          </w:rPr>
          <w:t>32</w:t>
        </w:r>
      </w:fldSimple>
      <w:r w:rsidR="00340050">
        <w:t>).</w:t>
      </w:r>
      <w:r w:rsidR="00D94E61">
        <w:t xml:space="preserve"> </w:t>
      </w:r>
    </w:p>
    <w:p w14:paraId="5799957E" w14:textId="1B312460" w:rsidR="005F3C7F" w:rsidRDefault="00D94E61" w:rsidP="005F3C7F">
      <w:r>
        <w:t xml:space="preserve">A limitation with comparing the recent catch rates with earlier ones is that most of the recent fishing has occurred in the southern GBR, an area with likely lower natural density than the northern reefs that provided most of the early catch. </w:t>
      </w:r>
      <w:r w:rsidR="005F3C7F">
        <w:t xml:space="preserve">In any case, not withstanding the considerable limitations of this CPUE analysis to reflect actual stock status, </w:t>
      </w:r>
      <w:bookmarkStart w:id="150" w:name="_Hlk144455795"/>
      <w:r w:rsidR="005F3C7F">
        <w:t xml:space="preserve">there is no discernible downward trend in catch per vessel per day or catch per hr for </w:t>
      </w:r>
      <w:r>
        <w:t>Black teatfish</w:t>
      </w:r>
      <w:r w:rsidR="005F3C7F">
        <w:t xml:space="preserve"> in the QSCF</w:t>
      </w:r>
      <w:bookmarkEnd w:id="150"/>
      <w:r w:rsidR="005F3C7F">
        <w:t>.</w:t>
      </w:r>
    </w:p>
    <w:p w14:paraId="3A08F4E4" w14:textId="77777777" w:rsidR="005F3C7F" w:rsidRDefault="005F3C7F" w:rsidP="005F3C7F">
      <w:bookmarkStart w:id="151" w:name="_Ref143791257"/>
      <w:r>
        <w:rPr>
          <w:noProof/>
        </w:rPr>
        <w:lastRenderedPageBreak/>
        <w:drawing>
          <wp:inline distT="0" distB="0" distL="0" distR="0" wp14:anchorId="1004296E" wp14:editId="08DD1878">
            <wp:extent cx="5400000" cy="2864293"/>
            <wp:effectExtent l="0" t="0" r="0" b="0"/>
            <wp:docPr id="1913619440" name="Picture 4" descr="A graph with numbers and a blu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19440" name="Picture 4" descr="A graph with numbers and a blue square&#10;&#10;Description automatically generated"/>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400000" cy="2864293"/>
                    </a:xfrm>
                    <a:prstGeom prst="rect">
                      <a:avLst/>
                    </a:prstGeom>
                    <a:noFill/>
                  </pic:spPr>
                </pic:pic>
              </a:graphicData>
            </a:graphic>
          </wp:inline>
        </w:drawing>
      </w:r>
    </w:p>
    <w:p w14:paraId="04A79ACF" w14:textId="711A7A83" w:rsidR="005F3C7F" w:rsidRDefault="005F3C7F" w:rsidP="005F3C7F">
      <w:pPr>
        <w:pStyle w:val="Caption"/>
      </w:pPr>
      <w:bookmarkStart w:id="152" w:name="_Ref151553854"/>
      <w:bookmarkStart w:id="153" w:name="_Toc189044988"/>
      <w:r>
        <w:t xml:space="preserve">Figure </w:t>
      </w:r>
      <w:fldSimple w:instr=" SEQ Figure \* ARABIC ">
        <w:r w:rsidR="004263D8">
          <w:rPr>
            <w:noProof/>
          </w:rPr>
          <w:t>31</w:t>
        </w:r>
      </w:fldSimple>
      <w:bookmarkEnd w:id="151"/>
      <w:bookmarkEnd w:id="152"/>
      <w:r>
        <w:t>. Annualised average catch per day (kg/d) of Black teatfish for the period 1995-96 to 2022-23 for vessels fishing in the QSCF on days when Black teatfish occurred in the catch (C=species closed to fishing) (QSCF vessel logbook and buyer returns data).</w:t>
      </w:r>
      <w:bookmarkEnd w:id="153"/>
      <w:r>
        <w:t xml:space="preserve"> </w:t>
      </w:r>
    </w:p>
    <w:p w14:paraId="2CEAB1B8" w14:textId="77777777" w:rsidR="005F3C7F" w:rsidRDefault="005F3C7F" w:rsidP="005F3C7F">
      <w:bookmarkStart w:id="154" w:name="_Ref144427475"/>
      <w:r>
        <w:rPr>
          <w:noProof/>
        </w:rPr>
        <w:drawing>
          <wp:inline distT="0" distB="0" distL="0" distR="0" wp14:anchorId="09C455A0" wp14:editId="511E0CC7">
            <wp:extent cx="666750" cy="2863635"/>
            <wp:effectExtent l="0" t="0" r="0" b="0"/>
            <wp:docPr id="1913416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cstate="print">
                      <a:extLst>
                        <a:ext uri="{28A0092B-C50C-407E-A947-70E740481C1C}">
                          <a14:useLocalDpi xmlns:a14="http://schemas.microsoft.com/office/drawing/2010/main"/>
                        </a:ext>
                      </a:extLst>
                    </a:blip>
                    <a:srcRect l="2468" r="85181"/>
                    <a:stretch/>
                  </pic:blipFill>
                  <pic:spPr bwMode="auto">
                    <a:xfrm>
                      <a:off x="0" y="0"/>
                      <a:ext cx="666903" cy="28642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E9D1A8" wp14:editId="73C7C002">
            <wp:extent cx="5400000" cy="2859159"/>
            <wp:effectExtent l="0" t="0" r="0" b="0"/>
            <wp:docPr id="657272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400000" cy="2859159"/>
                    </a:xfrm>
                    <a:prstGeom prst="rect">
                      <a:avLst/>
                    </a:prstGeom>
                    <a:noFill/>
                  </pic:spPr>
                </pic:pic>
              </a:graphicData>
            </a:graphic>
          </wp:inline>
        </w:drawing>
      </w:r>
    </w:p>
    <w:p w14:paraId="42B0B45D" w14:textId="3787186D" w:rsidR="005F3C7F" w:rsidRDefault="005F3C7F" w:rsidP="005F3C7F">
      <w:pPr>
        <w:pStyle w:val="Caption"/>
      </w:pPr>
      <w:bookmarkStart w:id="155" w:name="_Ref151553866"/>
      <w:bookmarkStart w:id="156" w:name="_Toc189044989"/>
      <w:r>
        <w:t xml:space="preserve">Figure </w:t>
      </w:r>
      <w:fldSimple w:instr=" SEQ Figure \* ARABIC ">
        <w:r w:rsidR="004263D8">
          <w:rPr>
            <w:noProof/>
          </w:rPr>
          <w:t>32</w:t>
        </w:r>
      </w:fldSimple>
      <w:bookmarkEnd w:id="154"/>
      <w:bookmarkEnd w:id="155"/>
      <w:r>
        <w:t>. Annualised average catch per hour (kg/hr) of Black teatfish for the period 1995-96 to 2022-23 for vessels fishing in the QSCF on days when Black teatfish occurred in the catch (C=species closed to fishing) (QSCF vessel logbook and buyer returns data) Note: 1995-96 is on a different scale.</w:t>
      </w:r>
      <w:bookmarkEnd w:id="156"/>
    </w:p>
    <w:p w14:paraId="1505C63E" w14:textId="77777777" w:rsidR="005F3C7F" w:rsidRDefault="005F3C7F" w:rsidP="00B32BB9"/>
    <w:p w14:paraId="283481E9" w14:textId="080A1287" w:rsidR="005F3C7F" w:rsidRPr="00915689" w:rsidRDefault="005F3C7F" w:rsidP="005F3C7F">
      <w:pPr>
        <w:pStyle w:val="Heading3"/>
      </w:pPr>
      <w:r>
        <w:t>White teatfish</w:t>
      </w:r>
    </w:p>
    <w:p w14:paraId="0C51B829" w14:textId="28EFFB13" w:rsidR="00D94E61" w:rsidRDefault="00D94E61" w:rsidP="00D94E61">
      <w:r>
        <w:t xml:space="preserve">Catch per vessel per day of White teatfish over the period 1995-96 to 2023-24 shows a steady increase to </w:t>
      </w:r>
      <w:r w:rsidR="001E194F">
        <w:t xml:space="preserve">nearly 350 kg/vessel/day in 2009-10 and then a plateau and gradual decline </w:t>
      </w:r>
      <w:r w:rsidR="008D72BA">
        <w:t>to</w:t>
      </w:r>
      <w:r w:rsidR="001E194F">
        <w:t xml:space="preserve"> about 200 kg/vessel/day (</w:t>
      </w:r>
      <w:fldSimple w:instr=" REF _Ref151553955 ">
        <w:r w:rsidR="004263D8">
          <w:t xml:space="preserve">Figure </w:t>
        </w:r>
        <w:r w:rsidR="004263D8">
          <w:rPr>
            <w:noProof/>
          </w:rPr>
          <w:t>33</w:t>
        </w:r>
      </w:fldSimple>
      <w:r w:rsidR="001E194F">
        <w:t>).</w:t>
      </w:r>
      <w:r>
        <w:t xml:space="preserve"> Some logbook records also record hours fished, presumably as the additional of all diver hours in all tender vessels for that day. This data showed a similar pattern to the catch per vessel per day output (</w:t>
      </w:r>
      <w:r w:rsidR="001E194F">
        <w:fldChar w:fldCharType="begin"/>
      </w:r>
      <w:r w:rsidR="001E194F">
        <w:instrText xml:space="preserve"> REF _Ref170416762 \h </w:instrText>
      </w:r>
      <w:r w:rsidR="001E194F">
        <w:fldChar w:fldCharType="separate"/>
      </w:r>
      <w:r w:rsidR="004263D8">
        <w:t xml:space="preserve">Figure </w:t>
      </w:r>
      <w:r w:rsidR="004263D8">
        <w:rPr>
          <w:noProof/>
        </w:rPr>
        <w:t>34</w:t>
      </w:r>
      <w:r w:rsidR="001E194F">
        <w:fldChar w:fldCharType="end"/>
      </w:r>
      <w:r w:rsidR="001E194F">
        <w:t>) but with an earlier peak in 2006-07, and a more gradual decline to current levels.</w:t>
      </w:r>
      <w:r>
        <w:t xml:space="preserve"> </w:t>
      </w:r>
    </w:p>
    <w:p w14:paraId="3612BEAF" w14:textId="3B5FC13B" w:rsidR="00D94E61" w:rsidRDefault="001E194F" w:rsidP="00D94E61">
      <w:r>
        <w:lastRenderedPageBreak/>
        <w:t xml:space="preserve">This slight decline in catch rates may be a cause for some caution, especially given the reports of fishers prospecting for new unfished habitats in northern GBR (Koopman and Knuckey, 2021) that may contribute to catch rate hyperstability. </w:t>
      </w:r>
      <w:r w:rsidR="005C06A1">
        <w:t xml:space="preserve">On the other </w:t>
      </w:r>
      <w:r w:rsidR="00784F59">
        <w:t>hand,</w:t>
      </w:r>
      <w:r w:rsidR="005C06A1">
        <w:t xml:space="preserve"> the </w:t>
      </w:r>
      <w:r>
        <w:t xml:space="preserve">catch per hour data is </w:t>
      </w:r>
      <w:r w:rsidR="00784F59">
        <w:t>somewhat</w:t>
      </w:r>
      <w:r>
        <w:t xml:space="preserve"> encouraging. </w:t>
      </w:r>
    </w:p>
    <w:p w14:paraId="74FF65A7" w14:textId="77777777" w:rsidR="005F3C7F" w:rsidRDefault="005F3C7F" w:rsidP="005F3C7F"/>
    <w:p w14:paraId="04EBBFDB" w14:textId="77777777" w:rsidR="005F3C7F" w:rsidRDefault="005F3C7F" w:rsidP="005F3C7F">
      <w:r>
        <w:rPr>
          <w:noProof/>
        </w:rPr>
        <w:drawing>
          <wp:inline distT="0" distB="0" distL="0" distR="0" wp14:anchorId="52AFE5A8" wp14:editId="06C5F800">
            <wp:extent cx="5429613" cy="2880000"/>
            <wp:effectExtent l="0" t="0" r="0" b="0"/>
            <wp:docPr id="1743748487" name="Picture 5"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48487" name="Picture 5" descr="A graph of a number of years&#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429613" cy="2880000"/>
                    </a:xfrm>
                    <a:prstGeom prst="rect">
                      <a:avLst/>
                    </a:prstGeom>
                    <a:noFill/>
                  </pic:spPr>
                </pic:pic>
              </a:graphicData>
            </a:graphic>
          </wp:inline>
        </w:drawing>
      </w:r>
    </w:p>
    <w:p w14:paraId="632BD9F2" w14:textId="77FD52CF" w:rsidR="005F3C7F" w:rsidRDefault="005F3C7F" w:rsidP="005F3C7F">
      <w:pPr>
        <w:pStyle w:val="Caption"/>
      </w:pPr>
      <w:bookmarkStart w:id="157" w:name="_Ref151553955"/>
      <w:bookmarkStart w:id="158" w:name="_Toc189044990"/>
      <w:r>
        <w:t xml:space="preserve">Figure </w:t>
      </w:r>
      <w:fldSimple w:instr=" SEQ Figure \* ARABIC ">
        <w:r w:rsidR="004263D8">
          <w:rPr>
            <w:noProof/>
          </w:rPr>
          <w:t>33</w:t>
        </w:r>
      </w:fldSimple>
      <w:bookmarkEnd w:id="157"/>
      <w:r>
        <w:t>. Annualised average catch per data (kg/d) of White teatfish for the period 1995-96 to 2022-23 for vessels fishing in the QSCF on days (and years) when teatfish occurred in the catch (QSCF vessel logbook and buyer returns data).</w:t>
      </w:r>
      <w:bookmarkEnd w:id="158"/>
    </w:p>
    <w:p w14:paraId="24550B42" w14:textId="77777777" w:rsidR="005F3C7F" w:rsidRDefault="005F3C7F" w:rsidP="005F3C7F">
      <w:r>
        <w:rPr>
          <w:noProof/>
        </w:rPr>
        <w:drawing>
          <wp:inline distT="0" distB="0" distL="0" distR="0" wp14:anchorId="3F6D3EED" wp14:editId="5524FB35">
            <wp:extent cx="5435346" cy="2880000"/>
            <wp:effectExtent l="0" t="0" r="0" b="0"/>
            <wp:docPr id="43623777" name="Picture 6" descr="A graph of a number of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3777" name="Picture 6" descr="A graph of a number of columns&#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435346" cy="2880000"/>
                    </a:xfrm>
                    <a:prstGeom prst="rect">
                      <a:avLst/>
                    </a:prstGeom>
                    <a:noFill/>
                  </pic:spPr>
                </pic:pic>
              </a:graphicData>
            </a:graphic>
          </wp:inline>
        </w:drawing>
      </w:r>
    </w:p>
    <w:p w14:paraId="6D9D9D7E" w14:textId="1BFACCE6" w:rsidR="005F3C7F" w:rsidRDefault="005F3C7F" w:rsidP="005F3C7F">
      <w:pPr>
        <w:pStyle w:val="Caption"/>
      </w:pPr>
      <w:bookmarkStart w:id="159" w:name="_Ref170416762"/>
      <w:bookmarkStart w:id="160" w:name="_Toc189044991"/>
      <w:r>
        <w:t xml:space="preserve">Figure </w:t>
      </w:r>
      <w:fldSimple w:instr=" SEQ Figure \* ARABIC ">
        <w:r w:rsidR="004263D8">
          <w:rPr>
            <w:noProof/>
          </w:rPr>
          <w:t>34</w:t>
        </w:r>
      </w:fldSimple>
      <w:bookmarkEnd w:id="159"/>
      <w:r>
        <w:t>. Annualised average catch per hour (kg/hr) of White teatfish for the period 1995-96 to 2022-23 for vessels fishing in the QSCF on days when White teatfish occurred in the catch (QSCF vessel logbook and buyer returns data).</w:t>
      </w:r>
      <w:bookmarkEnd w:id="160"/>
    </w:p>
    <w:p w14:paraId="37D912A5" w14:textId="77777777" w:rsidR="005F3C7F" w:rsidRDefault="005F3C7F" w:rsidP="00B32BB9"/>
    <w:p w14:paraId="48462A7F" w14:textId="59100E2E" w:rsidR="00DD488F" w:rsidRDefault="00634053" w:rsidP="008D08E6">
      <w:pPr>
        <w:pStyle w:val="Heading2"/>
        <w:ind w:left="851" w:hanging="851"/>
      </w:pPr>
      <w:bookmarkStart w:id="161" w:name="_Toc189044942"/>
      <w:r>
        <w:lastRenderedPageBreak/>
        <w:t>S</w:t>
      </w:r>
      <w:r w:rsidR="00DD488F">
        <w:t>tock assessments</w:t>
      </w:r>
      <w:bookmarkEnd w:id="161"/>
    </w:p>
    <w:p w14:paraId="760DCFF9" w14:textId="25537753" w:rsidR="00892D6F" w:rsidRDefault="009A3274" w:rsidP="00A87F05">
      <w:pPr>
        <w:pStyle w:val="Heading3"/>
        <w:ind w:left="851" w:hanging="851"/>
      </w:pPr>
      <w:r>
        <w:t>Black teatfish</w:t>
      </w:r>
    </w:p>
    <w:p w14:paraId="38DD4F06" w14:textId="000714D7" w:rsidR="00DF5687" w:rsidRDefault="006B60AF" w:rsidP="00135332">
      <w:r>
        <w:t xml:space="preserve">A </w:t>
      </w:r>
      <w:r w:rsidR="009A3274">
        <w:t xml:space="preserve">numeric stock assessment of Black teatfish in the QSCF </w:t>
      </w:r>
      <w:r>
        <w:t xml:space="preserve">was carried out in 2021 </w:t>
      </w:r>
      <w:r w:rsidR="009A3274">
        <w:t>(</w:t>
      </w:r>
      <w:r w:rsidR="009A3274" w:rsidRPr="00C0716D">
        <w:t>Helidoniotis, 2021a</w:t>
      </w:r>
      <w:r w:rsidR="009A3274">
        <w:t xml:space="preserve">). </w:t>
      </w:r>
      <w:r w:rsidR="00BC1E1A">
        <w:t>It was based on an a</w:t>
      </w:r>
      <w:r w:rsidR="00DF5687" w:rsidRPr="00DF5687">
        <w:t>ge structured surplus production model with annual time steps.</w:t>
      </w:r>
      <w:r w:rsidR="00DF5687">
        <w:t xml:space="preserve"> </w:t>
      </w:r>
      <w:r w:rsidR="00BC1E1A">
        <w:t xml:space="preserve">It also incorporated </w:t>
      </w:r>
      <w:r w:rsidR="00813427">
        <w:t xml:space="preserve">(perhaps uniquely) </w:t>
      </w:r>
      <w:r w:rsidR="00BC1E1A">
        <w:t>catch estimates for the early fishery (see above and Uthicke 2004a)</w:t>
      </w:r>
      <w:r w:rsidR="00813427">
        <w:t xml:space="preserve">, and </w:t>
      </w:r>
      <w:r w:rsidR="006E7CB4">
        <w:t xml:space="preserve">incorporated </w:t>
      </w:r>
      <w:r w:rsidR="00813427">
        <w:t xml:space="preserve">population estimates </w:t>
      </w:r>
      <w:r w:rsidR="00881B21">
        <w:t xml:space="preserve">from </w:t>
      </w:r>
      <w:r w:rsidR="006E7CB4">
        <w:t xml:space="preserve">the southern GBR </w:t>
      </w:r>
      <w:r w:rsidR="00881B21">
        <w:t xml:space="preserve">survey in </w:t>
      </w:r>
      <w:r w:rsidR="00813427">
        <w:t>2020 (Koopman and Knuckey, 2021</w:t>
      </w:r>
      <w:r w:rsidR="006E7CB4">
        <w:t>a</w:t>
      </w:r>
      <w:r w:rsidR="00813427">
        <w:t xml:space="preserve">). </w:t>
      </w:r>
    </w:p>
    <w:p w14:paraId="5916F414" w14:textId="3419C1D5" w:rsidR="006B60AF" w:rsidRDefault="00DD34CA" w:rsidP="00736592">
      <w:r>
        <w:t>The starting biomass in 1877, according to the stock assessment model, was 15</w:t>
      </w:r>
      <w:r w:rsidR="006E7CB4">
        <w:t>,</w:t>
      </w:r>
      <w:r>
        <w:t xml:space="preserve">709 t (live weight), and </w:t>
      </w:r>
      <w:r w:rsidR="00F37A72">
        <w:t>it</w:t>
      </w:r>
      <w:r w:rsidR="00DF5687">
        <w:t xml:space="preserve"> e</w:t>
      </w:r>
      <w:r w:rsidR="00DF5687" w:rsidRPr="00DF5687">
        <w:t xml:space="preserve">stimated the </w:t>
      </w:r>
      <w:r>
        <w:t xml:space="preserve">2021 </w:t>
      </w:r>
      <w:r w:rsidR="00DF5687" w:rsidRPr="00DF5687">
        <w:t xml:space="preserve">biomass </w:t>
      </w:r>
      <w:r>
        <w:t xml:space="preserve">was </w:t>
      </w:r>
      <w:r w:rsidR="00DF5687" w:rsidRPr="00DF5687">
        <w:t>between 40% and 42% of unfished biomass</w:t>
      </w:r>
      <w:r w:rsidR="00784F59">
        <w:t xml:space="preserve"> (B</w:t>
      </w:r>
      <w:r w:rsidR="00784F59" w:rsidRPr="00784F59">
        <w:rPr>
          <w:vertAlign w:val="subscript"/>
        </w:rPr>
        <w:t>0</w:t>
      </w:r>
      <w:r w:rsidR="00784F59">
        <w:t>)</w:t>
      </w:r>
      <w:r w:rsidR="006E7CB4">
        <w:t xml:space="preserve">. </w:t>
      </w:r>
      <w:r w:rsidR="00736592">
        <w:t>The exploitable biomass ratio in 2021 was 40%</w:t>
      </w:r>
      <w:r w:rsidR="00784F59">
        <w:t xml:space="preserve"> B</w:t>
      </w:r>
      <w:r w:rsidR="00784F59" w:rsidRPr="00784F59">
        <w:rPr>
          <w:vertAlign w:val="subscript"/>
        </w:rPr>
        <w:t>0</w:t>
      </w:r>
      <w:r w:rsidR="00736592">
        <w:t xml:space="preserve"> relative to 1877.</w:t>
      </w:r>
    </w:p>
    <w:p w14:paraId="72F79242" w14:textId="050AFA33" w:rsidR="00F37A72" w:rsidRDefault="00F37A72" w:rsidP="00F37A72">
      <w:r>
        <w:t xml:space="preserve">An externally initiated review of the assessment outlined several issues with respect to model parameters and the treatment of uncertainty, bringing into question the reliability of the outputs (DAWE, 2021, unpublished peer review report). In addition, there are incongruities between the </w:t>
      </w:r>
      <w:r w:rsidRPr="00F35331">
        <w:t xml:space="preserve">population </w:t>
      </w:r>
      <w:r w:rsidR="007A2BE8">
        <w:t xml:space="preserve">depletion </w:t>
      </w:r>
      <w:r w:rsidRPr="00F35331">
        <w:t>estimate</w:t>
      </w:r>
      <w:r w:rsidR="007A2BE8">
        <w:t>s</w:t>
      </w:r>
      <w:r w:rsidRPr="00F35331">
        <w:t xml:space="preserve"> from 1999 (indicating stocks at 45% </w:t>
      </w:r>
      <w:r w:rsidR="00784F59">
        <w:t>B</w:t>
      </w:r>
      <w:r w:rsidR="00784F59" w:rsidRPr="00784F59">
        <w:rPr>
          <w:vertAlign w:val="subscript"/>
        </w:rPr>
        <w:t>0</w:t>
      </w:r>
      <w:r w:rsidRPr="00F35331">
        <w:t>) compared to the stock assessment model (indicating stocks at 40-42%</w:t>
      </w:r>
      <w:r w:rsidR="00784F59">
        <w:t xml:space="preserve"> B</w:t>
      </w:r>
      <w:r w:rsidR="00784F59" w:rsidRPr="00784F59">
        <w:rPr>
          <w:vertAlign w:val="subscript"/>
        </w:rPr>
        <w:t>0</w:t>
      </w:r>
      <w:r w:rsidRPr="00F35331">
        <w:t xml:space="preserve"> unfished biomass</w:t>
      </w:r>
      <w:r w:rsidR="007A2BE8">
        <w:t xml:space="preserve">, and very little depletion from the fishing pulse in the late 1990s) which </w:t>
      </w:r>
      <w:r w:rsidRPr="00F35331">
        <w:t>raise</w:t>
      </w:r>
      <w:r w:rsidR="007A2BE8">
        <w:t>d</w:t>
      </w:r>
      <w:r w:rsidRPr="00F35331">
        <w:t xml:space="preserve"> </w:t>
      </w:r>
      <w:r w:rsidR="007A2BE8">
        <w:t xml:space="preserve">further </w:t>
      </w:r>
      <w:r w:rsidRPr="00F35331">
        <w:t xml:space="preserve">questions about </w:t>
      </w:r>
      <w:r w:rsidR="007A2BE8">
        <w:t xml:space="preserve">the model outputs, especially the </w:t>
      </w:r>
      <w:r w:rsidRPr="00F35331">
        <w:t xml:space="preserve">recovery following the </w:t>
      </w:r>
      <w:r w:rsidR="007A2BE8">
        <w:t>B</w:t>
      </w:r>
      <w:r w:rsidRPr="00F35331">
        <w:t xml:space="preserve">lack </w:t>
      </w:r>
      <w:r w:rsidR="007A2BE8">
        <w:t>t</w:t>
      </w:r>
      <w:r w:rsidRPr="00F35331">
        <w:t xml:space="preserve">eatfish closure </w:t>
      </w:r>
      <w:r w:rsidR="007A2BE8">
        <w:t>(</w:t>
      </w:r>
      <w:r>
        <w:t>DAWE, 2021</w:t>
      </w:r>
      <w:r w:rsidR="007A2BE8">
        <w:t xml:space="preserve">). </w:t>
      </w:r>
    </w:p>
    <w:p w14:paraId="0AFCE4D1" w14:textId="75EA2738" w:rsidR="00270524" w:rsidRDefault="001F711F" w:rsidP="009A3274">
      <w:bookmarkStart w:id="162" w:name="_Hlk170118627"/>
      <w:r>
        <w:t xml:space="preserve">The use of the early fishery data is </w:t>
      </w:r>
      <w:r w:rsidR="00270524">
        <w:t xml:space="preserve">somewhat </w:t>
      </w:r>
      <w:r>
        <w:t xml:space="preserve">problematic in the sense that it is actually very uncertain how much Black teatfish was caught in the early fishery – due to a lack of species level differentiation in catch statistics, the units recorded (data for 1901 to 1940 is primarily reported as value of exports, requiring a “value” type conversion) and the high likelihood of product form outside the area of the QSCF contributing to the catch. It is not known what the impact of the assumptions used has on the final outputs of the stock assessment. </w:t>
      </w:r>
      <w:bookmarkEnd w:id="162"/>
      <w:r>
        <w:t xml:space="preserve">While </w:t>
      </w:r>
      <w:r w:rsidR="00270524">
        <w:t xml:space="preserve">early </w:t>
      </w:r>
      <w:r>
        <w:t xml:space="preserve">catch is uncertain, it is very likely that Black teatfish was heavily depleted in the QSCF area (as a high value species accessible by free divers), perhaps multiple times in the past. There are likely other approaches available to represent this early depletion in a stock assessment model that would be more robust than what is applied in the 2021 assessment - these should be investigated. </w:t>
      </w:r>
    </w:p>
    <w:p w14:paraId="400F2960" w14:textId="7779324C" w:rsidR="001F711F" w:rsidRDefault="001F711F" w:rsidP="009A3274">
      <w:r>
        <w:t xml:space="preserve">Nonetheless, the current estimate of biomass from the 2021 assessment </w:t>
      </w:r>
      <w:r w:rsidR="008D72BA">
        <w:t xml:space="preserve">is </w:t>
      </w:r>
      <w:r>
        <w:t xml:space="preserve">substantially below the target population level of the HS, therefore the current catch TAC should be framed in terms of fishing a recovering population. </w:t>
      </w:r>
      <w:r w:rsidR="009A39EA">
        <w:t xml:space="preserve">In </w:t>
      </w:r>
      <w:r w:rsidR="00270524">
        <w:t>fact,</w:t>
      </w:r>
      <w:r w:rsidR="009A39EA">
        <w:t xml:space="preserve"> the stock model </w:t>
      </w:r>
      <w:r w:rsidR="00784F59">
        <w:t xml:space="preserve">does </w:t>
      </w:r>
      <w:r w:rsidR="009A39EA">
        <w:t>indicate that t</w:t>
      </w:r>
      <w:r w:rsidR="009A39EA" w:rsidRPr="009A39EA">
        <w:t>he current levels of catch can rebuild the stock to 60%</w:t>
      </w:r>
      <w:r w:rsidR="00784F59">
        <w:t xml:space="preserve"> </w:t>
      </w:r>
      <w:r w:rsidR="00270524">
        <w:t>B</w:t>
      </w:r>
      <w:r w:rsidR="00270524" w:rsidRPr="00270524">
        <w:rPr>
          <w:vertAlign w:val="subscript"/>
        </w:rPr>
        <w:t>0</w:t>
      </w:r>
      <w:r w:rsidR="00784F59">
        <w:t xml:space="preserve"> Target biomass.</w:t>
      </w:r>
    </w:p>
    <w:p w14:paraId="674FCDB8" w14:textId="38982F65" w:rsidR="00892D6F" w:rsidRDefault="006C6C31" w:rsidP="00A87F05">
      <w:pPr>
        <w:pStyle w:val="Heading3"/>
        <w:ind w:left="851" w:hanging="851"/>
      </w:pPr>
      <w:r>
        <w:t>White teatfish</w:t>
      </w:r>
    </w:p>
    <w:p w14:paraId="3AA2EA60" w14:textId="1541DE1A" w:rsidR="00B33772" w:rsidRDefault="006B60AF" w:rsidP="00B33772">
      <w:r>
        <w:t>A</w:t>
      </w:r>
      <w:r w:rsidR="00D976AF">
        <w:t xml:space="preserve"> numeric stock assessment of White teatfish in the QSCF </w:t>
      </w:r>
      <w:r>
        <w:t xml:space="preserve">was also carried out in 2021 </w:t>
      </w:r>
      <w:r w:rsidR="00D976AF">
        <w:t>(</w:t>
      </w:r>
      <w:r w:rsidR="00D976AF" w:rsidRPr="00C0716D">
        <w:t>Helidoniotis, 2021</w:t>
      </w:r>
      <w:r w:rsidR="00D976AF">
        <w:t xml:space="preserve">b). </w:t>
      </w:r>
      <w:r w:rsidR="00CE0D0A">
        <w:t>It was based on an a</w:t>
      </w:r>
      <w:r w:rsidR="00DF5687" w:rsidRPr="00DF5687">
        <w:t>ge structured surplus production model with annual time steps.</w:t>
      </w:r>
      <w:r w:rsidR="00CE0D0A">
        <w:t xml:space="preserve"> </w:t>
      </w:r>
      <w:r w:rsidR="00784F59">
        <w:t>It indicate</w:t>
      </w:r>
      <w:r w:rsidR="00B016D8">
        <w:t>d</w:t>
      </w:r>
      <w:r w:rsidR="00784F59">
        <w:t xml:space="preserve"> that t</w:t>
      </w:r>
      <w:r w:rsidR="00B33772">
        <w:t>he exploitable biomass declined to roughly 56%</w:t>
      </w:r>
      <w:r w:rsidR="00784F59">
        <w:t xml:space="preserve"> B</w:t>
      </w:r>
      <w:r w:rsidR="00784F59" w:rsidRPr="00784F59">
        <w:rPr>
          <w:vertAlign w:val="subscript"/>
        </w:rPr>
        <w:t>0</w:t>
      </w:r>
      <w:r w:rsidR="00B33772">
        <w:t xml:space="preserve"> in 2003 and has fluctuated around 80% </w:t>
      </w:r>
      <w:r w:rsidR="00784F59">
        <w:t>B</w:t>
      </w:r>
      <w:r w:rsidR="00784F59" w:rsidRPr="00784F59">
        <w:rPr>
          <w:vertAlign w:val="subscript"/>
        </w:rPr>
        <w:t>0</w:t>
      </w:r>
      <w:r w:rsidR="00784F59">
        <w:t xml:space="preserve"> </w:t>
      </w:r>
      <w:r w:rsidR="00B33772">
        <w:t xml:space="preserve">since 2014 </w:t>
      </w:r>
      <w:r w:rsidR="00B016D8">
        <w:t xml:space="preserve">(finishing at </w:t>
      </w:r>
      <w:r w:rsidR="00B33772">
        <w:t>7</w:t>
      </w:r>
      <w:r w:rsidR="00B016D8">
        <w:t>8</w:t>
      </w:r>
      <w:r w:rsidR="00B33772">
        <w:t xml:space="preserve">% </w:t>
      </w:r>
      <w:r w:rsidR="00784F59">
        <w:t>B</w:t>
      </w:r>
      <w:r w:rsidR="00784F59" w:rsidRPr="00784F59">
        <w:rPr>
          <w:vertAlign w:val="subscript"/>
        </w:rPr>
        <w:t>0</w:t>
      </w:r>
      <w:r w:rsidR="00784F59">
        <w:t xml:space="preserve"> </w:t>
      </w:r>
      <w:r w:rsidR="00B33772">
        <w:t>in 2021</w:t>
      </w:r>
      <w:r w:rsidR="00B016D8">
        <w:t>)</w:t>
      </w:r>
      <w:r w:rsidR="00B33772">
        <w:t xml:space="preserve">. </w:t>
      </w:r>
      <w:r w:rsidR="00B016D8">
        <w:t xml:space="preserve">As for </w:t>
      </w:r>
      <w:r w:rsidR="00B33772">
        <w:t>spawning biomass</w:t>
      </w:r>
      <w:r w:rsidR="00B016D8">
        <w:t>, the model</w:t>
      </w:r>
      <w:r w:rsidR="00B33772">
        <w:t xml:space="preserve"> </w:t>
      </w:r>
      <w:r w:rsidR="00B016D8">
        <w:t xml:space="preserve">estimated that is had </w:t>
      </w:r>
      <w:r w:rsidR="00B33772">
        <w:t>declined to 67%</w:t>
      </w:r>
      <w:r w:rsidR="00784F59">
        <w:t xml:space="preserve"> B</w:t>
      </w:r>
      <w:r w:rsidR="00784F59" w:rsidRPr="00784F59">
        <w:rPr>
          <w:vertAlign w:val="subscript"/>
        </w:rPr>
        <w:t>0</w:t>
      </w:r>
      <w:r w:rsidR="00B33772">
        <w:t xml:space="preserve"> in 2002 and has fluctuated around 80%</w:t>
      </w:r>
      <w:r w:rsidR="00784F59">
        <w:t xml:space="preserve"> B</w:t>
      </w:r>
      <w:r w:rsidR="00784F59" w:rsidRPr="00784F59">
        <w:rPr>
          <w:vertAlign w:val="subscript"/>
        </w:rPr>
        <w:t>0</w:t>
      </w:r>
      <w:r w:rsidR="00B33772">
        <w:t xml:space="preserve"> since 2003. </w:t>
      </w:r>
    </w:p>
    <w:p w14:paraId="46E8E24C" w14:textId="77777777" w:rsidR="00BD7C5E" w:rsidRDefault="00BD7C5E" w:rsidP="00BD7C5E">
      <w:r>
        <w:t>The robustness of the model was determined by evaluating the fit to the standardised catch rate and was considered to be satisfactory. An alternative delay difference model was also run in parallel, and yielded similar results with respect to biomass ratio.</w:t>
      </w:r>
    </w:p>
    <w:p w14:paraId="17EEF7D5" w14:textId="3D7A5353" w:rsidR="00DF5687" w:rsidRDefault="00B75AF1" w:rsidP="00106755">
      <w:r w:rsidRPr="00B75AF1">
        <w:t>The assessment was fitted to catch rate data from the fishery only</w:t>
      </w:r>
      <w:r>
        <w:t xml:space="preserve">, </w:t>
      </w:r>
      <w:r w:rsidRPr="00B75AF1">
        <w:t>(the open area) and not from the whole stock</w:t>
      </w:r>
      <w:r>
        <w:t>.</w:t>
      </w:r>
      <w:r w:rsidR="00784F59">
        <w:t xml:space="preserve"> No survey data was available to use in the model. This has raised c</w:t>
      </w:r>
      <w:r w:rsidR="00F35331" w:rsidRPr="00F35331">
        <w:t>oncerns about the accuracy of the assessment as it is based on catch data rather than survey data</w:t>
      </w:r>
      <w:r w:rsidR="00F35331">
        <w:t xml:space="preserve"> (DAWE, 2021).</w:t>
      </w:r>
      <w:r w:rsidR="00BD7C5E">
        <w:t xml:space="preserve"> </w:t>
      </w:r>
      <w:r w:rsidR="00106755">
        <w:t>As acknowledged in the stock assessment report, there are known limitations with using Catch Per Unit Effort</w:t>
      </w:r>
      <w:r w:rsidR="00AF3E27">
        <w:t xml:space="preserve"> (CPUE)</w:t>
      </w:r>
      <w:r w:rsidR="00106755">
        <w:t xml:space="preserve"> measures as an index of relative abundance for sea cucumbers due to issues of hyperstability in effort</w:t>
      </w:r>
      <w:r w:rsidR="00AF3E27">
        <w:t xml:space="preserve"> – where </w:t>
      </w:r>
      <w:r w:rsidR="00AF3E27" w:rsidRPr="00AF3E27">
        <w:t>CPUE declines more slowly than true abundance as a stock declines</w:t>
      </w:r>
      <w:r w:rsidR="00106755">
        <w:t xml:space="preserve">. There are </w:t>
      </w:r>
      <w:r w:rsidR="00BD7C5E">
        <w:t>two</w:t>
      </w:r>
      <w:r w:rsidR="00106755">
        <w:t xml:space="preserve"> scenarios for hyperstability </w:t>
      </w:r>
      <w:r w:rsidR="00BD7C5E">
        <w:t xml:space="preserve">that may apply in this case </w:t>
      </w:r>
      <w:r w:rsidR="00106755">
        <w:t>–</w:t>
      </w:r>
      <w:r w:rsidR="00BD7C5E">
        <w:t xml:space="preserve"> </w:t>
      </w:r>
      <w:r w:rsidR="00106755">
        <w:t xml:space="preserve">fishers fishing new grounds therefore </w:t>
      </w:r>
      <w:r w:rsidR="00AF3E27">
        <w:t xml:space="preserve">fishing </w:t>
      </w:r>
      <w:r w:rsidR="00106755">
        <w:t xml:space="preserve">new unexploited </w:t>
      </w:r>
      <w:r w:rsidR="00AF3E27">
        <w:t xml:space="preserve">segments of the </w:t>
      </w:r>
      <w:r w:rsidR="00106755">
        <w:t>population</w:t>
      </w:r>
      <w:r w:rsidR="004910B9">
        <w:t>;</w:t>
      </w:r>
      <w:r w:rsidR="00106755">
        <w:t xml:space="preserve"> and fishers being able to maintain catch rates despite falling density </w:t>
      </w:r>
      <w:r w:rsidR="004910B9">
        <w:t xml:space="preserve">through increased fishing </w:t>
      </w:r>
      <w:r w:rsidR="004910B9">
        <w:lastRenderedPageBreak/>
        <w:t xml:space="preserve">power </w:t>
      </w:r>
      <w:r w:rsidR="00106755">
        <w:t xml:space="preserve">(through </w:t>
      </w:r>
      <w:r w:rsidR="004910B9">
        <w:t xml:space="preserve">increased </w:t>
      </w:r>
      <w:r w:rsidR="00106755">
        <w:t xml:space="preserve">fishing </w:t>
      </w:r>
      <w:r w:rsidR="00AF3E27">
        <w:t xml:space="preserve">knowledge </w:t>
      </w:r>
      <w:r w:rsidR="00106755">
        <w:t>or technology</w:t>
      </w:r>
      <w:r w:rsidR="004910B9">
        <w:t xml:space="preserve"> for example</w:t>
      </w:r>
      <w:r w:rsidR="00106755">
        <w:t>).</w:t>
      </w:r>
      <w:r w:rsidR="00AF3E27">
        <w:t xml:space="preserve"> The longer the time series, the lower the risk of hyperstability</w:t>
      </w:r>
      <w:r w:rsidR="004910B9">
        <w:t xml:space="preserve"> – but i</w:t>
      </w:r>
      <w:r w:rsidR="008D72BA">
        <w:t>t</w:t>
      </w:r>
      <w:r w:rsidR="004910B9">
        <w:t xml:space="preserve"> </w:t>
      </w:r>
      <w:r w:rsidR="00BD7C5E">
        <w:t xml:space="preserve">may still be impacting on the </w:t>
      </w:r>
      <w:r w:rsidR="004910B9">
        <w:t>W</w:t>
      </w:r>
      <w:r w:rsidR="00BD7C5E">
        <w:t xml:space="preserve">hite teatfish </w:t>
      </w:r>
      <w:r w:rsidR="004910B9">
        <w:t xml:space="preserve">dataset </w:t>
      </w:r>
      <w:r w:rsidR="00BD7C5E">
        <w:t>as there are reports of fishers pros</w:t>
      </w:r>
      <w:r w:rsidR="008D72BA">
        <w:t>p</w:t>
      </w:r>
      <w:r w:rsidR="00BD7C5E">
        <w:t>ecting new fishing grounds in the deep water “paddock” fishing grounds that may include unfished populations therefore maintain catch rates</w:t>
      </w:r>
      <w:r w:rsidR="00B016D8">
        <w:t xml:space="preserve"> (Koopman and Knuckey, 2021b)</w:t>
      </w:r>
      <w:r w:rsidR="00BD7C5E">
        <w:t xml:space="preserve">. </w:t>
      </w:r>
    </w:p>
    <w:p w14:paraId="5A34AF13" w14:textId="5D3691E1" w:rsidR="00501CF6" w:rsidRDefault="00B42934" w:rsidP="00B42934">
      <w:r>
        <w:t>Harvest data from 1996 were assumed, for modelling purposes, to represent the commencement of significant fishing mortality, i.e. near virgin state of white teatfish in 1995 in Queensland waters. No allowance was made for historical fishing of White teatfish</w:t>
      </w:r>
      <w:r w:rsidR="00BD7C5E">
        <w:t xml:space="preserve">, and </w:t>
      </w:r>
      <w:r>
        <w:t xml:space="preserve">given the limitations for freedivers </w:t>
      </w:r>
      <w:r w:rsidR="00BD7C5E">
        <w:t xml:space="preserve">to </w:t>
      </w:r>
      <w:r>
        <w:t xml:space="preserve">harvesting White teatfish </w:t>
      </w:r>
      <w:r w:rsidR="00BD7C5E">
        <w:t xml:space="preserve">(as </w:t>
      </w:r>
      <w:r>
        <w:t xml:space="preserve">observed in the Torres </w:t>
      </w:r>
      <w:r w:rsidR="00B33772">
        <w:t>Strait</w:t>
      </w:r>
      <w:r>
        <w:t xml:space="preserve"> fishery where underwater breathing apparatus are banned</w:t>
      </w:r>
      <w:r w:rsidR="00BD7C5E">
        <w:t>)</w:t>
      </w:r>
      <w:r>
        <w:t xml:space="preserve"> and the apparent </w:t>
      </w:r>
      <w:r w:rsidR="00B33772">
        <w:t>modest</w:t>
      </w:r>
      <w:r>
        <w:t xml:space="preserve"> </w:t>
      </w:r>
      <w:r w:rsidR="00B33772">
        <w:t xml:space="preserve">commercial </w:t>
      </w:r>
      <w:r>
        <w:t>value of White teatfish historically (</w:t>
      </w:r>
      <w:r w:rsidR="00B33772" w:rsidRPr="00C46549">
        <w:t>Saville-Kent, 1893</w:t>
      </w:r>
      <w:r w:rsidR="00B33772">
        <w:t>)</w:t>
      </w:r>
      <w:r w:rsidR="00BD7C5E">
        <w:t>, this is probably legitimate. Even so, some early catch scenarios might be informative</w:t>
      </w:r>
      <w:r>
        <w:t>.</w:t>
      </w:r>
    </w:p>
    <w:p w14:paraId="5B66B469" w14:textId="083465EB" w:rsidR="00BD7C5E" w:rsidRDefault="00BD7C5E" w:rsidP="00BD7C5E">
      <w:r>
        <w:t xml:space="preserve">As with the Black teatfish stock assessment, an externally initiated review of the assessment outlined several issues with respect to model parameters and the treatment of uncertainty, bringing into question the reliability of the outputs (DAWE, 2021, unpublished peer review report). </w:t>
      </w:r>
    </w:p>
    <w:p w14:paraId="1825B390" w14:textId="5305AB5B" w:rsidR="00BD7C5E" w:rsidRDefault="00AA0756" w:rsidP="007C18B0">
      <w:r>
        <w:t>As it stands, t</w:t>
      </w:r>
      <w:r w:rsidR="00BD7C5E">
        <w:t xml:space="preserve">he assessment </w:t>
      </w:r>
      <w:r w:rsidR="00B016D8">
        <w:t xml:space="preserve">indicates a healthy </w:t>
      </w:r>
      <w:r w:rsidR="00BD7C5E">
        <w:t>s</w:t>
      </w:r>
      <w:r>
        <w:t>t</w:t>
      </w:r>
      <w:r w:rsidR="00BD7C5E">
        <w:t>ock status of White teatfish</w:t>
      </w:r>
      <w:r w:rsidR="00B016D8">
        <w:t xml:space="preserve"> (~80% B</w:t>
      </w:r>
      <w:r w:rsidR="00B016D8" w:rsidRPr="00B016D8">
        <w:rPr>
          <w:vertAlign w:val="subscript"/>
        </w:rPr>
        <w:t>0</w:t>
      </w:r>
      <w:r w:rsidR="00B016D8" w:rsidRPr="00B016D8">
        <w:t xml:space="preserve"> in 2021</w:t>
      </w:r>
      <w:r w:rsidR="00B016D8">
        <w:t>)</w:t>
      </w:r>
      <w:r w:rsidR="00BD7C5E">
        <w:t xml:space="preserve">, especially </w:t>
      </w:r>
      <w:r>
        <w:t>in relation to the limit reference level in the Harvest strategy and potential recruitment inhibition. However, there is considerable uncertainty related to its outputs</w:t>
      </w:r>
      <w:r w:rsidR="00855CB7">
        <w:t xml:space="preserve">, in particular regarding the impact of CPUE hyperstability, </w:t>
      </w:r>
      <w:r>
        <w:t>that could be addressed by an updated assessment and the provision of stock survey biomass data.</w:t>
      </w:r>
    </w:p>
    <w:p w14:paraId="617BD2A4" w14:textId="7238936B" w:rsidR="00501CF6" w:rsidRPr="00106755" w:rsidRDefault="00106755" w:rsidP="007C18B0">
      <w:pPr>
        <w:rPr>
          <w:i/>
          <w:iCs/>
        </w:rPr>
      </w:pPr>
      <w:r w:rsidRPr="00106755">
        <w:rPr>
          <w:i/>
          <w:iCs/>
        </w:rPr>
        <w:t>SAFS</w:t>
      </w:r>
    </w:p>
    <w:p w14:paraId="77C44AF4" w14:textId="19BF4CD0" w:rsidR="00DF5687" w:rsidRDefault="00DF5687" w:rsidP="00634053">
      <w:r>
        <w:t xml:space="preserve">White teatfish in the QSCF is also assessed in the </w:t>
      </w:r>
      <w:r w:rsidRPr="00DF5687">
        <w:t xml:space="preserve">Status of Australia Fish Stocks (SAFS) classification framework </w:t>
      </w:r>
      <w:r>
        <w:t>which reports stock status</w:t>
      </w:r>
      <w:r w:rsidRPr="00DF5687">
        <w:t xml:space="preserve"> in line with </w:t>
      </w:r>
      <w:r>
        <w:t>a</w:t>
      </w:r>
      <w:r w:rsidRPr="00DF5687">
        <w:t xml:space="preserve"> national framework. The most recently published SAFS report </w:t>
      </w:r>
      <w:r>
        <w:t xml:space="preserve">for White teatfish occurred in </w:t>
      </w:r>
      <w:r w:rsidRPr="00DF5687">
        <w:t>202</w:t>
      </w:r>
      <w:r w:rsidR="004816A6">
        <w:t>3</w:t>
      </w:r>
      <w:r w:rsidRPr="00DF5687">
        <w:t xml:space="preserve"> </w:t>
      </w:r>
      <w:r>
        <w:t>(SAFS, 202</w:t>
      </w:r>
      <w:r w:rsidR="004816A6">
        <w:t>3</w:t>
      </w:r>
      <w:r>
        <w:t xml:space="preserve">) and White teatfish in the QSCF was </w:t>
      </w:r>
      <w:r w:rsidRPr="00DF5687">
        <w:t>assigned a status of ‘Sustainable’</w:t>
      </w:r>
      <w:r>
        <w:t>, mostly based on catch rates and outputs of the 2014 MSE (Skewes et al., 2014)</w:t>
      </w:r>
      <w:r w:rsidRPr="00DF5687">
        <w:t>.</w:t>
      </w:r>
    </w:p>
    <w:p w14:paraId="445B6346" w14:textId="77777777" w:rsidR="00B75CD0" w:rsidRPr="00D976AF" w:rsidRDefault="00B75CD0" w:rsidP="00CD7F69">
      <w:pPr>
        <w:pStyle w:val="Heading3"/>
      </w:pPr>
      <w:r w:rsidRPr="00D976AF">
        <w:t>MSE</w:t>
      </w:r>
    </w:p>
    <w:p w14:paraId="453A52D3" w14:textId="0FBC7854" w:rsidR="00FE426E" w:rsidRDefault="00FE426E" w:rsidP="007E1BAE">
      <w:r>
        <w:t xml:space="preserve">There have been two management strategy evaluations (MSE) carried out on the QSCF, and both included Black and White teatfish. Note that MSE is not designed to assess </w:t>
      </w:r>
      <w:r w:rsidR="00DD376B">
        <w:t xml:space="preserve">current </w:t>
      </w:r>
      <w:r>
        <w:t>stock status, but rather to test the effectiveness of various management strategies on fishery “performance” against fishery objectives</w:t>
      </w:r>
      <w:r w:rsidR="00DD376B">
        <w:t xml:space="preserve">. It is particularly effective for data poor situations as it can </w:t>
      </w:r>
      <w:r w:rsidR="007E1BAE">
        <w:t xml:space="preserve">deal with uncertainties by running many simulations </w:t>
      </w:r>
      <w:r w:rsidR="00DD376B">
        <w:t>under a range of possible scenarios</w:t>
      </w:r>
      <w:r w:rsidR="007E1BAE">
        <w:t>.</w:t>
      </w:r>
    </w:p>
    <w:p w14:paraId="68372C07" w14:textId="627BB461" w:rsidR="006B60AF" w:rsidRPr="006B60AF" w:rsidRDefault="006B60AF" w:rsidP="00B75CD0">
      <w:pPr>
        <w:rPr>
          <w:i/>
          <w:iCs/>
          <w:u w:val="single"/>
        </w:rPr>
      </w:pPr>
      <w:r w:rsidRPr="006B60AF">
        <w:rPr>
          <w:i/>
          <w:iCs/>
          <w:u w:val="single"/>
        </w:rPr>
        <w:t>2014</w:t>
      </w:r>
    </w:p>
    <w:p w14:paraId="00FC5B16" w14:textId="4C60E463" w:rsidR="00B75CD0" w:rsidRPr="00C63C57" w:rsidRDefault="00FE426E" w:rsidP="00B75CD0">
      <w:r>
        <w:t xml:space="preserve">The first </w:t>
      </w:r>
      <w:r w:rsidR="007E1BAE">
        <w:t xml:space="preserve">MSE preformed </w:t>
      </w:r>
      <w:r>
        <w:t xml:space="preserve">was </w:t>
      </w:r>
      <w:r w:rsidR="007E1BAE">
        <w:t xml:space="preserve">focussed on </w:t>
      </w:r>
      <w:r w:rsidR="00B75CD0" w:rsidRPr="00C63C57">
        <w:t>assess</w:t>
      </w:r>
      <w:r w:rsidR="007E1BAE">
        <w:t xml:space="preserve">ing the </w:t>
      </w:r>
      <w:r w:rsidR="00B75CD0" w:rsidRPr="00C63C57">
        <w:t xml:space="preserve">efficacy of the </w:t>
      </w:r>
      <w:r w:rsidR="00120518">
        <w:t>RHA</w:t>
      </w:r>
      <w:r w:rsidR="00B75CD0" w:rsidRPr="00C63C57">
        <w:t xml:space="preserve"> </w:t>
      </w:r>
      <w:r w:rsidR="007E1BAE">
        <w:t xml:space="preserve">and was </w:t>
      </w:r>
      <w:r w:rsidR="00B75CD0" w:rsidRPr="00C63C57">
        <w:t xml:space="preserve">carried out in 2014 </w:t>
      </w:r>
      <w:r w:rsidRPr="00C63C57">
        <w:t>(Skewes et al., 2014; Plaganyi et al., 2015)</w:t>
      </w:r>
      <w:r>
        <w:t xml:space="preserve">. It included an “operational model” (OM) </w:t>
      </w:r>
      <w:r w:rsidR="00B75CD0" w:rsidRPr="00C63C57">
        <w:t xml:space="preserve">that included spatial and age-structured population models. The analysis was considered as a “low data” analysis and was based on several estimation approaches and assumptions. To account for this, the modelling approach that was applied included testing across a broad range of uncertainty by using alternative models, stochastic replicates, and alternative life history parameters. This resulted in 160 population projections run under each of a range of future harvest scenarios with different periodicity and magnitude. The study tested several alternative management approaches, including how fishing mortality was allocated to rotational zones and increased TACs. It also included several sensitivity tests, including low mortality and growth, larger size at maturity and high recruitment variability. </w:t>
      </w:r>
    </w:p>
    <w:p w14:paraId="6C3F089F" w14:textId="77777777" w:rsidR="00B75CD0" w:rsidRDefault="00B75CD0" w:rsidP="00B75CD0">
      <w:r w:rsidRPr="00C63C57">
        <w:t>The following four factors were assumed to account for most of the uncertainty regarding the key considerations of resource status and productivity: (i) the natural</w:t>
      </w:r>
      <w:r>
        <w:t xml:space="preserve"> mortality rate, (ii) the steepness parameter of the stock-recruitment functions, (iii) the underlying recruitment pattern (stochastic and variable vs. deterministic), and (iv) the starting (1995) biomass.</w:t>
      </w:r>
    </w:p>
    <w:p w14:paraId="03B4065C" w14:textId="77777777" w:rsidR="00B75AF1" w:rsidRDefault="00B75CD0" w:rsidP="00B75CD0">
      <w:r>
        <w:t xml:space="preserve">The starting biomass for Black teatfish in the model was </w:t>
      </w:r>
      <w:r w:rsidR="00FE426E">
        <w:t xml:space="preserve">based on the </w:t>
      </w:r>
      <w:r w:rsidR="001F7360">
        <w:t xml:space="preserve">density estimates </w:t>
      </w:r>
      <w:r w:rsidR="000041F2">
        <w:t xml:space="preserve">from the </w:t>
      </w:r>
      <w:r w:rsidR="001F7360">
        <w:t xml:space="preserve">1998-2000 </w:t>
      </w:r>
      <w:r w:rsidR="000041F2">
        <w:t>surve</w:t>
      </w:r>
      <w:r w:rsidR="001F7360">
        <w:t>y</w:t>
      </w:r>
      <w:r w:rsidR="000041F2">
        <w:t xml:space="preserve"> (</w:t>
      </w:r>
      <w:r w:rsidR="001F7360">
        <w:t>Uthicke and Benzie, 2000; Benzie and Uthicke, 2003; Uthicke et al., 2004</w:t>
      </w:r>
      <w:r w:rsidR="000041F2">
        <w:t xml:space="preserve">), </w:t>
      </w:r>
      <w:r w:rsidR="001F7360">
        <w:t xml:space="preserve">which resulted in a </w:t>
      </w:r>
      <w:r w:rsidR="001F7360">
        <w:lastRenderedPageBreak/>
        <w:t xml:space="preserve">starting </w:t>
      </w:r>
      <w:r w:rsidR="00AA672A">
        <w:t>standing stock (SS)</w:t>
      </w:r>
      <w:r w:rsidR="001F7360">
        <w:t xml:space="preserve"> of </w:t>
      </w:r>
      <w:r w:rsidR="001F7360" w:rsidRPr="001F7360">
        <w:t>8</w:t>
      </w:r>
      <w:r w:rsidR="00AA672A">
        <w:t>.</w:t>
      </w:r>
      <w:r w:rsidR="001F7360" w:rsidRPr="001F7360">
        <w:t>68</w:t>
      </w:r>
      <w:r w:rsidR="00AA672A">
        <w:t>M (or 8,056 t landed weight using average weight from logbook data)</w:t>
      </w:r>
      <w:r w:rsidR="001F7360">
        <w:t>, of which</w:t>
      </w:r>
      <w:r w:rsidR="001F7360" w:rsidRPr="00954DAD">
        <w:t xml:space="preserve"> </w:t>
      </w:r>
      <w:r w:rsidR="001F7360" w:rsidRPr="001F7360">
        <w:t>3</w:t>
      </w:r>
      <w:r w:rsidR="00AA672A">
        <w:t>.</w:t>
      </w:r>
      <w:r w:rsidR="001F7360" w:rsidRPr="001F7360">
        <w:t>58</w:t>
      </w:r>
      <w:r w:rsidR="00AA672A">
        <w:t>M</w:t>
      </w:r>
      <w:r w:rsidR="001F7360">
        <w:t xml:space="preserve"> </w:t>
      </w:r>
      <w:r w:rsidR="00AA672A">
        <w:t xml:space="preserve">(3,325 t) </w:t>
      </w:r>
      <w:r w:rsidR="001F7360">
        <w:t xml:space="preserve">was in MPAs (Skewes et al., 2014). </w:t>
      </w:r>
    </w:p>
    <w:p w14:paraId="493AAD5B" w14:textId="69712117" w:rsidR="00B75CD0" w:rsidRDefault="001F7360" w:rsidP="00B75CD0">
      <w:r>
        <w:t>T</w:t>
      </w:r>
      <w:r w:rsidR="000041F2">
        <w:t xml:space="preserve">he estimate for White teatfish </w:t>
      </w:r>
      <w:r>
        <w:t>used density estimates from Torres Strait surveys sampled in comparable habitats (Skewes et al., 2010) which</w:t>
      </w:r>
      <w:r w:rsidR="00B75CD0">
        <w:t xml:space="preserve"> resulted in a starting </w:t>
      </w:r>
      <w:r w:rsidR="007119E2">
        <w:t>biomass</w:t>
      </w:r>
      <w:r w:rsidR="00B75CD0">
        <w:t xml:space="preserve"> of </w:t>
      </w:r>
      <w:r w:rsidRPr="001F7360">
        <w:t>5</w:t>
      </w:r>
      <w:r w:rsidR="00AA672A">
        <w:t>.40M</w:t>
      </w:r>
      <w:r w:rsidR="00F02006">
        <w:t xml:space="preserve"> (or 6,845 t landed weight)</w:t>
      </w:r>
      <w:r w:rsidR="00B75CD0">
        <w:t>, of which</w:t>
      </w:r>
      <w:r w:rsidR="00B75CD0" w:rsidRPr="00954DAD">
        <w:t xml:space="preserve"> </w:t>
      </w:r>
      <w:r w:rsidRPr="001F7360">
        <w:t>2</w:t>
      </w:r>
      <w:r w:rsidR="00AA672A">
        <w:t>.</w:t>
      </w:r>
      <w:r w:rsidRPr="001F7360">
        <w:t>6</w:t>
      </w:r>
      <w:r w:rsidR="00AA672A">
        <w:t>3M</w:t>
      </w:r>
      <w:r w:rsidR="00B75CD0">
        <w:t xml:space="preserve"> </w:t>
      </w:r>
      <w:r w:rsidR="0045792E">
        <w:t xml:space="preserve">(3,331 t) </w:t>
      </w:r>
      <w:r w:rsidR="00B75CD0">
        <w:t>was in MPAs (Skewes et al., 2014).</w:t>
      </w:r>
    </w:p>
    <w:p w14:paraId="7AFB7B0B" w14:textId="1760085F" w:rsidR="00B75CD0" w:rsidRDefault="00B75CD0" w:rsidP="00B75CD0">
      <w:r w:rsidRPr="00C63C57">
        <w:t xml:space="preserve">The </w:t>
      </w:r>
      <w:r w:rsidR="0045792E">
        <w:t xml:space="preserve">MSE performance </w:t>
      </w:r>
      <w:r w:rsidRPr="00C63C57">
        <w:t xml:space="preserve">outputs were based on a risk management approach, as this was deemed to be a pragmatic means of evaluating the relative benefits of management approaches for difficult to predict data-poor stocks. The risk metric chosen was the risk of the stock falling below 40% </w:t>
      </w:r>
      <w:r w:rsidR="007119E2" w:rsidRPr="00C63C57">
        <w:t>B</w:t>
      </w:r>
      <w:r w:rsidR="007119E2" w:rsidRPr="00C63C57">
        <w:rPr>
          <w:vertAlign w:val="subscript"/>
        </w:rPr>
        <w:t>0</w:t>
      </w:r>
      <w:r w:rsidRPr="00C63C57">
        <w:t xml:space="preserve">. For the base case (current </w:t>
      </w:r>
      <w:r w:rsidR="00120518">
        <w:t>RHA</w:t>
      </w:r>
      <w:r w:rsidR="004327D4">
        <w:t>, historical catch average for White teatfish and an assumed TAC of 58t for Black Teatfish</w:t>
      </w:r>
      <w:r w:rsidRPr="00C63C57">
        <w:t xml:space="preserve">) </w:t>
      </w:r>
      <w:r w:rsidR="004327D4" w:rsidRPr="00C63C57">
        <w:t xml:space="preserve">the risk of depletion </w:t>
      </w:r>
      <w:r w:rsidR="009A5FA4" w:rsidRPr="00C63C57">
        <w:t xml:space="preserve">below 40% </w:t>
      </w:r>
      <w:r w:rsidR="00451338" w:rsidRPr="00C63C57">
        <w:t>B</w:t>
      </w:r>
      <w:r w:rsidR="00451338" w:rsidRPr="00C63C57">
        <w:rPr>
          <w:vertAlign w:val="subscript"/>
        </w:rPr>
        <w:t>0</w:t>
      </w:r>
      <w:r w:rsidR="00451338" w:rsidRPr="00451338">
        <w:t xml:space="preserve"> </w:t>
      </w:r>
      <w:r w:rsidR="004327D4" w:rsidRPr="00C63C57">
        <w:t xml:space="preserve">for </w:t>
      </w:r>
      <w:r w:rsidR="004327D4">
        <w:t>Black teatfish was about 10%</w:t>
      </w:r>
      <w:r w:rsidR="00451338">
        <w:t xml:space="preserve"> </w:t>
      </w:r>
      <w:r w:rsidR="00451338" w:rsidRPr="00C63C57">
        <w:t>B</w:t>
      </w:r>
      <w:r w:rsidR="00451338" w:rsidRPr="00C63C57">
        <w:rPr>
          <w:vertAlign w:val="subscript"/>
        </w:rPr>
        <w:t>0</w:t>
      </w:r>
      <w:r w:rsidR="004327D4">
        <w:t xml:space="preserve">, and for White teatfish about 17% </w:t>
      </w:r>
      <w:r w:rsidR="00451338" w:rsidRPr="00C63C57">
        <w:t>B</w:t>
      </w:r>
      <w:r w:rsidR="00451338" w:rsidRPr="00C63C57">
        <w:rPr>
          <w:vertAlign w:val="subscript"/>
        </w:rPr>
        <w:t>0</w:t>
      </w:r>
      <w:r w:rsidR="00451338" w:rsidRPr="00451338">
        <w:t xml:space="preserve"> </w:t>
      </w:r>
      <w:r w:rsidR="004327D4">
        <w:t xml:space="preserve">(though the fact that White teatfish catches in some zones exceeded the biomass estimate indicated that the starting biomass was underestimated) </w:t>
      </w:r>
      <w:r w:rsidR="004327D4" w:rsidRPr="00C63C57">
        <w:t>(</w:t>
      </w:r>
      <w:fldSimple w:instr=" REF _Ref151553738 ">
        <w:r w:rsidR="004263D8">
          <w:t xml:space="preserve">Figure </w:t>
        </w:r>
        <w:r w:rsidR="004263D8">
          <w:rPr>
            <w:noProof/>
          </w:rPr>
          <w:t>35</w:t>
        </w:r>
      </w:fldSimple>
      <w:r w:rsidR="004327D4" w:rsidRPr="00C63C57">
        <w:t>),</w:t>
      </w:r>
      <w:r w:rsidR="004327D4">
        <w:t xml:space="preserve"> and for </w:t>
      </w:r>
      <w:r w:rsidRPr="00C63C57">
        <w:t xml:space="preserve">all sensitivity cases tested, </w:t>
      </w:r>
      <w:r w:rsidR="004327D4">
        <w:t>risk increased, especially f</w:t>
      </w:r>
      <w:r w:rsidRPr="00C63C57">
        <w:t xml:space="preserve">or </w:t>
      </w:r>
      <w:r w:rsidR="004327D4">
        <w:t xml:space="preserve">the combination of increased age at maturity (negating the effect of the MSL) and increased TACs. </w:t>
      </w:r>
      <w:r>
        <w:t xml:space="preserve">As for alternate management scenarios, </w:t>
      </w:r>
      <w:r w:rsidR="004327D4">
        <w:t xml:space="preserve">the risk is greater for the no </w:t>
      </w:r>
      <w:r w:rsidR="00120518">
        <w:t>RHA</w:t>
      </w:r>
      <w:r w:rsidR="004327D4">
        <w:t xml:space="preserve"> scenario (</w:t>
      </w:r>
      <w:r>
        <w:fldChar w:fldCharType="begin"/>
      </w:r>
      <w:r>
        <w:instrText xml:space="preserve"> REF _Ref151553815 \h </w:instrText>
      </w:r>
      <w:r>
        <w:fldChar w:fldCharType="separate"/>
      </w:r>
      <w:r w:rsidR="004263D8">
        <w:t xml:space="preserve">Figure </w:t>
      </w:r>
      <w:r w:rsidR="004263D8">
        <w:rPr>
          <w:noProof/>
        </w:rPr>
        <w:t>36</w:t>
      </w:r>
      <w:r>
        <w:fldChar w:fldCharType="end"/>
      </w:r>
      <w:r>
        <w:t>)</w:t>
      </w:r>
      <w:r w:rsidR="004327D4">
        <w:t xml:space="preserve">, and a </w:t>
      </w:r>
      <w:r>
        <w:t xml:space="preserve">decreased risk </w:t>
      </w:r>
      <w:r w:rsidR="004327D4">
        <w:t xml:space="preserve">(essentially to zero) </w:t>
      </w:r>
      <w:r>
        <w:t xml:space="preserve">if catch was spread equally between all </w:t>
      </w:r>
      <w:r w:rsidR="00120518">
        <w:t>RHA</w:t>
      </w:r>
      <w:r>
        <w:t xml:space="preserve"> zones. </w:t>
      </w:r>
    </w:p>
    <w:p w14:paraId="1CAC56A0" w14:textId="3C269ACF" w:rsidR="00B75CD0" w:rsidRDefault="00B75CD0" w:rsidP="00B75CD0">
      <w:r>
        <w:t xml:space="preserve">Besides indicating the benefits of the </w:t>
      </w:r>
      <w:r w:rsidR="00120518">
        <w:t>RHA</w:t>
      </w:r>
      <w:r>
        <w:t xml:space="preserve"> to reducing risk to QSCF target species, including </w:t>
      </w:r>
      <w:r w:rsidR="004327D4">
        <w:t>teatfish</w:t>
      </w:r>
      <w:r>
        <w:t xml:space="preserve">, the model results were sensitive to larger age at maturity, emphasizing the enhanced benefits of the minimum size limit (MSL) implementation to supplement an </w:t>
      </w:r>
      <w:r w:rsidR="00120518">
        <w:t>RHA</w:t>
      </w:r>
      <w:r>
        <w:t xml:space="preserve">, with </w:t>
      </w:r>
      <w:bookmarkStart w:id="163" w:name="_Hlk144455557"/>
      <w:r>
        <w:t xml:space="preserve">the best outcomes obtained when an </w:t>
      </w:r>
      <w:r w:rsidR="00120518">
        <w:t>RHA</w:t>
      </w:r>
      <w:r>
        <w:t xml:space="preserve"> is used combined with a size limit that protects at least the first age at maturity (Plaganyi et al., 2015)</w:t>
      </w:r>
      <w:bookmarkEnd w:id="163"/>
      <w:r>
        <w:t xml:space="preserve">. </w:t>
      </w:r>
    </w:p>
    <w:p w14:paraId="250BC70C" w14:textId="585FD884" w:rsidR="009A5FA4" w:rsidRDefault="009A5FA4" w:rsidP="00B75CD0">
      <w:r>
        <w:t xml:space="preserve">The study concluded that </w:t>
      </w:r>
      <w:r w:rsidRPr="009A5FA4">
        <w:t xml:space="preserve">Black </w:t>
      </w:r>
      <w:r>
        <w:t>t</w:t>
      </w:r>
      <w:r w:rsidRPr="009A5FA4">
        <w:t xml:space="preserve">eatfish and White </w:t>
      </w:r>
      <w:r>
        <w:t>t</w:t>
      </w:r>
      <w:r w:rsidRPr="009A5FA4">
        <w:t xml:space="preserve">eatfish </w:t>
      </w:r>
      <w:r>
        <w:t xml:space="preserve">appeared to </w:t>
      </w:r>
      <w:r w:rsidRPr="009A5FA4">
        <w:t xml:space="preserve">be </w:t>
      </w:r>
      <w:r>
        <w:t xml:space="preserve">somewhat </w:t>
      </w:r>
      <w:r w:rsidRPr="009A5FA4">
        <w:t>vulnerable</w:t>
      </w:r>
      <w:r>
        <w:t xml:space="preserve">, especially </w:t>
      </w:r>
      <w:r w:rsidRPr="009A5FA4">
        <w:t>under higher catch scenarios, and should be managed with caution and more data gathered.</w:t>
      </w:r>
    </w:p>
    <w:p w14:paraId="6DC53387" w14:textId="77777777" w:rsidR="006624E1" w:rsidRDefault="006624E1" w:rsidP="00B75CD0"/>
    <w:p w14:paraId="5356B494" w14:textId="77777777" w:rsidR="00B75CD0" w:rsidRPr="00BB27C6" w:rsidRDefault="00B75CD0" w:rsidP="00B75CD0">
      <w:bookmarkStart w:id="164" w:name="_Ref142724812"/>
      <w:r w:rsidRPr="007F47B8">
        <w:rPr>
          <w:noProof/>
        </w:rPr>
        <w:drawing>
          <wp:inline distT="0" distB="0" distL="0" distR="0" wp14:anchorId="2F341D4F" wp14:editId="7D553364">
            <wp:extent cx="4860000" cy="3345329"/>
            <wp:effectExtent l="0" t="0" r="0" b="7620"/>
            <wp:docPr id="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srcRect l="3206" t="1563" r="2137" b="3126"/>
                    <a:stretch>
                      <a:fillRect/>
                    </a:stretch>
                  </pic:blipFill>
                  <pic:spPr bwMode="auto">
                    <a:xfrm>
                      <a:off x="0" y="0"/>
                      <a:ext cx="4860000" cy="3345329"/>
                    </a:xfrm>
                    <a:prstGeom prst="rect">
                      <a:avLst/>
                    </a:prstGeom>
                    <a:noFill/>
                    <a:ln w="9525">
                      <a:noFill/>
                      <a:miter lim="800000"/>
                      <a:headEnd/>
                      <a:tailEnd/>
                    </a:ln>
                  </pic:spPr>
                </pic:pic>
              </a:graphicData>
            </a:graphic>
          </wp:inline>
        </w:drawing>
      </w:r>
    </w:p>
    <w:p w14:paraId="405A853B" w14:textId="12A9A804" w:rsidR="00B75CD0" w:rsidRDefault="00B75CD0" w:rsidP="00B75CD0">
      <w:pPr>
        <w:pStyle w:val="Caption"/>
      </w:pPr>
      <w:bookmarkStart w:id="165" w:name="_Ref151553738"/>
      <w:bookmarkStart w:id="166" w:name="_Toc189044992"/>
      <w:r>
        <w:t xml:space="preserve">Figure </w:t>
      </w:r>
      <w:fldSimple w:instr=" SEQ Figure \* ARABIC ">
        <w:r w:rsidR="004263D8">
          <w:rPr>
            <w:noProof/>
          </w:rPr>
          <w:t>35</w:t>
        </w:r>
      </w:fldSimple>
      <w:bookmarkEnd w:id="164"/>
      <w:bookmarkEnd w:id="165"/>
      <w:r>
        <w:t xml:space="preserve">. </w:t>
      </w:r>
      <w:r w:rsidRPr="000E7BFA">
        <w:t>Summary of performance statistics for sensitivity analysis for depletion risk (defined as probability of biomass being reduced below 40%</w:t>
      </w:r>
      <w:r>
        <w:t xml:space="preserve"> </w:t>
      </w:r>
      <w:r w:rsidRPr="000E7BFA">
        <w:t>of the comparable no-fishing biomass level</w:t>
      </w:r>
      <w:r>
        <w:t>,</w:t>
      </w:r>
      <w:r w:rsidRPr="000E7BFA">
        <w:t xml:space="preserve"> B0)</w:t>
      </w:r>
      <w:r>
        <w:t xml:space="preserve"> (from Skewes et al., 2014)</w:t>
      </w:r>
      <w:r w:rsidRPr="000E7BFA">
        <w:t>.</w:t>
      </w:r>
      <w:bookmarkEnd w:id="166"/>
    </w:p>
    <w:p w14:paraId="6BB5FEC0" w14:textId="77777777" w:rsidR="00B75CD0" w:rsidRDefault="00B75CD0" w:rsidP="00B75CD0"/>
    <w:p w14:paraId="3FFAEF2E" w14:textId="77777777" w:rsidR="00B75CD0" w:rsidRDefault="00B75CD0" w:rsidP="00B75CD0">
      <w:bookmarkStart w:id="167" w:name="_Ref142726464"/>
      <w:r w:rsidRPr="007F47B8">
        <w:rPr>
          <w:noProof/>
        </w:rPr>
        <w:lastRenderedPageBreak/>
        <w:drawing>
          <wp:inline distT="0" distB="0" distL="0" distR="0" wp14:anchorId="48A17F69" wp14:editId="76A1B130">
            <wp:extent cx="4860000" cy="2634445"/>
            <wp:effectExtent l="0" t="0" r="0" b="0"/>
            <wp:docPr id="7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7"/>
                    <a:srcRect l="3740" t="3230" r="2671" b="3878"/>
                    <a:stretch/>
                  </pic:blipFill>
                  <pic:spPr bwMode="auto">
                    <a:xfrm>
                      <a:off x="0" y="0"/>
                      <a:ext cx="4860000" cy="2634445"/>
                    </a:xfrm>
                    <a:prstGeom prst="rect">
                      <a:avLst/>
                    </a:prstGeom>
                    <a:noFill/>
                    <a:ln>
                      <a:noFill/>
                    </a:ln>
                    <a:extLst>
                      <a:ext uri="{53640926-AAD7-44D8-BBD7-CCE9431645EC}">
                        <a14:shadowObscured xmlns:a14="http://schemas.microsoft.com/office/drawing/2010/main"/>
                      </a:ext>
                    </a:extLst>
                  </pic:spPr>
                </pic:pic>
              </a:graphicData>
            </a:graphic>
          </wp:inline>
        </w:drawing>
      </w:r>
    </w:p>
    <w:p w14:paraId="18B6930D" w14:textId="6E9BF16E" w:rsidR="00B75CD0" w:rsidRDefault="00B75CD0" w:rsidP="00B75CD0">
      <w:pPr>
        <w:pStyle w:val="Caption"/>
      </w:pPr>
      <w:bookmarkStart w:id="168" w:name="_Ref151553815"/>
      <w:bookmarkStart w:id="169" w:name="_Toc189044993"/>
      <w:r>
        <w:t xml:space="preserve">Figure </w:t>
      </w:r>
      <w:fldSimple w:instr=" SEQ Figure \* ARABIC ">
        <w:r w:rsidR="004263D8">
          <w:rPr>
            <w:noProof/>
          </w:rPr>
          <w:t>36</w:t>
        </w:r>
      </w:fldSimple>
      <w:bookmarkEnd w:id="167"/>
      <w:bookmarkEnd w:id="168"/>
      <w:r>
        <w:t xml:space="preserve">. </w:t>
      </w:r>
      <w:r w:rsidRPr="000E7BFA">
        <w:t>Summary of performance statistics for management strategies for a) Depletion risk (defined as probability of biomass being reduced below 40% of the comparable no-fishing biomass level</w:t>
      </w:r>
      <w:r>
        <w:t>, B0</w:t>
      </w:r>
      <w:r w:rsidRPr="000E7BFA">
        <w:t>). The “all zones” results assume fishing effort is spread evenly across all available zones</w:t>
      </w:r>
      <w:r>
        <w:t xml:space="preserve"> (from Skewes et al., 2014)</w:t>
      </w:r>
      <w:r w:rsidRPr="000E7BFA">
        <w:t>.</w:t>
      </w:r>
      <w:bookmarkEnd w:id="169"/>
    </w:p>
    <w:p w14:paraId="7B1D34E1" w14:textId="794F4A4D" w:rsidR="006B60AF" w:rsidRPr="006B60AF" w:rsidRDefault="006B60AF" w:rsidP="007C18B0">
      <w:pPr>
        <w:rPr>
          <w:i/>
          <w:iCs/>
          <w:u w:val="single"/>
        </w:rPr>
      </w:pPr>
      <w:r w:rsidRPr="006B60AF">
        <w:rPr>
          <w:i/>
          <w:iCs/>
          <w:u w:val="single"/>
        </w:rPr>
        <w:t>2024</w:t>
      </w:r>
    </w:p>
    <w:p w14:paraId="10C39579" w14:textId="0CF079B9" w:rsidR="007119E2" w:rsidRDefault="006624E1" w:rsidP="007C18B0">
      <w:bookmarkStart w:id="170" w:name="_Hlk170465471"/>
      <w:r>
        <w:t>A second</w:t>
      </w:r>
      <w:r w:rsidR="0045792E">
        <w:t xml:space="preserve"> MSE </w:t>
      </w:r>
      <w:r>
        <w:t xml:space="preserve">was </w:t>
      </w:r>
      <w:r w:rsidR="0045792E">
        <w:t>carried out in 2024 (</w:t>
      </w:r>
      <w:r w:rsidR="0045792E" w:rsidRPr="0045792E">
        <w:t>Wickens</w:t>
      </w:r>
      <w:r w:rsidR="0045792E">
        <w:t xml:space="preserve"> et al., 2024) </w:t>
      </w:r>
      <w:r>
        <w:t xml:space="preserve">and </w:t>
      </w:r>
      <w:r w:rsidR="007E1BAE">
        <w:t xml:space="preserve">was focussed on assessing the effectiveness of current management </w:t>
      </w:r>
      <w:r w:rsidR="000E0509">
        <w:t>arrangements</w:t>
      </w:r>
      <w:r w:rsidR="007E1BAE">
        <w:t xml:space="preserve"> for meeting fishery objectives contained in the current harvest strategy (See Section 5).</w:t>
      </w:r>
      <w:r w:rsidR="00E34134">
        <w:t xml:space="preserve"> T</w:t>
      </w:r>
      <w:r w:rsidR="00E34134" w:rsidRPr="00E34134">
        <w:t>he operating model (OM)</w:t>
      </w:r>
      <w:r w:rsidR="00E34134">
        <w:t xml:space="preserve"> for the MSE was based on an </w:t>
      </w:r>
      <w:r w:rsidR="00E34134" w:rsidRPr="00E34134">
        <w:t>age-structured spatial population model</w:t>
      </w:r>
      <w:r w:rsidR="00E34134">
        <w:t xml:space="preserve">. It contained </w:t>
      </w:r>
      <w:r w:rsidR="00E34134" w:rsidRPr="00E34134">
        <w:t>performance metric</w:t>
      </w:r>
      <w:r w:rsidR="00E34134">
        <w:t>s (</w:t>
      </w:r>
      <w:r w:rsidR="00E34134" w:rsidRPr="00E34134">
        <w:t>PM</w:t>
      </w:r>
      <w:r w:rsidR="00E34134">
        <w:t>s)</w:t>
      </w:r>
      <w:r w:rsidR="00E34134" w:rsidRPr="00E34134">
        <w:t xml:space="preserve"> to assess the results against the fishery’s harvest strategy</w:t>
      </w:r>
      <w:r w:rsidR="000E0509">
        <w:t xml:space="preserve"> (HS)</w:t>
      </w:r>
      <w:r w:rsidR="00E34134">
        <w:t>.</w:t>
      </w:r>
      <w:r>
        <w:t xml:space="preserve"> T</w:t>
      </w:r>
      <w:r w:rsidR="007119E2">
        <w:t>he assessment was fitted to time series of catch effort data.</w:t>
      </w:r>
      <w:r w:rsidR="00272284" w:rsidRPr="00272284">
        <w:t xml:space="preserve"> While a recent stock assessment for Prickly redfish, Curryfish and Burrowing blackfish (Smart et al., 2024a; 2024b) inform</w:t>
      </w:r>
      <w:r w:rsidR="000E0509">
        <w:t>ed</w:t>
      </w:r>
      <w:r w:rsidR="00272284" w:rsidRPr="00272284">
        <w:t xml:space="preserve"> the MSE, the previous teatfish stock assessments (Helidoniotis, 2021a; 2021b) were not included.</w:t>
      </w:r>
    </w:p>
    <w:p w14:paraId="494194FB" w14:textId="3E996159" w:rsidR="007E1BAE" w:rsidRPr="00272284" w:rsidRDefault="00D370D2" w:rsidP="007E1BAE">
      <w:r w:rsidRPr="00272284">
        <w:t>Its</w:t>
      </w:r>
      <w:r w:rsidR="004C487C" w:rsidRPr="00272284">
        <w:t xml:space="preserve"> primary </w:t>
      </w:r>
      <w:r w:rsidR="000E0509">
        <w:t xml:space="preserve">conclusion </w:t>
      </w:r>
      <w:r w:rsidR="004C487C" w:rsidRPr="00272284">
        <w:t xml:space="preserve">was that </w:t>
      </w:r>
      <w:r w:rsidR="007E1BAE" w:rsidRPr="00272284">
        <w:t xml:space="preserve">the settings contained in the </w:t>
      </w:r>
      <w:r w:rsidR="006624E1" w:rsidRPr="00272284">
        <w:t xml:space="preserve">current </w:t>
      </w:r>
      <w:r w:rsidR="000E0509">
        <w:t>HS</w:t>
      </w:r>
      <w:r w:rsidR="006624E1" w:rsidRPr="00272284">
        <w:t>,</w:t>
      </w:r>
      <w:r w:rsidR="007E1BAE" w:rsidRPr="00272284">
        <w:t xml:space="preserve"> </w:t>
      </w:r>
      <w:r w:rsidR="006624E1" w:rsidRPr="00272284">
        <w:t xml:space="preserve">together with </w:t>
      </w:r>
      <w:r w:rsidR="007E1BAE" w:rsidRPr="00272284">
        <w:t>other management arrangements</w:t>
      </w:r>
      <w:r w:rsidR="000E0509">
        <w:t xml:space="preserve"> (closed areas, MSL etc)</w:t>
      </w:r>
      <w:r w:rsidR="006624E1" w:rsidRPr="00272284">
        <w:t xml:space="preserve">, were </w:t>
      </w:r>
      <w:r w:rsidR="007E1BAE" w:rsidRPr="00272284">
        <w:t xml:space="preserve">likely sufficient to meet the fishery’s objective of attaining a target biomass level of 60% </w:t>
      </w:r>
      <w:r w:rsidR="006624E1" w:rsidRPr="00272284">
        <w:t>B</w:t>
      </w:r>
      <w:r w:rsidR="006624E1" w:rsidRPr="00272284">
        <w:rPr>
          <w:vertAlign w:val="subscript"/>
        </w:rPr>
        <w:t>0</w:t>
      </w:r>
      <w:r w:rsidR="004C487C" w:rsidRPr="00272284">
        <w:t xml:space="preserve"> (with B</w:t>
      </w:r>
      <w:r w:rsidR="004C487C" w:rsidRPr="00272284">
        <w:rPr>
          <w:vertAlign w:val="subscript"/>
        </w:rPr>
        <w:t>0</w:t>
      </w:r>
      <w:r w:rsidR="004C487C" w:rsidRPr="00272284">
        <w:t xml:space="preserve"> being the biomass at the start of the modern fishery in in 1985) and that t</w:t>
      </w:r>
      <w:r w:rsidR="007E1BAE" w:rsidRPr="00272284">
        <w:t xml:space="preserve">he risk of depletion for most species was low. </w:t>
      </w:r>
      <w:r w:rsidR="004C487C" w:rsidRPr="00272284">
        <w:t>However, there were s</w:t>
      </w:r>
      <w:r w:rsidR="007E1BAE" w:rsidRPr="00272284">
        <w:t>ome risk</w:t>
      </w:r>
      <w:r w:rsidR="008D72BA">
        <w:t>s</w:t>
      </w:r>
      <w:r w:rsidR="007E1BAE" w:rsidRPr="00272284">
        <w:t xml:space="preserve"> to species with a history of high catch</w:t>
      </w:r>
      <w:r w:rsidR="004C487C" w:rsidRPr="00272284">
        <w:t>, including B</w:t>
      </w:r>
      <w:r w:rsidR="007E1BAE" w:rsidRPr="00272284">
        <w:t>lack teatfish</w:t>
      </w:r>
      <w:r w:rsidR="004C487C" w:rsidRPr="00272284">
        <w:t xml:space="preserve"> and W</w:t>
      </w:r>
      <w:r w:rsidR="007E1BAE" w:rsidRPr="00272284">
        <w:t>hite teatfish</w:t>
      </w:r>
      <w:r w:rsidR="004C487C" w:rsidRPr="00272284">
        <w:t xml:space="preserve">, </w:t>
      </w:r>
      <w:r w:rsidR="007E1BAE" w:rsidRPr="00272284">
        <w:t xml:space="preserve">if </w:t>
      </w:r>
      <w:r w:rsidR="004C487C" w:rsidRPr="00272284">
        <w:t>“</w:t>
      </w:r>
      <w:r w:rsidR="007E1BAE" w:rsidRPr="00272284">
        <w:t>similar catches</w:t>
      </w:r>
      <w:r w:rsidR="004C487C" w:rsidRPr="00272284">
        <w:t>”</w:t>
      </w:r>
      <w:r w:rsidR="007E1BAE" w:rsidRPr="00272284">
        <w:t xml:space="preserve"> were reinstated.</w:t>
      </w:r>
    </w:p>
    <w:p w14:paraId="53054186" w14:textId="5A025D01" w:rsidR="002B7DA6" w:rsidRPr="00272284" w:rsidRDefault="004C487C" w:rsidP="002B7DA6">
      <w:r w:rsidRPr="00272284">
        <w:t>T</w:t>
      </w:r>
      <w:r w:rsidR="002B7DA6" w:rsidRPr="00272284">
        <w:t>he simulated biomass</w:t>
      </w:r>
      <w:r w:rsidRPr="00272284">
        <w:t xml:space="preserve"> of Black teatfish and White teatfish </w:t>
      </w:r>
      <w:r w:rsidR="002B7DA6" w:rsidRPr="00272284">
        <w:t xml:space="preserve">in 2023 </w:t>
      </w:r>
      <w:r w:rsidRPr="00272284">
        <w:t>was about</w:t>
      </w:r>
      <w:r w:rsidR="002B7DA6" w:rsidRPr="00272284">
        <w:t xml:space="preserve"> 60% </w:t>
      </w:r>
      <w:r w:rsidRPr="00272284">
        <w:t>B</w:t>
      </w:r>
      <w:r w:rsidRPr="00272284">
        <w:rPr>
          <w:vertAlign w:val="subscript"/>
        </w:rPr>
        <w:t>0</w:t>
      </w:r>
      <w:r w:rsidR="000E0509">
        <w:t xml:space="preserve">, </w:t>
      </w:r>
      <w:r w:rsidR="00272284">
        <w:t xml:space="preserve">attributed to these species having long catch histories. </w:t>
      </w:r>
      <w:r w:rsidRPr="00272284">
        <w:t>However, f</w:t>
      </w:r>
      <w:r w:rsidR="002B7DA6" w:rsidRPr="00272284">
        <w:t>or both teatfish species, there was less than 1% probability that the biomass would fall below 20% of unfished biomass across all projection years</w:t>
      </w:r>
      <w:r w:rsidRPr="00272284">
        <w:t xml:space="preserve"> under </w:t>
      </w:r>
      <w:r w:rsidR="002B7DA6" w:rsidRPr="00272284">
        <w:t>current catch levels.</w:t>
      </w:r>
    </w:p>
    <w:p w14:paraId="6D1C1207" w14:textId="2EF35ADA" w:rsidR="00D57B65" w:rsidRDefault="00D57B65" w:rsidP="00D57B65">
      <w:r>
        <w:t xml:space="preserve">The Black teatfish historical population biomass trajectory produced by the MSE OM shows an extreme depletion (in both the fishery area and closed areas) in the 1990s, followed by a partial recovery. This trajectory is certainly more extreme than available fishery data would support (Benzie and Uthicke, 2003; </w:t>
      </w:r>
      <w:r w:rsidRPr="00B77AC4">
        <w:t>Uthicke</w:t>
      </w:r>
      <w:r>
        <w:t xml:space="preserve"> and Benzie, 2000; Uthicke, 2004) which indicated that the early (1990s) modern fishery had depleted the open reefs to 25% of closed reefs, and only in the most active area of the fishery between Townsville to Cooktown (although concluding that there was likely some depletion of closed reefs and in other areas of the fishery over that period as well). It is also more extreme than the previous stock assessment model for Black teatfish (</w:t>
      </w:r>
      <w:r w:rsidRPr="00B77AC4">
        <w:t>Helidoniotis</w:t>
      </w:r>
      <w:r>
        <w:t xml:space="preserve">, 2021) which indicated only a minor depletion by the modern fishery, with most of the depletion occurring in the historical (1840-1940) fishery. In any case, the projected biomass in the MSE shows a continued recovery under most (including current) management settings, with only two high catch scenarios resulting in the population </w:t>
      </w:r>
      <w:r w:rsidR="000E0509">
        <w:t>reducing to</w:t>
      </w:r>
      <w:r>
        <w:t xml:space="preserve"> below </w:t>
      </w:r>
      <w:r w:rsidR="00451338">
        <w:t xml:space="preserve">60% </w:t>
      </w:r>
      <w:r>
        <w:t>B</w:t>
      </w:r>
      <w:r w:rsidRPr="00353CAA">
        <w:rPr>
          <w:vertAlign w:val="subscript"/>
        </w:rPr>
        <w:t>0</w:t>
      </w:r>
      <w:r>
        <w:t xml:space="preserve"> into the future (with the high TAC scenario resulting in stock collapse). </w:t>
      </w:r>
    </w:p>
    <w:p w14:paraId="68EC9120" w14:textId="22246481" w:rsidR="00D57B65" w:rsidRDefault="00D57B65" w:rsidP="00D57B65">
      <w:r>
        <w:t>For White teatfish, there was more (and large) variation in historical and projected biomass</w:t>
      </w:r>
      <w:r w:rsidR="00451338">
        <w:t xml:space="preserve"> in the MSE OM</w:t>
      </w:r>
      <w:r>
        <w:t>, with significant depletion during the high catch period in the late 1990s</w:t>
      </w:r>
      <w:r w:rsidR="000E0509">
        <w:t xml:space="preserve"> and </w:t>
      </w:r>
      <w:r>
        <w:t xml:space="preserve">early 2000s, but stabilising when catches were reduced to near current levels. Most management scenarios resulted in a relative </w:t>
      </w:r>
      <w:r>
        <w:lastRenderedPageBreak/>
        <w:t xml:space="preserve">biomass above </w:t>
      </w:r>
      <w:r w:rsidR="00451338">
        <w:t xml:space="preserve">60% </w:t>
      </w:r>
      <w:r>
        <w:t>B</w:t>
      </w:r>
      <w:r w:rsidRPr="00FE193C">
        <w:rPr>
          <w:vertAlign w:val="subscript"/>
        </w:rPr>
        <w:t>0</w:t>
      </w:r>
      <w:r>
        <w:t xml:space="preserve">, including the current management settings. Higher catch scenarios resulted in stock depletion and collapse. Higher </w:t>
      </w:r>
      <w:r w:rsidR="00E65578">
        <w:t>MSL</w:t>
      </w:r>
      <w:r>
        <w:t xml:space="preserve"> had a significant effect on depletion risk, with the no MSL scenario resulting in depletion of the stock below </w:t>
      </w:r>
      <w:r w:rsidR="00451338">
        <w:t xml:space="preserve">60% </w:t>
      </w:r>
      <w:r>
        <w:t>B</w:t>
      </w:r>
      <w:r w:rsidRPr="005A5C0B">
        <w:rPr>
          <w:vertAlign w:val="subscript"/>
        </w:rPr>
        <w:t>0</w:t>
      </w:r>
      <w:r>
        <w:t>.</w:t>
      </w:r>
    </w:p>
    <w:p w14:paraId="568858C2" w14:textId="29FAA885" w:rsidR="00D57B65" w:rsidRDefault="00D57B65" w:rsidP="00D57B65">
      <w:r>
        <w:t xml:space="preserve">Interestingly for the teatfishes </w:t>
      </w:r>
      <w:r w:rsidR="00967C9B">
        <w:t>(</w:t>
      </w:r>
      <w:r>
        <w:t>and for most species assessed in the MSE</w:t>
      </w:r>
      <w:r w:rsidR="00967C9B">
        <w:t xml:space="preserve"> for that matter)</w:t>
      </w:r>
      <w:r>
        <w:t xml:space="preserve">, when </w:t>
      </w:r>
      <w:r w:rsidRPr="003E1D17">
        <w:rPr>
          <w:i/>
          <w:iCs/>
        </w:rPr>
        <w:t>F</w:t>
      </w:r>
      <w:r w:rsidRPr="008F4C4F">
        <w:rPr>
          <w:vertAlign w:val="subscript"/>
        </w:rPr>
        <w:t>MSY</w:t>
      </w:r>
      <w:r>
        <w:t xml:space="preserve"> (the fishing rate consistent with MSY) is applied to the fishery, population levels in the fished area of the fishery are reduced to about </w:t>
      </w:r>
      <w:r w:rsidR="00451338">
        <w:t xml:space="preserve">40% </w:t>
      </w:r>
      <w:r>
        <w:t>B</w:t>
      </w:r>
      <w:r w:rsidRPr="00967C9B">
        <w:rPr>
          <w:vertAlign w:val="subscript"/>
        </w:rPr>
        <w:t>0</w:t>
      </w:r>
      <w:r>
        <w:t xml:space="preserve">, indicating that current management strategies (mostly related to current catch rates) are well below </w:t>
      </w:r>
      <w:r w:rsidRPr="003E1D17">
        <w:rPr>
          <w:i/>
          <w:iCs/>
        </w:rPr>
        <w:t>F</w:t>
      </w:r>
      <w:r w:rsidRPr="008F4C4F">
        <w:rPr>
          <w:vertAlign w:val="subscript"/>
        </w:rPr>
        <w:t>MSY</w:t>
      </w:r>
      <w:r>
        <w:t xml:space="preserve"> and the target biomass level, </w:t>
      </w:r>
      <w:r w:rsidR="00451338">
        <w:t xml:space="preserve">60% </w:t>
      </w:r>
      <w:r>
        <w:t>B</w:t>
      </w:r>
      <w:r w:rsidRPr="008F4C4F">
        <w:rPr>
          <w:vertAlign w:val="subscript"/>
        </w:rPr>
        <w:t>0</w:t>
      </w:r>
      <w:r>
        <w:t xml:space="preserve">, is </w:t>
      </w:r>
      <w:r w:rsidR="00967C9B">
        <w:t xml:space="preserve">significantly </w:t>
      </w:r>
      <w:r>
        <w:t>higher than B</w:t>
      </w:r>
      <w:r w:rsidRPr="008F4C4F">
        <w:rPr>
          <w:vertAlign w:val="subscript"/>
        </w:rPr>
        <w:t>MSY</w:t>
      </w:r>
      <w:r>
        <w:t xml:space="preserve"> – which is appropriate for the aim of achieving maximum economic benefit and for ecological considerations.</w:t>
      </w:r>
      <w:r w:rsidR="00967C9B">
        <w:t xml:space="preserve"> However, it is not known if sufficient depensation has been applied to the stock recruitment relationship, which would likely influence this output.</w:t>
      </w:r>
    </w:p>
    <w:p w14:paraId="0751CBD1" w14:textId="5934ECDF" w:rsidR="0057365A" w:rsidRDefault="0057365A" w:rsidP="0057365A">
      <w:r>
        <w:t xml:space="preserve">The MSE OM also found that populations in closed areas, while showing some divergence for species that were mostly fished after the implementation of the GBRMP RAP in 2004, would eventually be depleted by fishing under high fishing pressure scenarios, albeit at a much slower rate, while also providing resilience to heavily fished zones through interzone recruitment. </w:t>
      </w:r>
    </w:p>
    <w:p w14:paraId="65D8FD7E" w14:textId="68B521FE" w:rsidR="0057365A" w:rsidRDefault="004C487C" w:rsidP="0057365A">
      <w:r w:rsidRPr="00272284">
        <w:t xml:space="preserve">When testing </w:t>
      </w:r>
      <w:r w:rsidR="002B7DA6" w:rsidRPr="00272284">
        <w:t xml:space="preserve">a minimum size </w:t>
      </w:r>
      <w:r w:rsidR="00E65578">
        <w:t xml:space="preserve">limit </w:t>
      </w:r>
      <w:r w:rsidR="0057365A">
        <w:t>(</w:t>
      </w:r>
      <w:r w:rsidR="00E65578">
        <w:t>MSL</w:t>
      </w:r>
      <w:r w:rsidR="0057365A">
        <w:t xml:space="preserve">) </w:t>
      </w:r>
      <w:r w:rsidR="002B7DA6" w:rsidRPr="00272284">
        <w:t>25% above the length-at-maturity</w:t>
      </w:r>
      <w:r w:rsidRPr="00272284">
        <w:t>, the model found that it</w:t>
      </w:r>
      <w:r w:rsidR="002B7DA6" w:rsidRPr="00272284">
        <w:t xml:space="preserve"> provided substantial resilience to fishing</w:t>
      </w:r>
      <w:r w:rsidRPr="00272284">
        <w:t xml:space="preserve">, but </w:t>
      </w:r>
      <w:r w:rsidR="002B7DA6" w:rsidRPr="00272284">
        <w:t xml:space="preserve">performed the best when paired with a total allowable catch and rotational </w:t>
      </w:r>
      <w:r w:rsidR="00967C9B">
        <w:t>HS</w:t>
      </w:r>
      <w:r w:rsidR="002B7DA6" w:rsidRPr="00272284">
        <w:t>.</w:t>
      </w:r>
      <w:r w:rsidR="00A30F00">
        <w:t xml:space="preserve"> </w:t>
      </w:r>
      <w:r w:rsidR="0057365A">
        <w:t xml:space="preserve">Larger </w:t>
      </w:r>
      <w:r w:rsidR="00E65578">
        <w:t>MSL</w:t>
      </w:r>
      <w:r w:rsidR="0057365A">
        <w:t xml:space="preserve"> results in a higher relative biomass and lower risk of depletion, though there was often a loss of yield with higher MSL, especially for White teatfish. Also, the MSE does not appear to have addressed harvest efficiency in consideration of the efficacy of MSL for economic objectives.</w:t>
      </w:r>
    </w:p>
    <w:p w14:paraId="7AE8BF5D" w14:textId="5C5D3186" w:rsidR="004C487C" w:rsidRPr="00272284" w:rsidRDefault="004C487C" w:rsidP="004C487C">
      <w:r w:rsidRPr="00272284">
        <w:t xml:space="preserve">It also found that the rotational harvest </w:t>
      </w:r>
      <w:r w:rsidR="00967C9B">
        <w:t>arrangement (RHA)</w:t>
      </w:r>
      <w:r w:rsidRPr="00272284">
        <w:t xml:space="preserve"> in most cases exceeded the performance of the corresponding non-rotational management procedures with current catch and size limits, </w:t>
      </w:r>
      <w:r w:rsidR="00D57B65">
        <w:t xml:space="preserve">resulting in a greater average biomass even for the high TAC scenario, </w:t>
      </w:r>
      <w:r w:rsidR="00D57B65" w:rsidRPr="00272284">
        <w:t xml:space="preserve">reinforcing the benefits of the </w:t>
      </w:r>
      <w:r w:rsidR="00967C9B">
        <w:t>RHA</w:t>
      </w:r>
      <w:r w:rsidR="00D57B65" w:rsidRPr="00272284">
        <w:t>.</w:t>
      </w:r>
      <w:r w:rsidR="00D57B65" w:rsidRPr="00D57B65">
        <w:t xml:space="preserve"> </w:t>
      </w:r>
    </w:p>
    <w:p w14:paraId="69A07364" w14:textId="27F5F918" w:rsidR="0057365A" w:rsidRDefault="0057365A" w:rsidP="0057365A">
      <w:r>
        <w:t xml:space="preserve">In any case, the MSE provided a reasonably consistent set of outcomes for the various species in the fishery, regardless of the level of historical targeting and current stock status. One of these was that MP that was based on current catch levels (at least for the last 10 years), the </w:t>
      </w:r>
      <w:r w:rsidR="00967C9B">
        <w:t>RHA</w:t>
      </w:r>
      <w:r>
        <w:t xml:space="preserve"> and a </w:t>
      </w:r>
      <w:r w:rsidR="00E65578">
        <w:t>MSL</w:t>
      </w:r>
      <w:r w:rsidRPr="005B5074">
        <w:t xml:space="preserve"> 125</w:t>
      </w:r>
      <w:r>
        <w:t xml:space="preserve">% of size at maturity was the “best” overall for managing the conflicting objectives of maximising yield while protecting the population from falling below </w:t>
      </w:r>
      <w:r w:rsidR="00451338">
        <w:t xml:space="preserve">60% </w:t>
      </w:r>
      <w:r>
        <w:t>B</w:t>
      </w:r>
      <w:r w:rsidRPr="005B5074">
        <w:rPr>
          <w:vertAlign w:val="subscript"/>
        </w:rPr>
        <w:t>0</w:t>
      </w:r>
      <w:r>
        <w:t xml:space="preserve"> – though it must be noted that economic efficiency does not appear to be considered in the MSE.</w:t>
      </w:r>
    </w:p>
    <w:p w14:paraId="32172039" w14:textId="638C4353" w:rsidR="00272284" w:rsidRDefault="004816A6" w:rsidP="00272284">
      <w:r>
        <w:t>Though not designed to estimate current stock status, t</w:t>
      </w:r>
      <w:r w:rsidR="00D84403">
        <w:t xml:space="preserve">he MSE </w:t>
      </w:r>
      <w:r>
        <w:t xml:space="preserve">OM results in </w:t>
      </w:r>
      <w:r w:rsidR="00D84403">
        <w:t xml:space="preserve">both teatfish populations </w:t>
      </w:r>
      <w:r>
        <w:t xml:space="preserve">currently being </w:t>
      </w:r>
      <w:r w:rsidR="00D84403">
        <w:t xml:space="preserve">at or </w:t>
      </w:r>
      <w:r>
        <w:t xml:space="preserve">above </w:t>
      </w:r>
      <w:r w:rsidR="00D84403">
        <w:t>target refence level</w:t>
      </w:r>
      <w:r>
        <w:t>s</w:t>
      </w:r>
      <w:r w:rsidR="00D84403">
        <w:t xml:space="preserve"> – for Black teatfish </w:t>
      </w:r>
      <w:r w:rsidR="008D72BA">
        <w:t xml:space="preserve">it </w:t>
      </w:r>
      <w:r w:rsidR="00D84403">
        <w:t>is with moderate confidence (some surveys available, but effect of earlier</w:t>
      </w:r>
      <w:r>
        <w:t xml:space="preserve"> heavy fishing pressure</w:t>
      </w:r>
      <w:r w:rsidR="00D84403">
        <w:t xml:space="preserve"> unknown); and for White teatfish it is with low confidence (no survey or other data available).</w:t>
      </w:r>
    </w:p>
    <w:p w14:paraId="1D25FC55" w14:textId="3D7F0CEA" w:rsidR="00A87A79" w:rsidRDefault="00D952FC" w:rsidP="00D952FC">
      <w:r>
        <w:t xml:space="preserve">Even though the </w:t>
      </w:r>
      <w:r w:rsidR="00967C9B">
        <w:t>2014 and 2024</w:t>
      </w:r>
      <w:r>
        <w:t xml:space="preserve"> MSEs were based on OM</w:t>
      </w:r>
      <w:r w:rsidR="008D72BA">
        <w:t>s</w:t>
      </w:r>
      <w:r>
        <w:t xml:space="preserve"> that had two distinct stock recruitment assumptions, t</w:t>
      </w:r>
      <w:r w:rsidR="00A87A79">
        <w:t xml:space="preserve">he conclusions of the latest MSE was reasonably consistent with the 2014 </w:t>
      </w:r>
      <w:r w:rsidR="00967C9B">
        <w:t>assessment</w:t>
      </w:r>
      <w:r w:rsidR="00A87A79">
        <w:t xml:space="preserve"> (Skewes et al., 2014; </w:t>
      </w:r>
      <w:r w:rsidR="001F2949">
        <w:t>Plaganyi</w:t>
      </w:r>
      <w:r w:rsidR="00A87A79">
        <w:t xml:space="preserve"> et al., 2015), including the efficacy of the </w:t>
      </w:r>
      <w:r w:rsidR="00967C9B">
        <w:t>RHA</w:t>
      </w:r>
      <w:r w:rsidR="00A87A79">
        <w:t xml:space="preserve"> to reduce the risk of localised and overall depletion, </w:t>
      </w:r>
      <w:r w:rsidR="00A17CD1">
        <w:t xml:space="preserve">and </w:t>
      </w:r>
      <w:r w:rsidR="00A87A79">
        <w:t>improve long term fishery yield.</w:t>
      </w:r>
      <w:r w:rsidR="00A17CD1">
        <w:t xml:space="preserve"> </w:t>
      </w:r>
      <w:r>
        <w:t xml:space="preserve">They both </w:t>
      </w:r>
      <w:r w:rsidR="00A17CD1">
        <w:t xml:space="preserve">also </w:t>
      </w:r>
      <w:r w:rsidR="001F2949">
        <w:t>highlight</w:t>
      </w:r>
      <w:r>
        <w:t>ed</w:t>
      </w:r>
      <w:r w:rsidR="001F2949">
        <w:t xml:space="preserve"> the importance of s</w:t>
      </w:r>
      <w:r w:rsidR="00A87A79">
        <w:t xml:space="preserve">ize limits </w:t>
      </w:r>
      <w:r w:rsidR="001F2949">
        <w:t xml:space="preserve">for reducing the risk of depletion. The two teatfish species also had the relatively highest risks, though in this MSE, it was </w:t>
      </w:r>
      <w:r w:rsidR="00A87A79">
        <w:t>deemed appropriately low.</w:t>
      </w:r>
    </w:p>
    <w:p w14:paraId="47046543" w14:textId="78D3E9C5" w:rsidR="0057365A" w:rsidRDefault="0057365A" w:rsidP="0057365A">
      <w:r>
        <w:t xml:space="preserve">It is unknown if any of the issues raised in the previous reviews of the teatfish stock assessments will also be applicable to this study. </w:t>
      </w:r>
      <w:r w:rsidR="00120518">
        <w:t>They (Wickens et al., 2024) acknowledge that the MSE “</w:t>
      </w:r>
      <w:r w:rsidR="00120518" w:rsidRPr="00C24BB9">
        <w:rPr>
          <w:i/>
          <w:iCs/>
        </w:rPr>
        <w:t>incorporated a larger level of uncertainty than is often typical</w:t>
      </w:r>
      <w:r w:rsidR="00120518">
        <w:t xml:space="preserve">”, and attributed most of this uncertainty to a lack of reliable biological information for species assessed in the MSE. </w:t>
      </w:r>
      <w:r>
        <w:t xml:space="preserve">The study requires an expert review and response, </w:t>
      </w:r>
      <w:bookmarkStart w:id="171" w:name="_Hlk169080845"/>
      <w:r>
        <w:t>which could be addressed using a consultative review process, as was recently completed for several other species in the fishery (Smart et al., 2024a; 2024b; 2024c; Buckworth and Skewes, 2024).</w:t>
      </w:r>
    </w:p>
    <w:p w14:paraId="1DD95F83" w14:textId="77777777" w:rsidR="00892D6F" w:rsidRPr="008D08E6" w:rsidRDefault="00892D6F" w:rsidP="008D08E6">
      <w:pPr>
        <w:pStyle w:val="Heading2"/>
        <w:ind w:left="851" w:hanging="851"/>
      </w:pPr>
      <w:bookmarkStart w:id="172" w:name="_Toc139374133"/>
      <w:bookmarkStart w:id="173" w:name="_Toc189044943"/>
      <w:bookmarkEnd w:id="171"/>
      <w:bookmarkEnd w:id="170"/>
      <w:r w:rsidRPr="00892D6F">
        <w:t>Ecological Risk Assessment (ERA)</w:t>
      </w:r>
      <w:bookmarkEnd w:id="172"/>
      <w:bookmarkEnd w:id="173"/>
    </w:p>
    <w:p w14:paraId="664A3FBC" w14:textId="5E49EC50" w:rsidR="00D82401" w:rsidRDefault="002D3C4F" w:rsidP="00501430">
      <w:r>
        <w:t xml:space="preserve">Two </w:t>
      </w:r>
      <w:r w:rsidR="00501430">
        <w:t>Ecological Risk Assessment</w:t>
      </w:r>
      <w:r>
        <w:t>s</w:t>
      </w:r>
      <w:r w:rsidR="00501430">
        <w:t xml:space="preserve"> (ERA) </w:t>
      </w:r>
      <w:r>
        <w:t>ha</w:t>
      </w:r>
      <w:r w:rsidR="007D2DDE">
        <w:t>ve</w:t>
      </w:r>
      <w:r>
        <w:t xml:space="preserve"> </w:t>
      </w:r>
      <w:r w:rsidR="003E5A3D">
        <w:t>been</w:t>
      </w:r>
      <w:r>
        <w:t xml:space="preserve"> caried out on the QSCF, the first in 2004 (Roelofs, 2004) and the most recent in 2021 (</w:t>
      </w:r>
      <w:r w:rsidRPr="002D3C4F">
        <w:t>Pidd</w:t>
      </w:r>
      <w:r>
        <w:t xml:space="preserve"> and </w:t>
      </w:r>
      <w:r w:rsidRPr="002D3C4F">
        <w:t>Jacobsen, 2021</w:t>
      </w:r>
      <w:r>
        <w:t>)</w:t>
      </w:r>
      <w:r w:rsidR="00501430">
        <w:t xml:space="preserve">. </w:t>
      </w:r>
      <w:r w:rsidR="003E5A3D">
        <w:t xml:space="preserve">The most recent assessment followed </w:t>
      </w:r>
      <w:r w:rsidR="003E5A3D" w:rsidRPr="003E5A3D">
        <w:t xml:space="preserve">Ecological </w:t>
      </w:r>
      <w:r w:rsidR="003E5A3D" w:rsidRPr="003E5A3D">
        <w:lastRenderedPageBreak/>
        <w:t>Risk Assessment Guideline (the Guideline) (DA</w:t>
      </w:r>
      <w:r w:rsidR="003E5A3D">
        <w:t>F</w:t>
      </w:r>
      <w:r w:rsidR="003E5A3D" w:rsidRPr="003E5A3D">
        <w:t>, 2018)</w:t>
      </w:r>
      <w:r w:rsidR="00D82401">
        <w:t>, which in turn is</w:t>
      </w:r>
      <w:r w:rsidR="00D82401" w:rsidRPr="00D82401">
        <w:t xml:space="preserve"> broadly aligned with the national risk assessment framework; otherwise known as the Ecological Risk Assessment for the Effects of Fishing (ERAEF) (AFMA, 2017). This framework is based on a hierarchical approach and describes how a fishery will move from a qualitative assessment (level 1) through to a </w:t>
      </w:r>
      <w:r w:rsidR="0002599B">
        <w:t xml:space="preserve">fully </w:t>
      </w:r>
      <w:r w:rsidR="00D82401" w:rsidRPr="00D82401">
        <w:t>quantitative assessment (level 3).</w:t>
      </w:r>
    </w:p>
    <w:p w14:paraId="78DC4B78" w14:textId="23746D0D" w:rsidR="00922899" w:rsidRDefault="00922899" w:rsidP="00922899">
      <w:r>
        <w:t xml:space="preserve">The </w:t>
      </w:r>
      <w:r w:rsidR="0002599B">
        <w:t xml:space="preserve">2021 </w:t>
      </w:r>
      <w:r>
        <w:t>QSCF ERA ap</w:t>
      </w:r>
      <w:r w:rsidR="00501430">
        <w:t xml:space="preserve">plied a </w:t>
      </w:r>
      <w:r>
        <w:t xml:space="preserve">Level 1 </w:t>
      </w:r>
      <w:r w:rsidR="0002599B">
        <w:t>(qualitative) assessment to</w:t>
      </w:r>
      <w:r>
        <w:t xml:space="preserve"> 18 ecological components including two quota species (Black teatfish and White teatfish); Burrowing blackfish; the ‘other species’ basket; bycatch; </w:t>
      </w:r>
      <w:r w:rsidR="00881DFC" w:rsidRPr="00881DFC">
        <w:t>Species of Conservation Concern (SOCC)</w:t>
      </w:r>
      <w:r>
        <w:t xml:space="preserve">; marine habitats, and ecosystem processes. These were assessed against </w:t>
      </w:r>
      <w:r w:rsidRPr="00922899">
        <w:t>seven fishing activities (harvesting, discarding, contact without capture, loss of fishing gear, travel to/from fishing grounds, disturbance due to presence in the area, and boat maintenance and emissions</w:t>
      </w:r>
      <w:r w:rsidR="008D72BA">
        <w:t>)</w:t>
      </w:r>
      <w:r>
        <w:t xml:space="preserve">. </w:t>
      </w:r>
    </w:p>
    <w:p w14:paraId="3FBDAFE3" w14:textId="43253786" w:rsidR="00922899" w:rsidRDefault="00922899" w:rsidP="00A25DB2">
      <w:r>
        <w:t>Each ecological component was assigned a preliminary risk rating based on the highest risk score within their profile. Preliminary risk ratings are meant to be precautionary.</w:t>
      </w:r>
      <w:r w:rsidR="00A25DB2">
        <w:t xml:space="preserve"> A secondary evaluation was conducted on ecological components with higher ratings</w:t>
      </w:r>
      <w:r w:rsidR="00075563">
        <w:t xml:space="preserve">, which </w:t>
      </w:r>
      <w:r w:rsidR="00A25DB2">
        <w:t>examine</w:t>
      </w:r>
      <w:r w:rsidR="00075563">
        <w:t>d</w:t>
      </w:r>
      <w:r w:rsidR="00A25DB2">
        <w:t xml:space="preserve"> the likelihood of the risk coming to fruition over the short to medium term.</w:t>
      </w:r>
    </w:p>
    <w:p w14:paraId="0126A07C" w14:textId="0DE77F89" w:rsidR="00075563" w:rsidRDefault="00A25DB2" w:rsidP="00881DFC">
      <w:r>
        <w:t>The Level 1 ERA indicated that 16 (89%) of the ecological components were at negligible, low or low/intermediate risk of experiencing an undesirable event due to fishing activities in the QSCF</w:t>
      </w:r>
      <w:r w:rsidR="00075563">
        <w:t xml:space="preserve">, primarily </w:t>
      </w:r>
      <w:r>
        <w:t>reflect</w:t>
      </w:r>
      <w:r w:rsidR="00075563">
        <w:t>ing</w:t>
      </w:r>
      <w:r>
        <w:t xml:space="preserve"> the fact that the QSCF is a hand collection fishery and has minimal/negligible impacts on non-target species. </w:t>
      </w:r>
      <w:r w:rsidR="00075563">
        <w:t>T</w:t>
      </w:r>
      <w:r>
        <w:t xml:space="preserve">wo </w:t>
      </w:r>
      <w:r w:rsidR="00075563">
        <w:t>components, B</w:t>
      </w:r>
      <w:r>
        <w:t>urrowing blackfish and the ‘Other Species’ basket were assigned risk ratings of intermediate and intermediate/high respectively.</w:t>
      </w:r>
    </w:p>
    <w:p w14:paraId="4D3941D3" w14:textId="7EE5817E" w:rsidR="00075563" w:rsidRPr="00881DFC" w:rsidRDefault="00075563" w:rsidP="00075563">
      <w:pPr>
        <w:rPr>
          <w:b/>
          <w:bCs/>
        </w:rPr>
      </w:pPr>
      <w:r>
        <w:t xml:space="preserve">In the case of the ‘Other Species’ category, the </w:t>
      </w:r>
      <w:r w:rsidRPr="00881DFC">
        <w:t>Intermediate/High</w:t>
      </w:r>
      <w:r>
        <w:t xml:space="preserve">, risk ranking was mainly due to the fact that effort could theoretically be redirected towards a small number of species within the </w:t>
      </w:r>
      <w:r w:rsidR="008D72BA">
        <w:t>‘</w:t>
      </w:r>
      <w:r>
        <w:t>Other species</w:t>
      </w:r>
      <w:r w:rsidR="008D72BA">
        <w:t>’</w:t>
      </w:r>
      <w:r>
        <w:t xml:space="preserve"> quota of 308 tonnes if, for example, market demand for a single species increased. This risk was compounded by the limited information on the sustainability of species included in the ‘Other Species’ </w:t>
      </w:r>
      <w:r w:rsidR="006F3E0D">
        <w:t xml:space="preserve">category. </w:t>
      </w:r>
      <w:r w:rsidR="00E82DB2">
        <w:t>The risk was somewhat mitigated by the (at the time impending) implementation of the</w:t>
      </w:r>
      <w:r w:rsidR="00ED163C">
        <w:t xml:space="preserve"> new</w:t>
      </w:r>
      <w:r w:rsidR="00E82DB2">
        <w:t xml:space="preserve"> Harvest Strategy</w:t>
      </w:r>
      <w:r w:rsidR="00ED163C">
        <w:t xml:space="preserve"> for the QSCF</w:t>
      </w:r>
      <w:r w:rsidR="00E82DB2">
        <w:t xml:space="preserve">; low risks of </w:t>
      </w:r>
      <w:r w:rsidR="00E82DB2" w:rsidRPr="00D16728">
        <w:t>non-compliance through the use of the VMS, prior reporting, and cross-referencing</w:t>
      </w:r>
      <w:r w:rsidR="00E82DB2">
        <w:t xml:space="preserve">; and low levels of </w:t>
      </w:r>
      <w:r w:rsidR="00E82DB2" w:rsidRPr="00D16728">
        <w:t>additional fishing mortality</w:t>
      </w:r>
      <w:r w:rsidR="00E82DB2">
        <w:t xml:space="preserve"> from other sectors.</w:t>
      </w:r>
    </w:p>
    <w:p w14:paraId="31B0D165" w14:textId="2387B813" w:rsidR="006F3E0D" w:rsidRDefault="006F3E0D" w:rsidP="006F3E0D">
      <w:r>
        <w:t>Despite identifying the key role the sea cucumbers play in benthic habitats, the difficulty in ascertaining how their exploitation may impact regional ecosystems, and the high risks associated with basket species due to the less specified controls on catch and effort, e</w:t>
      </w:r>
      <w:r w:rsidRPr="00881DFC">
        <w:t xml:space="preserve">cosystem </w:t>
      </w:r>
      <w:r>
        <w:t>p</w:t>
      </w:r>
      <w:r w:rsidRPr="00881DFC">
        <w:t xml:space="preserve">rocesses </w:t>
      </w:r>
      <w:r>
        <w:t>were assessed as a l</w:t>
      </w:r>
      <w:r w:rsidRPr="00881DFC">
        <w:t>ow/</w:t>
      </w:r>
      <w:r>
        <w:t>i</w:t>
      </w:r>
      <w:r w:rsidRPr="00881DFC">
        <w:t>ntermediate</w:t>
      </w:r>
      <w:r>
        <w:t xml:space="preserve"> risk. The study contends that the ecosystem risks are mitigated by catch limits for key species, rotational harvesting and a comprehensive system of spatial closures. They concede that the risk to e</w:t>
      </w:r>
      <w:r w:rsidRPr="00881DFC">
        <w:t xml:space="preserve">cosystem </w:t>
      </w:r>
      <w:r>
        <w:t>p</w:t>
      </w:r>
      <w:r w:rsidRPr="00881DFC">
        <w:t>rocesses</w:t>
      </w:r>
      <w:r>
        <w:t xml:space="preserve"> may increase</w:t>
      </w:r>
      <w:r w:rsidRPr="006F3E0D">
        <w:t xml:space="preserve"> </w:t>
      </w:r>
      <w:r>
        <w:t>if catch and/or effort were to increase.</w:t>
      </w:r>
    </w:p>
    <w:p w14:paraId="709A1A59" w14:textId="5F06055D" w:rsidR="00881DFC" w:rsidRDefault="0076384A" w:rsidP="00881DFC">
      <w:r>
        <w:t>The assessment concluded that, b</w:t>
      </w:r>
      <w:r w:rsidR="00881DFC">
        <w:t>ased on the outputs of the Level 1 ERA and the pending introduction of a fishery-specific harvest strategy, progression of the QSCF to a Level 2 assessment is not considered a priority.</w:t>
      </w:r>
    </w:p>
    <w:p w14:paraId="3C287828" w14:textId="45A5B696" w:rsidR="00881DFC" w:rsidRDefault="0076384A" w:rsidP="00881DFC">
      <w:r>
        <w:t>It did recommend c</w:t>
      </w:r>
      <w:r w:rsidR="00881DFC">
        <w:t>onsider</w:t>
      </w:r>
      <w:r>
        <w:t>ation of</w:t>
      </w:r>
      <w:r w:rsidR="00881DFC">
        <w:t xml:space="preserve"> the need for sustainability assessments for other target species not currently managed under </w:t>
      </w:r>
      <w:r w:rsidR="00E82DB2">
        <w:t>species-specific quotas, and examining the suitability or applicability of managing their take under species-specific TACC limit</w:t>
      </w:r>
      <w:r w:rsidR="008D72BA">
        <w:t>s</w:t>
      </w:r>
      <w:r>
        <w:t>.</w:t>
      </w:r>
    </w:p>
    <w:p w14:paraId="130F1A8F" w14:textId="1DFF9382" w:rsidR="00D15515" w:rsidRDefault="00E82DB2" w:rsidP="00D15515">
      <w:r>
        <w:t xml:space="preserve">Other relevant recommendations included: </w:t>
      </w:r>
    </w:p>
    <w:p w14:paraId="01F7EBFB" w14:textId="44E02D7D" w:rsidR="00D15515" w:rsidRDefault="00D15515" w:rsidP="00A87F05">
      <w:pPr>
        <w:pStyle w:val="ListParagraph"/>
        <w:numPr>
          <w:ilvl w:val="0"/>
          <w:numId w:val="21"/>
        </w:numPr>
      </w:pPr>
      <w:r>
        <w:t xml:space="preserve">Improve the level of information on the biology, stock structure, and status of key species </w:t>
      </w:r>
      <w:r w:rsidR="00E82DB2">
        <w:t xml:space="preserve">(though </w:t>
      </w:r>
      <w:r>
        <w:t>prioritising white teatfish, black teatfish and burrowing blackfish</w:t>
      </w:r>
      <w:r w:rsidR="00E82DB2">
        <w:t>)</w:t>
      </w:r>
      <w:r>
        <w:t>;</w:t>
      </w:r>
    </w:p>
    <w:p w14:paraId="71DF2B8B" w14:textId="51C759D7" w:rsidR="003A1A94" w:rsidRDefault="00D15515" w:rsidP="000B319E">
      <w:pPr>
        <w:pStyle w:val="ListParagraph"/>
        <w:numPr>
          <w:ilvl w:val="0"/>
          <w:numId w:val="21"/>
        </w:numPr>
      </w:pPr>
      <w:r>
        <w:t xml:space="preserve">Obtain </w:t>
      </w:r>
      <w:r w:rsidR="00E82DB2">
        <w:t>more</w:t>
      </w:r>
      <w:r>
        <w:t xml:space="preserve"> information on the cumulative fishing pressures (commercial, recreational and indigenous fishing) exerted on these species and gaining a better understanding of total fishing mortality.</w:t>
      </w:r>
    </w:p>
    <w:p w14:paraId="014BD2FD" w14:textId="77777777" w:rsidR="00DD488F" w:rsidRDefault="00DD488F" w:rsidP="000A6D1F">
      <w:pPr>
        <w:pStyle w:val="Heading1"/>
        <w:ind w:left="851" w:hanging="851"/>
      </w:pPr>
      <w:bookmarkStart w:id="174" w:name="_Toc189044944"/>
      <w:r>
        <w:lastRenderedPageBreak/>
        <w:t>Management</w:t>
      </w:r>
      <w:bookmarkEnd w:id="174"/>
    </w:p>
    <w:p w14:paraId="0216A314" w14:textId="77777777" w:rsidR="00892D6F" w:rsidRPr="00FB4EE0" w:rsidRDefault="00892D6F" w:rsidP="008D08E6">
      <w:pPr>
        <w:pStyle w:val="Heading2"/>
        <w:ind w:left="851" w:hanging="851"/>
      </w:pPr>
      <w:bookmarkStart w:id="175" w:name="_Toc139374135"/>
      <w:bookmarkStart w:id="176" w:name="_Toc189044945"/>
      <w:r w:rsidRPr="00FB4EE0">
        <w:t>Current management</w:t>
      </w:r>
      <w:bookmarkEnd w:id="175"/>
      <w:bookmarkEnd w:id="176"/>
    </w:p>
    <w:p w14:paraId="5B7BB43B" w14:textId="4920D440" w:rsidR="00346DB0" w:rsidRDefault="001A1C4E" w:rsidP="00E83E9E">
      <w:r>
        <w:t>The QSCF is managed under r</w:t>
      </w:r>
      <w:r w:rsidRPr="001A1C4E">
        <w:t xml:space="preserve">elevant </w:t>
      </w:r>
      <w:r>
        <w:t xml:space="preserve">Queensland </w:t>
      </w:r>
      <w:r w:rsidRPr="001A1C4E">
        <w:t>fisheries legislation</w:t>
      </w:r>
      <w:r>
        <w:t xml:space="preserve">, including the </w:t>
      </w:r>
      <w:r w:rsidRPr="00CB2A97">
        <w:rPr>
          <w:i/>
        </w:rPr>
        <w:t>Fisheries Act 1994</w:t>
      </w:r>
      <w:r>
        <w:t xml:space="preserve">. </w:t>
      </w:r>
      <w:r w:rsidRPr="001A1C4E">
        <w:t>Fishers must also comply with state marine park and Great Barrier Reef Marine Park zoning rules</w:t>
      </w:r>
      <w:r>
        <w:t xml:space="preserve">. </w:t>
      </w:r>
      <w:r w:rsidR="00346DB0">
        <w:t>T</w:t>
      </w:r>
      <w:r>
        <w:t xml:space="preserve">he </w:t>
      </w:r>
      <w:r w:rsidR="00346DB0">
        <w:t xml:space="preserve">Commonwealth </w:t>
      </w:r>
      <w:r w:rsidRPr="00CB2A97">
        <w:rPr>
          <w:i/>
        </w:rPr>
        <w:t>Environment Protection and Biodiversity Conservation Act 1999</w:t>
      </w:r>
      <w:r>
        <w:t xml:space="preserve"> (Cwlth) appl</w:t>
      </w:r>
      <w:r w:rsidR="00346DB0">
        <w:t>ies</w:t>
      </w:r>
      <w:r>
        <w:t xml:space="preserve"> to export product from the fishery. Since </w:t>
      </w:r>
      <w:r w:rsidR="00720114" w:rsidRPr="00720114">
        <w:t xml:space="preserve">September 2021, the sea cucumber fishery </w:t>
      </w:r>
      <w:r>
        <w:t xml:space="preserve">has been </w:t>
      </w:r>
      <w:r w:rsidR="00720114" w:rsidRPr="00720114">
        <w:t>managed under the Queensland sea cucumber fishery harvest strategy</w:t>
      </w:r>
      <w:r>
        <w:t xml:space="preserve"> (HS)</w:t>
      </w:r>
      <w:r w:rsidR="00911BD0">
        <w:t xml:space="preserve"> (</w:t>
      </w:r>
      <w:r w:rsidR="00911BD0" w:rsidRPr="00632830">
        <w:t>DAF, 2021b</w:t>
      </w:r>
      <w:r w:rsidR="00911BD0">
        <w:t>)</w:t>
      </w:r>
      <w:r w:rsidR="002C19D5">
        <w:t xml:space="preserve">, which implements objectives consistent with </w:t>
      </w:r>
      <w:r w:rsidR="002C19D5" w:rsidRPr="002C19D5">
        <w:t>the Queensland Sustainable Fisheries Strategy 2017–2027</w:t>
      </w:r>
      <w:r w:rsidR="00E45765">
        <w:t xml:space="preserve"> (DAF, 2017</w:t>
      </w:r>
      <w:r w:rsidR="008E22E1">
        <w:t>a</w:t>
      </w:r>
      <w:r w:rsidR="00E45765">
        <w:t>)</w:t>
      </w:r>
      <w:r w:rsidR="00720114" w:rsidRPr="00720114">
        <w:t>.</w:t>
      </w:r>
      <w:r>
        <w:t xml:space="preserve"> </w:t>
      </w:r>
    </w:p>
    <w:p w14:paraId="22F3C3AD" w14:textId="28E85F76" w:rsidR="001A1C4E" w:rsidRDefault="00346DB0" w:rsidP="00E83E9E">
      <w:r>
        <w:t xml:space="preserve">The primary </w:t>
      </w:r>
      <w:r w:rsidR="001A1C4E">
        <w:t xml:space="preserve">management strategies </w:t>
      </w:r>
      <w:r>
        <w:t>contained in the above include:</w:t>
      </w:r>
    </w:p>
    <w:p w14:paraId="66DA72D9" w14:textId="662CA747" w:rsidR="00490A9D" w:rsidRDefault="00490A9D" w:rsidP="00A87F05">
      <w:pPr>
        <w:pStyle w:val="ListParagraph"/>
        <w:numPr>
          <w:ilvl w:val="0"/>
          <w:numId w:val="20"/>
        </w:numPr>
      </w:pPr>
      <w:r>
        <w:t xml:space="preserve">Limited entry. </w:t>
      </w:r>
      <w:r w:rsidR="00346DB0">
        <w:t xml:space="preserve">Commercial fishery access can only occur under a primary commercial fishing licence with a B1 fishery symbol. </w:t>
      </w:r>
      <w:r>
        <w:t>From January 1995 entry into the fishery was limited to 18 licences</w:t>
      </w:r>
      <w:r w:rsidR="00346DB0">
        <w:t>. (</w:t>
      </w:r>
      <w:r>
        <w:t>Currently, all licences are controlled by 2 operators in the fishery</w:t>
      </w:r>
      <w:r w:rsidR="00346DB0">
        <w:t>)</w:t>
      </w:r>
    </w:p>
    <w:p w14:paraId="2405FE83" w14:textId="5FD93264" w:rsidR="00346DB0" w:rsidRDefault="00346DB0" w:rsidP="00A87F05">
      <w:pPr>
        <w:pStyle w:val="ListParagraph"/>
        <w:numPr>
          <w:ilvl w:val="0"/>
          <w:numId w:val="20"/>
        </w:numPr>
      </w:pPr>
      <w:r w:rsidRPr="00720114">
        <w:t xml:space="preserve">The fishery has been quota-managed since 1991 with a total allowable commercial catch (TACC). The TACC is allocated amongst individual transferable quota (ITQ) units for </w:t>
      </w:r>
      <w:r w:rsidR="00253CF4">
        <w:t>B</w:t>
      </w:r>
      <w:r w:rsidRPr="00720114">
        <w:t>lack teatfish</w:t>
      </w:r>
      <w:r w:rsidR="00253CF4">
        <w:t xml:space="preserve"> (currently 30 t)</w:t>
      </w:r>
      <w:r w:rsidRPr="00720114">
        <w:t xml:space="preserve">, </w:t>
      </w:r>
      <w:r w:rsidR="00253CF4">
        <w:t>W</w:t>
      </w:r>
      <w:r w:rsidRPr="00720114">
        <w:t xml:space="preserve">hite </w:t>
      </w:r>
      <w:r w:rsidR="00B56C15" w:rsidRPr="00720114">
        <w:t>teatfish</w:t>
      </w:r>
      <w:r w:rsidRPr="00720114">
        <w:t xml:space="preserve"> </w:t>
      </w:r>
      <w:r w:rsidR="00253CF4">
        <w:t xml:space="preserve">(currently 53 t) </w:t>
      </w:r>
      <w:r w:rsidRPr="00720114">
        <w:t>and other sea cucumber</w:t>
      </w:r>
      <w:r w:rsidR="000D7F94">
        <w:t>s</w:t>
      </w:r>
      <w:r w:rsidRPr="00720114">
        <w:t>.</w:t>
      </w:r>
      <w:r>
        <w:t xml:space="preserve"> </w:t>
      </w:r>
      <w:r w:rsidRPr="00720114">
        <w:t>The TACC is adjusted according to the decision rules in the</w:t>
      </w:r>
      <w:r w:rsidR="00AE1B56">
        <w:t xml:space="preserve"> </w:t>
      </w:r>
      <w:r w:rsidR="00ED163C">
        <w:t>HS</w:t>
      </w:r>
      <w:r w:rsidRPr="00720114">
        <w:t xml:space="preserve"> each year. The current TACC can be found in the Fisheries Quota Declaration 2019</w:t>
      </w:r>
      <w:r w:rsidR="00B56C15">
        <w:t>.</w:t>
      </w:r>
    </w:p>
    <w:p w14:paraId="6574D628" w14:textId="0EBE978B" w:rsidR="00490A9D" w:rsidRDefault="00490A9D" w:rsidP="00A87F05">
      <w:pPr>
        <w:pStyle w:val="ListParagraph"/>
        <w:numPr>
          <w:ilvl w:val="0"/>
          <w:numId w:val="20"/>
        </w:numPr>
      </w:pPr>
      <w:r>
        <w:t xml:space="preserve">Gear restrictions – collection by hand only, commercial collectors allowed to use underwater breathing </w:t>
      </w:r>
      <w:r w:rsidR="00B56C15">
        <w:t>apparatus.</w:t>
      </w:r>
    </w:p>
    <w:p w14:paraId="7DBFEB43" w14:textId="3C98A3E4" w:rsidR="00747402" w:rsidRDefault="00747402" w:rsidP="00A87F05">
      <w:pPr>
        <w:pStyle w:val="ListParagraph"/>
        <w:numPr>
          <w:ilvl w:val="0"/>
          <w:numId w:val="20"/>
        </w:numPr>
      </w:pPr>
      <w:r>
        <w:t xml:space="preserve">Species </w:t>
      </w:r>
      <w:r w:rsidRPr="00747402">
        <w:t xml:space="preserve">specific minimum size limits </w:t>
      </w:r>
      <w:r>
        <w:t xml:space="preserve">(MSL) </w:t>
      </w:r>
      <w:r w:rsidRPr="00747402">
        <w:t>are i</w:t>
      </w:r>
      <w:r w:rsidR="00B528A7">
        <w:t xml:space="preserve">mplemented </w:t>
      </w:r>
      <w:r w:rsidRPr="00747402">
        <w:t>as a condition of authority</w:t>
      </w:r>
      <w:r w:rsidR="00B528A7">
        <w:t>.</w:t>
      </w:r>
    </w:p>
    <w:p w14:paraId="4E48A8E1" w14:textId="615EC994" w:rsidR="00490A9D" w:rsidRDefault="00490A9D" w:rsidP="00A87F05">
      <w:pPr>
        <w:pStyle w:val="ListParagraph"/>
        <w:numPr>
          <w:ilvl w:val="0"/>
          <w:numId w:val="20"/>
        </w:numPr>
      </w:pPr>
      <w:r>
        <w:t>Vessel restrictions – One main vessel that is allocated on each authority, with up to 4 dories less than 7m in length for each authority holder</w:t>
      </w:r>
      <w:r w:rsidR="00B56C15">
        <w:t>.</w:t>
      </w:r>
    </w:p>
    <w:p w14:paraId="54838C3D" w14:textId="18CEF4A5" w:rsidR="00490A9D" w:rsidRDefault="00490A9D" w:rsidP="00A87F05">
      <w:pPr>
        <w:pStyle w:val="ListParagraph"/>
        <w:numPr>
          <w:ilvl w:val="0"/>
          <w:numId w:val="20"/>
        </w:numPr>
      </w:pPr>
      <w:r>
        <w:t xml:space="preserve">Up to </w:t>
      </w:r>
      <w:r w:rsidR="00182D53">
        <w:t xml:space="preserve">6 </w:t>
      </w:r>
      <w:r>
        <w:t>fishers per authority working at any one time</w:t>
      </w:r>
      <w:r w:rsidR="00B56C15">
        <w:t>.</w:t>
      </w:r>
    </w:p>
    <w:p w14:paraId="7DE37339" w14:textId="6F33E53A" w:rsidR="00346DB0" w:rsidRDefault="00346DB0" w:rsidP="00A87F05">
      <w:pPr>
        <w:pStyle w:val="ListParagraph"/>
        <w:numPr>
          <w:ilvl w:val="0"/>
          <w:numId w:val="20"/>
        </w:numPr>
      </w:pPr>
      <w:r w:rsidRPr="00720114">
        <w:t>The fishery is managed under a rotational harvest arrangement.</w:t>
      </w:r>
      <w:r>
        <w:t xml:space="preserve"> </w:t>
      </w:r>
      <w:r w:rsidRPr="00720114">
        <w:t>Reefs within the Great Barrier Reef Marine Park and the Coral Sea in the fishery area are divided into 158 zones.</w:t>
      </w:r>
    </w:p>
    <w:p w14:paraId="33ADB865" w14:textId="0FA41D61" w:rsidR="00346DB0" w:rsidRDefault="00346DB0" w:rsidP="00A87F05">
      <w:pPr>
        <w:pStyle w:val="ListParagraph"/>
        <w:numPr>
          <w:ilvl w:val="0"/>
          <w:numId w:val="20"/>
        </w:numPr>
      </w:pPr>
      <w:r>
        <w:t>An approved vessel tracking unit must be installed as per the department’s Vessel tracking installation and maintenance standard</w:t>
      </w:r>
      <w:r w:rsidR="00B56C15">
        <w:t>.</w:t>
      </w:r>
    </w:p>
    <w:p w14:paraId="480B70A9" w14:textId="5A064C7A" w:rsidR="00346DB0" w:rsidRDefault="00346DB0" w:rsidP="00A87F05">
      <w:pPr>
        <w:pStyle w:val="ListParagraph"/>
        <w:numPr>
          <w:ilvl w:val="0"/>
          <w:numId w:val="20"/>
        </w:numPr>
      </w:pPr>
      <w:r>
        <w:t xml:space="preserve">Compliance with Queensland State fisheries </w:t>
      </w:r>
      <w:r w:rsidRPr="001A1C4E">
        <w:t>reporting requirements.</w:t>
      </w:r>
    </w:p>
    <w:p w14:paraId="3BA872B3" w14:textId="46831B5A" w:rsidR="00490A9D" w:rsidRDefault="00120518" w:rsidP="00A87F05">
      <w:pPr>
        <w:pStyle w:val="Heading3"/>
        <w:ind w:left="851" w:hanging="851"/>
      </w:pPr>
      <w:r>
        <w:t>R</w:t>
      </w:r>
      <w:r w:rsidRPr="00120518">
        <w:t>otational harvest arrangement (RHA)</w:t>
      </w:r>
    </w:p>
    <w:p w14:paraId="1BE76734" w14:textId="071576AD" w:rsidR="00490A9D" w:rsidRDefault="00490A9D" w:rsidP="00490A9D">
      <w:r>
        <w:t xml:space="preserve">In 2004 a Rotational Zoning Scheme </w:t>
      </w:r>
      <w:r w:rsidR="00120518">
        <w:t>(hereafter referred to as the R</w:t>
      </w:r>
      <w:r w:rsidR="00120518" w:rsidRPr="00120518">
        <w:t xml:space="preserve">otational </w:t>
      </w:r>
      <w:r w:rsidR="00120518">
        <w:t>H</w:t>
      </w:r>
      <w:r w:rsidR="00120518" w:rsidRPr="00120518">
        <w:t xml:space="preserve">arvest </w:t>
      </w:r>
      <w:r w:rsidR="00120518">
        <w:t>A</w:t>
      </w:r>
      <w:r w:rsidR="00120518" w:rsidRPr="00120518">
        <w:t>rrangement (RHA)</w:t>
      </w:r>
      <w:r w:rsidR="00120518">
        <w:t>)</w:t>
      </w:r>
      <w:r>
        <w:t xml:space="preserve"> was introduced into the </w:t>
      </w:r>
      <w:r w:rsidR="00747402">
        <w:t>QSCF</w:t>
      </w:r>
      <w:r>
        <w:t xml:space="preserve"> in response to concerns about localised and serial depletion of sea cucumber stocks in the ECBDMF, and the implementation of closed areas as part of the GBRMP zoning scheme (</w:t>
      </w:r>
      <w:r w:rsidR="00EB62F2" w:rsidRPr="00EB62F2">
        <w:t>Smith</w:t>
      </w:r>
      <w:r w:rsidR="00EB62F2">
        <w:t xml:space="preserve"> and </w:t>
      </w:r>
      <w:r w:rsidR="00EB62F2" w:rsidRPr="00EB62F2">
        <w:t>Roelofs, 2011</w:t>
      </w:r>
      <w:r w:rsidR="00EB62F2">
        <w:t>)</w:t>
      </w:r>
      <w:r>
        <w:t xml:space="preserve">. The </w:t>
      </w:r>
      <w:r w:rsidR="00120518">
        <w:t>RHA</w:t>
      </w:r>
      <w:r>
        <w:t xml:space="preserve"> was designed by the members of the QLD Sea Cucumber Association. It has 15</w:t>
      </w:r>
      <w:r w:rsidR="00842C8E">
        <w:t>8</w:t>
      </w:r>
      <w:r>
        <w:t xml:space="preserve"> zones, at an average size of approximately 553.2 km</w:t>
      </w:r>
      <w:r w:rsidRPr="00842C8E">
        <w:rPr>
          <w:vertAlign w:val="superscript"/>
        </w:rPr>
        <w:t>2</w:t>
      </w:r>
      <w:r>
        <w:t>, (range 161.7 km</w:t>
      </w:r>
      <w:r w:rsidRPr="00842C8E">
        <w:rPr>
          <w:vertAlign w:val="superscript"/>
        </w:rPr>
        <w:t>2</w:t>
      </w:r>
      <w:r>
        <w:t xml:space="preserve"> to 2092.0 km</w:t>
      </w:r>
      <w:r w:rsidRPr="00842C8E">
        <w:rPr>
          <w:vertAlign w:val="superscript"/>
        </w:rPr>
        <w:t>2</w:t>
      </w:r>
      <w:r>
        <w:t>) and containing, on average, 95.0 km</w:t>
      </w:r>
      <w:r w:rsidRPr="00842C8E">
        <w:rPr>
          <w:vertAlign w:val="superscript"/>
        </w:rPr>
        <w:t>2</w:t>
      </w:r>
      <w:r>
        <w:t xml:space="preserve"> of shallow reef (range 0.6 km</w:t>
      </w:r>
      <w:r w:rsidRPr="00842C8E">
        <w:rPr>
          <w:vertAlign w:val="superscript"/>
        </w:rPr>
        <w:t>2</w:t>
      </w:r>
      <w:r>
        <w:t xml:space="preserve"> to 312.0 km</w:t>
      </w:r>
      <w:r w:rsidRPr="00842C8E">
        <w:rPr>
          <w:vertAlign w:val="superscript"/>
        </w:rPr>
        <w:t>2</w:t>
      </w:r>
      <w:r>
        <w:t>), and 23.3 km</w:t>
      </w:r>
      <w:r w:rsidRPr="00842C8E">
        <w:rPr>
          <w:vertAlign w:val="superscript"/>
        </w:rPr>
        <w:t>2</w:t>
      </w:r>
      <w:r>
        <w:t xml:space="preserve"> of emergent reef (range 0.1 km</w:t>
      </w:r>
      <w:r w:rsidRPr="00842C8E">
        <w:rPr>
          <w:vertAlign w:val="superscript"/>
        </w:rPr>
        <w:t>2</w:t>
      </w:r>
      <w:r>
        <w:t xml:space="preserve"> to 117.7 km</w:t>
      </w:r>
      <w:r w:rsidRPr="00842C8E">
        <w:rPr>
          <w:vertAlign w:val="superscript"/>
        </w:rPr>
        <w:t>2</w:t>
      </w:r>
      <w:r>
        <w:t>). The zones were mapped throughout the main reef areas of the GBRMP (</w:t>
      </w:r>
      <w:r w:rsidR="00842C8E">
        <w:rPr>
          <w:color w:val="2B579A"/>
          <w:shd w:val="clear" w:color="auto" w:fill="E6E6E6"/>
        </w:rPr>
        <w:fldChar w:fldCharType="begin"/>
      </w:r>
      <w:r w:rsidR="00842C8E">
        <w:instrText xml:space="preserve"> REF _Ref144456446 \h </w:instrText>
      </w:r>
      <w:r w:rsidR="00842C8E">
        <w:rPr>
          <w:color w:val="2B579A"/>
          <w:shd w:val="clear" w:color="auto" w:fill="E6E6E6"/>
        </w:rPr>
      </w:r>
      <w:r w:rsidR="00842C8E">
        <w:rPr>
          <w:color w:val="2B579A"/>
          <w:shd w:val="clear" w:color="auto" w:fill="E6E6E6"/>
        </w:rPr>
        <w:fldChar w:fldCharType="separate"/>
      </w:r>
      <w:r w:rsidR="004263D8">
        <w:t xml:space="preserve">Figure </w:t>
      </w:r>
      <w:r w:rsidR="004263D8">
        <w:rPr>
          <w:noProof/>
        </w:rPr>
        <w:t>37</w:t>
      </w:r>
      <w:r w:rsidR="00842C8E">
        <w:rPr>
          <w:color w:val="2B579A"/>
          <w:shd w:val="clear" w:color="auto" w:fill="E6E6E6"/>
        </w:rPr>
        <w:fldChar w:fldCharType="end"/>
      </w:r>
      <w:r>
        <w:t>).</w:t>
      </w:r>
      <w:r w:rsidR="00842C8E">
        <w:t xml:space="preserve"> </w:t>
      </w:r>
      <w:r>
        <w:t>Each zone is available for harvesting in the fishery once every 3 years for 1</w:t>
      </w:r>
      <w:r w:rsidR="00842C8E">
        <w:t>8</w:t>
      </w:r>
      <w:r>
        <w:t xml:space="preserve"> days of fishing.</w:t>
      </w:r>
    </w:p>
    <w:p w14:paraId="718493B8" w14:textId="20EBE114" w:rsidR="00490A9D" w:rsidRDefault="00747402" w:rsidP="00490A9D">
      <w:r>
        <w:t>Three</w:t>
      </w:r>
      <w:r w:rsidR="00490A9D">
        <w:t xml:space="preserve"> additional “zones” were included in the scheme, based on the offshore reefs that are contained within the </w:t>
      </w:r>
      <w:r>
        <w:t>QSCF</w:t>
      </w:r>
      <w:r w:rsidR="00490A9D">
        <w:t xml:space="preserve"> area – </w:t>
      </w:r>
      <w:r>
        <w:t xml:space="preserve">Ashmore and Boot </w:t>
      </w:r>
      <w:r w:rsidR="00C11AA5">
        <w:t>R</w:t>
      </w:r>
      <w:r>
        <w:t xml:space="preserve">eefs, </w:t>
      </w:r>
      <w:r w:rsidR="00490A9D">
        <w:t>Saumarez Reef and Marion Reef, and these are allocated as per the rotational pattern (</w:t>
      </w:r>
      <w:r w:rsidR="00842C8E">
        <w:rPr>
          <w:color w:val="2B579A"/>
          <w:shd w:val="clear" w:color="auto" w:fill="E6E6E6"/>
        </w:rPr>
        <w:fldChar w:fldCharType="begin"/>
      </w:r>
      <w:r w:rsidR="00842C8E">
        <w:instrText xml:space="preserve"> REF _Ref144456446 \h </w:instrText>
      </w:r>
      <w:r w:rsidR="00842C8E">
        <w:rPr>
          <w:color w:val="2B579A"/>
          <w:shd w:val="clear" w:color="auto" w:fill="E6E6E6"/>
        </w:rPr>
      </w:r>
      <w:r w:rsidR="00842C8E">
        <w:rPr>
          <w:color w:val="2B579A"/>
          <w:shd w:val="clear" w:color="auto" w:fill="E6E6E6"/>
        </w:rPr>
        <w:fldChar w:fldCharType="separate"/>
      </w:r>
      <w:r w:rsidR="004263D8">
        <w:t xml:space="preserve">Figure </w:t>
      </w:r>
      <w:r w:rsidR="004263D8">
        <w:rPr>
          <w:noProof/>
        </w:rPr>
        <w:t>37</w:t>
      </w:r>
      <w:r w:rsidR="00842C8E">
        <w:rPr>
          <w:color w:val="2B579A"/>
          <w:shd w:val="clear" w:color="auto" w:fill="E6E6E6"/>
        </w:rPr>
        <w:fldChar w:fldCharType="end"/>
      </w:r>
      <w:r w:rsidR="00490A9D">
        <w:t>).</w:t>
      </w:r>
    </w:p>
    <w:p w14:paraId="03593B4C" w14:textId="2B457B6B" w:rsidR="00490A9D" w:rsidRDefault="00D549B4" w:rsidP="00BB27C6">
      <w:r>
        <w:rPr>
          <w:noProof/>
          <w:shd w:val="clear" w:color="auto" w:fill="E6E6E6"/>
        </w:rPr>
        <w:lastRenderedPageBreak/>
        <w:drawing>
          <wp:inline distT="0" distB="0" distL="0" distR="0" wp14:anchorId="239C8E91" wp14:editId="5BC95093">
            <wp:extent cx="5161915" cy="6553200"/>
            <wp:effectExtent l="0" t="0" r="635" b="0"/>
            <wp:docPr id="35" name="Picture 35" descr="Zone_basemap_names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_basemap_names_V3.jpg"/>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5167677" cy="6560516"/>
                    </a:xfrm>
                    <a:prstGeom prst="rect">
                      <a:avLst/>
                    </a:prstGeom>
                    <a:ln>
                      <a:noFill/>
                    </a:ln>
                    <a:extLst>
                      <a:ext uri="{53640926-AAD7-44D8-BBD7-CCE9431645EC}">
                        <a14:shadowObscured xmlns:a14="http://schemas.microsoft.com/office/drawing/2010/main"/>
                      </a:ext>
                    </a:extLst>
                  </pic:spPr>
                </pic:pic>
              </a:graphicData>
            </a:graphic>
          </wp:inline>
        </w:drawing>
      </w:r>
    </w:p>
    <w:p w14:paraId="106C3214" w14:textId="03DF1D4F" w:rsidR="00D549B4" w:rsidRDefault="00D549B4" w:rsidP="0096672D">
      <w:pPr>
        <w:pStyle w:val="Caption"/>
      </w:pPr>
      <w:bookmarkStart w:id="177" w:name="_Ref144456446"/>
      <w:bookmarkStart w:id="178" w:name="_Toc189044994"/>
      <w:r>
        <w:t xml:space="preserve">Figure </w:t>
      </w:r>
      <w:fldSimple w:instr=" SEQ Figure \* ARABIC ">
        <w:r w:rsidR="004263D8">
          <w:rPr>
            <w:noProof/>
          </w:rPr>
          <w:t>37</w:t>
        </w:r>
      </w:fldSimple>
      <w:bookmarkEnd w:id="177"/>
      <w:r>
        <w:t xml:space="preserve">. </w:t>
      </w:r>
      <w:r w:rsidRPr="00AD41FE">
        <w:t xml:space="preserve">Map of the </w:t>
      </w:r>
      <w:r>
        <w:t>QSCF</w:t>
      </w:r>
      <w:r w:rsidRPr="00AD41FE">
        <w:t xml:space="preserve"> showing 15</w:t>
      </w:r>
      <w:r w:rsidR="00842C8E">
        <w:t>8</w:t>
      </w:r>
      <w:r w:rsidRPr="00AD41FE">
        <w:t xml:space="preserve"> Rotational </w:t>
      </w:r>
      <w:r w:rsidR="002C130D">
        <w:t>Harvest Arrangement</w:t>
      </w:r>
      <w:r w:rsidRPr="00AD41FE">
        <w:t xml:space="preserve"> (</w:t>
      </w:r>
      <w:r w:rsidR="00120518">
        <w:t>RHA</w:t>
      </w:r>
      <w:r w:rsidRPr="00AD41FE">
        <w:t>) zones</w:t>
      </w:r>
      <w:r w:rsidR="00925799">
        <w:t xml:space="preserve"> (</w:t>
      </w:r>
      <w:r w:rsidR="00CB2A97">
        <w:t xml:space="preserve">which now also </w:t>
      </w:r>
      <w:r w:rsidR="00925799">
        <w:t>includ</w:t>
      </w:r>
      <w:r w:rsidR="00CB2A97">
        <w:t>e the Coral Sea reefs</w:t>
      </w:r>
      <w:r w:rsidR="00925799">
        <w:t xml:space="preserve"> as </w:t>
      </w:r>
      <w:r w:rsidR="00CB2A97">
        <w:t xml:space="preserve">sperate </w:t>
      </w:r>
      <w:r w:rsidR="0016031E">
        <w:t>zone</w:t>
      </w:r>
      <w:r w:rsidR="00CB2A97">
        <w:t>s)</w:t>
      </w:r>
      <w:r w:rsidRPr="00AD41FE">
        <w:t xml:space="preserve">, existing Burrowing Blackfish zones (BBFZ) and </w:t>
      </w:r>
      <w:r w:rsidR="00B30C1B">
        <w:t>3</w:t>
      </w:r>
      <w:r w:rsidRPr="00AD41FE">
        <w:t xml:space="preserve"> </w:t>
      </w:r>
      <w:r w:rsidR="00B30C1B">
        <w:t>QSCF</w:t>
      </w:r>
      <w:r w:rsidRPr="00AD41FE">
        <w:t xml:space="preserve"> offshore fishing zones (</w:t>
      </w:r>
      <w:r w:rsidR="00B30C1B">
        <w:t xml:space="preserve">Ashmore and Boot, </w:t>
      </w:r>
      <w:r w:rsidRPr="00AD41FE">
        <w:t>Suamarez and Marion Reefs). The remainder of the GBRMP area is divided into open and closed zones.</w:t>
      </w:r>
      <w:bookmarkEnd w:id="178"/>
    </w:p>
    <w:p w14:paraId="4694601A" w14:textId="77777777" w:rsidR="00842C8E" w:rsidRDefault="00842C8E" w:rsidP="00AF2B40"/>
    <w:p w14:paraId="1A034A70" w14:textId="782C7F6B" w:rsidR="00AF2B40" w:rsidRDefault="00AF2B40" w:rsidP="00AF2B40">
      <w:r>
        <w:t xml:space="preserve">An assessment of the efficacy of the </w:t>
      </w:r>
      <w:r w:rsidR="002C130D">
        <w:t>RHA</w:t>
      </w:r>
      <w:r>
        <w:t xml:space="preserve"> in 2014 indicated that</w:t>
      </w:r>
      <w:r w:rsidRPr="00AF2B40">
        <w:t xml:space="preserve"> </w:t>
      </w:r>
      <w:r>
        <w:t>there was a substantial reduction in the risk of localized depletion, higher long-term yields, and improved economic performance (Skewes et al, 2014; Plaganyi et al., 2015)</w:t>
      </w:r>
      <w:r w:rsidR="00842C8E">
        <w:t xml:space="preserve">. </w:t>
      </w:r>
      <w:r>
        <w:t xml:space="preserve">However, this benefit is highly reliant on compliance with the zone catch and effort limits, and the adherence to the </w:t>
      </w:r>
      <w:r w:rsidR="008761B9">
        <w:t>MSL</w:t>
      </w:r>
      <w:r>
        <w:t xml:space="preserve"> </w:t>
      </w:r>
      <w:r w:rsidR="001D76A9">
        <w:t>applied to the fishery species</w:t>
      </w:r>
      <w:r>
        <w:t xml:space="preserve">. </w:t>
      </w:r>
    </w:p>
    <w:p w14:paraId="1FF5E993" w14:textId="79DE3315" w:rsidR="002C130D" w:rsidRPr="00272284" w:rsidRDefault="00120518" w:rsidP="002C130D">
      <w:r>
        <w:t xml:space="preserve">The recent MSE (Wickens et al., 2024) while not specifically testing </w:t>
      </w:r>
      <w:r w:rsidR="002C130D">
        <w:t xml:space="preserve">the RHA also found </w:t>
      </w:r>
      <w:r w:rsidR="002C130D" w:rsidRPr="00272284">
        <w:t xml:space="preserve">that the rotational harvest strategy in most cases exceeded the performance of the corresponding non-rotational management procedures with current catch and size limits, </w:t>
      </w:r>
      <w:r w:rsidR="002C130D">
        <w:t xml:space="preserve">resulting in a greater average biomass even for the high TAC scenario, </w:t>
      </w:r>
      <w:r w:rsidR="002C130D" w:rsidRPr="00272284">
        <w:t>reinforcing the benefits of the RHS.</w:t>
      </w:r>
      <w:r w:rsidR="002C130D" w:rsidRPr="00D57B65">
        <w:t xml:space="preserve"> </w:t>
      </w:r>
    </w:p>
    <w:p w14:paraId="13C8998A" w14:textId="77777777" w:rsidR="00443161" w:rsidRPr="00443161" w:rsidRDefault="00443161" w:rsidP="00A87F05">
      <w:pPr>
        <w:pStyle w:val="Heading3"/>
        <w:ind w:left="851" w:hanging="851"/>
      </w:pPr>
      <w:r w:rsidRPr="00443161">
        <w:lastRenderedPageBreak/>
        <w:t>Harvest strategy</w:t>
      </w:r>
    </w:p>
    <w:p w14:paraId="61888D92" w14:textId="74F01AA6" w:rsidR="00443161" w:rsidRDefault="006179D0" w:rsidP="00E83E9E">
      <w:r>
        <w:t xml:space="preserve">The QSCF Harvest Strategy </w:t>
      </w:r>
      <w:r w:rsidR="00B137C8">
        <w:t xml:space="preserve">(HS) </w:t>
      </w:r>
      <w:r>
        <w:t xml:space="preserve">was implemented in </w:t>
      </w:r>
      <w:r w:rsidR="00B137C8">
        <w:t xml:space="preserve">September </w:t>
      </w:r>
      <w:bookmarkStart w:id="179" w:name="_Hlk151391994"/>
      <w:r>
        <w:t>2021</w:t>
      </w:r>
      <w:r w:rsidR="00B137C8">
        <w:t xml:space="preserve"> </w:t>
      </w:r>
      <w:bookmarkEnd w:id="179"/>
      <w:r w:rsidR="00B137C8">
        <w:t>(</w:t>
      </w:r>
      <w:bookmarkStart w:id="180" w:name="_Hlk151392362"/>
      <w:r w:rsidR="00B137C8">
        <w:t>DAF, 2021b</w:t>
      </w:r>
      <w:bookmarkEnd w:id="180"/>
      <w:r w:rsidR="00B137C8">
        <w:t>)</w:t>
      </w:r>
      <w:r w:rsidR="000C0E17">
        <w:t xml:space="preserve">, and has a primary objective </w:t>
      </w:r>
      <w:r w:rsidR="009B5EF4" w:rsidRPr="009B5EF4">
        <w:t>of attaining maximum economic yield (defined in the</w:t>
      </w:r>
      <w:r w:rsidR="00ED163C">
        <w:t xml:space="preserve"> HS</w:t>
      </w:r>
      <w:r w:rsidR="009B5EF4" w:rsidRPr="009B5EF4">
        <w:t xml:space="preserve"> as target biomass level of 60% of unfished biomass for stocks harvested in the fishery).</w:t>
      </w:r>
      <w:r w:rsidR="00937CD7">
        <w:t xml:space="preserve"> The target biomass level (B</w:t>
      </w:r>
      <w:r w:rsidR="00937CD7" w:rsidRPr="00620413">
        <w:rPr>
          <w:i/>
          <w:iCs/>
        </w:rPr>
        <w:t>targ</w:t>
      </w:r>
      <w:r w:rsidR="00937CD7">
        <w:t>) is set at 60% of unfished biomass, at which point the</w:t>
      </w:r>
      <w:r w:rsidR="00ED163C">
        <w:t xml:space="preserve"> HS</w:t>
      </w:r>
      <w:r w:rsidR="00937CD7">
        <w:t xml:space="preserve"> will be considered as meeting its fishery objectives, and the limit biomass level (B</w:t>
      </w:r>
      <w:r w:rsidR="00937CD7" w:rsidRPr="00620413">
        <w:rPr>
          <w:i/>
          <w:iCs/>
        </w:rPr>
        <w:t>lim</w:t>
      </w:r>
      <w:r w:rsidR="00937CD7">
        <w:t>) is set at 20% of unfished biomass.</w:t>
      </w:r>
    </w:p>
    <w:p w14:paraId="652A02BD" w14:textId="5C5AAB7B" w:rsidR="00620413" w:rsidRDefault="006179D0" w:rsidP="00E83E9E">
      <w:r w:rsidRPr="006179D0">
        <w:t xml:space="preserve">The </w:t>
      </w:r>
      <w:r w:rsidR="00B137C8">
        <w:t>HS</w:t>
      </w:r>
      <w:r w:rsidRPr="006179D0">
        <w:t xml:space="preserve"> </w:t>
      </w:r>
      <w:r w:rsidR="00842C8E">
        <w:t xml:space="preserve">has a tiered structure, with </w:t>
      </w:r>
      <w:r w:rsidRPr="006179D0">
        <w:t xml:space="preserve">three species as Tier 1 target species: </w:t>
      </w:r>
      <w:r w:rsidR="00753BB3">
        <w:t>B</w:t>
      </w:r>
      <w:r w:rsidRPr="006179D0">
        <w:t xml:space="preserve">lack teatfish, </w:t>
      </w:r>
      <w:r w:rsidR="00753BB3">
        <w:t>W</w:t>
      </w:r>
      <w:r w:rsidRPr="006179D0">
        <w:t xml:space="preserve">hite teatfish, and </w:t>
      </w:r>
      <w:r w:rsidR="00753BB3">
        <w:t>B</w:t>
      </w:r>
      <w:r w:rsidRPr="006179D0">
        <w:t>urrowing blackfish</w:t>
      </w:r>
      <w:r w:rsidR="00937CD7">
        <w:t>. T</w:t>
      </w:r>
      <w:r w:rsidRPr="006179D0">
        <w:t>he</w:t>
      </w:r>
      <w:r w:rsidR="00B137C8">
        <w:t>ir</w:t>
      </w:r>
      <w:r w:rsidRPr="006179D0">
        <w:t xml:space="preserve"> management </w:t>
      </w:r>
      <w:r w:rsidR="00B137C8">
        <w:t>i</w:t>
      </w:r>
      <w:r w:rsidRPr="006179D0">
        <w:t>nclude</w:t>
      </w:r>
      <w:r w:rsidR="00B137C8">
        <w:t>s</w:t>
      </w:r>
      <w:r w:rsidRPr="006179D0">
        <w:t xml:space="preserve"> performance indicators </w:t>
      </w:r>
      <w:r w:rsidR="00B137C8">
        <w:t xml:space="preserve">relative to </w:t>
      </w:r>
      <w:r w:rsidRPr="006179D0">
        <w:t>biomass reference points produced by stock assessments</w:t>
      </w:r>
      <w:r w:rsidR="00B137C8">
        <w:t xml:space="preserve">, and </w:t>
      </w:r>
      <w:r w:rsidRPr="006179D0">
        <w:t xml:space="preserve">reactive trigger points </w:t>
      </w:r>
      <w:r w:rsidR="00B137C8">
        <w:t>that</w:t>
      </w:r>
      <w:r w:rsidRPr="006179D0">
        <w:t xml:space="preserve"> reduce fishing pressure as necessary. </w:t>
      </w:r>
      <w:r w:rsidR="00620413">
        <w:t>The decision rules for setting a sustainable harvest</w:t>
      </w:r>
      <w:r w:rsidR="00240471">
        <w:t xml:space="preserve"> for Tier 1 species </w:t>
      </w:r>
      <w:r w:rsidR="00620413">
        <w:t>are based on a ‘hockey stick’ approach where the total allowable catch (TAC) is set based on a linear relationship between B</w:t>
      </w:r>
      <w:r w:rsidR="00620413" w:rsidRPr="00620413">
        <w:rPr>
          <w:i/>
          <w:iCs/>
        </w:rPr>
        <w:t>lim</w:t>
      </w:r>
      <w:r w:rsidR="00620413">
        <w:t>, where the level of fishing mortality is equal to zero, and B</w:t>
      </w:r>
      <w:r w:rsidR="00620413" w:rsidRPr="00620413">
        <w:rPr>
          <w:i/>
          <w:iCs/>
        </w:rPr>
        <w:t>targ</w:t>
      </w:r>
      <w:r w:rsidR="00620413">
        <w:t xml:space="preserve">, where the exploitation rate and TAC are set to achieve the maximum economic yield. As such, estimating the exploitable biomass level for </w:t>
      </w:r>
      <w:r w:rsidR="00240471">
        <w:t>T</w:t>
      </w:r>
      <w:r w:rsidR="00620413">
        <w:t xml:space="preserve">ier 1 species to a high degree of confidence is greatly important for the operation of the </w:t>
      </w:r>
      <w:r w:rsidR="00ED163C">
        <w:t>HS</w:t>
      </w:r>
      <w:r w:rsidR="00620413">
        <w:t xml:space="preserve"> (DAF, 2021b; DAW</w:t>
      </w:r>
      <w:r w:rsidR="00EB62F2">
        <w:t>E</w:t>
      </w:r>
      <w:r w:rsidR="00620413">
        <w:t>, 2021)</w:t>
      </w:r>
      <w:r w:rsidR="00753BB3">
        <w:t>. The current HS stipulates an “</w:t>
      </w:r>
      <w:r w:rsidR="00753BB3" w:rsidRPr="008746BD">
        <w:t>Industry survey (white teatfish)</w:t>
      </w:r>
      <w:r w:rsidR="00753BB3">
        <w:t>” to be carried out in 2023-24.</w:t>
      </w:r>
    </w:p>
    <w:p w14:paraId="69C5A38D" w14:textId="12E3CE49" w:rsidR="00240471" w:rsidRDefault="00753BB3" w:rsidP="00E83E9E">
      <w:r w:rsidRPr="006179D0">
        <w:t>The remaining sea cucumber species</w:t>
      </w:r>
      <w:r w:rsidR="00B137C8">
        <w:t xml:space="preserve"> are</w:t>
      </w:r>
      <w:r w:rsidR="006179D0" w:rsidRPr="006179D0">
        <w:t xml:space="preserve"> classed as Tier 2</w:t>
      </w:r>
      <w:r w:rsidR="00937CD7">
        <w:t xml:space="preserve"> </w:t>
      </w:r>
      <w:r>
        <w:t>species</w:t>
      </w:r>
      <w:r w:rsidRPr="006179D0">
        <w:t xml:space="preserve"> and</w:t>
      </w:r>
      <w:r w:rsidR="00240471">
        <w:t xml:space="preserve"> </w:t>
      </w:r>
      <w:r w:rsidR="00B137C8">
        <w:t xml:space="preserve">are </w:t>
      </w:r>
      <w:r w:rsidR="006179D0" w:rsidRPr="006179D0">
        <w:t>managed by reactive catch triggers</w:t>
      </w:r>
      <w:r w:rsidR="00240471" w:rsidRPr="00240471">
        <w:t xml:space="preserve">. If the annual catch </w:t>
      </w:r>
      <w:r w:rsidR="00240471">
        <w:t>of</w:t>
      </w:r>
      <w:r w:rsidR="00240471" w:rsidRPr="00240471">
        <w:t xml:space="preserve"> a </w:t>
      </w:r>
      <w:r w:rsidR="00240471">
        <w:t>T</w:t>
      </w:r>
      <w:r w:rsidR="00240471" w:rsidRPr="00240471">
        <w:t xml:space="preserve">ier 2 species exceeds its </w:t>
      </w:r>
      <w:r w:rsidR="00240471">
        <w:t xml:space="preserve">catch </w:t>
      </w:r>
      <w:r w:rsidR="00240471" w:rsidRPr="00240471">
        <w:t xml:space="preserve">trigger level, </w:t>
      </w:r>
      <w:r w:rsidR="00240471">
        <w:t>“</w:t>
      </w:r>
      <w:r w:rsidR="00240471" w:rsidRPr="00240471">
        <w:rPr>
          <w:i/>
          <w:iCs/>
        </w:rPr>
        <w:t>then a TAC will be set to maintain the annual catches of that species at, or below, the trigger level until a further assessment can be undertaken</w:t>
      </w:r>
      <w:r w:rsidR="00240471">
        <w:t>” (DAF, 2021b)</w:t>
      </w:r>
      <w:r w:rsidR="00240471" w:rsidRPr="00240471">
        <w:t>.</w:t>
      </w:r>
    </w:p>
    <w:p w14:paraId="287CCBCD" w14:textId="0D48A31A" w:rsidR="009B5EF4" w:rsidRDefault="000C0E17" w:rsidP="00AC05AA">
      <w:r>
        <w:t>The HS does outline that o</w:t>
      </w:r>
      <w:r w:rsidR="00240471" w:rsidRPr="00240471">
        <w:t>ther performance indicators for the stock (e.g. stock status, length frequency distributions, standardised commercial catch rates, total harvest etc.) will also be reviewed by the sea cucumber fishery working group to ensure that stocks are performing in a way that will achieve the target biomass</w:t>
      </w:r>
      <w:r>
        <w:t xml:space="preserve"> – but no detail around these assessments is provided. </w:t>
      </w:r>
    </w:p>
    <w:p w14:paraId="324180A6" w14:textId="3C6EE532" w:rsidR="002C130D" w:rsidRPr="00087AE1" w:rsidRDefault="002C130D" w:rsidP="002C130D">
      <w:r w:rsidRPr="00087AE1">
        <w:t xml:space="preserve">The </w:t>
      </w:r>
      <w:r w:rsidR="00451338">
        <w:t xml:space="preserve">60% </w:t>
      </w:r>
      <w:r w:rsidRPr="00087AE1">
        <w:t>B</w:t>
      </w:r>
      <w:r w:rsidRPr="00087AE1">
        <w:rPr>
          <w:vertAlign w:val="subscript"/>
        </w:rPr>
        <w:t>0</w:t>
      </w:r>
      <w:r w:rsidRPr="00087AE1">
        <w:t xml:space="preserve"> target and </w:t>
      </w:r>
      <w:r w:rsidR="00451338">
        <w:t xml:space="preserve">20% </w:t>
      </w:r>
      <w:r w:rsidRPr="00087AE1">
        <w:t>B</w:t>
      </w:r>
      <w:r w:rsidRPr="00087AE1">
        <w:rPr>
          <w:vertAlign w:val="subscript"/>
        </w:rPr>
        <w:t>0</w:t>
      </w:r>
      <w:r w:rsidRPr="00087AE1">
        <w:t xml:space="preserve"> limit level in the harvest strategy are proxy values </w:t>
      </w:r>
      <w:r w:rsidR="00087AE1" w:rsidRPr="00087AE1">
        <w:t xml:space="preserve">(DAF, 2017a; 2021c) </w:t>
      </w:r>
      <w:r w:rsidRPr="00087AE1">
        <w:t>that have not been tested for sea cucumber fisheries</w:t>
      </w:r>
      <w:r w:rsidR="00087AE1" w:rsidRPr="00087AE1">
        <w:t>.</w:t>
      </w:r>
      <w:r w:rsidRPr="00087AE1">
        <w:t xml:space="preserve"> The limit reference level in particular may be too low to protect </w:t>
      </w:r>
      <w:r w:rsidR="00087AE1" w:rsidRPr="00087AE1">
        <w:t xml:space="preserve">sea cucumber </w:t>
      </w:r>
      <w:r w:rsidRPr="00087AE1">
        <w:t xml:space="preserve">populations from </w:t>
      </w:r>
      <w:r w:rsidR="00087AE1" w:rsidRPr="00087AE1">
        <w:t>“</w:t>
      </w:r>
      <w:r w:rsidR="00087AE1" w:rsidRPr="00087AE1">
        <w:rPr>
          <w:i/>
          <w:iCs/>
        </w:rPr>
        <w:t>unacceptably high risk to</w:t>
      </w:r>
      <w:r w:rsidRPr="00087AE1">
        <w:rPr>
          <w:i/>
          <w:iCs/>
        </w:rPr>
        <w:t xml:space="preserve"> recruitment</w:t>
      </w:r>
      <w:r w:rsidR="00087AE1" w:rsidRPr="00087AE1">
        <w:t>”</w:t>
      </w:r>
      <w:r w:rsidRPr="00087AE1">
        <w:t xml:space="preserve"> </w:t>
      </w:r>
      <w:r w:rsidR="002366D3">
        <w:t xml:space="preserve">(possibly equivalent to the level of recruitment impairment; MSC, 2022) </w:t>
      </w:r>
      <w:r w:rsidRPr="00087AE1">
        <w:t xml:space="preserve">given the likelihood of “Allee” </w:t>
      </w:r>
      <w:r w:rsidR="00087AE1" w:rsidRPr="00087AE1">
        <w:t xml:space="preserve">type depensation </w:t>
      </w:r>
      <w:r w:rsidRPr="00087AE1">
        <w:t>effects (</w:t>
      </w:r>
      <w:r w:rsidR="00087AE1" w:rsidRPr="00087AE1">
        <w:t xml:space="preserve">caused by </w:t>
      </w:r>
      <w:r w:rsidRPr="00087AE1">
        <w:t xml:space="preserve">low fertilisation success for sea cucumbers at low densities), and the important ecological role sea cucumber play in reef ecosystems. For the Torres Strait Beche-de-mer Fishery, the Harvest Strategy uses a biomass limit of 40% unfished biomass. </w:t>
      </w:r>
    </w:p>
    <w:p w14:paraId="6A33CB54" w14:textId="041E672F" w:rsidR="0060250B" w:rsidRDefault="002C130D" w:rsidP="00B42934">
      <w:r w:rsidRPr="00087AE1">
        <w:t>Also, it is not clear if it includes the population in closed areas in the fishery, though the HS does stipulate that “</w:t>
      </w:r>
      <w:r w:rsidRPr="00087AE1">
        <w:rPr>
          <w:i/>
          <w:iCs/>
        </w:rPr>
        <w:t>The primary performance measure will be exploitable biomass</w:t>
      </w:r>
      <w:r w:rsidRPr="00087AE1">
        <w:t xml:space="preserve">”. However, the </w:t>
      </w:r>
      <w:r w:rsidR="00087AE1" w:rsidRPr="00087AE1">
        <w:t xml:space="preserve">recent </w:t>
      </w:r>
      <w:r w:rsidRPr="00087AE1">
        <w:t xml:space="preserve">MSE </w:t>
      </w:r>
      <w:r w:rsidR="00087AE1" w:rsidRPr="00087AE1">
        <w:t xml:space="preserve">(Wicken et al., 2024) </w:t>
      </w:r>
      <w:r w:rsidRPr="00087AE1">
        <w:t>states that “</w:t>
      </w:r>
      <w:r w:rsidRPr="00087AE1">
        <w:rPr>
          <w:i/>
          <w:iCs/>
        </w:rPr>
        <w:t>the OMs represent the biomass that is vulnerable to fishing by the commercial sector as well as the biomass protected by the RAP</w:t>
      </w:r>
      <w:r w:rsidRPr="00087AE1">
        <w:t>” (i.e. closed areas in the GBRMPA representative areas program).</w:t>
      </w:r>
    </w:p>
    <w:p w14:paraId="0D607D1A" w14:textId="77777777" w:rsidR="00443161" w:rsidRDefault="00443161" w:rsidP="00A87F05">
      <w:pPr>
        <w:pStyle w:val="Heading3"/>
        <w:ind w:left="851" w:hanging="851"/>
      </w:pPr>
      <w:r>
        <w:t>Fishery approval under the EPBC Act</w:t>
      </w:r>
    </w:p>
    <w:p w14:paraId="1EF68095" w14:textId="04B4B92D" w:rsidR="00AB0045" w:rsidRDefault="00AB0045" w:rsidP="00AB0045">
      <w:r>
        <w:t xml:space="preserve">The </w:t>
      </w:r>
      <w:r w:rsidRPr="009B4CB2">
        <w:rPr>
          <w:i/>
          <w:iCs/>
        </w:rPr>
        <w:t>Environment Protection and Biodiversity Conservation Act 1999</w:t>
      </w:r>
      <w:r>
        <w:t xml:space="preserve"> (EPBC Act) requires the Australian Government to assess the environmental performance of fisheries and promote ecologically sustainable fisheries management (DAWE, 2021</w:t>
      </w:r>
      <w:r w:rsidR="00385C69">
        <w:t>;</w:t>
      </w:r>
      <w:r>
        <w:t xml:space="preserve"> DCCEEW, 2023</w:t>
      </w:r>
      <w:r w:rsidR="00EB62F2">
        <w:t>a</w:t>
      </w:r>
      <w:r>
        <w:t xml:space="preserve">). </w:t>
      </w:r>
      <w:r w:rsidR="009B180E">
        <w:t>DCCEEW</w:t>
      </w:r>
      <w:r w:rsidR="008D72BA">
        <w:t>’s</w:t>
      </w:r>
      <w:r w:rsidR="009B180E">
        <w:t xml:space="preserve"> (the Department) </w:t>
      </w:r>
      <w:r>
        <w:t>primary role is to evaluate the environmental performance of fisheries, including:</w:t>
      </w:r>
    </w:p>
    <w:p w14:paraId="71AF9FE1" w14:textId="77777777" w:rsidR="00AB0045" w:rsidRDefault="00AB0045" w:rsidP="00A87F05">
      <w:pPr>
        <w:pStyle w:val="ListParagraph"/>
        <w:numPr>
          <w:ilvl w:val="0"/>
          <w:numId w:val="23"/>
        </w:numPr>
      </w:pPr>
      <w:r>
        <w:t>the strategic assessment of fisheries under Part 10 of the EPBC Act</w:t>
      </w:r>
    </w:p>
    <w:p w14:paraId="79956D13" w14:textId="77777777" w:rsidR="00AB0045" w:rsidRDefault="00AB0045" w:rsidP="00A87F05">
      <w:pPr>
        <w:pStyle w:val="ListParagraph"/>
        <w:numPr>
          <w:ilvl w:val="0"/>
          <w:numId w:val="23"/>
        </w:numPr>
      </w:pPr>
      <w:r>
        <w:t>assessments relating to impacts on protected marine species under Part 13 and</w:t>
      </w:r>
    </w:p>
    <w:p w14:paraId="7486794B" w14:textId="77777777" w:rsidR="00AB0045" w:rsidRDefault="00AB0045" w:rsidP="00A87F05">
      <w:pPr>
        <w:pStyle w:val="ListParagraph"/>
        <w:numPr>
          <w:ilvl w:val="0"/>
          <w:numId w:val="23"/>
        </w:numPr>
      </w:pPr>
      <w:r>
        <w:t>assessments for the purpose of export approval under Part 13A.</w:t>
      </w:r>
    </w:p>
    <w:p w14:paraId="65E83B23" w14:textId="48B2A05C" w:rsidR="00AB0045" w:rsidRDefault="00AB0045" w:rsidP="00AB0045">
      <w:r>
        <w:t>These assessments ensure that, over time, fisheries are managed in an ecologically sustainable way. The assessments are conducted against the 2nd edition of the Guidelines for the Ecologically Sustainable Management of Fisheries (the Guidelines),</w:t>
      </w:r>
      <w:r w:rsidRPr="00297F27">
        <w:t xml:space="preserve"> </w:t>
      </w:r>
      <w:r w:rsidRPr="00113003">
        <w:t xml:space="preserve">and in doing so, also consider all public comments received on </w:t>
      </w:r>
      <w:r w:rsidRPr="00113003">
        <w:lastRenderedPageBreak/>
        <w:t>the application.</w:t>
      </w:r>
      <w:r>
        <w:t xml:space="preserve"> The Guidelines outline specific principles and objectives designed to ensure a strategic and transparent way of evaluating the ecological sustainability of fishery management arrangements. </w:t>
      </w:r>
    </w:p>
    <w:p w14:paraId="5B8C609D" w14:textId="77777777" w:rsidR="00385C69" w:rsidRDefault="00AB0045" w:rsidP="00AB0045">
      <w:r>
        <w:t>The Departments’ assessment forms the basis for approvals granted under Parts 13 and 13A of the EPBC Act, and also forms the basis for the Australian CITES Scientific Authority’s Non-Detriment Finding for CITES species harvested in this fishery.</w:t>
      </w:r>
      <w:r w:rsidR="00385C69">
        <w:t xml:space="preserve"> </w:t>
      </w:r>
      <w:r>
        <w:t>A positive finding under this process results in the granting of a Wildlife trade operations (WTO) certificate for each species exported. In order to export Australian native animal or plant specimens and/or CITES listed specimens for commercial purposes, the specimens must come from an approved program such as a WTO.</w:t>
      </w:r>
      <w:r w:rsidR="00385C69">
        <w:t xml:space="preserve"> </w:t>
      </w:r>
    </w:p>
    <w:p w14:paraId="6F628A90" w14:textId="60C0C400" w:rsidR="00283CBC" w:rsidRPr="0030730E" w:rsidRDefault="00AB0045" w:rsidP="00BE6617">
      <w:r>
        <w:t xml:space="preserve">The Department assessed an application for the </w:t>
      </w:r>
      <w:r w:rsidR="00FB6E2E">
        <w:t>QSCF</w:t>
      </w:r>
      <w:r>
        <w:t xml:space="preserve"> in 202</w:t>
      </w:r>
      <w:r w:rsidR="00FB6E2E">
        <w:t>1</w:t>
      </w:r>
      <w:r>
        <w:t xml:space="preserve"> (</w:t>
      </w:r>
      <w:r w:rsidR="00FB6E2E">
        <w:t>DAF, 2021</w:t>
      </w:r>
      <w:r w:rsidR="00B137C8">
        <w:t>a</w:t>
      </w:r>
      <w:r w:rsidR="00FB6E2E">
        <w:t xml:space="preserve">; </w:t>
      </w:r>
      <w:r>
        <w:t>DAWE, 202</w:t>
      </w:r>
      <w:r w:rsidR="00FB6E2E">
        <w:t>1</w:t>
      </w:r>
      <w:r w:rsidR="00385C69">
        <w:t>; DCCEEW, 2023b</w:t>
      </w:r>
      <w:r>
        <w:t xml:space="preserve">). Both the public submissions and </w:t>
      </w:r>
      <w:r w:rsidR="008D72BA">
        <w:t>DAF</w:t>
      </w:r>
      <w:r>
        <w:t>’s response were considered in the Department’s assessment.</w:t>
      </w:r>
      <w:r w:rsidRPr="00DC6577">
        <w:t xml:space="preserve"> </w:t>
      </w:r>
      <w:r w:rsidR="00385C69">
        <w:t>The assessment raised a range of issues, including changes to management strategies with the implementation of the new Harvest Strategy</w:t>
      </w:r>
      <w:r w:rsidR="00ED163C">
        <w:t xml:space="preserve"> (HS)</w:t>
      </w:r>
      <w:r w:rsidR="00385C69">
        <w:t>, the appropriateness of the default limit reference point, and the efficacy of the current management regime to protect all species in the fishery from overexploitation</w:t>
      </w:r>
      <w:r w:rsidR="00311F39">
        <w:t xml:space="preserve">. There was also concern about the lack of stock assessments and comprehensive and representative fishery independent surveys for other species targeted by the fishery and has recommended conditions to help </w:t>
      </w:r>
      <w:r w:rsidR="00311F39" w:rsidRPr="0030730E">
        <w:t>further this work.</w:t>
      </w:r>
      <w:r w:rsidR="00BE6617" w:rsidRPr="0030730E">
        <w:t xml:space="preserve"> </w:t>
      </w:r>
    </w:p>
    <w:p w14:paraId="3F5F8005" w14:textId="249CEF64" w:rsidR="00BE6617" w:rsidRPr="0030730E" w:rsidRDefault="00BE6617" w:rsidP="00BE6617">
      <w:r w:rsidRPr="0030730E">
        <w:t xml:space="preserve">They noted that </w:t>
      </w:r>
      <w:r w:rsidR="00501CF6" w:rsidRPr="0030730E">
        <w:t xml:space="preserve">a stock assessment has been completed for White </w:t>
      </w:r>
      <w:r w:rsidR="0030730E" w:rsidRPr="0030730E">
        <w:t>t</w:t>
      </w:r>
      <w:r w:rsidR="00501CF6" w:rsidRPr="0030730E">
        <w:t>eatfish</w:t>
      </w:r>
      <w:r w:rsidR="0030730E" w:rsidRPr="0030730E">
        <w:t xml:space="preserve">, but that </w:t>
      </w:r>
      <w:r w:rsidR="00501CF6" w:rsidRPr="0030730E">
        <w:t xml:space="preserve">uncertainty remains due to the lack of biomass surveys for this species and critical assumptions made in the stock assessment. </w:t>
      </w:r>
      <w:r w:rsidR="0030730E" w:rsidRPr="0030730E">
        <w:t>They noted that t</w:t>
      </w:r>
      <w:r w:rsidR="00501CF6" w:rsidRPr="0030730E">
        <w:t xml:space="preserve">he Harvest Strategy indicates </w:t>
      </w:r>
      <w:r w:rsidR="0030730E" w:rsidRPr="0030730E">
        <w:t>a survey in</w:t>
      </w:r>
      <w:r w:rsidR="00501CF6" w:rsidRPr="0030730E">
        <w:t xml:space="preserve"> 2023–24</w:t>
      </w:r>
      <w:r w:rsidR="0030730E" w:rsidRPr="0030730E">
        <w:t xml:space="preserve"> that </w:t>
      </w:r>
      <w:r w:rsidR="00501CF6" w:rsidRPr="0030730E">
        <w:t>reduce</w:t>
      </w:r>
      <w:r w:rsidR="0030730E" w:rsidRPr="0030730E">
        <w:t xml:space="preserve"> this uncertainty.</w:t>
      </w:r>
      <w:r w:rsidR="00501CF6" w:rsidRPr="0030730E">
        <w:t xml:space="preserve"> </w:t>
      </w:r>
    </w:p>
    <w:p w14:paraId="4F68B344" w14:textId="298297AC" w:rsidR="00EF366F" w:rsidRPr="0030730E" w:rsidRDefault="00EF366F" w:rsidP="00EF366F">
      <w:r w:rsidRPr="0030730E">
        <w:t>They</w:t>
      </w:r>
      <w:r w:rsidR="0030730E" w:rsidRPr="0030730E">
        <w:t xml:space="preserve"> also</w:t>
      </w:r>
      <w:r w:rsidRPr="0030730E">
        <w:t xml:space="preserve"> noted that there were substantial catches of W</w:t>
      </w:r>
      <w:r w:rsidR="00174A73">
        <w:t>hite teatfish</w:t>
      </w:r>
      <w:r w:rsidRPr="0030730E">
        <w:t xml:space="preserve"> from the offshore Coral Sea reefs of the QSCF (Ashmore and Boot Reefs, Marion Reef and Saumarez Reef) and that the CSF W</w:t>
      </w:r>
      <w:r w:rsidR="00174A73">
        <w:t>hite teatfish</w:t>
      </w:r>
      <w:r w:rsidRPr="0030730E">
        <w:t xml:space="preserve"> does not have export approval. They noted that managers of the Coral Sea Marine Park have expressed concerns about the capacity of individual reefs in the park to sustain the levels of fishing pressure outlined in the Rotational Harvest Arrangements. </w:t>
      </w:r>
    </w:p>
    <w:p w14:paraId="53D97B4E" w14:textId="1B3D7CE5" w:rsidR="00F35331" w:rsidRPr="0030730E" w:rsidRDefault="0030730E" w:rsidP="00F35331">
      <w:r w:rsidRPr="0030730E">
        <w:t>The assessment concluded that t</w:t>
      </w:r>
      <w:r w:rsidR="00501CF6" w:rsidRPr="0030730E">
        <w:t xml:space="preserve">here </w:t>
      </w:r>
      <w:r w:rsidRPr="0030730E">
        <w:t>was</w:t>
      </w:r>
      <w:r w:rsidR="00501CF6" w:rsidRPr="0030730E">
        <w:t xml:space="preserve"> currently insufficient evidence </w:t>
      </w:r>
      <w:r w:rsidRPr="0030730E">
        <w:t xml:space="preserve">at the time </w:t>
      </w:r>
      <w:r w:rsidR="00501CF6" w:rsidRPr="0030730E">
        <w:t xml:space="preserve">of a clear recovery of Black </w:t>
      </w:r>
      <w:r w:rsidRPr="0030730E">
        <w:t>t</w:t>
      </w:r>
      <w:r w:rsidR="00501CF6" w:rsidRPr="0030730E">
        <w:t xml:space="preserve">eatfish to demonstrate that ongoing harvest would not be detrimental to the stock status of the species. </w:t>
      </w:r>
      <w:r w:rsidRPr="0030730E">
        <w:t xml:space="preserve">In this regard, there was not enough evidence to support a positive Non-Detriment Finding for Black Teatfish. Since that time, the southern GBR survey has been completed and the 2024 MSE. </w:t>
      </w:r>
    </w:p>
    <w:p w14:paraId="60C555FC" w14:textId="2F281285" w:rsidR="00311F39" w:rsidRDefault="000E12AF" w:rsidP="00311F39">
      <w:r w:rsidRPr="0030730E">
        <w:t>Following this assessment, DCCEEW recommended that the fishery be declared an approved WTO for a period of three years until November 2024 subject to a number of conditions (a revised set of conditions were stipulated in early 2023 (DCCEEW, 2023b)</w:t>
      </w:r>
      <w:r w:rsidR="009B180E" w:rsidRPr="0030730E">
        <w:t>)</w:t>
      </w:r>
      <w:r w:rsidR="00311F39" w:rsidRPr="0030730E">
        <w:t>. The conditions included (those relevant to</w:t>
      </w:r>
      <w:r w:rsidR="00311F39" w:rsidRPr="0030730E">
        <w:rPr>
          <w:iCs/>
        </w:rPr>
        <w:t xml:space="preserve"> </w:t>
      </w:r>
      <w:r w:rsidR="009728F0" w:rsidRPr="0030730E">
        <w:rPr>
          <w:iCs/>
        </w:rPr>
        <w:t>teatfish</w:t>
      </w:r>
      <w:r w:rsidR="00311F39" w:rsidRPr="0030730E">
        <w:rPr>
          <w:i/>
        </w:rPr>
        <w:t xml:space="preserve"> </w:t>
      </w:r>
      <w:r w:rsidR="00311F39" w:rsidRPr="0030730E">
        <w:t>species</w:t>
      </w:r>
      <w:r w:rsidR="00311F39">
        <w:t xml:space="preserve"> sustainability): </w:t>
      </w:r>
    </w:p>
    <w:p w14:paraId="0D809F82" w14:textId="6052B933" w:rsidR="00311F39" w:rsidRDefault="00311F39" w:rsidP="00A87F05">
      <w:pPr>
        <w:pStyle w:val="ListParagraph"/>
        <w:numPr>
          <w:ilvl w:val="0"/>
          <w:numId w:val="22"/>
        </w:numPr>
      </w:pPr>
      <w:r>
        <w:t xml:space="preserve">(Condition 5) The Queensland Department of Agriculture and Fisheries must commission a Management Strategy Evaluation (MSE) to evaluate the ability of the settings contained in the 'Queensland Sea cucumber fishery </w:t>
      </w:r>
      <w:r w:rsidR="00ED163C">
        <w:t>HS</w:t>
      </w:r>
      <w:r>
        <w:t xml:space="preserve"> 2021-2026' and any other legislated and enforceable management arrangements to meet the fishery's objectives of attaining maximum economic yield (defined in the </w:t>
      </w:r>
      <w:r w:rsidR="00ED163C">
        <w:t>HS</w:t>
      </w:r>
      <w:r>
        <w:t xml:space="preserve"> as target biomass level of 60% of unfished biomass for stocks harvested in the fishery). The MSE must consider the risk posed to each individual species harvested in the fishery, identify information needs and make recommendations for any improvements to the management arrangements considered necessary for the management of the fishery to meet its objective.</w:t>
      </w:r>
    </w:p>
    <w:p w14:paraId="1A73F47A" w14:textId="77777777" w:rsidR="00311F39" w:rsidRDefault="00311F39" w:rsidP="00A87F05">
      <w:pPr>
        <w:pStyle w:val="ListParagraph"/>
        <w:numPr>
          <w:ilvl w:val="0"/>
          <w:numId w:val="24"/>
        </w:numPr>
      </w:pPr>
      <w:r>
        <w:t>The scope and Terms of Reference for this review should be developed in consultation with the Department of Climate Change, Energy, the Environment and Water.</w:t>
      </w:r>
    </w:p>
    <w:p w14:paraId="6D76B346" w14:textId="77777777" w:rsidR="00311F39" w:rsidRDefault="00311F39" w:rsidP="00A87F05">
      <w:pPr>
        <w:pStyle w:val="ListParagraph"/>
        <w:numPr>
          <w:ilvl w:val="0"/>
          <w:numId w:val="24"/>
        </w:numPr>
      </w:pPr>
      <w:r>
        <w:t>The updated MSE must include all new data, including data from fishery independent surveys. The updated MSE must be published on the Queensland Department of Agriculture and Fisheries website by 30 May 2024.</w:t>
      </w:r>
    </w:p>
    <w:p w14:paraId="7DC88527" w14:textId="77777777" w:rsidR="00311F39" w:rsidRDefault="00311F39" w:rsidP="00A87F05">
      <w:pPr>
        <w:pStyle w:val="ListParagraph"/>
        <w:numPr>
          <w:ilvl w:val="0"/>
          <w:numId w:val="24"/>
        </w:numPr>
      </w:pPr>
      <w:r>
        <w:t>The outcomes of the MSE must be considered as part of an implementation plan to be provided to the Department of Climate Change, Energy, the Environment and Water by 30 May 2024. The implementation plan must outline how and when any required changes to the management of the fishery will be delivered.</w:t>
      </w:r>
    </w:p>
    <w:p w14:paraId="10A92BC5" w14:textId="77777777" w:rsidR="00311F39" w:rsidRDefault="00311F39" w:rsidP="00A87F05">
      <w:pPr>
        <w:pStyle w:val="ListParagraph"/>
        <w:numPr>
          <w:ilvl w:val="0"/>
          <w:numId w:val="22"/>
        </w:numPr>
      </w:pPr>
      <w:r>
        <w:t>(Condition 6) The Queensland Department of Agriculture and Fisheries must:</w:t>
      </w:r>
    </w:p>
    <w:p w14:paraId="4500EF1F" w14:textId="77777777" w:rsidR="00311F39" w:rsidRDefault="00311F39" w:rsidP="00A87F05">
      <w:pPr>
        <w:pStyle w:val="ListParagraph"/>
        <w:numPr>
          <w:ilvl w:val="0"/>
          <w:numId w:val="25"/>
        </w:numPr>
      </w:pPr>
      <w:r>
        <w:lastRenderedPageBreak/>
        <w:t>Undertake desktop research on the main sea cucumber species harvested in the fishery to determine biologically meaningful minimum size limits. Investigations should consider key biological parameters, for example, size at maturity. Findings of this research should be published on the Queensland Department of Agriculture and Fisheries website before the commencement of the 2022–23 fishing season.</w:t>
      </w:r>
    </w:p>
    <w:p w14:paraId="4FE247D6" w14:textId="77777777" w:rsidR="00311F39" w:rsidRDefault="00311F39" w:rsidP="00A87F05">
      <w:pPr>
        <w:pStyle w:val="ListParagraph"/>
        <w:numPr>
          <w:ilvl w:val="0"/>
          <w:numId w:val="25"/>
        </w:numPr>
      </w:pPr>
      <w:r>
        <w:t>Work with industry to undertake fieldwork within the fishery to determine appropriate ways to implement the minimum size limits determined through 6a. This may include the development of appropriate conversion factors to account for changes in size resulting from processing. Findings of this research should be published on the Queensland Department of Agriculture and Fisheries website before the commencement of the 2023–24 fishing season.</w:t>
      </w:r>
    </w:p>
    <w:p w14:paraId="36EAB2D6" w14:textId="77777777" w:rsidR="00311F39" w:rsidRDefault="00311F39" w:rsidP="00A87F05">
      <w:pPr>
        <w:pStyle w:val="ListParagraph"/>
        <w:numPr>
          <w:ilvl w:val="0"/>
          <w:numId w:val="25"/>
        </w:numPr>
      </w:pPr>
      <w:r>
        <w:t>Implement minimum size limits based on work completed in 6a and 6b prior to the 2024–25 fishing season. Implementation of minimum size limits should be described in the Queensland Department of Agriculture and Fisheries application for the next Wildlife Trade Operation for this fishery.</w:t>
      </w:r>
    </w:p>
    <w:p w14:paraId="1E5283A5" w14:textId="56015BC0" w:rsidR="00753BB3" w:rsidRDefault="00753BB3" w:rsidP="00753BB3">
      <w:pPr>
        <w:pStyle w:val="ListParagraph"/>
        <w:numPr>
          <w:ilvl w:val="0"/>
          <w:numId w:val="22"/>
        </w:numPr>
      </w:pPr>
      <w:r>
        <w:t>(Condition 9) The Queensland Department of Agriculture and Fisheries must:</w:t>
      </w:r>
    </w:p>
    <w:p w14:paraId="4009831A" w14:textId="2DE9D392" w:rsidR="00753BB3" w:rsidRDefault="00753BB3" w:rsidP="00753BB3">
      <w:pPr>
        <w:pStyle w:val="ListParagraph"/>
        <w:numPr>
          <w:ilvl w:val="0"/>
          <w:numId w:val="38"/>
        </w:numPr>
      </w:pPr>
      <w:r>
        <w:t>Ensure that harvest of White Teatfish (Holothuria fuscogilva) does not exceed 53 t per season.</w:t>
      </w:r>
    </w:p>
    <w:p w14:paraId="6E9E25B7" w14:textId="245A5546" w:rsidR="00753BB3" w:rsidRDefault="00753BB3" w:rsidP="00753BB3">
      <w:pPr>
        <w:pStyle w:val="ListParagraph"/>
        <w:numPr>
          <w:ilvl w:val="0"/>
          <w:numId w:val="22"/>
        </w:numPr>
      </w:pPr>
      <w:r>
        <w:t>(Condition 10) The Queensland Department of Agriculture and Fisheries must:</w:t>
      </w:r>
    </w:p>
    <w:p w14:paraId="4419D8D0" w14:textId="7E78006B" w:rsidR="00753BB3" w:rsidRDefault="00753BB3" w:rsidP="00753BB3">
      <w:pPr>
        <w:pStyle w:val="ListParagraph"/>
        <w:numPr>
          <w:ilvl w:val="0"/>
          <w:numId w:val="39"/>
        </w:numPr>
      </w:pPr>
      <w:r>
        <w:t>Report information on the species harvested from Ashmore and Boot Reefs, Marion Reef and Saumarez Reef including species harvested, amount of harvest per species and location of harvest from the Coral Sea Marine Park. This reporting must be done as part of the annual report required under Condition 4.</w:t>
      </w:r>
    </w:p>
    <w:p w14:paraId="6B0223BB" w14:textId="106E9C89" w:rsidR="00753BB3" w:rsidRDefault="00753BB3" w:rsidP="00753BB3">
      <w:pPr>
        <w:pStyle w:val="ListParagraph"/>
        <w:numPr>
          <w:ilvl w:val="0"/>
          <w:numId w:val="39"/>
        </w:numPr>
      </w:pPr>
      <w:r>
        <w:t>Ensure that White Teatfish (</w:t>
      </w:r>
      <w:r w:rsidRPr="00753BB3">
        <w:rPr>
          <w:i/>
          <w:iCs/>
        </w:rPr>
        <w:t>Holothuria fuscogilva</w:t>
      </w:r>
      <w:r>
        <w:t>) is not harvested from the Coral Sea Marine Park including Ashmore and Boot Reefs, Marion Reef and Saumarez Reef.</w:t>
      </w:r>
    </w:p>
    <w:p w14:paraId="5D09579F" w14:textId="0CFDF2ED" w:rsidR="00311F39" w:rsidRDefault="00311F39" w:rsidP="00311F39">
      <w:r>
        <w:t xml:space="preserve">Even though the Departments assessment was that there was not sufficient information required to </w:t>
      </w:r>
      <w:r w:rsidR="003A1A94">
        <w:t xml:space="preserve">satisfy </w:t>
      </w:r>
      <w:r w:rsidRPr="00C73937">
        <w:t xml:space="preserve">Objective 3 </w:t>
      </w:r>
      <w:r w:rsidR="003A1A94">
        <w:t>(</w:t>
      </w:r>
      <w:r w:rsidRPr="003A1A94">
        <w:rPr>
          <w:i/>
          <w:iCs/>
        </w:rPr>
        <w:t>The fishery is conducted, in a manner that minimises the impact of fishing operations on the ecosystem generally</w:t>
      </w:r>
      <w:r>
        <w:t>)</w:t>
      </w:r>
      <w:r w:rsidR="003A1A94">
        <w:t>, they</w:t>
      </w:r>
      <w:r>
        <w:t xml:space="preserve"> </w:t>
      </w:r>
      <w:r w:rsidR="003A1A94">
        <w:t xml:space="preserve">determined that significant ecological impacts were unlikely under current management arrangements, and rather than raise a </w:t>
      </w:r>
      <w:r>
        <w:t xml:space="preserve">specific condition, instead relied on conditions related to stock surveys and the MSE assessment to fulfill this objective. </w:t>
      </w:r>
    </w:p>
    <w:p w14:paraId="55552FA3" w14:textId="767205C0" w:rsidR="00031D87" w:rsidRDefault="00031D87" w:rsidP="00311F39">
      <w:r w:rsidRPr="00031D87">
        <w:t>The current export approval for the Q</w:t>
      </w:r>
      <w:r>
        <w:t xml:space="preserve">SCF </w:t>
      </w:r>
      <w:r w:rsidRPr="00031D87">
        <w:t>is valid until 30 November 2024</w:t>
      </w:r>
      <w:r>
        <w:t xml:space="preserve">, </w:t>
      </w:r>
      <w:r w:rsidRPr="00031D87">
        <w:t>and the fishery is now due for assessment for ongoing export accreditation</w:t>
      </w:r>
      <w:r>
        <w:t>.</w:t>
      </w:r>
    </w:p>
    <w:p w14:paraId="46DAB391" w14:textId="6603C3F6" w:rsidR="009728F0" w:rsidRDefault="00031D87" w:rsidP="00311F39">
      <w:r>
        <w:t xml:space="preserve">An </w:t>
      </w:r>
      <w:r w:rsidRPr="00031D87">
        <w:t>application from Q</w:t>
      </w:r>
      <w:r>
        <w:t xml:space="preserve">ld DAF for consideration by the department for the next export approval </w:t>
      </w:r>
      <w:r w:rsidR="009728F0">
        <w:t xml:space="preserve">process </w:t>
      </w:r>
      <w:r>
        <w:t xml:space="preserve">was received </w:t>
      </w:r>
      <w:r w:rsidRPr="00031D87">
        <w:t xml:space="preserve">on </w:t>
      </w:r>
      <w:r w:rsidR="009728F0" w:rsidRPr="00031D87">
        <w:t>12 June 2024</w:t>
      </w:r>
      <w:r w:rsidR="009728F0">
        <w:t xml:space="preserve"> and</w:t>
      </w:r>
      <w:r>
        <w:t xml:space="preserve"> is currently released </w:t>
      </w:r>
      <w:r w:rsidR="009728F0">
        <w:t>for public comments</w:t>
      </w:r>
      <w:r w:rsidR="008E22E1">
        <w:t xml:space="preserve"> (DAF, 2024)</w:t>
      </w:r>
      <w:r w:rsidRPr="00031D87">
        <w:t>.</w:t>
      </w:r>
      <w:r w:rsidR="009728F0">
        <w:t xml:space="preserve"> The report </w:t>
      </w:r>
      <w:r w:rsidRPr="00031D87">
        <w:t>provide</w:t>
      </w:r>
      <w:r w:rsidR="009728F0">
        <w:t xml:space="preserve">s an update on the fishery and lists </w:t>
      </w:r>
      <w:r w:rsidRPr="00031D87">
        <w:t xml:space="preserve">the implementation of any conditions or recommendations made in the previous assessment. </w:t>
      </w:r>
    </w:p>
    <w:p w14:paraId="0489F71F" w14:textId="31A198B8" w:rsidR="00480D97" w:rsidRDefault="009728F0" w:rsidP="00581302">
      <w:r>
        <w:t xml:space="preserve">In the assessment, </w:t>
      </w:r>
      <w:r w:rsidR="00480D97">
        <w:t xml:space="preserve">in relation to the above conditions, </w:t>
      </w:r>
      <w:r>
        <w:t xml:space="preserve">Qld DAF noted </w:t>
      </w:r>
      <w:r w:rsidR="0030730E">
        <w:t>the following</w:t>
      </w:r>
      <w:r w:rsidR="00480D97">
        <w:t>:</w:t>
      </w:r>
    </w:p>
    <w:p w14:paraId="0AD11C21" w14:textId="1F6C87EA" w:rsidR="009728F0" w:rsidRDefault="00F4739A" w:rsidP="00B92D4C">
      <w:pPr>
        <w:pStyle w:val="ListParagraph"/>
        <w:numPr>
          <w:ilvl w:val="0"/>
          <w:numId w:val="22"/>
        </w:numPr>
      </w:pPr>
      <w:r>
        <w:t xml:space="preserve">Condition 5: </w:t>
      </w:r>
      <w:r w:rsidR="00480D97">
        <w:t>T</w:t>
      </w:r>
      <w:r w:rsidR="009728F0">
        <w:t xml:space="preserve">he </w:t>
      </w:r>
      <w:r w:rsidR="00581302">
        <w:t>MSE ha</w:t>
      </w:r>
      <w:r w:rsidR="00B34514">
        <w:t>s</w:t>
      </w:r>
      <w:r w:rsidR="00581302">
        <w:t xml:space="preserve"> been </w:t>
      </w:r>
      <w:r w:rsidR="00B34514">
        <w:t xml:space="preserve">completed and published </w:t>
      </w:r>
      <w:r w:rsidR="00480D97">
        <w:t>(</w:t>
      </w:r>
      <w:r w:rsidR="00B34514">
        <w:t>reviewed above</w:t>
      </w:r>
      <w:r w:rsidR="00480D97">
        <w:t>)</w:t>
      </w:r>
      <w:r w:rsidR="00B34514">
        <w:t>.</w:t>
      </w:r>
      <w:r w:rsidR="00581302">
        <w:t xml:space="preserve"> </w:t>
      </w:r>
      <w:r w:rsidR="00B34514">
        <w:t xml:space="preserve">Qld DAF </w:t>
      </w:r>
      <w:r w:rsidR="00581302">
        <w:t xml:space="preserve">indicated that </w:t>
      </w:r>
      <w:r w:rsidR="00581302" w:rsidRPr="00581302">
        <w:t>the MSE did not identify any species where management changes were required</w:t>
      </w:r>
      <w:r w:rsidR="00941AC4">
        <w:t xml:space="preserve"> to meet the 60% biomass targets set out in the harvest strategy. But they did make a series of recommendations to address uncertainty, mostly related to </w:t>
      </w:r>
      <w:r w:rsidR="00B34514">
        <w:t xml:space="preserve">key species </w:t>
      </w:r>
      <w:r w:rsidR="00941AC4">
        <w:t xml:space="preserve">biology. </w:t>
      </w:r>
    </w:p>
    <w:p w14:paraId="36CD1994" w14:textId="4A3F3EDE" w:rsidR="0013499A" w:rsidRDefault="00F4739A" w:rsidP="00B92D4C">
      <w:pPr>
        <w:pStyle w:val="ListParagraph"/>
        <w:numPr>
          <w:ilvl w:val="0"/>
          <w:numId w:val="22"/>
        </w:numPr>
      </w:pPr>
      <w:r>
        <w:t xml:space="preserve">Condition 6: </w:t>
      </w:r>
      <w:r w:rsidR="00480D97" w:rsidRPr="00480D97">
        <w:t xml:space="preserve">A desktop review </w:t>
      </w:r>
      <w:r w:rsidR="00480D97">
        <w:t xml:space="preserve">of minimum size limits </w:t>
      </w:r>
      <w:r w:rsidR="00480D97" w:rsidRPr="00480D97">
        <w:t>was completed</w:t>
      </w:r>
      <w:r w:rsidR="00480D97">
        <w:t xml:space="preserve"> </w:t>
      </w:r>
      <w:r w:rsidR="00B34514">
        <w:t xml:space="preserve">and published </w:t>
      </w:r>
      <w:r w:rsidR="00480D97">
        <w:t xml:space="preserve">in 2022 </w:t>
      </w:r>
      <w:r w:rsidR="00B34514">
        <w:t>w</w:t>
      </w:r>
      <w:r w:rsidR="00480D97">
        <w:t>ith the primary finding that “</w:t>
      </w:r>
      <w:r w:rsidR="00480D97" w:rsidRPr="00B92D4C">
        <w:rPr>
          <w:i/>
          <w:iCs/>
        </w:rPr>
        <w:t>Generally this desktop research found that the species-specific size limits applied in the QSCF were considerably larger than the species’ size at maturity (where data available) and the size limits applied in other fisheries. This makes the QSCF size limits, which are implemented in licence conditions, relatively precautionary from a biological perspective</w:t>
      </w:r>
      <w:r w:rsidR="00480D97">
        <w:t>”</w:t>
      </w:r>
      <w:r w:rsidR="00480D97" w:rsidRPr="00480D97">
        <w:t>.</w:t>
      </w:r>
      <w:r w:rsidR="00480D97">
        <w:t xml:space="preserve"> It identified B</w:t>
      </w:r>
      <w:r w:rsidR="00480D97" w:rsidRPr="00480D97">
        <w:t>lackfish (</w:t>
      </w:r>
      <w:r w:rsidR="00480D97" w:rsidRPr="00B92D4C">
        <w:rPr>
          <w:i/>
          <w:iCs/>
        </w:rPr>
        <w:t>A. palauensis</w:t>
      </w:r>
      <w:r w:rsidR="00480D97" w:rsidRPr="00480D97">
        <w:t xml:space="preserve">) and </w:t>
      </w:r>
      <w:r w:rsidR="00480D97">
        <w:t>B</w:t>
      </w:r>
      <w:r w:rsidR="00480D97" w:rsidRPr="00480D97">
        <w:t>urrowing blackfish (</w:t>
      </w:r>
      <w:r w:rsidR="00480D97" w:rsidRPr="00B92D4C">
        <w:rPr>
          <w:i/>
          <w:iCs/>
        </w:rPr>
        <w:t>A. spinea</w:t>
      </w:r>
      <w:r w:rsidR="00480D97" w:rsidRPr="00480D97">
        <w:t xml:space="preserve">) </w:t>
      </w:r>
      <w:r w:rsidR="00480D97">
        <w:t xml:space="preserve">as priorities for size at maturity research </w:t>
      </w:r>
      <w:r w:rsidR="00480D97" w:rsidRPr="00480D97">
        <w:t xml:space="preserve">given </w:t>
      </w:r>
      <w:r w:rsidR="00480D97">
        <w:t xml:space="preserve">limited available information. </w:t>
      </w:r>
      <w:r w:rsidR="0030730E">
        <w:t xml:space="preserve">The DAF assessment report </w:t>
      </w:r>
      <w:r w:rsidR="001A244C">
        <w:t>states that “</w:t>
      </w:r>
      <w:r w:rsidR="001A244C" w:rsidRPr="00B92D4C">
        <w:rPr>
          <w:i/>
          <w:iCs/>
        </w:rPr>
        <w:t>No changes were recommended to the minimum size limits from this 2022 report</w:t>
      </w:r>
      <w:r w:rsidR="001A244C">
        <w:t xml:space="preserve">” and that it considers that the condition has largely been met (DAF, 2024). </w:t>
      </w:r>
      <w:r w:rsidR="0013499A">
        <w:t xml:space="preserve">However, the </w:t>
      </w:r>
      <w:r>
        <w:t>implementation</w:t>
      </w:r>
      <w:r w:rsidR="0013499A">
        <w:t xml:space="preserve"> plan </w:t>
      </w:r>
      <w:r w:rsidR="0008540A">
        <w:t xml:space="preserve">from mid-2023 </w:t>
      </w:r>
      <w:r w:rsidR="0013499A">
        <w:t xml:space="preserve">does </w:t>
      </w:r>
      <w:r w:rsidR="0008540A">
        <w:t xml:space="preserve">subsequently </w:t>
      </w:r>
      <w:r w:rsidR="00B92D4C">
        <w:t xml:space="preserve">outline </w:t>
      </w:r>
      <w:r w:rsidR="0013499A">
        <w:t xml:space="preserve">some </w:t>
      </w:r>
      <w:r w:rsidR="00B92D4C">
        <w:t xml:space="preserve">current </w:t>
      </w:r>
      <w:r w:rsidR="0013499A">
        <w:t xml:space="preserve">research on size at </w:t>
      </w:r>
      <w:r w:rsidR="00B34514">
        <w:t>maturity</w:t>
      </w:r>
      <w:r w:rsidR="0013499A">
        <w:t xml:space="preserve"> for Burrowing blackfish, and that they would “</w:t>
      </w:r>
      <w:r w:rsidR="0013499A" w:rsidRPr="00B92D4C">
        <w:rPr>
          <w:i/>
          <w:iCs/>
        </w:rPr>
        <w:t xml:space="preserve">Review of the minimum size limits for vastus curryfish, herrmanni curryfish, black teatfish and white teatfish and develop a plan within 18 months to fill priority information </w:t>
      </w:r>
      <w:r w:rsidR="0013499A" w:rsidRPr="00B92D4C">
        <w:rPr>
          <w:i/>
          <w:iCs/>
        </w:rPr>
        <w:lastRenderedPageBreak/>
        <w:t>gaps within the next WTO term. In particular, noting the need for growth and maturity information for vastus curryfish (maturity information is needed to inform appropriate size limits) and growth information for black teatfish, white teatfish, burrowing blackfish and herrmanni curryfish</w:t>
      </w:r>
      <w:r w:rsidR="0013499A">
        <w:t>”</w:t>
      </w:r>
      <w:r w:rsidR="0013499A" w:rsidRPr="0013499A">
        <w:t>.</w:t>
      </w:r>
    </w:p>
    <w:p w14:paraId="5900E8A5" w14:textId="273E8484" w:rsidR="00480D97" w:rsidRDefault="00F4739A" w:rsidP="00B92D4C">
      <w:pPr>
        <w:pStyle w:val="ListParagraph"/>
        <w:numPr>
          <w:ilvl w:val="0"/>
          <w:numId w:val="22"/>
        </w:numPr>
      </w:pPr>
      <w:r>
        <w:t xml:space="preserve">Condition 9: </w:t>
      </w:r>
      <w:r w:rsidRPr="00F4739A">
        <w:t>The 53 t TAC for White teatfish is set legislation and has not been exceeded.</w:t>
      </w:r>
    </w:p>
    <w:p w14:paraId="306512EA" w14:textId="5DDFBB42" w:rsidR="00F4739A" w:rsidRDefault="004968CD" w:rsidP="00B92D4C">
      <w:pPr>
        <w:pStyle w:val="ListParagraph"/>
        <w:numPr>
          <w:ilvl w:val="0"/>
          <w:numId w:val="22"/>
        </w:numPr>
      </w:pPr>
      <w:r>
        <w:t xml:space="preserve">Condition 10: No sea cucumber fishing has been recorded </w:t>
      </w:r>
      <w:r w:rsidR="008E22E1">
        <w:t xml:space="preserve">on any of the offshore reefs </w:t>
      </w:r>
      <w:r>
        <w:t>in the Coral Sea since the WTO was issued on 2 December 2021.</w:t>
      </w:r>
    </w:p>
    <w:p w14:paraId="1B1FFE38" w14:textId="3F07DBB9" w:rsidR="00031D87" w:rsidRDefault="00031D87" w:rsidP="00311F39">
      <w:r w:rsidRPr="00031D87">
        <w:t xml:space="preserve">The </w:t>
      </w:r>
      <w:r w:rsidR="00B92D4C">
        <w:t xml:space="preserve">recent </w:t>
      </w:r>
      <w:r w:rsidRPr="00031D87">
        <w:t xml:space="preserve">application </w:t>
      </w:r>
      <w:r w:rsidR="00B92D4C">
        <w:t xml:space="preserve">(DAF, 2024) </w:t>
      </w:r>
      <w:r w:rsidRPr="00031D87">
        <w:t>will be used to assess the operation of the fishery for the purposes of Part 13 and Part 13A of the Environment Protection and Biodiversity Conservation Act 1999 (EPBC Act), this includes Australia’s obligations as a Party to the Convention on International Trade in Endangered Species of Wild Fauna and Flora (CITES). Relevant CITES non detriment findings will be considered in this process.</w:t>
      </w:r>
    </w:p>
    <w:p w14:paraId="2F190E4C" w14:textId="77777777" w:rsidR="00443161" w:rsidRPr="00447D10" w:rsidRDefault="00443161" w:rsidP="008D08E6">
      <w:pPr>
        <w:pStyle w:val="Heading2"/>
        <w:ind w:left="851" w:hanging="851"/>
      </w:pPr>
      <w:bookmarkStart w:id="181" w:name="_Toc138269056"/>
      <w:bookmarkStart w:id="182" w:name="_Toc139374136"/>
      <w:bookmarkStart w:id="183" w:name="_Toc189044946"/>
      <w:r w:rsidRPr="00447D10">
        <w:t>History</w:t>
      </w:r>
      <w:r>
        <w:t xml:space="preserve"> of management</w:t>
      </w:r>
      <w:bookmarkEnd w:id="181"/>
      <w:bookmarkEnd w:id="182"/>
      <w:bookmarkEnd w:id="183"/>
      <w:r>
        <w:t xml:space="preserve"> </w:t>
      </w:r>
    </w:p>
    <w:p w14:paraId="52E10221" w14:textId="5EEE8B67" w:rsidR="00387999" w:rsidRDefault="00387999" w:rsidP="00387999">
      <w:r>
        <w:t>The following timeline pertains to the modern fishery (</w:t>
      </w:r>
      <w:r w:rsidRPr="00BB3549">
        <w:t>Damschke</w:t>
      </w:r>
      <w:r>
        <w:t xml:space="preserve">, 1997; </w:t>
      </w:r>
      <w:bookmarkStart w:id="184" w:name="_Hlk151389916"/>
      <w:r>
        <w:t>Breen, 2001</w:t>
      </w:r>
      <w:bookmarkEnd w:id="184"/>
      <w:r>
        <w:t xml:space="preserve">; Roelofs, 2004; </w:t>
      </w:r>
      <w:r w:rsidRPr="006A73BF">
        <w:t>Helidoniotis</w:t>
      </w:r>
      <w:r>
        <w:t xml:space="preserve">, 2021a; </w:t>
      </w:r>
      <w:r w:rsidRPr="006A73BF">
        <w:t>2021b</w:t>
      </w:r>
      <w:r>
        <w:t>).</w:t>
      </w:r>
    </w:p>
    <w:p w14:paraId="616A8F10" w14:textId="724FF98F" w:rsidR="00B81DEB" w:rsidRDefault="00B81DEB" w:rsidP="00B81DEB">
      <w:r>
        <w:t xml:space="preserve">1978: The first beche-de-mer fishing </w:t>
      </w:r>
      <w:r w:rsidR="0005515E">
        <w:t xml:space="preserve">(“pilot”) </w:t>
      </w:r>
      <w:r>
        <w:t>permit for the Qld E</w:t>
      </w:r>
      <w:r w:rsidR="00387999">
        <w:t xml:space="preserve">ast </w:t>
      </w:r>
      <w:r>
        <w:t>C</w:t>
      </w:r>
      <w:r w:rsidR="00387999">
        <w:t>oast</w:t>
      </w:r>
      <w:r>
        <w:t xml:space="preserve"> is issued by</w:t>
      </w:r>
      <w:r w:rsidRPr="00BB3549">
        <w:t xml:space="preserve"> Queensland Department of Primary Industries (QDPI).</w:t>
      </w:r>
      <w:r w:rsidRPr="00B81DEB">
        <w:t xml:space="preserve"> </w:t>
      </w:r>
      <w:r>
        <w:t xml:space="preserve">Up to 1986, only a few </w:t>
      </w:r>
      <w:r w:rsidR="00387999">
        <w:t xml:space="preserve">(&lt;5) </w:t>
      </w:r>
      <w:r>
        <w:t xml:space="preserve">fishing permits were issued </w:t>
      </w:r>
      <w:r w:rsidR="00387999">
        <w:t xml:space="preserve">annually </w:t>
      </w:r>
      <w:r>
        <w:t>to allow assessment of the feasibility of renewing a beche-de-mer industry on the Great Barrier Reef.</w:t>
      </w:r>
    </w:p>
    <w:p w14:paraId="21FEA994" w14:textId="5306E89B" w:rsidR="0005515E" w:rsidRDefault="0005515E" w:rsidP="006F60E3">
      <w:r>
        <w:t>1978-79: The first surveys are carried out to establish the potential for a beche-de-mer fishery on the GBR (Harriott, 1984; 1985). It considered that, given the density, price and fishing costs, the fishery was unlikely to be viable at the time.</w:t>
      </w:r>
    </w:p>
    <w:p w14:paraId="2D1DF2DD" w14:textId="0125CB8E" w:rsidR="00D25D36" w:rsidRDefault="00D25D36" w:rsidP="006F60E3">
      <w:r w:rsidRPr="00D25D36">
        <w:t>1983-1989</w:t>
      </w:r>
      <w:r w:rsidR="006C7549">
        <w:t>:</w:t>
      </w:r>
      <w:r w:rsidRPr="00D25D36">
        <w:t xml:space="preserve"> Implementation of initial GBRMP zoning schemes (Sections) resulting in approximately 5.3% no take (GBRMPA, 2003).</w:t>
      </w:r>
    </w:p>
    <w:p w14:paraId="43C7772D" w14:textId="17277C10" w:rsidR="001B2AFA" w:rsidRDefault="000E3A02" w:rsidP="006F60E3">
      <w:r>
        <w:t xml:space="preserve">1987: A </w:t>
      </w:r>
      <w:r w:rsidRPr="00B81DEB">
        <w:t xml:space="preserve">boom period </w:t>
      </w:r>
      <w:r w:rsidR="00387999">
        <w:t xml:space="preserve">began that </w:t>
      </w:r>
      <w:r>
        <w:t>saw</w:t>
      </w:r>
      <w:r w:rsidRPr="00B81DEB">
        <w:t xml:space="preserve"> the number of participants increased in Queensland's beche-de-mer fishery</w:t>
      </w:r>
      <w:r w:rsidR="00387999">
        <w:t xml:space="preserve">, with </w:t>
      </w:r>
      <w:r w:rsidRPr="00B81DEB">
        <w:t>up to 2</w:t>
      </w:r>
      <w:r w:rsidR="00387999">
        <w:t>9</w:t>
      </w:r>
      <w:r w:rsidRPr="00B81DEB">
        <w:t xml:space="preserve"> permit holders </w:t>
      </w:r>
      <w:r w:rsidR="00365A96">
        <w:t xml:space="preserve">(in 1991/92) </w:t>
      </w:r>
      <w:r w:rsidRPr="00B81DEB">
        <w:t>on the east coast.</w:t>
      </w:r>
    </w:p>
    <w:p w14:paraId="588A249D" w14:textId="775BB139" w:rsidR="001B2AFA" w:rsidRDefault="001B2AFA" w:rsidP="006F60E3">
      <w:r>
        <w:t>1</w:t>
      </w:r>
      <w:r w:rsidRPr="001B2AFA">
        <w:t>991</w:t>
      </w:r>
      <w:r>
        <w:t xml:space="preserve">: </w:t>
      </w:r>
      <w:r w:rsidR="000E3A02">
        <w:t>A</w:t>
      </w:r>
      <w:r w:rsidRPr="001B2AFA">
        <w:t xml:space="preserve">n overall (i.e. total for all retained species) Total Allowable </w:t>
      </w:r>
      <w:r w:rsidR="00250200">
        <w:t xml:space="preserve">Commercial </w:t>
      </w:r>
      <w:r w:rsidRPr="001B2AFA">
        <w:t>Catch (TA</w:t>
      </w:r>
      <w:r w:rsidR="00250200">
        <w:t>C</w:t>
      </w:r>
      <w:r w:rsidRPr="001B2AFA">
        <w:t>) was set at 500 tonnes (wet gutted weight), with individual quotas assigned to licence holders</w:t>
      </w:r>
      <w:r>
        <w:t xml:space="preserve"> </w:t>
      </w:r>
      <w:r w:rsidR="000E3A02" w:rsidRPr="000E3A02">
        <w:t>in 15</w:t>
      </w:r>
      <w:r w:rsidR="005C534F">
        <w:t xml:space="preserve"> (12)</w:t>
      </w:r>
      <w:r w:rsidR="000E3A02" w:rsidRPr="000E3A02">
        <w:t xml:space="preserve">, 25 </w:t>
      </w:r>
      <w:r w:rsidR="005C534F">
        <w:t xml:space="preserve">(4) </w:t>
      </w:r>
      <w:r w:rsidR="000E3A02" w:rsidRPr="000E3A02">
        <w:t xml:space="preserve">or 50 </w:t>
      </w:r>
      <w:r w:rsidR="005C534F">
        <w:t xml:space="preserve">(2) </w:t>
      </w:r>
      <w:r w:rsidR="000E3A02" w:rsidRPr="000E3A02">
        <w:t xml:space="preserve">tonne lots </w:t>
      </w:r>
      <w:r w:rsidR="00AC4E15">
        <w:t>(only max 380 was ever allocated)</w:t>
      </w:r>
      <w:r w:rsidRPr="001B2AFA">
        <w:t xml:space="preserve">. </w:t>
      </w:r>
    </w:p>
    <w:p w14:paraId="700D5FB3" w14:textId="77777777" w:rsidR="00365A96" w:rsidRDefault="00365A96" w:rsidP="00365A96">
      <w:r>
        <w:t>1991: Compulsory commercial catch logbook reporting commenced. At that time, catch and effort information is recorded on a quarterly basis.</w:t>
      </w:r>
    </w:p>
    <w:p w14:paraId="4DD13FE4" w14:textId="77777777" w:rsidR="00250200" w:rsidRDefault="000E3A02" w:rsidP="006F60E3">
      <w:r>
        <w:t xml:space="preserve">1995: </w:t>
      </w:r>
      <w:r w:rsidR="00B81DEB" w:rsidRPr="00B81DEB">
        <w:t xml:space="preserve">The Fisheries Regulations 1995 outlined new management arrangements for wildstock fisheries in Queensland and management was transferred to the Queensland Fisheries Management Authority (QFMA). </w:t>
      </w:r>
    </w:p>
    <w:p w14:paraId="3FDBBA35" w14:textId="46374364" w:rsidR="000E3A02" w:rsidRDefault="00250200" w:rsidP="009669F7">
      <w:r>
        <w:t xml:space="preserve">1995: </w:t>
      </w:r>
      <w:r w:rsidR="00B81DEB" w:rsidRPr="00B81DEB">
        <w:t xml:space="preserve">From 1 January 1995, the east coast beche-de-mer fishery became a limited entry fishery, </w:t>
      </w:r>
      <w:r w:rsidR="005C534F">
        <w:t xml:space="preserve">with </w:t>
      </w:r>
      <w:r w:rsidR="000E3A02">
        <w:t xml:space="preserve">18 permits authorised, </w:t>
      </w:r>
      <w:r w:rsidR="00B81DEB" w:rsidRPr="00B81DEB">
        <w:t xml:space="preserve">and no new permits have been granted since that time. </w:t>
      </w:r>
      <w:r w:rsidR="009669F7">
        <w:t>The TAC is divided among the 18 authorities using a system of individual quotas (IQs).</w:t>
      </w:r>
    </w:p>
    <w:p w14:paraId="62BA9051" w14:textId="15174D1A" w:rsidR="00FF074E" w:rsidRDefault="00FF074E" w:rsidP="006F60E3">
      <w:r>
        <w:t>1995:</w:t>
      </w:r>
      <w:r w:rsidR="000B1AAF">
        <w:t xml:space="preserve"> </w:t>
      </w:r>
      <w:r>
        <w:t>In October 1995, a daily logbook was introduced allowing detailed information to be recorded on daily catch, effort and location information.</w:t>
      </w:r>
    </w:p>
    <w:p w14:paraId="6D56F6FB" w14:textId="39F5919F" w:rsidR="00BB3549" w:rsidRDefault="000E3A02" w:rsidP="006F60E3">
      <w:r>
        <w:t xml:space="preserve">1996: </w:t>
      </w:r>
      <w:r w:rsidR="00B81DEB" w:rsidRPr="00B81DEB">
        <w:t>In July 1996, QFMA granted beche-de-mer east coast permit holders with a new authorisation: "Authority to Take Fish For Trade Or Commerce" endorsed with the fishery symbol B1.</w:t>
      </w:r>
    </w:p>
    <w:p w14:paraId="0522377F" w14:textId="64631DDD" w:rsidR="00E70B13" w:rsidRDefault="00E70B13" w:rsidP="006F60E3">
      <w:r>
        <w:t>1998: Authorities became transferable (by 2001, there were only 4 entities that owned licences, and by 2015 there were only two).</w:t>
      </w:r>
    </w:p>
    <w:p w14:paraId="41F6C388" w14:textId="6659B39B" w:rsidR="001B2AFA" w:rsidRDefault="001B2AFA" w:rsidP="006F60E3">
      <w:r w:rsidRPr="001B2AFA">
        <w:t>1998</w:t>
      </w:r>
      <w:r>
        <w:t xml:space="preserve">: </w:t>
      </w:r>
      <w:r w:rsidRPr="001B2AFA">
        <w:t>The TAC was reduced to 380 t (wet gutted weight)</w:t>
      </w:r>
      <w:r w:rsidR="00AC4E15">
        <w:t>.</w:t>
      </w:r>
    </w:p>
    <w:p w14:paraId="4EFAC756" w14:textId="7B28887E" w:rsidR="00ED091B" w:rsidRDefault="00ED091B" w:rsidP="00ED091B">
      <w:r>
        <w:t>1998: A minimum legal size of 15cm applies to all species in the beche-de-mer fishery implemented by authority condition.</w:t>
      </w:r>
    </w:p>
    <w:p w14:paraId="1EBB2CB8" w14:textId="432A2C31" w:rsidR="001B2AFA" w:rsidRDefault="001B2AFA" w:rsidP="006F60E3">
      <w:r w:rsidRPr="001B2AFA">
        <w:lastRenderedPageBreak/>
        <w:t>1999</w:t>
      </w:r>
      <w:r>
        <w:t>:</w:t>
      </w:r>
      <w:r w:rsidRPr="001B2AFA">
        <w:t xml:space="preserve"> A reduction in catch rates and concerns over the status of the population led to the closure of </w:t>
      </w:r>
      <w:r w:rsidR="000E3A02" w:rsidRPr="001B2AFA">
        <w:t xml:space="preserve">Black Teatfish </w:t>
      </w:r>
      <w:r w:rsidRPr="001B2AFA">
        <w:t>in October</w:t>
      </w:r>
      <w:r w:rsidR="0093272C">
        <w:t xml:space="preserve"> 1999</w:t>
      </w:r>
      <w:r w:rsidRPr="001B2AFA">
        <w:t>.</w:t>
      </w:r>
    </w:p>
    <w:p w14:paraId="656F1DCA" w14:textId="20ED11B8" w:rsidR="00053004" w:rsidRDefault="001B2AFA" w:rsidP="006F60E3">
      <w:r>
        <w:t xml:space="preserve">1999: </w:t>
      </w:r>
      <w:r w:rsidR="000E3A02">
        <w:t>A</w:t>
      </w:r>
      <w:r w:rsidRPr="001B2AFA">
        <w:t xml:space="preserve"> TAC of 127</w:t>
      </w:r>
      <w:r>
        <w:t xml:space="preserve"> </w:t>
      </w:r>
      <w:r w:rsidR="000E3A02">
        <w:t xml:space="preserve">t was introduced for </w:t>
      </w:r>
      <w:r w:rsidR="000E3A02" w:rsidRPr="001B2AFA">
        <w:t>White Teatfish</w:t>
      </w:r>
      <w:r w:rsidR="00B021FD">
        <w:t>.</w:t>
      </w:r>
      <w:r w:rsidR="000E3A02" w:rsidRPr="001B2AFA">
        <w:t xml:space="preserve"> </w:t>
      </w:r>
      <w:r w:rsidR="00053004">
        <w:t xml:space="preserve">The </w:t>
      </w:r>
      <w:r w:rsidR="003C3925">
        <w:t xml:space="preserve">subsequent </w:t>
      </w:r>
      <w:r w:rsidR="00053004">
        <w:t xml:space="preserve">TAC changes </w:t>
      </w:r>
      <w:r w:rsidR="00CB097D">
        <w:t>for</w:t>
      </w:r>
      <w:r w:rsidR="001F35AD">
        <w:t xml:space="preserve"> White teatfish </w:t>
      </w:r>
      <w:r w:rsidR="00053004">
        <w:t xml:space="preserve">are </w:t>
      </w:r>
      <w:r w:rsidR="001F35AD">
        <w:t xml:space="preserve">shown </w:t>
      </w:r>
      <w:r w:rsidR="00053004">
        <w:t>below</w:t>
      </w:r>
      <w:r w:rsidR="00DB0EB4">
        <w:t xml:space="preserve"> (and see Appendix E)</w:t>
      </w:r>
      <w:r w:rsidR="00053004">
        <w:t>:</w:t>
      </w:r>
    </w:p>
    <w:p w14:paraId="062A0F48" w14:textId="6EFA3BB5" w:rsidR="003C3925" w:rsidRDefault="003C3925" w:rsidP="003C3925">
      <w:pPr>
        <w:pStyle w:val="ListParagraph"/>
        <w:numPr>
          <w:ilvl w:val="0"/>
          <w:numId w:val="22"/>
        </w:numPr>
      </w:pPr>
      <w:r>
        <w:t>1999: 127 tonnes</w:t>
      </w:r>
    </w:p>
    <w:p w14:paraId="10DFB4EB" w14:textId="37F0A41B" w:rsidR="001F35AD" w:rsidRDefault="00053004" w:rsidP="001F35AD">
      <w:pPr>
        <w:pStyle w:val="ListParagraph"/>
        <w:numPr>
          <w:ilvl w:val="0"/>
          <w:numId w:val="22"/>
        </w:numPr>
      </w:pPr>
      <w:r>
        <w:t xml:space="preserve">2000: </w:t>
      </w:r>
      <w:r w:rsidR="001B2AFA">
        <w:t xml:space="preserve">158 tonnes </w:t>
      </w:r>
      <w:r w:rsidR="001F35AD">
        <w:t>(to compensate fishers in part for costs associated with VMS)</w:t>
      </w:r>
    </w:p>
    <w:p w14:paraId="3E8213D3" w14:textId="4274FE56" w:rsidR="001F35AD" w:rsidRDefault="001F35AD" w:rsidP="001F35AD">
      <w:pPr>
        <w:pStyle w:val="ListParagraph"/>
        <w:numPr>
          <w:ilvl w:val="0"/>
          <w:numId w:val="22"/>
        </w:numPr>
      </w:pPr>
      <w:r>
        <w:t xml:space="preserve">2001: 127 tonnes </w:t>
      </w:r>
    </w:p>
    <w:p w14:paraId="6244509E" w14:textId="206BEAF2" w:rsidR="001F35AD" w:rsidRDefault="001F35AD" w:rsidP="001F35AD">
      <w:pPr>
        <w:pStyle w:val="ListParagraph"/>
        <w:numPr>
          <w:ilvl w:val="0"/>
          <w:numId w:val="22"/>
        </w:numPr>
      </w:pPr>
      <w:r>
        <w:t>2004: 127 tonnes</w:t>
      </w:r>
      <w:r w:rsidR="00DB0EB4">
        <w:t xml:space="preserve"> (split into northern Zone 1 and southern Zone 2 at 19</w:t>
      </w:r>
      <w:r w:rsidR="00DB0EB4">
        <w:rPr>
          <w:rFonts w:cs="Calibri"/>
        </w:rPr>
        <w:t>°</w:t>
      </w:r>
      <w:r w:rsidR="00DB0EB4">
        <w:t>S)</w:t>
      </w:r>
    </w:p>
    <w:p w14:paraId="6186BEFB" w14:textId="3687DE55" w:rsidR="001F35AD" w:rsidRDefault="001F35AD" w:rsidP="001F35AD">
      <w:pPr>
        <w:pStyle w:val="ListParagraph"/>
        <w:numPr>
          <w:ilvl w:val="0"/>
          <w:numId w:val="22"/>
        </w:numPr>
      </w:pPr>
      <w:r>
        <w:t>2005: 89 tonnes</w:t>
      </w:r>
    </w:p>
    <w:p w14:paraId="3CE2644F" w14:textId="4B879F0C" w:rsidR="001F35AD" w:rsidRDefault="001F35AD" w:rsidP="001F35AD">
      <w:pPr>
        <w:pStyle w:val="ListParagraph"/>
        <w:numPr>
          <w:ilvl w:val="0"/>
          <w:numId w:val="22"/>
        </w:numPr>
      </w:pPr>
      <w:r>
        <w:t>2010: 64 tonnes</w:t>
      </w:r>
    </w:p>
    <w:p w14:paraId="2C84B42C" w14:textId="43944E0C" w:rsidR="001F35AD" w:rsidRDefault="001F35AD" w:rsidP="001F35AD">
      <w:pPr>
        <w:pStyle w:val="ListParagraph"/>
        <w:numPr>
          <w:ilvl w:val="0"/>
          <w:numId w:val="22"/>
        </w:numPr>
      </w:pPr>
      <w:r>
        <w:t>2011: 53 tonnes</w:t>
      </w:r>
    </w:p>
    <w:p w14:paraId="623F9AB2" w14:textId="42154D90" w:rsidR="00CB097D" w:rsidRDefault="00CB097D" w:rsidP="001F35AD">
      <w:pPr>
        <w:pStyle w:val="ListParagraph"/>
        <w:numPr>
          <w:ilvl w:val="0"/>
          <w:numId w:val="22"/>
        </w:numPr>
      </w:pPr>
      <w:r>
        <w:t xml:space="preserve">2014: </w:t>
      </w:r>
      <w:r w:rsidR="00DB0EB4">
        <w:t>53 (</w:t>
      </w:r>
      <w:r>
        <w:t>removal of zone catch split</w:t>
      </w:r>
      <w:r w:rsidR="00DB0EB4">
        <w:t>)</w:t>
      </w:r>
      <w:r>
        <w:t>.</w:t>
      </w:r>
    </w:p>
    <w:p w14:paraId="2B4BD32F" w14:textId="374795E5" w:rsidR="005C534F" w:rsidRDefault="005C534F" w:rsidP="006F60E3">
      <w:r>
        <w:t>1999</w:t>
      </w:r>
      <w:r w:rsidR="006C7549">
        <w:t>:</w:t>
      </w:r>
      <w:r>
        <w:t xml:space="preserve"> VMS </w:t>
      </w:r>
      <w:r w:rsidR="000B1AAF">
        <w:t xml:space="preserve">made mandatory in the sea cucumber </w:t>
      </w:r>
      <w:r w:rsidR="00AF2893">
        <w:t>fishery.</w:t>
      </w:r>
    </w:p>
    <w:p w14:paraId="44BC603E" w14:textId="4A001CAE" w:rsidR="00D25D36" w:rsidRDefault="00D25D36" w:rsidP="005304AB">
      <w:r w:rsidRPr="00D25D36">
        <w:t>2000-2001</w:t>
      </w:r>
      <w:r w:rsidR="006C7549">
        <w:t>:</w:t>
      </w:r>
      <w:r w:rsidRPr="00D25D36">
        <w:t xml:space="preserve"> </w:t>
      </w:r>
      <w:r>
        <w:t xml:space="preserve">Twenty eight </w:t>
      </w:r>
      <w:r w:rsidRPr="00D25D36">
        <w:t xml:space="preserve">new </w:t>
      </w:r>
      <w:r w:rsidR="00A33A65">
        <w:t>coastal</w:t>
      </w:r>
      <w:r w:rsidRPr="00D25D36">
        <w:t xml:space="preserve"> areas included in the </w:t>
      </w:r>
      <w:r>
        <w:t>GBRMP</w:t>
      </w:r>
      <w:r w:rsidRPr="00D25D36">
        <w:t xml:space="preserve"> which increased the amount of protected reefs to 22% (GBRMPA, 2003; Breen, 2001).</w:t>
      </w:r>
    </w:p>
    <w:p w14:paraId="6FE4E1EE" w14:textId="2859C559" w:rsidR="005304AB" w:rsidRDefault="00490A9D" w:rsidP="005304AB">
      <w:r w:rsidRPr="00490A9D">
        <w:t>200</w:t>
      </w:r>
      <w:r w:rsidR="00B058D3">
        <w:t>0</w:t>
      </w:r>
      <w:r>
        <w:t>: F</w:t>
      </w:r>
      <w:r w:rsidRPr="00490A9D">
        <w:t>ishing for sea cucumber (Sandfish in particular) in Hervey Bay and Tin Can Bay was closed due to declining catch rates.</w:t>
      </w:r>
      <w:r w:rsidR="005304AB">
        <w:t xml:space="preserve"> </w:t>
      </w:r>
    </w:p>
    <w:p w14:paraId="4FDB3D07" w14:textId="41CD7FFC" w:rsidR="00490A9D" w:rsidRDefault="00490A9D" w:rsidP="006F60E3">
      <w:r>
        <w:t>2004: The implementation of the GBRMP Zoning in July increase</w:t>
      </w:r>
      <w:r w:rsidR="00A33A65">
        <w:t>s</w:t>
      </w:r>
      <w:r>
        <w:t xml:space="preserve"> areas close</w:t>
      </w:r>
      <w:r w:rsidR="00B021FD">
        <w:t>d</w:t>
      </w:r>
      <w:r>
        <w:t xml:space="preserve"> to fishing to </w:t>
      </w:r>
      <w:r w:rsidR="00A33A65">
        <w:t>24.2</w:t>
      </w:r>
      <w:r w:rsidR="00D25D36" w:rsidRPr="00D25D36">
        <w:t xml:space="preserve">% of </w:t>
      </w:r>
      <w:r w:rsidR="00D25D36">
        <w:t xml:space="preserve">the </w:t>
      </w:r>
      <w:r w:rsidR="00D25D36" w:rsidRPr="00D25D36">
        <w:t>fishery area and 3</w:t>
      </w:r>
      <w:r w:rsidR="003009FE">
        <w:t>2.3</w:t>
      </w:r>
      <w:r w:rsidR="00D25D36" w:rsidRPr="00D25D36">
        <w:t>% reef</w:t>
      </w:r>
      <w:r w:rsidR="00D25D36">
        <w:t>s in the fishery</w:t>
      </w:r>
      <w:r w:rsidR="00D25D36" w:rsidRPr="00D25D36">
        <w:t xml:space="preserve"> area</w:t>
      </w:r>
      <w:r w:rsidR="003009FE">
        <w:t xml:space="preserve"> (including Ashmore and Boot Reefs)</w:t>
      </w:r>
      <w:r w:rsidR="00D25D36" w:rsidRPr="00D25D36">
        <w:t xml:space="preserve"> (</w:t>
      </w:r>
      <w:r w:rsidR="00A33A65" w:rsidRPr="00D25D36">
        <w:t>GBRMPA, 2003</w:t>
      </w:r>
      <w:r w:rsidR="00D25D36" w:rsidRPr="00D25D36">
        <w:t>)</w:t>
      </w:r>
      <w:r w:rsidR="003009FE">
        <w:t>.</w:t>
      </w:r>
    </w:p>
    <w:p w14:paraId="624847EC" w14:textId="5535D922" w:rsidR="00490A9D" w:rsidRDefault="00490A9D" w:rsidP="006F60E3">
      <w:r>
        <w:t>2004: A rotational zoning scheme (</w:t>
      </w:r>
      <w:r w:rsidR="00120518">
        <w:t>RHA</w:t>
      </w:r>
      <w:r>
        <w:t>) is implemented in the fishery, due to concerns over localised depletion and the overall sustainability of the fishery.</w:t>
      </w:r>
    </w:p>
    <w:p w14:paraId="4095C498" w14:textId="7A40749E" w:rsidR="00902A35" w:rsidRDefault="00902A35" w:rsidP="00902A35">
      <w:r>
        <w:t>200</w:t>
      </w:r>
      <w:r w:rsidR="00DB0EB4">
        <w:t>4</w:t>
      </w:r>
      <w:r>
        <w:t xml:space="preserve">: Implementation of zonal quotas for White teatfish </w:t>
      </w:r>
      <w:r w:rsidR="00FE2645">
        <w:t xml:space="preserve">into </w:t>
      </w:r>
      <w:r>
        <w:t xml:space="preserve">southern </w:t>
      </w:r>
      <w:r w:rsidR="00FE2645">
        <w:t xml:space="preserve">(Zone 2) </w:t>
      </w:r>
      <w:r>
        <w:t xml:space="preserve">and northern </w:t>
      </w:r>
      <w:r w:rsidR="00FE2645">
        <w:t xml:space="preserve">(Zone 1) </w:t>
      </w:r>
      <w:r>
        <w:t xml:space="preserve">quota zones </w:t>
      </w:r>
      <w:r w:rsidR="00250200">
        <w:t>(</w:t>
      </w:r>
      <w:r w:rsidR="00FE2645">
        <w:t xml:space="preserve">split at </w:t>
      </w:r>
      <w:r w:rsidR="00250200">
        <w:t>19</w:t>
      </w:r>
      <w:r w:rsidR="00250200">
        <w:rPr>
          <w:rFonts w:cs="Calibri"/>
        </w:rPr>
        <w:t>°</w:t>
      </w:r>
      <w:r w:rsidR="00250200">
        <w:t>S)</w:t>
      </w:r>
      <w:r>
        <w:t>.</w:t>
      </w:r>
    </w:p>
    <w:p w14:paraId="6104449A" w14:textId="2DE57DA6" w:rsidR="00094CEB" w:rsidRDefault="00094CEB" w:rsidP="00094CEB">
      <w:r>
        <w:t>2004: Implementation of species-specific minimum size limits —</w:t>
      </w:r>
      <w:r w:rsidR="00276EF0">
        <w:t>S</w:t>
      </w:r>
      <w:r>
        <w:t xml:space="preserve">andfish: 20 cm; </w:t>
      </w:r>
      <w:r w:rsidR="00276EF0">
        <w:t>W</w:t>
      </w:r>
      <w:r>
        <w:t xml:space="preserve">hite teatfish: 40 cm; </w:t>
      </w:r>
      <w:r w:rsidR="00276EF0">
        <w:t>B</w:t>
      </w:r>
      <w:r>
        <w:t xml:space="preserve">lack teatfish: 30 cm; </w:t>
      </w:r>
      <w:r w:rsidR="00276EF0">
        <w:t>P</w:t>
      </w:r>
      <w:r>
        <w:t xml:space="preserve">rickly redfish: 50 cm; </w:t>
      </w:r>
      <w:r w:rsidR="00276EF0">
        <w:t>B</w:t>
      </w:r>
      <w:r>
        <w:t xml:space="preserve">lackfish: 20 cm; </w:t>
      </w:r>
      <w:r w:rsidR="00276EF0">
        <w:t>D</w:t>
      </w:r>
      <w:r>
        <w:t xml:space="preserve">eepwater redfish: 20 cm; </w:t>
      </w:r>
      <w:r w:rsidR="00276EF0">
        <w:t>S</w:t>
      </w:r>
      <w:r>
        <w:t xml:space="preserve">urf redfish: 25 cm; </w:t>
      </w:r>
      <w:r w:rsidR="00276EF0">
        <w:t>L</w:t>
      </w:r>
      <w:r>
        <w:t xml:space="preserve">olly fish: 20 cm; </w:t>
      </w:r>
      <w:r w:rsidR="00276EF0">
        <w:t>G</w:t>
      </w:r>
      <w:r>
        <w:t xml:space="preserve">reen fish: 20 cm; </w:t>
      </w:r>
      <w:r w:rsidR="00276EF0">
        <w:t>C</w:t>
      </w:r>
      <w:r>
        <w:t xml:space="preserve">urryfish: 35 cm; </w:t>
      </w:r>
      <w:r w:rsidR="00276EF0">
        <w:t>E</w:t>
      </w:r>
      <w:r>
        <w:t xml:space="preserve">lephant trunkfish: 40 cm; </w:t>
      </w:r>
      <w:r w:rsidR="00276EF0">
        <w:t>B</w:t>
      </w:r>
      <w:r>
        <w:t xml:space="preserve">rown sandfish: 25 cm; </w:t>
      </w:r>
      <w:r w:rsidR="00276EF0">
        <w:t>L</w:t>
      </w:r>
      <w:r>
        <w:t xml:space="preserve">eopard fish: 35 cm; </w:t>
      </w:r>
      <w:r w:rsidR="00276EF0">
        <w:t>A</w:t>
      </w:r>
      <w:r>
        <w:t>mberfish: 50 cm; all other species: 15 cm. Size limits are prescribed by condition of authority.</w:t>
      </w:r>
    </w:p>
    <w:p w14:paraId="4A509502" w14:textId="4C5225E3" w:rsidR="00DF57A6" w:rsidRDefault="00490A9D" w:rsidP="00DF57A6">
      <w:r w:rsidRPr="001B2AFA">
        <w:t>200</w:t>
      </w:r>
      <w:r w:rsidR="00DF57A6">
        <w:t>7</w:t>
      </w:r>
      <w:r>
        <w:t xml:space="preserve">: </w:t>
      </w:r>
      <w:r w:rsidR="00496D88">
        <w:t xml:space="preserve">Overall </w:t>
      </w:r>
      <w:r w:rsidR="00496D88" w:rsidRPr="00735B5D">
        <w:t xml:space="preserve">TAC </w:t>
      </w:r>
      <w:r>
        <w:t xml:space="preserve">reduced to </w:t>
      </w:r>
      <w:r w:rsidRPr="001B2AFA">
        <w:t xml:space="preserve">361 t landed weight </w:t>
      </w:r>
      <w:r w:rsidR="00496D88">
        <w:t>(</w:t>
      </w:r>
      <w:r w:rsidRPr="001B2AFA">
        <w:t>salted or par boiled and frozen)</w:t>
      </w:r>
      <w:r w:rsidR="00AC4E15">
        <w:t>.</w:t>
      </w:r>
      <w:r w:rsidR="00DF57A6">
        <w:t xml:space="preserve"> Up to this point, fishery catch and quota had been reported as wet gutted form. After an assessment of the relevance of a quota stated in wet gutted weight given the operational requirement and processing techniques for mother vessels operating in the fishery, management and industry agreed to change quota weights as landed (salted/frozen boiled) form rather than wet gutted form. As a result the TAC changed from 380 t to 361 t based on agreed weight conversion ratios (DPIF, 2008).</w:t>
      </w:r>
    </w:p>
    <w:p w14:paraId="57FA7B64" w14:textId="77777777" w:rsidR="001F35AD" w:rsidRDefault="00DC3C6C" w:rsidP="001F35AD">
      <w:r>
        <w:t>2008: Minimum size limits are in place for all the major species and species groups harvested in the fishery. Size limits are prescribed by condition of authority</w:t>
      </w:r>
      <w:r w:rsidR="001F35AD">
        <w:t>:</w:t>
      </w:r>
    </w:p>
    <w:p w14:paraId="06B99CEB" w14:textId="77777777" w:rsidR="001F35AD" w:rsidRDefault="001F35AD" w:rsidP="001F35AD">
      <w:pPr>
        <w:pStyle w:val="ListParagraph"/>
        <w:numPr>
          <w:ilvl w:val="0"/>
          <w:numId w:val="22"/>
        </w:numPr>
      </w:pPr>
      <w:r>
        <w:t>Sandfish 20 cm</w:t>
      </w:r>
    </w:p>
    <w:p w14:paraId="3E243DA7" w14:textId="77777777" w:rsidR="001F35AD" w:rsidRDefault="001F35AD" w:rsidP="001F35AD">
      <w:pPr>
        <w:pStyle w:val="ListParagraph"/>
        <w:numPr>
          <w:ilvl w:val="0"/>
          <w:numId w:val="22"/>
        </w:numPr>
      </w:pPr>
      <w:r>
        <w:t>White teatfish 40 cm</w:t>
      </w:r>
    </w:p>
    <w:p w14:paraId="7F0787AC" w14:textId="77777777" w:rsidR="001F35AD" w:rsidRDefault="001F35AD" w:rsidP="001F35AD">
      <w:pPr>
        <w:pStyle w:val="ListParagraph"/>
        <w:numPr>
          <w:ilvl w:val="0"/>
          <w:numId w:val="22"/>
        </w:numPr>
      </w:pPr>
      <w:r>
        <w:t>Black teatfish 30 cm</w:t>
      </w:r>
    </w:p>
    <w:p w14:paraId="67F6F476" w14:textId="77777777" w:rsidR="001F35AD" w:rsidRDefault="001F35AD" w:rsidP="001F35AD">
      <w:pPr>
        <w:pStyle w:val="ListParagraph"/>
        <w:numPr>
          <w:ilvl w:val="0"/>
          <w:numId w:val="22"/>
        </w:numPr>
      </w:pPr>
      <w:r>
        <w:t>Prickly redfish 50 cm</w:t>
      </w:r>
    </w:p>
    <w:p w14:paraId="4FEF411A" w14:textId="77777777" w:rsidR="001F35AD" w:rsidRDefault="001F35AD" w:rsidP="001F35AD">
      <w:pPr>
        <w:pStyle w:val="ListParagraph"/>
        <w:numPr>
          <w:ilvl w:val="0"/>
          <w:numId w:val="22"/>
        </w:numPr>
      </w:pPr>
      <w:r>
        <w:t>Blackfish 20 cm</w:t>
      </w:r>
    </w:p>
    <w:p w14:paraId="0514234F" w14:textId="77777777" w:rsidR="001F35AD" w:rsidRDefault="001F35AD" w:rsidP="001F35AD">
      <w:pPr>
        <w:pStyle w:val="ListParagraph"/>
        <w:numPr>
          <w:ilvl w:val="0"/>
          <w:numId w:val="22"/>
        </w:numPr>
      </w:pPr>
      <w:r>
        <w:t>Deep water redfish 20 cm</w:t>
      </w:r>
    </w:p>
    <w:p w14:paraId="4891D8FC" w14:textId="77777777" w:rsidR="001F35AD" w:rsidRDefault="001F35AD" w:rsidP="001F35AD">
      <w:pPr>
        <w:pStyle w:val="ListParagraph"/>
        <w:numPr>
          <w:ilvl w:val="0"/>
          <w:numId w:val="22"/>
        </w:numPr>
      </w:pPr>
      <w:r>
        <w:t>Surf redfish 25 cm</w:t>
      </w:r>
    </w:p>
    <w:p w14:paraId="0CC5695E" w14:textId="77777777" w:rsidR="001F35AD" w:rsidRDefault="001F35AD" w:rsidP="001F35AD">
      <w:pPr>
        <w:pStyle w:val="ListParagraph"/>
        <w:numPr>
          <w:ilvl w:val="0"/>
          <w:numId w:val="22"/>
        </w:numPr>
      </w:pPr>
      <w:r>
        <w:t>Lollyfish 20 cm</w:t>
      </w:r>
    </w:p>
    <w:p w14:paraId="697C9318" w14:textId="77777777" w:rsidR="001F35AD" w:rsidRDefault="001F35AD" w:rsidP="001F35AD">
      <w:pPr>
        <w:pStyle w:val="ListParagraph"/>
        <w:numPr>
          <w:ilvl w:val="0"/>
          <w:numId w:val="22"/>
        </w:numPr>
      </w:pPr>
      <w:r>
        <w:t>Greenfish 20 cm</w:t>
      </w:r>
    </w:p>
    <w:p w14:paraId="1DF7F679" w14:textId="77777777" w:rsidR="001F35AD" w:rsidRDefault="001F35AD" w:rsidP="001F35AD">
      <w:pPr>
        <w:pStyle w:val="ListParagraph"/>
        <w:numPr>
          <w:ilvl w:val="0"/>
          <w:numId w:val="22"/>
        </w:numPr>
      </w:pPr>
      <w:r>
        <w:t>Curryfish 35 cm</w:t>
      </w:r>
    </w:p>
    <w:p w14:paraId="3F632176" w14:textId="77777777" w:rsidR="001F35AD" w:rsidRDefault="001F35AD" w:rsidP="001F35AD">
      <w:pPr>
        <w:pStyle w:val="ListParagraph"/>
        <w:numPr>
          <w:ilvl w:val="0"/>
          <w:numId w:val="22"/>
        </w:numPr>
      </w:pPr>
      <w:r>
        <w:t>Elephant trunkfish 40 cm</w:t>
      </w:r>
    </w:p>
    <w:p w14:paraId="5CE16415" w14:textId="77777777" w:rsidR="001F35AD" w:rsidRDefault="001F35AD" w:rsidP="001F35AD">
      <w:pPr>
        <w:pStyle w:val="ListParagraph"/>
        <w:numPr>
          <w:ilvl w:val="0"/>
          <w:numId w:val="22"/>
        </w:numPr>
      </w:pPr>
      <w:r>
        <w:t>Brown sandfish 25 cm</w:t>
      </w:r>
    </w:p>
    <w:p w14:paraId="17F79AED" w14:textId="77777777" w:rsidR="001F35AD" w:rsidRDefault="001F35AD" w:rsidP="001F35AD">
      <w:pPr>
        <w:pStyle w:val="ListParagraph"/>
        <w:numPr>
          <w:ilvl w:val="0"/>
          <w:numId w:val="22"/>
        </w:numPr>
      </w:pPr>
      <w:r>
        <w:lastRenderedPageBreak/>
        <w:t>Leopard fish 35 cm</w:t>
      </w:r>
    </w:p>
    <w:p w14:paraId="641DC2A2" w14:textId="77777777" w:rsidR="001F35AD" w:rsidRDefault="001F35AD" w:rsidP="001F35AD">
      <w:pPr>
        <w:pStyle w:val="ListParagraph"/>
        <w:numPr>
          <w:ilvl w:val="0"/>
          <w:numId w:val="22"/>
        </w:numPr>
      </w:pPr>
      <w:r>
        <w:t>Amberfish 50 cm</w:t>
      </w:r>
    </w:p>
    <w:p w14:paraId="5FDAB4E6" w14:textId="601A6054" w:rsidR="00DC3C6C" w:rsidRDefault="001F35AD" w:rsidP="001F35AD">
      <w:pPr>
        <w:pStyle w:val="ListParagraph"/>
        <w:numPr>
          <w:ilvl w:val="0"/>
          <w:numId w:val="22"/>
        </w:numPr>
      </w:pPr>
      <w:r>
        <w:t>All other species 15 cm</w:t>
      </w:r>
      <w:r w:rsidR="00DF57A6">
        <w:t xml:space="preserve">. </w:t>
      </w:r>
    </w:p>
    <w:p w14:paraId="1A19F316" w14:textId="525E0397" w:rsidR="00496D88" w:rsidRDefault="00496D88" w:rsidP="00496D88">
      <w:r>
        <w:t xml:space="preserve">2008: A performance management system (PMS) is implemented for the fishery. It includes a range of provisions to ensure the sustainability of the fishery, including implementation of Review reference points </w:t>
      </w:r>
      <w:r w:rsidR="000C0E17">
        <w:t xml:space="preserve">(essentially catch triggers) </w:t>
      </w:r>
      <w:r>
        <w:t xml:space="preserve">for all species </w:t>
      </w:r>
      <w:r w:rsidR="001F35AD">
        <w:t>without individual TACs</w:t>
      </w:r>
      <w:r w:rsidR="00745650">
        <w:t xml:space="preserve"> that will trigger “</w:t>
      </w:r>
      <w:r w:rsidRPr="00745650">
        <w:rPr>
          <w:i/>
          <w:iCs/>
        </w:rPr>
        <w:t>a clear timetable for implementation of appropriate management responses</w:t>
      </w:r>
      <w:r w:rsidR="00745650">
        <w:t>”</w:t>
      </w:r>
      <w:r w:rsidRPr="00735B5D">
        <w:t>.</w:t>
      </w:r>
    </w:p>
    <w:p w14:paraId="47D949DD" w14:textId="06845C58" w:rsidR="00496D88" w:rsidRDefault="00496D88" w:rsidP="00496D88">
      <w:r>
        <w:t>2008: Spatial TA</w:t>
      </w:r>
      <w:r w:rsidR="00250200">
        <w:t>C</w:t>
      </w:r>
      <w:r>
        <w:t xml:space="preserve">s for Burrowing Blackfish implemented for </w:t>
      </w:r>
      <w:r w:rsidR="00250200">
        <w:t xml:space="preserve">designated </w:t>
      </w:r>
      <w:r>
        <w:t>zones.</w:t>
      </w:r>
    </w:p>
    <w:p w14:paraId="204BBABC" w14:textId="1B9815E6" w:rsidR="00FE2645" w:rsidRDefault="00FE2645" w:rsidP="00FE2645">
      <w:r>
        <w:t xml:space="preserve">2014: </w:t>
      </w:r>
      <w:r w:rsidR="003E755A">
        <w:t>R</w:t>
      </w:r>
      <w:r>
        <w:t>emov</w:t>
      </w:r>
      <w:r w:rsidR="003E755A">
        <w:t xml:space="preserve">al of </w:t>
      </w:r>
      <w:r>
        <w:t xml:space="preserve">north/south </w:t>
      </w:r>
      <w:r w:rsidR="003E755A">
        <w:t>zones</w:t>
      </w:r>
      <w:r>
        <w:t>, as its continued existence was increasing some costs for fishers in terms of the requirements to return to port and unload catch before crossing into the other zone (</w:t>
      </w:r>
      <w:r w:rsidRPr="00FE2645">
        <w:t>DAF, 2017</w:t>
      </w:r>
      <w:r w:rsidR="008E22E1">
        <w:t>b</w:t>
      </w:r>
      <w:r>
        <w:t>).</w:t>
      </w:r>
    </w:p>
    <w:p w14:paraId="1785A164" w14:textId="1EF189C8" w:rsidR="006A73BF" w:rsidRDefault="00250200" w:rsidP="00A43192">
      <w:r>
        <w:t>2019: Black teatfish reopened</w:t>
      </w:r>
      <w:r w:rsidR="00A43192">
        <w:t xml:space="preserve"> to fishing</w:t>
      </w:r>
      <w:r w:rsidR="00F6107F">
        <w:t xml:space="preserve"> </w:t>
      </w:r>
      <w:r w:rsidR="00A43192">
        <w:t>with a 30 t TAC</w:t>
      </w:r>
      <w:r>
        <w:t>.</w:t>
      </w:r>
    </w:p>
    <w:p w14:paraId="13B355C1" w14:textId="54634AE9" w:rsidR="006C7549" w:rsidRDefault="006C7549" w:rsidP="00A43192">
      <w:r>
        <w:t>2019: Ashmore and Boot Reefs included in the QSCF B1 Endorsement area.</w:t>
      </w:r>
      <w:r w:rsidR="00A43192">
        <w:t xml:space="preserve"> Before this, these reefs were fished under a Queensland Developmental licence</w:t>
      </w:r>
      <w:r w:rsidR="001776E8">
        <w:t xml:space="preserve"> (on a 3 year rotation) beginning in 2008-09</w:t>
      </w:r>
      <w:r w:rsidR="00A43192">
        <w:t xml:space="preserve">. </w:t>
      </w:r>
    </w:p>
    <w:p w14:paraId="0C23113A" w14:textId="307E1970" w:rsidR="006A73BF" w:rsidRDefault="00AC4E15" w:rsidP="00B46F12">
      <w:r>
        <w:t xml:space="preserve">2021: </w:t>
      </w:r>
      <w:r w:rsidR="00A43192">
        <w:t xml:space="preserve">The </w:t>
      </w:r>
      <w:r w:rsidR="00A43192" w:rsidRPr="00A43192">
        <w:t>Queensland sea cucumber fishery harvest strategy: 2021–2026</w:t>
      </w:r>
      <w:r w:rsidR="00A43192">
        <w:t xml:space="preserve"> </w:t>
      </w:r>
      <w:r>
        <w:t>implement</w:t>
      </w:r>
      <w:r w:rsidR="00BD0B94">
        <w:t>ed</w:t>
      </w:r>
      <w:r w:rsidR="00AF2893">
        <w:t>.</w:t>
      </w:r>
      <w:r w:rsidR="00B46F12" w:rsidRPr="00B46F12">
        <w:t xml:space="preserve"> </w:t>
      </w:r>
      <w:r w:rsidR="00B46F12">
        <w:t>Species-specific individual transferable quotas (ITQ) for Black teatfish and White teatfish, and a combined ITQ for other species.</w:t>
      </w:r>
    </w:p>
    <w:p w14:paraId="43D54D2E" w14:textId="33A7AA6C" w:rsidR="006F60E3" w:rsidRDefault="00443161" w:rsidP="008D08E6">
      <w:pPr>
        <w:pStyle w:val="Heading2"/>
        <w:ind w:left="851" w:hanging="851"/>
      </w:pPr>
      <w:bookmarkStart w:id="185" w:name="_Toc189044947"/>
      <w:r>
        <w:t>GBRMP</w:t>
      </w:r>
      <w:bookmarkEnd w:id="185"/>
    </w:p>
    <w:p w14:paraId="7A63376F" w14:textId="29570B71" w:rsidR="00E71458" w:rsidRDefault="00E71458" w:rsidP="00E71458">
      <w:r w:rsidRPr="00E71458">
        <w:t xml:space="preserve">Licence holders require a permit issued by the Great Barrier Reef Marine Park Authority </w:t>
      </w:r>
      <w:r>
        <w:t xml:space="preserve">(GBRMPA) </w:t>
      </w:r>
      <w:r w:rsidRPr="00E71458">
        <w:t xml:space="preserve">to operate in the </w:t>
      </w:r>
      <w:r>
        <w:t>GBRMP</w:t>
      </w:r>
      <w:r w:rsidRPr="00E71458">
        <w:t xml:space="preserve">. Under the current zoning plan, commercial fishing for Sea Cucumbers is prohibited in </w:t>
      </w:r>
      <w:r>
        <w:t xml:space="preserve">the </w:t>
      </w:r>
      <w:r w:rsidR="009F06B4">
        <w:t xml:space="preserve">Conservation Park, Buffer, Scientific Research, Marine National Park and Preservation Zones, covering </w:t>
      </w:r>
      <w:r w:rsidRPr="00E71458">
        <w:t>approximately 37% of the GBRMP. Outside of these protected areas, commercial fishers may apply for permits to harvest sea cucumber in the General Use and Habitat Protection Zones.</w:t>
      </w:r>
    </w:p>
    <w:p w14:paraId="55CD26F8" w14:textId="39CD8E87" w:rsidR="00E71458" w:rsidRDefault="009F06B4" w:rsidP="00E71458">
      <w:r>
        <w:t>P</w:t>
      </w:r>
      <w:r w:rsidR="00E71458">
        <w:t xml:space="preserve">ermits </w:t>
      </w:r>
      <w:r w:rsidR="00E71458" w:rsidRPr="00563B97">
        <w:t xml:space="preserve">outline the areas where commercial fishing can occur, the fishing methods that can be used, and the conditions that need to be followed while operating or transiting through </w:t>
      </w:r>
      <w:r>
        <w:t>the park</w:t>
      </w:r>
      <w:r w:rsidR="00E71458" w:rsidRPr="00563B97">
        <w:t xml:space="preserve">. </w:t>
      </w:r>
      <w:r w:rsidR="00E71458">
        <w:t>H</w:t>
      </w:r>
      <w:r w:rsidR="00E71458" w:rsidRPr="00563B97">
        <w:t>ard or electronic copy of approval</w:t>
      </w:r>
      <w:r>
        <w:t>s</w:t>
      </w:r>
      <w:r w:rsidR="00E71458" w:rsidRPr="00563B97">
        <w:t xml:space="preserve"> </w:t>
      </w:r>
      <w:r w:rsidR="00E71458">
        <w:t xml:space="preserve">must be carried </w:t>
      </w:r>
      <w:r w:rsidR="00E71458" w:rsidRPr="00563B97">
        <w:t xml:space="preserve">on board </w:t>
      </w:r>
      <w:r w:rsidR="00E71458">
        <w:t xml:space="preserve">fishing </w:t>
      </w:r>
      <w:r w:rsidR="00E71458" w:rsidRPr="00563B97">
        <w:t>vessel</w:t>
      </w:r>
      <w:r w:rsidR="00E71458">
        <w:t>s</w:t>
      </w:r>
      <w:r w:rsidR="00E71458" w:rsidRPr="00563B97">
        <w:t xml:space="preserve">. </w:t>
      </w:r>
      <w:r>
        <w:t>A</w:t>
      </w:r>
      <w:r w:rsidR="00E71458" w:rsidRPr="00563B97">
        <w:t>pproval also requires a navigational chart showing the boundaries of the approved zones in which the approved actions are being conducted to be kept aboard or otherwise accessible.</w:t>
      </w:r>
    </w:p>
    <w:p w14:paraId="0C4B1772" w14:textId="77777777" w:rsidR="00443161" w:rsidRDefault="00443161" w:rsidP="00A87F05">
      <w:pPr>
        <w:pStyle w:val="Heading2"/>
        <w:ind w:left="851" w:hanging="851"/>
      </w:pPr>
      <w:bookmarkStart w:id="186" w:name="_Toc138269058"/>
      <w:bookmarkStart w:id="187" w:name="_Toc139374137"/>
      <w:bookmarkStart w:id="188" w:name="_Toc189044948"/>
      <w:r>
        <w:t>Management of i</w:t>
      </w:r>
      <w:r w:rsidRPr="0022454A">
        <w:t>llegal, unreported and unregulated fishing (IUU)</w:t>
      </w:r>
      <w:bookmarkEnd w:id="186"/>
      <w:bookmarkEnd w:id="187"/>
      <w:bookmarkEnd w:id="188"/>
      <w:r w:rsidRPr="0022454A">
        <w:t xml:space="preserve"> </w:t>
      </w:r>
    </w:p>
    <w:p w14:paraId="6FEF7403" w14:textId="5D3DBF6C" w:rsidR="00EB0346" w:rsidRDefault="00EB0346" w:rsidP="00EB0346">
      <w:r>
        <w:t>As with most quota-based fisheries, there is a degree of risk associated with illegal fishing, non-reporting of product (black marketing), inaccurate reports of catch weights, and/or non-compliance (</w:t>
      </w:r>
      <w:r w:rsidR="002C19D5">
        <w:t>Pidd and Jacobsen, 2021</w:t>
      </w:r>
      <w:r>
        <w:t>). In Queensland managed waters, these risks are managed through the QBFP, who continue to enforce the current regulations including adherence to spatial/temporal closures</w:t>
      </w:r>
      <w:r w:rsidR="002C19D5">
        <w:t xml:space="preserve"> and </w:t>
      </w:r>
      <w:r>
        <w:t>Vessel Tracking.</w:t>
      </w:r>
    </w:p>
    <w:p w14:paraId="45DE237A" w14:textId="626787D8" w:rsidR="00443161" w:rsidRDefault="00EB0346" w:rsidP="00EB0346">
      <w:r>
        <w:t xml:space="preserve">On-water compliance is supported by a range of monitoring and reporting initiatives that include the use of </w:t>
      </w:r>
      <w:r w:rsidR="74ED39E5">
        <w:t>vessel tracking,</w:t>
      </w:r>
      <w:r w:rsidR="02B1EF3A">
        <w:t xml:space="preserve"> </w:t>
      </w:r>
      <w:r>
        <w:t xml:space="preserve">commercial </w:t>
      </w:r>
      <w:r w:rsidR="42AADD3A">
        <w:t xml:space="preserve">catch and effort </w:t>
      </w:r>
      <w:r w:rsidR="02B1EF3A">
        <w:t>logbooks,</w:t>
      </w:r>
      <w:r w:rsidR="64877248">
        <w:t xml:space="preserve"> an Automated Integrated Voice Response (AIVR) system (</w:t>
      </w:r>
      <w:r w:rsidR="21AC0209">
        <w:t xml:space="preserve">pre-trip, </w:t>
      </w:r>
      <w:r w:rsidR="439DD806">
        <w:t>p</w:t>
      </w:r>
      <w:r w:rsidR="4BB97021">
        <w:t xml:space="preserve">rior </w:t>
      </w:r>
      <w:r w:rsidR="22EDBFB7">
        <w:t>n</w:t>
      </w:r>
      <w:r w:rsidR="4BB97021">
        <w:t xml:space="preserve">otices, </w:t>
      </w:r>
      <w:r w:rsidR="592AC545">
        <w:t>w</w:t>
      </w:r>
      <w:r w:rsidR="4BB97021">
        <w:t xml:space="preserve">eight </w:t>
      </w:r>
      <w:r w:rsidR="6BD85AC4">
        <w:t>n</w:t>
      </w:r>
      <w:r w:rsidR="4BB97021">
        <w:t>otices</w:t>
      </w:r>
      <w:r w:rsidR="0D0B8D5D">
        <w:t>)</w:t>
      </w:r>
      <w:r w:rsidR="119FC140">
        <w:t xml:space="preserve">, </w:t>
      </w:r>
      <w:r w:rsidR="3FF4A79D">
        <w:t>c</w:t>
      </w:r>
      <w:r w:rsidR="64877248">
        <w:t xml:space="preserve">atch </w:t>
      </w:r>
      <w:r w:rsidR="600C39DD">
        <w:t>d</w:t>
      </w:r>
      <w:r w:rsidR="64877248">
        <w:t xml:space="preserve">isposal </w:t>
      </w:r>
      <w:r w:rsidR="0EF177AA">
        <w:t>r</w:t>
      </w:r>
      <w:r w:rsidR="64877248">
        <w:t>ecords</w:t>
      </w:r>
      <w:r w:rsidR="143FF259">
        <w:t xml:space="preserve"> and wholesale sale dockets</w:t>
      </w:r>
      <w:r>
        <w:t xml:space="preserve">. This combination of measures provides a system of crosschecks that can be used to validate catch against key reference points </w:t>
      </w:r>
      <w:r w:rsidR="002A103F">
        <w:t xml:space="preserve">and </w:t>
      </w:r>
      <w:r w:rsidRPr="00EB0346">
        <w:t>reduce the risk of non-compliance with the quota system.</w:t>
      </w:r>
    </w:p>
    <w:p w14:paraId="4C4A3E41" w14:textId="77777777" w:rsidR="007D39CF" w:rsidRDefault="007D39CF" w:rsidP="007D39CF">
      <w:r>
        <w:t xml:space="preserve">Recreational fishing compliance is implemented and enforced by Queensland Boating and Fisheries Patrol (QBFP), an organisational unit of Fisheries Queensland. The key strategies adopted by QBFP for detecting and monitoring non-compliance are: </w:t>
      </w:r>
    </w:p>
    <w:p w14:paraId="46878510" w14:textId="77777777" w:rsidR="007D39CF" w:rsidRDefault="007D39CF" w:rsidP="00A87F05">
      <w:pPr>
        <w:pStyle w:val="ListParagraph"/>
        <w:numPr>
          <w:ilvl w:val="0"/>
          <w:numId w:val="22"/>
        </w:numPr>
      </w:pPr>
      <w:r>
        <w:t xml:space="preserve">intelligence and information gathering including Fishwatch (a community reporting service) and information sharing agreements with compliance partners </w:t>
      </w:r>
    </w:p>
    <w:p w14:paraId="6EC0B3B6" w14:textId="77777777" w:rsidR="007D39CF" w:rsidRDefault="007D39CF" w:rsidP="00A87F05">
      <w:pPr>
        <w:pStyle w:val="ListParagraph"/>
        <w:numPr>
          <w:ilvl w:val="0"/>
          <w:numId w:val="22"/>
        </w:numPr>
      </w:pPr>
      <w:r>
        <w:t>patrols and inspections – random and targeted, land-based and at-sea patrols and inspections</w:t>
      </w:r>
    </w:p>
    <w:p w14:paraId="3910BA6E" w14:textId="38D36374" w:rsidR="007D39CF" w:rsidRDefault="007D39CF" w:rsidP="00A87F05">
      <w:pPr>
        <w:pStyle w:val="ListParagraph"/>
        <w:numPr>
          <w:ilvl w:val="0"/>
          <w:numId w:val="22"/>
        </w:numPr>
      </w:pPr>
      <w:r>
        <w:lastRenderedPageBreak/>
        <w:t xml:space="preserve">investigation and surveillance operations – specialist investigators manage and investigate complex and/or protracted breaches </w:t>
      </w:r>
    </w:p>
    <w:p w14:paraId="0ED293E7" w14:textId="287E1B1C" w:rsidR="007D39CF" w:rsidRDefault="007D39CF" w:rsidP="00A87F05">
      <w:pPr>
        <w:pStyle w:val="ListParagraph"/>
        <w:numPr>
          <w:ilvl w:val="0"/>
          <w:numId w:val="22"/>
        </w:numPr>
      </w:pPr>
      <w:r>
        <w:t xml:space="preserve">cooperation with other agencies – </w:t>
      </w:r>
      <w:r w:rsidR="747D93EB">
        <w:t xml:space="preserve">including cross decking with compliance partners, first nations sea rangers </w:t>
      </w:r>
      <w:r w:rsidR="00B021FD">
        <w:t>and interstate</w:t>
      </w:r>
      <w:r>
        <w:t xml:space="preserve"> agencies to enforce Queensland fisheries legislation effectively increases field presence and the capacity for apprehending offenders in Queensland and its border regions.</w:t>
      </w:r>
    </w:p>
    <w:p w14:paraId="14FF56AE" w14:textId="44632ED4" w:rsidR="00B44876" w:rsidRDefault="00B44876" w:rsidP="00B44876">
      <w:r>
        <w:t xml:space="preserve">IUU fishing </w:t>
      </w:r>
      <w:r w:rsidR="00370B59">
        <w:t xml:space="preserve">by foreign fishing vessels (FFZ) </w:t>
      </w:r>
      <w:r>
        <w:t>is</w:t>
      </w:r>
      <w:r w:rsidR="00370B59">
        <w:t xml:space="preserve"> also a threat to the QSCF, though surveillance is likely to be </w:t>
      </w:r>
      <w:r w:rsidR="00B021FD">
        <w:t>relatively</w:t>
      </w:r>
      <w:r w:rsidR="00370B59">
        <w:t xml:space="preserve"> high (cf. CSF)</w:t>
      </w:r>
      <w:r w:rsidR="00EE7E3A">
        <w:t>. Foreign IUU fishing is</w:t>
      </w:r>
      <w:r>
        <w:t xml:space="preserve"> addressed through a National Plan of Action to Prevent, Deter and Eliminate Illegal, Unreported and Unregulated Fishing (NPOA-IUU). It involves several government agencies that cooperate to carry out aerial surveillance, sea patrols and real-time monitoring of fishing vessels. </w:t>
      </w:r>
    </w:p>
    <w:p w14:paraId="22AD0690" w14:textId="77777777" w:rsidR="00B44876" w:rsidRDefault="00B44876" w:rsidP="00B44876">
      <w:r>
        <w:t xml:space="preserve">Australia is also active at an international level promoting stronger measures to combat IUU fishing through </w:t>
      </w:r>
      <w:r w:rsidRPr="00982517">
        <w:t xml:space="preserve">The International Plan of Action to Prevent, Deter and Eliminate Illegal, Unreported and Unregulated Fishing (IPOA-IUU) </w:t>
      </w:r>
      <w:r>
        <w:t xml:space="preserve">which </w:t>
      </w:r>
      <w:r w:rsidRPr="00982517">
        <w:t>calls on all states to take effective measures globally, regionally and nationally to combat IUU fishing.</w:t>
      </w:r>
    </w:p>
    <w:p w14:paraId="1A46EEB5" w14:textId="7D47CF11" w:rsidR="00370B59" w:rsidRDefault="00370B59" w:rsidP="00370B59">
      <w:r>
        <w:t xml:space="preserve">Despite a pulse of </w:t>
      </w:r>
      <w:r w:rsidR="00EE7E3A">
        <w:t xml:space="preserve">foreign </w:t>
      </w:r>
      <w:r>
        <w:t xml:space="preserve">IUU fishing in 2016 and 2017, the sustained and coordinated efforts of Australian Government agencies appears to have been successful in reducing </w:t>
      </w:r>
      <w:r w:rsidR="00EE7E3A">
        <w:t xml:space="preserve">foreign </w:t>
      </w:r>
      <w:r>
        <w:t xml:space="preserve">IUU activities within the </w:t>
      </w:r>
      <w:r w:rsidR="00EE7E3A">
        <w:t>QSCF</w:t>
      </w:r>
      <w:r>
        <w:t xml:space="preserve"> area, including apprehensions and convictions of several vessel and diplomatic efforts with source countries to curtail IUU vessels in their home ports (Noriega, 2022). </w:t>
      </w:r>
    </w:p>
    <w:p w14:paraId="51740BE0" w14:textId="77777777" w:rsidR="00443161" w:rsidRDefault="00443161" w:rsidP="00A87F05">
      <w:pPr>
        <w:pStyle w:val="Heading2"/>
        <w:ind w:left="851" w:hanging="851"/>
      </w:pPr>
      <w:bookmarkStart w:id="189" w:name="_Toc139374138"/>
      <w:bookmarkStart w:id="190" w:name="_Toc189044949"/>
      <w:r>
        <w:t>Management effectiveness (monitoring and compliance)</w:t>
      </w:r>
      <w:bookmarkEnd w:id="189"/>
      <w:bookmarkEnd w:id="190"/>
    </w:p>
    <w:p w14:paraId="477F686E" w14:textId="3E561444" w:rsidR="00482D87" w:rsidRPr="003423C5" w:rsidRDefault="00482D87" w:rsidP="330AA221">
      <w:pPr>
        <w:spacing w:line="259" w:lineRule="auto"/>
      </w:pPr>
      <w:r w:rsidRPr="00D15515">
        <w:t xml:space="preserve">The collection of catch data in the QSCF is subject to a series of cross-checks and data validation using various reporting methods (i.e. </w:t>
      </w:r>
      <w:r w:rsidR="6B90C375">
        <w:t>V</w:t>
      </w:r>
      <w:r w:rsidR="1E4CD859">
        <w:t xml:space="preserve">essel </w:t>
      </w:r>
      <w:r w:rsidR="31F58284">
        <w:t>t</w:t>
      </w:r>
      <w:r w:rsidR="1E4CD859">
        <w:t xml:space="preserve">racking, </w:t>
      </w:r>
      <w:r w:rsidR="02C1AF73">
        <w:t xml:space="preserve">pre-trip notices, commercial catch and effort logbooks, </w:t>
      </w:r>
      <w:r w:rsidR="3782E1C5">
        <w:t>p</w:t>
      </w:r>
      <w:r w:rsidR="5F694321">
        <w:t xml:space="preserve">rior </w:t>
      </w:r>
      <w:r w:rsidR="6EC9D819">
        <w:t>n</w:t>
      </w:r>
      <w:r w:rsidR="5F694321">
        <w:t xml:space="preserve">otices, </w:t>
      </w:r>
      <w:r w:rsidR="194F4C7C">
        <w:t>w</w:t>
      </w:r>
      <w:r w:rsidR="30FC8016">
        <w:t>eight</w:t>
      </w:r>
      <w:r w:rsidRPr="00D15515">
        <w:t xml:space="preserve"> </w:t>
      </w:r>
      <w:r w:rsidR="441E254E">
        <w:t>n</w:t>
      </w:r>
      <w:r w:rsidRPr="00D15515">
        <w:t xml:space="preserve">otices, </w:t>
      </w:r>
      <w:r w:rsidR="7F1C7666">
        <w:t>c</w:t>
      </w:r>
      <w:r w:rsidR="7F653268">
        <w:t xml:space="preserve">atch </w:t>
      </w:r>
      <w:r w:rsidR="2F3E7F8C">
        <w:t>d</w:t>
      </w:r>
      <w:r w:rsidR="7F653268">
        <w:t xml:space="preserve">isposal </w:t>
      </w:r>
      <w:r w:rsidR="55934468">
        <w:t>r</w:t>
      </w:r>
      <w:r w:rsidR="7F653268">
        <w:t>ecords</w:t>
      </w:r>
      <w:r w:rsidR="0F7972C3">
        <w:t xml:space="preserve"> and wholesale sale dockets</w:t>
      </w:r>
      <w:r w:rsidR="37038F96">
        <w:t>)</w:t>
      </w:r>
      <w:r w:rsidRPr="00D15515">
        <w:t xml:space="preserve">. While catch data is collected through the logbooks, </w:t>
      </w:r>
      <w:r w:rsidR="136CE83A">
        <w:t xml:space="preserve">weight </w:t>
      </w:r>
      <w:r w:rsidR="004669C0">
        <w:t xml:space="preserve">notices </w:t>
      </w:r>
      <w:r w:rsidR="004669C0" w:rsidRPr="00D15515">
        <w:t>are</w:t>
      </w:r>
      <w:r w:rsidRPr="00D15515">
        <w:t xml:space="preserve"> used to monitor quota utilisation and the </w:t>
      </w:r>
      <w:r w:rsidR="19846A94">
        <w:t>catch disposal records</w:t>
      </w:r>
      <w:r w:rsidRPr="00D15515">
        <w:t xml:space="preserve"> provides an accurate representation of the species-specific weights</w:t>
      </w:r>
      <w:r>
        <w:t xml:space="preserve"> </w:t>
      </w:r>
      <w:r w:rsidR="51B43085">
        <w:t xml:space="preserve">and </w:t>
      </w:r>
      <w:r w:rsidR="21EAC4E7">
        <w:t>avenue</w:t>
      </w:r>
      <w:r w:rsidR="51B43085">
        <w:t xml:space="preserve"> of sale</w:t>
      </w:r>
      <w:r w:rsidR="1C3347B3">
        <w:t>.</w:t>
      </w:r>
    </w:p>
    <w:p w14:paraId="2D1E4B9E" w14:textId="7DD61AB9" w:rsidR="00720114" w:rsidRDefault="00720114" w:rsidP="007D39CF">
      <w:pPr>
        <w:keepNext/>
        <w:keepLines/>
      </w:pPr>
      <w:r>
        <w:t>In summary, fishers must:</w:t>
      </w:r>
    </w:p>
    <w:p w14:paraId="027D3DBF" w14:textId="73A088D0" w:rsidR="6049B6DC" w:rsidRDefault="6049B6DC" w:rsidP="00A87F05">
      <w:pPr>
        <w:pStyle w:val="ListParagraph"/>
        <w:numPr>
          <w:ilvl w:val="0"/>
          <w:numId w:val="22"/>
        </w:numPr>
      </w:pPr>
      <w:r>
        <w:t>l</w:t>
      </w:r>
      <w:r w:rsidR="5FDBC1F0">
        <w:t>odge a pre-trip notice (AIVR)</w:t>
      </w:r>
    </w:p>
    <w:p w14:paraId="0168E549" w14:textId="34E3B442" w:rsidR="5FDBC1F0" w:rsidRDefault="5FDBC1F0" w:rsidP="00A87F05">
      <w:pPr>
        <w:pStyle w:val="ListParagraph"/>
        <w:numPr>
          <w:ilvl w:val="0"/>
          <w:numId w:val="22"/>
        </w:numPr>
      </w:pPr>
      <w:r>
        <w:t>complete catch and effort logbooks</w:t>
      </w:r>
    </w:p>
    <w:p w14:paraId="30B21C2B" w14:textId="1119531D" w:rsidR="5FDBC1F0" w:rsidRDefault="5FDBC1F0" w:rsidP="00A87F05">
      <w:pPr>
        <w:pStyle w:val="ListParagraph"/>
        <w:numPr>
          <w:ilvl w:val="0"/>
          <w:numId w:val="22"/>
        </w:numPr>
        <w:rPr>
          <w:color w:val="000000" w:themeColor="text1"/>
        </w:rPr>
      </w:pPr>
      <w:r>
        <w:t>complete the threatened, endangered and protected animal logbook</w:t>
      </w:r>
    </w:p>
    <w:p w14:paraId="72D91AC7" w14:textId="0219839A" w:rsidR="00720114" w:rsidRDefault="47CD2B08" w:rsidP="00A87F05">
      <w:pPr>
        <w:pStyle w:val="ListParagraph"/>
        <w:numPr>
          <w:ilvl w:val="0"/>
          <w:numId w:val="22"/>
        </w:numPr>
        <w:rPr>
          <w:color w:val="000000" w:themeColor="text1"/>
        </w:rPr>
      </w:pPr>
      <w:r>
        <w:t>lodge a p</w:t>
      </w:r>
      <w:r w:rsidR="271FD947">
        <w:t xml:space="preserve">rior </w:t>
      </w:r>
      <w:r w:rsidR="00720114">
        <w:t xml:space="preserve">report </w:t>
      </w:r>
      <w:r w:rsidR="271FD947">
        <w:t>before landing</w:t>
      </w:r>
      <w:r w:rsidR="33D760F1">
        <w:t xml:space="preserve"> for all catch to which a TACC applies</w:t>
      </w:r>
      <w:r w:rsidR="271FD947">
        <w:t xml:space="preserve"> (AIVR)</w:t>
      </w:r>
    </w:p>
    <w:p w14:paraId="7E47BDB1" w14:textId="0D9B910E" w:rsidR="00720114" w:rsidRDefault="547F4054" w:rsidP="00A87F05">
      <w:pPr>
        <w:pStyle w:val="ListParagraph"/>
        <w:numPr>
          <w:ilvl w:val="0"/>
          <w:numId w:val="22"/>
        </w:numPr>
        <w:spacing w:line="259" w:lineRule="auto"/>
      </w:pPr>
      <w:r>
        <w:t>complete w</w:t>
      </w:r>
      <w:r w:rsidR="0A76B175">
        <w:t>eigh</w:t>
      </w:r>
      <w:r w:rsidR="6C999454">
        <w:t>t</w:t>
      </w:r>
      <w:r w:rsidR="00720114">
        <w:t xml:space="preserve"> notices for all catch to which a TACC applies (</w:t>
      </w:r>
      <w:r w:rsidR="6DB17929">
        <w:t>AIVR)</w:t>
      </w:r>
    </w:p>
    <w:p w14:paraId="76B2143B" w14:textId="1CF50BF0" w:rsidR="00720114" w:rsidRDefault="00720114" w:rsidP="00A87F05">
      <w:pPr>
        <w:pStyle w:val="ListParagraph"/>
        <w:numPr>
          <w:ilvl w:val="0"/>
          <w:numId w:val="22"/>
        </w:numPr>
      </w:pPr>
      <w:r>
        <w:t>complete catch disposal records for the disposal of all catch to which a TACC applies</w:t>
      </w:r>
    </w:p>
    <w:p w14:paraId="73A5E4F5" w14:textId="1C164596" w:rsidR="00720114" w:rsidRDefault="00720114" w:rsidP="00A87F05">
      <w:pPr>
        <w:pStyle w:val="ListParagraph"/>
        <w:numPr>
          <w:ilvl w:val="0"/>
          <w:numId w:val="22"/>
        </w:numPr>
      </w:pPr>
      <w:r>
        <w:t xml:space="preserve">keep sale dockets for all wholesale sales for 5 years, including to businesses involved in the processing and storage of fisheries </w:t>
      </w:r>
      <w:r w:rsidR="004669C0">
        <w:t>resources.</w:t>
      </w:r>
    </w:p>
    <w:p w14:paraId="1F552D53" w14:textId="0118C1ED" w:rsidR="00482D87" w:rsidRDefault="00D15515" w:rsidP="00DD488F">
      <w:r w:rsidRPr="00D15515">
        <w:t xml:space="preserve">QBFP and the </w:t>
      </w:r>
      <w:r w:rsidR="092FB614">
        <w:t>reporting</w:t>
      </w:r>
      <w:r w:rsidRPr="00D15515">
        <w:t xml:space="preserve"> unit detect instances of non-compliance. </w:t>
      </w:r>
      <w:r w:rsidR="433822F7">
        <w:t xml:space="preserve">A number of issues were identified </w:t>
      </w:r>
      <w:r w:rsidRPr="00D15515">
        <w:t>which affect the enforceability and effectiveness of the current management arrangements. Not all trips can be inspected, and as a result, there is a level of self-compliance about the correct weighing and reporting of catch. While this is not considered to be an issue of significance in the QSCF, the inability to monitor catch in real or near-real time remains an area of risk for most commercial fisheries operating in Queensland</w:t>
      </w:r>
      <w:r w:rsidR="00482D87">
        <w:t xml:space="preserve"> (Pidd and Jacobsen, 2021).</w:t>
      </w:r>
    </w:p>
    <w:p w14:paraId="71B34B33" w14:textId="1C109E19" w:rsidR="00482D87" w:rsidRPr="003423C5" w:rsidRDefault="00482D87" w:rsidP="00DD488F">
      <w:r w:rsidRPr="00482D87">
        <w:t>Reporting requirements for the QSCF were also reviewed as part of the harvest strategy development process. Updated reporting arrangements, which will apply from 1 September 2021 are described at 1A.-Reporting-flowcharts_v1.0_details-removed-Sea-cucumber.pdf (daf.qld.gov.au)</w:t>
      </w:r>
      <w:r>
        <w:t xml:space="preserve"> (DAF, 2021</w:t>
      </w:r>
      <w:r w:rsidR="00B137C8">
        <w:t>a</w:t>
      </w:r>
      <w:r>
        <w:t>).</w:t>
      </w:r>
    </w:p>
    <w:p w14:paraId="39325387" w14:textId="380EB9BD" w:rsidR="330AA221" w:rsidRDefault="330AA221" w:rsidP="330AA221"/>
    <w:p w14:paraId="51111FC1" w14:textId="77777777" w:rsidR="00DD488F" w:rsidRDefault="00DD488F" w:rsidP="000A6D1F">
      <w:pPr>
        <w:pStyle w:val="Heading1"/>
        <w:ind w:left="851" w:hanging="851"/>
      </w:pPr>
      <w:bookmarkStart w:id="191" w:name="_Toc189044950"/>
      <w:r>
        <w:lastRenderedPageBreak/>
        <w:t>Conclusions and recommendations</w:t>
      </w:r>
      <w:bookmarkEnd w:id="191"/>
    </w:p>
    <w:p w14:paraId="32BD71D0" w14:textId="514EDE54" w:rsidR="00E8414F" w:rsidRDefault="007D39CF" w:rsidP="00E8414F">
      <w:r>
        <w:t>T</w:t>
      </w:r>
      <w:r w:rsidR="008A0C6A" w:rsidRPr="008A0C6A">
        <w:t xml:space="preserve">he QSCF is Australia’s largest sea cucumber fishery, </w:t>
      </w:r>
      <w:r>
        <w:t xml:space="preserve">with a long history. </w:t>
      </w:r>
      <w:r w:rsidR="002366D3">
        <w:t xml:space="preserve">After decades of low levels of </w:t>
      </w:r>
      <w:r w:rsidR="00E8414F">
        <w:t xml:space="preserve">fishery related </w:t>
      </w:r>
      <w:r w:rsidR="002366D3">
        <w:t>research,</w:t>
      </w:r>
      <w:r w:rsidR="00E8414F" w:rsidRPr="00E8414F">
        <w:t xml:space="preserve"> </w:t>
      </w:r>
      <w:r w:rsidR="00E8414F">
        <w:t xml:space="preserve">which has resulted in some stock depletions and criticism of the </w:t>
      </w:r>
      <w:r w:rsidR="00A54C3D">
        <w:t xml:space="preserve">sustainability and </w:t>
      </w:r>
      <w:r w:rsidR="00E8414F">
        <w:t xml:space="preserve">management of the fishery (Eriksson </w:t>
      </w:r>
      <w:r w:rsidR="00E8414F" w:rsidRPr="00E8414F">
        <w:t>and Byrne</w:t>
      </w:r>
      <w:r w:rsidR="00E8414F">
        <w:t xml:space="preserve">, 2015; Wolfe </w:t>
      </w:r>
      <w:r w:rsidR="00E8414F" w:rsidRPr="00E8414F">
        <w:t>and Byrne</w:t>
      </w:r>
      <w:r w:rsidR="00E8414F">
        <w:t>, 2022), there have</w:t>
      </w:r>
      <w:r w:rsidR="00A54C3D">
        <w:t xml:space="preserve"> recently</w:t>
      </w:r>
      <w:r w:rsidR="00E8414F">
        <w:t xml:space="preserve"> been stock surveys, stock assessments, and management strategy evaluations that have been useful for assessing the status of the teatfish stocks.</w:t>
      </w:r>
    </w:p>
    <w:p w14:paraId="4A1FF09B" w14:textId="4B9D7914" w:rsidR="00DC0869" w:rsidRDefault="00E8414F" w:rsidP="00DC0869">
      <w:r>
        <w:t xml:space="preserve">This report has attempted to use that information to address the key information fields relevant to formulating an NDF for Black teatfish and White teatfish in the QSCF. </w:t>
      </w:r>
      <w:r w:rsidR="00DC0869">
        <w:t>While the CITES does provides detailed and objective guidance for the initial listing of species in Appendices (e.g. population levels, range reduction levels, risk levels), there is less objective guidance for making an NDF. The basic criteria/principles for the formulation of an NDF are: “</w:t>
      </w:r>
      <w:r w:rsidR="00DC0869" w:rsidRPr="002C0FE1">
        <w:t>An export permit shall only be granted when</w:t>
      </w:r>
      <w:r w:rsidR="00DC0869">
        <w:t xml:space="preserve">… </w:t>
      </w:r>
      <w:r w:rsidR="00DC0869" w:rsidRPr="002E329A">
        <w:t>a Scientific Authority of the State of export has advised</w:t>
      </w:r>
      <w:r w:rsidR="00DC0869">
        <w:t xml:space="preserve"> </w:t>
      </w:r>
      <w:r w:rsidR="00DC0869" w:rsidRPr="002E329A">
        <w:rPr>
          <w:b/>
          <w:bCs/>
          <w:i/>
          <w:iCs/>
        </w:rPr>
        <w:t>that such export will not be detrimental to the survival of that species</w:t>
      </w:r>
      <w:r w:rsidR="00DC0869">
        <w:rPr>
          <w:b/>
          <w:bCs/>
          <w:i/>
          <w:iCs/>
        </w:rPr>
        <w:t>”</w:t>
      </w:r>
      <w:r w:rsidR="00DC0869">
        <w:t xml:space="preserve"> (CITES, 1973: Article IV, paragraph 2a).</w:t>
      </w:r>
      <w:r w:rsidR="0000398C">
        <w:t xml:space="preserve"> </w:t>
      </w:r>
      <w:bookmarkStart w:id="192" w:name="_Hlk137481290"/>
      <w:r w:rsidR="00DC0869">
        <w:t>Furthermore, the Scientific Authority must monitor and “limit” the export… “</w:t>
      </w:r>
      <w:r w:rsidR="00DC0869" w:rsidRPr="002C0FE1">
        <w:rPr>
          <w:b/>
          <w:bCs/>
          <w:i/>
          <w:iCs/>
        </w:rPr>
        <w:t>in order to maintain that species throughout its range at a level consistent with its role in the ecosystems in which it occurs and well above the level at which that species might become eligible for inclusion in Appendix I</w:t>
      </w:r>
      <w:r w:rsidR="00DC0869">
        <w:t>”</w:t>
      </w:r>
      <w:r w:rsidR="00DC0869" w:rsidRPr="00F75C6C">
        <w:t xml:space="preserve"> </w:t>
      </w:r>
      <w:r w:rsidR="00DC0869">
        <w:t>(CITES, 1973: Article IV, paragraph 3).</w:t>
      </w:r>
    </w:p>
    <w:bookmarkEnd w:id="192"/>
    <w:p w14:paraId="0FE03D9A" w14:textId="43AAE7CB" w:rsidR="00DC0869" w:rsidRDefault="00DC0869" w:rsidP="00E8414F">
      <w:r>
        <w:t xml:space="preserve">While appearing quite broad, the </w:t>
      </w:r>
      <w:r w:rsidR="00A54C3D">
        <w:t xml:space="preserve">CITES NDF </w:t>
      </w:r>
      <w:r>
        <w:t>criteria recommended for sea cucumber fisheries are really no different from the standard criteria for assessing fisheries</w:t>
      </w:r>
      <w:r w:rsidR="0000398C">
        <w:t xml:space="preserve">, </w:t>
      </w:r>
      <w:r w:rsidR="00A54C3D">
        <w:t xml:space="preserve">but </w:t>
      </w:r>
      <w:r w:rsidR="0000398C">
        <w:t>with less focus on bycatch and/or environmental impacts as would be normal under an EBFM approach, and perhaps with a lower risk tolerance than would be normally applied to assessments of stock status</w:t>
      </w:r>
      <w:r w:rsidR="00A54C3D">
        <w:t xml:space="preserve"> conventionally (e.g. see approach to </w:t>
      </w:r>
      <w:r w:rsidR="006560BD">
        <w:t>risk</w:t>
      </w:r>
      <w:r w:rsidR="00A54C3D">
        <w:t xml:space="preserve"> in </w:t>
      </w:r>
      <w:r w:rsidR="006560BD">
        <w:t>DAWR, 2018)</w:t>
      </w:r>
      <w:r w:rsidR="0000398C">
        <w:t xml:space="preserve">. </w:t>
      </w:r>
      <w:r w:rsidR="006560BD">
        <w:t>T</w:t>
      </w:r>
      <w:r w:rsidR="0000398C">
        <w:t xml:space="preserve">his includes information showing that: </w:t>
      </w:r>
      <w:r>
        <w:t xml:space="preserve">the status of the </w:t>
      </w:r>
      <w:r w:rsidR="0000398C">
        <w:t xml:space="preserve">stock </w:t>
      </w:r>
      <w:r>
        <w:t xml:space="preserve">is established and </w:t>
      </w:r>
      <w:r w:rsidR="0000398C">
        <w:t xml:space="preserve">at </w:t>
      </w:r>
      <w:r>
        <w:t>sustainable</w:t>
      </w:r>
      <w:r w:rsidR="0000398C">
        <w:t xml:space="preserve"> levels</w:t>
      </w:r>
      <w:r>
        <w:t>; that the environmental impacts are assessed; that there is an effective management regime in place</w:t>
      </w:r>
      <w:r w:rsidR="00E26813">
        <w:t>, including a working harvest strategy</w:t>
      </w:r>
      <w:r>
        <w:t xml:space="preserve">; and that there are effective monitoring and control mechanisms (MSC, 2022; </w:t>
      </w:r>
      <w:r w:rsidRPr="00DC0869">
        <w:t>Di Simone</w:t>
      </w:r>
      <w:r>
        <w:t xml:space="preserve"> et al., </w:t>
      </w:r>
      <w:r w:rsidRPr="00DC0869">
        <w:t>2021</w:t>
      </w:r>
      <w:r>
        <w:t>)</w:t>
      </w:r>
      <w:r w:rsidRPr="00DC0869">
        <w:t xml:space="preserve">. </w:t>
      </w:r>
    </w:p>
    <w:p w14:paraId="59B75AD0" w14:textId="50B73A92" w:rsidR="00014BAB" w:rsidRDefault="00014BAB" w:rsidP="00014BAB">
      <w:r>
        <w:t>The information available for both species is summarized below:</w:t>
      </w:r>
    </w:p>
    <w:p w14:paraId="165B73D4" w14:textId="6DDE4A2B" w:rsidR="00190575" w:rsidRPr="00253CF4" w:rsidRDefault="00190575" w:rsidP="00014BAB">
      <w:pPr>
        <w:rPr>
          <w:b/>
          <w:bCs/>
          <w:i/>
          <w:iCs/>
          <w:u w:val="single"/>
        </w:rPr>
      </w:pPr>
      <w:r w:rsidRPr="00253CF4">
        <w:rPr>
          <w:b/>
          <w:bCs/>
          <w:i/>
          <w:iCs/>
          <w:u w:val="single"/>
        </w:rPr>
        <w:t>Black teatfish</w:t>
      </w:r>
    </w:p>
    <w:p w14:paraId="72BC98A9" w14:textId="1802A776" w:rsidR="007307E1" w:rsidRDefault="007307E1" w:rsidP="007307E1">
      <w:pPr>
        <w:pStyle w:val="ListParagraph"/>
        <w:numPr>
          <w:ilvl w:val="0"/>
          <w:numId w:val="47"/>
        </w:numPr>
      </w:pPr>
      <w:r>
        <w:t xml:space="preserve">Inherent vulnerability for Black teatfish in the QSCF is assessed as </w:t>
      </w:r>
      <w:r w:rsidRPr="000C3590">
        <w:t>high</w:t>
      </w:r>
      <w:r>
        <w:t xml:space="preserve">. </w:t>
      </w:r>
    </w:p>
    <w:p w14:paraId="05F58A0D" w14:textId="57DFFDA9" w:rsidR="00014BAB" w:rsidRDefault="00190575" w:rsidP="00EC72D3">
      <w:pPr>
        <w:pStyle w:val="ListParagraph"/>
        <w:numPr>
          <w:ilvl w:val="0"/>
          <w:numId w:val="47"/>
        </w:numPr>
      </w:pPr>
      <w:r>
        <w:t xml:space="preserve">Black teatfish </w:t>
      </w:r>
      <w:r w:rsidR="00014BAB">
        <w:t xml:space="preserve">are a high value species </w:t>
      </w:r>
      <w:r w:rsidR="006560BD">
        <w:t>and</w:t>
      </w:r>
      <w:r w:rsidR="00014BAB">
        <w:t xml:space="preserve"> is </w:t>
      </w:r>
      <w:r>
        <w:t>a primary target species in the QSCF</w:t>
      </w:r>
      <w:r w:rsidR="006560BD">
        <w:t>.</w:t>
      </w:r>
    </w:p>
    <w:p w14:paraId="45AE8797" w14:textId="38B822B3" w:rsidR="00014BAB" w:rsidRDefault="00014BAB" w:rsidP="00EC72D3">
      <w:pPr>
        <w:pStyle w:val="ListParagraph"/>
        <w:numPr>
          <w:ilvl w:val="0"/>
          <w:numId w:val="47"/>
        </w:numPr>
      </w:pPr>
      <w:r>
        <w:t xml:space="preserve">They </w:t>
      </w:r>
      <w:r w:rsidR="00190575">
        <w:t xml:space="preserve">were heavily targeted in the </w:t>
      </w:r>
      <w:r>
        <w:t xml:space="preserve">historical fishery, and </w:t>
      </w:r>
      <w:r w:rsidR="007307E1">
        <w:t>likely</w:t>
      </w:r>
      <w:r>
        <w:t xml:space="preserve"> depleted to low levels</w:t>
      </w:r>
      <w:r w:rsidR="006560BD">
        <w:t>.</w:t>
      </w:r>
    </w:p>
    <w:p w14:paraId="177EDFFA" w14:textId="160EEEE7" w:rsidR="006560BD" w:rsidRDefault="006560BD" w:rsidP="00EC72D3">
      <w:pPr>
        <w:pStyle w:val="ListParagraph"/>
        <w:numPr>
          <w:ilvl w:val="0"/>
          <w:numId w:val="47"/>
        </w:numPr>
      </w:pPr>
      <w:r>
        <w:t xml:space="preserve">They were heavily targeted in </w:t>
      </w:r>
      <w:r w:rsidR="00B021FD">
        <w:t xml:space="preserve">the </w:t>
      </w:r>
      <w:r w:rsidR="00190575">
        <w:t>beginning of the modern fishery.</w:t>
      </w:r>
      <w:r w:rsidR="00E26813">
        <w:t xml:space="preserve"> </w:t>
      </w:r>
      <w:r w:rsidR="00190575">
        <w:t>By 1999, they were depleted to low density (&gt;75%) in northern GBR fished reefs, and they were closed to fishing.</w:t>
      </w:r>
      <w:r w:rsidR="00E26813">
        <w:t xml:space="preserve"> </w:t>
      </w:r>
    </w:p>
    <w:p w14:paraId="6D1E5E1E" w14:textId="77D09206" w:rsidR="00EC72D3" w:rsidRDefault="00190575" w:rsidP="00EC72D3">
      <w:pPr>
        <w:pStyle w:val="ListParagraph"/>
        <w:numPr>
          <w:ilvl w:val="0"/>
          <w:numId w:val="47"/>
        </w:numPr>
      </w:pPr>
      <w:r>
        <w:t xml:space="preserve">Surveys in 2015 and 2021 have indicated that: </w:t>
      </w:r>
    </w:p>
    <w:p w14:paraId="492E5C9F" w14:textId="28FCC5F2" w:rsidR="00190575" w:rsidRDefault="0034623E" w:rsidP="00EC72D3">
      <w:pPr>
        <w:pStyle w:val="ListParagraph"/>
        <w:numPr>
          <w:ilvl w:val="0"/>
          <w:numId w:val="48"/>
        </w:numPr>
      </w:pPr>
      <w:r>
        <w:t>T</w:t>
      </w:r>
      <w:r w:rsidR="00190575">
        <w:t xml:space="preserve">he population on previously </w:t>
      </w:r>
      <w:r w:rsidR="00E26813">
        <w:t xml:space="preserve">depleted </w:t>
      </w:r>
      <w:r w:rsidR="00190575">
        <w:t xml:space="preserve">reefs </w:t>
      </w:r>
      <w:r w:rsidR="007307E1">
        <w:t xml:space="preserve">in northern GBR </w:t>
      </w:r>
      <w:r w:rsidR="00190575">
        <w:t>ha</w:t>
      </w:r>
      <w:r w:rsidR="007307E1">
        <w:t>d</w:t>
      </w:r>
      <w:r w:rsidR="00190575">
        <w:t xml:space="preserve"> recovered to near “natural/virgin” levels</w:t>
      </w:r>
      <w:r w:rsidR="007307E1">
        <w:t>.</w:t>
      </w:r>
    </w:p>
    <w:p w14:paraId="3F6B76C4" w14:textId="2C822A94" w:rsidR="006560BD" w:rsidRDefault="007307E1" w:rsidP="00EC72D3">
      <w:pPr>
        <w:pStyle w:val="ListParagraph"/>
        <w:numPr>
          <w:ilvl w:val="0"/>
          <w:numId w:val="48"/>
        </w:numPr>
      </w:pPr>
      <w:r>
        <w:t>Density is at levels where recruitment processes are unlikely to be greatly impaired. They were</w:t>
      </w:r>
      <w:r w:rsidR="006560BD">
        <w:t xml:space="preserve"> equivalent to or greater than reference levels for a “healthy population” as stipulated by the SPC and similar to population densities observed in the </w:t>
      </w:r>
      <w:r w:rsidR="00B021FD">
        <w:t>TSBDMF</w:t>
      </w:r>
      <w:r>
        <w:t>.</w:t>
      </w:r>
    </w:p>
    <w:p w14:paraId="1022E3F3" w14:textId="0C67FD1A" w:rsidR="00A91F8A" w:rsidRDefault="0034623E" w:rsidP="00EC72D3">
      <w:pPr>
        <w:pStyle w:val="ListParagraph"/>
        <w:numPr>
          <w:ilvl w:val="0"/>
          <w:numId w:val="48"/>
        </w:numPr>
      </w:pPr>
      <w:r>
        <w:t xml:space="preserve">The </w:t>
      </w:r>
      <w:r w:rsidR="00190575">
        <w:t xml:space="preserve">biomass </w:t>
      </w:r>
      <w:r>
        <w:t xml:space="preserve">on the GBR as of 2021 </w:t>
      </w:r>
      <w:r w:rsidR="00190575">
        <w:t xml:space="preserve">is </w:t>
      </w:r>
      <w:r>
        <w:t>probably at least about 4,</w:t>
      </w:r>
      <w:r w:rsidR="006560BD">
        <w:t>4</w:t>
      </w:r>
      <w:r>
        <w:t xml:space="preserve">00 </w:t>
      </w:r>
      <w:r w:rsidR="00A91F8A">
        <w:t>t</w:t>
      </w:r>
      <w:r w:rsidR="006560BD">
        <w:t xml:space="preserve"> gutted weight</w:t>
      </w:r>
      <w:r w:rsidR="007307E1">
        <w:t>.</w:t>
      </w:r>
    </w:p>
    <w:p w14:paraId="1D2A4768" w14:textId="3D47CA19" w:rsidR="00190575" w:rsidRDefault="0034623E" w:rsidP="006560BD">
      <w:pPr>
        <w:pStyle w:val="ListParagraph"/>
        <w:numPr>
          <w:ilvl w:val="0"/>
          <w:numId w:val="47"/>
        </w:numPr>
      </w:pPr>
      <w:r>
        <w:t xml:space="preserve">The </w:t>
      </w:r>
      <w:r w:rsidR="00BA76C1">
        <w:t>fishery reopened in 2019 with a</w:t>
      </w:r>
      <w:r>
        <w:t xml:space="preserve"> </w:t>
      </w:r>
      <w:r w:rsidR="00A91F8A">
        <w:t xml:space="preserve">30 t </w:t>
      </w:r>
      <w:r w:rsidR="00BA76C1">
        <w:t xml:space="preserve">TAC </w:t>
      </w:r>
      <w:r w:rsidR="00A91F8A">
        <w:t>(landed weight</w:t>
      </w:r>
      <w:r w:rsidR="007307E1">
        <w:t>, equivalent to 36.4 t gutted weight)</w:t>
      </w:r>
      <w:r w:rsidR="00BA76C1">
        <w:t xml:space="preserve">, which </w:t>
      </w:r>
      <w:r>
        <w:t xml:space="preserve">is small </w:t>
      </w:r>
      <w:r w:rsidR="007307E1">
        <w:t xml:space="preserve">(&lt;1%) </w:t>
      </w:r>
      <w:r>
        <w:t>compar</w:t>
      </w:r>
      <w:r w:rsidR="007307E1">
        <w:t>ed</w:t>
      </w:r>
      <w:r>
        <w:t xml:space="preserve"> to the likely biomass</w:t>
      </w:r>
      <w:r w:rsidR="00190575">
        <w:t>.</w:t>
      </w:r>
    </w:p>
    <w:p w14:paraId="4F0252E1" w14:textId="70AC0A37" w:rsidR="007307E1" w:rsidRDefault="007307E1" w:rsidP="006560BD">
      <w:pPr>
        <w:pStyle w:val="ListParagraph"/>
        <w:numPr>
          <w:ilvl w:val="0"/>
          <w:numId w:val="47"/>
        </w:numPr>
      </w:pPr>
      <w:r>
        <w:t>A stock assessment in 2021 found that the</w:t>
      </w:r>
      <w:r w:rsidR="00F261CD">
        <w:t xml:space="preserve"> exploitable </w:t>
      </w:r>
      <w:r>
        <w:t xml:space="preserve">population was at about </w:t>
      </w:r>
      <w:r w:rsidR="00F261CD">
        <w:t>40% B</w:t>
      </w:r>
      <w:r w:rsidR="00F261CD" w:rsidRPr="00784F59">
        <w:rPr>
          <w:vertAlign w:val="subscript"/>
        </w:rPr>
        <w:t>0</w:t>
      </w:r>
      <w:r w:rsidR="00F261CD">
        <w:t xml:space="preserve"> relative to 1877 but with low confidence due to parameter settings and treatment of the historical fishery depletion. It showed a very large biomass pre-fishery in 1880 and a very low productivity stock, however the impact of the fishing pulse in the late 1990s was assessed as being negligible. </w:t>
      </w:r>
      <w:r w:rsidR="00BA76C1">
        <w:t xml:space="preserve">An external review raised </w:t>
      </w:r>
      <w:r w:rsidR="00185437">
        <w:t>several</w:t>
      </w:r>
      <w:r w:rsidR="00BA76C1">
        <w:t xml:space="preserve"> issues </w:t>
      </w:r>
      <w:r w:rsidR="0008540A">
        <w:t>with the assessment</w:t>
      </w:r>
      <w:r w:rsidR="00BA76C1">
        <w:t>.</w:t>
      </w:r>
    </w:p>
    <w:p w14:paraId="14105FE3" w14:textId="5B92FFA1" w:rsidR="00895A6A" w:rsidRDefault="00895A6A" w:rsidP="00D370D2">
      <w:pPr>
        <w:pStyle w:val="ListParagraph"/>
        <w:numPr>
          <w:ilvl w:val="0"/>
          <w:numId w:val="17"/>
        </w:numPr>
      </w:pPr>
      <w:r>
        <w:t>The 2024 MSE indicate</w:t>
      </w:r>
      <w:r w:rsidR="00185437">
        <w:t>d</w:t>
      </w:r>
      <w:r>
        <w:t xml:space="preserve"> that </w:t>
      </w:r>
      <w:r w:rsidR="00D370D2">
        <w:t xml:space="preserve">the </w:t>
      </w:r>
      <w:r>
        <w:t xml:space="preserve">Black teatfish </w:t>
      </w:r>
      <w:r w:rsidR="00D370D2">
        <w:t xml:space="preserve">population </w:t>
      </w:r>
      <w:r w:rsidR="0008540A">
        <w:t xml:space="preserve">will </w:t>
      </w:r>
      <w:r w:rsidR="00D370D2">
        <w:t xml:space="preserve">recover to </w:t>
      </w:r>
      <w:r w:rsidR="0008540A" w:rsidRPr="0008540A">
        <w:t xml:space="preserve">60% </w:t>
      </w:r>
      <w:r w:rsidR="00D370D2">
        <w:t>B</w:t>
      </w:r>
      <w:r w:rsidR="00D370D2" w:rsidRPr="00D370D2">
        <w:rPr>
          <w:vertAlign w:val="subscript"/>
        </w:rPr>
        <w:t>0</w:t>
      </w:r>
      <w:r w:rsidR="00D370D2">
        <w:t xml:space="preserve"> by about </w:t>
      </w:r>
      <w:r w:rsidR="0008540A" w:rsidRPr="0008540A">
        <w:t>2030 under current management</w:t>
      </w:r>
      <w:r w:rsidR="00D370D2">
        <w:t xml:space="preserve"> arrangements</w:t>
      </w:r>
      <w:r w:rsidR="0008540A" w:rsidRPr="0008540A">
        <w:t>.</w:t>
      </w:r>
      <w:r w:rsidR="00D370D2">
        <w:t xml:space="preserve"> However, t</w:t>
      </w:r>
      <w:r w:rsidR="00F261CD">
        <w:t xml:space="preserve">he MSE OM does not include the historical </w:t>
      </w:r>
      <w:r w:rsidR="00F261CD">
        <w:lastRenderedPageBreak/>
        <w:t>fishery, and has the stock reduced to very low levels by the modern fishery with a rapid rebound.</w:t>
      </w:r>
      <w:r w:rsidR="00BA76C1">
        <w:t xml:space="preserve"> This assessment has not been externally reviewed.</w:t>
      </w:r>
    </w:p>
    <w:p w14:paraId="7782B2B1" w14:textId="068D43C9" w:rsidR="00190575" w:rsidRDefault="00190575" w:rsidP="00190575">
      <w:pPr>
        <w:pStyle w:val="ListParagraph"/>
        <w:numPr>
          <w:ilvl w:val="0"/>
          <w:numId w:val="17"/>
        </w:numPr>
      </w:pPr>
      <w:r>
        <w:t xml:space="preserve">A significant proportion of </w:t>
      </w:r>
      <w:r w:rsidRPr="00C74ADC">
        <w:t>the</w:t>
      </w:r>
      <w:r>
        <w:t xml:space="preserve"> </w:t>
      </w:r>
      <w:r w:rsidR="00D370D2">
        <w:t xml:space="preserve">Black teatfish </w:t>
      </w:r>
      <w:r>
        <w:t>population (likely ~3</w:t>
      </w:r>
      <w:r w:rsidR="0034623E">
        <w:t>7</w:t>
      </w:r>
      <w:r>
        <w:t>%) is protected in a comprehensive and representative system of closed MPAs.</w:t>
      </w:r>
    </w:p>
    <w:p w14:paraId="158BDDA2" w14:textId="763AE6EF" w:rsidR="0034623E" w:rsidRDefault="00A91F8A" w:rsidP="00190575">
      <w:pPr>
        <w:pStyle w:val="ListParagraph"/>
        <w:numPr>
          <w:ilvl w:val="0"/>
          <w:numId w:val="17"/>
        </w:numPr>
      </w:pPr>
      <w:r>
        <w:t xml:space="preserve">Black </w:t>
      </w:r>
      <w:r w:rsidR="00190575">
        <w:t>teatfish are managed within the HS as a Tier 1 species</w:t>
      </w:r>
      <w:r w:rsidR="00895A6A">
        <w:t xml:space="preserve"> with a TAC of 30 t.</w:t>
      </w:r>
    </w:p>
    <w:p w14:paraId="3567FE08" w14:textId="77777777" w:rsidR="002C7B0C" w:rsidRDefault="002C7B0C" w:rsidP="002C7B0C">
      <w:pPr>
        <w:pStyle w:val="ListParagraph"/>
        <w:numPr>
          <w:ilvl w:val="0"/>
          <w:numId w:val="17"/>
        </w:numPr>
      </w:pPr>
      <w:r>
        <w:t>The minimum legal size (30 cm) is above the size at first maturity (26 cm).</w:t>
      </w:r>
    </w:p>
    <w:p w14:paraId="4AF6F3F4" w14:textId="029A3E68" w:rsidR="00231E55" w:rsidRDefault="00231E55" w:rsidP="00231E55">
      <w:pPr>
        <w:pStyle w:val="ListParagraph"/>
        <w:numPr>
          <w:ilvl w:val="0"/>
          <w:numId w:val="17"/>
        </w:numPr>
      </w:pPr>
      <w:r>
        <w:t xml:space="preserve">Overall fishery operation monitoring is </w:t>
      </w:r>
      <w:r w:rsidR="00F261CD">
        <w:t>adequate,</w:t>
      </w:r>
      <w:r>
        <w:t xml:space="preserve"> and c</w:t>
      </w:r>
      <w:r w:rsidRPr="00895A6A">
        <w:t>ompliance is likely to be high.</w:t>
      </w:r>
    </w:p>
    <w:p w14:paraId="29A67AAD" w14:textId="2E98DA42" w:rsidR="00AF2FA8" w:rsidRPr="00253CF4" w:rsidRDefault="00190575" w:rsidP="00253CF4">
      <w:pPr>
        <w:rPr>
          <w:b/>
          <w:bCs/>
          <w:i/>
          <w:iCs/>
          <w:u w:val="single"/>
        </w:rPr>
      </w:pPr>
      <w:r w:rsidRPr="00253CF4">
        <w:rPr>
          <w:b/>
          <w:bCs/>
          <w:i/>
          <w:iCs/>
          <w:u w:val="single"/>
        </w:rPr>
        <w:t>White teatfish</w:t>
      </w:r>
    </w:p>
    <w:p w14:paraId="44D19F00" w14:textId="3E6E2E76" w:rsidR="005D6A36" w:rsidRDefault="005D6A36" w:rsidP="005D6A36">
      <w:pPr>
        <w:pStyle w:val="ListParagraph"/>
        <w:numPr>
          <w:ilvl w:val="0"/>
          <w:numId w:val="47"/>
        </w:numPr>
      </w:pPr>
      <w:bookmarkStart w:id="193" w:name="_Hlk146382004"/>
      <w:r>
        <w:t>Inherent vulnerability for White teatfish in the QSCF is assessed as medium-</w:t>
      </w:r>
      <w:r w:rsidRPr="000C3590">
        <w:t>high</w:t>
      </w:r>
      <w:r>
        <w:t xml:space="preserve">. </w:t>
      </w:r>
    </w:p>
    <w:p w14:paraId="43BFA4C2" w14:textId="6A3CA0EF" w:rsidR="007D39CF" w:rsidRDefault="00190575" w:rsidP="00A87F05">
      <w:pPr>
        <w:pStyle w:val="ListParagraph"/>
        <w:numPr>
          <w:ilvl w:val="0"/>
          <w:numId w:val="17"/>
        </w:numPr>
      </w:pPr>
      <w:r>
        <w:t xml:space="preserve">White teatfish </w:t>
      </w:r>
      <w:r w:rsidR="008035FC">
        <w:t>are</w:t>
      </w:r>
      <w:r w:rsidR="007D39CF">
        <w:t xml:space="preserve"> a</w:t>
      </w:r>
      <w:r w:rsidR="00A53F58">
        <w:t>n important</w:t>
      </w:r>
      <w:r w:rsidR="007D39CF">
        <w:t xml:space="preserve"> fishery species </w:t>
      </w:r>
      <w:r w:rsidR="001A79D6">
        <w:t xml:space="preserve">in the QSCF </w:t>
      </w:r>
      <w:r w:rsidR="007D39CF">
        <w:t xml:space="preserve">and </w:t>
      </w:r>
      <w:r w:rsidR="008035FC">
        <w:t>have</w:t>
      </w:r>
      <w:r w:rsidR="007D39CF">
        <w:t xml:space="preserve"> been consistently target</w:t>
      </w:r>
      <w:r w:rsidR="008162FD">
        <w:t>ed</w:t>
      </w:r>
      <w:r w:rsidR="007D39CF">
        <w:t xml:space="preserve"> for over two decades.</w:t>
      </w:r>
    </w:p>
    <w:p w14:paraId="61A6D43B" w14:textId="61C3C53F" w:rsidR="005D6A36" w:rsidRDefault="005D6A36" w:rsidP="00A87F05">
      <w:pPr>
        <w:pStyle w:val="ListParagraph"/>
        <w:numPr>
          <w:ilvl w:val="0"/>
          <w:numId w:val="17"/>
        </w:numPr>
      </w:pPr>
      <w:r>
        <w:t>Historical fishing depletion levels are unknown but are not likely to be significant.</w:t>
      </w:r>
    </w:p>
    <w:bookmarkEnd w:id="193"/>
    <w:p w14:paraId="4000BD79" w14:textId="7F7046E6" w:rsidR="005D6A36" w:rsidRDefault="005D6A36" w:rsidP="00A87F05">
      <w:pPr>
        <w:pStyle w:val="ListParagraph"/>
        <w:numPr>
          <w:ilvl w:val="0"/>
          <w:numId w:val="17"/>
        </w:numPr>
      </w:pPr>
      <w:r>
        <w:t>Current d</w:t>
      </w:r>
      <w:r w:rsidR="007D39CF">
        <w:t xml:space="preserve">ensity and </w:t>
      </w:r>
      <w:r w:rsidR="00AE1B56">
        <w:t>population size</w:t>
      </w:r>
      <w:r>
        <w:t>/bi</w:t>
      </w:r>
      <w:r w:rsidR="007D39CF">
        <w:t xml:space="preserve">omass </w:t>
      </w:r>
      <w:r>
        <w:t xml:space="preserve">is </w:t>
      </w:r>
      <w:r w:rsidR="00895A6A">
        <w:t>un</w:t>
      </w:r>
      <w:r>
        <w:t>known</w:t>
      </w:r>
      <w:r w:rsidR="00D07C89">
        <w:t xml:space="preserve">. </w:t>
      </w:r>
    </w:p>
    <w:p w14:paraId="5E057531" w14:textId="43E2FDE9" w:rsidR="005D6A36" w:rsidRDefault="00185437" w:rsidP="00A87F05">
      <w:pPr>
        <w:pStyle w:val="ListParagraph"/>
        <w:numPr>
          <w:ilvl w:val="0"/>
          <w:numId w:val="17"/>
        </w:numPr>
      </w:pPr>
      <w:r>
        <w:t>A stock assessment in 2021 found that the exploitable biomass declined to roughly 56% B</w:t>
      </w:r>
      <w:r w:rsidRPr="00784F59">
        <w:rPr>
          <w:vertAlign w:val="subscript"/>
        </w:rPr>
        <w:t>0</w:t>
      </w:r>
      <w:r>
        <w:t xml:space="preserve"> in 2003 and has fluctuated around 80% B</w:t>
      </w:r>
      <w:r w:rsidRPr="00784F59">
        <w:rPr>
          <w:vertAlign w:val="subscript"/>
        </w:rPr>
        <w:t>0</w:t>
      </w:r>
      <w:r>
        <w:t xml:space="preserve"> since 2014. It was assessed as 76% B</w:t>
      </w:r>
      <w:r w:rsidRPr="00784F59">
        <w:rPr>
          <w:vertAlign w:val="subscript"/>
        </w:rPr>
        <w:t>0</w:t>
      </w:r>
      <w:r>
        <w:t xml:space="preserve"> in 2021. An external review raised several issues which has not been responded to by DAF.</w:t>
      </w:r>
    </w:p>
    <w:p w14:paraId="08BE7630" w14:textId="5104BBE8" w:rsidR="003F1F55" w:rsidRDefault="003F1F55" w:rsidP="00895A6A">
      <w:pPr>
        <w:pStyle w:val="ListParagraph"/>
        <w:numPr>
          <w:ilvl w:val="0"/>
          <w:numId w:val="17"/>
        </w:numPr>
      </w:pPr>
      <w:r>
        <w:t>The 2024 MSE indicate</w:t>
      </w:r>
      <w:r w:rsidR="00185437">
        <w:t>d</w:t>
      </w:r>
      <w:r>
        <w:t xml:space="preserve"> that White teatfish </w:t>
      </w:r>
      <w:r w:rsidR="00185437">
        <w:t xml:space="preserve">populations </w:t>
      </w:r>
      <w:r w:rsidR="00174A73">
        <w:t xml:space="preserve">will be maintained </w:t>
      </w:r>
      <w:r>
        <w:t xml:space="preserve">at or higher than the target refence level </w:t>
      </w:r>
      <w:r w:rsidR="00185437">
        <w:t>of 60% B</w:t>
      </w:r>
      <w:r w:rsidR="00185437" w:rsidRPr="007307E1">
        <w:rPr>
          <w:vertAlign w:val="subscript"/>
        </w:rPr>
        <w:t>0</w:t>
      </w:r>
      <w:r w:rsidR="00185437">
        <w:t xml:space="preserve"> </w:t>
      </w:r>
      <w:r w:rsidR="00174A73">
        <w:t xml:space="preserve">under current management arrangements, </w:t>
      </w:r>
      <w:r>
        <w:t>but with low confidence as there is no survey or other data available to validate this finding.</w:t>
      </w:r>
      <w:r w:rsidR="00185437">
        <w:t xml:space="preserve"> This assessment has not been externally reviewed.</w:t>
      </w:r>
    </w:p>
    <w:p w14:paraId="6E2EA7AE" w14:textId="5893FF78" w:rsidR="008035FC" w:rsidRDefault="008035FC" w:rsidP="00A87F05">
      <w:pPr>
        <w:pStyle w:val="ListParagraph"/>
        <w:numPr>
          <w:ilvl w:val="0"/>
          <w:numId w:val="17"/>
        </w:numPr>
      </w:pPr>
      <w:r>
        <w:t xml:space="preserve">A significant proportion of </w:t>
      </w:r>
      <w:r w:rsidRPr="00C74ADC">
        <w:t>the</w:t>
      </w:r>
      <w:r>
        <w:t xml:space="preserve"> population (likely </w:t>
      </w:r>
      <w:r w:rsidR="00895A6A">
        <w:t>&gt;</w:t>
      </w:r>
      <w:r>
        <w:t>30%) is protected in a comprehensive</w:t>
      </w:r>
      <w:r w:rsidR="00152F49">
        <w:t xml:space="preserve"> and representative</w:t>
      </w:r>
      <w:r>
        <w:t xml:space="preserve"> system of closed MPAs.</w:t>
      </w:r>
    </w:p>
    <w:p w14:paraId="2B09B545" w14:textId="02CA6126" w:rsidR="008746BD" w:rsidRDefault="00190575" w:rsidP="00D6736A">
      <w:pPr>
        <w:pStyle w:val="ListParagraph"/>
        <w:numPr>
          <w:ilvl w:val="0"/>
          <w:numId w:val="17"/>
        </w:numPr>
      </w:pPr>
      <w:r>
        <w:t>White teatfish a</w:t>
      </w:r>
      <w:r w:rsidR="008035FC">
        <w:t xml:space="preserve">re managed within the HS as a Tier </w:t>
      </w:r>
      <w:r>
        <w:t>1</w:t>
      </w:r>
      <w:r w:rsidR="008035FC">
        <w:t xml:space="preserve"> species, with a </w:t>
      </w:r>
      <w:r>
        <w:t>TAC</w:t>
      </w:r>
      <w:r w:rsidR="008035FC">
        <w:t xml:space="preserve"> of </w:t>
      </w:r>
      <w:r w:rsidR="00895A6A">
        <w:t>53 t</w:t>
      </w:r>
      <w:r w:rsidR="008035FC">
        <w:t xml:space="preserve">. </w:t>
      </w:r>
      <w:r w:rsidR="008746BD">
        <w:t>The current HS stipulates an “</w:t>
      </w:r>
      <w:r w:rsidR="008746BD" w:rsidRPr="008746BD">
        <w:t>Industry survey (white teatfish)</w:t>
      </w:r>
      <w:r w:rsidR="008746BD">
        <w:t>” to be carried out in 2023-24.</w:t>
      </w:r>
    </w:p>
    <w:p w14:paraId="210F7F26" w14:textId="43199ECC" w:rsidR="00D80F0F" w:rsidRDefault="00D80F0F" w:rsidP="00456962">
      <w:pPr>
        <w:pStyle w:val="ListParagraph"/>
        <w:numPr>
          <w:ilvl w:val="0"/>
          <w:numId w:val="17"/>
        </w:numPr>
      </w:pPr>
      <w:r>
        <w:t>The catch has reduced over the years from a high of about 150 t. However, the catch has fluctuated around the TAC level for over 20 years with only a slight reduction in catch rates.</w:t>
      </w:r>
    </w:p>
    <w:p w14:paraId="4F3C2C39" w14:textId="0C8C910C" w:rsidR="00456962" w:rsidRDefault="00D80F0F" w:rsidP="00456962">
      <w:pPr>
        <w:pStyle w:val="ListParagraph"/>
        <w:numPr>
          <w:ilvl w:val="0"/>
          <w:numId w:val="17"/>
        </w:numPr>
      </w:pPr>
      <w:r>
        <w:t>The s</w:t>
      </w:r>
      <w:r w:rsidR="00456962">
        <w:t xml:space="preserve">light decrease in CPUE for </w:t>
      </w:r>
      <w:r w:rsidR="00174A73">
        <w:t>White teatfish</w:t>
      </w:r>
      <w:r w:rsidR="00456962">
        <w:t xml:space="preserve"> could be cause for caution, as there are some factors that may be maintaining CPUE in the face of declining density (hyperstability).</w:t>
      </w:r>
    </w:p>
    <w:p w14:paraId="195908BA" w14:textId="0B532E87" w:rsidR="008746BD" w:rsidRDefault="002C7B0C" w:rsidP="002C7B0C">
      <w:pPr>
        <w:pStyle w:val="ListParagraph"/>
        <w:numPr>
          <w:ilvl w:val="0"/>
          <w:numId w:val="17"/>
        </w:numPr>
      </w:pPr>
      <w:r w:rsidRPr="002C7B0C">
        <w:t>The RH</w:t>
      </w:r>
      <w:r w:rsidR="00D80F0F">
        <w:t>A</w:t>
      </w:r>
      <w:r w:rsidRPr="002C7B0C">
        <w:t xml:space="preserve"> appears to have spread the effort and </w:t>
      </w:r>
      <w:r w:rsidR="00D80F0F">
        <w:t>reduce</w:t>
      </w:r>
      <w:r w:rsidR="00B021FD">
        <w:t>d</w:t>
      </w:r>
      <w:r w:rsidR="00D80F0F">
        <w:t xml:space="preserve"> the risk of de</w:t>
      </w:r>
      <w:r w:rsidR="00B021FD">
        <w:t>p</w:t>
      </w:r>
      <w:r w:rsidR="00D80F0F">
        <w:t>letion</w:t>
      </w:r>
      <w:r w:rsidRPr="002C7B0C">
        <w:t>.</w:t>
      </w:r>
      <w:r w:rsidR="00D80F0F">
        <w:t xml:space="preserve"> However, prospecting of new White teatfish fishing grounds in deep water could undermine the RHA as it was based on shallow reef features.</w:t>
      </w:r>
    </w:p>
    <w:p w14:paraId="2E843245" w14:textId="1BCE10CA" w:rsidR="00231E55" w:rsidRDefault="00231E55" w:rsidP="00231E55">
      <w:pPr>
        <w:pStyle w:val="ListParagraph"/>
        <w:numPr>
          <w:ilvl w:val="0"/>
          <w:numId w:val="17"/>
        </w:numPr>
      </w:pPr>
      <w:r>
        <w:t xml:space="preserve">Overall fishery operation monitoring is </w:t>
      </w:r>
      <w:r w:rsidR="00D80F0F">
        <w:t>adequate,</w:t>
      </w:r>
      <w:r>
        <w:t xml:space="preserve"> and c</w:t>
      </w:r>
      <w:r w:rsidRPr="00895A6A">
        <w:t>ompliance is likely to be high.</w:t>
      </w:r>
    </w:p>
    <w:p w14:paraId="34763A39" w14:textId="77777777" w:rsidR="00D80F0F" w:rsidRDefault="00D80F0F" w:rsidP="00231E55"/>
    <w:p w14:paraId="0820C6B2" w14:textId="0926E4E0" w:rsidR="00231E55" w:rsidRDefault="00231E55" w:rsidP="00231E55">
      <w:r w:rsidRPr="00D901D0">
        <w:t xml:space="preserve">Although it is likely that </w:t>
      </w:r>
      <w:r>
        <w:t>both</w:t>
      </w:r>
      <w:r w:rsidRPr="00231E55">
        <w:rPr>
          <w:iCs/>
        </w:rPr>
        <w:t xml:space="preserve"> teatfish</w:t>
      </w:r>
      <w:r>
        <w:rPr>
          <w:i/>
        </w:rPr>
        <w:t xml:space="preserve"> </w:t>
      </w:r>
      <w:r>
        <w:t xml:space="preserve">species </w:t>
      </w:r>
      <w:r w:rsidRPr="00D901D0">
        <w:t xml:space="preserve">in the </w:t>
      </w:r>
      <w:r>
        <w:t>QSCF are</w:t>
      </w:r>
      <w:r w:rsidRPr="00D901D0">
        <w:t xml:space="preserve"> </w:t>
      </w:r>
      <w:r>
        <w:t xml:space="preserve">currently </w:t>
      </w:r>
      <w:r w:rsidRPr="00D901D0">
        <w:t>above</w:t>
      </w:r>
      <w:r>
        <w:t xml:space="preserve"> the level of problematic recruitment impairment (nominally the current </w:t>
      </w:r>
      <w:r w:rsidRPr="00D901D0">
        <w:t>B</w:t>
      </w:r>
      <w:r w:rsidRPr="001D55FC">
        <w:rPr>
          <w:i/>
          <w:iCs/>
        </w:rPr>
        <w:t>lim</w:t>
      </w:r>
      <w:r>
        <w:t xml:space="preserve"> of 20% virgin biomass, though this requires justification – see below)</w:t>
      </w:r>
      <w:r w:rsidRPr="00D901D0">
        <w:t xml:space="preserve"> the current population status </w:t>
      </w:r>
      <w:r w:rsidR="00D80F0F">
        <w:t xml:space="preserve">for both species </w:t>
      </w:r>
      <w:r w:rsidRPr="00D901D0">
        <w:t xml:space="preserve">is </w:t>
      </w:r>
      <w:r>
        <w:t>uncertain – in the case of Black teatfish it is due to the impact of historical population depletion; in the case of White teatfish it is due to the lack of fishery independent biomass estimates</w:t>
      </w:r>
      <w:r w:rsidRPr="00D901D0">
        <w:t xml:space="preserve">. Given </w:t>
      </w:r>
      <w:r>
        <w:t xml:space="preserve">both species are </w:t>
      </w:r>
      <w:r w:rsidRPr="00D901D0">
        <w:t>primary target species in the fishery, more precise estimates of st</w:t>
      </w:r>
      <w:r>
        <w:t>o</w:t>
      </w:r>
      <w:r w:rsidRPr="00D901D0">
        <w:t>ck status (</w:t>
      </w:r>
      <w:r>
        <w:t xml:space="preserve">ideally </w:t>
      </w:r>
      <w:r w:rsidRPr="00D901D0">
        <w:t xml:space="preserve">in relation to </w:t>
      </w:r>
      <w:r>
        <w:t>t</w:t>
      </w:r>
      <w:r w:rsidRPr="00D901D0">
        <w:t>he unfished biomass B</w:t>
      </w:r>
      <w:r w:rsidRPr="00D901D0">
        <w:rPr>
          <w:vertAlign w:val="subscript"/>
        </w:rPr>
        <w:t>0</w:t>
      </w:r>
      <w:r>
        <w:t xml:space="preserve">) </w:t>
      </w:r>
      <w:r w:rsidR="00B021FD">
        <w:t>are</w:t>
      </w:r>
      <w:r>
        <w:t xml:space="preserve"> required. Additionally, this should be updated on a regular basis consistent with the level of risk appropriate for a CITES listed species, including the acquisition of fine scale spatial fishery dependant and/or fishery independent data suitable for assessing stock status. This should extend to management of the risk of localised depletion.</w:t>
      </w:r>
    </w:p>
    <w:p w14:paraId="6C734658" w14:textId="0DA2EF5D" w:rsidR="00231E55" w:rsidRDefault="00231E55" w:rsidP="00231E55">
      <w:r>
        <w:t xml:space="preserve">Some additional key uncertainties include species biology, especially with respect to early growth of juveniles to breeding age, local size at maturity and breeding seasonality, mortality rates of juveniles and adults; recruitment processes in fished populations; and vulnerability </w:t>
      </w:r>
      <w:r w:rsidR="00B021FD">
        <w:t xml:space="preserve">to </w:t>
      </w:r>
      <w:r>
        <w:t>climate change impacts.</w:t>
      </w:r>
    </w:p>
    <w:p w14:paraId="6339D74E" w14:textId="77777777" w:rsidR="00E8414F" w:rsidRDefault="00E8414F" w:rsidP="008746BD"/>
    <w:p w14:paraId="5AFDAE55" w14:textId="77777777" w:rsidR="00AF2FA8" w:rsidRDefault="00AF2FA8" w:rsidP="00A87F05">
      <w:pPr>
        <w:pStyle w:val="Heading2"/>
        <w:ind w:left="851" w:hanging="851"/>
      </w:pPr>
      <w:bookmarkStart w:id="194" w:name="_Toc138269061"/>
      <w:bookmarkStart w:id="195" w:name="_Toc139538023"/>
      <w:bookmarkStart w:id="196" w:name="_Toc189044951"/>
      <w:r>
        <w:lastRenderedPageBreak/>
        <w:t>Recommendations</w:t>
      </w:r>
      <w:bookmarkEnd w:id="194"/>
      <w:bookmarkEnd w:id="195"/>
      <w:bookmarkEnd w:id="196"/>
    </w:p>
    <w:p w14:paraId="7F8A37CB" w14:textId="7A4AF726" w:rsidR="00975390" w:rsidRDefault="003812AB" w:rsidP="00A87F05">
      <w:pPr>
        <w:pStyle w:val="ListParagraph"/>
        <w:numPr>
          <w:ilvl w:val="0"/>
          <w:numId w:val="19"/>
        </w:numPr>
        <w:ind w:left="357" w:hanging="357"/>
      </w:pPr>
      <w:r>
        <w:t xml:space="preserve">Maintain </w:t>
      </w:r>
      <w:r w:rsidR="00975390">
        <w:t xml:space="preserve">a </w:t>
      </w:r>
      <w:r w:rsidR="00CC3574">
        <w:t xml:space="preserve">30 t </w:t>
      </w:r>
      <w:r w:rsidR="00975390">
        <w:t xml:space="preserve">TAC for </w:t>
      </w:r>
      <w:r>
        <w:t xml:space="preserve">Black teatfish </w:t>
      </w:r>
      <w:r w:rsidR="00975390">
        <w:t>pending the results of a</w:t>
      </w:r>
      <w:r>
        <w:t>n updated stock</w:t>
      </w:r>
      <w:r w:rsidR="00975390">
        <w:t xml:space="preserve"> assessment.</w:t>
      </w:r>
    </w:p>
    <w:p w14:paraId="5A16CEA5" w14:textId="055B8AF5" w:rsidR="00BB378E" w:rsidRDefault="00D80F0F" w:rsidP="00975390">
      <w:pPr>
        <w:ind w:left="357"/>
      </w:pPr>
      <w:r>
        <w:t xml:space="preserve">It </w:t>
      </w:r>
      <w:r w:rsidRPr="00D901D0">
        <w:t xml:space="preserve">is </w:t>
      </w:r>
      <w:r>
        <w:t xml:space="preserve">highly </w:t>
      </w:r>
      <w:r w:rsidRPr="00D901D0">
        <w:t xml:space="preserve">likely that </w:t>
      </w:r>
      <w:r>
        <w:t xml:space="preserve">the Black teatfish population is currently </w:t>
      </w:r>
      <w:r w:rsidRPr="00D901D0">
        <w:t>above</w:t>
      </w:r>
      <w:r>
        <w:t xml:space="preserve"> the level of problematic recruitment impairment. Recent assessments show that the </w:t>
      </w:r>
      <w:r w:rsidR="003812AB" w:rsidRPr="009A39EA">
        <w:t xml:space="preserve">current levels of catch can rebuild the stock </w:t>
      </w:r>
      <w:r>
        <w:t xml:space="preserve">even if it is depleted below the target biomass level of </w:t>
      </w:r>
      <w:r w:rsidR="003812AB" w:rsidRPr="009A39EA">
        <w:t>60%</w:t>
      </w:r>
      <w:r w:rsidR="00451338">
        <w:t xml:space="preserve"> </w:t>
      </w:r>
      <w:r w:rsidR="003812AB">
        <w:t>B</w:t>
      </w:r>
      <w:r w:rsidR="003812AB" w:rsidRPr="00270524">
        <w:rPr>
          <w:vertAlign w:val="subscript"/>
        </w:rPr>
        <w:t>0</w:t>
      </w:r>
      <w:r w:rsidR="003812AB">
        <w:t>. In this regard, and given current estimates of the size of the Black teatfish population in the QSC</w:t>
      </w:r>
      <w:r w:rsidR="00B021FD">
        <w:t>F</w:t>
      </w:r>
      <w:r w:rsidR="003812AB">
        <w:t xml:space="preserve">, the 30 t TAC appears to be a low risk to the overall status of the Black teatfish population in the QSCF – though an updated stock assessment would still be </w:t>
      </w:r>
      <w:r w:rsidR="005E2135">
        <w:t>required to establish the status of the population with some certainty</w:t>
      </w:r>
      <w:r w:rsidR="00EC22BD">
        <w:t xml:space="preserve"> in the medium term</w:t>
      </w:r>
      <w:r w:rsidR="005E2135">
        <w:t xml:space="preserve">. </w:t>
      </w:r>
    </w:p>
    <w:p w14:paraId="74F9A27B" w14:textId="475891DA" w:rsidR="00BB378E" w:rsidRDefault="00BB378E" w:rsidP="00975390">
      <w:pPr>
        <w:ind w:left="357"/>
      </w:pPr>
      <w:r>
        <w:t>I</w:t>
      </w:r>
      <w:r w:rsidRPr="00BB378E">
        <w:t xml:space="preserve">t is very likely that Black teatfish was heavily depleted in the QSCF area </w:t>
      </w:r>
      <w:r>
        <w:t>by the historical fishery</w:t>
      </w:r>
      <w:r w:rsidRPr="00BB378E">
        <w:t xml:space="preserve">, perhaps multiple times. There are likely other approaches available to represent this early depletion in a stock assessment model that could prove more robust than what is applied in the 2021 assessment </w:t>
      </w:r>
      <w:r>
        <w:t xml:space="preserve">For example, in the recent QSCF Prickly redfish stock assessment </w:t>
      </w:r>
      <w:r w:rsidRPr="00BB378E">
        <w:t>(Smart et al., 2024a</w:t>
      </w:r>
      <w:r>
        <w:t>)</w:t>
      </w:r>
      <w:r w:rsidRPr="00BB378E">
        <w:t xml:space="preserve">, a 60% </w:t>
      </w:r>
      <w:r>
        <w:t xml:space="preserve">historical </w:t>
      </w:r>
      <w:r w:rsidRPr="00BB378E">
        <w:t xml:space="preserve">depletion scenario showed a recovery time of about 3 decades, resulting in a full population recovery before the start of the modern fishery. </w:t>
      </w:r>
    </w:p>
    <w:p w14:paraId="555EAE33" w14:textId="732B0531" w:rsidR="005E2135" w:rsidRDefault="005E2135" w:rsidP="00975390">
      <w:pPr>
        <w:ind w:left="357"/>
      </w:pPr>
      <w:r>
        <w:t xml:space="preserve">The </w:t>
      </w:r>
      <w:r w:rsidR="00BB378E">
        <w:t xml:space="preserve">updated stock </w:t>
      </w:r>
      <w:r>
        <w:t xml:space="preserve">assessment should be peer </w:t>
      </w:r>
      <w:r w:rsidR="009C4C34">
        <w:t xml:space="preserve">reviewed to establish its credibility. </w:t>
      </w:r>
      <w:r w:rsidRPr="005E2135">
        <w:t xml:space="preserve">The recent </w:t>
      </w:r>
      <w:r>
        <w:t xml:space="preserve">review </w:t>
      </w:r>
      <w:r w:rsidRPr="005E2135">
        <w:t xml:space="preserve">process </w:t>
      </w:r>
      <w:r>
        <w:t xml:space="preserve">for several other </w:t>
      </w:r>
      <w:r w:rsidR="00BB378E">
        <w:t xml:space="preserve">priority </w:t>
      </w:r>
      <w:r>
        <w:t xml:space="preserve">species in the QSCF may provide a template  for a </w:t>
      </w:r>
      <w:r w:rsidR="009C4C34">
        <w:t>suitable</w:t>
      </w:r>
      <w:r>
        <w:t xml:space="preserve"> review process</w:t>
      </w:r>
      <w:r w:rsidR="001A3F32">
        <w:t xml:space="preserve"> (Smart et al. 2024c; Buckworth and Skewes, 2024)</w:t>
      </w:r>
      <w:r w:rsidRPr="005E2135">
        <w:t>.</w:t>
      </w:r>
    </w:p>
    <w:p w14:paraId="5E234107" w14:textId="6A8018B6" w:rsidR="002D1428" w:rsidRDefault="003812AB" w:rsidP="00A87F05">
      <w:pPr>
        <w:pStyle w:val="ListParagraph"/>
        <w:numPr>
          <w:ilvl w:val="0"/>
          <w:numId w:val="19"/>
        </w:numPr>
      </w:pPr>
      <w:r>
        <w:t xml:space="preserve">Reduce the White teatfish </w:t>
      </w:r>
      <w:r w:rsidR="00CC3574">
        <w:t xml:space="preserve">TAC </w:t>
      </w:r>
      <w:r>
        <w:t>to 4</w:t>
      </w:r>
      <w:r w:rsidR="002D1428">
        <w:t xml:space="preserve">0 t until </w:t>
      </w:r>
      <w:r>
        <w:t xml:space="preserve">a </w:t>
      </w:r>
      <w:r w:rsidR="00CC3574">
        <w:t xml:space="preserve">stock </w:t>
      </w:r>
      <w:r w:rsidR="002D1428">
        <w:t xml:space="preserve">survey and </w:t>
      </w:r>
      <w:r>
        <w:t xml:space="preserve">updated stock </w:t>
      </w:r>
      <w:r w:rsidR="002B3B50">
        <w:t>assessment</w:t>
      </w:r>
      <w:r w:rsidR="002638B5">
        <w:t xml:space="preserve"> and MSE</w:t>
      </w:r>
      <w:r w:rsidR="002D1428">
        <w:t xml:space="preserve"> justif</w:t>
      </w:r>
      <w:r w:rsidR="009C4C34">
        <w:t>ies</w:t>
      </w:r>
      <w:r w:rsidR="002D1428">
        <w:t xml:space="preserve"> a higher TAC</w:t>
      </w:r>
      <w:r>
        <w:t xml:space="preserve"> with some certainty</w:t>
      </w:r>
      <w:r w:rsidR="002D1428">
        <w:t>.</w:t>
      </w:r>
    </w:p>
    <w:p w14:paraId="383506E4" w14:textId="77777777" w:rsidR="009C4C34" w:rsidRDefault="009C4C34" w:rsidP="008C440E">
      <w:pPr>
        <w:ind w:left="284"/>
      </w:pPr>
      <w:r w:rsidRPr="009C4C34">
        <w:t>The W</w:t>
      </w:r>
      <w:r>
        <w:t xml:space="preserve">hite teatfish </w:t>
      </w:r>
      <w:r w:rsidRPr="009C4C34">
        <w:t xml:space="preserve">population has been relatively heavily targeted for over 20 years, with most of the effort in the northern section of the GBR and the offshore reefs. This includes fishing in deep </w:t>
      </w:r>
      <w:r>
        <w:t xml:space="preserve">off-reef </w:t>
      </w:r>
      <w:r w:rsidRPr="009C4C34">
        <w:t>“</w:t>
      </w:r>
      <w:r>
        <w:t>paddock</w:t>
      </w:r>
      <w:r w:rsidRPr="009C4C34">
        <w:t xml:space="preserve">” features that are being mapped and fished by fishers – this has the potential to maintain catch rates by fishing unexploited populations – which in turn can result in </w:t>
      </w:r>
      <w:r>
        <w:t xml:space="preserve">catch rate </w:t>
      </w:r>
      <w:r w:rsidRPr="009C4C34">
        <w:t xml:space="preserve">hyperstability. </w:t>
      </w:r>
    </w:p>
    <w:p w14:paraId="2942316D" w14:textId="082EFCDF" w:rsidR="009C4C34" w:rsidRDefault="009C4C34" w:rsidP="008C440E">
      <w:pPr>
        <w:ind w:left="284"/>
      </w:pPr>
      <w:r w:rsidRPr="009C4C34">
        <w:t xml:space="preserve">While it is still likely that the population is above the </w:t>
      </w:r>
      <w:r w:rsidR="00CC3574">
        <w:t xml:space="preserve">level </w:t>
      </w:r>
      <w:r w:rsidRPr="009C4C34">
        <w:t xml:space="preserve">of </w:t>
      </w:r>
      <w:r w:rsidR="00CC3574">
        <w:t>problematic</w:t>
      </w:r>
      <w:r w:rsidRPr="009C4C34">
        <w:t xml:space="preserve"> recruitment impairment on a fishery wide basis, the lack of fishery independent stock density and biomass estimates, and unaddressed issues related to the most recent stock assessment </w:t>
      </w:r>
      <w:r w:rsidR="002638B5">
        <w:t xml:space="preserve">and uncertainty in MSE outputs </w:t>
      </w:r>
      <w:r w:rsidRPr="009C4C34">
        <w:t>make the current TAC difficult to justify in regards to population status risk</w:t>
      </w:r>
      <w:r w:rsidR="00CC3574">
        <w:t xml:space="preserve"> appropriate for a CITES listed species</w:t>
      </w:r>
      <w:r w:rsidRPr="009C4C34">
        <w:t>.</w:t>
      </w:r>
    </w:p>
    <w:p w14:paraId="6CED69DE" w14:textId="35E0F554" w:rsidR="002D1428" w:rsidRDefault="003812AB" w:rsidP="008C440E">
      <w:pPr>
        <w:ind w:left="284"/>
      </w:pPr>
      <w:r w:rsidRPr="003812AB">
        <w:t xml:space="preserve">While the </w:t>
      </w:r>
      <w:r w:rsidR="009C4C34">
        <w:t xml:space="preserve">2021 </w:t>
      </w:r>
      <w:r w:rsidRPr="003812AB">
        <w:t xml:space="preserve">stock assessment and the </w:t>
      </w:r>
      <w:r w:rsidR="009C4C34">
        <w:t>2024</w:t>
      </w:r>
      <w:r w:rsidRPr="003812AB">
        <w:t xml:space="preserve"> MSE </w:t>
      </w:r>
      <w:r w:rsidR="00CC3574">
        <w:t xml:space="preserve">both </w:t>
      </w:r>
      <w:r w:rsidRPr="003812AB">
        <w:t xml:space="preserve">found that the current TAC was maintaining the White teatfish population at or above the </w:t>
      </w:r>
      <w:r w:rsidR="009C4C34">
        <w:t>t</w:t>
      </w:r>
      <w:r w:rsidRPr="003812AB">
        <w:t>arget refence level o</w:t>
      </w:r>
      <w:r w:rsidR="009C4C34">
        <w:t>f</w:t>
      </w:r>
      <w:r w:rsidRPr="003812AB">
        <w:t xml:space="preserve"> 60% B</w:t>
      </w:r>
      <w:r w:rsidRPr="009C4C34">
        <w:rPr>
          <w:vertAlign w:val="subscript"/>
        </w:rPr>
        <w:t>0</w:t>
      </w:r>
      <w:r w:rsidRPr="003812AB">
        <w:t xml:space="preserve">, </w:t>
      </w:r>
      <w:r w:rsidR="009C4C34">
        <w:t>and e</w:t>
      </w:r>
      <w:r w:rsidR="009C4C34" w:rsidRPr="009C4C34">
        <w:t xml:space="preserve">ven considering other management strategies in place such as a large </w:t>
      </w:r>
      <w:r w:rsidR="00E65578">
        <w:t>MSL</w:t>
      </w:r>
      <w:r w:rsidR="009C4C34" w:rsidRPr="009C4C34">
        <w:t xml:space="preserve"> and </w:t>
      </w:r>
      <w:r w:rsidR="00E8459F">
        <w:t xml:space="preserve">the </w:t>
      </w:r>
      <w:r w:rsidR="009C4C34" w:rsidRPr="009C4C34">
        <w:t>likelihood of significant parts of the population being in closed areas</w:t>
      </w:r>
      <w:r w:rsidR="009C4C34">
        <w:t>,</w:t>
      </w:r>
      <w:r w:rsidR="009C4C34" w:rsidRPr="003812AB">
        <w:t xml:space="preserve"> </w:t>
      </w:r>
      <w:r w:rsidRPr="003812AB">
        <w:t xml:space="preserve">the uncertainty in the assessment outputs mean it </w:t>
      </w:r>
      <w:r w:rsidR="009C4C34">
        <w:t>is</w:t>
      </w:r>
      <w:r w:rsidRPr="003812AB">
        <w:t xml:space="preserve"> </w:t>
      </w:r>
      <w:r w:rsidR="00F2204B">
        <w:t xml:space="preserve">probably </w:t>
      </w:r>
      <w:r w:rsidRPr="003812AB">
        <w:t xml:space="preserve">necessary </w:t>
      </w:r>
      <w:r w:rsidR="00F2204B">
        <w:t xml:space="preserve">and justified </w:t>
      </w:r>
      <w:r w:rsidRPr="003812AB">
        <w:t xml:space="preserve">for a “discount factor” to be </w:t>
      </w:r>
      <w:r w:rsidR="00F2204B">
        <w:t>applied</w:t>
      </w:r>
      <w:r w:rsidRPr="003812AB">
        <w:t xml:space="preserve"> to account for this uncertainty, as per the </w:t>
      </w:r>
      <w:r w:rsidR="00E8459F">
        <w:t xml:space="preserve">QSCF </w:t>
      </w:r>
      <w:r w:rsidRPr="003812AB">
        <w:t xml:space="preserve">harvest strategy – until an </w:t>
      </w:r>
      <w:r w:rsidR="002638B5">
        <w:t xml:space="preserve">updated </w:t>
      </w:r>
      <w:r w:rsidRPr="003812AB">
        <w:t xml:space="preserve">assessment </w:t>
      </w:r>
      <w:r w:rsidR="002638B5">
        <w:t xml:space="preserve">and MSE </w:t>
      </w:r>
      <w:r w:rsidRPr="003812AB">
        <w:t xml:space="preserve">with higher confidence is produced i.e. </w:t>
      </w:r>
      <w:r w:rsidR="00CC3574">
        <w:t xml:space="preserve">including the results of </w:t>
      </w:r>
      <w:r w:rsidRPr="003812AB">
        <w:t>a fishery independent survey. That discount factor should probably be in the order of 25%</w:t>
      </w:r>
      <w:r w:rsidR="00E8459F">
        <w:t xml:space="preserve"> of the current TAC</w:t>
      </w:r>
      <w:r w:rsidRPr="003812AB">
        <w:t>.</w:t>
      </w:r>
    </w:p>
    <w:p w14:paraId="738ACCB6" w14:textId="200E6F43" w:rsidR="008A0C6A" w:rsidRDefault="00C24174" w:rsidP="008C440E">
      <w:pPr>
        <w:ind w:left="284"/>
      </w:pPr>
      <w:bookmarkStart w:id="197" w:name="_Hlk151389753"/>
      <w:r>
        <w:t>A s</w:t>
      </w:r>
      <w:r w:rsidR="008A0C6A" w:rsidRPr="008A0C6A">
        <w:t xml:space="preserve">tock survey of </w:t>
      </w:r>
      <w:r w:rsidR="003812AB">
        <w:t xml:space="preserve">White teatfish was stipulated in the HS </w:t>
      </w:r>
      <w:r w:rsidR="00B021FD">
        <w:t xml:space="preserve">to </w:t>
      </w:r>
      <w:r>
        <w:t xml:space="preserve">occur </w:t>
      </w:r>
      <w:r w:rsidR="008A0C6A" w:rsidRPr="008A0C6A">
        <w:t xml:space="preserve">in </w:t>
      </w:r>
      <w:r w:rsidR="003812AB">
        <w:t>2023-</w:t>
      </w:r>
      <w:r>
        <w:t>24</w:t>
      </w:r>
      <w:r w:rsidR="003812AB">
        <w:t>,</w:t>
      </w:r>
      <w:r w:rsidR="008A0C6A" w:rsidRPr="008A0C6A">
        <w:t xml:space="preserve"> and an </w:t>
      </w:r>
      <w:r w:rsidR="003812AB">
        <w:t>options paper outlining several approaches has already been produced</w:t>
      </w:r>
      <w:r w:rsidR="00E8459F">
        <w:t xml:space="preserve"> (</w:t>
      </w:r>
      <w:r w:rsidR="00E8459F" w:rsidRPr="00307961">
        <w:t>Koopman</w:t>
      </w:r>
      <w:r w:rsidR="00E8459F">
        <w:t xml:space="preserve"> and </w:t>
      </w:r>
      <w:r w:rsidR="00E8459F" w:rsidRPr="00307961">
        <w:t>Knuckey, 2021</w:t>
      </w:r>
      <w:r w:rsidR="00E8459F" w:rsidRPr="00480C32">
        <w:t>b</w:t>
      </w:r>
      <w:r w:rsidR="00E8459F">
        <w:t>)</w:t>
      </w:r>
      <w:r w:rsidR="003812AB">
        <w:t>.</w:t>
      </w:r>
      <w:r w:rsidR="008A0C6A" w:rsidRPr="008A0C6A">
        <w:t xml:space="preserve"> The outputs </w:t>
      </w:r>
      <w:r>
        <w:t xml:space="preserve">will provide </w:t>
      </w:r>
      <w:r w:rsidR="008A0C6A" w:rsidRPr="008A0C6A">
        <w:t xml:space="preserve">important </w:t>
      </w:r>
      <w:r>
        <w:t xml:space="preserve">biomass </w:t>
      </w:r>
      <w:r w:rsidR="008A0C6A" w:rsidRPr="008A0C6A">
        <w:t>information for</w:t>
      </w:r>
      <w:r w:rsidR="003812AB">
        <w:t xml:space="preserve"> White teatfish </w:t>
      </w:r>
      <w:r w:rsidR="00C74ADC">
        <w:t xml:space="preserve">for input onto </w:t>
      </w:r>
      <w:r w:rsidR="003812AB">
        <w:t xml:space="preserve">updated </w:t>
      </w:r>
      <w:r w:rsidR="00C74ADC">
        <w:t xml:space="preserve">assessment models and for setting </w:t>
      </w:r>
      <w:r w:rsidR="003812AB">
        <w:t xml:space="preserve">demonstrably </w:t>
      </w:r>
      <w:r w:rsidR="00C74ADC">
        <w:t>sustainable TACs.</w:t>
      </w:r>
    </w:p>
    <w:p w14:paraId="6E1105ED" w14:textId="6A03248C" w:rsidR="009C4C34" w:rsidRDefault="009C4C34" w:rsidP="009C4C34">
      <w:pPr>
        <w:ind w:left="284"/>
      </w:pPr>
      <w:r>
        <w:t xml:space="preserve">As with the Black teatfish updated assessment, the </w:t>
      </w:r>
      <w:r w:rsidR="002638B5">
        <w:t xml:space="preserve">updated White teatfish </w:t>
      </w:r>
      <w:r>
        <w:t xml:space="preserve">assessment </w:t>
      </w:r>
      <w:r w:rsidR="002638B5">
        <w:t xml:space="preserve">and updated MSE </w:t>
      </w:r>
      <w:r>
        <w:t>should also be peer reviewed to establish its credibility.</w:t>
      </w:r>
      <w:r w:rsidR="00F35829">
        <w:t xml:space="preserve"> </w:t>
      </w:r>
    </w:p>
    <w:p w14:paraId="5D85171B" w14:textId="4B8A169A" w:rsidR="00F2204B" w:rsidRDefault="00F2204B" w:rsidP="00F2204B">
      <w:pPr>
        <w:pStyle w:val="ListParagraph"/>
        <w:numPr>
          <w:ilvl w:val="0"/>
          <w:numId w:val="19"/>
        </w:numPr>
      </w:pPr>
      <w:r>
        <w:t>Maintain the White teatfish closure on the offshore reefs.</w:t>
      </w:r>
    </w:p>
    <w:p w14:paraId="56A8402A" w14:textId="71310592" w:rsidR="00F2204B" w:rsidRDefault="00F2204B" w:rsidP="009C4C34">
      <w:pPr>
        <w:ind w:left="284"/>
      </w:pPr>
      <w:r>
        <w:t>T</w:t>
      </w:r>
      <w:r w:rsidRPr="00F2204B">
        <w:t xml:space="preserve">he offshore reefs </w:t>
      </w:r>
      <w:r>
        <w:t xml:space="preserve">(Ashmore, Boot, Marion and Saumarez Reef) have </w:t>
      </w:r>
      <w:r w:rsidRPr="00F2204B">
        <w:t>be</w:t>
      </w:r>
      <w:r>
        <w:t>en</w:t>
      </w:r>
      <w:r w:rsidRPr="00F2204B">
        <w:t xml:space="preserve"> heavily targeted for White teatfish by </w:t>
      </w:r>
      <w:r>
        <w:t xml:space="preserve">QSCF and </w:t>
      </w:r>
      <w:r w:rsidRPr="00F2204B">
        <w:t>IUU fisher</w:t>
      </w:r>
      <w:r>
        <w:t>s</w:t>
      </w:r>
      <w:r w:rsidRPr="00F2204B">
        <w:t xml:space="preserve"> in </w:t>
      </w:r>
      <w:r>
        <w:t xml:space="preserve">the recent past that </w:t>
      </w:r>
      <w:r w:rsidR="00BB378E">
        <w:t xml:space="preserve">has the potential </w:t>
      </w:r>
      <w:r w:rsidR="00CC3574">
        <w:t>to cause</w:t>
      </w:r>
      <w:r>
        <w:t xml:space="preserve"> localised depletion. The </w:t>
      </w:r>
      <w:r w:rsidR="00CC3574">
        <w:t>closure of these reefs for White teatfish</w:t>
      </w:r>
      <w:r>
        <w:t xml:space="preserve"> should remain in place until an assessment of potential </w:t>
      </w:r>
      <w:r>
        <w:lastRenderedPageBreak/>
        <w:t xml:space="preserve">recovery is carried out, potentially using the outputs from the updated White teatfish stock assessment. Any re-opening should also consider reef level catch limits that are demonstrably sustainable for those reefs. </w:t>
      </w:r>
    </w:p>
    <w:p w14:paraId="276B3774" w14:textId="1230612C" w:rsidR="005D0534" w:rsidRDefault="00E8459F" w:rsidP="005D0534">
      <w:pPr>
        <w:pStyle w:val="ListParagraph"/>
        <w:numPr>
          <w:ilvl w:val="0"/>
          <w:numId w:val="19"/>
        </w:numPr>
      </w:pPr>
      <w:r>
        <w:t xml:space="preserve">Increase </w:t>
      </w:r>
      <w:r w:rsidR="005D0534">
        <w:t>the Black teatfish MSL to 33 cm.</w:t>
      </w:r>
    </w:p>
    <w:p w14:paraId="10BE79D1" w14:textId="0A7B875C" w:rsidR="005D0534" w:rsidRDefault="005D0534" w:rsidP="009C4C34">
      <w:pPr>
        <w:ind w:left="284"/>
      </w:pPr>
      <w:r>
        <w:t>T</w:t>
      </w:r>
      <w:r w:rsidRPr="005D0534">
        <w:t xml:space="preserve">he </w:t>
      </w:r>
      <w:r>
        <w:t xml:space="preserve">2024 </w:t>
      </w:r>
      <w:r w:rsidRPr="005D0534">
        <w:t xml:space="preserve">MSE recommended </w:t>
      </w:r>
      <w:r>
        <w:t xml:space="preserve">a </w:t>
      </w:r>
      <w:r w:rsidRPr="005D0534">
        <w:t xml:space="preserve">MSL </w:t>
      </w:r>
      <w:r w:rsidR="00CC3574">
        <w:t>1</w:t>
      </w:r>
      <w:r w:rsidRPr="005D0534">
        <w:t xml:space="preserve">25% </w:t>
      </w:r>
      <w:r w:rsidR="00CC3574">
        <w:t xml:space="preserve">the </w:t>
      </w:r>
      <w:r w:rsidRPr="005D0534">
        <w:t>size at maturity</w:t>
      </w:r>
      <w:r w:rsidR="004A0E5D">
        <w:t xml:space="preserve"> (Wicken et al., 2024), which is a basic principle for increasing resilience and reducing risk (Purcell, 2010; </w:t>
      </w:r>
      <w:r w:rsidR="004A0E5D" w:rsidRPr="00997426">
        <w:t>Prince</w:t>
      </w:r>
      <w:r w:rsidR="004A0E5D">
        <w:t xml:space="preserve"> and </w:t>
      </w:r>
      <w:r w:rsidR="004A0E5D" w:rsidRPr="00997426">
        <w:t>Hordyk, 2019</w:t>
      </w:r>
      <w:r>
        <w:t>). T</w:t>
      </w:r>
      <w:r w:rsidRPr="005D0534">
        <w:t xml:space="preserve">he </w:t>
      </w:r>
      <w:r>
        <w:t xml:space="preserve">best estimate of size at maturity for Black teatfish is 26 cm (though </w:t>
      </w:r>
      <w:r w:rsidR="00E8459F">
        <w:t xml:space="preserve">collection of </w:t>
      </w:r>
      <w:r>
        <w:t xml:space="preserve">local information is </w:t>
      </w:r>
      <w:r w:rsidR="004A0E5D">
        <w:t xml:space="preserve">still </w:t>
      </w:r>
      <w:r w:rsidR="00E8459F">
        <w:t>desirable</w:t>
      </w:r>
      <w:r>
        <w:t xml:space="preserve">). The current </w:t>
      </w:r>
      <w:r w:rsidRPr="005D0534">
        <w:t xml:space="preserve">MSL </w:t>
      </w:r>
      <w:r>
        <w:t xml:space="preserve">for Black teatfish </w:t>
      </w:r>
      <w:r w:rsidRPr="005D0534">
        <w:t>is 30 cm</w:t>
      </w:r>
      <w:r>
        <w:t xml:space="preserve">. </w:t>
      </w:r>
    </w:p>
    <w:p w14:paraId="2379C2B0" w14:textId="77777777" w:rsidR="003812AB" w:rsidRDefault="003812AB" w:rsidP="003812AB">
      <w:pPr>
        <w:pStyle w:val="ListParagraph"/>
        <w:numPr>
          <w:ilvl w:val="0"/>
          <w:numId w:val="19"/>
        </w:numPr>
      </w:pPr>
      <w:bookmarkStart w:id="198" w:name="_Hlk146525680"/>
      <w:bookmarkEnd w:id="197"/>
      <w:r>
        <w:t>Consider a higher default B</w:t>
      </w:r>
      <w:r w:rsidRPr="008A0C6A">
        <w:rPr>
          <w:i/>
          <w:iCs/>
        </w:rPr>
        <w:t>lim</w:t>
      </w:r>
      <w:r>
        <w:t xml:space="preserve"> for the QSCF.</w:t>
      </w:r>
    </w:p>
    <w:p w14:paraId="112EAFCF" w14:textId="0BEAEE17" w:rsidR="003812AB" w:rsidRDefault="003812AB" w:rsidP="003812AB">
      <w:pPr>
        <w:ind w:left="284"/>
      </w:pPr>
      <w:r>
        <w:t>T</w:t>
      </w:r>
      <w:r w:rsidRPr="008A0C6A">
        <w:t xml:space="preserve">he </w:t>
      </w:r>
      <w:r>
        <w:t>default HS</w:t>
      </w:r>
      <w:r w:rsidRPr="008A0C6A">
        <w:t xml:space="preserve"> biomass limit reference point</w:t>
      </w:r>
      <w:r>
        <w:t xml:space="preserve">, </w:t>
      </w:r>
      <w:r w:rsidRPr="002B3B50">
        <w:t>B</w:t>
      </w:r>
      <w:r w:rsidRPr="008A0C6A">
        <w:rPr>
          <w:i/>
          <w:iCs/>
        </w:rPr>
        <w:t>lim</w:t>
      </w:r>
      <w:r>
        <w:t xml:space="preserve">, </w:t>
      </w:r>
      <w:r w:rsidRPr="008A0C6A">
        <w:t xml:space="preserve">is at 20% </w:t>
      </w:r>
      <w:r w:rsidR="00280B9E">
        <w:t>B</w:t>
      </w:r>
      <w:r w:rsidR="00280B9E" w:rsidRPr="00280B9E">
        <w:rPr>
          <w:vertAlign w:val="subscript"/>
        </w:rPr>
        <w:t>0</w:t>
      </w:r>
      <w:r w:rsidRPr="008A0C6A">
        <w:t xml:space="preserve">. </w:t>
      </w:r>
      <w:r>
        <w:t>T</w:t>
      </w:r>
      <w:r w:rsidRPr="008A0C6A">
        <w:t xml:space="preserve">his </w:t>
      </w:r>
      <w:r>
        <w:t xml:space="preserve">is likely to low </w:t>
      </w:r>
      <w:r w:rsidRPr="008A0C6A">
        <w:t>for sea cucumber species</w:t>
      </w:r>
      <w:r>
        <w:t xml:space="preserve"> </w:t>
      </w:r>
      <w:r w:rsidRPr="008A0C6A">
        <w:t xml:space="preserve">due to </w:t>
      </w:r>
      <w:r>
        <w:t>potential “</w:t>
      </w:r>
      <w:r w:rsidRPr="008A0C6A">
        <w:t xml:space="preserve">Allee” </w:t>
      </w:r>
      <w:r w:rsidR="00CC3574">
        <w:t xml:space="preserve">depensatory </w:t>
      </w:r>
      <w:r w:rsidRPr="008A0C6A">
        <w:t>affect</w:t>
      </w:r>
      <w:r>
        <w:t>s</w:t>
      </w:r>
      <w:r w:rsidRPr="008A0C6A">
        <w:t xml:space="preserve"> </w:t>
      </w:r>
      <w:r w:rsidR="00CC3574">
        <w:t>caused by</w:t>
      </w:r>
      <w:r w:rsidRPr="008A0C6A">
        <w:t xml:space="preserve"> low fertilisation success for sea cucumbers at low densities</w:t>
      </w:r>
      <w:r>
        <w:t xml:space="preserve">, but also due to </w:t>
      </w:r>
      <w:r w:rsidRPr="008A0C6A">
        <w:t>their high susceptibility to overexploitation, slow recovery from overexploitation</w:t>
      </w:r>
      <w:r>
        <w:t xml:space="preserve">, and important ecological role sea cucumber play in reef ecosystems. </w:t>
      </w:r>
      <w:r w:rsidRPr="008A0C6A">
        <w:t>For example, in the TS</w:t>
      </w:r>
      <w:r w:rsidR="00280B9E">
        <w:t>BDMF, the</w:t>
      </w:r>
      <w:r w:rsidRPr="008A0C6A">
        <w:t xml:space="preserve"> </w:t>
      </w:r>
      <w:r>
        <w:t>HS</w:t>
      </w:r>
      <w:r w:rsidRPr="008A0C6A">
        <w:t xml:space="preserve"> biomass limit reference </w:t>
      </w:r>
      <w:r w:rsidR="00280B9E">
        <w:t>limit</w:t>
      </w:r>
      <w:r w:rsidRPr="008A0C6A">
        <w:t xml:space="preserve"> is 40% </w:t>
      </w:r>
      <w:r w:rsidR="00280B9E">
        <w:t>B</w:t>
      </w:r>
      <w:r w:rsidR="00280B9E" w:rsidRPr="00280B9E">
        <w:rPr>
          <w:vertAlign w:val="subscript"/>
        </w:rPr>
        <w:t>0</w:t>
      </w:r>
      <w:r w:rsidR="00280B9E">
        <w:t>.</w:t>
      </w:r>
      <w:r>
        <w:t xml:space="preserve"> </w:t>
      </w:r>
    </w:p>
    <w:bookmarkEnd w:id="198"/>
    <w:p w14:paraId="1C4F7408" w14:textId="5F282525" w:rsidR="001D55FC" w:rsidRDefault="001D55FC" w:rsidP="00A87F05">
      <w:pPr>
        <w:pStyle w:val="ListParagraph"/>
        <w:keepNext/>
        <w:numPr>
          <w:ilvl w:val="0"/>
          <w:numId w:val="19"/>
        </w:numPr>
        <w:ind w:left="357" w:hanging="357"/>
      </w:pPr>
      <w:r>
        <w:t>Assess the efficacy of the current RH</w:t>
      </w:r>
      <w:r w:rsidR="00CC3574">
        <w:t>A</w:t>
      </w:r>
      <w:r>
        <w:t xml:space="preserve"> for reducing the risk of localised depletion of </w:t>
      </w:r>
      <w:r w:rsidR="003812AB">
        <w:t xml:space="preserve">teatfish </w:t>
      </w:r>
      <w:r>
        <w:t>species.</w:t>
      </w:r>
    </w:p>
    <w:p w14:paraId="50ABD12C" w14:textId="35BD57CB" w:rsidR="007B106C" w:rsidRDefault="007F2000" w:rsidP="008C440E">
      <w:pPr>
        <w:ind w:left="284"/>
      </w:pPr>
      <w:r w:rsidRPr="007F2000">
        <w:t xml:space="preserve">The </w:t>
      </w:r>
      <w:r w:rsidR="00120518">
        <w:t>RHA</w:t>
      </w:r>
      <w:r w:rsidRPr="007F2000">
        <w:t xml:space="preserve"> does spread the catch and reduce </w:t>
      </w:r>
      <w:r w:rsidR="00A536A8" w:rsidRPr="007F2000">
        <w:t>risk;</w:t>
      </w:r>
      <w:r w:rsidRPr="007F2000">
        <w:t xml:space="preserve"> however, it may still not be spreading effort to the extent where it achieve</w:t>
      </w:r>
      <w:r w:rsidR="00C74ADC">
        <w:t>s</w:t>
      </w:r>
      <w:r w:rsidRPr="007F2000">
        <w:t xml:space="preserve"> its full benefit</w:t>
      </w:r>
      <w:r w:rsidR="007B106C">
        <w:t>.</w:t>
      </w:r>
      <w:r>
        <w:t xml:space="preserve"> </w:t>
      </w:r>
      <w:r w:rsidR="006127EC">
        <w:t xml:space="preserve">Even after the implementation of the RHS, </w:t>
      </w:r>
      <w:r w:rsidR="007B106C">
        <w:t>most o</w:t>
      </w:r>
      <w:r w:rsidR="006127EC">
        <w:t xml:space="preserve">f the </w:t>
      </w:r>
      <w:r w:rsidR="007B106C">
        <w:t xml:space="preserve">teatfish </w:t>
      </w:r>
      <w:r w:rsidR="006127EC">
        <w:t xml:space="preserve">catch is caught in </w:t>
      </w:r>
      <w:r>
        <w:t>about 35%</w:t>
      </w:r>
      <w:r w:rsidR="006127EC">
        <w:t xml:space="preserve"> of </w:t>
      </w:r>
      <w:r>
        <w:t xml:space="preserve">potential </w:t>
      </w:r>
      <w:r w:rsidR="006127EC">
        <w:t>fish</w:t>
      </w:r>
      <w:r>
        <w:t>ery grids</w:t>
      </w:r>
      <w:r w:rsidR="006127EC">
        <w:t>. T</w:t>
      </w:r>
      <w:r w:rsidR="00160C67" w:rsidRPr="00160C67">
        <w:t xml:space="preserve">he concentration of harvest </w:t>
      </w:r>
      <w:r w:rsidR="006127EC">
        <w:t>needs to be assessed as to the potential for localised depletion</w:t>
      </w:r>
      <w:r>
        <w:t>, especially for highly targeted grids/</w:t>
      </w:r>
      <w:r w:rsidR="00120518">
        <w:t>RHA</w:t>
      </w:r>
      <w:r>
        <w:t xml:space="preserve"> zones</w:t>
      </w:r>
      <w:r w:rsidR="006127EC">
        <w:t xml:space="preserve">. In addition, </w:t>
      </w:r>
      <w:r w:rsidR="007B106C">
        <w:t xml:space="preserve">the inclusion of deeper “paddock” fishery habitats </w:t>
      </w:r>
      <w:r w:rsidR="00612362">
        <w:t xml:space="preserve">for White teatfish has the potential to </w:t>
      </w:r>
      <w:r w:rsidR="007B106C">
        <w:t>undermine the original zone scheme that was based on identifiable reef structures</w:t>
      </w:r>
      <w:r w:rsidR="00612362">
        <w:t xml:space="preserve"> – this should also be assessed</w:t>
      </w:r>
      <w:r w:rsidR="007B106C">
        <w:t>.</w:t>
      </w:r>
    </w:p>
    <w:p w14:paraId="7F3440F7" w14:textId="37FD4629" w:rsidR="007A1C15" w:rsidRDefault="007A1C15" w:rsidP="00A87F05">
      <w:pPr>
        <w:pStyle w:val="ListParagraph"/>
        <w:keepNext/>
        <w:numPr>
          <w:ilvl w:val="0"/>
          <w:numId w:val="19"/>
        </w:numPr>
        <w:ind w:left="357" w:hanging="357"/>
      </w:pPr>
      <w:bookmarkStart w:id="199" w:name="_Hlk146556945"/>
      <w:r>
        <w:t>Establish accurate conversion ratios for live to processed form used in the fisher</w:t>
      </w:r>
      <w:r w:rsidR="00C77262">
        <w:t>y</w:t>
      </w:r>
      <w:r>
        <w:t>.</w:t>
      </w:r>
    </w:p>
    <w:p w14:paraId="3F20C63E" w14:textId="4EBCB1C9" w:rsidR="007A1C15" w:rsidRDefault="007A1C15" w:rsidP="008C440E">
      <w:pPr>
        <w:ind w:left="284"/>
      </w:pPr>
      <w:bookmarkStart w:id="200" w:name="_Hlk151126826"/>
      <w:r>
        <w:t>The QSCF</w:t>
      </w:r>
      <w:r w:rsidR="00E6259E">
        <w:t xml:space="preserve"> reports catch and implements fishery TACs as “landed weight” and includes </w:t>
      </w:r>
      <w:r w:rsidR="00C77262">
        <w:t xml:space="preserve">gutted and </w:t>
      </w:r>
      <w:r w:rsidR="00E6259E">
        <w:t xml:space="preserve">salted, or par-boiled and frozen forms (with product form reported in the fishery logbook and catch disposal record). </w:t>
      </w:r>
      <w:r w:rsidR="007D1382" w:rsidRPr="007D1382">
        <w:t>In this case, all survey data will need to be expressed as fishery landed weight (</w:t>
      </w:r>
      <w:r w:rsidR="00D04735">
        <w:t xml:space="preserve">gutted and </w:t>
      </w:r>
      <w:r w:rsidR="007D1382" w:rsidRPr="007D1382">
        <w:t xml:space="preserve">salted or par-boiled and frozen) for application to fishery assessments and to </w:t>
      </w:r>
      <w:r w:rsidR="00207548">
        <w:t xml:space="preserve">formulate </w:t>
      </w:r>
      <w:r w:rsidR="007D1382" w:rsidRPr="007D1382">
        <w:t>TACs</w:t>
      </w:r>
      <w:r w:rsidR="00A536A8">
        <w:t xml:space="preserve"> </w:t>
      </w:r>
      <w:r w:rsidR="00A536A8" w:rsidRPr="007D1382">
        <w:t>(or vice versa)</w:t>
      </w:r>
      <w:r w:rsidR="007D1382" w:rsidRPr="007D1382">
        <w:t xml:space="preserve">. </w:t>
      </w:r>
      <w:bookmarkStart w:id="201" w:name="_Hlk150177796"/>
      <w:r w:rsidR="007D1382" w:rsidRPr="007D1382">
        <w:t xml:space="preserve">Live to </w:t>
      </w:r>
      <w:r w:rsidR="00207548">
        <w:t xml:space="preserve">gutted and </w:t>
      </w:r>
      <w:r w:rsidR="007D1382" w:rsidRPr="007D1382">
        <w:t xml:space="preserve">salted weight conversion factors are available for </w:t>
      </w:r>
      <w:r w:rsidR="00A536A8">
        <w:t xml:space="preserve">both </w:t>
      </w:r>
      <w:r w:rsidR="00612362">
        <w:t>teatfish</w:t>
      </w:r>
      <w:r w:rsidR="00A536A8">
        <w:t xml:space="preserve"> species</w:t>
      </w:r>
      <w:r w:rsidR="00A536A8" w:rsidRPr="007D1382">
        <w:t xml:space="preserve"> but</w:t>
      </w:r>
      <w:r w:rsidR="007D1382" w:rsidRPr="007D1382">
        <w:t xml:space="preserve"> live to par-boiled and frozen are not.</w:t>
      </w:r>
      <w:bookmarkEnd w:id="201"/>
    </w:p>
    <w:bookmarkEnd w:id="199"/>
    <w:bookmarkEnd w:id="200"/>
    <w:p w14:paraId="7CBCEB1B" w14:textId="6CF5809C" w:rsidR="00AF2FA8" w:rsidRDefault="00AF2FA8" w:rsidP="00A87F05">
      <w:pPr>
        <w:pStyle w:val="ListParagraph"/>
        <w:numPr>
          <w:ilvl w:val="0"/>
          <w:numId w:val="19"/>
        </w:numPr>
      </w:pPr>
      <w:r>
        <w:t>Assess and manage for climate change risks</w:t>
      </w:r>
      <w:r w:rsidR="007F2000">
        <w:t>.</w:t>
      </w:r>
    </w:p>
    <w:p w14:paraId="769475B9" w14:textId="0A795A14" w:rsidR="00AF2FA8" w:rsidRDefault="00AF2FA8" w:rsidP="008C440E">
      <w:pPr>
        <w:ind w:left="284"/>
      </w:pPr>
      <w:bookmarkStart w:id="202" w:name="_Hlk171242654"/>
      <w:r>
        <w:t xml:space="preserve">The vulnerability of </w:t>
      </w:r>
      <w:r w:rsidR="00612362">
        <w:t xml:space="preserve">Black teatfish in particular </w:t>
      </w:r>
      <w:r>
        <w:t xml:space="preserve">to climate change stressors </w:t>
      </w:r>
      <w:r w:rsidR="00612362">
        <w:t>may be significant</w:t>
      </w:r>
      <w:r>
        <w:t xml:space="preserve">, but with considerable uncertainty, </w:t>
      </w:r>
      <w:r w:rsidR="005E2135">
        <w:t>including for</w:t>
      </w:r>
      <w:r>
        <w:t xml:space="preserve"> indirect impacts. Development of models to link climatic effects over a range of life history components and critical habitats for sea cucumber fisheries to quantify potential impacts using alternative emission scenarios will help reduce exposure to climate change risks.</w:t>
      </w:r>
    </w:p>
    <w:bookmarkEnd w:id="202"/>
    <w:p w14:paraId="3875316B" w14:textId="2153D3D7" w:rsidR="00AF2FA8" w:rsidRDefault="00AF2FA8" w:rsidP="00A87F05">
      <w:pPr>
        <w:pStyle w:val="ListParagraph"/>
        <w:keepNext/>
        <w:numPr>
          <w:ilvl w:val="0"/>
          <w:numId w:val="19"/>
        </w:numPr>
        <w:ind w:left="357" w:hanging="357"/>
      </w:pPr>
      <w:r>
        <w:t>Support research on important life history parameters</w:t>
      </w:r>
      <w:r w:rsidR="007F2000">
        <w:t>.</w:t>
      </w:r>
    </w:p>
    <w:p w14:paraId="02F5AF6A" w14:textId="0FDEDA0F" w:rsidR="00AF2FA8" w:rsidRDefault="00C74ADC" w:rsidP="008C440E">
      <w:pPr>
        <w:ind w:left="284"/>
      </w:pPr>
      <w:r>
        <w:t>The fisheries b</w:t>
      </w:r>
      <w:r w:rsidR="00AF2893">
        <w:t xml:space="preserve">iology of both </w:t>
      </w:r>
      <w:r w:rsidR="000B44A1">
        <w:t xml:space="preserve">teatfish </w:t>
      </w:r>
      <w:r w:rsidR="00AF2893">
        <w:t xml:space="preserve">species, especially with respect to </w:t>
      </w:r>
      <w:r w:rsidR="005E2135">
        <w:t xml:space="preserve">local </w:t>
      </w:r>
      <w:r w:rsidR="00AF2893">
        <w:t xml:space="preserve">size at maturity </w:t>
      </w:r>
      <w:r w:rsidR="005E2135">
        <w:t>and breeding seasonality</w:t>
      </w:r>
      <w:r w:rsidR="00AF2893">
        <w:t>, early growth of juveniles to breeding age, and mortality rates of juveniles and adults</w:t>
      </w:r>
      <w:r>
        <w:t xml:space="preserve"> are uncertain or unknown</w:t>
      </w:r>
      <w:r w:rsidR="00AF2893">
        <w:t>.</w:t>
      </w:r>
      <w:r w:rsidR="00F35829">
        <w:t xml:space="preserve"> </w:t>
      </w:r>
      <w:r>
        <w:t>Many of these l</w:t>
      </w:r>
      <w:r w:rsidR="00AF2FA8">
        <w:t>ife history parameters (growth, natural mortality, reproductive biology) are critical inputs into stock assessments. They also underpin assessments of species productivity and inherent vulnerability. This</w:t>
      </w:r>
      <w:r w:rsidR="005E2135">
        <w:t xml:space="preserve"> knowledge gap</w:t>
      </w:r>
      <w:r w:rsidR="00AF2FA8">
        <w:t xml:space="preserve"> applies to many commercial sea cucumber populations</w:t>
      </w:r>
      <w:r w:rsidR="005E2135">
        <w:t xml:space="preserve"> and </w:t>
      </w:r>
      <w:r w:rsidR="00AF2FA8">
        <w:t>require</w:t>
      </w:r>
      <w:r w:rsidR="005E2135">
        <w:t>s</w:t>
      </w:r>
      <w:r w:rsidR="00AF2FA8">
        <w:t xml:space="preserve"> more research.</w:t>
      </w:r>
    </w:p>
    <w:p w14:paraId="26572B4F" w14:textId="398797A4" w:rsidR="00AF2FA8" w:rsidRDefault="007F2000" w:rsidP="00A87F05">
      <w:pPr>
        <w:pStyle w:val="ListParagraph"/>
        <w:numPr>
          <w:ilvl w:val="0"/>
          <w:numId w:val="19"/>
        </w:numPr>
      </w:pPr>
      <w:r>
        <w:t>Fishery and environmental m</w:t>
      </w:r>
      <w:r w:rsidR="00AF2FA8">
        <w:t>onitoring</w:t>
      </w:r>
      <w:r>
        <w:t>.</w:t>
      </w:r>
    </w:p>
    <w:p w14:paraId="79253935" w14:textId="3E38B9B5" w:rsidR="00AF2FA8" w:rsidRDefault="00AF2FA8" w:rsidP="008C440E">
      <w:pPr>
        <w:ind w:left="284"/>
      </w:pPr>
      <w:r>
        <w:t xml:space="preserve">To account for potential impacts and uncertainty in the vulnerability of </w:t>
      </w:r>
      <w:r w:rsidR="005E2135">
        <w:t>Black and White teatfish</w:t>
      </w:r>
      <w:r>
        <w:t xml:space="preserve"> in the </w:t>
      </w:r>
      <w:r w:rsidR="001D55FC">
        <w:t>QSCF</w:t>
      </w:r>
      <w:r>
        <w:t xml:space="preserve">, </w:t>
      </w:r>
      <w:r w:rsidR="00C74ADC">
        <w:t xml:space="preserve">regular </w:t>
      </w:r>
      <w:r>
        <w:t xml:space="preserve">species level and environmental monitoring is required </w:t>
      </w:r>
      <w:r w:rsidRPr="008040B0">
        <w:t>to reduce sources of uncertainty (such as how climate affects recruitment)</w:t>
      </w:r>
      <w:r>
        <w:t xml:space="preserve">, and to detect changes that affect the status and/or vulnerability of </w:t>
      </w:r>
      <w:r w:rsidR="005E2135">
        <w:t xml:space="preserve">both </w:t>
      </w:r>
      <w:r>
        <w:t>species.</w:t>
      </w:r>
      <w:r w:rsidRPr="00DC603A">
        <w:t xml:space="preserve"> </w:t>
      </w:r>
      <w:r>
        <w:t xml:space="preserve">A monitoring program of </w:t>
      </w:r>
      <w:r w:rsidR="00C74ADC">
        <w:t xml:space="preserve">each </w:t>
      </w:r>
      <w:r>
        <w:t>population and related environmental parameters should be formulated and incorporated into the HS.</w:t>
      </w:r>
    </w:p>
    <w:p w14:paraId="15B93409" w14:textId="134B92A4" w:rsidR="007F2000" w:rsidRDefault="007F2000" w:rsidP="008C440E">
      <w:pPr>
        <w:ind w:left="284"/>
      </w:pPr>
      <w:r w:rsidRPr="007F2000">
        <w:lastRenderedPageBreak/>
        <w:t>In addition, there is significant ecological monitoring that occurs already in the GBRMP, however this could be better synthesised to assess ecosystem impacts form sea cucumber fishing – and targeted ecosystem monitoring relevant to sea cucumber habitats should also be encouraged.</w:t>
      </w:r>
    </w:p>
    <w:p w14:paraId="10AFA218" w14:textId="77777777" w:rsidR="00BB378E" w:rsidRDefault="00BB378E" w:rsidP="00BB378E">
      <w:pPr>
        <w:pStyle w:val="ListParagraph"/>
        <w:numPr>
          <w:ilvl w:val="0"/>
          <w:numId w:val="19"/>
        </w:numPr>
      </w:pPr>
      <w:r w:rsidRPr="00BB378E">
        <w:t xml:space="preserve">Standardise survey approaches. </w:t>
      </w:r>
    </w:p>
    <w:p w14:paraId="5A5381E6" w14:textId="4853CB1F" w:rsidR="00BB378E" w:rsidRDefault="00BB378E" w:rsidP="008C440E">
      <w:pPr>
        <w:ind w:left="284"/>
      </w:pPr>
      <w:r w:rsidRPr="00BB378E">
        <w:t>There have been multiple surveys for Black teatfish including in 1999, 2015 and 2020 which have all used different methodologies and surveyed different areas</w:t>
      </w:r>
      <w:r w:rsidR="00A536A8">
        <w:t xml:space="preserve"> making comparisons difficult</w:t>
      </w:r>
      <w:r w:rsidRPr="00BB378E">
        <w:t xml:space="preserve">. The only comprehensive stratified survey that appears to legitimately estimate the Black teatfish population in a region is the 2020 survey - the two other surveys (1999 and 2015) were primarily designed to illustrate differences in density between fished </w:t>
      </w:r>
      <w:r w:rsidR="00B021FD">
        <w:t>a</w:t>
      </w:r>
      <w:r w:rsidRPr="00BB378E">
        <w:t>n</w:t>
      </w:r>
      <w:r w:rsidR="00B021FD">
        <w:t>d</w:t>
      </w:r>
      <w:r w:rsidRPr="00BB378E">
        <w:t xml:space="preserve"> unfished reefs – making them difficult to use in stock assessment models.</w:t>
      </w:r>
    </w:p>
    <w:p w14:paraId="2410B059" w14:textId="09DF8FFC" w:rsidR="00AF2FA8" w:rsidRDefault="00AF2FA8" w:rsidP="00A87F05">
      <w:pPr>
        <w:pStyle w:val="ListParagraph"/>
        <w:numPr>
          <w:ilvl w:val="0"/>
          <w:numId w:val="19"/>
        </w:numPr>
      </w:pPr>
      <w:bookmarkStart w:id="203" w:name="_Hlk146543702"/>
      <w:r>
        <w:t xml:space="preserve">Co-ordinate management of straddling stocks in the </w:t>
      </w:r>
      <w:r w:rsidR="00B021FD">
        <w:t>TSBDMF</w:t>
      </w:r>
      <w:r w:rsidR="001D55FC">
        <w:t xml:space="preserve"> and CSF</w:t>
      </w:r>
      <w:r>
        <w:t>.</w:t>
      </w:r>
    </w:p>
    <w:p w14:paraId="2F4A172E" w14:textId="64B7618A" w:rsidR="00AF2FA8" w:rsidRDefault="00AF2FA8" w:rsidP="008C440E">
      <w:pPr>
        <w:ind w:left="284"/>
      </w:pPr>
      <w:r w:rsidRPr="00ED790D">
        <w:t xml:space="preserve">Though </w:t>
      </w:r>
      <w:r w:rsidR="001D55FC">
        <w:t xml:space="preserve">QSCF </w:t>
      </w:r>
      <w:r w:rsidRPr="00ED790D">
        <w:t xml:space="preserve">reefs are likely to be </w:t>
      </w:r>
      <w:r w:rsidR="001D55FC">
        <w:t xml:space="preserve">relatively </w:t>
      </w:r>
      <w:r w:rsidRPr="00ED790D">
        <w:t>well connected</w:t>
      </w:r>
      <w:r>
        <w:t xml:space="preserve"> and </w:t>
      </w:r>
      <w:r w:rsidR="001D55FC">
        <w:t xml:space="preserve">the fishery </w:t>
      </w:r>
      <w:r>
        <w:t xml:space="preserve">self-seeding to </w:t>
      </w:r>
      <w:r w:rsidR="001D55FC">
        <w:t>a large extent</w:t>
      </w:r>
      <w:r>
        <w:t xml:space="preserve">, </w:t>
      </w:r>
      <w:r w:rsidRPr="00ED790D">
        <w:t xml:space="preserve">connectivity between the </w:t>
      </w:r>
      <w:r w:rsidR="001D55FC">
        <w:t xml:space="preserve">QSCF and </w:t>
      </w:r>
      <w:r w:rsidR="00160C67">
        <w:t xml:space="preserve">those of the </w:t>
      </w:r>
      <w:r w:rsidRPr="00ED790D">
        <w:t xml:space="preserve">TSBDMF </w:t>
      </w:r>
      <w:r w:rsidR="001D55FC">
        <w:t xml:space="preserve">and </w:t>
      </w:r>
      <w:r w:rsidR="00160C67">
        <w:t xml:space="preserve">CSF </w:t>
      </w:r>
      <w:r w:rsidRPr="00ED790D">
        <w:t xml:space="preserve">(especially </w:t>
      </w:r>
      <w:r w:rsidR="00160C67">
        <w:t xml:space="preserve">between the </w:t>
      </w:r>
      <w:r w:rsidRPr="00ED790D">
        <w:t>northern GBR</w:t>
      </w:r>
      <w:r w:rsidR="00160C67">
        <w:t xml:space="preserve"> and Torres Strait</w:t>
      </w:r>
      <w:r w:rsidRPr="00ED790D">
        <w:t xml:space="preserve">) is also likely to be </w:t>
      </w:r>
      <w:r w:rsidR="00160C67">
        <w:t>significant</w:t>
      </w:r>
      <w:r w:rsidRPr="00ED790D">
        <w:t xml:space="preserve">, and coordinated </w:t>
      </w:r>
      <w:r w:rsidR="00B85598" w:rsidRPr="00ED790D">
        <w:t xml:space="preserve">management </w:t>
      </w:r>
      <w:r w:rsidR="00B85598">
        <w:t xml:space="preserve">(e.g. HS frameworks and fishery reference points, temporal and spatial closures, size limits, rotational zone size, timing and move-on provisions) and research (life history parameters, MSE, conversion rations) among all three fisheries </w:t>
      </w:r>
      <w:r w:rsidR="00B85598" w:rsidRPr="00ED790D">
        <w:t xml:space="preserve">will help reduce risk to </w:t>
      </w:r>
      <w:r w:rsidR="00B85598">
        <w:t xml:space="preserve">species in </w:t>
      </w:r>
      <w:r w:rsidR="00B85598" w:rsidRPr="00ED790D">
        <w:t xml:space="preserve">the </w:t>
      </w:r>
      <w:r w:rsidR="00B85598">
        <w:t>region</w:t>
      </w:r>
      <w:r w:rsidR="00B85598" w:rsidRPr="00ED790D">
        <w:t>.</w:t>
      </w:r>
    </w:p>
    <w:p w14:paraId="0A103221" w14:textId="77777777" w:rsidR="002C7B0C" w:rsidRDefault="002C7B0C" w:rsidP="006568A6"/>
    <w:p w14:paraId="1DC41803" w14:textId="3D642E21" w:rsidR="00A943B2" w:rsidRPr="00FB37B4" w:rsidRDefault="00DD488F" w:rsidP="00A60F4F">
      <w:pPr>
        <w:pStyle w:val="Heading1notnumbered"/>
      </w:pPr>
      <w:bookmarkStart w:id="204" w:name="_Toc189044952"/>
      <w:bookmarkEnd w:id="203"/>
      <w:r>
        <w:lastRenderedPageBreak/>
        <w:t>References</w:t>
      </w:r>
      <w:bookmarkEnd w:id="204"/>
    </w:p>
    <w:p w14:paraId="73349639" w14:textId="65236626" w:rsidR="00922899" w:rsidRPr="00632830" w:rsidRDefault="00922899" w:rsidP="00443161">
      <w:r w:rsidRPr="00632830">
        <w:t>AFMA, 2017. Guide to AFMA’s Ecological Risk Management.</w:t>
      </w:r>
    </w:p>
    <w:p w14:paraId="036D1401" w14:textId="3993C1DC" w:rsidR="0067085C" w:rsidRPr="00632830" w:rsidRDefault="0067085C" w:rsidP="00443161">
      <w:bookmarkStart w:id="205" w:name="_Hlk151530987"/>
      <w:r w:rsidRPr="00632830">
        <w:t xml:space="preserve">AIMS, 2023. Coral bleaching events. </w:t>
      </w:r>
      <w:hyperlink r:id="rId79" w:anchor=":~:text=Mass%20bleaching%20events%20on%20the,bleaching%20events%20around%20those%20times" w:history="1">
        <w:r w:rsidRPr="00632830">
          <w:rPr>
            <w:rStyle w:val="Hyperlink"/>
          </w:rPr>
          <w:t>https://www.aims.gov.au/research-topics/environmental-issues/coral-bleaching/coral-bleaching-events#:~:text=Mass%20bleaching%20events%20on%20the,bleaching%20events%20around%20those%20times</w:t>
        </w:r>
      </w:hyperlink>
      <w:r w:rsidRPr="00632830">
        <w:t>. Accessed 1/8/2023</w:t>
      </w:r>
    </w:p>
    <w:bookmarkEnd w:id="205"/>
    <w:p w14:paraId="36E87324" w14:textId="77777777" w:rsidR="00443161" w:rsidRPr="00632830" w:rsidRDefault="00443161" w:rsidP="00443161">
      <w:r w:rsidRPr="00632830">
        <w:t>Anderson, S.C., Flemming, J.M., Watson, R., Lotze, H.K., 2011. Serial exploitation of global sea cucumber fisheries: Serial exploitation of sea cucumbers. Fish and Fisheries 12, 317–339. https://doi.org/10.1111/j.1467-2979.2010.00397.x</w:t>
      </w:r>
    </w:p>
    <w:p w14:paraId="12AF58E6" w14:textId="77777777" w:rsidR="00616E7D" w:rsidRDefault="00616E7D" w:rsidP="00616E7D">
      <w:bookmarkStart w:id="206" w:name="_Hlk151530828"/>
      <w:r>
        <w:t>Anon. 1946. Pearl shell, beche-de-mer and trochus industry of Northern Australia. Commonwealth of Australia, Department of Commerce and Agriculture, Commonwealth Fisheries Office, Economic Report No.1, Sydney. 105pp.</w:t>
      </w:r>
    </w:p>
    <w:p w14:paraId="0E960060" w14:textId="449D2AC8" w:rsidR="00443161" w:rsidRPr="00632830" w:rsidRDefault="00443161" w:rsidP="00443161">
      <w:r w:rsidRPr="00632830">
        <w:t>Asha, P.S., Muthiah, P., 2005. Effects of temperature, salinity and pH on larval growth, survival and development of the sea cucumber Holothuria spinifera Theel. Aquaculture 250, 823–829. https://doi.org/10.1016/j.aquaculture.2005.04.075</w:t>
      </w:r>
    </w:p>
    <w:bookmarkEnd w:id="206"/>
    <w:p w14:paraId="6DA7A0E3" w14:textId="65F69AD9" w:rsidR="00760CC0" w:rsidRPr="00632830" w:rsidRDefault="00760CC0" w:rsidP="00443161">
      <w:r w:rsidRPr="00632830">
        <w:t>Babcock, R., Mundy, C., Keesing, J., Oliver, J., 1992. Predictable and unpredictable spawning events: In situ behavioural data from free-spawning coral reef invertebrates. Invertebrate Reproduction &amp; Development</w:t>
      </w:r>
      <w:r w:rsidR="0022191C" w:rsidRPr="00632830">
        <w:t xml:space="preserve"> </w:t>
      </w:r>
      <w:r w:rsidRPr="00632830">
        <w:t>22, 213–227. https://doi.org/10.1080/07924259.1992.9672274</w:t>
      </w:r>
    </w:p>
    <w:p w14:paraId="2B99239D" w14:textId="0C888D76" w:rsidR="00443161" w:rsidRPr="00632830" w:rsidRDefault="00443161" w:rsidP="00443161">
      <w:r w:rsidRPr="00632830">
        <w:t>Barclay, K., Fabinyi, M., Kinch, J., Foale, S., 2019. Governability of High-Value Fisheries in Low-Income Contexts: a Case Study of the Sea Cucumber Fishery in Papua New Guinea. Hum Ecol 47, 381–396. https://doi.org/10.1007/s10745-019-00078-8</w:t>
      </w:r>
    </w:p>
    <w:p w14:paraId="2CF8157A" w14:textId="77777777" w:rsidR="00443161" w:rsidRPr="00632830" w:rsidRDefault="00443161" w:rsidP="00443161">
      <w:bookmarkStart w:id="207" w:name="_Hlk139463648"/>
      <w:r w:rsidRPr="00632830">
        <w:t>Beaman, R., 2010. Project 3DGBR: gbr100 High-resolution Bathymetry for the Great Barrier Reef and Coral Sea (JCU). eAtlas.dataset. https://eatlas.org.au/data/uuid/200aba6b-6fb6-443e-b84b-86b0bbdb53ac</w:t>
      </w:r>
    </w:p>
    <w:bookmarkEnd w:id="207"/>
    <w:p w14:paraId="445CC22F" w14:textId="77777777" w:rsidR="00443161" w:rsidRPr="00632830" w:rsidRDefault="00443161" w:rsidP="00443161">
      <w:r w:rsidRPr="00632830">
        <w:t>Benzie, J.A.H., Uthicke, S., 2003. Stock size of bêche-de-mer, recruitment patterns and gene flow in black teatfish, and recovery of overfished black teatfish stocks in the Great Barrier Reef. Australian Institute of Marine Sciences, Townsville, Qld.</w:t>
      </w:r>
    </w:p>
    <w:p w14:paraId="296C9D30" w14:textId="34F594A6" w:rsidR="009807F8" w:rsidRPr="00632830" w:rsidRDefault="009807F8" w:rsidP="00443161">
      <w:r w:rsidRPr="00632830">
        <w:t>Breen, S., 2001. Queensland East Coast Beche-de-mer Fishery Statement of Management Arrangements.</w:t>
      </w:r>
    </w:p>
    <w:p w14:paraId="406000C4" w14:textId="77777777" w:rsidR="00443161" w:rsidRPr="00632830" w:rsidRDefault="00443161" w:rsidP="00443161">
      <w:r w:rsidRPr="00632830">
        <w:t>Bruckner, A.W., Johnson, K.A., Field, J.D., 2003. Conservation strategies for sea cucumbers: Can a CITES Appendix II listing promote sustainable international trade. SPC Bêche-de-mer information Bulletin 18, 24–33.</w:t>
      </w:r>
    </w:p>
    <w:p w14:paraId="3E0A3260" w14:textId="77777777" w:rsidR="00443161" w:rsidRPr="00632830" w:rsidRDefault="00443161" w:rsidP="00443161">
      <w:bookmarkStart w:id="208" w:name="_Hlk151530637"/>
      <w:r w:rsidRPr="00632830">
        <w:t>Buccheri, E., Foellmer, M.W., Christensen, B.A., Langis, P., Ritter, S., Wolf, E., Freeman, A.S., 2019. Variation in Righting Times of Holothuria atra, Stichopus chloronotus, and Holothuria edulis in Response to Increased Seawater Temperatures on Heron Reef in the Southern GBR. Journal of Marine Sciences 2019, e6179705. https://doi.org/10.1155/2019/6179705</w:t>
      </w:r>
    </w:p>
    <w:bookmarkEnd w:id="208"/>
    <w:p w14:paraId="38B478D0" w14:textId="6F996CE0" w:rsidR="005E2135" w:rsidRDefault="005E2135" w:rsidP="00443161">
      <w:r w:rsidRPr="005E2135">
        <w:t>Buckworth, R.C., Skewes, T.D., 2024. Independent Review of Sea Cucumber Stock Assessments (Report to Fisheries Queensland, Department of Agriculture and Fisheries No. FQ24013). Sea Sense Australia Pty Ltd.</w:t>
      </w:r>
    </w:p>
    <w:p w14:paraId="64A484BA" w14:textId="10E185B0" w:rsidR="002A103F" w:rsidRPr="00632830" w:rsidRDefault="002A103F" w:rsidP="00443161">
      <w:r w:rsidRPr="00632830">
        <w:t xml:space="preserve">Business Queensland, 2023. Reporting requirements for commercial fishers </w:t>
      </w:r>
      <w:hyperlink r:id="rId80" w:history="1">
        <w:r w:rsidRPr="00632830">
          <w:rPr>
            <w:rStyle w:val="Hyperlink"/>
          </w:rPr>
          <w:t>https://www.business.qld.gov.au/industries/farms-fishing-forestry/fisheries/reporting-requirements</w:t>
        </w:r>
      </w:hyperlink>
      <w:r w:rsidRPr="00632830">
        <w:t xml:space="preserve"> (accessed 1/8/2023)</w:t>
      </w:r>
    </w:p>
    <w:p w14:paraId="6B7A0EC4" w14:textId="77777777" w:rsidR="00443161" w:rsidRPr="00632830" w:rsidRDefault="00443161" w:rsidP="00443161">
      <w:r w:rsidRPr="00632830">
        <w:t>Carson, H.S., Cook, G.S., López-Duarte, P.C., Levin, L.A., 2011. Evaluating the importance of demographic connectivity in a marine metapopulation. Ecology 92, 1972–1984.</w:t>
      </w:r>
    </w:p>
    <w:p w14:paraId="25B17C51" w14:textId="77777777" w:rsidR="00443161" w:rsidRPr="00632830" w:rsidRDefault="00443161" w:rsidP="00443161">
      <w:bookmarkStart w:id="209" w:name="_Hlk139464504"/>
      <w:r w:rsidRPr="00632830">
        <w:t>Ceccarelli, D.M., McKinnon, A.D., Andréfouët, S., Allain, V., Young, J., Gledhill, D.C., Flynn, A., Bax, N.J., Beaman, R., Borsa, P., et al., 2013. The coral sea: physical environment, ecosystem status and biodiversity assets. Adv. Mar. Biol. 66, 213–290.</w:t>
      </w:r>
    </w:p>
    <w:bookmarkEnd w:id="209"/>
    <w:p w14:paraId="24FAF5EF" w14:textId="77777777" w:rsidR="00443161" w:rsidRPr="00632830" w:rsidRDefault="00443161" w:rsidP="00443161">
      <w:r w:rsidRPr="00632830">
        <w:lastRenderedPageBreak/>
        <w:t>Cheng, C., Wu, F., Ren, C., Jiang, X., Zhang, X., Li, X., Luo, P., Hu, C., Chen, T., 2021. Aquaculture of the tropical sea cucumber, Stichopus monotuberculatus: Induced spawning, detailed records of gonadal and embryonic development, and improvements in larval breeding by digestive enzyme supply in diet. Aquaculture 540, 736690. https://doi.org/10.1016/j.aquaculture.2021.736690</w:t>
      </w:r>
    </w:p>
    <w:p w14:paraId="4AB9A8BE" w14:textId="77777777" w:rsidR="00443161" w:rsidRPr="00632830" w:rsidRDefault="00443161" w:rsidP="00443161">
      <w:r w:rsidRPr="00632830">
        <w:t>Chieu, H.D., Premachandra, H.K.A., Powell, D., Knibb, W., 2023. Genome-wide SNP analyses reveal a substantial gene flow and isolated-genetic structure of sea cucumber Holothuria leucospilota populations in Western Central Pacific. Fisheries Research 264, 106718. https://doi.org/10.1016/j.fishres.2023.106718</w:t>
      </w:r>
    </w:p>
    <w:p w14:paraId="71295843" w14:textId="533AF37C" w:rsidR="00236B55" w:rsidRPr="00632830" w:rsidRDefault="00236B55" w:rsidP="00443161">
      <w:r w:rsidRPr="00632830">
        <w:t>Choukroun, M., Harrison, H., Hoey, A., Prachett, M., 2021. Coral Sea - Coral Reef Health Project: In situ measurements of water temperature and current flow (Report to the Director of National Parks). JCU, Townsville.</w:t>
      </w:r>
    </w:p>
    <w:p w14:paraId="2E74B59E" w14:textId="22F6CD29" w:rsidR="00443161" w:rsidRPr="00632830" w:rsidRDefault="00443161" w:rsidP="00443161">
      <w:r w:rsidRPr="00632830">
        <w:t>CITES, 1973. Convention on International Trade in Endangered Species of Wild Fauna and Flora.</w:t>
      </w:r>
    </w:p>
    <w:p w14:paraId="4E682E03" w14:textId="77777777" w:rsidR="00443161" w:rsidRPr="00632830" w:rsidRDefault="00443161" w:rsidP="00443161">
      <w:r w:rsidRPr="00632830">
        <w:t>CITES, 2011. Non-detriment findings. Conf. 16.7 (Rev. CoP 17).</w:t>
      </w:r>
    </w:p>
    <w:p w14:paraId="652CB6DA" w14:textId="48151CCF" w:rsidR="00465FC5" w:rsidRDefault="00465FC5" w:rsidP="00443161">
      <w:r w:rsidRPr="00465FC5">
        <w:t>CITES, 2019. Consideration of proposals for amendment of appendices i and ii. Cop18 prop. 45.</w:t>
      </w:r>
      <w:r>
        <w:t xml:space="preserve"> (Rev. 1)</w:t>
      </w:r>
    </w:p>
    <w:p w14:paraId="3548880A" w14:textId="77777777" w:rsidR="00443161" w:rsidRPr="00632830" w:rsidRDefault="00443161" w:rsidP="00443161">
      <w:bookmarkStart w:id="210" w:name="_Hlk151530746"/>
      <w:r w:rsidRPr="00632830">
        <w:t>Collard, M., Eeckhaut, I., Dehairs, F., Dubois, P., 2014. Acid–base physiology response to ocean acidification of two ecologically and economically important holothuroids from contrasting habitats, Holothuria scabra and Holothuria parva. Environmental Science and Pollution Research 21, 13602–13614. https://doi.org/10.1007/s11356-014-3259-z</w:t>
      </w:r>
    </w:p>
    <w:bookmarkEnd w:id="210"/>
    <w:p w14:paraId="164F5182" w14:textId="7D21961B" w:rsidR="00760CC0" w:rsidRPr="00632830" w:rsidRDefault="00760CC0" w:rsidP="00443161">
      <w:r w:rsidRPr="00632830">
        <w:t>Conand, C., 1993. Reproductive biology of the holothurians from the major communities of the New Caledonian Lagoon. Marine Biology 116, 439–450. https://doi.org/10.1007/BF00350061</w:t>
      </w:r>
    </w:p>
    <w:p w14:paraId="4F6F1039" w14:textId="420C750A" w:rsidR="009D6AC5" w:rsidRDefault="009D6AC5" w:rsidP="009D6AC5">
      <w:r>
        <w:t>Conand, C., Gamboa, R., Purcell, S. &amp; Toral-Granda, V.</w:t>
      </w:r>
      <w:r w:rsidR="00931B7A">
        <w:t>,</w:t>
      </w:r>
      <w:r>
        <w:t xml:space="preserve"> 2013a. </w:t>
      </w:r>
      <w:r w:rsidRPr="00667EB5">
        <w:rPr>
          <w:i/>
          <w:iCs/>
        </w:rPr>
        <w:t>Holothuria whitmaei</w:t>
      </w:r>
      <w:r>
        <w:t xml:space="preserve">. The IUCN Red List of Threatened Species 2013: e.T180440A1630988. </w:t>
      </w:r>
      <w:hyperlink r:id="rId81" w:history="1">
        <w:r w:rsidRPr="00CD6BA7">
          <w:rPr>
            <w:rStyle w:val="Hyperlink"/>
          </w:rPr>
          <w:t>http://dx.doi.org/10.2305/IUCN.UK.2013-1.RLTS.T180440A1630988.en</w:t>
        </w:r>
      </w:hyperlink>
    </w:p>
    <w:p w14:paraId="66C16059" w14:textId="34E49475" w:rsidR="00443161" w:rsidRPr="00632830" w:rsidRDefault="00931B7A" w:rsidP="00931B7A">
      <w:r>
        <w:t xml:space="preserve">Conand, C., Purcell, S. &amp; Gamboa, R., 2013b. </w:t>
      </w:r>
      <w:r w:rsidRPr="00667EB5">
        <w:rPr>
          <w:i/>
          <w:iCs/>
        </w:rPr>
        <w:t>Holothuria fuscogilva</w:t>
      </w:r>
      <w:r>
        <w:t>. The IUCN Red List of Threatened Species 2013: e.T200715A2681354. http://dx.doi.org/10.2305/IUCN.UK.2013-1.RLTS.T200715A2681354.en</w:t>
      </w:r>
    </w:p>
    <w:p w14:paraId="0C1536AA" w14:textId="111C5F3D" w:rsidR="00C65FFA" w:rsidRPr="00632830" w:rsidRDefault="00C65FFA" w:rsidP="00443161">
      <w:r w:rsidRPr="00632830">
        <w:t xml:space="preserve">Connie 3.0. CSIRO Connectivity Interface, </w:t>
      </w:r>
      <w:r w:rsidR="00A177A2" w:rsidRPr="00632830">
        <w:t>https://connie.csiro.au/</w:t>
      </w:r>
    </w:p>
    <w:p w14:paraId="239A283A" w14:textId="44DA7708" w:rsidR="00443161" w:rsidRPr="00632830" w:rsidRDefault="00443161" w:rsidP="00443161">
      <w:r w:rsidRPr="00632830">
        <w:t>CSIRO-BOM, 2015. Climate Change in Australia - Projections for Australia’s NRM Regions: WetTropics Sub-Cluster. CSIRO.</w:t>
      </w:r>
    </w:p>
    <w:p w14:paraId="241F5F35" w14:textId="24B900FF" w:rsidR="00E45765" w:rsidRDefault="00E45765" w:rsidP="00443161">
      <w:r w:rsidRPr="00E45765">
        <w:t>DAF, 2017</w:t>
      </w:r>
      <w:r w:rsidR="008E22E1">
        <w:t>a</w:t>
      </w:r>
      <w:r w:rsidRPr="00E45765">
        <w:t>. Queensland Sustainable Fisheries Strategy 2017-2027.</w:t>
      </w:r>
    </w:p>
    <w:p w14:paraId="2F1FDE33" w14:textId="77369910" w:rsidR="008E22E1" w:rsidRDefault="008E22E1" w:rsidP="008E22E1">
      <w:r w:rsidRPr="00FE2645">
        <w:t>DAF, 2017</w:t>
      </w:r>
      <w:r>
        <w:t>b</w:t>
      </w:r>
      <w:r w:rsidRPr="00FE2645">
        <w:t>. spatial catch trends for White Teatfish post removal of the north-south quota boundary in 2014-15 (Report to the Department of the Environment and Energy). Queensland Department of Agriculture and Fisheries.</w:t>
      </w:r>
    </w:p>
    <w:p w14:paraId="24F45344" w14:textId="07DF7F32" w:rsidR="00D82401" w:rsidRPr="00632830" w:rsidRDefault="00D82401" w:rsidP="00443161">
      <w:r w:rsidRPr="00632830">
        <w:t>DAF, 2018. Ecological Risk Assessment Guidelines. Available at https://www.daf.qld.gov.au/business-priorities/fisheries/sustainable/sustainable-fisheries-strategy-overview</w:t>
      </w:r>
    </w:p>
    <w:p w14:paraId="4723ABEC" w14:textId="1E1A99AD" w:rsidR="00B34514" w:rsidRDefault="00B34514" w:rsidP="00443161">
      <w:r w:rsidRPr="00B34514">
        <w:t xml:space="preserve">DAF, 2020. </w:t>
      </w:r>
      <w:r w:rsidR="00C37F72" w:rsidRPr="00C37F72">
        <w:t>Sea Cucumber Fishery (East Coast)</w:t>
      </w:r>
      <w:r w:rsidR="00C37F72">
        <w:t xml:space="preserve">. </w:t>
      </w:r>
      <w:r w:rsidRPr="00B34514">
        <w:t>Status report for reassessment and approval under protected species and export provisions of the Environment Protection and Biodiversity Conservation Act 1999. Fisheries Queensland, Department of Agriculture and Fisheries.</w:t>
      </w:r>
    </w:p>
    <w:p w14:paraId="3ADA8253" w14:textId="70B41201" w:rsidR="00443161" w:rsidRPr="00632830" w:rsidRDefault="00443161" w:rsidP="00443161">
      <w:r w:rsidRPr="00632830">
        <w:t>DAF, 2021</w:t>
      </w:r>
      <w:r w:rsidR="00B137C8" w:rsidRPr="00632830">
        <w:t>a</w:t>
      </w:r>
      <w:r w:rsidRPr="00632830">
        <w:t>. Queensland Sea Cucumber Fishery (East Coast). Status report for reassessment and approval under protected species and export provisions of the Environment Protection and Biodiversity Conservation Act 1999.</w:t>
      </w:r>
    </w:p>
    <w:p w14:paraId="286919D8" w14:textId="6A385FAD" w:rsidR="00B137C8" w:rsidRPr="00632830" w:rsidRDefault="00B137C8" w:rsidP="00443161">
      <w:r w:rsidRPr="00632830">
        <w:t xml:space="preserve">DAF, 2021b. Sea Cucumber Harvest Strategy: 2021-2026. Available at </w:t>
      </w:r>
      <w:hyperlink r:id="rId82" w:history="1">
        <w:r w:rsidRPr="00632830">
          <w:rPr>
            <w:rStyle w:val="Hyperlink"/>
          </w:rPr>
          <w:t>https://www.publications.qld.gov.au/dataset/queensland-fisheries-harvest-strategies/resource/f9ec2eab-9f61-4d49-930f-6f9446102b85</w:t>
        </w:r>
      </w:hyperlink>
      <w:r w:rsidRPr="00632830">
        <w:t xml:space="preserve"> (Accessed 1 June, 2023)</w:t>
      </w:r>
    </w:p>
    <w:p w14:paraId="2C10E2C4" w14:textId="07A471A6" w:rsidR="00087AE1" w:rsidRDefault="00087AE1" w:rsidP="00443161">
      <w:bookmarkStart w:id="211" w:name="_Hlk145419139"/>
      <w:r w:rsidRPr="00087AE1">
        <w:t>DAF, 2021</w:t>
      </w:r>
      <w:r>
        <w:t>c</w:t>
      </w:r>
      <w:r w:rsidRPr="00087AE1">
        <w:t>. Queensland Harvest Strategy Policy V 2.01 (No. FIS/2020/5464).</w:t>
      </w:r>
    </w:p>
    <w:p w14:paraId="70A784FA" w14:textId="26ABE8DB" w:rsidR="0034623E" w:rsidRDefault="0034623E" w:rsidP="00443161">
      <w:r w:rsidRPr="0034623E">
        <w:t>DAF, 2023. Evidence to inform a non-detriment finding for Black teatfish (</w:t>
      </w:r>
      <w:r w:rsidRPr="0034623E">
        <w:rPr>
          <w:i/>
          <w:iCs/>
        </w:rPr>
        <w:t>Holothuria whitmaei</w:t>
      </w:r>
      <w:r w:rsidRPr="0034623E">
        <w:t>) in the Queensland sea cucumber fishery. Fisheries Queensland, Department of Agriculture and Fisheries.</w:t>
      </w:r>
    </w:p>
    <w:p w14:paraId="4F9F4AA8" w14:textId="0F19ED0B" w:rsidR="00581302" w:rsidRDefault="00581302" w:rsidP="00443161">
      <w:r w:rsidRPr="00581302">
        <w:lastRenderedPageBreak/>
        <w:t>DAF, 2024. Application for assessment of the Queensland Sea Cucumber Fishery for approval under the Environment Protection and Biodiversity Conservation Act 1999. Fisheries Queensland, Department of Agriculture and Fisheries.</w:t>
      </w:r>
    </w:p>
    <w:p w14:paraId="5E322760" w14:textId="7D5F647F" w:rsidR="00BB3549" w:rsidRPr="00632830" w:rsidRDefault="00BB3549" w:rsidP="00443161">
      <w:r w:rsidRPr="00632830">
        <w:t>Damschke, S.B. (Ed.), 1997. Sea Cucumber (Beche-de-mer) Fishery Management Workshop. Brisbane 8-9 December 1997. Queensland Fisheries Management Authority, Brisbane.</w:t>
      </w:r>
    </w:p>
    <w:bookmarkEnd w:id="211"/>
    <w:p w14:paraId="4A9E5101" w14:textId="77777777" w:rsidR="00EB62F2" w:rsidRPr="00632830" w:rsidRDefault="00EB62F2" w:rsidP="00EB62F2">
      <w:r w:rsidRPr="00632830">
        <w:t>DAWE, 2021. Assessment of the Queensland Sea Cucumber Fishery (East Coast). Department of Agriculture, Water and the Environment.</w:t>
      </w:r>
    </w:p>
    <w:p w14:paraId="1D5B6BFD" w14:textId="0BB8285C" w:rsidR="006560BD" w:rsidRDefault="006560BD" w:rsidP="00443161">
      <w:bookmarkStart w:id="212" w:name="_Hlk151550942"/>
      <w:r w:rsidRPr="006560BD">
        <w:t>DAWR, 2018. Commonwealth Fisheries Harvest Strategy Policy. Department of Agriculture and Water Resources, Canberra.</w:t>
      </w:r>
    </w:p>
    <w:p w14:paraId="458BF6A3" w14:textId="250B714B" w:rsidR="00443161" w:rsidRPr="00632830" w:rsidRDefault="00443161" w:rsidP="00443161">
      <w:r w:rsidRPr="00632830">
        <w:t>DCCEEW, 2023</w:t>
      </w:r>
      <w:r w:rsidR="00EB62F2" w:rsidRPr="00632830">
        <w:t>a</w:t>
      </w:r>
      <w:r w:rsidRPr="00632830">
        <w:t xml:space="preserve">. Fisheries Assessments. Accessed 1/6/2023. </w:t>
      </w:r>
      <w:hyperlink r:id="rId83" w:history="1">
        <w:r w:rsidRPr="00632830">
          <w:rPr>
            <w:rStyle w:val="Hyperlink"/>
          </w:rPr>
          <w:t>https://www.dcceew.gov.au/environment/marine/publications/factsheet-fisheries-assessments</w:t>
        </w:r>
      </w:hyperlink>
    </w:p>
    <w:bookmarkEnd w:id="212"/>
    <w:p w14:paraId="02F0D817" w14:textId="0C6DFDFC" w:rsidR="00E7080F" w:rsidRPr="00632830" w:rsidRDefault="00E7080F" w:rsidP="00443161">
      <w:r w:rsidRPr="00632830">
        <w:t xml:space="preserve">DCCEEW, 2023b. Letter outlining revised conditions for the fishery is at Attachment A. </w:t>
      </w:r>
    </w:p>
    <w:p w14:paraId="2581AE46" w14:textId="3DE485E1" w:rsidR="00443161" w:rsidRPr="00632830" w:rsidRDefault="00443161" w:rsidP="00443161">
      <w:r w:rsidRPr="00632830">
        <w:t>DEH, 2004. Assessment of the Queensland East Coast Beche-de-mer Fishery.</w:t>
      </w:r>
    </w:p>
    <w:p w14:paraId="7B076BD9" w14:textId="77777777" w:rsidR="00443161" w:rsidRPr="00632830" w:rsidRDefault="00443161" w:rsidP="00443161">
      <w:bookmarkStart w:id="213" w:name="_Hlk139462359"/>
      <w:r w:rsidRPr="00632830">
        <w:t>De la Rosa Castillo, J.E., Gamboa-Álvarez, M., Ponce-Márquez, M., López-Rocha, J., 2023. Active rolling movement record of the sea cucumber Astichopus multifidus 30, 135–143.</w:t>
      </w:r>
    </w:p>
    <w:p w14:paraId="0B000891" w14:textId="422F6725" w:rsidR="00E654AA" w:rsidRPr="00632830" w:rsidRDefault="00E654AA" w:rsidP="00443161">
      <w:bookmarkStart w:id="214" w:name="_Hlk139462377"/>
      <w:bookmarkEnd w:id="213"/>
      <w:r w:rsidRPr="00632830">
        <w:t>Director of National Parks, 2018. Coral Sea Marine Park Management Plan 2018. National Parks, Canberra.</w:t>
      </w:r>
    </w:p>
    <w:p w14:paraId="52404451" w14:textId="481A9883" w:rsidR="00DC0869" w:rsidRDefault="00DC0869" w:rsidP="00DF57A6">
      <w:bookmarkStart w:id="215" w:name="_Hlk139462412"/>
      <w:bookmarkEnd w:id="214"/>
      <w:r w:rsidRPr="00DC0869">
        <w:t>Di Simone, M., Horellou, A., Conand, C., 2021. The listing of three sea cucumber species in CITES Appendix II enters into force 2.</w:t>
      </w:r>
    </w:p>
    <w:p w14:paraId="3A638938" w14:textId="4AB664A7" w:rsidR="00DF57A6" w:rsidRDefault="00DF57A6" w:rsidP="00DF57A6">
      <w:r w:rsidRPr="00DF57A6">
        <w:t>DPIF, 2008. Annual status report 2008 - East Coast Beche-de-mer Fishery.</w:t>
      </w:r>
    </w:p>
    <w:p w14:paraId="6E54F583" w14:textId="77777777" w:rsidR="00AD728A" w:rsidRPr="00632830" w:rsidRDefault="00AD728A" w:rsidP="00AD728A">
      <w:bookmarkStart w:id="216" w:name="_Hlk151531023"/>
      <w:r w:rsidRPr="00632830">
        <w:t>Dutra, L.X.C., Sporcic, M., Murphy, N., 2021. Ecological Risk Assessment for the Effects of Fishing. Report for Torres Strait Fishery: Bêche-de-mer Fishery 2016- 2020 (Report for the Australian Fisheries Management Authority). CSIRO Oceans and Atmosphere.</w:t>
      </w:r>
    </w:p>
    <w:bookmarkEnd w:id="216"/>
    <w:p w14:paraId="3057CB5D" w14:textId="77777777" w:rsidR="00443161" w:rsidRPr="00632830" w:rsidRDefault="00443161" w:rsidP="00443161">
      <w:r w:rsidRPr="00632830">
        <w:t>Eeckhaut, I., Parmentier, E., Becker, P., Da Silva, S.G. and Jangoux, M., 2004. Parasites and biotic diseases in field and cultivated sea cucumbers. In: A. Lovatelli, C. Conand, S. Purcell, S. Uthicke, J.F. Hamel and A. Mercier (eds), Advances in sea cucumber aquaculture and management. Fisheries Technical Paper No. 463, Food and Agriculture Organization of the United Nations, Rome.</w:t>
      </w:r>
    </w:p>
    <w:p w14:paraId="33217AFD" w14:textId="77777777" w:rsidR="00443161" w:rsidRPr="00632830" w:rsidRDefault="00443161" w:rsidP="00443161">
      <w:r w:rsidRPr="00632830">
        <w:t>Eriksson, H., Österblom, H., Crona, B., Troell, M., Andrew, N., Wilen, J., Folke, C., 2015. Contagious exploitation of marine resources. Frontiers in Ecology and the Environment 13, 435–440. https://doi.org/10.1890/140312</w:t>
      </w:r>
    </w:p>
    <w:p w14:paraId="34F8E43A" w14:textId="0AE60595" w:rsidR="0086319F" w:rsidRPr="00632830" w:rsidRDefault="0086319F" w:rsidP="00443161">
      <w:r w:rsidRPr="00632830">
        <w:t>Eriksson, H., Byrne, M., 2015. The sea cucumber fishery in Australia’s Great Barrier Reef Marine Park follows global patterns of serial exploitation. Fish and Fisheries 16, 329–341. https://doi.org/10.1111/faf.12059</w:t>
      </w:r>
    </w:p>
    <w:p w14:paraId="26780B56" w14:textId="3D3F003C" w:rsidR="00443161" w:rsidRPr="00632830" w:rsidRDefault="00443161" w:rsidP="00443161">
      <w:r w:rsidRPr="00632830">
        <w:t>Fabinyi, M., Barclay, K., Eriksson, H., 2017. Chinese Trader Perceptions on Sourcing and Consumption of Endangered Seafood. Frontiers in Marine Science 4. https://doi.org/10.3389/fmars.2017.00181</w:t>
      </w:r>
    </w:p>
    <w:p w14:paraId="6657AA65" w14:textId="77777777" w:rsidR="00443161" w:rsidRPr="00632830" w:rsidRDefault="00443161" w:rsidP="00443161">
      <w:r w:rsidRPr="00632830">
        <w:t>FAO, 2019. Report of the sixth FAO Expert Advisory Panel for the Assessment of Proposals to Amend Appendices I and II of CITES Concerning Commercially-exploited Aquatic Species, FAO Fisheries and Aquaculture Report No. 1255. FAO, Rome.</w:t>
      </w:r>
    </w:p>
    <w:p w14:paraId="0A541C2B" w14:textId="5A3F18B8" w:rsidR="00443161" w:rsidRPr="00632830" w:rsidRDefault="00443161" w:rsidP="00443161">
      <w:r w:rsidRPr="00632830">
        <w:t xml:space="preserve">Fontoura, L., D’Agata, S., Gamoyo, M., Barneche, D.R., Luiz, O.J., Madin, E.M.P., Eggertsen, L., Maina, J.M., 2022. Protecting connectivity promotes successful biodiversity and fisheries conservation. Science 375, 336–340. </w:t>
      </w:r>
      <w:hyperlink r:id="rId84" w:history="1">
        <w:r w:rsidR="00AD3B29" w:rsidRPr="00632830">
          <w:rPr>
            <w:rStyle w:val="Hyperlink"/>
          </w:rPr>
          <w:t>https://doi.org/10.1126/science.abg4351</w:t>
        </w:r>
      </w:hyperlink>
    </w:p>
    <w:p w14:paraId="08C7A119" w14:textId="41C74126" w:rsidR="00AD3B29" w:rsidRPr="00632830" w:rsidRDefault="00AD3B29" w:rsidP="00443161">
      <w:bookmarkStart w:id="217" w:name="_Hlk144468249"/>
      <w:r w:rsidRPr="00632830">
        <w:t>Friedman, K., Eriksson, H., Tardy, E., Pakoa, K., 2010. Management of sea cucumber stocks: patterns of vulnerability and recovery of sea cucumber stocks impacted by fishing: Management of sea cucumber stocks. Fish and Fisheries 12, 75–93. https://doi.org/10.1111/j.1467-2979.2010.00384.x</w:t>
      </w:r>
    </w:p>
    <w:p w14:paraId="12C443BB" w14:textId="5779F8E9" w:rsidR="00AD728A" w:rsidRPr="00632830" w:rsidRDefault="00AD728A" w:rsidP="00443161">
      <w:bookmarkStart w:id="218" w:name="_Hlk139462427"/>
      <w:bookmarkEnd w:id="215"/>
      <w:bookmarkEnd w:id="217"/>
      <w:r w:rsidRPr="00632830">
        <w:t xml:space="preserve">Fulton, E.A., Hobday, A.J., Pethybridge, H., Blanchard, J., Bulman, C., Cheung, W., Dutra, L., Gorton, R., Hutton, T., Lozano-Montes, H., Pecl, G., Plagányi, E.E., Villanueva, C., Zhang, X., 2018. Decadal scale </w:t>
      </w:r>
      <w:r w:rsidRPr="00632830">
        <w:lastRenderedPageBreak/>
        <w:t>projection of changes in Australian fisheries stocks under climate change (FRDC Final Report No. FRDC Project No: 2016/139). Canberra.</w:t>
      </w:r>
    </w:p>
    <w:p w14:paraId="57C96028" w14:textId="1B0B1228" w:rsidR="00443161" w:rsidRPr="00632830" w:rsidRDefault="00443161" w:rsidP="00443161">
      <w:bookmarkStart w:id="219" w:name="_Hlk151530557"/>
      <w:r w:rsidRPr="00632830">
        <w:t>Fulton, E.A., van Putten, E.I., Dutra, L., Melbourne-Thomas, J., Ogier, E., Thomas, L., Rayns, N., Murphy, R., Butler, I., Ghebrezgabhier, D., Hobday, A.J., 2021. Guidance on Adaptation of Commonwealth Fisheries management to climate change (CSIRO Report for FRDC). FRDC, Hobart.</w:t>
      </w:r>
    </w:p>
    <w:p w14:paraId="5AAAB368" w14:textId="77777777" w:rsidR="005543C0" w:rsidRPr="00632830" w:rsidRDefault="005543C0" w:rsidP="00443161">
      <w:bookmarkStart w:id="220" w:name="_Hlk145417446"/>
      <w:bookmarkStart w:id="221" w:name="_Hlk139462452"/>
      <w:bookmarkEnd w:id="218"/>
      <w:bookmarkEnd w:id="219"/>
      <w:r w:rsidRPr="00632830">
        <w:t>Ganter, R., 1994. The Pearl-shellers of Torres Strait: Resource Use, Development and Decline, 1860s-1960s. Melbourne University Press.</w:t>
      </w:r>
    </w:p>
    <w:bookmarkEnd w:id="220"/>
    <w:p w14:paraId="6EFD51D8" w14:textId="6932BDDD" w:rsidR="00443161" w:rsidRPr="00632830" w:rsidRDefault="00443161" w:rsidP="00443161">
      <w:r w:rsidRPr="00632830">
        <w:t>Gardner, M.G., Fitch, A.J., Li, X., 2012. Population genetic structure of Sea Cucumbers (bêche-de-mer) in northern Australia 47.</w:t>
      </w:r>
    </w:p>
    <w:p w14:paraId="48986E18" w14:textId="5C01424F" w:rsidR="00D02346" w:rsidRDefault="00D02346" w:rsidP="00443161">
      <w:r w:rsidRPr="00D02346">
        <w:t>GBRF. 2022. Drones, AI and e-DNA keeping tabs on Great Barrier Reef and animal health https://www.barrierreef.org/news/news/drones-ai-and-edna-keeping-tabs-on-great-barrier-reef-and-animal-health</w:t>
      </w:r>
    </w:p>
    <w:p w14:paraId="7E814820" w14:textId="64E1E198" w:rsidR="0031764C" w:rsidRPr="00632830" w:rsidRDefault="0031764C" w:rsidP="00443161">
      <w:r w:rsidRPr="00632830">
        <w:t>GBRMPA</w:t>
      </w:r>
      <w:r w:rsidR="00C6237C" w:rsidRPr="00632830">
        <w:t>,</w:t>
      </w:r>
      <w:r w:rsidRPr="00632830">
        <w:t xml:space="preserve"> 1998</w:t>
      </w:r>
      <w:r w:rsidR="00C6237C" w:rsidRPr="00632830">
        <w:t>.</w:t>
      </w:r>
      <w:r w:rsidRPr="00632830">
        <w:t xml:space="preserve"> Great Barrier Reef Features (Version 1.4) [Dataset] </w:t>
      </w:r>
      <w:r w:rsidR="00A734CC" w:rsidRPr="00632830">
        <w:t xml:space="preserve">Great Barrier Reef Marine Park Authority. </w:t>
      </w:r>
      <w:r w:rsidRPr="00632830">
        <w:t>2164DB88-FD79-449E-920F-61C37ADE634B. Retrieved from http://www.gbrmpa.gov.au/geoportal.</w:t>
      </w:r>
    </w:p>
    <w:p w14:paraId="2B876487" w14:textId="77777777" w:rsidR="00732839" w:rsidRDefault="00732839" w:rsidP="00AD728A">
      <w:bookmarkStart w:id="222" w:name="_Hlk161088770"/>
      <w:r w:rsidRPr="00732839">
        <w:t>GBRMPA, 2003. Great Barrier Reef Marine Park Zoning Plan 2003. Great Barrier Reef Marine Park Authority.</w:t>
      </w:r>
    </w:p>
    <w:bookmarkEnd w:id="222"/>
    <w:p w14:paraId="5C6F5158" w14:textId="11B36DC9" w:rsidR="00AD728A" w:rsidRPr="00632830" w:rsidRDefault="00AD728A" w:rsidP="00AD728A">
      <w:r w:rsidRPr="00632830">
        <w:t>GBRMPA, 2019. Great Barrier Reef Outlook Report 2019, Great Barrier Reef Marine Park Authority, Townsville</w:t>
      </w:r>
    </w:p>
    <w:p w14:paraId="4A95CD4A" w14:textId="77777777" w:rsidR="00443161" w:rsidRPr="00632830" w:rsidRDefault="00443161" w:rsidP="00443161">
      <w:r w:rsidRPr="00632830">
        <w:t>González-Durán, E., Hernández-Flores, A., Seijo, J.C., Cuevas-Jiménez, A., Moreno-Enriquez, A., 2018. Bioeconomics of the Allee effect in fisheries targeting sedentary resources. ICES Journal of Marine Science 75, 1362–1373. https://doi.org/10.1093/icesjms/fsy018</w:t>
      </w:r>
    </w:p>
    <w:p w14:paraId="6FF16C7E" w14:textId="77777777" w:rsidR="00443161" w:rsidRPr="00632830" w:rsidRDefault="00443161" w:rsidP="00443161">
      <w:bookmarkStart w:id="223" w:name="_Hlk151530882"/>
      <w:r w:rsidRPr="00632830">
        <w:t>González-Durán, E., Hernández-Flores, Á., Headley, M.D., Canul, J.D., 2021. On the effects of temperature and pH on tropical and temperate holothurians. Conserv Physiol 9, coab092. https://doi.org/10.1093/conphys/coab092</w:t>
      </w:r>
    </w:p>
    <w:p w14:paraId="63A27228" w14:textId="77777777" w:rsidR="00443161" w:rsidRPr="00632830" w:rsidRDefault="00443161" w:rsidP="00443161">
      <w:bookmarkStart w:id="224" w:name="_Hlk139462464"/>
      <w:bookmarkEnd w:id="221"/>
      <w:bookmarkEnd w:id="223"/>
      <w:r w:rsidRPr="00632830">
        <w:t>Hammond, A.R., Meyers, L., Purcell, S.W., 2020. Not so sluggish: movement and sediment turnover of the world’s heaviest holothuroid, Thelenota anax. Mar Biol 167, 60. https://doi.org/10.1007/s00227-020-3671-5</w:t>
      </w:r>
    </w:p>
    <w:p w14:paraId="66F6D99B" w14:textId="77777777" w:rsidR="00635D53" w:rsidRPr="00635D53" w:rsidRDefault="00635D53" w:rsidP="00635D53">
      <w:bookmarkStart w:id="225" w:name="_Hlk139462488"/>
      <w:bookmarkEnd w:id="224"/>
      <w:r w:rsidRPr="00635D53">
        <w:t>Harriott, V.J., 1984. Census techniques, distribution, abundance and processing of large sea-cucumber species (echinodermata: holothuroidea) on the Great Barrier Reef (Report to the Great Barrier Reef Marine Park Authority). James Cook University, Townsville, Australia.</w:t>
      </w:r>
    </w:p>
    <w:p w14:paraId="3837E071" w14:textId="3E4519BB" w:rsidR="000571D0" w:rsidRPr="000571D0" w:rsidRDefault="000571D0" w:rsidP="000571D0">
      <w:r w:rsidRPr="000571D0">
        <w:t>Harriott, V.J., 1985. The potential for a beche-de-mer fishery. Aust.Fish. 18–21.</w:t>
      </w:r>
    </w:p>
    <w:p w14:paraId="23B4D855" w14:textId="055515A1" w:rsidR="004C47A1" w:rsidRDefault="004C47A1" w:rsidP="00C0716D">
      <w:r w:rsidRPr="004C47A1">
        <w:t>Harris, P.T., Bridge, T.C.L., Beaman, R.J., Webster, J.M., Nichol, S.L., Brooke, B.P., 2013. Submerged banks in the Great Barrier Reef, Australia, greatly increase available coral reef habitat. ICES Journal of Marine Science 70, 284–293. https://doi.org/10.1093/icesjms/fss165</w:t>
      </w:r>
    </w:p>
    <w:p w14:paraId="392201E5" w14:textId="223D460B" w:rsidR="00C0716D" w:rsidRPr="00632830" w:rsidRDefault="00C0716D" w:rsidP="00C0716D">
      <w:r w:rsidRPr="00632830">
        <w:t xml:space="preserve">Helidoniotis, F., 2021a. Stock assessment of black teatfish (Holothuria whitmaei) in Queensland, Australia. </w:t>
      </w:r>
    </w:p>
    <w:p w14:paraId="5A748449" w14:textId="1D938F18" w:rsidR="00C0716D" w:rsidRPr="00632830" w:rsidRDefault="00C0716D" w:rsidP="00C0716D">
      <w:r w:rsidRPr="00632830">
        <w:t xml:space="preserve">Helidoniotis, F., 2021b. Stock assessment of white teatfish (Holothuria fuscogilva) in Queensland, Australia. </w:t>
      </w:r>
    </w:p>
    <w:p w14:paraId="6A0A4865" w14:textId="32895AFE" w:rsidR="00443161" w:rsidRPr="00632830" w:rsidRDefault="00443161" w:rsidP="00C0716D">
      <w:r w:rsidRPr="00632830">
        <w:t>Hu, C., Xu, Y., Wen, J., Zhang, L., Fan, S., Su, T., 2010. Larval development and juvenile growth of the sea cucumber Stichopus sp. (Curry fish). Aquaculture 300, 73–79. https://doi.org/10.1016/j.aquaculture.2009.09.033</w:t>
      </w:r>
    </w:p>
    <w:p w14:paraId="278831A5" w14:textId="77777777" w:rsidR="00443161" w:rsidRPr="00632830" w:rsidRDefault="00443161" w:rsidP="00443161">
      <w:r w:rsidRPr="00632830">
        <w:t>Hu, C., Li, H., Xia, J., Zhang, L., Luo, P., Fan, S., Peng, P., Yang, H., Wen, J., 2013. Spawning, larval development and juvenile growth of the sea cucumber Stichopus horrens. Aquaculture 404–405, 47–54. https://doi.org/10.1016/j.aquaculture.2013.04.007</w:t>
      </w:r>
    </w:p>
    <w:p w14:paraId="2EE55073" w14:textId="77777777" w:rsidR="00443161" w:rsidRPr="00632830" w:rsidRDefault="00443161" w:rsidP="00443161">
      <w:bookmarkStart w:id="226" w:name="_Hlk151530523"/>
      <w:r w:rsidRPr="00632830">
        <w:t>Hughes T.P., Anderson K.D., Connolly S.R., et al., 2018. Spatial and temporal patterns of mass bleaching of corals in the Anthropocene. Science 359: 80-83.</w:t>
      </w:r>
    </w:p>
    <w:p w14:paraId="35A305BE" w14:textId="77777777" w:rsidR="00443161" w:rsidRPr="00632830" w:rsidRDefault="00443161" w:rsidP="00443161">
      <w:bookmarkStart w:id="227" w:name="_Hlk139462523"/>
      <w:bookmarkEnd w:id="225"/>
      <w:bookmarkEnd w:id="226"/>
      <w:r w:rsidRPr="00632830">
        <w:lastRenderedPageBreak/>
        <w:t>Hutchings, J.A., 2015. Thresholds for impaired species recovery. Proceedings of the Royal Society B: Biological Sciences 282, 20150654. https://doi.org/10.1098/rspb.2015.0654</w:t>
      </w:r>
    </w:p>
    <w:p w14:paraId="4B91638A" w14:textId="77777777" w:rsidR="00443161" w:rsidRPr="00632830" w:rsidRDefault="00443161" w:rsidP="00443161">
      <w:r w:rsidRPr="00632830">
        <w:t>IPCC, 2019. Technical Summary. The Ocean and Cryosphere in a Changing Climate: Special Report of the Intergovernmental Panel on Climate Change, 1st ed. Cambridge University Press. https://doi.org/10.1017/9781009157964</w:t>
      </w:r>
    </w:p>
    <w:p w14:paraId="01A99CCB" w14:textId="02502AF4" w:rsidR="005543C0" w:rsidRPr="00632830" w:rsidRDefault="005543C0" w:rsidP="00007B83">
      <w:bookmarkStart w:id="228" w:name="_Hlk144465217"/>
      <w:r w:rsidRPr="00632830">
        <w:t>IUCN, 2023. The IUCN Red List of Threatened Species. Version 2022-2. &lt;https://www.iucnredlist.org&gt;</w:t>
      </w:r>
    </w:p>
    <w:bookmarkEnd w:id="228"/>
    <w:p w14:paraId="6C454B36" w14:textId="5E8078DD" w:rsidR="00007B83" w:rsidRPr="00632830" w:rsidRDefault="00007B83" w:rsidP="00007B83">
      <w:r w:rsidRPr="00632830">
        <w:t>Johnson, J.E., Welch, D.J., Marshall, P.A., Day, J., Marshall, N., Steinberg, C.R., Benthuysen, J.A., Sun, C., Brodie, J., Marsh, H., Hamann, M., Simpfendorfer, C., 2018. Characterising the values and connectivity of the northeast Australia seascape: Great Barrier Reef, Torres Strait, Coral Sea and Great Sandy Strait. Report to the National Environmental Science Program. Reef and Rainforest Research Centre Limited, Cairns (81 pp).</w:t>
      </w:r>
    </w:p>
    <w:p w14:paraId="77185A1A" w14:textId="77777777" w:rsidR="00443161" w:rsidRPr="00632830" w:rsidRDefault="00443161" w:rsidP="00443161">
      <w:bookmarkStart w:id="229" w:name="_Hlk151530705"/>
      <w:r w:rsidRPr="00632830">
        <w:t>Khalil, M., Doo, S.S., Stuhr, M., Westphal, H., 2023. Long-term physiological responses to combined ocean acidification and warming show energetic trade-offs in an asterinid starfish. Coral Reefs. https://doi.org/10.1007/s00338-023-02388-2</w:t>
      </w:r>
    </w:p>
    <w:bookmarkEnd w:id="229"/>
    <w:p w14:paraId="0FF2889C" w14:textId="49E3D3FA" w:rsidR="00CE4657" w:rsidRPr="00632830" w:rsidRDefault="00CE4657" w:rsidP="00443161">
      <w:r w:rsidRPr="00632830">
        <w:t>Knuckey, I.A., Koopman, M., 2016. Survey to estimate the biomass and recovery of Black teatfish (Holothuria whitmaei) in Zone 1 of the Queensland Sea Cucumber Fishery (East Coast). Fishwell Consulting.</w:t>
      </w:r>
    </w:p>
    <w:p w14:paraId="16DB2CBE" w14:textId="7B3F2AB0" w:rsidR="00CE4657" w:rsidRPr="00632830" w:rsidRDefault="00CE4657" w:rsidP="00443161">
      <w:r w:rsidRPr="00632830">
        <w:t>Koopman, M., Knuckey, I.A., 2021</w:t>
      </w:r>
      <w:r w:rsidR="001A7663">
        <w:t>a</w:t>
      </w:r>
      <w:r w:rsidRPr="00632830">
        <w:t>. Biomass survey of Black Teatfish in Zone 2 of the Queensland Sea Cucumber Fishery (East Coast). Fishwell Consulting.</w:t>
      </w:r>
    </w:p>
    <w:p w14:paraId="0440C5E7" w14:textId="43F4DA9A" w:rsidR="00307961" w:rsidRDefault="00307961" w:rsidP="00443161">
      <w:r w:rsidRPr="00307961">
        <w:t>Koopman, M., Knuckey, I., 2021</w:t>
      </w:r>
      <w:r w:rsidRPr="00480C32">
        <w:t>b</w:t>
      </w:r>
      <w:r w:rsidRPr="00307961">
        <w:t>. Options to survey White Teatfish (</w:t>
      </w:r>
      <w:r w:rsidRPr="00307961">
        <w:rPr>
          <w:i/>
          <w:iCs/>
        </w:rPr>
        <w:t>Holothuria fuscogilva</w:t>
      </w:r>
      <w:r w:rsidRPr="00307961">
        <w:t>) in the Queensland Sea Cucumber Fishery (East Coast) (Report to the Department of Agriculture, Water and the Environment).</w:t>
      </w:r>
    </w:p>
    <w:p w14:paraId="2E9BFFC5" w14:textId="077A9207" w:rsidR="00220A7F" w:rsidRPr="00632830" w:rsidRDefault="00220A7F" w:rsidP="00443161">
      <w:r w:rsidRPr="00632830">
        <w:t>Koopman, M., Knuckey, I., 2023. Proposed design of a biomass survey of Prickly Redfish (</w:t>
      </w:r>
      <w:r w:rsidRPr="00632830">
        <w:rPr>
          <w:i/>
          <w:iCs/>
        </w:rPr>
        <w:t>Thelenota ananas</w:t>
      </w:r>
      <w:r w:rsidRPr="00632830">
        <w:t>) and Curryfish (</w:t>
      </w:r>
      <w:r w:rsidRPr="00632830">
        <w:rPr>
          <w:i/>
          <w:iCs/>
        </w:rPr>
        <w:t>Stichopus herrmanni, S. vastus, and S. ocellatus</w:t>
      </w:r>
      <w:r w:rsidRPr="00632830">
        <w:t>) in the Queensland Sea Cucumber Fishery (East Coast). Fishwell.</w:t>
      </w:r>
    </w:p>
    <w:p w14:paraId="3CB834AF" w14:textId="7A931B82" w:rsidR="007224EF" w:rsidRPr="00632830" w:rsidRDefault="007224EF" w:rsidP="00443161">
      <w:r w:rsidRPr="00632830">
        <w:t>Leeworthy, G., 2007</w:t>
      </w:r>
      <w:r w:rsidR="00BC23B9" w:rsidRPr="00632830">
        <w:t>a</w:t>
      </w:r>
      <w:r w:rsidRPr="00632830">
        <w:t>. Survey of the burrowing blackfish (</w:t>
      </w:r>
      <w:r w:rsidRPr="00632830">
        <w:rPr>
          <w:i/>
          <w:iCs/>
        </w:rPr>
        <w:t>Actinopyga spinea</w:t>
      </w:r>
      <w:r w:rsidRPr="00632830">
        <w:t>) stocks on the Great Barrier Reef, Queensland, using the hip-chain transect method for underwater visual census. Gould Reef, 2004. (Research report for the Queensland Sea Cucumber Association.).</w:t>
      </w:r>
    </w:p>
    <w:p w14:paraId="717A319F" w14:textId="78934BC6" w:rsidR="00BC23B9" w:rsidRPr="00632830" w:rsidRDefault="00BC23B9" w:rsidP="00443161">
      <w:r w:rsidRPr="00632830">
        <w:t>Leeworthy, G., 2007b. Survey of the burrowing blackfish (Actinopyga spinea) stocks on the Great Barrier Reef, Queensland, using the hip-chain transect method for underwater visual census. Lizard Island/Waining Reef, January 2005. (Research report for the Queensland Sea Cucumber Association.).</w:t>
      </w:r>
    </w:p>
    <w:p w14:paraId="5D255754" w14:textId="77777777" w:rsidR="00983FD7" w:rsidRPr="00632830" w:rsidRDefault="00983FD7" w:rsidP="00983FD7">
      <w:r w:rsidRPr="00632830">
        <w:t>Lough, J.M., Anderson, K.D. and Hughes, T.P. 2018, Increasing thermal stress for tropical coral reefs: 1871– 2017, Scientific Reports 8(1): 6079.</w:t>
      </w:r>
    </w:p>
    <w:p w14:paraId="5BA987F9" w14:textId="6B80B213" w:rsidR="009807F8" w:rsidRPr="00632830" w:rsidRDefault="009807F8" w:rsidP="00443161">
      <w:r w:rsidRPr="00632830">
        <w:t>McCook, L.J., Ayling, T., Cappo, M., Choat, J.H., Evans, R.D., De Freitas, D.M., Heupel, M., Hughes, T.P., Jones, G.P., Mapstone, B., Marsh, H., Mills, M., Molloy, F.J., Pitcher, C.R., Pressey, R.L., Russ, G.R., Sutton, S., Sweatman, H., Tobin, R., Wachenfeld, D.R., Williamson, D.H., 2010. Adaptive management of the Great Barrier Reef: A globally significant demonstration of the benefits of networks of marine reserves. Proceedings of the National Academy of Sciences 107, 18278–18285. https://doi.org/10.1073/pnas.0909335107</w:t>
      </w:r>
    </w:p>
    <w:p w14:paraId="0306F683" w14:textId="638E0D85" w:rsidR="00443161" w:rsidRPr="00632830" w:rsidRDefault="00443161" w:rsidP="00443161">
      <w:bookmarkStart w:id="230" w:name="_Hlk151530594"/>
      <w:r w:rsidRPr="00632830">
        <w:t>McInnes, K. et al., 2015, Wet Tropics Cluster Report, Climate Change in Australia Projections for Australia’s Natural Resource Management Regions: Cluster Reports, eds. Ekström, M. et al., CSIRO and Bureau of Meteorology, Australia.</w:t>
      </w:r>
    </w:p>
    <w:p w14:paraId="39B14309" w14:textId="539882CB" w:rsidR="006D6FA3" w:rsidRDefault="006D6FA3" w:rsidP="00443161">
      <w:bookmarkStart w:id="231" w:name="_Hlk139462593"/>
      <w:bookmarkEnd w:id="227"/>
      <w:bookmarkEnd w:id="230"/>
      <w:r w:rsidRPr="006D6FA3">
        <w:t xml:space="preserve">Minami, Y., 2011. Breeding Trials during the Planktonic and Benthic Stages of Sea Cucumbers (Holothuria nobilis and H. scabra). Aquaculture Science 59, 393–401. </w:t>
      </w:r>
      <w:hyperlink r:id="rId85" w:history="1">
        <w:r w:rsidRPr="006430DA">
          <w:rPr>
            <w:rStyle w:val="Hyperlink"/>
          </w:rPr>
          <w:t>https://doi.org/10.11233/aquaculturesci.59.393</w:t>
        </w:r>
      </w:hyperlink>
    </w:p>
    <w:p w14:paraId="3D2BBD2E" w14:textId="07DCB8FC" w:rsidR="00443161" w:rsidRPr="00632830" w:rsidRDefault="00443161" w:rsidP="00443161">
      <w:r w:rsidRPr="00632830">
        <w:t>MSC, 2022. MSC Fisheries Certification Process and Guidance v3.0. Marine Stewardship Council.</w:t>
      </w:r>
    </w:p>
    <w:p w14:paraId="677EA708" w14:textId="0EF4B314" w:rsidR="009807F8" w:rsidRPr="00632830" w:rsidRDefault="009807F8" w:rsidP="00443161">
      <w:bookmarkStart w:id="232" w:name="_Hlk145417417"/>
      <w:bookmarkStart w:id="233" w:name="_Hlk139462607"/>
      <w:bookmarkEnd w:id="231"/>
      <w:r w:rsidRPr="00632830">
        <w:t>Mullins, S., 1992. The Torres Strait Beche-De-Mer Fishery: A Question of Timing. The Great Circle 14, 21–30.</w:t>
      </w:r>
    </w:p>
    <w:p w14:paraId="391D2DD9" w14:textId="71A728AA" w:rsidR="009807F8" w:rsidRPr="00632830" w:rsidRDefault="009807F8" w:rsidP="00443161">
      <w:r w:rsidRPr="00632830">
        <w:lastRenderedPageBreak/>
        <w:t>Mullins, S., 1995. Torres Strait: a history of colonial occupation and culture contact, 1864-1897. Central Queensland University Press, Rockhampton, Qld.</w:t>
      </w:r>
    </w:p>
    <w:bookmarkEnd w:id="232"/>
    <w:p w14:paraId="52057364" w14:textId="5C86C414" w:rsidR="00443161" w:rsidRPr="00632830" w:rsidRDefault="00443161" w:rsidP="00443161">
      <w:r w:rsidRPr="00632830">
        <w:t>Murphy, N., Skewes, T., Filewood, F., David, C., Seden, P., Jones, A., 2011. The recovery of the Holothuria scabra (sandfish) population on Warrior Reef, Torres Strait (CSIRO Wealth from Oceans Flagship Final Report, CSIRO, Cleveland).</w:t>
      </w:r>
    </w:p>
    <w:p w14:paraId="4CD90047" w14:textId="029CFA3E" w:rsidR="0069474A" w:rsidRDefault="0069474A" w:rsidP="00AD728A">
      <w:r w:rsidRPr="0069474A">
        <w:t>Murphy, N., Skewes, T., McLeod, I., Dovers, E., Carr, S., 2012. Reef Gardens in Torres Strait-Community based management in action 2012.</w:t>
      </w:r>
    </w:p>
    <w:p w14:paraId="6A348788" w14:textId="5A781C0D" w:rsidR="00AD728A" w:rsidRPr="00632830" w:rsidRDefault="00AD728A" w:rsidP="00AD728A">
      <w:r w:rsidRPr="00632830">
        <w:t>Murphy, N., Plaganyi, E., Edgar, S., Salee, K., Skewes, T., 2021</w:t>
      </w:r>
      <w:r w:rsidR="009C7DFE">
        <w:t>a</w:t>
      </w:r>
      <w:r w:rsidRPr="00632830">
        <w:t>. Stock survey of sea cucumbers in East Torres Strait (Final report.). CSIRO, Australia.</w:t>
      </w:r>
    </w:p>
    <w:bookmarkEnd w:id="233"/>
    <w:p w14:paraId="52FA4A95" w14:textId="6321ED10" w:rsidR="009C7DFE" w:rsidRDefault="009C7DFE" w:rsidP="00443161">
      <w:r w:rsidRPr="009C7DFE">
        <w:t>Murphy, N.E., Skewes, T.D., Plagányi, É.E., 2021</w:t>
      </w:r>
      <w:r>
        <w:t>b</w:t>
      </w:r>
      <w:r w:rsidRPr="009C7DFE">
        <w:t>. Updated conversion ratios for beche-de-mer species in Torres Strait, Australia. SPC Beche-de-mer Information Bulletin #41 – March 2021 3.</w:t>
      </w:r>
    </w:p>
    <w:p w14:paraId="6360C84E" w14:textId="479C51C8" w:rsidR="00760CC0" w:rsidRPr="00632830" w:rsidRDefault="00760CC0" w:rsidP="00443161">
      <w:r w:rsidRPr="00632830">
        <w:t>NESP, 2018. Climate change in the Torres Strait: implications for fisheries and marine ecosystems (Earth Systems and Climate Change Hub Report No. 4). NESP Earth Systems and Climate Change Hub, Australia.</w:t>
      </w:r>
    </w:p>
    <w:p w14:paraId="6FCF7A8D" w14:textId="57A018F0" w:rsidR="00CE4657" w:rsidRPr="00632830" w:rsidRDefault="00CE4657" w:rsidP="00443161">
      <w:r w:rsidRPr="00632830">
        <w:t>Noriega, R., Keller, K., Butler, I., Curtotti, R., 2022. Coral Sea Fishery: Fishery status reports 2022, in: Fishery Status Reports 2022. Australian Bureau of Agricultural and Resource Economics and Sciences, Canberra.</w:t>
      </w:r>
    </w:p>
    <w:p w14:paraId="254DF6D4" w14:textId="019F731D" w:rsidR="002D3C4F" w:rsidRPr="00632830" w:rsidRDefault="002D3C4F" w:rsidP="00443161">
      <w:bookmarkStart w:id="234" w:name="_Hlk139462635"/>
      <w:r w:rsidRPr="00632830">
        <w:t>Pidd, A., Jacobsen, I., 2021. Level 1 Ecological Risk Assessment Queensland Sea Cucumber Fishery (East Coast). Fisheries Queensland, Brisbane.</w:t>
      </w:r>
    </w:p>
    <w:p w14:paraId="7B7E0AB7" w14:textId="23A8D08B" w:rsidR="00795C00" w:rsidRPr="00632830" w:rsidRDefault="00795C00" w:rsidP="00443161">
      <w:bookmarkStart w:id="235" w:name="_Hlk151532327"/>
      <w:bookmarkEnd w:id="234"/>
      <w:r w:rsidRPr="00632830">
        <w:t>Pitcher, C.R., Doherty, P., Arnold, P., Hooper, J., Gribble, N., et al., 2007. Seabed biodiversity on the continental shelf of the Great Barrier Reef World Heritage Area (AIMS/CSIRO/QM/QDPI CRC Reef Research Task Final Report). CSIRO Marine and Atmospheric Research, Cleveland, Qld.</w:t>
      </w:r>
    </w:p>
    <w:p w14:paraId="1B24BF98" w14:textId="35684078" w:rsidR="00443161" w:rsidRPr="00632830" w:rsidRDefault="00443161" w:rsidP="00443161">
      <w:bookmarkStart w:id="236" w:name="_Hlk151530921"/>
      <w:bookmarkEnd w:id="235"/>
      <w:r w:rsidRPr="00632830">
        <w:t>Plagányi, É.E., Skewes, T.D., Dowling, N.A., Haddon, M., 2013. Risk management tools for sustainable fisheries management under changing climate: a sea cucumber example. Climatic Change 119, 181–197. https://doi.org/10.1007/s10584-012-0596-0</w:t>
      </w:r>
    </w:p>
    <w:p w14:paraId="6BD6DEBE" w14:textId="77777777" w:rsidR="00443161" w:rsidRPr="00632830" w:rsidRDefault="00443161" w:rsidP="00443161">
      <w:r w:rsidRPr="00632830">
        <w:t>Plagányi, É.E., Skewes, T., Murphy, N., Pascual, R., Fischer, M., 2015. Crop rotations in the sea: Increasing returns and reducing risk of collapse in sea cucumber fisheries. Proceedings of the National Academy of Sciences 112, 6760–6765. https://doi.org/10.1073/pnas.1406689112</w:t>
      </w:r>
    </w:p>
    <w:p w14:paraId="2D2C0587" w14:textId="77777777" w:rsidR="00443161" w:rsidRPr="00632830" w:rsidRDefault="00443161" w:rsidP="00443161">
      <w:bookmarkStart w:id="237" w:name="_Hlk139462752"/>
      <w:bookmarkEnd w:id="236"/>
      <w:r w:rsidRPr="00632830">
        <w:t>Prescott, J., Vogel, C., Pollock, K., Hyson, S., Oktaviani, D., Panggabean, A.S., 2013. Estimating sea cucumber abundance and exploitation rates using removal methods. Mar. Freshwater Res. 64, 599–608. https://doi.org/10.1071/MF12081</w:t>
      </w:r>
    </w:p>
    <w:p w14:paraId="0CDCD21B" w14:textId="77777777" w:rsidR="00443161" w:rsidRPr="00632830" w:rsidRDefault="00443161" w:rsidP="00443161">
      <w:r w:rsidRPr="00632830">
        <w:t>Prescott, J., Riwu, J., Prasetyo, A.P., Stacey, N., 2017. The money side of livelihoods: Economics of an unregulated small-scale Indonesian sea cucumber fishery in the Timor Sea. Marine Policy 82, 197–205. https://doi.org/10.1016/j.marpol.2017.03.033</w:t>
      </w:r>
    </w:p>
    <w:p w14:paraId="197939FA" w14:textId="20DC97A1" w:rsidR="00723972" w:rsidRDefault="00723972" w:rsidP="00443161">
      <w:r w:rsidRPr="00723972">
        <w:t xml:space="preserve">Prince, J., </w:t>
      </w:r>
      <w:r>
        <w:t xml:space="preserve">and </w:t>
      </w:r>
      <w:r w:rsidRPr="00723972">
        <w:t xml:space="preserve">Hordyk, A., 2019. What to do when you have almost nothing: A simple quantitative prescription for managing extremely data-poor fisheries. Fish and Fisheries 20, 224–238. </w:t>
      </w:r>
      <w:hyperlink r:id="rId86" w:history="1">
        <w:r w:rsidRPr="008418C4">
          <w:rPr>
            <w:rStyle w:val="Hyperlink"/>
          </w:rPr>
          <w:t>https://doi.org/10.1111/faf.12335</w:t>
        </w:r>
      </w:hyperlink>
    </w:p>
    <w:p w14:paraId="70AA915F" w14:textId="3EDF597F" w:rsidR="004B1E0C" w:rsidRDefault="004B1E0C" w:rsidP="00443161">
      <w:r w:rsidRPr="004B1E0C">
        <w:t>Purcell, S.W., Lovatelli, A., Vasconcellos, M., Ye, Y., 2010. Managing sea cucumber fisheries with an ecosystem approach, FAO fisheries and aquaculture technical paper. Food and Agriculture Organization of the United Nations, Rome.</w:t>
      </w:r>
    </w:p>
    <w:p w14:paraId="39FDB22F" w14:textId="602B1AA8" w:rsidR="00443161" w:rsidRPr="00632830" w:rsidRDefault="00443161" w:rsidP="00443161">
      <w:r w:rsidRPr="00632830">
        <w:t>Purcell, S.W., Mercier, A., Conand, C., Hamel, J.-F., Toral-Granda, M.V., Lovatelli, A., Uthicke, S., 2013. Sea cucumber fisheries: global analysis of stocks, management measures and drivers of overfishing: Management of sea cucumber fisheries. Fish and Fisheries 14, 34–59. https://doi.org/10.1111/j.1467-2979.2011.00443.x</w:t>
      </w:r>
    </w:p>
    <w:p w14:paraId="54A9937C" w14:textId="77777777" w:rsidR="00443161" w:rsidRPr="00632830" w:rsidRDefault="00443161" w:rsidP="00443161">
      <w:r w:rsidRPr="00632830">
        <w:t>Purcell, S.W., Polidoro, B.A., Hamel, J.-F., Gamboa, R.U., Mercier, A., 2014. The cost of being valuable: predictors of extinction risk in marine invertebrates exploited as luxury seafood. Proceedings of the Royal Society B: Biological Sciences 281, 20133296–20133296. https://doi.org/10.1098/rspb.2013.3296</w:t>
      </w:r>
    </w:p>
    <w:p w14:paraId="088BD0CB" w14:textId="37DE8FBD" w:rsidR="00443161" w:rsidRPr="00632830" w:rsidRDefault="00443161" w:rsidP="00443161">
      <w:r w:rsidRPr="00632830">
        <w:lastRenderedPageBreak/>
        <w:t>Purcell, S.W., Conand, C., Uthicke, S., Byrne, M., 2016</w:t>
      </w:r>
      <w:r w:rsidR="00A26B98" w:rsidRPr="00632830">
        <w:t>a</w:t>
      </w:r>
      <w:r w:rsidRPr="00632830">
        <w:t>. Ecological roles of exploited sea cucumbers: a review. Oceanography and Marine Biology: An Annual Review</w:t>
      </w:r>
    </w:p>
    <w:p w14:paraId="1222EDE9" w14:textId="703D2737" w:rsidR="0002370A" w:rsidRPr="00632830" w:rsidRDefault="0002370A" w:rsidP="00443161">
      <w:bookmarkStart w:id="238" w:name="_Hlk145417655"/>
      <w:bookmarkStart w:id="239" w:name="_Hlk139462773"/>
      <w:bookmarkEnd w:id="237"/>
      <w:r w:rsidRPr="00632830">
        <w:t>Purcell, S.W., Lovatelli, A., González-Wangüemert, M., Solís-Marín, F.A., Samyn, Y., Conand, C., 2023</w:t>
      </w:r>
      <w:r w:rsidR="00A26B98" w:rsidRPr="00632830">
        <w:t>a</w:t>
      </w:r>
      <w:r w:rsidRPr="00632830">
        <w:t>. Commercially important sea cucumbers of the world – Second edition., FAO Species Catalogue for Fishery Purposes No. 6, Rev. 1. FAO, Rome. https://doi.org/10.4060/cc5230en</w:t>
      </w:r>
    </w:p>
    <w:bookmarkEnd w:id="238"/>
    <w:p w14:paraId="40AFDCCF" w14:textId="15FD8D62" w:rsidR="00A26B98" w:rsidRPr="00632830" w:rsidRDefault="00A26B98" w:rsidP="00443161">
      <w:r w:rsidRPr="00632830">
        <w:t xml:space="preserve">Purcell, S.W., Rallings, S.L., Hammond, A.R., 2023b. Long-term home ranging in the large sea cucumber, </w:t>
      </w:r>
      <w:r w:rsidRPr="00632830">
        <w:rPr>
          <w:i/>
          <w:iCs/>
        </w:rPr>
        <w:t>Holothuria fuscopunctata</w:t>
      </w:r>
      <w:r w:rsidRPr="00632830">
        <w:t>. Coral Reefs. https://doi.org/10.1007/s00338-023-02413-4</w:t>
      </w:r>
    </w:p>
    <w:p w14:paraId="0130F28B" w14:textId="41830049" w:rsidR="00443161" w:rsidRPr="00632830" w:rsidRDefault="00443161" w:rsidP="00443161">
      <w:r w:rsidRPr="00632830">
        <w:t>Ramírez-González, J., Moity, N., Andrade-Vera, S., Reyes, H., 2020. Overexploitation and More Than a Decade of Failed Management Leads to No Recovery of the Galápagos Sea Cucumber Fishery. Frontiers in Marine Science 7.</w:t>
      </w:r>
    </w:p>
    <w:p w14:paraId="58C38F34" w14:textId="46A8DF57" w:rsidR="0022191C" w:rsidRDefault="0022191C" w:rsidP="00443161">
      <w:r w:rsidRPr="0022191C">
        <w:t xml:space="preserve">Ramofafia, C., Battaglene, S.C., Bell, J.D., Byrne, M., 2000. Reproductive biology of the commercial sea cucumber </w:t>
      </w:r>
      <w:r w:rsidRPr="00667EB5">
        <w:rPr>
          <w:i/>
          <w:iCs/>
        </w:rPr>
        <w:t>Holothuria fuscogilva</w:t>
      </w:r>
      <w:r w:rsidRPr="0022191C">
        <w:t xml:space="preserve"> in the Solomon Islands. Marine Biology 136, 1045–1056. https://doi.org/10.1007/s002270000310</w:t>
      </w:r>
    </w:p>
    <w:p w14:paraId="5F27B524" w14:textId="7CAECB8B" w:rsidR="006D6FA3" w:rsidRDefault="006D6FA3" w:rsidP="00443161">
      <w:r w:rsidRPr="006D6FA3">
        <w:t xml:space="preserve">Ramofafia, C., Byrne, M., Battaglene, S.C., 2003. Development of three commercial sea cucumbers, </w:t>
      </w:r>
      <w:r w:rsidRPr="006D6FA3">
        <w:rPr>
          <w:i/>
          <w:iCs/>
        </w:rPr>
        <w:t>Holothuria scabra</w:t>
      </w:r>
      <w:r w:rsidRPr="006D6FA3">
        <w:t xml:space="preserve">, </w:t>
      </w:r>
      <w:r w:rsidRPr="006D6FA3">
        <w:rPr>
          <w:i/>
          <w:iCs/>
        </w:rPr>
        <w:t>H. fuscogilva</w:t>
      </w:r>
      <w:r w:rsidRPr="006D6FA3">
        <w:t xml:space="preserve"> and </w:t>
      </w:r>
      <w:r w:rsidRPr="006D6FA3">
        <w:rPr>
          <w:i/>
          <w:iCs/>
        </w:rPr>
        <w:t>Actinopyga mauritiana</w:t>
      </w:r>
      <w:r w:rsidRPr="006D6FA3">
        <w:t>: larval structure and growth. Mar. Freshwater Res. 54, 657–667. https://doi.org/10.1071/mf02145</w:t>
      </w:r>
    </w:p>
    <w:p w14:paraId="22C92D58" w14:textId="1FF3BCDC" w:rsidR="00966FAD" w:rsidRDefault="00966FAD" w:rsidP="0022191C">
      <w:r w:rsidRPr="00966FAD">
        <w:t>Ramofafia, C., Byrne, M., 2001. Assessment of the “tubule recruitment model” in three tropical Aspidochirote holothurians. SPC Beche-de mer Information Bulletin #15 15.</w:t>
      </w:r>
    </w:p>
    <w:p w14:paraId="2F84BA9F" w14:textId="2211DFF3" w:rsidR="0022191C" w:rsidRDefault="0022191C" w:rsidP="0022191C">
      <w:r>
        <w:t>Richmond, R. 1996. The Biology and Ecology of Sea Cucumbers. In: Suggestions for the Management of Sea cucumber Resources in Micronesia: Results of the Workshop ‘A regional management plan for a sustainable Sea Cucumber Fishery for Micronesia’. R. Richmond, (Ed). University of Guam Marine Laboratory Technical Report, No. 101. pp. 7–25. Mangilao, University of Guam.</w:t>
      </w:r>
    </w:p>
    <w:p w14:paraId="44E7F733" w14:textId="3DE9057F" w:rsidR="002D3C4F" w:rsidRPr="00632830" w:rsidRDefault="002D3C4F" w:rsidP="00443161">
      <w:r w:rsidRPr="00632830">
        <w:t>Roelofs, A., 2004. Ecological assessment of Queensland’s East Coast Beche-de-mer Fishery 48pp.</w:t>
      </w:r>
    </w:p>
    <w:p w14:paraId="4DD57352" w14:textId="5D0FDEEC" w:rsidR="00443161" w:rsidRPr="00632830" w:rsidRDefault="00443161" w:rsidP="00443161">
      <w:r w:rsidRPr="00632830">
        <w:t>Rousselet, L., Doglioli, A.M., Maes, C., Blanke, B., Petrenko, A.A., 2016. Impacts of mesoscale activity on the water masses and circulation in the Coral Sea. Journal of Geophysical Research: Oceans 121, 7277–7289. https://doi.org/10.1002/2016JC011861</w:t>
      </w:r>
    </w:p>
    <w:p w14:paraId="2F8E98C8" w14:textId="4315EE6F" w:rsidR="00DF5687" w:rsidRDefault="00DF5687" w:rsidP="00DF5687">
      <w:r>
        <w:t>SAFS, 202</w:t>
      </w:r>
      <w:r w:rsidR="00855CB7">
        <w:t>3</w:t>
      </w:r>
      <w:r>
        <w:t>. Status of Australian fish stocks report. White Teatfish (Sea Cucumber) (202</w:t>
      </w:r>
      <w:r w:rsidR="00855CB7">
        <w:t>3</w:t>
      </w:r>
      <w:r>
        <w:t>)</w:t>
      </w:r>
      <w:r w:rsidRPr="00DF5687">
        <w:t xml:space="preserve"> </w:t>
      </w:r>
      <w:hyperlink r:id="rId87" w:history="1">
        <w:r w:rsidR="00855CB7" w:rsidRPr="005E4CC6">
          <w:rPr>
            <w:rStyle w:val="Hyperlink"/>
          </w:rPr>
          <w:t>https://www.fish.gov.au/report/287-White-Teatfish-(Sea-Cucumber)-2023</w:t>
        </w:r>
      </w:hyperlink>
      <w:r w:rsidRPr="00DF5687">
        <w:t>.</w:t>
      </w:r>
    </w:p>
    <w:p w14:paraId="1FD77D19" w14:textId="57749BEC" w:rsidR="0033383F" w:rsidRPr="00632830" w:rsidRDefault="0033383F" w:rsidP="00443161">
      <w:r w:rsidRPr="00632830">
        <w:t>Saint-Amand, A., Lambrechts, J., Hanert, E., 2023. Biophysical models resolution affects coral connectivity estimates. Sci Rep 13, 9414. https://doi.org/10.1038/s41598-023-36158-5</w:t>
      </w:r>
    </w:p>
    <w:p w14:paraId="63611370" w14:textId="3C510CC4" w:rsidR="00760CC0" w:rsidRPr="00632830" w:rsidRDefault="00760CC0" w:rsidP="00443161">
      <w:r w:rsidRPr="00632830">
        <w:t>Saint-Cast, F., 2008. Multiple time-scale modelling of the circulation in Torres Strait—Australia. Continental Shelf Research 28, 2214–2240. https://doi.org/10.1016/j.csr.2008.03.035</w:t>
      </w:r>
    </w:p>
    <w:p w14:paraId="10B5ECCE" w14:textId="3BF5E50E" w:rsidR="00443161" w:rsidRPr="00632830" w:rsidRDefault="00443161" w:rsidP="00443161">
      <w:bookmarkStart w:id="240" w:name="_Hlk151530675"/>
      <w:r w:rsidRPr="00632830">
        <w:t>Scannella, D., Bono, G., Di Lorenzo, M., Di Maio, F., Falsone, F., Gancitano, V., Garofalo, G., Geraci, M.L., Lauria, V., Mancuso, M., Quattrocchi, F., Sardo, G., Titone, A., Vitale, S., Fiorentino, F., Massi, D., 2022. How does climate change affect a fishable resource? The case of the royal sea cucumber (Parastichopus regalis) in the central Mediterranean Sea. Frontiers in Marine Science 9.</w:t>
      </w:r>
    </w:p>
    <w:bookmarkEnd w:id="240"/>
    <w:p w14:paraId="2E4A5BE0" w14:textId="77777777" w:rsidR="00443161" w:rsidRPr="00632830" w:rsidRDefault="00443161" w:rsidP="00443161">
      <w:r w:rsidRPr="00632830">
        <w:t>Schneider, K., Silverman, J., Woolsey, E., Eriksson, H., Byrne, M., Caldeira, K., 2011. Potential influence of sea cucumbers on coral reef CaCO</w:t>
      </w:r>
      <w:r w:rsidRPr="00632830">
        <w:rPr>
          <w:vertAlign w:val="subscript"/>
        </w:rPr>
        <w:t>3</w:t>
      </w:r>
      <w:r w:rsidRPr="00632830">
        <w:t xml:space="preserve"> budget: A case study at One Tree Reef. J. Geophys. Res. 116, G04032. https://doi.org/10.1029/2011JG001755</w:t>
      </w:r>
    </w:p>
    <w:p w14:paraId="35FC4591" w14:textId="75E09AAA" w:rsidR="00CE4657" w:rsidRPr="00632830" w:rsidRDefault="00CE4657" w:rsidP="00443161">
      <w:r w:rsidRPr="00632830">
        <w:t>Schneider, K., Silverman, J., Kravitz, B., Rivlin, T., Schneider-Mor, A., Barbosa, S., Byrne, M., Caldeira, K., 2013. Inorganic carbon turnover caused by digestion of carbonate sands and metabolic activity of holothurians. Estuarine, Coastal and Shelf Science 133, 217–223. https://doi.org/10.1016/j.ecss.2013.08.029</w:t>
      </w:r>
    </w:p>
    <w:p w14:paraId="02E267FA" w14:textId="77777777" w:rsidR="0022191C" w:rsidRDefault="0022191C" w:rsidP="00443161">
      <w:r w:rsidRPr="0022191C">
        <w:t xml:space="preserve">Shiell, G.R., Uthicke, S., 2006. Reproduction of the commercial sea cucumber </w:t>
      </w:r>
      <w:r w:rsidRPr="00966FAD">
        <w:rPr>
          <w:i/>
          <w:iCs/>
        </w:rPr>
        <w:t>Holothuria whitmaei</w:t>
      </w:r>
      <w:r w:rsidRPr="0022191C">
        <w:t xml:space="preserve"> [Holothuroidea: Aspidochirotida] in the Indian and Pacific Ocean regions of Australia. Marine Biology 148, 973–986. https://doi.org/10.1007/s00227-005-0113-3 </w:t>
      </w:r>
    </w:p>
    <w:p w14:paraId="2B2416C0" w14:textId="42DAA0D9" w:rsidR="003F28A3" w:rsidRDefault="003F28A3" w:rsidP="00443161">
      <w:r w:rsidRPr="003F28A3">
        <w:lastRenderedPageBreak/>
        <w:t>Skewes, T., Dennis, D., Jacobs, D.R., Gordon, S.R., Taranto, T.J., Haywood, M., Pitcher, C.R., Smith, G.P., Milton, D., Poiner, I., 1999. Survey and stock size estimates of the shallow reef (0-15 m deep) and shoal area (15-50 m deep) marine resources and habitat mapping within the Timor Sea MOU74 box. Volume 1: Stock estimates and stock status.</w:t>
      </w:r>
    </w:p>
    <w:p w14:paraId="0D547AF2" w14:textId="5302BD46" w:rsidR="00CE4657" w:rsidRPr="00632830" w:rsidRDefault="00CE4657" w:rsidP="00443161">
      <w:r w:rsidRPr="00632830">
        <w:t>Skewes, T., Murphy, N., McLeod, I., Dovers, E., Burridge, C., Rochester, W., 2010. Torres Strait hand collectables, 2009 survey: Sea cucumber.</w:t>
      </w:r>
    </w:p>
    <w:p w14:paraId="723E739D" w14:textId="77777777" w:rsidR="00443161" w:rsidRPr="00632830" w:rsidRDefault="00443161" w:rsidP="00443161">
      <w:bookmarkStart w:id="241" w:name="_Hlk139462815"/>
      <w:bookmarkEnd w:id="239"/>
      <w:r w:rsidRPr="00632830">
        <w:t>Skewes, T., Plagányi, É., Murphy, N., Pascual, R., Fischer, M., 2014. Evaluating rotational harvest strategies for sea cucumber fisheries. FRDC Final Report. Canberra. 192 pp.</w:t>
      </w:r>
    </w:p>
    <w:p w14:paraId="2F36B561" w14:textId="4E577BF8" w:rsidR="00CE4657" w:rsidRPr="00632830" w:rsidRDefault="00CE4657" w:rsidP="00443161">
      <w:bookmarkStart w:id="242" w:name="_Hlk139462846"/>
      <w:bookmarkEnd w:id="241"/>
      <w:r w:rsidRPr="00632830">
        <w:t>Skewes, T.D., 2017. Coral Sea sea cucumber catch sampling. Catch of two foreign fishing vessels, Coral Sea, February 2017. Tim Skewes Consulting, Brisbane.</w:t>
      </w:r>
    </w:p>
    <w:p w14:paraId="2959FDE4" w14:textId="4F55F221" w:rsidR="009807F8" w:rsidRPr="00632830" w:rsidRDefault="009807F8" w:rsidP="00443161">
      <w:r w:rsidRPr="00632830">
        <w:t>Skewes, T.D., Persson, S., 2017. Coral Sea sea cucumber survey (A report for Parks Australia.). Tim Skewes Consulting.</w:t>
      </w:r>
    </w:p>
    <w:p w14:paraId="34116A56" w14:textId="261A8A4C" w:rsidR="00DE6679" w:rsidRDefault="00DE6679" w:rsidP="00443161">
      <w:r w:rsidRPr="00DE6679">
        <w:t>Skewes, T., 2023</w:t>
      </w:r>
      <w:r>
        <w:t>a</w:t>
      </w:r>
      <w:r w:rsidRPr="00DE6679">
        <w:t>. Expert Advice for the Assessment of Australian Sea Cucumber (Thelenota) Fisheries - Queensland Sea Cucumber Fishery (East Coast) (A report for Australia’s Scientific Authority for the Convention of International Trade in Endangered Species of Wild Fauna and Flora (CITES)). Tim Skewes Consulting.</w:t>
      </w:r>
    </w:p>
    <w:p w14:paraId="41833678" w14:textId="1404B3BD" w:rsidR="00DE6679" w:rsidRDefault="00DE6679" w:rsidP="00443161">
      <w:r w:rsidRPr="00DE6679">
        <w:t>Skewes, T., 2023</w:t>
      </w:r>
      <w:r>
        <w:t>b</w:t>
      </w:r>
      <w:r w:rsidRPr="00DE6679">
        <w:t>. Expert Advice for the Assessment of Australian Sea Cucumber (Thelenota) Fisheries - Coral Sea Fishery (A report for Australia’s Scientific Authority for the Convention of International Trade in Endangered Species of Wild Fauna and Flora (CITES)). Tim Skewes Consulting.</w:t>
      </w:r>
    </w:p>
    <w:p w14:paraId="50B13B7A" w14:textId="4533B4AB" w:rsidR="00DE6679" w:rsidRDefault="00DE6679" w:rsidP="00443161">
      <w:r w:rsidRPr="00DE6679">
        <w:t>Skewes, T., 2023</w:t>
      </w:r>
      <w:r>
        <w:t>c</w:t>
      </w:r>
      <w:r w:rsidRPr="00DE6679">
        <w:t>. Expert Advice for the Assessment of Australian Sea Cucumber (Thelenota) Fisheries - Torres Strait Beche-de-mer Fishery (A report for Australia’s Scientific Authority for the Convention of International Trade in Endangered Species of Wild Fauna and Flora (CITES)). Tim Skewes Consulting.</w:t>
      </w:r>
    </w:p>
    <w:p w14:paraId="5077B292" w14:textId="137027BD" w:rsidR="00DE6679" w:rsidRDefault="00DE6679" w:rsidP="00443161">
      <w:r w:rsidRPr="00DE6679">
        <w:t>Skewes, T., 2023</w:t>
      </w:r>
      <w:r>
        <w:t>d.</w:t>
      </w:r>
      <w:r w:rsidRPr="00DE6679">
        <w:t xml:space="preserve"> Expert Advice for the Assessment of Australian Sea Cucumber (Thelenota) Fisheries - National report (A report for Australia’s Scientific Authority for the Convention of International Trade in Endangered Species of Wild Fauna and Flora (CITES)). Tim Skewes Consulting.</w:t>
      </w:r>
    </w:p>
    <w:p w14:paraId="7AD37441" w14:textId="43B1CBD8" w:rsidR="00443161" w:rsidRPr="00632830" w:rsidRDefault="00443161" w:rsidP="00443161">
      <w:r w:rsidRPr="00632830">
        <w:t xml:space="preserve">Skillings, D.J., Bird, C.E., Toonen, R.J., 2011. Gateways to Hawai‘i: Genetic Population Structure of the Tropical Sea Cucumber </w:t>
      </w:r>
      <w:r w:rsidRPr="00632830">
        <w:rPr>
          <w:i/>
          <w:iCs/>
        </w:rPr>
        <w:t>Holothuria atra</w:t>
      </w:r>
      <w:r w:rsidRPr="00632830">
        <w:t xml:space="preserve">. Journal of Marine Biology 2011, 1–16. </w:t>
      </w:r>
      <w:hyperlink r:id="rId88" w:history="1">
        <w:r w:rsidR="00EB62F2" w:rsidRPr="00632830">
          <w:rPr>
            <w:rStyle w:val="Hyperlink"/>
          </w:rPr>
          <w:t>https://doi.org/10.1155/2011/783030</w:t>
        </w:r>
      </w:hyperlink>
    </w:p>
    <w:p w14:paraId="192BEF5D" w14:textId="2CEEB8A0" w:rsidR="00187FE6" w:rsidRDefault="00187FE6" w:rsidP="00443161">
      <w:r w:rsidRPr="00187FE6">
        <w:t>Smart, J.J., Wortmann, J., Wickens, M.E., 2024</w:t>
      </w:r>
      <w:r>
        <w:t>a</w:t>
      </w:r>
      <w:r w:rsidRPr="00187FE6">
        <w:t>. Stock assessment of Queensland east coast prickly redfish (</w:t>
      </w:r>
      <w:r w:rsidRPr="00B60BB4">
        <w:rPr>
          <w:i/>
          <w:iCs/>
        </w:rPr>
        <w:t>Thelenota ananas</w:t>
      </w:r>
      <w:r w:rsidRPr="00187FE6">
        <w:t>), herrmanni curryfish (</w:t>
      </w:r>
      <w:r w:rsidRPr="00B60BB4">
        <w:rPr>
          <w:i/>
          <w:iCs/>
        </w:rPr>
        <w:t>Stichopus herrmanni</w:t>
      </w:r>
      <w:r w:rsidRPr="00187FE6">
        <w:t>) and vastus curryfish (</w:t>
      </w:r>
      <w:r w:rsidRPr="00B60BB4">
        <w:rPr>
          <w:i/>
          <w:iCs/>
        </w:rPr>
        <w:t>Stichopus vastus</w:t>
      </w:r>
      <w:r w:rsidRPr="00187FE6">
        <w:t>) with data to December 2023 (Technical Report). State of Queensland.</w:t>
      </w:r>
    </w:p>
    <w:p w14:paraId="13849892" w14:textId="5D2D8E24" w:rsidR="00187FE6" w:rsidRDefault="00187FE6" w:rsidP="00443161">
      <w:r w:rsidRPr="00187FE6">
        <w:t>Smart, J.J., Wortmann, J., Wickens, M.E., 2024</w:t>
      </w:r>
      <w:r>
        <w:t>b</w:t>
      </w:r>
      <w:r w:rsidRPr="00187FE6">
        <w:t>. Stock assessment of Queensland east coast burrowing blackfish (</w:t>
      </w:r>
      <w:r w:rsidRPr="00B60BB4">
        <w:rPr>
          <w:i/>
          <w:iCs/>
        </w:rPr>
        <w:t>Actinopyga spinea</w:t>
      </w:r>
      <w:r w:rsidRPr="00187FE6">
        <w:t>), with data to June 2023 (Technical Report). State of Queensland.</w:t>
      </w:r>
    </w:p>
    <w:p w14:paraId="6D8EDC39" w14:textId="1CA3702B" w:rsidR="00B60BB4" w:rsidRDefault="00B60BB4" w:rsidP="00443161">
      <w:r w:rsidRPr="00B60BB4">
        <w:t>Smart, J.J., Wortmann, J., Wickens, M.E., 2024</w:t>
      </w:r>
      <w:r>
        <w:t>c</w:t>
      </w:r>
      <w:r w:rsidRPr="00B60BB4">
        <w:t>. Response to ‘Independent Review of Sea Cucumber Stock Assessments’ (Technical Report). State of Queensland.</w:t>
      </w:r>
    </w:p>
    <w:p w14:paraId="300D7B2A" w14:textId="009BA17D" w:rsidR="00EB62F2" w:rsidRPr="00632830" w:rsidRDefault="00EB62F2" w:rsidP="00443161">
      <w:r w:rsidRPr="00632830">
        <w:t>Smith, T., Roelofs, A., 2011. Evaluating the effectiveness of the Rotational Zoning Scheme for the Queensland East Coast Bêche-de-mer Fishery. Fisheries Queensland, the Department of Employment, Economic Development and Innovation (DEEDI).</w:t>
      </w:r>
    </w:p>
    <w:p w14:paraId="34ABF4A0" w14:textId="574D568D" w:rsidR="00966FAD" w:rsidRDefault="00966FAD" w:rsidP="00966FAD">
      <w:r>
        <w:t xml:space="preserve">Smiley, S. 1988. The dynamics of oogenesis and the annual ovarian cycle of </w:t>
      </w:r>
      <w:r w:rsidRPr="00966FAD">
        <w:rPr>
          <w:i/>
          <w:iCs/>
        </w:rPr>
        <w:t>Stichopus californicus</w:t>
      </w:r>
      <w:r>
        <w:t xml:space="preserve"> (Echinodermata: Holothuroidea). Biol. Bull. 175:79–93.</w:t>
      </w:r>
    </w:p>
    <w:p w14:paraId="1D1FD5C1" w14:textId="150D275E" w:rsidR="00443161" w:rsidRPr="00632830" w:rsidRDefault="00443161" w:rsidP="00443161">
      <w:r w:rsidRPr="00632830">
        <w:t xml:space="preserve">So, J.J., Uthicke, S., Hamel, J.-F., Mercier, A., 2011. Genetic population structure in a commercial marine invertebrate with long-lived lecithotrophic larvae: </w:t>
      </w:r>
      <w:r w:rsidRPr="00632830">
        <w:rPr>
          <w:i/>
          <w:iCs/>
        </w:rPr>
        <w:t>Cucumaria frondosa</w:t>
      </w:r>
      <w:r w:rsidRPr="00632830">
        <w:t xml:space="preserve"> (Echinodermata: Holothuroidea). Marine Biology 158, 859–870. https://doi.org/10.1007/s00227-010-1613-3</w:t>
      </w:r>
    </w:p>
    <w:p w14:paraId="6B819675" w14:textId="126F5647" w:rsidR="009807F8" w:rsidRPr="00632830" w:rsidRDefault="009807F8" w:rsidP="00443161">
      <w:r w:rsidRPr="00632830">
        <w:t>Sumner, R., 1981. A noisome business‐the trepang trade and Queensland. Journal of Australian Studies 5, 61–70. https://doi.org/10.1080/14443058109386837</w:t>
      </w:r>
    </w:p>
    <w:p w14:paraId="757B6F46" w14:textId="54F8E54D" w:rsidR="001572A3" w:rsidRPr="00632830" w:rsidRDefault="001572A3" w:rsidP="00443161">
      <w:bookmarkStart w:id="243" w:name="_Hlk145418709"/>
      <w:r w:rsidRPr="00632830">
        <w:lastRenderedPageBreak/>
        <w:t>Tanita, I., Sanda, T., Iwasaki, T., Ohno, K., Yoshikuni, M., 2023. Artificial rearing of Actinopyga lecanora (Holothuroidea: Holothuriida) with spawning induction using relaxin: Lecithotrophic short larval period. Aquaculture 567, 739226. https://doi.org/10.1016/j.aquaculture.2022.739226</w:t>
      </w:r>
    </w:p>
    <w:bookmarkEnd w:id="243"/>
    <w:p w14:paraId="4E1BBA6D" w14:textId="797037B1" w:rsidR="00236B55" w:rsidRPr="00632830" w:rsidRDefault="00236B55" w:rsidP="00443161">
      <w:r w:rsidRPr="00632830">
        <w:t>Thomas, C.J., Lambrechts, J., Wolanski, E., Traag, V.A., Blondel, V.D., Deleersnijder, E., Hanert, E., 2014. Numerical modelling and graph theory tools to study ecological connectivity in the Great Barrier Reef. Ecological Modelling 272, 160–174. https://doi.org/10.1016/j.ecolmodel.2013.10.002</w:t>
      </w:r>
    </w:p>
    <w:p w14:paraId="4FB7FA2A" w14:textId="77777777" w:rsidR="00443161" w:rsidRPr="00632830" w:rsidRDefault="00443161" w:rsidP="00443161">
      <w:r w:rsidRPr="00632830">
        <w:t>Treml, E., Ford, J., Black, K., Swearer, S., 2015. Identifying the key biophysical drivers, connectivity outcomes, and metapopulation consequences of larval dispersal in the sea. Movement Ecology 3. https://doi.org/10.1186/s40462-015-0045-6</w:t>
      </w:r>
    </w:p>
    <w:p w14:paraId="2BB17D2A" w14:textId="1989987C" w:rsidR="00B47398" w:rsidRDefault="00B47398" w:rsidP="00443161">
      <w:bookmarkStart w:id="244" w:name="_Hlk139462896"/>
      <w:bookmarkEnd w:id="242"/>
      <w:r w:rsidRPr="00B47398">
        <w:t>Uthicke, S., 1999. Sediment bioturbation and impact of feeding activity of Holothuria (Halodeima) atra and Stichopus chloronotus, two sediment feeding holothurians, at Lizard Island, Great Barrier Reef. Bull. Mar. Sci. 64, 129–141.</w:t>
      </w:r>
    </w:p>
    <w:p w14:paraId="409CCCA1" w14:textId="0D4503DA" w:rsidR="00443161" w:rsidRPr="00632830" w:rsidRDefault="00443161" w:rsidP="00443161">
      <w:r w:rsidRPr="00632830">
        <w:t xml:space="preserve">Uthicke, S., Benzie, J.A.H., 2000. Allozyme electrophoresis indicates high gene flow between populations of </w:t>
      </w:r>
      <w:r w:rsidRPr="00632830">
        <w:rPr>
          <w:i/>
          <w:iCs/>
        </w:rPr>
        <w:t>Holothuria</w:t>
      </w:r>
      <w:r w:rsidRPr="00632830">
        <w:t xml:space="preserve"> (Microthele)</w:t>
      </w:r>
      <w:r w:rsidRPr="00632830">
        <w:rPr>
          <w:i/>
          <w:iCs/>
        </w:rPr>
        <w:t xml:space="preserve"> nobilis</w:t>
      </w:r>
      <w:r w:rsidRPr="00632830">
        <w:t xml:space="preserve"> (Holothuroidea: Aspidochirotida) on the Great Barrier Reef. Marine Biology 137, 819–825. https://doi.org/10.1007/s002270000393</w:t>
      </w:r>
    </w:p>
    <w:p w14:paraId="5A6325B0" w14:textId="77777777" w:rsidR="00443161" w:rsidRPr="00632830" w:rsidRDefault="00443161" w:rsidP="00443161">
      <w:r w:rsidRPr="00632830">
        <w:t>Uthicke, S., 2001. Nutrient regeneration by abundant coral reef holothurians. Journal of Experimental Marine Biology and Ecology 265, 153–170. https://doi.org/10.1016/S0022-0981(01)00329-X</w:t>
      </w:r>
    </w:p>
    <w:p w14:paraId="28A9ABAD" w14:textId="77777777" w:rsidR="00443161" w:rsidRPr="00632830" w:rsidRDefault="00443161" w:rsidP="00443161">
      <w:r w:rsidRPr="00632830">
        <w:t xml:space="preserve">Uthicke, S., Benzie, J., 2001. Restricted gene flow between </w:t>
      </w:r>
      <w:r w:rsidRPr="00E530CB">
        <w:rPr>
          <w:i/>
          <w:iCs/>
        </w:rPr>
        <w:t>Holothuria scabra</w:t>
      </w:r>
      <w:r w:rsidRPr="00632830">
        <w:t xml:space="preserve"> (Echinodermata: Holothuroidea) populations along the north-east coast of Australia and the Solomon Islands. Mar. Ecol. Prog. Ser. 216, 109–117. https://doi.org/10.3354/meps216109</w:t>
      </w:r>
    </w:p>
    <w:p w14:paraId="102BE46B" w14:textId="77777777" w:rsidR="00443161" w:rsidRPr="00632830" w:rsidRDefault="00443161" w:rsidP="00443161">
      <w:r w:rsidRPr="00632830">
        <w:t xml:space="preserve">Uthicke, S., Benzie, J.A.H., 2003. Gene flow and population history in high dispersal marine invertebrates: mitochondrial DNA analysis of </w:t>
      </w:r>
      <w:r w:rsidRPr="00632830">
        <w:rPr>
          <w:i/>
          <w:iCs/>
        </w:rPr>
        <w:t>Holothuria nobilis</w:t>
      </w:r>
      <w:r w:rsidRPr="00632830">
        <w:t xml:space="preserve"> (Echinodermata: Holothuroidea) populations from the Indo-Pacific. Molecular Ecology 12, 2635–2648. https://doi.org/10.1046/j.1365-294X.2003.01954.x</w:t>
      </w:r>
    </w:p>
    <w:p w14:paraId="34F4E33D" w14:textId="7D0CA222" w:rsidR="00E530CB" w:rsidRDefault="00E530CB" w:rsidP="00443161">
      <w:r w:rsidRPr="00E530CB">
        <w:t>Uthicke, S., Welch, D., Benzie, J.A.H., 2004. Slow Growth and Lack of Recovery in Overfished Holothurians on the Great Barrier Reef: Evidence from DNA Fingerprints and Repeated Large-Scale Surveys. Conservation Biology 18, 1395–1404. https://doi.org/10.1111/j.1523-1739.2004.00309.x</w:t>
      </w:r>
    </w:p>
    <w:p w14:paraId="7EE684CE" w14:textId="28252B25" w:rsidR="00443161" w:rsidRPr="00632830" w:rsidRDefault="00443161" w:rsidP="00443161">
      <w:r w:rsidRPr="00632830">
        <w:t>Uthicke, S., Purcell, S., 2004. Preservation of genetic diversity in restocking of the sea cucumber Holothuria scabra investigated by allozyme electrophoresis. Canadian Journal of Fisheries and Aquatic Sciences 61, 519–528. https://doi.org/10.1139/f04-013</w:t>
      </w:r>
    </w:p>
    <w:p w14:paraId="6C81CBEB" w14:textId="77777777" w:rsidR="00443161" w:rsidRPr="00632830" w:rsidRDefault="00443161" w:rsidP="00443161">
      <w:r w:rsidRPr="00632830">
        <w:t>Uthicke, S., 2004. Overfishing of holothurians: lessons from the Great Barrier Reef (In Lovatelli A, Conand C, Purcell S, Uthicke S, Hamel J-F and Mercier A (eds). Advances in Sea Cucumber Aquaculture and Management No. Fisheries Technical Paper, 463). FAO, Rome.</w:t>
      </w:r>
    </w:p>
    <w:p w14:paraId="4A78E497" w14:textId="77777777" w:rsidR="00443161" w:rsidRPr="00632830" w:rsidRDefault="00443161" w:rsidP="00443161">
      <w:r w:rsidRPr="00632830">
        <w:t xml:space="preserve">Uthicke, S., Schaffelke, B., Byrne, M., 2009. A boom–bust phylum? Ecological and evolutionary </w:t>
      </w:r>
      <w:bookmarkStart w:id="245" w:name="_Hlk139462909"/>
      <w:r w:rsidRPr="00632830">
        <w:t>consequences of density variations in echinoderms. Ecological Monographs 79, 3–24.</w:t>
      </w:r>
    </w:p>
    <w:bookmarkEnd w:id="244"/>
    <w:p w14:paraId="1AE65631" w14:textId="77777777" w:rsidR="00443161" w:rsidRPr="00632830" w:rsidRDefault="00443161" w:rsidP="00443161">
      <w:r w:rsidRPr="00632830">
        <w:t>Vidal-Ramirez, F., Dove, S., 2016. Diurnal effects of Holothuria atra on seawater carbonate chemistry in a sedimentary environment. Journal of Experimental Marine Biology and Ecology 474, 156–163. https://doi.org/10.1016/j.jembe.2015.10.007</w:t>
      </w:r>
    </w:p>
    <w:p w14:paraId="7713D2D9" w14:textId="6A2790FF" w:rsidR="00F7274B" w:rsidRDefault="00F7274B" w:rsidP="00443161">
      <w:r w:rsidRPr="00F7274B">
        <w:t>Welch, D.J. and Johnson, J.E. 2013</w:t>
      </w:r>
      <w:r>
        <w:t>.</w:t>
      </w:r>
      <w:r w:rsidRPr="00F7274B">
        <w:t xml:space="preserve"> Assessing the vulnerability of Torres Strait fisheries and supporting habitats to climate change. Report to the Australian Fisheries Management Authority. C2O Fisheries, Australia (114pp.).</w:t>
      </w:r>
    </w:p>
    <w:p w14:paraId="20DF67D2" w14:textId="05F28994" w:rsidR="0045792E" w:rsidRDefault="0045792E" w:rsidP="00443161">
      <w:r w:rsidRPr="0045792E">
        <w:t>Wickens, M.E., Smart, J.J., Wortmann, J., 2024. Management strategy evaluation of the Queensland east coast sea cucumber fishery, with data to June 2023. State of Queensland, Brisbane.</w:t>
      </w:r>
    </w:p>
    <w:p w14:paraId="236E91DD" w14:textId="27FD2298" w:rsidR="00B47398" w:rsidRDefault="00B47398" w:rsidP="00443161">
      <w:r w:rsidRPr="00B47398">
        <w:t>Williamson, J.E., Duce, S., Joyce, K.E., Raoult, V., 2021. Putting sea cucumbers on the map: projected holothurian bioturbation rates on a coral reef scale. Coral Reefs. https://doi.org/10.1007/s00338-021-02057-2</w:t>
      </w:r>
    </w:p>
    <w:p w14:paraId="11854768" w14:textId="4EAB79DA" w:rsidR="00443161" w:rsidRPr="00632830" w:rsidRDefault="00443161" w:rsidP="00443161">
      <w:r w:rsidRPr="00632830">
        <w:lastRenderedPageBreak/>
        <w:t>Wolfe, K., Vidal‐Ramirez, F., Dove, S., Deaker, D., Byrne, M., 2017. Altered sediment biota and lagoon habitat carbonate dynamics due to sea cucumber bioturbation in a high-pCO2 environment. Global Change Biology 24, 465–480. https://doi.org/10.1111/gcb.13826</w:t>
      </w:r>
    </w:p>
    <w:p w14:paraId="65559FEF" w14:textId="0FB4DEB8" w:rsidR="00F81832" w:rsidRPr="00632830" w:rsidRDefault="00F81832" w:rsidP="00F81832">
      <w:bookmarkStart w:id="246" w:name="_Hlk139462925"/>
      <w:bookmarkEnd w:id="245"/>
      <w:r w:rsidRPr="00632830">
        <w:t xml:space="preserve">Wolanski, E., Lambrechts, J., Thomas, C., Deleersnijder, E., 2013. The net water circulation through Torres strait. Continental Shelf Research 64, 66–74. </w:t>
      </w:r>
      <w:hyperlink r:id="rId89" w:history="1">
        <w:r w:rsidRPr="00632830">
          <w:rPr>
            <w:rStyle w:val="Hyperlink"/>
          </w:rPr>
          <w:t>https://doi.org/10.1016/j.csr.2013.05.013</w:t>
        </w:r>
      </w:hyperlink>
    </w:p>
    <w:p w14:paraId="7200C1F3" w14:textId="1F0A0C7E" w:rsidR="003044E2" w:rsidRPr="00632830" w:rsidRDefault="003044E2" w:rsidP="00443161">
      <w:bookmarkStart w:id="247" w:name="_Hlk145417226"/>
      <w:r w:rsidRPr="00632830">
        <w:t>Yang, H., Bai, Y., 2015. Chapter 1 - Apostichopus japonicus in the Life of Chinese People, in: Yang, H., Hamel, J.-F., Mercier, A. (Eds.), Developments in Aquaculture and Fisheries Science. Elsevier, pp. 1–23. https://doi.org/10.1016/B978-0-12-799953-1.00001-5</w:t>
      </w:r>
    </w:p>
    <w:p w14:paraId="48AD295A" w14:textId="41BC5B20" w:rsidR="00443161" w:rsidRPr="00632830" w:rsidRDefault="00443161" w:rsidP="00443161">
      <w:bookmarkStart w:id="248" w:name="_Hlk151530775"/>
      <w:bookmarkEnd w:id="247"/>
      <w:r w:rsidRPr="00632830">
        <w:t xml:space="preserve">Yuan, X., Shao, S., Dupont, S., Meng, L., Liu, Y., Wang, L., 2015. Impact of CO2-driven acidification on the development of the sea cucumber </w:t>
      </w:r>
      <w:r w:rsidRPr="00632830">
        <w:rPr>
          <w:i/>
          <w:iCs/>
        </w:rPr>
        <w:t>Apostichopus japonicus</w:t>
      </w:r>
      <w:r w:rsidRPr="00632830">
        <w:t xml:space="preserve"> (Selenka) (Echinodermata: Holothuroidea). Mar Pollut Bull 95, 195–199. https://doi.org/10.1016/j.marpolbul.2015.04.021</w:t>
      </w:r>
    </w:p>
    <w:p w14:paraId="36184CEB" w14:textId="77777777" w:rsidR="00443161" w:rsidRDefault="00443161" w:rsidP="00443161">
      <w:bookmarkStart w:id="249" w:name="_Hlk151530786"/>
      <w:bookmarkEnd w:id="248"/>
      <w:r w:rsidRPr="00632830">
        <w:t xml:space="preserve">Yuan, X., McCoy, S.J., Du, Y., Widdicombe, S., Hall-Spencer, J.M., 2018. Physiological and Behavioral Plasticity of the Sea Cucumber </w:t>
      </w:r>
      <w:r w:rsidRPr="00632830">
        <w:rPr>
          <w:i/>
          <w:iCs/>
        </w:rPr>
        <w:t>Holothuria forskali</w:t>
      </w:r>
      <w:r w:rsidRPr="00632830">
        <w:t xml:space="preserve"> (Echinodermata, Holothuroidea) to Acidified Seawater. Frontiers in Physiology 9.</w:t>
      </w:r>
    </w:p>
    <w:bookmarkEnd w:id="246"/>
    <w:bookmarkEnd w:id="249"/>
    <w:p w14:paraId="03883EF1" w14:textId="77777777" w:rsidR="00443161" w:rsidRDefault="00443161" w:rsidP="00AF37BE"/>
    <w:p w14:paraId="1F9F94F1" w14:textId="77777777" w:rsidR="00813F63" w:rsidRDefault="00813F63" w:rsidP="00AF37BE"/>
    <w:p w14:paraId="6C87E6DC" w14:textId="77777777" w:rsidR="00813F63" w:rsidRDefault="00813F63" w:rsidP="00AF37BE">
      <w:pPr>
        <w:sectPr w:rsidR="00813F63" w:rsidSect="005D5EF2">
          <w:pgSz w:w="11906" w:h="16838" w:code="9"/>
          <w:pgMar w:top="1134" w:right="1134" w:bottom="1134" w:left="1134" w:header="510" w:footer="624" w:gutter="0"/>
          <w:cols w:space="284"/>
          <w:docGrid w:linePitch="360"/>
        </w:sectPr>
      </w:pPr>
    </w:p>
    <w:p w14:paraId="15DEC981" w14:textId="24696AC8" w:rsidR="00813F63" w:rsidRDefault="00813F63" w:rsidP="00A60F4F">
      <w:pPr>
        <w:pStyle w:val="Heading1notnumbered"/>
      </w:pPr>
      <w:bookmarkStart w:id="250" w:name="_Toc189044953"/>
      <w:r>
        <w:lastRenderedPageBreak/>
        <w:t>Appendix A: Marine Park maps</w:t>
      </w:r>
      <w:bookmarkEnd w:id="250"/>
    </w:p>
    <w:p w14:paraId="38191B26" w14:textId="7F005717" w:rsidR="00813F63" w:rsidRDefault="00813F63" w:rsidP="00AF37BE"/>
    <w:p w14:paraId="6C76AE9C" w14:textId="0C90ADA2" w:rsidR="00813F63" w:rsidRDefault="0087257E" w:rsidP="00AF37BE">
      <w:r w:rsidRPr="0087257E">
        <w:rPr>
          <w:noProof/>
          <w:color w:val="2B579A"/>
          <w:shd w:val="clear" w:color="auto" w:fill="E6E6E6"/>
        </w:rPr>
        <w:drawing>
          <wp:inline distT="0" distB="0" distL="0" distR="0" wp14:anchorId="2561D2BB" wp14:editId="34DE1039">
            <wp:extent cx="5982535" cy="6878010"/>
            <wp:effectExtent l="0" t="0" r="0" b="0"/>
            <wp:docPr id="131862127" name="Picture 131862127" descr="A map of th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2127" name="Picture 1" descr="A map of the area&#10;&#10;Description automatically generated"/>
                    <pic:cNvPicPr/>
                  </pic:nvPicPr>
                  <pic:blipFill>
                    <a:blip r:embed="rId90"/>
                    <a:stretch>
                      <a:fillRect/>
                    </a:stretch>
                  </pic:blipFill>
                  <pic:spPr>
                    <a:xfrm>
                      <a:off x="0" y="0"/>
                      <a:ext cx="5982535" cy="6878010"/>
                    </a:xfrm>
                    <a:prstGeom prst="rect">
                      <a:avLst/>
                    </a:prstGeom>
                  </pic:spPr>
                </pic:pic>
              </a:graphicData>
            </a:graphic>
          </wp:inline>
        </w:drawing>
      </w:r>
    </w:p>
    <w:p w14:paraId="7492406A" w14:textId="09D8EC34" w:rsidR="00813F63" w:rsidRDefault="0087257E" w:rsidP="00AF37BE">
      <w:r w:rsidRPr="00813F63">
        <w:rPr>
          <w:noProof/>
          <w:color w:val="2B579A"/>
          <w:shd w:val="clear" w:color="auto" w:fill="E6E6E6"/>
        </w:rPr>
        <w:lastRenderedPageBreak/>
        <w:drawing>
          <wp:inline distT="0" distB="0" distL="0" distR="0" wp14:anchorId="61EA2FE0" wp14:editId="78D6DFA6">
            <wp:extent cx="6120130" cy="5857875"/>
            <wp:effectExtent l="0" t="0" r="0" b="9525"/>
            <wp:docPr id="1522311563" name="Picture 152231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11563" name=""/>
                    <pic:cNvPicPr/>
                  </pic:nvPicPr>
                  <pic:blipFill>
                    <a:blip r:embed="rId91"/>
                    <a:stretch>
                      <a:fillRect/>
                    </a:stretch>
                  </pic:blipFill>
                  <pic:spPr>
                    <a:xfrm>
                      <a:off x="0" y="0"/>
                      <a:ext cx="6120130" cy="5857875"/>
                    </a:xfrm>
                    <a:prstGeom prst="rect">
                      <a:avLst/>
                    </a:prstGeom>
                  </pic:spPr>
                </pic:pic>
              </a:graphicData>
            </a:graphic>
          </wp:inline>
        </w:drawing>
      </w:r>
    </w:p>
    <w:p w14:paraId="547151F3" w14:textId="77777777" w:rsidR="00813F63" w:rsidRDefault="00813F63" w:rsidP="00AF37BE"/>
    <w:p w14:paraId="312519F3" w14:textId="4C833286" w:rsidR="00813F63" w:rsidRDefault="0087257E" w:rsidP="00AF37BE">
      <w:r w:rsidRPr="0087257E">
        <w:rPr>
          <w:noProof/>
          <w:color w:val="2B579A"/>
          <w:shd w:val="clear" w:color="auto" w:fill="E6E6E6"/>
        </w:rPr>
        <w:lastRenderedPageBreak/>
        <w:drawing>
          <wp:inline distT="0" distB="0" distL="0" distR="0" wp14:anchorId="60360C3B" wp14:editId="7C71DDC3">
            <wp:extent cx="6120130" cy="4338955"/>
            <wp:effectExtent l="0" t="0" r="0" b="4445"/>
            <wp:docPr id="185228273" name="Picture 18522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8273" name=""/>
                    <pic:cNvPicPr/>
                  </pic:nvPicPr>
                  <pic:blipFill>
                    <a:blip r:embed="rId92"/>
                    <a:stretch>
                      <a:fillRect/>
                    </a:stretch>
                  </pic:blipFill>
                  <pic:spPr>
                    <a:xfrm>
                      <a:off x="0" y="0"/>
                      <a:ext cx="6120130" cy="4338955"/>
                    </a:xfrm>
                    <a:prstGeom prst="rect">
                      <a:avLst/>
                    </a:prstGeom>
                  </pic:spPr>
                </pic:pic>
              </a:graphicData>
            </a:graphic>
          </wp:inline>
        </w:drawing>
      </w:r>
    </w:p>
    <w:p w14:paraId="4F69D0A8" w14:textId="77777777" w:rsidR="00813F63" w:rsidRDefault="00813F63" w:rsidP="00AF37BE"/>
    <w:p w14:paraId="35312D3F" w14:textId="77777777" w:rsidR="00356C1B" w:rsidRDefault="00356C1B" w:rsidP="00AF37BE"/>
    <w:p w14:paraId="64F0A0CE" w14:textId="77777777" w:rsidR="00356C1B" w:rsidRDefault="00356C1B" w:rsidP="00AF37BE"/>
    <w:p w14:paraId="54153089" w14:textId="5FCF7F2B" w:rsidR="00356C1B" w:rsidRDefault="00356C1B" w:rsidP="00A60F4F">
      <w:pPr>
        <w:pStyle w:val="Heading1notnumbered"/>
      </w:pPr>
      <w:bookmarkStart w:id="251" w:name="_Toc189044954"/>
      <w:r>
        <w:lastRenderedPageBreak/>
        <w:t xml:space="preserve">Appendix B: </w:t>
      </w:r>
      <w:r w:rsidR="00835B4F">
        <w:t>C</w:t>
      </w:r>
      <w:r>
        <w:t>urrent modelling outputs</w:t>
      </w:r>
      <w:bookmarkEnd w:id="251"/>
    </w:p>
    <w:p w14:paraId="6358A551" w14:textId="3A90F66A" w:rsidR="00C130DE" w:rsidRDefault="00C130DE" w:rsidP="00C130DE">
      <w:r>
        <w:t xml:space="preserve">Monthly average currents </w:t>
      </w:r>
      <w:r w:rsidRPr="002B5D82">
        <w:t xml:space="preserve">during </w:t>
      </w:r>
      <w:r>
        <w:t>winter (June) and summer (December) for 2018 to 202</w:t>
      </w:r>
      <w:r w:rsidR="008B0D53">
        <w:t>3</w:t>
      </w:r>
      <w:r>
        <w:t>.</w:t>
      </w:r>
    </w:p>
    <w:p w14:paraId="6021131A" w14:textId="77777777" w:rsidR="008B0D53" w:rsidRDefault="008B0D53" w:rsidP="00C130DE"/>
    <w:tbl>
      <w:tblPr>
        <w:tblStyle w:val="TableGrid"/>
        <w:tblW w:w="9209" w:type="dxa"/>
        <w:tblLayout w:type="fixed"/>
        <w:tblCellMar>
          <w:left w:w="0" w:type="dxa"/>
          <w:right w:w="0" w:type="dxa"/>
        </w:tblCellMar>
        <w:tblLook w:val="04A0" w:firstRow="1" w:lastRow="0" w:firstColumn="1" w:lastColumn="0" w:noHBand="0" w:noVBand="1"/>
      </w:tblPr>
      <w:tblGrid>
        <w:gridCol w:w="298"/>
        <w:gridCol w:w="2958"/>
        <w:gridCol w:w="2976"/>
        <w:gridCol w:w="2977"/>
      </w:tblGrid>
      <w:tr w:rsidR="008B0D53" w:rsidRPr="000D187A" w14:paraId="36056C36" w14:textId="77777777" w:rsidTr="000B319E">
        <w:tc>
          <w:tcPr>
            <w:tcW w:w="298" w:type="dxa"/>
          </w:tcPr>
          <w:p w14:paraId="1DE81DDC" w14:textId="77777777" w:rsidR="008B0D53" w:rsidRPr="000D187A" w:rsidRDefault="008B0D53" w:rsidP="000B319E">
            <w:pPr>
              <w:jc w:val="center"/>
            </w:pPr>
            <w:bookmarkStart w:id="252" w:name="_Ref141958967"/>
          </w:p>
        </w:tc>
        <w:tc>
          <w:tcPr>
            <w:tcW w:w="2958" w:type="dxa"/>
          </w:tcPr>
          <w:p w14:paraId="6CCE385E" w14:textId="77777777" w:rsidR="008B0D53" w:rsidRPr="000D187A" w:rsidRDefault="008B0D53" w:rsidP="000B319E">
            <w:pPr>
              <w:jc w:val="center"/>
            </w:pPr>
            <w:r w:rsidRPr="000D187A">
              <w:t>2018</w:t>
            </w:r>
          </w:p>
        </w:tc>
        <w:tc>
          <w:tcPr>
            <w:tcW w:w="2976" w:type="dxa"/>
          </w:tcPr>
          <w:p w14:paraId="3E5557DF" w14:textId="77777777" w:rsidR="008B0D53" w:rsidRPr="000D187A" w:rsidRDefault="008B0D53" w:rsidP="000B319E">
            <w:pPr>
              <w:jc w:val="center"/>
            </w:pPr>
            <w:r w:rsidRPr="000D187A">
              <w:t>2019</w:t>
            </w:r>
          </w:p>
        </w:tc>
        <w:tc>
          <w:tcPr>
            <w:tcW w:w="2977" w:type="dxa"/>
          </w:tcPr>
          <w:p w14:paraId="6B18EB3D" w14:textId="77777777" w:rsidR="008B0D53" w:rsidRPr="000D187A" w:rsidRDefault="008B0D53" w:rsidP="000B319E">
            <w:pPr>
              <w:jc w:val="center"/>
            </w:pPr>
            <w:r w:rsidRPr="000D187A">
              <w:t>2020</w:t>
            </w:r>
          </w:p>
        </w:tc>
      </w:tr>
      <w:tr w:rsidR="008B0D53" w:rsidRPr="000D187A" w14:paraId="7CF7CABF" w14:textId="77777777" w:rsidTr="000B319E">
        <w:trPr>
          <w:cantSplit/>
          <w:trHeight w:val="4643"/>
        </w:trPr>
        <w:tc>
          <w:tcPr>
            <w:tcW w:w="298" w:type="dxa"/>
            <w:textDirection w:val="btLr"/>
          </w:tcPr>
          <w:p w14:paraId="09152092" w14:textId="77777777" w:rsidR="008B0D53" w:rsidRPr="0016397B" w:rsidRDefault="008B0D53" w:rsidP="000B319E">
            <w:pPr>
              <w:ind w:left="113" w:right="113"/>
              <w:jc w:val="center"/>
            </w:pPr>
            <w:r w:rsidRPr="0016397B">
              <w:t>June</w:t>
            </w:r>
          </w:p>
        </w:tc>
        <w:tc>
          <w:tcPr>
            <w:tcW w:w="2958" w:type="dxa"/>
          </w:tcPr>
          <w:p w14:paraId="0A8F496C" w14:textId="77777777" w:rsidR="008B0D53" w:rsidRPr="000D187A" w:rsidRDefault="008B0D53" w:rsidP="000B319E">
            <w:r w:rsidRPr="000D187A">
              <w:rPr>
                <w:noProof/>
                <w:color w:val="2B579A"/>
                <w:shd w:val="clear" w:color="auto" w:fill="E6E6E6"/>
              </w:rPr>
              <w:drawing>
                <wp:inline distT="0" distB="0" distL="0" distR="0" wp14:anchorId="55177C99" wp14:editId="33BFAFD5">
                  <wp:extent cx="2017475" cy="3096000"/>
                  <wp:effectExtent l="0" t="0" r="1905" b="9525"/>
                  <wp:docPr id="107400899" name="Picture 107400899" descr="A comparison of a map of the s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0899" name="Picture 7" descr="A comparison of a map of the sea&#10;&#10;Description automatically generated with medium confidence"/>
                          <pic:cNvPicPr/>
                        </pic:nvPicPr>
                        <pic:blipFill rotWithShape="1">
                          <a:blip r:embed="rId93" cstate="print">
                            <a:extLst>
                              <a:ext uri="{28A0092B-C50C-407E-A947-70E740481C1C}">
                                <a14:useLocalDpi xmlns:a14="http://schemas.microsoft.com/office/drawing/2010/main"/>
                              </a:ext>
                            </a:extLst>
                          </a:blip>
                          <a:srcRect/>
                          <a:stretch/>
                        </pic:blipFill>
                        <pic:spPr bwMode="auto">
                          <a:xfrm>
                            <a:off x="0" y="0"/>
                            <a:ext cx="2017475" cy="3096000"/>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Pr>
          <w:p w14:paraId="3600798B" w14:textId="77777777" w:rsidR="008B0D53" w:rsidRPr="000D187A" w:rsidRDefault="008B0D53" w:rsidP="000B319E">
            <w:r w:rsidRPr="000D187A">
              <w:rPr>
                <w:noProof/>
                <w:color w:val="2B579A"/>
                <w:shd w:val="clear" w:color="auto" w:fill="E6E6E6"/>
              </w:rPr>
              <w:drawing>
                <wp:inline distT="0" distB="0" distL="0" distR="0" wp14:anchorId="6F5536E8" wp14:editId="6A46A89E">
                  <wp:extent cx="2015490" cy="3096000"/>
                  <wp:effectExtent l="0" t="0" r="3810" b="9525"/>
                  <wp:docPr id="264977607" name="Picture 264977607" descr="A comparison of a map of the s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77607" name="Picture 9" descr="A comparison of a map of the sea&#10;&#10;Description automatically generated with medium confidence"/>
                          <pic:cNvPicPr/>
                        </pic:nvPicPr>
                        <pic:blipFill rotWithShape="1">
                          <a:blip r:embed="rId94" cstate="print">
                            <a:extLst>
                              <a:ext uri="{28A0092B-C50C-407E-A947-70E740481C1C}">
                                <a14:useLocalDpi xmlns:a14="http://schemas.microsoft.com/office/drawing/2010/main"/>
                              </a:ext>
                            </a:extLst>
                          </a:blip>
                          <a:srcRect/>
                          <a:stretch/>
                        </pic:blipFill>
                        <pic:spPr bwMode="auto">
                          <a:xfrm>
                            <a:off x="0" y="0"/>
                            <a:ext cx="2016000" cy="3096783"/>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4B43A402" w14:textId="77777777" w:rsidR="008B0D53" w:rsidRPr="000D187A" w:rsidRDefault="008B0D53" w:rsidP="000B319E">
            <w:r w:rsidRPr="000D187A">
              <w:rPr>
                <w:noProof/>
                <w:color w:val="2B579A"/>
                <w:shd w:val="clear" w:color="auto" w:fill="E6E6E6"/>
              </w:rPr>
              <w:drawing>
                <wp:inline distT="0" distB="0" distL="0" distR="0" wp14:anchorId="2C2C70CE" wp14:editId="34DBAB48">
                  <wp:extent cx="2015490" cy="3096000"/>
                  <wp:effectExtent l="0" t="0" r="3810" b="9525"/>
                  <wp:docPr id="943878039" name="Picture 94387803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78039" name="Picture 11" descr="A screenshot of a map&#10;&#10;Description automatically generated"/>
                          <pic:cNvPicPr/>
                        </pic:nvPicPr>
                        <pic:blipFill rotWithShape="1">
                          <a:blip r:embed="rId95" cstate="print">
                            <a:extLst>
                              <a:ext uri="{28A0092B-C50C-407E-A947-70E740481C1C}">
                                <a14:useLocalDpi xmlns:a14="http://schemas.microsoft.com/office/drawing/2010/main"/>
                              </a:ext>
                            </a:extLst>
                          </a:blip>
                          <a:srcRect/>
                          <a:stretch/>
                        </pic:blipFill>
                        <pic:spPr bwMode="auto">
                          <a:xfrm>
                            <a:off x="0" y="0"/>
                            <a:ext cx="2016000" cy="3096783"/>
                          </a:xfrm>
                          <a:prstGeom prst="rect">
                            <a:avLst/>
                          </a:prstGeom>
                          <a:ln>
                            <a:noFill/>
                          </a:ln>
                          <a:extLst>
                            <a:ext uri="{53640926-AAD7-44D8-BBD7-CCE9431645EC}">
                              <a14:shadowObscured xmlns:a14="http://schemas.microsoft.com/office/drawing/2010/main"/>
                            </a:ext>
                          </a:extLst>
                        </pic:spPr>
                      </pic:pic>
                    </a:graphicData>
                  </a:graphic>
                </wp:inline>
              </w:drawing>
            </w:r>
          </w:p>
        </w:tc>
      </w:tr>
      <w:tr w:rsidR="008B0D53" w:rsidRPr="000D187A" w14:paraId="382AFD2F" w14:textId="77777777" w:rsidTr="000B319E">
        <w:trPr>
          <w:cantSplit/>
          <w:trHeight w:val="1134"/>
        </w:trPr>
        <w:tc>
          <w:tcPr>
            <w:tcW w:w="298" w:type="dxa"/>
            <w:textDirection w:val="btLr"/>
          </w:tcPr>
          <w:p w14:paraId="492A026A" w14:textId="77777777" w:rsidR="008B0D53" w:rsidRPr="0016397B" w:rsidRDefault="008B0D53" w:rsidP="000B319E">
            <w:pPr>
              <w:ind w:left="113" w:right="113"/>
              <w:jc w:val="center"/>
            </w:pPr>
            <w:r w:rsidRPr="0016397B">
              <w:t>December</w:t>
            </w:r>
          </w:p>
        </w:tc>
        <w:tc>
          <w:tcPr>
            <w:tcW w:w="2958" w:type="dxa"/>
          </w:tcPr>
          <w:p w14:paraId="6BAB6E41" w14:textId="77777777" w:rsidR="008B0D53" w:rsidRPr="000D187A" w:rsidRDefault="008B0D53" w:rsidP="000B319E">
            <w:r w:rsidRPr="000D187A">
              <w:rPr>
                <w:noProof/>
                <w:color w:val="2B579A"/>
                <w:shd w:val="clear" w:color="auto" w:fill="E6E6E6"/>
              </w:rPr>
              <w:drawing>
                <wp:inline distT="0" distB="0" distL="0" distR="0" wp14:anchorId="01ADCBE6" wp14:editId="143E4B4E">
                  <wp:extent cx="2015490" cy="3096000"/>
                  <wp:effectExtent l="0" t="0" r="3810" b="9525"/>
                  <wp:docPr id="322852101" name="Picture 322852101" descr="A comparison of a map of the s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46024" name="Picture 8" descr="A comparison of a map of the sea&#10;&#10;Description automatically generated with medium confidence"/>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016000" cy="3096783"/>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Pr>
          <w:p w14:paraId="2AB193F9" w14:textId="77777777" w:rsidR="008B0D53" w:rsidRPr="000D187A" w:rsidRDefault="008B0D53" w:rsidP="000B319E">
            <w:r w:rsidRPr="000D187A">
              <w:rPr>
                <w:noProof/>
                <w:color w:val="2B579A"/>
                <w:shd w:val="clear" w:color="auto" w:fill="E6E6E6"/>
              </w:rPr>
              <w:drawing>
                <wp:inline distT="0" distB="0" distL="0" distR="0" wp14:anchorId="1116E463" wp14:editId="2459632C">
                  <wp:extent cx="2015490" cy="3096000"/>
                  <wp:effectExtent l="0" t="0" r="3810" b="9525"/>
                  <wp:docPr id="367417652" name="Picture 367417652" descr="A comparison of a map of the s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50936" name="Picture 10" descr="A comparison of a map of the sea&#10;&#10;Description automatically generated with medium confidence"/>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016000" cy="3096783"/>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798681B5" w14:textId="77777777" w:rsidR="008B0D53" w:rsidRPr="000D187A" w:rsidRDefault="008B0D53" w:rsidP="000B319E">
            <w:r w:rsidRPr="000D187A">
              <w:rPr>
                <w:noProof/>
                <w:color w:val="2B579A"/>
                <w:shd w:val="clear" w:color="auto" w:fill="E6E6E6"/>
              </w:rPr>
              <w:drawing>
                <wp:inline distT="0" distB="0" distL="0" distR="0" wp14:anchorId="76627D86" wp14:editId="15D1954D">
                  <wp:extent cx="2015487" cy="3096000"/>
                  <wp:effectExtent l="0" t="0" r="4445" b="0"/>
                  <wp:docPr id="1687769881" name="Picture 168776988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68547" name="Picture 12" descr="A screenshot of a map&#10;&#10;Description automatically generated"/>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016000" cy="30967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3FB470" w14:textId="77777777" w:rsidR="008B0D53" w:rsidRDefault="008B0D53" w:rsidP="008B0D53"/>
    <w:tbl>
      <w:tblPr>
        <w:tblStyle w:val="TableGrid"/>
        <w:tblW w:w="9209" w:type="dxa"/>
        <w:tblLayout w:type="fixed"/>
        <w:tblCellMar>
          <w:left w:w="0" w:type="dxa"/>
          <w:right w:w="0" w:type="dxa"/>
        </w:tblCellMar>
        <w:tblLook w:val="04A0" w:firstRow="1" w:lastRow="0" w:firstColumn="1" w:lastColumn="0" w:noHBand="0" w:noVBand="1"/>
      </w:tblPr>
      <w:tblGrid>
        <w:gridCol w:w="298"/>
        <w:gridCol w:w="2958"/>
        <w:gridCol w:w="2976"/>
        <w:gridCol w:w="2977"/>
      </w:tblGrid>
      <w:tr w:rsidR="008B0D53" w:rsidRPr="000D187A" w14:paraId="2D26FC57" w14:textId="77777777" w:rsidTr="000B319E">
        <w:tc>
          <w:tcPr>
            <w:tcW w:w="298" w:type="dxa"/>
          </w:tcPr>
          <w:p w14:paraId="7AFA07A6" w14:textId="77777777" w:rsidR="008B0D53" w:rsidRPr="000D187A" w:rsidRDefault="008B0D53" w:rsidP="000B319E">
            <w:pPr>
              <w:keepNext/>
              <w:jc w:val="center"/>
            </w:pPr>
          </w:p>
        </w:tc>
        <w:tc>
          <w:tcPr>
            <w:tcW w:w="2958" w:type="dxa"/>
          </w:tcPr>
          <w:p w14:paraId="650458C6" w14:textId="77777777" w:rsidR="008B0D53" w:rsidRPr="00B63C0E" w:rsidRDefault="008B0D53" w:rsidP="000B319E">
            <w:pPr>
              <w:keepNext/>
              <w:jc w:val="center"/>
            </w:pPr>
            <w:r w:rsidRPr="000D187A">
              <w:t>2021</w:t>
            </w:r>
          </w:p>
        </w:tc>
        <w:tc>
          <w:tcPr>
            <w:tcW w:w="2976" w:type="dxa"/>
          </w:tcPr>
          <w:p w14:paraId="72CE8C4D" w14:textId="77777777" w:rsidR="008B0D53" w:rsidRPr="00B63C0E" w:rsidRDefault="008B0D53" w:rsidP="000B319E">
            <w:pPr>
              <w:keepNext/>
              <w:jc w:val="center"/>
            </w:pPr>
            <w:r w:rsidRPr="00B63C0E">
              <w:t>2022</w:t>
            </w:r>
          </w:p>
        </w:tc>
        <w:tc>
          <w:tcPr>
            <w:tcW w:w="2977" w:type="dxa"/>
          </w:tcPr>
          <w:p w14:paraId="78E96725" w14:textId="77777777" w:rsidR="008B0D53" w:rsidRPr="00B63C0E" w:rsidRDefault="008B0D53" w:rsidP="000B319E">
            <w:pPr>
              <w:keepNext/>
              <w:jc w:val="center"/>
            </w:pPr>
            <w:r w:rsidRPr="00B63C0E">
              <w:t>2023</w:t>
            </w:r>
          </w:p>
        </w:tc>
      </w:tr>
      <w:tr w:rsidR="008B0D53" w:rsidRPr="000D187A" w14:paraId="55B22C04" w14:textId="77777777" w:rsidTr="000B319E">
        <w:trPr>
          <w:cantSplit/>
          <w:trHeight w:val="4643"/>
        </w:trPr>
        <w:tc>
          <w:tcPr>
            <w:tcW w:w="298" w:type="dxa"/>
            <w:textDirection w:val="btLr"/>
          </w:tcPr>
          <w:p w14:paraId="4BAB5FDC" w14:textId="77777777" w:rsidR="008B0D53" w:rsidRPr="0016397B" w:rsidRDefault="008B0D53" w:rsidP="000B319E">
            <w:pPr>
              <w:ind w:left="113" w:right="113"/>
              <w:jc w:val="center"/>
            </w:pPr>
            <w:r>
              <w:t>June</w:t>
            </w:r>
          </w:p>
        </w:tc>
        <w:tc>
          <w:tcPr>
            <w:tcW w:w="2958" w:type="dxa"/>
          </w:tcPr>
          <w:p w14:paraId="088954FD" w14:textId="77777777" w:rsidR="008B0D53" w:rsidRPr="000D187A" w:rsidRDefault="008B0D53" w:rsidP="000B319E">
            <w:pPr>
              <w:rPr>
                <w:noProof/>
                <w:color w:val="2B579A"/>
                <w:shd w:val="clear" w:color="auto" w:fill="E6E6E6"/>
              </w:rPr>
            </w:pPr>
            <w:r w:rsidRPr="000D187A">
              <w:rPr>
                <w:noProof/>
                <w:color w:val="2B579A"/>
                <w:shd w:val="clear" w:color="auto" w:fill="E6E6E6"/>
              </w:rPr>
              <w:drawing>
                <wp:inline distT="0" distB="0" distL="0" distR="0" wp14:anchorId="49A8D15E" wp14:editId="251E488A">
                  <wp:extent cx="2015490" cy="3096000"/>
                  <wp:effectExtent l="0" t="0" r="3810" b="9525"/>
                  <wp:docPr id="1680830123" name="Picture 1680830123"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30123" name="Picture 13" descr="A screenshot of a map&#10;&#10;Description automatically generated"/>
                          <pic:cNvPicPr/>
                        </pic:nvPicPr>
                        <pic:blipFill rotWithShape="1">
                          <a:blip r:embed="rId99" cstate="print">
                            <a:extLst>
                              <a:ext uri="{28A0092B-C50C-407E-A947-70E740481C1C}">
                                <a14:useLocalDpi xmlns:a14="http://schemas.microsoft.com/office/drawing/2010/main"/>
                              </a:ext>
                            </a:extLst>
                          </a:blip>
                          <a:srcRect/>
                          <a:stretch/>
                        </pic:blipFill>
                        <pic:spPr bwMode="auto">
                          <a:xfrm>
                            <a:off x="0" y="0"/>
                            <a:ext cx="2016000" cy="3096783"/>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Pr>
          <w:p w14:paraId="178E2E20" w14:textId="77777777" w:rsidR="008B0D53" w:rsidRPr="000D187A" w:rsidRDefault="008B0D53" w:rsidP="000B319E">
            <w:pPr>
              <w:rPr>
                <w:noProof/>
                <w:color w:val="2B579A"/>
                <w:shd w:val="clear" w:color="auto" w:fill="E6E6E6"/>
              </w:rPr>
            </w:pPr>
            <w:r>
              <w:rPr>
                <w:noProof/>
                <w:color w:val="2B579A"/>
                <w:shd w:val="clear" w:color="auto" w:fill="E6E6E6"/>
              </w:rPr>
              <w:drawing>
                <wp:inline distT="0" distB="0" distL="0" distR="0" wp14:anchorId="5851DE79" wp14:editId="72F110CC">
                  <wp:extent cx="2015490" cy="3096000"/>
                  <wp:effectExtent l="0" t="0" r="3810" b="9525"/>
                  <wp:docPr id="1601218702" name="Picture 1601218702" descr="A comparison of a map of the s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18702" name="Picture 4" descr="A comparison of a map of the sea&#10;&#10;Description automatically generated with medium confidence"/>
                          <pic:cNvPicPr/>
                        </pic:nvPicPr>
                        <pic:blipFill rotWithShape="1">
                          <a:blip r:embed="rId100" cstate="print">
                            <a:extLst>
                              <a:ext uri="{28A0092B-C50C-407E-A947-70E740481C1C}">
                                <a14:useLocalDpi xmlns:a14="http://schemas.microsoft.com/office/drawing/2010/main"/>
                              </a:ext>
                            </a:extLst>
                          </a:blip>
                          <a:srcRect/>
                          <a:stretch/>
                        </pic:blipFill>
                        <pic:spPr bwMode="auto">
                          <a:xfrm>
                            <a:off x="0" y="0"/>
                            <a:ext cx="2016000" cy="3096783"/>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448C4EA7" w14:textId="77777777" w:rsidR="008B0D53" w:rsidRPr="000D187A" w:rsidRDefault="008B0D53" w:rsidP="000B319E">
            <w:pPr>
              <w:rPr>
                <w:noProof/>
                <w:color w:val="2B579A"/>
                <w:shd w:val="clear" w:color="auto" w:fill="E6E6E6"/>
              </w:rPr>
            </w:pPr>
            <w:r>
              <w:rPr>
                <w:noProof/>
              </w:rPr>
              <w:drawing>
                <wp:inline distT="0" distB="0" distL="0" distR="0" wp14:anchorId="79E1A085" wp14:editId="6990CC0D">
                  <wp:extent cx="2015490" cy="3096000"/>
                  <wp:effectExtent l="0" t="0" r="3810" b="9525"/>
                  <wp:docPr id="2120038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1" cstate="print">
                            <a:extLst>
                              <a:ext uri="{28A0092B-C50C-407E-A947-70E740481C1C}">
                                <a14:useLocalDpi xmlns:a14="http://schemas.microsoft.com/office/drawing/2010/main"/>
                              </a:ext>
                            </a:extLst>
                          </a:blip>
                          <a:srcRect/>
                          <a:stretch/>
                        </pic:blipFill>
                        <pic:spPr bwMode="auto">
                          <a:xfrm>
                            <a:off x="0" y="0"/>
                            <a:ext cx="2016000" cy="30967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0D53" w:rsidRPr="000D187A" w14:paraId="09CF4C88" w14:textId="77777777" w:rsidTr="000B319E">
        <w:tc>
          <w:tcPr>
            <w:tcW w:w="298" w:type="dxa"/>
            <w:textDirection w:val="btLr"/>
          </w:tcPr>
          <w:p w14:paraId="2F4F7D01" w14:textId="77777777" w:rsidR="008B0D53" w:rsidRPr="0016397B" w:rsidRDefault="008B0D53" w:rsidP="000B319E">
            <w:pPr>
              <w:jc w:val="center"/>
            </w:pPr>
            <w:r w:rsidRPr="0016397B">
              <w:t>December</w:t>
            </w:r>
          </w:p>
        </w:tc>
        <w:tc>
          <w:tcPr>
            <w:tcW w:w="2958" w:type="dxa"/>
          </w:tcPr>
          <w:p w14:paraId="177B6A41" w14:textId="77777777" w:rsidR="008B0D53" w:rsidRPr="000D187A" w:rsidRDefault="008B0D53" w:rsidP="000B319E">
            <w:pPr>
              <w:rPr>
                <w:noProof/>
                <w:color w:val="2B579A"/>
                <w:shd w:val="clear" w:color="auto" w:fill="E6E6E6"/>
              </w:rPr>
            </w:pPr>
            <w:r w:rsidRPr="000D187A">
              <w:rPr>
                <w:noProof/>
                <w:color w:val="2B579A"/>
                <w:shd w:val="clear" w:color="auto" w:fill="E6E6E6"/>
              </w:rPr>
              <w:drawing>
                <wp:inline distT="0" distB="0" distL="0" distR="0" wp14:anchorId="7D646510" wp14:editId="2BAB66BB">
                  <wp:extent cx="2015490" cy="3096000"/>
                  <wp:effectExtent l="0" t="0" r="3810" b="9525"/>
                  <wp:docPr id="1898126446" name="Picture 189812644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71564" name="Picture 14" descr="A screenshot of a map&#10;&#10;Description automatically generated"/>
                          <pic:cNvPicPr/>
                        </pic:nvPicPr>
                        <pic:blipFill rotWithShape="1">
                          <a:blip r:embed="rId102" cstate="print">
                            <a:extLst>
                              <a:ext uri="{28A0092B-C50C-407E-A947-70E740481C1C}">
                                <a14:useLocalDpi xmlns:a14="http://schemas.microsoft.com/office/drawing/2010/main"/>
                              </a:ext>
                            </a:extLst>
                          </a:blip>
                          <a:srcRect/>
                          <a:stretch/>
                        </pic:blipFill>
                        <pic:spPr bwMode="auto">
                          <a:xfrm>
                            <a:off x="0" y="0"/>
                            <a:ext cx="2016000" cy="3096783"/>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Pr>
          <w:p w14:paraId="74A7FFC0" w14:textId="77777777" w:rsidR="008B0D53" w:rsidRPr="000D187A" w:rsidRDefault="008B0D53" w:rsidP="000B319E">
            <w:pPr>
              <w:rPr>
                <w:noProof/>
                <w:color w:val="2B579A"/>
                <w:shd w:val="clear" w:color="auto" w:fill="E6E6E6"/>
              </w:rPr>
            </w:pPr>
            <w:r>
              <w:rPr>
                <w:noProof/>
                <w:color w:val="2B579A"/>
                <w:shd w:val="clear" w:color="auto" w:fill="E6E6E6"/>
              </w:rPr>
              <w:drawing>
                <wp:inline distT="0" distB="0" distL="0" distR="0" wp14:anchorId="240E7EB8" wp14:editId="30E3BBE1">
                  <wp:extent cx="2015490" cy="3096000"/>
                  <wp:effectExtent l="0" t="0" r="3810" b="9525"/>
                  <wp:docPr id="616083094" name="Picture 61608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83094" name="Picture 616083094"/>
                          <pic:cNvPicPr/>
                        </pic:nvPicPr>
                        <pic:blipFill rotWithShape="1">
                          <a:blip r:embed="rId103" cstate="print">
                            <a:extLst>
                              <a:ext uri="{28A0092B-C50C-407E-A947-70E740481C1C}">
                                <a14:useLocalDpi xmlns:a14="http://schemas.microsoft.com/office/drawing/2010/main"/>
                              </a:ext>
                            </a:extLst>
                          </a:blip>
                          <a:srcRect/>
                          <a:stretch/>
                        </pic:blipFill>
                        <pic:spPr bwMode="auto">
                          <a:xfrm>
                            <a:off x="0" y="0"/>
                            <a:ext cx="2016000" cy="3096783"/>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6C0B552B" w14:textId="77777777" w:rsidR="008B0D53" w:rsidRPr="000D187A" w:rsidRDefault="008B0D53" w:rsidP="000B319E">
            <w:pPr>
              <w:rPr>
                <w:noProof/>
                <w:color w:val="2B579A"/>
                <w:shd w:val="clear" w:color="auto" w:fill="E6E6E6"/>
              </w:rPr>
            </w:pPr>
            <w:r>
              <w:rPr>
                <w:noProof/>
              </w:rPr>
              <w:drawing>
                <wp:inline distT="0" distB="0" distL="0" distR="0" wp14:anchorId="7B486C22" wp14:editId="65E8D943">
                  <wp:extent cx="2015490" cy="3096000"/>
                  <wp:effectExtent l="0" t="0" r="3810" b="9525"/>
                  <wp:docPr id="1739571262" name="Picture 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71262" name="Picture 4" descr="A screenshot of a map&#10;&#10;Description automatically generated"/>
                          <pic:cNvPicPr>
                            <a:picLocks noChangeAspect="1" noChangeArrowheads="1"/>
                          </pic:cNvPicPr>
                        </pic:nvPicPr>
                        <pic:blipFill rotWithShape="1">
                          <a:blip r:embed="rId104" cstate="print">
                            <a:extLst>
                              <a:ext uri="{28A0092B-C50C-407E-A947-70E740481C1C}">
                                <a14:useLocalDpi xmlns:a14="http://schemas.microsoft.com/office/drawing/2010/main"/>
                              </a:ext>
                            </a:extLst>
                          </a:blip>
                          <a:srcRect/>
                          <a:stretch/>
                        </pic:blipFill>
                        <pic:spPr bwMode="auto">
                          <a:xfrm>
                            <a:off x="0" y="0"/>
                            <a:ext cx="2016000" cy="30967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B7C543" w14:textId="77777777" w:rsidR="008B0D53" w:rsidRDefault="008B0D53" w:rsidP="008B0D53"/>
    <w:p w14:paraId="609B4174" w14:textId="0CEC3CE9" w:rsidR="00C130DE" w:rsidRDefault="00C130DE" w:rsidP="00C130DE">
      <w:pPr>
        <w:pStyle w:val="Caption"/>
      </w:pPr>
      <w:bookmarkStart w:id="253" w:name="_Toc189044995"/>
      <w:r>
        <w:t xml:space="preserve">Figure </w:t>
      </w:r>
      <w:fldSimple w:instr=" SEQ Figure \* ARABIC ">
        <w:r w:rsidR="004263D8">
          <w:rPr>
            <w:noProof/>
          </w:rPr>
          <w:t>38</w:t>
        </w:r>
      </w:fldSimple>
      <w:bookmarkEnd w:id="252"/>
      <w:r>
        <w:t xml:space="preserve">. Monthly average currents </w:t>
      </w:r>
      <w:r w:rsidRPr="002B5D82">
        <w:t xml:space="preserve">during </w:t>
      </w:r>
      <w:r>
        <w:t>winter (June) and summer (December) for 2018 to 202</w:t>
      </w:r>
      <w:r w:rsidR="008B0D53">
        <w:t>3</w:t>
      </w:r>
      <w:r>
        <w:t xml:space="preserve">. </w:t>
      </w:r>
      <w:r w:rsidRPr="002B5D82">
        <w:t>(AIMS eReefs Visualisation Portal: https://ereefs.aims.gov.au/ereefs-aims/gbr1/)</w:t>
      </w:r>
      <w:bookmarkEnd w:id="253"/>
    </w:p>
    <w:p w14:paraId="59559459" w14:textId="77777777" w:rsidR="009747C3" w:rsidRDefault="009747C3" w:rsidP="00AF37BE"/>
    <w:p w14:paraId="4CDF164C" w14:textId="77777777" w:rsidR="009747C3" w:rsidRDefault="009747C3" w:rsidP="00AF37BE">
      <w:pPr>
        <w:sectPr w:rsidR="009747C3" w:rsidSect="005D5EF2">
          <w:pgSz w:w="11906" w:h="16838" w:code="9"/>
          <w:pgMar w:top="1134" w:right="1134" w:bottom="1134" w:left="1134" w:header="510" w:footer="624" w:gutter="0"/>
          <w:cols w:space="284"/>
          <w:docGrid w:linePitch="360"/>
        </w:sectPr>
      </w:pPr>
    </w:p>
    <w:p w14:paraId="04A2E5CF" w14:textId="2021DB04" w:rsidR="009747C3" w:rsidRDefault="009747C3" w:rsidP="00A60F4F">
      <w:pPr>
        <w:pStyle w:val="Heading1notnumbered"/>
      </w:pPr>
      <w:bookmarkStart w:id="254" w:name="_Hlk170814557"/>
      <w:bookmarkStart w:id="255" w:name="_Toc189044955"/>
      <w:r>
        <w:lastRenderedPageBreak/>
        <w:t>Appendix C: Catch of the QS</w:t>
      </w:r>
      <w:r w:rsidR="00DF640F">
        <w:t>C</w:t>
      </w:r>
      <w:r>
        <w:t>F</w:t>
      </w:r>
      <w:bookmarkEnd w:id="255"/>
    </w:p>
    <w:p w14:paraId="7819DD4B" w14:textId="16E68789" w:rsidR="00C02D28" w:rsidRDefault="004A678E" w:rsidP="00AF37BE">
      <w:bookmarkStart w:id="256" w:name="_Hlk170815345"/>
      <w:bookmarkEnd w:id="254"/>
      <w:r>
        <w:t>Catch for the period 20/8/1995 to 6/12/2023. Includes catches from Ashmore and Boot Reefs from 2008-09 that were added to the QSCF area in 2019.</w:t>
      </w:r>
      <w:bookmarkEnd w:id="256"/>
    </w:p>
    <w:tbl>
      <w:tblPr>
        <w:tblStyle w:val="TableGrid"/>
        <w:tblW w:w="14771" w:type="dxa"/>
        <w:tblLook w:val="04A0" w:firstRow="1" w:lastRow="0" w:firstColumn="1" w:lastColumn="0" w:noHBand="0" w:noVBand="1"/>
      </w:tblPr>
      <w:tblGrid>
        <w:gridCol w:w="141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642"/>
      </w:tblGrid>
      <w:tr w:rsidR="00C02D28" w:rsidRPr="00C02D28" w14:paraId="0A35CE2E" w14:textId="77777777" w:rsidTr="00C02D28">
        <w:trPr>
          <w:trHeight w:val="300"/>
        </w:trPr>
        <w:tc>
          <w:tcPr>
            <w:tcW w:w="1417" w:type="dxa"/>
            <w:noWrap/>
            <w:tcMar>
              <w:left w:w="57" w:type="dxa"/>
              <w:right w:w="57" w:type="dxa"/>
            </w:tcMar>
            <w:hideMark/>
          </w:tcPr>
          <w:p w14:paraId="37340A62" w14:textId="6ECFED5E" w:rsidR="00C02D28" w:rsidRPr="00C02D28" w:rsidRDefault="00C02D28" w:rsidP="00C02D28">
            <w:pPr>
              <w:rPr>
                <w:rFonts w:asciiTheme="minorHAnsi" w:hAnsiTheme="minorHAnsi" w:cstheme="minorHAnsi"/>
                <w:b/>
                <w:bCs/>
                <w:sz w:val="14"/>
                <w:szCs w:val="14"/>
              </w:rPr>
            </w:pPr>
            <w:r>
              <w:rPr>
                <w:rFonts w:asciiTheme="minorHAnsi" w:hAnsiTheme="minorHAnsi" w:cstheme="minorHAnsi"/>
                <w:b/>
                <w:bCs/>
                <w:sz w:val="14"/>
                <w:szCs w:val="14"/>
              </w:rPr>
              <w:t>(t)</w:t>
            </w:r>
          </w:p>
        </w:tc>
        <w:tc>
          <w:tcPr>
            <w:tcW w:w="454" w:type="dxa"/>
            <w:noWrap/>
            <w:tcMar>
              <w:left w:w="57" w:type="dxa"/>
              <w:right w:w="57" w:type="dxa"/>
            </w:tcMar>
            <w:hideMark/>
          </w:tcPr>
          <w:p w14:paraId="627F22E6"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1995-1996</w:t>
            </w:r>
          </w:p>
        </w:tc>
        <w:tc>
          <w:tcPr>
            <w:tcW w:w="454" w:type="dxa"/>
            <w:noWrap/>
            <w:tcMar>
              <w:left w:w="57" w:type="dxa"/>
              <w:right w:w="57" w:type="dxa"/>
            </w:tcMar>
            <w:hideMark/>
          </w:tcPr>
          <w:p w14:paraId="426AAE77"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1996-1997</w:t>
            </w:r>
          </w:p>
        </w:tc>
        <w:tc>
          <w:tcPr>
            <w:tcW w:w="454" w:type="dxa"/>
            <w:noWrap/>
            <w:tcMar>
              <w:left w:w="57" w:type="dxa"/>
              <w:right w:w="57" w:type="dxa"/>
            </w:tcMar>
            <w:hideMark/>
          </w:tcPr>
          <w:p w14:paraId="11B3EE10"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1997-1998</w:t>
            </w:r>
          </w:p>
        </w:tc>
        <w:tc>
          <w:tcPr>
            <w:tcW w:w="454" w:type="dxa"/>
            <w:noWrap/>
            <w:tcMar>
              <w:left w:w="57" w:type="dxa"/>
              <w:right w:w="57" w:type="dxa"/>
            </w:tcMar>
            <w:hideMark/>
          </w:tcPr>
          <w:p w14:paraId="3EC0A5B1"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1998-1999</w:t>
            </w:r>
          </w:p>
        </w:tc>
        <w:tc>
          <w:tcPr>
            <w:tcW w:w="454" w:type="dxa"/>
            <w:noWrap/>
            <w:tcMar>
              <w:left w:w="57" w:type="dxa"/>
              <w:right w:w="57" w:type="dxa"/>
            </w:tcMar>
            <w:hideMark/>
          </w:tcPr>
          <w:p w14:paraId="7FA154E2"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1999-2000</w:t>
            </w:r>
          </w:p>
        </w:tc>
        <w:tc>
          <w:tcPr>
            <w:tcW w:w="454" w:type="dxa"/>
            <w:noWrap/>
            <w:tcMar>
              <w:left w:w="57" w:type="dxa"/>
              <w:right w:w="57" w:type="dxa"/>
            </w:tcMar>
            <w:hideMark/>
          </w:tcPr>
          <w:p w14:paraId="6B425D48"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2000-2001</w:t>
            </w:r>
          </w:p>
        </w:tc>
        <w:tc>
          <w:tcPr>
            <w:tcW w:w="454" w:type="dxa"/>
            <w:noWrap/>
            <w:tcMar>
              <w:left w:w="57" w:type="dxa"/>
              <w:right w:w="57" w:type="dxa"/>
            </w:tcMar>
            <w:hideMark/>
          </w:tcPr>
          <w:p w14:paraId="6C0184AC"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2001-2002</w:t>
            </w:r>
          </w:p>
        </w:tc>
        <w:tc>
          <w:tcPr>
            <w:tcW w:w="454" w:type="dxa"/>
            <w:noWrap/>
            <w:tcMar>
              <w:left w:w="57" w:type="dxa"/>
              <w:right w:w="57" w:type="dxa"/>
            </w:tcMar>
            <w:hideMark/>
          </w:tcPr>
          <w:p w14:paraId="114B9B85"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2002-2003</w:t>
            </w:r>
          </w:p>
        </w:tc>
        <w:tc>
          <w:tcPr>
            <w:tcW w:w="454" w:type="dxa"/>
            <w:noWrap/>
            <w:tcMar>
              <w:left w:w="57" w:type="dxa"/>
              <w:right w:w="57" w:type="dxa"/>
            </w:tcMar>
            <w:hideMark/>
          </w:tcPr>
          <w:p w14:paraId="1C99F97C"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2003-2004</w:t>
            </w:r>
          </w:p>
        </w:tc>
        <w:tc>
          <w:tcPr>
            <w:tcW w:w="454" w:type="dxa"/>
            <w:noWrap/>
            <w:tcMar>
              <w:left w:w="57" w:type="dxa"/>
              <w:right w:w="57" w:type="dxa"/>
            </w:tcMar>
            <w:hideMark/>
          </w:tcPr>
          <w:p w14:paraId="5A04DE6A"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2004-2005</w:t>
            </w:r>
          </w:p>
        </w:tc>
        <w:tc>
          <w:tcPr>
            <w:tcW w:w="454" w:type="dxa"/>
            <w:noWrap/>
            <w:tcMar>
              <w:left w:w="57" w:type="dxa"/>
              <w:right w:w="57" w:type="dxa"/>
            </w:tcMar>
            <w:hideMark/>
          </w:tcPr>
          <w:p w14:paraId="07D57695"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2005-2006</w:t>
            </w:r>
          </w:p>
        </w:tc>
        <w:tc>
          <w:tcPr>
            <w:tcW w:w="454" w:type="dxa"/>
            <w:noWrap/>
            <w:tcMar>
              <w:left w:w="57" w:type="dxa"/>
              <w:right w:w="57" w:type="dxa"/>
            </w:tcMar>
            <w:hideMark/>
          </w:tcPr>
          <w:p w14:paraId="2332DF17"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2006-2007</w:t>
            </w:r>
          </w:p>
        </w:tc>
        <w:tc>
          <w:tcPr>
            <w:tcW w:w="454" w:type="dxa"/>
            <w:noWrap/>
            <w:tcMar>
              <w:left w:w="57" w:type="dxa"/>
              <w:right w:w="57" w:type="dxa"/>
            </w:tcMar>
            <w:hideMark/>
          </w:tcPr>
          <w:p w14:paraId="71A5283B"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2007-2008</w:t>
            </w:r>
          </w:p>
        </w:tc>
        <w:tc>
          <w:tcPr>
            <w:tcW w:w="454" w:type="dxa"/>
            <w:noWrap/>
            <w:tcMar>
              <w:left w:w="57" w:type="dxa"/>
              <w:right w:w="57" w:type="dxa"/>
            </w:tcMar>
            <w:hideMark/>
          </w:tcPr>
          <w:p w14:paraId="68054615"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2008-2009</w:t>
            </w:r>
          </w:p>
        </w:tc>
        <w:tc>
          <w:tcPr>
            <w:tcW w:w="454" w:type="dxa"/>
            <w:noWrap/>
            <w:tcMar>
              <w:left w:w="57" w:type="dxa"/>
              <w:right w:w="57" w:type="dxa"/>
            </w:tcMar>
            <w:hideMark/>
          </w:tcPr>
          <w:p w14:paraId="2D5E8E23"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2009-2010</w:t>
            </w:r>
          </w:p>
        </w:tc>
        <w:tc>
          <w:tcPr>
            <w:tcW w:w="454" w:type="dxa"/>
            <w:noWrap/>
            <w:tcMar>
              <w:left w:w="57" w:type="dxa"/>
              <w:right w:w="57" w:type="dxa"/>
            </w:tcMar>
            <w:hideMark/>
          </w:tcPr>
          <w:p w14:paraId="1F7FADE2"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2010-2011</w:t>
            </w:r>
          </w:p>
        </w:tc>
        <w:tc>
          <w:tcPr>
            <w:tcW w:w="454" w:type="dxa"/>
            <w:noWrap/>
            <w:tcMar>
              <w:left w:w="57" w:type="dxa"/>
              <w:right w:w="57" w:type="dxa"/>
            </w:tcMar>
            <w:hideMark/>
          </w:tcPr>
          <w:p w14:paraId="003E706D"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2011-2012</w:t>
            </w:r>
          </w:p>
        </w:tc>
        <w:tc>
          <w:tcPr>
            <w:tcW w:w="454" w:type="dxa"/>
            <w:noWrap/>
            <w:tcMar>
              <w:left w:w="57" w:type="dxa"/>
              <w:right w:w="57" w:type="dxa"/>
            </w:tcMar>
            <w:hideMark/>
          </w:tcPr>
          <w:p w14:paraId="766BB759"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2012-2013</w:t>
            </w:r>
          </w:p>
        </w:tc>
        <w:tc>
          <w:tcPr>
            <w:tcW w:w="454" w:type="dxa"/>
            <w:noWrap/>
            <w:tcMar>
              <w:left w:w="57" w:type="dxa"/>
              <w:right w:w="57" w:type="dxa"/>
            </w:tcMar>
            <w:hideMark/>
          </w:tcPr>
          <w:p w14:paraId="1D65C28D"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2013-2014</w:t>
            </w:r>
          </w:p>
        </w:tc>
        <w:tc>
          <w:tcPr>
            <w:tcW w:w="454" w:type="dxa"/>
            <w:noWrap/>
            <w:tcMar>
              <w:left w:w="57" w:type="dxa"/>
              <w:right w:w="57" w:type="dxa"/>
            </w:tcMar>
            <w:hideMark/>
          </w:tcPr>
          <w:p w14:paraId="63E56EC4"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2014-2015</w:t>
            </w:r>
          </w:p>
        </w:tc>
        <w:tc>
          <w:tcPr>
            <w:tcW w:w="454" w:type="dxa"/>
            <w:noWrap/>
            <w:tcMar>
              <w:left w:w="57" w:type="dxa"/>
              <w:right w:w="57" w:type="dxa"/>
            </w:tcMar>
            <w:hideMark/>
          </w:tcPr>
          <w:p w14:paraId="73D74358"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2015-2016</w:t>
            </w:r>
          </w:p>
        </w:tc>
        <w:tc>
          <w:tcPr>
            <w:tcW w:w="454" w:type="dxa"/>
            <w:noWrap/>
            <w:tcMar>
              <w:left w:w="57" w:type="dxa"/>
              <w:right w:w="57" w:type="dxa"/>
            </w:tcMar>
            <w:hideMark/>
          </w:tcPr>
          <w:p w14:paraId="243F879F"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2016-2017</w:t>
            </w:r>
          </w:p>
        </w:tc>
        <w:tc>
          <w:tcPr>
            <w:tcW w:w="454" w:type="dxa"/>
            <w:noWrap/>
            <w:tcMar>
              <w:left w:w="57" w:type="dxa"/>
              <w:right w:w="57" w:type="dxa"/>
            </w:tcMar>
            <w:hideMark/>
          </w:tcPr>
          <w:p w14:paraId="3442B3F5"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2017-2018</w:t>
            </w:r>
          </w:p>
        </w:tc>
        <w:tc>
          <w:tcPr>
            <w:tcW w:w="454" w:type="dxa"/>
            <w:noWrap/>
            <w:tcMar>
              <w:left w:w="57" w:type="dxa"/>
              <w:right w:w="57" w:type="dxa"/>
            </w:tcMar>
            <w:hideMark/>
          </w:tcPr>
          <w:p w14:paraId="7DFE85A2"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2018-2019</w:t>
            </w:r>
          </w:p>
        </w:tc>
        <w:tc>
          <w:tcPr>
            <w:tcW w:w="454" w:type="dxa"/>
            <w:noWrap/>
            <w:tcMar>
              <w:left w:w="57" w:type="dxa"/>
              <w:right w:w="57" w:type="dxa"/>
            </w:tcMar>
            <w:hideMark/>
          </w:tcPr>
          <w:p w14:paraId="28598A92"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2019-2020</w:t>
            </w:r>
          </w:p>
        </w:tc>
        <w:tc>
          <w:tcPr>
            <w:tcW w:w="454" w:type="dxa"/>
            <w:noWrap/>
            <w:tcMar>
              <w:left w:w="57" w:type="dxa"/>
              <w:right w:w="57" w:type="dxa"/>
            </w:tcMar>
            <w:hideMark/>
          </w:tcPr>
          <w:p w14:paraId="0E25BA1D"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2020-2021</w:t>
            </w:r>
          </w:p>
        </w:tc>
        <w:tc>
          <w:tcPr>
            <w:tcW w:w="454" w:type="dxa"/>
            <w:noWrap/>
            <w:tcMar>
              <w:left w:w="57" w:type="dxa"/>
              <w:right w:w="57" w:type="dxa"/>
            </w:tcMar>
            <w:hideMark/>
          </w:tcPr>
          <w:p w14:paraId="5861B16B"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2021-2022</w:t>
            </w:r>
          </w:p>
        </w:tc>
        <w:tc>
          <w:tcPr>
            <w:tcW w:w="454" w:type="dxa"/>
            <w:noWrap/>
            <w:tcMar>
              <w:left w:w="57" w:type="dxa"/>
              <w:right w:w="57" w:type="dxa"/>
            </w:tcMar>
            <w:hideMark/>
          </w:tcPr>
          <w:p w14:paraId="36E02944"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2022-2023</w:t>
            </w:r>
          </w:p>
        </w:tc>
        <w:tc>
          <w:tcPr>
            <w:tcW w:w="642" w:type="dxa"/>
            <w:noWrap/>
            <w:tcMar>
              <w:left w:w="57" w:type="dxa"/>
              <w:right w:w="57" w:type="dxa"/>
            </w:tcMar>
            <w:hideMark/>
          </w:tcPr>
          <w:p w14:paraId="509BF5E9" w14:textId="77777777" w:rsidR="00C02D28" w:rsidRPr="00C02D28" w:rsidRDefault="00C02D28" w:rsidP="00C02D28">
            <w:pPr>
              <w:jc w:val="right"/>
              <w:rPr>
                <w:rFonts w:asciiTheme="minorHAnsi" w:hAnsiTheme="minorHAnsi" w:cstheme="minorHAnsi"/>
                <w:b/>
                <w:bCs/>
                <w:sz w:val="14"/>
                <w:szCs w:val="14"/>
              </w:rPr>
            </w:pPr>
            <w:r w:rsidRPr="00C02D28">
              <w:rPr>
                <w:rFonts w:asciiTheme="minorHAnsi" w:hAnsiTheme="minorHAnsi" w:cstheme="minorHAnsi"/>
                <w:b/>
                <w:bCs/>
                <w:sz w:val="14"/>
                <w:szCs w:val="14"/>
              </w:rPr>
              <w:t>Grand Total</w:t>
            </w:r>
          </w:p>
        </w:tc>
      </w:tr>
      <w:tr w:rsidR="004A678E" w:rsidRPr="00C02D28" w14:paraId="5A306E03" w14:textId="77777777" w:rsidTr="000B319E">
        <w:trPr>
          <w:trHeight w:val="300"/>
        </w:trPr>
        <w:tc>
          <w:tcPr>
            <w:tcW w:w="1417" w:type="dxa"/>
            <w:noWrap/>
            <w:tcMar>
              <w:left w:w="57" w:type="dxa"/>
              <w:right w:w="57" w:type="dxa"/>
            </w:tcMar>
            <w:hideMark/>
          </w:tcPr>
          <w:p w14:paraId="4D3368B7"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Amberfish</w:t>
            </w:r>
          </w:p>
        </w:tc>
        <w:tc>
          <w:tcPr>
            <w:tcW w:w="454" w:type="dxa"/>
            <w:noWrap/>
            <w:tcMar>
              <w:left w:w="57" w:type="dxa"/>
              <w:right w:w="57" w:type="dxa"/>
            </w:tcMar>
            <w:vAlign w:val="bottom"/>
            <w:hideMark/>
          </w:tcPr>
          <w:p w14:paraId="4845228D" w14:textId="539B233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F4B4E8C" w14:textId="4F85C57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71103BD" w14:textId="61745D9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2C929F3" w14:textId="3E7A667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A5B2347" w14:textId="6CDE0C8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0.9</w:t>
            </w:r>
          </w:p>
        </w:tc>
        <w:tc>
          <w:tcPr>
            <w:tcW w:w="454" w:type="dxa"/>
            <w:noWrap/>
            <w:tcMar>
              <w:left w:w="57" w:type="dxa"/>
              <w:right w:w="57" w:type="dxa"/>
            </w:tcMar>
            <w:vAlign w:val="bottom"/>
            <w:hideMark/>
          </w:tcPr>
          <w:p w14:paraId="6564FFA8" w14:textId="2C5B584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4.2</w:t>
            </w:r>
          </w:p>
        </w:tc>
        <w:tc>
          <w:tcPr>
            <w:tcW w:w="454" w:type="dxa"/>
            <w:noWrap/>
            <w:tcMar>
              <w:left w:w="57" w:type="dxa"/>
              <w:right w:w="57" w:type="dxa"/>
            </w:tcMar>
            <w:vAlign w:val="bottom"/>
            <w:hideMark/>
          </w:tcPr>
          <w:p w14:paraId="6EB0B7F4" w14:textId="4BB4A8C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3.9</w:t>
            </w:r>
          </w:p>
        </w:tc>
        <w:tc>
          <w:tcPr>
            <w:tcW w:w="454" w:type="dxa"/>
            <w:noWrap/>
            <w:tcMar>
              <w:left w:w="57" w:type="dxa"/>
              <w:right w:w="57" w:type="dxa"/>
            </w:tcMar>
            <w:vAlign w:val="bottom"/>
            <w:hideMark/>
          </w:tcPr>
          <w:p w14:paraId="0C8E0960" w14:textId="5E5D950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11.2</w:t>
            </w:r>
          </w:p>
        </w:tc>
        <w:tc>
          <w:tcPr>
            <w:tcW w:w="454" w:type="dxa"/>
            <w:noWrap/>
            <w:tcMar>
              <w:left w:w="57" w:type="dxa"/>
              <w:right w:w="57" w:type="dxa"/>
            </w:tcMar>
            <w:vAlign w:val="bottom"/>
            <w:hideMark/>
          </w:tcPr>
          <w:p w14:paraId="400A538F" w14:textId="47A491A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67346AD1" w14:textId="5CA8DB1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0F2B3E8" w14:textId="2EA6EF8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9ECBF45" w14:textId="6B4E3DC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A729ACC" w14:textId="6704422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9A9710E" w14:textId="55733A4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46303FA" w14:textId="3BF9397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59C31C9" w14:textId="177799D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42ECD0D" w14:textId="1CB8B6D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27D4E2F" w14:textId="02A07F4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0.6</w:t>
            </w:r>
          </w:p>
        </w:tc>
        <w:tc>
          <w:tcPr>
            <w:tcW w:w="454" w:type="dxa"/>
            <w:noWrap/>
            <w:tcMar>
              <w:left w:w="57" w:type="dxa"/>
              <w:right w:w="57" w:type="dxa"/>
            </w:tcMar>
            <w:vAlign w:val="bottom"/>
            <w:hideMark/>
          </w:tcPr>
          <w:p w14:paraId="1C2D081D" w14:textId="6817D3C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69D0C5E" w14:textId="41289F0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1F035BC" w14:textId="4A093E7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74A40FF" w14:textId="162898F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6AC25FE" w14:textId="2B363BE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553A5352" w14:textId="15BC5CC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99B46A8" w14:textId="7B703BF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4F27B04" w14:textId="1E790A0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5661614" w14:textId="5F948EB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869DE00" w14:textId="3D95770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642" w:type="dxa"/>
            <w:noWrap/>
            <w:tcMar>
              <w:left w:w="57" w:type="dxa"/>
              <w:right w:w="57" w:type="dxa"/>
            </w:tcMar>
            <w:vAlign w:val="bottom"/>
            <w:hideMark/>
          </w:tcPr>
          <w:p w14:paraId="00766C96" w14:textId="642F2AE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21.0</w:t>
            </w:r>
          </w:p>
        </w:tc>
      </w:tr>
      <w:tr w:rsidR="004A678E" w:rsidRPr="00C02D28" w14:paraId="3CB3D5DB" w14:textId="77777777" w:rsidTr="000B319E">
        <w:trPr>
          <w:trHeight w:val="300"/>
        </w:trPr>
        <w:tc>
          <w:tcPr>
            <w:tcW w:w="1417" w:type="dxa"/>
            <w:noWrap/>
            <w:tcMar>
              <w:left w:w="57" w:type="dxa"/>
              <w:right w:w="57" w:type="dxa"/>
            </w:tcMar>
            <w:hideMark/>
          </w:tcPr>
          <w:p w14:paraId="0EF959C9"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Black teatfish</w:t>
            </w:r>
          </w:p>
        </w:tc>
        <w:tc>
          <w:tcPr>
            <w:tcW w:w="454" w:type="dxa"/>
            <w:noWrap/>
            <w:tcMar>
              <w:left w:w="57" w:type="dxa"/>
              <w:right w:w="57" w:type="dxa"/>
            </w:tcMar>
            <w:vAlign w:val="bottom"/>
            <w:hideMark/>
          </w:tcPr>
          <w:p w14:paraId="0EF63A28" w14:textId="3BF5BD5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141.9</w:t>
            </w:r>
          </w:p>
        </w:tc>
        <w:tc>
          <w:tcPr>
            <w:tcW w:w="454" w:type="dxa"/>
            <w:noWrap/>
            <w:tcMar>
              <w:left w:w="57" w:type="dxa"/>
              <w:right w:w="57" w:type="dxa"/>
            </w:tcMar>
            <w:vAlign w:val="bottom"/>
            <w:hideMark/>
          </w:tcPr>
          <w:p w14:paraId="1721C49C" w14:textId="78A20B8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111.6</w:t>
            </w:r>
          </w:p>
        </w:tc>
        <w:tc>
          <w:tcPr>
            <w:tcW w:w="454" w:type="dxa"/>
            <w:noWrap/>
            <w:tcMar>
              <w:left w:w="57" w:type="dxa"/>
              <w:right w:w="57" w:type="dxa"/>
            </w:tcMar>
            <w:vAlign w:val="bottom"/>
            <w:hideMark/>
          </w:tcPr>
          <w:p w14:paraId="0580515E" w14:textId="5F7B788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111.0</w:t>
            </w:r>
          </w:p>
        </w:tc>
        <w:tc>
          <w:tcPr>
            <w:tcW w:w="454" w:type="dxa"/>
            <w:noWrap/>
            <w:tcMar>
              <w:left w:w="57" w:type="dxa"/>
              <w:right w:w="57" w:type="dxa"/>
            </w:tcMar>
            <w:vAlign w:val="bottom"/>
            <w:hideMark/>
          </w:tcPr>
          <w:p w14:paraId="26BE3B92" w14:textId="66CADB5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82.2</w:t>
            </w:r>
          </w:p>
        </w:tc>
        <w:tc>
          <w:tcPr>
            <w:tcW w:w="454" w:type="dxa"/>
            <w:noWrap/>
            <w:tcMar>
              <w:left w:w="57" w:type="dxa"/>
              <w:right w:w="57" w:type="dxa"/>
            </w:tcMar>
            <w:vAlign w:val="bottom"/>
            <w:hideMark/>
          </w:tcPr>
          <w:p w14:paraId="6B002142" w14:textId="084BCBC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11.9</w:t>
            </w:r>
          </w:p>
        </w:tc>
        <w:tc>
          <w:tcPr>
            <w:tcW w:w="454" w:type="dxa"/>
            <w:noWrap/>
            <w:tcMar>
              <w:left w:w="57" w:type="dxa"/>
              <w:right w:w="57" w:type="dxa"/>
            </w:tcMar>
            <w:vAlign w:val="bottom"/>
            <w:hideMark/>
          </w:tcPr>
          <w:p w14:paraId="7F08DD47" w14:textId="173A362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21DFA30" w14:textId="11F9627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313ADA0" w14:textId="7951EFE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4F890B7" w14:textId="2356366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ED4A229" w14:textId="65600CC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E5DC508" w14:textId="252019F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E5C77FB" w14:textId="3A250FF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C73BB3C" w14:textId="17D21BD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EE2F1F1" w14:textId="3AAD793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368A236" w14:textId="66767E1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023CE9A" w14:textId="3DE8F48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8B9D3BF" w14:textId="6929B3C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BFD0C25" w14:textId="662D919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5C7C567" w14:textId="512FBF4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BECD1B8" w14:textId="7F70B81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7363664" w14:textId="65B55C8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5D17D29" w14:textId="6CFF31A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0BB57C5" w14:textId="26926D9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E232483" w14:textId="6DC3316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53CB0DA" w14:textId="312ED8E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29.1</w:t>
            </w:r>
          </w:p>
        </w:tc>
        <w:tc>
          <w:tcPr>
            <w:tcW w:w="454" w:type="dxa"/>
            <w:noWrap/>
            <w:tcMar>
              <w:left w:w="57" w:type="dxa"/>
              <w:right w:w="57" w:type="dxa"/>
            </w:tcMar>
            <w:vAlign w:val="bottom"/>
            <w:hideMark/>
          </w:tcPr>
          <w:p w14:paraId="045946F5" w14:textId="0FF3A99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26.3</w:t>
            </w:r>
          </w:p>
        </w:tc>
        <w:tc>
          <w:tcPr>
            <w:tcW w:w="454" w:type="dxa"/>
            <w:noWrap/>
            <w:tcMar>
              <w:left w:w="57" w:type="dxa"/>
              <w:right w:w="57" w:type="dxa"/>
            </w:tcMar>
            <w:vAlign w:val="bottom"/>
            <w:hideMark/>
          </w:tcPr>
          <w:p w14:paraId="7003DB79" w14:textId="1C35722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22.5</w:t>
            </w:r>
          </w:p>
        </w:tc>
        <w:tc>
          <w:tcPr>
            <w:tcW w:w="454" w:type="dxa"/>
            <w:noWrap/>
            <w:tcMar>
              <w:left w:w="57" w:type="dxa"/>
              <w:right w:w="57" w:type="dxa"/>
            </w:tcMar>
            <w:vAlign w:val="bottom"/>
            <w:hideMark/>
          </w:tcPr>
          <w:p w14:paraId="5F07B32E" w14:textId="7F2E27C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29.6</w:t>
            </w:r>
          </w:p>
        </w:tc>
        <w:tc>
          <w:tcPr>
            <w:tcW w:w="642" w:type="dxa"/>
            <w:noWrap/>
            <w:tcMar>
              <w:left w:w="57" w:type="dxa"/>
              <w:right w:w="57" w:type="dxa"/>
            </w:tcMar>
            <w:vAlign w:val="bottom"/>
            <w:hideMark/>
          </w:tcPr>
          <w:p w14:paraId="4571E039" w14:textId="642563B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566.3</w:t>
            </w:r>
          </w:p>
        </w:tc>
      </w:tr>
      <w:tr w:rsidR="004A678E" w:rsidRPr="00C02D28" w14:paraId="61B90B3B" w14:textId="77777777" w:rsidTr="000B319E">
        <w:trPr>
          <w:trHeight w:val="300"/>
        </w:trPr>
        <w:tc>
          <w:tcPr>
            <w:tcW w:w="1417" w:type="dxa"/>
            <w:noWrap/>
            <w:tcMar>
              <w:left w:w="57" w:type="dxa"/>
              <w:right w:w="57" w:type="dxa"/>
            </w:tcMar>
            <w:hideMark/>
          </w:tcPr>
          <w:p w14:paraId="5A2002A8"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Blackfish</w:t>
            </w:r>
          </w:p>
        </w:tc>
        <w:tc>
          <w:tcPr>
            <w:tcW w:w="454" w:type="dxa"/>
            <w:noWrap/>
            <w:tcMar>
              <w:left w:w="57" w:type="dxa"/>
              <w:right w:w="57" w:type="dxa"/>
            </w:tcMar>
            <w:vAlign w:val="bottom"/>
            <w:hideMark/>
          </w:tcPr>
          <w:p w14:paraId="1912C78B" w14:textId="752F663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w:t>
            </w:r>
          </w:p>
        </w:tc>
        <w:tc>
          <w:tcPr>
            <w:tcW w:w="454" w:type="dxa"/>
            <w:noWrap/>
            <w:tcMar>
              <w:left w:w="57" w:type="dxa"/>
              <w:right w:w="57" w:type="dxa"/>
            </w:tcMar>
            <w:vAlign w:val="bottom"/>
            <w:hideMark/>
          </w:tcPr>
          <w:p w14:paraId="007DD12E" w14:textId="22BB1A1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1.4</w:t>
            </w:r>
          </w:p>
        </w:tc>
        <w:tc>
          <w:tcPr>
            <w:tcW w:w="454" w:type="dxa"/>
            <w:noWrap/>
            <w:tcMar>
              <w:left w:w="57" w:type="dxa"/>
              <w:right w:w="57" w:type="dxa"/>
            </w:tcMar>
            <w:vAlign w:val="bottom"/>
            <w:hideMark/>
          </w:tcPr>
          <w:p w14:paraId="75CE6F3B" w14:textId="25FD116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3.2</w:t>
            </w:r>
          </w:p>
        </w:tc>
        <w:tc>
          <w:tcPr>
            <w:tcW w:w="454" w:type="dxa"/>
            <w:noWrap/>
            <w:tcMar>
              <w:left w:w="57" w:type="dxa"/>
              <w:right w:w="57" w:type="dxa"/>
            </w:tcMar>
            <w:vAlign w:val="bottom"/>
            <w:hideMark/>
          </w:tcPr>
          <w:p w14:paraId="0B8E1A02" w14:textId="61F6274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1.7</w:t>
            </w:r>
          </w:p>
        </w:tc>
        <w:tc>
          <w:tcPr>
            <w:tcW w:w="454" w:type="dxa"/>
            <w:noWrap/>
            <w:tcMar>
              <w:left w:w="57" w:type="dxa"/>
              <w:right w:w="57" w:type="dxa"/>
            </w:tcMar>
            <w:vAlign w:val="bottom"/>
            <w:hideMark/>
          </w:tcPr>
          <w:p w14:paraId="65886935" w14:textId="10FF666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1.7</w:t>
            </w:r>
          </w:p>
        </w:tc>
        <w:tc>
          <w:tcPr>
            <w:tcW w:w="454" w:type="dxa"/>
            <w:noWrap/>
            <w:tcMar>
              <w:left w:w="57" w:type="dxa"/>
              <w:right w:w="57" w:type="dxa"/>
            </w:tcMar>
            <w:vAlign w:val="bottom"/>
            <w:hideMark/>
          </w:tcPr>
          <w:p w14:paraId="3D391615" w14:textId="48C097C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2.2</w:t>
            </w:r>
          </w:p>
        </w:tc>
        <w:tc>
          <w:tcPr>
            <w:tcW w:w="454" w:type="dxa"/>
            <w:noWrap/>
            <w:tcMar>
              <w:left w:w="57" w:type="dxa"/>
              <w:right w:w="57" w:type="dxa"/>
            </w:tcMar>
            <w:vAlign w:val="bottom"/>
            <w:hideMark/>
          </w:tcPr>
          <w:p w14:paraId="5210F8D2" w14:textId="5D916EC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13.4</w:t>
            </w:r>
          </w:p>
        </w:tc>
        <w:tc>
          <w:tcPr>
            <w:tcW w:w="454" w:type="dxa"/>
            <w:noWrap/>
            <w:tcMar>
              <w:left w:w="57" w:type="dxa"/>
              <w:right w:w="57" w:type="dxa"/>
            </w:tcMar>
            <w:vAlign w:val="bottom"/>
            <w:hideMark/>
          </w:tcPr>
          <w:p w14:paraId="70267E48" w14:textId="0F0ACA7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43.6</w:t>
            </w:r>
          </w:p>
        </w:tc>
        <w:tc>
          <w:tcPr>
            <w:tcW w:w="454" w:type="dxa"/>
            <w:noWrap/>
            <w:tcMar>
              <w:left w:w="57" w:type="dxa"/>
              <w:right w:w="57" w:type="dxa"/>
            </w:tcMar>
            <w:vAlign w:val="bottom"/>
            <w:hideMark/>
          </w:tcPr>
          <w:p w14:paraId="0FC782E0" w14:textId="0DFB0DB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185.7</w:t>
            </w:r>
          </w:p>
        </w:tc>
        <w:tc>
          <w:tcPr>
            <w:tcW w:w="454" w:type="dxa"/>
            <w:noWrap/>
            <w:tcMar>
              <w:left w:w="57" w:type="dxa"/>
              <w:right w:w="57" w:type="dxa"/>
            </w:tcMar>
            <w:vAlign w:val="bottom"/>
            <w:hideMark/>
          </w:tcPr>
          <w:p w14:paraId="73F48272" w14:textId="2243A14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306.6</w:t>
            </w:r>
          </w:p>
        </w:tc>
        <w:tc>
          <w:tcPr>
            <w:tcW w:w="454" w:type="dxa"/>
            <w:noWrap/>
            <w:tcMar>
              <w:left w:w="57" w:type="dxa"/>
              <w:right w:w="57" w:type="dxa"/>
            </w:tcMar>
            <w:vAlign w:val="bottom"/>
            <w:hideMark/>
          </w:tcPr>
          <w:p w14:paraId="063D3CAA" w14:textId="38A9546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301.6</w:t>
            </w:r>
          </w:p>
        </w:tc>
        <w:tc>
          <w:tcPr>
            <w:tcW w:w="454" w:type="dxa"/>
            <w:noWrap/>
            <w:tcMar>
              <w:left w:w="57" w:type="dxa"/>
              <w:right w:w="57" w:type="dxa"/>
            </w:tcMar>
            <w:vAlign w:val="bottom"/>
            <w:hideMark/>
          </w:tcPr>
          <w:p w14:paraId="764CF2F0" w14:textId="5E19F0A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32.9</w:t>
            </w:r>
          </w:p>
        </w:tc>
        <w:tc>
          <w:tcPr>
            <w:tcW w:w="454" w:type="dxa"/>
            <w:noWrap/>
            <w:tcMar>
              <w:left w:w="57" w:type="dxa"/>
              <w:right w:w="57" w:type="dxa"/>
            </w:tcMar>
            <w:vAlign w:val="bottom"/>
            <w:hideMark/>
          </w:tcPr>
          <w:p w14:paraId="0110CF56" w14:textId="5FBEF36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28.2</w:t>
            </w:r>
          </w:p>
        </w:tc>
        <w:tc>
          <w:tcPr>
            <w:tcW w:w="454" w:type="dxa"/>
            <w:noWrap/>
            <w:tcMar>
              <w:left w:w="57" w:type="dxa"/>
              <w:right w:w="57" w:type="dxa"/>
            </w:tcMar>
            <w:vAlign w:val="bottom"/>
            <w:hideMark/>
          </w:tcPr>
          <w:p w14:paraId="7CEECA50" w14:textId="7F1001F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4.1</w:t>
            </w:r>
          </w:p>
        </w:tc>
        <w:tc>
          <w:tcPr>
            <w:tcW w:w="454" w:type="dxa"/>
            <w:noWrap/>
            <w:tcMar>
              <w:left w:w="57" w:type="dxa"/>
              <w:right w:w="57" w:type="dxa"/>
            </w:tcMar>
            <w:vAlign w:val="bottom"/>
            <w:hideMark/>
          </w:tcPr>
          <w:p w14:paraId="6FD4687B" w14:textId="4BDF4CF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20.7</w:t>
            </w:r>
          </w:p>
        </w:tc>
        <w:tc>
          <w:tcPr>
            <w:tcW w:w="454" w:type="dxa"/>
            <w:noWrap/>
            <w:tcMar>
              <w:left w:w="57" w:type="dxa"/>
              <w:right w:w="57" w:type="dxa"/>
            </w:tcMar>
            <w:vAlign w:val="bottom"/>
            <w:hideMark/>
          </w:tcPr>
          <w:p w14:paraId="42B92102" w14:textId="347D1ED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7.4</w:t>
            </w:r>
          </w:p>
        </w:tc>
        <w:tc>
          <w:tcPr>
            <w:tcW w:w="454" w:type="dxa"/>
            <w:noWrap/>
            <w:tcMar>
              <w:left w:w="57" w:type="dxa"/>
              <w:right w:w="57" w:type="dxa"/>
            </w:tcMar>
            <w:vAlign w:val="bottom"/>
            <w:hideMark/>
          </w:tcPr>
          <w:p w14:paraId="533419F9" w14:textId="26D6FE4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5.9</w:t>
            </w:r>
          </w:p>
        </w:tc>
        <w:tc>
          <w:tcPr>
            <w:tcW w:w="454" w:type="dxa"/>
            <w:noWrap/>
            <w:tcMar>
              <w:left w:w="57" w:type="dxa"/>
              <w:right w:w="57" w:type="dxa"/>
            </w:tcMar>
            <w:vAlign w:val="bottom"/>
            <w:hideMark/>
          </w:tcPr>
          <w:p w14:paraId="10D553E8" w14:textId="2AB7023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12.6</w:t>
            </w:r>
          </w:p>
        </w:tc>
        <w:tc>
          <w:tcPr>
            <w:tcW w:w="454" w:type="dxa"/>
            <w:noWrap/>
            <w:tcMar>
              <w:left w:w="57" w:type="dxa"/>
              <w:right w:w="57" w:type="dxa"/>
            </w:tcMar>
            <w:vAlign w:val="bottom"/>
            <w:hideMark/>
          </w:tcPr>
          <w:p w14:paraId="630094B7" w14:textId="25BAE2A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14.1</w:t>
            </w:r>
          </w:p>
        </w:tc>
        <w:tc>
          <w:tcPr>
            <w:tcW w:w="454" w:type="dxa"/>
            <w:noWrap/>
            <w:tcMar>
              <w:left w:w="57" w:type="dxa"/>
              <w:right w:w="57" w:type="dxa"/>
            </w:tcMar>
            <w:vAlign w:val="bottom"/>
            <w:hideMark/>
          </w:tcPr>
          <w:p w14:paraId="28561B7B" w14:textId="48FDF55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3.8</w:t>
            </w:r>
          </w:p>
        </w:tc>
        <w:tc>
          <w:tcPr>
            <w:tcW w:w="454" w:type="dxa"/>
            <w:noWrap/>
            <w:tcMar>
              <w:left w:w="57" w:type="dxa"/>
              <w:right w:w="57" w:type="dxa"/>
            </w:tcMar>
            <w:vAlign w:val="bottom"/>
            <w:hideMark/>
          </w:tcPr>
          <w:p w14:paraId="0A68FFD9" w14:textId="6A76CAC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11.4</w:t>
            </w:r>
          </w:p>
        </w:tc>
        <w:tc>
          <w:tcPr>
            <w:tcW w:w="454" w:type="dxa"/>
            <w:noWrap/>
            <w:tcMar>
              <w:left w:w="57" w:type="dxa"/>
              <w:right w:w="57" w:type="dxa"/>
            </w:tcMar>
            <w:vAlign w:val="bottom"/>
            <w:hideMark/>
          </w:tcPr>
          <w:p w14:paraId="792BEA37" w14:textId="4B5C4FB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16.7</w:t>
            </w:r>
          </w:p>
        </w:tc>
        <w:tc>
          <w:tcPr>
            <w:tcW w:w="454" w:type="dxa"/>
            <w:noWrap/>
            <w:tcMar>
              <w:left w:w="57" w:type="dxa"/>
              <w:right w:w="57" w:type="dxa"/>
            </w:tcMar>
            <w:vAlign w:val="bottom"/>
            <w:hideMark/>
          </w:tcPr>
          <w:p w14:paraId="24C53DA3" w14:textId="61C4777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1.9</w:t>
            </w:r>
          </w:p>
        </w:tc>
        <w:tc>
          <w:tcPr>
            <w:tcW w:w="454" w:type="dxa"/>
            <w:noWrap/>
            <w:tcMar>
              <w:left w:w="57" w:type="dxa"/>
              <w:right w:w="57" w:type="dxa"/>
            </w:tcMar>
            <w:vAlign w:val="bottom"/>
            <w:hideMark/>
          </w:tcPr>
          <w:p w14:paraId="3DDA6138" w14:textId="7BB5920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10.5</w:t>
            </w:r>
          </w:p>
        </w:tc>
        <w:tc>
          <w:tcPr>
            <w:tcW w:w="454" w:type="dxa"/>
            <w:noWrap/>
            <w:tcMar>
              <w:left w:w="57" w:type="dxa"/>
              <w:right w:w="57" w:type="dxa"/>
            </w:tcMar>
            <w:vAlign w:val="bottom"/>
            <w:hideMark/>
          </w:tcPr>
          <w:p w14:paraId="7DD0745C" w14:textId="7A1B939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19.9</w:t>
            </w:r>
          </w:p>
        </w:tc>
        <w:tc>
          <w:tcPr>
            <w:tcW w:w="454" w:type="dxa"/>
            <w:noWrap/>
            <w:tcMar>
              <w:left w:w="57" w:type="dxa"/>
              <w:right w:w="57" w:type="dxa"/>
            </w:tcMar>
            <w:vAlign w:val="bottom"/>
            <w:hideMark/>
          </w:tcPr>
          <w:p w14:paraId="410CF784" w14:textId="05C68FC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9.0</w:t>
            </w:r>
          </w:p>
        </w:tc>
        <w:tc>
          <w:tcPr>
            <w:tcW w:w="454" w:type="dxa"/>
            <w:noWrap/>
            <w:tcMar>
              <w:left w:w="57" w:type="dxa"/>
              <w:right w:w="57" w:type="dxa"/>
            </w:tcMar>
            <w:vAlign w:val="bottom"/>
            <w:hideMark/>
          </w:tcPr>
          <w:p w14:paraId="298053CD" w14:textId="3CC5884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19.6</w:t>
            </w:r>
          </w:p>
        </w:tc>
        <w:tc>
          <w:tcPr>
            <w:tcW w:w="454" w:type="dxa"/>
            <w:noWrap/>
            <w:tcMar>
              <w:left w:w="57" w:type="dxa"/>
              <w:right w:w="57" w:type="dxa"/>
            </w:tcMar>
            <w:vAlign w:val="bottom"/>
            <w:hideMark/>
          </w:tcPr>
          <w:p w14:paraId="3B1BB8F0" w14:textId="00AD946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15.0</w:t>
            </w:r>
          </w:p>
        </w:tc>
        <w:tc>
          <w:tcPr>
            <w:tcW w:w="642" w:type="dxa"/>
            <w:noWrap/>
            <w:tcMar>
              <w:left w:w="57" w:type="dxa"/>
              <w:right w:w="57" w:type="dxa"/>
            </w:tcMar>
            <w:vAlign w:val="bottom"/>
            <w:hideMark/>
          </w:tcPr>
          <w:p w14:paraId="3192A462" w14:textId="4E008D0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1,096.1</w:t>
            </w:r>
          </w:p>
        </w:tc>
      </w:tr>
      <w:tr w:rsidR="004A678E" w:rsidRPr="00C02D28" w14:paraId="00BEB2F6" w14:textId="77777777" w:rsidTr="000B319E">
        <w:trPr>
          <w:trHeight w:val="300"/>
        </w:trPr>
        <w:tc>
          <w:tcPr>
            <w:tcW w:w="1417" w:type="dxa"/>
            <w:noWrap/>
            <w:tcMar>
              <w:left w:w="57" w:type="dxa"/>
              <w:right w:w="57" w:type="dxa"/>
            </w:tcMar>
            <w:hideMark/>
          </w:tcPr>
          <w:p w14:paraId="12F0C927"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Brown sandfish</w:t>
            </w:r>
          </w:p>
        </w:tc>
        <w:tc>
          <w:tcPr>
            <w:tcW w:w="454" w:type="dxa"/>
            <w:noWrap/>
            <w:tcMar>
              <w:left w:w="57" w:type="dxa"/>
              <w:right w:w="57" w:type="dxa"/>
            </w:tcMar>
            <w:vAlign w:val="bottom"/>
            <w:hideMark/>
          </w:tcPr>
          <w:p w14:paraId="3A61942A" w14:textId="7E9DE11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C7DF589" w14:textId="0E46FFF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741604A" w14:textId="269B65E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217B05A" w14:textId="183C0A9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1D552C0" w14:textId="13D0AC9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0.3</w:t>
            </w:r>
          </w:p>
        </w:tc>
        <w:tc>
          <w:tcPr>
            <w:tcW w:w="454" w:type="dxa"/>
            <w:noWrap/>
            <w:tcMar>
              <w:left w:w="57" w:type="dxa"/>
              <w:right w:w="57" w:type="dxa"/>
            </w:tcMar>
            <w:vAlign w:val="bottom"/>
            <w:hideMark/>
          </w:tcPr>
          <w:p w14:paraId="0FD4525D" w14:textId="1698FE1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5F687F9E" w14:textId="03E3B8F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2.4</w:t>
            </w:r>
          </w:p>
        </w:tc>
        <w:tc>
          <w:tcPr>
            <w:tcW w:w="454" w:type="dxa"/>
            <w:noWrap/>
            <w:tcMar>
              <w:left w:w="57" w:type="dxa"/>
              <w:right w:w="57" w:type="dxa"/>
            </w:tcMar>
            <w:vAlign w:val="bottom"/>
            <w:hideMark/>
          </w:tcPr>
          <w:p w14:paraId="46F4B554" w14:textId="554D2F4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9.0</w:t>
            </w:r>
          </w:p>
        </w:tc>
        <w:tc>
          <w:tcPr>
            <w:tcW w:w="454" w:type="dxa"/>
            <w:noWrap/>
            <w:tcMar>
              <w:left w:w="57" w:type="dxa"/>
              <w:right w:w="57" w:type="dxa"/>
            </w:tcMar>
            <w:vAlign w:val="bottom"/>
            <w:hideMark/>
          </w:tcPr>
          <w:p w14:paraId="34DD24B1" w14:textId="58091C4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0.3</w:t>
            </w:r>
          </w:p>
        </w:tc>
        <w:tc>
          <w:tcPr>
            <w:tcW w:w="454" w:type="dxa"/>
            <w:noWrap/>
            <w:tcMar>
              <w:left w:w="57" w:type="dxa"/>
              <w:right w:w="57" w:type="dxa"/>
            </w:tcMar>
            <w:vAlign w:val="bottom"/>
            <w:hideMark/>
          </w:tcPr>
          <w:p w14:paraId="22D57797" w14:textId="16209A1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14.1</w:t>
            </w:r>
          </w:p>
        </w:tc>
        <w:tc>
          <w:tcPr>
            <w:tcW w:w="454" w:type="dxa"/>
            <w:noWrap/>
            <w:tcMar>
              <w:left w:w="57" w:type="dxa"/>
              <w:right w:w="57" w:type="dxa"/>
            </w:tcMar>
            <w:vAlign w:val="bottom"/>
            <w:hideMark/>
          </w:tcPr>
          <w:p w14:paraId="725994CC" w14:textId="3CD61FA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1AE581B" w14:textId="7345DBE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87709B5" w14:textId="04D2E19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8.7</w:t>
            </w:r>
          </w:p>
        </w:tc>
        <w:tc>
          <w:tcPr>
            <w:tcW w:w="454" w:type="dxa"/>
            <w:noWrap/>
            <w:tcMar>
              <w:left w:w="57" w:type="dxa"/>
              <w:right w:w="57" w:type="dxa"/>
            </w:tcMar>
            <w:vAlign w:val="bottom"/>
            <w:hideMark/>
          </w:tcPr>
          <w:p w14:paraId="19BC2F03" w14:textId="1E11238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36439CA" w14:textId="33B1CAC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709E0F6" w14:textId="7A9B548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1080A64" w14:textId="2DF609F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0.9</w:t>
            </w:r>
          </w:p>
        </w:tc>
        <w:tc>
          <w:tcPr>
            <w:tcW w:w="454" w:type="dxa"/>
            <w:noWrap/>
            <w:tcMar>
              <w:left w:w="57" w:type="dxa"/>
              <w:right w:w="57" w:type="dxa"/>
            </w:tcMar>
            <w:vAlign w:val="bottom"/>
            <w:hideMark/>
          </w:tcPr>
          <w:p w14:paraId="5C83940A" w14:textId="45AEDBB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1.5</w:t>
            </w:r>
          </w:p>
        </w:tc>
        <w:tc>
          <w:tcPr>
            <w:tcW w:w="454" w:type="dxa"/>
            <w:noWrap/>
            <w:tcMar>
              <w:left w:w="57" w:type="dxa"/>
              <w:right w:w="57" w:type="dxa"/>
            </w:tcMar>
            <w:vAlign w:val="bottom"/>
            <w:hideMark/>
          </w:tcPr>
          <w:p w14:paraId="3ED32B42" w14:textId="7FBF161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8.6</w:t>
            </w:r>
          </w:p>
        </w:tc>
        <w:tc>
          <w:tcPr>
            <w:tcW w:w="454" w:type="dxa"/>
            <w:noWrap/>
            <w:tcMar>
              <w:left w:w="57" w:type="dxa"/>
              <w:right w:w="57" w:type="dxa"/>
            </w:tcMar>
            <w:vAlign w:val="bottom"/>
            <w:hideMark/>
          </w:tcPr>
          <w:p w14:paraId="462F64D5" w14:textId="415891E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9.8</w:t>
            </w:r>
          </w:p>
        </w:tc>
        <w:tc>
          <w:tcPr>
            <w:tcW w:w="454" w:type="dxa"/>
            <w:noWrap/>
            <w:tcMar>
              <w:left w:w="57" w:type="dxa"/>
              <w:right w:w="57" w:type="dxa"/>
            </w:tcMar>
            <w:vAlign w:val="bottom"/>
            <w:hideMark/>
          </w:tcPr>
          <w:p w14:paraId="233C21C3" w14:textId="6A6EF83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3.0</w:t>
            </w:r>
          </w:p>
        </w:tc>
        <w:tc>
          <w:tcPr>
            <w:tcW w:w="454" w:type="dxa"/>
            <w:noWrap/>
            <w:tcMar>
              <w:left w:w="57" w:type="dxa"/>
              <w:right w:w="57" w:type="dxa"/>
            </w:tcMar>
            <w:vAlign w:val="bottom"/>
            <w:hideMark/>
          </w:tcPr>
          <w:p w14:paraId="54E7FC46" w14:textId="0AD9C55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5.0</w:t>
            </w:r>
          </w:p>
        </w:tc>
        <w:tc>
          <w:tcPr>
            <w:tcW w:w="454" w:type="dxa"/>
            <w:noWrap/>
            <w:tcMar>
              <w:left w:w="57" w:type="dxa"/>
              <w:right w:w="57" w:type="dxa"/>
            </w:tcMar>
            <w:vAlign w:val="bottom"/>
            <w:hideMark/>
          </w:tcPr>
          <w:p w14:paraId="62C5D960" w14:textId="168952B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10.3</w:t>
            </w:r>
          </w:p>
        </w:tc>
        <w:tc>
          <w:tcPr>
            <w:tcW w:w="454" w:type="dxa"/>
            <w:noWrap/>
            <w:tcMar>
              <w:left w:w="57" w:type="dxa"/>
              <w:right w:w="57" w:type="dxa"/>
            </w:tcMar>
            <w:vAlign w:val="bottom"/>
            <w:hideMark/>
          </w:tcPr>
          <w:p w14:paraId="5B3130CF" w14:textId="1E5B2A3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5.3</w:t>
            </w:r>
          </w:p>
        </w:tc>
        <w:tc>
          <w:tcPr>
            <w:tcW w:w="454" w:type="dxa"/>
            <w:noWrap/>
            <w:tcMar>
              <w:left w:w="57" w:type="dxa"/>
              <w:right w:w="57" w:type="dxa"/>
            </w:tcMar>
            <w:vAlign w:val="bottom"/>
            <w:hideMark/>
          </w:tcPr>
          <w:p w14:paraId="092A557C" w14:textId="27556DC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6.3</w:t>
            </w:r>
          </w:p>
        </w:tc>
        <w:tc>
          <w:tcPr>
            <w:tcW w:w="454" w:type="dxa"/>
            <w:noWrap/>
            <w:tcMar>
              <w:left w:w="57" w:type="dxa"/>
              <w:right w:w="57" w:type="dxa"/>
            </w:tcMar>
            <w:vAlign w:val="bottom"/>
            <w:hideMark/>
          </w:tcPr>
          <w:p w14:paraId="381E392F" w14:textId="701F6B3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7.3</w:t>
            </w:r>
          </w:p>
        </w:tc>
        <w:tc>
          <w:tcPr>
            <w:tcW w:w="454" w:type="dxa"/>
            <w:noWrap/>
            <w:tcMar>
              <w:left w:w="57" w:type="dxa"/>
              <w:right w:w="57" w:type="dxa"/>
            </w:tcMar>
            <w:vAlign w:val="bottom"/>
            <w:hideMark/>
          </w:tcPr>
          <w:p w14:paraId="7A849052" w14:textId="39DD1FB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10.2</w:t>
            </w:r>
          </w:p>
        </w:tc>
        <w:tc>
          <w:tcPr>
            <w:tcW w:w="454" w:type="dxa"/>
            <w:noWrap/>
            <w:tcMar>
              <w:left w:w="57" w:type="dxa"/>
              <w:right w:w="57" w:type="dxa"/>
            </w:tcMar>
            <w:vAlign w:val="bottom"/>
            <w:hideMark/>
          </w:tcPr>
          <w:p w14:paraId="4AA1883C" w14:textId="2392F46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6.7</w:t>
            </w:r>
          </w:p>
        </w:tc>
        <w:tc>
          <w:tcPr>
            <w:tcW w:w="642" w:type="dxa"/>
            <w:noWrap/>
            <w:tcMar>
              <w:left w:w="57" w:type="dxa"/>
              <w:right w:w="57" w:type="dxa"/>
            </w:tcMar>
            <w:vAlign w:val="bottom"/>
            <w:hideMark/>
          </w:tcPr>
          <w:p w14:paraId="31F435BF" w14:textId="4D10046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109.6</w:t>
            </w:r>
          </w:p>
        </w:tc>
      </w:tr>
      <w:tr w:rsidR="004A678E" w:rsidRPr="00C02D28" w14:paraId="477EF674" w14:textId="77777777" w:rsidTr="000B319E">
        <w:trPr>
          <w:trHeight w:val="300"/>
        </w:trPr>
        <w:tc>
          <w:tcPr>
            <w:tcW w:w="1417" w:type="dxa"/>
            <w:noWrap/>
            <w:tcMar>
              <w:left w:w="57" w:type="dxa"/>
              <w:right w:w="57" w:type="dxa"/>
            </w:tcMar>
            <w:hideMark/>
          </w:tcPr>
          <w:p w14:paraId="2EE4414A"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Burrowing blackfish</w:t>
            </w:r>
          </w:p>
        </w:tc>
        <w:tc>
          <w:tcPr>
            <w:tcW w:w="454" w:type="dxa"/>
            <w:noWrap/>
            <w:tcMar>
              <w:left w:w="57" w:type="dxa"/>
              <w:right w:w="57" w:type="dxa"/>
            </w:tcMar>
            <w:vAlign w:val="bottom"/>
            <w:hideMark/>
          </w:tcPr>
          <w:p w14:paraId="05A97706" w14:textId="213A80A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147D691" w14:textId="69D72B0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BFF4F68" w14:textId="320339B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C9618F5" w14:textId="226D2B6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548301E" w14:textId="7A9864D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D6AC2D1" w14:textId="3084918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3C0B68E" w14:textId="1708A09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32804FC" w14:textId="6EAD452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153EF26" w14:textId="306F18A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C0A2FBE" w14:textId="090C3C4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DD64292" w14:textId="00DC117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FC4C960" w14:textId="30B44F4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220.9</w:t>
            </w:r>
          </w:p>
        </w:tc>
        <w:tc>
          <w:tcPr>
            <w:tcW w:w="454" w:type="dxa"/>
            <w:noWrap/>
            <w:tcMar>
              <w:left w:w="57" w:type="dxa"/>
              <w:right w:w="57" w:type="dxa"/>
            </w:tcMar>
            <w:vAlign w:val="bottom"/>
            <w:hideMark/>
          </w:tcPr>
          <w:p w14:paraId="5B6E1A27" w14:textId="5115C72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224.7</w:t>
            </w:r>
          </w:p>
        </w:tc>
        <w:tc>
          <w:tcPr>
            <w:tcW w:w="454" w:type="dxa"/>
            <w:noWrap/>
            <w:tcMar>
              <w:left w:w="57" w:type="dxa"/>
              <w:right w:w="57" w:type="dxa"/>
            </w:tcMar>
            <w:vAlign w:val="bottom"/>
            <w:hideMark/>
          </w:tcPr>
          <w:p w14:paraId="29EE1F70" w14:textId="5733813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234.1</w:t>
            </w:r>
          </w:p>
        </w:tc>
        <w:tc>
          <w:tcPr>
            <w:tcW w:w="454" w:type="dxa"/>
            <w:noWrap/>
            <w:tcMar>
              <w:left w:w="57" w:type="dxa"/>
              <w:right w:w="57" w:type="dxa"/>
            </w:tcMar>
            <w:vAlign w:val="bottom"/>
            <w:hideMark/>
          </w:tcPr>
          <w:p w14:paraId="2F38DA4A" w14:textId="2BB98EE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214.6</w:t>
            </w:r>
          </w:p>
        </w:tc>
        <w:tc>
          <w:tcPr>
            <w:tcW w:w="454" w:type="dxa"/>
            <w:noWrap/>
            <w:tcMar>
              <w:left w:w="57" w:type="dxa"/>
              <w:right w:w="57" w:type="dxa"/>
            </w:tcMar>
            <w:vAlign w:val="bottom"/>
            <w:hideMark/>
          </w:tcPr>
          <w:p w14:paraId="331B111D" w14:textId="532FC5B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261.7</w:t>
            </w:r>
          </w:p>
        </w:tc>
        <w:tc>
          <w:tcPr>
            <w:tcW w:w="454" w:type="dxa"/>
            <w:noWrap/>
            <w:tcMar>
              <w:left w:w="57" w:type="dxa"/>
              <w:right w:w="57" w:type="dxa"/>
            </w:tcMar>
            <w:vAlign w:val="bottom"/>
            <w:hideMark/>
          </w:tcPr>
          <w:p w14:paraId="306C6346" w14:textId="10B2D97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230.2</w:t>
            </w:r>
          </w:p>
        </w:tc>
        <w:tc>
          <w:tcPr>
            <w:tcW w:w="454" w:type="dxa"/>
            <w:noWrap/>
            <w:tcMar>
              <w:left w:w="57" w:type="dxa"/>
              <w:right w:w="57" w:type="dxa"/>
            </w:tcMar>
            <w:vAlign w:val="bottom"/>
            <w:hideMark/>
          </w:tcPr>
          <w:p w14:paraId="492930D2" w14:textId="08A3D65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255.9</w:t>
            </w:r>
          </w:p>
        </w:tc>
        <w:tc>
          <w:tcPr>
            <w:tcW w:w="454" w:type="dxa"/>
            <w:noWrap/>
            <w:tcMar>
              <w:left w:w="57" w:type="dxa"/>
              <w:right w:w="57" w:type="dxa"/>
            </w:tcMar>
            <w:vAlign w:val="bottom"/>
            <w:hideMark/>
          </w:tcPr>
          <w:p w14:paraId="4C42D190" w14:textId="50B0CC5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213.2</w:t>
            </w:r>
          </w:p>
        </w:tc>
        <w:tc>
          <w:tcPr>
            <w:tcW w:w="454" w:type="dxa"/>
            <w:noWrap/>
            <w:tcMar>
              <w:left w:w="57" w:type="dxa"/>
              <w:right w:w="57" w:type="dxa"/>
            </w:tcMar>
            <w:vAlign w:val="bottom"/>
            <w:hideMark/>
          </w:tcPr>
          <w:p w14:paraId="3A6E6305" w14:textId="5D8A2DC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183.5</w:t>
            </w:r>
          </w:p>
        </w:tc>
        <w:tc>
          <w:tcPr>
            <w:tcW w:w="454" w:type="dxa"/>
            <w:noWrap/>
            <w:tcMar>
              <w:left w:w="57" w:type="dxa"/>
              <w:right w:w="57" w:type="dxa"/>
            </w:tcMar>
            <w:vAlign w:val="bottom"/>
            <w:hideMark/>
          </w:tcPr>
          <w:p w14:paraId="37D98B43" w14:textId="5A79D0D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179.7</w:t>
            </w:r>
          </w:p>
        </w:tc>
        <w:tc>
          <w:tcPr>
            <w:tcW w:w="454" w:type="dxa"/>
            <w:noWrap/>
            <w:tcMar>
              <w:left w:w="57" w:type="dxa"/>
              <w:right w:w="57" w:type="dxa"/>
            </w:tcMar>
            <w:vAlign w:val="bottom"/>
            <w:hideMark/>
          </w:tcPr>
          <w:p w14:paraId="2FC05804" w14:textId="759B075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165.5</w:t>
            </w:r>
          </w:p>
        </w:tc>
        <w:tc>
          <w:tcPr>
            <w:tcW w:w="454" w:type="dxa"/>
            <w:noWrap/>
            <w:tcMar>
              <w:left w:w="57" w:type="dxa"/>
              <w:right w:w="57" w:type="dxa"/>
            </w:tcMar>
            <w:vAlign w:val="bottom"/>
            <w:hideMark/>
          </w:tcPr>
          <w:p w14:paraId="00FD60A8" w14:textId="75A9E10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140.6</w:t>
            </w:r>
          </w:p>
        </w:tc>
        <w:tc>
          <w:tcPr>
            <w:tcW w:w="454" w:type="dxa"/>
            <w:noWrap/>
            <w:tcMar>
              <w:left w:w="57" w:type="dxa"/>
              <w:right w:w="57" w:type="dxa"/>
            </w:tcMar>
            <w:vAlign w:val="bottom"/>
            <w:hideMark/>
          </w:tcPr>
          <w:p w14:paraId="1371C049" w14:textId="55A9B60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126.5</w:t>
            </w:r>
          </w:p>
        </w:tc>
        <w:tc>
          <w:tcPr>
            <w:tcW w:w="454" w:type="dxa"/>
            <w:noWrap/>
            <w:tcMar>
              <w:left w:w="57" w:type="dxa"/>
              <w:right w:w="57" w:type="dxa"/>
            </w:tcMar>
            <w:vAlign w:val="bottom"/>
            <w:hideMark/>
          </w:tcPr>
          <w:p w14:paraId="0DEA6D4A" w14:textId="480940A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168.0</w:t>
            </w:r>
          </w:p>
        </w:tc>
        <w:tc>
          <w:tcPr>
            <w:tcW w:w="454" w:type="dxa"/>
            <w:noWrap/>
            <w:tcMar>
              <w:left w:w="57" w:type="dxa"/>
              <w:right w:w="57" w:type="dxa"/>
            </w:tcMar>
            <w:vAlign w:val="bottom"/>
            <w:hideMark/>
          </w:tcPr>
          <w:p w14:paraId="756F7AC5" w14:textId="1A01C4D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157.4</w:t>
            </w:r>
          </w:p>
        </w:tc>
        <w:tc>
          <w:tcPr>
            <w:tcW w:w="454" w:type="dxa"/>
            <w:noWrap/>
            <w:tcMar>
              <w:left w:w="57" w:type="dxa"/>
              <w:right w:w="57" w:type="dxa"/>
            </w:tcMar>
            <w:vAlign w:val="bottom"/>
            <w:hideMark/>
          </w:tcPr>
          <w:p w14:paraId="50C5D9AE" w14:textId="2D30B0B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111.0</w:t>
            </w:r>
          </w:p>
        </w:tc>
        <w:tc>
          <w:tcPr>
            <w:tcW w:w="454" w:type="dxa"/>
            <w:noWrap/>
            <w:tcMar>
              <w:left w:w="57" w:type="dxa"/>
              <w:right w:w="57" w:type="dxa"/>
            </w:tcMar>
            <w:vAlign w:val="bottom"/>
            <w:hideMark/>
          </w:tcPr>
          <w:p w14:paraId="513CBF0D" w14:textId="1655C45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59.4</w:t>
            </w:r>
          </w:p>
        </w:tc>
        <w:tc>
          <w:tcPr>
            <w:tcW w:w="642" w:type="dxa"/>
            <w:noWrap/>
            <w:tcMar>
              <w:left w:w="57" w:type="dxa"/>
              <w:right w:w="57" w:type="dxa"/>
            </w:tcMar>
            <w:vAlign w:val="bottom"/>
            <w:hideMark/>
          </w:tcPr>
          <w:p w14:paraId="227A4392" w14:textId="5824569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3,146.8</w:t>
            </w:r>
          </w:p>
        </w:tc>
      </w:tr>
      <w:tr w:rsidR="004A678E" w:rsidRPr="00C02D28" w14:paraId="647D07E1" w14:textId="77777777" w:rsidTr="000B319E">
        <w:trPr>
          <w:trHeight w:val="300"/>
        </w:trPr>
        <w:tc>
          <w:tcPr>
            <w:tcW w:w="1417" w:type="dxa"/>
            <w:noWrap/>
            <w:tcMar>
              <w:left w:w="57" w:type="dxa"/>
              <w:right w:w="57" w:type="dxa"/>
            </w:tcMar>
            <w:hideMark/>
          </w:tcPr>
          <w:p w14:paraId="6CC1A5BE"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Curryfish</w:t>
            </w:r>
          </w:p>
        </w:tc>
        <w:tc>
          <w:tcPr>
            <w:tcW w:w="454" w:type="dxa"/>
            <w:noWrap/>
            <w:tcMar>
              <w:left w:w="57" w:type="dxa"/>
              <w:right w:w="57" w:type="dxa"/>
            </w:tcMar>
            <w:vAlign w:val="bottom"/>
            <w:hideMark/>
          </w:tcPr>
          <w:p w14:paraId="5C004F8D" w14:textId="08A35A0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2F8B2DC" w14:textId="65DA370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9F26535" w14:textId="32D0AEB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3218071" w14:textId="1584DC1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7492EE5" w14:textId="567B0CA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D98B161" w14:textId="5833F0C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5D993D5" w14:textId="744641B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70911B2" w14:textId="39B833C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1F89FCD" w14:textId="52B6CBF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A172F8C" w14:textId="69A7418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687F0EB" w14:textId="761CC8B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83236CB" w14:textId="50EE12D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96CF844" w14:textId="52B771A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4.7</w:t>
            </w:r>
          </w:p>
        </w:tc>
        <w:tc>
          <w:tcPr>
            <w:tcW w:w="454" w:type="dxa"/>
            <w:noWrap/>
            <w:tcMar>
              <w:left w:w="57" w:type="dxa"/>
              <w:right w:w="57" w:type="dxa"/>
            </w:tcMar>
            <w:vAlign w:val="bottom"/>
            <w:hideMark/>
          </w:tcPr>
          <w:p w14:paraId="747D1F78" w14:textId="34BA13A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34.6</w:t>
            </w:r>
          </w:p>
        </w:tc>
        <w:tc>
          <w:tcPr>
            <w:tcW w:w="454" w:type="dxa"/>
            <w:noWrap/>
            <w:tcMar>
              <w:left w:w="57" w:type="dxa"/>
              <w:right w:w="57" w:type="dxa"/>
            </w:tcMar>
            <w:vAlign w:val="bottom"/>
            <w:hideMark/>
          </w:tcPr>
          <w:p w14:paraId="7F2D2577" w14:textId="0F69FC8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40.3</w:t>
            </w:r>
          </w:p>
        </w:tc>
        <w:tc>
          <w:tcPr>
            <w:tcW w:w="454" w:type="dxa"/>
            <w:noWrap/>
            <w:tcMar>
              <w:left w:w="57" w:type="dxa"/>
              <w:right w:w="57" w:type="dxa"/>
            </w:tcMar>
            <w:vAlign w:val="bottom"/>
            <w:hideMark/>
          </w:tcPr>
          <w:p w14:paraId="02035593" w14:textId="4BD87E3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46.4</w:t>
            </w:r>
          </w:p>
        </w:tc>
        <w:tc>
          <w:tcPr>
            <w:tcW w:w="454" w:type="dxa"/>
            <w:noWrap/>
            <w:tcMar>
              <w:left w:w="57" w:type="dxa"/>
              <w:right w:w="57" w:type="dxa"/>
            </w:tcMar>
            <w:vAlign w:val="bottom"/>
            <w:hideMark/>
          </w:tcPr>
          <w:p w14:paraId="54F687F2" w14:textId="6EA0F64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8.0</w:t>
            </w:r>
          </w:p>
        </w:tc>
        <w:tc>
          <w:tcPr>
            <w:tcW w:w="454" w:type="dxa"/>
            <w:noWrap/>
            <w:tcMar>
              <w:left w:w="57" w:type="dxa"/>
              <w:right w:w="57" w:type="dxa"/>
            </w:tcMar>
            <w:vAlign w:val="bottom"/>
            <w:hideMark/>
          </w:tcPr>
          <w:p w14:paraId="10CA3AD1" w14:textId="33C9050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9.7</w:t>
            </w:r>
          </w:p>
        </w:tc>
        <w:tc>
          <w:tcPr>
            <w:tcW w:w="454" w:type="dxa"/>
            <w:noWrap/>
            <w:tcMar>
              <w:left w:w="57" w:type="dxa"/>
              <w:right w:w="57" w:type="dxa"/>
            </w:tcMar>
            <w:vAlign w:val="bottom"/>
            <w:hideMark/>
          </w:tcPr>
          <w:p w14:paraId="393F1D9F" w14:textId="701F3A2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10.8</w:t>
            </w:r>
          </w:p>
        </w:tc>
        <w:tc>
          <w:tcPr>
            <w:tcW w:w="454" w:type="dxa"/>
            <w:noWrap/>
            <w:tcMar>
              <w:left w:w="57" w:type="dxa"/>
              <w:right w:w="57" w:type="dxa"/>
            </w:tcMar>
            <w:vAlign w:val="bottom"/>
            <w:hideMark/>
          </w:tcPr>
          <w:p w14:paraId="4560315B" w14:textId="2316403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2.4</w:t>
            </w:r>
          </w:p>
        </w:tc>
        <w:tc>
          <w:tcPr>
            <w:tcW w:w="454" w:type="dxa"/>
            <w:noWrap/>
            <w:tcMar>
              <w:left w:w="57" w:type="dxa"/>
              <w:right w:w="57" w:type="dxa"/>
            </w:tcMar>
            <w:vAlign w:val="bottom"/>
            <w:hideMark/>
          </w:tcPr>
          <w:p w14:paraId="16524CAC" w14:textId="42BA5AE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1.3</w:t>
            </w:r>
          </w:p>
        </w:tc>
        <w:tc>
          <w:tcPr>
            <w:tcW w:w="454" w:type="dxa"/>
            <w:noWrap/>
            <w:tcMar>
              <w:left w:w="57" w:type="dxa"/>
              <w:right w:w="57" w:type="dxa"/>
            </w:tcMar>
            <w:vAlign w:val="bottom"/>
            <w:hideMark/>
          </w:tcPr>
          <w:p w14:paraId="6E542970" w14:textId="2B5549C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0.9</w:t>
            </w:r>
          </w:p>
        </w:tc>
        <w:tc>
          <w:tcPr>
            <w:tcW w:w="454" w:type="dxa"/>
            <w:noWrap/>
            <w:tcMar>
              <w:left w:w="57" w:type="dxa"/>
              <w:right w:w="57" w:type="dxa"/>
            </w:tcMar>
            <w:vAlign w:val="bottom"/>
            <w:hideMark/>
          </w:tcPr>
          <w:p w14:paraId="2DC6AE6A" w14:textId="44FB36B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1.6</w:t>
            </w:r>
          </w:p>
        </w:tc>
        <w:tc>
          <w:tcPr>
            <w:tcW w:w="454" w:type="dxa"/>
            <w:noWrap/>
            <w:tcMar>
              <w:left w:w="57" w:type="dxa"/>
              <w:right w:w="57" w:type="dxa"/>
            </w:tcMar>
            <w:vAlign w:val="bottom"/>
            <w:hideMark/>
          </w:tcPr>
          <w:p w14:paraId="3A1DF4BF" w14:textId="0D9C393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0.9</w:t>
            </w:r>
          </w:p>
        </w:tc>
        <w:tc>
          <w:tcPr>
            <w:tcW w:w="454" w:type="dxa"/>
            <w:noWrap/>
            <w:tcMar>
              <w:left w:w="57" w:type="dxa"/>
              <w:right w:w="57" w:type="dxa"/>
            </w:tcMar>
            <w:vAlign w:val="bottom"/>
            <w:hideMark/>
          </w:tcPr>
          <w:p w14:paraId="2A430DDE" w14:textId="0846771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977C640" w14:textId="342C9F7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2.8</w:t>
            </w:r>
          </w:p>
        </w:tc>
        <w:tc>
          <w:tcPr>
            <w:tcW w:w="454" w:type="dxa"/>
            <w:noWrap/>
            <w:tcMar>
              <w:left w:w="57" w:type="dxa"/>
              <w:right w:w="57" w:type="dxa"/>
            </w:tcMar>
            <w:vAlign w:val="bottom"/>
            <w:hideMark/>
          </w:tcPr>
          <w:p w14:paraId="32FD85D4" w14:textId="0406D10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10.9</w:t>
            </w:r>
          </w:p>
        </w:tc>
        <w:tc>
          <w:tcPr>
            <w:tcW w:w="454" w:type="dxa"/>
            <w:noWrap/>
            <w:tcMar>
              <w:left w:w="57" w:type="dxa"/>
              <w:right w:w="57" w:type="dxa"/>
            </w:tcMar>
            <w:vAlign w:val="bottom"/>
            <w:hideMark/>
          </w:tcPr>
          <w:p w14:paraId="4303E42A" w14:textId="0F0A2B0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3.7</w:t>
            </w:r>
          </w:p>
        </w:tc>
        <w:tc>
          <w:tcPr>
            <w:tcW w:w="642" w:type="dxa"/>
            <w:noWrap/>
            <w:tcMar>
              <w:left w:w="57" w:type="dxa"/>
              <w:right w:w="57" w:type="dxa"/>
            </w:tcMar>
            <w:vAlign w:val="bottom"/>
            <w:hideMark/>
          </w:tcPr>
          <w:p w14:paraId="07550A69" w14:textId="74ED1B2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178.9</w:t>
            </w:r>
          </w:p>
        </w:tc>
      </w:tr>
      <w:tr w:rsidR="004A678E" w:rsidRPr="00C02D28" w14:paraId="08A76328" w14:textId="77777777" w:rsidTr="000B319E">
        <w:trPr>
          <w:trHeight w:val="300"/>
        </w:trPr>
        <w:tc>
          <w:tcPr>
            <w:tcW w:w="1417" w:type="dxa"/>
            <w:noWrap/>
            <w:tcMar>
              <w:left w:w="57" w:type="dxa"/>
              <w:right w:w="57" w:type="dxa"/>
            </w:tcMar>
            <w:hideMark/>
          </w:tcPr>
          <w:p w14:paraId="2BA4233F"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Curryfish hermanni</w:t>
            </w:r>
          </w:p>
        </w:tc>
        <w:tc>
          <w:tcPr>
            <w:tcW w:w="454" w:type="dxa"/>
            <w:noWrap/>
            <w:tcMar>
              <w:left w:w="57" w:type="dxa"/>
              <w:right w:w="57" w:type="dxa"/>
            </w:tcMar>
            <w:vAlign w:val="bottom"/>
            <w:hideMark/>
          </w:tcPr>
          <w:p w14:paraId="52E8FFED" w14:textId="30EB05B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FAF1158" w14:textId="0CDCE62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A394C8A" w14:textId="712EAEE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33A0F5E" w14:textId="533C66D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56C5CB1" w14:textId="58EFEF9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92CE072" w14:textId="5ECF038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9AB4FDB" w14:textId="6B7980B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C234141" w14:textId="0C4E439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F8B1308" w14:textId="0985F69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566117D" w14:textId="46ED5A8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7B9E4B7" w14:textId="514E8A7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1882781" w14:textId="56C2323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F6076B3" w14:textId="5BC3081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2B68E03" w14:textId="3CA7208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072F2E3" w14:textId="4C09D4C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4DCDA96" w14:textId="6D75FB2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12.8</w:t>
            </w:r>
          </w:p>
        </w:tc>
        <w:tc>
          <w:tcPr>
            <w:tcW w:w="454" w:type="dxa"/>
            <w:noWrap/>
            <w:tcMar>
              <w:left w:w="57" w:type="dxa"/>
              <w:right w:w="57" w:type="dxa"/>
            </w:tcMar>
            <w:vAlign w:val="bottom"/>
            <w:hideMark/>
          </w:tcPr>
          <w:p w14:paraId="17BA8A74" w14:textId="6885086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49.0</w:t>
            </w:r>
          </w:p>
        </w:tc>
        <w:tc>
          <w:tcPr>
            <w:tcW w:w="454" w:type="dxa"/>
            <w:noWrap/>
            <w:tcMar>
              <w:left w:w="57" w:type="dxa"/>
              <w:right w:w="57" w:type="dxa"/>
            </w:tcMar>
            <w:vAlign w:val="bottom"/>
            <w:hideMark/>
          </w:tcPr>
          <w:p w14:paraId="6A5E5570" w14:textId="109B7E5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25.6</w:t>
            </w:r>
          </w:p>
        </w:tc>
        <w:tc>
          <w:tcPr>
            <w:tcW w:w="454" w:type="dxa"/>
            <w:noWrap/>
            <w:tcMar>
              <w:left w:w="57" w:type="dxa"/>
              <w:right w:w="57" w:type="dxa"/>
            </w:tcMar>
            <w:vAlign w:val="bottom"/>
            <w:hideMark/>
          </w:tcPr>
          <w:p w14:paraId="40008699" w14:textId="0A91094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23.0</w:t>
            </w:r>
          </w:p>
        </w:tc>
        <w:tc>
          <w:tcPr>
            <w:tcW w:w="454" w:type="dxa"/>
            <w:noWrap/>
            <w:tcMar>
              <w:left w:w="57" w:type="dxa"/>
              <w:right w:w="57" w:type="dxa"/>
            </w:tcMar>
            <w:vAlign w:val="bottom"/>
            <w:hideMark/>
          </w:tcPr>
          <w:p w14:paraId="6F387E69" w14:textId="5CAACBB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25.5</w:t>
            </w:r>
          </w:p>
        </w:tc>
        <w:tc>
          <w:tcPr>
            <w:tcW w:w="454" w:type="dxa"/>
            <w:noWrap/>
            <w:tcMar>
              <w:left w:w="57" w:type="dxa"/>
              <w:right w:w="57" w:type="dxa"/>
            </w:tcMar>
            <w:vAlign w:val="bottom"/>
            <w:hideMark/>
          </w:tcPr>
          <w:p w14:paraId="65567263" w14:textId="539B22B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33.3</w:t>
            </w:r>
          </w:p>
        </w:tc>
        <w:tc>
          <w:tcPr>
            <w:tcW w:w="454" w:type="dxa"/>
            <w:noWrap/>
            <w:tcMar>
              <w:left w:w="57" w:type="dxa"/>
              <w:right w:w="57" w:type="dxa"/>
            </w:tcMar>
            <w:vAlign w:val="bottom"/>
            <w:hideMark/>
          </w:tcPr>
          <w:p w14:paraId="406F1DB3" w14:textId="7AA2228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32.5</w:t>
            </w:r>
          </w:p>
        </w:tc>
        <w:tc>
          <w:tcPr>
            <w:tcW w:w="454" w:type="dxa"/>
            <w:noWrap/>
            <w:tcMar>
              <w:left w:w="57" w:type="dxa"/>
              <w:right w:w="57" w:type="dxa"/>
            </w:tcMar>
            <w:vAlign w:val="bottom"/>
            <w:hideMark/>
          </w:tcPr>
          <w:p w14:paraId="01D33EC9" w14:textId="2ACADB9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35.6</w:t>
            </w:r>
          </w:p>
        </w:tc>
        <w:tc>
          <w:tcPr>
            <w:tcW w:w="454" w:type="dxa"/>
            <w:noWrap/>
            <w:tcMar>
              <w:left w:w="57" w:type="dxa"/>
              <w:right w:w="57" w:type="dxa"/>
            </w:tcMar>
            <w:vAlign w:val="bottom"/>
            <w:hideMark/>
          </w:tcPr>
          <w:p w14:paraId="201C67EF" w14:textId="6ECAC83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37.0</w:t>
            </w:r>
          </w:p>
        </w:tc>
        <w:tc>
          <w:tcPr>
            <w:tcW w:w="454" w:type="dxa"/>
            <w:noWrap/>
            <w:tcMar>
              <w:left w:w="57" w:type="dxa"/>
              <w:right w:w="57" w:type="dxa"/>
            </w:tcMar>
            <w:vAlign w:val="bottom"/>
            <w:hideMark/>
          </w:tcPr>
          <w:p w14:paraId="7CCBF72B" w14:textId="0F1609B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33.5</w:t>
            </w:r>
          </w:p>
        </w:tc>
        <w:tc>
          <w:tcPr>
            <w:tcW w:w="454" w:type="dxa"/>
            <w:noWrap/>
            <w:tcMar>
              <w:left w:w="57" w:type="dxa"/>
              <w:right w:w="57" w:type="dxa"/>
            </w:tcMar>
            <w:vAlign w:val="bottom"/>
            <w:hideMark/>
          </w:tcPr>
          <w:p w14:paraId="37D61812" w14:textId="304B20B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34.1</w:t>
            </w:r>
          </w:p>
        </w:tc>
        <w:tc>
          <w:tcPr>
            <w:tcW w:w="454" w:type="dxa"/>
            <w:noWrap/>
            <w:tcMar>
              <w:left w:w="57" w:type="dxa"/>
              <w:right w:w="57" w:type="dxa"/>
            </w:tcMar>
            <w:vAlign w:val="bottom"/>
            <w:hideMark/>
          </w:tcPr>
          <w:p w14:paraId="2B66304D" w14:textId="508DA8F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29.3</w:t>
            </w:r>
          </w:p>
        </w:tc>
        <w:tc>
          <w:tcPr>
            <w:tcW w:w="454" w:type="dxa"/>
            <w:noWrap/>
            <w:tcMar>
              <w:left w:w="57" w:type="dxa"/>
              <w:right w:w="57" w:type="dxa"/>
            </w:tcMar>
            <w:vAlign w:val="bottom"/>
            <w:hideMark/>
          </w:tcPr>
          <w:p w14:paraId="0A57B193" w14:textId="366221A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30.4</w:t>
            </w:r>
          </w:p>
        </w:tc>
        <w:tc>
          <w:tcPr>
            <w:tcW w:w="642" w:type="dxa"/>
            <w:noWrap/>
            <w:tcMar>
              <w:left w:w="57" w:type="dxa"/>
              <w:right w:w="57" w:type="dxa"/>
            </w:tcMar>
            <w:vAlign w:val="bottom"/>
            <w:hideMark/>
          </w:tcPr>
          <w:p w14:paraId="6143FF56" w14:textId="6237091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401.6</w:t>
            </w:r>
          </w:p>
        </w:tc>
      </w:tr>
      <w:tr w:rsidR="004A678E" w:rsidRPr="00C02D28" w14:paraId="4DF56556" w14:textId="77777777" w:rsidTr="000B319E">
        <w:trPr>
          <w:trHeight w:val="300"/>
        </w:trPr>
        <w:tc>
          <w:tcPr>
            <w:tcW w:w="1417" w:type="dxa"/>
            <w:noWrap/>
            <w:tcMar>
              <w:left w:w="57" w:type="dxa"/>
              <w:right w:w="57" w:type="dxa"/>
            </w:tcMar>
            <w:hideMark/>
          </w:tcPr>
          <w:p w14:paraId="1893B200"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Curryfish vastus</w:t>
            </w:r>
          </w:p>
        </w:tc>
        <w:tc>
          <w:tcPr>
            <w:tcW w:w="454" w:type="dxa"/>
            <w:noWrap/>
            <w:tcMar>
              <w:left w:w="57" w:type="dxa"/>
              <w:right w:w="57" w:type="dxa"/>
            </w:tcMar>
            <w:vAlign w:val="bottom"/>
            <w:hideMark/>
          </w:tcPr>
          <w:p w14:paraId="752073E0" w14:textId="40EC379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90A5C52" w14:textId="175A7C8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D84B10C" w14:textId="00DA53C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688EB8F" w14:textId="365FA55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DC18A64" w14:textId="521EB1A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4E6F612" w14:textId="4F073F6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B7ADEE9" w14:textId="22354D8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3C690B3" w14:textId="79784E9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3A9E6D6" w14:textId="7FBE6D2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8098859" w14:textId="5EDE233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0C06152" w14:textId="2C43C2A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F628053" w14:textId="4075C17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0E1BB9B" w14:textId="6EDB286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EE6FFC7" w14:textId="39F7CEC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EEF404C" w14:textId="04BEEE6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B8276A1" w14:textId="5B9DB0B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7.9</w:t>
            </w:r>
          </w:p>
        </w:tc>
        <w:tc>
          <w:tcPr>
            <w:tcW w:w="454" w:type="dxa"/>
            <w:noWrap/>
            <w:tcMar>
              <w:left w:w="57" w:type="dxa"/>
              <w:right w:w="57" w:type="dxa"/>
            </w:tcMar>
            <w:vAlign w:val="bottom"/>
            <w:hideMark/>
          </w:tcPr>
          <w:p w14:paraId="670DE237" w14:textId="3B6E197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12.4</w:t>
            </w:r>
          </w:p>
        </w:tc>
        <w:tc>
          <w:tcPr>
            <w:tcW w:w="454" w:type="dxa"/>
            <w:noWrap/>
            <w:tcMar>
              <w:left w:w="57" w:type="dxa"/>
              <w:right w:w="57" w:type="dxa"/>
            </w:tcMar>
            <w:vAlign w:val="bottom"/>
            <w:hideMark/>
          </w:tcPr>
          <w:p w14:paraId="1AAC4F1E" w14:textId="7176232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12.0</w:t>
            </w:r>
          </w:p>
        </w:tc>
        <w:tc>
          <w:tcPr>
            <w:tcW w:w="454" w:type="dxa"/>
            <w:noWrap/>
            <w:tcMar>
              <w:left w:w="57" w:type="dxa"/>
              <w:right w:w="57" w:type="dxa"/>
            </w:tcMar>
            <w:vAlign w:val="bottom"/>
            <w:hideMark/>
          </w:tcPr>
          <w:p w14:paraId="5F640465" w14:textId="03BEDE5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12.2</w:t>
            </w:r>
          </w:p>
        </w:tc>
        <w:tc>
          <w:tcPr>
            <w:tcW w:w="454" w:type="dxa"/>
            <w:noWrap/>
            <w:tcMar>
              <w:left w:w="57" w:type="dxa"/>
              <w:right w:w="57" w:type="dxa"/>
            </w:tcMar>
            <w:vAlign w:val="bottom"/>
            <w:hideMark/>
          </w:tcPr>
          <w:p w14:paraId="1B097002" w14:textId="329002B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16.1</w:t>
            </w:r>
          </w:p>
        </w:tc>
        <w:tc>
          <w:tcPr>
            <w:tcW w:w="454" w:type="dxa"/>
            <w:noWrap/>
            <w:tcMar>
              <w:left w:w="57" w:type="dxa"/>
              <w:right w:w="57" w:type="dxa"/>
            </w:tcMar>
            <w:vAlign w:val="bottom"/>
            <w:hideMark/>
          </w:tcPr>
          <w:p w14:paraId="541AC3FC" w14:textId="6F01882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16.9</w:t>
            </w:r>
          </w:p>
        </w:tc>
        <w:tc>
          <w:tcPr>
            <w:tcW w:w="454" w:type="dxa"/>
            <w:noWrap/>
            <w:tcMar>
              <w:left w:w="57" w:type="dxa"/>
              <w:right w:w="57" w:type="dxa"/>
            </w:tcMar>
            <w:vAlign w:val="bottom"/>
            <w:hideMark/>
          </w:tcPr>
          <w:p w14:paraId="21DD6A6C" w14:textId="771684F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17.5</w:t>
            </w:r>
          </w:p>
        </w:tc>
        <w:tc>
          <w:tcPr>
            <w:tcW w:w="454" w:type="dxa"/>
            <w:noWrap/>
            <w:tcMar>
              <w:left w:w="57" w:type="dxa"/>
              <w:right w:w="57" w:type="dxa"/>
            </w:tcMar>
            <w:vAlign w:val="bottom"/>
            <w:hideMark/>
          </w:tcPr>
          <w:p w14:paraId="46487CD6" w14:textId="79D47D8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18.7</w:t>
            </w:r>
          </w:p>
        </w:tc>
        <w:tc>
          <w:tcPr>
            <w:tcW w:w="454" w:type="dxa"/>
            <w:noWrap/>
            <w:tcMar>
              <w:left w:w="57" w:type="dxa"/>
              <w:right w:w="57" w:type="dxa"/>
            </w:tcMar>
            <w:vAlign w:val="bottom"/>
            <w:hideMark/>
          </w:tcPr>
          <w:p w14:paraId="65EA0225" w14:textId="4A6FC6A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17.9</w:t>
            </w:r>
          </w:p>
        </w:tc>
        <w:tc>
          <w:tcPr>
            <w:tcW w:w="454" w:type="dxa"/>
            <w:noWrap/>
            <w:tcMar>
              <w:left w:w="57" w:type="dxa"/>
              <w:right w:w="57" w:type="dxa"/>
            </w:tcMar>
            <w:vAlign w:val="bottom"/>
            <w:hideMark/>
          </w:tcPr>
          <w:p w14:paraId="5D612E90" w14:textId="5830095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19.0</w:t>
            </w:r>
          </w:p>
        </w:tc>
        <w:tc>
          <w:tcPr>
            <w:tcW w:w="454" w:type="dxa"/>
            <w:noWrap/>
            <w:tcMar>
              <w:left w:w="57" w:type="dxa"/>
              <w:right w:w="57" w:type="dxa"/>
            </w:tcMar>
            <w:vAlign w:val="bottom"/>
            <w:hideMark/>
          </w:tcPr>
          <w:p w14:paraId="74444471" w14:textId="1326671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16.0</w:t>
            </w:r>
          </w:p>
        </w:tc>
        <w:tc>
          <w:tcPr>
            <w:tcW w:w="454" w:type="dxa"/>
            <w:noWrap/>
            <w:tcMar>
              <w:left w:w="57" w:type="dxa"/>
              <w:right w:w="57" w:type="dxa"/>
            </w:tcMar>
            <w:vAlign w:val="bottom"/>
            <w:hideMark/>
          </w:tcPr>
          <w:p w14:paraId="7A02A619" w14:textId="33ABA61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13.7</w:t>
            </w:r>
          </w:p>
        </w:tc>
        <w:tc>
          <w:tcPr>
            <w:tcW w:w="454" w:type="dxa"/>
            <w:noWrap/>
            <w:tcMar>
              <w:left w:w="57" w:type="dxa"/>
              <w:right w:w="57" w:type="dxa"/>
            </w:tcMar>
            <w:vAlign w:val="bottom"/>
            <w:hideMark/>
          </w:tcPr>
          <w:p w14:paraId="52AB0172" w14:textId="0D8D8CB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17.1</w:t>
            </w:r>
          </w:p>
        </w:tc>
        <w:tc>
          <w:tcPr>
            <w:tcW w:w="642" w:type="dxa"/>
            <w:noWrap/>
            <w:tcMar>
              <w:left w:w="57" w:type="dxa"/>
              <w:right w:w="57" w:type="dxa"/>
            </w:tcMar>
            <w:vAlign w:val="bottom"/>
            <w:hideMark/>
          </w:tcPr>
          <w:p w14:paraId="05634FB4" w14:textId="17DD885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197.4</w:t>
            </w:r>
          </w:p>
        </w:tc>
      </w:tr>
      <w:tr w:rsidR="004A678E" w:rsidRPr="00C02D28" w14:paraId="4E6F2D9B" w14:textId="77777777" w:rsidTr="000B319E">
        <w:trPr>
          <w:trHeight w:val="300"/>
        </w:trPr>
        <w:tc>
          <w:tcPr>
            <w:tcW w:w="1417" w:type="dxa"/>
            <w:noWrap/>
            <w:tcMar>
              <w:left w:w="57" w:type="dxa"/>
              <w:right w:w="57" w:type="dxa"/>
            </w:tcMar>
            <w:hideMark/>
          </w:tcPr>
          <w:p w14:paraId="5A3D6FE1"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Deepwater blackfish</w:t>
            </w:r>
          </w:p>
        </w:tc>
        <w:tc>
          <w:tcPr>
            <w:tcW w:w="454" w:type="dxa"/>
            <w:noWrap/>
            <w:tcMar>
              <w:left w:w="57" w:type="dxa"/>
              <w:right w:w="57" w:type="dxa"/>
            </w:tcMar>
            <w:vAlign w:val="bottom"/>
            <w:hideMark/>
          </w:tcPr>
          <w:p w14:paraId="01F9EA33" w14:textId="3499C46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B9A69BC" w14:textId="4F6715D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DD74EE2" w14:textId="50E43F3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7F9E8C6" w14:textId="3C3A316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1.0</w:t>
            </w:r>
          </w:p>
        </w:tc>
        <w:tc>
          <w:tcPr>
            <w:tcW w:w="454" w:type="dxa"/>
            <w:noWrap/>
            <w:tcMar>
              <w:left w:w="57" w:type="dxa"/>
              <w:right w:w="57" w:type="dxa"/>
            </w:tcMar>
            <w:vAlign w:val="bottom"/>
            <w:hideMark/>
          </w:tcPr>
          <w:p w14:paraId="7963E85D" w14:textId="60790C5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2.1</w:t>
            </w:r>
          </w:p>
        </w:tc>
        <w:tc>
          <w:tcPr>
            <w:tcW w:w="454" w:type="dxa"/>
            <w:noWrap/>
            <w:tcMar>
              <w:left w:w="57" w:type="dxa"/>
              <w:right w:w="57" w:type="dxa"/>
            </w:tcMar>
            <w:vAlign w:val="bottom"/>
            <w:hideMark/>
          </w:tcPr>
          <w:p w14:paraId="08D64255" w14:textId="5F56C4F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EBB64D0" w14:textId="0F8A730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3.3</w:t>
            </w:r>
          </w:p>
        </w:tc>
        <w:tc>
          <w:tcPr>
            <w:tcW w:w="454" w:type="dxa"/>
            <w:noWrap/>
            <w:tcMar>
              <w:left w:w="57" w:type="dxa"/>
              <w:right w:w="57" w:type="dxa"/>
            </w:tcMar>
            <w:vAlign w:val="bottom"/>
            <w:hideMark/>
          </w:tcPr>
          <w:p w14:paraId="1617404E" w14:textId="2D0E6BB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18.9</w:t>
            </w:r>
          </w:p>
        </w:tc>
        <w:tc>
          <w:tcPr>
            <w:tcW w:w="454" w:type="dxa"/>
            <w:noWrap/>
            <w:tcMar>
              <w:left w:w="57" w:type="dxa"/>
              <w:right w:w="57" w:type="dxa"/>
            </w:tcMar>
            <w:vAlign w:val="bottom"/>
            <w:hideMark/>
          </w:tcPr>
          <w:p w14:paraId="150AA16B" w14:textId="2C136CB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1.7</w:t>
            </w:r>
          </w:p>
        </w:tc>
        <w:tc>
          <w:tcPr>
            <w:tcW w:w="454" w:type="dxa"/>
            <w:noWrap/>
            <w:tcMar>
              <w:left w:w="57" w:type="dxa"/>
              <w:right w:w="57" w:type="dxa"/>
            </w:tcMar>
            <w:vAlign w:val="bottom"/>
            <w:hideMark/>
          </w:tcPr>
          <w:p w14:paraId="53DF385F" w14:textId="51A83BC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5827EB0" w14:textId="2C934D4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A42E82C" w14:textId="162E1B9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3D1CFB4" w14:textId="62CDBC1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319FF90" w14:textId="3F61E94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76E029D" w14:textId="34ACD14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2672FEE" w14:textId="2F8BD2D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BA690B5" w14:textId="080532B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00A4208" w14:textId="61BE1B3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493CAF4" w14:textId="737A447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4DDC643" w14:textId="2D6B466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B0BD4BA" w14:textId="4533B36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FECBBFC" w14:textId="3808421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7F49945" w14:textId="2793648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DA8ED78" w14:textId="54D6E99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4AAE2AB" w14:textId="4AA6259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AC69E4C" w14:textId="0D0D089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0B3C431" w14:textId="6A48199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B7A6BEE" w14:textId="32B2D8A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642" w:type="dxa"/>
            <w:noWrap/>
            <w:tcMar>
              <w:left w:w="57" w:type="dxa"/>
              <w:right w:w="57" w:type="dxa"/>
            </w:tcMar>
            <w:vAlign w:val="bottom"/>
            <w:hideMark/>
          </w:tcPr>
          <w:p w14:paraId="528B8B63" w14:textId="2B5EDA9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27.0</w:t>
            </w:r>
          </w:p>
        </w:tc>
      </w:tr>
      <w:tr w:rsidR="004A678E" w:rsidRPr="00C02D28" w14:paraId="63C40A6E" w14:textId="77777777" w:rsidTr="000B319E">
        <w:trPr>
          <w:trHeight w:val="300"/>
        </w:trPr>
        <w:tc>
          <w:tcPr>
            <w:tcW w:w="1417" w:type="dxa"/>
            <w:noWrap/>
            <w:tcMar>
              <w:left w:w="57" w:type="dxa"/>
              <w:right w:w="57" w:type="dxa"/>
            </w:tcMar>
            <w:hideMark/>
          </w:tcPr>
          <w:p w14:paraId="1A356894"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Deepwater redfish</w:t>
            </w:r>
          </w:p>
        </w:tc>
        <w:tc>
          <w:tcPr>
            <w:tcW w:w="454" w:type="dxa"/>
            <w:noWrap/>
            <w:tcMar>
              <w:left w:w="57" w:type="dxa"/>
              <w:right w:w="57" w:type="dxa"/>
            </w:tcMar>
            <w:vAlign w:val="bottom"/>
            <w:hideMark/>
          </w:tcPr>
          <w:p w14:paraId="0DF9C45E" w14:textId="4988358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41EF1261" w14:textId="5970EFD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0.9</w:t>
            </w:r>
          </w:p>
        </w:tc>
        <w:tc>
          <w:tcPr>
            <w:tcW w:w="454" w:type="dxa"/>
            <w:noWrap/>
            <w:tcMar>
              <w:left w:w="57" w:type="dxa"/>
              <w:right w:w="57" w:type="dxa"/>
            </w:tcMar>
            <w:vAlign w:val="bottom"/>
            <w:hideMark/>
          </w:tcPr>
          <w:p w14:paraId="0BA0F0FA" w14:textId="030186B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w:t>
            </w:r>
          </w:p>
        </w:tc>
        <w:tc>
          <w:tcPr>
            <w:tcW w:w="454" w:type="dxa"/>
            <w:noWrap/>
            <w:tcMar>
              <w:left w:w="57" w:type="dxa"/>
              <w:right w:w="57" w:type="dxa"/>
            </w:tcMar>
            <w:vAlign w:val="bottom"/>
            <w:hideMark/>
          </w:tcPr>
          <w:p w14:paraId="38496337" w14:textId="0426099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0.8</w:t>
            </w:r>
          </w:p>
        </w:tc>
        <w:tc>
          <w:tcPr>
            <w:tcW w:w="454" w:type="dxa"/>
            <w:noWrap/>
            <w:tcMar>
              <w:left w:w="57" w:type="dxa"/>
              <w:right w:w="57" w:type="dxa"/>
            </w:tcMar>
            <w:vAlign w:val="bottom"/>
            <w:hideMark/>
          </w:tcPr>
          <w:p w14:paraId="726FF7E4" w14:textId="55590F3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1.4</w:t>
            </w:r>
          </w:p>
        </w:tc>
        <w:tc>
          <w:tcPr>
            <w:tcW w:w="454" w:type="dxa"/>
            <w:noWrap/>
            <w:tcMar>
              <w:left w:w="57" w:type="dxa"/>
              <w:right w:w="57" w:type="dxa"/>
            </w:tcMar>
            <w:vAlign w:val="bottom"/>
            <w:hideMark/>
          </w:tcPr>
          <w:p w14:paraId="4C85C789" w14:textId="6DF60F3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344A737" w14:textId="31B5792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0.4</w:t>
            </w:r>
          </w:p>
        </w:tc>
        <w:tc>
          <w:tcPr>
            <w:tcW w:w="454" w:type="dxa"/>
            <w:noWrap/>
            <w:tcMar>
              <w:left w:w="57" w:type="dxa"/>
              <w:right w:w="57" w:type="dxa"/>
            </w:tcMar>
            <w:vAlign w:val="bottom"/>
            <w:hideMark/>
          </w:tcPr>
          <w:p w14:paraId="3BCFB7A8" w14:textId="77B18A0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2AC5773B" w14:textId="616B075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47BEC0C" w14:textId="6BF3826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11B6B7D" w14:textId="2670E80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3F7803D" w14:textId="214B768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8FF783A" w14:textId="178494B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BB441A2" w14:textId="4EF26F2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D46A14B" w14:textId="1A4C46F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9A691FC" w14:textId="2E15F56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63B6548" w14:textId="362C156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FA97B36" w14:textId="7DDF685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3E88A59" w14:textId="0E35A85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B108054" w14:textId="11EBE79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317E412" w14:textId="41B3131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69539F1" w14:textId="2A93A76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5DC9D41" w14:textId="074DF33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B89BB20" w14:textId="4D754A5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DDCA5C6" w14:textId="057E7AB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4D06D08" w14:textId="3165F86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AF3860C" w14:textId="53B0D3F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B6A78C4" w14:textId="7AB72F0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642" w:type="dxa"/>
            <w:noWrap/>
            <w:tcMar>
              <w:left w:w="57" w:type="dxa"/>
              <w:right w:w="57" w:type="dxa"/>
            </w:tcMar>
            <w:vAlign w:val="bottom"/>
            <w:hideMark/>
          </w:tcPr>
          <w:p w14:paraId="5EA7BB29" w14:textId="4D87841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4.8</w:t>
            </w:r>
          </w:p>
        </w:tc>
      </w:tr>
      <w:tr w:rsidR="004A678E" w:rsidRPr="00C02D28" w14:paraId="488D9910" w14:textId="77777777" w:rsidTr="000B319E">
        <w:trPr>
          <w:trHeight w:val="300"/>
        </w:trPr>
        <w:tc>
          <w:tcPr>
            <w:tcW w:w="1417" w:type="dxa"/>
            <w:noWrap/>
            <w:tcMar>
              <w:left w:w="57" w:type="dxa"/>
              <w:right w:w="57" w:type="dxa"/>
            </w:tcMar>
            <w:hideMark/>
          </w:tcPr>
          <w:p w14:paraId="72D1056F"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Elephant trunkfish</w:t>
            </w:r>
          </w:p>
        </w:tc>
        <w:tc>
          <w:tcPr>
            <w:tcW w:w="454" w:type="dxa"/>
            <w:noWrap/>
            <w:tcMar>
              <w:left w:w="57" w:type="dxa"/>
              <w:right w:w="57" w:type="dxa"/>
            </w:tcMar>
            <w:vAlign w:val="bottom"/>
            <w:hideMark/>
          </w:tcPr>
          <w:p w14:paraId="57CA6D9B" w14:textId="28F61D4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BDBBDEF" w14:textId="081C43E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0.9</w:t>
            </w:r>
          </w:p>
        </w:tc>
        <w:tc>
          <w:tcPr>
            <w:tcW w:w="454" w:type="dxa"/>
            <w:noWrap/>
            <w:tcMar>
              <w:left w:w="57" w:type="dxa"/>
              <w:right w:w="57" w:type="dxa"/>
            </w:tcMar>
            <w:vAlign w:val="bottom"/>
            <w:hideMark/>
          </w:tcPr>
          <w:p w14:paraId="08123F83" w14:textId="65BBE46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3F1B3538" w14:textId="3AA853C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1D57AC4" w14:textId="6C7C64C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3.8</w:t>
            </w:r>
          </w:p>
        </w:tc>
        <w:tc>
          <w:tcPr>
            <w:tcW w:w="454" w:type="dxa"/>
            <w:noWrap/>
            <w:tcMar>
              <w:left w:w="57" w:type="dxa"/>
              <w:right w:w="57" w:type="dxa"/>
            </w:tcMar>
            <w:vAlign w:val="bottom"/>
            <w:hideMark/>
          </w:tcPr>
          <w:p w14:paraId="45D36760" w14:textId="70A9D24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25.7</w:t>
            </w:r>
          </w:p>
        </w:tc>
        <w:tc>
          <w:tcPr>
            <w:tcW w:w="454" w:type="dxa"/>
            <w:noWrap/>
            <w:tcMar>
              <w:left w:w="57" w:type="dxa"/>
              <w:right w:w="57" w:type="dxa"/>
            </w:tcMar>
            <w:vAlign w:val="bottom"/>
            <w:hideMark/>
          </w:tcPr>
          <w:p w14:paraId="5A31B43A" w14:textId="176FBB6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20.8</w:t>
            </w:r>
          </w:p>
        </w:tc>
        <w:tc>
          <w:tcPr>
            <w:tcW w:w="454" w:type="dxa"/>
            <w:noWrap/>
            <w:tcMar>
              <w:left w:w="57" w:type="dxa"/>
              <w:right w:w="57" w:type="dxa"/>
            </w:tcMar>
            <w:vAlign w:val="bottom"/>
            <w:hideMark/>
          </w:tcPr>
          <w:p w14:paraId="3FDBF38E" w14:textId="1A7BB4B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29.0</w:t>
            </w:r>
          </w:p>
        </w:tc>
        <w:tc>
          <w:tcPr>
            <w:tcW w:w="454" w:type="dxa"/>
            <w:noWrap/>
            <w:tcMar>
              <w:left w:w="57" w:type="dxa"/>
              <w:right w:w="57" w:type="dxa"/>
            </w:tcMar>
            <w:vAlign w:val="bottom"/>
            <w:hideMark/>
          </w:tcPr>
          <w:p w14:paraId="741B6A4C" w14:textId="7289D27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6.5</w:t>
            </w:r>
          </w:p>
        </w:tc>
        <w:tc>
          <w:tcPr>
            <w:tcW w:w="454" w:type="dxa"/>
            <w:noWrap/>
            <w:tcMar>
              <w:left w:w="57" w:type="dxa"/>
              <w:right w:w="57" w:type="dxa"/>
            </w:tcMar>
            <w:vAlign w:val="bottom"/>
            <w:hideMark/>
          </w:tcPr>
          <w:p w14:paraId="5AC9CC09" w14:textId="6F8BDFC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1.4</w:t>
            </w:r>
          </w:p>
        </w:tc>
        <w:tc>
          <w:tcPr>
            <w:tcW w:w="454" w:type="dxa"/>
            <w:noWrap/>
            <w:tcMar>
              <w:left w:w="57" w:type="dxa"/>
              <w:right w:w="57" w:type="dxa"/>
            </w:tcMar>
            <w:vAlign w:val="bottom"/>
            <w:hideMark/>
          </w:tcPr>
          <w:p w14:paraId="0AA55ACD" w14:textId="09B78FD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49922AC" w14:textId="14AE4FE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1D3DCCE" w14:textId="0EA1A99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37CA86C8" w14:textId="1E28FC7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6FA1661F" w14:textId="67A528C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DD79E56" w14:textId="00B4964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3E21272" w14:textId="2B7AEC0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42EA8B03" w14:textId="76A26FF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2.0</w:t>
            </w:r>
          </w:p>
        </w:tc>
        <w:tc>
          <w:tcPr>
            <w:tcW w:w="454" w:type="dxa"/>
            <w:noWrap/>
            <w:tcMar>
              <w:left w:w="57" w:type="dxa"/>
              <w:right w:w="57" w:type="dxa"/>
            </w:tcMar>
            <w:vAlign w:val="bottom"/>
            <w:hideMark/>
          </w:tcPr>
          <w:p w14:paraId="3AE3C5A3" w14:textId="7022883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F21C5FF" w14:textId="249C56A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DB5A1EC" w14:textId="4D5F8C7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C11D638" w14:textId="362D465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353E301" w14:textId="0672555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4389432" w14:textId="3899008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99A45AA" w14:textId="4A452EF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E6F5C34" w14:textId="22E8DFE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13121BD" w14:textId="25624C7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4E82A67" w14:textId="18E4FD0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642" w:type="dxa"/>
            <w:noWrap/>
            <w:tcMar>
              <w:left w:w="57" w:type="dxa"/>
              <w:right w:w="57" w:type="dxa"/>
            </w:tcMar>
            <w:vAlign w:val="bottom"/>
            <w:hideMark/>
          </w:tcPr>
          <w:p w14:paraId="29AF639F" w14:textId="6967A3F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90.7</w:t>
            </w:r>
          </w:p>
        </w:tc>
      </w:tr>
      <w:tr w:rsidR="004A678E" w:rsidRPr="00C02D28" w14:paraId="5E2FEDA4" w14:textId="77777777" w:rsidTr="000B319E">
        <w:trPr>
          <w:trHeight w:val="300"/>
        </w:trPr>
        <w:tc>
          <w:tcPr>
            <w:tcW w:w="1417" w:type="dxa"/>
            <w:noWrap/>
            <w:tcMar>
              <w:left w:w="57" w:type="dxa"/>
              <w:right w:w="57" w:type="dxa"/>
            </w:tcMar>
            <w:hideMark/>
          </w:tcPr>
          <w:p w14:paraId="7B35CD88"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Golden sandfish</w:t>
            </w:r>
          </w:p>
        </w:tc>
        <w:tc>
          <w:tcPr>
            <w:tcW w:w="454" w:type="dxa"/>
            <w:noWrap/>
            <w:tcMar>
              <w:left w:w="57" w:type="dxa"/>
              <w:right w:w="57" w:type="dxa"/>
            </w:tcMar>
            <w:vAlign w:val="bottom"/>
            <w:hideMark/>
          </w:tcPr>
          <w:p w14:paraId="5A1AC8A0" w14:textId="29A07AC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08F8375" w14:textId="21BE965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CB2F779" w14:textId="49FD44A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8CC99DF" w14:textId="42AA2A1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C37F3B4" w14:textId="2367709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98D0540" w14:textId="6FC0FD6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20F3F52" w14:textId="7F3E417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12.0</w:t>
            </w:r>
          </w:p>
        </w:tc>
        <w:tc>
          <w:tcPr>
            <w:tcW w:w="454" w:type="dxa"/>
            <w:noWrap/>
            <w:tcMar>
              <w:left w:w="57" w:type="dxa"/>
              <w:right w:w="57" w:type="dxa"/>
            </w:tcMar>
            <w:vAlign w:val="bottom"/>
            <w:hideMark/>
          </w:tcPr>
          <w:p w14:paraId="6DFCE2CF" w14:textId="442041D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6.5</w:t>
            </w:r>
          </w:p>
        </w:tc>
        <w:tc>
          <w:tcPr>
            <w:tcW w:w="454" w:type="dxa"/>
            <w:noWrap/>
            <w:tcMar>
              <w:left w:w="57" w:type="dxa"/>
              <w:right w:w="57" w:type="dxa"/>
            </w:tcMar>
            <w:vAlign w:val="bottom"/>
            <w:hideMark/>
          </w:tcPr>
          <w:p w14:paraId="19961DFB" w14:textId="7DFD9FA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F08E68C" w14:textId="7F019D5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5.0</w:t>
            </w:r>
          </w:p>
        </w:tc>
        <w:tc>
          <w:tcPr>
            <w:tcW w:w="454" w:type="dxa"/>
            <w:noWrap/>
            <w:tcMar>
              <w:left w:w="57" w:type="dxa"/>
              <w:right w:w="57" w:type="dxa"/>
            </w:tcMar>
            <w:vAlign w:val="bottom"/>
            <w:hideMark/>
          </w:tcPr>
          <w:p w14:paraId="038163D4" w14:textId="67310D4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8.5</w:t>
            </w:r>
          </w:p>
        </w:tc>
        <w:tc>
          <w:tcPr>
            <w:tcW w:w="454" w:type="dxa"/>
            <w:noWrap/>
            <w:tcMar>
              <w:left w:w="57" w:type="dxa"/>
              <w:right w:w="57" w:type="dxa"/>
            </w:tcMar>
            <w:vAlign w:val="bottom"/>
            <w:hideMark/>
          </w:tcPr>
          <w:p w14:paraId="15DF5CC3" w14:textId="59CE6AC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4F666C7" w14:textId="43274AD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9.0</w:t>
            </w:r>
          </w:p>
        </w:tc>
        <w:tc>
          <w:tcPr>
            <w:tcW w:w="454" w:type="dxa"/>
            <w:noWrap/>
            <w:tcMar>
              <w:left w:w="57" w:type="dxa"/>
              <w:right w:w="57" w:type="dxa"/>
            </w:tcMar>
            <w:vAlign w:val="bottom"/>
            <w:hideMark/>
          </w:tcPr>
          <w:p w14:paraId="6BD1B423" w14:textId="2672EAC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8.8</w:t>
            </w:r>
          </w:p>
        </w:tc>
        <w:tc>
          <w:tcPr>
            <w:tcW w:w="454" w:type="dxa"/>
            <w:noWrap/>
            <w:tcMar>
              <w:left w:w="57" w:type="dxa"/>
              <w:right w:w="57" w:type="dxa"/>
            </w:tcMar>
            <w:vAlign w:val="bottom"/>
            <w:hideMark/>
          </w:tcPr>
          <w:p w14:paraId="66F8865E" w14:textId="6EB6C1C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3.4</w:t>
            </w:r>
          </w:p>
        </w:tc>
        <w:tc>
          <w:tcPr>
            <w:tcW w:w="454" w:type="dxa"/>
            <w:noWrap/>
            <w:tcMar>
              <w:left w:w="57" w:type="dxa"/>
              <w:right w:w="57" w:type="dxa"/>
            </w:tcMar>
            <w:vAlign w:val="bottom"/>
            <w:hideMark/>
          </w:tcPr>
          <w:p w14:paraId="6747B477" w14:textId="103B81C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0.5</w:t>
            </w:r>
          </w:p>
        </w:tc>
        <w:tc>
          <w:tcPr>
            <w:tcW w:w="454" w:type="dxa"/>
            <w:noWrap/>
            <w:tcMar>
              <w:left w:w="57" w:type="dxa"/>
              <w:right w:w="57" w:type="dxa"/>
            </w:tcMar>
            <w:vAlign w:val="bottom"/>
            <w:hideMark/>
          </w:tcPr>
          <w:p w14:paraId="44E31DC9" w14:textId="487D945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6.6</w:t>
            </w:r>
          </w:p>
        </w:tc>
        <w:tc>
          <w:tcPr>
            <w:tcW w:w="454" w:type="dxa"/>
            <w:noWrap/>
            <w:tcMar>
              <w:left w:w="57" w:type="dxa"/>
              <w:right w:w="57" w:type="dxa"/>
            </w:tcMar>
            <w:vAlign w:val="bottom"/>
            <w:hideMark/>
          </w:tcPr>
          <w:p w14:paraId="57FA78B7" w14:textId="66852BC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5.6</w:t>
            </w:r>
          </w:p>
        </w:tc>
        <w:tc>
          <w:tcPr>
            <w:tcW w:w="454" w:type="dxa"/>
            <w:noWrap/>
            <w:tcMar>
              <w:left w:w="57" w:type="dxa"/>
              <w:right w:w="57" w:type="dxa"/>
            </w:tcMar>
            <w:vAlign w:val="bottom"/>
            <w:hideMark/>
          </w:tcPr>
          <w:p w14:paraId="3EF5F65F" w14:textId="2CC2759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3.7</w:t>
            </w:r>
          </w:p>
        </w:tc>
        <w:tc>
          <w:tcPr>
            <w:tcW w:w="454" w:type="dxa"/>
            <w:noWrap/>
            <w:tcMar>
              <w:left w:w="57" w:type="dxa"/>
              <w:right w:w="57" w:type="dxa"/>
            </w:tcMar>
            <w:vAlign w:val="bottom"/>
            <w:hideMark/>
          </w:tcPr>
          <w:p w14:paraId="7CF977F2" w14:textId="330ECB3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4.9</w:t>
            </w:r>
          </w:p>
        </w:tc>
        <w:tc>
          <w:tcPr>
            <w:tcW w:w="454" w:type="dxa"/>
            <w:noWrap/>
            <w:tcMar>
              <w:left w:w="57" w:type="dxa"/>
              <w:right w:w="57" w:type="dxa"/>
            </w:tcMar>
            <w:vAlign w:val="bottom"/>
            <w:hideMark/>
          </w:tcPr>
          <w:p w14:paraId="097B6C2A" w14:textId="1BD8C2D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3.7</w:t>
            </w:r>
          </w:p>
        </w:tc>
        <w:tc>
          <w:tcPr>
            <w:tcW w:w="454" w:type="dxa"/>
            <w:noWrap/>
            <w:tcMar>
              <w:left w:w="57" w:type="dxa"/>
              <w:right w:w="57" w:type="dxa"/>
            </w:tcMar>
            <w:vAlign w:val="bottom"/>
            <w:hideMark/>
          </w:tcPr>
          <w:p w14:paraId="5EF13470" w14:textId="7756F2B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2.7</w:t>
            </w:r>
          </w:p>
        </w:tc>
        <w:tc>
          <w:tcPr>
            <w:tcW w:w="454" w:type="dxa"/>
            <w:noWrap/>
            <w:tcMar>
              <w:left w:w="57" w:type="dxa"/>
              <w:right w:w="57" w:type="dxa"/>
            </w:tcMar>
            <w:vAlign w:val="bottom"/>
            <w:hideMark/>
          </w:tcPr>
          <w:p w14:paraId="66759AD4" w14:textId="69455AE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3.7</w:t>
            </w:r>
          </w:p>
        </w:tc>
        <w:tc>
          <w:tcPr>
            <w:tcW w:w="454" w:type="dxa"/>
            <w:noWrap/>
            <w:tcMar>
              <w:left w:w="57" w:type="dxa"/>
              <w:right w:w="57" w:type="dxa"/>
            </w:tcMar>
            <w:vAlign w:val="bottom"/>
            <w:hideMark/>
          </w:tcPr>
          <w:p w14:paraId="48C1B7AB" w14:textId="1232735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7.6</w:t>
            </w:r>
          </w:p>
        </w:tc>
        <w:tc>
          <w:tcPr>
            <w:tcW w:w="454" w:type="dxa"/>
            <w:noWrap/>
            <w:tcMar>
              <w:left w:w="57" w:type="dxa"/>
              <w:right w:w="57" w:type="dxa"/>
            </w:tcMar>
            <w:vAlign w:val="bottom"/>
            <w:hideMark/>
          </w:tcPr>
          <w:p w14:paraId="4AAFF03D" w14:textId="15F6051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4.2</w:t>
            </w:r>
          </w:p>
        </w:tc>
        <w:tc>
          <w:tcPr>
            <w:tcW w:w="454" w:type="dxa"/>
            <w:noWrap/>
            <w:tcMar>
              <w:left w:w="57" w:type="dxa"/>
              <w:right w:w="57" w:type="dxa"/>
            </w:tcMar>
            <w:vAlign w:val="bottom"/>
            <w:hideMark/>
          </w:tcPr>
          <w:p w14:paraId="5AA03B2F" w14:textId="12EA2D6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7.5</w:t>
            </w:r>
          </w:p>
        </w:tc>
        <w:tc>
          <w:tcPr>
            <w:tcW w:w="454" w:type="dxa"/>
            <w:noWrap/>
            <w:tcMar>
              <w:left w:w="57" w:type="dxa"/>
              <w:right w:w="57" w:type="dxa"/>
            </w:tcMar>
            <w:vAlign w:val="bottom"/>
            <w:hideMark/>
          </w:tcPr>
          <w:p w14:paraId="500B70E9" w14:textId="4D1FD54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9.2</w:t>
            </w:r>
          </w:p>
        </w:tc>
        <w:tc>
          <w:tcPr>
            <w:tcW w:w="454" w:type="dxa"/>
            <w:noWrap/>
            <w:tcMar>
              <w:left w:w="57" w:type="dxa"/>
              <w:right w:w="57" w:type="dxa"/>
            </w:tcMar>
            <w:vAlign w:val="bottom"/>
            <w:hideMark/>
          </w:tcPr>
          <w:p w14:paraId="61F777A1" w14:textId="59498D8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1.8</w:t>
            </w:r>
          </w:p>
        </w:tc>
        <w:tc>
          <w:tcPr>
            <w:tcW w:w="642" w:type="dxa"/>
            <w:noWrap/>
            <w:tcMar>
              <w:left w:w="57" w:type="dxa"/>
              <w:right w:w="57" w:type="dxa"/>
            </w:tcMar>
            <w:vAlign w:val="bottom"/>
            <w:hideMark/>
          </w:tcPr>
          <w:p w14:paraId="6DB54549" w14:textId="53AB426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114.9</w:t>
            </w:r>
          </w:p>
        </w:tc>
      </w:tr>
      <w:tr w:rsidR="004A678E" w:rsidRPr="00C02D28" w14:paraId="3A0E1A3B" w14:textId="77777777" w:rsidTr="000B319E">
        <w:trPr>
          <w:trHeight w:val="300"/>
        </w:trPr>
        <w:tc>
          <w:tcPr>
            <w:tcW w:w="1417" w:type="dxa"/>
            <w:noWrap/>
            <w:tcMar>
              <w:left w:w="57" w:type="dxa"/>
              <w:right w:w="57" w:type="dxa"/>
            </w:tcMar>
            <w:hideMark/>
          </w:tcPr>
          <w:p w14:paraId="6FBC8A9C"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Greenfish</w:t>
            </w:r>
          </w:p>
        </w:tc>
        <w:tc>
          <w:tcPr>
            <w:tcW w:w="454" w:type="dxa"/>
            <w:noWrap/>
            <w:tcMar>
              <w:left w:w="57" w:type="dxa"/>
              <w:right w:w="57" w:type="dxa"/>
            </w:tcMar>
            <w:vAlign w:val="bottom"/>
            <w:hideMark/>
          </w:tcPr>
          <w:p w14:paraId="2F1E814D" w14:textId="22314C7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4.3</w:t>
            </w:r>
          </w:p>
        </w:tc>
        <w:tc>
          <w:tcPr>
            <w:tcW w:w="454" w:type="dxa"/>
            <w:noWrap/>
            <w:tcMar>
              <w:left w:w="57" w:type="dxa"/>
              <w:right w:w="57" w:type="dxa"/>
            </w:tcMar>
            <w:vAlign w:val="bottom"/>
            <w:hideMark/>
          </w:tcPr>
          <w:p w14:paraId="40533FEA" w14:textId="4CD891A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1.8</w:t>
            </w:r>
          </w:p>
        </w:tc>
        <w:tc>
          <w:tcPr>
            <w:tcW w:w="454" w:type="dxa"/>
            <w:noWrap/>
            <w:tcMar>
              <w:left w:w="57" w:type="dxa"/>
              <w:right w:w="57" w:type="dxa"/>
            </w:tcMar>
            <w:vAlign w:val="bottom"/>
            <w:hideMark/>
          </w:tcPr>
          <w:p w14:paraId="54C7BEC9" w14:textId="28356DD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0.4</w:t>
            </w:r>
          </w:p>
        </w:tc>
        <w:tc>
          <w:tcPr>
            <w:tcW w:w="454" w:type="dxa"/>
            <w:noWrap/>
            <w:tcMar>
              <w:left w:w="57" w:type="dxa"/>
              <w:right w:w="57" w:type="dxa"/>
            </w:tcMar>
            <w:vAlign w:val="bottom"/>
            <w:hideMark/>
          </w:tcPr>
          <w:p w14:paraId="0DEF0980" w14:textId="1DAB133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64C3D3B" w14:textId="78A45ED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5D5D015" w14:textId="045E687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069C92B2" w14:textId="4696664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FB45AB4" w14:textId="13068C8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5089365" w14:textId="28C7C63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50B41AA" w14:textId="2BDDF2D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BE2E489" w14:textId="1BD7492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A662414" w14:textId="1EA1014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B82D19B" w14:textId="6A309E9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4B005F1" w14:textId="44C72E9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FE0D833" w14:textId="10A41FE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FD2FAB6" w14:textId="48D32D0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BE8FE52" w14:textId="466549F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4716056" w14:textId="4007078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C89A732" w14:textId="06F5822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7E00EFF" w14:textId="14EE8E8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39ABFA58" w14:textId="4E0978A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15AFD42B" w14:textId="05D34A2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56B3311" w14:textId="083C2A2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C92C48E" w14:textId="47C30C3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58B49F6" w14:textId="5B0181D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BA13C0F" w14:textId="03AB220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389CF2F" w14:textId="40EA9BC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8DE1FB5" w14:textId="2AAA26B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642" w:type="dxa"/>
            <w:noWrap/>
            <w:tcMar>
              <w:left w:w="57" w:type="dxa"/>
              <w:right w:w="57" w:type="dxa"/>
            </w:tcMar>
            <w:vAlign w:val="bottom"/>
            <w:hideMark/>
          </w:tcPr>
          <w:p w14:paraId="0C73303C" w14:textId="53EDA68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7.0</w:t>
            </w:r>
          </w:p>
        </w:tc>
      </w:tr>
      <w:tr w:rsidR="004A678E" w:rsidRPr="00C02D28" w14:paraId="503046EE" w14:textId="77777777" w:rsidTr="000B319E">
        <w:trPr>
          <w:trHeight w:val="300"/>
        </w:trPr>
        <w:tc>
          <w:tcPr>
            <w:tcW w:w="1417" w:type="dxa"/>
            <w:noWrap/>
            <w:tcMar>
              <w:left w:w="57" w:type="dxa"/>
              <w:right w:w="57" w:type="dxa"/>
            </w:tcMar>
            <w:hideMark/>
          </w:tcPr>
          <w:p w14:paraId="4A111842"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Leopardfish</w:t>
            </w:r>
          </w:p>
        </w:tc>
        <w:tc>
          <w:tcPr>
            <w:tcW w:w="454" w:type="dxa"/>
            <w:noWrap/>
            <w:tcMar>
              <w:left w:w="57" w:type="dxa"/>
              <w:right w:w="57" w:type="dxa"/>
            </w:tcMar>
            <w:vAlign w:val="bottom"/>
            <w:hideMark/>
          </w:tcPr>
          <w:p w14:paraId="0CDC791E" w14:textId="785A74C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0.5</w:t>
            </w:r>
          </w:p>
        </w:tc>
        <w:tc>
          <w:tcPr>
            <w:tcW w:w="454" w:type="dxa"/>
            <w:noWrap/>
            <w:tcMar>
              <w:left w:w="57" w:type="dxa"/>
              <w:right w:w="57" w:type="dxa"/>
            </w:tcMar>
            <w:vAlign w:val="bottom"/>
            <w:hideMark/>
          </w:tcPr>
          <w:p w14:paraId="011F1EE9" w14:textId="1E03654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21F18E2A" w14:textId="73BDA26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AE7999B" w14:textId="0FAD402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1FCA511" w14:textId="52AA485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44553F90" w14:textId="3B6F61F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1.0</w:t>
            </w:r>
          </w:p>
        </w:tc>
        <w:tc>
          <w:tcPr>
            <w:tcW w:w="454" w:type="dxa"/>
            <w:noWrap/>
            <w:tcMar>
              <w:left w:w="57" w:type="dxa"/>
              <w:right w:w="57" w:type="dxa"/>
            </w:tcMar>
            <w:vAlign w:val="bottom"/>
            <w:hideMark/>
          </w:tcPr>
          <w:p w14:paraId="15744E9B" w14:textId="00BA3EE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9F85B3D" w14:textId="3458AB3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7D0FF37" w14:textId="1A23433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7DBA277" w14:textId="7A527F7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FF4A5FD" w14:textId="543CDA3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790D74B" w14:textId="47890B0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AA01FCE" w14:textId="07FCC0B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BF0E738" w14:textId="7E82AD9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3E330D3" w14:textId="1F3CC59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7DD4F48D" w14:textId="245849B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6DB6C69F" w14:textId="26CF9B5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4.4</w:t>
            </w:r>
          </w:p>
        </w:tc>
        <w:tc>
          <w:tcPr>
            <w:tcW w:w="454" w:type="dxa"/>
            <w:noWrap/>
            <w:tcMar>
              <w:left w:w="57" w:type="dxa"/>
              <w:right w:w="57" w:type="dxa"/>
            </w:tcMar>
            <w:vAlign w:val="bottom"/>
            <w:hideMark/>
          </w:tcPr>
          <w:p w14:paraId="17EEB647" w14:textId="3D68272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2.7</w:t>
            </w:r>
          </w:p>
        </w:tc>
        <w:tc>
          <w:tcPr>
            <w:tcW w:w="454" w:type="dxa"/>
            <w:noWrap/>
            <w:tcMar>
              <w:left w:w="57" w:type="dxa"/>
              <w:right w:w="57" w:type="dxa"/>
            </w:tcMar>
            <w:vAlign w:val="bottom"/>
            <w:hideMark/>
          </w:tcPr>
          <w:p w14:paraId="3BD386A7" w14:textId="6AE3F24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1.3</w:t>
            </w:r>
          </w:p>
        </w:tc>
        <w:tc>
          <w:tcPr>
            <w:tcW w:w="454" w:type="dxa"/>
            <w:noWrap/>
            <w:tcMar>
              <w:left w:w="57" w:type="dxa"/>
              <w:right w:w="57" w:type="dxa"/>
            </w:tcMar>
            <w:vAlign w:val="bottom"/>
            <w:hideMark/>
          </w:tcPr>
          <w:p w14:paraId="3CE18BBC" w14:textId="1CF0CBA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3.6</w:t>
            </w:r>
          </w:p>
        </w:tc>
        <w:tc>
          <w:tcPr>
            <w:tcW w:w="454" w:type="dxa"/>
            <w:noWrap/>
            <w:tcMar>
              <w:left w:w="57" w:type="dxa"/>
              <w:right w:w="57" w:type="dxa"/>
            </w:tcMar>
            <w:vAlign w:val="bottom"/>
            <w:hideMark/>
          </w:tcPr>
          <w:p w14:paraId="33BA87AF" w14:textId="36547D9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4.5</w:t>
            </w:r>
          </w:p>
        </w:tc>
        <w:tc>
          <w:tcPr>
            <w:tcW w:w="454" w:type="dxa"/>
            <w:noWrap/>
            <w:tcMar>
              <w:left w:w="57" w:type="dxa"/>
              <w:right w:w="57" w:type="dxa"/>
            </w:tcMar>
            <w:vAlign w:val="bottom"/>
            <w:hideMark/>
          </w:tcPr>
          <w:p w14:paraId="15F41CFE" w14:textId="1E4C066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1.8</w:t>
            </w:r>
          </w:p>
        </w:tc>
        <w:tc>
          <w:tcPr>
            <w:tcW w:w="454" w:type="dxa"/>
            <w:noWrap/>
            <w:tcMar>
              <w:left w:w="57" w:type="dxa"/>
              <w:right w:w="57" w:type="dxa"/>
            </w:tcMar>
            <w:vAlign w:val="bottom"/>
            <w:hideMark/>
          </w:tcPr>
          <w:p w14:paraId="5108FCA3" w14:textId="053916E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3.1</w:t>
            </w:r>
          </w:p>
        </w:tc>
        <w:tc>
          <w:tcPr>
            <w:tcW w:w="454" w:type="dxa"/>
            <w:noWrap/>
            <w:tcMar>
              <w:left w:w="57" w:type="dxa"/>
              <w:right w:w="57" w:type="dxa"/>
            </w:tcMar>
            <w:vAlign w:val="bottom"/>
            <w:hideMark/>
          </w:tcPr>
          <w:p w14:paraId="60D0D42D" w14:textId="03F901C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2.1</w:t>
            </w:r>
          </w:p>
        </w:tc>
        <w:tc>
          <w:tcPr>
            <w:tcW w:w="454" w:type="dxa"/>
            <w:noWrap/>
            <w:tcMar>
              <w:left w:w="57" w:type="dxa"/>
              <w:right w:w="57" w:type="dxa"/>
            </w:tcMar>
            <w:vAlign w:val="bottom"/>
            <w:hideMark/>
          </w:tcPr>
          <w:p w14:paraId="4668AFD1" w14:textId="109BCAC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3.5</w:t>
            </w:r>
          </w:p>
        </w:tc>
        <w:tc>
          <w:tcPr>
            <w:tcW w:w="454" w:type="dxa"/>
            <w:noWrap/>
            <w:tcMar>
              <w:left w:w="57" w:type="dxa"/>
              <w:right w:w="57" w:type="dxa"/>
            </w:tcMar>
            <w:vAlign w:val="bottom"/>
            <w:hideMark/>
          </w:tcPr>
          <w:p w14:paraId="392DCD3A" w14:textId="16C9F1C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5.4</w:t>
            </w:r>
          </w:p>
        </w:tc>
        <w:tc>
          <w:tcPr>
            <w:tcW w:w="454" w:type="dxa"/>
            <w:noWrap/>
            <w:tcMar>
              <w:left w:w="57" w:type="dxa"/>
              <w:right w:w="57" w:type="dxa"/>
            </w:tcMar>
            <w:vAlign w:val="bottom"/>
            <w:hideMark/>
          </w:tcPr>
          <w:p w14:paraId="2D26FDEB" w14:textId="1E44491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6.9</w:t>
            </w:r>
          </w:p>
        </w:tc>
        <w:tc>
          <w:tcPr>
            <w:tcW w:w="454" w:type="dxa"/>
            <w:noWrap/>
            <w:tcMar>
              <w:left w:w="57" w:type="dxa"/>
              <w:right w:w="57" w:type="dxa"/>
            </w:tcMar>
            <w:vAlign w:val="bottom"/>
            <w:hideMark/>
          </w:tcPr>
          <w:p w14:paraId="4BE7DDA9" w14:textId="06A68DD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6.4</w:t>
            </w:r>
          </w:p>
        </w:tc>
        <w:tc>
          <w:tcPr>
            <w:tcW w:w="642" w:type="dxa"/>
            <w:noWrap/>
            <w:tcMar>
              <w:left w:w="57" w:type="dxa"/>
              <w:right w:w="57" w:type="dxa"/>
            </w:tcMar>
            <w:vAlign w:val="bottom"/>
            <w:hideMark/>
          </w:tcPr>
          <w:p w14:paraId="192F8C91" w14:textId="6C7DCD7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47.4</w:t>
            </w:r>
          </w:p>
        </w:tc>
      </w:tr>
      <w:tr w:rsidR="004A678E" w:rsidRPr="00C02D28" w14:paraId="0900018A" w14:textId="77777777" w:rsidTr="000B319E">
        <w:trPr>
          <w:trHeight w:val="300"/>
        </w:trPr>
        <w:tc>
          <w:tcPr>
            <w:tcW w:w="1417" w:type="dxa"/>
            <w:noWrap/>
            <w:tcMar>
              <w:left w:w="57" w:type="dxa"/>
              <w:right w:w="57" w:type="dxa"/>
            </w:tcMar>
            <w:hideMark/>
          </w:tcPr>
          <w:p w14:paraId="671DF166"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Lollyfish</w:t>
            </w:r>
          </w:p>
        </w:tc>
        <w:tc>
          <w:tcPr>
            <w:tcW w:w="454" w:type="dxa"/>
            <w:noWrap/>
            <w:tcMar>
              <w:left w:w="57" w:type="dxa"/>
              <w:right w:w="57" w:type="dxa"/>
            </w:tcMar>
            <w:vAlign w:val="bottom"/>
            <w:hideMark/>
          </w:tcPr>
          <w:p w14:paraId="02C2C733" w14:textId="0870084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0560ADA6" w14:textId="3F4A504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68F25CAC" w14:textId="561EDF4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34DA1921" w14:textId="5FCFFAB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1.2</w:t>
            </w:r>
          </w:p>
        </w:tc>
        <w:tc>
          <w:tcPr>
            <w:tcW w:w="454" w:type="dxa"/>
            <w:noWrap/>
            <w:tcMar>
              <w:left w:w="57" w:type="dxa"/>
              <w:right w:w="57" w:type="dxa"/>
            </w:tcMar>
            <w:vAlign w:val="bottom"/>
            <w:hideMark/>
          </w:tcPr>
          <w:p w14:paraId="2E02CBB3" w14:textId="5FCB199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3C4D5B28" w14:textId="6DE935A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4.7</w:t>
            </w:r>
          </w:p>
        </w:tc>
        <w:tc>
          <w:tcPr>
            <w:tcW w:w="454" w:type="dxa"/>
            <w:noWrap/>
            <w:tcMar>
              <w:left w:w="57" w:type="dxa"/>
              <w:right w:w="57" w:type="dxa"/>
            </w:tcMar>
            <w:vAlign w:val="bottom"/>
            <w:hideMark/>
          </w:tcPr>
          <w:p w14:paraId="7EAEF228" w14:textId="4AAC5D9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188CE690" w14:textId="22DFA55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w:t>
            </w:r>
          </w:p>
        </w:tc>
        <w:tc>
          <w:tcPr>
            <w:tcW w:w="454" w:type="dxa"/>
            <w:noWrap/>
            <w:tcMar>
              <w:left w:w="57" w:type="dxa"/>
              <w:right w:w="57" w:type="dxa"/>
            </w:tcMar>
            <w:vAlign w:val="bottom"/>
            <w:hideMark/>
          </w:tcPr>
          <w:p w14:paraId="7075E9DE" w14:textId="5797A13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699D564" w14:textId="0539964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69C6554" w14:textId="03453C5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8E7EEB4" w14:textId="686DCFF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4BD4928" w14:textId="443D919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CAC4E3C" w14:textId="0DD0CF3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942314E" w14:textId="751F0E9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B6A718C" w14:textId="1967408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1D92FD80" w14:textId="5B821B3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B13D1B9" w14:textId="2ED7855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2615EDB" w14:textId="0B0A75B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C80B752" w14:textId="2C68CB3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105B4BB" w14:textId="422FC17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2F35202" w14:textId="13C9C5C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B9DFC08" w14:textId="2B9790D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6DA888F" w14:textId="492488C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8B5C4FE" w14:textId="32A06F6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0.3</w:t>
            </w:r>
          </w:p>
        </w:tc>
        <w:tc>
          <w:tcPr>
            <w:tcW w:w="454" w:type="dxa"/>
            <w:noWrap/>
            <w:tcMar>
              <w:left w:w="57" w:type="dxa"/>
              <w:right w:w="57" w:type="dxa"/>
            </w:tcMar>
            <w:vAlign w:val="bottom"/>
            <w:hideMark/>
          </w:tcPr>
          <w:p w14:paraId="20532575" w14:textId="5255D26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0D0C389" w14:textId="57CA0F3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3EA23ED" w14:textId="46EB40F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642" w:type="dxa"/>
            <w:noWrap/>
            <w:tcMar>
              <w:left w:w="57" w:type="dxa"/>
              <w:right w:w="57" w:type="dxa"/>
            </w:tcMar>
            <w:vAlign w:val="bottom"/>
            <w:hideMark/>
          </w:tcPr>
          <w:p w14:paraId="58712E09" w14:textId="11C0EF6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8.2</w:t>
            </w:r>
          </w:p>
        </w:tc>
      </w:tr>
      <w:tr w:rsidR="004A678E" w:rsidRPr="00C02D28" w14:paraId="0864D3D8" w14:textId="77777777" w:rsidTr="000B319E">
        <w:trPr>
          <w:trHeight w:val="300"/>
        </w:trPr>
        <w:tc>
          <w:tcPr>
            <w:tcW w:w="1417" w:type="dxa"/>
            <w:noWrap/>
            <w:tcMar>
              <w:left w:w="57" w:type="dxa"/>
              <w:right w:w="57" w:type="dxa"/>
            </w:tcMar>
            <w:hideMark/>
          </w:tcPr>
          <w:p w14:paraId="6047BEAF"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Prickly redfish</w:t>
            </w:r>
          </w:p>
        </w:tc>
        <w:tc>
          <w:tcPr>
            <w:tcW w:w="454" w:type="dxa"/>
            <w:noWrap/>
            <w:tcMar>
              <w:left w:w="57" w:type="dxa"/>
              <w:right w:w="57" w:type="dxa"/>
            </w:tcMar>
            <w:vAlign w:val="bottom"/>
            <w:hideMark/>
          </w:tcPr>
          <w:p w14:paraId="3B6B1837" w14:textId="3264DFD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7.0</w:t>
            </w:r>
          </w:p>
        </w:tc>
        <w:tc>
          <w:tcPr>
            <w:tcW w:w="454" w:type="dxa"/>
            <w:noWrap/>
            <w:tcMar>
              <w:left w:w="57" w:type="dxa"/>
              <w:right w:w="57" w:type="dxa"/>
            </w:tcMar>
            <w:vAlign w:val="bottom"/>
            <w:hideMark/>
          </w:tcPr>
          <w:p w14:paraId="168CCB40" w14:textId="7C977D5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16.2</w:t>
            </w:r>
          </w:p>
        </w:tc>
        <w:tc>
          <w:tcPr>
            <w:tcW w:w="454" w:type="dxa"/>
            <w:noWrap/>
            <w:tcMar>
              <w:left w:w="57" w:type="dxa"/>
              <w:right w:w="57" w:type="dxa"/>
            </w:tcMar>
            <w:vAlign w:val="bottom"/>
            <w:hideMark/>
          </w:tcPr>
          <w:p w14:paraId="325E24DA" w14:textId="4019EAF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2.4</w:t>
            </w:r>
          </w:p>
        </w:tc>
        <w:tc>
          <w:tcPr>
            <w:tcW w:w="454" w:type="dxa"/>
            <w:noWrap/>
            <w:tcMar>
              <w:left w:w="57" w:type="dxa"/>
              <w:right w:w="57" w:type="dxa"/>
            </w:tcMar>
            <w:vAlign w:val="bottom"/>
            <w:hideMark/>
          </w:tcPr>
          <w:p w14:paraId="60B8876D" w14:textId="68E1DE0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2.1</w:t>
            </w:r>
          </w:p>
        </w:tc>
        <w:tc>
          <w:tcPr>
            <w:tcW w:w="454" w:type="dxa"/>
            <w:noWrap/>
            <w:tcMar>
              <w:left w:w="57" w:type="dxa"/>
              <w:right w:w="57" w:type="dxa"/>
            </w:tcMar>
            <w:vAlign w:val="bottom"/>
            <w:hideMark/>
          </w:tcPr>
          <w:p w14:paraId="22303E56" w14:textId="1941881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44.3</w:t>
            </w:r>
          </w:p>
        </w:tc>
        <w:tc>
          <w:tcPr>
            <w:tcW w:w="454" w:type="dxa"/>
            <w:noWrap/>
            <w:tcMar>
              <w:left w:w="57" w:type="dxa"/>
              <w:right w:w="57" w:type="dxa"/>
            </w:tcMar>
            <w:vAlign w:val="bottom"/>
            <w:hideMark/>
          </w:tcPr>
          <w:p w14:paraId="2FD425A3" w14:textId="1FD50E7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73.2</w:t>
            </w:r>
          </w:p>
        </w:tc>
        <w:tc>
          <w:tcPr>
            <w:tcW w:w="454" w:type="dxa"/>
            <w:noWrap/>
            <w:tcMar>
              <w:left w:w="57" w:type="dxa"/>
              <w:right w:w="57" w:type="dxa"/>
            </w:tcMar>
            <w:vAlign w:val="bottom"/>
            <w:hideMark/>
          </w:tcPr>
          <w:p w14:paraId="78B4A11F" w14:textId="43E9115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58.4</w:t>
            </w:r>
          </w:p>
        </w:tc>
        <w:tc>
          <w:tcPr>
            <w:tcW w:w="454" w:type="dxa"/>
            <w:noWrap/>
            <w:tcMar>
              <w:left w:w="57" w:type="dxa"/>
              <w:right w:w="57" w:type="dxa"/>
            </w:tcMar>
            <w:vAlign w:val="bottom"/>
            <w:hideMark/>
          </w:tcPr>
          <w:p w14:paraId="44962A55" w14:textId="0B08ADA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46.8</w:t>
            </w:r>
          </w:p>
        </w:tc>
        <w:tc>
          <w:tcPr>
            <w:tcW w:w="454" w:type="dxa"/>
            <w:noWrap/>
            <w:tcMar>
              <w:left w:w="57" w:type="dxa"/>
              <w:right w:w="57" w:type="dxa"/>
            </w:tcMar>
            <w:vAlign w:val="bottom"/>
            <w:hideMark/>
          </w:tcPr>
          <w:p w14:paraId="4FE2D353" w14:textId="2F62CF6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38.5</w:t>
            </w:r>
          </w:p>
        </w:tc>
        <w:tc>
          <w:tcPr>
            <w:tcW w:w="454" w:type="dxa"/>
            <w:noWrap/>
            <w:tcMar>
              <w:left w:w="57" w:type="dxa"/>
              <w:right w:w="57" w:type="dxa"/>
            </w:tcMar>
            <w:vAlign w:val="bottom"/>
            <w:hideMark/>
          </w:tcPr>
          <w:p w14:paraId="4BD1E5D4" w14:textId="2007AD5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25.4</w:t>
            </w:r>
          </w:p>
        </w:tc>
        <w:tc>
          <w:tcPr>
            <w:tcW w:w="454" w:type="dxa"/>
            <w:noWrap/>
            <w:tcMar>
              <w:left w:w="57" w:type="dxa"/>
              <w:right w:w="57" w:type="dxa"/>
            </w:tcMar>
            <w:vAlign w:val="bottom"/>
            <w:hideMark/>
          </w:tcPr>
          <w:p w14:paraId="4E6AC537" w14:textId="0714FE7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21.9</w:t>
            </w:r>
          </w:p>
        </w:tc>
        <w:tc>
          <w:tcPr>
            <w:tcW w:w="454" w:type="dxa"/>
            <w:noWrap/>
            <w:tcMar>
              <w:left w:w="57" w:type="dxa"/>
              <w:right w:w="57" w:type="dxa"/>
            </w:tcMar>
            <w:vAlign w:val="bottom"/>
            <w:hideMark/>
          </w:tcPr>
          <w:p w14:paraId="711CA898" w14:textId="005C299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11.3</w:t>
            </w:r>
          </w:p>
        </w:tc>
        <w:tc>
          <w:tcPr>
            <w:tcW w:w="454" w:type="dxa"/>
            <w:noWrap/>
            <w:tcMar>
              <w:left w:w="57" w:type="dxa"/>
              <w:right w:w="57" w:type="dxa"/>
            </w:tcMar>
            <w:vAlign w:val="bottom"/>
            <w:hideMark/>
          </w:tcPr>
          <w:p w14:paraId="737CB259" w14:textId="3446CED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13.1</w:t>
            </w:r>
          </w:p>
        </w:tc>
        <w:tc>
          <w:tcPr>
            <w:tcW w:w="454" w:type="dxa"/>
            <w:noWrap/>
            <w:tcMar>
              <w:left w:w="57" w:type="dxa"/>
              <w:right w:w="57" w:type="dxa"/>
            </w:tcMar>
            <w:vAlign w:val="bottom"/>
            <w:hideMark/>
          </w:tcPr>
          <w:p w14:paraId="11D2E62A" w14:textId="57B4691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45.4</w:t>
            </w:r>
          </w:p>
        </w:tc>
        <w:tc>
          <w:tcPr>
            <w:tcW w:w="454" w:type="dxa"/>
            <w:noWrap/>
            <w:tcMar>
              <w:left w:w="57" w:type="dxa"/>
              <w:right w:w="57" w:type="dxa"/>
            </w:tcMar>
            <w:vAlign w:val="bottom"/>
            <w:hideMark/>
          </w:tcPr>
          <w:p w14:paraId="62D4870A" w14:textId="1A18169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22.8</w:t>
            </w:r>
          </w:p>
        </w:tc>
        <w:tc>
          <w:tcPr>
            <w:tcW w:w="454" w:type="dxa"/>
            <w:noWrap/>
            <w:tcMar>
              <w:left w:w="57" w:type="dxa"/>
              <w:right w:w="57" w:type="dxa"/>
            </w:tcMar>
            <w:vAlign w:val="bottom"/>
            <w:hideMark/>
          </w:tcPr>
          <w:p w14:paraId="0E4D63CD" w14:textId="0C764CE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17.4</w:t>
            </w:r>
          </w:p>
        </w:tc>
        <w:tc>
          <w:tcPr>
            <w:tcW w:w="454" w:type="dxa"/>
            <w:noWrap/>
            <w:tcMar>
              <w:left w:w="57" w:type="dxa"/>
              <w:right w:w="57" w:type="dxa"/>
            </w:tcMar>
            <w:vAlign w:val="bottom"/>
            <w:hideMark/>
          </w:tcPr>
          <w:p w14:paraId="49FA68CB" w14:textId="7DC4AFE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46.6</w:t>
            </w:r>
          </w:p>
        </w:tc>
        <w:tc>
          <w:tcPr>
            <w:tcW w:w="454" w:type="dxa"/>
            <w:noWrap/>
            <w:tcMar>
              <w:left w:w="57" w:type="dxa"/>
              <w:right w:w="57" w:type="dxa"/>
            </w:tcMar>
            <w:vAlign w:val="bottom"/>
            <w:hideMark/>
          </w:tcPr>
          <w:p w14:paraId="26930BDD" w14:textId="7DAC734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34.3</w:t>
            </w:r>
          </w:p>
        </w:tc>
        <w:tc>
          <w:tcPr>
            <w:tcW w:w="454" w:type="dxa"/>
            <w:noWrap/>
            <w:tcMar>
              <w:left w:w="57" w:type="dxa"/>
              <w:right w:w="57" w:type="dxa"/>
            </w:tcMar>
            <w:vAlign w:val="bottom"/>
            <w:hideMark/>
          </w:tcPr>
          <w:p w14:paraId="723AE823" w14:textId="21FA1BE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28.2</w:t>
            </w:r>
          </w:p>
        </w:tc>
        <w:tc>
          <w:tcPr>
            <w:tcW w:w="454" w:type="dxa"/>
            <w:noWrap/>
            <w:tcMar>
              <w:left w:w="57" w:type="dxa"/>
              <w:right w:w="57" w:type="dxa"/>
            </w:tcMar>
            <w:vAlign w:val="bottom"/>
            <w:hideMark/>
          </w:tcPr>
          <w:p w14:paraId="58E87229" w14:textId="1F3B434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33.8</w:t>
            </w:r>
          </w:p>
        </w:tc>
        <w:tc>
          <w:tcPr>
            <w:tcW w:w="454" w:type="dxa"/>
            <w:noWrap/>
            <w:tcMar>
              <w:left w:w="57" w:type="dxa"/>
              <w:right w:w="57" w:type="dxa"/>
            </w:tcMar>
            <w:vAlign w:val="bottom"/>
            <w:hideMark/>
          </w:tcPr>
          <w:p w14:paraId="68707B04" w14:textId="0B51FCA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36.5</w:t>
            </w:r>
          </w:p>
        </w:tc>
        <w:tc>
          <w:tcPr>
            <w:tcW w:w="454" w:type="dxa"/>
            <w:noWrap/>
            <w:tcMar>
              <w:left w:w="57" w:type="dxa"/>
              <w:right w:w="57" w:type="dxa"/>
            </w:tcMar>
            <w:vAlign w:val="bottom"/>
            <w:hideMark/>
          </w:tcPr>
          <w:p w14:paraId="3E2C266A" w14:textId="6FBC642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36.7</w:t>
            </w:r>
          </w:p>
        </w:tc>
        <w:tc>
          <w:tcPr>
            <w:tcW w:w="454" w:type="dxa"/>
            <w:noWrap/>
            <w:tcMar>
              <w:left w:w="57" w:type="dxa"/>
              <w:right w:w="57" w:type="dxa"/>
            </w:tcMar>
            <w:vAlign w:val="bottom"/>
            <w:hideMark/>
          </w:tcPr>
          <w:p w14:paraId="3ECA81CE" w14:textId="4A94305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33.8</w:t>
            </w:r>
          </w:p>
        </w:tc>
        <w:tc>
          <w:tcPr>
            <w:tcW w:w="454" w:type="dxa"/>
            <w:noWrap/>
            <w:tcMar>
              <w:left w:w="57" w:type="dxa"/>
              <w:right w:w="57" w:type="dxa"/>
            </w:tcMar>
            <w:vAlign w:val="bottom"/>
            <w:hideMark/>
          </w:tcPr>
          <w:p w14:paraId="79E298BE" w14:textId="6AD0E5E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29.0</w:t>
            </w:r>
          </w:p>
        </w:tc>
        <w:tc>
          <w:tcPr>
            <w:tcW w:w="454" w:type="dxa"/>
            <w:noWrap/>
            <w:tcMar>
              <w:left w:w="57" w:type="dxa"/>
              <w:right w:w="57" w:type="dxa"/>
            </w:tcMar>
            <w:vAlign w:val="bottom"/>
            <w:hideMark/>
          </w:tcPr>
          <w:p w14:paraId="050ABA39" w14:textId="17CB6B3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35.4</w:t>
            </w:r>
          </w:p>
        </w:tc>
        <w:tc>
          <w:tcPr>
            <w:tcW w:w="454" w:type="dxa"/>
            <w:noWrap/>
            <w:tcMar>
              <w:left w:w="57" w:type="dxa"/>
              <w:right w:w="57" w:type="dxa"/>
            </w:tcMar>
            <w:vAlign w:val="bottom"/>
            <w:hideMark/>
          </w:tcPr>
          <w:p w14:paraId="0796C04D" w14:textId="49C3F09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35.7</w:t>
            </w:r>
          </w:p>
        </w:tc>
        <w:tc>
          <w:tcPr>
            <w:tcW w:w="454" w:type="dxa"/>
            <w:noWrap/>
            <w:tcMar>
              <w:left w:w="57" w:type="dxa"/>
              <w:right w:w="57" w:type="dxa"/>
            </w:tcMar>
            <w:vAlign w:val="bottom"/>
            <w:hideMark/>
          </w:tcPr>
          <w:p w14:paraId="3D5C082A" w14:textId="7B03F43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37.4</w:t>
            </w:r>
          </w:p>
        </w:tc>
        <w:tc>
          <w:tcPr>
            <w:tcW w:w="454" w:type="dxa"/>
            <w:noWrap/>
            <w:tcMar>
              <w:left w:w="57" w:type="dxa"/>
              <w:right w:w="57" w:type="dxa"/>
            </w:tcMar>
            <w:vAlign w:val="bottom"/>
            <w:hideMark/>
          </w:tcPr>
          <w:p w14:paraId="0EB203F5" w14:textId="3280E99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33.8</w:t>
            </w:r>
          </w:p>
        </w:tc>
        <w:tc>
          <w:tcPr>
            <w:tcW w:w="642" w:type="dxa"/>
            <w:noWrap/>
            <w:tcMar>
              <w:left w:w="57" w:type="dxa"/>
              <w:right w:w="57" w:type="dxa"/>
            </w:tcMar>
            <w:vAlign w:val="bottom"/>
            <w:hideMark/>
          </w:tcPr>
          <w:p w14:paraId="5E4E9988" w14:textId="701BE5D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867.3</w:t>
            </w:r>
          </w:p>
        </w:tc>
      </w:tr>
      <w:tr w:rsidR="004A678E" w:rsidRPr="00C02D28" w14:paraId="68392F4D" w14:textId="77777777" w:rsidTr="000B319E">
        <w:trPr>
          <w:trHeight w:val="300"/>
        </w:trPr>
        <w:tc>
          <w:tcPr>
            <w:tcW w:w="1417" w:type="dxa"/>
            <w:noWrap/>
            <w:tcMar>
              <w:left w:w="57" w:type="dxa"/>
              <w:right w:w="57" w:type="dxa"/>
            </w:tcMar>
            <w:hideMark/>
          </w:tcPr>
          <w:p w14:paraId="1F1FCC5A"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Sandfish</w:t>
            </w:r>
          </w:p>
        </w:tc>
        <w:tc>
          <w:tcPr>
            <w:tcW w:w="454" w:type="dxa"/>
            <w:noWrap/>
            <w:tcMar>
              <w:left w:w="57" w:type="dxa"/>
              <w:right w:w="57" w:type="dxa"/>
            </w:tcMar>
            <w:vAlign w:val="bottom"/>
            <w:hideMark/>
          </w:tcPr>
          <w:p w14:paraId="21EF6C18" w14:textId="151C1BB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36.6</w:t>
            </w:r>
          </w:p>
        </w:tc>
        <w:tc>
          <w:tcPr>
            <w:tcW w:w="454" w:type="dxa"/>
            <w:noWrap/>
            <w:tcMar>
              <w:left w:w="57" w:type="dxa"/>
              <w:right w:w="57" w:type="dxa"/>
            </w:tcMar>
            <w:vAlign w:val="bottom"/>
            <w:hideMark/>
          </w:tcPr>
          <w:p w14:paraId="79128E8F" w14:textId="70B07C5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62.8</w:t>
            </w:r>
          </w:p>
        </w:tc>
        <w:tc>
          <w:tcPr>
            <w:tcW w:w="454" w:type="dxa"/>
            <w:noWrap/>
            <w:tcMar>
              <w:left w:w="57" w:type="dxa"/>
              <w:right w:w="57" w:type="dxa"/>
            </w:tcMar>
            <w:vAlign w:val="bottom"/>
            <w:hideMark/>
          </w:tcPr>
          <w:p w14:paraId="57F40CD8" w14:textId="712CDA9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25.9</w:t>
            </w:r>
          </w:p>
        </w:tc>
        <w:tc>
          <w:tcPr>
            <w:tcW w:w="454" w:type="dxa"/>
            <w:noWrap/>
            <w:tcMar>
              <w:left w:w="57" w:type="dxa"/>
              <w:right w:w="57" w:type="dxa"/>
            </w:tcMar>
            <w:vAlign w:val="bottom"/>
            <w:hideMark/>
          </w:tcPr>
          <w:p w14:paraId="489D8EEA" w14:textId="5AB495F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5.8</w:t>
            </w:r>
          </w:p>
        </w:tc>
        <w:tc>
          <w:tcPr>
            <w:tcW w:w="454" w:type="dxa"/>
            <w:noWrap/>
            <w:tcMar>
              <w:left w:w="57" w:type="dxa"/>
              <w:right w:w="57" w:type="dxa"/>
            </w:tcMar>
            <w:vAlign w:val="bottom"/>
            <w:hideMark/>
          </w:tcPr>
          <w:p w14:paraId="5F8075AE" w14:textId="0FBF75F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13.6</w:t>
            </w:r>
          </w:p>
        </w:tc>
        <w:tc>
          <w:tcPr>
            <w:tcW w:w="454" w:type="dxa"/>
            <w:noWrap/>
            <w:tcMar>
              <w:left w:w="57" w:type="dxa"/>
              <w:right w:w="57" w:type="dxa"/>
            </w:tcMar>
            <w:vAlign w:val="bottom"/>
            <w:hideMark/>
          </w:tcPr>
          <w:p w14:paraId="5E2F89C6" w14:textId="5609624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0.9</w:t>
            </w:r>
          </w:p>
        </w:tc>
        <w:tc>
          <w:tcPr>
            <w:tcW w:w="454" w:type="dxa"/>
            <w:noWrap/>
            <w:tcMar>
              <w:left w:w="57" w:type="dxa"/>
              <w:right w:w="57" w:type="dxa"/>
            </w:tcMar>
            <w:vAlign w:val="bottom"/>
            <w:hideMark/>
          </w:tcPr>
          <w:p w14:paraId="60C54A8B" w14:textId="6A296A9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15.2</w:t>
            </w:r>
          </w:p>
        </w:tc>
        <w:tc>
          <w:tcPr>
            <w:tcW w:w="454" w:type="dxa"/>
            <w:noWrap/>
            <w:tcMar>
              <w:left w:w="57" w:type="dxa"/>
              <w:right w:w="57" w:type="dxa"/>
            </w:tcMar>
            <w:vAlign w:val="bottom"/>
            <w:hideMark/>
          </w:tcPr>
          <w:p w14:paraId="0BC999A1" w14:textId="728B17D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3.6</w:t>
            </w:r>
          </w:p>
        </w:tc>
        <w:tc>
          <w:tcPr>
            <w:tcW w:w="454" w:type="dxa"/>
            <w:noWrap/>
            <w:tcMar>
              <w:left w:w="57" w:type="dxa"/>
              <w:right w:w="57" w:type="dxa"/>
            </w:tcMar>
            <w:vAlign w:val="bottom"/>
            <w:hideMark/>
          </w:tcPr>
          <w:p w14:paraId="501774E1" w14:textId="5D416F5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2.7</w:t>
            </w:r>
          </w:p>
        </w:tc>
        <w:tc>
          <w:tcPr>
            <w:tcW w:w="454" w:type="dxa"/>
            <w:noWrap/>
            <w:tcMar>
              <w:left w:w="57" w:type="dxa"/>
              <w:right w:w="57" w:type="dxa"/>
            </w:tcMar>
            <w:vAlign w:val="bottom"/>
            <w:hideMark/>
          </w:tcPr>
          <w:p w14:paraId="2EEBA8D7" w14:textId="2952E27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7.3</w:t>
            </w:r>
          </w:p>
        </w:tc>
        <w:tc>
          <w:tcPr>
            <w:tcW w:w="454" w:type="dxa"/>
            <w:noWrap/>
            <w:tcMar>
              <w:left w:w="57" w:type="dxa"/>
              <w:right w:w="57" w:type="dxa"/>
            </w:tcMar>
            <w:vAlign w:val="bottom"/>
            <w:hideMark/>
          </w:tcPr>
          <w:p w14:paraId="21B9166D" w14:textId="5EEFB44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20.9</w:t>
            </w:r>
          </w:p>
        </w:tc>
        <w:tc>
          <w:tcPr>
            <w:tcW w:w="454" w:type="dxa"/>
            <w:noWrap/>
            <w:tcMar>
              <w:left w:w="57" w:type="dxa"/>
              <w:right w:w="57" w:type="dxa"/>
            </w:tcMar>
            <w:vAlign w:val="bottom"/>
            <w:hideMark/>
          </w:tcPr>
          <w:p w14:paraId="549E10AA" w14:textId="17268D3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14.3</w:t>
            </w:r>
          </w:p>
        </w:tc>
        <w:tc>
          <w:tcPr>
            <w:tcW w:w="454" w:type="dxa"/>
            <w:noWrap/>
            <w:tcMar>
              <w:left w:w="57" w:type="dxa"/>
              <w:right w:w="57" w:type="dxa"/>
            </w:tcMar>
            <w:vAlign w:val="bottom"/>
            <w:hideMark/>
          </w:tcPr>
          <w:p w14:paraId="4EF22505" w14:textId="01E4025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1.6</w:t>
            </w:r>
          </w:p>
        </w:tc>
        <w:tc>
          <w:tcPr>
            <w:tcW w:w="454" w:type="dxa"/>
            <w:noWrap/>
            <w:tcMar>
              <w:left w:w="57" w:type="dxa"/>
              <w:right w:w="57" w:type="dxa"/>
            </w:tcMar>
            <w:vAlign w:val="bottom"/>
            <w:hideMark/>
          </w:tcPr>
          <w:p w14:paraId="3A8313CC" w14:textId="35FA361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19B50ED" w14:textId="3984837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4E7C6971" w14:textId="1A222EA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5E5E99F" w14:textId="0AA3935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1.3</w:t>
            </w:r>
          </w:p>
        </w:tc>
        <w:tc>
          <w:tcPr>
            <w:tcW w:w="454" w:type="dxa"/>
            <w:noWrap/>
            <w:tcMar>
              <w:left w:w="57" w:type="dxa"/>
              <w:right w:w="57" w:type="dxa"/>
            </w:tcMar>
            <w:vAlign w:val="bottom"/>
            <w:hideMark/>
          </w:tcPr>
          <w:p w14:paraId="30403CDF" w14:textId="0712970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B6C1520" w14:textId="72145F1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0.5</w:t>
            </w:r>
          </w:p>
        </w:tc>
        <w:tc>
          <w:tcPr>
            <w:tcW w:w="454" w:type="dxa"/>
            <w:noWrap/>
            <w:tcMar>
              <w:left w:w="57" w:type="dxa"/>
              <w:right w:w="57" w:type="dxa"/>
            </w:tcMar>
            <w:vAlign w:val="bottom"/>
            <w:hideMark/>
          </w:tcPr>
          <w:p w14:paraId="6C73257E" w14:textId="6FFDF35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1.7</w:t>
            </w:r>
          </w:p>
        </w:tc>
        <w:tc>
          <w:tcPr>
            <w:tcW w:w="454" w:type="dxa"/>
            <w:noWrap/>
            <w:tcMar>
              <w:left w:w="57" w:type="dxa"/>
              <w:right w:w="57" w:type="dxa"/>
            </w:tcMar>
            <w:vAlign w:val="bottom"/>
            <w:hideMark/>
          </w:tcPr>
          <w:p w14:paraId="18724DCF" w14:textId="6F5EAB6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0.4</w:t>
            </w:r>
          </w:p>
        </w:tc>
        <w:tc>
          <w:tcPr>
            <w:tcW w:w="454" w:type="dxa"/>
            <w:noWrap/>
            <w:tcMar>
              <w:left w:w="57" w:type="dxa"/>
              <w:right w:w="57" w:type="dxa"/>
            </w:tcMar>
            <w:vAlign w:val="bottom"/>
            <w:hideMark/>
          </w:tcPr>
          <w:p w14:paraId="741FBB90" w14:textId="359DE0E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06B7A74" w14:textId="6141460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645606D" w14:textId="2D1606D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0.4</w:t>
            </w:r>
          </w:p>
        </w:tc>
        <w:tc>
          <w:tcPr>
            <w:tcW w:w="454" w:type="dxa"/>
            <w:noWrap/>
            <w:tcMar>
              <w:left w:w="57" w:type="dxa"/>
              <w:right w:w="57" w:type="dxa"/>
            </w:tcMar>
            <w:vAlign w:val="bottom"/>
            <w:hideMark/>
          </w:tcPr>
          <w:p w14:paraId="1E90F67D" w14:textId="4537FB8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2.8</w:t>
            </w:r>
          </w:p>
        </w:tc>
        <w:tc>
          <w:tcPr>
            <w:tcW w:w="454" w:type="dxa"/>
            <w:noWrap/>
            <w:tcMar>
              <w:left w:w="57" w:type="dxa"/>
              <w:right w:w="57" w:type="dxa"/>
            </w:tcMar>
            <w:vAlign w:val="bottom"/>
            <w:hideMark/>
          </w:tcPr>
          <w:p w14:paraId="3A4CE3E4" w14:textId="46E2E03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3.7</w:t>
            </w:r>
          </w:p>
        </w:tc>
        <w:tc>
          <w:tcPr>
            <w:tcW w:w="454" w:type="dxa"/>
            <w:noWrap/>
            <w:tcMar>
              <w:left w:w="57" w:type="dxa"/>
              <w:right w:w="57" w:type="dxa"/>
            </w:tcMar>
            <w:vAlign w:val="bottom"/>
            <w:hideMark/>
          </w:tcPr>
          <w:p w14:paraId="32CF6A6F" w14:textId="542FF09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A32FE89" w14:textId="703E5C1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3.6</w:t>
            </w:r>
          </w:p>
        </w:tc>
        <w:tc>
          <w:tcPr>
            <w:tcW w:w="642" w:type="dxa"/>
            <w:noWrap/>
            <w:tcMar>
              <w:left w:w="57" w:type="dxa"/>
              <w:right w:w="57" w:type="dxa"/>
            </w:tcMar>
            <w:vAlign w:val="bottom"/>
            <w:hideMark/>
          </w:tcPr>
          <w:p w14:paraId="715BC248" w14:textId="2096364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225.8</w:t>
            </w:r>
          </w:p>
        </w:tc>
      </w:tr>
      <w:tr w:rsidR="004A678E" w:rsidRPr="00C02D28" w14:paraId="2C95D1EF" w14:textId="77777777" w:rsidTr="000B319E">
        <w:trPr>
          <w:trHeight w:val="300"/>
        </w:trPr>
        <w:tc>
          <w:tcPr>
            <w:tcW w:w="1417" w:type="dxa"/>
            <w:noWrap/>
            <w:tcMar>
              <w:left w:w="57" w:type="dxa"/>
              <w:right w:w="57" w:type="dxa"/>
            </w:tcMar>
            <w:hideMark/>
          </w:tcPr>
          <w:p w14:paraId="74D89395"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Stonefish</w:t>
            </w:r>
          </w:p>
        </w:tc>
        <w:tc>
          <w:tcPr>
            <w:tcW w:w="454" w:type="dxa"/>
            <w:noWrap/>
            <w:tcMar>
              <w:left w:w="57" w:type="dxa"/>
              <w:right w:w="57" w:type="dxa"/>
            </w:tcMar>
            <w:vAlign w:val="bottom"/>
            <w:hideMark/>
          </w:tcPr>
          <w:p w14:paraId="33A2A993" w14:textId="576E7B6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2503C5B" w14:textId="1CBEF2D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B281B44" w14:textId="4090086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CAADFFD" w14:textId="30386F2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25FC70D" w14:textId="1A6166D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F6404E8" w14:textId="55C8C86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B1D012F" w14:textId="09E737A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0.4</w:t>
            </w:r>
          </w:p>
        </w:tc>
        <w:tc>
          <w:tcPr>
            <w:tcW w:w="454" w:type="dxa"/>
            <w:noWrap/>
            <w:tcMar>
              <w:left w:w="57" w:type="dxa"/>
              <w:right w:w="57" w:type="dxa"/>
            </w:tcMar>
            <w:vAlign w:val="bottom"/>
            <w:hideMark/>
          </w:tcPr>
          <w:p w14:paraId="02C35E2A" w14:textId="2A64C25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C002EED" w14:textId="1220A81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E150062" w14:textId="27288EF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6BC889F" w14:textId="0B4FEDE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9D1E725" w14:textId="6084244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49D56CC" w14:textId="1AE4525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317C095" w14:textId="2B9A8B5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143B9E5" w14:textId="395A818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E3F4EA6" w14:textId="20BDE16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DB91996" w14:textId="3D032E6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1175CD3" w14:textId="1DFD974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850A925" w14:textId="08F2D44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975EDDF" w14:textId="619FC3A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C336BF0" w14:textId="15CD194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BC0AD8D" w14:textId="372B147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9CEF27B" w14:textId="34438FE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339470D" w14:textId="037C020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767ACEA" w14:textId="525E1FF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F617C20" w14:textId="135A384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9E3BFDA" w14:textId="0937C22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143DB12" w14:textId="79150E8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642" w:type="dxa"/>
            <w:noWrap/>
            <w:tcMar>
              <w:left w:w="57" w:type="dxa"/>
              <w:right w:w="57" w:type="dxa"/>
            </w:tcMar>
            <w:vAlign w:val="bottom"/>
            <w:hideMark/>
          </w:tcPr>
          <w:p w14:paraId="53382950" w14:textId="0CC1900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0.4</w:t>
            </w:r>
          </w:p>
        </w:tc>
      </w:tr>
      <w:tr w:rsidR="004A678E" w:rsidRPr="00C02D28" w14:paraId="277DD0B7" w14:textId="77777777" w:rsidTr="000B319E">
        <w:trPr>
          <w:trHeight w:val="300"/>
        </w:trPr>
        <w:tc>
          <w:tcPr>
            <w:tcW w:w="1417" w:type="dxa"/>
            <w:noWrap/>
            <w:tcMar>
              <w:left w:w="57" w:type="dxa"/>
              <w:right w:w="57" w:type="dxa"/>
            </w:tcMar>
            <w:hideMark/>
          </w:tcPr>
          <w:p w14:paraId="0AA37892"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Surf redfish</w:t>
            </w:r>
          </w:p>
        </w:tc>
        <w:tc>
          <w:tcPr>
            <w:tcW w:w="454" w:type="dxa"/>
            <w:noWrap/>
            <w:tcMar>
              <w:left w:w="57" w:type="dxa"/>
              <w:right w:w="57" w:type="dxa"/>
            </w:tcMar>
            <w:vAlign w:val="bottom"/>
            <w:hideMark/>
          </w:tcPr>
          <w:p w14:paraId="3C553C1A" w14:textId="451B36A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0.9</w:t>
            </w:r>
          </w:p>
        </w:tc>
        <w:tc>
          <w:tcPr>
            <w:tcW w:w="454" w:type="dxa"/>
            <w:noWrap/>
            <w:tcMar>
              <w:left w:w="57" w:type="dxa"/>
              <w:right w:w="57" w:type="dxa"/>
            </w:tcMar>
            <w:vAlign w:val="bottom"/>
            <w:hideMark/>
          </w:tcPr>
          <w:p w14:paraId="2CEF7ABA" w14:textId="59EB677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0.8</w:t>
            </w:r>
          </w:p>
        </w:tc>
        <w:tc>
          <w:tcPr>
            <w:tcW w:w="454" w:type="dxa"/>
            <w:noWrap/>
            <w:tcMar>
              <w:left w:w="57" w:type="dxa"/>
              <w:right w:w="57" w:type="dxa"/>
            </w:tcMar>
            <w:vAlign w:val="bottom"/>
            <w:hideMark/>
          </w:tcPr>
          <w:p w14:paraId="7A43FDC5" w14:textId="6A0F9DE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1.6</w:t>
            </w:r>
          </w:p>
        </w:tc>
        <w:tc>
          <w:tcPr>
            <w:tcW w:w="454" w:type="dxa"/>
            <w:noWrap/>
            <w:tcMar>
              <w:left w:w="57" w:type="dxa"/>
              <w:right w:w="57" w:type="dxa"/>
            </w:tcMar>
            <w:vAlign w:val="bottom"/>
            <w:hideMark/>
          </w:tcPr>
          <w:p w14:paraId="1D6B645B" w14:textId="06AAF27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0.8</w:t>
            </w:r>
          </w:p>
        </w:tc>
        <w:tc>
          <w:tcPr>
            <w:tcW w:w="454" w:type="dxa"/>
            <w:noWrap/>
            <w:tcMar>
              <w:left w:w="57" w:type="dxa"/>
              <w:right w:w="57" w:type="dxa"/>
            </w:tcMar>
            <w:vAlign w:val="bottom"/>
            <w:hideMark/>
          </w:tcPr>
          <w:p w14:paraId="3BF5BF37" w14:textId="7310C5F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0.3</w:t>
            </w:r>
          </w:p>
        </w:tc>
        <w:tc>
          <w:tcPr>
            <w:tcW w:w="454" w:type="dxa"/>
            <w:noWrap/>
            <w:tcMar>
              <w:left w:w="57" w:type="dxa"/>
              <w:right w:w="57" w:type="dxa"/>
            </w:tcMar>
            <w:vAlign w:val="bottom"/>
            <w:hideMark/>
          </w:tcPr>
          <w:p w14:paraId="5DB577BF" w14:textId="3D0DBA2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3.5</w:t>
            </w:r>
          </w:p>
        </w:tc>
        <w:tc>
          <w:tcPr>
            <w:tcW w:w="454" w:type="dxa"/>
            <w:noWrap/>
            <w:tcMar>
              <w:left w:w="57" w:type="dxa"/>
              <w:right w:w="57" w:type="dxa"/>
            </w:tcMar>
            <w:vAlign w:val="bottom"/>
            <w:hideMark/>
          </w:tcPr>
          <w:p w14:paraId="15BFC144" w14:textId="6F7C218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14.2</w:t>
            </w:r>
          </w:p>
        </w:tc>
        <w:tc>
          <w:tcPr>
            <w:tcW w:w="454" w:type="dxa"/>
            <w:noWrap/>
            <w:tcMar>
              <w:left w:w="57" w:type="dxa"/>
              <w:right w:w="57" w:type="dxa"/>
            </w:tcMar>
            <w:vAlign w:val="bottom"/>
            <w:hideMark/>
          </w:tcPr>
          <w:p w14:paraId="7866103D" w14:textId="52FFB022"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2.5</w:t>
            </w:r>
          </w:p>
        </w:tc>
        <w:tc>
          <w:tcPr>
            <w:tcW w:w="454" w:type="dxa"/>
            <w:noWrap/>
            <w:tcMar>
              <w:left w:w="57" w:type="dxa"/>
              <w:right w:w="57" w:type="dxa"/>
            </w:tcMar>
            <w:vAlign w:val="bottom"/>
            <w:hideMark/>
          </w:tcPr>
          <w:p w14:paraId="7E89D963" w14:textId="5DB43B4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0.6</w:t>
            </w:r>
          </w:p>
        </w:tc>
        <w:tc>
          <w:tcPr>
            <w:tcW w:w="454" w:type="dxa"/>
            <w:noWrap/>
            <w:tcMar>
              <w:left w:w="57" w:type="dxa"/>
              <w:right w:w="57" w:type="dxa"/>
            </w:tcMar>
            <w:vAlign w:val="bottom"/>
            <w:hideMark/>
          </w:tcPr>
          <w:p w14:paraId="09659418" w14:textId="71645D9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4.6</w:t>
            </w:r>
          </w:p>
        </w:tc>
        <w:tc>
          <w:tcPr>
            <w:tcW w:w="454" w:type="dxa"/>
            <w:noWrap/>
            <w:tcMar>
              <w:left w:w="57" w:type="dxa"/>
              <w:right w:w="57" w:type="dxa"/>
            </w:tcMar>
            <w:vAlign w:val="bottom"/>
            <w:hideMark/>
          </w:tcPr>
          <w:p w14:paraId="18EF0A34" w14:textId="6756A06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5672A2F" w14:textId="398BC14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1CA16E2" w14:textId="5FC000A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0DC8C5B" w14:textId="0AA26AB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5.5</w:t>
            </w:r>
          </w:p>
        </w:tc>
        <w:tc>
          <w:tcPr>
            <w:tcW w:w="454" w:type="dxa"/>
            <w:noWrap/>
            <w:tcMar>
              <w:left w:w="57" w:type="dxa"/>
              <w:right w:w="57" w:type="dxa"/>
            </w:tcMar>
            <w:vAlign w:val="bottom"/>
            <w:hideMark/>
          </w:tcPr>
          <w:p w14:paraId="68015800" w14:textId="1CD695F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699D9C9" w14:textId="10EE157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2744A912" w14:textId="2E734E7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1016E219" w14:textId="29F1B7F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58EC824B" w14:textId="53A8F46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44F4D58" w14:textId="12C19B9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156D121" w14:textId="2C89F0E0"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AA1C69E" w14:textId="3B8B331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B4D56F8" w14:textId="6740BBA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10E2B15" w14:textId="61CEBFB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79786F1" w14:textId="53E8281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0.4</w:t>
            </w:r>
          </w:p>
        </w:tc>
        <w:tc>
          <w:tcPr>
            <w:tcW w:w="454" w:type="dxa"/>
            <w:noWrap/>
            <w:tcMar>
              <w:left w:w="57" w:type="dxa"/>
              <w:right w:w="57" w:type="dxa"/>
            </w:tcMar>
            <w:vAlign w:val="bottom"/>
            <w:hideMark/>
          </w:tcPr>
          <w:p w14:paraId="2B209BE0" w14:textId="58C9936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1D08BAEE" w14:textId="70B3372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72F7F06C" w14:textId="28C3F2D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0.4</w:t>
            </w:r>
          </w:p>
        </w:tc>
        <w:tc>
          <w:tcPr>
            <w:tcW w:w="642" w:type="dxa"/>
            <w:noWrap/>
            <w:tcMar>
              <w:left w:w="57" w:type="dxa"/>
              <w:right w:w="57" w:type="dxa"/>
            </w:tcMar>
            <w:vAlign w:val="bottom"/>
            <w:hideMark/>
          </w:tcPr>
          <w:p w14:paraId="2CCF4B05" w14:textId="0A33F37A"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36.7</w:t>
            </w:r>
          </w:p>
        </w:tc>
      </w:tr>
      <w:tr w:rsidR="004A678E" w:rsidRPr="00C02D28" w14:paraId="2DA96E3F" w14:textId="77777777" w:rsidTr="000B319E">
        <w:trPr>
          <w:trHeight w:val="300"/>
        </w:trPr>
        <w:tc>
          <w:tcPr>
            <w:tcW w:w="1417" w:type="dxa"/>
            <w:noWrap/>
            <w:tcMar>
              <w:left w:w="57" w:type="dxa"/>
              <w:right w:w="57" w:type="dxa"/>
            </w:tcMar>
            <w:hideMark/>
          </w:tcPr>
          <w:p w14:paraId="6DD7B3BE" w14:textId="77777777" w:rsidR="004A678E" w:rsidRPr="00C02D28" w:rsidRDefault="004A678E" w:rsidP="004A678E">
            <w:pPr>
              <w:rPr>
                <w:rFonts w:asciiTheme="minorHAnsi" w:hAnsiTheme="minorHAnsi" w:cstheme="minorHAnsi"/>
                <w:sz w:val="14"/>
                <w:szCs w:val="14"/>
              </w:rPr>
            </w:pPr>
            <w:r w:rsidRPr="00C02D28">
              <w:rPr>
                <w:rFonts w:asciiTheme="minorHAnsi" w:hAnsiTheme="minorHAnsi" w:cstheme="minorHAnsi"/>
                <w:sz w:val="14"/>
                <w:szCs w:val="14"/>
              </w:rPr>
              <w:t>White teatfish</w:t>
            </w:r>
          </w:p>
        </w:tc>
        <w:tc>
          <w:tcPr>
            <w:tcW w:w="454" w:type="dxa"/>
            <w:noWrap/>
            <w:tcMar>
              <w:left w:w="57" w:type="dxa"/>
              <w:right w:w="57" w:type="dxa"/>
            </w:tcMar>
            <w:vAlign w:val="bottom"/>
            <w:hideMark/>
          </w:tcPr>
          <w:p w14:paraId="0717604F" w14:textId="45D4762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0.7</w:t>
            </w:r>
          </w:p>
        </w:tc>
        <w:tc>
          <w:tcPr>
            <w:tcW w:w="454" w:type="dxa"/>
            <w:noWrap/>
            <w:tcMar>
              <w:left w:w="57" w:type="dxa"/>
              <w:right w:w="57" w:type="dxa"/>
            </w:tcMar>
            <w:vAlign w:val="bottom"/>
            <w:hideMark/>
          </w:tcPr>
          <w:p w14:paraId="26D679E9" w14:textId="7545B3F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8.4</w:t>
            </w:r>
          </w:p>
        </w:tc>
        <w:tc>
          <w:tcPr>
            <w:tcW w:w="454" w:type="dxa"/>
            <w:noWrap/>
            <w:tcMar>
              <w:left w:w="57" w:type="dxa"/>
              <w:right w:w="57" w:type="dxa"/>
            </w:tcMar>
            <w:vAlign w:val="bottom"/>
            <w:hideMark/>
          </w:tcPr>
          <w:p w14:paraId="0D0FB6DD" w14:textId="58EE4E4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22.0</w:t>
            </w:r>
          </w:p>
        </w:tc>
        <w:tc>
          <w:tcPr>
            <w:tcW w:w="454" w:type="dxa"/>
            <w:noWrap/>
            <w:tcMar>
              <w:left w:w="57" w:type="dxa"/>
              <w:right w:w="57" w:type="dxa"/>
            </w:tcMar>
            <w:vAlign w:val="bottom"/>
            <w:hideMark/>
          </w:tcPr>
          <w:p w14:paraId="2EE7003F" w14:textId="7A5EDCF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113.3</w:t>
            </w:r>
          </w:p>
        </w:tc>
        <w:tc>
          <w:tcPr>
            <w:tcW w:w="454" w:type="dxa"/>
            <w:noWrap/>
            <w:tcMar>
              <w:left w:w="57" w:type="dxa"/>
              <w:right w:w="57" w:type="dxa"/>
            </w:tcMar>
            <w:vAlign w:val="bottom"/>
            <w:hideMark/>
          </w:tcPr>
          <w:p w14:paraId="6F01410F" w14:textId="5925331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113.7</w:t>
            </w:r>
          </w:p>
        </w:tc>
        <w:tc>
          <w:tcPr>
            <w:tcW w:w="454" w:type="dxa"/>
            <w:noWrap/>
            <w:tcMar>
              <w:left w:w="57" w:type="dxa"/>
              <w:right w:w="57" w:type="dxa"/>
            </w:tcMar>
            <w:vAlign w:val="bottom"/>
            <w:hideMark/>
          </w:tcPr>
          <w:p w14:paraId="1E29C3ED" w14:textId="63A44BF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150.6</w:t>
            </w:r>
          </w:p>
        </w:tc>
        <w:tc>
          <w:tcPr>
            <w:tcW w:w="454" w:type="dxa"/>
            <w:noWrap/>
            <w:tcMar>
              <w:left w:w="57" w:type="dxa"/>
              <w:right w:w="57" w:type="dxa"/>
            </w:tcMar>
            <w:vAlign w:val="bottom"/>
            <w:hideMark/>
          </w:tcPr>
          <w:p w14:paraId="434E2F18" w14:textId="52B8E7F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120.1</w:t>
            </w:r>
          </w:p>
        </w:tc>
        <w:tc>
          <w:tcPr>
            <w:tcW w:w="454" w:type="dxa"/>
            <w:noWrap/>
            <w:tcMar>
              <w:left w:w="57" w:type="dxa"/>
              <w:right w:w="57" w:type="dxa"/>
            </w:tcMar>
            <w:vAlign w:val="bottom"/>
            <w:hideMark/>
          </w:tcPr>
          <w:p w14:paraId="297176F3" w14:textId="4A2F818E"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123.3</w:t>
            </w:r>
          </w:p>
        </w:tc>
        <w:tc>
          <w:tcPr>
            <w:tcW w:w="454" w:type="dxa"/>
            <w:noWrap/>
            <w:tcMar>
              <w:left w:w="57" w:type="dxa"/>
              <w:right w:w="57" w:type="dxa"/>
            </w:tcMar>
            <w:vAlign w:val="bottom"/>
            <w:hideMark/>
          </w:tcPr>
          <w:p w14:paraId="00ED09D8" w14:textId="1A8D4F4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120.9</w:t>
            </w:r>
          </w:p>
        </w:tc>
        <w:tc>
          <w:tcPr>
            <w:tcW w:w="454" w:type="dxa"/>
            <w:noWrap/>
            <w:tcMar>
              <w:left w:w="57" w:type="dxa"/>
              <w:right w:w="57" w:type="dxa"/>
            </w:tcMar>
            <w:vAlign w:val="bottom"/>
            <w:hideMark/>
          </w:tcPr>
          <w:p w14:paraId="209F5479" w14:textId="7BA40AC4"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73.7</w:t>
            </w:r>
          </w:p>
        </w:tc>
        <w:tc>
          <w:tcPr>
            <w:tcW w:w="454" w:type="dxa"/>
            <w:noWrap/>
            <w:tcMar>
              <w:left w:w="57" w:type="dxa"/>
              <w:right w:w="57" w:type="dxa"/>
            </w:tcMar>
            <w:vAlign w:val="bottom"/>
            <w:hideMark/>
          </w:tcPr>
          <w:p w14:paraId="1B7877DB" w14:textId="6AB72E4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69.7</w:t>
            </w:r>
          </w:p>
        </w:tc>
        <w:tc>
          <w:tcPr>
            <w:tcW w:w="454" w:type="dxa"/>
            <w:noWrap/>
            <w:tcMar>
              <w:left w:w="57" w:type="dxa"/>
              <w:right w:w="57" w:type="dxa"/>
            </w:tcMar>
            <w:vAlign w:val="bottom"/>
            <w:hideMark/>
          </w:tcPr>
          <w:p w14:paraId="779ADFFD" w14:textId="51C0CF66"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46.3</w:t>
            </w:r>
          </w:p>
        </w:tc>
        <w:tc>
          <w:tcPr>
            <w:tcW w:w="454" w:type="dxa"/>
            <w:noWrap/>
            <w:tcMar>
              <w:left w:w="57" w:type="dxa"/>
              <w:right w:w="57" w:type="dxa"/>
            </w:tcMar>
            <w:vAlign w:val="bottom"/>
            <w:hideMark/>
          </w:tcPr>
          <w:p w14:paraId="0B8FE3CA" w14:textId="1AD16D91"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61.3</w:t>
            </w:r>
          </w:p>
        </w:tc>
        <w:tc>
          <w:tcPr>
            <w:tcW w:w="454" w:type="dxa"/>
            <w:noWrap/>
            <w:tcMar>
              <w:left w:w="57" w:type="dxa"/>
              <w:right w:w="57" w:type="dxa"/>
            </w:tcMar>
            <w:vAlign w:val="bottom"/>
            <w:hideMark/>
          </w:tcPr>
          <w:p w14:paraId="2A22636C" w14:textId="121531B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61.5</w:t>
            </w:r>
          </w:p>
        </w:tc>
        <w:tc>
          <w:tcPr>
            <w:tcW w:w="454" w:type="dxa"/>
            <w:noWrap/>
            <w:tcMar>
              <w:left w:w="57" w:type="dxa"/>
              <w:right w:w="57" w:type="dxa"/>
            </w:tcMar>
            <w:vAlign w:val="bottom"/>
            <w:hideMark/>
          </w:tcPr>
          <w:p w14:paraId="044CF211" w14:textId="790F1BF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67.4</w:t>
            </w:r>
          </w:p>
        </w:tc>
        <w:tc>
          <w:tcPr>
            <w:tcW w:w="454" w:type="dxa"/>
            <w:noWrap/>
            <w:tcMar>
              <w:left w:w="57" w:type="dxa"/>
              <w:right w:w="57" w:type="dxa"/>
            </w:tcMar>
            <w:vAlign w:val="bottom"/>
            <w:hideMark/>
          </w:tcPr>
          <w:p w14:paraId="16EF22C3" w14:textId="42D51E5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60.5</w:t>
            </w:r>
          </w:p>
        </w:tc>
        <w:tc>
          <w:tcPr>
            <w:tcW w:w="454" w:type="dxa"/>
            <w:noWrap/>
            <w:tcMar>
              <w:left w:w="57" w:type="dxa"/>
              <w:right w:w="57" w:type="dxa"/>
            </w:tcMar>
            <w:vAlign w:val="bottom"/>
            <w:hideMark/>
          </w:tcPr>
          <w:p w14:paraId="6F15493C" w14:textId="0579F27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44.6</w:t>
            </w:r>
          </w:p>
        </w:tc>
        <w:tc>
          <w:tcPr>
            <w:tcW w:w="454" w:type="dxa"/>
            <w:noWrap/>
            <w:tcMar>
              <w:left w:w="57" w:type="dxa"/>
              <w:right w:w="57" w:type="dxa"/>
            </w:tcMar>
            <w:vAlign w:val="bottom"/>
            <w:hideMark/>
          </w:tcPr>
          <w:p w14:paraId="1EA77E0E" w14:textId="62FA575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50.1</w:t>
            </w:r>
          </w:p>
        </w:tc>
        <w:tc>
          <w:tcPr>
            <w:tcW w:w="454" w:type="dxa"/>
            <w:noWrap/>
            <w:tcMar>
              <w:left w:w="57" w:type="dxa"/>
              <w:right w:w="57" w:type="dxa"/>
            </w:tcMar>
            <w:vAlign w:val="bottom"/>
            <w:hideMark/>
          </w:tcPr>
          <w:p w14:paraId="1A9BB149" w14:textId="42DA49B5"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47.6</w:t>
            </w:r>
          </w:p>
        </w:tc>
        <w:tc>
          <w:tcPr>
            <w:tcW w:w="454" w:type="dxa"/>
            <w:noWrap/>
            <w:tcMar>
              <w:left w:w="57" w:type="dxa"/>
              <w:right w:w="57" w:type="dxa"/>
            </w:tcMar>
            <w:vAlign w:val="bottom"/>
            <w:hideMark/>
          </w:tcPr>
          <w:p w14:paraId="61ECFAF6" w14:textId="0406FD79"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45.4</w:t>
            </w:r>
          </w:p>
        </w:tc>
        <w:tc>
          <w:tcPr>
            <w:tcW w:w="454" w:type="dxa"/>
            <w:noWrap/>
            <w:tcMar>
              <w:left w:w="57" w:type="dxa"/>
              <w:right w:w="57" w:type="dxa"/>
            </w:tcMar>
            <w:vAlign w:val="bottom"/>
            <w:hideMark/>
          </w:tcPr>
          <w:p w14:paraId="5B64871B" w14:textId="1D17E6CD"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50.5</w:t>
            </w:r>
          </w:p>
        </w:tc>
        <w:tc>
          <w:tcPr>
            <w:tcW w:w="454" w:type="dxa"/>
            <w:noWrap/>
            <w:tcMar>
              <w:left w:w="57" w:type="dxa"/>
              <w:right w:w="57" w:type="dxa"/>
            </w:tcMar>
            <w:vAlign w:val="bottom"/>
            <w:hideMark/>
          </w:tcPr>
          <w:p w14:paraId="3AA00B8C" w14:textId="05FFA7B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52.5</w:t>
            </w:r>
          </w:p>
        </w:tc>
        <w:tc>
          <w:tcPr>
            <w:tcW w:w="454" w:type="dxa"/>
            <w:noWrap/>
            <w:tcMar>
              <w:left w:w="57" w:type="dxa"/>
              <w:right w:w="57" w:type="dxa"/>
            </w:tcMar>
            <w:vAlign w:val="bottom"/>
            <w:hideMark/>
          </w:tcPr>
          <w:p w14:paraId="28E7D38D" w14:textId="61C9E607"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52.4</w:t>
            </w:r>
          </w:p>
        </w:tc>
        <w:tc>
          <w:tcPr>
            <w:tcW w:w="454" w:type="dxa"/>
            <w:noWrap/>
            <w:tcMar>
              <w:left w:w="57" w:type="dxa"/>
              <w:right w:w="57" w:type="dxa"/>
            </w:tcMar>
            <w:vAlign w:val="bottom"/>
            <w:hideMark/>
          </w:tcPr>
          <w:p w14:paraId="60AB8BF5" w14:textId="71A22E1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49.9</w:t>
            </w:r>
          </w:p>
        </w:tc>
        <w:tc>
          <w:tcPr>
            <w:tcW w:w="454" w:type="dxa"/>
            <w:noWrap/>
            <w:tcMar>
              <w:left w:w="57" w:type="dxa"/>
              <w:right w:w="57" w:type="dxa"/>
            </w:tcMar>
            <w:vAlign w:val="bottom"/>
            <w:hideMark/>
          </w:tcPr>
          <w:p w14:paraId="302517A3" w14:textId="53F025CF"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49.4</w:t>
            </w:r>
          </w:p>
        </w:tc>
        <w:tc>
          <w:tcPr>
            <w:tcW w:w="454" w:type="dxa"/>
            <w:noWrap/>
            <w:tcMar>
              <w:left w:w="57" w:type="dxa"/>
              <w:right w:w="57" w:type="dxa"/>
            </w:tcMar>
            <w:vAlign w:val="bottom"/>
            <w:hideMark/>
          </w:tcPr>
          <w:p w14:paraId="1A0895B1" w14:textId="4C2153DB"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51.3</w:t>
            </w:r>
          </w:p>
        </w:tc>
        <w:tc>
          <w:tcPr>
            <w:tcW w:w="454" w:type="dxa"/>
            <w:noWrap/>
            <w:tcMar>
              <w:left w:w="57" w:type="dxa"/>
              <w:right w:w="57" w:type="dxa"/>
            </w:tcMar>
            <w:vAlign w:val="bottom"/>
            <w:hideMark/>
          </w:tcPr>
          <w:p w14:paraId="56637A18" w14:textId="0E7830E3"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50.2</w:t>
            </w:r>
          </w:p>
        </w:tc>
        <w:tc>
          <w:tcPr>
            <w:tcW w:w="454" w:type="dxa"/>
            <w:noWrap/>
            <w:tcMar>
              <w:left w:w="57" w:type="dxa"/>
              <w:right w:w="57" w:type="dxa"/>
            </w:tcMar>
            <w:vAlign w:val="bottom"/>
            <w:hideMark/>
          </w:tcPr>
          <w:p w14:paraId="414FDFE8" w14:textId="529F9488"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51.2</w:t>
            </w:r>
          </w:p>
        </w:tc>
        <w:tc>
          <w:tcPr>
            <w:tcW w:w="642" w:type="dxa"/>
            <w:noWrap/>
            <w:tcMar>
              <w:left w:w="57" w:type="dxa"/>
              <w:right w:w="57" w:type="dxa"/>
            </w:tcMar>
            <w:vAlign w:val="bottom"/>
            <w:hideMark/>
          </w:tcPr>
          <w:p w14:paraId="304DA46B" w14:textId="01FB143C" w:rsidR="004A678E" w:rsidRPr="004A678E" w:rsidRDefault="004A678E" w:rsidP="004A678E">
            <w:pPr>
              <w:jc w:val="right"/>
              <w:rPr>
                <w:rFonts w:asciiTheme="minorHAnsi" w:hAnsiTheme="minorHAnsi" w:cstheme="minorHAnsi"/>
                <w:sz w:val="14"/>
                <w:szCs w:val="14"/>
              </w:rPr>
            </w:pPr>
            <w:r w:rsidRPr="004A678E">
              <w:rPr>
                <w:rFonts w:asciiTheme="minorHAnsi" w:hAnsiTheme="minorHAnsi" w:cstheme="minorHAnsi"/>
                <w:sz w:val="14"/>
                <w:szCs w:val="14"/>
              </w:rPr>
              <w:t>1,808.5</w:t>
            </w:r>
          </w:p>
        </w:tc>
      </w:tr>
      <w:tr w:rsidR="008569DF" w:rsidRPr="00C02D28" w14:paraId="1E6762E9" w14:textId="77777777" w:rsidTr="001E1ECD">
        <w:trPr>
          <w:trHeight w:val="300"/>
        </w:trPr>
        <w:tc>
          <w:tcPr>
            <w:tcW w:w="1417" w:type="dxa"/>
            <w:noWrap/>
            <w:tcMar>
              <w:left w:w="57" w:type="dxa"/>
              <w:right w:w="57" w:type="dxa"/>
            </w:tcMar>
            <w:hideMark/>
          </w:tcPr>
          <w:p w14:paraId="666F1E80" w14:textId="77777777" w:rsidR="008569DF" w:rsidRPr="00C02D28" w:rsidRDefault="008569DF" w:rsidP="001E1ECD">
            <w:pPr>
              <w:rPr>
                <w:rFonts w:asciiTheme="minorHAnsi" w:hAnsiTheme="minorHAnsi" w:cstheme="minorHAnsi"/>
                <w:sz w:val="14"/>
                <w:szCs w:val="14"/>
              </w:rPr>
            </w:pPr>
            <w:r w:rsidRPr="00C02D28">
              <w:rPr>
                <w:rFonts w:asciiTheme="minorHAnsi" w:hAnsiTheme="minorHAnsi" w:cstheme="minorHAnsi"/>
                <w:sz w:val="14"/>
                <w:szCs w:val="14"/>
              </w:rPr>
              <w:t>Unknown</w:t>
            </w:r>
          </w:p>
        </w:tc>
        <w:tc>
          <w:tcPr>
            <w:tcW w:w="454" w:type="dxa"/>
            <w:noWrap/>
            <w:tcMar>
              <w:left w:w="57" w:type="dxa"/>
              <w:right w:w="57" w:type="dxa"/>
            </w:tcMar>
            <w:vAlign w:val="bottom"/>
            <w:hideMark/>
          </w:tcPr>
          <w:p w14:paraId="4FF21214"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4AC7398"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0.3</w:t>
            </w:r>
          </w:p>
        </w:tc>
        <w:tc>
          <w:tcPr>
            <w:tcW w:w="454" w:type="dxa"/>
            <w:noWrap/>
            <w:tcMar>
              <w:left w:w="57" w:type="dxa"/>
              <w:right w:w="57" w:type="dxa"/>
            </w:tcMar>
            <w:vAlign w:val="bottom"/>
            <w:hideMark/>
          </w:tcPr>
          <w:p w14:paraId="36DB3808"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3014C06"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3CE2FBD"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80A29EC"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8F7086C"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1.2</w:t>
            </w:r>
          </w:p>
        </w:tc>
        <w:tc>
          <w:tcPr>
            <w:tcW w:w="454" w:type="dxa"/>
            <w:noWrap/>
            <w:tcMar>
              <w:left w:w="57" w:type="dxa"/>
              <w:right w:w="57" w:type="dxa"/>
            </w:tcMar>
            <w:vAlign w:val="bottom"/>
            <w:hideMark/>
          </w:tcPr>
          <w:p w14:paraId="080AC7DE"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20A23EB5"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B4C5BEE"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0B6F7974"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E930F43"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ABD590C"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4D0E2E26"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40D4D55"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D5C946F"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3B76F5E"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0.2</w:t>
            </w:r>
          </w:p>
        </w:tc>
        <w:tc>
          <w:tcPr>
            <w:tcW w:w="454" w:type="dxa"/>
            <w:noWrap/>
            <w:tcMar>
              <w:left w:w="57" w:type="dxa"/>
              <w:right w:w="57" w:type="dxa"/>
            </w:tcMar>
            <w:vAlign w:val="bottom"/>
            <w:hideMark/>
          </w:tcPr>
          <w:p w14:paraId="0F384B88"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7DB666D6"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3.3</w:t>
            </w:r>
          </w:p>
        </w:tc>
        <w:tc>
          <w:tcPr>
            <w:tcW w:w="454" w:type="dxa"/>
            <w:noWrap/>
            <w:tcMar>
              <w:left w:w="57" w:type="dxa"/>
              <w:right w:w="57" w:type="dxa"/>
            </w:tcMar>
            <w:vAlign w:val="bottom"/>
            <w:hideMark/>
          </w:tcPr>
          <w:p w14:paraId="5994160D"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211EE9BC"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39F9922F"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1.7</w:t>
            </w:r>
          </w:p>
        </w:tc>
        <w:tc>
          <w:tcPr>
            <w:tcW w:w="454" w:type="dxa"/>
            <w:noWrap/>
            <w:tcMar>
              <w:left w:w="57" w:type="dxa"/>
              <w:right w:w="57" w:type="dxa"/>
            </w:tcMar>
            <w:vAlign w:val="bottom"/>
            <w:hideMark/>
          </w:tcPr>
          <w:p w14:paraId="3669FA74"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1ABA04C4"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D5597C3"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0.1</w:t>
            </w:r>
          </w:p>
        </w:tc>
        <w:tc>
          <w:tcPr>
            <w:tcW w:w="454" w:type="dxa"/>
            <w:noWrap/>
            <w:tcMar>
              <w:left w:w="57" w:type="dxa"/>
              <w:right w:w="57" w:type="dxa"/>
            </w:tcMar>
            <w:vAlign w:val="bottom"/>
            <w:hideMark/>
          </w:tcPr>
          <w:p w14:paraId="07ABF566"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0.7</w:t>
            </w:r>
          </w:p>
        </w:tc>
        <w:tc>
          <w:tcPr>
            <w:tcW w:w="454" w:type="dxa"/>
            <w:noWrap/>
            <w:tcMar>
              <w:left w:w="57" w:type="dxa"/>
              <w:right w:w="57" w:type="dxa"/>
            </w:tcMar>
            <w:vAlign w:val="bottom"/>
            <w:hideMark/>
          </w:tcPr>
          <w:p w14:paraId="6AF210B6"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454" w:type="dxa"/>
            <w:noWrap/>
            <w:tcMar>
              <w:left w:w="57" w:type="dxa"/>
              <w:right w:w="57" w:type="dxa"/>
            </w:tcMar>
            <w:vAlign w:val="bottom"/>
            <w:hideMark/>
          </w:tcPr>
          <w:p w14:paraId="6377FAF8"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0.0</w:t>
            </w:r>
          </w:p>
        </w:tc>
        <w:tc>
          <w:tcPr>
            <w:tcW w:w="642" w:type="dxa"/>
            <w:noWrap/>
            <w:tcMar>
              <w:left w:w="57" w:type="dxa"/>
              <w:right w:w="57" w:type="dxa"/>
            </w:tcMar>
            <w:vAlign w:val="bottom"/>
            <w:hideMark/>
          </w:tcPr>
          <w:p w14:paraId="0CE3E8D1" w14:textId="77777777" w:rsidR="008569DF" w:rsidRPr="004A678E" w:rsidRDefault="008569DF" w:rsidP="001E1ECD">
            <w:pPr>
              <w:jc w:val="right"/>
              <w:rPr>
                <w:rFonts w:asciiTheme="minorHAnsi" w:hAnsiTheme="minorHAnsi" w:cstheme="minorHAnsi"/>
                <w:sz w:val="14"/>
                <w:szCs w:val="14"/>
              </w:rPr>
            </w:pPr>
            <w:r w:rsidRPr="004A678E">
              <w:rPr>
                <w:rFonts w:asciiTheme="minorHAnsi" w:hAnsiTheme="minorHAnsi" w:cstheme="minorHAnsi"/>
                <w:sz w:val="14"/>
                <w:szCs w:val="14"/>
              </w:rPr>
              <w:t>7.7</w:t>
            </w:r>
          </w:p>
        </w:tc>
      </w:tr>
      <w:tr w:rsidR="004A678E" w:rsidRPr="00C02D28" w14:paraId="26338580" w14:textId="77777777" w:rsidTr="00C02D28">
        <w:trPr>
          <w:trHeight w:val="300"/>
        </w:trPr>
        <w:tc>
          <w:tcPr>
            <w:tcW w:w="1417" w:type="dxa"/>
            <w:noWrap/>
            <w:tcMar>
              <w:left w:w="57" w:type="dxa"/>
              <w:right w:w="57" w:type="dxa"/>
            </w:tcMar>
            <w:hideMark/>
          </w:tcPr>
          <w:p w14:paraId="57F72467" w14:textId="77777777" w:rsidR="004A678E" w:rsidRPr="00C02D28" w:rsidRDefault="004A678E" w:rsidP="004A678E">
            <w:pPr>
              <w:rPr>
                <w:rFonts w:asciiTheme="minorHAnsi" w:hAnsiTheme="minorHAnsi" w:cstheme="minorHAnsi"/>
                <w:b/>
                <w:bCs/>
                <w:sz w:val="14"/>
                <w:szCs w:val="14"/>
              </w:rPr>
            </w:pPr>
            <w:r w:rsidRPr="00C02D28">
              <w:rPr>
                <w:rFonts w:asciiTheme="minorHAnsi" w:hAnsiTheme="minorHAnsi" w:cstheme="minorHAnsi"/>
                <w:b/>
                <w:bCs/>
                <w:sz w:val="14"/>
                <w:szCs w:val="14"/>
              </w:rPr>
              <w:t>Grand Total</w:t>
            </w:r>
          </w:p>
        </w:tc>
        <w:tc>
          <w:tcPr>
            <w:tcW w:w="454" w:type="dxa"/>
            <w:noWrap/>
            <w:tcMar>
              <w:left w:w="57" w:type="dxa"/>
              <w:right w:w="57" w:type="dxa"/>
            </w:tcMar>
            <w:hideMark/>
          </w:tcPr>
          <w:p w14:paraId="3F3C6221" w14:textId="09201897" w:rsidR="004A678E" w:rsidRPr="004A678E" w:rsidRDefault="004A678E" w:rsidP="004A678E">
            <w:pPr>
              <w:jc w:val="right"/>
              <w:rPr>
                <w:rFonts w:asciiTheme="minorHAnsi" w:hAnsiTheme="minorHAnsi" w:cstheme="minorHAnsi"/>
                <w:b/>
                <w:bCs/>
                <w:sz w:val="14"/>
                <w:szCs w:val="14"/>
              </w:rPr>
            </w:pPr>
            <w:r w:rsidRPr="004A678E">
              <w:rPr>
                <w:b/>
                <w:bCs/>
                <w:sz w:val="14"/>
                <w:szCs w:val="14"/>
              </w:rPr>
              <w:t>193.4</w:t>
            </w:r>
          </w:p>
        </w:tc>
        <w:tc>
          <w:tcPr>
            <w:tcW w:w="454" w:type="dxa"/>
            <w:noWrap/>
            <w:tcMar>
              <w:left w:w="57" w:type="dxa"/>
              <w:right w:w="57" w:type="dxa"/>
            </w:tcMar>
            <w:hideMark/>
          </w:tcPr>
          <w:p w14:paraId="0A8D563F" w14:textId="7826F7FF" w:rsidR="004A678E" w:rsidRPr="004A678E" w:rsidRDefault="004A678E" w:rsidP="004A678E">
            <w:pPr>
              <w:jc w:val="right"/>
              <w:rPr>
                <w:rFonts w:asciiTheme="minorHAnsi" w:hAnsiTheme="minorHAnsi" w:cstheme="minorHAnsi"/>
                <w:b/>
                <w:bCs/>
                <w:sz w:val="14"/>
                <w:szCs w:val="14"/>
              </w:rPr>
            </w:pPr>
            <w:r w:rsidRPr="004A678E">
              <w:rPr>
                <w:b/>
                <w:bCs/>
                <w:sz w:val="14"/>
                <w:szCs w:val="14"/>
              </w:rPr>
              <w:t>205.3</w:t>
            </w:r>
          </w:p>
        </w:tc>
        <w:tc>
          <w:tcPr>
            <w:tcW w:w="454" w:type="dxa"/>
            <w:noWrap/>
            <w:tcMar>
              <w:left w:w="57" w:type="dxa"/>
              <w:right w:w="57" w:type="dxa"/>
            </w:tcMar>
            <w:hideMark/>
          </w:tcPr>
          <w:p w14:paraId="6B326296" w14:textId="7BAA4C3F" w:rsidR="004A678E" w:rsidRPr="004A678E" w:rsidRDefault="004A678E" w:rsidP="004A678E">
            <w:pPr>
              <w:jc w:val="right"/>
              <w:rPr>
                <w:rFonts w:asciiTheme="minorHAnsi" w:hAnsiTheme="minorHAnsi" w:cstheme="minorHAnsi"/>
                <w:b/>
                <w:bCs/>
                <w:sz w:val="14"/>
                <w:szCs w:val="14"/>
              </w:rPr>
            </w:pPr>
            <w:r w:rsidRPr="004A678E">
              <w:rPr>
                <w:b/>
                <w:bCs/>
                <w:sz w:val="14"/>
                <w:szCs w:val="14"/>
              </w:rPr>
              <w:t>167.9</w:t>
            </w:r>
          </w:p>
        </w:tc>
        <w:tc>
          <w:tcPr>
            <w:tcW w:w="454" w:type="dxa"/>
            <w:noWrap/>
            <w:tcMar>
              <w:left w:w="57" w:type="dxa"/>
              <w:right w:w="57" w:type="dxa"/>
            </w:tcMar>
            <w:hideMark/>
          </w:tcPr>
          <w:p w14:paraId="06FCFB13" w14:textId="4A230751" w:rsidR="004A678E" w:rsidRPr="004A678E" w:rsidRDefault="004A678E" w:rsidP="004A678E">
            <w:pPr>
              <w:jc w:val="right"/>
              <w:rPr>
                <w:rFonts w:asciiTheme="minorHAnsi" w:hAnsiTheme="minorHAnsi" w:cstheme="minorHAnsi"/>
                <w:b/>
                <w:bCs/>
                <w:sz w:val="14"/>
                <w:szCs w:val="14"/>
              </w:rPr>
            </w:pPr>
            <w:r w:rsidRPr="004A678E">
              <w:rPr>
                <w:b/>
                <w:bCs/>
                <w:sz w:val="14"/>
                <w:szCs w:val="14"/>
              </w:rPr>
              <w:t>208.9</w:t>
            </w:r>
          </w:p>
        </w:tc>
        <w:tc>
          <w:tcPr>
            <w:tcW w:w="454" w:type="dxa"/>
            <w:noWrap/>
            <w:tcMar>
              <w:left w:w="57" w:type="dxa"/>
              <w:right w:w="57" w:type="dxa"/>
            </w:tcMar>
            <w:hideMark/>
          </w:tcPr>
          <w:p w14:paraId="3238AEA4" w14:textId="740E02BE" w:rsidR="004A678E" w:rsidRPr="004A678E" w:rsidRDefault="004A678E" w:rsidP="004A678E">
            <w:pPr>
              <w:jc w:val="right"/>
              <w:rPr>
                <w:rFonts w:asciiTheme="minorHAnsi" w:hAnsiTheme="minorHAnsi" w:cstheme="minorHAnsi"/>
                <w:b/>
                <w:bCs/>
                <w:sz w:val="14"/>
                <w:szCs w:val="14"/>
              </w:rPr>
            </w:pPr>
            <w:r w:rsidRPr="004A678E">
              <w:rPr>
                <w:b/>
                <w:bCs/>
                <w:sz w:val="14"/>
                <w:szCs w:val="14"/>
              </w:rPr>
              <w:t>194.1</w:t>
            </w:r>
          </w:p>
        </w:tc>
        <w:tc>
          <w:tcPr>
            <w:tcW w:w="454" w:type="dxa"/>
            <w:noWrap/>
            <w:tcMar>
              <w:left w:w="57" w:type="dxa"/>
              <w:right w:w="57" w:type="dxa"/>
            </w:tcMar>
            <w:hideMark/>
          </w:tcPr>
          <w:p w14:paraId="43909FE5" w14:textId="139380E5" w:rsidR="004A678E" w:rsidRPr="004A678E" w:rsidRDefault="004A678E" w:rsidP="004A678E">
            <w:pPr>
              <w:jc w:val="right"/>
              <w:rPr>
                <w:rFonts w:asciiTheme="minorHAnsi" w:hAnsiTheme="minorHAnsi" w:cstheme="minorHAnsi"/>
                <w:b/>
                <w:bCs/>
                <w:sz w:val="14"/>
                <w:szCs w:val="14"/>
              </w:rPr>
            </w:pPr>
            <w:r w:rsidRPr="004A678E">
              <w:rPr>
                <w:b/>
                <w:bCs/>
                <w:sz w:val="14"/>
                <w:szCs w:val="14"/>
              </w:rPr>
              <w:t>266.1</w:t>
            </w:r>
          </w:p>
        </w:tc>
        <w:tc>
          <w:tcPr>
            <w:tcW w:w="454" w:type="dxa"/>
            <w:noWrap/>
            <w:tcMar>
              <w:left w:w="57" w:type="dxa"/>
              <w:right w:w="57" w:type="dxa"/>
            </w:tcMar>
            <w:hideMark/>
          </w:tcPr>
          <w:p w14:paraId="1E52F7A0" w14:textId="3B617770" w:rsidR="004A678E" w:rsidRPr="004A678E" w:rsidRDefault="004A678E" w:rsidP="004A678E">
            <w:pPr>
              <w:jc w:val="right"/>
              <w:rPr>
                <w:rFonts w:asciiTheme="minorHAnsi" w:hAnsiTheme="minorHAnsi" w:cstheme="minorHAnsi"/>
                <w:b/>
                <w:bCs/>
                <w:sz w:val="14"/>
                <w:szCs w:val="14"/>
              </w:rPr>
            </w:pPr>
            <w:r w:rsidRPr="004A678E">
              <w:rPr>
                <w:b/>
                <w:bCs/>
                <w:sz w:val="14"/>
                <w:szCs w:val="14"/>
              </w:rPr>
              <w:t>265.9</w:t>
            </w:r>
          </w:p>
        </w:tc>
        <w:tc>
          <w:tcPr>
            <w:tcW w:w="454" w:type="dxa"/>
            <w:noWrap/>
            <w:tcMar>
              <w:left w:w="57" w:type="dxa"/>
              <w:right w:w="57" w:type="dxa"/>
            </w:tcMar>
            <w:hideMark/>
          </w:tcPr>
          <w:p w14:paraId="6FF26A06" w14:textId="38B13173" w:rsidR="004A678E" w:rsidRPr="004A678E" w:rsidRDefault="004A678E" w:rsidP="004A678E">
            <w:pPr>
              <w:jc w:val="right"/>
              <w:rPr>
                <w:rFonts w:asciiTheme="minorHAnsi" w:hAnsiTheme="minorHAnsi" w:cstheme="minorHAnsi"/>
                <w:b/>
                <w:bCs/>
                <w:sz w:val="14"/>
                <w:szCs w:val="14"/>
              </w:rPr>
            </w:pPr>
            <w:r w:rsidRPr="004A678E">
              <w:rPr>
                <w:b/>
                <w:bCs/>
                <w:sz w:val="14"/>
                <w:szCs w:val="14"/>
              </w:rPr>
              <w:t>295.8</w:t>
            </w:r>
          </w:p>
        </w:tc>
        <w:tc>
          <w:tcPr>
            <w:tcW w:w="454" w:type="dxa"/>
            <w:noWrap/>
            <w:tcMar>
              <w:left w:w="57" w:type="dxa"/>
              <w:right w:w="57" w:type="dxa"/>
            </w:tcMar>
            <w:hideMark/>
          </w:tcPr>
          <w:p w14:paraId="41DA4B29" w14:textId="4C495DED" w:rsidR="004A678E" w:rsidRPr="004A678E" w:rsidRDefault="004A678E" w:rsidP="004A678E">
            <w:pPr>
              <w:jc w:val="right"/>
              <w:rPr>
                <w:rFonts w:asciiTheme="minorHAnsi" w:hAnsiTheme="minorHAnsi" w:cstheme="minorHAnsi"/>
                <w:b/>
                <w:bCs/>
                <w:sz w:val="14"/>
                <w:szCs w:val="14"/>
              </w:rPr>
            </w:pPr>
            <w:r w:rsidRPr="004A678E">
              <w:rPr>
                <w:b/>
                <w:bCs/>
                <w:sz w:val="14"/>
                <w:szCs w:val="14"/>
              </w:rPr>
              <w:t>357.0</w:t>
            </w:r>
          </w:p>
        </w:tc>
        <w:tc>
          <w:tcPr>
            <w:tcW w:w="454" w:type="dxa"/>
            <w:noWrap/>
            <w:tcMar>
              <w:left w:w="57" w:type="dxa"/>
              <w:right w:w="57" w:type="dxa"/>
            </w:tcMar>
            <w:hideMark/>
          </w:tcPr>
          <w:p w14:paraId="6E823BC8" w14:textId="1F4BDA5D" w:rsidR="004A678E" w:rsidRPr="004A678E" w:rsidRDefault="004A678E" w:rsidP="004A678E">
            <w:pPr>
              <w:jc w:val="right"/>
              <w:rPr>
                <w:rFonts w:asciiTheme="minorHAnsi" w:hAnsiTheme="minorHAnsi" w:cstheme="minorHAnsi"/>
                <w:b/>
                <w:bCs/>
                <w:sz w:val="14"/>
                <w:szCs w:val="14"/>
              </w:rPr>
            </w:pPr>
            <w:r w:rsidRPr="004A678E">
              <w:rPr>
                <w:b/>
                <w:bCs/>
                <w:sz w:val="14"/>
                <w:szCs w:val="14"/>
              </w:rPr>
              <w:t>438.2</w:t>
            </w:r>
          </w:p>
        </w:tc>
        <w:tc>
          <w:tcPr>
            <w:tcW w:w="454" w:type="dxa"/>
            <w:noWrap/>
            <w:tcMar>
              <w:left w:w="57" w:type="dxa"/>
              <w:right w:w="57" w:type="dxa"/>
            </w:tcMar>
            <w:hideMark/>
          </w:tcPr>
          <w:p w14:paraId="153C6A56" w14:textId="23D49637" w:rsidR="004A678E" w:rsidRPr="004A678E" w:rsidRDefault="004A678E" w:rsidP="004A678E">
            <w:pPr>
              <w:jc w:val="right"/>
              <w:rPr>
                <w:rFonts w:asciiTheme="minorHAnsi" w:hAnsiTheme="minorHAnsi" w:cstheme="minorHAnsi"/>
                <w:b/>
                <w:bCs/>
                <w:sz w:val="14"/>
                <w:szCs w:val="14"/>
              </w:rPr>
            </w:pPr>
            <w:r w:rsidRPr="004A678E">
              <w:rPr>
                <w:b/>
                <w:bCs/>
                <w:sz w:val="14"/>
                <w:szCs w:val="14"/>
              </w:rPr>
              <w:t>422.6</w:t>
            </w:r>
          </w:p>
        </w:tc>
        <w:tc>
          <w:tcPr>
            <w:tcW w:w="454" w:type="dxa"/>
            <w:noWrap/>
            <w:tcMar>
              <w:left w:w="57" w:type="dxa"/>
              <w:right w:w="57" w:type="dxa"/>
            </w:tcMar>
            <w:hideMark/>
          </w:tcPr>
          <w:p w14:paraId="49C81053" w14:textId="1088BABE" w:rsidR="004A678E" w:rsidRPr="004A678E" w:rsidRDefault="004A678E" w:rsidP="004A678E">
            <w:pPr>
              <w:jc w:val="right"/>
              <w:rPr>
                <w:rFonts w:asciiTheme="minorHAnsi" w:hAnsiTheme="minorHAnsi" w:cstheme="minorHAnsi"/>
                <w:b/>
                <w:bCs/>
                <w:sz w:val="14"/>
                <w:szCs w:val="14"/>
              </w:rPr>
            </w:pPr>
            <w:r w:rsidRPr="004A678E">
              <w:rPr>
                <w:b/>
                <w:bCs/>
                <w:sz w:val="14"/>
                <w:szCs w:val="14"/>
              </w:rPr>
              <w:t>325.7</w:t>
            </w:r>
          </w:p>
        </w:tc>
        <w:tc>
          <w:tcPr>
            <w:tcW w:w="454" w:type="dxa"/>
            <w:noWrap/>
            <w:tcMar>
              <w:left w:w="57" w:type="dxa"/>
              <w:right w:w="57" w:type="dxa"/>
            </w:tcMar>
            <w:hideMark/>
          </w:tcPr>
          <w:p w14:paraId="1B272B01" w14:textId="48D2FFF7" w:rsidR="004A678E" w:rsidRPr="004A678E" w:rsidRDefault="004A678E" w:rsidP="004A678E">
            <w:pPr>
              <w:jc w:val="right"/>
              <w:rPr>
                <w:rFonts w:asciiTheme="minorHAnsi" w:hAnsiTheme="minorHAnsi" w:cstheme="minorHAnsi"/>
                <w:b/>
                <w:bCs/>
                <w:sz w:val="14"/>
                <w:szCs w:val="14"/>
              </w:rPr>
            </w:pPr>
            <w:r w:rsidRPr="004A678E">
              <w:rPr>
                <w:b/>
                <w:bCs/>
                <w:sz w:val="14"/>
                <w:szCs w:val="14"/>
              </w:rPr>
              <w:t>351.6</w:t>
            </w:r>
          </w:p>
        </w:tc>
        <w:tc>
          <w:tcPr>
            <w:tcW w:w="454" w:type="dxa"/>
            <w:noWrap/>
            <w:tcMar>
              <w:left w:w="57" w:type="dxa"/>
              <w:right w:w="57" w:type="dxa"/>
            </w:tcMar>
            <w:hideMark/>
          </w:tcPr>
          <w:p w14:paraId="48A97997" w14:textId="1703FDD6" w:rsidR="004A678E" w:rsidRPr="004A678E" w:rsidRDefault="004A678E" w:rsidP="004A678E">
            <w:pPr>
              <w:jc w:val="right"/>
              <w:rPr>
                <w:rFonts w:asciiTheme="minorHAnsi" w:hAnsiTheme="minorHAnsi" w:cstheme="minorHAnsi"/>
                <w:b/>
                <w:bCs/>
                <w:sz w:val="14"/>
                <w:szCs w:val="14"/>
              </w:rPr>
            </w:pPr>
            <w:r w:rsidRPr="004A678E">
              <w:rPr>
                <w:b/>
                <w:bCs/>
                <w:sz w:val="14"/>
                <w:szCs w:val="14"/>
              </w:rPr>
              <w:t>394.2</w:t>
            </w:r>
          </w:p>
        </w:tc>
        <w:tc>
          <w:tcPr>
            <w:tcW w:w="454" w:type="dxa"/>
            <w:noWrap/>
            <w:tcMar>
              <w:left w:w="57" w:type="dxa"/>
              <w:right w:w="57" w:type="dxa"/>
            </w:tcMar>
            <w:hideMark/>
          </w:tcPr>
          <w:p w14:paraId="28AA607C" w14:textId="67CEDD03" w:rsidR="004A678E" w:rsidRPr="004A678E" w:rsidRDefault="004A678E" w:rsidP="004A678E">
            <w:pPr>
              <w:jc w:val="right"/>
              <w:rPr>
                <w:rFonts w:asciiTheme="minorHAnsi" w:hAnsiTheme="minorHAnsi" w:cstheme="minorHAnsi"/>
                <w:b/>
                <w:bCs/>
                <w:sz w:val="14"/>
                <w:szCs w:val="14"/>
              </w:rPr>
            </w:pPr>
            <w:r w:rsidRPr="004A678E">
              <w:rPr>
                <w:b/>
                <w:bCs/>
                <w:sz w:val="14"/>
                <w:szCs w:val="14"/>
              </w:rPr>
              <w:t>369.5</w:t>
            </w:r>
          </w:p>
        </w:tc>
        <w:tc>
          <w:tcPr>
            <w:tcW w:w="454" w:type="dxa"/>
            <w:noWrap/>
            <w:tcMar>
              <w:left w:w="57" w:type="dxa"/>
              <w:right w:w="57" w:type="dxa"/>
            </w:tcMar>
            <w:hideMark/>
          </w:tcPr>
          <w:p w14:paraId="2B444B97" w14:textId="08E9BA38" w:rsidR="004A678E" w:rsidRPr="004A678E" w:rsidRDefault="004A678E" w:rsidP="004A678E">
            <w:pPr>
              <w:jc w:val="right"/>
              <w:rPr>
                <w:rFonts w:asciiTheme="minorHAnsi" w:hAnsiTheme="minorHAnsi" w:cstheme="minorHAnsi"/>
                <w:b/>
                <w:bCs/>
                <w:sz w:val="14"/>
                <w:szCs w:val="14"/>
              </w:rPr>
            </w:pPr>
            <w:r w:rsidRPr="004A678E">
              <w:rPr>
                <w:b/>
                <w:bCs/>
                <w:sz w:val="14"/>
                <w:szCs w:val="14"/>
              </w:rPr>
              <w:t>414.9</w:t>
            </w:r>
          </w:p>
        </w:tc>
        <w:tc>
          <w:tcPr>
            <w:tcW w:w="454" w:type="dxa"/>
            <w:noWrap/>
            <w:tcMar>
              <w:left w:w="57" w:type="dxa"/>
              <w:right w:w="57" w:type="dxa"/>
            </w:tcMar>
            <w:hideMark/>
          </w:tcPr>
          <w:p w14:paraId="7614B1D3" w14:textId="66FDAFFE" w:rsidR="004A678E" w:rsidRPr="004A678E" w:rsidRDefault="004A678E" w:rsidP="004A678E">
            <w:pPr>
              <w:jc w:val="right"/>
              <w:rPr>
                <w:rFonts w:asciiTheme="minorHAnsi" w:hAnsiTheme="minorHAnsi" w:cstheme="minorHAnsi"/>
                <w:b/>
                <w:bCs/>
                <w:sz w:val="14"/>
                <w:szCs w:val="14"/>
              </w:rPr>
            </w:pPr>
            <w:r w:rsidRPr="004A678E">
              <w:rPr>
                <w:b/>
                <w:bCs/>
                <w:sz w:val="14"/>
                <w:szCs w:val="14"/>
              </w:rPr>
              <w:t>410.4</w:t>
            </w:r>
          </w:p>
        </w:tc>
        <w:tc>
          <w:tcPr>
            <w:tcW w:w="454" w:type="dxa"/>
            <w:noWrap/>
            <w:tcMar>
              <w:left w:w="57" w:type="dxa"/>
              <w:right w:w="57" w:type="dxa"/>
            </w:tcMar>
            <w:hideMark/>
          </w:tcPr>
          <w:p w14:paraId="12F6E0EB" w14:textId="488D1B14" w:rsidR="004A678E" w:rsidRPr="004A678E" w:rsidRDefault="004A678E" w:rsidP="004A678E">
            <w:pPr>
              <w:jc w:val="right"/>
              <w:rPr>
                <w:rFonts w:asciiTheme="minorHAnsi" w:hAnsiTheme="minorHAnsi" w:cstheme="minorHAnsi"/>
                <w:b/>
                <w:bCs/>
                <w:sz w:val="14"/>
                <w:szCs w:val="14"/>
              </w:rPr>
            </w:pPr>
            <w:r w:rsidRPr="004A678E">
              <w:rPr>
                <w:b/>
                <w:bCs/>
                <w:sz w:val="14"/>
                <w:szCs w:val="14"/>
              </w:rPr>
              <w:t>412.7</w:t>
            </w:r>
          </w:p>
        </w:tc>
        <w:tc>
          <w:tcPr>
            <w:tcW w:w="454" w:type="dxa"/>
            <w:noWrap/>
            <w:tcMar>
              <w:left w:w="57" w:type="dxa"/>
              <w:right w:w="57" w:type="dxa"/>
            </w:tcMar>
            <w:hideMark/>
          </w:tcPr>
          <w:p w14:paraId="241F5530" w14:textId="14DE4D2C" w:rsidR="004A678E" w:rsidRPr="004A678E" w:rsidRDefault="004A678E" w:rsidP="004A678E">
            <w:pPr>
              <w:jc w:val="right"/>
              <w:rPr>
                <w:rFonts w:asciiTheme="minorHAnsi" w:hAnsiTheme="minorHAnsi" w:cstheme="minorHAnsi"/>
                <w:b/>
                <w:bCs/>
                <w:sz w:val="14"/>
                <w:szCs w:val="14"/>
              </w:rPr>
            </w:pPr>
            <w:r w:rsidRPr="004A678E">
              <w:rPr>
                <w:b/>
                <w:bCs/>
                <w:sz w:val="14"/>
                <w:szCs w:val="14"/>
              </w:rPr>
              <w:t>366.5</w:t>
            </w:r>
          </w:p>
        </w:tc>
        <w:tc>
          <w:tcPr>
            <w:tcW w:w="454" w:type="dxa"/>
            <w:noWrap/>
            <w:tcMar>
              <w:left w:w="57" w:type="dxa"/>
              <w:right w:w="57" w:type="dxa"/>
            </w:tcMar>
            <w:hideMark/>
          </w:tcPr>
          <w:p w14:paraId="6113E6A8" w14:textId="4175823F" w:rsidR="004A678E" w:rsidRPr="004A678E" w:rsidRDefault="004A678E" w:rsidP="004A678E">
            <w:pPr>
              <w:jc w:val="right"/>
              <w:rPr>
                <w:rFonts w:asciiTheme="minorHAnsi" w:hAnsiTheme="minorHAnsi" w:cstheme="minorHAnsi"/>
                <w:b/>
                <w:bCs/>
                <w:sz w:val="14"/>
                <w:szCs w:val="14"/>
              </w:rPr>
            </w:pPr>
            <w:r w:rsidRPr="004A678E">
              <w:rPr>
                <w:b/>
                <w:bCs/>
                <w:sz w:val="14"/>
                <w:szCs w:val="14"/>
              </w:rPr>
              <w:t>330.8</w:t>
            </w:r>
          </w:p>
        </w:tc>
        <w:tc>
          <w:tcPr>
            <w:tcW w:w="454" w:type="dxa"/>
            <w:noWrap/>
            <w:tcMar>
              <w:left w:w="57" w:type="dxa"/>
              <w:right w:w="57" w:type="dxa"/>
            </w:tcMar>
            <w:hideMark/>
          </w:tcPr>
          <w:p w14:paraId="53849B2A" w14:textId="67A28C69" w:rsidR="004A678E" w:rsidRPr="004A678E" w:rsidRDefault="004A678E" w:rsidP="004A678E">
            <w:pPr>
              <w:jc w:val="right"/>
              <w:rPr>
                <w:rFonts w:asciiTheme="minorHAnsi" w:hAnsiTheme="minorHAnsi" w:cstheme="minorHAnsi"/>
                <w:b/>
                <w:bCs/>
                <w:sz w:val="14"/>
                <w:szCs w:val="14"/>
              </w:rPr>
            </w:pPr>
            <w:r w:rsidRPr="004A678E">
              <w:rPr>
                <w:b/>
                <w:bCs/>
                <w:sz w:val="14"/>
                <w:szCs w:val="14"/>
              </w:rPr>
              <w:t>341.4</w:t>
            </w:r>
          </w:p>
        </w:tc>
        <w:tc>
          <w:tcPr>
            <w:tcW w:w="454" w:type="dxa"/>
            <w:noWrap/>
            <w:tcMar>
              <w:left w:w="57" w:type="dxa"/>
              <w:right w:w="57" w:type="dxa"/>
            </w:tcMar>
            <w:hideMark/>
          </w:tcPr>
          <w:p w14:paraId="214175D3" w14:textId="08C54A2B" w:rsidR="004A678E" w:rsidRPr="004A678E" w:rsidRDefault="004A678E" w:rsidP="004A678E">
            <w:pPr>
              <w:jc w:val="right"/>
              <w:rPr>
                <w:rFonts w:asciiTheme="minorHAnsi" w:hAnsiTheme="minorHAnsi" w:cstheme="minorHAnsi"/>
                <w:b/>
                <w:bCs/>
                <w:sz w:val="14"/>
                <w:szCs w:val="14"/>
              </w:rPr>
            </w:pPr>
            <w:r w:rsidRPr="004A678E">
              <w:rPr>
                <w:b/>
                <w:bCs/>
                <w:sz w:val="14"/>
                <w:szCs w:val="14"/>
              </w:rPr>
              <w:t>333.5</w:t>
            </w:r>
          </w:p>
        </w:tc>
        <w:tc>
          <w:tcPr>
            <w:tcW w:w="454" w:type="dxa"/>
            <w:noWrap/>
            <w:tcMar>
              <w:left w:w="57" w:type="dxa"/>
              <w:right w:w="57" w:type="dxa"/>
            </w:tcMar>
            <w:hideMark/>
          </w:tcPr>
          <w:p w14:paraId="6751D1C7" w14:textId="09179B3E" w:rsidR="004A678E" w:rsidRPr="004A678E" w:rsidRDefault="004A678E" w:rsidP="004A678E">
            <w:pPr>
              <w:jc w:val="right"/>
              <w:rPr>
                <w:rFonts w:asciiTheme="minorHAnsi" w:hAnsiTheme="minorHAnsi" w:cstheme="minorHAnsi"/>
                <w:b/>
                <w:bCs/>
                <w:sz w:val="14"/>
                <w:szCs w:val="14"/>
              </w:rPr>
            </w:pPr>
            <w:r w:rsidRPr="004A678E">
              <w:rPr>
                <w:b/>
                <w:bCs/>
                <w:sz w:val="14"/>
                <w:szCs w:val="14"/>
              </w:rPr>
              <w:t>301.8</w:t>
            </w:r>
          </w:p>
        </w:tc>
        <w:tc>
          <w:tcPr>
            <w:tcW w:w="454" w:type="dxa"/>
            <w:noWrap/>
            <w:tcMar>
              <w:left w:w="57" w:type="dxa"/>
              <w:right w:w="57" w:type="dxa"/>
            </w:tcMar>
            <w:hideMark/>
          </w:tcPr>
          <w:p w14:paraId="48E9ACFD" w14:textId="692C27E6" w:rsidR="004A678E" w:rsidRPr="004A678E" w:rsidRDefault="004A678E" w:rsidP="004A678E">
            <w:pPr>
              <w:jc w:val="right"/>
              <w:rPr>
                <w:rFonts w:asciiTheme="minorHAnsi" w:hAnsiTheme="minorHAnsi" w:cstheme="minorHAnsi"/>
                <w:b/>
                <w:bCs/>
                <w:sz w:val="14"/>
                <w:szCs w:val="14"/>
              </w:rPr>
            </w:pPr>
            <w:r w:rsidRPr="004A678E">
              <w:rPr>
                <w:b/>
                <w:bCs/>
                <w:sz w:val="14"/>
                <w:szCs w:val="14"/>
              </w:rPr>
              <w:t>287.0</w:t>
            </w:r>
          </w:p>
        </w:tc>
        <w:tc>
          <w:tcPr>
            <w:tcW w:w="454" w:type="dxa"/>
            <w:noWrap/>
            <w:tcMar>
              <w:left w:w="57" w:type="dxa"/>
              <w:right w:w="57" w:type="dxa"/>
            </w:tcMar>
            <w:hideMark/>
          </w:tcPr>
          <w:p w14:paraId="479E3CC0" w14:textId="484EEEC6" w:rsidR="004A678E" w:rsidRPr="004A678E" w:rsidRDefault="004A678E" w:rsidP="004A678E">
            <w:pPr>
              <w:jc w:val="right"/>
              <w:rPr>
                <w:rFonts w:asciiTheme="minorHAnsi" w:hAnsiTheme="minorHAnsi" w:cstheme="minorHAnsi"/>
                <w:b/>
                <w:bCs/>
                <w:sz w:val="14"/>
                <w:szCs w:val="14"/>
              </w:rPr>
            </w:pPr>
            <w:r w:rsidRPr="004A678E">
              <w:rPr>
                <w:b/>
                <w:bCs/>
                <w:sz w:val="14"/>
                <w:szCs w:val="14"/>
              </w:rPr>
              <w:t>372.0</w:t>
            </w:r>
          </w:p>
        </w:tc>
        <w:tc>
          <w:tcPr>
            <w:tcW w:w="454" w:type="dxa"/>
            <w:noWrap/>
            <w:tcMar>
              <w:left w:w="57" w:type="dxa"/>
              <w:right w:w="57" w:type="dxa"/>
            </w:tcMar>
            <w:hideMark/>
          </w:tcPr>
          <w:p w14:paraId="1C8D7F99" w14:textId="69372D26" w:rsidR="004A678E" w:rsidRPr="004A678E" w:rsidRDefault="004A678E" w:rsidP="004A678E">
            <w:pPr>
              <w:jc w:val="right"/>
              <w:rPr>
                <w:rFonts w:asciiTheme="minorHAnsi" w:hAnsiTheme="minorHAnsi" w:cstheme="minorHAnsi"/>
                <w:b/>
                <w:bCs/>
                <w:sz w:val="14"/>
                <w:szCs w:val="14"/>
              </w:rPr>
            </w:pPr>
            <w:r w:rsidRPr="004A678E">
              <w:rPr>
                <w:b/>
                <w:bCs/>
                <w:sz w:val="14"/>
                <w:szCs w:val="14"/>
              </w:rPr>
              <w:t>357.1</w:t>
            </w:r>
          </w:p>
        </w:tc>
        <w:tc>
          <w:tcPr>
            <w:tcW w:w="454" w:type="dxa"/>
            <w:noWrap/>
            <w:tcMar>
              <w:left w:w="57" w:type="dxa"/>
              <w:right w:w="57" w:type="dxa"/>
            </w:tcMar>
            <w:hideMark/>
          </w:tcPr>
          <w:p w14:paraId="7B64CEFE" w14:textId="1DE9D5C9" w:rsidR="004A678E" w:rsidRPr="004A678E" w:rsidRDefault="004A678E" w:rsidP="004A678E">
            <w:pPr>
              <w:jc w:val="right"/>
              <w:rPr>
                <w:rFonts w:asciiTheme="minorHAnsi" w:hAnsiTheme="minorHAnsi" w:cstheme="minorHAnsi"/>
                <w:b/>
                <w:bCs/>
                <w:sz w:val="14"/>
                <w:szCs w:val="14"/>
              </w:rPr>
            </w:pPr>
            <w:r w:rsidRPr="004A678E">
              <w:rPr>
                <w:b/>
                <w:bCs/>
                <w:sz w:val="14"/>
                <w:szCs w:val="14"/>
              </w:rPr>
              <w:t>321.1</w:t>
            </w:r>
          </w:p>
        </w:tc>
        <w:tc>
          <w:tcPr>
            <w:tcW w:w="454" w:type="dxa"/>
            <w:noWrap/>
            <w:tcMar>
              <w:left w:w="57" w:type="dxa"/>
              <w:right w:w="57" w:type="dxa"/>
            </w:tcMar>
            <w:hideMark/>
          </w:tcPr>
          <w:p w14:paraId="6565F23D" w14:textId="63706A3B" w:rsidR="004A678E" w:rsidRPr="004A678E" w:rsidRDefault="004A678E" w:rsidP="004A678E">
            <w:pPr>
              <w:jc w:val="right"/>
              <w:rPr>
                <w:rFonts w:asciiTheme="minorHAnsi" w:hAnsiTheme="minorHAnsi" w:cstheme="minorHAnsi"/>
                <w:b/>
                <w:bCs/>
                <w:sz w:val="14"/>
                <w:szCs w:val="14"/>
              </w:rPr>
            </w:pPr>
            <w:r w:rsidRPr="004A678E">
              <w:rPr>
                <w:b/>
                <w:bCs/>
                <w:sz w:val="14"/>
                <w:szCs w:val="14"/>
              </w:rPr>
              <w:t>259.0</w:t>
            </w:r>
          </w:p>
        </w:tc>
        <w:tc>
          <w:tcPr>
            <w:tcW w:w="642" w:type="dxa"/>
            <w:noWrap/>
            <w:tcMar>
              <w:left w:w="57" w:type="dxa"/>
              <w:right w:w="57" w:type="dxa"/>
            </w:tcMar>
            <w:hideMark/>
          </w:tcPr>
          <w:p w14:paraId="130AF3B1" w14:textId="5589AAA6" w:rsidR="004A678E" w:rsidRPr="004A678E" w:rsidRDefault="004A678E" w:rsidP="004A678E">
            <w:pPr>
              <w:jc w:val="right"/>
              <w:rPr>
                <w:rFonts w:asciiTheme="minorHAnsi" w:hAnsiTheme="minorHAnsi" w:cstheme="minorHAnsi"/>
                <w:b/>
                <w:bCs/>
                <w:sz w:val="14"/>
                <w:szCs w:val="14"/>
              </w:rPr>
            </w:pPr>
            <w:r w:rsidRPr="004A678E">
              <w:rPr>
                <w:b/>
                <w:bCs/>
                <w:sz w:val="14"/>
                <w:szCs w:val="14"/>
              </w:rPr>
              <w:t>8,964.1</w:t>
            </w:r>
          </w:p>
        </w:tc>
      </w:tr>
    </w:tbl>
    <w:p w14:paraId="544951E6" w14:textId="77777777" w:rsidR="00C02D28" w:rsidRDefault="00C02D28" w:rsidP="00AF37BE"/>
    <w:p w14:paraId="406206D6" w14:textId="77777777" w:rsidR="00C02D28" w:rsidRDefault="00C02D28" w:rsidP="00AF37BE"/>
    <w:p w14:paraId="03832669" w14:textId="77777777" w:rsidR="009747C3" w:rsidRDefault="009747C3" w:rsidP="00AF37BE"/>
    <w:p w14:paraId="2406552D" w14:textId="77777777" w:rsidR="009747C3" w:rsidRDefault="009747C3" w:rsidP="00AF37BE">
      <w:pPr>
        <w:sectPr w:rsidR="009747C3" w:rsidSect="005D5EF2">
          <w:pgSz w:w="16838" w:h="11906" w:orient="landscape" w:code="9"/>
          <w:pgMar w:top="720" w:right="720" w:bottom="720" w:left="720" w:header="510" w:footer="624" w:gutter="0"/>
          <w:cols w:space="284"/>
          <w:docGrid w:linePitch="360"/>
        </w:sectPr>
      </w:pPr>
    </w:p>
    <w:p w14:paraId="7CC05205" w14:textId="3BC48579" w:rsidR="00DC4093" w:rsidRDefault="00DC4093" w:rsidP="00A60F4F">
      <w:pPr>
        <w:pStyle w:val="Heading1notnumbered"/>
      </w:pPr>
      <w:bookmarkStart w:id="257" w:name="_Toc189044956"/>
      <w:r>
        <w:lastRenderedPageBreak/>
        <w:t xml:space="preserve">Appendix </w:t>
      </w:r>
      <w:r w:rsidR="009747C3">
        <w:t>D</w:t>
      </w:r>
      <w:r>
        <w:t xml:space="preserve">: </w:t>
      </w:r>
      <w:r w:rsidR="00C31EDA">
        <w:t>Logbook data treatment</w:t>
      </w:r>
      <w:bookmarkEnd w:id="257"/>
    </w:p>
    <w:p w14:paraId="1AE577D6" w14:textId="76C74341" w:rsidR="00C31EDA" w:rsidRPr="006A3EF9" w:rsidRDefault="00C31EDA" w:rsidP="00C31EDA">
      <w:pPr>
        <w:rPr>
          <w:b/>
          <w:bCs/>
          <w:iCs/>
          <w:u w:val="single"/>
          <w:lang w:val="en-US"/>
        </w:rPr>
      </w:pPr>
      <w:r w:rsidRPr="006A3EF9">
        <w:rPr>
          <w:b/>
          <w:bCs/>
          <w:iCs/>
          <w:u w:val="single"/>
          <w:lang w:val="en-US"/>
        </w:rPr>
        <w:t>Vessel Logbooks</w:t>
      </w:r>
    </w:p>
    <w:p w14:paraId="70331BA4" w14:textId="7E59D261" w:rsidR="00C31EDA" w:rsidRDefault="00C31EDA" w:rsidP="00C31EDA">
      <w:pPr>
        <w:rPr>
          <w:iCs/>
          <w:lang w:val="en-US"/>
        </w:rPr>
      </w:pPr>
      <w:r w:rsidRPr="000F191A">
        <w:rPr>
          <w:iCs/>
          <w:lang w:val="en-US"/>
        </w:rPr>
        <w:t xml:space="preserve">The </w:t>
      </w:r>
      <w:r>
        <w:rPr>
          <w:iCs/>
          <w:lang w:val="en-US"/>
        </w:rPr>
        <w:t xml:space="preserve">QSCF vessel </w:t>
      </w:r>
      <w:r w:rsidRPr="000F191A">
        <w:rPr>
          <w:iCs/>
          <w:lang w:val="en-US"/>
        </w:rPr>
        <w:t xml:space="preserve">logbooks </w:t>
      </w:r>
      <w:r>
        <w:rPr>
          <w:iCs/>
          <w:lang w:val="en-US"/>
        </w:rPr>
        <w:t xml:space="preserve">begin </w:t>
      </w:r>
      <w:r w:rsidRPr="000F191A">
        <w:rPr>
          <w:iCs/>
          <w:lang w:val="en-US"/>
        </w:rPr>
        <w:t xml:space="preserve">in </w:t>
      </w:r>
      <w:r>
        <w:rPr>
          <w:iCs/>
          <w:lang w:val="en-US"/>
        </w:rPr>
        <w:t xml:space="preserve">November </w:t>
      </w:r>
      <w:r w:rsidRPr="000F191A">
        <w:rPr>
          <w:iCs/>
          <w:lang w:val="en-US"/>
        </w:rPr>
        <w:t xml:space="preserve">1995 and until </w:t>
      </w:r>
      <w:r>
        <w:rPr>
          <w:iCs/>
          <w:lang w:val="en-US"/>
        </w:rPr>
        <w:t>1999-</w:t>
      </w:r>
      <w:r w:rsidRPr="000F191A">
        <w:rPr>
          <w:iCs/>
          <w:lang w:val="en-US"/>
        </w:rPr>
        <w:t>2000, operators were required to record both weights and numbers. However, there is low confidence in the accuracy of some of the early count data as some records have the same value for weight and number</w:t>
      </w:r>
      <w:r>
        <w:rPr>
          <w:iCs/>
          <w:lang w:val="en-US"/>
        </w:rPr>
        <w:t xml:space="preserve"> – which is unlikely</w:t>
      </w:r>
      <w:r w:rsidRPr="000F191A">
        <w:rPr>
          <w:iCs/>
          <w:lang w:val="en-US"/>
        </w:rPr>
        <w:t xml:space="preserve">. </w:t>
      </w:r>
      <w:r>
        <w:rPr>
          <w:iCs/>
          <w:lang w:val="en-US"/>
        </w:rPr>
        <w:t>The “Product description” (processed state) is also listed during that time as “Whole dead”.</w:t>
      </w:r>
    </w:p>
    <w:p w14:paraId="73B846AE" w14:textId="3E37FA09" w:rsidR="00C31EDA" w:rsidRPr="000F191A" w:rsidRDefault="00C31EDA" w:rsidP="00C31EDA">
      <w:pPr>
        <w:rPr>
          <w:iCs/>
          <w:lang w:val="en-US"/>
        </w:rPr>
      </w:pPr>
      <w:r w:rsidRPr="000F191A">
        <w:rPr>
          <w:iCs/>
          <w:lang w:val="en-US"/>
        </w:rPr>
        <w:t>From 2000</w:t>
      </w:r>
      <w:r>
        <w:rPr>
          <w:iCs/>
          <w:lang w:val="en-US"/>
        </w:rPr>
        <w:t>-01</w:t>
      </w:r>
      <w:r w:rsidRPr="000F191A">
        <w:rPr>
          <w:iCs/>
          <w:lang w:val="en-US"/>
        </w:rPr>
        <w:t xml:space="preserve"> </w:t>
      </w:r>
      <w:r>
        <w:rPr>
          <w:iCs/>
          <w:lang w:val="en-US"/>
        </w:rPr>
        <w:t>until about 2010-11</w:t>
      </w:r>
      <w:r w:rsidRPr="000F191A">
        <w:rPr>
          <w:iCs/>
          <w:lang w:val="en-US"/>
        </w:rPr>
        <w:t xml:space="preserve">, only numbers </w:t>
      </w:r>
      <w:r>
        <w:rPr>
          <w:iCs/>
          <w:lang w:val="en-US"/>
        </w:rPr>
        <w:t>and processed form</w:t>
      </w:r>
      <w:r w:rsidRPr="000F191A">
        <w:rPr>
          <w:iCs/>
          <w:lang w:val="en-US"/>
        </w:rPr>
        <w:t xml:space="preserve"> were required in the logbooks and the </w:t>
      </w:r>
      <w:r>
        <w:rPr>
          <w:iCs/>
          <w:lang w:val="en-US"/>
        </w:rPr>
        <w:t xml:space="preserve">product </w:t>
      </w:r>
      <w:r w:rsidRPr="000F191A">
        <w:rPr>
          <w:iCs/>
          <w:lang w:val="en-US"/>
        </w:rPr>
        <w:t xml:space="preserve">weight </w:t>
      </w:r>
      <w:r>
        <w:rPr>
          <w:iCs/>
          <w:lang w:val="en-US"/>
        </w:rPr>
        <w:t xml:space="preserve">is derived </w:t>
      </w:r>
      <w:r w:rsidRPr="000F191A">
        <w:rPr>
          <w:iCs/>
          <w:lang w:val="en-US"/>
        </w:rPr>
        <w:t>in the logbook</w:t>
      </w:r>
      <w:r>
        <w:rPr>
          <w:iCs/>
          <w:lang w:val="en-US"/>
        </w:rPr>
        <w:t xml:space="preserve"> database</w:t>
      </w:r>
      <w:r w:rsidRPr="000F191A">
        <w:rPr>
          <w:iCs/>
          <w:lang w:val="en-US"/>
        </w:rPr>
        <w:t xml:space="preserve"> </w:t>
      </w:r>
      <w:r>
        <w:rPr>
          <w:iCs/>
          <w:lang w:val="en-US"/>
        </w:rPr>
        <w:t>based on a conversion ratio of 1kg/</w:t>
      </w:r>
      <w:r w:rsidR="006A3EF9">
        <w:rPr>
          <w:iCs/>
          <w:lang w:val="en-US"/>
        </w:rPr>
        <w:t>piece and</w:t>
      </w:r>
      <w:r>
        <w:rPr>
          <w:iCs/>
          <w:lang w:val="en-US"/>
        </w:rPr>
        <w:t xml:space="preserve"> </w:t>
      </w:r>
      <w:r w:rsidRPr="000F191A">
        <w:rPr>
          <w:iCs/>
          <w:lang w:val="en-US"/>
        </w:rPr>
        <w:t xml:space="preserve">should not be used. </w:t>
      </w:r>
      <w:r>
        <w:rPr>
          <w:iCs/>
          <w:lang w:val="en-US"/>
        </w:rPr>
        <w:t>From early 2011 to the end of 2013, both number and weight are often recorded - t</w:t>
      </w:r>
      <w:r w:rsidRPr="000F191A">
        <w:rPr>
          <w:iCs/>
          <w:lang w:val="en-US"/>
        </w:rPr>
        <w:t>his data was requested to be collected by Qld Fisheries and GBRMPA to try and validate the Buyer returns</w:t>
      </w:r>
      <w:r>
        <w:rPr>
          <w:iCs/>
          <w:lang w:val="en-US"/>
        </w:rPr>
        <w:t>. From 2013 weight only was usually recorded.</w:t>
      </w:r>
    </w:p>
    <w:p w14:paraId="7F7C74D2" w14:textId="77777777" w:rsidR="00C31EDA" w:rsidRPr="006A3EF9" w:rsidRDefault="00C31EDA" w:rsidP="00C31EDA">
      <w:pPr>
        <w:rPr>
          <w:b/>
          <w:bCs/>
          <w:iCs/>
          <w:u w:val="single"/>
          <w:lang w:val="en-US"/>
        </w:rPr>
      </w:pPr>
      <w:r w:rsidRPr="006A3EF9">
        <w:rPr>
          <w:b/>
          <w:bCs/>
          <w:iCs/>
          <w:u w:val="single"/>
          <w:lang w:val="en-US"/>
        </w:rPr>
        <w:t>Buyer Returns</w:t>
      </w:r>
    </w:p>
    <w:p w14:paraId="649AA6FB" w14:textId="4DDA330A" w:rsidR="00C31EDA" w:rsidRPr="000F191A" w:rsidRDefault="00C31EDA" w:rsidP="00C31EDA">
      <w:pPr>
        <w:rPr>
          <w:iCs/>
          <w:lang w:val="en-US"/>
        </w:rPr>
      </w:pPr>
      <w:r w:rsidRPr="000F191A">
        <w:rPr>
          <w:iCs/>
          <w:lang w:val="en-US"/>
        </w:rPr>
        <w:t>The Buyer Return logbooks started in 2000</w:t>
      </w:r>
      <w:r>
        <w:rPr>
          <w:iCs/>
          <w:lang w:val="en-US"/>
        </w:rPr>
        <w:t>-01</w:t>
      </w:r>
      <w:r w:rsidRPr="000F191A">
        <w:rPr>
          <w:iCs/>
          <w:lang w:val="en-US"/>
        </w:rPr>
        <w:t xml:space="preserve"> and recorded the exact weights that were sold to various buyers. Exact weights are also collected by the </w:t>
      </w:r>
      <w:r>
        <w:rPr>
          <w:iCs/>
          <w:lang w:val="en-US"/>
        </w:rPr>
        <w:t xml:space="preserve">Queensland Fisheries </w:t>
      </w:r>
      <w:r w:rsidRPr="000F191A">
        <w:rPr>
          <w:iCs/>
          <w:lang w:val="en-US"/>
        </w:rPr>
        <w:t xml:space="preserve">Quota team, however they only started up in 2006 and therefore do not have information prior to that. The Buyer Return logbook weights </w:t>
      </w:r>
      <w:r>
        <w:rPr>
          <w:iCs/>
          <w:lang w:val="en-US"/>
        </w:rPr>
        <w:t>are regarded as</w:t>
      </w:r>
      <w:r w:rsidRPr="000F191A">
        <w:rPr>
          <w:iCs/>
          <w:lang w:val="en-US"/>
        </w:rPr>
        <w:t xml:space="preserve"> generally accurate. </w:t>
      </w:r>
      <w:r w:rsidR="22122DDD" w:rsidRPr="330AA221">
        <w:rPr>
          <w:lang w:val="en-US"/>
        </w:rPr>
        <w:t xml:space="preserve">Buyer </w:t>
      </w:r>
      <w:r w:rsidR="00CB2A97" w:rsidRPr="330AA221">
        <w:rPr>
          <w:lang w:val="en-US"/>
        </w:rPr>
        <w:t>return</w:t>
      </w:r>
      <w:r w:rsidR="22122DDD" w:rsidRPr="330AA221">
        <w:rPr>
          <w:lang w:val="en-US"/>
        </w:rPr>
        <w:t xml:space="preserve"> logbooks were </w:t>
      </w:r>
      <w:r w:rsidR="70140ECD" w:rsidRPr="330AA221">
        <w:rPr>
          <w:lang w:val="en-US"/>
        </w:rPr>
        <w:t>superseded</w:t>
      </w:r>
      <w:r w:rsidR="22122DDD" w:rsidRPr="330AA221">
        <w:rPr>
          <w:lang w:val="en-US"/>
        </w:rPr>
        <w:t xml:space="preserve"> by a more substantial reporting framework in recent years consisting of pre-trip notifications, vessel tracking, logbook</w:t>
      </w:r>
      <w:r w:rsidR="37D5C000" w:rsidRPr="330AA221">
        <w:rPr>
          <w:lang w:val="en-US"/>
        </w:rPr>
        <w:t xml:space="preserve">s, prior reports, weight notices, catch disposal records and wholesale sale dockets. </w:t>
      </w:r>
    </w:p>
    <w:p w14:paraId="1C04CD6B" w14:textId="77777777" w:rsidR="00C31EDA" w:rsidRPr="008C05F9" w:rsidRDefault="00C31EDA" w:rsidP="00C31EDA">
      <w:pPr>
        <w:rPr>
          <w:b/>
          <w:u w:val="single"/>
          <w:lang w:val="en-US"/>
        </w:rPr>
      </w:pPr>
      <w:r>
        <w:rPr>
          <w:b/>
          <w:u w:val="single"/>
          <w:lang w:val="en-US"/>
        </w:rPr>
        <w:t>Derivation of catch weights for logbook data</w:t>
      </w:r>
    </w:p>
    <w:p w14:paraId="7F493A5D" w14:textId="1B305466" w:rsidR="00C31EDA" w:rsidRDefault="00C31EDA" w:rsidP="00C31EDA">
      <w:pPr>
        <w:rPr>
          <w:lang w:val="en-US"/>
        </w:rPr>
      </w:pPr>
      <w:r w:rsidRPr="008C05F9">
        <w:rPr>
          <w:lang w:val="en-US"/>
        </w:rPr>
        <w:t>Average catch weight</w:t>
      </w:r>
      <w:r>
        <w:rPr>
          <w:lang w:val="en-US"/>
        </w:rPr>
        <w:t xml:space="preserve"> for each species was calculated from buyer returns, for each processed state separately (excluding zeros, outliers i.e. average weight &gt;5 kg, and product form = “cutlet” from analysis)</w:t>
      </w:r>
      <w:r w:rsidR="00CB3A05">
        <w:rPr>
          <w:lang w:val="en-US"/>
        </w:rPr>
        <w:t xml:space="preserve"> (</w:t>
      </w:r>
      <w:r w:rsidR="00CB3A05">
        <w:rPr>
          <w:color w:val="2B579A"/>
          <w:shd w:val="clear" w:color="auto" w:fill="E6E6E6"/>
          <w:lang w:val="en-US"/>
        </w:rPr>
        <w:fldChar w:fldCharType="begin"/>
      </w:r>
      <w:r w:rsidR="00CB3A05">
        <w:rPr>
          <w:lang w:val="en-US"/>
        </w:rPr>
        <w:instrText xml:space="preserve"> REF _Ref144234217 \h </w:instrText>
      </w:r>
      <w:r w:rsidR="00CB3A05">
        <w:rPr>
          <w:color w:val="2B579A"/>
          <w:shd w:val="clear" w:color="auto" w:fill="E6E6E6"/>
          <w:lang w:val="en-US"/>
        </w:rPr>
      </w:r>
      <w:r w:rsidR="00CB3A05">
        <w:rPr>
          <w:color w:val="2B579A"/>
          <w:shd w:val="clear" w:color="auto" w:fill="E6E6E6"/>
          <w:lang w:val="en-US"/>
        </w:rPr>
        <w:fldChar w:fldCharType="separate"/>
      </w:r>
      <w:r w:rsidR="004263D8">
        <w:t xml:space="preserve">Table </w:t>
      </w:r>
      <w:r w:rsidR="004263D8">
        <w:rPr>
          <w:noProof/>
        </w:rPr>
        <w:t>6</w:t>
      </w:r>
      <w:r w:rsidR="00CB3A05">
        <w:rPr>
          <w:color w:val="2B579A"/>
          <w:shd w:val="clear" w:color="auto" w:fill="E6E6E6"/>
          <w:lang w:val="en-US"/>
        </w:rPr>
        <w:fldChar w:fldCharType="end"/>
      </w:r>
      <w:r w:rsidR="00CB3A05">
        <w:rPr>
          <w:lang w:val="en-US"/>
        </w:rPr>
        <w:t>)</w:t>
      </w:r>
      <w:r>
        <w:rPr>
          <w:lang w:val="en-US"/>
        </w:rPr>
        <w:t>.</w:t>
      </w:r>
    </w:p>
    <w:p w14:paraId="08B1BA61" w14:textId="77777777" w:rsidR="006A3EF9" w:rsidRDefault="006A3EF9" w:rsidP="006A3EF9">
      <w:r>
        <w:t>To produce catch weight for each logbook record (Final_wt):</w:t>
      </w:r>
    </w:p>
    <w:p w14:paraId="2547DD54" w14:textId="6461A68E" w:rsidR="006A3EF9" w:rsidRDefault="006A3EF9" w:rsidP="006A3EF9">
      <w:r>
        <w:t xml:space="preserve">Final_wt = RetainedWt (if entered), or where that is NULL or zero, = RetainedNumber multiplied by the average wt for that species and form (from Buyer records in </w:t>
      </w:r>
      <w:r>
        <w:rPr>
          <w:color w:val="2B579A"/>
          <w:shd w:val="clear" w:color="auto" w:fill="E6E6E6"/>
        </w:rPr>
        <w:fldChar w:fldCharType="begin"/>
      </w:r>
      <w:r>
        <w:instrText xml:space="preserve"> REF _Ref144234217 \h </w:instrText>
      </w:r>
      <w:r>
        <w:rPr>
          <w:color w:val="2B579A"/>
          <w:shd w:val="clear" w:color="auto" w:fill="E6E6E6"/>
        </w:rPr>
      </w:r>
      <w:r>
        <w:rPr>
          <w:color w:val="2B579A"/>
          <w:shd w:val="clear" w:color="auto" w:fill="E6E6E6"/>
        </w:rPr>
        <w:fldChar w:fldCharType="separate"/>
      </w:r>
      <w:r w:rsidR="004263D8">
        <w:t xml:space="preserve">Table </w:t>
      </w:r>
      <w:r w:rsidR="004263D8">
        <w:rPr>
          <w:noProof/>
        </w:rPr>
        <w:t>6</w:t>
      </w:r>
      <w:r>
        <w:rPr>
          <w:color w:val="2B579A"/>
          <w:shd w:val="clear" w:color="auto" w:fill="E6E6E6"/>
        </w:rPr>
        <w:fldChar w:fldCharType="end"/>
      </w:r>
      <w:r>
        <w:t xml:space="preserve">); however if that is an Error (e.g where no average wt is available for that species-form combination), then use RetainedWholeWtDerived. </w:t>
      </w:r>
    </w:p>
    <w:p w14:paraId="51029AEF" w14:textId="54C3A41D" w:rsidR="006A3EF9" w:rsidRDefault="00F2094B" w:rsidP="006A3EF9">
      <w:pPr>
        <w:keepNext/>
      </w:pPr>
      <w:bookmarkStart w:id="258" w:name="_Hlk159919756"/>
      <w:r>
        <w:rPr>
          <w:noProof/>
        </w:rPr>
        <w:lastRenderedPageBreak/>
        <w:drawing>
          <wp:inline distT="0" distB="0" distL="0" distR="0" wp14:anchorId="24F199D3" wp14:editId="7CB925B7">
            <wp:extent cx="5636408" cy="3381375"/>
            <wp:effectExtent l="0" t="0" r="2540" b="0"/>
            <wp:docPr id="1228940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5637974" cy="3382314"/>
                    </a:xfrm>
                    <a:prstGeom prst="rect">
                      <a:avLst/>
                    </a:prstGeom>
                    <a:noFill/>
                  </pic:spPr>
                </pic:pic>
              </a:graphicData>
            </a:graphic>
          </wp:inline>
        </w:drawing>
      </w:r>
    </w:p>
    <w:p w14:paraId="6BFE9E3C" w14:textId="6CCD4BEA" w:rsidR="006A3EF9" w:rsidRDefault="006A3EF9" w:rsidP="006A3EF9">
      <w:pPr>
        <w:pStyle w:val="Caption"/>
      </w:pPr>
      <w:bookmarkStart w:id="259" w:name="_Ref144234736"/>
      <w:bookmarkStart w:id="260" w:name="_Toc189044996"/>
      <w:r>
        <w:t xml:space="preserve">Figure </w:t>
      </w:r>
      <w:fldSimple w:instr=" SEQ Figure \* ARABIC ">
        <w:r w:rsidR="004263D8">
          <w:rPr>
            <w:noProof/>
          </w:rPr>
          <w:t>39</w:t>
        </w:r>
      </w:fldSimple>
      <w:bookmarkEnd w:id="259"/>
      <w:r>
        <w:t>. Total catch weight for years 2000-01 to 2021-22 for vessel logbook (Logbook) and Buyer returns (Buyer) data after application of Final_wt calculation (as above) to vessel logbook data.</w:t>
      </w:r>
      <w:bookmarkEnd w:id="260"/>
      <w:r>
        <w:t xml:space="preserve"> </w:t>
      </w:r>
    </w:p>
    <w:p w14:paraId="2B6E5EFD" w14:textId="3FE28742" w:rsidR="00CB3A05" w:rsidRDefault="00CB3A05" w:rsidP="0096672D">
      <w:pPr>
        <w:pStyle w:val="Caption"/>
        <w:rPr>
          <w:lang w:val="en-US"/>
        </w:rPr>
      </w:pPr>
      <w:bookmarkStart w:id="261" w:name="_Ref144234217"/>
      <w:bookmarkStart w:id="262" w:name="_Toc144450266"/>
      <w:bookmarkStart w:id="263" w:name="_Toc189045002"/>
      <w:r>
        <w:t xml:space="preserve">Table </w:t>
      </w:r>
      <w:fldSimple w:instr=" SEQ Table \* ARABIC ">
        <w:r w:rsidR="004263D8">
          <w:rPr>
            <w:noProof/>
          </w:rPr>
          <w:t>6</w:t>
        </w:r>
      </w:fldSimple>
      <w:bookmarkEnd w:id="261"/>
      <w:r>
        <w:t xml:space="preserve">. </w:t>
      </w:r>
      <w:r w:rsidRPr="00CB3A05">
        <w:rPr>
          <w:lang w:val="en-US"/>
        </w:rPr>
        <w:t>Average weights</w:t>
      </w:r>
      <w:r>
        <w:rPr>
          <w:lang w:val="en-US"/>
        </w:rPr>
        <w:t xml:space="preserve"> by species and product form</w:t>
      </w:r>
      <w:r w:rsidRPr="00CB3A05">
        <w:rPr>
          <w:lang w:val="en-US"/>
        </w:rPr>
        <w:t xml:space="preserve"> from buyer returns</w:t>
      </w:r>
      <w:r>
        <w:rPr>
          <w:lang w:val="en-US"/>
        </w:rPr>
        <w:t>, 2000-01 to 2021-22.</w:t>
      </w:r>
      <w:bookmarkEnd w:id="262"/>
      <w:bookmarkEnd w:id="263"/>
    </w:p>
    <w:tbl>
      <w:tblPr>
        <w:tblStyle w:val="TableProfessional"/>
        <w:tblW w:w="0" w:type="auto"/>
        <w:tblLook w:val="0620" w:firstRow="1" w:lastRow="0" w:firstColumn="0" w:lastColumn="0" w:noHBand="1" w:noVBand="1"/>
      </w:tblPr>
      <w:tblGrid>
        <w:gridCol w:w="3253"/>
        <w:gridCol w:w="2693"/>
        <w:gridCol w:w="1559"/>
        <w:gridCol w:w="1418"/>
      </w:tblGrid>
      <w:tr w:rsidR="00DC4093" w:rsidRPr="00657635" w14:paraId="45A847A5" w14:textId="77777777" w:rsidTr="00CB3A05">
        <w:trPr>
          <w:cnfStyle w:val="100000000000" w:firstRow="1" w:lastRow="0" w:firstColumn="0" w:lastColumn="0" w:oddVBand="0" w:evenVBand="0" w:oddHBand="0" w:evenHBand="0" w:firstRowFirstColumn="0" w:firstRowLastColumn="0" w:lastRowFirstColumn="0" w:lastRowLastColumn="0"/>
          <w:trHeight w:val="300"/>
        </w:trPr>
        <w:tc>
          <w:tcPr>
            <w:tcW w:w="3253" w:type="dxa"/>
            <w:noWrap/>
            <w:hideMark/>
          </w:tcPr>
          <w:p w14:paraId="389CDE7C" w14:textId="77777777" w:rsidR="00DC4093" w:rsidRPr="00657635" w:rsidRDefault="00DC4093" w:rsidP="000B319E">
            <w:pPr>
              <w:spacing w:after="0"/>
              <w:rPr>
                <w:rFonts w:asciiTheme="minorHAnsi" w:hAnsiTheme="minorHAnsi" w:cstheme="minorHAnsi"/>
                <w:b/>
                <w:bCs/>
                <w:color w:val="FFFFFF" w:themeColor="background1"/>
                <w:sz w:val="20"/>
                <w:szCs w:val="20"/>
              </w:rPr>
            </w:pPr>
            <w:r w:rsidRPr="00657635">
              <w:rPr>
                <w:rFonts w:asciiTheme="minorHAnsi" w:hAnsiTheme="minorHAnsi" w:cstheme="minorHAnsi"/>
                <w:b/>
                <w:bCs/>
                <w:color w:val="FFFFFF" w:themeColor="background1"/>
                <w:sz w:val="20"/>
                <w:szCs w:val="20"/>
              </w:rPr>
              <w:t>Common Name</w:t>
            </w:r>
          </w:p>
        </w:tc>
        <w:tc>
          <w:tcPr>
            <w:tcW w:w="2693" w:type="dxa"/>
            <w:noWrap/>
            <w:hideMark/>
          </w:tcPr>
          <w:p w14:paraId="7510134F" w14:textId="77777777" w:rsidR="00DC4093" w:rsidRPr="00657635" w:rsidRDefault="00DC4093" w:rsidP="000B319E">
            <w:pPr>
              <w:spacing w:after="0"/>
              <w:rPr>
                <w:rFonts w:asciiTheme="minorHAnsi" w:hAnsiTheme="minorHAnsi" w:cstheme="minorHAnsi"/>
                <w:b/>
                <w:bCs/>
                <w:color w:val="FFFFFF" w:themeColor="background1"/>
                <w:sz w:val="20"/>
                <w:szCs w:val="20"/>
              </w:rPr>
            </w:pPr>
            <w:r w:rsidRPr="00657635">
              <w:rPr>
                <w:rFonts w:asciiTheme="minorHAnsi" w:hAnsiTheme="minorHAnsi" w:cstheme="minorHAnsi"/>
                <w:b/>
                <w:bCs/>
                <w:color w:val="FFFFFF" w:themeColor="background1"/>
                <w:sz w:val="20"/>
                <w:szCs w:val="20"/>
              </w:rPr>
              <w:t>Product Form</w:t>
            </w:r>
          </w:p>
        </w:tc>
        <w:tc>
          <w:tcPr>
            <w:tcW w:w="1559" w:type="dxa"/>
            <w:noWrap/>
            <w:hideMark/>
          </w:tcPr>
          <w:p w14:paraId="04C1BCDB" w14:textId="392120C0" w:rsidR="00DC4093" w:rsidRPr="00657635" w:rsidRDefault="00DC4093" w:rsidP="00DC4093">
            <w:pPr>
              <w:spacing w:after="0"/>
              <w:jc w:val="right"/>
              <w:rPr>
                <w:rFonts w:asciiTheme="minorHAnsi" w:hAnsiTheme="minorHAnsi" w:cstheme="minorHAnsi"/>
                <w:b/>
                <w:bCs/>
                <w:color w:val="FFFFFF" w:themeColor="background1"/>
                <w:sz w:val="20"/>
                <w:szCs w:val="20"/>
              </w:rPr>
            </w:pPr>
            <w:r w:rsidRPr="00657635">
              <w:rPr>
                <w:rFonts w:asciiTheme="minorHAnsi" w:hAnsiTheme="minorHAnsi" w:cstheme="minorHAnsi"/>
                <w:b/>
                <w:bCs/>
                <w:color w:val="FFFFFF" w:themeColor="background1"/>
                <w:sz w:val="20"/>
                <w:szCs w:val="20"/>
              </w:rPr>
              <w:t>Average wt</w:t>
            </w:r>
            <w:r w:rsidR="00CB3A05" w:rsidRPr="00657635">
              <w:rPr>
                <w:rFonts w:asciiTheme="minorHAnsi" w:hAnsiTheme="minorHAnsi" w:cstheme="minorHAnsi"/>
                <w:b/>
                <w:bCs/>
                <w:color w:val="FFFFFF" w:themeColor="background1"/>
                <w:sz w:val="20"/>
                <w:szCs w:val="20"/>
              </w:rPr>
              <w:t xml:space="preserve"> (kg)</w:t>
            </w:r>
          </w:p>
        </w:tc>
        <w:tc>
          <w:tcPr>
            <w:tcW w:w="1418" w:type="dxa"/>
            <w:noWrap/>
            <w:hideMark/>
          </w:tcPr>
          <w:p w14:paraId="1776DA7A" w14:textId="77777777" w:rsidR="00DC4093" w:rsidRPr="00657635" w:rsidRDefault="00DC4093" w:rsidP="00DC4093">
            <w:pPr>
              <w:spacing w:after="0"/>
              <w:jc w:val="right"/>
              <w:rPr>
                <w:rFonts w:asciiTheme="minorHAnsi" w:hAnsiTheme="minorHAnsi" w:cstheme="minorHAnsi"/>
                <w:b/>
                <w:bCs/>
                <w:color w:val="FFFFFF" w:themeColor="background1"/>
                <w:sz w:val="20"/>
                <w:szCs w:val="20"/>
              </w:rPr>
            </w:pPr>
            <w:r w:rsidRPr="00657635">
              <w:rPr>
                <w:rFonts w:asciiTheme="minorHAnsi" w:hAnsiTheme="minorHAnsi" w:cstheme="minorHAnsi"/>
                <w:b/>
                <w:bCs/>
                <w:color w:val="FFFFFF" w:themeColor="background1"/>
                <w:sz w:val="20"/>
                <w:szCs w:val="20"/>
              </w:rPr>
              <w:t>n</w:t>
            </w:r>
          </w:p>
        </w:tc>
      </w:tr>
      <w:tr w:rsidR="00DC4093" w:rsidRPr="00CB3A05" w14:paraId="5A2B3575" w14:textId="77777777" w:rsidTr="00CB3A05">
        <w:trPr>
          <w:trHeight w:hRule="exact" w:val="284"/>
        </w:trPr>
        <w:tc>
          <w:tcPr>
            <w:tcW w:w="3253" w:type="dxa"/>
            <w:noWrap/>
            <w:hideMark/>
          </w:tcPr>
          <w:p w14:paraId="63D17029"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Amberfish</w:t>
            </w:r>
          </w:p>
        </w:tc>
        <w:tc>
          <w:tcPr>
            <w:tcW w:w="2693" w:type="dxa"/>
            <w:noWrap/>
            <w:hideMark/>
          </w:tcPr>
          <w:p w14:paraId="74C8D252"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Frozen &amp; Boiled</w:t>
            </w:r>
          </w:p>
        </w:tc>
        <w:tc>
          <w:tcPr>
            <w:tcW w:w="1559" w:type="dxa"/>
            <w:noWrap/>
            <w:hideMark/>
          </w:tcPr>
          <w:p w14:paraId="5739968A"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1.24</w:t>
            </w:r>
          </w:p>
        </w:tc>
        <w:tc>
          <w:tcPr>
            <w:tcW w:w="1418" w:type="dxa"/>
            <w:noWrap/>
            <w:hideMark/>
          </w:tcPr>
          <w:p w14:paraId="5751049F"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11</w:t>
            </w:r>
          </w:p>
        </w:tc>
      </w:tr>
      <w:tr w:rsidR="00DC4093" w:rsidRPr="00CB3A05" w14:paraId="667E6AC8" w14:textId="77777777" w:rsidTr="00CB3A05">
        <w:trPr>
          <w:trHeight w:hRule="exact" w:val="284"/>
        </w:trPr>
        <w:tc>
          <w:tcPr>
            <w:tcW w:w="3253" w:type="dxa"/>
            <w:noWrap/>
            <w:hideMark/>
          </w:tcPr>
          <w:p w14:paraId="46AEA059"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Amberfish</w:t>
            </w:r>
          </w:p>
        </w:tc>
        <w:tc>
          <w:tcPr>
            <w:tcW w:w="2693" w:type="dxa"/>
            <w:noWrap/>
            <w:hideMark/>
          </w:tcPr>
          <w:p w14:paraId="344A3DD1"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1F323958"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1.50</w:t>
            </w:r>
          </w:p>
        </w:tc>
        <w:tc>
          <w:tcPr>
            <w:tcW w:w="1418" w:type="dxa"/>
            <w:noWrap/>
            <w:hideMark/>
          </w:tcPr>
          <w:p w14:paraId="64CEA435"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10</w:t>
            </w:r>
          </w:p>
        </w:tc>
      </w:tr>
      <w:tr w:rsidR="00DC4093" w:rsidRPr="00CB3A05" w14:paraId="66D063A0" w14:textId="77777777" w:rsidTr="00CB3A05">
        <w:trPr>
          <w:trHeight w:hRule="exact" w:val="284"/>
        </w:trPr>
        <w:tc>
          <w:tcPr>
            <w:tcW w:w="3253" w:type="dxa"/>
            <w:noWrap/>
            <w:hideMark/>
          </w:tcPr>
          <w:p w14:paraId="1AD35938"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Black fish</w:t>
            </w:r>
          </w:p>
        </w:tc>
        <w:tc>
          <w:tcPr>
            <w:tcW w:w="2693" w:type="dxa"/>
            <w:noWrap/>
            <w:hideMark/>
          </w:tcPr>
          <w:p w14:paraId="391275A9"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Frozen &amp; Boiled</w:t>
            </w:r>
          </w:p>
        </w:tc>
        <w:tc>
          <w:tcPr>
            <w:tcW w:w="1559" w:type="dxa"/>
            <w:noWrap/>
            <w:hideMark/>
          </w:tcPr>
          <w:p w14:paraId="1438B6B4"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0.31</w:t>
            </w:r>
          </w:p>
        </w:tc>
        <w:tc>
          <w:tcPr>
            <w:tcW w:w="1418" w:type="dxa"/>
            <w:noWrap/>
            <w:hideMark/>
          </w:tcPr>
          <w:p w14:paraId="5EC5D6DA"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110</w:t>
            </w:r>
          </w:p>
        </w:tc>
      </w:tr>
      <w:tr w:rsidR="00DC4093" w:rsidRPr="00CB3A05" w14:paraId="5C4650A3" w14:textId="77777777" w:rsidTr="00CB3A05">
        <w:trPr>
          <w:trHeight w:hRule="exact" w:val="284"/>
        </w:trPr>
        <w:tc>
          <w:tcPr>
            <w:tcW w:w="3253" w:type="dxa"/>
            <w:noWrap/>
            <w:hideMark/>
          </w:tcPr>
          <w:p w14:paraId="638AE9AF"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Black fish</w:t>
            </w:r>
          </w:p>
        </w:tc>
        <w:tc>
          <w:tcPr>
            <w:tcW w:w="2693" w:type="dxa"/>
            <w:noWrap/>
            <w:hideMark/>
          </w:tcPr>
          <w:p w14:paraId="6333C260"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53B4DAFA"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0.69</w:t>
            </w:r>
          </w:p>
        </w:tc>
        <w:tc>
          <w:tcPr>
            <w:tcW w:w="1418" w:type="dxa"/>
            <w:noWrap/>
            <w:hideMark/>
          </w:tcPr>
          <w:p w14:paraId="5C419D8F"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397</w:t>
            </w:r>
          </w:p>
        </w:tc>
      </w:tr>
      <w:tr w:rsidR="00DC4093" w:rsidRPr="00CB3A05" w14:paraId="10489234" w14:textId="77777777" w:rsidTr="00CB3A05">
        <w:trPr>
          <w:trHeight w:hRule="exact" w:val="284"/>
        </w:trPr>
        <w:tc>
          <w:tcPr>
            <w:tcW w:w="3253" w:type="dxa"/>
            <w:noWrap/>
            <w:hideMark/>
          </w:tcPr>
          <w:p w14:paraId="10906751"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Black fish</w:t>
            </w:r>
          </w:p>
        </w:tc>
        <w:tc>
          <w:tcPr>
            <w:tcW w:w="2693" w:type="dxa"/>
            <w:noWrap/>
            <w:hideMark/>
          </w:tcPr>
          <w:p w14:paraId="0ED849B3"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 &amp; Chilled</w:t>
            </w:r>
          </w:p>
        </w:tc>
        <w:tc>
          <w:tcPr>
            <w:tcW w:w="1559" w:type="dxa"/>
            <w:noWrap/>
            <w:hideMark/>
          </w:tcPr>
          <w:p w14:paraId="1A8FFF24"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0.57</w:t>
            </w:r>
          </w:p>
        </w:tc>
        <w:tc>
          <w:tcPr>
            <w:tcW w:w="1418" w:type="dxa"/>
            <w:noWrap/>
            <w:hideMark/>
          </w:tcPr>
          <w:p w14:paraId="213BDAE0"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30</w:t>
            </w:r>
          </w:p>
        </w:tc>
      </w:tr>
      <w:tr w:rsidR="00DC4093" w:rsidRPr="00CB3A05" w14:paraId="03B379AE" w14:textId="77777777" w:rsidTr="00CB3A05">
        <w:trPr>
          <w:trHeight w:hRule="exact" w:val="284"/>
        </w:trPr>
        <w:tc>
          <w:tcPr>
            <w:tcW w:w="3253" w:type="dxa"/>
            <w:noWrap/>
            <w:hideMark/>
          </w:tcPr>
          <w:p w14:paraId="4B1D8BAA"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Black fish</w:t>
            </w:r>
          </w:p>
        </w:tc>
        <w:tc>
          <w:tcPr>
            <w:tcW w:w="2693" w:type="dxa"/>
            <w:noWrap/>
            <w:hideMark/>
          </w:tcPr>
          <w:p w14:paraId="4783CA21"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 &amp; Frozen</w:t>
            </w:r>
          </w:p>
        </w:tc>
        <w:tc>
          <w:tcPr>
            <w:tcW w:w="1559" w:type="dxa"/>
            <w:noWrap/>
            <w:hideMark/>
          </w:tcPr>
          <w:p w14:paraId="25EE37DF"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0.69</w:t>
            </w:r>
          </w:p>
        </w:tc>
        <w:tc>
          <w:tcPr>
            <w:tcW w:w="1418" w:type="dxa"/>
            <w:noWrap/>
            <w:hideMark/>
          </w:tcPr>
          <w:p w14:paraId="3EE21E5C"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12</w:t>
            </w:r>
          </w:p>
        </w:tc>
      </w:tr>
      <w:tr w:rsidR="00DC4093" w:rsidRPr="00CB3A05" w14:paraId="1ED2DF7F" w14:textId="77777777" w:rsidTr="00CB3A05">
        <w:trPr>
          <w:trHeight w:hRule="exact" w:val="284"/>
        </w:trPr>
        <w:tc>
          <w:tcPr>
            <w:tcW w:w="3253" w:type="dxa"/>
            <w:noWrap/>
            <w:hideMark/>
          </w:tcPr>
          <w:p w14:paraId="174FBBEA"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Black lolly fish</w:t>
            </w:r>
          </w:p>
        </w:tc>
        <w:tc>
          <w:tcPr>
            <w:tcW w:w="2693" w:type="dxa"/>
            <w:noWrap/>
            <w:hideMark/>
          </w:tcPr>
          <w:p w14:paraId="68E8C038"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Frozen &amp; Boiled</w:t>
            </w:r>
          </w:p>
        </w:tc>
        <w:tc>
          <w:tcPr>
            <w:tcW w:w="1559" w:type="dxa"/>
            <w:noWrap/>
            <w:hideMark/>
          </w:tcPr>
          <w:p w14:paraId="442317BC"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1.03</w:t>
            </w:r>
          </w:p>
        </w:tc>
        <w:tc>
          <w:tcPr>
            <w:tcW w:w="1418" w:type="dxa"/>
            <w:noWrap/>
            <w:hideMark/>
          </w:tcPr>
          <w:p w14:paraId="115256A6"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5</w:t>
            </w:r>
          </w:p>
        </w:tc>
      </w:tr>
      <w:tr w:rsidR="00DC4093" w:rsidRPr="00CB3A05" w14:paraId="57A3BEE9" w14:textId="77777777" w:rsidTr="00CB3A05">
        <w:trPr>
          <w:trHeight w:hRule="exact" w:val="284"/>
        </w:trPr>
        <w:tc>
          <w:tcPr>
            <w:tcW w:w="3253" w:type="dxa"/>
            <w:noWrap/>
            <w:hideMark/>
          </w:tcPr>
          <w:p w14:paraId="1AD4BFAA"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Black lolly fish</w:t>
            </w:r>
          </w:p>
        </w:tc>
        <w:tc>
          <w:tcPr>
            <w:tcW w:w="2693" w:type="dxa"/>
            <w:noWrap/>
            <w:hideMark/>
          </w:tcPr>
          <w:p w14:paraId="6EC99CE5"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4794E99D"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0.41</w:t>
            </w:r>
          </w:p>
        </w:tc>
        <w:tc>
          <w:tcPr>
            <w:tcW w:w="1418" w:type="dxa"/>
            <w:noWrap/>
            <w:hideMark/>
          </w:tcPr>
          <w:p w14:paraId="36D2FF95"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18</w:t>
            </w:r>
          </w:p>
        </w:tc>
      </w:tr>
      <w:tr w:rsidR="00DC4093" w:rsidRPr="00CB3A05" w14:paraId="25C58E26" w14:textId="77777777" w:rsidTr="00CB3A05">
        <w:trPr>
          <w:trHeight w:hRule="exact" w:val="284"/>
        </w:trPr>
        <w:tc>
          <w:tcPr>
            <w:tcW w:w="3253" w:type="dxa"/>
            <w:noWrap/>
            <w:hideMark/>
          </w:tcPr>
          <w:p w14:paraId="3FDFCAEF"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Black lolly fish</w:t>
            </w:r>
          </w:p>
        </w:tc>
        <w:tc>
          <w:tcPr>
            <w:tcW w:w="2693" w:type="dxa"/>
            <w:noWrap/>
            <w:hideMark/>
          </w:tcPr>
          <w:p w14:paraId="077907F2"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 &amp; Chilled</w:t>
            </w:r>
          </w:p>
        </w:tc>
        <w:tc>
          <w:tcPr>
            <w:tcW w:w="1559" w:type="dxa"/>
            <w:noWrap/>
            <w:hideMark/>
          </w:tcPr>
          <w:p w14:paraId="49328F94"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0.28</w:t>
            </w:r>
          </w:p>
        </w:tc>
        <w:tc>
          <w:tcPr>
            <w:tcW w:w="1418" w:type="dxa"/>
            <w:noWrap/>
            <w:hideMark/>
          </w:tcPr>
          <w:p w14:paraId="33BAF13D"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4</w:t>
            </w:r>
          </w:p>
        </w:tc>
      </w:tr>
      <w:tr w:rsidR="00DC4093" w:rsidRPr="00CB3A05" w14:paraId="42189E14" w14:textId="77777777" w:rsidTr="00CB3A05">
        <w:trPr>
          <w:trHeight w:hRule="exact" w:val="284"/>
        </w:trPr>
        <w:tc>
          <w:tcPr>
            <w:tcW w:w="3253" w:type="dxa"/>
            <w:noWrap/>
            <w:hideMark/>
          </w:tcPr>
          <w:p w14:paraId="26EB0B3E"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Blackfish - burrowing</w:t>
            </w:r>
          </w:p>
        </w:tc>
        <w:tc>
          <w:tcPr>
            <w:tcW w:w="2693" w:type="dxa"/>
            <w:noWrap/>
            <w:hideMark/>
          </w:tcPr>
          <w:p w14:paraId="221B0F49"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Frozen &amp; Boiled</w:t>
            </w:r>
          </w:p>
        </w:tc>
        <w:tc>
          <w:tcPr>
            <w:tcW w:w="1559" w:type="dxa"/>
            <w:noWrap/>
            <w:hideMark/>
          </w:tcPr>
          <w:p w14:paraId="03261B1F"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0.19</w:t>
            </w:r>
          </w:p>
        </w:tc>
        <w:tc>
          <w:tcPr>
            <w:tcW w:w="1418" w:type="dxa"/>
            <w:noWrap/>
            <w:hideMark/>
          </w:tcPr>
          <w:p w14:paraId="67EB1F32"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251</w:t>
            </w:r>
          </w:p>
        </w:tc>
      </w:tr>
      <w:tr w:rsidR="00DC4093" w:rsidRPr="00CB3A05" w14:paraId="46E92E73" w14:textId="77777777" w:rsidTr="00CB3A05">
        <w:trPr>
          <w:trHeight w:hRule="exact" w:val="284"/>
        </w:trPr>
        <w:tc>
          <w:tcPr>
            <w:tcW w:w="3253" w:type="dxa"/>
            <w:noWrap/>
            <w:hideMark/>
          </w:tcPr>
          <w:p w14:paraId="457538BC"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Blackfish - burrowing</w:t>
            </w:r>
          </w:p>
        </w:tc>
        <w:tc>
          <w:tcPr>
            <w:tcW w:w="2693" w:type="dxa"/>
            <w:noWrap/>
            <w:hideMark/>
          </w:tcPr>
          <w:p w14:paraId="3D0E6B79"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6D3DDF5D"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0.51</w:t>
            </w:r>
          </w:p>
        </w:tc>
        <w:tc>
          <w:tcPr>
            <w:tcW w:w="1418" w:type="dxa"/>
            <w:noWrap/>
            <w:hideMark/>
          </w:tcPr>
          <w:p w14:paraId="79AEEDE4"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3</w:t>
            </w:r>
          </w:p>
        </w:tc>
      </w:tr>
      <w:tr w:rsidR="00DC4093" w:rsidRPr="00CB3A05" w14:paraId="06D83683" w14:textId="77777777" w:rsidTr="00CB3A05">
        <w:trPr>
          <w:trHeight w:hRule="exact" w:val="284"/>
        </w:trPr>
        <w:tc>
          <w:tcPr>
            <w:tcW w:w="3253" w:type="dxa"/>
            <w:noWrap/>
            <w:hideMark/>
          </w:tcPr>
          <w:p w14:paraId="7AA7DDE5"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Brown sandfish</w:t>
            </w:r>
          </w:p>
        </w:tc>
        <w:tc>
          <w:tcPr>
            <w:tcW w:w="2693" w:type="dxa"/>
            <w:noWrap/>
            <w:hideMark/>
          </w:tcPr>
          <w:p w14:paraId="14F89E85"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20E5FF67"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0.61</w:t>
            </w:r>
          </w:p>
        </w:tc>
        <w:tc>
          <w:tcPr>
            <w:tcW w:w="1418" w:type="dxa"/>
            <w:noWrap/>
            <w:hideMark/>
          </w:tcPr>
          <w:p w14:paraId="3283D6E7"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42</w:t>
            </w:r>
          </w:p>
        </w:tc>
      </w:tr>
      <w:tr w:rsidR="00DC4093" w:rsidRPr="00CB3A05" w14:paraId="1ADACEAC" w14:textId="77777777" w:rsidTr="00CB3A05">
        <w:trPr>
          <w:trHeight w:hRule="exact" w:val="284"/>
        </w:trPr>
        <w:tc>
          <w:tcPr>
            <w:tcW w:w="3253" w:type="dxa"/>
            <w:noWrap/>
            <w:hideMark/>
          </w:tcPr>
          <w:p w14:paraId="2FAFE3DB"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Curryfish</w:t>
            </w:r>
          </w:p>
        </w:tc>
        <w:tc>
          <w:tcPr>
            <w:tcW w:w="2693" w:type="dxa"/>
            <w:noWrap/>
            <w:hideMark/>
          </w:tcPr>
          <w:p w14:paraId="09C51F1B"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Frozen &amp; Boiled</w:t>
            </w:r>
          </w:p>
        </w:tc>
        <w:tc>
          <w:tcPr>
            <w:tcW w:w="1559" w:type="dxa"/>
            <w:noWrap/>
            <w:hideMark/>
          </w:tcPr>
          <w:p w14:paraId="6A46FA6A"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1.01</w:t>
            </w:r>
          </w:p>
        </w:tc>
        <w:tc>
          <w:tcPr>
            <w:tcW w:w="1418" w:type="dxa"/>
            <w:noWrap/>
            <w:hideMark/>
          </w:tcPr>
          <w:p w14:paraId="4001A9C5"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6</w:t>
            </w:r>
          </w:p>
        </w:tc>
      </w:tr>
      <w:tr w:rsidR="00DC4093" w:rsidRPr="00CB3A05" w14:paraId="0789F779" w14:textId="77777777" w:rsidTr="00CB3A05">
        <w:trPr>
          <w:trHeight w:hRule="exact" w:val="284"/>
        </w:trPr>
        <w:tc>
          <w:tcPr>
            <w:tcW w:w="3253" w:type="dxa"/>
            <w:noWrap/>
            <w:hideMark/>
          </w:tcPr>
          <w:p w14:paraId="573769BC"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Curryfish</w:t>
            </w:r>
          </w:p>
        </w:tc>
        <w:tc>
          <w:tcPr>
            <w:tcW w:w="2693" w:type="dxa"/>
            <w:noWrap/>
            <w:hideMark/>
          </w:tcPr>
          <w:p w14:paraId="03E0358E"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4B733D69"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0.56</w:t>
            </w:r>
          </w:p>
        </w:tc>
        <w:tc>
          <w:tcPr>
            <w:tcW w:w="1418" w:type="dxa"/>
            <w:noWrap/>
            <w:hideMark/>
          </w:tcPr>
          <w:p w14:paraId="1F07C129"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32</w:t>
            </w:r>
          </w:p>
        </w:tc>
      </w:tr>
      <w:tr w:rsidR="0081417D" w:rsidRPr="00CB3A05" w14:paraId="1492F35E" w14:textId="77777777" w:rsidTr="00CB3A05">
        <w:tblPrEx>
          <w:tblLook w:val="04A0" w:firstRow="1" w:lastRow="0" w:firstColumn="1" w:lastColumn="0" w:noHBand="0" w:noVBand="1"/>
        </w:tblPrEx>
        <w:trPr>
          <w:trHeight w:val="221"/>
        </w:trPr>
        <w:tc>
          <w:tcPr>
            <w:tcW w:w="3253" w:type="dxa"/>
            <w:noWrap/>
          </w:tcPr>
          <w:p w14:paraId="5D4E2BEB" w14:textId="77777777" w:rsidR="0081417D" w:rsidRPr="00CB3A05" w:rsidRDefault="0081417D" w:rsidP="0081417D">
            <w:pPr>
              <w:spacing w:after="0"/>
              <w:rPr>
                <w:rFonts w:asciiTheme="minorHAnsi" w:hAnsiTheme="minorHAnsi" w:cstheme="minorHAnsi"/>
                <w:sz w:val="20"/>
                <w:szCs w:val="20"/>
              </w:rPr>
            </w:pPr>
            <w:r w:rsidRPr="00CB3A05">
              <w:rPr>
                <w:rFonts w:asciiTheme="minorHAnsi" w:hAnsiTheme="minorHAnsi" w:cstheme="minorHAnsi"/>
                <w:sz w:val="20"/>
                <w:szCs w:val="20"/>
              </w:rPr>
              <w:t>Curryfish vastus</w:t>
            </w:r>
          </w:p>
        </w:tc>
        <w:tc>
          <w:tcPr>
            <w:tcW w:w="2693" w:type="dxa"/>
            <w:noWrap/>
          </w:tcPr>
          <w:p w14:paraId="1AF7B89B" w14:textId="77777777" w:rsidR="0081417D" w:rsidRPr="00CB3A05" w:rsidRDefault="0081417D" w:rsidP="0081417D">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tcPr>
          <w:p w14:paraId="2C71CACE" w14:textId="77777777" w:rsidR="0081417D" w:rsidRPr="00CB3A05" w:rsidRDefault="0081417D" w:rsidP="0081417D">
            <w:pPr>
              <w:spacing w:after="0"/>
              <w:jc w:val="right"/>
              <w:rPr>
                <w:rFonts w:asciiTheme="minorHAnsi" w:hAnsiTheme="minorHAnsi" w:cstheme="minorHAnsi"/>
                <w:sz w:val="20"/>
                <w:szCs w:val="20"/>
              </w:rPr>
            </w:pPr>
            <w:r w:rsidRPr="00CB3A05">
              <w:rPr>
                <w:rFonts w:asciiTheme="minorHAnsi" w:hAnsiTheme="minorHAnsi" w:cstheme="minorHAnsi"/>
                <w:sz w:val="20"/>
                <w:szCs w:val="20"/>
              </w:rPr>
              <w:t>0.49</w:t>
            </w:r>
          </w:p>
        </w:tc>
        <w:tc>
          <w:tcPr>
            <w:tcW w:w="1418" w:type="dxa"/>
            <w:noWrap/>
          </w:tcPr>
          <w:p w14:paraId="247E1907" w14:textId="77777777" w:rsidR="0081417D" w:rsidRPr="00CB3A05" w:rsidRDefault="0081417D" w:rsidP="0081417D">
            <w:pPr>
              <w:spacing w:after="0"/>
              <w:jc w:val="right"/>
              <w:rPr>
                <w:rFonts w:asciiTheme="minorHAnsi" w:hAnsiTheme="minorHAnsi" w:cstheme="minorHAnsi"/>
                <w:sz w:val="20"/>
                <w:szCs w:val="20"/>
              </w:rPr>
            </w:pPr>
            <w:r w:rsidRPr="00CB3A05">
              <w:rPr>
                <w:rFonts w:asciiTheme="minorHAnsi" w:hAnsiTheme="minorHAnsi" w:cstheme="minorHAnsi"/>
                <w:sz w:val="20"/>
                <w:szCs w:val="20"/>
              </w:rPr>
              <w:t>28</w:t>
            </w:r>
          </w:p>
        </w:tc>
      </w:tr>
      <w:tr w:rsidR="00DC4093" w:rsidRPr="00CB3A05" w14:paraId="79073355" w14:textId="77777777" w:rsidTr="00CB3A05">
        <w:trPr>
          <w:trHeight w:hRule="exact" w:val="284"/>
        </w:trPr>
        <w:tc>
          <w:tcPr>
            <w:tcW w:w="3253" w:type="dxa"/>
            <w:noWrap/>
            <w:hideMark/>
          </w:tcPr>
          <w:p w14:paraId="52E78B90"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Elephants trunk fish</w:t>
            </w:r>
          </w:p>
        </w:tc>
        <w:tc>
          <w:tcPr>
            <w:tcW w:w="2693" w:type="dxa"/>
            <w:noWrap/>
            <w:hideMark/>
          </w:tcPr>
          <w:p w14:paraId="17E1EC68"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Frozen &amp; Boiled</w:t>
            </w:r>
          </w:p>
        </w:tc>
        <w:tc>
          <w:tcPr>
            <w:tcW w:w="1559" w:type="dxa"/>
            <w:noWrap/>
            <w:hideMark/>
          </w:tcPr>
          <w:p w14:paraId="51370422"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1.11</w:t>
            </w:r>
          </w:p>
        </w:tc>
        <w:tc>
          <w:tcPr>
            <w:tcW w:w="1418" w:type="dxa"/>
            <w:noWrap/>
            <w:hideMark/>
          </w:tcPr>
          <w:p w14:paraId="46A66897"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18</w:t>
            </w:r>
          </w:p>
        </w:tc>
      </w:tr>
      <w:tr w:rsidR="00DC4093" w:rsidRPr="00CB3A05" w14:paraId="4E74282D" w14:textId="77777777" w:rsidTr="00CB3A05">
        <w:trPr>
          <w:trHeight w:hRule="exact" w:val="284"/>
        </w:trPr>
        <w:tc>
          <w:tcPr>
            <w:tcW w:w="3253" w:type="dxa"/>
            <w:noWrap/>
            <w:hideMark/>
          </w:tcPr>
          <w:p w14:paraId="244932DA"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Elephants trunk fish</w:t>
            </w:r>
          </w:p>
        </w:tc>
        <w:tc>
          <w:tcPr>
            <w:tcW w:w="2693" w:type="dxa"/>
            <w:noWrap/>
            <w:hideMark/>
          </w:tcPr>
          <w:p w14:paraId="2730891F"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0C093F62"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1.19</w:t>
            </w:r>
          </w:p>
        </w:tc>
        <w:tc>
          <w:tcPr>
            <w:tcW w:w="1418" w:type="dxa"/>
            <w:noWrap/>
            <w:hideMark/>
          </w:tcPr>
          <w:p w14:paraId="59D15343"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107</w:t>
            </w:r>
          </w:p>
        </w:tc>
      </w:tr>
      <w:tr w:rsidR="00DC4093" w:rsidRPr="00CB3A05" w14:paraId="70DB3B61" w14:textId="77777777" w:rsidTr="00CB3A05">
        <w:trPr>
          <w:trHeight w:hRule="exact" w:val="284"/>
        </w:trPr>
        <w:tc>
          <w:tcPr>
            <w:tcW w:w="3253" w:type="dxa"/>
            <w:noWrap/>
            <w:hideMark/>
          </w:tcPr>
          <w:p w14:paraId="59362355"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Elephants trunk fish</w:t>
            </w:r>
          </w:p>
        </w:tc>
        <w:tc>
          <w:tcPr>
            <w:tcW w:w="2693" w:type="dxa"/>
            <w:noWrap/>
            <w:hideMark/>
          </w:tcPr>
          <w:p w14:paraId="0CF65DAE"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 &amp; Chilled</w:t>
            </w:r>
          </w:p>
        </w:tc>
        <w:tc>
          <w:tcPr>
            <w:tcW w:w="1559" w:type="dxa"/>
            <w:noWrap/>
            <w:hideMark/>
          </w:tcPr>
          <w:p w14:paraId="6274A1F8"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1.25</w:t>
            </w:r>
          </w:p>
        </w:tc>
        <w:tc>
          <w:tcPr>
            <w:tcW w:w="1418" w:type="dxa"/>
            <w:noWrap/>
            <w:hideMark/>
          </w:tcPr>
          <w:p w14:paraId="2F76850E"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13</w:t>
            </w:r>
          </w:p>
        </w:tc>
      </w:tr>
      <w:tr w:rsidR="00DC4093" w:rsidRPr="00CB3A05" w14:paraId="78C81827" w14:textId="77777777" w:rsidTr="00CB3A05">
        <w:trPr>
          <w:trHeight w:hRule="exact" w:val="284"/>
        </w:trPr>
        <w:tc>
          <w:tcPr>
            <w:tcW w:w="3253" w:type="dxa"/>
            <w:noWrap/>
            <w:hideMark/>
          </w:tcPr>
          <w:p w14:paraId="2581FB84"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Elephants trunk fish</w:t>
            </w:r>
          </w:p>
        </w:tc>
        <w:tc>
          <w:tcPr>
            <w:tcW w:w="2693" w:type="dxa"/>
            <w:noWrap/>
            <w:hideMark/>
          </w:tcPr>
          <w:p w14:paraId="069AB36D"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 &amp; Frozen</w:t>
            </w:r>
          </w:p>
        </w:tc>
        <w:tc>
          <w:tcPr>
            <w:tcW w:w="1559" w:type="dxa"/>
            <w:noWrap/>
            <w:hideMark/>
          </w:tcPr>
          <w:p w14:paraId="77E2001C"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1.06</w:t>
            </w:r>
          </w:p>
        </w:tc>
        <w:tc>
          <w:tcPr>
            <w:tcW w:w="1418" w:type="dxa"/>
            <w:noWrap/>
            <w:hideMark/>
          </w:tcPr>
          <w:p w14:paraId="342B361F"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6</w:t>
            </w:r>
          </w:p>
        </w:tc>
      </w:tr>
      <w:tr w:rsidR="00DC4093" w:rsidRPr="00CB3A05" w14:paraId="5B4CBE40" w14:textId="77777777" w:rsidTr="00CB3A05">
        <w:trPr>
          <w:trHeight w:hRule="exact" w:val="284"/>
        </w:trPr>
        <w:tc>
          <w:tcPr>
            <w:tcW w:w="3253" w:type="dxa"/>
            <w:noWrap/>
            <w:hideMark/>
          </w:tcPr>
          <w:p w14:paraId="2F5388A7"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Golden sandfish</w:t>
            </w:r>
          </w:p>
        </w:tc>
        <w:tc>
          <w:tcPr>
            <w:tcW w:w="2693" w:type="dxa"/>
            <w:noWrap/>
            <w:hideMark/>
          </w:tcPr>
          <w:p w14:paraId="32AE4B81"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Frozen &amp; Boiled</w:t>
            </w:r>
          </w:p>
        </w:tc>
        <w:tc>
          <w:tcPr>
            <w:tcW w:w="1559" w:type="dxa"/>
            <w:noWrap/>
            <w:hideMark/>
          </w:tcPr>
          <w:p w14:paraId="63936FB9"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0.36</w:t>
            </w:r>
          </w:p>
        </w:tc>
        <w:tc>
          <w:tcPr>
            <w:tcW w:w="1418" w:type="dxa"/>
            <w:noWrap/>
            <w:hideMark/>
          </w:tcPr>
          <w:p w14:paraId="2A320093"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19</w:t>
            </w:r>
          </w:p>
        </w:tc>
      </w:tr>
      <w:tr w:rsidR="00DC4093" w:rsidRPr="00CB3A05" w14:paraId="1C89F619" w14:textId="77777777" w:rsidTr="00CB3A05">
        <w:trPr>
          <w:trHeight w:hRule="exact" w:val="284"/>
        </w:trPr>
        <w:tc>
          <w:tcPr>
            <w:tcW w:w="3253" w:type="dxa"/>
            <w:noWrap/>
            <w:hideMark/>
          </w:tcPr>
          <w:p w14:paraId="2A2B7598"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Golden sandfish</w:t>
            </w:r>
          </w:p>
        </w:tc>
        <w:tc>
          <w:tcPr>
            <w:tcW w:w="2693" w:type="dxa"/>
            <w:noWrap/>
            <w:hideMark/>
          </w:tcPr>
          <w:p w14:paraId="604B019D"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3889C31F"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0.65</w:t>
            </w:r>
          </w:p>
        </w:tc>
        <w:tc>
          <w:tcPr>
            <w:tcW w:w="1418" w:type="dxa"/>
            <w:noWrap/>
            <w:hideMark/>
          </w:tcPr>
          <w:p w14:paraId="180F42FF"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55</w:t>
            </w:r>
          </w:p>
        </w:tc>
      </w:tr>
      <w:tr w:rsidR="00DC4093" w:rsidRPr="00CB3A05" w14:paraId="4364934A" w14:textId="77777777" w:rsidTr="00CB3A05">
        <w:trPr>
          <w:trHeight w:hRule="exact" w:val="284"/>
        </w:trPr>
        <w:tc>
          <w:tcPr>
            <w:tcW w:w="3253" w:type="dxa"/>
            <w:noWrap/>
            <w:hideMark/>
          </w:tcPr>
          <w:p w14:paraId="73B2DF2A"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Leopardfish</w:t>
            </w:r>
          </w:p>
        </w:tc>
        <w:tc>
          <w:tcPr>
            <w:tcW w:w="2693" w:type="dxa"/>
            <w:noWrap/>
            <w:hideMark/>
          </w:tcPr>
          <w:p w14:paraId="30285667"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Frozen &amp; Boiled</w:t>
            </w:r>
          </w:p>
        </w:tc>
        <w:tc>
          <w:tcPr>
            <w:tcW w:w="1559" w:type="dxa"/>
            <w:noWrap/>
            <w:hideMark/>
          </w:tcPr>
          <w:p w14:paraId="168788E9"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0.91</w:t>
            </w:r>
          </w:p>
        </w:tc>
        <w:tc>
          <w:tcPr>
            <w:tcW w:w="1418" w:type="dxa"/>
            <w:noWrap/>
            <w:hideMark/>
          </w:tcPr>
          <w:p w14:paraId="689BFDCD"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3</w:t>
            </w:r>
          </w:p>
        </w:tc>
      </w:tr>
      <w:tr w:rsidR="00DC4093" w:rsidRPr="00CB3A05" w14:paraId="2C248021" w14:textId="77777777" w:rsidTr="00CB3A05">
        <w:trPr>
          <w:trHeight w:hRule="exact" w:val="284"/>
        </w:trPr>
        <w:tc>
          <w:tcPr>
            <w:tcW w:w="3253" w:type="dxa"/>
            <w:noWrap/>
            <w:hideMark/>
          </w:tcPr>
          <w:p w14:paraId="0473545B"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Leopardfish</w:t>
            </w:r>
          </w:p>
        </w:tc>
        <w:tc>
          <w:tcPr>
            <w:tcW w:w="2693" w:type="dxa"/>
            <w:noWrap/>
            <w:hideMark/>
          </w:tcPr>
          <w:p w14:paraId="5777CBB3"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29CE650D"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0.61</w:t>
            </w:r>
          </w:p>
        </w:tc>
        <w:tc>
          <w:tcPr>
            <w:tcW w:w="1418" w:type="dxa"/>
            <w:noWrap/>
            <w:hideMark/>
          </w:tcPr>
          <w:p w14:paraId="6E076116"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28</w:t>
            </w:r>
          </w:p>
        </w:tc>
      </w:tr>
      <w:tr w:rsidR="00DC4093" w:rsidRPr="00CB3A05" w14:paraId="56D7BF5A" w14:textId="77777777" w:rsidTr="00CB3A05">
        <w:trPr>
          <w:trHeight w:hRule="exact" w:val="284"/>
        </w:trPr>
        <w:tc>
          <w:tcPr>
            <w:tcW w:w="3253" w:type="dxa"/>
            <w:noWrap/>
            <w:hideMark/>
          </w:tcPr>
          <w:p w14:paraId="0F5444A3"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Prickly red fish</w:t>
            </w:r>
          </w:p>
        </w:tc>
        <w:tc>
          <w:tcPr>
            <w:tcW w:w="2693" w:type="dxa"/>
            <w:noWrap/>
            <w:hideMark/>
          </w:tcPr>
          <w:p w14:paraId="2ED9E21B"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Frozen &amp; Boiled</w:t>
            </w:r>
          </w:p>
        </w:tc>
        <w:tc>
          <w:tcPr>
            <w:tcW w:w="1559" w:type="dxa"/>
            <w:noWrap/>
            <w:hideMark/>
          </w:tcPr>
          <w:p w14:paraId="77C3E4D2"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1.25</w:t>
            </w:r>
          </w:p>
        </w:tc>
        <w:tc>
          <w:tcPr>
            <w:tcW w:w="1418" w:type="dxa"/>
            <w:noWrap/>
            <w:hideMark/>
          </w:tcPr>
          <w:p w14:paraId="312E4347"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38</w:t>
            </w:r>
          </w:p>
        </w:tc>
      </w:tr>
      <w:tr w:rsidR="00DC4093" w:rsidRPr="00CB3A05" w14:paraId="19FC8D8E" w14:textId="77777777" w:rsidTr="00CB3A05">
        <w:trPr>
          <w:trHeight w:hRule="exact" w:val="284"/>
        </w:trPr>
        <w:tc>
          <w:tcPr>
            <w:tcW w:w="3253" w:type="dxa"/>
            <w:noWrap/>
            <w:hideMark/>
          </w:tcPr>
          <w:p w14:paraId="2DD4C141"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Prickly red fish</w:t>
            </w:r>
          </w:p>
        </w:tc>
        <w:tc>
          <w:tcPr>
            <w:tcW w:w="2693" w:type="dxa"/>
            <w:noWrap/>
            <w:hideMark/>
          </w:tcPr>
          <w:p w14:paraId="5606A11F"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575FF92D"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1.73</w:t>
            </w:r>
          </w:p>
        </w:tc>
        <w:tc>
          <w:tcPr>
            <w:tcW w:w="1418" w:type="dxa"/>
            <w:noWrap/>
            <w:hideMark/>
          </w:tcPr>
          <w:p w14:paraId="17E7282A"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426</w:t>
            </w:r>
          </w:p>
        </w:tc>
      </w:tr>
      <w:tr w:rsidR="00DC4093" w:rsidRPr="00CB3A05" w14:paraId="6B388989" w14:textId="77777777" w:rsidTr="00CB3A05">
        <w:trPr>
          <w:trHeight w:hRule="exact" w:val="284"/>
        </w:trPr>
        <w:tc>
          <w:tcPr>
            <w:tcW w:w="3253" w:type="dxa"/>
            <w:noWrap/>
            <w:hideMark/>
          </w:tcPr>
          <w:p w14:paraId="08CF4034"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Prickly red fish</w:t>
            </w:r>
          </w:p>
        </w:tc>
        <w:tc>
          <w:tcPr>
            <w:tcW w:w="2693" w:type="dxa"/>
            <w:noWrap/>
            <w:hideMark/>
          </w:tcPr>
          <w:p w14:paraId="11DEC689"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 &amp; Chilled</w:t>
            </w:r>
          </w:p>
        </w:tc>
        <w:tc>
          <w:tcPr>
            <w:tcW w:w="1559" w:type="dxa"/>
            <w:noWrap/>
            <w:hideMark/>
          </w:tcPr>
          <w:p w14:paraId="2A733FBA"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1.95</w:t>
            </w:r>
          </w:p>
        </w:tc>
        <w:tc>
          <w:tcPr>
            <w:tcW w:w="1418" w:type="dxa"/>
            <w:noWrap/>
            <w:hideMark/>
          </w:tcPr>
          <w:p w14:paraId="226080C3"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27</w:t>
            </w:r>
          </w:p>
        </w:tc>
      </w:tr>
      <w:tr w:rsidR="00DC4093" w:rsidRPr="00CB3A05" w14:paraId="7A420F64" w14:textId="77777777" w:rsidTr="00CB3A05">
        <w:trPr>
          <w:trHeight w:hRule="exact" w:val="284"/>
        </w:trPr>
        <w:tc>
          <w:tcPr>
            <w:tcW w:w="3253" w:type="dxa"/>
            <w:noWrap/>
            <w:hideMark/>
          </w:tcPr>
          <w:p w14:paraId="73013EA8"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lastRenderedPageBreak/>
              <w:t>Prickly red fish</w:t>
            </w:r>
          </w:p>
        </w:tc>
        <w:tc>
          <w:tcPr>
            <w:tcW w:w="2693" w:type="dxa"/>
            <w:noWrap/>
            <w:hideMark/>
          </w:tcPr>
          <w:p w14:paraId="11CDB6D5"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 &amp; Frozen</w:t>
            </w:r>
          </w:p>
        </w:tc>
        <w:tc>
          <w:tcPr>
            <w:tcW w:w="1559" w:type="dxa"/>
            <w:noWrap/>
            <w:hideMark/>
          </w:tcPr>
          <w:p w14:paraId="1BEBD057"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1.85</w:t>
            </w:r>
          </w:p>
        </w:tc>
        <w:tc>
          <w:tcPr>
            <w:tcW w:w="1418" w:type="dxa"/>
            <w:noWrap/>
            <w:hideMark/>
          </w:tcPr>
          <w:p w14:paraId="40A44D9B"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7</w:t>
            </w:r>
          </w:p>
        </w:tc>
      </w:tr>
      <w:tr w:rsidR="00DC4093" w:rsidRPr="00CB3A05" w14:paraId="1FF9E061" w14:textId="77777777" w:rsidTr="00CB3A05">
        <w:trPr>
          <w:trHeight w:hRule="exact" w:val="284"/>
        </w:trPr>
        <w:tc>
          <w:tcPr>
            <w:tcW w:w="3253" w:type="dxa"/>
            <w:noWrap/>
            <w:hideMark/>
          </w:tcPr>
          <w:p w14:paraId="53557899"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Red fish</w:t>
            </w:r>
          </w:p>
        </w:tc>
        <w:tc>
          <w:tcPr>
            <w:tcW w:w="2693" w:type="dxa"/>
            <w:noWrap/>
            <w:hideMark/>
          </w:tcPr>
          <w:p w14:paraId="1100566F"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5500936D"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0.59</w:t>
            </w:r>
          </w:p>
        </w:tc>
        <w:tc>
          <w:tcPr>
            <w:tcW w:w="1418" w:type="dxa"/>
            <w:noWrap/>
            <w:hideMark/>
          </w:tcPr>
          <w:p w14:paraId="122491CB"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16</w:t>
            </w:r>
          </w:p>
        </w:tc>
      </w:tr>
      <w:tr w:rsidR="00DC4093" w:rsidRPr="00CB3A05" w14:paraId="44CA2F9B" w14:textId="77777777" w:rsidTr="00CB3A05">
        <w:trPr>
          <w:trHeight w:hRule="exact" w:val="284"/>
        </w:trPr>
        <w:tc>
          <w:tcPr>
            <w:tcW w:w="3253" w:type="dxa"/>
            <w:noWrap/>
            <w:hideMark/>
          </w:tcPr>
          <w:p w14:paraId="5021B597"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Sand fish</w:t>
            </w:r>
          </w:p>
        </w:tc>
        <w:tc>
          <w:tcPr>
            <w:tcW w:w="2693" w:type="dxa"/>
            <w:noWrap/>
            <w:hideMark/>
          </w:tcPr>
          <w:p w14:paraId="38403F38"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Frozen &amp; Boiled</w:t>
            </w:r>
          </w:p>
        </w:tc>
        <w:tc>
          <w:tcPr>
            <w:tcW w:w="1559" w:type="dxa"/>
            <w:noWrap/>
            <w:hideMark/>
          </w:tcPr>
          <w:p w14:paraId="13C60743"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0.88</w:t>
            </w:r>
          </w:p>
        </w:tc>
        <w:tc>
          <w:tcPr>
            <w:tcW w:w="1418" w:type="dxa"/>
            <w:noWrap/>
            <w:hideMark/>
          </w:tcPr>
          <w:p w14:paraId="2F11467F"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22</w:t>
            </w:r>
          </w:p>
        </w:tc>
      </w:tr>
      <w:tr w:rsidR="00DC4093" w:rsidRPr="00CB3A05" w14:paraId="48BEAFDE" w14:textId="77777777" w:rsidTr="00CB3A05">
        <w:trPr>
          <w:trHeight w:hRule="exact" w:val="284"/>
        </w:trPr>
        <w:tc>
          <w:tcPr>
            <w:tcW w:w="3253" w:type="dxa"/>
            <w:noWrap/>
            <w:hideMark/>
          </w:tcPr>
          <w:p w14:paraId="1B91335D"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Sand fish</w:t>
            </w:r>
          </w:p>
        </w:tc>
        <w:tc>
          <w:tcPr>
            <w:tcW w:w="2693" w:type="dxa"/>
            <w:noWrap/>
            <w:hideMark/>
          </w:tcPr>
          <w:p w14:paraId="2C6C3966"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4EE2C3E3"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0.62</w:t>
            </w:r>
          </w:p>
        </w:tc>
        <w:tc>
          <w:tcPr>
            <w:tcW w:w="1418" w:type="dxa"/>
            <w:noWrap/>
            <w:hideMark/>
          </w:tcPr>
          <w:p w14:paraId="6C81C064"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112</w:t>
            </w:r>
          </w:p>
        </w:tc>
      </w:tr>
      <w:tr w:rsidR="00DC4093" w:rsidRPr="00CB3A05" w14:paraId="3693E276" w14:textId="77777777" w:rsidTr="00CB3A05">
        <w:trPr>
          <w:trHeight w:hRule="exact" w:val="284"/>
        </w:trPr>
        <w:tc>
          <w:tcPr>
            <w:tcW w:w="3253" w:type="dxa"/>
            <w:noWrap/>
            <w:hideMark/>
          </w:tcPr>
          <w:p w14:paraId="566DB515"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Sand fish</w:t>
            </w:r>
          </w:p>
        </w:tc>
        <w:tc>
          <w:tcPr>
            <w:tcW w:w="2693" w:type="dxa"/>
            <w:noWrap/>
            <w:hideMark/>
          </w:tcPr>
          <w:p w14:paraId="49C8D3E0"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 &amp; Chilled</w:t>
            </w:r>
          </w:p>
        </w:tc>
        <w:tc>
          <w:tcPr>
            <w:tcW w:w="1559" w:type="dxa"/>
            <w:noWrap/>
            <w:hideMark/>
          </w:tcPr>
          <w:p w14:paraId="38750BC5"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0.58</w:t>
            </w:r>
          </w:p>
        </w:tc>
        <w:tc>
          <w:tcPr>
            <w:tcW w:w="1418" w:type="dxa"/>
            <w:noWrap/>
            <w:hideMark/>
          </w:tcPr>
          <w:p w14:paraId="7D5164C5"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19</w:t>
            </w:r>
          </w:p>
        </w:tc>
      </w:tr>
      <w:tr w:rsidR="00DC4093" w:rsidRPr="00CB3A05" w14:paraId="560664E6" w14:textId="77777777" w:rsidTr="00CB3A05">
        <w:trPr>
          <w:trHeight w:hRule="exact" w:val="284"/>
        </w:trPr>
        <w:tc>
          <w:tcPr>
            <w:tcW w:w="3253" w:type="dxa"/>
            <w:noWrap/>
            <w:hideMark/>
          </w:tcPr>
          <w:p w14:paraId="62639D4F"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Stonefish</w:t>
            </w:r>
          </w:p>
        </w:tc>
        <w:tc>
          <w:tcPr>
            <w:tcW w:w="2693" w:type="dxa"/>
            <w:noWrap/>
            <w:hideMark/>
          </w:tcPr>
          <w:p w14:paraId="2296D4BD"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0F6C25DD"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0.43</w:t>
            </w:r>
          </w:p>
        </w:tc>
        <w:tc>
          <w:tcPr>
            <w:tcW w:w="1418" w:type="dxa"/>
            <w:noWrap/>
            <w:hideMark/>
          </w:tcPr>
          <w:p w14:paraId="42F54289"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33</w:t>
            </w:r>
          </w:p>
        </w:tc>
      </w:tr>
      <w:tr w:rsidR="00DC4093" w:rsidRPr="00CB3A05" w14:paraId="1E15BCD4" w14:textId="77777777" w:rsidTr="00CB3A05">
        <w:trPr>
          <w:trHeight w:hRule="exact" w:val="284"/>
        </w:trPr>
        <w:tc>
          <w:tcPr>
            <w:tcW w:w="3253" w:type="dxa"/>
            <w:noWrap/>
            <w:hideMark/>
          </w:tcPr>
          <w:p w14:paraId="4E59B14F"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Surf red fish</w:t>
            </w:r>
          </w:p>
        </w:tc>
        <w:tc>
          <w:tcPr>
            <w:tcW w:w="2693" w:type="dxa"/>
            <w:noWrap/>
            <w:hideMark/>
          </w:tcPr>
          <w:p w14:paraId="61F3F0CC"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6669BECA"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0.48</w:t>
            </w:r>
          </w:p>
        </w:tc>
        <w:tc>
          <w:tcPr>
            <w:tcW w:w="1418" w:type="dxa"/>
            <w:noWrap/>
            <w:hideMark/>
          </w:tcPr>
          <w:p w14:paraId="01C92ED1"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106</w:t>
            </w:r>
          </w:p>
        </w:tc>
      </w:tr>
      <w:tr w:rsidR="00DC4093" w:rsidRPr="00CB3A05" w14:paraId="08373CE9" w14:textId="77777777" w:rsidTr="00CB3A05">
        <w:trPr>
          <w:trHeight w:hRule="exact" w:val="284"/>
        </w:trPr>
        <w:tc>
          <w:tcPr>
            <w:tcW w:w="3253" w:type="dxa"/>
            <w:noWrap/>
            <w:hideMark/>
          </w:tcPr>
          <w:p w14:paraId="42F9CDA3"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White teat fish</w:t>
            </w:r>
          </w:p>
        </w:tc>
        <w:tc>
          <w:tcPr>
            <w:tcW w:w="2693" w:type="dxa"/>
            <w:noWrap/>
            <w:hideMark/>
          </w:tcPr>
          <w:p w14:paraId="0452AEAD"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Frozen &amp; Boiled</w:t>
            </w:r>
          </w:p>
        </w:tc>
        <w:tc>
          <w:tcPr>
            <w:tcW w:w="1559" w:type="dxa"/>
            <w:noWrap/>
            <w:hideMark/>
          </w:tcPr>
          <w:p w14:paraId="7303C8C2"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1.61</w:t>
            </w:r>
          </w:p>
        </w:tc>
        <w:tc>
          <w:tcPr>
            <w:tcW w:w="1418" w:type="dxa"/>
            <w:noWrap/>
            <w:hideMark/>
          </w:tcPr>
          <w:p w14:paraId="7339B73B"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76</w:t>
            </w:r>
          </w:p>
        </w:tc>
      </w:tr>
      <w:tr w:rsidR="00DC4093" w:rsidRPr="00CB3A05" w14:paraId="29D63669" w14:textId="77777777" w:rsidTr="00CB3A05">
        <w:trPr>
          <w:trHeight w:hRule="exact" w:val="284"/>
        </w:trPr>
        <w:tc>
          <w:tcPr>
            <w:tcW w:w="3253" w:type="dxa"/>
            <w:noWrap/>
            <w:hideMark/>
          </w:tcPr>
          <w:p w14:paraId="4A286E77"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White teat fish</w:t>
            </w:r>
          </w:p>
        </w:tc>
        <w:tc>
          <w:tcPr>
            <w:tcW w:w="2693" w:type="dxa"/>
            <w:noWrap/>
            <w:hideMark/>
          </w:tcPr>
          <w:p w14:paraId="0C22B170"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w:t>
            </w:r>
          </w:p>
        </w:tc>
        <w:tc>
          <w:tcPr>
            <w:tcW w:w="1559" w:type="dxa"/>
            <w:noWrap/>
            <w:hideMark/>
          </w:tcPr>
          <w:p w14:paraId="29FDBFE0"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1.21</w:t>
            </w:r>
          </w:p>
        </w:tc>
        <w:tc>
          <w:tcPr>
            <w:tcW w:w="1418" w:type="dxa"/>
            <w:noWrap/>
            <w:hideMark/>
          </w:tcPr>
          <w:p w14:paraId="06B6B1F8"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523</w:t>
            </w:r>
          </w:p>
        </w:tc>
      </w:tr>
      <w:tr w:rsidR="00DC4093" w:rsidRPr="00CB3A05" w14:paraId="1043A135" w14:textId="77777777" w:rsidTr="00CB3A05">
        <w:trPr>
          <w:trHeight w:hRule="exact" w:val="284"/>
        </w:trPr>
        <w:tc>
          <w:tcPr>
            <w:tcW w:w="3253" w:type="dxa"/>
            <w:noWrap/>
            <w:hideMark/>
          </w:tcPr>
          <w:p w14:paraId="19F22048"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White teat fish</w:t>
            </w:r>
          </w:p>
        </w:tc>
        <w:tc>
          <w:tcPr>
            <w:tcW w:w="2693" w:type="dxa"/>
            <w:noWrap/>
            <w:hideMark/>
          </w:tcPr>
          <w:p w14:paraId="78CD1E3A" w14:textId="77777777" w:rsidR="00DC4093" w:rsidRPr="00CB3A05" w:rsidRDefault="00DC4093" w:rsidP="000B319E">
            <w:pPr>
              <w:spacing w:after="0"/>
              <w:rPr>
                <w:rFonts w:asciiTheme="minorHAnsi" w:hAnsiTheme="minorHAnsi" w:cstheme="minorHAnsi"/>
                <w:sz w:val="20"/>
                <w:szCs w:val="20"/>
              </w:rPr>
            </w:pPr>
            <w:r w:rsidRPr="00CB3A05">
              <w:rPr>
                <w:rFonts w:asciiTheme="minorHAnsi" w:hAnsiTheme="minorHAnsi" w:cstheme="minorHAnsi"/>
                <w:sz w:val="20"/>
                <w:szCs w:val="20"/>
              </w:rPr>
              <w:t>Salted &amp; Chilled</w:t>
            </w:r>
          </w:p>
        </w:tc>
        <w:tc>
          <w:tcPr>
            <w:tcW w:w="1559" w:type="dxa"/>
            <w:noWrap/>
            <w:hideMark/>
          </w:tcPr>
          <w:p w14:paraId="700DA07C" w14:textId="77777777" w:rsidR="00DC4093" w:rsidRPr="00CB3A05" w:rsidRDefault="00DC4093" w:rsidP="00DC4093">
            <w:pPr>
              <w:spacing w:after="0"/>
              <w:jc w:val="right"/>
              <w:rPr>
                <w:rFonts w:asciiTheme="minorHAnsi" w:hAnsiTheme="minorHAnsi" w:cstheme="minorHAnsi"/>
                <w:sz w:val="20"/>
                <w:szCs w:val="20"/>
              </w:rPr>
            </w:pPr>
            <w:r w:rsidRPr="00CB3A05">
              <w:rPr>
                <w:rFonts w:asciiTheme="minorHAnsi" w:hAnsiTheme="minorHAnsi" w:cstheme="minorHAnsi"/>
                <w:sz w:val="20"/>
                <w:szCs w:val="20"/>
              </w:rPr>
              <w:t>1.27</w:t>
            </w:r>
          </w:p>
        </w:tc>
        <w:tc>
          <w:tcPr>
            <w:tcW w:w="1418" w:type="dxa"/>
            <w:noWrap/>
            <w:hideMark/>
          </w:tcPr>
          <w:p w14:paraId="55D2BA58"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36</w:t>
            </w:r>
          </w:p>
        </w:tc>
      </w:tr>
      <w:tr w:rsidR="00DC4093" w:rsidRPr="00CB3A05" w14:paraId="64D408E7" w14:textId="77777777" w:rsidTr="00CB3A05">
        <w:trPr>
          <w:trHeight w:hRule="exact" w:val="284"/>
        </w:trPr>
        <w:tc>
          <w:tcPr>
            <w:tcW w:w="3253" w:type="dxa"/>
            <w:hideMark/>
          </w:tcPr>
          <w:p w14:paraId="0D8C1C90"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Black teatfish</w:t>
            </w:r>
          </w:p>
        </w:tc>
        <w:tc>
          <w:tcPr>
            <w:tcW w:w="2693" w:type="dxa"/>
            <w:hideMark/>
          </w:tcPr>
          <w:p w14:paraId="53307D87" w14:textId="77777777" w:rsidR="00DC4093" w:rsidRPr="00CB3A05" w:rsidRDefault="00DC4093" w:rsidP="000B319E">
            <w:pPr>
              <w:rPr>
                <w:rFonts w:asciiTheme="minorHAnsi" w:hAnsiTheme="minorHAnsi" w:cstheme="minorHAnsi"/>
                <w:sz w:val="20"/>
                <w:szCs w:val="20"/>
              </w:rPr>
            </w:pPr>
            <w:r w:rsidRPr="00CB3A05">
              <w:rPr>
                <w:rFonts w:asciiTheme="minorHAnsi" w:hAnsiTheme="minorHAnsi" w:cstheme="minorHAnsi"/>
                <w:sz w:val="20"/>
                <w:szCs w:val="20"/>
              </w:rPr>
              <w:t>Gutted weight</w:t>
            </w:r>
          </w:p>
        </w:tc>
        <w:tc>
          <w:tcPr>
            <w:tcW w:w="1559" w:type="dxa"/>
            <w:hideMark/>
          </w:tcPr>
          <w:p w14:paraId="064C8D3F"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0.928</w:t>
            </w:r>
          </w:p>
        </w:tc>
        <w:tc>
          <w:tcPr>
            <w:tcW w:w="1418" w:type="dxa"/>
            <w:hideMark/>
          </w:tcPr>
          <w:p w14:paraId="41D35E43" w14:textId="77777777" w:rsidR="00DC4093" w:rsidRPr="00CB3A05" w:rsidRDefault="00DC4093" w:rsidP="00DC4093">
            <w:pPr>
              <w:jc w:val="right"/>
              <w:rPr>
                <w:rFonts w:asciiTheme="minorHAnsi" w:hAnsiTheme="minorHAnsi" w:cstheme="minorHAnsi"/>
                <w:sz w:val="20"/>
                <w:szCs w:val="20"/>
              </w:rPr>
            </w:pPr>
            <w:r w:rsidRPr="00CB3A05">
              <w:rPr>
                <w:rFonts w:asciiTheme="minorHAnsi" w:hAnsiTheme="minorHAnsi" w:cstheme="minorHAnsi"/>
                <w:sz w:val="20"/>
                <w:szCs w:val="20"/>
              </w:rPr>
              <w:t>1625</w:t>
            </w:r>
          </w:p>
        </w:tc>
      </w:tr>
    </w:tbl>
    <w:p w14:paraId="07C29A3B" w14:textId="77777777" w:rsidR="00CB3A05" w:rsidRPr="00CB3A05" w:rsidRDefault="00CB3A05" w:rsidP="00CB3A05">
      <w:pPr>
        <w:pStyle w:val="NoSpacing"/>
        <w:rPr>
          <w:sz w:val="20"/>
          <w:szCs w:val="20"/>
        </w:rPr>
      </w:pPr>
      <w:r w:rsidRPr="00CB3A05">
        <w:rPr>
          <w:sz w:val="20"/>
          <w:szCs w:val="20"/>
        </w:rPr>
        <w:t xml:space="preserve">Note: Black teatfish average weight was obtained from vessel logbook data previous to 2000. </w:t>
      </w:r>
    </w:p>
    <w:p w14:paraId="4FA38334" w14:textId="77777777" w:rsidR="00CB3A05" w:rsidRPr="00CB3A05" w:rsidRDefault="00CB3A05" w:rsidP="00CB3A05">
      <w:pPr>
        <w:pStyle w:val="NoSpacing"/>
        <w:rPr>
          <w:sz w:val="20"/>
          <w:szCs w:val="20"/>
        </w:rPr>
      </w:pPr>
      <w:r w:rsidRPr="00CB3A05">
        <w:rPr>
          <w:sz w:val="20"/>
          <w:szCs w:val="20"/>
        </w:rPr>
        <w:t>Note: Prickly redfish “Whole Dead” is a common product form – however the conversion ratio from Buyer data is uncertain, therefore used the average of salted and frozen and boiled weight instead (1.49 kg).</w:t>
      </w:r>
    </w:p>
    <w:bookmarkEnd w:id="258"/>
    <w:p w14:paraId="44AE5953" w14:textId="77777777" w:rsidR="00CB3A05" w:rsidRDefault="00CB3A05" w:rsidP="00CB3A05"/>
    <w:p w14:paraId="5F210491" w14:textId="2DAA4AF8" w:rsidR="008D3D4F" w:rsidRDefault="00CB3A05" w:rsidP="00AF37BE">
      <w:bookmarkStart w:id="264" w:name="_Hlk159919787"/>
      <w:r>
        <w:t xml:space="preserve">Note that the </w:t>
      </w:r>
      <w:r w:rsidR="008D3D4F">
        <w:t xml:space="preserve">Buyer </w:t>
      </w:r>
      <w:r>
        <w:t xml:space="preserve">return weight </w:t>
      </w:r>
      <w:r w:rsidR="008D3D4F">
        <w:t xml:space="preserve">data is still underestimated </w:t>
      </w:r>
      <w:r>
        <w:t xml:space="preserve">in some years (e.g. 2004-05 and 2005-06) </w:t>
      </w:r>
      <w:r w:rsidR="008D3D4F">
        <w:t>due to inadequate conversion ratios for counts only data</w:t>
      </w:r>
      <w:r>
        <w:t xml:space="preserve"> in buyer returns database (</w:t>
      </w:r>
      <w:r w:rsidR="00140024">
        <w:rPr>
          <w:color w:val="2B579A"/>
          <w:shd w:val="clear" w:color="auto" w:fill="E6E6E6"/>
        </w:rPr>
        <w:fldChar w:fldCharType="begin"/>
      </w:r>
      <w:r w:rsidR="00140024">
        <w:instrText xml:space="preserve"> REF _Ref144234736 \h </w:instrText>
      </w:r>
      <w:r w:rsidR="00140024">
        <w:rPr>
          <w:color w:val="2B579A"/>
          <w:shd w:val="clear" w:color="auto" w:fill="E6E6E6"/>
        </w:rPr>
      </w:r>
      <w:r w:rsidR="00140024">
        <w:rPr>
          <w:color w:val="2B579A"/>
          <w:shd w:val="clear" w:color="auto" w:fill="E6E6E6"/>
        </w:rPr>
        <w:fldChar w:fldCharType="separate"/>
      </w:r>
      <w:r w:rsidR="004263D8">
        <w:t xml:space="preserve">Figure </w:t>
      </w:r>
      <w:r w:rsidR="004263D8">
        <w:rPr>
          <w:noProof/>
        </w:rPr>
        <w:t>39</w:t>
      </w:r>
      <w:r w:rsidR="00140024">
        <w:rPr>
          <w:color w:val="2B579A"/>
          <w:shd w:val="clear" w:color="auto" w:fill="E6E6E6"/>
        </w:rPr>
        <w:fldChar w:fldCharType="end"/>
      </w:r>
      <w:r w:rsidR="00140024">
        <w:t>)</w:t>
      </w:r>
      <w:r w:rsidR="008D3D4F">
        <w:t>.</w:t>
      </w:r>
    </w:p>
    <w:p w14:paraId="378E8B2C" w14:textId="0423AD8E" w:rsidR="004B6078" w:rsidRPr="004B6078" w:rsidRDefault="004B6078" w:rsidP="00AF37BE">
      <w:pPr>
        <w:rPr>
          <w:b/>
          <w:bCs/>
          <w:iCs/>
          <w:u w:val="single"/>
          <w:lang w:val="en-US"/>
        </w:rPr>
      </w:pPr>
      <w:bookmarkStart w:id="265" w:name="_Hlk159919816"/>
      <w:bookmarkEnd w:id="264"/>
      <w:r w:rsidRPr="004B6078">
        <w:rPr>
          <w:b/>
          <w:bCs/>
          <w:iCs/>
          <w:u w:val="single"/>
          <w:lang w:val="en-US"/>
        </w:rPr>
        <w:t>Species names</w:t>
      </w:r>
    </w:p>
    <w:p w14:paraId="294E938A" w14:textId="65D8CA81" w:rsidR="004B6078" w:rsidRDefault="004B6078" w:rsidP="00AF37BE">
      <w:r>
        <w:t>The Logbook has two columns for species name [C</w:t>
      </w:r>
      <w:r w:rsidRPr="004B6078">
        <w:t>AABSpeciesCommonName</w:t>
      </w:r>
      <w:r>
        <w:t>] and [</w:t>
      </w:r>
      <w:r w:rsidRPr="004B6078">
        <w:t>LogCommonName</w:t>
      </w:r>
      <w:r>
        <w:t>] – and these have somewhat inconsistent naming conventions, including the spelling of CAAB names and the relationship between [</w:t>
      </w:r>
      <w:r w:rsidRPr="004B6078">
        <w:t>LogCommonName</w:t>
      </w:r>
      <w:r>
        <w:t>] (presumably assigned by fishers)</w:t>
      </w:r>
      <w:r w:rsidR="00657635">
        <w:t xml:space="preserve"> and [C</w:t>
      </w:r>
      <w:r w:rsidR="00657635" w:rsidRPr="004B6078">
        <w:t>AABSpeciesCommonName</w:t>
      </w:r>
      <w:r w:rsidR="00657635">
        <w:t>] (presumably applied by Qld Fisheries). Although there is no discrepancies relating to Black teatfish and White teatfish, the following naming convention was applied to the data for analysing catch using the logbook data (</w:t>
      </w:r>
    </w:p>
    <w:p w14:paraId="7B6348C0" w14:textId="574D07F1" w:rsidR="00657635" w:rsidRPr="004B6078" w:rsidRDefault="00657635" w:rsidP="00657635">
      <w:pPr>
        <w:pStyle w:val="Caption"/>
      </w:pPr>
      <w:bookmarkStart w:id="266" w:name="_Toc189045003"/>
      <w:r>
        <w:t xml:space="preserve">Table </w:t>
      </w:r>
      <w:fldSimple w:instr=" SEQ Table \* ARABIC ">
        <w:r w:rsidR="004263D8">
          <w:rPr>
            <w:noProof/>
          </w:rPr>
          <w:t>7</w:t>
        </w:r>
      </w:fldSimple>
      <w:r>
        <w:t>. Species names contained in the QSCF Logbook database, the number of records for each combination, and assigned species name for analysis.</w:t>
      </w:r>
      <w:bookmarkEnd w:id="266"/>
    </w:p>
    <w:tbl>
      <w:tblPr>
        <w:tblStyle w:val="TableProfessional"/>
        <w:tblW w:w="0" w:type="auto"/>
        <w:tblLook w:val="0620" w:firstRow="1" w:lastRow="0" w:firstColumn="0" w:lastColumn="0" w:noHBand="1" w:noVBand="1"/>
      </w:tblPr>
      <w:tblGrid>
        <w:gridCol w:w="2900"/>
        <w:gridCol w:w="2140"/>
        <w:gridCol w:w="737"/>
        <w:gridCol w:w="3243"/>
      </w:tblGrid>
      <w:tr w:rsidR="00657635" w:rsidRPr="00657635" w14:paraId="1380F135" w14:textId="77777777" w:rsidTr="00657635">
        <w:trPr>
          <w:cnfStyle w:val="100000000000" w:firstRow="1" w:lastRow="0" w:firstColumn="0" w:lastColumn="0" w:oddVBand="0" w:evenVBand="0" w:oddHBand="0" w:evenHBand="0" w:firstRowFirstColumn="0" w:firstRowLastColumn="0" w:lastRowFirstColumn="0" w:lastRowLastColumn="0"/>
          <w:trHeight w:val="300"/>
        </w:trPr>
        <w:tc>
          <w:tcPr>
            <w:tcW w:w="2900" w:type="dxa"/>
            <w:noWrap/>
            <w:hideMark/>
          </w:tcPr>
          <w:p w14:paraId="5E148DF0" w14:textId="77777777" w:rsidR="004B6078" w:rsidRPr="00657635" w:rsidRDefault="004B6078" w:rsidP="00657635">
            <w:pPr>
              <w:spacing w:before="100" w:beforeAutospacing="1" w:after="100" w:afterAutospacing="1"/>
              <w:rPr>
                <w:b/>
                <w:bCs/>
                <w:color w:val="FFFFFF" w:themeColor="background1"/>
                <w:sz w:val="20"/>
                <w:szCs w:val="20"/>
              </w:rPr>
            </w:pPr>
            <w:r w:rsidRPr="00657635">
              <w:rPr>
                <w:b/>
                <w:bCs/>
                <w:color w:val="FFFFFF" w:themeColor="background1"/>
                <w:sz w:val="20"/>
                <w:szCs w:val="20"/>
              </w:rPr>
              <w:t>CAABSpeciesCommonName</w:t>
            </w:r>
          </w:p>
        </w:tc>
        <w:tc>
          <w:tcPr>
            <w:tcW w:w="2140" w:type="dxa"/>
            <w:noWrap/>
            <w:hideMark/>
          </w:tcPr>
          <w:p w14:paraId="55961A0F" w14:textId="77777777" w:rsidR="004B6078" w:rsidRPr="00657635" w:rsidRDefault="004B6078" w:rsidP="00657635">
            <w:pPr>
              <w:spacing w:before="100" w:beforeAutospacing="1" w:after="100" w:afterAutospacing="1"/>
              <w:rPr>
                <w:b/>
                <w:bCs/>
                <w:color w:val="FFFFFF" w:themeColor="background1"/>
                <w:sz w:val="20"/>
                <w:szCs w:val="20"/>
              </w:rPr>
            </w:pPr>
            <w:r w:rsidRPr="00657635">
              <w:rPr>
                <w:b/>
                <w:bCs/>
                <w:color w:val="FFFFFF" w:themeColor="background1"/>
                <w:sz w:val="20"/>
                <w:szCs w:val="20"/>
              </w:rPr>
              <w:t>LogCommonName</w:t>
            </w:r>
          </w:p>
        </w:tc>
        <w:tc>
          <w:tcPr>
            <w:tcW w:w="737" w:type="dxa"/>
            <w:noWrap/>
            <w:hideMark/>
          </w:tcPr>
          <w:p w14:paraId="7A72A489" w14:textId="77777777" w:rsidR="004B6078" w:rsidRPr="00657635" w:rsidRDefault="004B6078" w:rsidP="00657635">
            <w:pPr>
              <w:spacing w:before="100" w:beforeAutospacing="1" w:after="100" w:afterAutospacing="1"/>
              <w:jc w:val="right"/>
              <w:rPr>
                <w:b/>
                <w:bCs/>
                <w:color w:val="FFFFFF" w:themeColor="background1"/>
                <w:sz w:val="20"/>
                <w:szCs w:val="20"/>
              </w:rPr>
            </w:pPr>
            <w:r w:rsidRPr="00657635">
              <w:rPr>
                <w:b/>
                <w:bCs/>
                <w:color w:val="FFFFFF" w:themeColor="background1"/>
                <w:sz w:val="20"/>
                <w:szCs w:val="20"/>
              </w:rPr>
              <w:t>Total</w:t>
            </w:r>
          </w:p>
        </w:tc>
        <w:tc>
          <w:tcPr>
            <w:tcW w:w="3243" w:type="dxa"/>
            <w:noWrap/>
            <w:hideMark/>
          </w:tcPr>
          <w:p w14:paraId="1B1F1BF9" w14:textId="77777777" w:rsidR="004B6078" w:rsidRPr="00657635" w:rsidRDefault="004B6078" w:rsidP="00657635">
            <w:pPr>
              <w:spacing w:before="100" w:beforeAutospacing="1" w:after="100" w:afterAutospacing="1"/>
              <w:rPr>
                <w:b/>
                <w:bCs/>
                <w:color w:val="FFFFFF" w:themeColor="background1"/>
                <w:sz w:val="20"/>
                <w:szCs w:val="20"/>
              </w:rPr>
            </w:pPr>
            <w:r w:rsidRPr="00657635">
              <w:rPr>
                <w:b/>
                <w:bCs/>
                <w:color w:val="FFFFFF" w:themeColor="background1"/>
                <w:sz w:val="20"/>
                <w:szCs w:val="20"/>
              </w:rPr>
              <w:t>Final_name</w:t>
            </w:r>
          </w:p>
        </w:tc>
      </w:tr>
      <w:tr w:rsidR="004B6078" w:rsidRPr="00657635" w14:paraId="555A5678" w14:textId="77777777" w:rsidTr="00657635">
        <w:trPr>
          <w:trHeight w:val="300"/>
        </w:trPr>
        <w:tc>
          <w:tcPr>
            <w:tcW w:w="2900" w:type="dxa"/>
            <w:noWrap/>
            <w:hideMark/>
          </w:tcPr>
          <w:p w14:paraId="54B2383F" w14:textId="77777777" w:rsidR="004B6078" w:rsidRPr="00657635" w:rsidRDefault="004B6078" w:rsidP="00657635">
            <w:pPr>
              <w:spacing w:before="100" w:beforeAutospacing="1" w:after="100" w:afterAutospacing="1"/>
              <w:rPr>
                <w:sz w:val="20"/>
                <w:szCs w:val="20"/>
              </w:rPr>
            </w:pPr>
            <w:r w:rsidRPr="00657635">
              <w:rPr>
                <w:sz w:val="20"/>
                <w:szCs w:val="20"/>
              </w:rPr>
              <w:t>[a holothurian]</w:t>
            </w:r>
          </w:p>
        </w:tc>
        <w:tc>
          <w:tcPr>
            <w:tcW w:w="2140" w:type="dxa"/>
            <w:noWrap/>
            <w:hideMark/>
          </w:tcPr>
          <w:p w14:paraId="5424B95A" w14:textId="77777777" w:rsidR="004B6078" w:rsidRPr="00657635" w:rsidRDefault="004B6078" w:rsidP="00657635">
            <w:pPr>
              <w:spacing w:before="100" w:beforeAutospacing="1" w:after="100" w:afterAutospacing="1"/>
              <w:rPr>
                <w:sz w:val="20"/>
                <w:szCs w:val="20"/>
              </w:rPr>
            </w:pPr>
            <w:r w:rsidRPr="00657635">
              <w:rPr>
                <w:sz w:val="20"/>
                <w:szCs w:val="20"/>
              </w:rPr>
              <w:t>Vastus Curryfish</w:t>
            </w:r>
          </w:p>
        </w:tc>
        <w:tc>
          <w:tcPr>
            <w:tcW w:w="737" w:type="dxa"/>
            <w:noWrap/>
            <w:hideMark/>
          </w:tcPr>
          <w:p w14:paraId="1FE7A430" w14:textId="77777777" w:rsidR="004B6078" w:rsidRPr="00657635" w:rsidRDefault="004B6078" w:rsidP="00657635">
            <w:pPr>
              <w:spacing w:before="100" w:beforeAutospacing="1" w:after="100" w:afterAutospacing="1"/>
              <w:jc w:val="right"/>
              <w:rPr>
                <w:sz w:val="20"/>
                <w:szCs w:val="20"/>
              </w:rPr>
            </w:pPr>
            <w:r w:rsidRPr="00657635">
              <w:rPr>
                <w:sz w:val="20"/>
                <w:szCs w:val="20"/>
              </w:rPr>
              <w:t>1903</w:t>
            </w:r>
          </w:p>
        </w:tc>
        <w:tc>
          <w:tcPr>
            <w:tcW w:w="3243" w:type="dxa"/>
            <w:noWrap/>
            <w:hideMark/>
          </w:tcPr>
          <w:p w14:paraId="14928DE5" w14:textId="77777777" w:rsidR="004B6078" w:rsidRPr="00657635" w:rsidRDefault="004B6078" w:rsidP="00657635">
            <w:pPr>
              <w:spacing w:before="100" w:beforeAutospacing="1" w:after="100" w:afterAutospacing="1"/>
              <w:rPr>
                <w:sz w:val="20"/>
                <w:szCs w:val="20"/>
              </w:rPr>
            </w:pPr>
            <w:r w:rsidRPr="00657635">
              <w:rPr>
                <w:sz w:val="20"/>
                <w:szCs w:val="20"/>
              </w:rPr>
              <w:t>Curryfish vastus</w:t>
            </w:r>
          </w:p>
        </w:tc>
      </w:tr>
      <w:tr w:rsidR="004B6078" w:rsidRPr="00657635" w14:paraId="18A32259" w14:textId="77777777" w:rsidTr="00657635">
        <w:trPr>
          <w:trHeight w:val="300"/>
        </w:trPr>
        <w:tc>
          <w:tcPr>
            <w:tcW w:w="2900" w:type="dxa"/>
            <w:noWrap/>
            <w:hideMark/>
          </w:tcPr>
          <w:p w14:paraId="05B40FFD" w14:textId="77777777" w:rsidR="004B6078" w:rsidRPr="00657635" w:rsidRDefault="004B6078" w:rsidP="00657635">
            <w:pPr>
              <w:spacing w:before="100" w:beforeAutospacing="1" w:after="100" w:afterAutospacing="1"/>
              <w:rPr>
                <w:sz w:val="20"/>
                <w:szCs w:val="20"/>
              </w:rPr>
            </w:pPr>
            <w:r w:rsidRPr="00657635">
              <w:rPr>
                <w:sz w:val="20"/>
                <w:szCs w:val="20"/>
              </w:rPr>
              <w:t>Amberfish</w:t>
            </w:r>
          </w:p>
        </w:tc>
        <w:tc>
          <w:tcPr>
            <w:tcW w:w="2140" w:type="dxa"/>
            <w:noWrap/>
            <w:hideMark/>
          </w:tcPr>
          <w:p w14:paraId="67D620F1" w14:textId="77777777" w:rsidR="004B6078" w:rsidRPr="00657635" w:rsidRDefault="004B6078" w:rsidP="00657635">
            <w:pPr>
              <w:spacing w:before="100" w:beforeAutospacing="1" w:after="100" w:afterAutospacing="1"/>
              <w:rPr>
                <w:sz w:val="20"/>
                <w:szCs w:val="20"/>
              </w:rPr>
            </w:pPr>
            <w:r w:rsidRPr="00657635">
              <w:rPr>
                <w:sz w:val="20"/>
                <w:szCs w:val="20"/>
              </w:rPr>
              <w:t>Amberfish</w:t>
            </w:r>
          </w:p>
        </w:tc>
        <w:tc>
          <w:tcPr>
            <w:tcW w:w="737" w:type="dxa"/>
            <w:noWrap/>
            <w:hideMark/>
          </w:tcPr>
          <w:p w14:paraId="1CBABB0F" w14:textId="77777777" w:rsidR="004B6078" w:rsidRPr="00657635" w:rsidRDefault="004B6078" w:rsidP="00657635">
            <w:pPr>
              <w:spacing w:before="100" w:beforeAutospacing="1" w:after="100" w:afterAutospacing="1"/>
              <w:jc w:val="right"/>
              <w:rPr>
                <w:sz w:val="20"/>
                <w:szCs w:val="20"/>
              </w:rPr>
            </w:pPr>
            <w:r w:rsidRPr="00657635">
              <w:rPr>
                <w:sz w:val="20"/>
                <w:szCs w:val="20"/>
              </w:rPr>
              <w:t>147</w:t>
            </w:r>
          </w:p>
        </w:tc>
        <w:tc>
          <w:tcPr>
            <w:tcW w:w="3243" w:type="dxa"/>
            <w:noWrap/>
            <w:hideMark/>
          </w:tcPr>
          <w:p w14:paraId="42A6EB71" w14:textId="77777777" w:rsidR="004B6078" w:rsidRPr="00657635" w:rsidRDefault="004B6078" w:rsidP="00657635">
            <w:pPr>
              <w:spacing w:before="100" w:beforeAutospacing="1" w:after="100" w:afterAutospacing="1"/>
              <w:rPr>
                <w:sz w:val="20"/>
                <w:szCs w:val="20"/>
              </w:rPr>
            </w:pPr>
            <w:r w:rsidRPr="00657635">
              <w:rPr>
                <w:sz w:val="20"/>
                <w:szCs w:val="20"/>
              </w:rPr>
              <w:t>Amberfish</w:t>
            </w:r>
          </w:p>
        </w:tc>
      </w:tr>
      <w:tr w:rsidR="004B6078" w:rsidRPr="00657635" w14:paraId="1121BBC0" w14:textId="77777777" w:rsidTr="00657635">
        <w:trPr>
          <w:trHeight w:val="300"/>
        </w:trPr>
        <w:tc>
          <w:tcPr>
            <w:tcW w:w="2900" w:type="dxa"/>
            <w:noWrap/>
            <w:hideMark/>
          </w:tcPr>
          <w:p w14:paraId="45697112" w14:textId="77777777" w:rsidR="004B6078" w:rsidRPr="00657635" w:rsidRDefault="004B6078" w:rsidP="00657635">
            <w:pPr>
              <w:spacing w:before="100" w:beforeAutospacing="1" w:after="100" w:afterAutospacing="1"/>
              <w:rPr>
                <w:sz w:val="20"/>
                <w:szCs w:val="20"/>
              </w:rPr>
            </w:pPr>
            <w:r w:rsidRPr="00657635">
              <w:rPr>
                <w:sz w:val="20"/>
                <w:szCs w:val="20"/>
              </w:rPr>
              <w:t>Beche de mer - unspecified</w:t>
            </w:r>
          </w:p>
        </w:tc>
        <w:tc>
          <w:tcPr>
            <w:tcW w:w="2140" w:type="dxa"/>
            <w:noWrap/>
            <w:hideMark/>
          </w:tcPr>
          <w:p w14:paraId="792396FA" w14:textId="77777777" w:rsidR="004B6078" w:rsidRPr="00657635" w:rsidRDefault="004B6078" w:rsidP="00657635">
            <w:pPr>
              <w:spacing w:before="100" w:beforeAutospacing="1" w:after="100" w:afterAutospacing="1"/>
              <w:rPr>
                <w:sz w:val="20"/>
                <w:szCs w:val="20"/>
              </w:rPr>
            </w:pPr>
            <w:r w:rsidRPr="00657635">
              <w:rPr>
                <w:sz w:val="20"/>
                <w:szCs w:val="20"/>
              </w:rPr>
              <w:t>Bdm Not Specified</w:t>
            </w:r>
          </w:p>
        </w:tc>
        <w:tc>
          <w:tcPr>
            <w:tcW w:w="737" w:type="dxa"/>
            <w:noWrap/>
            <w:hideMark/>
          </w:tcPr>
          <w:p w14:paraId="6563F40C" w14:textId="77777777" w:rsidR="004B6078" w:rsidRPr="00657635" w:rsidRDefault="004B6078" w:rsidP="00657635">
            <w:pPr>
              <w:spacing w:before="100" w:beforeAutospacing="1" w:after="100" w:afterAutospacing="1"/>
              <w:jc w:val="right"/>
              <w:rPr>
                <w:sz w:val="20"/>
                <w:szCs w:val="20"/>
              </w:rPr>
            </w:pPr>
            <w:r w:rsidRPr="00657635">
              <w:rPr>
                <w:sz w:val="20"/>
                <w:szCs w:val="20"/>
              </w:rPr>
              <w:t>40</w:t>
            </w:r>
          </w:p>
        </w:tc>
        <w:tc>
          <w:tcPr>
            <w:tcW w:w="3243" w:type="dxa"/>
            <w:noWrap/>
            <w:hideMark/>
          </w:tcPr>
          <w:p w14:paraId="46965AAF" w14:textId="77777777" w:rsidR="004B6078" w:rsidRPr="00657635" w:rsidRDefault="004B6078" w:rsidP="00657635">
            <w:pPr>
              <w:spacing w:before="100" w:beforeAutospacing="1" w:after="100" w:afterAutospacing="1"/>
              <w:rPr>
                <w:sz w:val="20"/>
                <w:szCs w:val="20"/>
              </w:rPr>
            </w:pPr>
            <w:r w:rsidRPr="00657635">
              <w:rPr>
                <w:sz w:val="20"/>
                <w:szCs w:val="20"/>
              </w:rPr>
              <w:t>Unknown</w:t>
            </w:r>
          </w:p>
        </w:tc>
      </w:tr>
      <w:tr w:rsidR="004B6078" w:rsidRPr="00657635" w14:paraId="231DF036" w14:textId="77777777" w:rsidTr="00657635">
        <w:trPr>
          <w:trHeight w:val="300"/>
        </w:trPr>
        <w:tc>
          <w:tcPr>
            <w:tcW w:w="2900" w:type="dxa"/>
            <w:noWrap/>
            <w:hideMark/>
          </w:tcPr>
          <w:p w14:paraId="562C75DD" w14:textId="77777777" w:rsidR="004B6078" w:rsidRPr="00657635" w:rsidRDefault="004B6078" w:rsidP="00657635">
            <w:pPr>
              <w:spacing w:before="100" w:beforeAutospacing="1" w:after="100" w:afterAutospacing="1"/>
              <w:rPr>
                <w:sz w:val="20"/>
                <w:szCs w:val="20"/>
              </w:rPr>
            </w:pPr>
            <w:r w:rsidRPr="00657635">
              <w:rPr>
                <w:sz w:val="20"/>
                <w:szCs w:val="20"/>
              </w:rPr>
              <w:t>Black fish</w:t>
            </w:r>
          </w:p>
        </w:tc>
        <w:tc>
          <w:tcPr>
            <w:tcW w:w="2140" w:type="dxa"/>
            <w:noWrap/>
            <w:hideMark/>
          </w:tcPr>
          <w:p w14:paraId="02B27335" w14:textId="77777777" w:rsidR="004B6078" w:rsidRPr="00657635" w:rsidRDefault="004B6078" w:rsidP="00657635">
            <w:pPr>
              <w:spacing w:before="100" w:beforeAutospacing="1" w:after="100" w:afterAutospacing="1"/>
              <w:rPr>
                <w:sz w:val="20"/>
                <w:szCs w:val="20"/>
              </w:rPr>
            </w:pPr>
            <w:r w:rsidRPr="00657635">
              <w:rPr>
                <w:sz w:val="20"/>
                <w:szCs w:val="20"/>
              </w:rPr>
              <w:t>Black fish</w:t>
            </w:r>
          </w:p>
        </w:tc>
        <w:tc>
          <w:tcPr>
            <w:tcW w:w="737" w:type="dxa"/>
            <w:noWrap/>
            <w:hideMark/>
          </w:tcPr>
          <w:p w14:paraId="12FA7C84" w14:textId="77777777" w:rsidR="004B6078" w:rsidRPr="00657635" w:rsidRDefault="004B6078" w:rsidP="00657635">
            <w:pPr>
              <w:spacing w:before="100" w:beforeAutospacing="1" w:after="100" w:afterAutospacing="1"/>
              <w:jc w:val="right"/>
              <w:rPr>
                <w:sz w:val="20"/>
                <w:szCs w:val="20"/>
              </w:rPr>
            </w:pPr>
            <w:r w:rsidRPr="00657635">
              <w:rPr>
                <w:sz w:val="20"/>
                <w:szCs w:val="20"/>
              </w:rPr>
              <w:t>3495</w:t>
            </w:r>
          </w:p>
        </w:tc>
        <w:tc>
          <w:tcPr>
            <w:tcW w:w="3243" w:type="dxa"/>
            <w:noWrap/>
            <w:hideMark/>
          </w:tcPr>
          <w:p w14:paraId="2E8799A4" w14:textId="77777777" w:rsidR="004B6078" w:rsidRPr="00657635" w:rsidRDefault="004B6078" w:rsidP="00657635">
            <w:pPr>
              <w:spacing w:before="100" w:beforeAutospacing="1" w:after="100" w:afterAutospacing="1"/>
              <w:rPr>
                <w:sz w:val="20"/>
                <w:szCs w:val="20"/>
              </w:rPr>
            </w:pPr>
            <w:r w:rsidRPr="00657635">
              <w:rPr>
                <w:sz w:val="20"/>
                <w:szCs w:val="20"/>
              </w:rPr>
              <w:t>Blackfish</w:t>
            </w:r>
          </w:p>
        </w:tc>
      </w:tr>
      <w:tr w:rsidR="004B6078" w:rsidRPr="00657635" w14:paraId="009343CD" w14:textId="77777777" w:rsidTr="00657635">
        <w:trPr>
          <w:trHeight w:val="300"/>
        </w:trPr>
        <w:tc>
          <w:tcPr>
            <w:tcW w:w="2900" w:type="dxa"/>
            <w:noWrap/>
            <w:hideMark/>
          </w:tcPr>
          <w:p w14:paraId="4E9513F8" w14:textId="77777777" w:rsidR="004B6078" w:rsidRPr="00657635" w:rsidRDefault="004B6078" w:rsidP="00657635">
            <w:pPr>
              <w:spacing w:before="100" w:beforeAutospacing="1" w:after="100" w:afterAutospacing="1"/>
              <w:rPr>
                <w:sz w:val="20"/>
                <w:szCs w:val="20"/>
              </w:rPr>
            </w:pPr>
            <w:r w:rsidRPr="00657635">
              <w:rPr>
                <w:sz w:val="20"/>
                <w:szCs w:val="20"/>
              </w:rPr>
              <w:t>Black fish</w:t>
            </w:r>
          </w:p>
        </w:tc>
        <w:tc>
          <w:tcPr>
            <w:tcW w:w="2140" w:type="dxa"/>
            <w:noWrap/>
            <w:hideMark/>
          </w:tcPr>
          <w:p w14:paraId="482BEE74" w14:textId="77777777" w:rsidR="004B6078" w:rsidRPr="00657635" w:rsidRDefault="004B6078" w:rsidP="00657635">
            <w:pPr>
              <w:spacing w:before="100" w:beforeAutospacing="1" w:after="100" w:afterAutospacing="1"/>
              <w:rPr>
                <w:sz w:val="20"/>
                <w:szCs w:val="20"/>
              </w:rPr>
            </w:pPr>
            <w:r w:rsidRPr="00657635">
              <w:rPr>
                <w:sz w:val="20"/>
                <w:szCs w:val="20"/>
              </w:rPr>
              <w:t>Blackfish</w:t>
            </w:r>
          </w:p>
        </w:tc>
        <w:tc>
          <w:tcPr>
            <w:tcW w:w="737" w:type="dxa"/>
            <w:noWrap/>
            <w:hideMark/>
          </w:tcPr>
          <w:p w14:paraId="5867BE6B" w14:textId="77777777" w:rsidR="004B6078" w:rsidRPr="00657635" w:rsidRDefault="004B6078" w:rsidP="00657635">
            <w:pPr>
              <w:spacing w:before="100" w:beforeAutospacing="1" w:after="100" w:afterAutospacing="1"/>
              <w:jc w:val="right"/>
              <w:rPr>
                <w:sz w:val="20"/>
                <w:szCs w:val="20"/>
              </w:rPr>
            </w:pPr>
            <w:r w:rsidRPr="00657635">
              <w:rPr>
                <w:sz w:val="20"/>
                <w:szCs w:val="20"/>
              </w:rPr>
              <w:t>2003</w:t>
            </w:r>
          </w:p>
        </w:tc>
        <w:tc>
          <w:tcPr>
            <w:tcW w:w="3243" w:type="dxa"/>
            <w:noWrap/>
            <w:hideMark/>
          </w:tcPr>
          <w:p w14:paraId="1F00E664" w14:textId="77777777" w:rsidR="004B6078" w:rsidRPr="00657635" w:rsidRDefault="004B6078" w:rsidP="00657635">
            <w:pPr>
              <w:spacing w:before="100" w:beforeAutospacing="1" w:after="100" w:afterAutospacing="1"/>
              <w:rPr>
                <w:sz w:val="20"/>
                <w:szCs w:val="20"/>
              </w:rPr>
            </w:pPr>
            <w:r w:rsidRPr="00657635">
              <w:rPr>
                <w:sz w:val="20"/>
                <w:szCs w:val="20"/>
              </w:rPr>
              <w:t>Blackfish</w:t>
            </w:r>
          </w:p>
        </w:tc>
      </w:tr>
      <w:tr w:rsidR="004B6078" w:rsidRPr="00657635" w14:paraId="1640DB74" w14:textId="77777777" w:rsidTr="00657635">
        <w:trPr>
          <w:trHeight w:val="300"/>
        </w:trPr>
        <w:tc>
          <w:tcPr>
            <w:tcW w:w="2900" w:type="dxa"/>
            <w:noWrap/>
            <w:hideMark/>
          </w:tcPr>
          <w:p w14:paraId="2C9CCF2A" w14:textId="77777777" w:rsidR="004B6078" w:rsidRPr="00657635" w:rsidRDefault="004B6078" w:rsidP="00657635">
            <w:pPr>
              <w:spacing w:before="100" w:beforeAutospacing="1" w:after="100" w:afterAutospacing="1"/>
              <w:rPr>
                <w:sz w:val="20"/>
                <w:szCs w:val="20"/>
              </w:rPr>
            </w:pPr>
            <w:r w:rsidRPr="00657635">
              <w:rPr>
                <w:sz w:val="20"/>
                <w:szCs w:val="20"/>
              </w:rPr>
              <w:t>Black fish</w:t>
            </w:r>
          </w:p>
        </w:tc>
        <w:tc>
          <w:tcPr>
            <w:tcW w:w="2140" w:type="dxa"/>
            <w:noWrap/>
            <w:hideMark/>
          </w:tcPr>
          <w:p w14:paraId="16C440E0" w14:textId="77777777" w:rsidR="004B6078" w:rsidRPr="00657635" w:rsidRDefault="004B6078" w:rsidP="00657635">
            <w:pPr>
              <w:spacing w:before="100" w:beforeAutospacing="1" w:after="100" w:afterAutospacing="1"/>
              <w:rPr>
                <w:sz w:val="20"/>
                <w:szCs w:val="20"/>
              </w:rPr>
            </w:pPr>
            <w:r w:rsidRPr="00657635">
              <w:rPr>
                <w:sz w:val="20"/>
                <w:szCs w:val="20"/>
              </w:rPr>
              <w:t>Palauensis Blackfish</w:t>
            </w:r>
          </w:p>
        </w:tc>
        <w:tc>
          <w:tcPr>
            <w:tcW w:w="737" w:type="dxa"/>
            <w:noWrap/>
            <w:hideMark/>
          </w:tcPr>
          <w:p w14:paraId="01F97C5A" w14:textId="77777777" w:rsidR="004B6078" w:rsidRPr="00657635" w:rsidRDefault="004B6078" w:rsidP="00657635">
            <w:pPr>
              <w:spacing w:before="100" w:beforeAutospacing="1" w:after="100" w:afterAutospacing="1"/>
              <w:jc w:val="right"/>
              <w:rPr>
                <w:sz w:val="20"/>
                <w:szCs w:val="20"/>
              </w:rPr>
            </w:pPr>
            <w:r w:rsidRPr="00657635">
              <w:rPr>
                <w:sz w:val="20"/>
                <w:szCs w:val="20"/>
              </w:rPr>
              <w:t>15</w:t>
            </w:r>
          </w:p>
        </w:tc>
        <w:tc>
          <w:tcPr>
            <w:tcW w:w="3243" w:type="dxa"/>
            <w:noWrap/>
            <w:hideMark/>
          </w:tcPr>
          <w:p w14:paraId="5B242F8B" w14:textId="77777777" w:rsidR="004B6078" w:rsidRPr="00657635" w:rsidRDefault="004B6078" w:rsidP="00657635">
            <w:pPr>
              <w:spacing w:before="100" w:beforeAutospacing="1" w:after="100" w:afterAutospacing="1"/>
              <w:rPr>
                <w:sz w:val="20"/>
                <w:szCs w:val="20"/>
              </w:rPr>
            </w:pPr>
            <w:r w:rsidRPr="00657635">
              <w:rPr>
                <w:sz w:val="20"/>
                <w:szCs w:val="20"/>
              </w:rPr>
              <w:t>Deepwater blackfish</w:t>
            </w:r>
          </w:p>
        </w:tc>
      </w:tr>
      <w:tr w:rsidR="004B6078" w:rsidRPr="00657635" w14:paraId="4286091E" w14:textId="77777777" w:rsidTr="00657635">
        <w:trPr>
          <w:trHeight w:val="300"/>
        </w:trPr>
        <w:tc>
          <w:tcPr>
            <w:tcW w:w="2900" w:type="dxa"/>
            <w:noWrap/>
            <w:hideMark/>
          </w:tcPr>
          <w:p w14:paraId="512FABCF" w14:textId="77777777" w:rsidR="004B6078" w:rsidRPr="00657635" w:rsidRDefault="004B6078" w:rsidP="00657635">
            <w:pPr>
              <w:spacing w:before="100" w:beforeAutospacing="1" w:after="100" w:afterAutospacing="1"/>
              <w:rPr>
                <w:sz w:val="20"/>
                <w:szCs w:val="20"/>
              </w:rPr>
            </w:pPr>
            <w:r w:rsidRPr="00657635">
              <w:rPr>
                <w:sz w:val="20"/>
                <w:szCs w:val="20"/>
              </w:rPr>
              <w:t>Black lolly fish</w:t>
            </w:r>
          </w:p>
        </w:tc>
        <w:tc>
          <w:tcPr>
            <w:tcW w:w="2140" w:type="dxa"/>
            <w:noWrap/>
            <w:hideMark/>
          </w:tcPr>
          <w:p w14:paraId="2CDF06A8" w14:textId="77777777" w:rsidR="004B6078" w:rsidRPr="00657635" w:rsidRDefault="004B6078" w:rsidP="00657635">
            <w:pPr>
              <w:spacing w:before="100" w:beforeAutospacing="1" w:after="100" w:afterAutospacing="1"/>
              <w:rPr>
                <w:sz w:val="20"/>
                <w:szCs w:val="20"/>
              </w:rPr>
            </w:pPr>
            <w:r w:rsidRPr="00657635">
              <w:rPr>
                <w:sz w:val="20"/>
                <w:szCs w:val="20"/>
              </w:rPr>
              <w:t>Black lolly fish</w:t>
            </w:r>
          </w:p>
        </w:tc>
        <w:tc>
          <w:tcPr>
            <w:tcW w:w="737" w:type="dxa"/>
            <w:noWrap/>
            <w:hideMark/>
          </w:tcPr>
          <w:p w14:paraId="030F2870" w14:textId="77777777" w:rsidR="004B6078" w:rsidRPr="00657635" w:rsidRDefault="004B6078" w:rsidP="00657635">
            <w:pPr>
              <w:spacing w:before="100" w:beforeAutospacing="1" w:after="100" w:afterAutospacing="1"/>
              <w:jc w:val="right"/>
              <w:rPr>
                <w:sz w:val="20"/>
                <w:szCs w:val="20"/>
              </w:rPr>
            </w:pPr>
            <w:r w:rsidRPr="00657635">
              <w:rPr>
                <w:sz w:val="20"/>
                <w:szCs w:val="20"/>
              </w:rPr>
              <w:t>194</w:t>
            </w:r>
          </w:p>
        </w:tc>
        <w:tc>
          <w:tcPr>
            <w:tcW w:w="3243" w:type="dxa"/>
            <w:noWrap/>
            <w:hideMark/>
          </w:tcPr>
          <w:p w14:paraId="778EF626" w14:textId="77777777" w:rsidR="004B6078" w:rsidRPr="00657635" w:rsidRDefault="004B6078" w:rsidP="00657635">
            <w:pPr>
              <w:spacing w:before="100" w:beforeAutospacing="1" w:after="100" w:afterAutospacing="1"/>
              <w:rPr>
                <w:sz w:val="20"/>
                <w:szCs w:val="20"/>
              </w:rPr>
            </w:pPr>
            <w:r w:rsidRPr="00657635">
              <w:rPr>
                <w:sz w:val="20"/>
                <w:szCs w:val="20"/>
              </w:rPr>
              <w:t>Lollyfish</w:t>
            </w:r>
          </w:p>
        </w:tc>
      </w:tr>
      <w:tr w:rsidR="004B6078" w:rsidRPr="00657635" w14:paraId="38B879BF" w14:textId="77777777" w:rsidTr="00657635">
        <w:trPr>
          <w:trHeight w:val="300"/>
        </w:trPr>
        <w:tc>
          <w:tcPr>
            <w:tcW w:w="2900" w:type="dxa"/>
            <w:noWrap/>
            <w:hideMark/>
          </w:tcPr>
          <w:p w14:paraId="2B18914D" w14:textId="77777777" w:rsidR="004B6078" w:rsidRPr="00657635" w:rsidRDefault="004B6078" w:rsidP="00657635">
            <w:pPr>
              <w:spacing w:before="100" w:beforeAutospacing="1" w:after="100" w:afterAutospacing="1"/>
              <w:rPr>
                <w:sz w:val="20"/>
                <w:szCs w:val="20"/>
              </w:rPr>
            </w:pPr>
            <w:r w:rsidRPr="00657635">
              <w:rPr>
                <w:sz w:val="20"/>
                <w:szCs w:val="20"/>
              </w:rPr>
              <w:t>Black lolly fish</w:t>
            </w:r>
          </w:p>
        </w:tc>
        <w:tc>
          <w:tcPr>
            <w:tcW w:w="2140" w:type="dxa"/>
            <w:noWrap/>
            <w:hideMark/>
          </w:tcPr>
          <w:p w14:paraId="688B02CC" w14:textId="77777777" w:rsidR="004B6078" w:rsidRPr="00657635" w:rsidRDefault="004B6078" w:rsidP="00657635">
            <w:pPr>
              <w:spacing w:before="100" w:beforeAutospacing="1" w:after="100" w:afterAutospacing="1"/>
              <w:rPr>
                <w:sz w:val="20"/>
                <w:szCs w:val="20"/>
              </w:rPr>
            </w:pPr>
            <w:r w:rsidRPr="00657635">
              <w:rPr>
                <w:sz w:val="20"/>
                <w:szCs w:val="20"/>
              </w:rPr>
              <w:t>Deepwater black fish</w:t>
            </w:r>
          </w:p>
        </w:tc>
        <w:tc>
          <w:tcPr>
            <w:tcW w:w="737" w:type="dxa"/>
            <w:noWrap/>
            <w:hideMark/>
          </w:tcPr>
          <w:p w14:paraId="37F7456B" w14:textId="77777777" w:rsidR="004B6078" w:rsidRPr="00657635" w:rsidRDefault="004B6078" w:rsidP="00657635">
            <w:pPr>
              <w:spacing w:before="100" w:beforeAutospacing="1" w:after="100" w:afterAutospacing="1"/>
              <w:jc w:val="right"/>
              <w:rPr>
                <w:sz w:val="20"/>
                <w:szCs w:val="20"/>
              </w:rPr>
            </w:pPr>
            <w:r w:rsidRPr="00657635">
              <w:rPr>
                <w:sz w:val="20"/>
                <w:szCs w:val="20"/>
              </w:rPr>
              <w:t>296</w:t>
            </w:r>
          </w:p>
        </w:tc>
        <w:tc>
          <w:tcPr>
            <w:tcW w:w="3243" w:type="dxa"/>
            <w:noWrap/>
            <w:hideMark/>
          </w:tcPr>
          <w:p w14:paraId="242EF6A2" w14:textId="77777777" w:rsidR="004B6078" w:rsidRPr="00657635" w:rsidRDefault="004B6078" w:rsidP="00657635">
            <w:pPr>
              <w:spacing w:before="100" w:beforeAutospacing="1" w:after="100" w:afterAutospacing="1"/>
              <w:rPr>
                <w:sz w:val="20"/>
                <w:szCs w:val="20"/>
              </w:rPr>
            </w:pPr>
            <w:r w:rsidRPr="00657635">
              <w:rPr>
                <w:sz w:val="20"/>
                <w:szCs w:val="20"/>
              </w:rPr>
              <w:t>Deepwater blackfish</w:t>
            </w:r>
          </w:p>
        </w:tc>
      </w:tr>
      <w:tr w:rsidR="004B6078" w:rsidRPr="00657635" w14:paraId="4023FB1E" w14:textId="77777777" w:rsidTr="00657635">
        <w:trPr>
          <w:trHeight w:val="300"/>
        </w:trPr>
        <w:tc>
          <w:tcPr>
            <w:tcW w:w="2900" w:type="dxa"/>
            <w:noWrap/>
            <w:hideMark/>
          </w:tcPr>
          <w:p w14:paraId="18236683" w14:textId="77777777" w:rsidR="004B6078" w:rsidRPr="00657635" w:rsidRDefault="004B6078" w:rsidP="00657635">
            <w:pPr>
              <w:spacing w:before="100" w:beforeAutospacing="1" w:after="100" w:afterAutospacing="1"/>
              <w:rPr>
                <w:sz w:val="20"/>
                <w:szCs w:val="20"/>
              </w:rPr>
            </w:pPr>
            <w:r w:rsidRPr="00657635">
              <w:rPr>
                <w:sz w:val="20"/>
                <w:szCs w:val="20"/>
              </w:rPr>
              <w:t>Black lolly fish</w:t>
            </w:r>
          </w:p>
        </w:tc>
        <w:tc>
          <w:tcPr>
            <w:tcW w:w="2140" w:type="dxa"/>
            <w:noWrap/>
            <w:hideMark/>
          </w:tcPr>
          <w:p w14:paraId="21206611" w14:textId="77777777" w:rsidR="004B6078" w:rsidRPr="00657635" w:rsidRDefault="004B6078" w:rsidP="00657635">
            <w:pPr>
              <w:spacing w:before="100" w:beforeAutospacing="1" w:after="100" w:afterAutospacing="1"/>
              <w:rPr>
                <w:sz w:val="20"/>
                <w:szCs w:val="20"/>
              </w:rPr>
            </w:pPr>
            <w:r w:rsidRPr="00657635">
              <w:rPr>
                <w:sz w:val="20"/>
                <w:szCs w:val="20"/>
              </w:rPr>
              <w:t>Lollyfish - Black</w:t>
            </w:r>
          </w:p>
        </w:tc>
        <w:tc>
          <w:tcPr>
            <w:tcW w:w="737" w:type="dxa"/>
            <w:noWrap/>
            <w:hideMark/>
          </w:tcPr>
          <w:p w14:paraId="72F84FAC" w14:textId="77777777" w:rsidR="004B6078" w:rsidRPr="00657635" w:rsidRDefault="004B6078" w:rsidP="00657635">
            <w:pPr>
              <w:spacing w:before="100" w:beforeAutospacing="1" w:after="100" w:afterAutospacing="1"/>
              <w:jc w:val="right"/>
              <w:rPr>
                <w:sz w:val="20"/>
                <w:szCs w:val="20"/>
              </w:rPr>
            </w:pPr>
            <w:r w:rsidRPr="00657635">
              <w:rPr>
                <w:sz w:val="20"/>
                <w:szCs w:val="20"/>
              </w:rPr>
              <w:t>2</w:t>
            </w:r>
          </w:p>
        </w:tc>
        <w:tc>
          <w:tcPr>
            <w:tcW w:w="3243" w:type="dxa"/>
            <w:noWrap/>
            <w:hideMark/>
          </w:tcPr>
          <w:p w14:paraId="3B156DD9" w14:textId="77777777" w:rsidR="004B6078" w:rsidRPr="00657635" w:rsidRDefault="004B6078" w:rsidP="00657635">
            <w:pPr>
              <w:spacing w:before="100" w:beforeAutospacing="1" w:after="100" w:afterAutospacing="1"/>
              <w:rPr>
                <w:sz w:val="20"/>
                <w:szCs w:val="20"/>
              </w:rPr>
            </w:pPr>
            <w:r w:rsidRPr="00657635">
              <w:rPr>
                <w:sz w:val="20"/>
                <w:szCs w:val="20"/>
              </w:rPr>
              <w:t>Lollyfish</w:t>
            </w:r>
          </w:p>
        </w:tc>
      </w:tr>
      <w:tr w:rsidR="004B6078" w:rsidRPr="00657635" w14:paraId="2DD29503" w14:textId="77777777" w:rsidTr="00657635">
        <w:trPr>
          <w:trHeight w:val="300"/>
        </w:trPr>
        <w:tc>
          <w:tcPr>
            <w:tcW w:w="2900" w:type="dxa"/>
            <w:noWrap/>
            <w:hideMark/>
          </w:tcPr>
          <w:p w14:paraId="3F658D35" w14:textId="77777777" w:rsidR="004B6078" w:rsidRPr="00657635" w:rsidRDefault="004B6078" w:rsidP="00657635">
            <w:pPr>
              <w:spacing w:before="100" w:beforeAutospacing="1" w:after="100" w:afterAutospacing="1"/>
              <w:rPr>
                <w:sz w:val="20"/>
                <w:szCs w:val="20"/>
              </w:rPr>
            </w:pPr>
            <w:r w:rsidRPr="00657635">
              <w:rPr>
                <w:sz w:val="20"/>
                <w:szCs w:val="20"/>
              </w:rPr>
              <w:t>Black teat fish</w:t>
            </w:r>
          </w:p>
        </w:tc>
        <w:tc>
          <w:tcPr>
            <w:tcW w:w="2140" w:type="dxa"/>
            <w:noWrap/>
            <w:hideMark/>
          </w:tcPr>
          <w:p w14:paraId="35E705E4" w14:textId="77777777" w:rsidR="004B6078" w:rsidRPr="00657635" w:rsidRDefault="004B6078" w:rsidP="00657635">
            <w:pPr>
              <w:spacing w:before="100" w:beforeAutospacing="1" w:after="100" w:afterAutospacing="1"/>
              <w:rPr>
                <w:sz w:val="20"/>
                <w:szCs w:val="20"/>
              </w:rPr>
            </w:pPr>
            <w:r w:rsidRPr="00657635">
              <w:rPr>
                <w:sz w:val="20"/>
                <w:szCs w:val="20"/>
              </w:rPr>
              <w:t>Black teat fish</w:t>
            </w:r>
          </w:p>
        </w:tc>
        <w:tc>
          <w:tcPr>
            <w:tcW w:w="737" w:type="dxa"/>
            <w:noWrap/>
            <w:hideMark/>
          </w:tcPr>
          <w:p w14:paraId="7AD9DB49" w14:textId="77777777" w:rsidR="004B6078" w:rsidRPr="00657635" w:rsidRDefault="004B6078" w:rsidP="00657635">
            <w:pPr>
              <w:spacing w:before="100" w:beforeAutospacing="1" w:after="100" w:afterAutospacing="1"/>
              <w:jc w:val="right"/>
              <w:rPr>
                <w:sz w:val="20"/>
                <w:szCs w:val="20"/>
              </w:rPr>
            </w:pPr>
            <w:r w:rsidRPr="00657635">
              <w:rPr>
                <w:sz w:val="20"/>
                <w:szCs w:val="20"/>
              </w:rPr>
              <w:t>3265</w:t>
            </w:r>
          </w:p>
        </w:tc>
        <w:tc>
          <w:tcPr>
            <w:tcW w:w="3243" w:type="dxa"/>
            <w:noWrap/>
            <w:hideMark/>
          </w:tcPr>
          <w:p w14:paraId="12BE6919" w14:textId="77777777" w:rsidR="004B6078" w:rsidRPr="00657635" w:rsidRDefault="004B6078" w:rsidP="00657635">
            <w:pPr>
              <w:spacing w:before="100" w:beforeAutospacing="1" w:after="100" w:afterAutospacing="1"/>
              <w:rPr>
                <w:sz w:val="20"/>
                <w:szCs w:val="20"/>
              </w:rPr>
            </w:pPr>
            <w:r w:rsidRPr="00657635">
              <w:rPr>
                <w:sz w:val="20"/>
                <w:szCs w:val="20"/>
              </w:rPr>
              <w:t>Black teatfish</w:t>
            </w:r>
          </w:p>
        </w:tc>
      </w:tr>
      <w:tr w:rsidR="004B6078" w:rsidRPr="00657635" w14:paraId="28AE8202" w14:textId="77777777" w:rsidTr="00657635">
        <w:trPr>
          <w:trHeight w:val="300"/>
        </w:trPr>
        <w:tc>
          <w:tcPr>
            <w:tcW w:w="2900" w:type="dxa"/>
            <w:noWrap/>
            <w:hideMark/>
          </w:tcPr>
          <w:p w14:paraId="02AB5F06" w14:textId="77777777" w:rsidR="004B6078" w:rsidRPr="00657635" w:rsidRDefault="004B6078" w:rsidP="00657635">
            <w:pPr>
              <w:spacing w:before="100" w:beforeAutospacing="1" w:after="100" w:afterAutospacing="1"/>
              <w:rPr>
                <w:sz w:val="20"/>
                <w:szCs w:val="20"/>
              </w:rPr>
            </w:pPr>
            <w:r w:rsidRPr="00657635">
              <w:rPr>
                <w:sz w:val="20"/>
                <w:szCs w:val="20"/>
              </w:rPr>
              <w:t>Blackfish - burrowing</w:t>
            </w:r>
          </w:p>
        </w:tc>
        <w:tc>
          <w:tcPr>
            <w:tcW w:w="2140" w:type="dxa"/>
            <w:noWrap/>
            <w:hideMark/>
          </w:tcPr>
          <w:p w14:paraId="03690EDF" w14:textId="77777777" w:rsidR="004B6078" w:rsidRPr="00657635" w:rsidRDefault="004B6078" w:rsidP="00657635">
            <w:pPr>
              <w:spacing w:before="100" w:beforeAutospacing="1" w:after="100" w:afterAutospacing="1"/>
              <w:rPr>
                <w:sz w:val="20"/>
                <w:szCs w:val="20"/>
              </w:rPr>
            </w:pPr>
            <w:r w:rsidRPr="00657635">
              <w:rPr>
                <w:sz w:val="20"/>
                <w:szCs w:val="20"/>
              </w:rPr>
              <w:t>Burrowing Black Fish</w:t>
            </w:r>
          </w:p>
        </w:tc>
        <w:tc>
          <w:tcPr>
            <w:tcW w:w="737" w:type="dxa"/>
            <w:noWrap/>
            <w:hideMark/>
          </w:tcPr>
          <w:p w14:paraId="706C4280" w14:textId="77777777" w:rsidR="004B6078" w:rsidRPr="00657635" w:rsidRDefault="004B6078" w:rsidP="00657635">
            <w:pPr>
              <w:spacing w:before="100" w:beforeAutospacing="1" w:after="100" w:afterAutospacing="1"/>
              <w:jc w:val="right"/>
              <w:rPr>
                <w:sz w:val="20"/>
                <w:szCs w:val="20"/>
              </w:rPr>
            </w:pPr>
            <w:r w:rsidRPr="00657635">
              <w:rPr>
                <w:sz w:val="20"/>
                <w:szCs w:val="20"/>
              </w:rPr>
              <w:t>2646</w:t>
            </w:r>
          </w:p>
        </w:tc>
        <w:tc>
          <w:tcPr>
            <w:tcW w:w="3243" w:type="dxa"/>
            <w:noWrap/>
            <w:hideMark/>
          </w:tcPr>
          <w:p w14:paraId="04400FE5" w14:textId="77777777" w:rsidR="004B6078" w:rsidRPr="00657635" w:rsidRDefault="004B6078" w:rsidP="00657635">
            <w:pPr>
              <w:spacing w:before="100" w:beforeAutospacing="1" w:after="100" w:afterAutospacing="1"/>
              <w:rPr>
                <w:sz w:val="20"/>
                <w:szCs w:val="20"/>
              </w:rPr>
            </w:pPr>
            <w:r w:rsidRPr="00657635">
              <w:rPr>
                <w:sz w:val="20"/>
                <w:szCs w:val="20"/>
              </w:rPr>
              <w:t>Burrowing blackfish</w:t>
            </w:r>
          </w:p>
        </w:tc>
      </w:tr>
      <w:tr w:rsidR="004B6078" w:rsidRPr="00657635" w14:paraId="6F1C6366" w14:textId="77777777" w:rsidTr="00657635">
        <w:trPr>
          <w:trHeight w:val="300"/>
        </w:trPr>
        <w:tc>
          <w:tcPr>
            <w:tcW w:w="2900" w:type="dxa"/>
            <w:noWrap/>
            <w:hideMark/>
          </w:tcPr>
          <w:p w14:paraId="49BE5AF2" w14:textId="77777777" w:rsidR="004B6078" w:rsidRPr="00657635" w:rsidRDefault="004B6078" w:rsidP="00657635">
            <w:pPr>
              <w:spacing w:before="100" w:beforeAutospacing="1" w:after="100" w:afterAutospacing="1"/>
              <w:rPr>
                <w:sz w:val="20"/>
                <w:szCs w:val="20"/>
              </w:rPr>
            </w:pPr>
            <w:r w:rsidRPr="00657635">
              <w:rPr>
                <w:sz w:val="20"/>
                <w:szCs w:val="20"/>
              </w:rPr>
              <w:t>Blackfish - burrowing</w:t>
            </w:r>
          </w:p>
        </w:tc>
        <w:tc>
          <w:tcPr>
            <w:tcW w:w="2140" w:type="dxa"/>
            <w:noWrap/>
            <w:hideMark/>
          </w:tcPr>
          <w:p w14:paraId="26B3D60D" w14:textId="77777777" w:rsidR="004B6078" w:rsidRPr="00657635" w:rsidRDefault="004B6078" w:rsidP="00657635">
            <w:pPr>
              <w:spacing w:before="100" w:beforeAutospacing="1" w:after="100" w:afterAutospacing="1"/>
              <w:rPr>
                <w:sz w:val="20"/>
                <w:szCs w:val="20"/>
              </w:rPr>
            </w:pPr>
            <w:r w:rsidRPr="00657635">
              <w:rPr>
                <w:sz w:val="20"/>
                <w:szCs w:val="20"/>
              </w:rPr>
              <w:t>Burrowing Blackfish</w:t>
            </w:r>
          </w:p>
        </w:tc>
        <w:tc>
          <w:tcPr>
            <w:tcW w:w="737" w:type="dxa"/>
            <w:noWrap/>
            <w:hideMark/>
          </w:tcPr>
          <w:p w14:paraId="5C2765EC" w14:textId="77777777" w:rsidR="004B6078" w:rsidRPr="00657635" w:rsidRDefault="004B6078" w:rsidP="00657635">
            <w:pPr>
              <w:spacing w:before="100" w:beforeAutospacing="1" w:after="100" w:afterAutospacing="1"/>
              <w:jc w:val="right"/>
              <w:rPr>
                <w:sz w:val="20"/>
                <w:szCs w:val="20"/>
              </w:rPr>
            </w:pPr>
            <w:r w:rsidRPr="00657635">
              <w:rPr>
                <w:sz w:val="20"/>
                <w:szCs w:val="20"/>
              </w:rPr>
              <w:t>2088</w:t>
            </w:r>
          </w:p>
        </w:tc>
        <w:tc>
          <w:tcPr>
            <w:tcW w:w="3243" w:type="dxa"/>
            <w:noWrap/>
            <w:hideMark/>
          </w:tcPr>
          <w:p w14:paraId="6E7DE739" w14:textId="77777777" w:rsidR="004B6078" w:rsidRPr="00657635" w:rsidRDefault="004B6078" w:rsidP="00657635">
            <w:pPr>
              <w:spacing w:before="100" w:beforeAutospacing="1" w:after="100" w:afterAutospacing="1"/>
              <w:rPr>
                <w:sz w:val="20"/>
                <w:szCs w:val="20"/>
              </w:rPr>
            </w:pPr>
            <w:r w:rsidRPr="00657635">
              <w:rPr>
                <w:sz w:val="20"/>
                <w:szCs w:val="20"/>
              </w:rPr>
              <w:t>Burrowing blackfish</w:t>
            </w:r>
          </w:p>
        </w:tc>
      </w:tr>
      <w:tr w:rsidR="004B6078" w:rsidRPr="00657635" w14:paraId="174BFC07" w14:textId="77777777" w:rsidTr="00657635">
        <w:trPr>
          <w:trHeight w:val="300"/>
        </w:trPr>
        <w:tc>
          <w:tcPr>
            <w:tcW w:w="2900" w:type="dxa"/>
            <w:noWrap/>
            <w:hideMark/>
          </w:tcPr>
          <w:p w14:paraId="2F1E3D43" w14:textId="77777777" w:rsidR="004B6078" w:rsidRPr="00657635" w:rsidRDefault="004B6078" w:rsidP="00657635">
            <w:pPr>
              <w:spacing w:before="100" w:beforeAutospacing="1" w:after="100" w:afterAutospacing="1"/>
              <w:rPr>
                <w:sz w:val="20"/>
                <w:szCs w:val="20"/>
              </w:rPr>
            </w:pPr>
            <w:r w:rsidRPr="00657635">
              <w:rPr>
                <w:sz w:val="20"/>
                <w:szCs w:val="20"/>
              </w:rPr>
              <w:t>Brown sandfish</w:t>
            </w:r>
          </w:p>
        </w:tc>
        <w:tc>
          <w:tcPr>
            <w:tcW w:w="2140" w:type="dxa"/>
            <w:noWrap/>
            <w:hideMark/>
          </w:tcPr>
          <w:p w14:paraId="3620FAE6" w14:textId="77777777" w:rsidR="004B6078" w:rsidRPr="00657635" w:rsidRDefault="004B6078" w:rsidP="00657635">
            <w:pPr>
              <w:spacing w:before="100" w:beforeAutospacing="1" w:after="100" w:afterAutospacing="1"/>
              <w:rPr>
                <w:sz w:val="20"/>
                <w:szCs w:val="20"/>
              </w:rPr>
            </w:pPr>
            <w:r w:rsidRPr="00657635">
              <w:rPr>
                <w:sz w:val="20"/>
                <w:szCs w:val="20"/>
              </w:rPr>
              <w:t>Brown sandfish</w:t>
            </w:r>
          </w:p>
        </w:tc>
        <w:tc>
          <w:tcPr>
            <w:tcW w:w="737" w:type="dxa"/>
            <w:noWrap/>
            <w:hideMark/>
          </w:tcPr>
          <w:p w14:paraId="2A460EF1" w14:textId="77777777" w:rsidR="004B6078" w:rsidRPr="00657635" w:rsidRDefault="004B6078" w:rsidP="00657635">
            <w:pPr>
              <w:spacing w:before="100" w:beforeAutospacing="1" w:after="100" w:afterAutospacing="1"/>
              <w:jc w:val="right"/>
              <w:rPr>
                <w:sz w:val="20"/>
                <w:szCs w:val="20"/>
              </w:rPr>
            </w:pPr>
            <w:r w:rsidRPr="00657635">
              <w:rPr>
                <w:sz w:val="20"/>
                <w:szCs w:val="20"/>
              </w:rPr>
              <w:t>960</w:t>
            </w:r>
          </w:p>
        </w:tc>
        <w:tc>
          <w:tcPr>
            <w:tcW w:w="3243" w:type="dxa"/>
            <w:noWrap/>
            <w:hideMark/>
          </w:tcPr>
          <w:p w14:paraId="5CB7EEAB" w14:textId="77777777" w:rsidR="004B6078" w:rsidRPr="00657635" w:rsidRDefault="004B6078" w:rsidP="00657635">
            <w:pPr>
              <w:spacing w:before="100" w:beforeAutospacing="1" w:after="100" w:afterAutospacing="1"/>
              <w:rPr>
                <w:sz w:val="20"/>
                <w:szCs w:val="20"/>
              </w:rPr>
            </w:pPr>
            <w:r w:rsidRPr="00657635">
              <w:rPr>
                <w:sz w:val="20"/>
                <w:szCs w:val="20"/>
              </w:rPr>
              <w:t>Brown sandfish</w:t>
            </w:r>
          </w:p>
        </w:tc>
      </w:tr>
      <w:tr w:rsidR="004B6078" w:rsidRPr="00657635" w14:paraId="4A65D7AF" w14:textId="77777777" w:rsidTr="00657635">
        <w:trPr>
          <w:trHeight w:val="300"/>
        </w:trPr>
        <w:tc>
          <w:tcPr>
            <w:tcW w:w="2900" w:type="dxa"/>
            <w:noWrap/>
            <w:hideMark/>
          </w:tcPr>
          <w:p w14:paraId="59104D37" w14:textId="77777777" w:rsidR="004B6078" w:rsidRPr="00657635" w:rsidRDefault="004B6078" w:rsidP="00657635">
            <w:pPr>
              <w:spacing w:before="100" w:beforeAutospacing="1" w:after="100" w:afterAutospacing="1"/>
              <w:rPr>
                <w:sz w:val="20"/>
                <w:szCs w:val="20"/>
              </w:rPr>
            </w:pPr>
            <w:r w:rsidRPr="00657635">
              <w:rPr>
                <w:sz w:val="20"/>
                <w:szCs w:val="20"/>
              </w:rPr>
              <w:t>Curryfish</w:t>
            </w:r>
          </w:p>
        </w:tc>
        <w:tc>
          <w:tcPr>
            <w:tcW w:w="2140" w:type="dxa"/>
            <w:noWrap/>
            <w:hideMark/>
          </w:tcPr>
          <w:p w14:paraId="616F2B6B" w14:textId="77777777" w:rsidR="004B6078" w:rsidRPr="00657635" w:rsidRDefault="004B6078" w:rsidP="00657635">
            <w:pPr>
              <w:spacing w:before="100" w:beforeAutospacing="1" w:after="100" w:afterAutospacing="1"/>
              <w:rPr>
                <w:sz w:val="20"/>
                <w:szCs w:val="20"/>
              </w:rPr>
            </w:pPr>
            <w:r w:rsidRPr="00657635">
              <w:rPr>
                <w:sz w:val="20"/>
                <w:szCs w:val="20"/>
              </w:rPr>
              <w:t>Hermanni Curryfish</w:t>
            </w:r>
          </w:p>
        </w:tc>
        <w:tc>
          <w:tcPr>
            <w:tcW w:w="737" w:type="dxa"/>
            <w:noWrap/>
            <w:hideMark/>
          </w:tcPr>
          <w:p w14:paraId="00E18C0E" w14:textId="77777777" w:rsidR="004B6078" w:rsidRPr="00657635" w:rsidRDefault="004B6078" w:rsidP="00657635">
            <w:pPr>
              <w:spacing w:before="100" w:beforeAutospacing="1" w:after="100" w:afterAutospacing="1"/>
              <w:jc w:val="right"/>
              <w:rPr>
                <w:sz w:val="20"/>
                <w:szCs w:val="20"/>
              </w:rPr>
            </w:pPr>
            <w:r w:rsidRPr="00657635">
              <w:rPr>
                <w:sz w:val="20"/>
                <w:szCs w:val="20"/>
              </w:rPr>
              <w:t>1962</w:t>
            </w:r>
          </w:p>
        </w:tc>
        <w:tc>
          <w:tcPr>
            <w:tcW w:w="3243" w:type="dxa"/>
            <w:noWrap/>
            <w:hideMark/>
          </w:tcPr>
          <w:p w14:paraId="67C6A2F1" w14:textId="77777777" w:rsidR="004B6078" w:rsidRPr="00657635" w:rsidRDefault="004B6078" w:rsidP="00657635">
            <w:pPr>
              <w:spacing w:before="100" w:beforeAutospacing="1" w:after="100" w:afterAutospacing="1"/>
              <w:rPr>
                <w:sz w:val="20"/>
                <w:szCs w:val="20"/>
              </w:rPr>
            </w:pPr>
            <w:r w:rsidRPr="00657635">
              <w:rPr>
                <w:sz w:val="20"/>
                <w:szCs w:val="20"/>
              </w:rPr>
              <w:t>Curryfish hermanni</w:t>
            </w:r>
          </w:p>
        </w:tc>
      </w:tr>
      <w:tr w:rsidR="004B6078" w:rsidRPr="00657635" w14:paraId="710AEA2D" w14:textId="77777777" w:rsidTr="00657635">
        <w:trPr>
          <w:trHeight w:val="300"/>
        </w:trPr>
        <w:tc>
          <w:tcPr>
            <w:tcW w:w="2900" w:type="dxa"/>
            <w:noWrap/>
            <w:hideMark/>
          </w:tcPr>
          <w:p w14:paraId="40103B9A" w14:textId="77777777" w:rsidR="004B6078" w:rsidRPr="00657635" w:rsidRDefault="004B6078" w:rsidP="00657635">
            <w:pPr>
              <w:spacing w:before="100" w:beforeAutospacing="1" w:after="100" w:afterAutospacing="1"/>
              <w:rPr>
                <w:sz w:val="20"/>
                <w:szCs w:val="20"/>
              </w:rPr>
            </w:pPr>
            <w:r w:rsidRPr="00657635">
              <w:rPr>
                <w:sz w:val="20"/>
                <w:szCs w:val="20"/>
              </w:rPr>
              <w:t>Elephants trunk fish</w:t>
            </w:r>
          </w:p>
        </w:tc>
        <w:tc>
          <w:tcPr>
            <w:tcW w:w="2140" w:type="dxa"/>
            <w:noWrap/>
            <w:hideMark/>
          </w:tcPr>
          <w:p w14:paraId="49CB536B" w14:textId="77777777" w:rsidR="004B6078" w:rsidRPr="00657635" w:rsidRDefault="004B6078" w:rsidP="00657635">
            <w:pPr>
              <w:spacing w:before="100" w:beforeAutospacing="1" w:after="100" w:afterAutospacing="1"/>
              <w:rPr>
                <w:sz w:val="20"/>
                <w:szCs w:val="20"/>
              </w:rPr>
            </w:pPr>
            <w:r w:rsidRPr="00657635">
              <w:rPr>
                <w:sz w:val="20"/>
                <w:szCs w:val="20"/>
              </w:rPr>
              <w:t>Elephant trunk fish</w:t>
            </w:r>
          </w:p>
        </w:tc>
        <w:tc>
          <w:tcPr>
            <w:tcW w:w="737" w:type="dxa"/>
            <w:noWrap/>
            <w:hideMark/>
          </w:tcPr>
          <w:p w14:paraId="184C0CDC" w14:textId="77777777" w:rsidR="004B6078" w:rsidRPr="00657635" w:rsidRDefault="004B6078" w:rsidP="00657635">
            <w:pPr>
              <w:spacing w:before="100" w:beforeAutospacing="1" w:after="100" w:afterAutospacing="1"/>
              <w:jc w:val="right"/>
              <w:rPr>
                <w:sz w:val="20"/>
                <w:szCs w:val="20"/>
              </w:rPr>
            </w:pPr>
            <w:r w:rsidRPr="00657635">
              <w:rPr>
                <w:sz w:val="20"/>
                <w:szCs w:val="20"/>
              </w:rPr>
              <w:t>1027</w:t>
            </w:r>
          </w:p>
        </w:tc>
        <w:tc>
          <w:tcPr>
            <w:tcW w:w="3243" w:type="dxa"/>
            <w:noWrap/>
            <w:hideMark/>
          </w:tcPr>
          <w:p w14:paraId="3896175C" w14:textId="77777777" w:rsidR="004B6078" w:rsidRPr="00657635" w:rsidRDefault="004B6078" w:rsidP="00657635">
            <w:pPr>
              <w:spacing w:before="100" w:beforeAutospacing="1" w:after="100" w:afterAutospacing="1"/>
              <w:rPr>
                <w:sz w:val="20"/>
                <w:szCs w:val="20"/>
              </w:rPr>
            </w:pPr>
            <w:r w:rsidRPr="00657635">
              <w:rPr>
                <w:sz w:val="20"/>
                <w:szCs w:val="20"/>
              </w:rPr>
              <w:t>Elephant trunkfish</w:t>
            </w:r>
          </w:p>
        </w:tc>
      </w:tr>
      <w:tr w:rsidR="004B6078" w:rsidRPr="00657635" w14:paraId="27572283" w14:textId="77777777" w:rsidTr="00657635">
        <w:trPr>
          <w:trHeight w:val="300"/>
        </w:trPr>
        <w:tc>
          <w:tcPr>
            <w:tcW w:w="2900" w:type="dxa"/>
            <w:noWrap/>
            <w:hideMark/>
          </w:tcPr>
          <w:p w14:paraId="4AC6C4AC" w14:textId="77777777" w:rsidR="004B6078" w:rsidRPr="00657635" w:rsidRDefault="004B6078" w:rsidP="00657635">
            <w:pPr>
              <w:spacing w:before="100" w:beforeAutospacing="1" w:after="100" w:afterAutospacing="1"/>
              <w:rPr>
                <w:sz w:val="20"/>
                <w:szCs w:val="20"/>
              </w:rPr>
            </w:pPr>
            <w:r w:rsidRPr="00657635">
              <w:rPr>
                <w:sz w:val="20"/>
                <w:szCs w:val="20"/>
              </w:rPr>
              <w:t>Elephants trunk fish</w:t>
            </w:r>
          </w:p>
        </w:tc>
        <w:tc>
          <w:tcPr>
            <w:tcW w:w="2140" w:type="dxa"/>
            <w:noWrap/>
            <w:hideMark/>
          </w:tcPr>
          <w:p w14:paraId="4673CBEE" w14:textId="77777777" w:rsidR="004B6078" w:rsidRPr="00657635" w:rsidRDefault="004B6078" w:rsidP="00657635">
            <w:pPr>
              <w:spacing w:before="100" w:beforeAutospacing="1" w:after="100" w:afterAutospacing="1"/>
              <w:rPr>
                <w:sz w:val="20"/>
                <w:szCs w:val="20"/>
              </w:rPr>
            </w:pPr>
            <w:r w:rsidRPr="00657635">
              <w:rPr>
                <w:sz w:val="20"/>
                <w:szCs w:val="20"/>
              </w:rPr>
              <w:t>Elephants Trunk Fish</w:t>
            </w:r>
          </w:p>
        </w:tc>
        <w:tc>
          <w:tcPr>
            <w:tcW w:w="737" w:type="dxa"/>
            <w:noWrap/>
            <w:hideMark/>
          </w:tcPr>
          <w:p w14:paraId="6363544F" w14:textId="77777777" w:rsidR="004B6078" w:rsidRPr="00657635" w:rsidRDefault="004B6078" w:rsidP="00657635">
            <w:pPr>
              <w:spacing w:before="100" w:beforeAutospacing="1" w:after="100" w:afterAutospacing="1"/>
              <w:jc w:val="right"/>
              <w:rPr>
                <w:sz w:val="20"/>
                <w:szCs w:val="20"/>
              </w:rPr>
            </w:pPr>
            <w:r w:rsidRPr="00657635">
              <w:rPr>
                <w:sz w:val="20"/>
                <w:szCs w:val="20"/>
              </w:rPr>
              <w:t>40</w:t>
            </w:r>
          </w:p>
        </w:tc>
        <w:tc>
          <w:tcPr>
            <w:tcW w:w="3243" w:type="dxa"/>
            <w:noWrap/>
            <w:hideMark/>
          </w:tcPr>
          <w:p w14:paraId="74A63549" w14:textId="77777777" w:rsidR="004B6078" w:rsidRPr="00657635" w:rsidRDefault="004B6078" w:rsidP="00657635">
            <w:pPr>
              <w:spacing w:before="100" w:beforeAutospacing="1" w:after="100" w:afterAutospacing="1"/>
              <w:rPr>
                <w:sz w:val="20"/>
                <w:szCs w:val="20"/>
              </w:rPr>
            </w:pPr>
            <w:r w:rsidRPr="00657635">
              <w:rPr>
                <w:sz w:val="20"/>
                <w:szCs w:val="20"/>
              </w:rPr>
              <w:t>Elephant trunkfish</w:t>
            </w:r>
          </w:p>
        </w:tc>
      </w:tr>
      <w:tr w:rsidR="004B6078" w:rsidRPr="00657635" w14:paraId="2D3FCB45" w14:textId="77777777" w:rsidTr="00657635">
        <w:trPr>
          <w:trHeight w:val="300"/>
        </w:trPr>
        <w:tc>
          <w:tcPr>
            <w:tcW w:w="2900" w:type="dxa"/>
            <w:noWrap/>
            <w:hideMark/>
          </w:tcPr>
          <w:p w14:paraId="54D3D222" w14:textId="77777777" w:rsidR="004B6078" w:rsidRPr="00657635" w:rsidRDefault="004B6078" w:rsidP="00657635">
            <w:pPr>
              <w:spacing w:before="100" w:beforeAutospacing="1" w:after="100" w:afterAutospacing="1"/>
              <w:rPr>
                <w:sz w:val="20"/>
                <w:szCs w:val="20"/>
              </w:rPr>
            </w:pPr>
            <w:r w:rsidRPr="00657635">
              <w:rPr>
                <w:sz w:val="20"/>
                <w:szCs w:val="20"/>
              </w:rPr>
              <w:t>Golden sandfish</w:t>
            </w:r>
          </w:p>
        </w:tc>
        <w:tc>
          <w:tcPr>
            <w:tcW w:w="2140" w:type="dxa"/>
            <w:noWrap/>
            <w:hideMark/>
          </w:tcPr>
          <w:p w14:paraId="5D313452" w14:textId="77777777" w:rsidR="004B6078" w:rsidRPr="00657635" w:rsidRDefault="004B6078" w:rsidP="00657635">
            <w:pPr>
              <w:spacing w:before="100" w:beforeAutospacing="1" w:after="100" w:afterAutospacing="1"/>
              <w:rPr>
                <w:sz w:val="20"/>
                <w:szCs w:val="20"/>
              </w:rPr>
            </w:pPr>
            <w:r w:rsidRPr="00657635">
              <w:rPr>
                <w:sz w:val="20"/>
                <w:szCs w:val="20"/>
              </w:rPr>
              <w:t>Golden sandfish</w:t>
            </w:r>
          </w:p>
        </w:tc>
        <w:tc>
          <w:tcPr>
            <w:tcW w:w="737" w:type="dxa"/>
            <w:noWrap/>
            <w:hideMark/>
          </w:tcPr>
          <w:p w14:paraId="43B1230D" w14:textId="77777777" w:rsidR="004B6078" w:rsidRPr="00657635" w:rsidRDefault="004B6078" w:rsidP="00657635">
            <w:pPr>
              <w:spacing w:before="100" w:beforeAutospacing="1" w:after="100" w:afterAutospacing="1"/>
              <w:jc w:val="right"/>
              <w:rPr>
                <w:sz w:val="20"/>
                <w:szCs w:val="20"/>
              </w:rPr>
            </w:pPr>
            <w:r w:rsidRPr="00657635">
              <w:rPr>
                <w:sz w:val="20"/>
                <w:szCs w:val="20"/>
              </w:rPr>
              <w:t>866</w:t>
            </w:r>
          </w:p>
        </w:tc>
        <w:tc>
          <w:tcPr>
            <w:tcW w:w="3243" w:type="dxa"/>
            <w:noWrap/>
            <w:hideMark/>
          </w:tcPr>
          <w:p w14:paraId="7D9A8DD3" w14:textId="77777777" w:rsidR="004B6078" w:rsidRPr="00657635" w:rsidRDefault="004B6078" w:rsidP="00657635">
            <w:pPr>
              <w:spacing w:before="100" w:beforeAutospacing="1" w:after="100" w:afterAutospacing="1"/>
              <w:rPr>
                <w:sz w:val="20"/>
                <w:szCs w:val="20"/>
              </w:rPr>
            </w:pPr>
            <w:r w:rsidRPr="00657635">
              <w:rPr>
                <w:sz w:val="20"/>
                <w:szCs w:val="20"/>
              </w:rPr>
              <w:t>Golden sandfish</w:t>
            </w:r>
          </w:p>
        </w:tc>
      </w:tr>
      <w:tr w:rsidR="004B6078" w:rsidRPr="00657635" w14:paraId="795D6DB5" w14:textId="77777777" w:rsidTr="00657635">
        <w:trPr>
          <w:trHeight w:val="300"/>
        </w:trPr>
        <w:tc>
          <w:tcPr>
            <w:tcW w:w="2900" w:type="dxa"/>
            <w:noWrap/>
            <w:hideMark/>
          </w:tcPr>
          <w:p w14:paraId="0365D409" w14:textId="77777777" w:rsidR="004B6078" w:rsidRPr="00657635" w:rsidRDefault="004B6078" w:rsidP="00657635">
            <w:pPr>
              <w:spacing w:before="100" w:beforeAutospacing="1" w:after="100" w:afterAutospacing="1"/>
              <w:rPr>
                <w:sz w:val="20"/>
                <w:szCs w:val="20"/>
              </w:rPr>
            </w:pPr>
            <w:r w:rsidRPr="00657635">
              <w:rPr>
                <w:sz w:val="20"/>
                <w:szCs w:val="20"/>
              </w:rPr>
              <w:t>Green fish</w:t>
            </w:r>
          </w:p>
        </w:tc>
        <w:tc>
          <w:tcPr>
            <w:tcW w:w="2140" w:type="dxa"/>
            <w:noWrap/>
            <w:hideMark/>
          </w:tcPr>
          <w:p w14:paraId="7484190F" w14:textId="77777777" w:rsidR="004B6078" w:rsidRPr="00657635" w:rsidRDefault="004B6078" w:rsidP="00657635">
            <w:pPr>
              <w:spacing w:before="100" w:beforeAutospacing="1" w:after="100" w:afterAutospacing="1"/>
              <w:rPr>
                <w:sz w:val="20"/>
                <w:szCs w:val="20"/>
              </w:rPr>
            </w:pPr>
            <w:r w:rsidRPr="00657635">
              <w:rPr>
                <w:sz w:val="20"/>
                <w:szCs w:val="20"/>
              </w:rPr>
              <w:t>Green fish</w:t>
            </w:r>
          </w:p>
        </w:tc>
        <w:tc>
          <w:tcPr>
            <w:tcW w:w="737" w:type="dxa"/>
            <w:noWrap/>
            <w:hideMark/>
          </w:tcPr>
          <w:p w14:paraId="0AC252B5" w14:textId="77777777" w:rsidR="004B6078" w:rsidRPr="00657635" w:rsidRDefault="004B6078" w:rsidP="00657635">
            <w:pPr>
              <w:spacing w:before="100" w:beforeAutospacing="1" w:after="100" w:afterAutospacing="1"/>
              <w:jc w:val="right"/>
              <w:rPr>
                <w:sz w:val="20"/>
                <w:szCs w:val="20"/>
              </w:rPr>
            </w:pPr>
            <w:r w:rsidRPr="00657635">
              <w:rPr>
                <w:sz w:val="20"/>
                <w:szCs w:val="20"/>
              </w:rPr>
              <w:t>45</w:t>
            </w:r>
          </w:p>
        </w:tc>
        <w:tc>
          <w:tcPr>
            <w:tcW w:w="3243" w:type="dxa"/>
            <w:noWrap/>
            <w:hideMark/>
          </w:tcPr>
          <w:p w14:paraId="5BEB9FC7" w14:textId="77777777" w:rsidR="004B6078" w:rsidRPr="00657635" w:rsidRDefault="004B6078" w:rsidP="00657635">
            <w:pPr>
              <w:spacing w:before="100" w:beforeAutospacing="1" w:after="100" w:afterAutospacing="1"/>
              <w:rPr>
                <w:sz w:val="20"/>
                <w:szCs w:val="20"/>
              </w:rPr>
            </w:pPr>
            <w:r w:rsidRPr="00657635">
              <w:rPr>
                <w:sz w:val="20"/>
                <w:szCs w:val="20"/>
              </w:rPr>
              <w:t>Greenfish</w:t>
            </w:r>
          </w:p>
        </w:tc>
      </w:tr>
      <w:tr w:rsidR="004B6078" w:rsidRPr="00657635" w14:paraId="254A36DA" w14:textId="77777777" w:rsidTr="00657635">
        <w:trPr>
          <w:trHeight w:val="300"/>
        </w:trPr>
        <w:tc>
          <w:tcPr>
            <w:tcW w:w="2900" w:type="dxa"/>
            <w:noWrap/>
            <w:hideMark/>
          </w:tcPr>
          <w:p w14:paraId="10469F7C" w14:textId="77777777" w:rsidR="004B6078" w:rsidRPr="00657635" w:rsidRDefault="004B6078" w:rsidP="00657635">
            <w:pPr>
              <w:spacing w:before="100" w:beforeAutospacing="1" w:after="100" w:afterAutospacing="1"/>
              <w:rPr>
                <w:sz w:val="20"/>
                <w:szCs w:val="20"/>
              </w:rPr>
            </w:pPr>
            <w:r w:rsidRPr="00657635">
              <w:rPr>
                <w:sz w:val="20"/>
                <w:szCs w:val="20"/>
              </w:rPr>
              <w:t>Leopardfish</w:t>
            </w:r>
          </w:p>
        </w:tc>
        <w:tc>
          <w:tcPr>
            <w:tcW w:w="2140" w:type="dxa"/>
            <w:noWrap/>
            <w:hideMark/>
          </w:tcPr>
          <w:p w14:paraId="00610CBA" w14:textId="77777777" w:rsidR="004B6078" w:rsidRPr="00657635" w:rsidRDefault="004B6078" w:rsidP="00657635">
            <w:pPr>
              <w:spacing w:before="100" w:beforeAutospacing="1" w:after="100" w:afterAutospacing="1"/>
              <w:rPr>
                <w:sz w:val="20"/>
                <w:szCs w:val="20"/>
              </w:rPr>
            </w:pPr>
            <w:r w:rsidRPr="00657635">
              <w:rPr>
                <w:sz w:val="20"/>
                <w:szCs w:val="20"/>
              </w:rPr>
              <w:t>Leopard fish</w:t>
            </w:r>
          </w:p>
        </w:tc>
        <w:tc>
          <w:tcPr>
            <w:tcW w:w="737" w:type="dxa"/>
            <w:noWrap/>
            <w:hideMark/>
          </w:tcPr>
          <w:p w14:paraId="2631E349" w14:textId="77777777" w:rsidR="004B6078" w:rsidRPr="00657635" w:rsidRDefault="004B6078" w:rsidP="00657635">
            <w:pPr>
              <w:spacing w:before="100" w:beforeAutospacing="1" w:after="100" w:afterAutospacing="1"/>
              <w:jc w:val="right"/>
              <w:rPr>
                <w:sz w:val="20"/>
                <w:szCs w:val="20"/>
              </w:rPr>
            </w:pPr>
            <w:r w:rsidRPr="00657635">
              <w:rPr>
                <w:sz w:val="20"/>
                <w:szCs w:val="20"/>
              </w:rPr>
              <w:t>1703</w:t>
            </w:r>
          </w:p>
        </w:tc>
        <w:tc>
          <w:tcPr>
            <w:tcW w:w="3243" w:type="dxa"/>
            <w:noWrap/>
            <w:hideMark/>
          </w:tcPr>
          <w:p w14:paraId="62E92556" w14:textId="77777777" w:rsidR="004B6078" w:rsidRPr="00657635" w:rsidRDefault="004B6078" w:rsidP="00657635">
            <w:pPr>
              <w:spacing w:before="100" w:beforeAutospacing="1" w:after="100" w:afterAutospacing="1"/>
              <w:rPr>
                <w:sz w:val="20"/>
                <w:szCs w:val="20"/>
              </w:rPr>
            </w:pPr>
            <w:r w:rsidRPr="00657635">
              <w:rPr>
                <w:sz w:val="20"/>
                <w:szCs w:val="20"/>
              </w:rPr>
              <w:t>Leopardfish</w:t>
            </w:r>
          </w:p>
        </w:tc>
      </w:tr>
      <w:tr w:rsidR="004B6078" w:rsidRPr="00657635" w14:paraId="1AE29E81" w14:textId="77777777" w:rsidTr="00657635">
        <w:trPr>
          <w:trHeight w:val="300"/>
        </w:trPr>
        <w:tc>
          <w:tcPr>
            <w:tcW w:w="2900" w:type="dxa"/>
            <w:noWrap/>
            <w:hideMark/>
          </w:tcPr>
          <w:p w14:paraId="2B26FE2C" w14:textId="77777777" w:rsidR="004B6078" w:rsidRPr="00657635" w:rsidRDefault="004B6078" w:rsidP="00657635">
            <w:pPr>
              <w:spacing w:before="100" w:beforeAutospacing="1" w:after="100" w:afterAutospacing="1"/>
              <w:rPr>
                <w:sz w:val="20"/>
                <w:szCs w:val="20"/>
              </w:rPr>
            </w:pPr>
            <w:r w:rsidRPr="00657635">
              <w:rPr>
                <w:sz w:val="20"/>
                <w:szCs w:val="20"/>
              </w:rPr>
              <w:t>Prickly red fish</w:t>
            </w:r>
          </w:p>
        </w:tc>
        <w:tc>
          <w:tcPr>
            <w:tcW w:w="2140" w:type="dxa"/>
            <w:noWrap/>
            <w:hideMark/>
          </w:tcPr>
          <w:p w14:paraId="11F1A193" w14:textId="77777777" w:rsidR="004B6078" w:rsidRPr="00657635" w:rsidRDefault="004B6078" w:rsidP="00657635">
            <w:pPr>
              <w:spacing w:before="100" w:beforeAutospacing="1" w:after="100" w:afterAutospacing="1"/>
              <w:rPr>
                <w:sz w:val="20"/>
                <w:szCs w:val="20"/>
              </w:rPr>
            </w:pPr>
            <w:r w:rsidRPr="00657635">
              <w:rPr>
                <w:sz w:val="20"/>
                <w:szCs w:val="20"/>
              </w:rPr>
              <w:t>Prickly red fish</w:t>
            </w:r>
          </w:p>
        </w:tc>
        <w:tc>
          <w:tcPr>
            <w:tcW w:w="737" w:type="dxa"/>
            <w:noWrap/>
            <w:hideMark/>
          </w:tcPr>
          <w:p w14:paraId="7DD031BB" w14:textId="77777777" w:rsidR="004B6078" w:rsidRPr="00657635" w:rsidRDefault="004B6078" w:rsidP="00657635">
            <w:pPr>
              <w:spacing w:before="100" w:beforeAutospacing="1" w:after="100" w:afterAutospacing="1"/>
              <w:jc w:val="right"/>
              <w:rPr>
                <w:sz w:val="20"/>
                <w:szCs w:val="20"/>
              </w:rPr>
            </w:pPr>
            <w:r w:rsidRPr="00657635">
              <w:rPr>
                <w:sz w:val="20"/>
                <w:szCs w:val="20"/>
              </w:rPr>
              <w:t>5892</w:t>
            </w:r>
          </w:p>
        </w:tc>
        <w:tc>
          <w:tcPr>
            <w:tcW w:w="3243" w:type="dxa"/>
            <w:noWrap/>
            <w:hideMark/>
          </w:tcPr>
          <w:p w14:paraId="3710CF04" w14:textId="77777777" w:rsidR="004B6078" w:rsidRPr="00657635" w:rsidRDefault="004B6078" w:rsidP="00657635">
            <w:pPr>
              <w:spacing w:before="100" w:beforeAutospacing="1" w:after="100" w:afterAutospacing="1"/>
              <w:rPr>
                <w:sz w:val="20"/>
                <w:szCs w:val="20"/>
              </w:rPr>
            </w:pPr>
            <w:r w:rsidRPr="00657635">
              <w:rPr>
                <w:sz w:val="20"/>
                <w:szCs w:val="20"/>
              </w:rPr>
              <w:t>Prickly redfish</w:t>
            </w:r>
          </w:p>
        </w:tc>
      </w:tr>
      <w:tr w:rsidR="004B6078" w:rsidRPr="00657635" w14:paraId="5F301875" w14:textId="77777777" w:rsidTr="00657635">
        <w:trPr>
          <w:trHeight w:val="300"/>
        </w:trPr>
        <w:tc>
          <w:tcPr>
            <w:tcW w:w="2900" w:type="dxa"/>
            <w:noWrap/>
            <w:hideMark/>
          </w:tcPr>
          <w:p w14:paraId="02E76A5F" w14:textId="77777777" w:rsidR="004B6078" w:rsidRPr="00657635" w:rsidRDefault="004B6078" w:rsidP="00657635">
            <w:pPr>
              <w:spacing w:before="100" w:beforeAutospacing="1" w:after="100" w:afterAutospacing="1"/>
              <w:rPr>
                <w:sz w:val="20"/>
                <w:szCs w:val="20"/>
              </w:rPr>
            </w:pPr>
            <w:r w:rsidRPr="00657635">
              <w:rPr>
                <w:sz w:val="20"/>
                <w:szCs w:val="20"/>
              </w:rPr>
              <w:lastRenderedPageBreak/>
              <w:t>Red fish</w:t>
            </w:r>
          </w:p>
        </w:tc>
        <w:tc>
          <w:tcPr>
            <w:tcW w:w="2140" w:type="dxa"/>
            <w:noWrap/>
            <w:hideMark/>
          </w:tcPr>
          <w:p w14:paraId="02E87823" w14:textId="77777777" w:rsidR="004B6078" w:rsidRPr="00657635" w:rsidRDefault="004B6078" w:rsidP="00657635">
            <w:pPr>
              <w:spacing w:before="100" w:beforeAutospacing="1" w:after="100" w:afterAutospacing="1"/>
              <w:rPr>
                <w:sz w:val="20"/>
                <w:szCs w:val="20"/>
              </w:rPr>
            </w:pPr>
            <w:r w:rsidRPr="00657635">
              <w:rPr>
                <w:sz w:val="20"/>
                <w:szCs w:val="20"/>
              </w:rPr>
              <w:t>Deepwater red fish</w:t>
            </w:r>
          </w:p>
        </w:tc>
        <w:tc>
          <w:tcPr>
            <w:tcW w:w="737" w:type="dxa"/>
            <w:noWrap/>
            <w:hideMark/>
          </w:tcPr>
          <w:p w14:paraId="2B557DFB" w14:textId="77777777" w:rsidR="004B6078" w:rsidRPr="00657635" w:rsidRDefault="004B6078" w:rsidP="00657635">
            <w:pPr>
              <w:spacing w:before="100" w:beforeAutospacing="1" w:after="100" w:afterAutospacing="1"/>
              <w:jc w:val="right"/>
              <w:rPr>
                <w:sz w:val="20"/>
                <w:szCs w:val="20"/>
              </w:rPr>
            </w:pPr>
            <w:r w:rsidRPr="00657635">
              <w:rPr>
                <w:sz w:val="20"/>
                <w:szCs w:val="20"/>
              </w:rPr>
              <w:t>412</w:t>
            </w:r>
          </w:p>
        </w:tc>
        <w:tc>
          <w:tcPr>
            <w:tcW w:w="3243" w:type="dxa"/>
            <w:noWrap/>
            <w:hideMark/>
          </w:tcPr>
          <w:p w14:paraId="09CED78E" w14:textId="77777777" w:rsidR="004B6078" w:rsidRPr="00657635" w:rsidRDefault="004B6078" w:rsidP="00657635">
            <w:pPr>
              <w:spacing w:before="100" w:beforeAutospacing="1" w:after="100" w:afterAutospacing="1"/>
              <w:rPr>
                <w:sz w:val="20"/>
                <w:szCs w:val="20"/>
              </w:rPr>
            </w:pPr>
            <w:r w:rsidRPr="00657635">
              <w:rPr>
                <w:sz w:val="20"/>
                <w:szCs w:val="20"/>
              </w:rPr>
              <w:t>Deepwater redfish</w:t>
            </w:r>
          </w:p>
        </w:tc>
      </w:tr>
      <w:tr w:rsidR="004B6078" w:rsidRPr="00657635" w14:paraId="68BC7ED2" w14:textId="77777777" w:rsidTr="00657635">
        <w:trPr>
          <w:trHeight w:val="300"/>
        </w:trPr>
        <w:tc>
          <w:tcPr>
            <w:tcW w:w="2900" w:type="dxa"/>
            <w:noWrap/>
            <w:hideMark/>
          </w:tcPr>
          <w:p w14:paraId="53273158" w14:textId="77777777" w:rsidR="004B6078" w:rsidRPr="00657635" w:rsidRDefault="004B6078" w:rsidP="00657635">
            <w:pPr>
              <w:spacing w:before="100" w:beforeAutospacing="1" w:after="100" w:afterAutospacing="1"/>
              <w:rPr>
                <w:sz w:val="20"/>
                <w:szCs w:val="20"/>
              </w:rPr>
            </w:pPr>
            <w:r w:rsidRPr="00657635">
              <w:rPr>
                <w:sz w:val="20"/>
                <w:szCs w:val="20"/>
              </w:rPr>
              <w:t>Sand fish</w:t>
            </w:r>
          </w:p>
        </w:tc>
        <w:tc>
          <w:tcPr>
            <w:tcW w:w="2140" w:type="dxa"/>
            <w:noWrap/>
            <w:hideMark/>
          </w:tcPr>
          <w:p w14:paraId="219CEBF1" w14:textId="77777777" w:rsidR="004B6078" w:rsidRPr="00657635" w:rsidRDefault="004B6078" w:rsidP="00657635">
            <w:pPr>
              <w:spacing w:before="100" w:beforeAutospacing="1" w:after="100" w:afterAutospacing="1"/>
              <w:rPr>
                <w:sz w:val="20"/>
                <w:szCs w:val="20"/>
              </w:rPr>
            </w:pPr>
            <w:r w:rsidRPr="00657635">
              <w:rPr>
                <w:sz w:val="20"/>
                <w:szCs w:val="20"/>
              </w:rPr>
              <w:t>Golden sandfish</w:t>
            </w:r>
          </w:p>
        </w:tc>
        <w:tc>
          <w:tcPr>
            <w:tcW w:w="737" w:type="dxa"/>
            <w:noWrap/>
            <w:hideMark/>
          </w:tcPr>
          <w:p w14:paraId="1C143067" w14:textId="77777777" w:rsidR="004B6078" w:rsidRPr="00657635" w:rsidRDefault="004B6078" w:rsidP="00657635">
            <w:pPr>
              <w:spacing w:before="100" w:beforeAutospacing="1" w:after="100" w:afterAutospacing="1"/>
              <w:jc w:val="right"/>
              <w:rPr>
                <w:sz w:val="20"/>
                <w:szCs w:val="20"/>
              </w:rPr>
            </w:pPr>
            <w:r w:rsidRPr="00657635">
              <w:rPr>
                <w:sz w:val="20"/>
                <w:szCs w:val="20"/>
              </w:rPr>
              <w:t>326</w:t>
            </w:r>
          </w:p>
        </w:tc>
        <w:tc>
          <w:tcPr>
            <w:tcW w:w="3243" w:type="dxa"/>
            <w:noWrap/>
            <w:hideMark/>
          </w:tcPr>
          <w:p w14:paraId="4D91AD91" w14:textId="77777777" w:rsidR="004B6078" w:rsidRPr="00657635" w:rsidRDefault="004B6078" w:rsidP="00657635">
            <w:pPr>
              <w:spacing w:before="100" w:beforeAutospacing="1" w:after="100" w:afterAutospacing="1"/>
              <w:rPr>
                <w:sz w:val="20"/>
                <w:szCs w:val="20"/>
              </w:rPr>
            </w:pPr>
            <w:r w:rsidRPr="00657635">
              <w:rPr>
                <w:sz w:val="20"/>
                <w:szCs w:val="20"/>
              </w:rPr>
              <w:t>Golden sandfish</w:t>
            </w:r>
          </w:p>
        </w:tc>
      </w:tr>
      <w:tr w:rsidR="004B6078" w:rsidRPr="00657635" w14:paraId="7C3B8777" w14:textId="77777777" w:rsidTr="00657635">
        <w:trPr>
          <w:trHeight w:val="300"/>
        </w:trPr>
        <w:tc>
          <w:tcPr>
            <w:tcW w:w="2900" w:type="dxa"/>
            <w:noWrap/>
            <w:hideMark/>
          </w:tcPr>
          <w:p w14:paraId="225A34C1" w14:textId="77777777" w:rsidR="004B6078" w:rsidRPr="00657635" w:rsidRDefault="004B6078" w:rsidP="00657635">
            <w:pPr>
              <w:spacing w:before="100" w:beforeAutospacing="1" w:after="100" w:afterAutospacing="1"/>
              <w:rPr>
                <w:sz w:val="20"/>
                <w:szCs w:val="20"/>
              </w:rPr>
            </w:pPr>
            <w:r w:rsidRPr="00657635">
              <w:rPr>
                <w:sz w:val="20"/>
                <w:szCs w:val="20"/>
              </w:rPr>
              <w:t>Sand fish</w:t>
            </w:r>
          </w:p>
        </w:tc>
        <w:tc>
          <w:tcPr>
            <w:tcW w:w="2140" w:type="dxa"/>
            <w:noWrap/>
            <w:hideMark/>
          </w:tcPr>
          <w:p w14:paraId="79A68A41" w14:textId="77777777" w:rsidR="004B6078" w:rsidRPr="00657635" w:rsidRDefault="004B6078" w:rsidP="00657635">
            <w:pPr>
              <w:spacing w:before="100" w:beforeAutospacing="1" w:after="100" w:afterAutospacing="1"/>
              <w:rPr>
                <w:sz w:val="20"/>
                <w:szCs w:val="20"/>
              </w:rPr>
            </w:pPr>
            <w:r w:rsidRPr="00657635">
              <w:rPr>
                <w:sz w:val="20"/>
                <w:szCs w:val="20"/>
              </w:rPr>
              <w:t>Sand fish</w:t>
            </w:r>
          </w:p>
        </w:tc>
        <w:tc>
          <w:tcPr>
            <w:tcW w:w="737" w:type="dxa"/>
            <w:noWrap/>
            <w:hideMark/>
          </w:tcPr>
          <w:p w14:paraId="0512DE05" w14:textId="77777777" w:rsidR="004B6078" w:rsidRPr="00657635" w:rsidRDefault="004B6078" w:rsidP="00657635">
            <w:pPr>
              <w:spacing w:before="100" w:beforeAutospacing="1" w:after="100" w:afterAutospacing="1"/>
              <w:jc w:val="right"/>
              <w:rPr>
                <w:sz w:val="20"/>
                <w:szCs w:val="20"/>
              </w:rPr>
            </w:pPr>
            <w:r w:rsidRPr="00657635">
              <w:rPr>
                <w:sz w:val="20"/>
                <w:szCs w:val="20"/>
              </w:rPr>
              <w:t>957</w:t>
            </w:r>
          </w:p>
        </w:tc>
        <w:tc>
          <w:tcPr>
            <w:tcW w:w="3243" w:type="dxa"/>
            <w:noWrap/>
            <w:hideMark/>
          </w:tcPr>
          <w:p w14:paraId="3FDC29C7" w14:textId="77777777" w:rsidR="004B6078" w:rsidRPr="00657635" w:rsidRDefault="004B6078" w:rsidP="00657635">
            <w:pPr>
              <w:spacing w:before="100" w:beforeAutospacing="1" w:after="100" w:afterAutospacing="1"/>
              <w:rPr>
                <w:sz w:val="20"/>
                <w:szCs w:val="20"/>
              </w:rPr>
            </w:pPr>
            <w:r w:rsidRPr="00657635">
              <w:rPr>
                <w:sz w:val="20"/>
                <w:szCs w:val="20"/>
              </w:rPr>
              <w:t>Sandfish</w:t>
            </w:r>
          </w:p>
        </w:tc>
      </w:tr>
      <w:tr w:rsidR="004B6078" w:rsidRPr="00657635" w14:paraId="6DF6E2C0" w14:textId="77777777" w:rsidTr="00657635">
        <w:trPr>
          <w:trHeight w:val="300"/>
        </w:trPr>
        <w:tc>
          <w:tcPr>
            <w:tcW w:w="2900" w:type="dxa"/>
            <w:noWrap/>
            <w:hideMark/>
          </w:tcPr>
          <w:p w14:paraId="12C8C7B6" w14:textId="77777777" w:rsidR="004B6078" w:rsidRPr="00657635" w:rsidRDefault="004B6078" w:rsidP="00657635">
            <w:pPr>
              <w:spacing w:before="100" w:beforeAutospacing="1" w:after="100" w:afterAutospacing="1"/>
              <w:rPr>
                <w:sz w:val="20"/>
                <w:szCs w:val="20"/>
              </w:rPr>
            </w:pPr>
            <w:r w:rsidRPr="00657635">
              <w:rPr>
                <w:sz w:val="20"/>
                <w:szCs w:val="20"/>
              </w:rPr>
              <w:t>sea cucumbers</w:t>
            </w:r>
          </w:p>
        </w:tc>
        <w:tc>
          <w:tcPr>
            <w:tcW w:w="2140" w:type="dxa"/>
            <w:noWrap/>
            <w:hideMark/>
          </w:tcPr>
          <w:p w14:paraId="3BA23EC0" w14:textId="77777777" w:rsidR="004B6078" w:rsidRPr="00657635" w:rsidRDefault="004B6078" w:rsidP="00657635">
            <w:pPr>
              <w:spacing w:before="100" w:beforeAutospacing="1" w:after="100" w:afterAutospacing="1"/>
              <w:rPr>
                <w:sz w:val="20"/>
                <w:szCs w:val="20"/>
              </w:rPr>
            </w:pPr>
            <w:r w:rsidRPr="00657635">
              <w:rPr>
                <w:sz w:val="20"/>
                <w:szCs w:val="20"/>
              </w:rPr>
              <w:t>Curry Fish</w:t>
            </w:r>
          </w:p>
        </w:tc>
        <w:tc>
          <w:tcPr>
            <w:tcW w:w="737" w:type="dxa"/>
            <w:noWrap/>
            <w:hideMark/>
          </w:tcPr>
          <w:p w14:paraId="5A4E16FA" w14:textId="77777777" w:rsidR="004B6078" w:rsidRPr="00657635" w:rsidRDefault="004B6078" w:rsidP="00657635">
            <w:pPr>
              <w:spacing w:before="100" w:beforeAutospacing="1" w:after="100" w:afterAutospacing="1"/>
              <w:jc w:val="right"/>
              <w:rPr>
                <w:sz w:val="20"/>
                <w:szCs w:val="20"/>
              </w:rPr>
            </w:pPr>
            <w:r w:rsidRPr="00657635">
              <w:rPr>
                <w:sz w:val="20"/>
                <w:szCs w:val="20"/>
              </w:rPr>
              <w:t>37</w:t>
            </w:r>
          </w:p>
        </w:tc>
        <w:tc>
          <w:tcPr>
            <w:tcW w:w="3243" w:type="dxa"/>
            <w:noWrap/>
            <w:hideMark/>
          </w:tcPr>
          <w:p w14:paraId="00D45CC0" w14:textId="77777777" w:rsidR="004B6078" w:rsidRPr="00657635" w:rsidRDefault="004B6078" w:rsidP="00657635">
            <w:pPr>
              <w:spacing w:before="100" w:beforeAutospacing="1" w:after="100" w:afterAutospacing="1"/>
              <w:rPr>
                <w:sz w:val="20"/>
                <w:szCs w:val="20"/>
              </w:rPr>
            </w:pPr>
            <w:r w:rsidRPr="00657635">
              <w:rPr>
                <w:sz w:val="20"/>
                <w:szCs w:val="20"/>
              </w:rPr>
              <w:t>Curryfish</w:t>
            </w:r>
          </w:p>
        </w:tc>
      </w:tr>
      <w:tr w:rsidR="004B6078" w:rsidRPr="00657635" w14:paraId="2CB6B338" w14:textId="77777777" w:rsidTr="00657635">
        <w:trPr>
          <w:trHeight w:val="300"/>
        </w:trPr>
        <w:tc>
          <w:tcPr>
            <w:tcW w:w="2900" w:type="dxa"/>
            <w:noWrap/>
            <w:hideMark/>
          </w:tcPr>
          <w:p w14:paraId="3365D803" w14:textId="77777777" w:rsidR="004B6078" w:rsidRPr="00657635" w:rsidRDefault="004B6078" w:rsidP="00657635">
            <w:pPr>
              <w:spacing w:before="100" w:beforeAutospacing="1" w:after="100" w:afterAutospacing="1"/>
              <w:rPr>
                <w:sz w:val="20"/>
                <w:szCs w:val="20"/>
              </w:rPr>
            </w:pPr>
            <w:r w:rsidRPr="00657635">
              <w:rPr>
                <w:sz w:val="20"/>
                <w:szCs w:val="20"/>
              </w:rPr>
              <w:t>sea cucumbers</w:t>
            </w:r>
          </w:p>
        </w:tc>
        <w:tc>
          <w:tcPr>
            <w:tcW w:w="2140" w:type="dxa"/>
            <w:noWrap/>
            <w:hideMark/>
          </w:tcPr>
          <w:p w14:paraId="651CBEA2" w14:textId="77777777" w:rsidR="004B6078" w:rsidRPr="00657635" w:rsidRDefault="004B6078" w:rsidP="00657635">
            <w:pPr>
              <w:spacing w:before="100" w:beforeAutospacing="1" w:after="100" w:afterAutospacing="1"/>
              <w:rPr>
                <w:sz w:val="20"/>
                <w:szCs w:val="20"/>
              </w:rPr>
            </w:pPr>
            <w:r w:rsidRPr="00657635">
              <w:rPr>
                <w:sz w:val="20"/>
                <w:szCs w:val="20"/>
              </w:rPr>
              <w:t>Curryfish</w:t>
            </w:r>
          </w:p>
        </w:tc>
        <w:tc>
          <w:tcPr>
            <w:tcW w:w="737" w:type="dxa"/>
            <w:noWrap/>
            <w:hideMark/>
          </w:tcPr>
          <w:p w14:paraId="1ACA3B00" w14:textId="77777777" w:rsidR="004B6078" w:rsidRPr="00657635" w:rsidRDefault="004B6078" w:rsidP="00657635">
            <w:pPr>
              <w:spacing w:before="100" w:beforeAutospacing="1" w:after="100" w:afterAutospacing="1"/>
              <w:jc w:val="right"/>
              <w:rPr>
                <w:sz w:val="20"/>
                <w:szCs w:val="20"/>
              </w:rPr>
            </w:pPr>
            <w:r w:rsidRPr="00657635">
              <w:rPr>
                <w:sz w:val="20"/>
                <w:szCs w:val="20"/>
              </w:rPr>
              <w:t>617</w:t>
            </w:r>
          </w:p>
        </w:tc>
        <w:tc>
          <w:tcPr>
            <w:tcW w:w="3243" w:type="dxa"/>
            <w:noWrap/>
            <w:hideMark/>
          </w:tcPr>
          <w:p w14:paraId="5B4622ED" w14:textId="77777777" w:rsidR="004B6078" w:rsidRPr="00657635" w:rsidRDefault="004B6078" w:rsidP="00657635">
            <w:pPr>
              <w:spacing w:before="100" w:beforeAutospacing="1" w:after="100" w:afterAutospacing="1"/>
              <w:rPr>
                <w:sz w:val="20"/>
                <w:szCs w:val="20"/>
              </w:rPr>
            </w:pPr>
            <w:r w:rsidRPr="00657635">
              <w:rPr>
                <w:sz w:val="20"/>
                <w:szCs w:val="20"/>
              </w:rPr>
              <w:t>Curryfish</w:t>
            </w:r>
          </w:p>
        </w:tc>
      </w:tr>
      <w:tr w:rsidR="004B6078" w:rsidRPr="00657635" w14:paraId="721ADADE" w14:textId="77777777" w:rsidTr="00657635">
        <w:trPr>
          <w:trHeight w:val="300"/>
        </w:trPr>
        <w:tc>
          <w:tcPr>
            <w:tcW w:w="2900" w:type="dxa"/>
            <w:noWrap/>
            <w:hideMark/>
          </w:tcPr>
          <w:p w14:paraId="78062C01" w14:textId="77777777" w:rsidR="004B6078" w:rsidRPr="00657635" w:rsidRDefault="004B6078" w:rsidP="00657635">
            <w:pPr>
              <w:spacing w:before="100" w:beforeAutospacing="1" w:after="100" w:afterAutospacing="1"/>
              <w:rPr>
                <w:sz w:val="20"/>
                <w:szCs w:val="20"/>
              </w:rPr>
            </w:pPr>
            <w:r w:rsidRPr="00657635">
              <w:rPr>
                <w:sz w:val="20"/>
                <w:szCs w:val="20"/>
              </w:rPr>
              <w:t>sea cucumbers</w:t>
            </w:r>
          </w:p>
        </w:tc>
        <w:tc>
          <w:tcPr>
            <w:tcW w:w="2140" w:type="dxa"/>
            <w:noWrap/>
            <w:hideMark/>
          </w:tcPr>
          <w:p w14:paraId="1FD31934" w14:textId="77777777" w:rsidR="004B6078" w:rsidRPr="00657635" w:rsidRDefault="004B6078" w:rsidP="00657635">
            <w:pPr>
              <w:spacing w:before="100" w:beforeAutospacing="1" w:after="100" w:afterAutospacing="1"/>
              <w:rPr>
                <w:sz w:val="20"/>
                <w:szCs w:val="20"/>
              </w:rPr>
            </w:pPr>
            <w:r w:rsidRPr="00657635">
              <w:rPr>
                <w:sz w:val="20"/>
                <w:szCs w:val="20"/>
              </w:rPr>
              <w:t>Sea cucumbers</w:t>
            </w:r>
          </w:p>
        </w:tc>
        <w:tc>
          <w:tcPr>
            <w:tcW w:w="737" w:type="dxa"/>
            <w:noWrap/>
            <w:hideMark/>
          </w:tcPr>
          <w:p w14:paraId="007A96AB" w14:textId="77777777" w:rsidR="004B6078" w:rsidRPr="00657635" w:rsidRDefault="004B6078" w:rsidP="00657635">
            <w:pPr>
              <w:spacing w:before="100" w:beforeAutospacing="1" w:after="100" w:afterAutospacing="1"/>
              <w:jc w:val="right"/>
              <w:rPr>
                <w:sz w:val="20"/>
                <w:szCs w:val="20"/>
              </w:rPr>
            </w:pPr>
            <w:r w:rsidRPr="00657635">
              <w:rPr>
                <w:sz w:val="20"/>
                <w:szCs w:val="20"/>
              </w:rPr>
              <w:t>42</w:t>
            </w:r>
          </w:p>
        </w:tc>
        <w:tc>
          <w:tcPr>
            <w:tcW w:w="3243" w:type="dxa"/>
            <w:noWrap/>
            <w:hideMark/>
          </w:tcPr>
          <w:p w14:paraId="79F2C920" w14:textId="77777777" w:rsidR="004B6078" w:rsidRPr="00657635" w:rsidRDefault="004B6078" w:rsidP="00657635">
            <w:pPr>
              <w:spacing w:before="100" w:beforeAutospacing="1" w:after="100" w:afterAutospacing="1"/>
              <w:rPr>
                <w:sz w:val="20"/>
                <w:szCs w:val="20"/>
              </w:rPr>
            </w:pPr>
            <w:r w:rsidRPr="00657635">
              <w:rPr>
                <w:sz w:val="20"/>
                <w:szCs w:val="20"/>
              </w:rPr>
              <w:t>Unknown</w:t>
            </w:r>
          </w:p>
        </w:tc>
      </w:tr>
      <w:tr w:rsidR="004B6078" w:rsidRPr="00657635" w14:paraId="61D8B521" w14:textId="77777777" w:rsidTr="00657635">
        <w:trPr>
          <w:trHeight w:val="300"/>
        </w:trPr>
        <w:tc>
          <w:tcPr>
            <w:tcW w:w="2900" w:type="dxa"/>
            <w:noWrap/>
            <w:hideMark/>
          </w:tcPr>
          <w:p w14:paraId="0B4B60FA" w14:textId="77777777" w:rsidR="004B6078" w:rsidRPr="00657635" w:rsidRDefault="004B6078" w:rsidP="00657635">
            <w:pPr>
              <w:spacing w:before="100" w:beforeAutospacing="1" w:after="100" w:afterAutospacing="1"/>
              <w:rPr>
                <w:sz w:val="20"/>
                <w:szCs w:val="20"/>
              </w:rPr>
            </w:pPr>
            <w:r w:rsidRPr="00657635">
              <w:rPr>
                <w:sz w:val="20"/>
                <w:szCs w:val="20"/>
              </w:rPr>
              <w:t>Stonefish</w:t>
            </w:r>
          </w:p>
        </w:tc>
        <w:tc>
          <w:tcPr>
            <w:tcW w:w="2140" w:type="dxa"/>
            <w:noWrap/>
            <w:hideMark/>
          </w:tcPr>
          <w:p w14:paraId="65D400B4" w14:textId="77777777" w:rsidR="004B6078" w:rsidRPr="00657635" w:rsidRDefault="004B6078" w:rsidP="00657635">
            <w:pPr>
              <w:spacing w:before="100" w:beforeAutospacing="1" w:after="100" w:afterAutospacing="1"/>
              <w:rPr>
                <w:sz w:val="20"/>
                <w:szCs w:val="20"/>
              </w:rPr>
            </w:pPr>
            <w:r w:rsidRPr="00657635">
              <w:rPr>
                <w:sz w:val="20"/>
                <w:szCs w:val="20"/>
              </w:rPr>
              <w:t>Stonefish</w:t>
            </w:r>
          </w:p>
        </w:tc>
        <w:tc>
          <w:tcPr>
            <w:tcW w:w="737" w:type="dxa"/>
            <w:noWrap/>
            <w:hideMark/>
          </w:tcPr>
          <w:p w14:paraId="112BE7D7" w14:textId="77777777" w:rsidR="004B6078" w:rsidRPr="00657635" w:rsidRDefault="004B6078" w:rsidP="00657635">
            <w:pPr>
              <w:spacing w:before="100" w:beforeAutospacing="1" w:after="100" w:afterAutospacing="1"/>
              <w:jc w:val="right"/>
              <w:rPr>
                <w:sz w:val="20"/>
                <w:szCs w:val="20"/>
              </w:rPr>
            </w:pPr>
            <w:r w:rsidRPr="00657635">
              <w:rPr>
                <w:sz w:val="20"/>
                <w:szCs w:val="20"/>
              </w:rPr>
              <w:t>44</w:t>
            </w:r>
          </w:p>
        </w:tc>
        <w:tc>
          <w:tcPr>
            <w:tcW w:w="3243" w:type="dxa"/>
            <w:noWrap/>
            <w:hideMark/>
          </w:tcPr>
          <w:p w14:paraId="5C69CC8A" w14:textId="77777777" w:rsidR="004B6078" w:rsidRPr="00657635" w:rsidRDefault="004B6078" w:rsidP="00657635">
            <w:pPr>
              <w:spacing w:before="100" w:beforeAutospacing="1" w:after="100" w:afterAutospacing="1"/>
              <w:rPr>
                <w:sz w:val="20"/>
                <w:szCs w:val="20"/>
              </w:rPr>
            </w:pPr>
            <w:r w:rsidRPr="00657635">
              <w:rPr>
                <w:sz w:val="20"/>
                <w:szCs w:val="20"/>
              </w:rPr>
              <w:t>Stonefish</w:t>
            </w:r>
          </w:p>
        </w:tc>
      </w:tr>
      <w:tr w:rsidR="004B6078" w:rsidRPr="00657635" w14:paraId="7B1157F7" w14:textId="77777777" w:rsidTr="00657635">
        <w:trPr>
          <w:trHeight w:val="300"/>
        </w:trPr>
        <w:tc>
          <w:tcPr>
            <w:tcW w:w="2900" w:type="dxa"/>
            <w:noWrap/>
            <w:hideMark/>
          </w:tcPr>
          <w:p w14:paraId="51A99B83" w14:textId="77777777" w:rsidR="004B6078" w:rsidRPr="00657635" w:rsidRDefault="004B6078" w:rsidP="00657635">
            <w:pPr>
              <w:spacing w:before="100" w:beforeAutospacing="1" w:after="100" w:afterAutospacing="1"/>
              <w:rPr>
                <w:sz w:val="20"/>
                <w:szCs w:val="20"/>
              </w:rPr>
            </w:pPr>
            <w:r w:rsidRPr="00657635">
              <w:rPr>
                <w:sz w:val="20"/>
                <w:szCs w:val="20"/>
              </w:rPr>
              <w:t>Surf red fish</w:t>
            </w:r>
          </w:p>
        </w:tc>
        <w:tc>
          <w:tcPr>
            <w:tcW w:w="2140" w:type="dxa"/>
            <w:noWrap/>
            <w:hideMark/>
          </w:tcPr>
          <w:p w14:paraId="72BFD956" w14:textId="77777777" w:rsidR="004B6078" w:rsidRPr="00657635" w:rsidRDefault="004B6078" w:rsidP="00657635">
            <w:pPr>
              <w:spacing w:before="100" w:beforeAutospacing="1" w:after="100" w:afterAutospacing="1"/>
              <w:rPr>
                <w:sz w:val="20"/>
                <w:szCs w:val="20"/>
              </w:rPr>
            </w:pPr>
            <w:r w:rsidRPr="00657635">
              <w:rPr>
                <w:sz w:val="20"/>
                <w:szCs w:val="20"/>
              </w:rPr>
              <w:t>Red surf fish</w:t>
            </w:r>
          </w:p>
        </w:tc>
        <w:tc>
          <w:tcPr>
            <w:tcW w:w="737" w:type="dxa"/>
            <w:noWrap/>
            <w:hideMark/>
          </w:tcPr>
          <w:p w14:paraId="4501B5E6" w14:textId="77777777" w:rsidR="004B6078" w:rsidRPr="00657635" w:rsidRDefault="004B6078" w:rsidP="00657635">
            <w:pPr>
              <w:spacing w:before="100" w:beforeAutospacing="1" w:after="100" w:afterAutospacing="1"/>
              <w:jc w:val="right"/>
              <w:rPr>
                <w:sz w:val="20"/>
                <w:szCs w:val="20"/>
              </w:rPr>
            </w:pPr>
            <w:r w:rsidRPr="00657635">
              <w:rPr>
                <w:sz w:val="20"/>
                <w:szCs w:val="20"/>
              </w:rPr>
              <w:t>594</w:t>
            </w:r>
          </w:p>
        </w:tc>
        <w:tc>
          <w:tcPr>
            <w:tcW w:w="3243" w:type="dxa"/>
            <w:noWrap/>
            <w:hideMark/>
          </w:tcPr>
          <w:p w14:paraId="6DAC038E" w14:textId="77777777" w:rsidR="004B6078" w:rsidRPr="00657635" w:rsidRDefault="004B6078" w:rsidP="00657635">
            <w:pPr>
              <w:spacing w:before="100" w:beforeAutospacing="1" w:after="100" w:afterAutospacing="1"/>
              <w:rPr>
                <w:sz w:val="20"/>
                <w:szCs w:val="20"/>
              </w:rPr>
            </w:pPr>
            <w:r w:rsidRPr="00657635">
              <w:rPr>
                <w:sz w:val="20"/>
                <w:szCs w:val="20"/>
              </w:rPr>
              <w:t>Surf redfish</w:t>
            </w:r>
          </w:p>
        </w:tc>
      </w:tr>
      <w:tr w:rsidR="004B6078" w:rsidRPr="00657635" w14:paraId="0C4B95BC" w14:textId="77777777" w:rsidTr="00657635">
        <w:trPr>
          <w:trHeight w:val="300"/>
        </w:trPr>
        <w:tc>
          <w:tcPr>
            <w:tcW w:w="2900" w:type="dxa"/>
            <w:noWrap/>
            <w:hideMark/>
          </w:tcPr>
          <w:p w14:paraId="6368A8D2" w14:textId="77777777" w:rsidR="004B6078" w:rsidRPr="00657635" w:rsidRDefault="004B6078" w:rsidP="00657635">
            <w:pPr>
              <w:spacing w:before="100" w:beforeAutospacing="1" w:after="100" w:afterAutospacing="1"/>
              <w:rPr>
                <w:sz w:val="20"/>
                <w:szCs w:val="20"/>
              </w:rPr>
            </w:pPr>
            <w:r w:rsidRPr="00657635">
              <w:rPr>
                <w:sz w:val="20"/>
                <w:szCs w:val="20"/>
              </w:rPr>
              <w:t>Surf red fish</w:t>
            </w:r>
          </w:p>
        </w:tc>
        <w:tc>
          <w:tcPr>
            <w:tcW w:w="2140" w:type="dxa"/>
            <w:noWrap/>
            <w:hideMark/>
          </w:tcPr>
          <w:p w14:paraId="41217780" w14:textId="77777777" w:rsidR="004B6078" w:rsidRPr="00657635" w:rsidRDefault="004B6078" w:rsidP="00657635">
            <w:pPr>
              <w:spacing w:before="100" w:beforeAutospacing="1" w:after="100" w:afterAutospacing="1"/>
              <w:rPr>
                <w:sz w:val="20"/>
                <w:szCs w:val="20"/>
              </w:rPr>
            </w:pPr>
            <w:r w:rsidRPr="00657635">
              <w:rPr>
                <w:sz w:val="20"/>
                <w:szCs w:val="20"/>
              </w:rPr>
              <w:t>Surf red fish</w:t>
            </w:r>
          </w:p>
        </w:tc>
        <w:tc>
          <w:tcPr>
            <w:tcW w:w="737" w:type="dxa"/>
            <w:noWrap/>
            <w:hideMark/>
          </w:tcPr>
          <w:p w14:paraId="3BF242F7" w14:textId="77777777" w:rsidR="004B6078" w:rsidRPr="00657635" w:rsidRDefault="004B6078" w:rsidP="00657635">
            <w:pPr>
              <w:spacing w:before="100" w:beforeAutospacing="1" w:after="100" w:afterAutospacing="1"/>
              <w:jc w:val="right"/>
              <w:rPr>
                <w:sz w:val="20"/>
                <w:szCs w:val="20"/>
              </w:rPr>
            </w:pPr>
            <w:r w:rsidRPr="00657635">
              <w:rPr>
                <w:sz w:val="20"/>
                <w:szCs w:val="20"/>
              </w:rPr>
              <w:t>204</w:t>
            </w:r>
          </w:p>
        </w:tc>
        <w:tc>
          <w:tcPr>
            <w:tcW w:w="3243" w:type="dxa"/>
            <w:noWrap/>
            <w:hideMark/>
          </w:tcPr>
          <w:p w14:paraId="57FFD2EC" w14:textId="77777777" w:rsidR="004B6078" w:rsidRPr="00657635" w:rsidRDefault="004B6078" w:rsidP="00657635">
            <w:pPr>
              <w:spacing w:before="100" w:beforeAutospacing="1" w:after="100" w:afterAutospacing="1"/>
              <w:rPr>
                <w:sz w:val="20"/>
                <w:szCs w:val="20"/>
              </w:rPr>
            </w:pPr>
            <w:r w:rsidRPr="00657635">
              <w:rPr>
                <w:sz w:val="20"/>
                <w:szCs w:val="20"/>
              </w:rPr>
              <w:t>Surf redfish</w:t>
            </w:r>
          </w:p>
        </w:tc>
      </w:tr>
      <w:tr w:rsidR="004B6078" w:rsidRPr="00657635" w14:paraId="2AC92BEE" w14:textId="77777777" w:rsidTr="00657635">
        <w:trPr>
          <w:trHeight w:val="300"/>
        </w:trPr>
        <w:tc>
          <w:tcPr>
            <w:tcW w:w="2900" w:type="dxa"/>
            <w:noWrap/>
            <w:hideMark/>
          </w:tcPr>
          <w:p w14:paraId="4ABBF349" w14:textId="77777777" w:rsidR="004B6078" w:rsidRPr="00657635" w:rsidRDefault="004B6078" w:rsidP="00657635">
            <w:pPr>
              <w:spacing w:before="100" w:beforeAutospacing="1" w:after="100" w:afterAutospacing="1"/>
              <w:rPr>
                <w:sz w:val="20"/>
                <w:szCs w:val="20"/>
              </w:rPr>
            </w:pPr>
            <w:r w:rsidRPr="00657635">
              <w:rPr>
                <w:sz w:val="20"/>
                <w:szCs w:val="20"/>
              </w:rPr>
              <w:t>White teat fish</w:t>
            </w:r>
          </w:p>
        </w:tc>
        <w:tc>
          <w:tcPr>
            <w:tcW w:w="2140" w:type="dxa"/>
            <w:noWrap/>
            <w:hideMark/>
          </w:tcPr>
          <w:p w14:paraId="277114E2" w14:textId="77777777" w:rsidR="004B6078" w:rsidRPr="00657635" w:rsidRDefault="004B6078" w:rsidP="00657635">
            <w:pPr>
              <w:spacing w:before="100" w:beforeAutospacing="1" w:after="100" w:afterAutospacing="1"/>
              <w:rPr>
                <w:sz w:val="20"/>
                <w:szCs w:val="20"/>
              </w:rPr>
            </w:pPr>
            <w:r w:rsidRPr="00657635">
              <w:rPr>
                <w:sz w:val="20"/>
                <w:szCs w:val="20"/>
              </w:rPr>
              <w:t>White teat fish</w:t>
            </w:r>
          </w:p>
        </w:tc>
        <w:tc>
          <w:tcPr>
            <w:tcW w:w="737" w:type="dxa"/>
            <w:noWrap/>
            <w:hideMark/>
          </w:tcPr>
          <w:p w14:paraId="383AE204" w14:textId="77777777" w:rsidR="004B6078" w:rsidRPr="00657635" w:rsidRDefault="004B6078" w:rsidP="00657635">
            <w:pPr>
              <w:spacing w:before="100" w:beforeAutospacing="1" w:after="100" w:afterAutospacing="1"/>
              <w:jc w:val="right"/>
              <w:rPr>
                <w:sz w:val="20"/>
                <w:szCs w:val="20"/>
              </w:rPr>
            </w:pPr>
            <w:r w:rsidRPr="00657635">
              <w:rPr>
                <w:sz w:val="20"/>
                <w:szCs w:val="20"/>
              </w:rPr>
              <w:t>7582</w:t>
            </w:r>
          </w:p>
        </w:tc>
        <w:tc>
          <w:tcPr>
            <w:tcW w:w="3243" w:type="dxa"/>
            <w:noWrap/>
            <w:hideMark/>
          </w:tcPr>
          <w:p w14:paraId="45FD8AF8" w14:textId="77777777" w:rsidR="004B6078" w:rsidRPr="00657635" w:rsidRDefault="004B6078" w:rsidP="00657635">
            <w:pPr>
              <w:spacing w:before="100" w:beforeAutospacing="1" w:after="100" w:afterAutospacing="1"/>
              <w:rPr>
                <w:sz w:val="20"/>
                <w:szCs w:val="20"/>
              </w:rPr>
            </w:pPr>
            <w:r w:rsidRPr="00657635">
              <w:rPr>
                <w:sz w:val="20"/>
                <w:szCs w:val="20"/>
              </w:rPr>
              <w:t>White teatfish</w:t>
            </w:r>
          </w:p>
        </w:tc>
      </w:tr>
      <w:tr w:rsidR="004B6078" w:rsidRPr="00657635" w14:paraId="4C48F814" w14:textId="77777777" w:rsidTr="00657635">
        <w:trPr>
          <w:trHeight w:val="300"/>
        </w:trPr>
        <w:tc>
          <w:tcPr>
            <w:tcW w:w="2900" w:type="dxa"/>
            <w:noWrap/>
            <w:hideMark/>
          </w:tcPr>
          <w:p w14:paraId="02A70927" w14:textId="77777777" w:rsidR="004B6078" w:rsidRPr="00657635" w:rsidRDefault="004B6078" w:rsidP="00657635">
            <w:pPr>
              <w:spacing w:before="100" w:beforeAutospacing="1" w:after="100" w:afterAutospacing="1"/>
              <w:rPr>
                <w:sz w:val="20"/>
                <w:szCs w:val="20"/>
              </w:rPr>
            </w:pPr>
            <w:r w:rsidRPr="00657635">
              <w:rPr>
                <w:sz w:val="20"/>
                <w:szCs w:val="20"/>
              </w:rPr>
              <w:t>White teat fish</w:t>
            </w:r>
          </w:p>
        </w:tc>
        <w:tc>
          <w:tcPr>
            <w:tcW w:w="2140" w:type="dxa"/>
            <w:noWrap/>
            <w:hideMark/>
          </w:tcPr>
          <w:p w14:paraId="5D16DFC7" w14:textId="77777777" w:rsidR="004B6078" w:rsidRPr="00657635" w:rsidRDefault="004B6078" w:rsidP="00657635">
            <w:pPr>
              <w:spacing w:before="100" w:beforeAutospacing="1" w:after="100" w:afterAutospacing="1"/>
              <w:rPr>
                <w:sz w:val="20"/>
                <w:szCs w:val="20"/>
              </w:rPr>
            </w:pPr>
            <w:r w:rsidRPr="00657635">
              <w:rPr>
                <w:sz w:val="20"/>
                <w:szCs w:val="20"/>
              </w:rPr>
              <w:t>Zone 1 white teat fish</w:t>
            </w:r>
          </w:p>
        </w:tc>
        <w:tc>
          <w:tcPr>
            <w:tcW w:w="737" w:type="dxa"/>
            <w:noWrap/>
            <w:hideMark/>
          </w:tcPr>
          <w:p w14:paraId="5193C17E" w14:textId="77777777" w:rsidR="004B6078" w:rsidRPr="00657635" w:rsidRDefault="004B6078" w:rsidP="00657635">
            <w:pPr>
              <w:spacing w:before="100" w:beforeAutospacing="1" w:after="100" w:afterAutospacing="1"/>
              <w:jc w:val="right"/>
              <w:rPr>
                <w:sz w:val="20"/>
                <w:szCs w:val="20"/>
              </w:rPr>
            </w:pPr>
            <w:r w:rsidRPr="00657635">
              <w:rPr>
                <w:sz w:val="20"/>
                <w:szCs w:val="20"/>
              </w:rPr>
              <w:t>697</w:t>
            </w:r>
          </w:p>
        </w:tc>
        <w:tc>
          <w:tcPr>
            <w:tcW w:w="3243" w:type="dxa"/>
            <w:noWrap/>
            <w:hideMark/>
          </w:tcPr>
          <w:p w14:paraId="2C72D458" w14:textId="77777777" w:rsidR="004B6078" w:rsidRPr="00657635" w:rsidRDefault="004B6078" w:rsidP="00657635">
            <w:pPr>
              <w:spacing w:before="100" w:beforeAutospacing="1" w:after="100" w:afterAutospacing="1"/>
              <w:rPr>
                <w:sz w:val="20"/>
                <w:szCs w:val="20"/>
              </w:rPr>
            </w:pPr>
            <w:r w:rsidRPr="00657635">
              <w:rPr>
                <w:sz w:val="20"/>
                <w:szCs w:val="20"/>
              </w:rPr>
              <w:t>White teatfish</w:t>
            </w:r>
          </w:p>
        </w:tc>
      </w:tr>
      <w:tr w:rsidR="004B6078" w:rsidRPr="00657635" w14:paraId="10FBF6C7" w14:textId="77777777" w:rsidTr="00657635">
        <w:trPr>
          <w:trHeight w:val="300"/>
        </w:trPr>
        <w:tc>
          <w:tcPr>
            <w:tcW w:w="2900" w:type="dxa"/>
            <w:noWrap/>
            <w:hideMark/>
          </w:tcPr>
          <w:p w14:paraId="2661F561" w14:textId="77777777" w:rsidR="004B6078" w:rsidRPr="00657635" w:rsidRDefault="004B6078" w:rsidP="00657635">
            <w:pPr>
              <w:spacing w:before="100" w:beforeAutospacing="1" w:after="100" w:afterAutospacing="1"/>
              <w:rPr>
                <w:sz w:val="20"/>
                <w:szCs w:val="20"/>
              </w:rPr>
            </w:pPr>
            <w:r w:rsidRPr="00657635">
              <w:rPr>
                <w:sz w:val="20"/>
                <w:szCs w:val="20"/>
              </w:rPr>
              <w:t>White teat fish</w:t>
            </w:r>
          </w:p>
        </w:tc>
        <w:tc>
          <w:tcPr>
            <w:tcW w:w="2140" w:type="dxa"/>
            <w:noWrap/>
            <w:hideMark/>
          </w:tcPr>
          <w:p w14:paraId="170F431D" w14:textId="77777777" w:rsidR="004B6078" w:rsidRPr="00657635" w:rsidRDefault="004B6078" w:rsidP="00657635">
            <w:pPr>
              <w:spacing w:before="100" w:beforeAutospacing="1" w:after="100" w:afterAutospacing="1"/>
              <w:rPr>
                <w:sz w:val="20"/>
                <w:szCs w:val="20"/>
              </w:rPr>
            </w:pPr>
            <w:r w:rsidRPr="00657635">
              <w:rPr>
                <w:sz w:val="20"/>
                <w:szCs w:val="20"/>
              </w:rPr>
              <w:t>Zone 2 white teat fish</w:t>
            </w:r>
          </w:p>
        </w:tc>
        <w:tc>
          <w:tcPr>
            <w:tcW w:w="737" w:type="dxa"/>
            <w:noWrap/>
            <w:hideMark/>
          </w:tcPr>
          <w:p w14:paraId="3F8E5DD7" w14:textId="77777777" w:rsidR="004B6078" w:rsidRPr="00657635" w:rsidRDefault="004B6078" w:rsidP="00657635">
            <w:pPr>
              <w:spacing w:before="100" w:beforeAutospacing="1" w:after="100" w:afterAutospacing="1"/>
              <w:jc w:val="right"/>
              <w:rPr>
                <w:sz w:val="20"/>
                <w:szCs w:val="20"/>
              </w:rPr>
            </w:pPr>
            <w:r w:rsidRPr="00657635">
              <w:rPr>
                <w:sz w:val="20"/>
                <w:szCs w:val="20"/>
              </w:rPr>
              <w:t>194</w:t>
            </w:r>
          </w:p>
        </w:tc>
        <w:tc>
          <w:tcPr>
            <w:tcW w:w="3243" w:type="dxa"/>
            <w:noWrap/>
            <w:hideMark/>
          </w:tcPr>
          <w:p w14:paraId="53B2E4AF" w14:textId="77777777" w:rsidR="004B6078" w:rsidRPr="00657635" w:rsidRDefault="004B6078" w:rsidP="00657635">
            <w:pPr>
              <w:spacing w:before="100" w:beforeAutospacing="1" w:after="100" w:afterAutospacing="1"/>
              <w:rPr>
                <w:sz w:val="20"/>
                <w:szCs w:val="20"/>
              </w:rPr>
            </w:pPr>
            <w:r w:rsidRPr="00657635">
              <w:rPr>
                <w:sz w:val="20"/>
                <w:szCs w:val="20"/>
              </w:rPr>
              <w:t>White teatfish</w:t>
            </w:r>
          </w:p>
        </w:tc>
      </w:tr>
    </w:tbl>
    <w:p w14:paraId="0E749A34" w14:textId="77777777" w:rsidR="004B6078" w:rsidRDefault="004B6078" w:rsidP="00AF37BE"/>
    <w:bookmarkEnd w:id="265"/>
    <w:p w14:paraId="01210F01" w14:textId="7E7FA71F" w:rsidR="00CB3A05" w:rsidRPr="006A3EF9" w:rsidRDefault="00CB3A05" w:rsidP="00CB3A05">
      <w:pPr>
        <w:rPr>
          <w:b/>
          <w:bCs/>
          <w:u w:val="single"/>
        </w:rPr>
      </w:pPr>
      <w:r w:rsidRPr="006A3EF9">
        <w:rPr>
          <w:b/>
          <w:bCs/>
          <w:u w:val="single"/>
        </w:rPr>
        <w:t>Other data corrections</w:t>
      </w:r>
    </w:p>
    <w:p w14:paraId="6C494F02" w14:textId="77777777" w:rsidR="00CB3A05" w:rsidRDefault="00CB3A05" w:rsidP="00CB3A05">
      <w:r>
        <w:t>2022.02.10, Seafresh – changed longitude from 143.5145 to 145.5145 and grid to G13.</w:t>
      </w:r>
    </w:p>
    <w:p w14:paraId="53690207" w14:textId="77777777" w:rsidR="00CB3A05" w:rsidRDefault="00CB3A05" w:rsidP="00CB3A05">
      <w:r>
        <w:t xml:space="preserve">Remove “Retained weight” = 5 for “Whole Dead” for Seafresh records on 2009-2010 – these were obviously in error. </w:t>
      </w:r>
    </w:p>
    <w:p w14:paraId="474B6D07" w14:textId="77777777" w:rsidR="00CB3A05" w:rsidRPr="006A3EF9" w:rsidRDefault="00CB3A05" w:rsidP="00CB3A05">
      <w:pPr>
        <w:rPr>
          <w:b/>
          <w:bCs/>
          <w:u w:val="single"/>
        </w:rPr>
      </w:pPr>
      <w:r w:rsidRPr="006A3EF9">
        <w:rPr>
          <w:b/>
          <w:bCs/>
          <w:u w:val="single"/>
        </w:rPr>
        <w:t>Spatial information</w:t>
      </w:r>
    </w:p>
    <w:p w14:paraId="33A29231" w14:textId="77777777" w:rsidR="00CB3A05" w:rsidRPr="00060EB0" w:rsidRDefault="00CB3A05" w:rsidP="00CB3A05">
      <w:pPr>
        <w:rPr>
          <w:u w:val="single"/>
        </w:rPr>
      </w:pPr>
      <w:r w:rsidRPr="00060EB0">
        <w:rPr>
          <w:u w:val="single"/>
        </w:rPr>
        <w:t>Location data in Logbooks</w:t>
      </w:r>
    </w:p>
    <w:p w14:paraId="7ECF23CF" w14:textId="77777777" w:rsidR="00CB3A05" w:rsidRDefault="00CB3A05" w:rsidP="00CB3A05">
      <w:r>
        <w:t>There are several location descriptors in the Logbook data:</w:t>
      </w:r>
    </w:p>
    <w:p w14:paraId="6B9DBD60" w14:textId="7F614A31" w:rsidR="00CB3A05" w:rsidRDefault="00CB3A05" w:rsidP="00CB3A05">
      <w:r>
        <w:t xml:space="preserve">LocationDescription: Has various location names; reefs, </w:t>
      </w:r>
      <w:r w:rsidR="00120518">
        <w:t>RHA</w:t>
      </w:r>
      <w:r>
        <w:t xml:space="preserve"> Zones etc – and a lot of NULLs</w:t>
      </w:r>
    </w:p>
    <w:p w14:paraId="1D76EB69" w14:textId="02219A27" w:rsidR="00CB3A05" w:rsidRDefault="00CB3A05" w:rsidP="00CB3A05">
      <w:r>
        <w:t xml:space="preserve">BDMZone: Mix of numbers (maybe white teatfish zones and burrowing blackfish zones?), </w:t>
      </w:r>
      <w:r w:rsidR="00120518">
        <w:t>RHA</w:t>
      </w:r>
      <w:r>
        <w:t xml:space="preserve"> Zones, a few reef names etc.</w:t>
      </w:r>
    </w:p>
    <w:p w14:paraId="7631E565" w14:textId="77777777" w:rsidR="00CB3A05" w:rsidRDefault="00CB3A05" w:rsidP="00CB3A05">
      <w:r>
        <w:t>Lat/Long – Derived: These are populated based on the fields that were populated directly from the logbook; e.g. if Grid was reported, LatDeriv &amp; LongDeriv are the centroid of that Grid</w:t>
      </w:r>
    </w:p>
    <w:p w14:paraId="733A541E" w14:textId="77777777" w:rsidR="00CB3A05" w:rsidRDefault="00CB3A05" w:rsidP="00CB3A05">
      <w:r>
        <w:t>GridDerived: Grid number – looks compete. Are actually derived from the lats and longs (so same as spatial join in GIS).</w:t>
      </w:r>
    </w:p>
    <w:p w14:paraId="1FB9E9A1" w14:textId="77777777" w:rsidR="00CB3A05" w:rsidRDefault="00CB3A05" w:rsidP="00CB3A05">
      <w:r>
        <w:t>SiteDerived: All numbers, and quite a few NULLs</w:t>
      </w:r>
    </w:p>
    <w:p w14:paraId="5E0A1EC4" w14:textId="77777777" w:rsidR="00DB0EB4" w:rsidRDefault="00DB0EB4" w:rsidP="00CB3A05"/>
    <w:p w14:paraId="70797D91" w14:textId="7FD31CE8" w:rsidR="00DB0EB4" w:rsidRDefault="00DB0EB4">
      <w:pPr>
        <w:spacing w:after="0"/>
      </w:pPr>
      <w:r>
        <w:br w:type="page"/>
      </w:r>
    </w:p>
    <w:p w14:paraId="49B1E760" w14:textId="5127AEFC" w:rsidR="00DB0EB4" w:rsidRDefault="00DB0EB4" w:rsidP="00DB0EB4">
      <w:pPr>
        <w:pStyle w:val="Heading1notnumbered"/>
      </w:pPr>
      <w:bookmarkStart w:id="267" w:name="_Toc189044957"/>
      <w:r>
        <w:lastRenderedPageBreak/>
        <w:t>Appendix E: History of catch limits</w:t>
      </w:r>
      <w:bookmarkEnd w:id="267"/>
    </w:p>
    <w:tbl>
      <w:tblPr>
        <w:tblStyle w:val="TableGrid"/>
        <w:tblW w:w="9067" w:type="dxa"/>
        <w:tblLook w:val="04A0" w:firstRow="1" w:lastRow="0" w:firstColumn="1" w:lastColumn="0" w:noHBand="0" w:noVBand="1"/>
      </w:tblPr>
      <w:tblGrid>
        <w:gridCol w:w="1277"/>
        <w:gridCol w:w="3743"/>
        <w:gridCol w:w="2174"/>
        <w:gridCol w:w="1873"/>
      </w:tblGrid>
      <w:tr w:rsidR="00DB0EB4" w:rsidRPr="00DB0EB4" w14:paraId="624AB708" w14:textId="77777777" w:rsidTr="00174A73">
        <w:trPr>
          <w:trHeight w:val="300"/>
        </w:trPr>
        <w:tc>
          <w:tcPr>
            <w:tcW w:w="1277" w:type="dxa"/>
            <w:noWrap/>
          </w:tcPr>
          <w:p w14:paraId="1DE63FA1" w14:textId="77777777" w:rsidR="00DB0EB4" w:rsidRPr="00DB0EB4" w:rsidRDefault="00DB0EB4" w:rsidP="00DB0EB4">
            <w:pPr>
              <w:spacing w:after="0"/>
              <w:rPr>
                <w:rFonts w:eastAsia="Times New Roman" w:cs="Calibri"/>
                <w:b/>
                <w:bCs/>
                <w:sz w:val="20"/>
                <w:szCs w:val="20"/>
              </w:rPr>
            </w:pPr>
            <w:r w:rsidRPr="00DB0EB4">
              <w:rPr>
                <w:rFonts w:eastAsia="Times New Roman" w:cs="Calibri"/>
                <w:b/>
                <w:bCs/>
                <w:sz w:val="20"/>
                <w:szCs w:val="20"/>
              </w:rPr>
              <w:t>YEAR</w:t>
            </w:r>
          </w:p>
        </w:tc>
        <w:tc>
          <w:tcPr>
            <w:tcW w:w="3743" w:type="dxa"/>
          </w:tcPr>
          <w:p w14:paraId="2523B731" w14:textId="1D70FD90" w:rsidR="00DB0EB4" w:rsidRPr="00DB0EB4" w:rsidRDefault="00DB0EB4" w:rsidP="00DB0EB4">
            <w:pPr>
              <w:spacing w:after="0"/>
              <w:rPr>
                <w:rFonts w:eastAsia="Times New Roman" w:cs="Calibri"/>
                <w:b/>
                <w:bCs/>
                <w:sz w:val="20"/>
                <w:szCs w:val="20"/>
              </w:rPr>
            </w:pPr>
            <w:r w:rsidRPr="00DB0EB4">
              <w:rPr>
                <w:rFonts w:cs="Calibri"/>
                <w:b/>
                <w:bCs/>
                <w:sz w:val="20"/>
                <w:szCs w:val="20"/>
              </w:rPr>
              <w:t>W</w:t>
            </w:r>
            <w:r w:rsidR="00174A73">
              <w:rPr>
                <w:rFonts w:cs="Calibri"/>
                <w:b/>
                <w:bCs/>
                <w:sz w:val="20"/>
                <w:szCs w:val="20"/>
              </w:rPr>
              <w:t xml:space="preserve">hite </w:t>
            </w:r>
            <w:r w:rsidRPr="00DB0EB4">
              <w:rPr>
                <w:rFonts w:cs="Calibri"/>
                <w:b/>
                <w:bCs/>
                <w:sz w:val="20"/>
                <w:szCs w:val="20"/>
              </w:rPr>
              <w:t>T</w:t>
            </w:r>
            <w:r w:rsidR="00174A73">
              <w:rPr>
                <w:rFonts w:cs="Calibri"/>
                <w:b/>
                <w:bCs/>
                <w:sz w:val="20"/>
                <w:szCs w:val="20"/>
              </w:rPr>
              <w:t>eatfish</w:t>
            </w:r>
            <w:r w:rsidRPr="00DB0EB4">
              <w:rPr>
                <w:rFonts w:cs="Calibri"/>
                <w:b/>
                <w:bCs/>
                <w:sz w:val="20"/>
                <w:szCs w:val="20"/>
              </w:rPr>
              <w:t xml:space="preserve"> TAC (t)</w:t>
            </w:r>
          </w:p>
        </w:tc>
        <w:tc>
          <w:tcPr>
            <w:tcW w:w="2174" w:type="dxa"/>
          </w:tcPr>
          <w:p w14:paraId="66379303" w14:textId="011F3689" w:rsidR="00DB0EB4" w:rsidRPr="00DB0EB4" w:rsidRDefault="00DB0EB4" w:rsidP="00DB0EB4">
            <w:pPr>
              <w:spacing w:after="0"/>
              <w:rPr>
                <w:rFonts w:cs="Calibri"/>
                <w:b/>
                <w:bCs/>
                <w:sz w:val="20"/>
                <w:szCs w:val="20"/>
              </w:rPr>
            </w:pPr>
            <w:r w:rsidRPr="00DB0EB4">
              <w:rPr>
                <w:rFonts w:cs="Calibri"/>
                <w:b/>
                <w:bCs/>
                <w:sz w:val="20"/>
                <w:szCs w:val="20"/>
              </w:rPr>
              <w:t>B</w:t>
            </w:r>
            <w:r w:rsidR="00174A73">
              <w:rPr>
                <w:rFonts w:cs="Calibri"/>
                <w:b/>
                <w:bCs/>
                <w:sz w:val="20"/>
                <w:szCs w:val="20"/>
              </w:rPr>
              <w:t xml:space="preserve">lack </w:t>
            </w:r>
            <w:r w:rsidRPr="00DB0EB4">
              <w:rPr>
                <w:rFonts w:cs="Calibri"/>
                <w:b/>
                <w:bCs/>
                <w:sz w:val="20"/>
                <w:szCs w:val="20"/>
              </w:rPr>
              <w:t>T</w:t>
            </w:r>
            <w:r w:rsidR="00174A73">
              <w:rPr>
                <w:rFonts w:cs="Calibri"/>
                <w:b/>
                <w:bCs/>
                <w:sz w:val="20"/>
                <w:szCs w:val="20"/>
              </w:rPr>
              <w:t>eatfish</w:t>
            </w:r>
            <w:r w:rsidRPr="00DB0EB4">
              <w:rPr>
                <w:rFonts w:cs="Calibri"/>
                <w:b/>
                <w:bCs/>
                <w:sz w:val="20"/>
                <w:szCs w:val="20"/>
              </w:rPr>
              <w:t xml:space="preserve"> TAC (t)</w:t>
            </w:r>
          </w:p>
        </w:tc>
        <w:tc>
          <w:tcPr>
            <w:tcW w:w="1873" w:type="dxa"/>
          </w:tcPr>
          <w:p w14:paraId="7D0FCD7A" w14:textId="77777777" w:rsidR="00DB0EB4" w:rsidRPr="00DB0EB4" w:rsidRDefault="00DB0EB4" w:rsidP="00DB0EB4">
            <w:pPr>
              <w:spacing w:after="0"/>
              <w:rPr>
                <w:rFonts w:eastAsia="Times New Roman" w:cs="Calibri"/>
                <w:b/>
                <w:bCs/>
                <w:sz w:val="20"/>
                <w:szCs w:val="20"/>
              </w:rPr>
            </w:pPr>
            <w:r w:rsidRPr="00DB0EB4">
              <w:rPr>
                <w:rFonts w:cs="Calibri"/>
                <w:b/>
                <w:bCs/>
                <w:sz w:val="20"/>
                <w:szCs w:val="20"/>
              </w:rPr>
              <w:t>TACC (t)</w:t>
            </w:r>
          </w:p>
        </w:tc>
      </w:tr>
      <w:tr w:rsidR="00DB0EB4" w:rsidRPr="00DB0EB4" w14:paraId="4077C687" w14:textId="77777777" w:rsidTr="00174A73">
        <w:trPr>
          <w:trHeight w:val="300"/>
        </w:trPr>
        <w:tc>
          <w:tcPr>
            <w:tcW w:w="1277" w:type="dxa"/>
            <w:noWrap/>
            <w:hideMark/>
          </w:tcPr>
          <w:p w14:paraId="675C9588"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1990/91</w:t>
            </w:r>
          </w:p>
        </w:tc>
        <w:tc>
          <w:tcPr>
            <w:tcW w:w="3743" w:type="dxa"/>
          </w:tcPr>
          <w:p w14:paraId="65E16443"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w:t>
            </w:r>
          </w:p>
        </w:tc>
        <w:tc>
          <w:tcPr>
            <w:tcW w:w="2174" w:type="dxa"/>
          </w:tcPr>
          <w:p w14:paraId="12D040B9"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w:t>
            </w:r>
          </w:p>
        </w:tc>
        <w:tc>
          <w:tcPr>
            <w:tcW w:w="1873" w:type="dxa"/>
          </w:tcPr>
          <w:p w14:paraId="5A4FBFA3"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Open</w:t>
            </w:r>
          </w:p>
        </w:tc>
      </w:tr>
      <w:tr w:rsidR="00DB0EB4" w:rsidRPr="00DB0EB4" w14:paraId="0855FC6B" w14:textId="77777777" w:rsidTr="00174A73">
        <w:trPr>
          <w:trHeight w:val="300"/>
        </w:trPr>
        <w:tc>
          <w:tcPr>
            <w:tcW w:w="1277" w:type="dxa"/>
            <w:noWrap/>
            <w:hideMark/>
          </w:tcPr>
          <w:p w14:paraId="4E07FB9D"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1991/92</w:t>
            </w:r>
          </w:p>
        </w:tc>
        <w:tc>
          <w:tcPr>
            <w:tcW w:w="3743" w:type="dxa"/>
          </w:tcPr>
          <w:p w14:paraId="234C9652"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w:t>
            </w:r>
          </w:p>
        </w:tc>
        <w:tc>
          <w:tcPr>
            <w:tcW w:w="2174" w:type="dxa"/>
          </w:tcPr>
          <w:p w14:paraId="4C2F8AED" w14:textId="77777777" w:rsidR="00DB0EB4" w:rsidRPr="00DB0EB4" w:rsidRDefault="00DB0EB4" w:rsidP="00DB0EB4">
            <w:pPr>
              <w:spacing w:after="0"/>
              <w:rPr>
                <w:rFonts w:cs="Calibri"/>
                <w:sz w:val="20"/>
                <w:szCs w:val="20"/>
              </w:rPr>
            </w:pPr>
            <w:r w:rsidRPr="00DB0EB4">
              <w:rPr>
                <w:rFonts w:cs="Calibri"/>
                <w:sz w:val="20"/>
                <w:szCs w:val="20"/>
              </w:rPr>
              <w:t>-</w:t>
            </w:r>
          </w:p>
        </w:tc>
        <w:tc>
          <w:tcPr>
            <w:tcW w:w="1873" w:type="dxa"/>
          </w:tcPr>
          <w:p w14:paraId="56F17658" w14:textId="77777777" w:rsidR="00DB0EB4" w:rsidRPr="00DB0EB4" w:rsidRDefault="00DB0EB4" w:rsidP="00DB0EB4">
            <w:pPr>
              <w:spacing w:after="0"/>
              <w:rPr>
                <w:rFonts w:eastAsia="Times New Roman" w:cs="Calibri"/>
                <w:sz w:val="20"/>
                <w:szCs w:val="20"/>
              </w:rPr>
            </w:pPr>
            <w:r w:rsidRPr="00DB0EB4">
              <w:rPr>
                <w:rFonts w:cs="Calibri"/>
                <w:sz w:val="20"/>
                <w:szCs w:val="20"/>
              </w:rPr>
              <w:t>500</w:t>
            </w:r>
          </w:p>
        </w:tc>
      </w:tr>
      <w:tr w:rsidR="00DB0EB4" w:rsidRPr="00DB0EB4" w14:paraId="0EAB7311" w14:textId="77777777" w:rsidTr="00174A73">
        <w:trPr>
          <w:trHeight w:val="300"/>
        </w:trPr>
        <w:tc>
          <w:tcPr>
            <w:tcW w:w="1277" w:type="dxa"/>
            <w:noWrap/>
            <w:hideMark/>
          </w:tcPr>
          <w:p w14:paraId="65C13E4E"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1992/93</w:t>
            </w:r>
          </w:p>
        </w:tc>
        <w:tc>
          <w:tcPr>
            <w:tcW w:w="3743" w:type="dxa"/>
          </w:tcPr>
          <w:p w14:paraId="41802155"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w:t>
            </w:r>
          </w:p>
        </w:tc>
        <w:tc>
          <w:tcPr>
            <w:tcW w:w="2174" w:type="dxa"/>
          </w:tcPr>
          <w:p w14:paraId="6B8BA267" w14:textId="77777777" w:rsidR="00DB0EB4" w:rsidRPr="00DB0EB4" w:rsidRDefault="00DB0EB4" w:rsidP="00DB0EB4">
            <w:pPr>
              <w:spacing w:after="0"/>
              <w:rPr>
                <w:rFonts w:cs="Calibri"/>
                <w:sz w:val="20"/>
                <w:szCs w:val="20"/>
              </w:rPr>
            </w:pPr>
            <w:r w:rsidRPr="00DB0EB4">
              <w:rPr>
                <w:rFonts w:cs="Calibri"/>
                <w:sz w:val="20"/>
                <w:szCs w:val="20"/>
              </w:rPr>
              <w:t>-</w:t>
            </w:r>
          </w:p>
        </w:tc>
        <w:tc>
          <w:tcPr>
            <w:tcW w:w="1873" w:type="dxa"/>
          </w:tcPr>
          <w:p w14:paraId="66E2322A" w14:textId="77777777" w:rsidR="00DB0EB4" w:rsidRPr="00DB0EB4" w:rsidRDefault="00DB0EB4" w:rsidP="00DB0EB4">
            <w:pPr>
              <w:spacing w:after="0"/>
              <w:rPr>
                <w:rFonts w:eastAsia="Times New Roman" w:cs="Calibri"/>
                <w:sz w:val="20"/>
                <w:szCs w:val="20"/>
              </w:rPr>
            </w:pPr>
            <w:r w:rsidRPr="00DB0EB4">
              <w:rPr>
                <w:rFonts w:cs="Calibri"/>
                <w:sz w:val="20"/>
                <w:szCs w:val="20"/>
              </w:rPr>
              <w:t>500</w:t>
            </w:r>
          </w:p>
        </w:tc>
      </w:tr>
      <w:tr w:rsidR="00DB0EB4" w:rsidRPr="00DB0EB4" w14:paraId="1BC5FE3F" w14:textId="77777777" w:rsidTr="00174A73">
        <w:trPr>
          <w:trHeight w:val="300"/>
        </w:trPr>
        <w:tc>
          <w:tcPr>
            <w:tcW w:w="1277" w:type="dxa"/>
            <w:noWrap/>
            <w:hideMark/>
          </w:tcPr>
          <w:p w14:paraId="626A05AD"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1993/94</w:t>
            </w:r>
          </w:p>
        </w:tc>
        <w:tc>
          <w:tcPr>
            <w:tcW w:w="3743" w:type="dxa"/>
          </w:tcPr>
          <w:p w14:paraId="1868A806"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w:t>
            </w:r>
          </w:p>
        </w:tc>
        <w:tc>
          <w:tcPr>
            <w:tcW w:w="2174" w:type="dxa"/>
          </w:tcPr>
          <w:p w14:paraId="0202B06C" w14:textId="77777777" w:rsidR="00DB0EB4" w:rsidRPr="00DB0EB4" w:rsidRDefault="00DB0EB4" w:rsidP="00DB0EB4">
            <w:pPr>
              <w:spacing w:after="0"/>
              <w:rPr>
                <w:rFonts w:cs="Calibri"/>
                <w:sz w:val="20"/>
                <w:szCs w:val="20"/>
              </w:rPr>
            </w:pPr>
            <w:r w:rsidRPr="00DB0EB4">
              <w:rPr>
                <w:rFonts w:cs="Calibri"/>
                <w:sz w:val="20"/>
                <w:szCs w:val="20"/>
              </w:rPr>
              <w:t>-</w:t>
            </w:r>
          </w:p>
        </w:tc>
        <w:tc>
          <w:tcPr>
            <w:tcW w:w="1873" w:type="dxa"/>
          </w:tcPr>
          <w:p w14:paraId="3C36C23A" w14:textId="77777777" w:rsidR="00DB0EB4" w:rsidRPr="00DB0EB4" w:rsidRDefault="00DB0EB4" w:rsidP="00DB0EB4">
            <w:pPr>
              <w:spacing w:after="0"/>
              <w:rPr>
                <w:rFonts w:eastAsia="Times New Roman" w:cs="Calibri"/>
                <w:sz w:val="20"/>
                <w:szCs w:val="20"/>
              </w:rPr>
            </w:pPr>
            <w:r w:rsidRPr="00DB0EB4">
              <w:rPr>
                <w:rFonts w:cs="Calibri"/>
                <w:sz w:val="20"/>
                <w:szCs w:val="20"/>
              </w:rPr>
              <w:t>500</w:t>
            </w:r>
          </w:p>
        </w:tc>
      </w:tr>
      <w:tr w:rsidR="00DB0EB4" w:rsidRPr="00DB0EB4" w14:paraId="45FCA052" w14:textId="77777777" w:rsidTr="00174A73">
        <w:trPr>
          <w:trHeight w:val="300"/>
        </w:trPr>
        <w:tc>
          <w:tcPr>
            <w:tcW w:w="1277" w:type="dxa"/>
            <w:noWrap/>
            <w:hideMark/>
          </w:tcPr>
          <w:p w14:paraId="15B772D5"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1994/95</w:t>
            </w:r>
          </w:p>
        </w:tc>
        <w:tc>
          <w:tcPr>
            <w:tcW w:w="3743" w:type="dxa"/>
          </w:tcPr>
          <w:p w14:paraId="39BD14D8"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w:t>
            </w:r>
          </w:p>
        </w:tc>
        <w:tc>
          <w:tcPr>
            <w:tcW w:w="2174" w:type="dxa"/>
          </w:tcPr>
          <w:p w14:paraId="25D5768A" w14:textId="77777777" w:rsidR="00DB0EB4" w:rsidRPr="00DB0EB4" w:rsidRDefault="00DB0EB4" w:rsidP="00DB0EB4">
            <w:pPr>
              <w:spacing w:after="0"/>
              <w:rPr>
                <w:rFonts w:cs="Calibri"/>
                <w:sz w:val="20"/>
                <w:szCs w:val="20"/>
              </w:rPr>
            </w:pPr>
            <w:r w:rsidRPr="00DB0EB4">
              <w:rPr>
                <w:rFonts w:cs="Calibri"/>
                <w:sz w:val="20"/>
                <w:szCs w:val="20"/>
              </w:rPr>
              <w:t>-</w:t>
            </w:r>
          </w:p>
        </w:tc>
        <w:tc>
          <w:tcPr>
            <w:tcW w:w="1873" w:type="dxa"/>
          </w:tcPr>
          <w:p w14:paraId="09315E55" w14:textId="77777777" w:rsidR="00DB0EB4" w:rsidRPr="00DB0EB4" w:rsidRDefault="00DB0EB4" w:rsidP="00DB0EB4">
            <w:pPr>
              <w:spacing w:after="0"/>
              <w:rPr>
                <w:rFonts w:eastAsia="Times New Roman" w:cs="Calibri"/>
                <w:sz w:val="20"/>
                <w:szCs w:val="20"/>
              </w:rPr>
            </w:pPr>
            <w:r w:rsidRPr="00DB0EB4">
              <w:rPr>
                <w:rFonts w:cs="Calibri"/>
                <w:sz w:val="20"/>
                <w:szCs w:val="20"/>
              </w:rPr>
              <w:t>500</w:t>
            </w:r>
          </w:p>
        </w:tc>
      </w:tr>
      <w:tr w:rsidR="00DB0EB4" w:rsidRPr="00DB0EB4" w14:paraId="1098BDD0" w14:textId="77777777" w:rsidTr="00174A73">
        <w:trPr>
          <w:trHeight w:val="300"/>
        </w:trPr>
        <w:tc>
          <w:tcPr>
            <w:tcW w:w="1277" w:type="dxa"/>
            <w:noWrap/>
            <w:hideMark/>
          </w:tcPr>
          <w:p w14:paraId="079F4189"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1995/96</w:t>
            </w:r>
          </w:p>
        </w:tc>
        <w:tc>
          <w:tcPr>
            <w:tcW w:w="3743" w:type="dxa"/>
          </w:tcPr>
          <w:p w14:paraId="03A1CCC9"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w:t>
            </w:r>
          </w:p>
        </w:tc>
        <w:tc>
          <w:tcPr>
            <w:tcW w:w="2174" w:type="dxa"/>
          </w:tcPr>
          <w:p w14:paraId="7139EE58" w14:textId="77777777" w:rsidR="00DB0EB4" w:rsidRPr="00DB0EB4" w:rsidRDefault="00DB0EB4" w:rsidP="00DB0EB4">
            <w:pPr>
              <w:spacing w:after="0"/>
              <w:rPr>
                <w:rFonts w:cs="Calibri"/>
                <w:sz w:val="20"/>
                <w:szCs w:val="20"/>
              </w:rPr>
            </w:pPr>
            <w:r w:rsidRPr="00DB0EB4">
              <w:rPr>
                <w:rFonts w:cs="Calibri"/>
                <w:sz w:val="20"/>
                <w:szCs w:val="20"/>
              </w:rPr>
              <w:t>-</w:t>
            </w:r>
          </w:p>
        </w:tc>
        <w:tc>
          <w:tcPr>
            <w:tcW w:w="1873" w:type="dxa"/>
          </w:tcPr>
          <w:p w14:paraId="56799011" w14:textId="77777777" w:rsidR="00DB0EB4" w:rsidRPr="00DB0EB4" w:rsidRDefault="00DB0EB4" w:rsidP="00DB0EB4">
            <w:pPr>
              <w:spacing w:after="0"/>
              <w:rPr>
                <w:rFonts w:eastAsia="Times New Roman" w:cs="Calibri"/>
                <w:sz w:val="20"/>
                <w:szCs w:val="20"/>
              </w:rPr>
            </w:pPr>
            <w:r w:rsidRPr="00DB0EB4">
              <w:rPr>
                <w:rFonts w:cs="Calibri"/>
                <w:sz w:val="20"/>
                <w:szCs w:val="20"/>
              </w:rPr>
              <w:t>500</w:t>
            </w:r>
            <w:r w:rsidRPr="00DB0EB4">
              <w:rPr>
                <w:rFonts w:cs="Calibri"/>
                <w:i/>
                <w:iCs/>
                <w:sz w:val="20"/>
                <w:szCs w:val="20"/>
                <w:vertAlign w:val="superscript"/>
              </w:rPr>
              <w:t>a.</w:t>
            </w:r>
          </w:p>
        </w:tc>
      </w:tr>
      <w:tr w:rsidR="00DB0EB4" w:rsidRPr="00DB0EB4" w14:paraId="04AA94FB" w14:textId="77777777" w:rsidTr="00174A73">
        <w:trPr>
          <w:trHeight w:val="300"/>
        </w:trPr>
        <w:tc>
          <w:tcPr>
            <w:tcW w:w="1277" w:type="dxa"/>
            <w:noWrap/>
            <w:hideMark/>
          </w:tcPr>
          <w:p w14:paraId="4EB67BAD"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1996/97</w:t>
            </w:r>
          </w:p>
        </w:tc>
        <w:tc>
          <w:tcPr>
            <w:tcW w:w="3743" w:type="dxa"/>
          </w:tcPr>
          <w:p w14:paraId="49B36EA5"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w:t>
            </w:r>
          </w:p>
        </w:tc>
        <w:tc>
          <w:tcPr>
            <w:tcW w:w="2174" w:type="dxa"/>
          </w:tcPr>
          <w:p w14:paraId="03A87EC5" w14:textId="77777777" w:rsidR="00DB0EB4" w:rsidRPr="00DB0EB4" w:rsidRDefault="00DB0EB4" w:rsidP="00DB0EB4">
            <w:pPr>
              <w:spacing w:after="0"/>
              <w:rPr>
                <w:rFonts w:cs="Calibri"/>
                <w:sz w:val="20"/>
                <w:szCs w:val="20"/>
              </w:rPr>
            </w:pPr>
            <w:r w:rsidRPr="00DB0EB4">
              <w:rPr>
                <w:rFonts w:cs="Calibri"/>
                <w:sz w:val="20"/>
                <w:szCs w:val="20"/>
              </w:rPr>
              <w:t>-</w:t>
            </w:r>
          </w:p>
        </w:tc>
        <w:tc>
          <w:tcPr>
            <w:tcW w:w="1873" w:type="dxa"/>
          </w:tcPr>
          <w:p w14:paraId="72140256" w14:textId="77777777" w:rsidR="00DB0EB4" w:rsidRPr="00DB0EB4" w:rsidRDefault="00DB0EB4" w:rsidP="00DB0EB4">
            <w:pPr>
              <w:spacing w:after="0"/>
              <w:rPr>
                <w:rFonts w:eastAsia="Times New Roman" w:cs="Calibri"/>
                <w:sz w:val="20"/>
                <w:szCs w:val="20"/>
              </w:rPr>
            </w:pPr>
            <w:r w:rsidRPr="00DB0EB4">
              <w:rPr>
                <w:rFonts w:cs="Calibri"/>
                <w:sz w:val="20"/>
                <w:szCs w:val="20"/>
              </w:rPr>
              <w:t>500</w:t>
            </w:r>
            <w:r w:rsidRPr="00DB0EB4">
              <w:rPr>
                <w:rFonts w:cs="Calibri"/>
                <w:i/>
                <w:iCs/>
                <w:sz w:val="20"/>
                <w:szCs w:val="20"/>
                <w:vertAlign w:val="superscript"/>
              </w:rPr>
              <w:t xml:space="preserve"> a.</w:t>
            </w:r>
          </w:p>
        </w:tc>
      </w:tr>
      <w:tr w:rsidR="00DB0EB4" w:rsidRPr="00DB0EB4" w14:paraId="088C75BA" w14:textId="77777777" w:rsidTr="00174A73">
        <w:trPr>
          <w:trHeight w:val="300"/>
        </w:trPr>
        <w:tc>
          <w:tcPr>
            <w:tcW w:w="1277" w:type="dxa"/>
            <w:noWrap/>
            <w:hideMark/>
          </w:tcPr>
          <w:p w14:paraId="1F221EDA"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1997/98</w:t>
            </w:r>
          </w:p>
        </w:tc>
        <w:tc>
          <w:tcPr>
            <w:tcW w:w="3743" w:type="dxa"/>
          </w:tcPr>
          <w:p w14:paraId="7B06577A"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w:t>
            </w:r>
          </w:p>
        </w:tc>
        <w:tc>
          <w:tcPr>
            <w:tcW w:w="2174" w:type="dxa"/>
          </w:tcPr>
          <w:p w14:paraId="3D56CBB2" w14:textId="77777777" w:rsidR="00DB0EB4" w:rsidRPr="00DB0EB4" w:rsidRDefault="00DB0EB4" w:rsidP="00DB0EB4">
            <w:pPr>
              <w:spacing w:after="0"/>
              <w:rPr>
                <w:rFonts w:cs="Calibri"/>
                <w:sz w:val="20"/>
                <w:szCs w:val="20"/>
              </w:rPr>
            </w:pPr>
            <w:r w:rsidRPr="00DB0EB4">
              <w:rPr>
                <w:rFonts w:cs="Calibri"/>
                <w:sz w:val="20"/>
                <w:szCs w:val="20"/>
              </w:rPr>
              <w:t>-</w:t>
            </w:r>
          </w:p>
        </w:tc>
        <w:tc>
          <w:tcPr>
            <w:tcW w:w="1873" w:type="dxa"/>
          </w:tcPr>
          <w:p w14:paraId="45D1468D" w14:textId="77777777" w:rsidR="00DB0EB4" w:rsidRPr="00DB0EB4" w:rsidRDefault="00DB0EB4" w:rsidP="00DB0EB4">
            <w:pPr>
              <w:spacing w:after="0"/>
              <w:rPr>
                <w:rFonts w:eastAsia="Times New Roman" w:cs="Calibri"/>
                <w:sz w:val="20"/>
                <w:szCs w:val="20"/>
              </w:rPr>
            </w:pPr>
            <w:r w:rsidRPr="00DB0EB4">
              <w:rPr>
                <w:rFonts w:cs="Calibri"/>
                <w:sz w:val="20"/>
                <w:szCs w:val="20"/>
              </w:rPr>
              <w:t>500</w:t>
            </w:r>
            <w:r w:rsidRPr="00DB0EB4">
              <w:rPr>
                <w:rFonts w:cs="Calibri"/>
                <w:i/>
                <w:iCs/>
                <w:sz w:val="20"/>
                <w:szCs w:val="20"/>
                <w:vertAlign w:val="superscript"/>
              </w:rPr>
              <w:t xml:space="preserve"> a.</w:t>
            </w:r>
          </w:p>
        </w:tc>
      </w:tr>
      <w:tr w:rsidR="00DB0EB4" w:rsidRPr="00DB0EB4" w14:paraId="28E32402" w14:textId="77777777" w:rsidTr="00174A73">
        <w:trPr>
          <w:trHeight w:val="300"/>
        </w:trPr>
        <w:tc>
          <w:tcPr>
            <w:tcW w:w="1277" w:type="dxa"/>
            <w:noWrap/>
            <w:hideMark/>
          </w:tcPr>
          <w:p w14:paraId="0F8D26A2"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1998/99</w:t>
            </w:r>
          </w:p>
        </w:tc>
        <w:tc>
          <w:tcPr>
            <w:tcW w:w="3743" w:type="dxa"/>
          </w:tcPr>
          <w:p w14:paraId="350FC1F6"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w:t>
            </w:r>
          </w:p>
        </w:tc>
        <w:tc>
          <w:tcPr>
            <w:tcW w:w="2174" w:type="dxa"/>
          </w:tcPr>
          <w:p w14:paraId="3890BB2E" w14:textId="77777777" w:rsidR="00DB0EB4" w:rsidRPr="00DB0EB4" w:rsidRDefault="00DB0EB4" w:rsidP="00DB0EB4">
            <w:pPr>
              <w:spacing w:after="0"/>
              <w:rPr>
                <w:rFonts w:cs="Calibri"/>
                <w:sz w:val="20"/>
                <w:szCs w:val="20"/>
              </w:rPr>
            </w:pPr>
            <w:r w:rsidRPr="00DB0EB4">
              <w:rPr>
                <w:rFonts w:cs="Calibri"/>
                <w:sz w:val="20"/>
                <w:szCs w:val="20"/>
              </w:rPr>
              <w:t>188</w:t>
            </w:r>
          </w:p>
        </w:tc>
        <w:tc>
          <w:tcPr>
            <w:tcW w:w="1873" w:type="dxa"/>
          </w:tcPr>
          <w:p w14:paraId="2369B21F" w14:textId="77777777" w:rsidR="00DB0EB4" w:rsidRPr="00DB0EB4" w:rsidRDefault="00DB0EB4" w:rsidP="00DB0EB4">
            <w:pPr>
              <w:spacing w:after="0"/>
              <w:rPr>
                <w:rFonts w:eastAsia="Times New Roman" w:cs="Calibri"/>
                <w:sz w:val="20"/>
                <w:szCs w:val="20"/>
              </w:rPr>
            </w:pPr>
            <w:r w:rsidRPr="00DB0EB4">
              <w:rPr>
                <w:rFonts w:cs="Calibri"/>
                <w:sz w:val="20"/>
                <w:szCs w:val="20"/>
              </w:rPr>
              <w:t>380</w:t>
            </w:r>
          </w:p>
        </w:tc>
      </w:tr>
      <w:tr w:rsidR="00DB0EB4" w:rsidRPr="00DB0EB4" w14:paraId="585A5470" w14:textId="77777777" w:rsidTr="00174A73">
        <w:trPr>
          <w:trHeight w:val="300"/>
        </w:trPr>
        <w:tc>
          <w:tcPr>
            <w:tcW w:w="1277" w:type="dxa"/>
            <w:noWrap/>
            <w:hideMark/>
          </w:tcPr>
          <w:p w14:paraId="2CE924EA"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1999/00</w:t>
            </w:r>
          </w:p>
        </w:tc>
        <w:tc>
          <w:tcPr>
            <w:tcW w:w="3743" w:type="dxa"/>
          </w:tcPr>
          <w:p w14:paraId="0739E3BA"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127</w:t>
            </w:r>
          </w:p>
        </w:tc>
        <w:tc>
          <w:tcPr>
            <w:tcW w:w="2174" w:type="dxa"/>
          </w:tcPr>
          <w:p w14:paraId="52E20B52" w14:textId="77777777" w:rsidR="00DB0EB4" w:rsidRPr="00DB0EB4" w:rsidRDefault="00DB0EB4" w:rsidP="00DB0EB4">
            <w:pPr>
              <w:spacing w:after="0"/>
              <w:rPr>
                <w:rFonts w:cs="Calibri"/>
                <w:sz w:val="20"/>
                <w:szCs w:val="20"/>
              </w:rPr>
            </w:pPr>
            <w:r w:rsidRPr="00DB0EB4">
              <w:rPr>
                <w:rFonts w:cs="Calibri"/>
                <w:sz w:val="20"/>
                <w:szCs w:val="20"/>
              </w:rPr>
              <w:t>0 (Oct 1999)</w:t>
            </w:r>
          </w:p>
        </w:tc>
        <w:tc>
          <w:tcPr>
            <w:tcW w:w="1873" w:type="dxa"/>
          </w:tcPr>
          <w:p w14:paraId="44D91DD5" w14:textId="77777777" w:rsidR="00DB0EB4" w:rsidRPr="00DB0EB4" w:rsidRDefault="00DB0EB4" w:rsidP="00DB0EB4">
            <w:pPr>
              <w:spacing w:after="0"/>
              <w:rPr>
                <w:rFonts w:eastAsia="Times New Roman" w:cs="Calibri"/>
                <w:sz w:val="20"/>
                <w:szCs w:val="20"/>
              </w:rPr>
            </w:pPr>
            <w:r w:rsidRPr="00DB0EB4">
              <w:rPr>
                <w:rFonts w:cs="Calibri"/>
                <w:sz w:val="20"/>
                <w:szCs w:val="20"/>
              </w:rPr>
              <w:t>380</w:t>
            </w:r>
          </w:p>
        </w:tc>
      </w:tr>
      <w:tr w:rsidR="00DB0EB4" w:rsidRPr="00DB0EB4" w14:paraId="559F3015" w14:textId="77777777" w:rsidTr="00174A73">
        <w:trPr>
          <w:trHeight w:val="300"/>
        </w:trPr>
        <w:tc>
          <w:tcPr>
            <w:tcW w:w="1277" w:type="dxa"/>
            <w:noWrap/>
            <w:hideMark/>
          </w:tcPr>
          <w:p w14:paraId="1C662149"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2000/01</w:t>
            </w:r>
          </w:p>
        </w:tc>
        <w:tc>
          <w:tcPr>
            <w:tcW w:w="3743" w:type="dxa"/>
          </w:tcPr>
          <w:p w14:paraId="1517A3C5"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158</w:t>
            </w:r>
            <w:r w:rsidRPr="00DB0EB4">
              <w:rPr>
                <w:rFonts w:eastAsia="Times New Roman" w:cs="Calibri"/>
                <w:i/>
                <w:iCs/>
                <w:sz w:val="20"/>
                <w:szCs w:val="20"/>
                <w:vertAlign w:val="superscript"/>
              </w:rPr>
              <w:t>b.</w:t>
            </w:r>
          </w:p>
        </w:tc>
        <w:tc>
          <w:tcPr>
            <w:tcW w:w="2174" w:type="dxa"/>
          </w:tcPr>
          <w:p w14:paraId="46F28386" w14:textId="77777777" w:rsidR="00DB0EB4" w:rsidRPr="00DB0EB4" w:rsidRDefault="00DB0EB4" w:rsidP="00DB0EB4">
            <w:pPr>
              <w:spacing w:after="0"/>
              <w:rPr>
                <w:rFonts w:cs="Calibri"/>
                <w:sz w:val="20"/>
                <w:szCs w:val="20"/>
              </w:rPr>
            </w:pPr>
            <w:r w:rsidRPr="00DB0EB4">
              <w:rPr>
                <w:rFonts w:cs="Calibri"/>
                <w:sz w:val="20"/>
                <w:szCs w:val="20"/>
              </w:rPr>
              <w:t>0</w:t>
            </w:r>
          </w:p>
        </w:tc>
        <w:tc>
          <w:tcPr>
            <w:tcW w:w="1873" w:type="dxa"/>
          </w:tcPr>
          <w:p w14:paraId="60AC860B" w14:textId="77777777" w:rsidR="00DB0EB4" w:rsidRPr="00DB0EB4" w:rsidRDefault="00DB0EB4" w:rsidP="00DB0EB4">
            <w:pPr>
              <w:spacing w:after="0"/>
              <w:rPr>
                <w:rFonts w:eastAsia="Times New Roman" w:cs="Calibri"/>
                <w:sz w:val="20"/>
                <w:szCs w:val="20"/>
              </w:rPr>
            </w:pPr>
            <w:r w:rsidRPr="00DB0EB4">
              <w:rPr>
                <w:rFonts w:cs="Calibri"/>
                <w:sz w:val="20"/>
                <w:szCs w:val="20"/>
              </w:rPr>
              <w:t>380</w:t>
            </w:r>
          </w:p>
        </w:tc>
      </w:tr>
      <w:tr w:rsidR="00DB0EB4" w:rsidRPr="00DB0EB4" w14:paraId="00D26352" w14:textId="77777777" w:rsidTr="00174A73">
        <w:trPr>
          <w:trHeight w:val="300"/>
        </w:trPr>
        <w:tc>
          <w:tcPr>
            <w:tcW w:w="1277" w:type="dxa"/>
            <w:noWrap/>
            <w:hideMark/>
          </w:tcPr>
          <w:p w14:paraId="57047888"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2001/02</w:t>
            </w:r>
          </w:p>
        </w:tc>
        <w:tc>
          <w:tcPr>
            <w:tcW w:w="3743" w:type="dxa"/>
          </w:tcPr>
          <w:p w14:paraId="6190F09E"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127</w:t>
            </w:r>
          </w:p>
        </w:tc>
        <w:tc>
          <w:tcPr>
            <w:tcW w:w="2174" w:type="dxa"/>
          </w:tcPr>
          <w:p w14:paraId="106BB6DE" w14:textId="77777777" w:rsidR="00DB0EB4" w:rsidRPr="00DB0EB4" w:rsidRDefault="00DB0EB4" w:rsidP="00DB0EB4">
            <w:pPr>
              <w:spacing w:after="0"/>
              <w:rPr>
                <w:rFonts w:cs="Calibri"/>
                <w:sz w:val="20"/>
                <w:szCs w:val="20"/>
              </w:rPr>
            </w:pPr>
            <w:r w:rsidRPr="00DB0EB4">
              <w:rPr>
                <w:rFonts w:cs="Calibri"/>
                <w:sz w:val="20"/>
                <w:szCs w:val="20"/>
              </w:rPr>
              <w:t>0</w:t>
            </w:r>
          </w:p>
        </w:tc>
        <w:tc>
          <w:tcPr>
            <w:tcW w:w="1873" w:type="dxa"/>
          </w:tcPr>
          <w:p w14:paraId="0F53117B" w14:textId="77777777" w:rsidR="00DB0EB4" w:rsidRPr="00DB0EB4" w:rsidRDefault="00DB0EB4" w:rsidP="00DB0EB4">
            <w:pPr>
              <w:spacing w:after="0"/>
              <w:rPr>
                <w:rFonts w:eastAsia="Times New Roman" w:cs="Calibri"/>
                <w:sz w:val="20"/>
                <w:szCs w:val="20"/>
              </w:rPr>
            </w:pPr>
            <w:r w:rsidRPr="00DB0EB4">
              <w:rPr>
                <w:rFonts w:cs="Calibri"/>
                <w:sz w:val="20"/>
                <w:szCs w:val="20"/>
              </w:rPr>
              <w:t>380</w:t>
            </w:r>
          </w:p>
        </w:tc>
      </w:tr>
      <w:tr w:rsidR="00DB0EB4" w:rsidRPr="00DB0EB4" w14:paraId="7BC075D0" w14:textId="77777777" w:rsidTr="00174A73">
        <w:trPr>
          <w:trHeight w:val="300"/>
        </w:trPr>
        <w:tc>
          <w:tcPr>
            <w:tcW w:w="1277" w:type="dxa"/>
            <w:noWrap/>
            <w:hideMark/>
          </w:tcPr>
          <w:p w14:paraId="2238E6C8"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2002/03</w:t>
            </w:r>
          </w:p>
        </w:tc>
        <w:tc>
          <w:tcPr>
            <w:tcW w:w="3743" w:type="dxa"/>
          </w:tcPr>
          <w:p w14:paraId="7BFA3DA7"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127</w:t>
            </w:r>
          </w:p>
        </w:tc>
        <w:tc>
          <w:tcPr>
            <w:tcW w:w="2174" w:type="dxa"/>
          </w:tcPr>
          <w:p w14:paraId="4A1C2172" w14:textId="77777777" w:rsidR="00DB0EB4" w:rsidRPr="00DB0EB4" w:rsidRDefault="00DB0EB4" w:rsidP="00DB0EB4">
            <w:pPr>
              <w:spacing w:after="0"/>
              <w:rPr>
                <w:rFonts w:cs="Calibri"/>
                <w:sz w:val="20"/>
                <w:szCs w:val="20"/>
              </w:rPr>
            </w:pPr>
            <w:r w:rsidRPr="00DB0EB4">
              <w:rPr>
                <w:rFonts w:cs="Calibri"/>
                <w:sz w:val="20"/>
                <w:szCs w:val="20"/>
              </w:rPr>
              <w:t>0</w:t>
            </w:r>
          </w:p>
        </w:tc>
        <w:tc>
          <w:tcPr>
            <w:tcW w:w="1873" w:type="dxa"/>
          </w:tcPr>
          <w:p w14:paraId="343BF8B1" w14:textId="77777777" w:rsidR="00DB0EB4" w:rsidRPr="00DB0EB4" w:rsidRDefault="00DB0EB4" w:rsidP="00DB0EB4">
            <w:pPr>
              <w:spacing w:after="0"/>
              <w:rPr>
                <w:rFonts w:eastAsia="Times New Roman" w:cs="Calibri"/>
                <w:sz w:val="20"/>
                <w:szCs w:val="20"/>
              </w:rPr>
            </w:pPr>
            <w:r w:rsidRPr="00DB0EB4">
              <w:rPr>
                <w:rFonts w:cs="Calibri"/>
                <w:sz w:val="20"/>
                <w:szCs w:val="20"/>
              </w:rPr>
              <w:t>380</w:t>
            </w:r>
          </w:p>
        </w:tc>
      </w:tr>
      <w:tr w:rsidR="00DB0EB4" w:rsidRPr="00DB0EB4" w14:paraId="5227D483" w14:textId="77777777" w:rsidTr="00174A73">
        <w:trPr>
          <w:trHeight w:val="300"/>
        </w:trPr>
        <w:tc>
          <w:tcPr>
            <w:tcW w:w="1277" w:type="dxa"/>
            <w:noWrap/>
            <w:hideMark/>
          </w:tcPr>
          <w:p w14:paraId="2174B2C3"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2003/04</w:t>
            </w:r>
          </w:p>
        </w:tc>
        <w:tc>
          <w:tcPr>
            <w:tcW w:w="3743" w:type="dxa"/>
          </w:tcPr>
          <w:p w14:paraId="14FAA29B"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127</w:t>
            </w:r>
          </w:p>
        </w:tc>
        <w:tc>
          <w:tcPr>
            <w:tcW w:w="2174" w:type="dxa"/>
          </w:tcPr>
          <w:p w14:paraId="6E3CDDE3" w14:textId="77777777" w:rsidR="00DB0EB4" w:rsidRPr="00DB0EB4" w:rsidRDefault="00DB0EB4" w:rsidP="00DB0EB4">
            <w:pPr>
              <w:spacing w:after="0"/>
              <w:rPr>
                <w:rFonts w:cs="Calibri"/>
                <w:sz w:val="20"/>
                <w:szCs w:val="20"/>
              </w:rPr>
            </w:pPr>
            <w:r w:rsidRPr="00DB0EB4">
              <w:rPr>
                <w:rFonts w:cs="Calibri"/>
                <w:sz w:val="20"/>
                <w:szCs w:val="20"/>
              </w:rPr>
              <w:t>0</w:t>
            </w:r>
          </w:p>
        </w:tc>
        <w:tc>
          <w:tcPr>
            <w:tcW w:w="1873" w:type="dxa"/>
          </w:tcPr>
          <w:p w14:paraId="3019358B" w14:textId="77777777" w:rsidR="00DB0EB4" w:rsidRPr="00DB0EB4" w:rsidRDefault="00DB0EB4" w:rsidP="00DB0EB4">
            <w:pPr>
              <w:spacing w:after="0"/>
              <w:rPr>
                <w:rFonts w:eastAsia="Times New Roman" w:cs="Calibri"/>
                <w:sz w:val="20"/>
                <w:szCs w:val="20"/>
              </w:rPr>
            </w:pPr>
            <w:r w:rsidRPr="00DB0EB4">
              <w:rPr>
                <w:rFonts w:cs="Calibri"/>
                <w:sz w:val="20"/>
                <w:szCs w:val="20"/>
              </w:rPr>
              <w:t>380</w:t>
            </w:r>
          </w:p>
        </w:tc>
      </w:tr>
      <w:tr w:rsidR="00DB0EB4" w:rsidRPr="00DB0EB4" w14:paraId="038A1F1F" w14:textId="77777777" w:rsidTr="00174A73">
        <w:trPr>
          <w:trHeight w:val="300"/>
        </w:trPr>
        <w:tc>
          <w:tcPr>
            <w:tcW w:w="1277" w:type="dxa"/>
            <w:noWrap/>
            <w:hideMark/>
          </w:tcPr>
          <w:p w14:paraId="5D107636"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2004/05</w:t>
            </w:r>
          </w:p>
        </w:tc>
        <w:tc>
          <w:tcPr>
            <w:tcW w:w="3743" w:type="dxa"/>
          </w:tcPr>
          <w:p w14:paraId="5B93E08A" w14:textId="77777777" w:rsidR="00DB0EB4" w:rsidRPr="00DB0EB4" w:rsidRDefault="00DB0EB4" w:rsidP="00DB0EB4">
            <w:pPr>
              <w:spacing w:after="0"/>
              <w:rPr>
                <w:rFonts w:eastAsia="Times New Roman" w:cs="Calibri"/>
                <w:sz w:val="20"/>
                <w:szCs w:val="20"/>
              </w:rPr>
            </w:pPr>
            <w:r w:rsidRPr="00DB0EB4">
              <w:rPr>
                <w:rFonts w:cs="Calibri"/>
                <w:sz w:val="20"/>
                <w:szCs w:val="20"/>
              </w:rPr>
              <w:t>127</w:t>
            </w:r>
            <w:r w:rsidRPr="00DB0EB4">
              <w:rPr>
                <w:rFonts w:cs="Calibri"/>
                <w:i/>
                <w:iCs/>
                <w:sz w:val="20"/>
                <w:szCs w:val="20"/>
                <w:vertAlign w:val="superscript"/>
              </w:rPr>
              <w:t>c</w:t>
            </w:r>
            <w:r w:rsidRPr="00DB0EB4">
              <w:rPr>
                <w:rFonts w:cs="Calibri"/>
                <w:sz w:val="20"/>
                <w:szCs w:val="20"/>
              </w:rPr>
              <w:t xml:space="preserve"> (57 t Zone1, 70 t Zone 2)</w:t>
            </w:r>
          </w:p>
        </w:tc>
        <w:tc>
          <w:tcPr>
            <w:tcW w:w="2174" w:type="dxa"/>
          </w:tcPr>
          <w:p w14:paraId="5319EFB0" w14:textId="77777777" w:rsidR="00DB0EB4" w:rsidRPr="00DB0EB4" w:rsidRDefault="00DB0EB4" w:rsidP="00DB0EB4">
            <w:pPr>
              <w:spacing w:after="0"/>
              <w:rPr>
                <w:rFonts w:cs="Calibri"/>
                <w:sz w:val="20"/>
                <w:szCs w:val="20"/>
              </w:rPr>
            </w:pPr>
            <w:r w:rsidRPr="00DB0EB4">
              <w:rPr>
                <w:rFonts w:cs="Calibri"/>
                <w:sz w:val="20"/>
                <w:szCs w:val="20"/>
              </w:rPr>
              <w:t>0</w:t>
            </w:r>
          </w:p>
        </w:tc>
        <w:tc>
          <w:tcPr>
            <w:tcW w:w="1873" w:type="dxa"/>
          </w:tcPr>
          <w:p w14:paraId="250D1FCF" w14:textId="77777777" w:rsidR="00DB0EB4" w:rsidRPr="00DB0EB4" w:rsidRDefault="00DB0EB4" w:rsidP="00DB0EB4">
            <w:pPr>
              <w:spacing w:after="0"/>
              <w:rPr>
                <w:rFonts w:eastAsia="Times New Roman" w:cs="Calibri"/>
                <w:sz w:val="20"/>
                <w:szCs w:val="20"/>
              </w:rPr>
            </w:pPr>
            <w:r w:rsidRPr="00DB0EB4">
              <w:rPr>
                <w:rFonts w:cs="Calibri"/>
                <w:sz w:val="20"/>
                <w:szCs w:val="20"/>
              </w:rPr>
              <w:t>380</w:t>
            </w:r>
          </w:p>
        </w:tc>
      </w:tr>
      <w:tr w:rsidR="00DB0EB4" w:rsidRPr="00DB0EB4" w14:paraId="3A749EE9" w14:textId="77777777" w:rsidTr="00174A73">
        <w:trPr>
          <w:trHeight w:val="300"/>
        </w:trPr>
        <w:tc>
          <w:tcPr>
            <w:tcW w:w="1277" w:type="dxa"/>
            <w:noWrap/>
            <w:hideMark/>
          </w:tcPr>
          <w:p w14:paraId="64D89059"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2005/06</w:t>
            </w:r>
          </w:p>
        </w:tc>
        <w:tc>
          <w:tcPr>
            <w:tcW w:w="3743" w:type="dxa"/>
          </w:tcPr>
          <w:p w14:paraId="632686FD"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89 t (57 t Zone 1, 32 t Zone 2) </w:t>
            </w:r>
          </w:p>
        </w:tc>
        <w:tc>
          <w:tcPr>
            <w:tcW w:w="2174" w:type="dxa"/>
          </w:tcPr>
          <w:p w14:paraId="58157DE3"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4B8B4F78"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380</w:t>
            </w:r>
          </w:p>
        </w:tc>
      </w:tr>
      <w:tr w:rsidR="00DB0EB4" w:rsidRPr="00DB0EB4" w14:paraId="51B82FB3" w14:textId="77777777" w:rsidTr="00174A73">
        <w:trPr>
          <w:trHeight w:val="300"/>
        </w:trPr>
        <w:tc>
          <w:tcPr>
            <w:tcW w:w="1277" w:type="dxa"/>
            <w:noWrap/>
            <w:hideMark/>
          </w:tcPr>
          <w:p w14:paraId="27013533"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2006/07</w:t>
            </w:r>
          </w:p>
        </w:tc>
        <w:tc>
          <w:tcPr>
            <w:tcW w:w="3743" w:type="dxa"/>
          </w:tcPr>
          <w:p w14:paraId="7462B639"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89 t (57 t Zone 1, 32 t Zone 2) </w:t>
            </w:r>
          </w:p>
        </w:tc>
        <w:tc>
          <w:tcPr>
            <w:tcW w:w="2174" w:type="dxa"/>
          </w:tcPr>
          <w:p w14:paraId="09F59A9A"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2E38BD05"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380</w:t>
            </w:r>
          </w:p>
        </w:tc>
      </w:tr>
      <w:tr w:rsidR="00DB0EB4" w:rsidRPr="00DB0EB4" w14:paraId="3F04EB5B" w14:textId="77777777" w:rsidTr="00174A73">
        <w:trPr>
          <w:trHeight w:val="300"/>
        </w:trPr>
        <w:tc>
          <w:tcPr>
            <w:tcW w:w="1277" w:type="dxa"/>
            <w:noWrap/>
            <w:hideMark/>
          </w:tcPr>
          <w:p w14:paraId="220AB96D"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2007/08</w:t>
            </w:r>
          </w:p>
        </w:tc>
        <w:tc>
          <w:tcPr>
            <w:tcW w:w="3743" w:type="dxa"/>
          </w:tcPr>
          <w:p w14:paraId="10784472"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89 t (57 t Zone 1, 32 t Zone 2) </w:t>
            </w:r>
          </w:p>
        </w:tc>
        <w:tc>
          <w:tcPr>
            <w:tcW w:w="2174" w:type="dxa"/>
          </w:tcPr>
          <w:p w14:paraId="70E68594"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569F797F"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4749A900" w14:textId="77777777" w:rsidTr="00174A73">
        <w:trPr>
          <w:trHeight w:val="300"/>
        </w:trPr>
        <w:tc>
          <w:tcPr>
            <w:tcW w:w="1277" w:type="dxa"/>
            <w:noWrap/>
            <w:hideMark/>
          </w:tcPr>
          <w:p w14:paraId="3AC5E351"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2008/09</w:t>
            </w:r>
          </w:p>
        </w:tc>
        <w:tc>
          <w:tcPr>
            <w:tcW w:w="3743" w:type="dxa"/>
          </w:tcPr>
          <w:p w14:paraId="54AE6B6C"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89 t (57 t Zone 1, 32 t Zone 2) </w:t>
            </w:r>
          </w:p>
        </w:tc>
        <w:tc>
          <w:tcPr>
            <w:tcW w:w="2174" w:type="dxa"/>
          </w:tcPr>
          <w:p w14:paraId="425BF5A3"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5CEB3B2A"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4EAD570C" w14:textId="77777777" w:rsidTr="00174A73">
        <w:trPr>
          <w:trHeight w:val="300"/>
        </w:trPr>
        <w:tc>
          <w:tcPr>
            <w:tcW w:w="1277" w:type="dxa"/>
            <w:noWrap/>
            <w:hideMark/>
          </w:tcPr>
          <w:p w14:paraId="6FE550AB"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2009/10</w:t>
            </w:r>
          </w:p>
        </w:tc>
        <w:tc>
          <w:tcPr>
            <w:tcW w:w="3743" w:type="dxa"/>
          </w:tcPr>
          <w:p w14:paraId="4B54B0FF"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89 t (57 t Zone 1, 32 t Zone 2) </w:t>
            </w:r>
          </w:p>
        </w:tc>
        <w:tc>
          <w:tcPr>
            <w:tcW w:w="2174" w:type="dxa"/>
          </w:tcPr>
          <w:p w14:paraId="0B1710AA"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0EE6FE10"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66792EB1" w14:textId="77777777" w:rsidTr="00174A73">
        <w:trPr>
          <w:trHeight w:val="300"/>
        </w:trPr>
        <w:tc>
          <w:tcPr>
            <w:tcW w:w="1277" w:type="dxa"/>
            <w:noWrap/>
            <w:hideMark/>
          </w:tcPr>
          <w:p w14:paraId="6AF139C7"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2010/11</w:t>
            </w:r>
          </w:p>
        </w:tc>
        <w:tc>
          <w:tcPr>
            <w:tcW w:w="3743" w:type="dxa"/>
          </w:tcPr>
          <w:p w14:paraId="43428001" w14:textId="77777777" w:rsidR="00DB0EB4" w:rsidRPr="00DB0EB4" w:rsidRDefault="00DB0EB4" w:rsidP="00DB0EB4">
            <w:pPr>
              <w:spacing w:after="0"/>
              <w:rPr>
                <w:rFonts w:eastAsia="Times New Roman" w:cs="Calibri"/>
                <w:sz w:val="20"/>
                <w:szCs w:val="20"/>
              </w:rPr>
            </w:pPr>
            <w:r w:rsidRPr="00DB0EB4">
              <w:rPr>
                <w:rFonts w:cs="Calibri"/>
                <w:sz w:val="20"/>
                <w:szCs w:val="20"/>
              </w:rPr>
              <w:t>64 t (51 t Zone 1, 13 t Zone 2)</w:t>
            </w:r>
          </w:p>
        </w:tc>
        <w:tc>
          <w:tcPr>
            <w:tcW w:w="2174" w:type="dxa"/>
          </w:tcPr>
          <w:p w14:paraId="693571D0"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425C3565"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20220C70" w14:textId="77777777" w:rsidTr="00174A73">
        <w:trPr>
          <w:trHeight w:val="300"/>
        </w:trPr>
        <w:tc>
          <w:tcPr>
            <w:tcW w:w="1277" w:type="dxa"/>
            <w:noWrap/>
            <w:hideMark/>
          </w:tcPr>
          <w:p w14:paraId="520135AF"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2011/12</w:t>
            </w:r>
          </w:p>
        </w:tc>
        <w:tc>
          <w:tcPr>
            <w:tcW w:w="3743" w:type="dxa"/>
          </w:tcPr>
          <w:p w14:paraId="13755E4F"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(40 t Zone 1, 13 t Zone 2) </w:t>
            </w:r>
          </w:p>
        </w:tc>
        <w:tc>
          <w:tcPr>
            <w:tcW w:w="2174" w:type="dxa"/>
          </w:tcPr>
          <w:p w14:paraId="18AFA71D"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25AAAFAB"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68CEC866" w14:textId="77777777" w:rsidTr="00174A73">
        <w:trPr>
          <w:trHeight w:val="300"/>
        </w:trPr>
        <w:tc>
          <w:tcPr>
            <w:tcW w:w="1277" w:type="dxa"/>
            <w:noWrap/>
            <w:hideMark/>
          </w:tcPr>
          <w:p w14:paraId="5543EBF1"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2012/13</w:t>
            </w:r>
          </w:p>
        </w:tc>
        <w:tc>
          <w:tcPr>
            <w:tcW w:w="3743" w:type="dxa"/>
          </w:tcPr>
          <w:p w14:paraId="29BF72CA"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(40 t Zone 1, 13 t Zone 2) </w:t>
            </w:r>
          </w:p>
        </w:tc>
        <w:tc>
          <w:tcPr>
            <w:tcW w:w="2174" w:type="dxa"/>
          </w:tcPr>
          <w:p w14:paraId="30A37AFD"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0AB1F9F4"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5690AEC4" w14:textId="77777777" w:rsidTr="00174A73">
        <w:trPr>
          <w:trHeight w:val="300"/>
        </w:trPr>
        <w:tc>
          <w:tcPr>
            <w:tcW w:w="1277" w:type="dxa"/>
            <w:noWrap/>
            <w:hideMark/>
          </w:tcPr>
          <w:p w14:paraId="5FEAEB30"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2013/14</w:t>
            </w:r>
          </w:p>
        </w:tc>
        <w:tc>
          <w:tcPr>
            <w:tcW w:w="3743" w:type="dxa"/>
          </w:tcPr>
          <w:p w14:paraId="524D6D1F"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(40 t Zone 1, 13 t Zone 2) </w:t>
            </w:r>
          </w:p>
        </w:tc>
        <w:tc>
          <w:tcPr>
            <w:tcW w:w="2174" w:type="dxa"/>
          </w:tcPr>
          <w:p w14:paraId="7F60328C"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28802178"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7445E24C" w14:textId="77777777" w:rsidTr="00174A73">
        <w:trPr>
          <w:trHeight w:val="300"/>
        </w:trPr>
        <w:tc>
          <w:tcPr>
            <w:tcW w:w="1277" w:type="dxa"/>
            <w:noWrap/>
            <w:hideMark/>
          </w:tcPr>
          <w:p w14:paraId="078D7B8F"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2014/15</w:t>
            </w:r>
          </w:p>
        </w:tc>
        <w:tc>
          <w:tcPr>
            <w:tcW w:w="3743" w:type="dxa"/>
          </w:tcPr>
          <w:p w14:paraId="59C9D512" w14:textId="77777777" w:rsidR="00DB0EB4" w:rsidRPr="00DB0EB4" w:rsidRDefault="00DB0EB4" w:rsidP="00DB0EB4">
            <w:pPr>
              <w:spacing w:after="0"/>
              <w:rPr>
                <w:rFonts w:eastAsia="Times New Roman" w:cs="Calibri"/>
                <w:sz w:val="20"/>
                <w:szCs w:val="20"/>
              </w:rPr>
            </w:pPr>
            <w:r w:rsidRPr="00DB0EB4">
              <w:rPr>
                <w:rFonts w:cs="Calibri"/>
                <w:sz w:val="20"/>
                <w:szCs w:val="20"/>
              </w:rPr>
              <w:t>53 t</w:t>
            </w:r>
            <w:r w:rsidRPr="00DB0EB4">
              <w:rPr>
                <w:rFonts w:cs="Calibri"/>
                <w:i/>
                <w:iCs/>
                <w:sz w:val="20"/>
                <w:szCs w:val="20"/>
                <w:vertAlign w:val="superscript"/>
              </w:rPr>
              <w:t>d</w:t>
            </w:r>
            <w:r w:rsidRPr="00DB0EB4">
              <w:rPr>
                <w:rFonts w:cs="Calibri"/>
                <w:sz w:val="20"/>
                <w:szCs w:val="20"/>
              </w:rPr>
              <w:t xml:space="preserve"> </w:t>
            </w:r>
          </w:p>
        </w:tc>
        <w:tc>
          <w:tcPr>
            <w:tcW w:w="2174" w:type="dxa"/>
          </w:tcPr>
          <w:p w14:paraId="2EFFEF41"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2B8A50AE"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4083C8A5" w14:textId="77777777" w:rsidTr="00174A73">
        <w:trPr>
          <w:trHeight w:val="300"/>
        </w:trPr>
        <w:tc>
          <w:tcPr>
            <w:tcW w:w="1277" w:type="dxa"/>
            <w:noWrap/>
            <w:hideMark/>
          </w:tcPr>
          <w:p w14:paraId="38077B91"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2015/16</w:t>
            </w:r>
          </w:p>
        </w:tc>
        <w:tc>
          <w:tcPr>
            <w:tcW w:w="3743" w:type="dxa"/>
          </w:tcPr>
          <w:p w14:paraId="121C2A31"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w:t>
            </w:r>
          </w:p>
        </w:tc>
        <w:tc>
          <w:tcPr>
            <w:tcW w:w="2174" w:type="dxa"/>
          </w:tcPr>
          <w:p w14:paraId="5D8B5C56"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46623478"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750532C5" w14:textId="77777777" w:rsidTr="00174A73">
        <w:trPr>
          <w:trHeight w:val="300"/>
        </w:trPr>
        <w:tc>
          <w:tcPr>
            <w:tcW w:w="1277" w:type="dxa"/>
            <w:noWrap/>
            <w:hideMark/>
          </w:tcPr>
          <w:p w14:paraId="1AB52EBF"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2016/17</w:t>
            </w:r>
          </w:p>
        </w:tc>
        <w:tc>
          <w:tcPr>
            <w:tcW w:w="3743" w:type="dxa"/>
          </w:tcPr>
          <w:p w14:paraId="33CF0FD5"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w:t>
            </w:r>
          </w:p>
        </w:tc>
        <w:tc>
          <w:tcPr>
            <w:tcW w:w="2174" w:type="dxa"/>
          </w:tcPr>
          <w:p w14:paraId="299F2BEE"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5A652339"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644E4A9C" w14:textId="77777777" w:rsidTr="00174A73">
        <w:trPr>
          <w:trHeight w:val="300"/>
        </w:trPr>
        <w:tc>
          <w:tcPr>
            <w:tcW w:w="1277" w:type="dxa"/>
            <w:noWrap/>
            <w:hideMark/>
          </w:tcPr>
          <w:p w14:paraId="6379B370"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2017/18</w:t>
            </w:r>
          </w:p>
        </w:tc>
        <w:tc>
          <w:tcPr>
            <w:tcW w:w="3743" w:type="dxa"/>
          </w:tcPr>
          <w:p w14:paraId="4EE5C3E7"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w:t>
            </w:r>
          </w:p>
        </w:tc>
        <w:tc>
          <w:tcPr>
            <w:tcW w:w="2174" w:type="dxa"/>
          </w:tcPr>
          <w:p w14:paraId="5F994431" w14:textId="77777777" w:rsidR="00DB0EB4" w:rsidRPr="00DB0EB4" w:rsidRDefault="00DB0EB4" w:rsidP="00DB0EB4">
            <w:pPr>
              <w:spacing w:after="0"/>
              <w:rPr>
                <w:rFonts w:eastAsia="Times New Roman" w:cs="Calibri"/>
                <w:sz w:val="20"/>
                <w:szCs w:val="20"/>
              </w:rPr>
            </w:pPr>
            <w:r w:rsidRPr="00DB0EB4">
              <w:rPr>
                <w:rFonts w:cs="Calibri"/>
                <w:sz w:val="20"/>
                <w:szCs w:val="20"/>
              </w:rPr>
              <w:t>0</w:t>
            </w:r>
          </w:p>
        </w:tc>
        <w:tc>
          <w:tcPr>
            <w:tcW w:w="1873" w:type="dxa"/>
          </w:tcPr>
          <w:p w14:paraId="15D9EC63"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1C2F432A" w14:textId="77777777" w:rsidTr="00174A73">
        <w:trPr>
          <w:trHeight w:val="300"/>
        </w:trPr>
        <w:tc>
          <w:tcPr>
            <w:tcW w:w="1277" w:type="dxa"/>
            <w:noWrap/>
            <w:hideMark/>
          </w:tcPr>
          <w:p w14:paraId="2A9128CD"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2018/19</w:t>
            </w:r>
          </w:p>
        </w:tc>
        <w:tc>
          <w:tcPr>
            <w:tcW w:w="3743" w:type="dxa"/>
          </w:tcPr>
          <w:p w14:paraId="1DD70A0E"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w:t>
            </w:r>
          </w:p>
        </w:tc>
        <w:tc>
          <w:tcPr>
            <w:tcW w:w="2174" w:type="dxa"/>
          </w:tcPr>
          <w:p w14:paraId="5DA97CCC"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0</w:t>
            </w:r>
          </w:p>
        </w:tc>
        <w:tc>
          <w:tcPr>
            <w:tcW w:w="1873" w:type="dxa"/>
          </w:tcPr>
          <w:p w14:paraId="4A25836A"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361</w:t>
            </w:r>
          </w:p>
        </w:tc>
      </w:tr>
      <w:tr w:rsidR="00DB0EB4" w:rsidRPr="00DB0EB4" w14:paraId="5F9706AE" w14:textId="77777777" w:rsidTr="00174A73">
        <w:trPr>
          <w:trHeight w:val="300"/>
        </w:trPr>
        <w:tc>
          <w:tcPr>
            <w:tcW w:w="1277" w:type="dxa"/>
            <w:noWrap/>
            <w:hideMark/>
          </w:tcPr>
          <w:p w14:paraId="5C306AF0"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2019/20</w:t>
            </w:r>
          </w:p>
        </w:tc>
        <w:tc>
          <w:tcPr>
            <w:tcW w:w="3743" w:type="dxa"/>
          </w:tcPr>
          <w:p w14:paraId="48835A5F"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w:t>
            </w:r>
          </w:p>
        </w:tc>
        <w:tc>
          <w:tcPr>
            <w:tcW w:w="2174" w:type="dxa"/>
          </w:tcPr>
          <w:p w14:paraId="722EB88A"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30</w:t>
            </w:r>
          </w:p>
        </w:tc>
        <w:tc>
          <w:tcPr>
            <w:tcW w:w="1873" w:type="dxa"/>
          </w:tcPr>
          <w:p w14:paraId="056A71A9"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391</w:t>
            </w:r>
            <w:r w:rsidRPr="00DB0EB4">
              <w:rPr>
                <w:rFonts w:eastAsia="Times New Roman" w:cs="Calibri"/>
                <w:i/>
                <w:iCs/>
                <w:sz w:val="20"/>
                <w:szCs w:val="20"/>
                <w:vertAlign w:val="superscript"/>
              </w:rPr>
              <w:t>e</w:t>
            </w:r>
          </w:p>
        </w:tc>
      </w:tr>
      <w:tr w:rsidR="00DB0EB4" w:rsidRPr="00DB0EB4" w14:paraId="29151EEC" w14:textId="77777777" w:rsidTr="00174A73">
        <w:trPr>
          <w:trHeight w:val="300"/>
        </w:trPr>
        <w:tc>
          <w:tcPr>
            <w:tcW w:w="1277" w:type="dxa"/>
            <w:noWrap/>
            <w:hideMark/>
          </w:tcPr>
          <w:p w14:paraId="3FE83A72"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2020/21</w:t>
            </w:r>
          </w:p>
        </w:tc>
        <w:tc>
          <w:tcPr>
            <w:tcW w:w="3743" w:type="dxa"/>
          </w:tcPr>
          <w:p w14:paraId="4B16FD35"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w:t>
            </w:r>
          </w:p>
        </w:tc>
        <w:tc>
          <w:tcPr>
            <w:tcW w:w="2174" w:type="dxa"/>
          </w:tcPr>
          <w:p w14:paraId="4BFCB345"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30</w:t>
            </w:r>
          </w:p>
        </w:tc>
        <w:tc>
          <w:tcPr>
            <w:tcW w:w="1873" w:type="dxa"/>
          </w:tcPr>
          <w:p w14:paraId="38762FD0"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391</w:t>
            </w:r>
          </w:p>
        </w:tc>
      </w:tr>
      <w:tr w:rsidR="00DB0EB4" w:rsidRPr="00DB0EB4" w14:paraId="3B91ED39" w14:textId="77777777" w:rsidTr="00174A73">
        <w:trPr>
          <w:trHeight w:val="300"/>
        </w:trPr>
        <w:tc>
          <w:tcPr>
            <w:tcW w:w="1277" w:type="dxa"/>
            <w:noWrap/>
            <w:hideMark/>
          </w:tcPr>
          <w:p w14:paraId="2A500DD7"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2021/22</w:t>
            </w:r>
          </w:p>
        </w:tc>
        <w:tc>
          <w:tcPr>
            <w:tcW w:w="3743" w:type="dxa"/>
          </w:tcPr>
          <w:p w14:paraId="5C2FBD3B"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w:t>
            </w:r>
          </w:p>
        </w:tc>
        <w:tc>
          <w:tcPr>
            <w:tcW w:w="2174" w:type="dxa"/>
          </w:tcPr>
          <w:p w14:paraId="2E7B6F41"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30</w:t>
            </w:r>
          </w:p>
        </w:tc>
        <w:tc>
          <w:tcPr>
            <w:tcW w:w="1873" w:type="dxa"/>
          </w:tcPr>
          <w:p w14:paraId="5067DCE4"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391</w:t>
            </w:r>
          </w:p>
        </w:tc>
      </w:tr>
      <w:tr w:rsidR="00DB0EB4" w:rsidRPr="00DB0EB4" w14:paraId="2D15115C" w14:textId="77777777" w:rsidTr="00174A73">
        <w:trPr>
          <w:trHeight w:val="300"/>
        </w:trPr>
        <w:tc>
          <w:tcPr>
            <w:tcW w:w="1277" w:type="dxa"/>
            <w:noWrap/>
            <w:hideMark/>
          </w:tcPr>
          <w:p w14:paraId="684667BD"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2022/23*</w:t>
            </w:r>
          </w:p>
        </w:tc>
        <w:tc>
          <w:tcPr>
            <w:tcW w:w="3743" w:type="dxa"/>
          </w:tcPr>
          <w:p w14:paraId="7006BB2A"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w:t>
            </w:r>
          </w:p>
        </w:tc>
        <w:tc>
          <w:tcPr>
            <w:tcW w:w="2174" w:type="dxa"/>
          </w:tcPr>
          <w:p w14:paraId="4D471D9D"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30</w:t>
            </w:r>
          </w:p>
        </w:tc>
        <w:tc>
          <w:tcPr>
            <w:tcW w:w="1873" w:type="dxa"/>
          </w:tcPr>
          <w:p w14:paraId="3C47E47B"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391</w:t>
            </w:r>
          </w:p>
        </w:tc>
      </w:tr>
      <w:tr w:rsidR="00DB0EB4" w:rsidRPr="00DB0EB4" w14:paraId="6068D3FF" w14:textId="77777777" w:rsidTr="00174A73">
        <w:trPr>
          <w:trHeight w:val="300"/>
        </w:trPr>
        <w:tc>
          <w:tcPr>
            <w:tcW w:w="1277" w:type="dxa"/>
            <w:noWrap/>
            <w:hideMark/>
          </w:tcPr>
          <w:p w14:paraId="1C47C5A0"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2023/24*</w:t>
            </w:r>
          </w:p>
        </w:tc>
        <w:tc>
          <w:tcPr>
            <w:tcW w:w="3743" w:type="dxa"/>
          </w:tcPr>
          <w:p w14:paraId="08753E61" w14:textId="77777777" w:rsidR="00DB0EB4" w:rsidRPr="00DB0EB4" w:rsidRDefault="00DB0EB4" w:rsidP="00DB0EB4">
            <w:pPr>
              <w:spacing w:after="0"/>
              <w:rPr>
                <w:rFonts w:eastAsia="Times New Roman" w:cs="Calibri"/>
                <w:sz w:val="20"/>
                <w:szCs w:val="20"/>
              </w:rPr>
            </w:pPr>
            <w:r w:rsidRPr="00DB0EB4">
              <w:rPr>
                <w:rFonts w:cs="Calibri"/>
                <w:sz w:val="20"/>
                <w:szCs w:val="20"/>
              </w:rPr>
              <w:t xml:space="preserve">53 t </w:t>
            </w:r>
          </w:p>
        </w:tc>
        <w:tc>
          <w:tcPr>
            <w:tcW w:w="2174" w:type="dxa"/>
          </w:tcPr>
          <w:p w14:paraId="14E6CC02"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30</w:t>
            </w:r>
          </w:p>
        </w:tc>
        <w:tc>
          <w:tcPr>
            <w:tcW w:w="1873" w:type="dxa"/>
          </w:tcPr>
          <w:p w14:paraId="752D281D" w14:textId="77777777" w:rsidR="00DB0EB4" w:rsidRPr="00DB0EB4" w:rsidRDefault="00DB0EB4" w:rsidP="00DB0EB4">
            <w:pPr>
              <w:spacing w:after="0"/>
              <w:rPr>
                <w:rFonts w:eastAsia="Times New Roman" w:cs="Calibri"/>
                <w:sz w:val="20"/>
                <w:szCs w:val="20"/>
              </w:rPr>
            </w:pPr>
            <w:r w:rsidRPr="00DB0EB4">
              <w:rPr>
                <w:rFonts w:eastAsia="Times New Roman" w:cs="Calibri"/>
                <w:sz w:val="20"/>
                <w:szCs w:val="20"/>
              </w:rPr>
              <w:t>391</w:t>
            </w:r>
          </w:p>
        </w:tc>
      </w:tr>
    </w:tbl>
    <w:p w14:paraId="3099DA65" w14:textId="77777777" w:rsidR="00DB0EB4" w:rsidRPr="00F7791E" w:rsidRDefault="00DB0EB4" w:rsidP="00DB0EB4">
      <w:pPr>
        <w:pStyle w:val="NoSpacing"/>
        <w:rPr>
          <w:sz w:val="20"/>
          <w:szCs w:val="20"/>
        </w:rPr>
      </w:pPr>
      <w:r w:rsidRPr="001C02C1">
        <w:rPr>
          <w:i/>
          <w:iCs/>
          <w:sz w:val="20"/>
          <w:szCs w:val="20"/>
        </w:rPr>
        <w:t>a</w:t>
      </w:r>
      <w:r>
        <w:rPr>
          <w:i/>
          <w:iCs/>
          <w:sz w:val="20"/>
          <w:szCs w:val="20"/>
        </w:rPr>
        <w:t>.</w:t>
      </w:r>
      <w:r w:rsidRPr="001C02C1">
        <w:rPr>
          <w:sz w:val="20"/>
          <w:szCs w:val="20"/>
        </w:rPr>
        <w:t xml:space="preserve"> Though the TAC was 500t, only 380 t was allocated to licence holders</w:t>
      </w:r>
      <w:r>
        <w:rPr>
          <w:sz w:val="20"/>
          <w:szCs w:val="20"/>
        </w:rPr>
        <w:t xml:space="preserve"> </w:t>
      </w:r>
      <w:r>
        <w:rPr>
          <w:sz w:val="20"/>
          <w:szCs w:val="20"/>
        </w:rPr>
        <w:br/>
      </w:r>
      <w:r w:rsidRPr="001C02C1">
        <w:rPr>
          <w:i/>
          <w:iCs/>
          <w:sz w:val="20"/>
          <w:szCs w:val="20"/>
        </w:rPr>
        <w:t>b</w:t>
      </w:r>
      <w:r>
        <w:rPr>
          <w:i/>
          <w:iCs/>
          <w:sz w:val="20"/>
          <w:szCs w:val="20"/>
        </w:rPr>
        <w:t>.</w:t>
      </w:r>
      <w:r w:rsidRPr="001C02C1">
        <w:rPr>
          <w:sz w:val="20"/>
          <w:szCs w:val="20"/>
        </w:rPr>
        <w:t xml:space="preserve"> For 2000/01 the former Queensland Fisheries Management Authority (QFMA) determined that a further 25% TAC of white teatfish be available (total of 158,750 tonnes) as a ‘one-off’ only to ease the transitional management arrangements following the closure of black teatfish stocks (Breen, 2001)</w:t>
      </w:r>
      <w:r>
        <w:rPr>
          <w:sz w:val="20"/>
          <w:szCs w:val="20"/>
        </w:rPr>
        <w:t xml:space="preserve"> </w:t>
      </w:r>
      <w:r>
        <w:rPr>
          <w:sz w:val="20"/>
          <w:szCs w:val="20"/>
        </w:rPr>
        <w:br/>
      </w:r>
      <w:r w:rsidRPr="009E182B">
        <w:rPr>
          <w:i/>
          <w:iCs/>
          <w:sz w:val="20"/>
          <w:szCs w:val="20"/>
        </w:rPr>
        <w:t>c</w:t>
      </w:r>
      <w:r>
        <w:rPr>
          <w:sz w:val="20"/>
          <w:szCs w:val="20"/>
        </w:rPr>
        <w:t>. Zone TACs implemented. Zone 1 is north of 19</w:t>
      </w:r>
      <w:r>
        <w:rPr>
          <w:rFonts w:cs="Calibri"/>
          <w:sz w:val="20"/>
          <w:szCs w:val="20"/>
        </w:rPr>
        <w:t>°</w:t>
      </w:r>
      <w:r>
        <w:rPr>
          <w:sz w:val="20"/>
          <w:szCs w:val="20"/>
        </w:rPr>
        <w:t>S and Zone 2 is south.</w:t>
      </w:r>
      <w:r>
        <w:rPr>
          <w:sz w:val="20"/>
          <w:szCs w:val="20"/>
        </w:rPr>
        <w:br/>
      </w:r>
      <w:r>
        <w:rPr>
          <w:i/>
          <w:iCs/>
          <w:sz w:val="20"/>
          <w:szCs w:val="20"/>
        </w:rPr>
        <w:t>d</w:t>
      </w:r>
      <w:r>
        <w:rPr>
          <w:sz w:val="20"/>
          <w:szCs w:val="20"/>
        </w:rPr>
        <w:t xml:space="preserve">. Zone TACs removed. </w:t>
      </w:r>
      <w:r>
        <w:rPr>
          <w:sz w:val="20"/>
          <w:szCs w:val="20"/>
        </w:rPr>
        <w:br/>
      </w:r>
      <w:r w:rsidRPr="00F7791E">
        <w:rPr>
          <w:i/>
          <w:iCs/>
          <w:sz w:val="20"/>
          <w:szCs w:val="20"/>
        </w:rPr>
        <w:t xml:space="preserve">e. </w:t>
      </w:r>
      <w:r w:rsidRPr="00F7791E">
        <w:rPr>
          <w:sz w:val="20"/>
          <w:szCs w:val="20"/>
        </w:rPr>
        <w:t>The overall TACC was increased by 30 t due to the reopening of the closed BTF fishery.</w:t>
      </w:r>
      <w:r>
        <w:rPr>
          <w:sz w:val="20"/>
          <w:szCs w:val="20"/>
        </w:rPr>
        <w:t xml:space="preserve"> </w:t>
      </w:r>
      <w:r>
        <w:rPr>
          <w:sz w:val="20"/>
          <w:szCs w:val="20"/>
        </w:rPr>
        <w:br/>
        <w:t>* Assumed.</w:t>
      </w:r>
    </w:p>
    <w:p w14:paraId="05D3EAAC" w14:textId="049AFE77" w:rsidR="00DC4093" w:rsidRDefault="00DB0EB4" w:rsidP="00AF37BE">
      <w:r>
        <w:t xml:space="preserve">Sources: Breen, 2001; </w:t>
      </w:r>
      <w:r w:rsidRPr="0089372F">
        <w:t>Roelofs, 2004</w:t>
      </w:r>
      <w:r>
        <w:t xml:space="preserve">; </w:t>
      </w:r>
      <w:r w:rsidRPr="0089372F">
        <w:t>DPIF, 2005</w:t>
      </w:r>
      <w:r>
        <w:t xml:space="preserve">; </w:t>
      </w:r>
      <w:r w:rsidRPr="00793F09">
        <w:t>DPIF, 2008</w:t>
      </w:r>
      <w:r>
        <w:t xml:space="preserve">; </w:t>
      </w:r>
      <w:r w:rsidRPr="00793F09">
        <w:t>DAF, 2017</w:t>
      </w:r>
      <w:r w:rsidR="008E22E1">
        <w:t>b</w:t>
      </w:r>
      <w:r>
        <w:t xml:space="preserve">; </w:t>
      </w:r>
      <w:r w:rsidRPr="00746D65">
        <w:t>DAF, 2020</w:t>
      </w:r>
      <w:r>
        <w:t>.</w:t>
      </w:r>
    </w:p>
    <w:p w14:paraId="1DC418E5" w14:textId="77777777" w:rsidR="00A943B2" w:rsidRDefault="00A943B2" w:rsidP="00840B15">
      <w:pPr>
        <w:sectPr w:rsidR="00A943B2" w:rsidSect="005D5EF2">
          <w:pgSz w:w="11906" w:h="16838" w:code="9"/>
          <w:pgMar w:top="1134" w:right="1134" w:bottom="1134" w:left="1134" w:header="510" w:footer="624" w:gutter="0"/>
          <w:cols w:space="284"/>
          <w:docGrid w:linePitch="360"/>
        </w:sectPr>
      </w:pPr>
    </w:p>
    <w:p w14:paraId="1DC418E6" w14:textId="77777777" w:rsidR="00A943B2" w:rsidRPr="00AF37BE" w:rsidRDefault="00B220FA" w:rsidP="00B220FA">
      <w:r>
        <w:rPr>
          <w:noProof/>
          <w:color w:val="2B579A"/>
          <w:shd w:val="clear" w:color="auto" w:fill="E6E6E6"/>
        </w:rPr>
        <w:lastRenderedPageBreak/>
        <mc:AlternateContent>
          <mc:Choice Requires="wps">
            <w:drawing>
              <wp:anchor distT="0" distB="0" distL="114300" distR="114300" simplePos="0" relativeHeight="251658241" behindDoc="0" locked="0" layoutInCell="1" allowOverlap="1" wp14:anchorId="1DC41902" wp14:editId="607E5D45">
                <wp:simplePos x="0" y="0"/>
                <wp:positionH relativeFrom="page">
                  <wp:align>right</wp:align>
                </wp:positionH>
                <wp:positionV relativeFrom="paragraph">
                  <wp:posOffset>55245</wp:posOffset>
                </wp:positionV>
                <wp:extent cx="7524750" cy="219075"/>
                <wp:effectExtent l="0" t="0" r="19050" b="28575"/>
                <wp:wrapNone/>
                <wp:docPr id="70" name="Rectangle 70"/>
                <wp:cNvGraphicFramePr/>
                <a:graphic xmlns:a="http://schemas.openxmlformats.org/drawingml/2006/main">
                  <a:graphicData uri="http://schemas.microsoft.com/office/word/2010/wordprocessingShape">
                    <wps:wsp>
                      <wps:cNvSpPr/>
                      <wps:spPr>
                        <a:xfrm>
                          <a:off x="0" y="0"/>
                          <a:ext cx="7524750" cy="219075"/>
                        </a:xfrm>
                        <a:prstGeom prst="rect">
                          <a:avLst/>
                        </a:prstGeom>
                        <a:solidFill>
                          <a:srgbClr val="00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8A378" id="Rectangle 70" o:spid="_x0000_s1026" style="position:absolute;margin-left:541.3pt;margin-top:4.35pt;width:592.5pt;height:17.25pt;z-index:251658241;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" fillcolor="#069" strokecolor="#1f4d78 [1604]" strokeweight="1pt">
                <w10:wrap anchorx="page"/>
              </v:rect>
            </w:pict>
          </mc:Fallback>
        </mc:AlternateContent>
      </w:r>
    </w:p>
    <w:tbl>
      <w:tblPr>
        <w:tblpPr w:leftFromText="180" w:rightFromText="180" w:vertAnchor="text" w:horzAnchor="margin" w:tblpY="973"/>
        <w:tblW w:w="0" w:type="auto"/>
        <w:tblLook w:val="01E0" w:firstRow="1" w:lastRow="1" w:firstColumn="1" w:lastColumn="1" w:noHBand="0" w:noVBand="0"/>
      </w:tblPr>
      <w:tblGrid>
        <w:gridCol w:w="6237"/>
      </w:tblGrid>
      <w:tr w:rsidR="00B220FA" w14:paraId="1DC418EC" w14:textId="77777777" w:rsidTr="00B220FA">
        <w:tc>
          <w:tcPr>
            <w:tcW w:w="6237" w:type="dxa"/>
          </w:tcPr>
          <w:p w14:paraId="31A66909" w14:textId="77777777" w:rsidR="003B5F14" w:rsidRDefault="003B5F14" w:rsidP="003B5F14">
            <w:pPr>
              <w:pStyle w:val="BackCoverContactDetails"/>
            </w:pPr>
            <w:r w:rsidRPr="00B220FA">
              <w:t>CONTACT</w:t>
            </w:r>
          </w:p>
          <w:p w14:paraId="58184B4B" w14:textId="77777777" w:rsidR="003B5F14" w:rsidRPr="00840B15" w:rsidRDefault="003B5F14" w:rsidP="003B5F14">
            <w:pPr>
              <w:pStyle w:val="BackCoverContactDetails"/>
            </w:pPr>
            <w:r>
              <w:t>Tim Skewes Consulting</w:t>
            </w:r>
          </w:p>
          <w:p w14:paraId="370D71F6" w14:textId="77777777" w:rsidR="003B5F14" w:rsidRDefault="003B5F14" w:rsidP="003B5F14">
            <w:pPr>
              <w:pStyle w:val="BackCoverContactDetails"/>
            </w:pPr>
            <w:r>
              <w:t xml:space="preserve">m </w:t>
            </w:r>
            <w:r>
              <w:tab/>
              <w:t>+61 0419 382 697</w:t>
            </w:r>
          </w:p>
          <w:p w14:paraId="19D9AB8F" w14:textId="77777777" w:rsidR="003B5F14" w:rsidRDefault="003B5F14" w:rsidP="003B5F14">
            <w:pPr>
              <w:pStyle w:val="BackCoverContactDetails"/>
            </w:pPr>
            <w:r w:rsidRPr="00840B15">
              <w:t>e</w:t>
            </w:r>
            <w:r>
              <w:t xml:space="preserve"> </w:t>
            </w:r>
            <w:r>
              <w:tab/>
            </w:r>
            <w:r>
              <w:tab/>
              <w:t>timskewes@outlook.com</w:t>
            </w:r>
          </w:p>
          <w:p w14:paraId="1DC418EB" w14:textId="77777777" w:rsidR="00B220FA" w:rsidRDefault="00B220FA" w:rsidP="00F77454">
            <w:pPr>
              <w:pStyle w:val="BackCoverContactDetails"/>
            </w:pPr>
          </w:p>
        </w:tc>
      </w:tr>
    </w:tbl>
    <w:p w14:paraId="1DC418ED" w14:textId="77777777" w:rsidR="00B220FA" w:rsidRDefault="00B220FA" w:rsidP="00B220FA"/>
    <w:p w14:paraId="1DC418EE" w14:textId="77777777" w:rsidR="00A14107" w:rsidRPr="006C2F7A" w:rsidRDefault="00B220FA" w:rsidP="00B220FA">
      <w:pPr>
        <w:rPr>
          <w:sz w:val="18"/>
        </w:rPr>
      </w:pPr>
      <w:r>
        <w:rPr>
          <w:noProof/>
          <w:color w:val="2B579A"/>
          <w:sz w:val="18"/>
          <w:shd w:val="clear" w:color="auto" w:fill="E6E6E6"/>
        </w:rPr>
        <w:drawing>
          <wp:anchor distT="0" distB="0" distL="114300" distR="114300" simplePos="0" relativeHeight="251658240" behindDoc="1" locked="0" layoutInCell="1" allowOverlap="1" wp14:anchorId="1DC41904" wp14:editId="1DC41905">
            <wp:simplePos x="0" y="0"/>
            <wp:positionH relativeFrom="page">
              <wp:posOffset>9525</wp:posOffset>
            </wp:positionH>
            <wp:positionV relativeFrom="paragraph">
              <wp:posOffset>4882516</wp:posOffset>
            </wp:positionV>
            <wp:extent cx="7552690" cy="30670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aves-006.jpg"/>
                    <pic:cNvPicPr/>
                  </pic:nvPicPr>
                  <pic:blipFill rotWithShape="1">
                    <a:blip r:embed="rId106" cstate="print">
                      <a:extLst>
                        <a:ext uri="{28A0092B-C50C-407E-A947-70E740481C1C}">
                          <a14:useLocalDpi xmlns:a14="http://schemas.microsoft.com/office/drawing/2010/main"/>
                        </a:ext>
                      </a:extLst>
                    </a:blip>
                    <a:srcRect/>
                    <a:stretch/>
                  </pic:blipFill>
                  <pic:spPr bwMode="auto">
                    <a:xfrm>
                      <a:off x="0" y="0"/>
                      <a:ext cx="7553325" cy="3067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14107" w:rsidRPr="006C2F7A" w:rsidSect="005D5D01">
      <w:headerReference w:type="even" r:id="rId107"/>
      <w:headerReference w:type="default" r:id="rId108"/>
      <w:footerReference w:type="even" r:id="rId109"/>
      <w:headerReference w:type="first" r:id="rId110"/>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55515" w14:textId="77777777" w:rsidR="00F1525C" w:rsidRDefault="00F1525C" w:rsidP="009964E7">
      <w:r>
        <w:separator/>
      </w:r>
    </w:p>
    <w:p w14:paraId="63EDAF63" w14:textId="77777777" w:rsidR="00F1525C" w:rsidRDefault="00F1525C"/>
  </w:endnote>
  <w:endnote w:type="continuationSeparator" w:id="0">
    <w:p w14:paraId="15B174B6" w14:textId="77777777" w:rsidR="00F1525C" w:rsidRDefault="00F1525C" w:rsidP="009964E7">
      <w:r>
        <w:continuationSeparator/>
      </w:r>
    </w:p>
    <w:p w14:paraId="53D72922" w14:textId="77777777" w:rsidR="00F1525C" w:rsidRDefault="00F1525C"/>
  </w:endnote>
  <w:endnote w:type="continuationNotice" w:id="1">
    <w:p w14:paraId="5D57B461" w14:textId="77777777" w:rsidR="00F1525C" w:rsidRDefault="00F152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HCIKG+TimesNewRoman,Bold">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8EC84" w14:textId="77777777" w:rsidR="000B02C7" w:rsidRDefault="000B02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A0" w:firstRow="1" w:lastRow="0" w:firstColumn="1" w:lastColumn="0" w:noHBand="0" w:noVBand="0"/>
    </w:tblPr>
    <w:tblGrid>
      <w:gridCol w:w="9239"/>
    </w:tblGrid>
    <w:tr w:rsidR="00655388" w:rsidRPr="00CD5B9E" w14:paraId="1DC41912" w14:textId="77777777" w:rsidTr="00CD5B9E">
      <w:trPr>
        <w:trHeight w:hRule="exact" w:val="737"/>
      </w:trPr>
      <w:tc>
        <w:tcPr>
          <w:tcW w:w="9239" w:type="dxa"/>
          <w:vAlign w:val="bottom"/>
        </w:tcPr>
        <w:p w14:paraId="1DC41911" w14:textId="77777777" w:rsidR="00655388" w:rsidRPr="00CD5B9E" w:rsidRDefault="00655388" w:rsidP="00782488">
          <w:pPr>
            <w:pStyle w:val="Footer"/>
          </w:pPr>
        </w:p>
      </w:tc>
    </w:tr>
    <w:tr w:rsidR="00655388" w:rsidRPr="00CD5B9E" w14:paraId="1DC41914" w14:textId="77777777" w:rsidTr="00CD5B9E">
      <w:trPr>
        <w:trHeight w:val="113"/>
      </w:trPr>
      <w:tc>
        <w:tcPr>
          <w:tcW w:w="9239" w:type="dxa"/>
        </w:tcPr>
        <w:p w14:paraId="1DC41913" w14:textId="77777777" w:rsidR="00655388" w:rsidRPr="00CD5B9E" w:rsidRDefault="00655388">
          <w:pPr>
            <w:pStyle w:val="Footer"/>
          </w:pPr>
        </w:p>
      </w:tc>
    </w:tr>
  </w:tbl>
  <w:p w14:paraId="1DC41915" w14:textId="77777777" w:rsidR="00655388" w:rsidRDefault="006553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CC286" w14:textId="77777777" w:rsidR="000B02C7" w:rsidRDefault="000B02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9" w14:textId="65FB8DBA" w:rsidR="00655388" w:rsidRPr="00B220FA" w:rsidRDefault="006E67BD" w:rsidP="006E67BD">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D3162F">
      <w:rPr>
        <w:rStyle w:val="PageNumber"/>
        <w:noProof/>
      </w:rPr>
      <w:t>14</w:t>
    </w:r>
    <w:r>
      <w:rPr>
        <w:rStyle w:val="PageNumber"/>
      </w:rPr>
      <w:fldChar w:fldCharType="end"/>
    </w:r>
    <w:r>
      <w:rPr>
        <w:rStyle w:val="PageNumber"/>
      </w:rPr>
      <w:t xml:space="preserve">   |  </w:t>
    </w:r>
    <w:r w:rsidR="0024223C" w:rsidRPr="0024223C">
      <w:rPr>
        <w:noProof/>
      </w:rPr>
      <w:t>Expert Advice for Australian teatfish (</w:t>
    </w:r>
    <w:r w:rsidR="0024223C" w:rsidRPr="0024223C">
      <w:rPr>
        <w:i/>
        <w:iCs/>
        <w:noProof/>
      </w:rPr>
      <w:t>Holothuria, Microthele</w:t>
    </w:r>
    <w:r w:rsidR="0024223C" w:rsidRPr="0024223C">
      <w:rPr>
        <w:noProof/>
      </w:rPr>
      <w:t>) Fisheries: Queensland Sea Cucumber Fishery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A" w14:textId="5D24EFF2" w:rsidR="00655388" w:rsidRDefault="00BA2024" w:rsidP="004A575F">
    <w:pPr>
      <w:pStyle w:val="Footer"/>
      <w:tabs>
        <w:tab w:val="clear" w:pos="4513"/>
        <w:tab w:val="clear" w:pos="9026"/>
      </w:tabs>
      <w:jc w:val="right"/>
    </w:pPr>
    <w:bookmarkStart w:id="4" w:name="_Hlk165369345"/>
    <w:r w:rsidRPr="00BA2024">
      <w:rPr>
        <w:noProof/>
      </w:rPr>
      <w:t>Expert Advice</w:t>
    </w:r>
    <w:r w:rsidR="00101FDF">
      <w:rPr>
        <w:noProof/>
      </w:rPr>
      <w:t xml:space="preserve"> for</w:t>
    </w:r>
    <w:r w:rsidRPr="00BA2024">
      <w:rPr>
        <w:noProof/>
      </w:rPr>
      <w:t xml:space="preserve"> Australian</w:t>
    </w:r>
    <w:r w:rsidR="001353FD">
      <w:rPr>
        <w:noProof/>
      </w:rPr>
      <w:t xml:space="preserve"> teatfish</w:t>
    </w:r>
    <w:r w:rsidRPr="00BA2024">
      <w:rPr>
        <w:noProof/>
      </w:rPr>
      <w:t xml:space="preserve"> </w:t>
    </w:r>
    <w:r w:rsidR="001353FD" w:rsidRPr="001353FD">
      <w:rPr>
        <w:i/>
        <w:iCs/>
        <w:noProof/>
      </w:rPr>
      <w:t>(Holothuria, Microthele)</w:t>
    </w:r>
    <w:r w:rsidR="001353FD">
      <w:rPr>
        <w:i/>
        <w:iCs/>
        <w:noProof/>
      </w:rPr>
      <w:t xml:space="preserve"> </w:t>
    </w:r>
    <w:r w:rsidRPr="00BA2024">
      <w:rPr>
        <w:noProof/>
      </w:rPr>
      <w:t>Fisheries</w:t>
    </w:r>
    <w:bookmarkEnd w:id="4"/>
    <w:r>
      <w:rPr>
        <w:noProof/>
      </w:rPr>
      <w:t xml:space="preserve">: </w:t>
    </w:r>
    <w:r w:rsidR="000E3D9D">
      <w:rPr>
        <w:noProof/>
      </w:rPr>
      <w:t>Queensland Sea Cucumber</w:t>
    </w:r>
    <w:r>
      <w:rPr>
        <w:noProof/>
      </w:rPr>
      <w:t xml:space="preserve"> Fishery </w:t>
    </w:r>
    <w:r w:rsidR="00655388">
      <w:t xml:space="preserve"> |  </w:t>
    </w:r>
    <w:r w:rsidR="00270A2A">
      <w:rPr>
        <w:rStyle w:val="PageNumber"/>
      </w:rPr>
      <w:fldChar w:fldCharType="begin"/>
    </w:r>
    <w:r w:rsidR="00655388">
      <w:rPr>
        <w:rStyle w:val="PageNumber"/>
      </w:rPr>
      <w:instrText xml:space="preserve"> PAGE </w:instrText>
    </w:r>
    <w:r w:rsidR="00270A2A">
      <w:rPr>
        <w:rStyle w:val="PageNumber"/>
      </w:rPr>
      <w:fldChar w:fldCharType="separate"/>
    </w:r>
    <w:r w:rsidR="00D3162F">
      <w:rPr>
        <w:rStyle w:val="PageNumber"/>
        <w:noProof/>
      </w:rPr>
      <w:t>11</w:t>
    </w:r>
    <w:r w:rsidR="00270A2A">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3659" w14:textId="4948C7CE" w:rsidR="00E83E9E" w:rsidRPr="00E83E9E" w:rsidRDefault="00E83E9E" w:rsidP="00E83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21E98" w14:textId="77777777" w:rsidR="00F1525C" w:rsidRDefault="00F1525C" w:rsidP="009964E7">
      <w:r>
        <w:separator/>
      </w:r>
    </w:p>
    <w:p w14:paraId="3B9C785F" w14:textId="77777777" w:rsidR="00F1525C" w:rsidRDefault="00F1525C"/>
  </w:footnote>
  <w:footnote w:type="continuationSeparator" w:id="0">
    <w:p w14:paraId="54B89815" w14:textId="77777777" w:rsidR="00F1525C" w:rsidRDefault="00F1525C" w:rsidP="009964E7">
      <w:r>
        <w:continuationSeparator/>
      </w:r>
    </w:p>
    <w:p w14:paraId="48AF2F3A" w14:textId="77777777" w:rsidR="00F1525C" w:rsidRDefault="00F1525C"/>
  </w:footnote>
  <w:footnote w:type="continuationNotice" w:id="1">
    <w:p w14:paraId="1BA1321F" w14:textId="77777777" w:rsidR="00F1525C" w:rsidRDefault="00F1525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25B7B" w14:textId="77777777" w:rsidR="000B02C7" w:rsidRDefault="000B02C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6006" w14:textId="6034802D" w:rsidR="00E83E9E" w:rsidRDefault="00E83E9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F941" w14:textId="592633D6" w:rsidR="00F76E5D" w:rsidRDefault="00F76E5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A8194" w14:textId="25704C86" w:rsidR="00F76E5D" w:rsidRDefault="00F76E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38C3" w14:textId="77777777" w:rsidR="000B02C7" w:rsidRDefault="000B02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8F5DD" w14:textId="33889C11" w:rsidR="000B02C7" w:rsidRDefault="000B02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BC3F9" w14:textId="3024C591" w:rsidR="00F76E5D" w:rsidRDefault="00F76E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8" w14:textId="0DBC2658" w:rsidR="00655388" w:rsidRDefault="00655388" w:rsidP="002A47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0EC4" w14:textId="4E871B07" w:rsidR="00F76E5D" w:rsidRDefault="00F76E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EF4B" w14:textId="54C30250" w:rsidR="00F76E5D" w:rsidRDefault="00F76E5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191B" w14:textId="583C8968" w:rsidR="00655388" w:rsidRDefault="00655388" w:rsidP="002A47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A6799" w14:textId="0617A935" w:rsidR="00F76E5D" w:rsidRDefault="00F76E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15:restartNumberingAfterBreak="0">
    <w:nsid w:val="06435833"/>
    <w:multiLevelType w:val="hybridMultilevel"/>
    <w:tmpl w:val="EF74F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AB072E"/>
    <w:multiLevelType w:val="hybridMultilevel"/>
    <w:tmpl w:val="56EE5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B8366C"/>
    <w:multiLevelType w:val="hybridMultilevel"/>
    <w:tmpl w:val="3DBA6B40"/>
    <w:lvl w:ilvl="0" w:tplc="0C090001">
      <w:start w:val="1"/>
      <w:numFmt w:val="bullet"/>
      <w:lvlText w:val=""/>
      <w:lvlJc w:val="left"/>
      <w:pPr>
        <w:ind w:left="720" w:hanging="360"/>
      </w:pPr>
      <w:rPr>
        <w:rFonts w:ascii="Symbol" w:hAnsi="Symbol" w:hint="default"/>
      </w:rPr>
    </w:lvl>
    <w:lvl w:ilvl="1" w:tplc="16BA48A6">
      <w:numFmt w:val="bullet"/>
      <w:lvlText w:val="•"/>
      <w:lvlJc w:val="left"/>
      <w:pPr>
        <w:ind w:left="1800" w:hanging="72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2E42B9"/>
    <w:multiLevelType w:val="hybridMultilevel"/>
    <w:tmpl w:val="E594F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2A1969"/>
    <w:multiLevelType w:val="hybridMultilevel"/>
    <w:tmpl w:val="3A4841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2D7342"/>
    <w:multiLevelType w:val="hybridMultilevel"/>
    <w:tmpl w:val="E934F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4" w15:restartNumberingAfterBreak="0">
    <w:nsid w:val="2156196B"/>
    <w:multiLevelType w:val="hybridMultilevel"/>
    <w:tmpl w:val="AE824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D65646"/>
    <w:multiLevelType w:val="hybridMultilevel"/>
    <w:tmpl w:val="1CB22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8B120D"/>
    <w:multiLevelType w:val="hybridMultilevel"/>
    <w:tmpl w:val="67B0552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297F2920"/>
    <w:multiLevelType w:val="hybridMultilevel"/>
    <w:tmpl w:val="C94C0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8505BD"/>
    <w:multiLevelType w:val="hybridMultilevel"/>
    <w:tmpl w:val="BF8AC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32275D"/>
    <w:multiLevelType w:val="hybridMultilevel"/>
    <w:tmpl w:val="CAB63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3C901FA0"/>
    <w:multiLevelType w:val="hybridMultilevel"/>
    <w:tmpl w:val="6BECB3C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23" w15:restartNumberingAfterBreak="0">
    <w:nsid w:val="40484474"/>
    <w:multiLevelType w:val="hybridMultilevel"/>
    <w:tmpl w:val="B4E2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65682E"/>
    <w:multiLevelType w:val="multilevel"/>
    <w:tmpl w:val="D9CAA11C"/>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pStyle w:val="ListBullet3"/>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5" w15:restartNumberingAfterBreak="0">
    <w:nsid w:val="4AC706B9"/>
    <w:multiLevelType w:val="hybridMultilevel"/>
    <w:tmpl w:val="11AEC3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0CE36B7"/>
    <w:multiLevelType w:val="hybridMultilevel"/>
    <w:tmpl w:val="784807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2763B65"/>
    <w:multiLevelType w:val="hybridMultilevel"/>
    <w:tmpl w:val="947CD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D02A29"/>
    <w:multiLevelType w:val="multilevel"/>
    <w:tmpl w:val="D33054F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56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54C55A70"/>
    <w:multiLevelType w:val="hybridMultilevel"/>
    <w:tmpl w:val="5CB2905A"/>
    <w:lvl w:ilvl="0" w:tplc="7A94E9D4">
      <w:start w:val="1"/>
      <w:numFmt w:val="bullet"/>
      <w:lvlText w:val="-"/>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554B605D"/>
    <w:multiLevelType w:val="hybridMultilevel"/>
    <w:tmpl w:val="274AA5D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82F5992"/>
    <w:multiLevelType w:val="hybridMultilevel"/>
    <w:tmpl w:val="CD5E0E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8C6738B"/>
    <w:multiLevelType w:val="hybridMultilevel"/>
    <w:tmpl w:val="93383A5A"/>
    <w:lvl w:ilvl="0" w:tplc="19A09622">
      <w:start w:val="1"/>
      <w:numFmt w:val="decimal"/>
      <w:lvlText w:val="%1."/>
      <w:lvlJc w:val="left"/>
      <w:pPr>
        <w:ind w:left="360" w:hanging="360"/>
      </w:pPr>
      <w:rPr>
        <w:rFonts w:ascii="Calibri" w:eastAsia="Calibri" w:hAnsi="Calibr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4" w15:restartNumberingAfterBreak="0">
    <w:nsid w:val="5CCB30DA"/>
    <w:multiLevelType w:val="hybridMultilevel"/>
    <w:tmpl w:val="B5146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63780E"/>
    <w:multiLevelType w:val="hybridMultilevel"/>
    <w:tmpl w:val="11B8FF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E510B9F"/>
    <w:multiLevelType w:val="hybridMultilevel"/>
    <w:tmpl w:val="9866ECBA"/>
    <w:lvl w:ilvl="0" w:tplc="0C090001">
      <w:start w:val="1"/>
      <w:numFmt w:val="bullet"/>
      <w:lvlText w:val=""/>
      <w:lvlJc w:val="left"/>
      <w:pPr>
        <w:ind w:left="720" w:hanging="360"/>
      </w:pPr>
      <w:rPr>
        <w:rFonts w:ascii="Symbol" w:hAnsi="Symbol" w:hint="default"/>
      </w:rPr>
    </w:lvl>
    <w:lvl w:ilvl="1" w:tplc="B0D8F762">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8" w15:restartNumberingAfterBreak="0">
    <w:nsid w:val="63E91B6E"/>
    <w:multiLevelType w:val="hybridMultilevel"/>
    <w:tmpl w:val="0414B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063429"/>
    <w:multiLevelType w:val="multilevel"/>
    <w:tmpl w:val="3C8E6CBE"/>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0" w15:restartNumberingAfterBreak="0">
    <w:nsid w:val="6DDD1619"/>
    <w:multiLevelType w:val="hybridMultilevel"/>
    <w:tmpl w:val="7BD2B48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0692DAC"/>
    <w:multiLevelType w:val="hybridMultilevel"/>
    <w:tmpl w:val="7BD2B48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76A5655F"/>
    <w:multiLevelType w:val="hybridMultilevel"/>
    <w:tmpl w:val="7432361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3" w15:restartNumberingAfterBreak="0">
    <w:nsid w:val="79CA7DC9"/>
    <w:multiLevelType w:val="hybridMultilevel"/>
    <w:tmpl w:val="B7467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676F51"/>
    <w:multiLevelType w:val="hybridMultilevel"/>
    <w:tmpl w:val="7BD2B48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269776589">
    <w:abstractNumId w:val="5"/>
  </w:num>
  <w:num w:numId="2" w16cid:durableId="99105671">
    <w:abstractNumId w:val="4"/>
  </w:num>
  <w:num w:numId="3" w16cid:durableId="1577931085">
    <w:abstractNumId w:val="3"/>
  </w:num>
  <w:num w:numId="4" w16cid:durableId="1389064668">
    <w:abstractNumId w:val="2"/>
  </w:num>
  <w:num w:numId="5" w16cid:durableId="2012098961">
    <w:abstractNumId w:val="1"/>
  </w:num>
  <w:num w:numId="6" w16cid:durableId="61678587">
    <w:abstractNumId w:val="24"/>
  </w:num>
  <w:num w:numId="7" w16cid:durableId="626863099">
    <w:abstractNumId w:val="13"/>
  </w:num>
  <w:num w:numId="8" w16cid:durableId="992830069">
    <w:abstractNumId w:val="12"/>
  </w:num>
  <w:num w:numId="9" w16cid:durableId="768231833">
    <w:abstractNumId w:val="33"/>
  </w:num>
  <w:num w:numId="10" w16cid:durableId="2129468638">
    <w:abstractNumId w:val="21"/>
  </w:num>
  <w:num w:numId="11" w16cid:durableId="1114592653">
    <w:abstractNumId w:val="17"/>
  </w:num>
  <w:num w:numId="12" w16cid:durableId="1162238082">
    <w:abstractNumId w:val="37"/>
  </w:num>
  <w:num w:numId="13" w16cid:durableId="1983851609">
    <w:abstractNumId w:val="0"/>
  </w:num>
  <w:num w:numId="14" w16cid:durableId="1181512497">
    <w:abstractNumId w:val="39"/>
  </w:num>
  <w:num w:numId="15" w16cid:durableId="1434982065">
    <w:abstractNumId w:val="27"/>
  </w:num>
  <w:num w:numId="16" w16cid:durableId="929000061">
    <w:abstractNumId w:val="9"/>
  </w:num>
  <w:num w:numId="17" w16cid:durableId="1297375677">
    <w:abstractNumId w:val="34"/>
  </w:num>
  <w:num w:numId="18" w16cid:durableId="1263998459">
    <w:abstractNumId w:val="6"/>
  </w:num>
  <w:num w:numId="19" w16cid:durableId="459304291">
    <w:abstractNumId w:val="32"/>
  </w:num>
  <w:num w:numId="20" w16cid:durableId="1808008452">
    <w:abstractNumId w:val="14"/>
  </w:num>
  <w:num w:numId="21" w16cid:durableId="1703044842">
    <w:abstractNumId w:val="36"/>
  </w:num>
  <w:num w:numId="22" w16cid:durableId="324668300">
    <w:abstractNumId w:val="11"/>
  </w:num>
  <w:num w:numId="23" w16cid:durableId="266428328">
    <w:abstractNumId w:val="38"/>
  </w:num>
  <w:num w:numId="24" w16cid:durableId="548763634">
    <w:abstractNumId w:val="30"/>
  </w:num>
  <w:num w:numId="25" w16cid:durableId="1180000929">
    <w:abstractNumId w:val="44"/>
  </w:num>
  <w:num w:numId="26" w16cid:durableId="1909000189">
    <w:abstractNumId w:val="16"/>
  </w:num>
  <w:num w:numId="27" w16cid:durableId="187067030">
    <w:abstractNumId w:val="28"/>
  </w:num>
  <w:num w:numId="28" w16cid:durableId="1705248282">
    <w:abstractNumId w:val="28"/>
  </w:num>
  <w:num w:numId="29" w16cid:durableId="1504124547">
    <w:abstractNumId w:val="28"/>
  </w:num>
  <w:num w:numId="30" w16cid:durableId="199513554">
    <w:abstractNumId w:val="10"/>
  </w:num>
  <w:num w:numId="31" w16cid:durableId="144708023">
    <w:abstractNumId w:val="22"/>
  </w:num>
  <w:num w:numId="32" w16cid:durableId="1082601600">
    <w:abstractNumId w:val="31"/>
  </w:num>
  <w:num w:numId="33" w16cid:durableId="1324772486">
    <w:abstractNumId w:val="35"/>
  </w:num>
  <w:num w:numId="34" w16cid:durableId="1405420623">
    <w:abstractNumId w:val="42"/>
  </w:num>
  <w:num w:numId="35" w16cid:durableId="1060518709">
    <w:abstractNumId w:val="20"/>
  </w:num>
  <w:num w:numId="36" w16cid:durableId="2063168963">
    <w:abstractNumId w:val="8"/>
  </w:num>
  <w:num w:numId="37" w16cid:durableId="1478835780">
    <w:abstractNumId w:val="28"/>
  </w:num>
  <w:num w:numId="38" w16cid:durableId="1324159635">
    <w:abstractNumId w:val="41"/>
  </w:num>
  <w:num w:numId="39" w16cid:durableId="69277149">
    <w:abstractNumId w:val="40"/>
  </w:num>
  <w:num w:numId="40" w16cid:durableId="558513582">
    <w:abstractNumId w:val="43"/>
  </w:num>
  <w:num w:numId="41" w16cid:durableId="715662069">
    <w:abstractNumId w:val="23"/>
  </w:num>
  <w:num w:numId="42" w16cid:durableId="1477532451">
    <w:abstractNumId w:val="19"/>
  </w:num>
  <w:num w:numId="43" w16cid:durableId="995260116">
    <w:abstractNumId w:val="28"/>
  </w:num>
  <w:num w:numId="44" w16cid:durableId="959725003">
    <w:abstractNumId w:val="25"/>
  </w:num>
  <w:num w:numId="45" w16cid:durableId="273027186">
    <w:abstractNumId w:val="18"/>
  </w:num>
  <w:num w:numId="46" w16cid:durableId="363674416">
    <w:abstractNumId w:val="26"/>
  </w:num>
  <w:num w:numId="47" w16cid:durableId="117726570">
    <w:abstractNumId w:val="7"/>
  </w:num>
  <w:num w:numId="48" w16cid:durableId="868957602">
    <w:abstractNumId w:val="29"/>
  </w:num>
  <w:num w:numId="49" w16cid:durableId="231549788">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characterSpacingControl w:val="doNotCompress"/>
  <w:hdrShapeDefaults>
    <o:shapedefaults v:ext="edit" spidmax="205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760C02"/>
    <w:rsid w:val="000006A9"/>
    <w:rsid w:val="00000EEA"/>
    <w:rsid w:val="00001864"/>
    <w:rsid w:val="00002AA7"/>
    <w:rsid w:val="00002FA7"/>
    <w:rsid w:val="000031E1"/>
    <w:rsid w:val="0000398C"/>
    <w:rsid w:val="000041F2"/>
    <w:rsid w:val="00007B83"/>
    <w:rsid w:val="000106B6"/>
    <w:rsid w:val="000117CA"/>
    <w:rsid w:val="00011FC6"/>
    <w:rsid w:val="000126EB"/>
    <w:rsid w:val="00012E2C"/>
    <w:rsid w:val="00013130"/>
    <w:rsid w:val="000135D8"/>
    <w:rsid w:val="00014BAB"/>
    <w:rsid w:val="00015048"/>
    <w:rsid w:val="000156BC"/>
    <w:rsid w:val="00015E82"/>
    <w:rsid w:val="0001675B"/>
    <w:rsid w:val="0001775B"/>
    <w:rsid w:val="00017927"/>
    <w:rsid w:val="00017952"/>
    <w:rsid w:val="00020BAD"/>
    <w:rsid w:val="00022A65"/>
    <w:rsid w:val="0002370A"/>
    <w:rsid w:val="00024272"/>
    <w:rsid w:val="00024C9E"/>
    <w:rsid w:val="00024F6E"/>
    <w:rsid w:val="0002599B"/>
    <w:rsid w:val="00025FD5"/>
    <w:rsid w:val="0002686D"/>
    <w:rsid w:val="000307A9"/>
    <w:rsid w:val="00031469"/>
    <w:rsid w:val="000316D4"/>
    <w:rsid w:val="00031D87"/>
    <w:rsid w:val="0003217B"/>
    <w:rsid w:val="00032C10"/>
    <w:rsid w:val="000331D4"/>
    <w:rsid w:val="0003476C"/>
    <w:rsid w:val="0003571E"/>
    <w:rsid w:val="00035D9E"/>
    <w:rsid w:val="00037E4A"/>
    <w:rsid w:val="00040A7F"/>
    <w:rsid w:val="00040CCC"/>
    <w:rsid w:val="000410FA"/>
    <w:rsid w:val="00042A1A"/>
    <w:rsid w:val="00043017"/>
    <w:rsid w:val="00043876"/>
    <w:rsid w:val="000443E1"/>
    <w:rsid w:val="00046533"/>
    <w:rsid w:val="00046878"/>
    <w:rsid w:val="00046A24"/>
    <w:rsid w:val="0005048B"/>
    <w:rsid w:val="00051219"/>
    <w:rsid w:val="00051456"/>
    <w:rsid w:val="0005226F"/>
    <w:rsid w:val="00053004"/>
    <w:rsid w:val="0005371F"/>
    <w:rsid w:val="00053E83"/>
    <w:rsid w:val="0005440D"/>
    <w:rsid w:val="0005515E"/>
    <w:rsid w:val="00055E27"/>
    <w:rsid w:val="00056A37"/>
    <w:rsid w:val="00056FD0"/>
    <w:rsid w:val="000571D0"/>
    <w:rsid w:val="0006092F"/>
    <w:rsid w:val="00060EB0"/>
    <w:rsid w:val="000618E9"/>
    <w:rsid w:val="00062088"/>
    <w:rsid w:val="000627CD"/>
    <w:rsid w:val="00064612"/>
    <w:rsid w:val="000667A4"/>
    <w:rsid w:val="00066A28"/>
    <w:rsid w:val="000712A7"/>
    <w:rsid w:val="0007242B"/>
    <w:rsid w:val="00072753"/>
    <w:rsid w:val="00074755"/>
    <w:rsid w:val="00074DFE"/>
    <w:rsid w:val="00075563"/>
    <w:rsid w:val="00075774"/>
    <w:rsid w:val="00075B0B"/>
    <w:rsid w:val="00075B26"/>
    <w:rsid w:val="000768CE"/>
    <w:rsid w:val="000815C2"/>
    <w:rsid w:val="0008363A"/>
    <w:rsid w:val="00083CBE"/>
    <w:rsid w:val="0008540A"/>
    <w:rsid w:val="00085DC0"/>
    <w:rsid w:val="00087651"/>
    <w:rsid w:val="00087ADA"/>
    <w:rsid w:val="00087AE1"/>
    <w:rsid w:val="00092050"/>
    <w:rsid w:val="00092EA3"/>
    <w:rsid w:val="0009340C"/>
    <w:rsid w:val="00093741"/>
    <w:rsid w:val="00094CEB"/>
    <w:rsid w:val="000961F2"/>
    <w:rsid w:val="00096C6A"/>
    <w:rsid w:val="000979AD"/>
    <w:rsid w:val="000A0706"/>
    <w:rsid w:val="000A0A65"/>
    <w:rsid w:val="000A4D6D"/>
    <w:rsid w:val="000A5A71"/>
    <w:rsid w:val="000A6D1F"/>
    <w:rsid w:val="000A6F40"/>
    <w:rsid w:val="000B02C7"/>
    <w:rsid w:val="000B0A3D"/>
    <w:rsid w:val="000B1470"/>
    <w:rsid w:val="000B1AAF"/>
    <w:rsid w:val="000B319E"/>
    <w:rsid w:val="000B3486"/>
    <w:rsid w:val="000B44A1"/>
    <w:rsid w:val="000C02C0"/>
    <w:rsid w:val="000C05F1"/>
    <w:rsid w:val="000C0940"/>
    <w:rsid w:val="000C0E17"/>
    <w:rsid w:val="000C0E41"/>
    <w:rsid w:val="000C17C8"/>
    <w:rsid w:val="000C3590"/>
    <w:rsid w:val="000C3796"/>
    <w:rsid w:val="000C4051"/>
    <w:rsid w:val="000C5523"/>
    <w:rsid w:val="000C61C0"/>
    <w:rsid w:val="000C7D15"/>
    <w:rsid w:val="000D0298"/>
    <w:rsid w:val="000D19DE"/>
    <w:rsid w:val="000D27E8"/>
    <w:rsid w:val="000D2D0C"/>
    <w:rsid w:val="000D3F22"/>
    <w:rsid w:val="000D436B"/>
    <w:rsid w:val="000D47BF"/>
    <w:rsid w:val="000D55D6"/>
    <w:rsid w:val="000D6D2F"/>
    <w:rsid w:val="000D700D"/>
    <w:rsid w:val="000D7F94"/>
    <w:rsid w:val="000E0509"/>
    <w:rsid w:val="000E12AF"/>
    <w:rsid w:val="000E1CF3"/>
    <w:rsid w:val="000E1FB8"/>
    <w:rsid w:val="000E2422"/>
    <w:rsid w:val="000E3A02"/>
    <w:rsid w:val="000E3D9D"/>
    <w:rsid w:val="000E468A"/>
    <w:rsid w:val="000E599F"/>
    <w:rsid w:val="000E59B6"/>
    <w:rsid w:val="000E7BFA"/>
    <w:rsid w:val="000F1EC3"/>
    <w:rsid w:val="000F1FE4"/>
    <w:rsid w:val="000F31D0"/>
    <w:rsid w:val="00101A2A"/>
    <w:rsid w:val="00101FDF"/>
    <w:rsid w:val="001026B6"/>
    <w:rsid w:val="00102A3B"/>
    <w:rsid w:val="0010336C"/>
    <w:rsid w:val="00104FBD"/>
    <w:rsid w:val="001060C9"/>
    <w:rsid w:val="00106755"/>
    <w:rsid w:val="001067F0"/>
    <w:rsid w:val="001068F9"/>
    <w:rsid w:val="00107711"/>
    <w:rsid w:val="00107D28"/>
    <w:rsid w:val="001100D4"/>
    <w:rsid w:val="00111F0C"/>
    <w:rsid w:val="0011346D"/>
    <w:rsid w:val="0011470B"/>
    <w:rsid w:val="00114B30"/>
    <w:rsid w:val="00116C3E"/>
    <w:rsid w:val="00117E59"/>
    <w:rsid w:val="00120518"/>
    <w:rsid w:val="00120BC0"/>
    <w:rsid w:val="0012201E"/>
    <w:rsid w:val="00123BCC"/>
    <w:rsid w:val="00123FD7"/>
    <w:rsid w:val="001240D4"/>
    <w:rsid w:val="001247E7"/>
    <w:rsid w:val="001249CC"/>
    <w:rsid w:val="0012595D"/>
    <w:rsid w:val="0013089B"/>
    <w:rsid w:val="00130E49"/>
    <w:rsid w:val="00130E8C"/>
    <w:rsid w:val="00131453"/>
    <w:rsid w:val="001320E1"/>
    <w:rsid w:val="00132F76"/>
    <w:rsid w:val="0013384F"/>
    <w:rsid w:val="0013499A"/>
    <w:rsid w:val="00134FC3"/>
    <w:rsid w:val="00135332"/>
    <w:rsid w:val="001353FD"/>
    <w:rsid w:val="001362D8"/>
    <w:rsid w:val="00136B7F"/>
    <w:rsid w:val="00140024"/>
    <w:rsid w:val="001401FA"/>
    <w:rsid w:val="00141D5A"/>
    <w:rsid w:val="001421E7"/>
    <w:rsid w:val="00145D62"/>
    <w:rsid w:val="001462AB"/>
    <w:rsid w:val="00147782"/>
    <w:rsid w:val="00147D3D"/>
    <w:rsid w:val="00152F49"/>
    <w:rsid w:val="00154168"/>
    <w:rsid w:val="0015605C"/>
    <w:rsid w:val="001572A3"/>
    <w:rsid w:val="00157AAE"/>
    <w:rsid w:val="0016031E"/>
    <w:rsid w:val="00160C67"/>
    <w:rsid w:val="00161BB6"/>
    <w:rsid w:val="00162578"/>
    <w:rsid w:val="00167843"/>
    <w:rsid w:val="00167A7C"/>
    <w:rsid w:val="001708B3"/>
    <w:rsid w:val="001724B4"/>
    <w:rsid w:val="00173290"/>
    <w:rsid w:val="00173C4D"/>
    <w:rsid w:val="001749A5"/>
    <w:rsid w:val="00174A49"/>
    <w:rsid w:val="00174A73"/>
    <w:rsid w:val="00175388"/>
    <w:rsid w:val="00176393"/>
    <w:rsid w:val="001767A4"/>
    <w:rsid w:val="00176970"/>
    <w:rsid w:val="00177270"/>
    <w:rsid w:val="001772D6"/>
    <w:rsid w:val="001776E8"/>
    <w:rsid w:val="001817CF"/>
    <w:rsid w:val="00182D53"/>
    <w:rsid w:val="00185437"/>
    <w:rsid w:val="001855BD"/>
    <w:rsid w:val="00186A73"/>
    <w:rsid w:val="001877DC"/>
    <w:rsid w:val="00187FE6"/>
    <w:rsid w:val="00190575"/>
    <w:rsid w:val="00190E0B"/>
    <w:rsid w:val="00191276"/>
    <w:rsid w:val="0019285E"/>
    <w:rsid w:val="00192E59"/>
    <w:rsid w:val="00193162"/>
    <w:rsid w:val="00194542"/>
    <w:rsid w:val="00195301"/>
    <w:rsid w:val="00196146"/>
    <w:rsid w:val="00196578"/>
    <w:rsid w:val="00197DFE"/>
    <w:rsid w:val="001A0A13"/>
    <w:rsid w:val="001A1020"/>
    <w:rsid w:val="001A1C4E"/>
    <w:rsid w:val="001A244C"/>
    <w:rsid w:val="001A3F32"/>
    <w:rsid w:val="001A545C"/>
    <w:rsid w:val="001A66A2"/>
    <w:rsid w:val="001A7638"/>
    <w:rsid w:val="001A7663"/>
    <w:rsid w:val="001A79D6"/>
    <w:rsid w:val="001B00A0"/>
    <w:rsid w:val="001B23ED"/>
    <w:rsid w:val="001B2AFA"/>
    <w:rsid w:val="001B34DE"/>
    <w:rsid w:val="001B4D70"/>
    <w:rsid w:val="001B6CB5"/>
    <w:rsid w:val="001B79DA"/>
    <w:rsid w:val="001B7BF3"/>
    <w:rsid w:val="001C05A8"/>
    <w:rsid w:val="001C07F5"/>
    <w:rsid w:val="001C3137"/>
    <w:rsid w:val="001C521E"/>
    <w:rsid w:val="001C540A"/>
    <w:rsid w:val="001C5CA5"/>
    <w:rsid w:val="001C663B"/>
    <w:rsid w:val="001C7C98"/>
    <w:rsid w:val="001D05FC"/>
    <w:rsid w:val="001D224F"/>
    <w:rsid w:val="001D36DC"/>
    <w:rsid w:val="001D3FF2"/>
    <w:rsid w:val="001D49E5"/>
    <w:rsid w:val="001D4D59"/>
    <w:rsid w:val="001D55FC"/>
    <w:rsid w:val="001D713C"/>
    <w:rsid w:val="001D7484"/>
    <w:rsid w:val="001D76A9"/>
    <w:rsid w:val="001E0E6D"/>
    <w:rsid w:val="001E194F"/>
    <w:rsid w:val="001E2CD2"/>
    <w:rsid w:val="001E2D97"/>
    <w:rsid w:val="001E30E8"/>
    <w:rsid w:val="001E4C59"/>
    <w:rsid w:val="001E531C"/>
    <w:rsid w:val="001E65BF"/>
    <w:rsid w:val="001E7E3F"/>
    <w:rsid w:val="001E7EF5"/>
    <w:rsid w:val="001F0B30"/>
    <w:rsid w:val="001F158C"/>
    <w:rsid w:val="001F2949"/>
    <w:rsid w:val="001F2E79"/>
    <w:rsid w:val="001F3579"/>
    <w:rsid w:val="001F35AD"/>
    <w:rsid w:val="001F4ADD"/>
    <w:rsid w:val="001F711F"/>
    <w:rsid w:val="001F7360"/>
    <w:rsid w:val="00200314"/>
    <w:rsid w:val="0020034E"/>
    <w:rsid w:val="00200788"/>
    <w:rsid w:val="0020153D"/>
    <w:rsid w:val="00201C06"/>
    <w:rsid w:val="00203503"/>
    <w:rsid w:val="00206953"/>
    <w:rsid w:val="00207117"/>
    <w:rsid w:val="00207548"/>
    <w:rsid w:val="002079C0"/>
    <w:rsid w:val="002101A4"/>
    <w:rsid w:val="002109F9"/>
    <w:rsid w:val="002137D2"/>
    <w:rsid w:val="00214440"/>
    <w:rsid w:val="00215132"/>
    <w:rsid w:val="002154A2"/>
    <w:rsid w:val="002156C8"/>
    <w:rsid w:val="0021743B"/>
    <w:rsid w:val="00217AE9"/>
    <w:rsid w:val="00220A7F"/>
    <w:rsid w:val="00220C14"/>
    <w:rsid w:val="0022191C"/>
    <w:rsid w:val="00221A8F"/>
    <w:rsid w:val="00221D5A"/>
    <w:rsid w:val="002220AA"/>
    <w:rsid w:val="002231B8"/>
    <w:rsid w:val="00223EA3"/>
    <w:rsid w:val="0022431B"/>
    <w:rsid w:val="002244B5"/>
    <w:rsid w:val="002254A0"/>
    <w:rsid w:val="002256CA"/>
    <w:rsid w:val="00225D48"/>
    <w:rsid w:val="002265B1"/>
    <w:rsid w:val="002267FC"/>
    <w:rsid w:val="0022714C"/>
    <w:rsid w:val="002274F9"/>
    <w:rsid w:val="00231E55"/>
    <w:rsid w:val="00232B56"/>
    <w:rsid w:val="00233772"/>
    <w:rsid w:val="00234D34"/>
    <w:rsid w:val="002366D3"/>
    <w:rsid w:val="00236B55"/>
    <w:rsid w:val="00237819"/>
    <w:rsid w:val="00237EB1"/>
    <w:rsid w:val="00240471"/>
    <w:rsid w:val="00240F51"/>
    <w:rsid w:val="002418DA"/>
    <w:rsid w:val="00241BAC"/>
    <w:rsid w:val="002421F2"/>
    <w:rsid w:val="0024223C"/>
    <w:rsid w:val="002447FD"/>
    <w:rsid w:val="00245B4D"/>
    <w:rsid w:val="00250200"/>
    <w:rsid w:val="0025177C"/>
    <w:rsid w:val="00251DDE"/>
    <w:rsid w:val="00252CBB"/>
    <w:rsid w:val="00252F02"/>
    <w:rsid w:val="00253CF4"/>
    <w:rsid w:val="00255890"/>
    <w:rsid w:val="00256052"/>
    <w:rsid w:val="00257787"/>
    <w:rsid w:val="002579B2"/>
    <w:rsid w:val="00260CC9"/>
    <w:rsid w:val="00260D1E"/>
    <w:rsid w:val="002638B5"/>
    <w:rsid w:val="00263A58"/>
    <w:rsid w:val="00267364"/>
    <w:rsid w:val="0026739B"/>
    <w:rsid w:val="00270193"/>
    <w:rsid w:val="00270524"/>
    <w:rsid w:val="00270A2A"/>
    <w:rsid w:val="00271CA3"/>
    <w:rsid w:val="00272284"/>
    <w:rsid w:val="0027303E"/>
    <w:rsid w:val="0027326A"/>
    <w:rsid w:val="00273A31"/>
    <w:rsid w:val="00274483"/>
    <w:rsid w:val="00274DF1"/>
    <w:rsid w:val="00274EA8"/>
    <w:rsid w:val="00274FEA"/>
    <w:rsid w:val="00275968"/>
    <w:rsid w:val="00276E3E"/>
    <w:rsid w:val="00276EF0"/>
    <w:rsid w:val="00277240"/>
    <w:rsid w:val="00277610"/>
    <w:rsid w:val="002777ED"/>
    <w:rsid w:val="00277A23"/>
    <w:rsid w:val="00280506"/>
    <w:rsid w:val="00280B9E"/>
    <w:rsid w:val="00280E4B"/>
    <w:rsid w:val="00280EB4"/>
    <w:rsid w:val="00280F69"/>
    <w:rsid w:val="00282C05"/>
    <w:rsid w:val="00283677"/>
    <w:rsid w:val="00283CBC"/>
    <w:rsid w:val="0028452E"/>
    <w:rsid w:val="00284CAE"/>
    <w:rsid w:val="002852DB"/>
    <w:rsid w:val="00285F27"/>
    <w:rsid w:val="00286380"/>
    <w:rsid w:val="00287FBB"/>
    <w:rsid w:val="0029026E"/>
    <w:rsid w:val="00290642"/>
    <w:rsid w:val="0029371B"/>
    <w:rsid w:val="00293EB0"/>
    <w:rsid w:val="00295659"/>
    <w:rsid w:val="00295D01"/>
    <w:rsid w:val="00295D20"/>
    <w:rsid w:val="002A06D0"/>
    <w:rsid w:val="002A08F6"/>
    <w:rsid w:val="002A103F"/>
    <w:rsid w:val="002A185A"/>
    <w:rsid w:val="002A1A72"/>
    <w:rsid w:val="002A47DB"/>
    <w:rsid w:val="002A4872"/>
    <w:rsid w:val="002A5A18"/>
    <w:rsid w:val="002A5D8F"/>
    <w:rsid w:val="002A658F"/>
    <w:rsid w:val="002B1220"/>
    <w:rsid w:val="002B1DDB"/>
    <w:rsid w:val="002B3B50"/>
    <w:rsid w:val="002B3E6E"/>
    <w:rsid w:val="002B4524"/>
    <w:rsid w:val="002B48CB"/>
    <w:rsid w:val="002B5D82"/>
    <w:rsid w:val="002B7DA6"/>
    <w:rsid w:val="002C130D"/>
    <w:rsid w:val="002C19D5"/>
    <w:rsid w:val="002C2313"/>
    <w:rsid w:val="002C38BA"/>
    <w:rsid w:val="002C54A6"/>
    <w:rsid w:val="002C5720"/>
    <w:rsid w:val="002C735F"/>
    <w:rsid w:val="002C7B0C"/>
    <w:rsid w:val="002D1428"/>
    <w:rsid w:val="002D1549"/>
    <w:rsid w:val="002D19CD"/>
    <w:rsid w:val="002D3C4F"/>
    <w:rsid w:val="002D688F"/>
    <w:rsid w:val="002D7C92"/>
    <w:rsid w:val="002E00BA"/>
    <w:rsid w:val="002E0C1E"/>
    <w:rsid w:val="002E3B33"/>
    <w:rsid w:val="002E3BB0"/>
    <w:rsid w:val="002E4DDE"/>
    <w:rsid w:val="002E5B88"/>
    <w:rsid w:val="002E604C"/>
    <w:rsid w:val="002E6085"/>
    <w:rsid w:val="002E6619"/>
    <w:rsid w:val="002E7AB1"/>
    <w:rsid w:val="002E7DC9"/>
    <w:rsid w:val="002F0071"/>
    <w:rsid w:val="002F06CC"/>
    <w:rsid w:val="002F0C0B"/>
    <w:rsid w:val="002F1BED"/>
    <w:rsid w:val="002F31AB"/>
    <w:rsid w:val="002F3DD7"/>
    <w:rsid w:val="002F49F5"/>
    <w:rsid w:val="002F5550"/>
    <w:rsid w:val="002F59AE"/>
    <w:rsid w:val="002F6563"/>
    <w:rsid w:val="002F7A19"/>
    <w:rsid w:val="003009FE"/>
    <w:rsid w:val="00301A87"/>
    <w:rsid w:val="00301C5C"/>
    <w:rsid w:val="003036A2"/>
    <w:rsid w:val="003044E2"/>
    <w:rsid w:val="00304880"/>
    <w:rsid w:val="003053C7"/>
    <w:rsid w:val="003059EB"/>
    <w:rsid w:val="00306A4B"/>
    <w:rsid w:val="0030700C"/>
    <w:rsid w:val="003071B6"/>
    <w:rsid w:val="0030730E"/>
    <w:rsid w:val="00307961"/>
    <w:rsid w:val="00307B3C"/>
    <w:rsid w:val="00310421"/>
    <w:rsid w:val="00310F8B"/>
    <w:rsid w:val="00311DC8"/>
    <w:rsid w:val="00311F39"/>
    <w:rsid w:val="00312317"/>
    <w:rsid w:val="003139EB"/>
    <w:rsid w:val="00313CAE"/>
    <w:rsid w:val="00313FA7"/>
    <w:rsid w:val="0031605A"/>
    <w:rsid w:val="003163C7"/>
    <w:rsid w:val="0031764C"/>
    <w:rsid w:val="00321430"/>
    <w:rsid w:val="003216DD"/>
    <w:rsid w:val="00322B64"/>
    <w:rsid w:val="00322BA1"/>
    <w:rsid w:val="00323C42"/>
    <w:rsid w:val="0032648E"/>
    <w:rsid w:val="0032796C"/>
    <w:rsid w:val="00331731"/>
    <w:rsid w:val="00331803"/>
    <w:rsid w:val="0033383F"/>
    <w:rsid w:val="00333DB9"/>
    <w:rsid w:val="00333EED"/>
    <w:rsid w:val="00334253"/>
    <w:rsid w:val="00334B38"/>
    <w:rsid w:val="0033551F"/>
    <w:rsid w:val="00335882"/>
    <w:rsid w:val="00335F4A"/>
    <w:rsid w:val="00340050"/>
    <w:rsid w:val="0034044E"/>
    <w:rsid w:val="00340806"/>
    <w:rsid w:val="00341FFE"/>
    <w:rsid w:val="00342088"/>
    <w:rsid w:val="003425BE"/>
    <w:rsid w:val="003433F8"/>
    <w:rsid w:val="003450A8"/>
    <w:rsid w:val="003461B2"/>
    <w:rsid w:val="0034623E"/>
    <w:rsid w:val="003464A9"/>
    <w:rsid w:val="00346DB0"/>
    <w:rsid w:val="00350FBF"/>
    <w:rsid w:val="00351F9F"/>
    <w:rsid w:val="00353CAA"/>
    <w:rsid w:val="00354155"/>
    <w:rsid w:val="003546D8"/>
    <w:rsid w:val="00355B43"/>
    <w:rsid w:val="00356C1B"/>
    <w:rsid w:val="00357251"/>
    <w:rsid w:val="003579A8"/>
    <w:rsid w:val="00357F24"/>
    <w:rsid w:val="00361EE2"/>
    <w:rsid w:val="0036319D"/>
    <w:rsid w:val="0036364C"/>
    <w:rsid w:val="00363655"/>
    <w:rsid w:val="003652FE"/>
    <w:rsid w:val="0036551D"/>
    <w:rsid w:val="00365A96"/>
    <w:rsid w:val="00365B0B"/>
    <w:rsid w:val="00367AED"/>
    <w:rsid w:val="0037028C"/>
    <w:rsid w:val="00370B59"/>
    <w:rsid w:val="003722F1"/>
    <w:rsid w:val="003771C6"/>
    <w:rsid w:val="0037752F"/>
    <w:rsid w:val="0038066E"/>
    <w:rsid w:val="003812AB"/>
    <w:rsid w:val="00381457"/>
    <w:rsid w:val="003817D1"/>
    <w:rsid w:val="00383ADF"/>
    <w:rsid w:val="003852A8"/>
    <w:rsid w:val="00385C69"/>
    <w:rsid w:val="00387974"/>
    <w:rsid w:val="00387999"/>
    <w:rsid w:val="00390015"/>
    <w:rsid w:val="003910FE"/>
    <w:rsid w:val="00391DAC"/>
    <w:rsid w:val="0039270B"/>
    <w:rsid w:val="00392F8D"/>
    <w:rsid w:val="003937EF"/>
    <w:rsid w:val="003959D6"/>
    <w:rsid w:val="00395C37"/>
    <w:rsid w:val="00395DB3"/>
    <w:rsid w:val="00395EF5"/>
    <w:rsid w:val="0039729E"/>
    <w:rsid w:val="003A0742"/>
    <w:rsid w:val="003A1A94"/>
    <w:rsid w:val="003A2FF2"/>
    <w:rsid w:val="003A3052"/>
    <w:rsid w:val="003A3919"/>
    <w:rsid w:val="003A476E"/>
    <w:rsid w:val="003A4AF4"/>
    <w:rsid w:val="003A5D2A"/>
    <w:rsid w:val="003A647C"/>
    <w:rsid w:val="003A6F1E"/>
    <w:rsid w:val="003A710E"/>
    <w:rsid w:val="003B1238"/>
    <w:rsid w:val="003B4380"/>
    <w:rsid w:val="003B4FAA"/>
    <w:rsid w:val="003B52B2"/>
    <w:rsid w:val="003B58A6"/>
    <w:rsid w:val="003B5E90"/>
    <w:rsid w:val="003B5F14"/>
    <w:rsid w:val="003C088E"/>
    <w:rsid w:val="003C2466"/>
    <w:rsid w:val="003C3925"/>
    <w:rsid w:val="003C40B6"/>
    <w:rsid w:val="003C4372"/>
    <w:rsid w:val="003C48D7"/>
    <w:rsid w:val="003D4DBB"/>
    <w:rsid w:val="003D5958"/>
    <w:rsid w:val="003D62C9"/>
    <w:rsid w:val="003D641F"/>
    <w:rsid w:val="003D6565"/>
    <w:rsid w:val="003D778D"/>
    <w:rsid w:val="003E1803"/>
    <w:rsid w:val="003E1D17"/>
    <w:rsid w:val="003E27E2"/>
    <w:rsid w:val="003E3972"/>
    <w:rsid w:val="003E3A79"/>
    <w:rsid w:val="003E44DD"/>
    <w:rsid w:val="003E5651"/>
    <w:rsid w:val="003E5A3D"/>
    <w:rsid w:val="003E609C"/>
    <w:rsid w:val="003E755A"/>
    <w:rsid w:val="003F001A"/>
    <w:rsid w:val="003F061A"/>
    <w:rsid w:val="003F1806"/>
    <w:rsid w:val="003F1F55"/>
    <w:rsid w:val="003F1FBD"/>
    <w:rsid w:val="003F28A3"/>
    <w:rsid w:val="003F6083"/>
    <w:rsid w:val="003F6EAD"/>
    <w:rsid w:val="004006D1"/>
    <w:rsid w:val="0040108B"/>
    <w:rsid w:val="00401C9F"/>
    <w:rsid w:val="004022EE"/>
    <w:rsid w:val="00406C1A"/>
    <w:rsid w:val="004070AA"/>
    <w:rsid w:val="00410CB7"/>
    <w:rsid w:val="00411644"/>
    <w:rsid w:val="00411649"/>
    <w:rsid w:val="00412553"/>
    <w:rsid w:val="004134DD"/>
    <w:rsid w:val="00414408"/>
    <w:rsid w:val="004145AB"/>
    <w:rsid w:val="0041517D"/>
    <w:rsid w:val="00416DF7"/>
    <w:rsid w:val="00420CC0"/>
    <w:rsid w:val="00422F01"/>
    <w:rsid w:val="0042430C"/>
    <w:rsid w:val="00424719"/>
    <w:rsid w:val="004254EA"/>
    <w:rsid w:val="00425B20"/>
    <w:rsid w:val="00426131"/>
    <w:rsid w:val="004263D8"/>
    <w:rsid w:val="00426E97"/>
    <w:rsid w:val="0043163F"/>
    <w:rsid w:val="0043262A"/>
    <w:rsid w:val="004327D4"/>
    <w:rsid w:val="004362E3"/>
    <w:rsid w:val="00436D45"/>
    <w:rsid w:val="00436FE0"/>
    <w:rsid w:val="0044053C"/>
    <w:rsid w:val="00440C05"/>
    <w:rsid w:val="00440CFE"/>
    <w:rsid w:val="0044155C"/>
    <w:rsid w:val="00441D99"/>
    <w:rsid w:val="00443161"/>
    <w:rsid w:val="0044398F"/>
    <w:rsid w:val="00444967"/>
    <w:rsid w:val="00444D4A"/>
    <w:rsid w:val="004459B1"/>
    <w:rsid w:val="00450B7D"/>
    <w:rsid w:val="00450C41"/>
    <w:rsid w:val="00451338"/>
    <w:rsid w:val="0045191B"/>
    <w:rsid w:val="0045250F"/>
    <w:rsid w:val="00455807"/>
    <w:rsid w:val="00456962"/>
    <w:rsid w:val="00457440"/>
    <w:rsid w:val="0045792E"/>
    <w:rsid w:val="00460E9D"/>
    <w:rsid w:val="00461847"/>
    <w:rsid w:val="00461AB5"/>
    <w:rsid w:val="0046209B"/>
    <w:rsid w:val="00462182"/>
    <w:rsid w:val="00463ED6"/>
    <w:rsid w:val="00464683"/>
    <w:rsid w:val="00465FC5"/>
    <w:rsid w:val="00466556"/>
    <w:rsid w:val="004666B7"/>
    <w:rsid w:val="004669C0"/>
    <w:rsid w:val="00467438"/>
    <w:rsid w:val="00467E7E"/>
    <w:rsid w:val="004703B1"/>
    <w:rsid w:val="004712A8"/>
    <w:rsid w:val="00471BDC"/>
    <w:rsid w:val="00471DED"/>
    <w:rsid w:val="00474ABF"/>
    <w:rsid w:val="00475559"/>
    <w:rsid w:val="00475BB5"/>
    <w:rsid w:val="00475BF1"/>
    <w:rsid w:val="00475E25"/>
    <w:rsid w:val="00475EB7"/>
    <w:rsid w:val="004766E5"/>
    <w:rsid w:val="00480C32"/>
    <w:rsid w:val="00480D97"/>
    <w:rsid w:val="004816A6"/>
    <w:rsid w:val="00481D27"/>
    <w:rsid w:val="004826CF"/>
    <w:rsid w:val="00482D87"/>
    <w:rsid w:val="00482E39"/>
    <w:rsid w:val="00483F64"/>
    <w:rsid w:val="00484196"/>
    <w:rsid w:val="004841A6"/>
    <w:rsid w:val="00485426"/>
    <w:rsid w:val="0048768F"/>
    <w:rsid w:val="00487D3D"/>
    <w:rsid w:val="0049060B"/>
    <w:rsid w:val="00490A9D"/>
    <w:rsid w:val="004910B9"/>
    <w:rsid w:val="00491B05"/>
    <w:rsid w:val="00492547"/>
    <w:rsid w:val="0049377F"/>
    <w:rsid w:val="004939F0"/>
    <w:rsid w:val="00493ABE"/>
    <w:rsid w:val="00494587"/>
    <w:rsid w:val="00494738"/>
    <w:rsid w:val="00494743"/>
    <w:rsid w:val="00494AA6"/>
    <w:rsid w:val="0049527D"/>
    <w:rsid w:val="004968CD"/>
    <w:rsid w:val="00496D88"/>
    <w:rsid w:val="004A067D"/>
    <w:rsid w:val="004A0E5D"/>
    <w:rsid w:val="004A1105"/>
    <w:rsid w:val="004A1772"/>
    <w:rsid w:val="004A23A3"/>
    <w:rsid w:val="004A575F"/>
    <w:rsid w:val="004A678E"/>
    <w:rsid w:val="004A6FCA"/>
    <w:rsid w:val="004A7FA7"/>
    <w:rsid w:val="004B07E4"/>
    <w:rsid w:val="004B1330"/>
    <w:rsid w:val="004B1E0C"/>
    <w:rsid w:val="004B2DAA"/>
    <w:rsid w:val="004B4736"/>
    <w:rsid w:val="004B5AC9"/>
    <w:rsid w:val="004B6078"/>
    <w:rsid w:val="004B6562"/>
    <w:rsid w:val="004B6C75"/>
    <w:rsid w:val="004B6CCE"/>
    <w:rsid w:val="004B7D8D"/>
    <w:rsid w:val="004C08B6"/>
    <w:rsid w:val="004C0D00"/>
    <w:rsid w:val="004C14AB"/>
    <w:rsid w:val="004C3462"/>
    <w:rsid w:val="004C3779"/>
    <w:rsid w:val="004C47A1"/>
    <w:rsid w:val="004C487C"/>
    <w:rsid w:val="004C5772"/>
    <w:rsid w:val="004D0A90"/>
    <w:rsid w:val="004D139E"/>
    <w:rsid w:val="004D1B6B"/>
    <w:rsid w:val="004D1CE2"/>
    <w:rsid w:val="004D44AC"/>
    <w:rsid w:val="004D5895"/>
    <w:rsid w:val="004D5ED7"/>
    <w:rsid w:val="004D6441"/>
    <w:rsid w:val="004D67AA"/>
    <w:rsid w:val="004D76C4"/>
    <w:rsid w:val="004E0F6D"/>
    <w:rsid w:val="004E1262"/>
    <w:rsid w:val="004E29B2"/>
    <w:rsid w:val="004E3049"/>
    <w:rsid w:val="004E411B"/>
    <w:rsid w:val="004E5C69"/>
    <w:rsid w:val="004E60D0"/>
    <w:rsid w:val="004E79FD"/>
    <w:rsid w:val="004F12A6"/>
    <w:rsid w:val="004F1565"/>
    <w:rsid w:val="004F1878"/>
    <w:rsid w:val="004F2304"/>
    <w:rsid w:val="004F249B"/>
    <w:rsid w:val="004F26F8"/>
    <w:rsid w:val="004F3D28"/>
    <w:rsid w:val="004F4CC9"/>
    <w:rsid w:val="004F69BD"/>
    <w:rsid w:val="004F75D8"/>
    <w:rsid w:val="00500ADF"/>
    <w:rsid w:val="00500B90"/>
    <w:rsid w:val="00501430"/>
    <w:rsid w:val="00501CF6"/>
    <w:rsid w:val="005025FE"/>
    <w:rsid w:val="0050295C"/>
    <w:rsid w:val="00504585"/>
    <w:rsid w:val="00506DDE"/>
    <w:rsid w:val="00506F0B"/>
    <w:rsid w:val="00507DEA"/>
    <w:rsid w:val="005115EC"/>
    <w:rsid w:val="00512879"/>
    <w:rsid w:val="005136AD"/>
    <w:rsid w:val="005138BA"/>
    <w:rsid w:val="00513923"/>
    <w:rsid w:val="005146B3"/>
    <w:rsid w:val="005153EE"/>
    <w:rsid w:val="00515C67"/>
    <w:rsid w:val="00515EA1"/>
    <w:rsid w:val="00516657"/>
    <w:rsid w:val="00520937"/>
    <w:rsid w:val="00520CB5"/>
    <w:rsid w:val="005211AF"/>
    <w:rsid w:val="005213E2"/>
    <w:rsid w:val="00523169"/>
    <w:rsid w:val="00524941"/>
    <w:rsid w:val="005254F4"/>
    <w:rsid w:val="005276C2"/>
    <w:rsid w:val="005304AB"/>
    <w:rsid w:val="00530752"/>
    <w:rsid w:val="0054001A"/>
    <w:rsid w:val="005406F8"/>
    <w:rsid w:val="0054169B"/>
    <w:rsid w:val="005417D2"/>
    <w:rsid w:val="005422E4"/>
    <w:rsid w:val="00543721"/>
    <w:rsid w:val="00543D6E"/>
    <w:rsid w:val="00544161"/>
    <w:rsid w:val="0054436C"/>
    <w:rsid w:val="00545CF8"/>
    <w:rsid w:val="00546CE9"/>
    <w:rsid w:val="0055026A"/>
    <w:rsid w:val="00550E4D"/>
    <w:rsid w:val="00550F69"/>
    <w:rsid w:val="005523C6"/>
    <w:rsid w:val="005529FE"/>
    <w:rsid w:val="00552D2E"/>
    <w:rsid w:val="005535C1"/>
    <w:rsid w:val="005543C0"/>
    <w:rsid w:val="00556055"/>
    <w:rsid w:val="00557586"/>
    <w:rsid w:val="00560A85"/>
    <w:rsid w:val="005616AE"/>
    <w:rsid w:val="0056211A"/>
    <w:rsid w:val="0056407C"/>
    <w:rsid w:val="00564221"/>
    <w:rsid w:val="005644E0"/>
    <w:rsid w:val="005665A1"/>
    <w:rsid w:val="00566D4B"/>
    <w:rsid w:val="00567AAC"/>
    <w:rsid w:val="00571680"/>
    <w:rsid w:val="00571AAC"/>
    <w:rsid w:val="00571ADF"/>
    <w:rsid w:val="00571CEA"/>
    <w:rsid w:val="00571F91"/>
    <w:rsid w:val="0057359F"/>
    <w:rsid w:val="0057365A"/>
    <w:rsid w:val="00573E6D"/>
    <w:rsid w:val="0057589C"/>
    <w:rsid w:val="005811A2"/>
    <w:rsid w:val="00581302"/>
    <w:rsid w:val="00581C8A"/>
    <w:rsid w:val="00582CA6"/>
    <w:rsid w:val="005871BD"/>
    <w:rsid w:val="0058787E"/>
    <w:rsid w:val="005900A1"/>
    <w:rsid w:val="00590B01"/>
    <w:rsid w:val="00595201"/>
    <w:rsid w:val="00597A46"/>
    <w:rsid w:val="005A0224"/>
    <w:rsid w:val="005A0BA6"/>
    <w:rsid w:val="005A1201"/>
    <w:rsid w:val="005A3417"/>
    <w:rsid w:val="005A35B2"/>
    <w:rsid w:val="005A3671"/>
    <w:rsid w:val="005A39D4"/>
    <w:rsid w:val="005A3F38"/>
    <w:rsid w:val="005A5C0B"/>
    <w:rsid w:val="005A68C6"/>
    <w:rsid w:val="005A6C20"/>
    <w:rsid w:val="005A6F02"/>
    <w:rsid w:val="005A7838"/>
    <w:rsid w:val="005B0F6D"/>
    <w:rsid w:val="005B170A"/>
    <w:rsid w:val="005B2B2E"/>
    <w:rsid w:val="005B5074"/>
    <w:rsid w:val="005B65EC"/>
    <w:rsid w:val="005B6BB0"/>
    <w:rsid w:val="005B753C"/>
    <w:rsid w:val="005B77FA"/>
    <w:rsid w:val="005C06A1"/>
    <w:rsid w:val="005C0C4E"/>
    <w:rsid w:val="005C1B4B"/>
    <w:rsid w:val="005C2541"/>
    <w:rsid w:val="005C278C"/>
    <w:rsid w:val="005C389E"/>
    <w:rsid w:val="005C534F"/>
    <w:rsid w:val="005C6F4A"/>
    <w:rsid w:val="005C71E9"/>
    <w:rsid w:val="005D0534"/>
    <w:rsid w:val="005D0D5A"/>
    <w:rsid w:val="005D2132"/>
    <w:rsid w:val="005D2750"/>
    <w:rsid w:val="005D2768"/>
    <w:rsid w:val="005D53DA"/>
    <w:rsid w:val="005D5D01"/>
    <w:rsid w:val="005D5EF2"/>
    <w:rsid w:val="005D6A36"/>
    <w:rsid w:val="005D7700"/>
    <w:rsid w:val="005E2135"/>
    <w:rsid w:val="005E4E85"/>
    <w:rsid w:val="005E7012"/>
    <w:rsid w:val="005E7CF7"/>
    <w:rsid w:val="005F0748"/>
    <w:rsid w:val="005F0DA6"/>
    <w:rsid w:val="005F32AD"/>
    <w:rsid w:val="005F3C7F"/>
    <w:rsid w:val="005F41CD"/>
    <w:rsid w:val="005F573F"/>
    <w:rsid w:val="005F5BE6"/>
    <w:rsid w:val="005F6932"/>
    <w:rsid w:val="005F7B27"/>
    <w:rsid w:val="005F7C32"/>
    <w:rsid w:val="006001FE"/>
    <w:rsid w:val="00601A4D"/>
    <w:rsid w:val="00601BED"/>
    <w:rsid w:val="0060250B"/>
    <w:rsid w:val="006043E6"/>
    <w:rsid w:val="006065A9"/>
    <w:rsid w:val="0060719B"/>
    <w:rsid w:val="006075B1"/>
    <w:rsid w:val="00607651"/>
    <w:rsid w:val="00607866"/>
    <w:rsid w:val="006101EB"/>
    <w:rsid w:val="006103AF"/>
    <w:rsid w:val="00610553"/>
    <w:rsid w:val="00610C1D"/>
    <w:rsid w:val="00612362"/>
    <w:rsid w:val="006127EC"/>
    <w:rsid w:val="006131D3"/>
    <w:rsid w:val="00614A9A"/>
    <w:rsid w:val="00616E7D"/>
    <w:rsid w:val="006179D0"/>
    <w:rsid w:val="00620413"/>
    <w:rsid w:val="00620AB1"/>
    <w:rsid w:val="00620C5C"/>
    <w:rsid w:val="00622516"/>
    <w:rsid w:val="00625BAE"/>
    <w:rsid w:val="00627195"/>
    <w:rsid w:val="006272AB"/>
    <w:rsid w:val="00627E3B"/>
    <w:rsid w:val="006309C0"/>
    <w:rsid w:val="00630E7C"/>
    <w:rsid w:val="00632830"/>
    <w:rsid w:val="00634053"/>
    <w:rsid w:val="00635036"/>
    <w:rsid w:val="0063561B"/>
    <w:rsid w:val="0063594D"/>
    <w:rsid w:val="00635D53"/>
    <w:rsid w:val="0064042D"/>
    <w:rsid w:val="00641375"/>
    <w:rsid w:val="006417AE"/>
    <w:rsid w:val="00641AEC"/>
    <w:rsid w:val="006431AD"/>
    <w:rsid w:val="00643A41"/>
    <w:rsid w:val="0064524B"/>
    <w:rsid w:val="006469A4"/>
    <w:rsid w:val="00646E4D"/>
    <w:rsid w:val="006507DE"/>
    <w:rsid w:val="00650A8F"/>
    <w:rsid w:val="00651877"/>
    <w:rsid w:val="00655388"/>
    <w:rsid w:val="006557D0"/>
    <w:rsid w:val="00655D42"/>
    <w:rsid w:val="006560BD"/>
    <w:rsid w:val="00656199"/>
    <w:rsid w:val="0065636F"/>
    <w:rsid w:val="006568A6"/>
    <w:rsid w:val="00656A3E"/>
    <w:rsid w:val="00657535"/>
    <w:rsid w:val="00657635"/>
    <w:rsid w:val="006622F8"/>
    <w:rsid w:val="006624E1"/>
    <w:rsid w:val="0066472D"/>
    <w:rsid w:val="00664D3A"/>
    <w:rsid w:val="00666B96"/>
    <w:rsid w:val="00667EB5"/>
    <w:rsid w:val="0067085C"/>
    <w:rsid w:val="006718B9"/>
    <w:rsid w:val="0067373E"/>
    <w:rsid w:val="00675060"/>
    <w:rsid w:val="006758B6"/>
    <w:rsid w:val="006759C2"/>
    <w:rsid w:val="00675CB9"/>
    <w:rsid w:val="00675EDB"/>
    <w:rsid w:val="0067631B"/>
    <w:rsid w:val="00676338"/>
    <w:rsid w:val="00676831"/>
    <w:rsid w:val="00677A9F"/>
    <w:rsid w:val="00681CA4"/>
    <w:rsid w:val="00682027"/>
    <w:rsid w:val="00682A44"/>
    <w:rsid w:val="006839AA"/>
    <w:rsid w:val="00684844"/>
    <w:rsid w:val="0068545D"/>
    <w:rsid w:val="00685B63"/>
    <w:rsid w:val="00690252"/>
    <w:rsid w:val="006905CC"/>
    <w:rsid w:val="006923FF"/>
    <w:rsid w:val="00693A15"/>
    <w:rsid w:val="0069474A"/>
    <w:rsid w:val="00694E1A"/>
    <w:rsid w:val="006957E2"/>
    <w:rsid w:val="00695A1E"/>
    <w:rsid w:val="00697631"/>
    <w:rsid w:val="006A055F"/>
    <w:rsid w:val="006A0970"/>
    <w:rsid w:val="006A25BB"/>
    <w:rsid w:val="006A3EF9"/>
    <w:rsid w:val="006A449C"/>
    <w:rsid w:val="006A4E81"/>
    <w:rsid w:val="006A5376"/>
    <w:rsid w:val="006A5D0B"/>
    <w:rsid w:val="006A617B"/>
    <w:rsid w:val="006A73BF"/>
    <w:rsid w:val="006B10B6"/>
    <w:rsid w:val="006B1377"/>
    <w:rsid w:val="006B1632"/>
    <w:rsid w:val="006B1DBB"/>
    <w:rsid w:val="006B2726"/>
    <w:rsid w:val="006B354F"/>
    <w:rsid w:val="006B3B64"/>
    <w:rsid w:val="006B57B2"/>
    <w:rsid w:val="006B60AF"/>
    <w:rsid w:val="006B724F"/>
    <w:rsid w:val="006C0EDC"/>
    <w:rsid w:val="006C109B"/>
    <w:rsid w:val="006C1738"/>
    <w:rsid w:val="006C180F"/>
    <w:rsid w:val="006C1B51"/>
    <w:rsid w:val="006C2F7A"/>
    <w:rsid w:val="006C4214"/>
    <w:rsid w:val="006C43C5"/>
    <w:rsid w:val="006C5C96"/>
    <w:rsid w:val="006C63D3"/>
    <w:rsid w:val="006C6C31"/>
    <w:rsid w:val="006C73E1"/>
    <w:rsid w:val="006C7549"/>
    <w:rsid w:val="006C7F42"/>
    <w:rsid w:val="006D0009"/>
    <w:rsid w:val="006D176B"/>
    <w:rsid w:val="006D1B2D"/>
    <w:rsid w:val="006D1E80"/>
    <w:rsid w:val="006D555F"/>
    <w:rsid w:val="006D667B"/>
    <w:rsid w:val="006D6FA3"/>
    <w:rsid w:val="006D7E28"/>
    <w:rsid w:val="006E0E2B"/>
    <w:rsid w:val="006E17CD"/>
    <w:rsid w:val="006E23B6"/>
    <w:rsid w:val="006E25AB"/>
    <w:rsid w:val="006E3262"/>
    <w:rsid w:val="006E336C"/>
    <w:rsid w:val="006E33C9"/>
    <w:rsid w:val="006E3A6D"/>
    <w:rsid w:val="006E4748"/>
    <w:rsid w:val="006E679B"/>
    <w:rsid w:val="006E67BD"/>
    <w:rsid w:val="006E7746"/>
    <w:rsid w:val="006E7CB4"/>
    <w:rsid w:val="006E7F70"/>
    <w:rsid w:val="006F0C98"/>
    <w:rsid w:val="006F2948"/>
    <w:rsid w:val="006F3BF0"/>
    <w:rsid w:val="006F3E0D"/>
    <w:rsid w:val="006F468C"/>
    <w:rsid w:val="006F4826"/>
    <w:rsid w:val="006F4D0E"/>
    <w:rsid w:val="006F5F02"/>
    <w:rsid w:val="006F60E3"/>
    <w:rsid w:val="006F738D"/>
    <w:rsid w:val="006F796C"/>
    <w:rsid w:val="00700738"/>
    <w:rsid w:val="00701360"/>
    <w:rsid w:val="00702A38"/>
    <w:rsid w:val="00706263"/>
    <w:rsid w:val="00707997"/>
    <w:rsid w:val="00707D24"/>
    <w:rsid w:val="0071029B"/>
    <w:rsid w:val="0071052E"/>
    <w:rsid w:val="00711762"/>
    <w:rsid w:val="007119E2"/>
    <w:rsid w:val="00711B19"/>
    <w:rsid w:val="00716588"/>
    <w:rsid w:val="00717274"/>
    <w:rsid w:val="00720114"/>
    <w:rsid w:val="00720AFA"/>
    <w:rsid w:val="00721552"/>
    <w:rsid w:val="00722117"/>
    <w:rsid w:val="007224EF"/>
    <w:rsid w:val="00723972"/>
    <w:rsid w:val="0072531B"/>
    <w:rsid w:val="00726E5E"/>
    <w:rsid w:val="007307E1"/>
    <w:rsid w:val="007327AB"/>
    <w:rsid w:val="007327F4"/>
    <w:rsid w:val="00732839"/>
    <w:rsid w:val="00732A99"/>
    <w:rsid w:val="0073450F"/>
    <w:rsid w:val="0073543D"/>
    <w:rsid w:val="00735B5D"/>
    <w:rsid w:val="00736592"/>
    <w:rsid w:val="007367A7"/>
    <w:rsid w:val="00736C13"/>
    <w:rsid w:val="00736E1E"/>
    <w:rsid w:val="00736F0E"/>
    <w:rsid w:val="00741A6D"/>
    <w:rsid w:val="00741B0D"/>
    <w:rsid w:val="0074253A"/>
    <w:rsid w:val="007445DB"/>
    <w:rsid w:val="00745650"/>
    <w:rsid w:val="0074569B"/>
    <w:rsid w:val="007458F8"/>
    <w:rsid w:val="00747402"/>
    <w:rsid w:val="00747406"/>
    <w:rsid w:val="00750738"/>
    <w:rsid w:val="007510E2"/>
    <w:rsid w:val="007513AA"/>
    <w:rsid w:val="00751F65"/>
    <w:rsid w:val="00752314"/>
    <w:rsid w:val="00752473"/>
    <w:rsid w:val="00752903"/>
    <w:rsid w:val="00752AAE"/>
    <w:rsid w:val="007530A7"/>
    <w:rsid w:val="00753BB3"/>
    <w:rsid w:val="00757484"/>
    <w:rsid w:val="00757D44"/>
    <w:rsid w:val="0076092D"/>
    <w:rsid w:val="00760A0C"/>
    <w:rsid w:val="00760C02"/>
    <w:rsid w:val="00760CC0"/>
    <w:rsid w:val="00761998"/>
    <w:rsid w:val="0076384A"/>
    <w:rsid w:val="00766BBE"/>
    <w:rsid w:val="007674E3"/>
    <w:rsid w:val="00767521"/>
    <w:rsid w:val="007732C9"/>
    <w:rsid w:val="007738F3"/>
    <w:rsid w:val="00774CB6"/>
    <w:rsid w:val="00776A3D"/>
    <w:rsid w:val="00776B0B"/>
    <w:rsid w:val="00782488"/>
    <w:rsid w:val="00784F59"/>
    <w:rsid w:val="00785E49"/>
    <w:rsid w:val="00786A8D"/>
    <w:rsid w:val="00786B17"/>
    <w:rsid w:val="00787338"/>
    <w:rsid w:val="00787C90"/>
    <w:rsid w:val="00790A1F"/>
    <w:rsid w:val="00790B46"/>
    <w:rsid w:val="00792BF9"/>
    <w:rsid w:val="0079353A"/>
    <w:rsid w:val="00793B7A"/>
    <w:rsid w:val="00793C15"/>
    <w:rsid w:val="00793DA2"/>
    <w:rsid w:val="00795C00"/>
    <w:rsid w:val="007961C4"/>
    <w:rsid w:val="007A01EB"/>
    <w:rsid w:val="007A0583"/>
    <w:rsid w:val="007A0F86"/>
    <w:rsid w:val="007A1C15"/>
    <w:rsid w:val="007A1F5F"/>
    <w:rsid w:val="007A2BE8"/>
    <w:rsid w:val="007A5281"/>
    <w:rsid w:val="007A6929"/>
    <w:rsid w:val="007A7CB3"/>
    <w:rsid w:val="007B0567"/>
    <w:rsid w:val="007B106C"/>
    <w:rsid w:val="007B13AE"/>
    <w:rsid w:val="007B2475"/>
    <w:rsid w:val="007B249F"/>
    <w:rsid w:val="007B2ECC"/>
    <w:rsid w:val="007B3A76"/>
    <w:rsid w:val="007B5498"/>
    <w:rsid w:val="007B6295"/>
    <w:rsid w:val="007C18B0"/>
    <w:rsid w:val="007C1DF4"/>
    <w:rsid w:val="007C24ED"/>
    <w:rsid w:val="007C5394"/>
    <w:rsid w:val="007C62AE"/>
    <w:rsid w:val="007C6BB9"/>
    <w:rsid w:val="007D1382"/>
    <w:rsid w:val="007D16F8"/>
    <w:rsid w:val="007D18CC"/>
    <w:rsid w:val="007D1B60"/>
    <w:rsid w:val="007D204F"/>
    <w:rsid w:val="007D241E"/>
    <w:rsid w:val="007D2DDE"/>
    <w:rsid w:val="007D2E6D"/>
    <w:rsid w:val="007D39CF"/>
    <w:rsid w:val="007D5501"/>
    <w:rsid w:val="007D7BAA"/>
    <w:rsid w:val="007D7E24"/>
    <w:rsid w:val="007D7F23"/>
    <w:rsid w:val="007E073D"/>
    <w:rsid w:val="007E14F7"/>
    <w:rsid w:val="007E1BAE"/>
    <w:rsid w:val="007E260F"/>
    <w:rsid w:val="007E35CB"/>
    <w:rsid w:val="007E4B05"/>
    <w:rsid w:val="007E64CD"/>
    <w:rsid w:val="007E7002"/>
    <w:rsid w:val="007F16A8"/>
    <w:rsid w:val="007F2000"/>
    <w:rsid w:val="007F285D"/>
    <w:rsid w:val="007F3F2E"/>
    <w:rsid w:val="007F6149"/>
    <w:rsid w:val="007F618C"/>
    <w:rsid w:val="007F688D"/>
    <w:rsid w:val="007F7B1B"/>
    <w:rsid w:val="00800BE9"/>
    <w:rsid w:val="008016E0"/>
    <w:rsid w:val="00802325"/>
    <w:rsid w:val="008035FC"/>
    <w:rsid w:val="00806F44"/>
    <w:rsid w:val="00807954"/>
    <w:rsid w:val="00810C21"/>
    <w:rsid w:val="0081123A"/>
    <w:rsid w:val="00811482"/>
    <w:rsid w:val="00811D29"/>
    <w:rsid w:val="00812E7D"/>
    <w:rsid w:val="00812ECA"/>
    <w:rsid w:val="00813427"/>
    <w:rsid w:val="00813F63"/>
    <w:rsid w:val="0081417D"/>
    <w:rsid w:val="00815331"/>
    <w:rsid w:val="00815DBC"/>
    <w:rsid w:val="008162FD"/>
    <w:rsid w:val="00816F1C"/>
    <w:rsid w:val="0081758A"/>
    <w:rsid w:val="008175AA"/>
    <w:rsid w:val="00821DDD"/>
    <w:rsid w:val="008223E7"/>
    <w:rsid w:val="00822806"/>
    <w:rsid w:val="00823511"/>
    <w:rsid w:val="00824182"/>
    <w:rsid w:val="00826759"/>
    <w:rsid w:val="00826D20"/>
    <w:rsid w:val="00827077"/>
    <w:rsid w:val="00833413"/>
    <w:rsid w:val="008342C3"/>
    <w:rsid w:val="00834555"/>
    <w:rsid w:val="008356C7"/>
    <w:rsid w:val="00835B4F"/>
    <w:rsid w:val="00836187"/>
    <w:rsid w:val="00840460"/>
    <w:rsid w:val="008408C1"/>
    <w:rsid w:val="00840B15"/>
    <w:rsid w:val="008413D6"/>
    <w:rsid w:val="008418D5"/>
    <w:rsid w:val="00842C8E"/>
    <w:rsid w:val="00843A62"/>
    <w:rsid w:val="008467EA"/>
    <w:rsid w:val="00846AA1"/>
    <w:rsid w:val="0084763A"/>
    <w:rsid w:val="008502A2"/>
    <w:rsid w:val="008503AA"/>
    <w:rsid w:val="0085234E"/>
    <w:rsid w:val="008523A6"/>
    <w:rsid w:val="00854E3D"/>
    <w:rsid w:val="00855CB7"/>
    <w:rsid w:val="008569DF"/>
    <w:rsid w:val="008601C5"/>
    <w:rsid w:val="008626D7"/>
    <w:rsid w:val="0086319F"/>
    <w:rsid w:val="00863F9A"/>
    <w:rsid w:val="00864126"/>
    <w:rsid w:val="00864D71"/>
    <w:rsid w:val="00865F66"/>
    <w:rsid w:val="00867518"/>
    <w:rsid w:val="008704E4"/>
    <w:rsid w:val="00871BF9"/>
    <w:rsid w:val="0087257E"/>
    <w:rsid w:val="00872AC6"/>
    <w:rsid w:val="008746BD"/>
    <w:rsid w:val="00876062"/>
    <w:rsid w:val="008761B9"/>
    <w:rsid w:val="00877025"/>
    <w:rsid w:val="008778E6"/>
    <w:rsid w:val="00877980"/>
    <w:rsid w:val="00880650"/>
    <w:rsid w:val="00880DE8"/>
    <w:rsid w:val="00881B21"/>
    <w:rsid w:val="00881CF9"/>
    <w:rsid w:val="00881DFC"/>
    <w:rsid w:val="00884802"/>
    <w:rsid w:val="0088638D"/>
    <w:rsid w:val="0088644A"/>
    <w:rsid w:val="008864BE"/>
    <w:rsid w:val="00887AD9"/>
    <w:rsid w:val="008905A5"/>
    <w:rsid w:val="00890BD7"/>
    <w:rsid w:val="00891A6E"/>
    <w:rsid w:val="00892D6F"/>
    <w:rsid w:val="008941B7"/>
    <w:rsid w:val="008951FB"/>
    <w:rsid w:val="00895A6A"/>
    <w:rsid w:val="008968EB"/>
    <w:rsid w:val="00897689"/>
    <w:rsid w:val="00897FEE"/>
    <w:rsid w:val="008A0C6A"/>
    <w:rsid w:val="008A1B17"/>
    <w:rsid w:val="008A1F8C"/>
    <w:rsid w:val="008A3A56"/>
    <w:rsid w:val="008A405E"/>
    <w:rsid w:val="008A4DD1"/>
    <w:rsid w:val="008A51A2"/>
    <w:rsid w:val="008A51C6"/>
    <w:rsid w:val="008A51D2"/>
    <w:rsid w:val="008A617E"/>
    <w:rsid w:val="008A7CFB"/>
    <w:rsid w:val="008B0D53"/>
    <w:rsid w:val="008B1208"/>
    <w:rsid w:val="008B3498"/>
    <w:rsid w:val="008B36EA"/>
    <w:rsid w:val="008B7AF1"/>
    <w:rsid w:val="008C32B0"/>
    <w:rsid w:val="008C3EB9"/>
    <w:rsid w:val="008C440E"/>
    <w:rsid w:val="008C61DD"/>
    <w:rsid w:val="008C73AF"/>
    <w:rsid w:val="008D08E6"/>
    <w:rsid w:val="008D3D4F"/>
    <w:rsid w:val="008D419D"/>
    <w:rsid w:val="008D5E56"/>
    <w:rsid w:val="008D72BA"/>
    <w:rsid w:val="008E044B"/>
    <w:rsid w:val="008E0BC8"/>
    <w:rsid w:val="008E16A9"/>
    <w:rsid w:val="008E1C0B"/>
    <w:rsid w:val="008E22E1"/>
    <w:rsid w:val="008E36EC"/>
    <w:rsid w:val="008E3A6A"/>
    <w:rsid w:val="008E3DA6"/>
    <w:rsid w:val="008E57F8"/>
    <w:rsid w:val="008E5CE3"/>
    <w:rsid w:val="008F10C0"/>
    <w:rsid w:val="008F1194"/>
    <w:rsid w:val="008F273A"/>
    <w:rsid w:val="008F36D4"/>
    <w:rsid w:val="008F4C4F"/>
    <w:rsid w:val="008F5FA6"/>
    <w:rsid w:val="008F64BD"/>
    <w:rsid w:val="008F6CFE"/>
    <w:rsid w:val="008F7027"/>
    <w:rsid w:val="008F7A9C"/>
    <w:rsid w:val="00900253"/>
    <w:rsid w:val="00900503"/>
    <w:rsid w:val="00902A35"/>
    <w:rsid w:val="00903D35"/>
    <w:rsid w:val="00905D34"/>
    <w:rsid w:val="00911BD0"/>
    <w:rsid w:val="0091299A"/>
    <w:rsid w:val="00913EC3"/>
    <w:rsid w:val="00914092"/>
    <w:rsid w:val="00914412"/>
    <w:rsid w:val="00914764"/>
    <w:rsid w:val="0091539C"/>
    <w:rsid w:val="00915689"/>
    <w:rsid w:val="00916066"/>
    <w:rsid w:val="0091757F"/>
    <w:rsid w:val="00917822"/>
    <w:rsid w:val="0092083C"/>
    <w:rsid w:val="00922899"/>
    <w:rsid w:val="009238C0"/>
    <w:rsid w:val="00924D99"/>
    <w:rsid w:val="00925187"/>
    <w:rsid w:val="00925799"/>
    <w:rsid w:val="00925EE3"/>
    <w:rsid w:val="009263CE"/>
    <w:rsid w:val="0092796F"/>
    <w:rsid w:val="00931175"/>
    <w:rsid w:val="009317F7"/>
    <w:rsid w:val="009319C8"/>
    <w:rsid w:val="00931B7A"/>
    <w:rsid w:val="0093272C"/>
    <w:rsid w:val="009328FC"/>
    <w:rsid w:val="0093360B"/>
    <w:rsid w:val="00933D7D"/>
    <w:rsid w:val="00935500"/>
    <w:rsid w:val="009360C5"/>
    <w:rsid w:val="009372B6"/>
    <w:rsid w:val="0093773A"/>
    <w:rsid w:val="00937CD7"/>
    <w:rsid w:val="00937EC7"/>
    <w:rsid w:val="009419EF"/>
    <w:rsid w:val="00941AC4"/>
    <w:rsid w:val="009424C1"/>
    <w:rsid w:val="00944443"/>
    <w:rsid w:val="00945373"/>
    <w:rsid w:val="0094621E"/>
    <w:rsid w:val="00950842"/>
    <w:rsid w:val="00950C18"/>
    <w:rsid w:val="00952E82"/>
    <w:rsid w:val="00954DAD"/>
    <w:rsid w:val="0095509A"/>
    <w:rsid w:val="00957152"/>
    <w:rsid w:val="0096064B"/>
    <w:rsid w:val="0096302E"/>
    <w:rsid w:val="00963568"/>
    <w:rsid w:val="0096672D"/>
    <w:rsid w:val="009669F7"/>
    <w:rsid w:val="00966FAD"/>
    <w:rsid w:val="00967C9B"/>
    <w:rsid w:val="009704B0"/>
    <w:rsid w:val="00971C33"/>
    <w:rsid w:val="00972036"/>
    <w:rsid w:val="009728F0"/>
    <w:rsid w:val="009747C3"/>
    <w:rsid w:val="00974FE3"/>
    <w:rsid w:val="00975390"/>
    <w:rsid w:val="00975AF2"/>
    <w:rsid w:val="00976BB7"/>
    <w:rsid w:val="00980261"/>
    <w:rsid w:val="009807F8"/>
    <w:rsid w:val="00983F19"/>
    <w:rsid w:val="00983FD7"/>
    <w:rsid w:val="0098506E"/>
    <w:rsid w:val="0098753E"/>
    <w:rsid w:val="00987853"/>
    <w:rsid w:val="009904BB"/>
    <w:rsid w:val="009906D3"/>
    <w:rsid w:val="00991D7B"/>
    <w:rsid w:val="009920D4"/>
    <w:rsid w:val="00993BE3"/>
    <w:rsid w:val="0099409F"/>
    <w:rsid w:val="0099432F"/>
    <w:rsid w:val="009952EB"/>
    <w:rsid w:val="00995D43"/>
    <w:rsid w:val="009964E7"/>
    <w:rsid w:val="009A180F"/>
    <w:rsid w:val="009A20E5"/>
    <w:rsid w:val="009A3274"/>
    <w:rsid w:val="009A3748"/>
    <w:rsid w:val="009A39EA"/>
    <w:rsid w:val="009A5FA4"/>
    <w:rsid w:val="009A623A"/>
    <w:rsid w:val="009A7168"/>
    <w:rsid w:val="009A77EC"/>
    <w:rsid w:val="009B033B"/>
    <w:rsid w:val="009B180E"/>
    <w:rsid w:val="009B2065"/>
    <w:rsid w:val="009B23F7"/>
    <w:rsid w:val="009B24F4"/>
    <w:rsid w:val="009B3319"/>
    <w:rsid w:val="009B37EB"/>
    <w:rsid w:val="009B4B17"/>
    <w:rsid w:val="009B4E8E"/>
    <w:rsid w:val="009B532B"/>
    <w:rsid w:val="009B5EF4"/>
    <w:rsid w:val="009B601D"/>
    <w:rsid w:val="009B6B20"/>
    <w:rsid w:val="009B7560"/>
    <w:rsid w:val="009B77E9"/>
    <w:rsid w:val="009C110D"/>
    <w:rsid w:val="009C3E19"/>
    <w:rsid w:val="009C4684"/>
    <w:rsid w:val="009C4823"/>
    <w:rsid w:val="009C4C34"/>
    <w:rsid w:val="009C532F"/>
    <w:rsid w:val="009C5DC9"/>
    <w:rsid w:val="009C7DFE"/>
    <w:rsid w:val="009D08AB"/>
    <w:rsid w:val="009D1F2A"/>
    <w:rsid w:val="009D2668"/>
    <w:rsid w:val="009D3EE1"/>
    <w:rsid w:val="009D6AC5"/>
    <w:rsid w:val="009D7E48"/>
    <w:rsid w:val="009D7E49"/>
    <w:rsid w:val="009E07BA"/>
    <w:rsid w:val="009E0D8B"/>
    <w:rsid w:val="009E2D77"/>
    <w:rsid w:val="009E3E67"/>
    <w:rsid w:val="009E45AE"/>
    <w:rsid w:val="009E51CE"/>
    <w:rsid w:val="009E59C0"/>
    <w:rsid w:val="009E5D82"/>
    <w:rsid w:val="009E734D"/>
    <w:rsid w:val="009E7ED5"/>
    <w:rsid w:val="009F0667"/>
    <w:rsid w:val="009F06B4"/>
    <w:rsid w:val="009F0EAA"/>
    <w:rsid w:val="009F22AE"/>
    <w:rsid w:val="009F38A2"/>
    <w:rsid w:val="009F42AB"/>
    <w:rsid w:val="009F4DBE"/>
    <w:rsid w:val="009F5A9B"/>
    <w:rsid w:val="009F78CB"/>
    <w:rsid w:val="009F79DC"/>
    <w:rsid w:val="009F7CC3"/>
    <w:rsid w:val="00A00A06"/>
    <w:rsid w:val="00A0157D"/>
    <w:rsid w:val="00A0309C"/>
    <w:rsid w:val="00A0599B"/>
    <w:rsid w:val="00A05D96"/>
    <w:rsid w:val="00A07D7C"/>
    <w:rsid w:val="00A07F1C"/>
    <w:rsid w:val="00A14104"/>
    <w:rsid w:val="00A14107"/>
    <w:rsid w:val="00A14F7A"/>
    <w:rsid w:val="00A152FA"/>
    <w:rsid w:val="00A159CD"/>
    <w:rsid w:val="00A15D2A"/>
    <w:rsid w:val="00A15E6B"/>
    <w:rsid w:val="00A170F2"/>
    <w:rsid w:val="00A177A2"/>
    <w:rsid w:val="00A177B7"/>
    <w:rsid w:val="00A17CD1"/>
    <w:rsid w:val="00A20DBC"/>
    <w:rsid w:val="00A222DA"/>
    <w:rsid w:val="00A22EFE"/>
    <w:rsid w:val="00A231CA"/>
    <w:rsid w:val="00A2367A"/>
    <w:rsid w:val="00A2521F"/>
    <w:rsid w:val="00A25329"/>
    <w:rsid w:val="00A25DB2"/>
    <w:rsid w:val="00A26B98"/>
    <w:rsid w:val="00A27891"/>
    <w:rsid w:val="00A30335"/>
    <w:rsid w:val="00A30F00"/>
    <w:rsid w:val="00A32EDC"/>
    <w:rsid w:val="00A33A65"/>
    <w:rsid w:val="00A33F3C"/>
    <w:rsid w:val="00A34E9D"/>
    <w:rsid w:val="00A35817"/>
    <w:rsid w:val="00A35B3F"/>
    <w:rsid w:val="00A36C54"/>
    <w:rsid w:val="00A405F9"/>
    <w:rsid w:val="00A40CC4"/>
    <w:rsid w:val="00A410CD"/>
    <w:rsid w:val="00A41431"/>
    <w:rsid w:val="00A42430"/>
    <w:rsid w:val="00A4301D"/>
    <w:rsid w:val="00A43192"/>
    <w:rsid w:val="00A43ED1"/>
    <w:rsid w:val="00A4539A"/>
    <w:rsid w:val="00A46CB1"/>
    <w:rsid w:val="00A46EBC"/>
    <w:rsid w:val="00A473A3"/>
    <w:rsid w:val="00A47B0C"/>
    <w:rsid w:val="00A502B4"/>
    <w:rsid w:val="00A5094D"/>
    <w:rsid w:val="00A515DD"/>
    <w:rsid w:val="00A51997"/>
    <w:rsid w:val="00A51B23"/>
    <w:rsid w:val="00A52C01"/>
    <w:rsid w:val="00A536A8"/>
    <w:rsid w:val="00A53F58"/>
    <w:rsid w:val="00A54C3D"/>
    <w:rsid w:val="00A55391"/>
    <w:rsid w:val="00A575B5"/>
    <w:rsid w:val="00A60608"/>
    <w:rsid w:val="00A60F4F"/>
    <w:rsid w:val="00A61FC7"/>
    <w:rsid w:val="00A63318"/>
    <w:rsid w:val="00A63AA4"/>
    <w:rsid w:val="00A64882"/>
    <w:rsid w:val="00A67080"/>
    <w:rsid w:val="00A70DD1"/>
    <w:rsid w:val="00A71577"/>
    <w:rsid w:val="00A716CA"/>
    <w:rsid w:val="00A72425"/>
    <w:rsid w:val="00A72E68"/>
    <w:rsid w:val="00A734CC"/>
    <w:rsid w:val="00A7397B"/>
    <w:rsid w:val="00A747A5"/>
    <w:rsid w:val="00A81299"/>
    <w:rsid w:val="00A82227"/>
    <w:rsid w:val="00A82756"/>
    <w:rsid w:val="00A83E17"/>
    <w:rsid w:val="00A843A8"/>
    <w:rsid w:val="00A847E1"/>
    <w:rsid w:val="00A85C20"/>
    <w:rsid w:val="00A86058"/>
    <w:rsid w:val="00A86985"/>
    <w:rsid w:val="00A87A79"/>
    <w:rsid w:val="00A87F05"/>
    <w:rsid w:val="00A90BD5"/>
    <w:rsid w:val="00A91F8A"/>
    <w:rsid w:val="00A9256F"/>
    <w:rsid w:val="00A92B6E"/>
    <w:rsid w:val="00A937D8"/>
    <w:rsid w:val="00A943B2"/>
    <w:rsid w:val="00A94B71"/>
    <w:rsid w:val="00A9602E"/>
    <w:rsid w:val="00A9642D"/>
    <w:rsid w:val="00AA0222"/>
    <w:rsid w:val="00AA073F"/>
    <w:rsid w:val="00AA0756"/>
    <w:rsid w:val="00AA0D67"/>
    <w:rsid w:val="00AA2B5D"/>
    <w:rsid w:val="00AA4BB9"/>
    <w:rsid w:val="00AA6640"/>
    <w:rsid w:val="00AA672A"/>
    <w:rsid w:val="00AA76A7"/>
    <w:rsid w:val="00AB0045"/>
    <w:rsid w:val="00AB07A4"/>
    <w:rsid w:val="00AB181B"/>
    <w:rsid w:val="00AB1B66"/>
    <w:rsid w:val="00AB2E64"/>
    <w:rsid w:val="00AB4D75"/>
    <w:rsid w:val="00AB5986"/>
    <w:rsid w:val="00AC05AA"/>
    <w:rsid w:val="00AC3B3A"/>
    <w:rsid w:val="00AC3B69"/>
    <w:rsid w:val="00AC3E58"/>
    <w:rsid w:val="00AC4E15"/>
    <w:rsid w:val="00AC63E6"/>
    <w:rsid w:val="00AC6720"/>
    <w:rsid w:val="00AC6D8A"/>
    <w:rsid w:val="00AC7ECD"/>
    <w:rsid w:val="00AD063D"/>
    <w:rsid w:val="00AD0766"/>
    <w:rsid w:val="00AD083F"/>
    <w:rsid w:val="00AD2061"/>
    <w:rsid w:val="00AD2170"/>
    <w:rsid w:val="00AD275A"/>
    <w:rsid w:val="00AD3B29"/>
    <w:rsid w:val="00AD3D6D"/>
    <w:rsid w:val="00AD41FE"/>
    <w:rsid w:val="00AD6BF0"/>
    <w:rsid w:val="00AD728A"/>
    <w:rsid w:val="00AD7F00"/>
    <w:rsid w:val="00AD7F86"/>
    <w:rsid w:val="00AE0559"/>
    <w:rsid w:val="00AE1B56"/>
    <w:rsid w:val="00AE22BA"/>
    <w:rsid w:val="00AE3B5F"/>
    <w:rsid w:val="00AE3CFD"/>
    <w:rsid w:val="00AE5184"/>
    <w:rsid w:val="00AE55D2"/>
    <w:rsid w:val="00AE64F5"/>
    <w:rsid w:val="00AE6F14"/>
    <w:rsid w:val="00AE7106"/>
    <w:rsid w:val="00AE7345"/>
    <w:rsid w:val="00AF06CB"/>
    <w:rsid w:val="00AF1B84"/>
    <w:rsid w:val="00AF2893"/>
    <w:rsid w:val="00AF2B40"/>
    <w:rsid w:val="00AF2FA8"/>
    <w:rsid w:val="00AF37BE"/>
    <w:rsid w:val="00AF3E27"/>
    <w:rsid w:val="00AF4D16"/>
    <w:rsid w:val="00AF51FB"/>
    <w:rsid w:val="00AF5351"/>
    <w:rsid w:val="00AF599F"/>
    <w:rsid w:val="00AF5B4A"/>
    <w:rsid w:val="00AF6215"/>
    <w:rsid w:val="00AF7313"/>
    <w:rsid w:val="00B016D8"/>
    <w:rsid w:val="00B021FD"/>
    <w:rsid w:val="00B03428"/>
    <w:rsid w:val="00B035CC"/>
    <w:rsid w:val="00B04415"/>
    <w:rsid w:val="00B0587A"/>
    <w:rsid w:val="00B058D3"/>
    <w:rsid w:val="00B061D3"/>
    <w:rsid w:val="00B06606"/>
    <w:rsid w:val="00B068D9"/>
    <w:rsid w:val="00B06E83"/>
    <w:rsid w:val="00B103CA"/>
    <w:rsid w:val="00B11C77"/>
    <w:rsid w:val="00B136AE"/>
    <w:rsid w:val="00B137C8"/>
    <w:rsid w:val="00B14087"/>
    <w:rsid w:val="00B1784C"/>
    <w:rsid w:val="00B200F5"/>
    <w:rsid w:val="00B2069D"/>
    <w:rsid w:val="00B220FA"/>
    <w:rsid w:val="00B222AD"/>
    <w:rsid w:val="00B23CE0"/>
    <w:rsid w:val="00B268F6"/>
    <w:rsid w:val="00B306A8"/>
    <w:rsid w:val="00B30C1B"/>
    <w:rsid w:val="00B32BB9"/>
    <w:rsid w:val="00B33772"/>
    <w:rsid w:val="00B34418"/>
    <w:rsid w:val="00B34514"/>
    <w:rsid w:val="00B3452A"/>
    <w:rsid w:val="00B34F64"/>
    <w:rsid w:val="00B35C27"/>
    <w:rsid w:val="00B41EFC"/>
    <w:rsid w:val="00B42934"/>
    <w:rsid w:val="00B44876"/>
    <w:rsid w:val="00B455BD"/>
    <w:rsid w:val="00B45BA2"/>
    <w:rsid w:val="00B45E08"/>
    <w:rsid w:val="00B46760"/>
    <w:rsid w:val="00B46F12"/>
    <w:rsid w:val="00B47398"/>
    <w:rsid w:val="00B47BA7"/>
    <w:rsid w:val="00B50C73"/>
    <w:rsid w:val="00B51E8B"/>
    <w:rsid w:val="00B528A7"/>
    <w:rsid w:val="00B53061"/>
    <w:rsid w:val="00B5338E"/>
    <w:rsid w:val="00B53FA4"/>
    <w:rsid w:val="00B5424A"/>
    <w:rsid w:val="00B555E3"/>
    <w:rsid w:val="00B5561F"/>
    <w:rsid w:val="00B55F0E"/>
    <w:rsid w:val="00B56C15"/>
    <w:rsid w:val="00B601DF"/>
    <w:rsid w:val="00B60BB4"/>
    <w:rsid w:val="00B6112A"/>
    <w:rsid w:val="00B621BD"/>
    <w:rsid w:val="00B64115"/>
    <w:rsid w:val="00B66764"/>
    <w:rsid w:val="00B6768E"/>
    <w:rsid w:val="00B67797"/>
    <w:rsid w:val="00B67CB3"/>
    <w:rsid w:val="00B7174F"/>
    <w:rsid w:val="00B73464"/>
    <w:rsid w:val="00B75AF1"/>
    <w:rsid w:val="00B75CD0"/>
    <w:rsid w:val="00B77AC4"/>
    <w:rsid w:val="00B80087"/>
    <w:rsid w:val="00B816CE"/>
    <w:rsid w:val="00B81DEB"/>
    <w:rsid w:val="00B827FF"/>
    <w:rsid w:val="00B8283F"/>
    <w:rsid w:val="00B8445D"/>
    <w:rsid w:val="00B846E1"/>
    <w:rsid w:val="00B854B9"/>
    <w:rsid w:val="00B85598"/>
    <w:rsid w:val="00B9000E"/>
    <w:rsid w:val="00B9010E"/>
    <w:rsid w:val="00B9061C"/>
    <w:rsid w:val="00B90A67"/>
    <w:rsid w:val="00B91E92"/>
    <w:rsid w:val="00B92D4C"/>
    <w:rsid w:val="00B93351"/>
    <w:rsid w:val="00B93FAF"/>
    <w:rsid w:val="00B96AC7"/>
    <w:rsid w:val="00B96D27"/>
    <w:rsid w:val="00B96DBD"/>
    <w:rsid w:val="00B9744A"/>
    <w:rsid w:val="00BA0909"/>
    <w:rsid w:val="00BA0D15"/>
    <w:rsid w:val="00BA0D89"/>
    <w:rsid w:val="00BA18F9"/>
    <w:rsid w:val="00BA2024"/>
    <w:rsid w:val="00BA2C08"/>
    <w:rsid w:val="00BA6471"/>
    <w:rsid w:val="00BA6C89"/>
    <w:rsid w:val="00BA76C1"/>
    <w:rsid w:val="00BA7F1F"/>
    <w:rsid w:val="00BB27C6"/>
    <w:rsid w:val="00BB2A4F"/>
    <w:rsid w:val="00BB2B66"/>
    <w:rsid w:val="00BB3549"/>
    <w:rsid w:val="00BB378E"/>
    <w:rsid w:val="00BB5B7C"/>
    <w:rsid w:val="00BB79CA"/>
    <w:rsid w:val="00BC1E1A"/>
    <w:rsid w:val="00BC2074"/>
    <w:rsid w:val="00BC23B9"/>
    <w:rsid w:val="00BC4581"/>
    <w:rsid w:val="00BC46FA"/>
    <w:rsid w:val="00BC622C"/>
    <w:rsid w:val="00BD0813"/>
    <w:rsid w:val="00BD0B94"/>
    <w:rsid w:val="00BD241F"/>
    <w:rsid w:val="00BD3F95"/>
    <w:rsid w:val="00BD403D"/>
    <w:rsid w:val="00BD7002"/>
    <w:rsid w:val="00BD717C"/>
    <w:rsid w:val="00BD7C5E"/>
    <w:rsid w:val="00BE07BA"/>
    <w:rsid w:val="00BE3C7B"/>
    <w:rsid w:val="00BE6617"/>
    <w:rsid w:val="00BF2E42"/>
    <w:rsid w:val="00BF2F93"/>
    <w:rsid w:val="00BF3827"/>
    <w:rsid w:val="00BF6512"/>
    <w:rsid w:val="00BF6D91"/>
    <w:rsid w:val="00BF7134"/>
    <w:rsid w:val="00BF7252"/>
    <w:rsid w:val="00C02D28"/>
    <w:rsid w:val="00C0427F"/>
    <w:rsid w:val="00C0716D"/>
    <w:rsid w:val="00C07C94"/>
    <w:rsid w:val="00C102B5"/>
    <w:rsid w:val="00C11624"/>
    <w:rsid w:val="00C11AA5"/>
    <w:rsid w:val="00C12ED0"/>
    <w:rsid w:val="00C130DE"/>
    <w:rsid w:val="00C14296"/>
    <w:rsid w:val="00C22186"/>
    <w:rsid w:val="00C22BF5"/>
    <w:rsid w:val="00C22CEA"/>
    <w:rsid w:val="00C23138"/>
    <w:rsid w:val="00C235CA"/>
    <w:rsid w:val="00C24174"/>
    <w:rsid w:val="00C24BB9"/>
    <w:rsid w:val="00C24CB1"/>
    <w:rsid w:val="00C25CB9"/>
    <w:rsid w:val="00C264D4"/>
    <w:rsid w:val="00C27641"/>
    <w:rsid w:val="00C27C8E"/>
    <w:rsid w:val="00C31EDA"/>
    <w:rsid w:val="00C32E7A"/>
    <w:rsid w:val="00C33AF4"/>
    <w:rsid w:val="00C36A4F"/>
    <w:rsid w:val="00C37F72"/>
    <w:rsid w:val="00C422BC"/>
    <w:rsid w:val="00C42B47"/>
    <w:rsid w:val="00C44BBE"/>
    <w:rsid w:val="00C456F9"/>
    <w:rsid w:val="00C469A4"/>
    <w:rsid w:val="00C507C3"/>
    <w:rsid w:val="00C51185"/>
    <w:rsid w:val="00C52188"/>
    <w:rsid w:val="00C5358D"/>
    <w:rsid w:val="00C54A36"/>
    <w:rsid w:val="00C556A4"/>
    <w:rsid w:val="00C56AB8"/>
    <w:rsid w:val="00C56D03"/>
    <w:rsid w:val="00C607F8"/>
    <w:rsid w:val="00C60E20"/>
    <w:rsid w:val="00C61603"/>
    <w:rsid w:val="00C6237C"/>
    <w:rsid w:val="00C62BBB"/>
    <w:rsid w:val="00C62BD4"/>
    <w:rsid w:val="00C6302E"/>
    <w:rsid w:val="00C63B3B"/>
    <w:rsid w:val="00C63C57"/>
    <w:rsid w:val="00C64AD3"/>
    <w:rsid w:val="00C64E03"/>
    <w:rsid w:val="00C65F68"/>
    <w:rsid w:val="00C65FFA"/>
    <w:rsid w:val="00C66A8B"/>
    <w:rsid w:val="00C6753E"/>
    <w:rsid w:val="00C72FE1"/>
    <w:rsid w:val="00C731E8"/>
    <w:rsid w:val="00C73937"/>
    <w:rsid w:val="00C7444F"/>
    <w:rsid w:val="00C74ADC"/>
    <w:rsid w:val="00C770B0"/>
    <w:rsid w:val="00C77262"/>
    <w:rsid w:val="00C80450"/>
    <w:rsid w:val="00C832E2"/>
    <w:rsid w:val="00C83B2F"/>
    <w:rsid w:val="00C83DF8"/>
    <w:rsid w:val="00C858FA"/>
    <w:rsid w:val="00C8699C"/>
    <w:rsid w:val="00C86A37"/>
    <w:rsid w:val="00C935B7"/>
    <w:rsid w:val="00C945DD"/>
    <w:rsid w:val="00C950DB"/>
    <w:rsid w:val="00C9539B"/>
    <w:rsid w:val="00C95596"/>
    <w:rsid w:val="00C97B9D"/>
    <w:rsid w:val="00CA0DC9"/>
    <w:rsid w:val="00CA1D49"/>
    <w:rsid w:val="00CA391F"/>
    <w:rsid w:val="00CA3FD1"/>
    <w:rsid w:val="00CA43A1"/>
    <w:rsid w:val="00CA4E97"/>
    <w:rsid w:val="00CA5249"/>
    <w:rsid w:val="00CB097D"/>
    <w:rsid w:val="00CB186D"/>
    <w:rsid w:val="00CB2A97"/>
    <w:rsid w:val="00CB2DEC"/>
    <w:rsid w:val="00CB2EB6"/>
    <w:rsid w:val="00CB3A05"/>
    <w:rsid w:val="00CB4C7D"/>
    <w:rsid w:val="00CB52A8"/>
    <w:rsid w:val="00CB59D1"/>
    <w:rsid w:val="00CB6000"/>
    <w:rsid w:val="00CB689C"/>
    <w:rsid w:val="00CB701C"/>
    <w:rsid w:val="00CC0F54"/>
    <w:rsid w:val="00CC2110"/>
    <w:rsid w:val="00CC2941"/>
    <w:rsid w:val="00CC30C2"/>
    <w:rsid w:val="00CC3574"/>
    <w:rsid w:val="00CC3D0D"/>
    <w:rsid w:val="00CC453F"/>
    <w:rsid w:val="00CC4C7F"/>
    <w:rsid w:val="00CC5BE1"/>
    <w:rsid w:val="00CC605B"/>
    <w:rsid w:val="00CC69B3"/>
    <w:rsid w:val="00CC6FA2"/>
    <w:rsid w:val="00CD1197"/>
    <w:rsid w:val="00CD12B5"/>
    <w:rsid w:val="00CD23DC"/>
    <w:rsid w:val="00CD33C4"/>
    <w:rsid w:val="00CD4424"/>
    <w:rsid w:val="00CD5730"/>
    <w:rsid w:val="00CD5B9E"/>
    <w:rsid w:val="00CD7F69"/>
    <w:rsid w:val="00CE018B"/>
    <w:rsid w:val="00CE0D0A"/>
    <w:rsid w:val="00CE17A5"/>
    <w:rsid w:val="00CE1868"/>
    <w:rsid w:val="00CE4657"/>
    <w:rsid w:val="00CE6D6D"/>
    <w:rsid w:val="00CF11A3"/>
    <w:rsid w:val="00CF1C3C"/>
    <w:rsid w:val="00CF1F0A"/>
    <w:rsid w:val="00CF3679"/>
    <w:rsid w:val="00CF4157"/>
    <w:rsid w:val="00CF462E"/>
    <w:rsid w:val="00CF54C3"/>
    <w:rsid w:val="00CF561E"/>
    <w:rsid w:val="00CF6520"/>
    <w:rsid w:val="00CF65CD"/>
    <w:rsid w:val="00CF6E6B"/>
    <w:rsid w:val="00CF7499"/>
    <w:rsid w:val="00CF7B71"/>
    <w:rsid w:val="00D0176E"/>
    <w:rsid w:val="00D01DEC"/>
    <w:rsid w:val="00D02346"/>
    <w:rsid w:val="00D044DD"/>
    <w:rsid w:val="00D04735"/>
    <w:rsid w:val="00D06FAD"/>
    <w:rsid w:val="00D07C61"/>
    <w:rsid w:val="00D07C89"/>
    <w:rsid w:val="00D105D7"/>
    <w:rsid w:val="00D11503"/>
    <w:rsid w:val="00D14796"/>
    <w:rsid w:val="00D15515"/>
    <w:rsid w:val="00D1613E"/>
    <w:rsid w:val="00D16728"/>
    <w:rsid w:val="00D16D7D"/>
    <w:rsid w:val="00D177B6"/>
    <w:rsid w:val="00D17ACB"/>
    <w:rsid w:val="00D20077"/>
    <w:rsid w:val="00D20D07"/>
    <w:rsid w:val="00D23445"/>
    <w:rsid w:val="00D23745"/>
    <w:rsid w:val="00D25D36"/>
    <w:rsid w:val="00D26453"/>
    <w:rsid w:val="00D26EB7"/>
    <w:rsid w:val="00D308D9"/>
    <w:rsid w:val="00D30DD9"/>
    <w:rsid w:val="00D3162F"/>
    <w:rsid w:val="00D366A3"/>
    <w:rsid w:val="00D370D2"/>
    <w:rsid w:val="00D4229E"/>
    <w:rsid w:val="00D479DA"/>
    <w:rsid w:val="00D549B4"/>
    <w:rsid w:val="00D54C0C"/>
    <w:rsid w:val="00D5705C"/>
    <w:rsid w:val="00D572EB"/>
    <w:rsid w:val="00D57845"/>
    <w:rsid w:val="00D57B65"/>
    <w:rsid w:val="00D61F41"/>
    <w:rsid w:val="00D62C77"/>
    <w:rsid w:val="00D62DA7"/>
    <w:rsid w:val="00D679DE"/>
    <w:rsid w:val="00D70516"/>
    <w:rsid w:val="00D7081E"/>
    <w:rsid w:val="00D70FA7"/>
    <w:rsid w:val="00D726E8"/>
    <w:rsid w:val="00D743B6"/>
    <w:rsid w:val="00D74957"/>
    <w:rsid w:val="00D7590C"/>
    <w:rsid w:val="00D76696"/>
    <w:rsid w:val="00D773A1"/>
    <w:rsid w:val="00D77875"/>
    <w:rsid w:val="00D77F94"/>
    <w:rsid w:val="00D80059"/>
    <w:rsid w:val="00D80F0F"/>
    <w:rsid w:val="00D81B3B"/>
    <w:rsid w:val="00D82401"/>
    <w:rsid w:val="00D82C25"/>
    <w:rsid w:val="00D82C79"/>
    <w:rsid w:val="00D83B06"/>
    <w:rsid w:val="00D84113"/>
    <w:rsid w:val="00D84403"/>
    <w:rsid w:val="00D86132"/>
    <w:rsid w:val="00D865FB"/>
    <w:rsid w:val="00D90E50"/>
    <w:rsid w:val="00D90EE2"/>
    <w:rsid w:val="00D92DC5"/>
    <w:rsid w:val="00D92E2E"/>
    <w:rsid w:val="00D941D4"/>
    <w:rsid w:val="00D94E61"/>
    <w:rsid w:val="00D94F12"/>
    <w:rsid w:val="00D952FC"/>
    <w:rsid w:val="00D97119"/>
    <w:rsid w:val="00D976AF"/>
    <w:rsid w:val="00D976D4"/>
    <w:rsid w:val="00DA06C3"/>
    <w:rsid w:val="00DA15B3"/>
    <w:rsid w:val="00DA16D9"/>
    <w:rsid w:val="00DA1A87"/>
    <w:rsid w:val="00DB093C"/>
    <w:rsid w:val="00DB0EB4"/>
    <w:rsid w:val="00DB0ECD"/>
    <w:rsid w:val="00DB2075"/>
    <w:rsid w:val="00DB3FDB"/>
    <w:rsid w:val="00DB4275"/>
    <w:rsid w:val="00DB525D"/>
    <w:rsid w:val="00DB55B9"/>
    <w:rsid w:val="00DB6065"/>
    <w:rsid w:val="00DB6EE5"/>
    <w:rsid w:val="00DB7FDB"/>
    <w:rsid w:val="00DC01B8"/>
    <w:rsid w:val="00DC0869"/>
    <w:rsid w:val="00DC2EFD"/>
    <w:rsid w:val="00DC3C6C"/>
    <w:rsid w:val="00DC3CE7"/>
    <w:rsid w:val="00DC4093"/>
    <w:rsid w:val="00DC5857"/>
    <w:rsid w:val="00DC5D6D"/>
    <w:rsid w:val="00DC739A"/>
    <w:rsid w:val="00DD065A"/>
    <w:rsid w:val="00DD0FA8"/>
    <w:rsid w:val="00DD29DC"/>
    <w:rsid w:val="00DD2B8D"/>
    <w:rsid w:val="00DD34CA"/>
    <w:rsid w:val="00DD376B"/>
    <w:rsid w:val="00DD488F"/>
    <w:rsid w:val="00DD4F5E"/>
    <w:rsid w:val="00DD539E"/>
    <w:rsid w:val="00DD5DB4"/>
    <w:rsid w:val="00DD73BF"/>
    <w:rsid w:val="00DD781F"/>
    <w:rsid w:val="00DE0510"/>
    <w:rsid w:val="00DE09D9"/>
    <w:rsid w:val="00DE1C54"/>
    <w:rsid w:val="00DE1FE6"/>
    <w:rsid w:val="00DE30A8"/>
    <w:rsid w:val="00DE4F17"/>
    <w:rsid w:val="00DE5B5D"/>
    <w:rsid w:val="00DE63F9"/>
    <w:rsid w:val="00DE6679"/>
    <w:rsid w:val="00DF238C"/>
    <w:rsid w:val="00DF2E33"/>
    <w:rsid w:val="00DF4393"/>
    <w:rsid w:val="00DF5687"/>
    <w:rsid w:val="00DF57A6"/>
    <w:rsid w:val="00DF640F"/>
    <w:rsid w:val="00DF76BE"/>
    <w:rsid w:val="00DF7774"/>
    <w:rsid w:val="00E021E3"/>
    <w:rsid w:val="00E02A99"/>
    <w:rsid w:val="00E03821"/>
    <w:rsid w:val="00E0430B"/>
    <w:rsid w:val="00E04447"/>
    <w:rsid w:val="00E051C8"/>
    <w:rsid w:val="00E064EF"/>
    <w:rsid w:val="00E06970"/>
    <w:rsid w:val="00E079CA"/>
    <w:rsid w:val="00E10505"/>
    <w:rsid w:val="00E115AC"/>
    <w:rsid w:val="00E1167F"/>
    <w:rsid w:val="00E11D17"/>
    <w:rsid w:val="00E1421E"/>
    <w:rsid w:val="00E15CA5"/>
    <w:rsid w:val="00E209E1"/>
    <w:rsid w:val="00E20A2C"/>
    <w:rsid w:val="00E22258"/>
    <w:rsid w:val="00E2248C"/>
    <w:rsid w:val="00E22DFA"/>
    <w:rsid w:val="00E24207"/>
    <w:rsid w:val="00E251B6"/>
    <w:rsid w:val="00E25821"/>
    <w:rsid w:val="00E26581"/>
    <w:rsid w:val="00E26813"/>
    <w:rsid w:val="00E279AA"/>
    <w:rsid w:val="00E313DA"/>
    <w:rsid w:val="00E3296D"/>
    <w:rsid w:val="00E32A95"/>
    <w:rsid w:val="00E32B32"/>
    <w:rsid w:val="00E34134"/>
    <w:rsid w:val="00E34352"/>
    <w:rsid w:val="00E34923"/>
    <w:rsid w:val="00E34CA5"/>
    <w:rsid w:val="00E35E89"/>
    <w:rsid w:val="00E360DF"/>
    <w:rsid w:val="00E36862"/>
    <w:rsid w:val="00E404F9"/>
    <w:rsid w:val="00E409FE"/>
    <w:rsid w:val="00E414CC"/>
    <w:rsid w:val="00E42BDD"/>
    <w:rsid w:val="00E4491D"/>
    <w:rsid w:val="00E45765"/>
    <w:rsid w:val="00E461A4"/>
    <w:rsid w:val="00E461AD"/>
    <w:rsid w:val="00E467E7"/>
    <w:rsid w:val="00E50F60"/>
    <w:rsid w:val="00E530CB"/>
    <w:rsid w:val="00E539E7"/>
    <w:rsid w:val="00E53D8A"/>
    <w:rsid w:val="00E550BF"/>
    <w:rsid w:val="00E613A5"/>
    <w:rsid w:val="00E61C9B"/>
    <w:rsid w:val="00E6259E"/>
    <w:rsid w:val="00E639A2"/>
    <w:rsid w:val="00E642A3"/>
    <w:rsid w:val="00E64866"/>
    <w:rsid w:val="00E654AA"/>
    <w:rsid w:val="00E65578"/>
    <w:rsid w:val="00E66BA4"/>
    <w:rsid w:val="00E7080F"/>
    <w:rsid w:val="00E7095D"/>
    <w:rsid w:val="00E70B13"/>
    <w:rsid w:val="00E70BBF"/>
    <w:rsid w:val="00E71458"/>
    <w:rsid w:val="00E72FFF"/>
    <w:rsid w:val="00E733E6"/>
    <w:rsid w:val="00E76DAB"/>
    <w:rsid w:val="00E76E07"/>
    <w:rsid w:val="00E80CC5"/>
    <w:rsid w:val="00E81CC9"/>
    <w:rsid w:val="00E825CA"/>
    <w:rsid w:val="00E82DB2"/>
    <w:rsid w:val="00E83E9E"/>
    <w:rsid w:val="00E84118"/>
    <w:rsid w:val="00E8414F"/>
    <w:rsid w:val="00E8459F"/>
    <w:rsid w:val="00E84A1B"/>
    <w:rsid w:val="00E84B8C"/>
    <w:rsid w:val="00E857E0"/>
    <w:rsid w:val="00E86979"/>
    <w:rsid w:val="00E909DE"/>
    <w:rsid w:val="00E91998"/>
    <w:rsid w:val="00E92BD9"/>
    <w:rsid w:val="00E92EF9"/>
    <w:rsid w:val="00E95DF8"/>
    <w:rsid w:val="00E97351"/>
    <w:rsid w:val="00EA08D8"/>
    <w:rsid w:val="00EA1519"/>
    <w:rsid w:val="00EA1D11"/>
    <w:rsid w:val="00EA3214"/>
    <w:rsid w:val="00EA46E1"/>
    <w:rsid w:val="00EB0346"/>
    <w:rsid w:val="00EB0407"/>
    <w:rsid w:val="00EB0536"/>
    <w:rsid w:val="00EB0554"/>
    <w:rsid w:val="00EB0A5C"/>
    <w:rsid w:val="00EB2587"/>
    <w:rsid w:val="00EB42A8"/>
    <w:rsid w:val="00EB4E02"/>
    <w:rsid w:val="00EB54B1"/>
    <w:rsid w:val="00EB5601"/>
    <w:rsid w:val="00EB5899"/>
    <w:rsid w:val="00EB62F2"/>
    <w:rsid w:val="00EC102A"/>
    <w:rsid w:val="00EC1090"/>
    <w:rsid w:val="00EC22BD"/>
    <w:rsid w:val="00EC3891"/>
    <w:rsid w:val="00EC501A"/>
    <w:rsid w:val="00EC526F"/>
    <w:rsid w:val="00EC5C01"/>
    <w:rsid w:val="00EC72D3"/>
    <w:rsid w:val="00ED091B"/>
    <w:rsid w:val="00ED0A75"/>
    <w:rsid w:val="00ED1532"/>
    <w:rsid w:val="00ED163C"/>
    <w:rsid w:val="00ED5C22"/>
    <w:rsid w:val="00ED7E8B"/>
    <w:rsid w:val="00EE2461"/>
    <w:rsid w:val="00EE2EC9"/>
    <w:rsid w:val="00EE7E3A"/>
    <w:rsid w:val="00EF08E3"/>
    <w:rsid w:val="00EF239C"/>
    <w:rsid w:val="00EF2E4D"/>
    <w:rsid w:val="00EF3427"/>
    <w:rsid w:val="00EF366F"/>
    <w:rsid w:val="00EF3E58"/>
    <w:rsid w:val="00EF5074"/>
    <w:rsid w:val="00EF62C6"/>
    <w:rsid w:val="00EF6DAB"/>
    <w:rsid w:val="00F02006"/>
    <w:rsid w:val="00F020F8"/>
    <w:rsid w:val="00F0278D"/>
    <w:rsid w:val="00F02BF0"/>
    <w:rsid w:val="00F0357F"/>
    <w:rsid w:val="00F04698"/>
    <w:rsid w:val="00F04874"/>
    <w:rsid w:val="00F05CFD"/>
    <w:rsid w:val="00F0754F"/>
    <w:rsid w:val="00F10410"/>
    <w:rsid w:val="00F1066E"/>
    <w:rsid w:val="00F10924"/>
    <w:rsid w:val="00F1525C"/>
    <w:rsid w:val="00F1548E"/>
    <w:rsid w:val="00F15B5F"/>
    <w:rsid w:val="00F15CEC"/>
    <w:rsid w:val="00F16569"/>
    <w:rsid w:val="00F178DE"/>
    <w:rsid w:val="00F17EF3"/>
    <w:rsid w:val="00F2094B"/>
    <w:rsid w:val="00F2204B"/>
    <w:rsid w:val="00F22504"/>
    <w:rsid w:val="00F22874"/>
    <w:rsid w:val="00F25805"/>
    <w:rsid w:val="00F261CD"/>
    <w:rsid w:val="00F31ECF"/>
    <w:rsid w:val="00F34445"/>
    <w:rsid w:val="00F34BA8"/>
    <w:rsid w:val="00F35331"/>
    <w:rsid w:val="00F35829"/>
    <w:rsid w:val="00F37A72"/>
    <w:rsid w:val="00F40B38"/>
    <w:rsid w:val="00F41B8E"/>
    <w:rsid w:val="00F43209"/>
    <w:rsid w:val="00F444B7"/>
    <w:rsid w:val="00F45304"/>
    <w:rsid w:val="00F46AB9"/>
    <w:rsid w:val="00F46B5A"/>
    <w:rsid w:val="00F46CC7"/>
    <w:rsid w:val="00F4739A"/>
    <w:rsid w:val="00F50E71"/>
    <w:rsid w:val="00F519E6"/>
    <w:rsid w:val="00F52633"/>
    <w:rsid w:val="00F53792"/>
    <w:rsid w:val="00F53877"/>
    <w:rsid w:val="00F53DC4"/>
    <w:rsid w:val="00F567A0"/>
    <w:rsid w:val="00F57032"/>
    <w:rsid w:val="00F575E1"/>
    <w:rsid w:val="00F6104A"/>
    <w:rsid w:val="00F6107F"/>
    <w:rsid w:val="00F61ACE"/>
    <w:rsid w:val="00F62E23"/>
    <w:rsid w:val="00F65292"/>
    <w:rsid w:val="00F66234"/>
    <w:rsid w:val="00F723BB"/>
    <w:rsid w:val="00F7274B"/>
    <w:rsid w:val="00F72C95"/>
    <w:rsid w:val="00F75CA3"/>
    <w:rsid w:val="00F76816"/>
    <w:rsid w:val="00F76A2D"/>
    <w:rsid w:val="00F76B77"/>
    <w:rsid w:val="00F76E5D"/>
    <w:rsid w:val="00F77454"/>
    <w:rsid w:val="00F77722"/>
    <w:rsid w:val="00F80238"/>
    <w:rsid w:val="00F81447"/>
    <w:rsid w:val="00F81832"/>
    <w:rsid w:val="00F83572"/>
    <w:rsid w:val="00F8357C"/>
    <w:rsid w:val="00F83C63"/>
    <w:rsid w:val="00F85E4C"/>
    <w:rsid w:val="00F86215"/>
    <w:rsid w:val="00F86688"/>
    <w:rsid w:val="00F86E10"/>
    <w:rsid w:val="00F8713D"/>
    <w:rsid w:val="00F87ECD"/>
    <w:rsid w:val="00F90B68"/>
    <w:rsid w:val="00F91888"/>
    <w:rsid w:val="00F91D01"/>
    <w:rsid w:val="00F91F21"/>
    <w:rsid w:val="00F927FD"/>
    <w:rsid w:val="00F947AE"/>
    <w:rsid w:val="00F94EF4"/>
    <w:rsid w:val="00F977E9"/>
    <w:rsid w:val="00FA0A5E"/>
    <w:rsid w:val="00FA0F79"/>
    <w:rsid w:val="00FA1019"/>
    <w:rsid w:val="00FA1244"/>
    <w:rsid w:val="00FA1C4A"/>
    <w:rsid w:val="00FA1F95"/>
    <w:rsid w:val="00FA2497"/>
    <w:rsid w:val="00FA3625"/>
    <w:rsid w:val="00FA4981"/>
    <w:rsid w:val="00FA6158"/>
    <w:rsid w:val="00FA64DA"/>
    <w:rsid w:val="00FA652A"/>
    <w:rsid w:val="00FA7D7E"/>
    <w:rsid w:val="00FB1757"/>
    <w:rsid w:val="00FB190A"/>
    <w:rsid w:val="00FB1B9F"/>
    <w:rsid w:val="00FB37B4"/>
    <w:rsid w:val="00FB4445"/>
    <w:rsid w:val="00FB4C0B"/>
    <w:rsid w:val="00FB4EE0"/>
    <w:rsid w:val="00FB5BF5"/>
    <w:rsid w:val="00FB60C4"/>
    <w:rsid w:val="00FB6642"/>
    <w:rsid w:val="00FB6BA5"/>
    <w:rsid w:val="00FB6C47"/>
    <w:rsid w:val="00FB6E2E"/>
    <w:rsid w:val="00FB702E"/>
    <w:rsid w:val="00FB7E2B"/>
    <w:rsid w:val="00FC061D"/>
    <w:rsid w:val="00FC1729"/>
    <w:rsid w:val="00FC1FDC"/>
    <w:rsid w:val="00FC2035"/>
    <w:rsid w:val="00FC21E2"/>
    <w:rsid w:val="00FC2457"/>
    <w:rsid w:val="00FC2995"/>
    <w:rsid w:val="00FC345F"/>
    <w:rsid w:val="00FC3B7C"/>
    <w:rsid w:val="00FC47CC"/>
    <w:rsid w:val="00FC4B72"/>
    <w:rsid w:val="00FC4D89"/>
    <w:rsid w:val="00FC5206"/>
    <w:rsid w:val="00FC5773"/>
    <w:rsid w:val="00FC6FBB"/>
    <w:rsid w:val="00FD028C"/>
    <w:rsid w:val="00FD05BD"/>
    <w:rsid w:val="00FD2217"/>
    <w:rsid w:val="00FD328E"/>
    <w:rsid w:val="00FD3457"/>
    <w:rsid w:val="00FD3C51"/>
    <w:rsid w:val="00FD43FE"/>
    <w:rsid w:val="00FD5AA1"/>
    <w:rsid w:val="00FD662D"/>
    <w:rsid w:val="00FD6EFE"/>
    <w:rsid w:val="00FD75D7"/>
    <w:rsid w:val="00FD76CC"/>
    <w:rsid w:val="00FE097C"/>
    <w:rsid w:val="00FE0CF9"/>
    <w:rsid w:val="00FE193C"/>
    <w:rsid w:val="00FE2645"/>
    <w:rsid w:val="00FE3672"/>
    <w:rsid w:val="00FE3A4E"/>
    <w:rsid w:val="00FE3F4D"/>
    <w:rsid w:val="00FE426E"/>
    <w:rsid w:val="00FE45A9"/>
    <w:rsid w:val="00FE5074"/>
    <w:rsid w:val="00FE5DBC"/>
    <w:rsid w:val="00FE6FDC"/>
    <w:rsid w:val="00FE71D7"/>
    <w:rsid w:val="00FF014F"/>
    <w:rsid w:val="00FF03D7"/>
    <w:rsid w:val="00FF074E"/>
    <w:rsid w:val="00FF3114"/>
    <w:rsid w:val="00FF50A9"/>
    <w:rsid w:val="00FF596E"/>
    <w:rsid w:val="00FF6451"/>
    <w:rsid w:val="00FF793B"/>
    <w:rsid w:val="01E5AEA7"/>
    <w:rsid w:val="02603A4E"/>
    <w:rsid w:val="02B1EF3A"/>
    <w:rsid w:val="02C1AF73"/>
    <w:rsid w:val="03817F08"/>
    <w:rsid w:val="05DBA30F"/>
    <w:rsid w:val="06575955"/>
    <w:rsid w:val="06ADF48C"/>
    <w:rsid w:val="0732EBC0"/>
    <w:rsid w:val="076E2524"/>
    <w:rsid w:val="080407AD"/>
    <w:rsid w:val="0817A1B6"/>
    <w:rsid w:val="092FB614"/>
    <w:rsid w:val="0A76B175"/>
    <w:rsid w:val="0B47E99F"/>
    <w:rsid w:val="0B7777D2"/>
    <w:rsid w:val="0D0B8D5D"/>
    <w:rsid w:val="0EA3684F"/>
    <w:rsid w:val="0EF177AA"/>
    <w:rsid w:val="0F730FEB"/>
    <w:rsid w:val="0F7972C3"/>
    <w:rsid w:val="1199030C"/>
    <w:rsid w:val="119FC140"/>
    <w:rsid w:val="12A15471"/>
    <w:rsid w:val="12ED6A55"/>
    <w:rsid w:val="136CE83A"/>
    <w:rsid w:val="143FF259"/>
    <w:rsid w:val="14FCA320"/>
    <w:rsid w:val="18B49E6B"/>
    <w:rsid w:val="194F4C7C"/>
    <w:rsid w:val="19846A94"/>
    <w:rsid w:val="19CC4E40"/>
    <w:rsid w:val="1A2221C1"/>
    <w:rsid w:val="1A889DD2"/>
    <w:rsid w:val="1C3347B3"/>
    <w:rsid w:val="1E4CD859"/>
    <w:rsid w:val="2062BFF4"/>
    <w:rsid w:val="21AC0209"/>
    <w:rsid w:val="21EAC4E7"/>
    <w:rsid w:val="22122DDD"/>
    <w:rsid w:val="22EDBFB7"/>
    <w:rsid w:val="241657BB"/>
    <w:rsid w:val="271FD947"/>
    <w:rsid w:val="283C2132"/>
    <w:rsid w:val="288845F6"/>
    <w:rsid w:val="2A09A23A"/>
    <w:rsid w:val="2A63E247"/>
    <w:rsid w:val="2F02F80C"/>
    <w:rsid w:val="2F3E7F8C"/>
    <w:rsid w:val="2FCBE4A6"/>
    <w:rsid w:val="30D323CB"/>
    <w:rsid w:val="30FC8016"/>
    <w:rsid w:val="31F58284"/>
    <w:rsid w:val="330AA221"/>
    <w:rsid w:val="3367D1D2"/>
    <w:rsid w:val="33D760F1"/>
    <w:rsid w:val="34FE8780"/>
    <w:rsid w:val="37038F96"/>
    <w:rsid w:val="3782E1C5"/>
    <w:rsid w:val="37996BF6"/>
    <w:rsid w:val="37D5C000"/>
    <w:rsid w:val="3B6DC904"/>
    <w:rsid w:val="3CF32157"/>
    <w:rsid w:val="3DA31C4B"/>
    <w:rsid w:val="3E8C4169"/>
    <w:rsid w:val="3FF4A79D"/>
    <w:rsid w:val="423CBBD1"/>
    <w:rsid w:val="426F30FA"/>
    <w:rsid w:val="42AADD3A"/>
    <w:rsid w:val="430147EF"/>
    <w:rsid w:val="433822F7"/>
    <w:rsid w:val="439DD806"/>
    <w:rsid w:val="43C5F134"/>
    <w:rsid w:val="441E254E"/>
    <w:rsid w:val="45F33757"/>
    <w:rsid w:val="47CD2B08"/>
    <w:rsid w:val="48289BDA"/>
    <w:rsid w:val="497A1B57"/>
    <w:rsid w:val="497CA189"/>
    <w:rsid w:val="4BB97021"/>
    <w:rsid w:val="4BDAF375"/>
    <w:rsid w:val="4FAF5083"/>
    <w:rsid w:val="51B43085"/>
    <w:rsid w:val="541BEB86"/>
    <w:rsid w:val="547F4054"/>
    <w:rsid w:val="55934468"/>
    <w:rsid w:val="5811690F"/>
    <w:rsid w:val="58834D67"/>
    <w:rsid w:val="592AC545"/>
    <w:rsid w:val="5BFFB296"/>
    <w:rsid w:val="5D53373B"/>
    <w:rsid w:val="5F694321"/>
    <w:rsid w:val="5FDBC1F0"/>
    <w:rsid w:val="600C39DD"/>
    <w:rsid w:val="6047BAF8"/>
    <w:rsid w:val="6049B6DC"/>
    <w:rsid w:val="613BFF01"/>
    <w:rsid w:val="64877248"/>
    <w:rsid w:val="6487AA99"/>
    <w:rsid w:val="672E225C"/>
    <w:rsid w:val="6AE0B81D"/>
    <w:rsid w:val="6B90C375"/>
    <w:rsid w:val="6BD2E779"/>
    <w:rsid w:val="6BD85AC4"/>
    <w:rsid w:val="6C999454"/>
    <w:rsid w:val="6CCE36E2"/>
    <w:rsid w:val="6DB17929"/>
    <w:rsid w:val="6DBB2475"/>
    <w:rsid w:val="6EC9D819"/>
    <w:rsid w:val="6F0139EF"/>
    <w:rsid w:val="70140ECD"/>
    <w:rsid w:val="702EAB04"/>
    <w:rsid w:val="71368D36"/>
    <w:rsid w:val="747D93EB"/>
    <w:rsid w:val="74ED39E5"/>
    <w:rsid w:val="7A35620E"/>
    <w:rsid w:val="7AD69BE0"/>
    <w:rsid w:val="7B1A0020"/>
    <w:rsid w:val="7C97BE5A"/>
    <w:rsid w:val="7F1C7666"/>
    <w:rsid w:val="7F592F05"/>
    <w:rsid w:val="7F65326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f8f8f8"/>
    </o:shapedefaults>
    <o:shapelayout v:ext="edit">
      <o:idmap v:ext="edit" data="2"/>
    </o:shapelayout>
  </w:shapeDefaults>
  <w:decimalSymbol w:val="."/>
  <w:listSeparator w:val=","/>
  <w14:docId w14:val="1DC417C1"/>
  <w15:docId w15:val="{0CB4CD42-8CFE-43DF-9021-6856B9674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71" w:qFormat="1"/>
    <w:lsdException w:name="heading 5" w:uiPriority="71"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88F"/>
    <w:pPr>
      <w:spacing w:after="120"/>
    </w:pPr>
    <w:rPr>
      <w:color w:val="000000"/>
      <w:sz w:val="22"/>
      <w:szCs w:val="22"/>
    </w:rPr>
  </w:style>
  <w:style w:type="paragraph" w:styleId="Heading1">
    <w:name w:val="heading 1"/>
    <w:basedOn w:val="Normal"/>
    <w:next w:val="Normal"/>
    <w:link w:val="Heading1Char"/>
    <w:uiPriority w:val="9"/>
    <w:qFormat/>
    <w:rsid w:val="00A60F4F"/>
    <w:pPr>
      <w:keepNext/>
      <w:keepLines/>
      <w:pageBreakBefore/>
      <w:numPr>
        <w:numId w:val="27"/>
      </w:numPr>
      <w:tabs>
        <w:tab w:val="left" w:pos="1134"/>
      </w:tabs>
      <w:spacing w:after="720" w:line="480" w:lineRule="exact"/>
      <w:outlineLvl w:val="0"/>
    </w:pPr>
    <w:rPr>
      <w:rFonts w:eastAsia="Times New Roman"/>
      <w:b/>
      <w:bCs/>
      <w:color w:val="000000" w:themeColor="text1"/>
      <w:sz w:val="44"/>
      <w:szCs w:val="28"/>
    </w:rPr>
  </w:style>
  <w:style w:type="paragraph" w:styleId="Heading2">
    <w:name w:val="heading 2"/>
    <w:basedOn w:val="Normal"/>
    <w:next w:val="Normal"/>
    <w:link w:val="Heading2Char"/>
    <w:uiPriority w:val="9"/>
    <w:qFormat/>
    <w:rsid w:val="00A60F4F"/>
    <w:pPr>
      <w:keepNext/>
      <w:numPr>
        <w:ilvl w:val="1"/>
        <w:numId w:val="27"/>
      </w:numPr>
      <w:tabs>
        <w:tab w:val="left" w:pos="851"/>
      </w:tabs>
      <w:spacing w:before="360" w:after="240"/>
      <w:outlineLvl w:val="1"/>
    </w:pPr>
    <w:rPr>
      <w:rFonts w:eastAsia="Times New Roman"/>
      <w:b/>
      <w:bCs/>
      <w:color w:val="000000" w:themeColor="text1"/>
      <w:sz w:val="32"/>
      <w:szCs w:val="26"/>
    </w:rPr>
  </w:style>
  <w:style w:type="paragraph" w:styleId="Heading3">
    <w:name w:val="heading 3"/>
    <w:basedOn w:val="Heading2"/>
    <w:next w:val="Normal"/>
    <w:link w:val="Heading3Char"/>
    <w:uiPriority w:val="9"/>
    <w:qFormat/>
    <w:rsid w:val="00A60F4F"/>
    <w:pPr>
      <w:numPr>
        <w:ilvl w:val="2"/>
      </w:numPr>
      <w:ind w:left="720"/>
      <w:outlineLvl w:val="2"/>
    </w:pPr>
    <w:rPr>
      <w:b w:val="0"/>
      <w:color w:val="auto"/>
      <w:sz w:val="26"/>
    </w:rPr>
  </w:style>
  <w:style w:type="paragraph" w:styleId="Heading4">
    <w:name w:val="heading 4"/>
    <w:basedOn w:val="Normal"/>
    <w:next w:val="Normal"/>
    <w:link w:val="Heading4Char"/>
    <w:uiPriority w:val="1"/>
    <w:qFormat/>
    <w:rsid w:val="00474ABF"/>
    <w:pPr>
      <w:keepNext/>
      <w:outlineLvl w:val="3"/>
    </w:pPr>
    <w:rPr>
      <w:i/>
      <w:iCs/>
      <w:u w:val="single"/>
    </w:rPr>
  </w:style>
  <w:style w:type="paragraph" w:styleId="Heading5">
    <w:name w:val="heading 5"/>
    <w:basedOn w:val="Normal"/>
    <w:next w:val="Normal"/>
    <w:link w:val="Heading5Char"/>
    <w:uiPriority w:val="1"/>
    <w:qFormat/>
    <w:rsid w:val="00C27C8E"/>
    <w:pPr>
      <w:outlineLvl w:val="4"/>
    </w:pPr>
    <w:rPr>
      <w:i/>
      <w:iCs/>
    </w:rPr>
  </w:style>
  <w:style w:type="paragraph" w:styleId="Heading6">
    <w:name w:val="heading 6"/>
    <w:basedOn w:val="Normal"/>
    <w:next w:val="Normal"/>
    <w:link w:val="Heading6Char"/>
    <w:uiPriority w:val="99"/>
    <w:rsid w:val="001249CC"/>
    <w:pPr>
      <w:keepNext/>
      <w:keepLines/>
      <w:numPr>
        <w:ilvl w:val="5"/>
        <w:numId w:val="27"/>
      </w:numPr>
      <w:spacing w:before="200"/>
      <w:outlineLvl w:val="5"/>
    </w:pPr>
    <w:rPr>
      <w:rFonts w:eastAsia="Times New Roman"/>
      <w:i/>
      <w:iCs/>
    </w:rPr>
  </w:style>
  <w:style w:type="paragraph" w:styleId="Heading7">
    <w:name w:val="heading 7"/>
    <w:basedOn w:val="Normal"/>
    <w:next w:val="Normal"/>
    <w:link w:val="Heading7Char"/>
    <w:uiPriority w:val="99"/>
    <w:locked/>
    <w:rsid w:val="00DB55B9"/>
    <w:pPr>
      <w:numPr>
        <w:ilvl w:val="6"/>
        <w:numId w:val="27"/>
      </w:numPr>
      <w:spacing w:before="240" w:after="60"/>
      <w:outlineLvl w:val="6"/>
    </w:pPr>
    <w:rPr>
      <w:szCs w:val="24"/>
    </w:rPr>
  </w:style>
  <w:style w:type="paragraph" w:styleId="Heading8">
    <w:name w:val="heading 8"/>
    <w:basedOn w:val="Normal"/>
    <w:next w:val="Normal"/>
    <w:link w:val="Heading8Char"/>
    <w:uiPriority w:val="99"/>
    <w:locked/>
    <w:rsid w:val="00DB55B9"/>
    <w:pPr>
      <w:numPr>
        <w:ilvl w:val="7"/>
        <w:numId w:val="27"/>
      </w:numPr>
      <w:spacing w:before="240" w:after="60"/>
      <w:outlineLvl w:val="7"/>
    </w:pPr>
    <w:rPr>
      <w:i/>
      <w:iCs/>
      <w:szCs w:val="24"/>
    </w:rPr>
  </w:style>
  <w:style w:type="paragraph" w:styleId="Heading9">
    <w:name w:val="heading 9"/>
    <w:aliases w:val="Appendix Heading 1"/>
    <w:basedOn w:val="AppendixHeading1base"/>
    <w:next w:val="Normal"/>
    <w:link w:val="Heading9Char"/>
    <w:uiPriority w:val="10"/>
    <w:qFormat/>
    <w:locked/>
    <w:rsid w:val="00D366A3"/>
    <w:pPr>
      <w:numPr>
        <w:ilvl w:val="8"/>
        <w:numId w:val="27"/>
      </w:numPr>
      <w:spacing w:after="1080"/>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60F4F"/>
    <w:rPr>
      <w:rFonts w:eastAsia="Times New Roman"/>
      <w:b/>
      <w:bCs/>
      <w:color w:val="000000" w:themeColor="text1"/>
      <w:sz w:val="44"/>
      <w:szCs w:val="28"/>
    </w:rPr>
  </w:style>
  <w:style w:type="character" w:customStyle="1" w:styleId="Heading2Char">
    <w:name w:val="Heading 2 Char"/>
    <w:basedOn w:val="DefaultParagraphFont"/>
    <w:link w:val="Heading2"/>
    <w:uiPriority w:val="9"/>
    <w:locked/>
    <w:rsid w:val="00A60F4F"/>
    <w:rPr>
      <w:rFonts w:eastAsia="Times New Roman"/>
      <w:b/>
      <w:bCs/>
      <w:color w:val="000000" w:themeColor="text1"/>
      <w:sz w:val="32"/>
      <w:szCs w:val="26"/>
    </w:rPr>
  </w:style>
  <w:style w:type="character" w:customStyle="1" w:styleId="Heading3Char">
    <w:name w:val="Heading 3 Char"/>
    <w:basedOn w:val="DefaultParagraphFont"/>
    <w:link w:val="Heading3"/>
    <w:uiPriority w:val="9"/>
    <w:locked/>
    <w:rsid w:val="00A60F4F"/>
    <w:rPr>
      <w:rFonts w:eastAsia="Times New Roman"/>
      <w:bCs/>
      <w:sz w:val="26"/>
      <w:szCs w:val="26"/>
    </w:rPr>
  </w:style>
  <w:style w:type="character" w:customStyle="1" w:styleId="Heading4Char">
    <w:name w:val="Heading 4 Char"/>
    <w:basedOn w:val="DefaultParagraphFont"/>
    <w:link w:val="Heading4"/>
    <w:uiPriority w:val="1"/>
    <w:locked/>
    <w:rsid w:val="00474ABF"/>
    <w:rPr>
      <w:i/>
      <w:iCs/>
      <w:color w:val="000000"/>
      <w:sz w:val="22"/>
      <w:szCs w:val="22"/>
      <w:u w:val="single"/>
    </w:rPr>
  </w:style>
  <w:style w:type="character" w:customStyle="1" w:styleId="Heading5Char">
    <w:name w:val="Heading 5 Char"/>
    <w:basedOn w:val="DefaultParagraphFont"/>
    <w:link w:val="Heading5"/>
    <w:uiPriority w:val="1"/>
    <w:locked/>
    <w:rsid w:val="00C27C8E"/>
    <w:rPr>
      <w:i/>
      <w:iCs/>
      <w:color w:val="000000"/>
      <w:sz w:val="22"/>
      <w:szCs w:val="22"/>
    </w:rPr>
  </w:style>
  <w:style w:type="character" w:customStyle="1" w:styleId="Heading6Char">
    <w:name w:val="Heading 6 Char"/>
    <w:basedOn w:val="DefaultParagraphFont"/>
    <w:link w:val="Heading6"/>
    <w:uiPriority w:val="99"/>
    <w:locked/>
    <w:rsid w:val="00DB55B9"/>
    <w:rPr>
      <w:rFonts w:eastAsia="Times New Roman"/>
      <w:i/>
      <w:iCs/>
      <w:color w:val="000000"/>
      <w:sz w:val="22"/>
      <w:szCs w:val="22"/>
    </w:rPr>
  </w:style>
  <w:style w:type="character" w:customStyle="1" w:styleId="Heading7Char">
    <w:name w:val="Heading 7 Char"/>
    <w:basedOn w:val="DefaultParagraphFont"/>
    <w:link w:val="Heading7"/>
    <w:uiPriority w:val="99"/>
    <w:locked/>
    <w:rsid w:val="00DB55B9"/>
    <w:rPr>
      <w:color w:val="000000"/>
      <w:sz w:val="22"/>
      <w:szCs w:val="24"/>
    </w:rPr>
  </w:style>
  <w:style w:type="character" w:customStyle="1" w:styleId="Heading8Char">
    <w:name w:val="Heading 8 Char"/>
    <w:basedOn w:val="DefaultParagraphFont"/>
    <w:link w:val="Heading8"/>
    <w:uiPriority w:val="99"/>
    <w:locked/>
    <w:rsid w:val="00DB55B9"/>
    <w:rPr>
      <w:i/>
      <w:iCs/>
      <w:color w:val="000000"/>
      <w:sz w:val="22"/>
      <w:szCs w:val="24"/>
    </w:rPr>
  </w:style>
  <w:style w:type="character" w:customStyle="1" w:styleId="Heading9Char">
    <w:name w:val="Heading 9 Char"/>
    <w:aliases w:val="Appendix Heading 1 Char"/>
    <w:basedOn w:val="DefaultParagraphFont"/>
    <w:link w:val="Heading9"/>
    <w:uiPriority w:val="10"/>
    <w:locked/>
    <w:rsid w:val="00D366A3"/>
    <w:rPr>
      <w:rFonts w:eastAsia="Times New Roman"/>
      <w:b/>
      <w:bCs/>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2"/>
    <w:qFormat/>
    <w:rsid w:val="00273A31"/>
    <w:pPr>
      <w:numPr>
        <w:numId w:val="6"/>
      </w:numPr>
      <w:tabs>
        <w:tab w:val="clear" w:pos="199"/>
        <w:tab w:val="left" w:pos="397"/>
      </w:tabs>
      <w:ind w:left="397" w:hanging="397"/>
      <w:contextualSpacing/>
    </w:pPr>
  </w:style>
  <w:style w:type="paragraph" w:styleId="ListNumber">
    <w:name w:val="List Number"/>
    <w:basedOn w:val="Normal"/>
    <w:uiPriority w:val="2"/>
    <w:qFormat/>
    <w:rsid w:val="00273A31"/>
    <w:pPr>
      <w:numPr>
        <w:numId w:val="9"/>
      </w:numPr>
      <w:tabs>
        <w:tab w:val="clear" w:pos="227"/>
        <w:tab w:val="left" w:pos="397"/>
      </w:tabs>
      <w:ind w:left="397" w:hanging="397"/>
    </w:pPr>
  </w:style>
  <w:style w:type="paragraph" w:styleId="ListBullet2">
    <w:name w:val="List Bullet 2"/>
    <w:basedOn w:val="ListBullet"/>
    <w:uiPriority w:val="2"/>
    <w:qFormat/>
    <w:rsid w:val="00273A31"/>
    <w:pPr>
      <w:numPr>
        <w:ilvl w:val="1"/>
      </w:numPr>
      <w:tabs>
        <w:tab w:val="clear" w:pos="397"/>
        <w:tab w:val="left" w:pos="794"/>
      </w:tabs>
      <w:ind w:left="794" w:hanging="360"/>
    </w:pPr>
  </w:style>
  <w:style w:type="paragraph" w:styleId="TOC1">
    <w:name w:val="toc 1"/>
    <w:basedOn w:val="Normal"/>
    <w:next w:val="Normal"/>
    <w:uiPriority w:val="39"/>
    <w:unhideWhenUsed/>
    <w:rsid w:val="00B220FA"/>
    <w:pPr>
      <w:pBdr>
        <w:top w:val="single" w:sz="4" w:space="1" w:color="41B6E6"/>
        <w:left w:val="single" w:sz="4" w:space="4" w:color="41B6E6"/>
        <w:bottom w:val="single" w:sz="4" w:space="1" w:color="41B6E6"/>
        <w:right w:val="single" w:sz="4" w:space="4" w:color="41B6E6"/>
      </w:pBdr>
      <w:shd w:val="clear" w:color="auto" w:fill="41B6E6"/>
      <w:tabs>
        <w:tab w:val="left" w:pos="737"/>
        <w:tab w:val="right" w:pos="9639"/>
      </w:tabs>
      <w:spacing w:before="240" w:after="180"/>
    </w:pPr>
    <w:rPr>
      <w:b/>
      <w:noProof/>
      <w:color w:val="auto"/>
    </w:rPr>
  </w:style>
  <w:style w:type="paragraph" w:styleId="TOC2">
    <w:name w:val="toc 2"/>
    <w:basedOn w:val="Normal"/>
    <w:next w:val="Normal"/>
    <w:uiPriority w:val="39"/>
    <w:unhideWhenUsed/>
    <w:rsid w:val="00B220FA"/>
    <w:pPr>
      <w:tabs>
        <w:tab w:val="left" w:pos="737"/>
        <w:tab w:val="right" w:leader="dot" w:pos="9639"/>
      </w:tabs>
      <w:spacing w:before="120" w:after="0"/>
      <w:ind w:right="284"/>
    </w:pPr>
    <w:rPr>
      <w:color w:val="auto"/>
    </w:rPr>
  </w:style>
  <w:style w:type="table" w:styleId="TableGrid">
    <w:name w:val="Table Grid"/>
    <w:basedOn w:val="TableNormal"/>
    <w:uiPriority w:val="39"/>
    <w:rsid w:val="006F4826"/>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B220FA"/>
    <w:pPr>
      <w:tabs>
        <w:tab w:val="left" w:pos="1304"/>
        <w:tab w:val="right" w:leader="dot" w:pos="9639"/>
      </w:tabs>
      <w:spacing w:before="60" w:after="0"/>
      <w:ind w:left="737" w:right="284"/>
    </w:pPr>
    <w:rPr>
      <w:color w:val="auto"/>
    </w:rPr>
  </w:style>
  <w:style w:type="paragraph" w:customStyle="1" w:styleId="CoverTitle">
    <w:name w:val="CoverTitle"/>
    <w:basedOn w:val="Normal"/>
    <w:uiPriority w:val="12"/>
    <w:qFormat/>
    <w:rsid w:val="00D366A3"/>
    <w:pPr>
      <w:spacing w:after="170" w:line="216" w:lineRule="auto"/>
    </w:pPr>
    <w:rPr>
      <w:rFonts w:eastAsia="Times New Roman"/>
      <w:b/>
      <w:color w:val="000000" w:themeColor="text1"/>
      <w:spacing w:val="5"/>
      <w:kern w:val="28"/>
      <w:sz w:val="80"/>
      <w:szCs w:val="52"/>
    </w:rPr>
  </w:style>
  <w:style w:type="paragraph" w:customStyle="1" w:styleId="PartTitle">
    <w:name w:val="PartTitle"/>
    <w:basedOn w:val="Normal"/>
    <w:uiPriority w:val="15"/>
    <w:qFormat/>
    <w:rsid w:val="00D366A3"/>
    <w:pPr>
      <w:tabs>
        <w:tab w:val="left" w:pos="2552"/>
      </w:tabs>
      <w:spacing w:after="0" w:line="1000" w:lineRule="exact"/>
      <w:ind w:left="2552" w:hanging="2552"/>
      <w:outlineLvl w:val="0"/>
    </w:pPr>
    <w:rPr>
      <w:b/>
      <w:color w:val="000000" w:themeColor="text1"/>
      <w:sz w:val="80"/>
    </w:rPr>
  </w:style>
  <w:style w:type="paragraph" w:customStyle="1" w:styleId="PartSubtitle">
    <w:name w:val="PartSubtitle"/>
    <w:basedOn w:val="PartTitle"/>
    <w:uiPriority w:val="15"/>
    <w:qFormat/>
    <w:rsid w:val="00D366A3"/>
    <w:pPr>
      <w:spacing w:before="360" w:after="240" w:line="340" w:lineRule="atLeast"/>
      <w:outlineLvl w:val="9"/>
    </w:pPr>
    <w:rPr>
      <w:b w:val="0"/>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semiHidden/>
    <w:rsid w:val="00273A31"/>
    <w:pPr>
      <w:numPr>
        <w:ilvl w:val="2"/>
      </w:numPr>
      <w:tabs>
        <w:tab w:val="clear" w:pos="595"/>
        <w:tab w:val="clear" w:pos="794"/>
        <w:tab w:val="left" w:pos="1191"/>
      </w:tabs>
      <w:ind w:left="2320" w:firstLine="0"/>
    </w:pPr>
  </w:style>
  <w:style w:type="paragraph" w:styleId="FootnoteText">
    <w:name w:val="footnote text"/>
    <w:basedOn w:val="Normal"/>
    <w:link w:val="FootnoteTextChar"/>
    <w:uiPriority w:val="9"/>
    <w:qFormat/>
    <w:rsid w:val="007A01EB"/>
    <w:pPr>
      <w:spacing w:after="0"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1299A"/>
    <w:tblPr>
      <w:tblStyleRowBandSize w:val="1"/>
      <w:tblStyleColBandSize w:val="1"/>
      <w:tblInd w:w="113" w:type="dxa"/>
      <w:tblBorders>
        <w:bottom w:val="single" w:sz="12" w:space="0" w:color="000000"/>
      </w:tblBorders>
      <w:tblCellMar>
        <w:top w:w="57" w:type="dxa"/>
        <w:left w:w="85" w:type="dxa"/>
        <w:bottom w:w="57" w:type="dxa"/>
        <w:right w:w="85" w:type="dxa"/>
      </w:tblCellMar>
    </w:tblPr>
  </w:style>
  <w:style w:type="paragraph" w:customStyle="1" w:styleId="TableText">
    <w:name w:val="TableText"/>
    <w:basedOn w:val="Normal"/>
    <w:uiPriority w:val="5"/>
    <w:qFormat/>
    <w:rsid w:val="007A6929"/>
    <w:pPr>
      <w:spacing w:after="57" w:line="220" w:lineRule="atLeast"/>
    </w:pPr>
    <w:rPr>
      <w:sz w:val="20"/>
    </w:rPr>
  </w:style>
  <w:style w:type="paragraph" w:customStyle="1" w:styleId="TableBullet">
    <w:name w:val="TableBullet"/>
    <w:basedOn w:val="TableText"/>
    <w:uiPriority w:val="5"/>
    <w:qFormat/>
    <w:rsid w:val="006131D3"/>
    <w:pPr>
      <w:numPr>
        <w:numId w:val="8"/>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366A3"/>
    <w:pPr>
      <w:numPr>
        <w:ilvl w:val="1"/>
      </w:numPr>
      <w:spacing w:after="170" w:line="340" w:lineRule="atLeast"/>
    </w:pPr>
    <w:rPr>
      <w:rFonts w:eastAsia="Times New Roman"/>
      <w:iCs/>
      <w:color w:val="000000" w:themeColor="text1"/>
      <w:spacing w:val="15"/>
      <w:sz w:val="34"/>
      <w:szCs w:val="24"/>
    </w:rPr>
  </w:style>
  <w:style w:type="paragraph" w:customStyle="1" w:styleId="BackCoverContactDetails">
    <w:name w:val="BackCover ContactDetails"/>
    <w:basedOn w:val="Normal"/>
    <w:uiPriority w:val="18"/>
    <w:qFormat/>
    <w:rsid w:val="00B220FA"/>
    <w:pPr>
      <w:tabs>
        <w:tab w:val="left" w:pos="199"/>
      </w:tabs>
      <w:spacing w:after="0"/>
    </w:pPr>
  </w:style>
  <w:style w:type="paragraph" w:styleId="TOCHeading">
    <w:name w:val="TOC Heading"/>
    <w:basedOn w:val="Heading1"/>
    <w:next w:val="Normal"/>
    <w:link w:val="TOCHeadingChar"/>
    <w:uiPriority w:val="19"/>
    <w:qFormat/>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B220FA"/>
    <w:rPr>
      <w:rFonts w:cs="Times New Roman"/>
      <w:color w:val="2F5496" w:themeColor="accent5"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Normal"/>
    <w:next w:val="Normal"/>
    <w:link w:val="CaptionChar"/>
    <w:qFormat/>
    <w:rsid w:val="0096672D"/>
    <w:pPr>
      <w:spacing w:before="240" w:after="200"/>
    </w:pPr>
    <w:rPr>
      <w:b/>
      <w:bCs/>
      <w:color w:val="000000" w:themeColor="text1"/>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366A3"/>
    <w:rPr>
      <w:rFonts w:cs="Times New Roman"/>
      <w:color w:val="auto"/>
    </w:rPr>
  </w:style>
  <w:style w:type="paragraph" w:customStyle="1" w:styleId="Heading1notnumbered">
    <w:name w:val="Heading 1 not numbered"/>
    <w:basedOn w:val="Heading1"/>
    <w:uiPriority w:val="1"/>
    <w:rsid w:val="00FB37B4"/>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imes New Roman" w:cs="Times New Roman"/>
      <w:b/>
      <w:color w:val="41B6E6"/>
      <w:sz w:val="44"/>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uiPriority w:val="99"/>
    <w:semiHidden/>
    <w:locked/>
    <w:rsid w:val="00E251B6"/>
  </w:style>
  <w:style w:type="character" w:customStyle="1" w:styleId="BodyTextChar">
    <w:name w:val="Body Text Char"/>
    <w:basedOn w:val="DefaultParagraphFont"/>
    <w:link w:val="BodyText"/>
    <w:uiPriority w:val="99"/>
    <w:semiHidden/>
    <w:locked/>
    <w:rsid w:val="00DB55B9"/>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366A3"/>
    <w:pPr>
      <w:spacing w:before="180" w:after="60"/>
    </w:pPr>
    <w:rPr>
      <w:rFonts w:eastAsia="Times New Roman"/>
      <w:bCs/>
      <w:color w:val="000000" w:themeColor="text1"/>
      <w:sz w:val="24"/>
      <w:szCs w:val="26"/>
      <w:lang w:eastAsia="en-US"/>
    </w:rPr>
  </w:style>
  <w:style w:type="paragraph" w:customStyle="1" w:styleId="BusinessUnitName">
    <w:name w:val="Business Unit Name"/>
    <w:uiPriority w:val="12"/>
    <w:qFormat/>
    <w:rsid w:val="00897FEE"/>
    <w:rPr>
      <w:b/>
      <w:caps/>
      <w:noProof/>
      <w:color w:val="FFFFFF"/>
      <w:spacing w:val="16"/>
      <w:sz w:val="22"/>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lang w:val="en-AU" w:eastAsia="en-US" w:bidi="ar-SA"/>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6"/>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imes New Roman"/>
      <w:b/>
      <w:bCs/>
      <w:color w:val="41B6E6"/>
      <w:sz w:val="44"/>
      <w:szCs w:val="28"/>
    </w:rPr>
  </w:style>
  <w:style w:type="paragraph" w:customStyle="1" w:styleId="AppendixHeading2">
    <w:name w:val="Appendix Heading 2"/>
    <w:basedOn w:val="Heading2"/>
    <w:uiPriority w:val="11"/>
    <w:qFormat/>
    <w:rsid w:val="007738F3"/>
    <w:pPr>
      <w:numPr>
        <w:numId w:val="14"/>
      </w:numPr>
    </w:pPr>
  </w:style>
  <w:style w:type="paragraph" w:customStyle="1" w:styleId="AppendixHeading3">
    <w:name w:val="Appendix Heading 3"/>
    <w:basedOn w:val="Heading3"/>
    <w:uiPriority w:val="11"/>
    <w:qFormat/>
    <w:rsid w:val="00655388"/>
    <w:pPr>
      <w:numPr>
        <w:numId w:val="14"/>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eastAsia="Times New Roman"/>
      <w:color w:val="auto"/>
      <w:szCs w:val="24"/>
      <w:lang w:eastAsia="en-US"/>
    </w:rPr>
  </w:style>
  <w:style w:type="paragraph" w:customStyle="1" w:styleId="Reference">
    <w:name w:val="Reference"/>
    <w:basedOn w:val="Normal"/>
    <w:uiPriority w:val="9"/>
    <w:qFormat/>
    <w:rsid w:val="007F16A8"/>
    <w:pPr>
      <w:ind w:left="567" w:hanging="567"/>
    </w:pPr>
  </w:style>
  <w:style w:type="paragraph" w:styleId="ListNumber2">
    <w:name w:val="List Number 2"/>
    <w:basedOn w:val="Normal"/>
    <w:uiPriority w:val="2"/>
    <w:qFormat/>
    <w:locked/>
    <w:rsid w:val="0005371F"/>
    <w:pPr>
      <w:numPr>
        <w:numId w:val="13"/>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character" w:styleId="IntenseReference">
    <w:name w:val="Intense Reference"/>
    <w:basedOn w:val="DefaultParagraphFont"/>
    <w:uiPriority w:val="32"/>
    <w:qFormat/>
    <w:rsid w:val="00B220FA"/>
    <w:rPr>
      <w:b/>
      <w:bCs/>
      <w:smallCaps/>
      <w:color w:val="auto"/>
      <w:spacing w:val="5"/>
    </w:rPr>
  </w:style>
  <w:style w:type="character" w:styleId="IntenseEmphasis">
    <w:name w:val="Intense Emphasis"/>
    <w:basedOn w:val="DefaultParagraphFont"/>
    <w:uiPriority w:val="21"/>
    <w:qFormat/>
    <w:rsid w:val="00B220FA"/>
    <w:rPr>
      <w:i/>
      <w:iCs/>
      <w:color w:val="auto"/>
    </w:rPr>
  </w:style>
  <w:style w:type="paragraph" w:styleId="IntenseQuote">
    <w:name w:val="Intense Quote"/>
    <w:basedOn w:val="Normal"/>
    <w:next w:val="Normal"/>
    <w:link w:val="IntenseQuoteChar"/>
    <w:uiPriority w:val="30"/>
    <w:qFormat/>
    <w:rsid w:val="00B220FA"/>
    <w:pPr>
      <w:pBdr>
        <w:top w:val="single" w:sz="4" w:space="10" w:color="5B9BD5" w:themeColor="accent1"/>
        <w:bottom w:val="single" w:sz="4" w:space="10" w:color="5B9BD5" w:themeColor="accent1"/>
      </w:pBdr>
      <w:spacing w:before="360" w:after="360"/>
      <w:ind w:left="864" w:right="864"/>
      <w:jc w:val="center"/>
    </w:pPr>
    <w:rPr>
      <w:i/>
      <w:iCs/>
      <w:color w:val="auto"/>
    </w:rPr>
  </w:style>
  <w:style w:type="character" w:customStyle="1" w:styleId="IntenseQuoteChar">
    <w:name w:val="Intense Quote Char"/>
    <w:basedOn w:val="DefaultParagraphFont"/>
    <w:link w:val="IntenseQuote"/>
    <w:uiPriority w:val="30"/>
    <w:rsid w:val="00B220FA"/>
    <w:rPr>
      <w:i/>
      <w:iCs/>
      <w:sz w:val="22"/>
      <w:szCs w:val="22"/>
    </w:rPr>
  </w:style>
  <w:style w:type="character" w:styleId="SubtleEmphasis">
    <w:name w:val="Subtle Emphasis"/>
    <w:basedOn w:val="DefaultParagraphFont"/>
    <w:uiPriority w:val="19"/>
    <w:qFormat/>
    <w:rsid w:val="00B220FA"/>
    <w:rPr>
      <w:i/>
      <w:iCs/>
      <w:color w:val="404040" w:themeColor="text1" w:themeTint="BF"/>
      <w:sz w:val="28"/>
    </w:rPr>
  </w:style>
  <w:style w:type="paragraph" w:styleId="Title">
    <w:name w:val="Title"/>
    <w:basedOn w:val="Normal"/>
    <w:next w:val="Normal"/>
    <w:link w:val="TitleChar"/>
    <w:uiPriority w:val="99"/>
    <w:qFormat/>
    <w:rsid w:val="00DD488F"/>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DD488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D488F"/>
    <w:pPr>
      <w:ind w:left="720"/>
      <w:contextualSpacing/>
    </w:pPr>
  </w:style>
  <w:style w:type="character" w:customStyle="1" w:styleId="CaptionChar">
    <w:name w:val="Caption Char"/>
    <w:link w:val="Caption"/>
    <w:rsid w:val="0096672D"/>
    <w:rPr>
      <w:b/>
      <w:bCs/>
      <w:color w:val="000000" w:themeColor="text1"/>
      <w:szCs w:val="18"/>
    </w:rPr>
  </w:style>
  <w:style w:type="character" w:styleId="UnresolvedMention">
    <w:name w:val="Unresolved Mention"/>
    <w:basedOn w:val="DefaultParagraphFont"/>
    <w:uiPriority w:val="99"/>
    <w:semiHidden/>
    <w:unhideWhenUsed/>
    <w:rsid w:val="00892D6F"/>
    <w:rPr>
      <w:color w:val="605E5C"/>
      <w:shd w:val="clear" w:color="auto" w:fill="E1DFDD"/>
    </w:rPr>
  </w:style>
  <w:style w:type="table" w:styleId="GridTable4">
    <w:name w:val="Grid Table 4"/>
    <w:basedOn w:val="TableNormal"/>
    <w:uiPriority w:val="49"/>
    <w:rsid w:val="00CC4C7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FF50A9"/>
    <w:rPr>
      <w:color w:val="000000"/>
      <w:sz w:val="22"/>
      <w:szCs w:val="22"/>
    </w:rPr>
  </w:style>
  <w:style w:type="paragraph" w:customStyle="1" w:styleId="Default">
    <w:name w:val="Default"/>
    <w:rsid w:val="00162578"/>
    <w:pPr>
      <w:autoSpaceDE w:val="0"/>
      <w:autoSpaceDN w:val="0"/>
      <w:adjustRightInd w:val="0"/>
    </w:pPr>
    <w:rPr>
      <w:rFonts w:cs="Calibri"/>
      <w:color w:val="000000"/>
      <w:sz w:val="24"/>
      <w:szCs w:val="24"/>
    </w:rPr>
  </w:style>
  <w:style w:type="paragraph" w:styleId="Revision">
    <w:name w:val="Revision"/>
    <w:hidden/>
    <w:uiPriority w:val="99"/>
    <w:semiHidden/>
    <w:rsid w:val="00DF640F"/>
    <w:rPr>
      <w:color w:val="000000"/>
      <w:sz w:val="22"/>
      <w:szCs w:val="22"/>
    </w:rPr>
  </w:style>
  <w:style w:type="character" w:styleId="Mention">
    <w:name w:val="Mention"/>
    <w:basedOn w:val="DefaultParagraphFont"/>
    <w:uiPriority w:val="99"/>
    <w:unhideWhenUsed/>
    <w:rsid w:val="005E7CF7"/>
    <w:rPr>
      <w:color w:val="2B579A"/>
      <w:shd w:val="clear" w:color="auto" w:fill="E6E6E6"/>
    </w:rPr>
  </w:style>
  <w:style w:type="paragraph" w:customStyle="1" w:styleId="BRSTABLEBODY">
    <w:name w:val="BRS TABLE BODY"/>
    <w:basedOn w:val="Default"/>
    <w:next w:val="Default"/>
    <w:uiPriority w:val="99"/>
    <w:rsid w:val="0049377F"/>
    <w:rPr>
      <w:rFonts w:ascii="AHCIKG+TimesNewRoman,Bold" w:hAnsi="AHCIKG+TimesNewRoman,Bold" w:cs="Times New Roman"/>
      <w:color w:val="auto"/>
    </w:rPr>
  </w:style>
  <w:style w:type="table" w:styleId="ListTable4">
    <w:name w:val="List Table 4"/>
    <w:basedOn w:val="TableNormal"/>
    <w:uiPriority w:val="49"/>
    <w:rsid w:val="006043E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3639">
      <w:bodyDiv w:val="1"/>
      <w:marLeft w:val="0"/>
      <w:marRight w:val="0"/>
      <w:marTop w:val="0"/>
      <w:marBottom w:val="0"/>
      <w:divBdr>
        <w:top w:val="none" w:sz="0" w:space="0" w:color="auto"/>
        <w:left w:val="none" w:sz="0" w:space="0" w:color="auto"/>
        <w:bottom w:val="none" w:sz="0" w:space="0" w:color="auto"/>
        <w:right w:val="none" w:sz="0" w:space="0" w:color="auto"/>
      </w:divBdr>
      <w:divsChild>
        <w:div w:id="1986738120">
          <w:marLeft w:val="480"/>
          <w:marRight w:val="0"/>
          <w:marTop w:val="0"/>
          <w:marBottom w:val="0"/>
          <w:divBdr>
            <w:top w:val="none" w:sz="0" w:space="0" w:color="auto"/>
            <w:left w:val="none" w:sz="0" w:space="0" w:color="auto"/>
            <w:bottom w:val="none" w:sz="0" w:space="0" w:color="auto"/>
            <w:right w:val="none" w:sz="0" w:space="0" w:color="auto"/>
          </w:divBdr>
          <w:divsChild>
            <w:div w:id="18938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2260">
      <w:bodyDiv w:val="1"/>
      <w:marLeft w:val="0"/>
      <w:marRight w:val="0"/>
      <w:marTop w:val="0"/>
      <w:marBottom w:val="0"/>
      <w:divBdr>
        <w:top w:val="none" w:sz="0" w:space="0" w:color="auto"/>
        <w:left w:val="none" w:sz="0" w:space="0" w:color="auto"/>
        <w:bottom w:val="none" w:sz="0" w:space="0" w:color="auto"/>
        <w:right w:val="none" w:sz="0" w:space="0" w:color="auto"/>
      </w:divBdr>
      <w:divsChild>
        <w:div w:id="256601149">
          <w:marLeft w:val="480"/>
          <w:marRight w:val="0"/>
          <w:marTop w:val="0"/>
          <w:marBottom w:val="0"/>
          <w:divBdr>
            <w:top w:val="none" w:sz="0" w:space="0" w:color="auto"/>
            <w:left w:val="none" w:sz="0" w:space="0" w:color="auto"/>
            <w:bottom w:val="none" w:sz="0" w:space="0" w:color="auto"/>
            <w:right w:val="none" w:sz="0" w:space="0" w:color="auto"/>
          </w:divBdr>
          <w:divsChild>
            <w:div w:id="13740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9090">
      <w:bodyDiv w:val="1"/>
      <w:marLeft w:val="0"/>
      <w:marRight w:val="0"/>
      <w:marTop w:val="0"/>
      <w:marBottom w:val="0"/>
      <w:divBdr>
        <w:top w:val="none" w:sz="0" w:space="0" w:color="auto"/>
        <w:left w:val="none" w:sz="0" w:space="0" w:color="auto"/>
        <w:bottom w:val="none" w:sz="0" w:space="0" w:color="auto"/>
        <w:right w:val="none" w:sz="0" w:space="0" w:color="auto"/>
      </w:divBdr>
      <w:divsChild>
        <w:div w:id="482163439">
          <w:marLeft w:val="480"/>
          <w:marRight w:val="0"/>
          <w:marTop w:val="0"/>
          <w:marBottom w:val="0"/>
          <w:divBdr>
            <w:top w:val="none" w:sz="0" w:space="0" w:color="auto"/>
            <w:left w:val="none" w:sz="0" w:space="0" w:color="auto"/>
            <w:bottom w:val="none" w:sz="0" w:space="0" w:color="auto"/>
            <w:right w:val="none" w:sz="0" w:space="0" w:color="auto"/>
          </w:divBdr>
          <w:divsChild>
            <w:div w:id="11070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8055">
      <w:bodyDiv w:val="1"/>
      <w:marLeft w:val="0"/>
      <w:marRight w:val="0"/>
      <w:marTop w:val="0"/>
      <w:marBottom w:val="0"/>
      <w:divBdr>
        <w:top w:val="none" w:sz="0" w:space="0" w:color="auto"/>
        <w:left w:val="none" w:sz="0" w:space="0" w:color="auto"/>
        <w:bottom w:val="none" w:sz="0" w:space="0" w:color="auto"/>
        <w:right w:val="none" w:sz="0" w:space="0" w:color="auto"/>
      </w:divBdr>
      <w:divsChild>
        <w:div w:id="1081826938">
          <w:marLeft w:val="480"/>
          <w:marRight w:val="0"/>
          <w:marTop w:val="0"/>
          <w:marBottom w:val="0"/>
          <w:divBdr>
            <w:top w:val="none" w:sz="0" w:space="0" w:color="auto"/>
            <w:left w:val="none" w:sz="0" w:space="0" w:color="auto"/>
            <w:bottom w:val="none" w:sz="0" w:space="0" w:color="auto"/>
            <w:right w:val="none" w:sz="0" w:space="0" w:color="auto"/>
          </w:divBdr>
          <w:divsChild>
            <w:div w:id="2872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735">
      <w:bodyDiv w:val="1"/>
      <w:marLeft w:val="0"/>
      <w:marRight w:val="0"/>
      <w:marTop w:val="0"/>
      <w:marBottom w:val="0"/>
      <w:divBdr>
        <w:top w:val="none" w:sz="0" w:space="0" w:color="auto"/>
        <w:left w:val="none" w:sz="0" w:space="0" w:color="auto"/>
        <w:bottom w:val="none" w:sz="0" w:space="0" w:color="auto"/>
        <w:right w:val="none" w:sz="0" w:space="0" w:color="auto"/>
      </w:divBdr>
      <w:divsChild>
        <w:div w:id="1825195970">
          <w:marLeft w:val="480"/>
          <w:marRight w:val="0"/>
          <w:marTop w:val="0"/>
          <w:marBottom w:val="0"/>
          <w:divBdr>
            <w:top w:val="none" w:sz="0" w:space="0" w:color="auto"/>
            <w:left w:val="none" w:sz="0" w:space="0" w:color="auto"/>
            <w:bottom w:val="none" w:sz="0" w:space="0" w:color="auto"/>
            <w:right w:val="none" w:sz="0" w:space="0" w:color="auto"/>
          </w:divBdr>
          <w:divsChild>
            <w:div w:id="14848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0827">
      <w:bodyDiv w:val="1"/>
      <w:marLeft w:val="0"/>
      <w:marRight w:val="0"/>
      <w:marTop w:val="0"/>
      <w:marBottom w:val="0"/>
      <w:divBdr>
        <w:top w:val="none" w:sz="0" w:space="0" w:color="auto"/>
        <w:left w:val="none" w:sz="0" w:space="0" w:color="auto"/>
        <w:bottom w:val="none" w:sz="0" w:space="0" w:color="auto"/>
        <w:right w:val="none" w:sz="0" w:space="0" w:color="auto"/>
      </w:divBdr>
      <w:divsChild>
        <w:div w:id="745496489">
          <w:marLeft w:val="480"/>
          <w:marRight w:val="0"/>
          <w:marTop w:val="0"/>
          <w:marBottom w:val="0"/>
          <w:divBdr>
            <w:top w:val="none" w:sz="0" w:space="0" w:color="auto"/>
            <w:left w:val="none" w:sz="0" w:space="0" w:color="auto"/>
            <w:bottom w:val="none" w:sz="0" w:space="0" w:color="auto"/>
            <w:right w:val="none" w:sz="0" w:space="0" w:color="auto"/>
          </w:divBdr>
          <w:divsChild>
            <w:div w:id="14336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1864">
      <w:bodyDiv w:val="1"/>
      <w:marLeft w:val="0"/>
      <w:marRight w:val="0"/>
      <w:marTop w:val="0"/>
      <w:marBottom w:val="0"/>
      <w:divBdr>
        <w:top w:val="none" w:sz="0" w:space="0" w:color="auto"/>
        <w:left w:val="none" w:sz="0" w:space="0" w:color="auto"/>
        <w:bottom w:val="none" w:sz="0" w:space="0" w:color="auto"/>
        <w:right w:val="none" w:sz="0" w:space="0" w:color="auto"/>
      </w:divBdr>
    </w:div>
    <w:div w:id="95101215">
      <w:bodyDiv w:val="1"/>
      <w:marLeft w:val="0"/>
      <w:marRight w:val="0"/>
      <w:marTop w:val="0"/>
      <w:marBottom w:val="0"/>
      <w:divBdr>
        <w:top w:val="none" w:sz="0" w:space="0" w:color="auto"/>
        <w:left w:val="none" w:sz="0" w:space="0" w:color="auto"/>
        <w:bottom w:val="none" w:sz="0" w:space="0" w:color="auto"/>
        <w:right w:val="none" w:sz="0" w:space="0" w:color="auto"/>
      </w:divBdr>
      <w:divsChild>
        <w:div w:id="313068952">
          <w:marLeft w:val="480"/>
          <w:marRight w:val="0"/>
          <w:marTop w:val="0"/>
          <w:marBottom w:val="0"/>
          <w:divBdr>
            <w:top w:val="none" w:sz="0" w:space="0" w:color="auto"/>
            <w:left w:val="none" w:sz="0" w:space="0" w:color="auto"/>
            <w:bottom w:val="none" w:sz="0" w:space="0" w:color="auto"/>
            <w:right w:val="none" w:sz="0" w:space="0" w:color="auto"/>
          </w:divBdr>
          <w:divsChild>
            <w:div w:id="16274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7869">
      <w:bodyDiv w:val="1"/>
      <w:marLeft w:val="0"/>
      <w:marRight w:val="0"/>
      <w:marTop w:val="0"/>
      <w:marBottom w:val="0"/>
      <w:divBdr>
        <w:top w:val="none" w:sz="0" w:space="0" w:color="auto"/>
        <w:left w:val="none" w:sz="0" w:space="0" w:color="auto"/>
        <w:bottom w:val="none" w:sz="0" w:space="0" w:color="auto"/>
        <w:right w:val="none" w:sz="0" w:space="0" w:color="auto"/>
      </w:divBdr>
    </w:div>
    <w:div w:id="110587946">
      <w:bodyDiv w:val="1"/>
      <w:marLeft w:val="0"/>
      <w:marRight w:val="0"/>
      <w:marTop w:val="0"/>
      <w:marBottom w:val="0"/>
      <w:divBdr>
        <w:top w:val="none" w:sz="0" w:space="0" w:color="auto"/>
        <w:left w:val="none" w:sz="0" w:space="0" w:color="auto"/>
        <w:bottom w:val="none" w:sz="0" w:space="0" w:color="auto"/>
        <w:right w:val="none" w:sz="0" w:space="0" w:color="auto"/>
      </w:divBdr>
      <w:divsChild>
        <w:div w:id="544173227">
          <w:marLeft w:val="480"/>
          <w:marRight w:val="0"/>
          <w:marTop w:val="0"/>
          <w:marBottom w:val="0"/>
          <w:divBdr>
            <w:top w:val="none" w:sz="0" w:space="0" w:color="auto"/>
            <w:left w:val="none" w:sz="0" w:space="0" w:color="auto"/>
            <w:bottom w:val="none" w:sz="0" w:space="0" w:color="auto"/>
            <w:right w:val="none" w:sz="0" w:space="0" w:color="auto"/>
          </w:divBdr>
          <w:divsChild>
            <w:div w:id="373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6534">
      <w:bodyDiv w:val="1"/>
      <w:marLeft w:val="0"/>
      <w:marRight w:val="0"/>
      <w:marTop w:val="0"/>
      <w:marBottom w:val="0"/>
      <w:divBdr>
        <w:top w:val="none" w:sz="0" w:space="0" w:color="auto"/>
        <w:left w:val="none" w:sz="0" w:space="0" w:color="auto"/>
        <w:bottom w:val="none" w:sz="0" w:space="0" w:color="auto"/>
        <w:right w:val="none" w:sz="0" w:space="0" w:color="auto"/>
      </w:divBdr>
      <w:divsChild>
        <w:div w:id="632566294">
          <w:marLeft w:val="480"/>
          <w:marRight w:val="0"/>
          <w:marTop w:val="0"/>
          <w:marBottom w:val="0"/>
          <w:divBdr>
            <w:top w:val="none" w:sz="0" w:space="0" w:color="auto"/>
            <w:left w:val="none" w:sz="0" w:space="0" w:color="auto"/>
            <w:bottom w:val="none" w:sz="0" w:space="0" w:color="auto"/>
            <w:right w:val="none" w:sz="0" w:space="0" w:color="auto"/>
          </w:divBdr>
          <w:divsChild>
            <w:div w:id="7930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4649">
      <w:bodyDiv w:val="1"/>
      <w:marLeft w:val="0"/>
      <w:marRight w:val="0"/>
      <w:marTop w:val="0"/>
      <w:marBottom w:val="0"/>
      <w:divBdr>
        <w:top w:val="none" w:sz="0" w:space="0" w:color="auto"/>
        <w:left w:val="none" w:sz="0" w:space="0" w:color="auto"/>
        <w:bottom w:val="none" w:sz="0" w:space="0" w:color="auto"/>
        <w:right w:val="none" w:sz="0" w:space="0" w:color="auto"/>
      </w:divBdr>
      <w:divsChild>
        <w:div w:id="1392146464">
          <w:marLeft w:val="480"/>
          <w:marRight w:val="0"/>
          <w:marTop w:val="0"/>
          <w:marBottom w:val="0"/>
          <w:divBdr>
            <w:top w:val="none" w:sz="0" w:space="0" w:color="auto"/>
            <w:left w:val="none" w:sz="0" w:space="0" w:color="auto"/>
            <w:bottom w:val="none" w:sz="0" w:space="0" w:color="auto"/>
            <w:right w:val="none" w:sz="0" w:space="0" w:color="auto"/>
          </w:divBdr>
          <w:divsChild>
            <w:div w:id="1577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3306">
      <w:bodyDiv w:val="1"/>
      <w:marLeft w:val="0"/>
      <w:marRight w:val="0"/>
      <w:marTop w:val="0"/>
      <w:marBottom w:val="0"/>
      <w:divBdr>
        <w:top w:val="none" w:sz="0" w:space="0" w:color="auto"/>
        <w:left w:val="none" w:sz="0" w:space="0" w:color="auto"/>
        <w:bottom w:val="none" w:sz="0" w:space="0" w:color="auto"/>
        <w:right w:val="none" w:sz="0" w:space="0" w:color="auto"/>
      </w:divBdr>
    </w:div>
    <w:div w:id="165094416">
      <w:bodyDiv w:val="1"/>
      <w:marLeft w:val="0"/>
      <w:marRight w:val="0"/>
      <w:marTop w:val="0"/>
      <w:marBottom w:val="0"/>
      <w:divBdr>
        <w:top w:val="none" w:sz="0" w:space="0" w:color="auto"/>
        <w:left w:val="none" w:sz="0" w:space="0" w:color="auto"/>
        <w:bottom w:val="none" w:sz="0" w:space="0" w:color="auto"/>
        <w:right w:val="none" w:sz="0" w:space="0" w:color="auto"/>
      </w:divBdr>
      <w:divsChild>
        <w:div w:id="1455489264">
          <w:marLeft w:val="480"/>
          <w:marRight w:val="0"/>
          <w:marTop w:val="0"/>
          <w:marBottom w:val="0"/>
          <w:divBdr>
            <w:top w:val="none" w:sz="0" w:space="0" w:color="auto"/>
            <w:left w:val="none" w:sz="0" w:space="0" w:color="auto"/>
            <w:bottom w:val="none" w:sz="0" w:space="0" w:color="auto"/>
            <w:right w:val="none" w:sz="0" w:space="0" w:color="auto"/>
          </w:divBdr>
          <w:divsChild>
            <w:div w:id="11714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737">
      <w:bodyDiv w:val="1"/>
      <w:marLeft w:val="0"/>
      <w:marRight w:val="0"/>
      <w:marTop w:val="0"/>
      <w:marBottom w:val="0"/>
      <w:divBdr>
        <w:top w:val="none" w:sz="0" w:space="0" w:color="auto"/>
        <w:left w:val="none" w:sz="0" w:space="0" w:color="auto"/>
        <w:bottom w:val="none" w:sz="0" w:space="0" w:color="auto"/>
        <w:right w:val="none" w:sz="0" w:space="0" w:color="auto"/>
      </w:divBdr>
      <w:divsChild>
        <w:div w:id="1457529612">
          <w:marLeft w:val="480"/>
          <w:marRight w:val="0"/>
          <w:marTop w:val="0"/>
          <w:marBottom w:val="0"/>
          <w:divBdr>
            <w:top w:val="none" w:sz="0" w:space="0" w:color="auto"/>
            <w:left w:val="none" w:sz="0" w:space="0" w:color="auto"/>
            <w:bottom w:val="none" w:sz="0" w:space="0" w:color="auto"/>
            <w:right w:val="none" w:sz="0" w:space="0" w:color="auto"/>
          </w:divBdr>
          <w:divsChild>
            <w:div w:id="840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6922">
      <w:bodyDiv w:val="1"/>
      <w:marLeft w:val="0"/>
      <w:marRight w:val="0"/>
      <w:marTop w:val="0"/>
      <w:marBottom w:val="0"/>
      <w:divBdr>
        <w:top w:val="none" w:sz="0" w:space="0" w:color="auto"/>
        <w:left w:val="none" w:sz="0" w:space="0" w:color="auto"/>
        <w:bottom w:val="none" w:sz="0" w:space="0" w:color="auto"/>
        <w:right w:val="none" w:sz="0" w:space="0" w:color="auto"/>
      </w:divBdr>
      <w:divsChild>
        <w:div w:id="988483122">
          <w:marLeft w:val="480"/>
          <w:marRight w:val="0"/>
          <w:marTop w:val="0"/>
          <w:marBottom w:val="0"/>
          <w:divBdr>
            <w:top w:val="none" w:sz="0" w:space="0" w:color="auto"/>
            <w:left w:val="none" w:sz="0" w:space="0" w:color="auto"/>
            <w:bottom w:val="none" w:sz="0" w:space="0" w:color="auto"/>
            <w:right w:val="none" w:sz="0" w:space="0" w:color="auto"/>
          </w:divBdr>
          <w:divsChild>
            <w:div w:id="10895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74723">
      <w:bodyDiv w:val="1"/>
      <w:marLeft w:val="0"/>
      <w:marRight w:val="0"/>
      <w:marTop w:val="0"/>
      <w:marBottom w:val="0"/>
      <w:divBdr>
        <w:top w:val="none" w:sz="0" w:space="0" w:color="auto"/>
        <w:left w:val="none" w:sz="0" w:space="0" w:color="auto"/>
        <w:bottom w:val="none" w:sz="0" w:space="0" w:color="auto"/>
        <w:right w:val="none" w:sz="0" w:space="0" w:color="auto"/>
      </w:divBdr>
      <w:divsChild>
        <w:div w:id="657922797">
          <w:marLeft w:val="480"/>
          <w:marRight w:val="0"/>
          <w:marTop w:val="0"/>
          <w:marBottom w:val="0"/>
          <w:divBdr>
            <w:top w:val="none" w:sz="0" w:space="0" w:color="auto"/>
            <w:left w:val="none" w:sz="0" w:space="0" w:color="auto"/>
            <w:bottom w:val="none" w:sz="0" w:space="0" w:color="auto"/>
            <w:right w:val="none" w:sz="0" w:space="0" w:color="auto"/>
          </w:divBdr>
          <w:divsChild>
            <w:div w:id="18159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75749">
      <w:bodyDiv w:val="1"/>
      <w:marLeft w:val="0"/>
      <w:marRight w:val="0"/>
      <w:marTop w:val="0"/>
      <w:marBottom w:val="0"/>
      <w:divBdr>
        <w:top w:val="none" w:sz="0" w:space="0" w:color="auto"/>
        <w:left w:val="none" w:sz="0" w:space="0" w:color="auto"/>
        <w:bottom w:val="none" w:sz="0" w:space="0" w:color="auto"/>
        <w:right w:val="none" w:sz="0" w:space="0" w:color="auto"/>
      </w:divBdr>
      <w:divsChild>
        <w:div w:id="678510400">
          <w:marLeft w:val="480"/>
          <w:marRight w:val="0"/>
          <w:marTop w:val="0"/>
          <w:marBottom w:val="0"/>
          <w:divBdr>
            <w:top w:val="none" w:sz="0" w:space="0" w:color="auto"/>
            <w:left w:val="none" w:sz="0" w:space="0" w:color="auto"/>
            <w:bottom w:val="none" w:sz="0" w:space="0" w:color="auto"/>
            <w:right w:val="none" w:sz="0" w:space="0" w:color="auto"/>
          </w:divBdr>
          <w:divsChild>
            <w:div w:id="20393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6565">
      <w:bodyDiv w:val="1"/>
      <w:marLeft w:val="0"/>
      <w:marRight w:val="0"/>
      <w:marTop w:val="0"/>
      <w:marBottom w:val="0"/>
      <w:divBdr>
        <w:top w:val="none" w:sz="0" w:space="0" w:color="auto"/>
        <w:left w:val="none" w:sz="0" w:space="0" w:color="auto"/>
        <w:bottom w:val="none" w:sz="0" w:space="0" w:color="auto"/>
        <w:right w:val="none" w:sz="0" w:space="0" w:color="auto"/>
      </w:divBdr>
      <w:divsChild>
        <w:div w:id="947588804">
          <w:marLeft w:val="480"/>
          <w:marRight w:val="0"/>
          <w:marTop w:val="0"/>
          <w:marBottom w:val="0"/>
          <w:divBdr>
            <w:top w:val="none" w:sz="0" w:space="0" w:color="auto"/>
            <w:left w:val="none" w:sz="0" w:space="0" w:color="auto"/>
            <w:bottom w:val="none" w:sz="0" w:space="0" w:color="auto"/>
            <w:right w:val="none" w:sz="0" w:space="0" w:color="auto"/>
          </w:divBdr>
          <w:divsChild>
            <w:div w:id="5818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3138">
      <w:bodyDiv w:val="1"/>
      <w:marLeft w:val="0"/>
      <w:marRight w:val="0"/>
      <w:marTop w:val="0"/>
      <w:marBottom w:val="0"/>
      <w:divBdr>
        <w:top w:val="none" w:sz="0" w:space="0" w:color="auto"/>
        <w:left w:val="none" w:sz="0" w:space="0" w:color="auto"/>
        <w:bottom w:val="none" w:sz="0" w:space="0" w:color="auto"/>
        <w:right w:val="none" w:sz="0" w:space="0" w:color="auto"/>
      </w:divBdr>
    </w:div>
    <w:div w:id="369459127">
      <w:bodyDiv w:val="1"/>
      <w:marLeft w:val="0"/>
      <w:marRight w:val="0"/>
      <w:marTop w:val="0"/>
      <w:marBottom w:val="0"/>
      <w:divBdr>
        <w:top w:val="none" w:sz="0" w:space="0" w:color="auto"/>
        <w:left w:val="none" w:sz="0" w:space="0" w:color="auto"/>
        <w:bottom w:val="none" w:sz="0" w:space="0" w:color="auto"/>
        <w:right w:val="none" w:sz="0" w:space="0" w:color="auto"/>
      </w:divBdr>
      <w:divsChild>
        <w:div w:id="94791090">
          <w:marLeft w:val="480"/>
          <w:marRight w:val="0"/>
          <w:marTop w:val="0"/>
          <w:marBottom w:val="0"/>
          <w:divBdr>
            <w:top w:val="none" w:sz="0" w:space="0" w:color="auto"/>
            <w:left w:val="none" w:sz="0" w:space="0" w:color="auto"/>
            <w:bottom w:val="none" w:sz="0" w:space="0" w:color="auto"/>
            <w:right w:val="none" w:sz="0" w:space="0" w:color="auto"/>
          </w:divBdr>
          <w:divsChild>
            <w:div w:id="25586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4568">
      <w:bodyDiv w:val="1"/>
      <w:marLeft w:val="0"/>
      <w:marRight w:val="0"/>
      <w:marTop w:val="0"/>
      <w:marBottom w:val="0"/>
      <w:divBdr>
        <w:top w:val="none" w:sz="0" w:space="0" w:color="auto"/>
        <w:left w:val="none" w:sz="0" w:space="0" w:color="auto"/>
        <w:bottom w:val="none" w:sz="0" w:space="0" w:color="auto"/>
        <w:right w:val="none" w:sz="0" w:space="0" w:color="auto"/>
      </w:divBdr>
    </w:div>
    <w:div w:id="370762535">
      <w:bodyDiv w:val="1"/>
      <w:marLeft w:val="0"/>
      <w:marRight w:val="0"/>
      <w:marTop w:val="0"/>
      <w:marBottom w:val="0"/>
      <w:divBdr>
        <w:top w:val="none" w:sz="0" w:space="0" w:color="auto"/>
        <w:left w:val="none" w:sz="0" w:space="0" w:color="auto"/>
        <w:bottom w:val="none" w:sz="0" w:space="0" w:color="auto"/>
        <w:right w:val="none" w:sz="0" w:space="0" w:color="auto"/>
      </w:divBdr>
    </w:div>
    <w:div w:id="379092806">
      <w:bodyDiv w:val="1"/>
      <w:marLeft w:val="0"/>
      <w:marRight w:val="0"/>
      <w:marTop w:val="0"/>
      <w:marBottom w:val="0"/>
      <w:divBdr>
        <w:top w:val="none" w:sz="0" w:space="0" w:color="auto"/>
        <w:left w:val="none" w:sz="0" w:space="0" w:color="auto"/>
        <w:bottom w:val="none" w:sz="0" w:space="0" w:color="auto"/>
        <w:right w:val="none" w:sz="0" w:space="0" w:color="auto"/>
      </w:divBdr>
    </w:div>
    <w:div w:id="384838956">
      <w:bodyDiv w:val="1"/>
      <w:marLeft w:val="0"/>
      <w:marRight w:val="0"/>
      <w:marTop w:val="0"/>
      <w:marBottom w:val="0"/>
      <w:divBdr>
        <w:top w:val="none" w:sz="0" w:space="0" w:color="auto"/>
        <w:left w:val="none" w:sz="0" w:space="0" w:color="auto"/>
        <w:bottom w:val="none" w:sz="0" w:space="0" w:color="auto"/>
        <w:right w:val="none" w:sz="0" w:space="0" w:color="auto"/>
      </w:divBdr>
      <w:divsChild>
        <w:div w:id="1891262371">
          <w:marLeft w:val="480"/>
          <w:marRight w:val="0"/>
          <w:marTop w:val="0"/>
          <w:marBottom w:val="0"/>
          <w:divBdr>
            <w:top w:val="none" w:sz="0" w:space="0" w:color="auto"/>
            <w:left w:val="none" w:sz="0" w:space="0" w:color="auto"/>
            <w:bottom w:val="none" w:sz="0" w:space="0" w:color="auto"/>
            <w:right w:val="none" w:sz="0" w:space="0" w:color="auto"/>
          </w:divBdr>
          <w:divsChild>
            <w:div w:id="455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9649">
      <w:bodyDiv w:val="1"/>
      <w:marLeft w:val="0"/>
      <w:marRight w:val="0"/>
      <w:marTop w:val="0"/>
      <w:marBottom w:val="0"/>
      <w:divBdr>
        <w:top w:val="none" w:sz="0" w:space="0" w:color="auto"/>
        <w:left w:val="none" w:sz="0" w:space="0" w:color="auto"/>
        <w:bottom w:val="none" w:sz="0" w:space="0" w:color="auto"/>
        <w:right w:val="none" w:sz="0" w:space="0" w:color="auto"/>
      </w:divBdr>
      <w:divsChild>
        <w:div w:id="551775844">
          <w:marLeft w:val="480"/>
          <w:marRight w:val="0"/>
          <w:marTop w:val="0"/>
          <w:marBottom w:val="0"/>
          <w:divBdr>
            <w:top w:val="none" w:sz="0" w:space="0" w:color="auto"/>
            <w:left w:val="none" w:sz="0" w:space="0" w:color="auto"/>
            <w:bottom w:val="none" w:sz="0" w:space="0" w:color="auto"/>
            <w:right w:val="none" w:sz="0" w:space="0" w:color="auto"/>
          </w:divBdr>
          <w:divsChild>
            <w:div w:id="3683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5996">
      <w:bodyDiv w:val="1"/>
      <w:marLeft w:val="0"/>
      <w:marRight w:val="0"/>
      <w:marTop w:val="0"/>
      <w:marBottom w:val="0"/>
      <w:divBdr>
        <w:top w:val="none" w:sz="0" w:space="0" w:color="auto"/>
        <w:left w:val="none" w:sz="0" w:space="0" w:color="auto"/>
        <w:bottom w:val="none" w:sz="0" w:space="0" w:color="auto"/>
        <w:right w:val="none" w:sz="0" w:space="0" w:color="auto"/>
      </w:divBdr>
      <w:divsChild>
        <w:div w:id="1566254156">
          <w:marLeft w:val="480"/>
          <w:marRight w:val="0"/>
          <w:marTop w:val="0"/>
          <w:marBottom w:val="0"/>
          <w:divBdr>
            <w:top w:val="none" w:sz="0" w:space="0" w:color="auto"/>
            <w:left w:val="none" w:sz="0" w:space="0" w:color="auto"/>
            <w:bottom w:val="none" w:sz="0" w:space="0" w:color="auto"/>
            <w:right w:val="none" w:sz="0" w:space="0" w:color="auto"/>
          </w:divBdr>
          <w:divsChild>
            <w:div w:id="18334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4106">
      <w:bodyDiv w:val="1"/>
      <w:marLeft w:val="0"/>
      <w:marRight w:val="0"/>
      <w:marTop w:val="0"/>
      <w:marBottom w:val="0"/>
      <w:divBdr>
        <w:top w:val="none" w:sz="0" w:space="0" w:color="auto"/>
        <w:left w:val="none" w:sz="0" w:space="0" w:color="auto"/>
        <w:bottom w:val="none" w:sz="0" w:space="0" w:color="auto"/>
        <w:right w:val="none" w:sz="0" w:space="0" w:color="auto"/>
      </w:divBdr>
      <w:divsChild>
        <w:div w:id="1817185468">
          <w:marLeft w:val="480"/>
          <w:marRight w:val="0"/>
          <w:marTop w:val="0"/>
          <w:marBottom w:val="0"/>
          <w:divBdr>
            <w:top w:val="none" w:sz="0" w:space="0" w:color="auto"/>
            <w:left w:val="none" w:sz="0" w:space="0" w:color="auto"/>
            <w:bottom w:val="none" w:sz="0" w:space="0" w:color="auto"/>
            <w:right w:val="none" w:sz="0" w:space="0" w:color="auto"/>
          </w:divBdr>
          <w:divsChild>
            <w:div w:id="1376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8145">
      <w:bodyDiv w:val="1"/>
      <w:marLeft w:val="0"/>
      <w:marRight w:val="0"/>
      <w:marTop w:val="0"/>
      <w:marBottom w:val="0"/>
      <w:divBdr>
        <w:top w:val="none" w:sz="0" w:space="0" w:color="auto"/>
        <w:left w:val="none" w:sz="0" w:space="0" w:color="auto"/>
        <w:bottom w:val="none" w:sz="0" w:space="0" w:color="auto"/>
        <w:right w:val="none" w:sz="0" w:space="0" w:color="auto"/>
      </w:divBdr>
      <w:divsChild>
        <w:div w:id="639959554">
          <w:marLeft w:val="480"/>
          <w:marRight w:val="0"/>
          <w:marTop w:val="0"/>
          <w:marBottom w:val="0"/>
          <w:divBdr>
            <w:top w:val="none" w:sz="0" w:space="0" w:color="auto"/>
            <w:left w:val="none" w:sz="0" w:space="0" w:color="auto"/>
            <w:bottom w:val="none" w:sz="0" w:space="0" w:color="auto"/>
            <w:right w:val="none" w:sz="0" w:space="0" w:color="auto"/>
          </w:divBdr>
          <w:divsChild>
            <w:div w:id="11552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6333">
      <w:bodyDiv w:val="1"/>
      <w:marLeft w:val="0"/>
      <w:marRight w:val="0"/>
      <w:marTop w:val="0"/>
      <w:marBottom w:val="0"/>
      <w:divBdr>
        <w:top w:val="none" w:sz="0" w:space="0" w:color="auto"/>
        <w:left w:val="none" w:sz="0" w:space="0" w:color="auto"/>
        <w:bottom w:val="none" w:sz="0" w:space="0" w:color="auto"/>
        <w:right w:val="none" w:sz="0" w:space="0" w:color="auto"/>
      </w:divBdr>
    </w:div>
    <w:div w:id="526990203">
      <w:bodyDiv w:val="1"/>
      <w:marLeft w:val="0"/>
      <w:marRight w:val="0"/>
      <w:marTop w:val="0"/>
      <w:marBottom w:val="0"/>
      <w:divBdr>
        <w:top w:val="none" w:sz="0" w:space="0" w:color="auto"/>
        <w:left w:val="none" w:sz="0" w:space="0" w:color="auto"/>
        <w:bottom w:val="none" w:sz="0" w:space="0" w:color="auto"/>
        <w:right w:val="none" w:sz="0" w:space="0" w:color="auto"/>
      </w:divBdr>
    </w:div>
    <w:div w:id="531960589">
      <w:bodyDiv w:val="1"/>
      <w:marLeft w:val="0"/>
      <w:marRight w:val="0"/>
      <w:marTop w:val="0"/>
      <w:marBottom w:val="0"/>
      <w:divBdr>
        <w:top w:val="none" w:sz="0" w:space="0" w:color="auto"/>
        <w:left w:val="none" w:sz="0" w:space="0" w:color="auto"/>
        <w:bottom w:val="none" w:sz="0" w:space="0" w:color="auto"/>
        <w:right w:val="none" w:sz="0" w:space="0" w:color="auto"/>
      </w:divBdr>
      <w:divsChild>
        <w:div w:id="135145325">
          <w:marLeft w:val="480"/>
          <w:marRight w:val="0"/>
          <w:marTop w:val="0"/>
          <w:marBottom w:val="0"/>
          <w:divBdr>
            <w:top w:val="none" w:sz="0" w:space="0" w:color="auto"/>
            <w:left w:val="none" w:sz="0" w:space="0" w:color="auto"/>
            <w:bottom w:val="none" w:sz="0" w:space="0" w:color="auto"/>
            <w:right w:val="none" w:sz="0" w:space="0" w:color="auto"/>
          </w:divBdr>
          <w:divsChild>
            <w:div w:id="10758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312">
      <w:bodyDiv w:val="1"/>
      <w:marLeft w:val="0"/>
      <w:marRight w:val="0"/>
      <w:marTop w:val="0"/>
      <w:marBottom w:val="0"/>
      <w:divBdr>
        <w:top w:val="none" w:sz="0" w:space="0" w:color="auto"/>
        <w:left w:val="none" w:sz="0" w:space="0" w:color="auto"/>
        <w:bottom w:val="none" w:sz="0" w:space="0" w:color="auto"/>
        <w:right w:val="none" w:sz="0" w:space="0" w:color="auto"/>
      </w:divBdr>
    </w:div>
    <w:div w:id="557284975">
      <w:bodyDiv w:val="1"/>
      <w:marLeft w:val="0"/>
      <w:marRight w:val="0"/>
      <w:marTop w:val="0"/>
      <w:marBottom w:val="0"/>
      <w:divBdr>
        <w:top w:val="none" w:sz="0" w:space="0" w:color="auto"/>
        <w:left w:val="none" w:sz="0" w:space="0" w:color="auto"/>
        <w:bottom w:val="none" w:sz="0" w:space="0" w:color="auto"/>
        <w:right w:val="none" w:sz="0" w:space="0" w:color="auto"/>
      </w:divBdr>
    </w:div>
    <w:div w:id="634875843">
      <w:bodyDiv w:val="1"/>
      <w:marLeft w:val="0"/>
      <w:marRight w:val="0"/>
      <w:marTop w:val="0"/>
      <w:marBottom w:val="0"/>
      <w:divBdr>
        <w:top w:val="none" w:sz="0" w:space="0" w:color="auto"/>
        <w:left w:val="none" w:sz="0" w:space="0" w:color="auto"/>
        <w:bottom w:val="none" w:sz="0" w:space="0" w:color="auto"/>
        <w:right w:val="none" w:sz="0" w:space="0" w:color="auto"/>
      </w:divBdr>
      <w:divsChild>
        <w:div w:id="1235123897">
          <w:marLeft w:val="480"/>
          <w:marRight w:val="0"/>
          <w:marTop w:val="0"/>
          <w:marBottom w:val="0"/>
          <w:divBdr>
            <w:top w:val="none" w:sz="0" w:space="0" w:color="auto"/>
            <w:left w:val="none" w:sz="0" w:space="0" w:color="auto"/>
            <w:bottom w:val="none" w:sz="0" w:space="0" w:color="auto"/>
            <w:right w:val="none" w:sz="0" w:space="0" w:color="auto"/>
          </w:divBdr>
          <w:divsChild>
            <w:div w:id="54337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43407">
      <w:bodyDiv w:val="1"/>
      <w:marLeft w:val="0"/>
      <w:marRight w:val="0"/>
      <w:marTop w:val="0"/>
      <w:marBottom w:val="0"/>
      <w:divBdr>
        <w:top w:val="none" w:sz="0" w:space="0" w:color="auto"/>
        <w:left w:val="none" w:sz="0" w:space="0" w:color="auto"/>
        <w:bottom w:val="none" w:sz="0" w:space="0" w:color="auto"/>
        <w:right w:val="none" w:sz="0" w:space="0" w:color="auto"/>
      </w:divBdr>
      <w:divsChild>
        <w:div w:id="1755854432">
          <w:marLeft w:val="480"/>
          <w:marRight w:val="0"/>
          <w:marTop w:val="0"/>
          <w:marBottom w:val="0"/>
          <w:divBdr>
            <w:top w:val="none" w:sz="0" w:space="0" w:color="auto"/>
            <w:left w:val="none" w:sz="0" w:space="0" w:color="auto"/>
            <w:bottom w:val="none" w:sz="0" w:space="0" w:color="auto"/>
            <w:right w:val="none" w:sz="0" w:space="0" w:color="auto"/>
          </w:divBdr>
          <w:divsChild>
            <w:div w:id="19143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3868">
      <w:bodyDiv w:val="1"/>
      <w:marLeft w:val="0"/>
      <w:marRight w:val="0"/>
      <w:marTop w:val="0"/>
      <w:marBottom w:val="0"/>
      <w:divBdr>
        <w:top w:val="none" w:sz="0" w:space="0" w:color="auto"/>
        <w:left w:val="none" w:sz="0" w:space="0" w:color="auto"/>
        <w:bottom w:val="none" w:sz="0" w:space="0" w:color="auto"/>
        <w:right w:val="none" w:sz="0" w:space="0" w:color="auto"/>
      </w:divBdr>
      <w:divsChild>
        <w:div w:id="161165173">
          <w:marLeft w:val="480"/>
          <w:marRight w:val="0"/>
          <w:marTop w:val="0"/>
          <w:marBottom w:val="0"/>
          <w:divBdr>
            <w:top w:val="none" w:sz="0" w:space="0" w:color="auto"/>
            <w:left w:val="none" w:sz="0" w:space="0" w:color="auto"/>
            <w:bottom w:val="none" w:sz="0" w:space="0" w:color="auto"/>
            <w:right w:val="none" w:sz="0" w:space="0" w:color="auto"/>
          </w:divBdr>
          <w:divsChild>
            <w:div w:id="19122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3375">
      <w:bodyDiv w:val="1"/>
      <w:marLeft w:val="0"/>
      <w:marRight w:val="0"/>
      <w:marTop w:val="0"/>
      <w:marBottom w:val="0"/>
      <w:divBdr>
        <w:top w:val="none" w:sz="0" w:space="0" w:color="auto"/>
        <w:left w:val="none" w:sz="0" w:space="0" w:color="auto"/>
        <w:bottom w:val="none" w:sz="0" w:space="0" w:color="auto"/>
        <w:right w:val="none" w:sz="0" w:space="0" w:color="auto"/>
      </w:divBdr>
      <w:divsChild>
        <w:div w:id="308704262">
          <w:marLeft w:val="480"/>
          <w:marRight w:val="0"/>
          <w:marTop w:val="0"/>
          <w:marBottom w:val="0"/>
          <w:divBdr>
            <w:top w:val="none" w:sz="0" w:space="0" w:color="auto"/>
            <w:left w:val="none" w:sz="0" w:space="0" w:color="auto"/>
            <w:bottom w:val="none" w:sz="0" w:space="0" w:color="auto"/>
            <w:right w:val="none" w:sz="0" w:space="0" w:color="auto"/>
          </w:divBdr>
          <w:divsChild>
            <w:div w:id="18950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3722">
      <w:bodyDiv w:val="1"/>
      <w:marLeft w:val="0"/>
      <w:marRight w:val="0"/>
      <w:marTop w:val="0"/>
      <w:marBottom w:val="0"/>
      <w:divBdr>
        <w:top w:val="none" w:sz="0" w:space="0" w:color="auto"/>
        <w:left w:val="none" w:sz="0" w:space="0" w:color="auto"/>
        <w:bottom w:val="none" w:sz="0" w:space="0" w:color="auto"/>
        <w:right w:val="none" w:sz="0" w:space="0" w:color="auto"/>
      </w:divBdr>
      <w:divsChild>
        <w:div w:id="280575852">
          <w:marLeft w:val="480"/>
          <w:marRight w:val="0"/>
          <w:marTop w:val="0"/>
          <w:marBottom w:val="0"/>
          <w:divBdr>
            <w:top w:val="none" w:sz="0" w:space="0" w:color="auto"/>
            <w:left w:val="none" w:sz="0" w:space="0" w:color="auto"/>
            <w:bottom w:val="none" w:sz="0" w:space="0" w:color="auto"/>
            <w:right w:val="none" w:sz="0" w:space="0" w:color="auto"/>
          </w:divBdr>
          <w:divsChild>
            <w:div w:id="14983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6192">
      <w:bodyDiv w:val="1"/>
      <w:marLeft w:val="0"/>
      <w:marRight w:val="0"/>
      <w:marTop w:val="0"/>
      <w:marBottom w:val="0"/>
      <w:divBdr>
        <w:top w:val="none" w:sz="0" w:space="0" w:color="auto"/>
        <w:left w:val="none" w:sz="0" w:space="0" w:color="auto"/>
        <w:bottom w:val="none" w:sz="0" w:space="0" w:color="auto"/>
        <w:right w:val="none" w:sz="0" w:space="0" w:color="auto"/>
      </w:divBdr>
      <w:divsChild>
        <w:div w:id="1024986544">
          <w:marLeft w:val="480"/>
          <w:marRight w:val="0"/>
          <w:marTop w:val="0"/>
          <w:marBottom w:val="0"/>
          <w:divBdr>
            <w:top w:val="none" w:sz="0" w:space="0" w:color="auto"/>
            <w:left w:val="none" w:sz="0" w:space="0" w:color="auto"/>
            <w:bottom w:val="none" w:sz="0" w:space="0" w:color="auto"/>
            <w:right w:val="none" w:sz="0" w:space="0" w:color="auto"/>
          </w:divBdr>
          <w:divsChild>
            <w:div w:id="4858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1773">
      <w:bodyDiv w:val="1"/>
      <w:marLeft w:val="0"/>
      <w:marRight w:val="0"/>
      <w:marTop w:val="0"/>
      <w:marBottom w:val="0"/>
      <w:divBdr>
        <w:top w:val="none" w:sz="0" w:space="0" w:color="auto"/>
        <w:left w:val="none" w:sz="0" w:space="0" w:color="auto"/>
        <w:bottom w:val="none" w:sz="0" w:space="0" w:color="auto"/>
        <w:right w:val="none" w:sz="0" w:space="0" w:color="auto"/>
      </w:divBdr>
      <w:divsChild>
        <w:div w:id="2076855656">
          <w:marLeft w:val="480"/>
          <w:marRight w:val="0"/>
          <w:marTop w:val="0"/>
          <w:marBottom w:val="0"/>
          <w:divBdr>
            <w:top w:val="none" w:sz="0" w:space="0" w:color="auto"/>
            <w:left w:val="none" w:sz="0" w:space="0" w:color="auto"/>
            <w:bottom w:val="none" w:sz="0" w:space="0" w:color="auto"/>
            <w:right w:val="none" w:sz="0" w:space="0" w:color="auto"/>
          </w:divBdr>
          <w:divsChild>
            <w:div w:id="12581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78110">
      <w:bodyDiv w:val="1"/>
      <w:marLeft w:val="0"/>
      <w:marRight w:val="0"/>
      <w:marTop w:val="0"/>
      <w:marBottom w:val="0"/>
      <w:divBdr>
        <w:top w:val="none" w:sz="0" w:space="0" w:color="auto"/>
        <w:left w:val="none" w:sz="0" w:space="0" w:color="auto"/>
        <w:bottom w:val="none" w:sz="0" w:space="0" w:color="auto"/>
        <w:right w:val="none" w:sz="0" w:space="0" w:color="auto"/>
      </w:divBdr>
      <w:divsChild>
        <w:div w:id="455876741">
          <w:marLeft w:val="0"/>
          <w:marRight w:val="0"/>
          <w:marTop w:val="0"/>
          <w:marBottom w:val="0"/>
          <w:divBdr>
            <w:top w:val="none" w:sz="0" w:space="0" w:color="auto"/>
            <w:left w:val="none" w:sz="0" w:space="0" w:color="auto"/>
            <w:bottom w:val="none" w:sz="0" w:space="0" w:color="auto"/>
            <w:right w:val="none" w:sz="0" w:space="0" w:color="auto"/>
          </w:divBdr>
        </w:div>
      </w:divsChild>
    </w:div>
    <w:div w:id="730465481">
      <w:bodyDiv w:val="1"/>
      <w:marLeft w:val="0"/>
      <w:marRight w:val="0"/>
      <w:marTop w:val="0"/>
      <w:marBottom w:val="0"/>
      <w:divBdr>
        <w:top w:val="none" w:sz="0" w:space="0" w:color="auto"/>
        <w:left w:val="none" w:sz="0" w:space="0" w:color="auto"/>
        <w:bottom w:val="none" w:sz="0" w:space="0" w:color="auto"/>
        <w:right w:val="none" w:sz="0" w:space="0" w:color="auto"/>
      </w:divBdr>
      <w:divsChild>
        <w:div w:id="1022978560">
          <w:marLeft w:val="480"/>
          <w:marRight w:val="0"/>
          <w:marTop w:val="0"/>
          <w:marBottom w:val="0"/>
          <w:divBdr>
            <w:top w:val="none" w:sz="0" w:space="0" w:color="auto"/>
            <w:left w:val="none" w:sz="0" w:space="0" w:color="auto"/>
            <w:bottom w:val="none" w:sz="0" w:space="0" w:color="auto"/>
            <w:right w:val="none" w:sz="0" w:space="0" w:color="auto"/>
          </w:divBdr>
          <w:divsChild>
            <w:div w:id="10304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3969">
      <w:bodyDiv w:val="1"/>
      <w:marLeft w:val="0"/>
      <w:marRight w:val="0"/>
      <w:marTop w:val="0"/>
      <w:marBottom w:val="0"/>
      <w:divBdr>
        <w:top w:val="none" w:sz="0" w:space="0" w:color="auto"/>
        <w:left w:val="none" w:sz="0" w:space="0" w:color="auto"/>
        <w:bottom w:val="none" w:sz="0" w:space="0" w:color="auto"/>
        <w:right w:val="none" w:sz="0" w:space="0" w:color="auto"/>
      </w:divBdr>
    </w:div>
    <w:div w:id="732849693">
      <w:bodyDiv w:val="1"/>
      <w:marLeft w:val="0"/>
      <w:marRight w:val="0"/>
      <w:marTop w:val="0"/>
      <w:marBottom w:val="0"/>
      <w:divBdr>
        <w:top w:val="none" w:sz="0" w:space="0" w:color="auto"/>
        <w:left w:val="none" w:sz="0" w:space="0" w:color="auto"/>
        <w:bottom w:val="none" w:sz="0" w:space="0" w:color="auto"/>
        <w:right w:val="none" w:sz="0" w:space="0" w:color="auto"/>
      </w:divBdr>
      <w:divsChild>
        <w:div w:id="486291618">
          <w:marLeft w:val="480"/>
          <w:marRight w:val="0"/>
          <w:marTop w:val="0"/>
          <w:marBottom w:val="0"/>
          <w:divBdr>
            <w:top w:val="none" w:sz="0" w:space="0" w:color="auto"/>
            <w:left w:val="none" w:sz="0" w:space="0" w:color="auto"/>
            <w:bottom w:val="none" w:sz="0" w:space="0" w:color="auto"/>
            <w:right w:val="none" w:sz="0" w:space="0" w:color="auto"/>
          </w:divBdr>
          <w:divsChild>
            <w:div w:id="13577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4618">
      <w:bodyDiv w:val="1"/>
      <w:marLeft w:val="0"/>
      <w:marRight w:val="0"/>
      <w:marTop w:val="0"/>
      <w:marBottom w:val="0"/>
      <w:divBdr>
        <w:top w:val="none" w:sz="0" w:space="0" w:color="auto"/>
        <w:left w:val="none" w:sz="0" w:space="0" w:color="auto"/>
        <w:bottom w:val="none" w:sz="0" w:space="0" w:color="auto"/>
        <w:right w:val="none" w:sz="0" w:space="0" w:color="auto"/>
      </w:divBdr>
      <w:divsChild>
        <w:div w:id="1084885097">
          <w:marLeft w:val="480"/>
          <w:marRight w:val="0"/>
          <w:marTop w:val="0"/>
          <w:marBottom w:val="0"/>
          <w:divBdr>
            <w:top w:val="none" w:sz="0" w:space="0" w:color="auto"/>
            <w:left w:val="none" w:sz="0" w:space="0" w:color="auto"/>
            <w:bottom w:val="none" w:sz="0" w:space="0" w:color="auto"/>
            <w:right w:val="none" w:sz="0" w:space="0" w:color="auto"/>
          </w:divBdr>
          <w:divsChild>
            <w:div w:id="20090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3351">
      <w:bodyDiv w:val="1"/>
      <w:marLeft w:val="0"/>
      <w:marRight w:val="0"/>
      <w:marTop w:val="0"/>
      <w:marBottom w:val="0"/>
      <w:divBdr>
        <w:top w:val="none" w:sz="0" w:space="0" w:color="auto"/>
        <w:left w:val="none" w:sz="0" w:space="0" w:color="auto"/>
        <w:bottom w:val="none" w:sz="0" w:space="0" w:color="auto"/>
        <w:right w:val="none" w:sz="0" w:space="0" w:color="auto"/>
      </w:divBdr>
      <w:divsChild>
        <w:div w:id="937326982">
          <w:marLeft w:val="480"/>
          <w:marRight w:val="0"/>
          <w:marTop w:val="0"/>
          <w:marBottom w:val="0"/>
          <w:divBdr>
            <w:top w:val="none" w:sz="0" w:space="0" w:color="auto"/>
            <w:left w:val="none" w:sz="0" w:space="0" w:color="auto"/>
            <w:bottom w:val="none" w:sz="0" w:space="0" w:color="auto"/>
            <w:right w:val="none" w:sz="0" w:space="0" w:color="auto"/>
          </w:divBdr>
          <w:divsChild>
            <w:div w:id="20156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7499671">
      <w:bodyDiv w:val="1"/>
      <w:marLeft w:val="0"/>
      <w:marRight w:val="0"/>
      <w:marTop w:val="0"/>
      <w:marBottom w:val="0"/>
      <w:divBdr>
        <w:top w:val="none" w:sz="0" w:space="0" w:color="auto"/>
        <w:left w:val="none" w:sz="0" w:space="0" w:color="auto"/>
        <w:bottom w:val="none" w:sz="0" w:space="0" w:color="auto"/>
        <w:right w:val="none" w:sz="0" w:space="0" w:color="auto"/>
      </w:divBdr>
      <w:divsChild>
        <w:div w:id="1277062186">
          <w:marLeft w:val="480"/>
          <w:marRight w:val="0"/>
          <w:marTop w:val="0"/>
          <w:marBottom w:val="0"/>
          <w:divBdr>
            <w:top w:val="none" w:sz="0" w:space="0" w:color="auto"/>
            <w:left w:val="none" w:sz="0" w:space="0" w:color="auto"/>
            <w:bottom w:val="none" w:sz="0" w:space="0" w:color="auto"/>
            <w:right w:val="none" w:sz="0" w:space="0" w:color="auto"/>
          </w:divBdr>
          <w:divsChild>
            <w:div w:id="5350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0735">
      <w:bodyDiv w:val="1"/>
      <w:marLeft w:val="0"/>
      <w:marRight w:val="0"/>
      <w:marTop w:val="0"/>
      <w:marBottom w:val="0"/>
      <w:divBdr>
        <w:top w:val="none" w:sz="0" w:space="0" w:color="auto"/>
        <w:left w:val="none" w:sz="0" w:space="0" w:color="auto"/>
        <w:bottom w:val="none" w:sz="0" w:space="0" w:color="auto"/>
        <w:right w:val="none" w:sz="0" w:space="0" w:color="auto"/>
      </w:divBdr>
      <w:divsChild>
        <w:div w:id="1769617256">
          <w:marLeft w:val="480"/>
          <w:marRight w:val="0"/>
          <w:marTop w:val="0"/>
          <w:marBottom w:val="0"/>
          <w:divBdr>
            <w:top w:val="none" w:sz="0" w:space="0" w:color="auto"/>
            <w:left w:val="none" w:sz="0" w:space="0" w:color="auto"/>
            <w:bottom w:val="none" w:sz="0" w:space="0" w:color="auto"/>
            <w:right w:val="none" w:sz="0" w:space="0" w:color="auto"/>
          </w:divBdr>
          <w:divsChild>
            <w:div w:id="626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180">
      <w:bodyDiv w:val="1"/>
      <w:marLeft w:val="0"/>
      <w:marRight w:val="0"/>
      <w:marTop w:val="0"/>
      <w:marBottom w:val="0"/>
      <w:divBdr>
        <w:top w:val="none" w:sz="0" w:space="0" w:color="auto"/>
        <w:left w:val="none" w:sz="0" w:space="0" w:color="auto"/>
        <w:bottom w:val="none" w:sz="0" w:space="0" w:color="auto"/>
        <w:right w:val="none" w:sz="0" w:space="0" w:color="auto"/>
      </w:divBdr>
    </w:div>
    <w:div w:id="881676413">
      <w:bodyDiv w:val="1"/>
      <w:marLeft w:val="0"/>
      <w:marRight w:val="0"/>
      <w:marTop w:val="0"/>
      <w:marBottom w:val="0"/>
      <w:divBdr>
        <w:top w:val="none" w:sz="0" w:space="0" w:color="auto"/>
        <w:left w:val="none" w:sz="0" w:space="0" w:color="auto"/>
        <w:bottom w:val="none" w:sz="0" w:space="0" w:color="auto"/>
        <w:right w:val="none" w:sz="0" w:space="0" w:color="auto"/>
      </w:divBdr>
      <w:divsChild>
        <w:div w:id="1068766261">
          <w:marLeft w:val="480"/>
          <w:marRight w:val="0"/>
          <w:marTop w:val="0"/>
          <w:marBottom w:val="0"/>
          <w:divBdr>
            <w:top w:val="none" w:sz="0" w:space="0" w:color="auto"/>
            <w:left w:val="none" w:sz="0" w:space="0" w:color="auto"/>
            <w:bottom w:val="none" w:sz="0" w:space="0" w:color="auto"/>
            <w:right w:val="none" w:sz="0" w:space="0" w:color="auto"/>
          </w:divBdr>
          <w:divsChild>
            <w:div w:id="1267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0873">
      <w:bodyDiv w:val="1"/>
      <w:marLeft w:val="0"/>
      <w:marRight w:val="0"/>
      <w:marTop w:val="0"/>
      <w:marBottom w:val="0"/>
      <w:divBdr>
        <w:top w:val="none" w:sz="0" w:space="0" w:color="auto"/>
        <w:left w:val="none" w:sz="0" w:space="0" w:color="auto"/>
        <w:bottom w:val="none" w:sz="0" w:space="0" w:color="auto"/>
        <w:right w:val="none" w:sz="0" w:space="0" w:color="auto"/>
      </w:divBdr>
      <w:divsChild>
        <w:div w:id="2063557230">
          <w:marLeft w:val="480"/>
          <w:marRight w:val="0"/>
          <w:marTop w:val="0"/>
          <w:marBottom w:val="0"/>
          <w:divBdr>
            <w:top w:val="none" w:sz="0" w:space="0" w:color="auto"/>
            <w:left w:val="none" w:sz="0" w:space="0" w:color="auto"/>
            <w:bottom w:val="none" w:sz="0" w:space="0" w:color="auto"/>
            <w:right w:val="none" w:sz="0" w:space="0" w:color="auto"/>
          </w:divBdr>
          <w:divsChild>
            <w:div w:id="10571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71432">
      <w:bodyDiv w:val="1"/>
      <w:marLeft w:val="0"/>
      <w:marRight w:val="0"/>
      <w:marTop w:val="0"/>
      <w:marBottom w:val="0"/>
      <w:divBdr>
        <w:top w:val="none" w:sz="0" w:space="0" w:color="auto"/>
        <w:left w:val="none" w:sz="0" w:space="0" w:color="auto"/>
        <w:bottom w:val="none" w:sz="0" w:space="0" w:color="auto"/>
        <w:right w:val="none" w:sz="0" w:space="0" w:color="auto"/>
      </w:divBdr>
      <w:divsChild>
        <w:div w:id="2017149071">
          <w:marLeft w:val="480"/>
          <w:marRight w:val="0"/>
          <w:marTop w:val="0"/>
          <w:marBottom w:val="0"/>
          <w:divBdr>
            <w:top w:val="none" w:sz="0" w:space="0" w:color="auto"/>
            <w:left w:val="none" w:sz="0" w:space="0" w:color="auto"/>
            <w:bottom w:val="none" w:sz="0" w:space="0" w:color="auto"/>
            <w:right w:val="none" w:sz="0" w:space="0" w:color="auto"/>
          </w:divBdr>
          <w:divsChild>
            <w:div w:id="97714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697">
      <w:bodyDiv w:val="1"/>
      <w:marLeft w:val="0"/>
      <w:marRight w:val="0"/>
      <w:marTop w:val="0"/>
      <w:marBottom w:val="0"/>
      <w:divBdr>
        <w:top w:val="none" w:sz="0" w:space="0" w:color="auto"/>
        <w:left w:val="none" w:sz="0" w:space="0" w:color="auto"/>
        <w:bottom w:val="none" w:sz="0" w:space="0" w:color="auto"/>
        <w:right w:val="none" w:sz="0" w:space="0" w:color="auto"/>
      </w:divBdr>
      <w:divsChild>
        <w:div w:id="2044934790">
          <w:marLeft w:val="480"/>
          <w:marRight w:val="0"/>
          <w:marTop w:val="0"/>
          <w:marBottom w:val="0"/>
          <w:divBdr>
            <w:top w:val="none" w:sz="0" w:space="0" w:color="auto"/>
            <w:left w:val="none" w:sz="0" w:space="0" w:color="auto"/>
            <w:bottom w:val="none" w:sz="0" w:space="0" w:color="auto"/>
            <w:right w:val="none" w:sz="0" w:space="0" w:color="auto"/>
          </w:divBdr>
          <w:divsChild>
            <w:div w:id="10627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9750">
      <w:bodyDiv w:val="1"/>
      <w:marLeft w:val="0"/>
      <w:marRight w:val="0"/>
      <w:marTop w:val="0"/>
      <w:marBottom w:val="0"/>
      <w:divBdr>
        <w:top w:val="none" w:sz="0" w:space="0" w:color="auto"/>
        <w:left w:val="none" w:sz="0" w:space="0" w:color="auto"/>
        <w:bottom w:val="none" w:sz="0" w:space="0" w:color="auto"/>
        <w:right w:val="none" w:sz="0" w:space="0" w:color="auto"/>
      </w:divBdr>
      <w:divsChild>
        <w:div w:id="174341813">
          <w:marLeft w:val="480"/>
          <w:marRight w:val="0"/>
          <w:marTop w:val="0"/>
          <w:marBottom w:val="0"/>
          <w:divBdr>
            <w:top w:val="none" w:sz="0" w:space="0" w:color="auto"/>
            <w:left w:val="none" w:sz="0" w:space="0" w:color="auto"/>
            <w:bottom w:val="none" w:sz="0" w:space="0" w:color="auto"/>
            <w:right w:val="none" w:sz="0" w:space="0" w:color="auto"/>
          </w:divBdr>
          <w:divsChild>
            <w:div w:id="67110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1104">
      <w:bodyDiv w:val="1"/>
      <w:marLeft w:val="0"/>
      <w:marRight w:val="0"/>
      <w:marTop w:val="0"/>
      <w:marBottom w:val="0"/>
      <w:divBdr>
        <w:top w:val="none" w:sz="0" w:space="0" w:color="auto"/>
        <w:left w:val="none" w:sz="0" w:space="0" w:color="auto"/>
        <w:bottom w:val="none" w:sz="0" w:space="0" w:color="auto"/>
        <w:right w:val="none" w:sz="0" w:space="0" w:color="auto"/>
      </w:divBdr>
      <w:divsChild>
        <w:div w:id="135532356">
          <w:marLeft w:val="480"/>
          <w:marRight w:val="0"/>
          <w:marTop w:val="0"/>
          <w:marBottom w:val="0"/>
          <w:divBdr>
            <w:top w:val="none" w:sz="0" w:space="0" w:color="auto"/>
            <w:left w:val="none" w:sz="0" w:space="0" w:color="auto"/>
            <w:bottom w:val="none" w:sz="0" w:space="0" w:color="auto"/>
            <w:right w:val="none" w:sz="0" w:space="0" w:color="auto"/>
          </w:divBdr>
          <w:divsChild>
            <w:div w:id="155399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8893">
      <w:bodyDiv w:val="1"/>
      <w:marLeft w:val="0"/>
      <w:marRight w:val="0"/>
      <w:marTop w:val="0"/>
      <w:marBottom w:val="0"/>
      <w:divBdr>
        <w:top w:val="none" w:sz="0" w:space="0" w:color="auto"/>
        <w:left w:val="none" w:sz="0" w:space="0" w:color="auto"/>
        <w:bottom w:val="none" w:sz="0" w:space="0" w:color="auto"/>
        <w:right w:val="none" w:sz="0" w:space="0" w:color="auto"/>
      </w:divBdr>
      <w:divsChild>
        <w:div w:id="215818167">
          <w:marLeft w:val="480"/>
          <w:marRight w:val="0"/>
          <w:marTop w:val="0"/>
          <w:marBottom w:val="0"/>
          <w:divBdr>
            <w:top w:val="none" w:sz="0" w:space="0" w:color="auto"/>
            <w:left w:val="none" w:sz="0" w:space="0" w:color="auto"/>
            <w:bottom w:val="none" w:sz="0" w:space="0" w:color="auto"/>
            <w:right w:val="none" w:sz="0" w:space="0" w:color="auto"/>
          </w:divBdr>
          <w:divsChild>
            <w:div w:id="12815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0378">
      <w:bodyDiv w:val="1"/>
      <w:marLeft w:val="0"/>
      <w:marRight w:val="0"/>
      <w:marTop w:val="0"/>
      <w:marBottom w:val="0"/>
      <w:divBdr>
        <w:top w:val="none" w:sz="0" w:space="0" w:color="auto"/>
        <w:left w:val="none" w:sz="0" w:space="0" w:color="auto"/>
        <w:bottom w:val="none" w:sz="0" w:space="0" w:color="auto"/>
        <w:right w:val="none" w:sz="0" w:space="0" w:color="auto"/>
      </w:divBdr>
      <w:divsChild>
        <w:div w:id="1418479299">
          <w:marLeft w:val="480"/>
          <w:marRight w:val="0"/>
          <w:marTop w:val="0"/>
          <w:marBottom w:val="0"/>
          <w:divBdr>
            <w:top w:val="none" w:sz="0" w:space="0" w:color="auto"/>
            <w:left w:val="none" w:sz="0" w:space="0" w:color="auto"/>
            <w:bottom w:val="none" w:sz="0" w:space="0" w:color="auto"/>
            <w:right w:val="none" w:sz="0" w:space="0" w:color="auto"/>
          </w:divBdr>
          <w:divsChild>
            <w:div w:id="7893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78743">
      <w:bodyDiv w:val="1"/>
      <w:marLeft w:val="0"/>
      <w:marRight w:val="0"/>
      <w:marTop w:val="0"/>
      <w:marBottom w:val="0"/>
      <w:divBdr>
        <w:top w:val="none" w:sz="0" w:space="0" w:color="auto"/>
        <w:left w:val="none" w:sz="0" w:space="0" w:color="auto"/>
        <w:bottom w:val="none" w:sz="0" w:space="0" w:color="auto"/>
        <w:right w:val="none" w:sz="0" w:space="0" w:color="auto"/>
      </w:divBdr>
      <w:divsChild>
        <w:div w:id="1706253607">
          <w:marLeft w:val="480"/>
          <w:marRight w:val="0"/>
          <w:marTop w:val="0"/>
          <w:marBottom w:val="0"/>
          <w:divBdr>
            <w:top w:val="none" w:sz="0" w:space="0" w:color="auto"/>
            <w:left w:val="none" w:sz="0" w:space="0" w:color="auto"/>
            <w:bottom w:val="none" w:sz="0" w:space="0" w:color="auto"/>
            <w:right w:val="none" w:sz="0" w:space="0" w:color="auto"/>
          </w:divBdr>
          <w:divsChild>
            <w:div w:id="3669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56185">
      <w:bodyDiv w:val="1"/>
      <w:marLeft w:val="0"/>
      <w:marRight w:val="0"/>
      <w:marTop w:val="0"/>
      <w:marBottom w:val="0"/>
      <w:divBdr>
        <w:top w:val="none" w:sz="0" w:space="0" w:color="auto"/>
        <w:left w:val="none" w:sz="0" w:space="0" w:color="auto"/>
        <w:bottom w:val="none" w:sz="0" w:space="0" w:color="auto"/>
        <w:right w:val="none" w:sz="0" w:space="0" w:color="auto"/>
      </w:divBdr>
      <w:divsChild>
        <w:div w:id="1702582627">
          <w:marLeft w:val="480"/>
          <w:marRight w:val="0"/>
          <w:marTop w:val="0"/>
          <w:marBottom w:val="0"/>
          <w:divBdr>
            <w:top w:val="none" w:sz="0" w:space="0" w:color="auto"/>
            <w:left w:val="none" w:sz="0" w:space="0" w:color="auto"/>
            <w:bottom w:val="none" w:sz="0" w:space="0" w:color="auto"/>
            <w:right w:val="none" w:sz="0" w:space="0" w:color="auto"/>
          </w:divBdr>
          <w:divsChild>
            <w:div w:id="18082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37985">
      <w:bodyDiv w:val="1"/>
      <w:marLeft w:val="0"/>
      <w:marRight w:val="0"/>
      <w:marTop w:val="0"/>
      <w:marBottom w:val="0"/>
      <w:divBdr>
        <w:top w:val="none" w:sz="0" w:space="0" w:color="auto"/>
        <w:left w:val="none" w:sz="0" w:space="0" w:color="auto"/>
        <w:bottom w:val="none" w:sz="0" w:space="0" w:color="auto"/>
        <w:right w:val="none" w:sz="0" w:space="0" w:color="auto"/>
      </w:divBdr>
      <w:divsChild>
        <w:div w:id="1040085809">
          <w:marLeft w:val="480"/>
          <w:marRight w:val="0"/>
          <w:marTop w:val="0"/>
          <w:marBottom w:val="0"/>
          <w:divBdr>
            <w:top w:val="none" w:sz="0" w:space="0" w:color="auto"/>
            <w:left w:val="none" w:sz="0" w:space="0" w:color="auto"/>
            <w:bottom w:val="none" w:sz="0" w:space="0" w:color="auto"/>
            <w:right w:val="none" w:sz="0" w:space="0" w:color="auto"/>
          </w:divBdr>
          <w:divsChild>
            <w:div w:id="18221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50193">
      <w:bodyDiv w:val="1"/>
      <w:marLeft w:val="0"/>
      <w:marRight w:val="0"/>
      <w:marTop w:val="0"/>
      <w:marBottom w:val="0"/>
      <w:divBdr>
        <w:top w:val="none" w:sz="0" w:space="0" w:color="auto"/>
        <w:left w:val="none" w:sz="0" w:space="0" w:color="auto"/>
        <w:bottom w:val="none" w:sz="0" w:space="0" w:color="auto"/>
        <w:right w:val="none" w:sz="0" w:space="0" w:color="auto"/>
      </w:divBdr>
    </w:div>
    <w:div w:id="1119907814">
      <w:bodyDiv w:val="1"/>
      <w:marLeft w:val="0"/>
      <w:marRight w:val="0"/>
      <w:marTop w:val="0"/>
      <w:marBottom w:val="0"/>
      <w:divBdr>
        <w:top w:val="none" w:sz="0" w:space="0" w:color="auto"/>
        <w:left w:val="none" w:sz="0" w:space="0" w:color="auto"/>
        <w:bottom w:val="none" w:sz="0" w:space="0" w:color="auto"/>
        <w:right w:val="none" w:sz="0" w:space="0" w:color="auto"/>
      </w:divBdr>
      <w:divsChild>
        <w:div w:id="1296987900">
          <w:marLeft w:val="480"/>
          <w:marRight w:val="0"/>
          <w:marTop w:val="0"/>
          <w:marBottom w:val="0"/>
          <w:divBdr>
            <w:top w:val="none" w:sz="0" w:space="0" w:color="auto"/>
            <w:left w:val="none" w:sz="0" w:space="0" w:color="auto"/>
            <w:bottom w:val="none" w:sz="0" w:space="0" w:color="auto"/>
            <w:right w:val="none" w:sz="0" w:space="0" w:color="auto"/>
          </w:divBdr>
          <w:divsChild>
            <w:div w:id="432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3018">
      <w:bodyDiv w:val="1"/>
      <w:marLeft w:val="0"/>
      <w:marRight w:val="0"/>
      <w:marTop w:val="0"/>
      <w:marBottom w:val="0"/>
      <w:divBdr>
        <w:top w:val="none" w:sz="0" w:space="0" w:color="auto"/>
        <w:left w:val="none" w:sz="0" w:space="0" w:color="auto"/>
        <w:bottom w:val="none" w:sz="0" w:space="0" w:color="auto"/>
        <w:right w:val="none" w:sz="0" w:space="0" w:color="auto"/>
      </w:divBdr>
      <w:divsChild>
        <w:div w:id="19285562">
          <w:marLeft w:val="480"/>
          <w:marRight w:val="0"/>
          <w:marTop w:val="0"/>
          <w:marBottom w:val="0"/>
          <w:divBdr>
            <w:top w:val="none" w:sz="0" w:space="0" w:color="auto"/>
            <w:left w:val="none" w:sz="0" w:space="0" w:color="auto"/>
            <w:bottom w:val="none" w:sz="0" w:space="0" w:color="auto"/>
            <w:right w:val="none" w:sz="0" w:space="0" w:color="auto"/>
          </w:divBdr>
          <w:divsChild>
            <w:div w:id="20674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44085">
      <w:bodyDiv w:val="1"/>
      <w:marLeft w:val="0"/>
      <w:marRight w:val="0"/>
      <w:marTop w:val="0"/>
      <w:marBottom w:val="0"/>
      <w:divBdr>
        <w:top w:val="none" w:sz="0" w:space="0" w:color="auto"/>
        <w:left w:val="none" w:sz="0" w:space="0" w:color="auto"/>
        <w:bottom w:val="none" w:sz="0" w:space="0" w:color="auto"/>
        <w:right w:val="none" w:sz="0" w:space="0" w:color="auto"/>
      </w:divBdr>
      <w:divsChild>
        <w:div w:id="460809678">
          <w:marLeft w:val="480"/>
          <w:marRight w:val="0"/>
          <w:marTop w:val="0"/>
          <w:marBottom w:val="0"/>
          <w:divBdr>
            <w:top w:val="none" w:sz="0" w:space="0" w:color="auto"/>
            <w:left w:val="none" w:sz="0" w:space="0" w:color="auto"/>
            <w:bottom w:val="none" w:sz="0" w:space="0" w:color="auto"/>
            <w:right w:val="none" w:sz="0" w:space="0" w:color="auto"/>
          </w:divBdr>
          <w:divsChild>
            <w:div w:id="11953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3584">
      <w:bodyDiv w:val="1"/>
      <w:marLeft w:val="0"/>
      <w:marRight w:val="0"/>
      <w:marTop w:val="0"/>
      <w:marBottom w:val="0"/>
      <w:divBdr>
        <w:top w:val="none" w:sz="0" w:space="0" w:color="auto"/>
        <w:left w:val="none" w:sz="0" w:space="0" w:color="auto"/>
        <w:bottom w:val="none" w:sz="0" w:space="0" w:color="auto"/>
        <w:right w:val="none" w:sz="0" w:space="0" w:color="auto"/>
      </w:divBdr>
    </w:div>
    <w:div w:id="1234510639">
      <w:bodyDiv w:val="1"/>
      <w:marLeft w:val="0"/>
      <w:marRight w:val="0"/>
      <w:marTop w:val="0"/>
      <w:marBottom w:val="0"/>
      <w:divBdr>
        <w:top w:val="none" w:sz="0" w:space="0" w:color="auto"/>
        <w:left w:val="none" w:sz="0" w:space="0" w:color="auto"/>
        <w:bottom w:val="none" w:sz="0" w:space="0" w:color="auto"/>
        <w:right w:val="none" w:sz="0" w:space="0" w:color="auto"/>
      </w:divBdr>
      <w:divsChild>
        <w:div w:id="23480684">
          <w:marLeft w:val="480"/>
          <w:marRight w:val="0"/>
          <w:marTop w:val="0"/>
          <w:marBottom w:val="0"/>
          <w:divBdr>
            <w:top w:val="none" w:sz="0" w:space="0" w:color="auto"/>
            <w:left w:val="none" w:sz="0" w:space="0" w:color="auto"/>
            <w:bottom w:val="none" w:sz="0" w:space="0" w:color="auto"/>
            <w:right w:val="none" w:sz="0" w:space="0" w:color="auto"/>
          </w:divBdr>
          <w:divsChild>
            <w:div w:id="11242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4030">
      <w:bodyDiv w:val="1"/>
      <w:marLeft w:val="0"/>
      <w:marRight w:val="0"/>
      <w:marTop w:val="0"/>
      <w:marBottom w:val="0"/>
      <w:divBdr>
        <w:top w:val="none" w:sz="0" w:space="0" w:color="auto"/>
        <w:left w:val="none" w:sz="0" w:space="0" w:color="auto"/>
        <w:bottom w:val="none" w:sz="0" w:space="0" w:color="auto"/>
        <w:right w:val="none" w:sz="0" w:space="0" w:color="auto"/>
      </w:divBdr>
      <w:divsChild>
        <w:div w:id="1117482457">
          <w:marLeft w:val="480"/>
          <w:marRight w:val="0"/>
          <w:marTop w:val="0"/>
          <w:marBottom w:val="0"/>
          <w:divBdr>
            <w:top w:val="none" w:sz="0" w:space="0" w:color="auto"/>
            <w:left w:val="none" w:sz="0" w:space="0" w:color="auto"/>
            <w:bottom w:val="none" w:sz="0" w:space="0" w:color="auto"/>
            <w:right w:val="none" w:sz="0" w:space="0" w:color="auto"/>
          </w:divBdr>
          <w:divsChild>
            <w:div w:id="10343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7845">
      <w:bodyDiv w:val="1"/>
      <w:marLeft w:val="0"/>
      <w:marRight w:val="0"/>
      <w:marTop w:val="0"/>
      <w:marBottom w:val="0"/>
      <w:divBdr>
        <w:top w:val="none" w:sz="0" w:space="0" w:color="auto"/>
        <w:left w:val="none" w:sz="0" w:space="0" w:color="auto"/>
        <w:bottom w:val="none" w:sz="0" w:space="0" w:color="auto"/>
        <w:right w:val="none" w:sz="0" w:space="0" w:color="auto"/>
      </w:divBdr>
    </w:div>
    <w:div w:id="1313560510">
      <w:bodyDiv w:val="1"/>
      <w:marLeft w:val="0"/>
      <w:marRight w:val="0"/>
      <w:marTop w:val="0"/>
      <w:marBottom w:val="0"/>
      <w:divBdr>
        <w:top w:val="none" w:sz="0" w:space="0" w:color="auto"/>
        <w:left w:val="none" w:sz="0" w:space="0" w:color="auto"/>
        <w:bottom w:val="none" w:sz="0" w:space="0" w:color="auto"/>
        <w:right w:val="none" w:sz="0" w:space="0" w:color="auto"/>
      </w:divBdr>
      <w:divsChild>
        <w:div w:id="963535037">
          <w:marLeft w:val="480"/>
          <w:marRight w:val="0"/>
          <w:marTop w:val="0"/>
          <w:marBottom w:val="0"/>
          <w:divBdr>
            <w:top w:val="none" w:sz="0" w:space="0" w:color="auto"/>
            <w:left w:val="none" w:sz="0" w:space="0" w:color="auto"/>
            <w:bottom w:val="none" w:sz="0" w:space="0" w:color="auto"/>
            <w:right w:val="none" w:sz="0" w:space="0" w:color="auto"/>
          </w:divBdr>
          <w:divsChild>
            <w:div w:id="20312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12981">
      <w:bodyDiv w:val="1"/>
      <w:marLeft w:val="0"/>
      <w:marRight w:val="0"/>
      <w:marTop w:val="0"/>
      <w:marBottom w:val="0"/>
      <w:divBdr>
        <w:top w:val="none" w:sz="0" w:space="0" w:color="auto"/>
        <w:left w:val="none" w:sz="0" w:space="0" w:color="auto"/>
        <w:bottom w:val="none" w:sz="0" w:space="0" w:color="auto"/>
        <w:right w:val="none" w:sz="0" w:space="0" w:color="auto"/>
      </w:divBdr>
      <w:divsChild>
        <w:div w:id="1503086792">
          <w:marLeft w:val="480"/>
          <w:marRight w:val="0"/>
          <w:marTop w:val="0"/>
          <w:marBottom w:val="0"/>
          <w:divBdr>
            <w:top w:val="none" w:sz="0" w:space="0" w:color="auto"/>
            <w:left w:val="none" w:sz="0" w:space="0" w:color="auto"/>
            <w:bottom w:val="none" w:sz="0" w:space="0" w:color="auto"/>
            <w:right w:val="none" w:sz="0" w:space="0" w:color="auto"/>
          </w:divBdr>
          <w:divsChild>
            <w:div w:id="17909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30982">
      <w:bodyDiv w:val="1"/>
      <w:marLeft w:val="0"/>
      <w:marRight w:val="0"/>
      <w:marTop w:val="0"/>
      <w:marBottom w:val="0"/>
      <w:divBdr>
        <w:top w:val="none" w:sz="0" w:space="0" w:color="auto"/>
        <w:left w:val="none" w:sz="0" w:space="0" w:color="auto"/>
        <w:bottom w:val="none" w:sz="0" w:space="0" w:color="auto"/>
        <w:right w:val="none" w:sz="0" w:space="0" w:color="auto"/>
      </w:divBdr>
      <w:divsChild>
        <w:div w:id="1207571726">
          <w:marLeft w:val="480"/>
          <w:marRight w:val="0"/>
          <w:marTop w:val="0"/>
          <w:marBottom w:val="0"/>
          <w:divBdr>
            <w:top w:val="none" w:sz="0" w:space="0" w:color="auto"/>
            <w:left w:val="none" w:sz="0" w:space="0" w:color="auto"/>
            <w:bottom w:val="none" w:sz="0" w:space="0" w:color="auto"/>
            <w:right w:val="none" w:sz="0" w:space="0" w:color="auto"/>
          </w:divBdr>
          <w:divsChild>
            <w:div w:id="154239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0111">
      <w:bodyDiv w:val="1"/>
      <w:marLeft w:val="0"/>
      <w:marRight w:val="0"/>
      <w:marTop w:val="0"/>
      <w:marBottom w:val="0"/>
      <w:divBdr>
        <w:top w:val="none" w:sz="0" w:space="0" w:color="auto"/>
        <w:left w:val="none" w:sz="0" w:space="0" w:color="auto"/>
        <w:bottom w:val="none" w:sz="0" w:space="0" w:color="auto"/>
        <w:right w:val="none" w:sz="0" w:space="0" w:color="auto"/>
      </w:divBdr>
      <w:divsChild>
        <w:div w:id="128713600">
          <w:marLeft w:val="480"/>
          <w:marRight w:val="0"/>
          <w:marTop w:val="0"/>
          <w:marBottom w:val="0"/>
          <w:divBdr>
            <w:top w:val="none" w:sz="0" w:space="0" w:color="auto"/>
            <w:left w:val="none" w:sz="0" w:space="0" w:color="auto"/>
            <w:bottom w:val="none" w:sz="0" w:space="0" w:color="auto"/>
            <w:right w:val="none" w:sz="0" w:space="0" w:color="auto"/>
          </w:divBdr>
          <w:divsChild>
            <w:div w:id="1856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92061">
      <w:bodyDiv w:val="1"/>
      <w:marLeft w:val="0"/>
      <w:marRight w:val="0"/>
      <w:marTop w:val="0"/>
      <w:marBottom w:val="0"/>
      <w:divBdr>
        <w:top w:val="none" w:sz="0" w:space="0" w:color="auto"/>
        <w:left w:val="none" w:sz="0" w:space="0" w:color="auto"/>
        <w:bottom w:val="none" w:sz="0" w:space="0" w:color="auto"/>
        <w:right w:val="none" w:sz="0" w:space="0" w:color="auto"/>
      </w:divBdr>
    </w:div>
    <w:div w:id="1357851582">
      <w:bodyDiv w:val="1"/>
      <w:marLeft w:val="0"/>
      <w:marRight w:val="0"/>
      <w:marTop w:val="0"/>
      <w:marBottom w:val="0"/>
      <w:divBdr>
        <w:top w:val="none" w:sz="0" w:space="0" w:color="auto"/>
        <w:left w:val="none" w:sz="0" w:space="0" w:color="auto"/>
        <w:bottom w:val="none" w:sz="0" w:space="0" w:color="auto"/>
        <w:right w:val="none" w:sz="0" w:space="0" w:color="auto"/>
      </w:divBdr>
      <w:divsChild>
        <w:div w:id="1285429248">
          <w:marLeft w:val="480"/>
          <w:marRight w:val="0"/>
          <w:marTop w:val="0"/>
          <w:marBottom w:val="0"/>
          <w:divBdr>
            <w:top w:val="none" w:sz="0" w:space="0" w:color="auto"/>
            <w:left w:val="none" w:sz="0" w:space="0" w:color="auto"/>
            <w:bottom w:val="none" w:sz="0" w:space="0" w:color="auto"/>
            <w:right w:val="none" w:sz="0" w:space="0" w:color="auto"/>
          </w:divBdr>
          <w:divsChild>
            <w:div w:id="6219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6219">
      <w:bodyDiv w:val="1"/>
      <w:marLeft w:val="0"/>
      <w:marRight w:val="0"/>
      <w:marTop w:val="0"/>
      <w:marBottom w:val="0"/>
      <w:divBdr>
        <w:top w:val="none" w:sz="0" w:space="0" w:color="auto"/>
        <w:left w:val="none" w:sz="0" w:space="0" w:color="auto"/>
        <w:bottom w:val="none" w:sz="0" w:space="0" w:color="auto"/>
        <w:right w:val="none" w:sz="0" w:space="0" w:color="auto"/>
      </w:divBdr>
      <w:divsChild>
        <w:div w:id="216404472">
          <w:marLeft w:val="480"/>
          <w:marRight w:val="0"/>
          <w:marTop w:val="0"/>
          <w:marBottom w:val="0"/>
          <w:divBdr>
            <w:top w:val="none" w:sz="0" w:space="0" w:color="auto"/>
            <w:left w:val="none" w:sz="0" w:space="0" w:color="auto"/>
            <w:bottom w:val="none" w:sz="0" w:space="0" w:color="auto"/>
            <w:right w:val="none" w:sz="0" w:space="0" w:color="auto"/>
          </w:divBdr>
          <w:divsChild>
            <w:div w:id="15241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0678">
      <w:bodyDiv w:val="1"/>
      <w:marLeft w:val="0"/>
      <w:marRight w:val="0"/>
      <w:marTop w:val="0"/>
      <w:marBottom w:val="0"/>
      <w:divBdr>
        <w:top w:val="none" w:sz="0" w:space="0" w:color="auto"/>
        <w:left w:val="none" w:sz="0" w:space="0" w:color="auto"/>
        <w:bottom w:val="none" w:sz="0" w:space="0" w:color="auto"/>
        <w:right w:val="none" w:sz="0" w:space="0" w:color="auto"/>
      </w:divBdr>
    </w:div>
    <w:div w:id="1378965976">
      <w:bodyDiv w:val="1"/>
      <w:marLeft w:val="0"/>
      <w:marRight w:val="0"/>
      <w:marTop w:val="0"/>
      <w:marBottom w:val="0"/>
      <w:divBdr>
        <w:top w:val="none" w:sz="0" w:space="0" w:color="auto"/>
        <w:left w:val="none" w:sz="0" w:space="0" w:color="auto"/>
        <w:bottom w:val="none" w:sz="0" w:space="0" w:color="auto"/>
        <w:right w:val="none" w:sz="0" w:space="0" w:color="auto"/>
      </w:divBdr>
      <w:divsChild>
        <w:div w:id="830752111">
          <w:marLeft w:val="480"/>
          <w:marRight w:val="0"/>
          <w:marTop w:val="0"/>
          <w:marBottom w:val="0"/>
          <w:divBdr>
            <w:top w:val="none" w:sz="0" w:space="0" w:color="auto"/>
            <w:left w:val="none" w:sz="0" w:space="0" w:color="auto"/>
            <w:bottom w:val="none" w:sz="0" w:space="0" w:color="auto"/>
            <w:right w:val="none" w:sz="0" w:space="0" w:color="auto"/>
          </w:divBdr>
          <w:divsChild>
            <w:div w:id="1769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00101">
      <w:bodyDiv w:val="1"/>
      <w:marLeft w:val="0"/>
      <w:marRight w:val="0"/>
      <w:marTop w:val="0"/>
      <w:marBottom w:val="0"/>
      <w:divBdr>
        <w:top w:val="none" w:sz="0" w:space="0" w:color="auto"/>
        <w:left w:val="none" w:sz="0" w:space="0" w:color="auto"/>
        <w:bottom w:val="none" w:sz="0" w:space="0" w:color="auto"/>
        <w:right w:val="none" w:sz="0" w:space="0" w:color="auto"/>
      </w:divBdr>
      <w:divsChild>
        <w:div w:id="1900482059">
          <w:marLeft w:val="480"/>
          <w:marRight w:val="0"/>
          <w:marTop w:val="0"/>
          <w:marBottom w:val="0"/>
          <w:divBdr>
            <w:top w:val="none" w:sz="0" w:space="0" w:color="auto"/>
            <w:left w:val="none" w:sz="0" w:space="0" w:color="auto"/>
            <w:bottom w:val="none" w:sz="0" w:space="0" w:color="auto"/>
            <w:right w:val="none" w:sz="0" w:space="0" w:color="auto"/>
          </w:divBdr>
          <w:divsChild>
            <w:div w:id="1392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31132">
      <w:bodyDiv w:val="1"/>
      <w:marLeft w:val="0"/>
      <w:marRight w:val="0"/>
      <w:marTop w:val="0"/>
      <w:marBottom w:val="0"/>
      <w:divBdr>
        <w:top w:val="none" w:sz="0" w:space="0" w:color="auto"/>
        <w:left w:val="none" w:sz="0" w:space="0" w:color="auto"/>
        <w:bottom w:val="none" w:sz="0" w:space="0" w:color="auto"/>
        <w:right w:val="none" w:sz="0" w:space="0" w:color="auto"/>
      </w:divBdr>
      <w:divsChild>
        <w:div w:id="1526601495">
          <w:marLeft w:val="480"/>
          <w:marRight w:val="0"/>
          <w:marTop w:val="0"/>
          <w:marBottom w:val="0"/>
          <w:divBdr>
            <w:top w:val="none" w:sz="0" w:space="0" w:color="auto"/>
            <w:left w:val="none" w:sz="0" w:space="0" w:color="auto"/>
            <w:bottom w:val="none" w:sz="0" w:space="0" w:color="auto"/>
            <w:right w:val="none" w:sz="0" w:space="0" w:color="auto"/>
          </w:divBdr>
          <w:divsChild>
            <w:div w:id="13152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48538">
      <w:bodyDiv w:val="1"/>
      <w:marLeft w:val="0"/>
      <w:marRight w:val="0"/>
      <w:marTop w:val="0"/>
      <w:marBottom w:val="0"/>
      <w:divBdr>
        <w:top w:val="none" w:sz="0" w:space="0" w:color="auto"/>
        <w:left w:val="none" w:sz="0" w:space="0" w:color="auto"/>
        <w:bottom w:val="none" w:sz="0" w:space="0" w:color="auto"/>
        <w:right w:val="none" w:sz="0" w:space="0" w:color="auto"/>
      </w:divBdr>
      <w:divsChild>
        <w:div w:id="2001032570">
          <w:marLeft w:val="480"/>
          <w:marRight w:val="0"/>
          <w:marTop w:val="0"/>
          <w:marBottom w:val="0"/>
          <w:divBdr>
            <w:top w:val="none" w:sz="0" w:space="0" w:color="auto"/>
            <w:left w:val="none" w:sz="0" w:space="0" w:color="auto"/>
            <w:bottom w:val="none" w:sz="0" w:space="0" w:color="auto"/>
            <w:right w:val="none" w:sz="0" w:space="0" w:color="auto"/>
          </w:divBdr>
          <w:divsChild>
            <w:div w:id="17392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9381">
      <w:bodyDiv w:val="1"/>
      <w:marLeft w:val="0"/>
      <w:marRight w:val="0"/>
      <w:marTop w:val="0"/>
      <w:marBottom w:val="0"/>
      <w:divBdr>
        <w:top w:val="none" w:sz="0" w:space="0" w:color="auto"/>
        <w:left w:val="none" w:sz="0" w:space="0" w:color="auto"/>
        <w:bottom w:val="none" w:sz="0" w:space="0" w:color="auto"/>
        <w:right w:val="none" w:sz="0" w:space="0" w:color="auto"/>
      </w:divBdr>
      <w:divsChild>
        <w:div w:id="271478290">
          <w:marLeft w:val="480"/>
          <w:marRight w:val="0"/>
          <w:marTop w:val="0"/>
          <w:marBottom w:val="0"/>
          <w:divBdr>
            <w:top w:val="none" w:sz="0" w:space="0" w:color="auto"/>
            <w:left w:val="none" w:sz="0" w:space="0" w:color="auto"/>
            <w:bottom w:val="none" w:sz="0" w:space="0" w:color="auto"/>
            <w:right w:val="none" w:sz="0" w:space="0" w:color="auto"/>
          </w:divBdr>
          <w:divsChild>
            <w:div w:id="7672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1076434">
      <w:bodyDiv w:val="1"/>
      <w:marLeft w:val="0"/>
      <w:marRight w:val="0"/>
      <w:marTop w:val="0"/>
      <w:marBottom w:val="0"/>
      <w:divBdr>
        <w:top w:val="none" w:sz="0" w:space="0" w:color="auto"/>
        <w:left w:val="none" w:sz="0" w:space="0" w:color="auto"/>
        <w:bottom w:val="none" w:sz="0" w:space="0" w:color="auto"/>
        <w:right w:val="none" w:sz="0" w:space="0" w:color="auto"/>
      </w:divBdr>
      <w:divsChild>
        <w:div w:id="1638535802">
          <w:marLeft w:val="480"/>
          <w:marRight w:val="0"/>
          <w:marTop w:val="0"/>
          <w:marBottom w:val="0"/>
          <w:divBdr>
            <w:top w:val="none" w:sz="0" w:space="0" w:color="auto"/>
            <w:left w:val="none" w:sz="0" w:space="0" w:color="auto"/>
            <w:bottom w:val="none" w:sz="0" w:space="0" w:color="auto"/>
            <w:right w:val="none" w:sz="0" w:space="0" w:color="auto"/>
          </w:divBdr>
          <w:divsChild>
            <w:div w:id="2262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53292">
      <w:bodyDiv w:val="1"/>
      <w:marLeft w:val="0"/>
      <w:marRight w:val="0"/>
      <w:marTop w:val="0"/>
      <w:marBottom w:val="0"/>
      <w:divBdr>
        <w:top w:val="none" w:sz="0" w:space="0" w:color="auto"/>
        <w:left w:val="none" w:sz="0" w:space="0" w:color="auto"/>
        <w:bottom w:val="none" w:sz="0" w:space="0" w:color="auto"/>
        <w:right w:val="none" w:sz="0" w:space="0" w:color="auto"/>
      </w:divBdr>
      <w:divsChild>
        <w:div w:id="876283803">
          <w:marLeft w:val="480"/>
          <w:marRight w:val="0"/>
          <w:marTop w:val="0"/>
          <w:marBottom w:val="0"/>
          <w:divBdr>
            <w:top w:val="none" w:sz="0" w:space="0" w:color="auto"/>
            <w:left w:val="none" w:sz="0" w:space="0" w:color="auto"/>
            <w:bottom w:val="none" w:sz="0" w:space="0" w:color="auto"/>
            <w:right w:val="none" w:sz="0" w:space="0" w:color="auto"/>
          </w:divBdr>
          <w:divsChild>
            <w:div w:id="13597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7494">
      <w:bodyDiv w:val="1"/>
      <w:marLeft w:val="0"/>
      <w:marRight w:val="0"/>
      <w:marTop w:val="0"/>
      <w:marBottom w:val="0"/>
      <w:divBdr>
        <w:top w:val="none" w:sz="0" w:space="0" w:color="auto"/>
        <w:left w:val="none" w:sz="0" w:space="0" w:color="auto"/>
        <w:bottom w:val="none" w:sz="0" w:space="0" w:color="auto"/>
        <w:right w:val="none" w:sz="0" w:space="0" w:color="auto"/>
      </w:divBdr>
      <w:divsChild>
        <w:div w:id="1003123912">
          <w:marLeft w:val="480"/>
          <w:marRight w:val="0"/>
          <w:marTop w:val="0"/>
          <w:marBottom w:val="0"/>
          <w:divBdr>
            <w:top w:val="none" w:sz="0" w:space="0" w:color="auto"/>
            <w:left w:val="none" w:sz="0" w:space="0" w:color="auto"/>
            <w:bottom w:val="none" w:sz="0" w:space="0" w:color="auto"/>
            <w:right w:val="none" w:sz="0" w:space="0" w:color="auto"/>
          </w:divBdr>
          <w:divsChild>
            <w:div w:id="15427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34292">
      <w:bodyDiv w:val="1"/>
      <w:marLeft w:val="0"/>
      <w:marRight w:val="0"/>
      <w:marTop w:val="0"/>
      <w:marBottom w:val="0"/>
      <w:divBdr>
        <w:top w:val="none" w:sz="0" w:space="0" w:color="auto"/>
        <w:left w:val="none" w:sz="0" w:space="0" w:color="auto"/>
        <w:bottom w:val="none" w:sz="0" w:space="0" w:color="auto"/>
        <w:right w:val="none" w:sz="0" w:space="0" w:color="auto"/>
      </w:divBdr>
    </w:div>
    <w:div w:id="1550535238">
      <w:bodyDiv w:val="1"/>
      <w:marLeft w:val="0"/>
      <w:marRight w:val="0"/>
      <w:marTop w:val="0"/>
      <w:marBottom w:val="0"/>
      <w:divBdr>
        <w:top w:val="none" w:sz="0" w:space="0" w:color="auto"/>
        <w:left w:val="none" w:sz="0" w:space="0" w:color="auto"/>
        <w:bottom w:val="none" w:sz="0" w:space="0" w:color="auto"/>
        <w:right w:val="none" w:sz="0" w:space="0" w:color="auto"/>
      </w:divBdr>
    </w:div>
    <w:div w:id="1570729757">
      <w:bodyDiv w:val="1"/>
      <w:marLeft w:val="0"/>
      <w:marRight w:val="0"/>
      <w:marTop w:val="0"/>
      <w:marBottom w:val="0"/>
      <w:divBdr>
        <w:top w:val="none" w:sz="0" w:space="0" w:color="auto"/>
        <w:left w:val="none" w:sz="0" w:space="0" w:color="auto"/>
        <w:bottom w:val="none" w:sz="0" w:space="0" w:color="auto"/>
        <w:right w:val="none" w:sz="0" w:space="0" w:color="auto"/>
      </w:divBdr>
      <w:divsChild>
        <w:div w:id="134422189">
          <w:marLeft w:val="480"/>
          <w:marRight w:val="0"/>
          <w:marTop w:val="0"/>
          <w:marBottom w:val="0"/>
          <w:divBdr>
            <w:top w:val="none" w:sz="0" w:space="0" w:color="auto"/>
            <w:left w:val="none" w:sz="0" w:space="0" w:color="auto"/>
            <w:bottom w:val="none" w:sz="0" w:space="0" w:color="auto"/>
            <w:right w:val="none" w:sz="0" w:space="0" w:color="auto"/>
          </w:divBdr>
          <w:divsChild>
            <w:div w:id="8304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1825">
      <w:bodyDiv w:val="1"/>
      <w:marLeft w:val="0"/>
      <w:marRight w:val="0"/>
      <w:marTop w:val="0"/>
      <w:marBottom w:val="0"/>
      <w:divBdr>
        <w:top w:val="none" w:sz="0" w:space="0" w:color="auto"/>
        <w:left w:val="none" w:sz="0" w:space="0" w:color="auto"/>
        <w:bottom w:val="none" w:sz="0" w:space="0" w:color="auto"/>
        <w:right w:val="none" w:sz="0" w:space="0" w:color="auto"/>
      </w:divBdr>
    </w:div>
    <w:div w:id="1580097906">
      <w:bodyDiv w:val="1"/>
      <w:marLeft w:val="0"/>
      <w:marRight w:val="0"/>
      <w:marTop w:val="0"/>
      <w:marBottom w:val="0"/>
      <w:divBdr>
        <w:top w:val="none" w:sz="0" w:space="0" w:color="auto"/>
        <w:left w:val="none" w:sz="0" w:space="0" w:color="auto"/>
        <w:bottom w:val="none" w:sz="0" w:space="0" w:color="auto"/>
        <w:right w:val="none" w:sz="0" w:space="0" w:color="auto"/>
      </w:divBdr>
      <w:divsChild>
        <w:div w:id="2056928179">
          <w:marLeft w:val="480"/>
          <w:marRight w:val="0"/>
          <w:marTop w:val="0"/>
          <w:marBottom w:val="0"/>
          <w:divBdr>
            <w:top w:val="none" w:sz="0" w:space="0" w:color="auto"/>
            <w:left w:val="none" w:sz="0" w:space="0" w:color="auto"/>
            <w:bottom w:val="none" w:sz="0" w:space="0" w:color="auto"/>
            <w:right w:val="none" w:sz="0" w:space="0" w:color="auto"/>
          </w:divBdr>
          <w:divsChild>
            <w:div w:id="8283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51457">
      <w:bodyDiv w:val="1"/>
      <w:marLeft w:val="0"/>
      <w:marRight w:val="0"/>
      <w:marTop w:val="0"/>
      <w:marBottom w:val="0"/>
      <w:divBdr>
        <w:top w:val="none" w:sz="0" w:space="0" w:color="auto"/>
        <w:left w:val="none" w:sz="0" w:space="0" w:color="auto"/>
        <w:bottom w:val="none" w:sz="0" w:space="0" w:color="auto"/>
        <w:right w:val="none" w:sz="0" w:space="0" w:color="auto"/>
      </w:divBdr>
      <w:divsChild>
        <w:div w:id="437917463">
          <w:marLeft w:val="480"/>
          <w:marRight w:val="0"/>
          <w:marTop w:val="0"/>
          <w:marBottom w:val="0"/>
          <w:divBdr>
            <w:top w:val="none" w:sz="0" w:space="0" w:color="auto"/>
            <w:left w:val="none" w:sz="0" w:space="0" w:color="auto"/>
            <w:bottom w:val="none" w:sz="0" w:space="0" w:color="auto"/>
            <w:right w:val="none" w:sz="0" w:space="0" w:color="auto"/>
          </w:divBdr>
          <w:divsChild>
            <w:div w:id="8493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1011">
      <w:bodyDiv w:val="1"/>
      <w:marLeft w:val="0"/>
      <w:marRight w:val="0"/>
      <w:marTop w:val="0"/>
      <w:marBottom w:val="0"/>
      <w:divBdr>
        <w:top w:val="none" w:sz="0" w:space="0" w:color="auto"/>
        <w:left w:val="none" w:sz="0" w:space="0" w:color="auto"/>
        <w:bottom w:val="none" w:sz="0" w:space="0" w:color="auto"/>
        <w:right w:val="none" w:sz="0" w:space="0" w:color="auto"/>
      </w:divBdr>
    </w:div>
    <w:div w:id="1645044810">
      <w:bodyDiv w:val="1"/>
      <w:marLeft w:val="0"/>
      <w:marRight w:val="0"/>
      <w:marTop w:val="0"/>
      <w:marBottom w:val="0"/>
      <w:divBdr>
        <w:top w:val="none" w:sz="0" w:space="0" w:color="auto"/>
        <w:left w:val="none" w:sz="0" w:space="0" w:color="auto"/>
        <w:bottom w:val="none" w:sz="0" w:space="0" w:color="auto"/>
        <w:right w:val="none" w:sz="0" w:space="0" w:color="auto"/>
      </w:divBdr>
      <w:divsChild>
        <w:div w:id="224726957">
          <w:marLeft w:val="480"/>
          <w:marRight w:val="0"/>
          <w:marTop w:val="0"/>
          <w:marBottom w:val="0"/>
          <w:divBdr>
            <w:top w:val="none" w:sz="0" w:space="0" w:color="auto"/>
            <w:left w:val="none" w:sz="0" w:space="0" w:color="auto"/>
            <w:bottom w:val="none" w:sz="0" w:space="0" w:color="auto"/>
            <w:right w:val="none" w:sz="0" w:space="0" w:color="auto"/>
          </w:divBdr>
          <w:divsChild>
            <w:div w:id="10529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86421">
      <w:bodyDiv w:val="1"/>
      <w:marLeft w:val="0"/>
      <w:marRight w:val="0"/>
      <w:marTop w:val="0"/>
      <w:marBottom w:val="0"/>
      <w:divBdr>
        <w:top w:val="none" w:sz="0" w:space="0" w:color="auto"/>
        <w:left w:val="none" w:sz="0" w:space="0" w:color="auto"/>
        <w:bottom w:val="none" w:sz="0" w:space="0" w:color="auto"/>
        <w:right w:val="none" w:sz="0" w:space="0" w:color="auto"/>
      </w:divBdr>
      <w:divsChild>
        <w:div w:id="1568612994">
          <w:marLeft w:val="480"/>
          <w:marRight w:val="0"/>
          <w:marTop w:val="0"/>
          <w:marBottom w:val="0"/>
          <w:divBdr>
            <w:top w:val="none" w:sz="0" w:space="0" w:color="auto"/>
            <w:left w:val="none" w:sz="0" w:space="0" w:color="auto"/>
            <w:bottom w:val="none" w:sz="0" w:space="0" w:color="auto"/>
            <w:right w:val="none" w:sz="0" w:space="0" w:color="auto"/>
          </w:divBdr>
          <w:divsChild>
            <w:div w:id="8238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1579">
      <w:bodyDiv w:val="1"/>
      <w:marLeft w:val="0"/>
      <w:marRight w:val="0"/>
      <w:marTop w:val="0"/>
      <w:marBottom w:val="0"/>
      <w:divBdr>
        <w:top w:val="none" w:sz="0" w:space="0" w:color="auto"/>
        <w:left w:val="none" w:sz="0" w:space="0" w:color="auto"/>
        <w:bottom w:val="none" w:sz="0" w:space="0" w:color="auto"/>
        <w:right w:val="none" w:sz="0" w:space="0" w:color="auto"/>
      </w:divBdr>
      <w:divsChild>
        <w:div w:id="759256613">
          <w:marLeft w:val="480"/>
          <w:marRight w:val="0"/>
          <w:marTop w:val="0"/>
          <w:marBottom w:val="0"/>
          <w:divBdr>
            <w:top w:val="none" w:sz="0" w:space="0" w:color="auto"/>
            <w:left w:val="none" w:sz="0" w:space="0" w:color="auto"/>
            <w:bottom w:val="none" w:sz="0" w:space="0" w:color="auto"/>
            <w:right w:val="none" w:sz="0" w:space="0" w:color="auto"/>
          </w:divBdr>
          <w:divsChild>
            <w:div w:id="12067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06844">
      <w:bodyDiv w:val="1"/>
      <w:marLeft w:val="0"/>
      <w:marRight w:val="0"/>
      <w:marTop w:val="0"/>
      <w:marBottom w:val="0"/>
      <w:divBdr>
        <w:top w:val="none" w:sz="0" w:space="0" w:color="auto"/>
        <w:left w:val="none" w:sz="0" w:space="0" w:color="auto"/>
        <w:bottom w:val="none" w:sz="0" w:space="0" w:color="auto"/>
        <w:right w:val="none" w:sz="0" w:space="0" w:color="auto"/>
      </w:divBdr>
      <w:divsChild>
        <w:div w:id="583299633">
          <w:marLeft w:val="0"/>
          <w:marRight w:val="0"/>
          <w:marTop w:val="0"/>
          <w:marBottom w:val="0"/>
          <w:divBdr>
            <w:top w:val="none" w:sz="0" w:space="0" w:color="auto"/>
            <w:left w:val="none" w:sz="0" w:space="0" w:color="auto"/>
            <w:bottom w:val="none" w:sz="0" w:space="0" w:color="auto"/>
            <w:right w:val="none" w:sz="0" w:space="0" w:color="auto"/>
          </w:divBdr>
          <w:divsChild>
            <w:div w:id="1738552631">
              <w:marLeft w:val="0"/>
              <w:marRight w:val="0"/>
              <w:marTop w:val="0"/>
              <w:marBottom w:val="0"/>
              <w:divBdr>
                <w:top w:val="none" w:sz="0" w:space="0" w:color="auto"/>
                <w:left w:val="none" w:sz="0" w:space="0" w:color="auto"/>
                <w:bottom w:val="none" w:sz="0" w:space="0" w:color="auto"/>
                <w:right w:val="none" w:sz="0" w:space="0" w:color="auto"/>
              </w:divBdr>
              <w:divsChild>
                <w:div w:id="16769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56689">
          <w:marLeft w:val="0"/>
          <w:marRight w:val="0"/>
          <w:marTop w:val="0"/>
          <w:marBottom w:val="0"/>
          <w:divBdr>
            <w:top w:val="none" w:sz="0" w:space="0" w:color="auto"/>
            <w:left w:val="none" w:sz="0" w:space="0" w:color="auto"/>
            <w:bottom w:val="none" w:sz="0" w:space="0" w:color="auto"/>
            <w:right w:val="none" w:sz="0" w:space="0" w:color="auto"/>
          </w:divBdr>
        </w:div>
      </w:divsChild>
    </w:div>
    <w:div w:id="1681160645">
      <w:bodyDiv w:val="1"/>
      <w:marLeft w:val="0"/>
      <w:marRight w:val="0"/>
      <w:marTop w:val="0"/>
      <w:marBottom w:val="0"/>
      <w:divBdr>
        <w:top w:val="none" w:sz="0" w:space="0" w:color="auto"/>
        <w:left w:val="none" w:sz="0" w:space="0" w:color="auto"/>
        <w:bottom w:val="none" w:sz="0" w:space="0" w:color="auto"/>
        <w:right w:val="none" w:sz="0" w:space="0" w:color="auto"/>
      </w:divBdr>
      <w:divsChild>
        <w:div w:id="1043561003">
          <w:marLeft w:val="480"/>
          <w:marRight w:val="0"/>
          <w:marTop w:val="0"/>
          <w:marBottom w:val="0"/>
          <w:divBdr>
            <w:top w:val="none" w:sz="0" w:space="0" w:color="auto"/>
            <w:left w:val="none" w:sz="0" w:space="0" w:color="auto"/>
            <w:bottom w:val="none" w:sz="0" w:space="0" w:color="auto"/>
            <w:right w:val="none" w:sz="0" w:space="0" w:color="auto"/>
          </w:divBdr>
          <w:divsChild>
            <w:div w:id="20141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9726">
      <w:bodyDiv w:val="1"/>
      <w:marLeft w:val="0"/>
      <w:marRight w:val="0"/>
      <w:marTop w:val="0"/>
      <w:marBottom w:val="0"/>
      <w:divBdr>
        <w:top w:val="none" w:sz="0" w:space="0" w:color="auto"/>
        <w:left w:val="none" w:sz="0" w:space="0" w:color="auto"/>
        <w:bottom w:val="none" w:sz="0" w:space="0" w:color="auto"/>
        <w:right w:val="none" w:sz="0" w:space="0" w:color="auto"/>
      </w:divBdr>
      <w:divsChild>
        <w:div w:id="271978103">
          <w:marLeft w:val="480"/>
          <w:marRight w:val="0"/>
          <w:marTop w:val="0"/>
          <w:marBottom w:val="0"/>
          <w:divBdr>
            <w:top w:val="none" w:sz="0" w:space="0" w:color="auto"/>
            <w:left w:val="none" w:sz="0" w:space="0" w:color="auto"/>
            <w:bottom w:val="none" w:sz="0" w:space="0" w:color="auto"/>
            <w:right w:val="none" w:sz="0" w:space="0" w:color="auto"/>
          </w:divBdr>
          <w:divsChild>
            <w:div w:id="6427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70434">
      <w:bodyDiv w:val="1"/>
      <w:marLeft w:val="0"/>
      <w:marRight w:val="0"/>
      <w:marTop w:val="0"/>
      <w:marBottom w:val="0"/>
      <w:divBdr>
        <w:top w:val="none" w:sz="0" w:space="0" w:color="auto"/>
        <w:left w:val="none" w:sz="0" w:space="0" w:color="auto"/>
        <w:bottom w:val="none" w:sz="0" w:space="0" w:color="auto"/>
        <w:right w:val="none" w:sz="0" w:space="0" w:color="auto"/>
      </w:divBdr>
      <w:divsChild>
        <w:div w:id="350227916">
          <w:marLeft w:val="480"/>
          <w:marRight w:val="0"/>
          <w:marTop w:val="0"/>
          <w:marBottom w:val="0"/>
          <w:divBdr>
            <w:top w:val="none" w:sz="0" w:space="0" w:color="auto"/>
            <w:left w:val="none" w:sz="0" w:space="0" w:color="auto"/>
            <w:bottom w:val="none" w:sz="0" w:space="0" w:color="auto"/>
            <w:right w:val="none" w:sz="0" w:space="0" w:color="auto"/>
          </w:divBdr>
          <w:divsChild>
            <w:div w:id="2331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18065">
      <w:bodyDiv w:val="1"/>
      <w:marLeft w:val="0"/>
      <w:marRight w:val="0"/>
      <w:marTop w:val="0"/>
      <w:marBottom w:val="0"/>
      <w:divBdr>
        <w:top w:val="none" w:sz="0" w:space="0" w:color="auto"/>
        <w:left w:val="none" w:sz="0" w:space="0" w:color="auto"/>
        <w:bottom w:val="none" w:sz="0" w:space="0" w:color="auto"/>
        <w:right w:val="none" w:sz="0" w:space="0" w:color="auto"/>
      </w:divBdr>
      <w:divsChild>
        <w:div w:id="300574266">
          <w:marLeft w:val="480"/>
          <w:marRight w:val="0"/>
          <w:marTop w:val="0"/>
          <w:marBottom w:val="0"/>
          <w:divBdr>
            <w:top w:val="none" w:sz="0" w:space="0" w:color="auto"/>
            <w:left w:val="none" w:sz="0" w:space="0" w:color="auto"/>
            <w:bottom w:val="none" w:sz="0" w:space="0" w:color="auto"/>
            <w:right w:val="none" w:sz="0" w:space="0" w:color="auto"/>
          </w:divBdr>
          <w:divsChild>
            <w:div w:id="7238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7580">
      <w:bodyDiv w:val="1"/>
      <w:marLeft w:val="0"/>
      <w:marRight w:val="0"/>
      <w:marTop w:val="0"/>
      <w:marBottom w:val="0"/>
      <w:divBdr>
        <w:top w:val="none" w:sz="0" w:space="0" w:color="auto"/>
        <w:left w:val="none" w:sz="0" w:space="0" w:color="auto"/>
        <w:bottom w:val="none" w:sz="0" w:space="0" w:color="auto"/>
        <w:right w:val="none" w:sz="0" w:space="0" w:color="auto"/>
      </w:divBdr>
      <w:divsChild>
        <w:div w:id="60948703">
          <w:marLeft w:val="480"/>
          <w:marRight w:val="0"/>
          <w:marTop w:val="0"/>
          <w:marBottom w:val="0"/>
          <w:divBdr>
            <w:top w:val="none" w:sz="0" w:space="0" w:color="auto"/>
            <w:left w:val="none" w:sz="0" w:space="0" w:color="auto"/>
            <w:bottom w:val="none" w:sz="0" w:space="0" w:color="auto"/>
            <w:right w:val="none" w:sz="0" w:space="0" w:color="auto"/>
          </w:divBdr>
          <w:divsChild>
            <w:div w:id="6529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1861">
      <w:bodyDiv w:val="1"/>
      <w:marLeft w:val="0"/>
      <w:marRight w:val="0"/>
      <w:marTop w:val="0"/>
      <w:marBottom w:val="0"/>
      <w:divBdr>
        <w:top w:val="none" w:sz="0" w:space="0" w:color="auto"/>
        <w:left w:val="none" w:sz="0" w:space="0" w:color="auto"/>
        <w:bottom w:val="none" w:sz="0" w:space="0" w:color="auto"/>
        <w:right w:val="none" w:sz="0" w:space="0" w:color="auto"/>
      </w:divBdr>
      <w:divsChild>
        <w:div w:id="976882681">
          <w:marLeft w:val="480"/>
          <w:marRight w:val="0"/>
          <w:marTop w:val="0"/>
          <w:marBottom w:val="0"/>
          <w:divBdr>
            <w:top w:val="none" w:sz="0" w:space="0" w:color="auto"/>
            <w:left w:val="none" w:sz="0" w:space="0" w:color="auto"/>
            <w:bottom w:val="none" w:sz="0" w:space="0" w:color="auto"/>
            <w:right w:val="none" w:sz="0" w:space="0" w:color="auto"/>
          </w:divBdr>
          <w:divsChild>
            <w:div w:id="18692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6793">
      <w:bodyDiv w:val="1"/>
      <w:marLeft w:val="0"/>
      <w:marRight w:val="0"/>
      <w:marTop w:val="0"/>
      <w:marBottom w:val="0"/>
      <w:divBdr>
        <w:top w:val="none" w:sz="0" w:space="0" w:color="auto"/>
        <w:left w:val="none" w:sz="0" w:space="0" w:color="auto"/>
        <w:bottom w:val="none" w:sz="0" w:space="0" w:color="auto"/>
        <w:right w:val="none" w:sz="0" w:space="0" w:color="auto"/>
      </w:divBdr>
      <w:divsChild>
        <w:div w:id="1371373122">
          <w:marLeft w:val="480"/>
          <w:marRight w:val="0"/>
          <w:marTop w:val="0"/>
          <w:marBottom w:val="0"/>
          <w:divBdr>
            <w:top w:val="none" w:sz="0" w:space="0" w:color="auto"/>
            <w:left w:val="none" w:sz="0" w:space="0" w:color="auto"/>
            <w:bottom w:val="none" w:sz="0" w:space="0" w:color="auto"/>
            <w:right w:val="none" w:sz="0" w:space="0" w:color="auto"/>
          </w:divBdr>
          <w:divsChild>
            <w:div w:id="8990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8868">
      <w:bodyDiv w:val="1"/>
      <w:marLeft w:val="0"/>
      <w:marRight w:val="0"/>
      <w:marTop w:val="0"/>
      <w:marBottom w:val="0"/>
      <w:divBdr>
        <w:top w:val="none" w:sz="0" w:space="0" w:color="auto"/>
        <w:left w:val="none" w:sz="0" w:space="0" w:color="auto"/>
        <w:bottom w:val="none" w:sz="0" w:space="0" w:color="auto"/>
        <w:right w:val="none" w:sz="0" w:space="0" w:color="auto"/>
      </w:divBdr>
      <w:divsChild>
        <w:div w:id="1529368554">
          <w:marLeft w:val="480"/>
          <w:marRight w:val="0"/>
          <w:marTop w:val="0"/>
          <w:marBottom w:val="0"/>
          <w:divBdr>
            <w:top w:val="none" w:sz="0" w:space="0" w:color="auto"/>
            <w:left w:val="none" w:sz="0" w:space="0" w:color="auto"/>
            <w:bottom w:val="none" w:sz="0" w:space="0" w:color="auto"/>
            <w:right w:val="none" w:sz="0" w:space="0" w:color="auto"/>
          </w:divBdr>
          <w:divsChild>
            <w:div w:id="18837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5913">
      <w:bodyDiv w:val="1"/>
      <w:marLeft w:val="0"/>
      <w:marRight w:val="0"/>
      <w:marTop w:val="0"/>
      <w:marBottom w:val="0"/>
      <w:divBdr>
        <w:top w:val="none" w:sz="0" w:space="0" w:color="auto"/>
        <w:left w:val="none" w:sz="0" w:space="0" w:color="auto"/>
        <w:bottom w:val="none" w:sz="0" w:space="0" w:color="auto"/>
        <w:right w:val="none" w:sz="0" w:space="0" w:color="auto"/>
      </w:divBdr>
      <w:divsChild>
        <w:div w:id="1548880272">
          <w:marLeft w:val="480"/>
          <w:marRight w:val="0"/>
          <w:marTop w:val="0"/>
          <w:marBottom w:val="0"/>
          <w:divBdr>
            <w:top w:val="none" w:sz="0" w:space="0" w:color="auto"/>
            <w:left w:val="none" w:sz="0" w:space="0" w:color="auto"/>
            <w:bottom w:val="none" w:sz="0" w:space="0" w:color="auto"/>
            <w:right w:val="none" w:sz="0" w:space="0" w:color="auto"/>
          </w:divBdr>
          <w:divsChild>
            <w:div w:id="12266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7668">
      <w:bodyDiv w:val="1"/>
      <w:marLeft w:val="0"/>
      <w:marRight w:val="0"/>
      <w:marTop w:val="0"/>
      <w:marBottom w:val="0"/>
      <w:divBdr>
        <w:top w:val="none" w:sz="0" w:space="0" w:color="auto"/>
        <w:left w:val="none" w:sz="0" w:space="0" w:color="auto"/>
        <w:bottom w:val="none" w:sz="0" w:space="0" w:color="auto"/>
        <w:right w:val="none" w:sz="0" w:space="0" w:color="auto"/>
      </w:divBdr>
      <w:divsChild>
        <w:div w:id="311182597">
          <w:marLeft w:val="480"/>
          <w:marRight w:val="0"/>
          <w:marTop w:val="0"/>
          <w:marBottom w:val="0"/>
          <w:divBdr>
            <w:top w:val="none" w:sz="0" w:space="0" w:color="auto"/>
            <w:left w:val="none" w:sz="0" w:space="0" w:color="auto"/>
            <w:bottom w:val="none" w:sz="0" w:space="0" w:color="auto"/>
            <w:right w:val="none" w:sz="0" w:space="0" w:color="auto"/>
          </w:divBdr>
          <w:divsChild>
            <w:div w:id="941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7830">
      <w:bodyDiv w:val="1"/>
      <w:marLeft w:val="0"/>
      <w:marRight w:val="0"/>
      <w:marTop w:val="0"/>
      <w:marBottom w:val="0"/>
      <w:divBdr>
        <w:top w:val="none" w:sz="0" w:space="0" w:color="auto"/>
        <w:left w:val="none" w:sz="0" w:space="0" w:color="auto"/>
        <w:bottom w:val="none" w:sz="0" w:space="0" w:color="auto"/>
        <w:right w:val="none" w:sz="0" w:space="0" w:color="auto"/>
      </w:divBdr>
      <w:divsChild>
        <w:div w:id="1707213133">
          <w:marLeft w:val="480"/>
          <w:marRight w:val="0"/>
          <w:marTop w:val="0"/>
          <w:marBottom w:val="0"/>
          <w:divBdr>
            <w:top w:val="none" w:sz="0" w:space="0" w:color="auto"/>
            <w:left w:val="none" w:sz="0" w:space="0" w:color="auto"/>
            <w:bottom w:val="none" w:sz="0" w:space="0" w:color="auto"/>
            <w:right w:val="none" w:sz="0" w:space="0" w:color="auto"/>
          </w:divBdr>
          <w:divsChild>
            <w:div w:id="6957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6302">
      <w:bodyDiv w:val="1"/>
      <w:marLeft w:val="0"/>
      <w:marRight w:val="0"/>
      <w:marTop w:val="0"/>
      <w:marBottom w:val="0"/>
      <w:divBdr>
        <w:top w:val="none" w:sz="0" w:space="0" w:color="auto"/>
        <w:left w:val="none" w:sz="0" w:space="0" w:color="auto"/>
        <w:bottom w:val="none" w:sz="0" w:space="0" w:color="auto"/>
        <w:right w:val="none" w:sz="0" w:space="0" w:color="auto"/>
      </w:divBdr>
    </w:div>
    <w:div w:id="1935168034">
      <w:bodyDiv w:val="1"/>
      <w:marLeft w:val="0"/>
      <w:marRight w:val="0"/>
      <w:marTop w:val="0"/>
      <w:marBottom w:val="0"/>
      <w:divBdr>
        <w:top w:val="none" w:sz="0" w:space="0" w:color="auto"/>
        <w:left w:val="none" w:sz="0" w:space="0" w:color="auto"/>
        <w:bottom w:val="none" w:sz="0" w:space="0" w:color="auto"/>
        <w:right w:val="none" w:sz="0" w:space="0" w:color="auto"/>
      </w:divBdr>
      <w:divsChild>
        <w:div w:id="1922061544">
          <w:marLeft w:val="480"/>
          <w:marRight w:val="0"/>
          <w:marTop w:val="0"/>
          <w:marBottom w:val="0"/>
          <w:divBdr>
            <w:top w:val="none" w:sz="0" w:space="0" w:color="auto"/>
            <w:left w:val="none" w:sz="0" w:space="0" w:color="auto"/>
            <w:bottom w:val="none" w:sz="0" w:space="0" w:color="auto"/>
            <w:right w:val="none" w:sz="0" w:space="0" w:color="auto"/>
          </w:divBdr>
          <w:divsChild>
            <w:div w:id="16487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28357">
      <w:bodyDiv w:val="1"/>
      <w:marLeft w:val="0"/>
      <w:marRight w:val="0"/>
      <w:marTop w:val="0"/>
      <w:marBottom w:val="0"/>
      <w:divBdr>
        <w:top w:val="none" w:sz="0" w:space="0" w:color="auto"/>
        <w:left w:val="none" w:sz="0" w:space="0" w:color="auto"/>
        <w:bottom w:val="none" w:sz="0" w:space="0" w:color="auto"/>
        <w:right w:val="none" w:sz="0" w:space="0" w:color="auto"/>
      </w:divBdr>
      <w:divsChild>
        <w:div w:id="346054983">
          <w:marLeft w:val="480"/>
          <w:marRight w:val="0"/>
          <w:marTop w:val="0"/>
          <w:marBottom w:val="0"/>
          <w:divBdr>
            <w:top w:val="none" w:sz="0" w:space="0" w:color="auto"/>
            <w:left w:val="none" w:sz="0" w:space="0" w:color="auto"/>
            <w:bottom w:val="none" w:sz="0" w:space="0" w:color="auto"/>
            <w:right w:val="none" w:sz="0" w:space="0" w:color="auto"/>
          </w:divBdr>
          <w:divsChild>
            <w:div w:id="530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66685">
      <w:bodyDiv w:val="1"/>
      <w:marLeft w:val="0"/>
      <w:marRight w:val="0"/>
      <w:marTop w:val="0"/>
      <w:marBottom w:val="0"/>
      <w:divBdr>
        <w:top w:val="none" w:sz="0" w:space="0" w:color="auto"/>
        <w:left w:val="none" w:sz="0" w:space="0" w:color="auto"/>
        <w:bottom w:val="none" w:sz="0" w:space="0" w:color="auto"/>
        <w:right w:val="none" w:sz="0" w:space="0" w:color="auto"/>
      </w:divBdr>
      <w:divsChild>
        <w:div w:id="1324090638">
          <w:marLeft w:val="480"/>
          <w:marRight w:val="0"/>
          <w:marTop w:val="0"/>
          <w:marBottom w:val="0"/>
          <w:divBdr>
            <w:top w:val="none" w:sz="0" w:space="0" w:color="auto"/>
            <w:left w:val="none" w:sz="0" w:space="0" w:color="auto"/>
            <w:bottom w:val="none" w:sz="0" w:space="0" w:color="auto"/>
            <w:right w:val="none" w:sz="0" w:space="0" w:color="auto"/>
          </w:divBdr>
          <w:divsChild>
            <w:div w:id="1189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43453">
      <w:bodyDiv w:val="1"/>
      <w:marLeft w:val="0"/>
      <w:marRight w:val="0"/>
      <w:marTop w:val="0"/>
      <w:marBottom w:val="0"/>
      <w:divBdr>
        <w:top w:val="none" w:sz="0" w:space="0" w:color="auto"/>
        <w:left w:val="none" w:sz="0" w:space="0" w:color="auto"/>
        <w:bottom w:val="none" w:sz="0" w:space="0" w:color="auto"/>
        <w:right w:val="none" w:sz="0" w:space="0" w:color="auto"/>
      </w:divBdr>
      <w:divsChild>
        <w:div w:id="471288377">
          <w:marLeft w:val="480"/>
          <w:marRight w:val="0"/>
          <w:marTop w:val="0"/>
          <w:marBottom w:val="0"/>
          <w:divBdr>
            <w:top w:val="none" w:sz="0" w:space="0" w:color="auto"/>
            <w:left w:val="none" w:sz="0" w:space="0" w:color="auto"/>
            <w:bottom w:val="none" w:sz="0" w:space="0" w:color="auto"/>
            <w:right w:val="none" w:sz="0" w:space="0" w:color="auto"/>
          </w:divBdr>
          <w:divsChild>
            <w:div w:id="9665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5066">
      <w:bodyDiv w:val="1"/>
      <w:marLeft w:val="0"/>
      <w:marRight w:val="0"/>
      <w:marTop w:val="0"/>
      <w:marBottom w:val="0"/>
      <w:divBdr>
        <w:top w:val="none" w:sz="0" w:space="0" w:color="auto"/>
        <w:left w:val="none" w:sz="0" w:space="0" w:color="auto"/>
        <w:bottom w:val="none" w:sz="0" w:space="0" w:color="auto"/>
        <w:right w:val="none" w:sz="0" w:space="0" w:color="auto"/>
      </w:divBdr>
      <w:divsChild>
        <w:div w:id="1486239828">
          <w:marLeft w:val="480"/>
          <w:marRight w:val="0"/>
          <w:marTop w:val="0"/>
          <w:marBottom w:val="0"/>
          <w:divBdr>
            <w:top w:val="none" w:sz="0" w:space="0" w:color="auto"/>
            <w:left w:val="none" w:sz="0" w:space="0" w:color="auto"/>
            <w:bottom w:val="none" w:sz="0" w:space="0" w:color="auto"/>
            <w:right w:val="none" w:sz="0" w:space="0" w:color="auto"/>
          </w:divBdr>
          <w:divsChild>
            <w:div w:id="8375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2226">
      <w:bodyDiv w:val="1"/>
      <w:marLeft w:val="0"/>
      <w:marRight w:val="0"/>
      <w:marTop w:val="0"/>
      <w:marBottom w:val="0"/>
      <w:divBdr>
        <w:top w:val="none" w:sz="0" w:space="0" w:color="auto"/>
        <w:left w:val="none" w:sz="0" w:space="0" w:color="auto"/>
        <w:bottom w:val="none" w:sz="0" w:space="0" w:color="auto"/>
        <w:right w:val="none" w:sz="0" w:space="0" w:color="auto"/>
      </w:divBdr>
    </w:div>
    <w:div w:id="2131436291">
      <w:bodyDiv w:val="1"/>
      <w:marLeft w:val="0"/>
      <w:marRight w:val="0"/>
      <w:marTop w:val="0"/>
      <w:marBottom w:val="0"/>
      <w:divBdr>
        <w:top w:val="none" w:sz="0" w:space="0" w:color="auto"/>
        <w:left w:val="none" w:sz="0" w:space="0" w:color="auto"/>
        <w:bottom w:val="none" w:sz="0" w:space="0" w:color="auto"/>
        <w:right w:val="none" w:sz="0" w:space="0" w:color="auto"/>
      </w:divBdr>
      <w:divsChild>
        <w:div w:id="1314026064">
          <w:marLeft w:val="480"/>
          <w:marRight w:val="0"/>
          <w:marTop w:val="0"/>
          <w:marBottom w:val="0"/>
          <w:divBdr>
            <w:top w:val="none" w:sz="0" w:space="0" w:color="auto"/>
            <w:left w:val="none" w:sz="0" w:space="0" w:color="auto"/>
            <w:bottom w:val="none" w:sz="0" w:space="0" w:color="auto"/>
            <w:right w:val="none" w:sz="0" w:space="0" w:color="auto"/>
          </w:divBdr>
          <w:divsChild>
            <w:div w:id="3190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04911">
      <w:bodyDiv w:val="1"/>
      <w:marLeft w:val="0"/>
      <w:marRight w:val="0"/>
      <w:marTop w:val="0"/>
      <w:marBottom w:val="0"/>
      <w:divBdr>
        <w:top w:val="none" w:sz="0" w:space="0" w:color="auto"/>
        <w:left w:val="none" w:sz="0" w:space="0" w:color="auto"/>
        <w:bottom w:val="none" w:sz="0" w:space="0" w:color="auto"/>
        <w:right w:val="none" w:sz="0" w:space="0" w:color="auto"/>
      </w:divBdr>
      <w:divsChild>
        <w:div w:id="1867597145">
          <w:marLeft w:val="480"/>
          <w:marRight w:val="0"/>
          <w:marTop w:val="0"/>
          <w:marBottom w:val="0"/>
          <w:divBdr>
            <w:top w:val="none" w:sz="0" w:space="0" w:color="auto"/>
            <w:left w:val="none" w:sz="0" w:space="0" w:color="auto"/>
            <w:bottom w:val="none" w:sz="0" w:space="0" w:color="auto"/>
            <w:right w:val="none" w:sz="0" w:space="0" w:color="auto"/>
          </w:divBdr>
          <w:divsChild>
            <w:div w:id="770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5.xml"/><Relationship Id="rId42" Type="http://schemas.openxmlformats.org/officeDocument/2006/relationships/hyperlink" Target="https://ereefs.aims.gov.au/ereefs-aims/gbr1/" TargetMode="External"/><Relationship Id="rId47" Type="http://schemas.openxmlformats.org/officeDocument/2006/relationships/image" Target="media/image21.png"/><Relationship Id="rId63" Type="http://schemas.openxmlformats.org/officeDocument/2006/relationships/image" Target="media/image34.jpeg"/><Relationship Id="rId68" Type="http://schemas.openxmlformats.org/officeDocument/2006/relationships/image" Target="media/image39.png"/><Relationship Id="rId84" Type="http://schemas.openxmlformats.org/officeDocument/2006/relationships/hyperlink" Target="https://doi.org/10.1126/science.abg4351" TargetMode="External"/><Relationship Id="rId89" Type="http://schemas.openxmlformats.org/officeDocument/2006/relationships/hyperlink" Target="https://doi.org/10.1016/j.csr.2013.05.013" TargetMode="Externa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eader" Target="header10.xm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3.png"/><Relationship Id="rId53" Type="http://schemas.openxmlformats.org/officeDocument/2006/relationships/image" Target="media/image27.png"/><Relationship Id="rId58" Type="http://schemas.openxmlformats.org/officeDocument/2006/relationships/image" Target="media/image29.jpeg"/><Relationship Id="rId74" Type="http://schemas.openxmlformats.org/officeDocument/2006/relationships/image" Target="media/image45.png"/><Relationship Id="rId79" Type="http://schemas.openxmlformats.org/officeDocument/2006/relationships/hyperlink" Target="https://www.aims.gov.au/research-topics/environmental-issues/coral-bleaching/coral-bleaching-events" TargetMode="External"/><Relationship Id="rId102" Type="http://schemas.openxmlformats.org/officeDocument/2006/relationships/image" Target="media/image62.png"/><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image" Target="media/image55.png"/><Relationship Id="rId22" Type="http://schemas.openxmlformats.org/officeDocument/2006/relationships/header" Target="header6.xml"/><Relationship Id="rId27" Type="http://schemas.openxmlformats.org/officeDocument/2006/relationships/image" Target="media/image6.png"/><Relationship Id="rId43" Type="http://schemas.openxmlformats.org/officeDocument/2006/relationships/image" Target="media/image18.png"/><Relationship Id="rId48" Type="http://schemas.openxmlformats.org/officeDocument/2006/relationships/image" Target="media/image22.png"/><Relationship Id="rId64" Type="http://schemas.openxmlformats.org/officeDocument/2006/relationships/image" Target="media/image35.jpeg"/><Relationship Id="rId69" Type="http://schemas.openxmlformats.org/officeDocument/2006/relationships/image" Target="media/image40.png"/><Relationship Id="rId80" Type="http://schemas.openxmlformats.org/officeDocument/2006/relationships/hyperlink" Target="https://www.business.qld.gov.au/industries/farms-fishing-forestry/fisheries/reporting-requirements" TargetMode="External"/><Relationship Id="rId85" Type="http://schemas.openxmlformats.org/officeDocument/2006/relationships/hyperlink" Target="https://doi.org/10.11233/aquaculturesci.59.393"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www.csiro.au/connie" TargetMode="External"/><Relationship Id="rId38" Type="http://schemas.openxmlformats.org/officeDocument/2006/relationships/image" Target="media/image14.png"/><Relationship Id="rId59" Type="http://schemas.openxmlformats.org/officeDocument/2006/relationships/image" Target="media/image30.png"/><Relationship Id="rId103" Type="http://schemas.openxmlformats.org/officeDocument/2006/relationships/image" Target="media/image63.png"/><Relationship Id="rId108" Type="http://schemas.openxmlformats.org/officeDocument/2006/relationships/header" Target="header11.xml"/><Relationship Id="rId54" Type="http://schemas.openxmlformats.org/officeDocument/2006/relationships/header" Target="header7.xml"/><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28.jpeg"/><Relationship Id="rId106" Type="http://schemas.openxmlformats.org/officeDocument/2006/relationships/image" Target="media/image66.jpeg"/><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image" Target="media/image44.png"/><Relationship Id="rId78" Type="http://schemas.openxmlformats.org/officeDocument/2006/relationships/image" Target="media/image49.jpeg"/><Relationship Id="rId81" Type="http://schemas.openxmlformats.org/officeDocument/2006/relationships/hyperlink" Target="http://dx.doi.org/10.2305/IUCN.UK.2013-1.RLTS.T180440A1630988.en" TargetMode="External"/><Relationship Id="rId86" Type="http://schemas.openxmlformats.org/officeDocument/2006/relationships/hyperlink" Target="https://doi.org/10.1111/faf.12335" TargetMode="External"/><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5.png"/><Relationship Id="rId109" Type="http://schemas.openxmlformats.org/officeDocument/2006/relationships/footer" Target="footer6.xml"/><Relationship Id="rId34" Type="http://schemas.openxmlformats.org/officeDocument/2006/relationships/hyperlink" Target="https://research.csiro.au/ereefs/models/models-about/models-hydrodynamics/" TargetMode="External"/><Relationship Id="rId50" Type="http://schemas.openxmlformats.org/officeDocument/2006/relationships/image" Target="media/image24.png"/><Relationship Id="rId55" Type="http://schemas.openxmlformats.org/officeDocument/2006/relationships/header" Target="header8.xml"/><Relationship Id="rId76" Type="http://schemas.openxmlformats.org/officeDocument/2006/relationships/image" Target="media/image47.emf"/><Relationship Id="rId97" Type="http://schemas.openxmlformats.org/officeDocument/2006/relationships/image" Target="media/image57.png"/><Relationship Id="rId104"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3.jpeg"/><Relationship Id="rId40" Type="http://schemas.openxmlformats.org/officeDocument/2006/relationships/image" Target="media/image16.png"/><Relationship Id="rId45" Type="http://schemas.openxmlformats.org/officeDocument/2006/relationships/hyperlink" Target="https://www.arcgis.com/apps/dashboards/7d7167d11e4e4c4496ced8cafacb0fed" TargetMode="External"/><Relationship Id="rId66" Type="http://schemas.openxmlformats.org/officeDocument/2006/relationships/image" Target="media/image37.png"/><Relationship Id="rId87" Type="http://schemas.openxmlformats.org/officeDocument/2006/relationships/hyperlink" Target="https://www.fish.gov.au/report/287-White-Teatfish-(Sea-Cucumber)-2023" TargetMode="External"/><Relationship Id="rId110" Type="http://schemas.openxmlformats.org/officeDocument/2006/relationships/header" Target="header12.xml"/><Relationship Id="rId61" Type="http://schemas.openxmlformats.org/officeDocument/2006/relationships/image" Target="media/image32.png"/><Relationship Id="rId82" Type="http://schemas.openxmlformats.org/officeDocument/2006/relationships/hyperlink" Target="https://www.publications.qld.gov.au/dataset/queensland-fisheries-harvest-strategies/resource/f9ec2eab-9f61-4d49-930f-6f9446102b85" TargetMode="Externa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hyperlink" Target="https://ereefs.aims.gov.au/ereefs-aims" TargetMode="External"/><Relationship Id="rId56" Type="http://schemas.openxmlformats.org/officeDocument/2006/relationships/header" Target="header9.xml"/><Relationship Id="rId77" Type="http://schemas.openxmlformats.org/officeDocument/2006/relationships/image" Target="media/image48.emf"/><Relationship Id="rId100" Type="http://schemas.openxmlformats.org/officeDocument/2006/relationships/image" Target="media/image60.png"/><Relationship Id="rId105"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3.png"/><Relationship Id="rId93" Type="http://schemas.openxmlformats.org/officeDocument/2006/relationships/image" Target="media/image53.png"/><Relationship Id="rId98" Type="http://schemas.openxmlformats.org/officeDocument/2006/relationships/image" Target="media/image58.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0.png"/><Relationship Id="rId67" Type="http://schemas.openxmlformats.org/officeDocument/2006/relationships/image" Target="media/image38.png"/><Relationship Id="rId20" Type="http://schemas.openxmlformats.org/officeDocument/2006/relationships/footer" Target="footer4.xml"/><Relationship Id="rId41" Type="http://schemas.openxmlformats.org/officeDocument/2006/relationships/image" Target="media/image17.png"/><Relationship Id="rId62" Type="http://schemas.openxmlformats.org/officeDocument/2006/relationships/image" Target="media/image33.png"/><Relationship Id="rId83" Type="http://schemas.openxmlformats.org/officeDocument/2006/relationships/hyperlink" Target="https://www.dcceew.gov.au/environment/marine/publications/factsheet-fisheries-assessments" TargetMode="External"/><Relationship Id="rId88" Type="http://schemas.openxmlformats.org/officeDocument/2006/relationships/hyperlink" Target="https://doi.org/10.1155/2011/783030" TargetMode="External"/><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sk\AppData\Roaming\Microsoft\Templates\Basic_bl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F00CE90B66A142A176C0D66B5A9ED3" ma:contentTypeVersion="7" ma:contentTypeDescription="Create a new document." ma:contentTypeScope="" ma:versionID="2ed374b4d6c56928b215151cf8c54ac1">
  <xsd:schema xmlns:xsd="http://www.w3.org/2001/XMLSchema" xmlns:xs="http://www.w3.org/2001/XMLSchema" xmlns:p="http://schemas.microsoft.com/office/2006/metadata/properties" xmlns:ns2="6f234a9b-02a4-4552-90f2-2a52a3eeb2bd" xmlns:ns3="4859c3e0-c40d-4510-b9e8-fa218ae0ccf9" targetNamespace="http://schemas.microsoft.com/office/2006/metadata/properties" ma:root="true" ma:fieldsID="08e0c52fbbe7edd4fd29438b3d9a0892" ns2:_="" ns3:_="">
    <xsd:import namespace="6f234a9b-02a4-4552-90f2-2a52a3eeb2bd"/>
    <xsd:import namespace="4859c3e0-c40d-4510-b9e8-fa218ae0cc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34a9b-02a4-4552-90f2-2a52a3eeb2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9c3e0-c40d-4510-b9e8-fa218ae0cc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29970C-7DB6-4BAB-8B11-F0C2242F6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234a9b-02a4-4552-90f2-2a52a3eeb2bd"/>
    <ds:schemaRef ds:uri="4859c3e0-c40d-4510-b9e8-fa218ae0c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704EFF-358B-4745-9CAB-B8174D9EA8B0}">
  <ds:schemaRefs>
    <ds:schemaRef ds:uri="http://schemas.microsoft.com/office/2006/documentManagement/types"/>
    <ds:schemaRef ds:uri="http://www.w3.org/XML/1998/namespace"/>
    <ds:schemaRef ds:uri="http://schemas.microsoft.com/office/infopath/2007/PartnerControls"/>
    <ds:schemaRef ds:uri="6f234a9b-02a4-4552-90f2-2a52a3eeb2bd"/>
    <ds:schemaRef ds:uri="http://schemas.openxmlformats.org/package/2006/metadata/core-properties"/>
    <ds:schemaRef ds:uri="http://purl.org/dc/terms/"/>
    <ds:schemaRef ds:uri="http://schemas.microsoft.com/office/2006/metadata/properties"/>
    <ds:schemaRef ds:uri="4859c3e0-c40d-4510-b9e8-fa218ae0ccf9"/>
    <ds:schemaRef ds:uri="http://purl.org/dc/dcmitype/"/>
    <ds:schemaRef ds:uri="http://purl.org/dc/elements/1.1/"/>
  </ds:schemaRefs>
</ds:datastoreItem>
</file>

<file path=customXml/itemProps3.xml><?xml version="1.0" encoding="utf-8"?>
<ds:datastoreItem xmlns:ds="http://schemas.openxmlformats.org/officeDocument/2006/customXml" ds:itemID="{ED0AC648-EEBC-46B2-96BD-78743E49D6F0}">
  <ds:schemaRefs>
    <ds:schemaRef ds:uri="http://schemas.openxmlformats.org/officeDocument/2006/bibliography"/>
  </ds:schemaRefs>
</ds:datastoreItem>
</file>

<file path=customXml/itemProps4.xml><?xml version="1.0" encoding="utf-8"?>
<ds:datastoreItem xmlns:ds="http://schemas.openxmlformats.org/officeDocument/2006/customXml" ds:itemID="{6938F75F-485D-49A1-8978-F19CB4BC36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Basic_black.dotx</Template>
  <TotalTime>3</TotalTime>
  <Pages>92</Pages>
  <Words>35193</Words>
  <Characters>200603</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CITES Thelenota Qld East Coast</vt:lpstr>
    </vt:vector>
  </TitlesOfParts>
  <Company>Tim Skewes Consulting</Company>
  <LinksUpToDate>false</LinksUpToDate>
  <CharactersWithSpaces>235326</CharactersWithSpaces>
  <SharedDoc>false</SharedDoc>
  <HLinks>
    <vt:vector size="138" baseType="variant">
      <vt:variant>
        <vt:i4>1703995</vt:i4>
      </vt:variant>
      <vt:variant>
        <vt:i4>146</vt:i4>
      </vt:variant>
      <vt:variant>
        <vt:i4>0</vt:i4>
      </vt:variant>
      <vt:variant>
        <vt:i4>5</vt:i4>
      </vt:variant>
      <vt:variant>
        <vt:lpwstr/>
      </vt:variant>
      <vt:variant>
        <vt:lpwstr>_Toc320199176</vt:lpwstr>
      </vt:variant>
      <vt:variant>
        <vt:i4>1507377</vt:i4>
      </vt:variant>
      <vt:variant>
        <vt:i4>137</vt:i4>
      </vt:variant>
      <vt:variant>
        <vt:i4>0</vt:i4>
      </vt:variant>
      <vt:variant>
        <vt:i4>5</vt:i4>
      </vt:variant>
      <vt:variant>
        <vt:lpwstr/>
      </vt:variant>
      <vt:variant>
        <vt:lpwstr>_Toc316900483</vt:lpwstr>
      </vt:variant>
      <vt:variant>
        <vt:i4>1507377</vt:i4>
      </vt:variant>
      <vt:variant>
        <vt:i4>131</vt:i4>
      </vt:variant>
      <vt:variant>
        <vt:i4>0</vt:i4>
      </vt:variant>
      <vt:variant>
        <vt:i4>5</vt:i4>
      </vt:variant>
      <vt:variant>
        <vt:lpwstr/>
      </vt:variant>
      <vt:variant>
        <vt:lpwstr>_Toc316900482</vt:lpwstr>
      </vt:variant>
      <vt:variant>
        <vt:i4>1507377</vt:i4>
      </vt:variant>
      <vt:variant>
        <vt:i4>125</vt:i4>
      </vt:variant>
      <vt:variant>
        <vt:i4>0</vt:i4>
      </vt:variant>
      <vt:variant>
        <vt:i4>5</vt:i4>
      </vt:variant>
      <vt:variant>
        <vt:lpwstr/>
      </vt:variant>
      <vt:variant>
        <vt:lpwstr>_Toc316900481</vt:lpwstr>
      </vt:variant>
      <vt:variant>
        <vt:i4>1703995</vt:i4>
      </vt:variant>
      <vt:variant>
        <vt:i4>116</vt:i4>
      </vt:variant>
      <vt:variant>
        <vt:i4>0</vt:i4>
      </vt:variant>
      <vt:variant>
        <vt:i4>5</vt:i4>
      </vt:variant>
      <vt:variant>
        <vt:lpwstr/>
      </vt:variant>
      <vt:variant>
        <vt:lpwstr>_Toc320199172</vt:lpwstr>
      </vt:variant>
      <vt:variant>
        <vt:i4>1572913</vt:i4>
      </vt:variant>
      <vt:variant>
        <vt:i4>107</vt:i4>
      </vt:variant>
      <vt:variant>
        <vt:i4>0</vt:i4>
      </vt:variant>
      <vt:variant>
        <vt:i4>5</vt:i4>
      </vt:variant>
      <vt:variant>
        <vt:lpwstr/>
      </vt:variant>
      <vt:variant>
        <vt:lpwstr>_Toc316900479</vt:lpwstr>
      </vt:variant>
      <vt:variant>
        <vt:i4>1572913</vt:i4>
      </vt:variant>
      <vt:variant>
        <vt:i4>101</vt:i4>
      </vt:variant>
      <vt:variant>
        <vt:i4>0</vt:i4>
      </vt:variant>
      <vt:variant>
        <vt:i4>5</vt:i4>
      </vt:variant>
      <vt:variant>
        <vt:lpwstr/>
      </vt:variant>
      <vt:variant>
        <vt:lpwstr>_Toc316900478</vt:lpwstr>
      </vt:variant>
      <vt:variant>
        <vt:i4>1572913</vt:i4>
      </vt:variant>
      <vt:variant>
        <vt:i4>95</vt:i4>
      </vt:variant>
      <vt:variant>
        <vt:i4>0</vt:i4>
      </vt:variant>
      <vt:variant>
        <vt:i4>5</vt:i4>
      </vt:variant>
      <vt:variant>
        <vt:lpwstr/>
      </vt:variant>
      <vt:variant>
        <vt:lpwstr>_Toc316900477</vt:lpwstr>
      </vt:variant>
      <vt:variant>
        <vt:i4>1376308</vt:i4>
      </vt:variant>
      <vt:variant>
        <vt:i4>86</vt:i4>
      </vt:variant>
      <vt:variant>
        <vt:i4>0</vt:i4>
      </vt:variant>
      <vt:variant>
        <vt:i4>5</vt:i4>
      </vt:variant>
      <vt:variant>
        <vt:lpwstr/>
      </vt:variant>
      <vt:variant>
        <vt:lpwstr>_Toc316902183</vt:lpwstr>
      </vt:variant>
      <vt:variant>
        <vt:i4>1376308</vt:i4>
      </vt:variant>
      <vt:variant>
        <vt:i4>80</vt:i4>
      </vt:variant>
      <vt:variant>
        <vt:i4>0</vt:i4>
      </vt:variant>
      <vt:variant>
        <vt:i4>5</vt:i4>
      </vt:variant>
      <vt:variant>
        <vt:lpwstr/>
      </vt:variant>
      <vt:variant>
        <vt:lpwstr>_Toc316902182</vt:lpwstr>
      </vt:variant>
      <vt:variant>
        <vt:i4>1376308</vt:i4>
      </vt:variant>
      <vt:variant>
        <vt:i4>74</vt:i4>
      </vt:variant>
      <vt:variant>
        <vt:i4>0</vt:i4>
      </vt:variant>
      <vt:variant>
        <vt:i4>5</vt:i4>
      </vt:variant>
      <vt:variant>
        <vt:lpwstr/>
      </vt:variant>
      <vt:variant>
        <vt:lpwstr>_Toc316902181</vt:lpwstr>
      </vt:variant>
      <vt:variant>
        <vt:i4>1376308</vt:i4>
      </vt:variant>
      <vt:variant>
        <vt:i4>68</vt:i4>
      </vt:variant>
      <vt:variant>
        <vt:i4>0</vt:i4>
      </vt:variant>
      <vt:variant>
        <vt:i4>5</vt:i4>
      </vt:variant>
      <vt:variant>
        <vt:lpwstr/>
      </vt:variant>
      <vt:variant>
        <vt:lpwstr>_Toc316902180</vt:lpwstr>
      </vt:variant>
      <vt:variant>
        <vt:i4>1703988</vt:i4>
      </vt:variant>
      <vt:variant>
        <vt:i4>62</vt:i4>
      </vt:variant>
      <vt:variant>
        <vt:i4>0</vt:i4>
      </vt:variant>
      <vt:variant>
        <vt:i4>5</vt:i4>
      </vt:variant>
      <vt:variant>
        <vt:lpwstr/>
      </vt:variant>
      <vt:variant>
        <vt:lpwstr>_Toc316902179</vt:lpwstr>
      </vt:variant>
      <vt:variant>
        <vt:i4>1703988</vt:i4>
      </vt:variant>
      <vt:variant>
        <vt:i4>56</vt:i4>
      </vt:variant>
      <vt:variant>
        <vt:i4>0</vt:i4>
      </vt:variant>
      <vt:variant>
        <vt:i4>5</vt:i4>
      </vt:variant>
      <vt:variant>
        <vt:lpwstr/>
      </vt:variant>
      <vt:variant>
        <vt:lpwstr>_Toc316902178</vt:lpwstr>
      </vt:variant>
      <vt:variant>
        <vt:i4>1703988</vt:i4>
      </vt:variant>
      <vt:variant>
        <vt:i4>50</vt:i4>
      </vt:variant>
      <vt:variant>
        <vt:i4>0</vt:i4>
      </vt:variant>
      <vt:variant>
        <vt:i4>5</vt:i4>
      </vt:variant>
      <vt:variant>
        <vt:lpwstr/>
      </vt:variant>
      <vt:variant>
        <vt:lpwstr>_Toc316902177</vt:lpwstr>
      </vt:variant>
      <vt:variant>
        <vt:i4>1703988</vt:i4>
      </vt:variant>
      <vt:variant>
        <vt:i4>44</vt:i4>
      </vt:variant>
      <vt:variant>
        <vt:i4>0</vt:i4>
      </vt:variant>
      <vt:variant>
        <vt:i4>5</vt:i4>
      </vt:variant>
      <vt:variant>
        <vt:lpwstr/>
      </vt:variant>
      <vt:variant>
        <vt:lpwstr>_Toc316902176</vt:lpwstr>
      </vt:variant>
      <vt:variant>
        <vt:i4>1703988</vt:i4>
      </vt:variant>
      <vt:variant>
        <vt:i4>38</vt:i4>
      </vt:variant>
      <vt:variant>
        <vt:i4>0</vt:i4>
      </vt:variant>
      <vt:variant>
        <vt:i4>5</vt:i4>
      </vt:variant>
      <vt:variant>
        <vt:lpwstr/>
      </vt:variant>
      <vt:variant>
        <vt:lpwstr>_Toc316902175</vt:lpwstr>
      </vt:variant>
      <vt:variant>
        <vt:i4>1703988</vt:i4>
      </vt:variant>
      <vt:variant>
        <vt:i4>32</vt:i4>
      </vt:variant>
      <vt:variant>
        <vt:i4>0</vt:i4>
      </vt:variant>
      <vt:variant>
        <vt:i4>5</vt:i4>
      </vt:variant>
      <vt:variant>
        <vt:lpwstr/>
      </vt:variant>
      <vt:variant>
        <vt:lpwstr>_Toc316902174</vt:lpwstr>
      </vt:variant>
      <vt:variant>
        <vt:i4>1703988</vt:i4>
      </vt:variant>
      <vt:variant>
        <vt:i4>26</vt:i4>
      </vt:variant>
      <vt:variant>
        <vt:i4>0</vt:i4>
      </vt:variant>
      <vt:variant>
        <vt:i4>5</vt:i4>
      </vt:variant>
      <vt:variant>
        <vt:lpwstr/>
      </vt:variant>
      <vt:variant>
        <vt:lpwstr>_Toc316902173</vt:lpwstr>
      </vt:variant>
      <vt:variant>
        <vt:i4>1703988</vt:i4>
      </vt:variant>
      <vt:variant>
        <vt:i4>20</vt:i4>
      </vt:variant>
      <vt:variant>
        <vt:i4>0</vt:i4>
      </vt:variant>
      <vt:variant>
        <vt:i4>5</vt:i4>
      </vt:variant>
      <vt:variant>
        <vt:lpwstr/>
      </vt:variant>
      <vt:variant>
        <vt:lpwstr>_Toc316902172</vt:lpwstr>
      </vt:variant>
      <vt:variant>
        <vt:i4>1703988</vt:i4>
      </vt:variant>
      <vt:variant>
        <vt:i4>14</vt:i4>
      </vt:variant>
      <vt:variant>
        <vt:i4>0</vt:i4>
      </vt:variant>
      <vt:variant>
        <vt:i4>5</vt:i4>
      </vt:variant>
      <vt:variant>
        <vt:lpwstr/>
      </vt:variant>
      <vt:variant>
        <vt:lpwstr>_Toc316902171</vt:lpwstr>
      </vt:variant>
      <vt:variant>
        <vt:i4>1703988</vt:i4>
      </vt:variant>
      <vt:variant>
        <vt:i4>8</vt:i4>
      </vt:variant>
      <vt:variant>
        <vt:i4>0</vt:i4>
      </vt:variant>
      <vt:variant>
        <vt:i4>5</vt:i4>
      </vt:variant>
      <vt:variant>
        <vt:lpwstr/>
      </vt:variant>
      <vt:variant>
        <vt:lpwstr>_Toc316902170</vt:lpwstr>
      </vt:variant>
      <vt:variant>
        <vt:i4>1769524</vt:i4>
      </vt:variant>
      <vt:variant>
        <vt:i4>2</vt:i4>
      </vt:variant>
      <vt:variant>
        <vt:i4>0</vt:i4>
      </vt:variant>
      <vt:variant>
        <vt:i4>5</vt:i4>
      </vt:variant>
      <vt:variant>
        <vt:lpwstr/>
      </vt:variant>
      <vt:variant>
        <vt:lpwstr>_Toc316902169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CITES Thelenota Qld East Coast</dc:title>
  <dc:subject/>
  <dc:creator>Timothy Skewes</dc:creator>
  <cp:keywords/>
  <dc:description/>
  <cp:lastModifiedBy>Tim Skewes</cp:lastModifiedBy>
  <cp:revision>4</cp:revision>
  <cp:lastPrinted>2025-01-29T02:08:00Z</cp:lastPrinted>
  <dcterms:created xsi:type="dcterms:W3CDTF">2025-01-29T02:06:00Z</dcterms:created>
  <dcterms:modified xsi:type="dcterms:W3CDTF">2025-01-29T02:08:00Z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0x01010025F00CE90B66A142A176C0D66B5A9ED3</vt:lpwstr>
  </property>
  <property fmtid="{D5CDD505-2E9C-101B-9397-08002B2CF9AE}" pid="5" name="RecordPoint_WorkflowType">
    <vt:lpwstr>ActiveSubmitStub</vt:lpwstr>
  </property>
  <property fmtid="{D5CDD505-2E9C-101B-9397-08002B2CF9AE}" pid="6" name="RecordPoint_ActiveItemSiteId">
    <vt:lpwstr>{8003c3b3-d20c-4e9a-bee9-0e2243d810ee}</vt:lpwstr>
  </property>
  <property fmtid="{D5CDD505-2E9C-101B-9397-08002B2CF9AE}" pid="7" name="RecordPoint_ActiveItemListId">
    <vt:lpwstr>{1e6972ed-ffb6-46ac-aa83-9a9ed43e9fad}</vt:lpwstr>
  </property>
  <property fmtid="{D5CDD505-2E9C-101B-9397-08002B2CF9AE}" pid="8" name="RecordPoint_ActiveItemUniqueId">
    <vt:lpwstr>{a9667146-da80-4910-8df1-2379b65cc6eb}</vt:lpwstr>
  </property>
  <property fmtid="{D5CDD505-2E9C-101B-9397-08002B2CF9AE}" pid="9" name="RecordPoint_ActiveItemWebId">
    <vt:lpwstr>{ce0940a8-fbdd-4d61-aa5f-5fccf7e3a693}</vt:lpwstr>
  </property>
  <property fmtid="{D5CDD505-2E9C-101B-9397-08002B2CF9AE}" pid="10" name="eDOCS AutoSave">
    <vt:lpwstr>20231020161725381</vt:lpwstr>
  </property>
</Properties>
</file>